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CACF21" w14:textId="108117BF" w:rsidR="008A1135" w:rsidRPr="00E6110F" w:rsidRDefault="00401F03" w:rsidP="00144B4F">
      <w:pPr>
        <w:pStyle w:val="Title"/>
        <w:rPr>
          <w:b/>
          <w:color w:val="FFFFFF" w:themeColor="background1"/>
        </w:rPr>
      </w:pPr>
      <w:bookmarkStart w:id="0" w:name="_top"/>
      <w:bookmarkStart w:id="1" w:name="_GoBack"/>
      <w:bookmarkEnd w:id="0"/>
      <w:bookmarkEnd w:id="1"/>
      <w:r w:rsidRPr="00E6110F">
        <w:rPr>
          <w:b/>
          <w:noProof/>
          <w:color w:val="FFFFFF" w:themeColor="background1"/>
          <w:lang w:val="en-AU" w:eastAsia="en-AU"/>
        </w:rPr>
        <mc:AlternateContent>
          <mc:Choice Requires="wpg">
            <w:drawing>
              <wp:anchor distT="0" distB="0" distL="114300" distR="114300" simplePos="0" relativeHeight="251664384" behindDoc="1" locked="0" layoutInCell="1" allowOverlap="1" wp14:anchorId="65D79B18" wp14:editId="05401489">
                <wp:simplePos x="0" y="0"/>
                <wp:positionH relativeFrom="column">
                  <wp:posOffset>-1477645</wp:posOffset>
                </wp:positionH>
                <wp:positionV relativeFrom="paragraph">
                  <wp:posOffset>509905</wp:posOffset>
                </wp:positionV>
                <wp:extent cx="9381490" cy="10126345"/>
                <wp:effectExtent l="0" t="0" r="0" b="8255"/>
                <wp:wrapNone/>
                <wp:docPr id="98" name="Group 103"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1490" cy="10126345"/>
                          <a:chOff x="-827" y="918"/>
                          <a:chExt cx="14774" cy="15947"/>
                        </a:xfrm>
                      </wpg:grpSpPr>
                      <wpg:grpSp>
                        <wpg:cNvPr id="99" name="Group 99"/>
                        <wpg:cNvGrpSpPr>
                          <a:grpSpLocks/>
                        </wpg:cNvGrpSpPr>
                        <wpg:grpSpPr bwMode="auto">
                          <a:xfrm>
                            <a:off x="-262" y="918"/>
                            <a:ext cx="12749" cy="1610"/>
                            <a:chOff x="0" y="0"/>
                            <a:chExt cx="80962" cy="10223"/>
                          </a:xfrm>
                        </wpg:grpSpPr>
                        <wpg:grpSp>
                          <wpg:cNvPr id="100" name="Group 81"/>
                          <wpg:cNvGrpSpPr>
                            <a:grpSpLocks/>
                          </wpg:cNvGrpSpPr>
                          <wpg:grpSpPr bwMode="auto">
                            <a:xfrm>
                              <a:off x="0" y="0"/>
                              <a:ext cx="80962" cy="10223"/>
                              <a:chOff x="254" y="226"/>
                              <a:chExt cx="80962" cy="10223"/>
                            </a:xfrm>
                          </wpg:grpSpPr>
                          <wps:wsp>
                            <wps:cNvPr id="101" name="Freeform 70" descr="background"/>
                            <wps:cNvSpPr>
                              <a:spLocks noEditPoints="1"/>
                            </wps:cNvSpPr>
                            <wps:spPr bwMode="auto">
                              <a:xfrm>
                                <a:off x="254" y="226"/>
                                <a:ext cx="80962" cy="10224"/>
                              </a:xfrm>
                              <a:custGeom>
                                <a:avLst/>
                                <a:gdLst>
                                  <a:gd name="T0" fmla="*/ 2147483646 w 2488"/>
                                  <a:gd name="T1" fmla="*/ 2147483646 h 313"/>
                                  <a:gd name="T2" fmla="*/ 2147483646 w 2488"/>
                                  <a:gd name="T3" fmla="*/ 2147483646 h 313"/>
                                  <a:gd name="T4" fmla="*/ 2147483646 w 2488"/>
                                  <a:gd name="T5" fmla="*/ 2147483646 h 313"/>
                                  <a:gd name="T6" fmla="*/ 2147483646 w 2488"/>
                                  <a:gd name="T7" fmla="*/ 2147483646 h 313"/>
                                  <a:gd name="T8" fmla="*/ 2147483646 w 2488"/>
                                  <a:gd name="T9" fmla="*/ 2147483646 h 313"/>
                                  <a:gd name="T10" fmla="*/ 2147483646 w 2488"/>
                                  <a:gd name="T11" fmla="*/ 2147483646 h 313"/>
                                  <a:gd name="T12" fmla="*/ 2147483646 w 2488"/>
                                  <a:gd name="T13" fmla="*/ 0 h 313"/>
                                  <a:gd name="T14" fmla="*/ 0 w 2488"/>
                                  <a:gd name="T15" fmla="*/ 0 h 313"/>
                                  <a:gd name="T16" fmla="*/ 0 w 2488"/>
                                  <a:gd name="T17" fmla="*/ 2147483646 h 313"/>
                                  <a:gd name="T18" fmla="*/ 2147483646 w 2488"/>
                                  <a:gd name="T19" fmla="*/ 2147483646 h 313"/>
                                  <a:gd name="T20" fmla="*/ 2147483646 w 2488"/>
                                  <a:gd name="T21" fmla="*/ 2147483646 h 313"/>
                                  <a:gd name="T22" fmla="*/ 2147483646 w 2488"/>
                                  <a:gd name="T23" fmla="*/ 2147483646 h 313"/>
                                  <a:gd name="T24" fmla="*/ 2147483646 w 2488"/>
                                  <a:gd name="T25" fmla="*/ 2147483646 h 313"/>
                                  <a:gd name="T26" fmla="*/ 2147483646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71" descr="background"/>
                            <wps:cNvSpPr>
                              <a:spLocks/>
                            </wps:cNvSpPr>
                            <wps:spPr bwMode="auto">
                              <a:xfrm>
                                <a:off x="254" y="912"/>
                                <a:ext cx="58837" cy="4442"/>
                              </a:xfrm>
                              <a:custGeom>
                                <a:avLst/>
                                <a:gdLst>
                                  <a:gd name="T0" fmla="*/ 2147483646 w 1808"/>
                                  <a:gd name="T1" fmla="*/ 2147483646 h 136"/>
                                  <a:gd name="T2" fmla="*/ 2147483646 w 1808"/>
                                  <a:gd name="T3" fmla="*/ 0 h 136"/>
                                  <a:gd name="T4" fmla="*/ 0 w 1808"/>
                                  <a:gd name="T5" fmla="*/ 0 h 136"/>
                                  <a:gd name="T6" fmla="*/ 0 w 1808"/>
                                  <a:gd name="T7" fmla="*/ 2147483646 h 136"/>
                                  <a:gd name="T8" fmla="*/ 2147483646 w 1808"/>
                                  <a:gd name="T9" fmla="*/ 2147483646 h 136"/>
                                  <a:gd name="T10" fmla="*/ 2147483646 w 1808"/>
                                  <a:gd name="T11" fmla="*/ 2147483646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3" name="Group 105"/>
                            <wpg:cNvGrpSpPr>
                              <a:grpSpLocks/>
                            </wpg:cNvGrpSpPr>
                            <wpg:grpSpPr bwMode="auto">
                              <a:xfrm>
                                <a:off x="9186" y="3326"/>
                                <a:ext cx="8853" cy="1049"/>
                                <a:chOff x="6800" y="3263"/>
                                <a:chExt cx="8851" cy="1047"/>
                              </a:xfrm>
                            </wpg:grpSpPr>
                            <wps:wsp>
                              <wps:cNvPr id="104" name="Freeform 72" descr="background"/>
                              <wps:cNvSpPr>
                                <a:spLocks/>
                              </wps:cNvSpPr>
                              <wps:spPr bwMode="auto">
                                <a:xfrm>
                                  <a:off x="6800" y="3556"/>
                                  <a:ext cx="1042" cy="717"/>
                                </a:xfrm>
                                <a:custGeom>
                                  <a:avLst/>
                                  <a:gdLst>
                                    <a:gd name="T0" fmla="*/ 2147483646 w 32"/>
                                    <a:gd name="T1" fmla="*/ 0 h 22"/>
                                    <a:gd name="T2" fmla="*/ 2147483646 w 32"/>
                                    <a:gd name="T3" fmla="*/ 2147483646 h 22"/>
                                    <a:gd name="T4" fmla="*/ 2147483646 w 32"/>
                                    <a:gd name="T5" fmla="*/ 2147483646 h 22"/>
                                    <a:gd name="T6" fmla="*/ 1910147282 w 32"/>
                                    <a:gd name="T7" fmla="*/ 1016147881 h 22"/>
                                    <a:gd name="T8" fmla="*/ 1797797214 w 32"/>
                                    <a:gd name="T9" fmla="*/ 790340659 h 22"/>
                                    <a:gd name="T10" fmla="*/ 1797797214 w 32"/>
                                    <a:gd name="T11" fmla="*/ 790340659 h 22"/>
                                    <a:gd name="T12" fmla="*/ 1685448220 w 32"/>
                                    <a:gd name="T13" fmla="*/ 1016147881 h 22"/>
                                    <a:gd name="T14" fmla="*/ 1348365128 w 32"/>
                                    <a:gd name="T15" fmla="*/ 2147483646 h 22"/>
                                    <a:gd name="T16" fmla="*/ 674165078 w 32"/>
                                    <a:gd name="T17" fmla="*/ 2147483646 h 22"/>
                                    <a:gd name="T18" fmla="*/ 0 w 32"/>
                                    <a:gd name="T19" fmla="*/ 0 h 22"/>
                                    <a:gd name="T20" fmla="*/ 561816084 w 32"/>
                                    <a:gd name="T21" fmla="*/ 0 h 22"/>
                                    <a:gd name="T22" fmla="*/ 898899144 w 32"/>
                                    <a:gd name="T23" fmla="*/ 1467795274 h 22"/>
                                    <a:gd name="T24" fmla="*/ 1011248138 w 32"/>
                                    <a:gd name="T25" fmla="*/ 1919408642 h 22"/>
                                    <a:gd name="T26" fmla="*/ 1011248138 w 32"/>
                                    <a:gd name="T27" fmla="*/ 1919408642 h 22"/>
                                    <a:gd name="T28" fmla="*/ 1123632136 w 32"/>
                                    <a:gd name="T29" fmla="*/ 1467795274 h 22"/>
                                    <a:gd name="T30" fmla="*/ 1460715196 w 32"/>
                                    <a:gd name="T31" fmla="*/ 0 h 22"/>
                                    <a:gd name="T32" fmla="*/ 2134880274 w 32"/>
                                    <a:gd name="T33" fmla="*/ 0 h 22"/>
                                    <a:gd name="T34" fmla="*/ 2147483646 w 32"/>
                                    <a:gd name="T35" fmla="*/ 1580681351 h 22"/>
                                    <a:gd name="T36" fmla="*/ 2147483646 w 32"/>
                                    <a:gd name="T37" fmla="*/ 1919408642 h 22"/>
                                    <a:gd name="T38" fmla="*/ 2147483646 w 32"/>
                                    <a:gd name="T39" fmla="*/ 1919408642 h 22"/>
                                    <a:gd name="T40" fmla="*/ 2147483646 w 32"/>
                                    <a:gd name="T41" fmla="*/ 1467795274 h 22"/>
                                    <a:gd name="T42" fmla="*/ 2147483646 w 32"/>
                                    <a:gd name="T43" fmla="*/ 0 h 22"/>
                                    <a:gd name="T44" fmla="*/ 2147483646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73" descr="background"/>
                              <wps:cNvSpPr>
                                <a:spLocks/>
                              </wps:cNvSpPr>
                              <wps:spPr bwMode="auto">
                                <a:xfrm>
                                  <a:off x="7969" y="3556"/>
                                  <a:ext cx="1073" cy="717"/>
                                </a:xfrm>
                                <a:custGeom>
                                  <a:avLst/>
                                  <a:gdLst>
                                    <a:gd name="T0" fmla="*/ 2147483646 w 33"/>
                                    <a:gd name="T1" fmla="*/ 0 h 22"/>
                                    <a:gd name="T2" fmla="*/ 2147483646 w 33"/>
                                    <a:gd name="T3" fmla="*/ 2147483646 h 22"/>
                                    <a:gd name="T4" fmla="*/ 2147483646 w 33"/>
                                    <a:gd name="T5" fmla="*/ 2147483646 h 22"/>
                                    <a:gd name="T6" fmla="*/ 1900417060 w 33"/>
                                    <a:gd name="T7" fmla="*/ 1016147881 h 22"/>
                                    <a:gd name="T8" fmla="*/ 1788659916 w 33"/>
                                    <a:gd name="T9" fmla="*/ 790340659 h 22"/>
                                    <a:gd name="T10" fmla="*/ 1788659916 w 33"/>
                                    <a:gd name="T11" fmla="*/ 790340659 h 22"/>
                                    <a:gd name="T12" fmla="*/ 1788659916 w 33"/>
                                    <a:gd name="T13" fmla="*/ 1016147881 h 22"/>
                                    <a:gd name="T14" fmla="*/ 1341494937 w 33"/>
                                    <a:gd name="T15" fmla="*/ 2147483646 h 22"/>
                                    <a:gd name="T16" fmla="*/ 670748005 w 33"/>
                                    <a:gd name="T17" fmla="*/ 2147483646 h 22"/>
                                    <a:gd name="T18" fmla="*/ 0 w 33"/>
                                    <a:gd name="T19" fmla="*/ 0 h 22"/>
                                    <a:gd name="T20" fmla="*/ 558955972 w 33"/>
                                    <a:gd name="T21" fmla="*/ 0 h 22"/>
                                    <a:gd name="T22" fmla="*/ 1006120918 w 33"/>
                                    <a:gd name="T23" fmla="*/ 1467795274 h 22"/>
                                    <a:gd name="T24" fmla="*/ 1006120918 w 33"/>
                                    <a:gd name="T25" fmla="*/ 1919408642 h 22"/>
                                    <a:gd name="T26" fmla="*/ 1006120918 w 33"/>
                                    <a:gd name="T27" fmla="*/ 1919408642 h 22"/>
                                    <a:gd name="T28" fmla="*/ 1117912984 w 33"/>
                                    <a:gd name="T29" fmla="*/ 1467795274 h 22"/>
                                    <a:gd name="T30" fmla="*/ 1565077963 w 33"/>
                                    <a:gd name="T31" fmla="*/ 0 h 22"/>
                                    <a:gd name="T32" fmla="*/ 2124000086 w 33"/>
                                    <a:gd name="T33" fmla="*/ 0 h 22"/>
                                    <a:gd name="T34" fmla="*/ 2147483646 w 33"/>
                                    <a:gd name="T35" fmla="*/ 1580681351 h 22"/>
                                    <a:gd name="T36" fmla="*/ 2147483646 w 33"/>
                                    <a:gd name="T37" fmla="*/ 1919408642 h 22"/>
                                    <a:gd name="T38" fmla="*/ 2147483646 w 33"/>
                                    <a:gd name="T39" fmla="*/ 1919408642 h 22"/>
                                    <a:gd name="T40" fmla="*/ 2147483646 w 33"/>
                                    <a:gd name="T41" fmla="*/ 1467795274 h 22"/>
                                    <a:gd name="T42" fmla="*/ 2147483646 w 33"/>
                                    <a:gd name="T43" fmla="*/ 0 h 22"/>
                                    <a:gd name="T44" fmla="*/ 2147483646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74" descr="background"/>
                              <wps:cNvSpPr>
                                <a:spLocks/>
                              </wps:cNvSpPr>
                              <wps:spPr bwMode="auto">
                                <a:xfrm>
                                  <a:off x="9144" y="3556"/>
                                  <a:ext cx="1073" cy="717"/>
                                </a:xfrm>
                                <a:custGeom>
                                  <a:avLst/>
                                  <a:gdLst>
                                    <a:gd name="T0" fmla="*/ 2147483646 w 33"/>
                                    <a:gd name="T1" fmla="*/ 0 h 22"/>
                                    <a:gd name="T2" fmla="*/ 2147483646 w 33"/>
                                    <a:gd name="T3" fmla="*/ 2147483646 h 22"/>
                                    <a:gd name="T4" fmla="*/ 2147483646 w 33"/>
                                    <a:gd name="T5" fmla="*/ 2147483646 h 22"/>
                                    <a:gd name="T6" fmla="*/ 1900417060 w 33"/>
                                    <a:gd name="T7" fmla="*/ 1016147881 h 22"/>
                                    <a:gd name="T8" fmla="*/ 1788659916 w 33"/>
                                    <a:gd name="T9" fmla="*/ 790340659 h 22"/>
                                    <a:gd name="T10" fmla="*/ 1788659916 w 33"/>
                                    <a:gd name="T11" fmla="*/ 790340659 h 22"/>
                                    <a:gd name="T12" fmla="*/ 1788659916 w 33"/>
                                    <a:gd name="T13" fmla="*/ 1016147881 h 22"/>
                                    <a:gd name="T14" fmla="*/ 1453286970 w 33"/>
                                    <a:gd name="T15" fmla="*/ 2147483646 h 22"/>
                                    <a:gd name="T16" fmla="*/ 670748005 w 33"/>
                                    <a:gd name="T17" fmla="*/ 2147483646 h 22"/>
                                    <a:gd name="T18" fmla="*/ 0 w 33"/>
                                    <a:gd name="T19" fmla="*/ 0 h 22"/>
                                    <a:gd name="T20" fmla="*/ 670748005 w 33"/>
                                    <a:gd name="T21" fmla="*/ 0 h 22"/>
                                    <a:gd name="T22" fmla="*/ 1006120918 w 33"/>
                                    <a:gd name="T23" fmla="*/ 1467795274 h 22"/>
                                    <a:gd name="T24" fmla="*/ 1117912984 w 33"/>
                                    <a:gd name="T25" fmla="*/ 1919408642 h 22"/>
                                    <a:gd name="T26" fmla="*/ 1117912984 w 33"/>
                                    <a:gd name="T27" fmla="*/ 1919408642 h 22"/>
                                    <a:gd name="T28" fmla="*/ 1229703944 w 33"/>
                                    <a:gd name="T29" fmla="*/ 1467795274 h 22"/>
                                    <a:gd name="T30" fmla="*/ 1565077963 w 33"/>
                                    <a:gd name="T31" fmla="*/ 0 h 22"/>
                                    <a:gd name="T32" fmla="*/ 2124000086 w 33"/>
                                    <a:gd name="T33" fmla="*/ 0 h 22"/>
                                    <a:gd name="T34" fmla="*/ 2147483646 w 33"/>
                                    <a:gd name="T35" fmla="*/ 1580681351 h 22"/>
                                    <a:gd name="T36" fmla="*/ 2147483646 w 33"/>
                                    <a:gd name="T37" fmla="*/ 1919408642 h 22"/>
                                    <a:gd name="T38" fmla="*/ 2147483646 w 33"/>
                                    <a:gd name="T39" fmla="*/ 1919408642 h 22"/>
                                    <a:gd name="T40" fmla="*/ 2147483646 w 33"/>
                                    <a:gd name="T41" fmla="*/ 1467795274 h 22"/>
                                    <a:gd name="T42" fmla="*/ 2147483646 w 33"/>
                                    <a:gd name="T43" fmla="*/ 0 h 22"/>
                                    <a:gd name="T44" fmla="*/ 2147483646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Oval 75" descr="background"/>
                              <wps:cNvSpPr>
                                <a:spLocks noChangeArrowheads="1"/>
                              </wps:cNvSpPr>
                              <wps:spPr bwMode="auto">
                                <a:xfrm>
                                  <a:off x="10312" y="4044"/>
                                  <a:ext cx="229" cy="229"/>
                                </a:xfrm>
                                <a:prstGeom prst="ellipse">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76" descr="background"/>
                              <wps:cNvSpPr>
                                <a:spLocks/>
                              </wps:cNvSpPr>
                              <wps:spPr bwMode="auto">
                                <a:xfrm>
                                  <a:off x="10674" y="3556"/>
                                  <a:ext cx="552" cy="717"/>
                                </a:xfrm>
                                <a:custGeom>
                                  <a:avLst/>
                                  <a:gdLst>
                                    <a:gd name="T0" fmla="*/ 1891313541 w 17"/>
                                    <a:gd name="T1" fmla="*/ 2147483646 h 22"/>
                                    <a:gd name="T2" fmla="*/ 1112535446 w 17"/>
                                    <a:gd name="T3" fmla="*/ 2147483646 h 22"/>
                                    <a:gd name="T4" fmla="*/ 0 w 17"/>
                                    <a:gd name="T5" fmla="*/ 1354875172 h 22"/>
                                    <a:gd name="T6" fmla="*/ 1223798807 w 17"/>
                                    <a:gd name="T7" fmla="*/ 0 h 22"/>
                                    <a:gd name="T8" fmla="*/ 1780049142 w 17"/>
                                    <a:gd name="T9" fmla="*/ 112921145 h 22"/>
                                    <a:gd name="T10" fmla="*/ 1668819518 w 17"/>
                                    <a:gd name="T11" fmla="*/ 564534513 h 22"/>
                                    <a:gd name="T12" fmla="*/ 1223798807 w 17"/>
                                    <a:gd name="T13" fmla="*/ 451613368 h 22"/>
                                    <a:gd name="T14" fmla="*/ 667514735 w 17"/>
                                    <a:gd name="T15" fmla="*/ 1241989095 h 22"/>
                                    <a:gd name="T16" fmla="*/ 1223798807 w 17"/>
                                    <a:gd name="T17" fmla="*/ 2032329786 h 22"/>
                                    <a:gd name="T18" fmla="*/ 1780049142 w 17"/>
                                    <a:gd name="T19" fmla="*/ 1919408642 h 22"/>
                                    <a:gd name="T20" fmla="*/ 1891313541 w 17"/>
                                    <a:gd name="T21" fmla="*/ 2147483646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77" descr="background"/>
                              <wps:cNvSpPr>
                                <a:spLocks/>
                              </wps:cNvSpPr>
                              <wps:spPr bwMode="auto">
                                <a:xfrm>
                                  <a:off x="11322" y="3556"/>
                                  <a:ext cx="520" cy="755"/>
                                </a:xfrm>
                                <a:custGeom>
                                  <a:avLst/>
                                  <a:gdLst>
                                    <a:gd name="T0" fmla="*/ 782029560 w 16"/>
                                    <a:gd name="T1" fmla="*/ 2147483646 h 23"/>
                                    <a:gd name="T2" fmla="*/ 0 w 16"/>
                                    <a:gd name="T3" fmla="*/ 2147483646 h 23"/>
                                    <a:gd name="T4" fmla="*/ 111703735 w 16"/>
                                    <a:gd name="T5" fmla="*/ 1975587032 h 23"/>
                                    <a:gd name="T6" fmla="*/ 782029560 w 16"/>
                                    <a:gd name="T7" fmla="*/ 2091818264 h 23"/>
                                    <a:gd name="T8" fmla="*/ 1117174500 w 16"/>
                                    <a:gd name="T9" fmla="*/ 1859390300 h 23"/>
                                    <a:gd name="T10" fmla="*/ 670290985 w 16"/>
                                    <a:gd name="T11" fmla="*/ 1510765603 h 23"/>
                                    <a:gd name="T12" fmla="*/ 111703735 w 16"/>
                                    <a:gd name="T13" fmla="*/ 813480626 h 23"/>
                                    <a:gd name="T14" fmla="*/ 1005436998 w 16"/>
                                    <a:gd name="T15" fmla="*/ 0 h 23"/>
                                    <a:gd name="T16" fmla="*/ 1564024248 w 16"/>
                                    <a:gd name="T17" fmla="*/ 116196732 h 23"/>
                                    <a:gd name="T18" fmla="*/ 1564024248 w 16"/>
                                    <a:gd name="T19" fmla="*/ 581052661 h 23"/>
                                    <a:gd name="T20" fmla="*/ 1005436998 w 16"/>
                                    <a:gd name="T21" fmla="*/ 464855929 h 23"/>
                                    <a:gd name="T22" fmla="*/ 670290985 w 16"/>
                                    <a:gd name="T23" fmla="*/ 697284977 h 23"/>
                                    <a:gd name="T24" fmla="*/ 1117174500 w 16"/>
                                    <a:gd name="T25" fmla="*/ 1045909674 h 23"/>
                                    <a:gd name="T26" fmla="*/ 1787465485 w 16"/>
                                    <a:gd name="T27" fmla="*/ 1743193567 h 23"/>
                                    <a:gd name="T28" fmla="*/ 782029560 w 16"/>
                                    <a:gd name="T29" fmla="*/ 2147483646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78" descr="background"/>
                              <wps:cNvSpPr>
                                <a:spLocks noEditPoints="1"/>
                              </wps:cNvSpPr>
                              <wps:spPr bwMode="auto">
                                <a:xfrm>
                                  <a:off x="11938" y="3263"/>
                                  <a:ext cx="298" cy="1010"/>
                                </a:xfrm>
                                <a:custGeom>
                                  <a:avLst/>
                                  <a:gdLst>
                                    <a:gd name="T0" fmla="*/ 361124214 w 9"/>
                                    <a:gd name="T1" fmla="*/ 2147483646 h 31"/>
                                    <a:gd name="T2" fmla="*/ 361124214 w 9"/>
                                    <a:gd name="T3" fmla="*/ 1464299955 h 31"/>
                                    <a:gd name="T4" fmla="*/ 0 w 9"/>
                                    <a:gd name="T5" fmla="*/ 1464299955 h 31"/>
                                    <a:gd name="T6" fmla="*/ 0 w 9"/>
                                    <a:gd name="T7" fmla="*/ 1013735241 h 31"/>
                                    <a:gd name="T8" fmla="*/ 963035541 w 9"/>
                                    <a:gd name="T9" fmla="*/ 1013735241 h 31"/>
                                    <a:gd name="T10" fmla="*/ 963035541 w 9"/>
                                    <a:gd name="T11" fmla="*/ 2147483646 h 31"/>
                                    <a:gd name="T12" fmla="*/ 361124214 w 9"/>
                                    <a:gd name="T13" fmla="*/ 2147483646 h 31"/>
                                    <a:gd name="T14" fmla="*/ 722285678 w 9"/>
                                    <a:gd name="T15" fmla="*/ 675846517 h 31"/>
                                    <a:gd name="T16" fmla="*/ 240749829 w 9"/>
                                    <a:gd name="T17" fmla="*/ 337922705 h 31"/>
                                    <a:gd name="T18" fmla="*/ 722285678 w 9"/>
                                    <a:gd name="T19" fmla="*/ 0 h 31"/>
                                    <a:gd name="T20" fmla="*/ 1083409893 w 9"/>
                                    <a:gd name="T21" fmla="*/ 337922705 h 31"/>
                                    <a:gd name="T22" fmla="*/ 722285678 w 9"/>
                                    <a:gd name="T23" fmla="*/ 675846517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79" descr="background"/>
                              <wps:cNvSpPr>
                                <a:spLocks/>
                              </wps:cNvSpPr>
                              <wps:spPr bwMode="auto">
                                <a:xfrm>
                                  <a:off x="12426" y="3556"/>
                                  <a:ext cx="426" cy="717"/>
                                </a:xfrm>
                                <a:custGeom>
                                  <a:avLst/>
                                  <a:gdLst>
                                    <a:gd name="T0" fmla="*/ 1381916113 w 13"/>
                                    <a:gd name="T1" fmla="*/ 564534513 h 22"/>
                                    <a:gd name="T2" fmla="*/ 1151609110 w 13"/>
                                    <a:gd name="T3" fmla="*/ 564534513 h 22"/>
                                    <a:gd name="T4" fmla="*/ 575786843 w 13"/>
                                    <a:gd name="T5" fmla="*/ 1016147881 h 22"/>
                                    <a:gd name="T6" fmla="*/ 575786843 w 13"/>
                                    <a:gd name="T7" fmla="*/ 2147483646 h 22"/>
                                    <a:gd name="T8" fmla="*/ 0 w 13"/>
                                    <a:gd name="T9" fmla="*/ 2147483646 h 22"/>
                                    <a:gd name="T10" fmla="*/ 0 w 13"/>
                                    <a:gd name="T11" fmla="*/ 0 h 22"/>
                                    <a:gd name="T12" fmla="*/ 460650512 w 13"/>
                                    <a:gd name="T13" fmla="*/ 0 h 22"/>
                                    <a:gd name="T14" fmla="*/ 575786843 w 13"/>
                                    <a:gd name="T15" fmla="*/ 451613368 h 22"/>
                                    <a:gd name="T16" fmla="*/ 1151609110 w 13"/>
                                    <a:gd name="T17" fmla="*/ 0 h 22"/>
                                    <a:gd name="T18" fmla="*/ 1497087868 w 13"/>
                                    <a:gd name="T19" fmla="*/ 0 h 22"/>
                                    <a:gd name="T20" fmla="*/ 1381916113 w 13"/>
                                    <a:gd name="T21" fmla="*/ 564534513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80" descr="background"/>
                              <wps:cNvSpPr>
                                <a:spLocks noEditPoints="1"/>
                              </wps:cNvSpPr>
                              <wps:spPr bwMode="auto">
                                <a:xfrm>
                                  <a:off x="12947" y="3556"/>
                                  <a:ext cx="718" cy="755"/>
                                </a:xfrm>
                                <a:custGeom>
                                  <a:avLst/>
                                  <a:gdLst>
                                    <a:gd name="T0" fmla="*/ 1247192076 w 22"/>
                                    <a:gd name="T1" fmla="*/ 2147483646 h 23"/>
                                    <a:gd name="T2" fmla="*/ 0 w 22"/>
                                    <a:gd name="T3" fmla="*/ 1394533287 h 23"/>
                                    <a:gd name="T4" fmla="*/ 1247192076 w 22"/>
                                    <a:gd name="T5" fmla="*/ 0 h 23"/>
                                    <a:gd name="T6" fmla="*/ 2147483646 w 22"/>
                                    <a:gd name="T7" fmla="*/ 1278337638 h 23"/>
                                    <a:gd name="T8" fmla="*/ 1247192076 w 22"/>
                                    <a:gd name="T9" fmla="*/ 2147483646 h 23"/>
                                    <a:gd name="T10" fmla="*/ 1247192076 w 22"/>
                                    <a:gd name="T11" fmla="*/ 464855929 h 23"/>
                                    <a:gd name="T12" fmla="*/ 566899576 w 22"/>
                                    <a:gd name="T13" fmla="*/ 1278337638 h 23"/>
                                    <a:gd name="T14" fmla="*/ 1247192076 w 22"/>
                                    <a:gd name="T15" fmla="*/ 2091818264 h 23"/>
                                    <a:gd name="T16" fmla="*/ 1814057580 w 22"/>
                                    <a:gd name="T17" fmla="*/ 1278337638 h 23"/>
                                    <a:gd name="T18" fmla="*/ 1247192076 w 22"/>
                                    <a:gd name="T19" fmla="*/ 464855929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Oval 81" descr="background"/>
                              <wps:cNvSpPr>
                                <a:spLocks noChangeArrowheads="1"/>
                              </wps:cNvSpPr>
                              <wps:spPr bwMode="auto">
                                <a:xfrm>
                                  <a:off x="13830" y="4044"/>
                                  <a:ext cx="190" cy="229"/>
                                </a:xfrm>
                                <a:prstGeom prst="ellipse">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82" descr="background"/>
                              <wps:cNvSpPr>
                                <a:spLocks noEditPoints="1"/>
                              </wps:cNvSpPr>
                              <wps:spPr bwMode="auto">
                                <a:xfrm>
                                  <a:off x="14217" y="3556"/>
                                  <a:ext cx="584" cy="755"/>
                                </a:xfrm>
                                <a:custGeom>
                                  <a:avLst/>
                                  <a:gdLst>
                                    <a:gd name="T0" fmla="*/ 1551816383 w 18"/>
                                    <a:gd name="T1" fmla="*/ 2147483646 h 23"/>
                                    <a:gd name="T2" fmla="*/ 1551816383 w 18"/>
                                    <a:gd name="T3" fmla="*/ 2147483646 h 23"/>
                                    <a:gd name="T4" fmla="*/ 775907656 w 18"/>
                                    <a:gd name="T5" fmla="*/ 2147483646 h 23"/>
                                    <a:gd name="T6" fmla="*/ 0 w 18"/>
                                    <a:gd name="T7" fmla="*/ 1859390300 h 23"/>
                                    <a:gd name="T8" fmla="*/ 1108449909 w 18"/>
                                    <a:gd name="T9" fmla="*/ 1045909674 h 23"/>
                                    <a:gd name="T10" fmla="*/ 1440957382 w 18"/>
                                    <a:gd name="T11" fmla="*/ 1045909674 h 23"/>
                                    <a:gd name="T12" fmla="*/ 1440957382 w 18"/>
                                    <a:gd name="T13" fmla="*/ 929677358 h 23"/>
                                    <a:gd name="T14" fmla="*/ 886732979 w 18"/>
                                    <a:gd name="T15" fmla="*/ 464855929 h 23"/>
                                    <a:gd name="T16" fmla="*/ 221683253 w 18"/>
                                    <a:gd name="T17" fmla="*/ 581052661 h 23"/>
                                    <a:gd name="T18" fmla="*/ 110859000 w 18"/>
                                    <a:gd name="T19" fmla="*/ 116196732 h 23"/>
                                    <a:gd name="T20" fmla="*/ 997590909 w 18"/>
                                    <a:gd name="T21" fmla="*/ 0 h 23"/>
                                    <a:gd name="T22" fmla="*/ 1995181818 w 18"/>
                                    <a:gd name="T23" fmla="*/ 813480626 h 23"/>
                                    <a:gd name="T24" fmla="*/ 1995181818 w 18"/>
                                    <a:gd name="T25" fmla="*/ 2147483646 h 23"/>
                                    <a:gd name="T26" fmla="*/ 1551816383 w 18"/>
                                    <a:gd name="T27" fmla="*/ 2147483646 h 23"/>
                                    <a:gd name="T28" fmla="*/ 1440957382 w 18"/>
                                    <a:gd name="T29" fmla="*/ 1394533287 h 23"/>
                                    <a:gd name="T30" fmla="*/ 1108449909 w 18"/>
                                    <a:gd name="T31" fmla="*/ 1394533287 h 23"/>
                                    <a:gd name="T32" fmla="*/ 554224436 w 18"/>
                                    <a:gd name="T33" fmla="*/ 1859390300 h 23"/>
                                    <a:gd name="T34" fmla="*/ 886732979 w 18"/>
                                    <a:gd name="T35" fmla="*/ 2147483646 h 23"/>
                                    <a:gd name="T36" fmla="*/ 1440957382 w 18"/>
                                    <a:gd name="T37" fmla="*/ 1975587032 h 23"/>
                                    <a:gd name="T38" fmla="*/ 1440957382 w 18"/>
                                    <a:gd name="T39" fmla="*/ 1394533287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83" descr="background"/>
                              <wps:cNvSpPr>
                                <a:spLocks/>
                              </wps:cNvSpPr>
                              <wps:spPr bwMode="auto">
                                <a:xfrm>
                                  <a:off x="15030" y="3556"/>
                                  <a:ext cx="622" cy="755"/>
                                </a:xfrm>
                                <a:custGeom>
                                  <a:avLst/>
                                  <a:gdLst>
                                    <a:gd name="T0" fmla="*/ 1723646461 w 19"/>
                                    <a:gd name="T1" fmla="*/ 2147483646 h 23"/>
                                    <a:gd name="T2" fmla="*/ 1723646461 w 19"/>
                                    <a:gd name="T3" fmla="*/ 2147483646 h 23"/>
                                    <a:gd name="T4" fmla="*/ 804373641 w 19"/>
                                    <a:gd name="T5" fmla="*/ 2147483646 h 23"/>
                                    <a:gd name="T6" fmla="*/ 0 w 19"/>
                                    <a:gd name="T7" fmla="*/ 1626962335 h 23"/>
                                    <a:gd name="T8" fmla="*/ 0 w 19"/>
                                    <a:gd name="T9" fmla="*/ 0 h 23"/>
                                    <a:gd name="T10" fmla="*/ 574537733 w 19"/>
                                    <a:gd name="T11" fmla="*/ 0 h 23"/>
                                    <a:gd name="T12" fmla="*/ 574537733 w 19"/>
                                    <a:gd name="T13" fmla="*/ 1510765603 h 23"/>
                                    <a:gd name="T14" fmla="*/ 1034174160 w 19"/>
                                    <a:gd name="T15" fmla="*/ 2091818264 h 23"/>
                                    <a:gd name="T16" fmla="*/ 1608746202 w 19"/>
                                    <a:gd name="T17" fmla="*/ 1743193567 h 23"/>
                                    <a:gd name="T18" fmla="*/ 1608746202 w 19"/>
                                    <a:gd name="T19" fmla="*/ 0 h 23"/>
                                    <a:gd name="T20" fmla="*/ 2147483646 w 19"/>
                                    <a:gd name="T21" fmla="*/ 0 h 23"/>
                                    <a:gd name="T22" fmla="*/ 2147483646 w 19"/>
                                    <a:gd name="T23" fmla="*/ 2147483646 h 23"/>
                                    <a:gd name="T24" fmla="*/ 1723646461 w 19"/>
                                    <a:gd name="T25" fmla="*/ 2147483646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16" name="Freeform 84"/>
                            <wps:cNvSpPr>
                              <a:spLocks/>
                            </wps:cNvSpPr>
                            <wps:spPr bwMode="auto">
                              <a:xfrm>
                                <a:off x="59091" y="912"/>
                                <a:ext cx="22125" cy="8883"/>
                              </a:xfrm>
                              <a:custGeom>
                                <a:avLst/>
                                <a:gdLst>
                                  <a:gd name="T0" fmla="*/ 2147483646 w 680"/>
                                  <a:gd name="T1" fmla="*/ 0 h 272"/>
                                  <a:gd name="T2" fmla="*/ 0 w 680"/>
                                  <a:gd name="T3" fmla="*/ 2147483646 h 272"/>
                                  <a:gd name="T4" fmla="*/ 2147483646 w 680"/>
                                  <a:gd name="T5" fmla="*/ 2147483646 h 272"/>
                                  <a:gd name="T6" fmla="*/ 2147483646 w 680"/>
                                  <a:gd name="T7" fmla="*/ 2147483646 h 272"/>
                                  <a:gd name="T8" fmla="*/ 2147483646 w 680"/>
                                  <a:gd name="T9" fmla="*/ 0 h 272"/>
                                  <a:gd name="T10" fmla="*/ 2147483646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04" descr="background"/>
                            <wps:cNvSpPr>
                              <a:spLocks/>
                            </wps:cNvSpPr>
                            <wps:spPr bwMode="auto">
                              <a:xfrm>
                                <a:off x="59103" y="929"/>
                                <a:ext cx="22106" cy="8861"/>
                              </a:xfrm>
                              <a:custGeom>
                                <a:avLst/>
                                <a:gdLst>
                                  <a:gd name="T0" fmla="*/ 2147483646 w 680"/>
                                  <a:gd name="T1" fmla="*/ 0 h 272"/>
                                  <a:gd name="T2" fmla="*/ 0 w 680"/>
                                  <a:gd name="T3" fmla="*/ 2147483646 h 272"/>
                                  <a:gd name="T4" fmla="*/ 2147483646 w 680"/>
                                  <a:gd name="T5" fmla="*/ 2147483646 h 272"/>
                                  <a:gd name="T6" fmla="*/ 2147483646 w 680"/>
                                  <a:gd name="T7" fmla="*/ 2147483646 h 272"/>
                                  <a:gd name="T8" fmla="*/ 2147483646 w 680"/>
                                  <a:gd name="T9" fmla="*/ 0 h 272"/>
                                  <a:gd name="T10" fmla="*/ 2147483646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406B76" w14:textId="77777777" w:rsidR="00BC0590" w:rsidRPr="007367A7" w:rsidRDefault="00BC0590" w:rsidP="00144B4F">
                                  <w:pPr>
                                    <w:rPr>
                                      <w:rFonts w:eastAsia="Times New Roman"/>
                                      <w:color w:val="00A9CE" w:themeColor="accent1"/>
                                    </w:rPr>
                                  </w:pPr>
                                </w:p>
                              </w:txbxContent>
                            </wps:txbx>
                            <wps:bodyPr rot="0" vert="horz" wrap="square" lIns="91440" tIns="45720" rIns="91440" bIns="45720" anchor="t" anchorCtr="0" upright="1">
                              <a:noAutofit/>
                            </wps:bodyPr>
                          </wps:wsp>
                        </wpg:grpSp>
                        <pic:pic xmlns:pic="http://schemas.openxmlformats.org/drawingml/2006/picture">
                          <pic:nvPicPr>
                            <pic:cNvPr id="118" name="Picture 40" descr="CSIRO logo"/>
                            <pic:cNvPicPr>
                              <a:picLocks noChangeAspect="1"/>
                            </pic:cNvPicPr>
                          </pic:nvPicPr>
                          <pic:blipFill>
                            <a:blip r:embed="rId7">
                              <a:extLst>
                                <a:ext uri="{28A0092B-C50C-407E-A947-70E740481C1C}">
                                  <a14:useLocalDpi xmlns:a14="http://schemas.microsoft.com/office/drawing/2010/main"/>
                                </a:ext>
                              </a:extLst>
                            </a:blip>
                            <a:srcRect/>
                            <a:stretch>
                              <a:fillRect/>
                            </a:stretch>
                          </pic:blipFill>
                          <pic:spPr bwMode="auto">
                            <a:xfrm>
                              <a:off x="65836" y="863"/>
                              <a:ext cx="8941" cy="87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9" name="Group 69"/>
                        <wpg:cNvGrpSpPr>
                          <a:grpSpLocks/>
                        </wpg:cNvGrpSpPr>
                        <wpg:grpSpPr bwMode="auto">
                          <a:xfrm>
                            <a:off x="-827" y="10206"/>
                            <a:ext cx="14774" cy="6659"/>
                            <a:chOff x="0" y="0"/>
                            <a:chExt cx="93818" cy="42291"/>
                          </a:xfrm>
                        </wpg:grpSpPr>
                        <wps:wsp>
                          <wps:cNvPr id="120" name="Rectangle 68"/>
                          <wps:cNvSpPr>
                            <a:spLocks noChangeArrowheads="1"/>
                          </wps:cNvSpPr>
                          <wps:spPr bwMode="auto">
                            <a:xfrm>
                              <a:off x="5257" y="10287"/>
                              <a:ext cx="75990" cy="3200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121" name="Group 67"/>
                          <wpg:cNvGrpSpPr>
                            <a:grpSpLocks/>
                          </wpg:cNvGrpSpPr>
                          <wpg:grpSpPr bwMode="auto">
                            <a:xfrm>
                              <a:off x="0" y="0"/>
                              <a:ext cx="93818" cy="26426"/>
                              <a:chOff x="0" y="0"/>
                              <a:chExt cx="93818" cy="26426"/>
                            </a:xfrm>
                          </wpg:grpSpPr>
                          <wps:wsp>
                            <wps:cNvPr id="122" name="Freeform 115" descr="background"/>
                            <wps:cNvSpPr>
                              <a:spLocks/>
                            </wps:cNvSpPr>
                            <wps:spPr bwMode="auto">
                              <a:xfrm>
                                <a:off x="0" y="0"/>
                                <a:ext cx="47104" cy="12071"/>
                              </a:xfrm>
                              <a:custGeom>
                                <a:avLst/>
                                <a:gdLst>
                                  <a:gd name="T0" fmla="*/ 2147483646 w 1458"/>
                                  <a:gd name="T1" fmla="*/ 2147483646 h 374"/>
                                  <a:gd name="T2" fmla="*/ 2147483646 w 1458"/>
                                  <a:gd name="T3" fmla="*/ 0 h 374"/>
                                  <a:gd name="T4" fmla="*/ 0 w 1458"/>
                                  <a:gd name="T5" fmla="*/ 0 h 374"/>
                                  <a:gd name="T6" fmla="*/ 0 w 1458"/>
                                  <a:gd name="T7" fmla="*/ 2147483646 h 374"/>
                                  <a:gd name="T8" fmla="*/ 2147483646 w 1458"/>
                                  <a:gd name="T9" fmla="*/ 2147483646 h 374"/>
                                  <a:gd name="T10" fmla="*/ 2147483646 w 1458"/>
                                  <a:gd name="T11" fmla="*/ 2147483646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8" h="374">
                                    <a:moveTo>
                                      <a:pt x="1458" y="321"/>
                                    </a:moveTo>
                                    <a:cubicBezTo>
                                      <a:pt x="1158" y="150"/>
                                      <a:pt x="746" y="0"/>
                                      <a:pt x="214" y="0"/>
                                    </a:cubicBezTo>
                                    <a:cubicBezTo>
                                      <a:pt x="0" y="0"/>
                                      <a:pt x="0" y="0"/>
                                      <a:pt x="0" y="0"/>
                                    </a:cubicBezTo>
                                    <a:cubicBezTo>
                                      <a:pt x="0" y="374"/>
                                      <a:pt x="0" y="374"/>
                                      <a:pt x="0" y="374"/>
                                    </a:cubicBezTo>
                                    <a:cubicBezTo>
                                      <a:pt x="680" y="374"/>
                                      <a:pt x="680" y="374"/>
                                      <a:pt x="680" y="374"/>
                                    </a:cubicBezTo>
                                    <a:cubicBezTo>
                                      <a:pt x="1186" y="374"/>
                                      <a:pt x="1351" y="362"/>
                                      <a:pt x="1458" y="321"/>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16" descr="background"/>
                            <wps:cNvSpPr>
                              <a:spLocks/>
                            </wps:cNvSpPr>
                            <wps:spPr bwMode="auto">
                              <a:xfrm>
                                <a:off x="0" y="14031"/>
                                <a:ext cx="21545" cy="6197"/>
                              </a:xfrm>
                              <a:custGeom>
                                <a:avLst/>
                                <a:gdLst>
                                  <a:gd name="T0" fmla="*/ 2147483646 w 667"/>
                                  <a:gd name="T1" fmla="*/ 2147483646 h 192"/>
                                  <a:gd name="T2" fmla="*/ 2147483646 w 667"/>
                                  <a:gd name="T3" fmla="*/ 0 h 192"/>
                                  <a:gd name="T4" fmla="*/ 0 w 667"/>
                                  <a:gd name="T5" fmla="*/ 0 h 192"/>
                                  <a:gd name="T6" fmla="*/ 0 w 667"/>
                                  <a:gd name="T7" fmla="*/ 2147483646 h 192"/>
                                  <a:gd name="T8" fmla="*/ 2147483646 w 667"/>
                                  <a:gd name="T9" fmla="*/ 2147483646 h 192"/>
                                  <a:gd name="T10" fmla="*/ 2147483646 w 667"/>
                                  <a:gd name="T11" fmla="*/ 2147483646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67" h="192">
                                    <a:moveTo>
                                      <a:pt x="667" y="165"/>
                                    </a:moveTo>
                                    <a:cubicBezTo>
                                      <a:pt x="513" y="77"/>
                                      <a:pt x="302" y="0"/>
                                      <a:pt x="29" y="0"/>
                                    </a:cubicBezTo>
                                    <a:cubicBezTo>
                                      <a:pt x="0" y="0"/>
                                      <a:pt x="0" y="0"/>
                                      <a:pt x="0" y="0"/>
                                    </a:cubicBezTo>
                                    <a:cubicBezTo>
                                      <a:pt x="0" y="192"/>
                                      <a:pt x="0" y="192"/>
                                      <a:pt x="0" y="192"/>
                                    </a:cubicBezTo>
                                    <a:cubicBezTo>
                                      <a:pt x="268" y="192"/>
                                      <a:pt x="268" y="192"/>
                                      <a:pt x="268" y="192"/>
                                    </a:cubicBezTo>
                                    <a:cubicBezTo>
                                      <a:pt x="528" y="192"/>
                                      <a:pt x="612" y="186"/>
                                      <a:pt x="667" y="165"/>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117" descr="background"/>
                            <wps:cNvSpPr>
                              <a:spLocks/>
                            </wps:cNvSpPr>
                            <wps:spPr bwMode="auto">
                              <a:xfrm>
                                <a:off x="21441" y="14031"/>
                                <a:ext cx="72269" cy="12395"/>
                              </a:xfrm>
                              <a:custGeom>
                                <a:avLst/>
                                <a:gdLst>
                                  <a:gd name="T0" fmla="*/ 2147483646 w 2237"/>
                                  <a:gd name="T1" fmla="*/ 0 h 384"/>
                                  <a:gd name="T2" fmla="*/ 0 w 2237"/>
                                  <a:gd name="T3" fmla="*/ 2147483646 h 384"/>
                                  <a:gd name="T4" fmla="*/ 2147483646 w 2237"/>
                                  <a:gd name="T5" fmla="*/ 2147483646 h 384"/>
                                  <a:gd name="T6" fmla="*/ 2147483646 w 2237"/>
                                  <a:gd name="T7" fmla="*/ 2147483646 h 384"/>
                                  <a:gd name="T8" fmla="*/ 2147483646 w 2237"/>
                                  <a:gd name="T9" fmla="*/ 0 h 384"/>
                                  <a:gd name="T10" fmla="*/ 2147483646 w 2237"/>
                                  <a:gd name="T11" fmla="*/ 0 h 38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37" h="384">
                                    <a:moveTo>
                                      <a:pt x="669" y="0"/>
                                    </a:moveTo>
                                    <a:cubicBezTo>
                                      <a:pt x="262" y="0"/>
                                      <a:pt x="112" y="122"/>
                                      <a:pt x="0" y="165"/>
                                    </a:cubicBezTo>
                                    <a:cubicBezTo>
                                      <a:pt x="180" y="268"/>
                                      <a:pt x="322" y="384"/>
                                      <a:pt x="661" y="384"/>
                                    </a:cubicBezTo>
                                    <a:cubicBezTo>
                                      <a:pt x="743" y="384"/>
                                      <a:pt x="2237" y="384"/>
                                      <a:pt x="2237" y="384"/>
                                    </a:cubicBezTo>
                                    <a:cubicBezTo>
                                      <a:pt x="2237" y="0"/>
                                      <a:pt x="2237" y="0"/>
                                      <a:pt x="2237" y="0"/>
                                    </a:cubicBezTo>
                                    <a:lnTo>
                                      <a:pt x="669"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18" descr="background"/>
                            <wps:cNvSpPr>
                              <a:spLocks/>
                            </wps:cNvSpPr>
                            <wps:spPr bwMode="auto">
                              <a:xfrm>
                                <a:off x="46981" y="0"/>
                                <a:ext cx="46837" cy="24180"/>
                              </a:xfrm>
                              <a:custGeom>
                                <a:avLst/>
                                <a:gdLst>
                                  <a:gd name="T0" fmla="*/ 2147483646 w 1450"/>
                                  <a:gd name="T1" fmla="*/ 0 h 749"/>
                                  <a:gd name="T2" fmla="*/ 0 w 1450"/>
                                  <a:gd name="T3" fmla="*/ 2147483646 h 749"/>
                                  <a:gd name="T4" fmla="*/ 2147483646 w 1450"/>
                                  <a:gd name="T5" fmla="*/ 2147483646 h 749"/>
                                  <a:gd name="T6" fmla="*/ 2147483646 w 1450"/>
                                  <a:gd name="T7" fmla="*/ 2147483646 h 749"/>
                                  <a:gd name="T8" fmla="*/ 2147483646 w 1450"/>
                                  <a:gd name="T9" fmla="*/ 0 h 749"/>
                                  <a:gd name="T10" fmla="*/ 2147483646 w 1450"/>
                                  <a:gd name="T11" fmla="*/ 0 h 7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0" h="749">
                                    <a:moveTo>
                                      <a:pt x="1306" y="0"/>
                                    </a:moveTo>
                                    <a:cubicBezTo>
                                      <a:pt x="512" y="0"/>
                                      <a:pt x="218" y="238"/>
                                      <a:pt x="0" y="321"/>
                                    </a:cubicBezTo>
                                    <a:cubicBezTo>
                                      <a:pt x="351" y="522"/>
                                      <a:pt x="628" y="749"/>
                                      <a:pt x="1291" y="749"/>
                                    </a:cubicBezTo>
                                    <a:cubicBezTo>
                                      <a:pt x="1450" y="749"/>
                                      <a:pt x="1446" y="749"/>
                                      <a:pt x="1446" y="749"/>
                                    </a:cubicBezTo>
                                    <a:cubicBezTo>
                                      <a:pt x="1446" y="0"/>
                                      <a:pt x="1446" y="0"/>
                                      <a:pt x="1446" y="0"/>
                                    </a:cubicBezTo>
                                    <a:lnTo>
                                      <a:pt x="1306"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19" descr="background"/>
                            <wps:cNvSpPr>
                              <a:spLocks/>
                            </wps:cNvSpPr>
                            <wps:spPr bwMode="auto">
                              <a:xfrm>
                                <a:off x="0" y="22702"/>
                                <a:ext cx="71170" cy="1422"/>
                              </a:xfrm>
                              <a:custGeom>
                                <a:avLst/>
                                <a:gdLst>
                                  <a:gd name="T0" fmla="*/ 2147483646 w 2203"/>
                                  <a:gd name="T1" fmla="*/ 2147483646 h 44"/>
                                  <a:gd name="T2" fmla="*/ 2147483646 w 2203"/>
                                  <a:gd name="T3" fmla="*/ 0 h 44"/>
                                  <a:gd name="T4" fmla="*/ 0 w 2203"/>
                                  <a:gd name="T5" fmla="*/ 0 h 44"/>
                                  <a:gd name="T6" fmla="*/ 0 w 2203"/>
                                  <a:gd name="T7" fmla="*/ 2147483646 h 44"/>
                                  <a:gd name="T8" fmla="*/ 2147483646 w 2203"/>
                                  <a:gd name="T9" fmla="*/ 2147483646 h 44"/>
                                  <a:gd name="T10" fmla="*/ 2147483646 w 2203"/>
                                  <a:gd name="T11" fmla="*/ 2147483646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3" h="44">
                                    <a:moveTo>
                                      <a:pt x="2203" y="38"/>
                                    </a:moveTo>
                                    <a:cubicBezTo>
                                      <a:pt x="2169" y="21"/>
                                      <a:pt x="2120" y="0"/>
                                      <a:pt x="2058" y="0"/>
                                    </a:cubicBezTo>
                                    <a:cubicBezTo>
                                      <a:pt x="0" y="0"/>
                                      <a:pt x="0" y="0"/>
                                      <a:pt x="0" y="0"/>
                                    </a:cubicBezTo>
                                    <a:cubicBezTo>
                                      <a:pt x="0" y="44"/>
                                      <a:pt x="0" y="44"/>
                                      <a:pt x="0" y="44"/>
                                    </a:cubicBezTo>
                                    <a:cubicBezTo>
                                      <a:pt x="2112" y="44"/>
                                      <a:pt x="2112" y="44"/>
                                      <a:pt x="2112" y="44"/>
                                    </a:cubicBezTo>
                                    <a:cubicBezTo>
                                      <a:pt x="2112" y="44"/>
                                      <a:pt x="2193" y="40"/>
                                      <a:pt x="2203" y="38"/>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20" descr="background"/>
                            <wps:cNvSpPr>
                              <a:spLocks/>
                            </wps:cNvSpPr>
                            <wps:spPr bwMode="auto">
                              <a:xfrm>
                                <a:off x="71102" y="22702"/>
                                <a:ext cx="22644" cy="2838"/>
                              </a:xfrm>
                              <a:custGeom>
                                <a:avLst/>
                                <a:gdLst>
                                  <a:gd name="T0" fmla="*/ 2147483646 w 701"/>
                                  <a:gd name="T1" fmla="*/ 0 h 88"/>
                                  <a:gd name="T2" fmla="*/ 0 w 701"/>
                                  <a:gd name="T3" fmla="*/ 2147483646 h 88"/>
                                  <a:gd name="T4" fmla="*/ 2147483646 w 701"/>
                                  <a:gd name="T5" fmla="*/ 2147483646 h 88"/>
                                  <a:gd name="T6" fmla="*/ 2147483646 w 701"/>
                                  <a:gd name="T7" fmla="*/ 2147483646 h 88"/>
                                  <a:gd name="T8" fmla="*/ 2147483646 w 701"/>
                                  <a:gd name="T9" fmla="*/ 0 h 88"/>
                                  <a:gd name="T10" fmla="*/ 2147483646 w 701"/>
                                  <a:gd name="T11" fmla="*/ 0 h 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1" h="88">
                                    <a:moveTo>
                                      <a:pt x="153" y="0"/>
                                    </a:moveTo>
                                    <a:cubicBezTo>
                                      <a:pt x="60" y="0"/>
                                      <a:pt x="26" y="28"/>
                                      <a:pt x="0" y="38"/>
                                    </a:cubicBezTo>
                                    <a:cubicBezTo>
                                      <a:pt x="41" y="61"/>
                                      <a:pt x="74" y="88"/>
                                      <a:pt x="151" y="88"/>
                                    </a:cubicBezTo>
                                    <a:cubicBezTo>
                                      <a:pt x="701" y="88"/>
                                      <a:pt x="701" y="88"/>
                                      <a:pt x="701" y="88"/>
                                    </a:cubicBezTo>
                                    <a:cubicBezTo>
                                      <a:pt x="701" y="0"/>
                                      <a:pt x="701" y="0"/>
                                      <a:pt x="701" y="0"/>
                                    </a:cubicBez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22" descr="background"/>
                            <wps:cNvSpPr>
                              <a:spLocks/>
                            </wps:cNvSpPr>
                            <wps:spPr bwMode="auto">
                              <a:xfrm>
                                <a:off x="0" y="18445"/>
                                <a:ext cx="60090" cy="2807"/>
                              </a:xfrm>
                              <a:custGeom>
                                <a:avLst/>
                                <a:gdLst>
                                  <a:gd name="T0" fmla="*/ 2147483646 w 1860"/>
                                  <a:gd name="T1" fmla="*/ 2147483646 h 87"/>
                                  <a:gd name="T2" fmla="*/ 2147483646 w 1860"/>
                                  <a:gd name="T3" fmla="*/ 2147483646 h 87"/>
                                  <a:gd name="T4" fmla="*/ 2147483646 w 1860"/>
                                  <a:gd name="T5" fmla="*/ 0 h 87"/>
                                  <a:gd name="T6" fmla="*/ 0 w 1860"/>
                                  <a:gd name="T7" fmla="*/ 0 h 87"/>
                                  <a:gd name="T8" fmla="*/ 0 w 1860"/>
                                  <a:gd name="T9" fmla="*/ 2147483646 h 87"/>
                                  <a:gd name="T10" fmla="*/ 2147483646 w 1860"/>
                                  <a:gd name="T11" fmla="*/ 2147483646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60" h="87">
                                    <a:moveTo>
                                      <a:pt x="1707" y="87"/>
                                    </a:moveTo>
                                    <a:cubicBezTo>
                                      <a:pt x="1800" y="87"/>
                                      <a:pt x="1834" y="59"/>
                                      <a:pt x="1860" y="50"/>
                                    </a:cubicBezTo>
                                    <a:cubicBezTo>
                                      <a:pt x="1819" y="26"/>
                                      <a:pt x="1786" y="0"/>
                                      <a:pt x="1709" y="0"/>
                                    </a:cubicBezTo>
                                    <a:cubicBezTo>
                                      <a:pt x="0" y="0"/>
                                      <a:pt x="0" y="0"/>
                                      <a:pt x="0" y="0"/>
                                    </a:cubicBezTo>
                                    <a:cubicBezTo>
                                      <a:pt x="0" y="87"/>
                                      <a:pt x="0" y="87"/>
                                      <a:pt x="0" y="87"/>
                                    </a:cubicBezTo>
                                    <a:lnTo>
                                      <a:pt x="170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65D79B18" id="Group 103" o:spid="_x0000_s1026" alt="background" style="position:absolute;margin-left:-116.35pt;margin-top:40.15pt;width:738.7pt;height:797.35pt;z-index:-251652096" coordorigin="-827,918" coordsize="14774,159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">
                <v:group id="Group 99" o:spid="_x0000_s1027" style="position:absolute;left:-262;top:918;width:12749;height:1610"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group id="Group 81" o:spid="_x0000_s1028" style="position:absolute;width:80962;height:10223" coordorigin="254,226"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Freeform 70" o:spid="_x0000_s1029" alt="background"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0Vnr8A&#10;AADcAAAADwAAAGRycy9kb3ducmV2LnhtbERPy6rCMBDdX/AfwgjurqkuRKpRRBC70XJ97IdmbIvN&#10;pCRRq19vLgju5nCeM192phF3cr62rGA0TEAQF1bXXCo4HTe/UxA+IGtsLJOCJ3lYLno/c0y1ffAf&#10;3Q+hFDGEfYoKqhDaVEpfVGTQD21LHLmLdQZDhK6U2uEjhptGjpNkIg3WHBsqbGldUXE93IyCfb5/&#10;5WdT7HK7ba7nHWWnzmVKDfrdagYiUBe+4o8703F+MoL/Z+IFcvE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jRWevwAAANwAAAAPAAAAAAAAAAAAAAAAAJgCAABkcnMvZG93bnJl&#10;di54bWxQSwUGAAAAAAQABAD1AAAAhAMAAAAA&#10;" path="m2488,21v-204,,-204,,-204,c1994,21,1887,107,1808,137v97,81,229,176,470,176c2336,313,2488,313,2488,313v,-292,,-292,,-292m1354,c,,,,,,,157,,157,,157v1524,,1524,,1524,c1709,157,1769,152,1808,137v,,,,,c1808,137,1808,137,1808,137,1710,57,1548,,1354,e" fillcolor="#007e9a [2404]" stroked="f">
                      <v:path arrowok="t" o:connecttype="custom" o:connectlocs="2147483646,2147483646;2147483646,2147483646;2147483646,2147483646;2147483646,2147483646;2147483646,2147483646;2147483646,2147483646;2147483646,0;0,0;0,2147483646;2147483646,2147483646;2147483646,2147483646;2147483646,2147483646;2147483646,2147483646;2147483646,0" o:connectangles="0,0,0,0,0,0,0,0,0,0,0,0,0,0"/>
                      <o:lock v:ext="edit" verticies="t"/>
                    </v:shape>
                    <v:shape id="Freeform 71" o:spid="_x0000_s1030" alt="background" style="position:absolute;left:254;top:912;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VgHL0A&#10;AADcAAAADwAAAGRycy9kb3ducmV2LnhtbERPSwrCMBDdC94hjOBGNNWFSG0UEQS3VhGXQzP9aDMp&#10;TdTq6Y0guJvH+06y7kwtHtS6yrKC6SQCQZxZXXGh4HTcjRcgnEfWWFsmBS9ysF71ewnG2j75QI/U&#10;FyKEsItRQel9E0vpspIMuoltiAOX29agD7AtpG7xGcJNLWdRNJcGKw4NJTa0LSm7pXej4HLepy7v&#10;rtuTy9PNm2+juV7clRoOus0ShKfO/8U/916H+dEMvs+EC+Tq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SVgHL0AAADcAAAADwAAAAAAAAAAAAAAAACYAgAAZHJzL2Rvd25yZXYu&#10;eG1sUEsFBgAAAAAEAAQA9QAAAIIDAAAAAA==&#10;" path="m1808,116c1698,54,1548,,1354,,,,,,,,,136,,136,,136v1524,,1524,,1524,c1709,136,1769,131,1808,116e" fillcolor="#00313c [3205]" stroked="f">
                      <v:path arrowok="t" o:connecttype="custom" o:connectlocs="2147483646,2147483646;2147483646,0;0,0;0,2147483646;2147483646,2147483646;2147483646,2147483646" o:connectangles="0,0,0,0,0,0"/>
                    </v:shape>
                    <v:group id="Group 105" o:spid="_x0000_s1031"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Freeform 72" o:spid="_x0000_s1032" alt="background"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O5wMMA&#10;AADcAAAADwAAAGRycy9kb3ducmV2LnhtbERPTWsCMRC9F/wPYYTealYpVVejiKVUqBe1th7HZNxd&#10;3UyWTarrvzeC0Ns83ueMp40txZlqXzhW0O0kIIi1MwVnCr43Hy8DED4gGywdk4IreZhOWk9jTI27&#10;8IrO65CJGMI+RQV5CFUqpdc5WfQdVxFH7uBqiyHCOpOmxksMt6XsJcmbtFhwbMixonlO+rT+swr0&#10;5+/qtNM/Q7+cvS829mu/Pfq+Us/tZjYCEagJ/+KHe2Hi/OQV7s/EC+Tk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O5wMMAAADcAAAADwAAAAAAAAAAAAAAAACYAgAAZHJzL2Rv&#10;d25yZXYueG1sUEsFBgAAAAAEAAQA9QAAAIgDAAAAAA==&#10;" path="m32,c31,8,29,15,26,22v-6,,-6,,-6,c17,9,17,9,17,9,16,7,16,7,16,7v,,,,,c15,9,15,9,15,9,12,22,12,22,12,22v-6,,-6,,-6,c3,15,1,8,,,5,,5,,5,,6,5,7,9,8,13v1,1,1,3,1,4c9,17,9,17,9,17v1,-4,1,-4,1,-4c13,,13,,13,v6,,6,,6,c23,14,23,14,23,14v,3,,3,,3c23,17,23,17,23,17v1,-1,1,-3,1,-4c25,9,26,5,27,r5,xe" fillcolor="#00a9ce [3204]" stroked="f">
                        <v:path arrowok="t" o:connecttype="custom" o:connectlocs="2147483646,0;2147483646,2147483646;2147483646,2147483646;2147483646,2147483646;2147483646,2147483646;2147483646,2147483646;2147483646,2147483646;2147483646,2147483646;2147483646,2147483646;0,0;2147483646,0;2147483646,2147483646;2147483646,2147483646;2147483646,2147483646;2147483646,2147483646;2147483646,0;2147483646,0;2147483646,2147483646;2147483646,2147483646;2147483646,2147483646;2147483646,2147483646;2147483646,0;2147483646,0" o:connectangles="0,0,0,0,0,0,0,0,0,0,0,0,0,0,0,0,0,0,0,0,0,0,0"/>
                      </v:shape>
                      <v:shape id="Freeform 73" o:spid="_x0000_s1033" alt="background"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1IsIA&#10;AADcAAAADwAAAGRycy9kb3ducmV2LnhtbERP22qDQBB9L/Qflin0ra4NNCnWNZSWiOBLYvoBgzte&#10;qDsr7kbN32cDhb7N4Vwn3a9mEDNNrres4DWKQRDXVvfcKvg5H17eQTiPrHGwTAqu5GCfPT6kmGi7&#10;8InmyrcihLBLUEHn/ZhI6eqODLrIjsSBa+xk0Ac4tVJPuIRwM8hNHG+lwZ5DQ4cjfXVU/1YXo2DX&#10;ylO5zYvVFos8fF/LpsyPjVLPT+vnBwhPq/8X/7kLHebHb3B/Jlwgs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8bUiwgAAANwAAAAPAAAAAAAAAAAAAAAAAJgCAABkcnMvZG93&#10;bnJldi54bWxQSwUGAAAAAAQABAD1AAAAhwMAAAAA&#10;" path="m33,c31,8,29,15,26,22v-6,,-6,,-6,c17,9,17,9,17,9,16,7,16,7,16,7v,,,,,c16,9,16,9,16,9,12,22,12,22,12,22v-6,,-6,,-6,c4,15,1,8,,,5,,5,,5,,6,5,7,9,9,13v,1,,3,,4c9,17,9,17,9,17v1,-4,1,-4,1,-4c14,,14,,14,v5,,5,,5,c23,14,23,14,23,14v1,3,1,3,1,3c24,17,24,17,24,17v,-1,,-3,1,-4c26,9,27,5,28,r5,xe" fillcolor="#00a9ce [3204]" stroked="f">
                        <v:path arrowok="t" o:connecttype="custom" o:connectlocs="2147483646,0;2147483646,2147483646;2147483646,2147483646;2147483646,2147483646;2147483646,2147483646;2147483646,2147483646;2147483646,2147483646;2147483646,2147483646;2147483646,2147483646;0,0;2147483646,0;2147483646,2147483646;2147483646,2147483646;2147483646,2147483646;2147483646,2147483646;2147483646,0;2147483646,0;2147483646,2147483646;2147483646,2147483646;2147483646,2147483646;2147483646,2147483646;2147483646,0;2147483646,0" o:connectangles="0,0,0,0,0,0,0,0,0,0,0,0,0,0,0,0,0,0,0,0,0,0,0"/>
                      </v:shape>
                      <v:shape id="Freeform 74" o:spid="_x0000_s1034" alt="background"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rVcEA&#10;AADcAAAADwAAAGRycy9kb3ducmV2LnhtbERPS2rDMBDdB3IHMYHsYjlduMW1EkJCgsGb2u0BBmv8&#10;odbIWGrs3D4qFLqbx/tOdlzMIO40ud6ygn0UgyCure65VfD1ed29gXAeWeNgmRQ8yMHxsF5lmGo7&#10;c0n3yrcihLBLUUHn/ZhK6eqODLrIjsSBa+xk0Ac4tVJPOIdwM8iXOE6kwZ5DQ4cjnTuqv6sfo+C1&#10;lWWR3PLF5rO8Xh5FU9w+GqW2m+X0DsLT4v/Ff+5ch/lxAr/PhAvk4Q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jK1XBAAAA3AAAAA8AAAAAAAAAAAAAAAAAmAIAAGRycy9kb3du&#10;cmV2LnhtbFBLBQYAAAAABAAEAPUAAACGAwAAAAA=&#10;" path="m33,c31,8,29,15,27,22v-6,,-6,,-6,c17,9,17,9,17,9,16,7,16,7,16,7v,,,,,c16,9,16,9,16,9,13,22,13,22,13,22v-7,,-7,,-7,c4,15,2,8,,,6,,6,,6,,7,5,8,9,9,13v,1,,3,1,4c10,17,10,17,10,17v1,-4,1,-4,1,-4c14,,14,,14,v5,,5,,5,c23,14,23,14,23,14v1,3,1,3,1,3c24,17,24,17,24,17v,-1,1,-3,1,-4c26,9,27,5,28,r5,xe" fillcolor="#00a9ce [3204]" stroked="f">
                        <v:path arrowok="t" o:connecttype="custom" o:connectlocs="2147483646,0;2147483646,2147483646;2147483646,2147483646;2147483646,2147483646;2147483646,2147483646;2147483646,2147483646;2147483646,2147483646;2147483646,2147483646;2147483646,2147483646;0,0;2147483646,0;2147483646,2147483646;2147483646,2147483646;2147483646,2147483646;2147483646,2147483646;2147483646,0;2147483646,0;2147483646,2147483646;2147483646,2147483646;2147483646,2147483646;2147483646,2147483646;2147483646,0;2147483646,0" o:connectangles="0,0,0,0,0,0,0,0,0,0,0,0,0,0,0,0,0,0,0,0,0,0,0"/>
                      </v:shape>
                      <v:oval id="Oval 75" o:spid="_x0000_s1035" alt="background"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ccD8MA&#10;AADcAAAADwAAAGRycy9kb3ducmV2LnhtbERPTU/CQBC9k/gfNkPiDXbxoKSwEDFqvGhoIcbj2B3a&#10;hu5s0x2h/nvXhITbvLzPWa4H36oT9bEJbGE2NaCIy+Aarizsdy+TOagoyA7bwGThlyKsVzejJWYu&#10;nDmnUyGVSiEcM7RQi3SZ1rGsyWOcho44cYfQe5QE+0q7Hs8p3Lf6zph77bHh1FBjR081lcfix1t4&#10;P26eD2b/+bHtxORfrz4fvmVj7e14eFyAEhrkKr6431yabx7g/5l0gV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ccD8MAAADcAAAADwAAAAAAAAAAAAAAAACYAgAAZHJzL2Rv&#10;d25yZXYueG1sUEsFBgAAAAAEAAQA9QAAAIgDAAAAAA==&#10;" fillcolor="#00a9ce [3204]" stroked="f"/>
                      <v:shape id="Freeform 76" o:spid="_x0000_s1036" alt="background"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qUZcUA&#10;AADcAAAADwAAAGRycy9kb3ducmV2LnhtbESPTUsDMRCG70L/Q5iCF7FJpVhZm5ZSEAoWpdWDx2Ez&#10;7i5uJtsk3W77652D4G2GeT+eWawG36qeYmoCW5hODCjiMriGKwufHy/3T6BSRnbYBiYLF0qwWo5u&#10;Fli4cOY99YdcKQnhVKCFOueu0DqVNXlMk9ARy+07RI9Z1lhpF/Es4b7VD8Y8ao8NS0ONHW1qKn8O&#10;Jy8lX7v+zWB8v255Rvo4P6XX7s7a2/GwfgaVacj/4j/31gm+EVp5Ri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pRlxQAAANwAAAAPAAAAAAAAAAAAAAAAAJgCAABkcnMv&#10;ZG93bnJldi54bWxQSwUGAAAAAAQABAD1AAAAigMAAAAA&#10;" path="m17,21v-3,1,-5,1,-7,1c3,22,,18,,12,,4,5,,11,v2,,4,,5,1c15,5,15,5,15,5,14,5,13,4,11,4,8,4,6,7,6,11v,5,2,7,5,7c13,18,14,18,16,17r1,4xe" fillcolor="#00a9ce [3204]" stroked="f">
                        <v:path arrowok="t" o:connecttype="custom" o:connectlocs="2147483646,2147483646;2147483646,2147483646;0,2147483646;2147483646,0;2147483646,2147483646;2147483646,2147483646;2147483646,2147483646;2147483646,2147483646;2147483646,2147483646;2147483646,2147483646;2147483646,2147483646" o:connectangles="0,0,0,0,0,0,0,0,0,0,0"/>
                      </v:shape>
                      <v:shape id="Freeform 77" o:spid="_x0000_s1037" alt="background"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oTsMA&#10;AADcAAAADwAAAGRycy9kb3ducmV2LnhtbERPTWvCQBC9C/0PyxS86aZCtY1upBQKPeghSel5zE6T&#10;kOxs2N3G6K93CwVv83ifs9tPphcjOd9aVvC0TEAQV1a3XCv4Kj8WLyB8QNbYWyYFF/Kwzx5mO0y1&#10;PXNOYxFqEUPYp6igCWFIpfRVQwb90g7EkfuxzmCI0NVSOzzHcNPLVZKspcGWY0ODA703VHXFr1Gw&#10;3tROfufH6fTcHVZV4cZrXkql5o/T2xZEoCncxf/uTx3nJ6/w90y8QG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voTsMAAADcAAAADwAAAAAAAAAAAAAAAACYAgAAZHJzL2Rv&#10;d25yZXYueG1sUEsFBgAAAAAEAAQA9QAAAIgDAAAAAA==&#10;" path="m7,23c5,23,3,22,,22,1,17,1,17,1,17v2,1,4,1,6,1c9,18,10,18,10,16,10,15,9,14,6,13,3,12,1,10,1,7,1,3,4,,9,v2,,4,,5,1c14,5,14,5,14,5,12,4,11,4,9,4,7,4,6,5,6,6v,2,1,2,4,3c14,10,16,12,16,15v,5,-4,8,-9,8xe" fillcolor="#00a9ce [3204]" stroked="f">
                        <v:path arrowok="t" o:connecttype="custom" o:connectlocs="2147483646,2147483646;0,2147483646;2147483646,2147483646;2147483646,2147483646;2147483646,2147483646;2147483646,2147483646;2147483646,2147483646;2147483646,0;2147483646,2147483646;2147483646,2147483646;2147483646,2147483646;2147483646,2147483646;2147483646,2147483646;2147483646,2147483646;2147483646,2147483646" o:connectangles="0,0,0,0,0,0,0,0,0,0,0,0,0,0,0"/>
                      </v:shape>
                      <v:shape id="Freeform 78" o:spid="_x0000_s1038" alt="background"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AjY8cA&#10;AADcAAAADwAAAGRycy9kb3ducmV2LnhtbESPS0/DQAyE70j8h5UrcaOb8mghdFvxEIILqmh76c3K&#10;uklE1huyJgn8enxA4mZrxjOfl+sxNKanLtWRHcymGRjiIvqaSwf73fP5DZgkyB6byOTgmxKsV6cn&#10;S8x9HPid+q2URkM45eigEmlza1NRUcA0jS2xasfYBRRdu9L6DgcND429yLK5DVizNlTY0mNFxcf2&#10;Kzh44MXL8HQZNz9ynV1Jf3j73C1unTubjPd3YIRG+Tf/Xb96xZ8pvj6jE9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gI2PHAAAA3AAAAA8AAAAAAAAAAAAAAAAAmAIAAGRy&#10;cy9kb3ducmV2LnhtbFBLBQYAAAAABAAEAPUAAACMAwAAAAA=&#10;" path="m3,31c3,13,3,13,3,13,,13,,13,,13,,9,,9,,9v8,,8,,8,c8,31,8,31,8,31r-5,xm6,6c4,6,2,5,2,3,2,1,4,,6,,8,,9,1,9,3,9,5,8,6,6,6xe" fillcolor="#00a9ce [3204]" stroked="f">
                        <v:path arrowok="t" o:connecttype="custom" o:connectlocs="2147483646,2147483646;2147483646,2147483646;0,2147483646;0,2147483646;2147483646,2147483646;2147483646,2147483646;2147483646,2147483646;2147483646,2147483646;2147483646,2147483646;2147483646,0;2147483646,2147483646;2147483646,2147483646" o:connectangles="0,0,0,0,0,0,0,0,0,0,0,0"/>
                        <o:lock v:ext="edit" verticies="t"/>
                      </v:shape>
                      <v:shape id="Freeform 79" o:spid="_x0000_s1039" alt="background"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Iz0MEA&#10;AADcAAAADwAAAGRycy9kb3ducmV2LnhtbERPTYvCMBC9C/6HMMJeRNOqiFSjuOKChz3Y6sHj0Ixt&#10;sZmUJqv13xthwds83uesNp2pxZ1aV1lWEI8jEMS51RUXCs6nn9EChPPIGmvLpOBJDjbrfm+FibYP&#10;Tume+UKEEHYJKii9bxIpXV6SQTe2DXHgrrY16ANsC6lbfIRwU8tJFM2lwYpDQ4kN7UrKb9mfUZBm&#10;s+lvdPxeTPGa0p5S2s0uQ6W+Bt12CcJT5z/if/dBh/lxDO9nwgV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SM9DBAAAA3AAAAA8AAAAAAAAAAAAAAAAAmAIAAGRycy9kb3du&#10;cmV2LnhtbFBLBQYAAAAABAAEAPUAAACGAwAAAAA=&#10;" path="m12,5v,,-1,,-2,c9,5,7,6,5,9v,13,,13,,13c,22,,22,,22,,,,,,,4,,4,,4,,5,4,5,4,5,4,7,1,8,,10,v1,,2,,3,l12,5xe" fillcolor="#00a9ce [3204]" stroked="f">
                        <v:path arrowok="t" o:connecttype="custom" o:connectlocs="2147483646,2147483646;2147483646,2147483646;2147483646,2147483646;2147483646,2147483646;0,2147483646;0,0;2147483646,0;2147483646,2147483646;2147483646,0;2147483646,0;2147483646,2147483646" o:connectangles="0,0,0,0,0,0,0,0,0,0,0"/>
                      </v:shape>
                      <v:shape id="Freeform 80" o:spid="_x0000_s1040" alt="background"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11DMIA&#10;AADcAAAADwAAAGRycy9kb3ducmV2LnhtbERPTWvCQBC9F/oflin0Vjd6EImuUoVSL4JaCT0O2Umy&#10;bXY2ZEdN++u7gtDbPN7nLFaDb9WF+ugCGxiPMlDEZbCOawOnj7eXGagoyBbbwGTghyKslo8PC8xt&#10;uPKBLkepVQrhmKOBRqTLtY5lQx7jKHTEiatC71ES7Gtte7ymcN/qSZZNtUfHqaHBjjYNld/Hszew&#10;f9fVvhB0n1idp9X6a+d+CzHm+Wl4nYMSGuRffHdvbZo/nsDtmXSBX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XUMwgAAANwAAAAPAAAAAAAAAAAAAAAAAJgCAABkcnMvZG93&#10;bnJldi54bWxQSwUGAAAAAAQABAD1AAAAhwMAAAAA&#10;" path="m11,23c3,23,,18,,12,,4,4,,11,v7,,11,4,11,11c22,18,18,23,11,23xm11,4c7,4,5,7,5,11v,4,2,7,6,7c15,18,16,15,16,11,16,7,15,4,11,4xe" fillcolor="#00a9ce [3204]" stroked="f">
                        <v:path arrowok="t" o:connecttype="custom" o:connectlocs="2147483646,2147483646;0,2147483646;2147483646,0;2147483646,2147483646;2147483646,2147483646;2147483646,2147483646;2147483646,2147483646;2147483646,2147483646;2147483646,2147483646;2147483646,2147483646" o:connectangles="0,0,0,0,0,0,0,0,0,0"/>
                        <o:lock v:ext="edit" verticies="t"/>
                      </v:shape>
                      <v:oval id="Oval 81" o:spid="_x0000_s1041" alt="background"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WM0cMA&#10;AADcAAAADwAAAGRycy9kb3ducmV2LnhtbERPTWvCQBC9F/oflhF6q7u2ICW6ipa29KI0VsTjmB2T&#10;YHY2ZKea/vuuIPQ2j/c503nvG3WmLtaBLYyGBhRxEVzNpYXt9/vjC6goyA6bwGThlyLMZ/d3U8xc&#10;uHBO542UKoVwzNBCJdJmWseiIo9xGFrixB1D51ES7ErtOrykcN/oJ2PG2mPNqaHCll4rKk6bH29h&#10;dVq+Hc12t/5qxeT7D5/3B1la+zDoFxNQQr38i2/uT5fmj57h+ky6Q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WM0cMAAADcAAAADwAAAAAAAAAAAAAAAACYAgAAZHJzL2Rv&#10;d25yZXYueG1sUEsFBgAAAAAEAAQA9QAAAIgDAAAAAA==&#10;" fillcolor="#00a9ce [3204]" stroked="f"/>
                      <v:shape id="Freeform 82" o:spid="_x0000_s1042" alt="background"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zd8QA&#10;AADcAAAADwAAAGRycy9kb3ducmV2LnhtbESPQW/CMAyF75P4D5GRdhtJYRqoNEUIDW3HrXCAm9WY&#10;tqJxqiaD7N8vkybtZus9v++52ETbixuNvnOsIZspEMS1Mx03Go6H/dMKhA/IBnvHpOGbPGzKyUOB&#10;uXF3/qRbFRqRQtjnqKENYcil9HVLFv3MDcRJu7jRYkjr2Egz4j2F217OlXqRFjtOhBYH2rVUX6sv&#10;m7iqyt7Uji/Z68Iu1XEZP07nqPXjNG7XIALF8G/+u343qX72DL/PpAlk+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X83fEAAAA3AAAAA8AAAAAAAAAAAAAAAAAmAIAAGRycy9k&#10;b3ducmV2LnhtbFBLBQYAAAAABAAEAPUAAACJAwAAAAA=&#10;" path="m14,22v,-2,,-2,,-2c12,22,10,23,7,23,2,23,,20,,16,,11,4,9,10,9v3,,3,,3,c13,8,13,8,13,8,13,5,12,4,8,4,6,4,4,4,2,5,1,1,1,1,1,1,3,,6,,9,v7,,9,3,9,7c18,22,18,22,18,22r-4,xm13,12v-3,,-3,,-3,c7,12,5,14,5,16v,1,1,3,3,3c10,19,12,18,13,17r,-5xe" fillcolor="#00a9ce [3204]" stroked="f">
                        <v:path arrowok="t" o:connecttype="custom" o:connectlocs="2147483646,2147483646;2147483646,2147483646;2147483646,2147483646;0,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 o:connectangles="0,0,0,0,0,0,0,0,0,0,0,0,0,0,0,0,0,0,0,0"/>
                        <o:lock v:ext="edit" verticies="t"/>
                      </v:shape>
                      <v:shape id="Freeform 83" o:spid="_x0000_s1043" alt="background"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LHtcMA&#10;AADcAAAADwAAAGRycy9kb3ducmV2LnhtbERPS2rDMBDdF3IHMYXsajkNbotjOYSShFK8adIDTKzx&#10;h1ojYym2c/uoUOhuHu872XY2nRhpcK1lBasoBkFcWt1yreD7fHh6A+E8ssbOMim4kYNtvnjIMNV2&#10;4i8aT74WIYRdigoa7/tUSlc2ZNBFticOXGUHgz7AoZZ6wCmEm04+x/GLNNhyaGiwp/eGyp/T1Sh4&#10;XU+fh5ZmO17L81gd90VyiQullo/zbgPC0+z/xX/uDx3mrxL4fSZcI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LHtcMAAADcAAAADwAAAAAAAAAAAAAAAACYAgAAZHJzL2Rv&#10;d25yZXYueG1sUEsFBgAAAAAEAAQA9QAAAIgDAAAAAA==&#10;" path="m15,22v,-3,,-3,,-3c12,22,10,23,7,23,2,23,,19,,14,,,,,,,5,,5,,5,v,13,,13,,13c5,16,6,18,9,18v2,,3,-1,5,-3c14,,14,,14,v5,,5,,5,c19,22,19,22,19,22r-4,xe" fillcolor="#00a9ce [3204]" stroked="f">
                        <v:path arrowok="t" o:connecttype="custom" o:connectlocs="2147483646,2147483646;2147483646,2147483646;2147483646,2147483646;0,2147483646;0,0;2147483646,0;2147483646,2147483646;2147483646,2147483646;2147483646,2147483646;2147483646,0;2147483646,0;2147483646,2147483646;2147483646,2147483646" o:connectangles="0,0,0,0,0,0,0,0,0,0,0,0,0"/>
                      </v:shape>
                    </v:group>
                    <v:shape id="Freeform 84" o:spid="_x0000_s1044"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4s9b4A&#10;AADcAAAADwAAAGRycy9kb3ducmV2LnhtbERPS4vCMBC+C/6HMMLebOrCFukaRQShe9iDj70PzdiU&#10;NpOSRK3/3iwI3ubje85qM9pe3MiH1rGCRZaDIK6dbrlRcD7t50sQISJr7B2TggcF2KynkxWW2t35&#10;QLdjbEQK4VCiAhPjUEoZakMWQ+YG4sRdnLcYE/SN1B7vKdz28jPPC2mx5dRgcKCdobo7Xq2C+NW7&#10;Sv9Z31W/P2NlumLLhEp9zMbtN4hIY3yLX+5Kp/mLAv6fSRfI9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N+LPW+AAAA3AAAAA8AAAAAAAAAAAAAAAAAmAIAAGRycy9kb3ducmV2&#10;LnhtbFBLBQYAAAAABAAEAPUAAACDAwAAAAA=&#10;" path="m476,c186,,79,86,,116v128,73,229,156,470,156c528,272,680,272,680,272,680,,680,,680,l476,xe" fillcolor="white [3212]" stroked="f">
                      <v:path arrowok="t" o:connecttype="custom" o:connectlocs="2147483646,0;0,2147483646;2147483646,2147483646;2147483646,2147483646;2147483646,0;2147483646,0" o:connectangles="0,0,0,0,0,0"/>
                    </v:shape>
                    <v:shape id="Freeform 104" o:spid="_x0000_s1045" alt="background"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pBIsMA&#10;AADcAAAADwAAAGRycy9kb3ducmV2LnhtbERP22rCQBB9L/Qflin0rdnVh9qmbqQVDAqKGPsBQ3Zy&#10;odnZkF01+vXdgtC3OZzrzBej7cSZBt861jBJFAji0pmWaw3fx9XLGwgfkA12jknDlTwssseHOabG&#10;XfhA5yLUIoawT1FDE0KfSunLhiz6xPXEkavcYDFEONTSDHiJ4baTU6VepcWWY0ODPS0bKn+Kk9Ww&#10;cauNer997bbVssjVNuT5cW+1fn4aPz9ABBrDv/juXps4fzKDv2fiB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pBIsMAAADcAAAADwAAAAAAAAAAAAAAAACYAgAAZHJzL2Rv&#10;d25yZXYueG1sUEsFBgAAAAAEAAQA9QAAAIgDAAAAAA==&#10;" adj="-11796480,,5400" path="m476,c186,,79,86,,116v128,73,229,156,470,156c528,272,680,272,680,272,680,,680,,680,l476,xe" fillcolor="white [3212]" stroked="f">
                      <v:stroke joinstyle="miter"/>
                      <v:formulas/>
                      <v:path arrowok="t" o:connecttype="custom" o:connectlocs="2147483646,0;0,2147483646;2147483646,2147483646;2147483646,2147483646;2147483646,0;2147483646,0" o:connectangles="0,0,0,0,0,0" textboxrect="0,0,680,272"/>
                      <v:textbox>
                        <w:txbxContent>
                          <w:p w14:paraId="2E406B76" w14:textId="77777777" w:rsidR="00BC0590" w:rsidRPr="007367A7" w:rsidRDefault="00BC0590" w:rsidP="00144B4F">
                            <w:pPr>
                              <w:rPr>
                                <w:rFonts w:eastAsia="Times New Roman"/>
                                <w:color w:val="00A9CE" w:themeColor="accent1"/>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46" type="#_x0000_t75" alt="CSIRO logo" style="position:absolute;left:65836;top:863;width:8941;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s3N/GAAAA3AAAAA8AAABkcnMvZG93bnJldi54bWxEj0FPAjEQhe8k/odmTLxBFw+AK4UYExNj&#10;lhjQA97G7bDduJ2u2wrl3zMHE24zeW/e+2a5zr5TRxpiG9jAdFKAIq6Dbbkx8PnxMl6AignZYheY&#10;DJwpwnp1M1piacOJt3TcpUZJCMcSDbiU+lLrWDvyGCehJxbtEAaPSdah0XbAk4T7Tt8XxUx7bFka&#10;HPb07Kj+2f15A9/Vb7ffh4fZu8ubjF9v1WHOlTF3t/npEVSinK7m/+tXK/hToZVnZAK9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6zc38YAAADcAAAADwAAAAAAAAAAAAAA&#10;AACfAgAAZHJzL2Rvd25yZXYueG1sUEsFBgAAAAAEAAQA9wAAAJIDAAAAAA==&#10;">
                    <v:imagedata r:id="rId8" o:title="CSIRO logo"/>
                    <v:path arrowok="t"/>
                  </v:shape>
                </v:group>
                <v:group id="Group 69" o:spid="_x0000_s1047" style="position:absolute;left:-827;top:10206;width:14774;height:6659" coordsize="93818,4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rect id="Rectangle 68" o:spid="_x0000_s1048" style="position:absolute;left:5257;top:10287;width:75990;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p8m8UA&#10;AADcAAAADwAAAGRycy9kb3ducmV2LnhtbESPQW/CMAyF70j8h8iTdoN0TIypNCA0bYjtBqycrcZr&#10;qzVO16RQ/j0+TOJm6z2/9zlbD65RZ+pC7dnA0zQBRVx4W3Np4Pv4MXkFFSKyxcYzGbhSgPVqPMow&#10;tf7CezofYqkkhEOKBqoY21TrUFTkMEx9Syzaj+8cRlm7UtsOLxLuGj1LkhftsGZpqLClt4qK30Pv&#10;DPTzxef7cPrbPudJvvjKm/kubltjHh+GzRJUpCHezf/XOyv4M8GXZ2QCv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nybxQAAANwAAAAPAAAAAAAAAAAAAAAAAJgCAABkcnMv&#10;ZG93bnJldi54bWxQSwUGAAAAAAQABAD1AAAAigMAAAAA&#10;" fillcolor="white [3212]" stroked="f" strokeweight="2pt"/>
                  <v:group id="Group 67" o:spid="_x0000_s1049" style="position:absolute;width:93818;height:26426" coordsize="93818,26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Freeform 115" o:spid="_x0000_s1050" alt="background" style="position:absolute;width:47104;height:12071;visibility:visible;mso-wrap-style:square;v-text-anchor:top" coordsize="1458,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vmyMMA&#10;AADcAAAADwAAAGRycy9kb3ducmV2LnhtbERPTUsDMRC9C/0PYQRvNmsOItumpbhUPQhqaz0Pm+lm&#10;62ayJNnt+u+NIPQ2j/c5y/XkOjFSiK1nDXfzAgRx7U3LjYbP/fb2AURMyAY7z6ThhyKsV7OrJZbG&#10;n/mDxl1qRA7hWKIGm1JfShlrSw7j3PfEmTv64DBlGBppAp5zuOukKop76bDl3GCxp0dL9fducBpC&#10;VPbtuToc1XB6eh8PQ/X1OlRa31xPmwWIRFO6iP/dLybPVwr+ns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vmyMMAAADcAAAADwAAAAAAAAAAAAAAAACYAgAAZHJzL2Rv&#10;d25yZXYueG1sUEsFBgAAAAAEAAQA9QAAAIgDAAAAAA==&#10;" path="m1458,321c1158,150,746,,214,,,,,,,,,374,,374,,374v680,,680,,680,c1186,374,1351,362,1458,321e" fillcolor="#00313c [3205]" stroked="f">
                      <v:path arrowok="t" o:connecttype="custom" o:connectlocs="2147483646,2147483646;2147483646,0;0,0;0,2147483646;2147483646,2147483646;2147483646,2147483646" o:connectangles="0,0,0,0,0,0"/>
                    </v:shape>
                    <v:shape id="Freeform 116" o:spid="_x0000_s1051" alt="background" style="position:absolute;top:14031;width:21545;height:6197;visibility:visible;mso-wrap-style:square;v-text-anchor:top" coordsize="667,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y4MMA&#10;AADcAAAADwAAAGRycy9kb3ducmV2LnhtbERPTWvCQBC9C/6HZYTemo0RpKZuQhCUemtthXobsmMS&#10;zM6G3a2m/fXdQsHbPN7nrMvR9OJKzneWFcyTFARxbXXHjYKP9+3jEwgfkDX2lknBN3koi+lkjbm2&#10;N36j6yE0Ioawz1FBG8KQS+nrlgz6xA7EkTtbZzBE6BqpHd5iuOlllqZLabDj2NDiQJuW6svhyyhY&#10;2NNRV93Prnp1tLefqyFbnvZKPczG6hlEoDHcxf/uFx3nZwv4eyZe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y4MMAAADcAAAADwAAAAAAAAAAAAAAAACYAgAAZHJzL2Rv&#10;d25yZXYueG1sUEsFBgAAAAAEAAQA9QAAAIgDAAAAAA==&#10;" path="m667,165c513,77,302,,29,,,,,,,,,192,,192,,192v268,,268,,268,c528,192,612,186,667,165e" fillcolor="#00a9ce [3204]" stroked="f">
                      <v:path arrowok="t" o:connecttype="custom" o:connectlocs="2147483646,2147483646;2147483646,0;0,0;0,2147483646;2147483646,2147483646;2147483646,2147483646" o:connectangles="0,0,0,0,0,0"/>
                    </v:shape>
                    <v:shape id="Freeform 117" o:spid="_x0000_s1052" alt="background" style="position:absolute;left:21441;top:14031;width:72269;height:12395;visibility:visible;mso-wrap-style:square;v-text-anchor:top" coordsize="2237,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4wl74A&#10;AADcAAAADwAAAGRycy9kb3ducmV2LnhtbERPzQrCMAy+C75DieBNO0VEplVUEAVPTsFrWOM2XNOx&#10;Vjd9eisI3vLx/Waxak0pnlS7wrKC0TACQZxaXXCm4HLeDWYgnEfWWFomBS9ysFp2OwuMtW34RM/E&#10;ZyKEsItRQe59FUvp0pwMuqGtiAN3s7VBH2CdSV1jE8JNKcdRNJUGCw4NOVa0zSm9Jw+jYF+dbs1m&#10;fbUJ7Y6j9/R9nWS8V6rfa9dzEJ5a/xf/3Acd5o8n8H0mXCC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F+MJe+AAAA3AAAAA8AAAAAAAAAAAAAAAAAmAIAAGRycy9kb3ducmV2&#10;LnhtbFBLBQYAAAAABAAEAPUAAACDAwAAAAA=&#10;" path="m669,c262,,112,122,,165,180,268,322,384,661,384v82,,1576,,1576,c2237,,2237,,2237,l669,xe" fillcolor="#00a9ce [3204]" stroked="f">
                      <v:path arrowok="t" o:connecttype="custom" o:connectlocs="2147483646,0;0,2147483646;2147483646,2147483646;2147483646,2147483646;2147483646,0;2147483646,0" o:connectangles="0,0,0,0,0,0"/>
                    </v:shape>
                    <v:shape id="Freeform 118" o:spid="_x0000_s1053" alt="background" style="position:absolute;left:46981;width:46837;height:24180;visibility:visible;mso-wrap-style:square;v-text-anchor:top" coordsize="1450,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SvCMEA&#10;AADcAAAADwAAAGRycy9kb3ducmV2LnhtbERPzYrCMBC+C/sOYRa8abrCFu0axVUWiuBB3QcYmrGt&#10;NpPQRK0+vREEb/Px/c503plGXKj1tWUFX8MEBHFhdc2lgv/932AMwgdkjY1lUnAjD/PZR2+KmbZX&#10;3tJlF0oRQ9hnqKAKwWVS+qIig35oHXHkDrY1GCJsS6lbvMZw08hRkqTSYM2xoUJHy4qK0+5sFKRL&#10;zH9Xx9ytNzxxx7sp03W6UKr/2S1+QATqwlv8cuc6zh99w/OZeIG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UrwjBAAAA3AAAAA8AAAAAAAAAAAAAAAAAmAIAAGRycy9kb3du&#10;cmV2LnhtbFBLBQYAAAAABAAEAPUAAACGAwAAAAA=&#10;" path="m1306,c512,,218,238,,321,351,522,628,749,1291,749v159,,155,,155,c1446,,1446,,1446,l1306,xe" fillcolor="#00313c [3205]" stroked="f">
                      <v:path arrowok="t" o:connecttype="custom" o:connectlocs="2147483646,0;0,2147483646;2147483646,2147483646;2147483646,2147483646;2147483646,0;2147483646,0" o:connectangles="0,0,0,0,0,0"/>
                    </v:shape>
                    <v:shape id="Freeform 119" o:spid="_x0000_s1054" alt="background" style="position:absolute;top:22702;width:71170;height:1422;visibility:visible;mso-wrap-style:square;v-text-anchor:top" coordsize="220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fwsEA&#10;AADcAAAADwAAAGRycy9kb3ducmV2LnhtbERP24rCMBB9F/yHMIJvmlrcItUoIuwiyD54+YChGZti&#10;MylJ1nb36zfCwr7N4VxnsxtsK57kQ+NYwWKegSCunG64VnC7vs9WIEJE1tg6JgXfFGC3HY82WGrX&#10;85mel1iLFMKhRAUmxq6UMlSGLIa564gTd3feYkzQ11J77FO4bWWeZYW02HBqMNjRwVD1uHxZBcfT&#10;zwefH3rxVqz2xn8udZX3UanpZNivQUQa4r/4z33UaX5ewOuZdIH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8LBAAAA3AAAAA8AAAAAAAAAAAAAAAAAmAIAAGRycy9kb3du&#10;cmV2LnhtbFBLBQYAAAAABAAEAPUAAACGAwAAAAA=&#10;" path="m2203,38c2169,21,2120,,2058,,,,,,,,,44,,44,,44v2112,,2112,,2112,c2112,44,2193,40,2203,38e" fillcolor="#00313c [3205]" stroked="f">
                      <v:path arrowok="t" o:connecttype="custom" o:connectlocs="2147483646,2147483646;2147483646,0;0,0;0,2147483646;2147483646,2147483646;2147483646,2147483646" o:connectangles="0,0,0,0,0,0"/>
                    </v:shape>
                    <v:shape id="Freeform 120" o:spid="_x0000_s1055" alt="background" style="position:absolute;left:71102;top:22702;width:22644;height:2838;visibility:visible;mso-wrap-style:square;v-text-anchor:top" coordsize="7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RpWMAA&#10;AADcAAAADwAAAGRycy9kb3ducmV2LnhtbERP32vCMBB+F/Y/hBvsTdOVsY3OVIZQ1Mdp9340Zxva&#10;XEKT2frfG0HY2318P2+9me0gLjQG41jB6yoDQdw4bbhVUJ+q5SeIEJE1Do5JwZUCbMqnxRoL7Sb+&#10;ocsxtiKFcChQQRejL6QMTUcWw8p54sSd3WgxJji2Uo84pXA7yDzL3qVFw6mhQ0/bjpr++GcVWP92&#10;qH/92Zy2u4mxqjOe9r1SL8/z9xeISHP8Fz/ce53m5x9wfyZdIM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RpWMAAAADcAAAADwAAAAAAAAAAAAAAAACYAgAAZHJzL2Rvd25y&#10;ZXYueG1sUEsFBgAAAAAEAAQA9QAAAIUDAAAAAA==&#10;" path="m153,c60,,26,28,,38,41,61,74,88,151,88v550,,550,,550,c701,,701,,701,l153,xe" stroked="f">
                      <v:path arrowok="t" o:connecttype="custom" o:connectlocs="2147483646,0;0,2147483646;2147483646,2147483646;2147483646,2147483646;2147483646,0;2147483646,0" o:connectangles="0,0,0,0,0,0"/>
                    </v:shape>
                    <v:shape id="Freeform 122" o:spid="_x0000_s1056" alt="background" style="position:absolute;top:18445;width:60090;height:2807;visibility:visible;mso-wrap-style:square;v-text-anchor:top" coordsize="18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ifRMcA&#10;AADcAAAADwAAAGRycy9kb3ducmV2LnhtbESPT2/CMAzF75P2HSJP2g3ScdhGIaCBmMZl0vhzgJvV&#10;mLaicbokK2Wffj4g7WbrPb/383Teu0Z1FGLt2cDTMANFXHhbc2lgv3sfvIKKCdli45kMXCnCfHZ/&#10;N8Xc+gtvqNumUkkIxxwNVCm1udaxqMhhHPqWWLSTDw6TrKHUNuBFwl2jR1n2rB3WLA0VtrSsqDhv&#10;f5yBcbym42Gx+lqsP78/fo9dcMvVizGPD/3bBFSiPv2bb9drK/gjoZV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Yn0THAAAA3AAAAA8AAAAAAAAAAAAAAAAAmAIAAGRy&#10;cy9kb3ducmV2LnhtbFBLBQYAAAAABAAEAPUAAACMAwAAAAA=&#10;" path="m1707,87v93,,127,-28,153,-37c1819,26,1786,,1709,,,,,,,,,87,,87,,87r1707,xe" stroked="f">
                      <v:path arrowok="t" o:connecttype="custom" o:connectlocs="2147483646,2147483646;2147483646,2147483646;2147483646,0;0,0;0,2147483646;2147483646,2147483646" o:connectangles="0,0,0,0,0,0"/>
                    </v:shape>
                  </v:group>
                </v:group>
              </v:group>
            </w:pict>
          </mc:Fallback>
        </mc:AlternateContent>
      </w:r>
    </w:p>
    <w:p w14:paraId="307907F8" w14:textId="77777777" w:rsidR="008A1135" w:rsidRPr="00E6110F" w:rsidRDefault="008A1135" w:rsidP="008A1135"/>
    <w:p w14:paraId="2E338CE9" w14:textId="77777777" w:rsidR="008A1135" w:rsidRPr="00E6110F" w:rsidRDefault="008A1135" w:rsidP="008A1135"/>
    <w:p w14:paraId="0AB19BFE" w14:textId="77777777" w:rsidR="008A1135" w:rsidRPr="00E6110F" w:rsidRDefault="008A1135" w:rsidP="00144B4F">
      <w:pPr>
        <w:pStyle w:val="Title"/>
        <w:rPr>
          <w:b/>
          <w:color w:val="FFFFFF" w:themeColor="background1"/>
        </w:rPr>
      </w:pPr>
    </w:p>
    <w:p w14:paraId="5ABA0E7A" w14:textId="77777777" w:rsidR="008A1135" w:rsidRPr="00E6110F" w:rsidRDefault="008A1135" w:rsidP="008A1135"/>
    <w:p w14:paraId="7AC62E18" w14:textId="137C6F2F" w:rsidR="00504B0B" w:rsidRPr="00E6110F" w:rsidRDefault="00401F03" w:rsidP="00504B0B">
      <w:pPr>
        <w:pStyle w:val="Title"/>
        <w:rPr>
          <w:b/>
          <w:color w:val="FFFFFF" w:themeColor="background1"/>
        </w:rPr>
      </w:pPr>
      <w:r w:rsidRPr="00E6110F">
        <w:rPr>
          <w:b/>
          <w:noProof/>
          <w:color w:val="FFFFFF" w:themeColor="background1"/>
          <w:lang w:val="en-AU" w:eastAsia="en-AU"/>
        </w:rPr>
        <mc:AlternateContent>
          <mc:Choice Requires="wps">
            <w:drawing>
              <wp:anchor distT="0" distB="0" distL="114300" distR="114300" simplePos="0" relativeHeight="251663360" behindDoc="1" locked="1" layoutInCell="1" allowOverlap="1" wp14:anchorId="1B65E7A0" wp14:editId="3A280E35">
                <wp:simplePos x="0" y="0"/>
                <wp:positionH relativeFrom="page">
                  <wp:posOffset>-360045</wp:posOffset>
                </wp:positionH>
                <wp:positionV relativeFrom="page">
                  <wp:posOffset>-269240</wp:posOffset>
                </wp:positionV>
                <wp:extent cx="8143875" cy="8490585"/>
                <wp:effectExtent l="0" t="0" r="9525" b="5715"/>
                <wp:wrapNone/>
                <wp:docPr id="97" name="Rectangle 7"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3875" cy="849058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4D1996" id="Rectangle 7" o:spid="_x0000_s1026" alt="background" style="position:absolute;margin-left:-28.35pt;margin-top:-21.2pt;width:641.25pt;height:668.5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" fillcolor="#00a9ce [3204]" stroked="f">
                <w10:wrap anchorx="page" anchory="page"/>
                <w10:anchorlock/>
              </v:rect>
            </w:pict>
          </mc:Fallback>
        </mc:AlternateContent>
      </w:r>
      <w:r w:rsidR="00504B0B" w:rsidRPr="00E6110F">
        <w:rPr>
          <w:b/>
          <w:color w:val="FFFFFF" w:themeColor="background1"/>
        </w:rPr>
        <w:t xml:space="preserve">Deeper groundwater hazard screening research </w:t>
      </w:r>
    </w:p>
    <w:p w14:paraId="215771DC" w14:textId="215D59C7" w:rsidR="00144B4F" w:rsidRPr="00E6110F" w:rsidRDefault="000F28E7" w:rsidP="00144B4F">
      <w:pPr>
        <w:pStyle w:val="Body"/>
        <w:rPr>
          <w:b/>
          <w:color w:val="FFFFFF" w:themeColor="background1"/>
          <w:sz w:val="22"/>
        </w:rPr>
      </w:pPr>
      <w:r w:rsidRPr="00E6110F">
        <w:rPr>
          <w:b/>
          <w:color w:val="FFFFFF" w:themeColor="background1"/>
          <w:sz w:val="22"/>
        </w:rPr>
        <w:t>Dirk Mallants</w:t>
      </w:r>
      <w:r w:rsidR="00144B4F" w:rsidRPr="00E6110F">
        <w:rPr>
          <w:b/>
          <w:color w:val="FFFFFF" w:themeColor="background1"/>
          <w:sz w:val="22"/>
        </w:rPr>
        <w:t xml:space="preserve">, </w:t>
      </w:r>
      <w:r w:rsidRPr="00E6110F">
        <w:rPr>
          <w:b/>
          <w:color w:val="FFFFFF" w:themeColor="background1"/>
          <w:sz w:val="22"/>
        </w:rPr>
        <w:t xml:space="preserve">Simon Apte, James Kear, </w:t>
      </w:r>
      <w:r w:rsidR="0090017D" w:rsidRPr="00E6110F">
        <w:rPr>
          <w:b/>
          <w:color w:val="FFFFFF" w:themeColor="background1"/>
          <w:sz w:val="22"/>
        </w:rPr>
        <w:t xml:space="preserve">Chris Turnadge, </w:t>
      </w:r>
      <w:r w:rsidRPr="00E6110F">
        <w:rPr>
          <w:b/>
          <w:color w:val="FFFFFF" w:themeColor="background1"/>
          <w:sz w:val="22"/>
        </w:rPr>
        <w:t xml:space="preserve">Sreekanth Janardhanan, Dennis Gonzalez, Mike Williams, Zuorong Chen, </w:t>
      </w:r>
      <w:r w:rsidR="00BE58CD" w:rsidRPr="00E6110F">
        <w:rPr>
          <w:b/>
          <w:color w:val="FFFFFF" w:themeColor="background1"/>
          <w:sz w:val="22"/>
        </w:rPr>
        <w:t xml:space="preserve">Rai Kookana, </w:t>
      </w:r>
      <w:r w:rsidRPr="00E6110F">
        <w:rPr>
          <w:b/>
          <w:color w:val="FFFFFF" w:themeColor="background1"/>
          <w:sz w:val="22"/>
        </w:rPr>
        <w:t>Andrew Taylor</w:t>
      </w:r>
      <w:r w:rsidR="00504B0B" w:rsidRPr="00E6110F">
        <w:rPr>
          <w:b/>
          <w:color w:val="FFFFFF" w:themeColor="background1"/>
          <w:sz w:val="22"/>
        </w:rPr>
        <w:t xml:space="preserve">, </w:t>
      </w:r>
      <w:r w:rsidRPr="00E6110F">
        <w:rPr>
          <w:b/>
          <w:color w:val="FFFFFF" w:themeColor="background1"/>
          <w:sz w:val="22"/>
        </w:rPr>
        <w:t xml:space="preserve">Matthias Raiber, </w:t>
      </w:r>
      <w:r w:rsidR="003C13B6">
        <w:rPr>
          <w:b/>
          <w:color w:val="FFFFFF" w:themeColor="background1"/>
          <w:sz w:val="22"/>
        </w:rPr>
        <w:t xml:space="preserve">Merrin Adams, </w:t>
      </w:r>
      <w:r w:rsidRPr="00E6110F">
        <w:rPr>
          <w:b/>
          <w:color w:val="FFFFFF" w:themeColor="background1"/>
          <w:sz w:val="22"/>
        </w:rPr>
        <w:t>Jody Bruce, Henning Prommer</w:t>
      </w:r>
    </w:p>
    <w:p w14:paraId="32B7BDCB" w14:textId="6CFF01B6" w:rsidR="00144B4F" w:rsidRPr="00E6110F" w:rsidRDefault="00BE58CD" w:rsidP="00144B4F">
      <w:pPr>
        <w:pStyle w:val="Body"/>
        <w:rPr>
          <w:b/>
          <w:color w:val="FFFFFF" w:themeColor="background1"/>
          <w:sz w:val="22"/>
        </w:rPr>
      </w:pPr>
      <w:r w:rsidRPr="00E6110F">
        <w:rPr>
          <w:b/>
          <w:color w:val="FFFFFF" w:themeColor="background1"/>
          <w:sz w:val="22"/>
        </w:rPr>
        <w:t>CSIRO Land and Water</w:t>
      </w:r>
      <w:r w:rsidR="00144B4F" w:rsidRPr="00E6110F">
        <w:rPr>
          <w:b/>
          <w:color w:val="FFFFFF" w:themeColor="background1"/>
          <w:sz w:val="22"/>
        </w:rPr>
        <w:t xml:space="preserve"> </w:t>
      </w:r>
    </w:p>
    <w:p w14:paraId="4DF8E96A" w14:textId="77777777" w:rsidR="00144B4F" w:rsidRPr="00E6110F" w:rsidRDefault="00144B4F" w:rsidP="00144B4F">
      <w:pPr>
        <w:pStyle w:val="Body"/>
        <w:rPr>
          <w:b/>
          <w:color w:val="FFFFFF" w:themeColor="background1"/>
        </w:rPr>
      </w:pPr>
    </w:p>
    <w:p w14:paraId="611F6B16" w14:textId="77777777" w:rsidR="00144B4F" w:rsidRPr="00E6110F" w:rsidRDefault="00144B4F" w:rsidP="00144B4F">
      <w:pPr>
        <w:pStyle w:val="Body"/>
        <w:rPr>
          <w:b/>
          <w:color w:val="FFFFFF" w:themeColor="background1"/>
        </w:rPr>
      </w:pPr>
    </w:p>
    <w:p w14:paraId="0D5C1432" w14:textId="77777777" w:rsidR="00144B4F" w:rsidRPr="00E6110F" w:rsidRDefault="00144B4F" w:rsidP="00144B4F">
      <w:pPr>
        <w:pStyle w:val="Body"/>
        <w:rPr>
          <w:b/>
          <w:color w:val="FFFFFF" w:themeColor="background1"/>
        </w:rPr>
      </w:pPr>
    </w:p>
    <w:p w14:paraId="207F768B" w14:textId="24FBB55C" w:rsidR="00144B4F" w:rsidRPr="00E6110F" w:rsidRDefault="00144B4F" w:rsidP="00144B4F">
      <w:pPr>
        <w:pStyle w:val="Body"/>
        <w:rPr>
          <w:color w:val="FFFFFF" w:themeColor="background1"/>
          <w:sz w:val="20"/>
        </w:rPr>
      </w:pPr>
      <w:r w:rsidRPr="00E6110F">
        <w:rPr>
          <w:color w:val="FFFFFF" w:themeColor="background1"/>
          <w:sz w:val="20"/>
        </w:rPr>
        <w:t>This report was commissioned by the Department of the Environment</w:t>
      </w:r>
      <w:r w:rsidR="00942FD5" w:rsidRPr="00E6110F">
        <w:rPr>
          <w:color w:val="FFFFFF" w:themeColor="background1"/>
          <w:sz w:val="20"/>
        </w:rPr>
        <w:t xml:space="preserve"> and </w:t>
      </w:r>
      <w:r w:rsidR="00FA7F1D">
        <w:rPr>
          <w:color w:val="FFFFFF" w:themeColor="background1"/>
          <w:sz w:val="20"/>
        </w:rPr>
        <w:t xml:space="preserve">Energy </w:t>
      </w:r>
      <w:r w:rsidRPr="00E6110F">
        <w:rPr>
          <w:color w:val="FFFFFF" w:themeColor="background1"/>
          <w:sz w:val="20"/>
        </w:rPr>
        <w:t>was prepared by CSIRO and revised following peer review.</w:t>
      </w:r>
    </w:p>
    <w:p w14:paraId="54F364B2" w14:textId="77777777" w:rsidR="00144B4F" w:rsidRPr="00E6110F" w:rsidRDefault="00144B4F" w:rsidP="00144B4F">
      <w:pPr>
        <w:pStyle w:val="Body"/>
        <w:tabs>
          <w:tab w:val="left" w:pos="2592"/>
        </w:tabs>
        <w:rPr>
          <w:color w:val="FFFFFF" w:themeColor="background1"/>
        </w:rPr>
      </w:pPr>
      <w:r w:rsidRPr="00E6110F">
        <w:rPr>
          <w:color w:val="FFFFFF" w:themeColor="background1"/>
        </w:rPr>
        <w:tab/>
      </w:r>
    </w:p>
    <w:p w14:paraId="5B0D46BC" w14:textId="77777777" w:rsidR="00BD31A6" w:rsidRPr="00E6110F" w:rsidRDefault="00BD31A6" w:rsidP="00144B4F">
      <w:pPr>
        <w:pStyle w:val="Body"/>
        <w:rPr>
          <w:color w:val="FFFFFF" w:themeColor="background1"/>
        </w:rPr>
      </w:pPr>
    </w:p>
    <w:p w14:paraId="186AF555" w14:textId="7E5070CE" w:rsidR="00144B4F" w:rsidRPr="00E6110F" w:rsidRDefault="004706F8" w:rsidP="00144B4F">
      <w:pPr>
        <w:pStyle w:val="Body"/>
        <w:rPr>
          <w:color w:val="FFFFFF" w:themeColor="background1"/>
        </w:rPr>
      </w:pPr>
      <w:r>
        <w:rPr>
          <w:color w:val="FFFFFF" w:themeColor="background1"/>
        </w:rPr>
        <w:t>March</w:t>
      </w:r>
      <w:r w:rsidR="00144B4F" w:rsidRPr="00E6110F">
        <w:rPr>
          <w:color w:val="FFFFFF" w:themeColor="background1"/>
        </w:rPr>
        <w:t xml:space="preserve"> </w:t>
      </w:r>
      <w:r w:rsidR="00366E23" w:rsidRPr="00E6110F">
        <w:rPr>
          <w:color w:val="FFFFFF" w:themeColor="background1"/>
        </w:rPr>
        <w:t>201</w:t>
      </w:r>
      <w:r>
        <w:rPr>
          <w:color w:val="FFFFFF" w:themeColor="background1"/>
        </w:rPr>
        <w:t>7</w:t>
      </w:r>
    </w:p>
    <w:p w14:paraId="5A526A3C" w14:textId="77777777" w:rsidR="00144B4F" w:rsidRPr="00E6110F" w:rsidRDefault="00144B4F" w:rsidP="00144B4F">
      <w:pPr>
        <w:pStyle w:val="CoverTitle"/>
      </w:pPr>
    </w:p>
    <w:p w14:paraId="26C26E05" w14:textId="77777777" w:rsidR="007D01DE" w:rsidRPr="00E6110F" w:rsidRDefault="00144B4F" w:rsidP="007D01DE">
      <w:pPr>
        <w:pStyle w:val="VersoPageHeading"/>
        <w:rPr>
          <w:sz w:val="18"/>
          <w:szCs w:val="18"/>
        </w:rPr>
      </w:pPr>
      <w:r w:rsidRPr="00E6110F">
        <w:br w:type="page"/>
      </w:r>
      <w:r w:rsidR="007D01DE" w:rsidRPr="00E6110F">
        <w:rPr>
          <w:sz w:val="18"/>
          <w:szCs w:val="18"/>
        </w:rPr>
        <w:lastRenderedPageBreak/>
        <w:t xml:space="preserve">Copyright </w:t>
      </w:r>
    </w:p>
    <w:p w14:paraId="0C0370B7" w14:textId="77777777" w:rsidR="007D01DE" w:rsidRPr="00E6110F" w:rsidRDefault="007D01DE" w:rsidP="007D01DE">
      <w:pPr>
        <w:pStyle w:val="BodyText"/>
        <w:rPr>
          <w:sz w:val="18"/>
          <w:szCs w:val="18"/>
        </w:rPr>
      </w:pPr>
      <w:r w:rsidRPr="00E6110F">
        <w:rPr>
          <w:sz w:val="18"/>
          <w:szCs w:val="18"/>
        </w:rPr>
        <w:t>© Commonwealth Scientific and Indu</w:t>
      </w:r>
      <w:r w:rsidR="007B20BC" w:rsidRPr="00E6110F">
        <w:rPr>
          <w:sz w:val="18"/>
          <w:szCs w:val="18"/>
        </w:rPr>
        <w:t>strial Research Organisation 201</w:t>
      </w:r>
      <w:r w:rsidR="00366E23" w:rsidRPr="00E6110F">
        <w:rPr>
          <w:sz w:val="18"/>
          <w:szCs w:val="18"/>
        </w:rPr>
        <w:t>6</w:t>
      </w:r>
      <w:r w:rsidRPr="00E6110F">
        <w:rPr>
          <w:sz w:val="18"/>
          <w:szCs w:val="18"/>
        </w:rPr>
        <w:t>. To the extent permitted by law, all rights are reserved and no part of this publication covered by copyright may be reproduced or copied in any form or by any means except with the written permission of CSIRO.</w:t>
      </w:r>
    </w:p>
    <w:p w14:paraId="7B07C71D" w14:textId="77777777" w:rsidR="00D242C1" w:rsidRPr="00E6110F" w:rsidRDefault="00D242C1" w:rsidP="00D242C1">
      <w:pPr>
        <w:pStyle w:val="VersoPageHeading"/>
        <w:rPr>
          <w:sz w:val="18"/>
          <w:szCs w:val="18"/>
        </w:rPr>
      </w:pPr>
      <w:r w:rsidRPr="00E6110F">
        <w:rPr>
          <w:sz w:val="18"/>
          <w:szCs w:val="18"/>
        </w:rPr>
        <w:t>Citation</w:t>
      </w:r>
    </w:p>
    <w:p w14:paraId="746E8AEF" w14:textId="77777777" w:rsidR="00D242C1" w:rsidRPr="00E6110F" w:rsidRDefault="00D242C1" w:rsidP="00D242C1">
      <w:pPr>
        <w:pStyle w:val="BodyText"/>
        <w:rPr>
          <w:sz w:val="18"/>
          <w:szCs w:val="18"/>
        </w:rPr>
      </w:pPr>
      <w:r w:rsidRPr="00E6110F">
        <w:rPr>
          <w:sz w:val="18"/>
          <w:szCs w:val="18"/>
        </w:rPr>
        <w:t>This report should be cited as:</w:t>
      </w:r>
    </w:p>
    <w:p w14:paraId="4FD4E623" w14:textId="29721076" w:rsidR="00D242C1" w:rsidRPr="00E6110F" w:rsidRDefault="00BE58CD" w:rsidP="00D242C1">
      <w:pPr>
        <w:pStyle w:val="BodyText"/>
        <w:rPr>
          <w:sz w:val="18"/>
          <w:szCs w:val="18"/>
        </w:rPr>
      </w:pPr>
      <w:r w:rsidRPr="00E6110F">
        <w:rPr>
          <w:sz w:val="18"/>
          <w:szCs w:val="18"/>
        </w:rPr>
        <w:t xml:space="preserve">Dirk Mallants, Simon Apte, James Kear, </w:t>
      </w:r>
      <w:r w:rsidR="0090017D" w:rsidRPr="00E6110F">
        <w:rPr>
          <w:sz w:val="18"/>
          <w:szCs w:val="18"/>
        </w:rPr>
        <w:t xml:space="preserve">Chris Turnadge, </w:t>
      </w:r>
      <w:r w:rsidRPr="00E6110F">
        <w:rPr>
          <w:sz w:val="18"/>
          <w:szCs w:val="18"/>
        </w:rPr>
        <w:t xml:space="preserve">Sreekanth Janardhanan, Dennis Gonzalez, Mike Williams, Zuorong Chen, Rai Kookana, Andrew Taylor, Matthias Raiber, </w:t>
      </w:r>
      <w:r w:rsidR="003C13B6">
        <w:rPr>
          <w:sz w:val="18"/>
          <w:szCs w:val="18"/>
        </w:rPr>
        <w:t xml:space="preserve">Merrin Adams, </w:t>
      </w:r>
      <w:r w:rsidRPr="00E6110F">
        <w:rPr>
          <w:sz w:val="18"/>
          <w:szCs w:val="18"/>
        </w:rPr>
        <w:t xml:space="preserve">Jody Bruce, Henning Prommer </w:t>
      </w:r>
      <w:r w:rsidR="00D242C1" w:rsidRPr="00E6110F">
        <w:rPr>
          <w:sz w:val="18"/>
          <w:szCs w:val="18"/>
        </w:rPr>
        <w:t>(201</w:t>
      </w:r>
      <w:r w:rsidR="004706F8">
        <w:rPr>
          <w:sz w:val="18"/>
          <w:szCs w:val="18"/>
        </w:rPr>
        <w:t>7</w:t>
      </w:r>
      <w:r w:rsidR="00D242C1" w:rsidRPr="00E6110F">
        <w:rPr>
          <w:sz w:val="18"/>
          <w:szCs w:val="18"/>
        </w:rPr>
        <w:t>)</w:t>
      </w:r>
      <w:r w:rsidR="000B1EEC">
        <w:rPr>
          <w:sz w:val="18"/>
          <w:szCs w:val="18"/>
        </w:rPr>
        <w:t>.</w:t>
      </w:r>
      <w:r w:rsidR="00D242C1" w:rsidRPr="00E6110F">
        <w:rPr>
          <w:sz w:val="18"/>
          <w:szCs w:val="18"/>
        </w:rPr>
        <w:t xml:space="preserve"> </w:t>
      </w:r>
      <w:r w:rsidR="00504B0B" w:rsidRPr="00E6110F">
        <w:rPr>
          <w:sz w:val="18"/>
          <w:szCs w:val="18"/>
        </w:rPr>
        <w:t>Deeper groundwater hazard screening research</w:t>
      </w:r>
      <w:r w:rsidR="00D242C1" w:rsidRPr="00E6110F">
        <w:rPr>
          <w:sz w:val="18"/>
          <w:szCs w:val="18"/>
        </w:rPr>
        <w:t>, prepared by the Commonwealth Scientific and Industrial Research Organisation (CSIRO), Canberra.</w:t>
      </w:r>
    </w:p>
    <w:p w14:paraId="358DBB89" w14:textId="77777777" w:rsidR="007D01DE" w:rsidRPr="00E6110F" w:rsidRDefault="007D01DE" w:rsidP="007D01DE">
      <w:pPr>
        <w:pStyle w:val="VersoPageHeading"/>
        <w:rPr>
          <w:sz w:val="18"/>
          <w:szCs w:val="18"/>
        </w:rPr>
      </w:pPr>
      <w:r w:rsidRPr="00E6110F">
        <w:rPr>
          <w:sz w:val="18"/>
          <w:szCs w:val="18"/>
        </w:rPr>
        <w:t>Important disclaimer</w:t>
      </w:r>
    </w:p>
    <w:p w14:paraId="1960430D" w14:textId="77777777" w:rsidR="007D01DE" w:rsidRPr="00E6110F" w:rsidRDefault="007D01DE" w:rsidP="007D01DE">
      <w:pPr>
        <w:pStyle w:val="BodyText"/>
        <w:rPr>
          <w:sz w:val="18"/>
          <w:szCs w:val="18"/>
        </w:rPr>
      </w:pPr>
      <w:r w:rsidRPr="00E6110F">
        <w:rPr>
          <w:sz w:val="18"/>
          <w:szCs w:val="18"/>
        </w:rP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1CF8F9C1" w14:textId="77777777" w:rsidR="007D01DE" w:rsidRPr="00E6110F" w:rsidRDefault="007D01DE" w:rsidP="007D01DE">
      <w:pPr>
        <w:pStyle w:val="BodyText"/>
        <w:rPr>
          <w:sz w:val="18"/>
          <w:szCs w:val="18"/>
        </w:rPr>
      </w:pPr>
      <w:r w:rsidRPr="00E6110F">
        <w:rPr>
          <w:sz w:val="18"/>
          <w:szCs w:val="18"/>
        </w:rPr>
        <w:t xml:space="preserve">CSIRO is committed to providing web accessible content wherever possible. If you are having difficulties with accessing this document please contact </w:t>
      </w:r>
      <w:hyperlink r:id="rId9" w:tooltip="Email CSIRO Enquiries" w:history="1">
        <w:r w:rsidRPr="00E6110F">
          <w:rPr>
            <w:rStyle w:val="Hyperlink"/>
            <w:sz w:val="18"/>
            <w:szCs w:val="18"/>
          </w:rPr>
          <w:t>enquiries@csiro.au</w:t>
        </w:r>
      </w:hyperlink>
      <w:r w:rsidRPr="00E6110F">
        <w:rPr>
          <w:sz w:val="18"/>
          <w:szCs w:val="18"/>
        </w:rPr>
        <w:t>.</w:t>
      </w:r>
    </w:p>
    <w:p w14:paraId="16922527" w14:textId="77777777" w:rsidR="0019221A" w:rsidRPr="00E6110F" w:rsidRDefault="0019221A" w:rsidP="007D01DE">
      <w:pPr>
        <w:pStyle w:val="BodyText"/>
        <w:rPr>
          <w:sz w:val="18"/>
          <w:szCs w:val="18"/>
        </w:rPr>
      </w:pPr>
    </w:p>
    <w:p w14:paraId="7FA7F9F1" w14:textId="77777777" w:rsidR="0019221A" w:rsidRPr="00E6110F" w:rsidRDefault="0019221A" w:rsidP="007D01DE">
      <w:pPr>
        <w:pStyle w:val="BodyText"/>
        <w:rPr>
          <w:sz w:val="18"/>
          <w:szCs w:val="18"/>
        </w:rPr>
      </w:pPr>
    </w:p>
    <w:p w14:paraId="6A2C9C44" w14:textId="77777777" w:rsidR="0019221A" w:rsidRPr="00E6110F" w:rsidRDefault="0019221A" w:rsidP="007D01DE">
      <w:pPr>
        <w:pStyle w:val="BodyText"/>
        <w:rPr>
          <w:sz w:val="18"/>
          <w:szCs w:val="18"/>
        </w:rPr>
        <w:sectPr w:rsidR="0019221A" w:rsidRPr="00E6110F" w:rsidSect="007D01DE">
          <w:headerReference w:type="even" r:id="rId10"/>
          <w:headerReference w:type="default" r:id="rId11"/>
          <w:footerReference w:type="even" r:id="rId12"/>
          <w:footerReference w:type="default" r:id="rId13"/>
          <w:headerReference w:type="first" r:id="rId14"/>
          <w:footerReference w:type="first" r:id="rId15"/>
          <w:pgSz w:w="11906" w:h="16838" w:code="9"/>
          <w:pgMar w:top="1106" w:right="1134" w:bottom="1134" w:left="1134" w:header="510" w:footer="624" w:gutter="0"/>
          <w:pgNumType w:fmt="lowerRoman" w:start="1"/>
          <w:cols w:space="284"/>
          <w:titlePg/>
          <w:docGrid w:linePitch="360"/>
        </w:sectPr>
      </w:pPr>
    </w:p>
    <w:p w14:paraId="4C73D783" w14:textId="77777777" w:rsidR="007603CF" w:rsidRPr="00E6110F" w:rsidRDefault="007603CF" w:rsidP="00AF25B8">
      <w:pPr>
        <w:pStyle w:val="H1"/>
      </w:pPr>
      <w:r w:rsidRPr="00E6110F">
        <w:lastRenderedPageBreak/>
        <w:t>Table of Contents</w:t>
      </w:r>
    </w:p>
    <w:sdt>
      <w:sdtPr>
        <w:id w:val="27622994"/>
        <w:docPartObj>
          <w:docPartGallery w:val="Table of Contents"/>
          <w:docPartUnique/>
        </w:docPartObj>
      </w:sdtPr>
      <w:sdtEndPr/>
      <w:sdtContent>
        <w:p w14:paraId="5B8BFA8E" w14:textId="77777777" w:rsidR="007B70EB" w:rsidRDefault="00CD2125">
          <w:pPr>
            <w:pStyle w:val="TOC1"/>
            <w:rPr>
              <w:rFonts w:asciiTheme="minorHAnsi" w:hAnsiTheme="minorHAnsi"/>
              <w:b w:val="0"/>
              <w:noProof/>
              <w:sz w:val="22"/>
              <w:szCs w:val="22"/>
              <w:lang w:val="en-AU" w:eastAsia="en-AU"/>
            </w:rPr>
          </w:pPr>
          <w:r w:rsidRPr="00E6110F">
            <w:fldChar w:fldCharType="begin"/>
          </w:r>
          <w:r w:rsidRPr="00E6110F">
            <w:instrText xml:space="preserve"> TOC \o "1-4" \h \z \u </w:instrText>
          </w:r>
          <w:r w:rsidRPr="00E6110F">
            <w:fldChar w:fldCharType="separate"/>
          </w:r>
          <w:hyperlink w:anchor="_Toc494444472" w:history="1">
            <w:r w:rsidR="007B70EB" w:rsidRPr="00AB6E34">
              <w:rPr>
                <w:rStyle w:val="Hyperlink"/>
                <w:noProof/>
              </w:rPr>
              <w:t>1.</w:t>
            </w:r>
            <w:r w:rsidR="007B70EB">
              <w:rPr>
                <w:rFonts w:asciiTheme="minorHAnsi" w:hAnsiTheme="minorHAnsi"/>
                <w:b w:val="0"/>
                <w:noProof/>
                <w:sz w:val="22"/>
                <w:szCs w:val="22"/>
                <w:lang w:val="en-AU" w:eastAsia="en-AU"/>
              </w:rPr>
              <w:tab/>
            </w:r>
            <w:r w:rsidR="007B70EB" w:rsidRPr="00AB6E34">
              <w:rPr>
                <w:rStyle w:val="Hyperlink"/>
                <w:noProof/>
              </w:rPr>
              <w:t>Introduction</w:t>
            </w:r>
            <w:r w:rsidR="007B70EB">
              <w:rPr>
                <w:noProof/>
                <w:webHidden/>
              </w:rPr>
              <w:tab/>
            </w:r>
            <w:r w:rsidR="007B70EB">
              <w:rPr>
                <w:noProof/>
                <w:webHidden/>
              </w:rPr>
              <w:fldChar w:fldCharType="begin"/>
            </w:r>
            <w:r w:rsidR="007B70EB">
              <w:rPr>
                <w:noProof/>
                <w:webHidden/>
              </w:rPr>
              <w:instrText xml:space="preserve"> PAGEREF _Toc494444472 \h </w:instrText>
            </w:r>
            <w:r w:rsidR="007B70EB">
              <w:rPr>
                <w:noProof/>
                <w:webHidden/>
              </w:rPr>
            </w:r>
            <w:r w:rsidR="007B70EB">
              <w:rPr>
                <w:noProof/>
                <w:webHidden/>
              </w:rPr>
              <w:fldChar w:fldCharType="separate"/>
            </w:r>
            <w:r w:rsidR="007B70EB">
              <w:rPr>
                <w:noProof/>
                <w:webHidden/>
              </w:rPr>
              <w:t>4</w:t>
            </w:r>
            <w:r w:rsidR="007B70EB">
              <w:rPr>
                <w:noProof/>
                <w:webHidden/>
              </w:rPr>
              <w:fldChar w:fldCharType="end"/>
            </w:r>
          </w:hyperlink>
        </w:p>
        <w:p w14:paraId="24180902" w14:textId="77777777" w:rsidR="007B70EB" w:rsidRDefault="00900E5C">
          <w:pPr>
            <w:pStyle w:val="TOC2"/>
            <w:rPr>
              <w:rFonts w:asciiTheme="minorHAnsi" w:hAnsiTheme="minorHAnsi"/>
              <w:noProof/>
              <w:sz w:val="22"/>
              <w:szCs w:val="22"/>
              <w:lang w:val="en-AU" w:eastAsia="en-AU"/>
            </w:rPr>
          </w:pPr>
          <w:hyperlink w:anchor="_Toc494444473" w:history="1">
            <w:r w:rsidR="007B70EB" w:rsidRPr="00AB6E34">
              <w:rPr>
                <w:rStyle w:val="Hyperlink"/>
                <w:noProof/>
                <w14:scene3d>
                  <w14:camera w14:prst="orthographicFront"/>
                  <w14:lightRig w14:rig="threePt" w14:dir="t">
                    <w14:rot w14:lat="0" w14:lon="0" w14:rev="0"/>
                  </w14:lightRig>
                </w14:scene3d>
              </w:rPr>
              <w:t>1.1.</w:t>
            </w:r>
            <w:r w:rsidR="007B70EB">
              <w:rPr>
                <w:rFonts w:asciiTheme="minorHAnsi" w:hAnsiTheme="minorHAnsi"/>
                <w:noProof/>
                <w:sz w:val="22"/>
                <w:szCs w:val="22"/>
                <w:lang w:val="en-AU" w:eastAsia="en-AU"/>
              </w:rPr>
              <w:tab/>
            </w:r>
            <w:r w:rsidR="007B70EB" w:rsidRPr="00AB6E34">
              <w:rPr>
                <w:rStyle w:val="Hyperlink"/>
                <w:noProof/>
              </w:rPr>
              <w:t>Recent risk assessments and current knowledge gaps</w:t>
            </w:r>
            <w:r w:rsidR="007B70EB">
              <w:rPr>
                <w:noProof/>
                <w:webHidden/>
              </w:rPr>
              <w:tab/>
            </w:r>
            <w:r w:rsidR="007B70EB">
              <w:rPr>
                <w:noProof/>
                <w:webHidden/>
              </w:rPr>
              <w:fldChar w:fldCharType="begin"/>
            </w:r>
            <w:r w:rsidR="007B70EB">
              <w:rPr>
                <w:noProof/>
                <w:webHidden/>
              </w:rPr>
              <w:instrText xml:space="preserve"> PAGEREF _Toc494444473 \h </w:instrText>
            </w:r>
            <w:r w:rsidR="007B70EB">
              <w:rPr>
                <w:noProof/>
                <w:webHidden/>
              </w:rPr>
            </w:r>
            <w:r w:rsidR="007B70EB">
              <w:rPr>
                <w:noProof/>
                <w:webHidden/>
              </w:rPr>
              <w:fldChar w:fldCharType="separate"/>
            </w:r>
            <w:r w:rsidR="007B70EB">
              <w:rPr>
                <w:noProof/>
                <w:webHidden/>
              </w:rPr>
              <w:t>6</w:t>
            </w:r>
            <w:r w:rsidR="007B70EB">
              <w:rPr>
                <w:noProof/>
                <w:webHidden/>
              </w:rPr>
              <w:fldChar w:fldCharType="end"/>
            </w:r>
          </w:hyperlink>
        </w:p>
        <w:p w14:paraId="491E4906" w14:textId="77777777" w:rsidR="007B70EB" w:rsidRDefault="00900E5C">
          <w:pPr>
            <w:pStyle w:val="TOC2"/>
            <w:rPr>
              <w:rFonts w:asciiTheme="minorHAnsi" w:hAnsiTheme="minorHAnsi"/>
              <w:noProof/>
              <w:sz w:val="22"/>
              <w:szCs w:val="22"/>
              <w:lang w:val="en-AU" w:eastAsia="en-AU"/>
            </w:rPr>
          </w:pPr>
          <w:hyperlink w:anchor="_Toc494444474" w:history="1">
            <w:r w:rsidR="007B70EB" w:rsidRPr="00AB6E34">
              <w:rPr>
                <w:rStyle w:val="Hyperlink"/>
                <w:noProof/>
                <w14:scene3d>
                  <w14:camera w14:prst="orthographicFront"/>
                  <w14:lightRig w14:rig="threePt" w14:dir="t">
                    <w14:rot w14:lat="0" w14:lon="0" w14:rev="0"/>
                  </w14:lightRig>
                </w14:scene3d>
              </w:rPr>
              <w:t>1.2.</w:t>
            </w:r>
            <w:r w:rsidR="007B70EB">
              <w:rPr>
                <w:rFonts w:asciiTheme="minorHAnsi" w:hAnsiTheme="minorHAnsi"/>
                <w:noProof/>
                <w:sz w:val="22"/>
                <w:szCs w:val="22"/>
                <w:lang w:val="en-AU" w:eastAsia="en-AU"/>
              </w:rPr>
              <w:tab/>
            </w:r>
            <w:r w:rsidR="007B70EB" w:rsidRPr="00AB6E34">
              <w:rPr>
                <w:rStyle w:val="Hyperlink"/>
                <w:noProof/>
              </w:rPr>
              <w:t>Methodology</w:t>
            </w:r>
            <w:r w:rsidR="007B70EB">
              <w:rPr>
                <w:noProof/>
                <w:webHidden/>
              </w:rPr>
              <w:tab/>
            </w:r>
            <w:r w:rsidR="007B70EB">
              <w:rPr>
                <w:noProof/>
                <w:webHidden/>
              </w:rPr>
              <w:fldChar w:fldCharType="begin"/>
            </w:r>
            <w:r w:rsidR="007B70EB">
              <w:rPr>
                <w:noProof/>
                <w:webHidden/>
              </w:rPr>
              <w:instrText xml:space="preserve"> PAGEREF _Toc494444474 \h </w:instrText>
            </w:r>
            <w:r w:rsidR="007B70EB">
              <w:rPr>
                <w:noProof/>
                <w:webHidden/>
              </w:rPr>
            </w:r>
            <w:r w:rsidR="007B70EB">
              <w:rPr>
                <w:noProof/>
                <w:webHidden/>
              </w:rPr>
              <w:fldChar w:fldCharType="separate"/>
            </w:r>
            <w:r w:rsidR="007B70EB">
              <w:rPr>
                <w:noProof/>
                <w:webHidden/>
              </w:rPr>
              <w:t>7</w:t>
            </w:r>
            <w:r w:rsidR="007B70EB">
              <w:rPr>
                <w:noProof/>
                <w:webHidden/>
              </w:rPr>
              <w:fldChar w:fldCharType="end"/>
            </w:r>
          </w:hyperlink>
        </w:p>
        <w:p w14:paraId="29E446F8" w14:textId="77777777" w:rsidR="007B70EB" w:rsidRDefault="00900E5C">
          <w:pPr>
            <w:pStyle w:val="TOC2"/>
            <w:rPr>
              <w:rFonts w:asciiTheme="minorHAnsi" w:hAnsiTheme="minorHAnsi"/>
              <w:noProof/>
              <w:sz w:val="22"/>
              <w:szCs w:val="22"/>
              <w:lang w:val="en-AU" w:eastAsia="en-AU"/>
            </w:rPr>
          </w:pPr>
          <w:hyperlink w:anchor="_Toc494444475" w:history="1">
            <w:r w:rsidR="007B70EB" w:rsidRPr="00AB6E34">
              <w:rPr>
                <w:rStyle w:val="Hyperlink"/>
                <w:noProof/>
                <w14:scene3d>
                  <w14:camera w14:prst="orthographicFront"/>
                  <w14:lightRig w14:rig="threePt" w14:dir="t">
                    <w14:rot w14:lat="0" w14:lon="0" w14:rev="0"/>
                  </w14:lightRig>
                </w14:scene3d>
              </w:rPr>
              <w:t>1.3.</w:t>
            </w:r>
            <w:r w:rsidR="007B70EB">
              <w:rPr>
                <w:rFonts w:asciiTheme="minorHAnsi" w:hAnsiTheme="minorHAnsi"/>
                <w:noProof/>
                <w:sz w:val="22"/>
                <w:szCs w:val="22"/>
                <w:lang w:val="en-AU" w:eastAsia="en-AU"/>
              </w:rPr>
              <w:tab/>
            </w:r>
            <w:r w:rsidR="007B70EB" w:rsidRPr="00AB6E34">
              <w:rPr>
                <w:rStyle w:val="Hyperlink"/>
                <w:noProof/>
              </w:rPr>
              <w:t>Report Structure</w:t>
            </w:r>
            <w:r w:rsidR="007B70EB">
              <w:rPr>
                <w:noProof/>
                <w:webHidden/>
              </w:rPr>
              <w:tab/>
            </w:r>
            <w:r w:rsidR="007B70EB">
              <w:rPr>
                <w:noProof/>
                <w:webHidden/>
              </w:rPr>
              <w:fldChar w:fldCharType="begin"/>
            </w:r>
            <w:r w:rsidR="007B70EB">
              <w:rPr>
                <w:noProof/>
                <w:webHidden/>
              </w:rPr>
              <w:instrText xml:space="preserve"> PAGEREF _Toc494444475 \h </w:instrText>
            </w:r>
            <w:r w:rsidR="007B70EB">
              <w:rPr>
                <w:noProof/>
                <w:webHidden/>
              </w:rPr>
            </w:r>
            <w:r w:rsidR="007B70EB">
              <w:rPr>
                <w:noProof/>
                <w:webHidden/>
              </w:rPr>
              <w:fldChar w:fldCharType="separate"/>
            </w:r>
            <w:r w:rsidR="007B70EB">
              <w:rPr>
                <w:noProof/>
                <w:webHidden/>
              </w:rPr>
              <w:t>8</w:t>
            </w:r>
            <w:r w:rsidR="007B70EB">
              <w:rPr>
                <w:noProof/>
                <w:webHidden/>
              </w:rPr>
              <w:fldChar w:fldCharType="end"/>
            </w:r>
          </w:hyperlink>
        </w:p>
        <w:p w14:paraId="35835F20" w14:textId="77777777" w:rsidR="007B70EB" w:rsidRDefault="00900E5C">
          <w:pPr>
            <w:pStyle w:val="TOC1"/>
            <w:rPr>
              <w:rFonts w:asciiTheme="minorHAnsi" w:hAnsiTheme="minorHAnsi"/>
              <w:b w:val="0"/>
              <w:noProof/>
              <w:sz w:val="22"/>
              <w:szCs w:val="22"/>
              <w:lang w:val="en-AU" w:eastAsia="en-AU"/>
            </w:rPr>
          </w:pPr>
          <w:hyperlink w:anchor="_Toc494444476" w:history="1">
            <w:r w:rsidR="007B70EB" w:rsidRPr="00AB6E34">
              <w:rPr>
                <w:rStyle w:val="Hyperlink"/>
                <w:noProof/>
              </w:rPr>
              <w:t>2.</w:t>
            </w:r>
            <w:r w:rsidR="007B70EB">
              <w:rPr>
                <w:rFonts w:asciiTheme="minorHAnsi" w:hAnsiTheme="minorHAnsi"/>
                <w:b w:val="0"/>
                <w:noProof/>
                <w:sz w:val="22"/>
                <w:szCs w:val="22"/>
                <w:lang w:val="en-AU" w:eastAsia="en-AU"/>
              </w:rPr>
              <w:tab/>
            </w:r>
            <w:r w:rsidR="007B70EB" w:rsidRPr="00AB6E34">
              <w:rPr>
                <w:rStyle w:val="Hyperlink"/>
                <w:noProof/>
              </w:rPr>
              <w:t>Development of conceptual models to help screen hazards associated with chemicals used in coal seam gas extraction and deeper groundwater</w:t>
            </w:r>
            <w:r w:rsidR="007B70EB">
              <w:rPr>
                <w:noProof/>
                <w:webHidden/>
              </w:rPr>
              <w:tab/>
            </w:r>
            <w:r w:rsidR="007B70EB">
              <w:rPr>
                <w:noProof/>
                <w:webHidden/>
              </w:rPr>
              <w:fldChar w:fldCharType="begin"/>
            </w:r>
            <w:r w:rsidR="007B70EB">
              <w:rPr>
                <w:noProof/>
                <w:webHidden/>
              </w:rPr>
              <w:instrText xml:space="preserve"> PAGEREF _Toc494444476 \h </w:instrText>
            </w:r>
            <w:r w:rsidR="007B70EB">
              <w:rPr>
                <w:noProof/>
                <w:webHidden/>
              </w:rPr>
            </w:r>
            <w:r w:rsidR="007B70EB">
              <w:rPr>
                <w:noProof/>
                <w:webHidden/>
              </w:rPr>
              <w:fldChar w:fldCharType="separate"/>
            </w:r>
            <w:r w:rsidR="007B70EB">
              <w:rPr>
                <w:noProof/>
                <w:webHidden/>
              </w:rPr>
              <w:t>9</w:t>
            </w:r>
            <w:r w:rsidR="007B70EB">
              <w:rPr>
                <w:noProof/>
                <w:webHidden/>
              </w:rPr>
              <w:fldChar w:fldCharType="end"/>
            </w:r>
          </w:hyperlink>
        </w:p>
        <w:p w14:paraId="0BE52FF6" w14:textId="77777777" w:rsidR="007B70EB" w:rsidRDefault="00900E5C">
          <w:pPr>
            <w:pStyle w:val="TOC2"/>
            <w:rPr>
              <w:rFonts w:asciiTheme="minorHAnsi" w:hAnsiTheme="minorHAnsi"/>
              <w:noProof/>
              <w:sz w:val="22"/>
              <w:szCs w:val="22"/>
              <w:lang w:val="en-AU" w:eastAsia="en-AU"/>
            </w:rPr>
          </w:pPr>
          <w:hyperlink w:anchor="_Toc494444477" w:history="1">
            <w:r w:rsidR="007B70EB" w:rsidRPr="00AB6E34">
              <w:rPr>
                <w:rStyle w:val="Hyperlink"/>
                <w:noProof/>
                <w14:scene3d>
                  <w14:camera w14:prst="orthographicFront"/>
                  <w14:lightRig w14:rig="threePt" w14:dir="t">
                    <w14:rot w14:lat="0" w14:lon="0" w14:rev="0"/>
                  </w14:lightRig>
                </w14:scene3d>
              </w:rPr>
              <w:t>2.1.</w:t>
            </w:r>
            <w:r w:rsidR="007B70EB">
              <w:rPr>
                <w:rFonts w:asciiTheme="minorHAnsi" w:hAnsiTheme="minorHAnsi"/>
                <w:noProof/>
                <w:sz w:val="22"/>
                <w:szCs w:val="22"/>
                <w:lang w:val="en-AU" w:eastAsia="en-AU"/>
              </w:rPr>
              <w:tab/>
            </w:r>
            <w:r w:rsidR="007B70EB" w:rsidRPr="00AB6E34">
              <w:rPr>
                <w:rStyle w:val="Hyperlink"/>
                <w:noProof/>
              </w:rPr>
              <w:t>Literature review</w:t>
            </w:r>
            <w:r w:rsidR="007B70EB">
              <w:rPr>
                <w:noProof/>
                <w:webHidden/>
              </w:rPr>
              <w:tab/>
            </w:r>
            <w:r w:rsidR="007B70EB">
              <w:rPr>
                <w:noProof/>
                <w:webHidden/>
              </w:rPr>
              <w:fldChar w:fldCharType="begin"/>
            </w:r>
            <w:r w:rsidR="007B70EB">
              <w:rPr>
                <w:noProof/>
                <w:webHidden/>
              </w:rPr>
              <w:instrText xml:space="preserve"> PAGEREF _Toc494444477 \h </w:instrText>
            </w:r>
            <w:r w:rsidR="007B70EB">
              <w:rPr>
                <w:noProof/>
                <w:webHidden/>
              </w:rPr>
            </w:r>
            <w:r w:rsidR="007B70EB">
              <w:rPr>
                <w:noProof/>
                <w:webHidden/>
              </w:rPr>
              <w:fldChar w:fldCharType="separate"/>
            </w:r>
            <w:r w:rsidR="007B70EB">
              <w:rPr>
                <w:noProof/>
                <w:webHidden/>
              </w:rPr>
              <w:t>9</w:t>
            </w:r>
            <w:r w:rsidR="007B70EB">
              <w:rPr>
                <w:noProof/>
                <w:webHidden/>
              </w:rPr>
              <w:fldChar w:fldCharType="end"/>
            </w:r>
          </w:hyperlink>
        </w:p>
        <w:p w14:paraId="726DA1F8"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78" w:history="1">
            <w:r w:rsidR="007B70EB" w:rsidRPr="00AB6E34">
              <w:rPr>
                <w:rStyle w:val="Hyperlink"/>
                <w:noProof/>
                <w14:scene3d>
                  <w14:camera w14:prst="orthographicFront"/>
                  <w14:lightRig w14:rig="threePt" w14:dir="t">
                    <w14:rot w14:lat="0" w14:lon="0" w14:rev="0"/>
                  </w14:lightRig>
                </w14:scene3d>
              </w:rPr>
              <w:t>2.1.1.</w:t>
            </w:r>
            <w:r w:rsidR="007B70EB">
              <w:rPr>
                <w:rFonts w:asciiTheme="minorHAnsi" w:hAnsiTheme="minorHAnsi"/>
                <w:noProof/>
                <w:sz w:val="22"/>
                <w:szCs w:val="22"/>
                <w:lang w:val="en-AU" w:eastAsia="en-AU"/>
              </w:rPr>
              <w:tab/>
            </w:r>
            <w:r w:rsidR="007B70EB" w:rsidRPr="00AB6E34">
              <w:rPr>
                <w:rStyle w:val="Hyperlink"/>
                <w:noProof/>
              </w:rPr>
              <w:t>Plausible pathways</w:t>
            </w:r>
            <w:r w:rsidR="007B70EB">
              <w:rPr>
                <w:noProof/>
                <w:webHidden/>
              </w:rPr>
              <w:tab/>
            </w:r>
            <w:r w:rsidR="007B70EB">
              <w:rPr>
                <w:noProof/>
                <w:webHidden/>
              </w:rPr>
              <w:fldChar w:fldCharType="begin"/>
            </w:r>
            <w:r w:rsidR="007B70EB">
              <w:rPr>
                <w:noProof/>
                <w:webHidden/>
              </w:rPr>
              <w:instrText xml:space="preserve"> PAGEREF _Toc494444478 \h </w:instrText>
            </w:r>
            <w:r w:rsidR="007B70EB">
              <w:rPr>
                <w:noProof/>
                <w:webHidden/>
              </w:rPr>
            </w:r>
            <w:r w:rsidR="007B70EB">
              <w:rPr>
                <w:noProof/>
                <w:webHidden/>
              </w:rPr>
              <w:fldChar w:fldCharType="separate"/>
            </w:r>
            <w:r w:rsidR="007B70EB">
              <w:rPr>
                <w:noProof/>
                <w:webHidden/>
              </w:rPr>
              <w:t>13</w:t>
            </w:r>
            <w:r w:rsidR="007B70EB">
              <w:rPr>
                <w:noProof/>
                <w:webHidden/>
              </w:rPr>
              <w:fldChar w:fldCharType="end"/>
            </w:r>
          </w:hyperlink>
        </w:p>
        <w:p w14:paraId="72EB8A5F"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79" w:history="1">
            <w:r w:rsidR="007B70EB" w:rsidRPr="00AB6E34">
              <w:rPr>
                <w:rStyle w:val="Hyperlink"/>
                <w:noProof/>
              </w:rPr>
              <w:t>2.1.1.1.</w:t>
            </w:r>
            <w:r w:rsidR="007B70EB">
              <w:rPr>
                <w:rFonts w:asciiTheme="minorHAnsi" w:hAnsiTheme="minorHAnsi"/>
                <w:noProof/>
                <w:sz w:val="22"/>
                <w:szCs w:val="22"/>
                <w:lang w:val="en-AU" w:eastAsia="en-AU"/>
              </w:rPr>
              <w:tab/>
            </w:r>
            <w:r w:rsidR="007B70EB" w:rsidRPr="00AB6E34">
              <w:rPr>
                <w:rStyle w:val="Hyperlink"/>
                <w:noProof/>
              </w:rPr>
              <w:t>Summary of review findings from international studies</w:t>
            </w:r>
            <w:r w:rsidR="007B70EB">
              <w:rPr>
                <w:noProof/>
                <w:webHidden/>
              </w:rPr>
              <w:tab/>
            </w:r>
            <w:r w:rsidR="007B70EB">
              <w:rPr>
                <w:noProof/>
                <w:webHidden/>
              </w:rPr>
              <w:fldChar w:fldCharType="begin"/>
            </w:r>
            <w:r w:rsidR="007B70EB">
              <w:rPr>
                <w:noProof/>
                <w:webHidden/>
              </w:rPr>
              <w:instrText xml:space="preserve"> PAGEREF _Toc494444479 \h </w:instrText>
            </w:r>
            <w:r w:rsidR="007B70EB">
              <w:rPr>
                <w:noProof/>
                <w:webHidden/>
              </w:rPr>
            </w:r>
            <w:r w:rsidR="007B70EB">
              <w:rPr>
                <w:noProof/>
                <w:webHidden/>
              </w:rPr>
              <w:fldChar w:fldCharType="separate"/>
            </w:r>
            <w:r w:rsidR="007B70EB">
              <w:rPr>
                <w:noProof/>
                <w:webHidden/>
              </w:rPr>
              <w:t>13</w:t>
            </w:r>
            <w:r w:rsidR="007B70EB">
              <w:rPr>
                <w:noProof/>
                <w:webHidden/>
              </w:rPr>
              <w:fldChar w:fldCharType="end"/>
            </w:r>
          </w:hyperlink>
        </w:p>
        <w:p w14:paraId="5128524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80" w:history="1">
            <w:r w:rsidR="007B70EB" w:rsidRPr="00AB6E34">
              <w:rPr>
                <w:rStyle w:val="Hyperlink"/>
                <w:noProof/>
              </w:rPr>
              <w:t>2.1.1.2.</w:t>
            </w:r>
            <w:r w:rsidR="007B70EB">
              <w:rPr>
                <w:rFonts w:asciiTheme="minorHAnsi" w:hAnsiTheme="minorHAnsi"/>
                <w:noProof/>
                <w:sz w:val="22"/>
                <w:szCs w:val="22"/>
                <w:lang w:val="en-AU" w:eastAsia="en-AU"/>
              </w:rPr>
              <w:tab/>
            </w:r>
            <w:r w:rsidR="007B70EB" w:rsidRPr="00AB6E34">
              <w:rPr>
                <w:rStyle w:val="Hyperlink"/>
                <w:noProof/>
              </w:rPr>
              <w:t>Summary of review findings from Australian studies</w:t>
            </w:r>
            <w:r w:rsidR="007B70EB">
              <w:rPr>
                <w:noProof/>
                <w:webHidden/>
              </w:rPr>
              <w:tab/>
            </w:r>
            <w:r w:rsidR="007B70EB">
              <w:rPr>
                <w:noProof/>
                <w:webHidden/>
              </w:rPr>
              <w:fldChar w:fldCharType="begin"/>
            </w:r>
            <w:r w:rsidR="007B70EB">
              <w:rPr>
                <w:noProof/>
                <w:webHidden/>
              </w:rPr>
              <w:instrText xml:space="preserve"> PAGEREF _Toc494444480 \h </w:instrText>
            </w:r>
            <w:r w:rsidR="007B70EB">
              <w:rPr>
                <w:noProof/>
                <w:webHidden/>
              </w:rPr>
            </w:r>
            <w:r w:rsidR="007B70EB">
              <w:rPr>
                <w:noProof/>
                <w:webHidden/>
              </w:rPr>
              <w:fldChar w:fldCharType="separate"/>
            </w:r>
            <w:r w:rsidR="007B70EB">
              <w:rPr>
                <w:noProof/>
                <w:webHidden/>
              </w:rPr>
              <w:t>26</w:t>
            </w:r>
            <w:r w:rsidR="007B70EB">
              <w:rPr>
                <w:noProof/>
                <w:webHidden/>
              </w:rPr>
              <w:fldChar w:fldCharType="end"/>
            </w:r>
          </w:hyperlink>
        </w:p>
        <w:p w14:paraId="12E939B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81" w:history="1">
            <w:r w:rsidR="007B70EB" w:rsidRPr="00AB6E34">
              <w:rPr>
                <w:rStyle w:val="Hyperlink"/>
                <w:noProof/>
                <w14:scene3d>
                  <w14:camera w14:prst="orthographicFront"/>
                  <w14:lightRig w14:rig="threePt" w14:dir="t">
                    <w14:rot w14:lat="0" w14:lon="0" w14:rev="0"/>
                  </w14:lightRig>
                </w14:scene3d>
              </w:rPr>
              <w:t>2.1.2.</w:t>
            </w:r>
            <w:r w:rsidR="007B70EB">
              <w:rPr>
                <w:rFonts w:asciiTheme="minorHAnsi" w:hAnsiTheme="minorHAnsi"/>
                <w:noProof/>
                <w:sz w:val="22"/>
                <w:szCs w:val="22"/>
                <w:lang w:val="en-AU" w:eastAsia="en-AU"/>
              </w:rPr>
              <w:tab/>
            </w:r>
            <w:r w:rsidR="007B70EB" w:rsidRPr="00AB6E34">
              <w:rPr>
                <w:rStyle w:val="Hyperlink"/>
                <w:noProof/>
              </w:rPr>
              <w:t>Hazard screening approaches</w:t>
            </w:r>
            <w:r w:rsidR="007B70EB">
              <w:rPr>
                <w:noProof/>
                <w:webHidden/>
              </w:rPr>
              <w:tab/>
            </w:r>
            <w:r w:rsidR="007B70EB">
              <w:rPr>
                <w:noProof/>
                <w:webHidden/>
              </w:rPr>
              <w:fldChar w:fldCharType="begin"/>
            </w:r>
            <w:r w:rsidR="007B70EB">
              <w:rPr>
                <w:noProof/>
                <w:webHidden/>
              </w:rPr>
              <w:instrText xml:space="preserve"> PAGEREF _Toc494444481 \h </w:instrText>
            </w:r>
            <w:r w:rsidR="007B70EB">
              <w:rPr>
                <w:noProof/>
                <w:webHidden/>
              </w:rPr>
            </w:r>
            <w:r w:rsidR="007B70EB">
              <w:rPr>
                <w:noProof/>
                <w:webHidden/>
              </w:rPr>
              <w:fldChar w:fldCharType="separate"/>
            </w:r>
            <w:r w:rsidR="007B70EB">
              <w:rPr>
                <w:noProof/>
                <w:webHidden/>
              </w:rPr>
              <w:t>33</w:t>
            </w:r>
            <w:r w:rsidR="007B70EB">
              <w:rPr>
                <w:noProof/>
                <w:webHidden/>
              </w:rPr>
              <w:fldChar w:fldCharType="end"/>
            </w:r>
          </w:hyperlink>
        </w:p>
        <w:p w14:paraId="18573B9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82" w:history="1">
            <w:r w:rsidR="007B70EB" w:rsidRPr="00AB6E34">
              <w:rPr>
                <w:rStyle w:val="Hyperlink"/>
                <w:noProof/>
                <w14:scene3d>
                  <w14:camera w14:prst="orthographicFront"/>
                  <w14:lightRig w14:rig="threePt" w14:dir="t">
                    <w14:rot w14:lat="0" w14:lon="0" w14:rev="0"/>
                  </w14:lightRig>
                </w14:scene3d>
              </w:rPr>
              <w:t>2.1.3.</w:t>
            </w:r>
            <w:r w:rsidR="007B70EB">
              <w:rPr>
                <w:rFonts w:asciiTheme="minorHAnsi" w:hAnsiTheme="minorHAnsi"/>
                <w:noProof/>
                <w:sz w:val="22"/>
                <w:szCs w:val="22"/>
                <w:lang w:val="en-AU" w:eastAsia="en-AU"/>
              </w:rPr>
              <w:tab/>
            </w:r>
            <w:r w:rsidR="007B70EB" w:rsidRPr="00AB6E34">
              <w:rPr>
                <w:rStyle w:val="Hyperlink"/>
                <w:noProof/>
              </w:rPr>
              <w:t>Risk assessments</w:t>
            </w:r>
            <w:r w:rsidR="007B70EB">
              <w:rPr>
                <w:noProof/>
                <w:webHidden/>
              </w:rPr>
              <w:tab/>
            </w:r>
            <w:r w:rsidR="007B70EB">
              <w:rPr>
                <w:noProof/>
                <w:webHidden/>
              </w:rPr>
              <w:fldChar w:fldCharType="begin"/>
            </w:r>
            <w:r w:rsidR="007B70EB">
              <w:rPr>
                <w:noProof/>
                <w:webHidden/>
              </w:rPr>
              <w:instrText xml:space="preserve"> PAGEREF _Toc494444482 \h </w:instrText>
            </w:r>
            <w:r w:rsidR="007B70EB">
              <w:rPr>
                <w:noProof/>
                <w:webHidden/>
              </w:rPr>
            </w:r>
            <w:r w:rsidR="007B70EB">
              <w:rPr>
                <w:noProof/>
                <w:webHidden/>
              </w:rPr>
              <w:fldChar w:fldCharType="separate"/>
            </w:r>
            <w:r w:rsidR="007B70EB">
              <w:rPr>
                <w:noProof/>
                <w:webHidden/>
              </w:rPr>
              <w:t>35</w:t>
            </w:r>
            <w:r w:rsidR="007B70EB">
              <w:rPr>
                <w:noProof/>
                <w:webHidden/>
              </w:rPr>
              <w:fldChar w:fldCharType="end"/>
            </w:r>
          </w:hyperlink>
        </w:p>
        <w:p w14:paraId="6595756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83" w:history="1">
            <w:r w:rsidR="007B70EB" w:rsidRPr="00AB6E34">
              <w:rPr>
                <w:rStyle w:val="Hyperlink"/>
                <w:noProof/>
              </w:rPr>
              <w:t>2.1.3.1.</w:t>
            </w:r>
            <w:r w:rsidR="007B70EB">
              <w:rPr>
                <w:rFonts w:asciiTheme="minorHAnsi" w:hAnsiTheme="minorHAnsi"/>
                <w:noProof/>
                <w:sz w:val="22"/>
                <w:szCs w:val="22"/>
                <w:lang w:val="en-AU" w:eastAsia="en-AU"/>
              </w:rPr>
              <w:tab/>
            </w:r>
            <w:r w:rsidR="007B70EB" w:rsidRPr="00AB6E34">
              <w:rPr>
                <w:rStyle w:val="Hyperlink"/>
                <w:noProof/>
              </w:rPr>
              <w:t>QGC 2012</w:t>
            </w:r>
            <w:r w:rsidR="007B70EB">
              <w:rPr>
                <w:noProof/>
                <w:webHidden/>
              </w:rPr>
              <w:tab/>
            </w:r>
            <w:r w:rsidR="007B70EB">
              <w:rPr>
                <w:noProof/>
                <w:webHidden/>
              </w:rPr>
              <w:fldChar w:fldCharType="begin"/>
            </w:r>
            <w:r w:rsidR="007B70EB">
              <w:rPr>
                <w:noProof/>
                <w:webHidden/>
              </w:rPr>
              <w:instrText xml:space="preserve"> PAGEREF _Toc494444483 \h </w:instrText>
            </w:r>
            <w:r w:rsidR="007B70EB">
              <w:rPr>
                <w:noProof/>
                <w:webHidden/>
              </w:rPr>
            </w:r>
            <w:r w:rsidR="007B70EB">
              <w:rPr>
                <w:noProof/>
                <w:webHidden/>
              </w:rPr>
              <w:fldChar w:fldCharType="separate"/>
            </w:r>
            <w:r w:rsidR="007B70EB">
              <w:rPr>
                <w:noProof/>
                <w:webHidden/>
              </w:rPr>
              <w:t>35</w:t>
            </w:r>
            <w:r w:rsidR="007B70EB">
              <w:rPr>
                <w:noProof/>
                <w:webHidden/>
              </w:rPr>
              <w:fldChar w:fldCharType="end"/>
            </w:r>
          </w:hyperlink>
        </w:p>
        <w:p w14:paraId="31C5EC0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84" w:history="1">
            <w:r w:rsidR="007B70EB" w:rsidRPr="00AB6E34">
              <w:rPr>
                <w:rStyle w:val="Hyperlink"/>
                <w:noProof/>
              </w:rPr>
              <w:t>2.1.3.2.</w:t>
            </w:r>
            <w:r w:rsidR="007B70EB">
              <w:rPr>
                <w:rFonts w:asciiTheme="minorHAnsi" w:hAnsiTheme="minorHAnsi"/>
                <w:noProof/>
                <w:sz w:val="22"/>
                <w:szCs w:val="22"/>
                <w:lang w:val="en-AU" w:eastAsia="en-AU"/>
              </w:rPr>
              <w:tab/>
            </w:r>
            <w:r w:rsidR="007B70EB" w:rsidRPr="00AB6E34">
              <w:rPr>
                <w:rStyle w:val="Hyperlink"/>
                <w:noProof/>
              </w:rPr>
              <w:t>Santos 2014</w:t>
            </w:r>
            <w:r w:rsidR="007B70EB">
              <w:rPr>
                <w:noProof/>
                <w:webHidden/>
              </w:rPr>
              <w:tab/>
            </w:r>
            <w:r w:rsidR="007B70EB">
              <w:rPr>
                <w:noProof/>
                <w:webHidden/>
              </w:rPr>
              <w:fldChar w:fldCharType="begin"/>
            </w:r>
            <w:r w:rsidR="007B70EB">
              <w:rPr>
                <w:noProof/>
                <w:webHidden/>
              </w:rPr>
              <w:instrText xml:space="preserve"> PAGEREF _Toc494444484 \h </w:instrText>
            </w:r>
            <w:r w:rsidR="007B70EB">
              <w:rPr>
                <w:noProof/>
                <w:webHidden/>
              </w:rPr>
            </w:r>
            <w:r w:rsidR="007B70EB">
              <w:rPr>
                <w:noProof/>
                <w:webHidden/>
              </w:rPr>
              <w:fldChar w:fldCharType="separate"/>
            </w:r>
            <w:r w:rsidR="007B70EB">
              <w:rPr>
                <w:noProof/>
                <w:webHidden/>
              </w:rPr>
              <w:t>36</w:t>
            </w:r>
            <w:r w:rsidR="007B70EB">
              <w:rPr>
                <w:noProof/>
                <w:webHidden/>
              </w:rPr>
              <w:fldChar w:fldCharType="end"/>
            </w:r>
          </w:hyperlink>
        </w:p>
        <w:p w14:paraId="10FD7D5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85" w:history="1">
            <w:r w:rsidR="007B70EB" w:rsidRPr="00AB6E34">
              <w:rPr>
                <w:rStyle w:val="Hyperlink"/>
                <w:noProof/>
              </w:rPr>
              <w:t>2.1.3.3.</w:t>
            </w:r>
            <w:r w:rsidR="007B70EB">
              <w:rPr>
                <w:rFonts w:asciiTheme="minorHAnsi" w:hAnsiTheme="minorHAnsi"/>
                <w:noProof/>
                <w:sz w:val="22"/>
                <w:szCs w:val="22"/>
                <w:lang w:val="en-AU" w:eastAsia="en-AU"/>
              </w:rPr>
              <w:tab/>
            </w:r>
            <w:r w:rsidR="007B70EB" w:rsidRPr="00AB6E34">
              <w:rPr>
                <w:rStyle w:val="Hyperlink"/>
                <w:noProof/>
              </w:rPr>
              <w:t>Santos 2016</w:t>
            </w:r>
            <w:r w:rsidR="007B70EB">
              <w:rPr>
                <w:noProof/>
                <w:webHidden/>
              </w:rPr>
              <w:tab/>
            </w:r>
            <w:r w:rsidR="007B70EB">
              <w:rPr>
                <w:noProof/>
                <w:webHidden/>
              </w:rPr>
              <w:fldChar w:fldCharType="begin"/>
            </w:r>
            <w:r w:rsidR="007B70EB">
              <w:rPr>
                <w:noProof/>
                <w:webHidden/>
              </w:rPr>
              <w:instrText xml:space="preserve"> PAGEREF _Toc494444485 \h </w:instrText>
            </w:r>
            <w:r w:rsidR="007B70EB">
              <w:rPr>
                <w:noProof/>
                <w:webHidden/>
              </w:rPr>
            </w:r>
            <w:r w:rsidR="007B70EB">
              <w:rPr>
                <w:noProof/>
                <w:webHidden/>
              </w:rPr>
              <w:fldChar w:fldCharType="separate"/>
            </w:r>
            <w:r w:rsidR="007B70EB">
              <w:rPr>
                <w:noProof/>
                <w:webHidden/>
              </w:rPr>
              <w:t>37</w:t>
            </w:r>
            <w:r w:rsidR="007B70EB">
              <w:rPr>
                <w:noProof/>
                <w:webHidden/>
              </w:rPr>
              <w:fldChar w:fldCharType="end"/>
            </w:r>
          </w:hyperlink>
        </w:p>
        <w:p w14:paraId="67BDA16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86" w:history="1">
            <w:r w:rsidR="007B70EB" w:rsidRPr="00AB6E34">
              <w:rPr>
                <w:rStyle w:val="Hyperlink"/>
                <w:noProof/>
              </w:rPr>
              <w:t>2.1.3.4.</w:t>
            </w:r>
            <w:r w:rsidR="007B70EB">
              <w:rPr>
                <w:rFonts w:asciiTheme="minorHAnsi" w:hAnsiTheme="minorHAnsi"/>
                <w:noProof/>
                <w:sz w:val="22"/>
                <w:szCs w:val="22"/>
                <w:lang w:val="en-AU" w:eastAsia="en-AU"/>
              </w:rPr>
              <w:tab/>
            </w:r>
            <w:r w:rsidR="007B70EB" w:rsidRPr="00AB6E34">
              <w:rPr>
                <w:rStyle w:val="Hyperlink"/>
                <w:noProof/>
              </w:rPr>
              <w:t>US EPA 2016</w:t>
            </w:r>
            <w:r w:rsidR="007B70EB">
              <w:rPr>
                <w:noProof/>
                <w:webHidden/>
              </w:rPr>
              <w:tab/>
            </w:r>
            <w:r w:rsidR="007B70EB">
              <w:rPr>
                <w:noProof/>
                <w:webHidden/>
              </w:rPr>
              <w:fldChar w:fldCharType="begin"/>
            </w:r>
            <w:r w:rsidR="007B70EB">
              <w:rPr>
                <w:noProof/>
                <w:webHidden/>
              </w:rPr>
              <w:instrText xml:space="preserve"> PAGEREF _Toc494444486 \h </w:instrText>
            </w:r>
            <w:r w:rsidR="007B70EB">
              <w:rPr>
                <w:noProof/>
                <w:webHidden/>
              </w:rPr>
            </w:r>
            <w:r w:rsidR="007B70EB">
              <w:rPr>
                <w:noProof/>
                <w:webHidden/>
              </w:rPr>
              <w:fldChar w:fldCharType="separate"/>
            </w:r>
            <w:r w:rsidR="007B70EB">
              <w:rPr>
                <w:noProof/>
                <w:webHidden/>
              </w:rPr>
              <w:t>39</w:t>
            </w:r>
            <w:r w:rsidR="007B70EB">
              <w:rPr>
                <w:noProof/>
                <w:webHidden/>
              </w:rPr>
              <w:fldChar w:fldCharType="end"/>
            </w:r>
          </w:hyperlink>
        </w:p>
        <w:p w14:paraId="70E50A5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87" w:history="1">
            <w:r w:rsidR="007B70EB" w:rsidRPr="00AB6E34">
              <w:rPr>
                <w:rStyle w:val="Hyperlink"/>
                <w:noProof/>
                <w14:scene3d>
                  <w14:camera w14:prst="orthographicFront"/>
                  <w14:lightRig w14:rig="threePt" w14:dir="t">
                    <w14:rot w14:lat="0" w14:lon="0" w14:rev="0"/>
                  </w14:lightRig>
                </w14:scene3d>
              </w:rPr>
              <w:t>2.1.4.</w:t>
            </w:r>
            <w:r w:rsidR="007B70EB">
              <w:rPr>
                <w:rFonts w:asciiTheme="minorHAnsi" w:hAnsiTheme="minorHAnsi"/>
                <w:noProof/>
                <w:sz w:val="22"/>
                <w:szCs w:val="22"/>
                <w:lang w:val="en-AU" w:eastAsia="en-AU"/>
              </w:rPr>
              <w:tab/>
            </w:r>
            <w:r w:rsidR="007B70EB" w:rsidRPr="00AB6E34">
              <w:rPr>
                <w:rStyle w:val="Hyperlink"/>
                <w:noProof/>
              </w:rPr>
              <w:t>Chemical, biological, and geological attenuation</w:t>
            </w:r>
            <w:r w:rsidR="007B70EB">
              <w:rPr>
                <w:noProof/>
                <w:webHidden/>
              </w:rPr>
              <w:tab/>
            </w:r>
            <w:r w:rsidR="007B70EB">
              <w:rPr>
                <w:noProof/>
                <w:webHidden/>
              </w:rPr>
              <w:fldChar w:fldCharType="begin"/>
            </w:r>
            <w:r w:rsidR="007B70EB">
              <w:rPr>
                <w:noProof/>
                <w:webHidden/>
              </w:rPr>
              <w:instrText xml:space="preserve"> PAGEREF _Toc494444487 \h </w:instrText>
            </w:r>
            <w:r w:rsidR="007B70EB">
              <w:rPr>
                <w:noProof/>
                <w:webHidden/>
              </w:rPr>
            </w:r>
            <w:r w:rsidR="007B70EB">
              <w:rPr>
                <w:noProof/>
                <w:webHidden/>
              </w:rPr>
              <w:fldChar w:fldCharType="separate"/>
            </w:r>
            <w:r w:rsidR="007B70EB">
              <w:rPr>
                <w:noProof/>
                <w:webHidden/>
              </w:rPr>
              <w:t>40</w:t>
            </w:r>
            <w:r w:rsidR="007B70EB">
              <w:rPr>
                <w:noProof/>
                <w:webHidden/>
              </w:rPr>
              <w:fldChar w:fldCharType="end"/>
            </w:r>
          </w:hyperlink>
        </w:p>
        <w:p w14:paraId="1DCA6800"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88" w:history="1">
            <w:r w:rsidR="007B70EB" w:rsidRPr="00AB6E34">
              <w:rPr>
                <w:rStyle w:val="Hyperlink"/>
                <w:noProof/>
                <w14:scene3d>
                  <w14:camera w14:prst="orthographicFront"/>
                  <w14:lightRig w14:rig="threePt" w14:dir="t">
                    <w14:rot w14:lat="0" w14:lon="0" w14:rev="0"/>
                  </w14:lightRig>
                </w14:scene3d>
              </w:rPr>
              <w:t>2.1.5.</w:t>
            </w:r>
            <w:r w:rsidR="007B70EB">
              <w:rPr>
                <w:rFonts w:asciiTheme="minorHAnsi" w:hAnsiTheme="minorHAnsi"/>
                <w:noProof/>
                <w:sz w:val="22"/>
                <w:szCs w:val="22"/>
                <w:lang w:val="en-AU" w:eastAsia="en-AU"/>
              </w:rPr>
              <w:tab/>
            </w:r>
            <w:r w:rsidR="007B70EB" w:rsidRPr="00AB6E34">
              <w:rPr>
                <w:rStyle w:val="Hyperlink"/>
                <w:noProof/>
              </w:rPr>
              <w:t>Toxicity data and estimation methods</w:t>
            </w:r>
            <w:r w:rsidR="007B70EB">
              <w:rPr>
                <w:noProof/>
                <w:webHidden/>
              </w:rPr>
              <w:tab/>
            </w:r>
            <w:r w:rsidR="007B70EB">
              <w:rPr>
                <w:noProof/>
                <w:webHidden/>
              </w:rPr>
              <w:fldChar w:fldCharType="begin"/>
            </w:r>
            <w:r w:rsidR="007B70EB">
              <w:rPr>
                <w:noProof/>
                <w:webHidden/>
              </w:rPr>
              <w:instrText xml:space="preserve"> PAGEREF _Toc494444488 \h </w:instrText>
            </w:r>
            <w:r w:rsidR="007B70EB">
              <w:rPr>
                <w:noProof/>
                <w:webHidden/>
              </w:rPr>
            </w:r>
            <w:r w:rsidR="007B70EB">
              <w:rPr>
                <w:noProof/>
                <w:webHidden/>
              </w:rPr>
              <w:fldChar w:fldCharType="separate"/>
            </w:r>
            <w:r w:rsidR="007B70EB">
              <w:rPr>
                <w:noProof/>
                <w:webHidden/>
              </w:rPr>
              <w:t>40</w:t>
            </w:r>
            <w:r w:rsidR="007B70EB">
              <w:rPr>
                <w:noProof/>
                <w:webHidden/>
              </w:rPr>
              <w:fldChar w:fldCharType="end"/>
            </w:r>
          </w:hyperlink>
        </w:p>
        <w:p w14:paraId="79048B0F" w14:textId="77777777" w:rsidR="007B70EB" w:rsidRDefault="00900E5C">
          <w:pPr>
            <w:pStyle w:val="TOC2"/>
            <w:rPr>
              <w:rFonts w:asciiTheme="minorHAnsi" w:hAnsiTheme="minorHAnsi"/>
              <w:noProof/>
              <w:sz w:val="22"/>
              <w:szCs w:val="22"/>
              <w:lang w:val="en-AU" w:eastAsia="en-AU"/>
            </w:rPr>
          </w:pPr>
          <w:hyperlink w:anchor="_Toc494444489" w:history="1">
            <w:r w:rsidR="007B70EB" w:rsidRPr="00AB6E34">
              <w:rPr>
                <w:rStyle w:val="Hyperlink"/>
                <w:noProof/>
                <w14:scene3d>
                  <w14:camera w14:prst="orthographicFront"/>
                  <w14:lightRig w14:rig="threePt" w14:dir="t">
                    <w14:rot w14:lat="0" w14:lon="0" w14:rev="0"/>
                  </w14:lightRig>
                </w14:scene3d>
              </w:rPr>
              <w:t>2.2.</w:t>
            </w:r>
            <w:r w:rsidR="007B70EB">
              <w:rPr>
                <w:rFonts w:asciiTheme="minorHAnsi" w:hAnsiTheme="minorHAnsi"/>
                <w:noProof/>
                <w:sz w:val="22"/>
                <w:szCs w:val="22"/>
                <w:lang w:val="en-AU" w:eastAsia="en-AU"/>
              </w:rPr>
              <w:tab/>
            </w:r>
            <w:r w:rsidR="007B70EB" w:rsidRPr="00AB6E34">
              <w:rPr>
                <w:rStyle w:val="Hyperlink"/>
                <w:noProof/>
              </w:rPr>
              <w:t>Level-1 analysis: identifying chemicals of low concern</w:t>
            </w:r>
            <w:r w:rsidR="007B70EB">
              <w:rPr>
                <w:noProof/>
                <w:webHidden/>
              </w:rPr>
              <w:tab/>
            </w:r>
            <w:r w:rsidR="007B70EB">
              <w:rPr>
                <w:noProof/>
                <w:webHidden/>
              </w:rPr>
              <w:fldChar w:fldCharType="begin"/>
            </w:r>
            <w:r w:rsidR="007B70EB">
              <w:rPr>
                <w:noProof/>
                <w:webHidden/>
              </w:rPr>
              <w:instrText xml:space="preserve"> PAGEREF _Toc494444489 \h </w:instrText>
            </w:r>
            <w:r w:rsidR="007B70EB">
              <w:rPr>
                <w:noProof/>
                <w:webHidden/>
              </w:rPr>
            </w:r>
            <w:r w:rsidR="007B70EB">
              <w:rPr>
                <w:noProof/>
                <w:webHidden/>
              </w:rPr>
              <w:fldChar w:fldCharType="separate"/>
            </w:r>
            <w:r w:rsidR="007B70EB">
              <w:rPr>
                <w:noProof/>
                <w:webHidden/>
              </w:rPr>
              <w:t>42</w:t>
            </w:r>
            <w:r w:rsidR="007B70EB">
              <w:rPr>
                <w:noProof/>
                <w:webHidden/>
              </w:rPr>
              <w:fldChar w:fldCharType="end"/>
            </w:r>
          </w:hyperlink>
        </w:p>
        <w:p w14:paraId="3E57AE18"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90" w:history="1">
            <w:r w:rsidR="007B70EB" w:rsidRPr="00AB6E34">
              <w:rPr>
                <w:rStyle w:val="Hyperlink"/>
                <w:rFonts w:eastAsia="Times New Roman"/>
                <w:noProof/>
                <w:lang w:eastAsia="en-AU"/>
                <w14:scene3d>
                  <w14:camera w14:prst="orthographicFront"/>
                  <w14:lightRig w14:rig="threePt" w14:dir="t">
                    <w14:rot w14:lat="0" w14:lon="0" w14:rev="0"/>
                  </w14:lightRig>
                </w14:scene3d>
              </w:rPr>
              <w:t>2.2.1.</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Chemicals of low concern for human health per the National Chemicals Assessment</w:t>
            </w:r>
            <w:r w:rsidR="007B70EB">
              <w:rPr>
                <w:noProof/>
                <w:webHidden/>
              </w:rPr>
              <w:tab/>
            </w:r>
            <w:r w:rsidR="007B70EB">
              <w:rPr>
                <w:noProof/>
                <w:webHidden/>
              </w:rPr>
              <w:fldChar w:fldCharType="begin"/>
            </w:r>
            <w:r w:rsidR="007B70EB">
              <w:rPr>
                <w:noProof/>
                <w:webHidden/>
              </w:rPr>
              <w:instrText xml:space="preserve"> PAGEREF _Toc494444490 \h </w:instrText>
            </w:r>
            <w:r w:rsidR="007B70EB">
              <w:rPr>
                <w:noProof/>
                <w:webHidden/>
              </w:rPr>
            </w:r>
            <w:r w:rsidR="007B70EB">
              <w:rPr>
                <w:noProof/>
                <w:webHidden/>
              </w:rPr>
              <w:fldChar w:fldCharType="separate"/>
            </w:r>
            <w:r w:rsidR="007B70EB">
              <w:rPr>
                <w:noProof/>
                <w:webHidden/>
              </w:rPr>
              <w:t>43</w:t>
            </w:r>
            <w:r w:rsidR="007B70EB">
              <w:rPr>
                <w:noProof/>
                <w:webHidden/>
              </w:rPr>
              <w:fldChar w:fldCharType="end"/>
            </w:r>
          </w:hyperlink>
        </w:p>
        <w:p w14:paraId="44BE9B1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91" w:history="1">
            <w:r w:rsidR="007B70EB" w:rsidRPr="00AB6E34">
              <w:rPr>
                <w:rStyle w:val="Hyperlink"/>
                <w:rFonts w:eastAsia="Times New Roman"/>
                <w:noProof/>
                <w:lang w:eastAsia="en-AU"/>
              </w:rPr>
              <w:t>2.2.1.1.</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Step 1 and 2: Review of existing national or international lists of substances considered to be of low concern and analysis of lists for applicability for identifying coal seam gas chemicals of low concern for human health</w:t>
            </w:r>
            <w:r w:rsidR="007B70EB">
              <w:rPr>
                <w:noProof/>
                <w:webHidden/>
              </w:rPr>
              <w:tab/>
            </w:r>
            <w:r w:rsidR="007B70EB">
              <w:rPr>
                <w:noProof/>
                <w:webHidden/>
              </w:rPr>
              <w:fldChar w:fldCharType="begin"/>
            </w:r>
            <w:r w:rsidR="007B70EB">
              <w:rPr>
                <w:noProof/>
                <w:webHidden/>
              </w:rPr>
              <w:instrText xml:space="preserve"> PAGEREF _Toc494444491 \h </w:instrText>
            </w:r>
            <w:r w:rsidR="007B70EB">
              <w:rPr>
                <w:noProof/>
                <w:webHidden/>
              </w:rPr>
            </w:r>
            <w:r w:rsidR="007B70EB">
              <w:rPr>
                <w:noProof/>
                <w:webHidden/>
              </w:rPr>
              <w:fldChar w:fldCharType="separate"/>
            </w:r>
            <w:r w:rsidR="007B70EB">
              <w:rPr>
                <w:noProof/>
                <w:webHidden/>
              </w:rPr>
              <w:t>45</w:t>
            </w:r>
            <w:r w:rsidR="007B70EB">
              <w:rPr>
                <w:noProof/>
                <w:webHidden/>
              </w:rPr>
              <w:fldChar w:fldCharType="end"/>
            </w:r>
          </w:hyperlink>
        </w:p>
        <w:p w14:paraId="5F4FDEE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92" w:history="1">
            <w:r w:rsidR="007B70EB" w:rsidRPr="00AB6E34">
              <w:rPr>
                <w:rStyle w:val="Hyperlink"/>
                <w:rFonts w:eastAsia="Times New Roman"/>
                <w:noProof/>
                <w:lang w:eastAsia="en-AU"/>
              </w:rPr>
              <w:t>2.2.1.2.</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Step 3: Comparison of coal seam gas chemicals with the low concern chemical lists</w:t>
            </w:r>
            <w:r w:rsidR="007B70EB">
              <w:rPr>
                <w:noProof/>
                <w:webHidden/>
              </w:rPr>
              <w:tab/>
            </w:r>
            <w:r w:rsidR="007B70EB">
              <w:rPr>
                <w:noProof/>
                <w:webHidden/>
              </w:rPr>
              <w:fldChar w:fldCharType="begin"/>
            </w:r>
            <w:r w:rsidR="007B70EB">
              <w:rPr>
                <w:noProof/>
                <w:webHidden/>
              </w:rPr>
              <w:instrText xml:space="preserve"> PAGEREF _Toc494444492 \h </w:instrText>
            </w:r>
            <w:r w:rsidR="007B70EB">
              <w:rPr>
                <w:noProof/>
                <w:webHidden/>
              </w:rPr>
            </w:r>
            <w:r w:rsidR="007B70EB">
              <w:rPr>
                <w:noProof/>
                <w:webHidden/>
              </w:rPr>
              <w:fldChar w:fldCharType="separate"/>
            </w:r>
            <w:r w:rsidR="007B70EB">
              <w:rPr>
                <w:noProof/>
                <w:webHidden/>
              </w:rPr>
              <w:t>45</w:t>
            </w:r>
            <w:r w:rsidR="007B70EB">
              <w:rPr>
                <w:noProof/>
                <w:webHidden/>
              </w:rPr>
              <w:fldChar w:fldCharType="end"/>
            </w:r>
          </w:hyperlink>
        </w:p>
        <w:p w14:paraId="162703D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93" w:history="1">
            <w:r w:rsidR="007B70EB" w:rsidRPr="00AB6E34">
              <w:rPr>
                <w:rStyle w:val="Hyperlink"/>
                <w:rFonts w:eastAsia="Times New Roman"/>
                <w:noProof/>
                <w:lang w:eastAsia="en-AU"/>
              </w:rPr>
              <w:t>2.2.1.3.</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Step 4: Validation rules developed by NICNAS</w:t>
            </w:r>
            <w:r w:rsidR="007B70EB">
              <w:rPr>
                <w:noProof/>
                <w:webHidden/>
              </w:rPr>
              <w:tab/>
            </w:r>
            <w:r w:rsidR="007B70EB">
              <w:rPr>
                <w:noProof/>
                <w:webHidden/>
              </w:rPr>
              <w:fldChar w:fldCharType="begin"/>
            </w:r>
            <w:r w:rsidR="007B70EB">
              <w:rPr>
                <w:noProof/>
                <w:webHidden/>
              </w:rPr>
              <w:instrText xml:space="preserve"> PAGEREF _Toc494444493 \h </w:instrText>
            </w:r>
            <w:r w:rsidR="007B70EB">
              <w:rPr>
                <w:noProof/>
                <w:webHidden/>
              </w:rPr>
            </w:r>
            <w:r w:rsidR="007B70EB">
              <w:rPr>
                <w:noProof/>
                <w:webHidden/>
              </w:rPr>
              <w:fldChar w:fldCharType="separate"/>
            </w:r>
            <w:r w:rsidR="007B70EB">
              <w:rPr>
                <w:noProof/>
                <w:webHidden/>
              </w:rPr>
              <w:t>45</w:t>
            </w:r>
            <w:r w:rsidR="007B70EB">
              <w:rPr>
                <w:noProof/>
                <w:webHidden/>
              </w:rPr>
              <w:fldChar w:fldCharType="end"/>
            </w:r>
          </w:hyperlink>
        </w:p>
        <w:p w14:paraId="71CAD9E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94" w:history="1">
            <w:r w:rsidR="007B70EB" w:rsidRPr="00AB6E34">
              <w:rPr>
                <w:rStyle w:val="Hyperlink"/>
                <w:rFonts w:eastAsia="Times New Roman"/>
                <w:noProof/>
                <w:lang w:eastAsia="en-AU"/>
              </w:rPr>
              <w:t>2.2.1.4.</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Step 5: Further validation rules developed by NICNAS to identify additional chemicals of low concern for human health</w:t>
            </w:r>
            <w:r w:rsidR="007B70EB">
              <w:rPr>
                <w:noProof/>
                <w:webHidden/>
              </w:rPr>
              <w:tab/>
            </w:r>
            <w:r w:rsidR="007B70EB">
              <w:rPr>
                <w:noProof/>
                <w:webHidden/>
              </w:rPr>
              <w:fldChar w:fldCharType="begin"/>
            </w:r>
            <w:r w:rsidR="007B70EB">
              <w:rPr>
                <w:noProof/>
                <w:webHidden/>
              </w:rPr>
              <w:instrText xml:space="preserve"> PAGEREF _Toc494444494 \h </w:instrText>
            </w:r>
            <w:r w:rsidR="007B70EB">
              <w:rPr>
                <w:noProof/>
                <w:webHidden/>
              </w:rPr>
            </w:r>
            <w:r w:rsidR="007B70EB">
              <w:rPr>
                <w:noProof/>
                <w:webHidden/>
              </w:rPr>
              <w:fldChar w:fldCharType="separate"/>
            </w:r>
            <w:r w:rsidR="007B70EB">
              <w:rPr>
                <w:noProof/>
                <w:webHidden/>
              </w:rPr>
              <w:t>46</w:t>
            </w:r>
            <w:r w:rsidR="007B70EB">
              <w:rPr>
                <w:noProof/>
                <w:webHidden/>
              </w:rPr>
              <w:fldChar w:fldCharType="end"/>
            </w:r>
          </w:hyperlink>
        </w:p>
        <w:p w14:paraId="0E16060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95" w:history="1">
            <w:r w:rsidR="007B70EB" w:rsidRPr="00AB6E34">
              <w:rPr>
                <w:rStyle w:val="Hyperlink"/>
                <w:rFonts w:eastAsia="Times New Roman"/>
                <w:noProof/>
                <w:lang w:eastAsia="en-AU"/>
              </w:rPr>
              <w:t>2.2.1.5.</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Step 6: Validation rules to identify polymers of low concern</w:t>
            </w:r>
            <w:r w:rsidR="007B70EB">
              <w:rPr>
                <w:noProof/>
                <w:webHidden/>
              </w:rPr>
              <w:tab/>
            </w:r>
            <w:r w:rsidR="007B70EB">
              <w:rPr>
                <w:noProof/>
                <w:webHidden/>
              </w:rPr>
              <w:fldChar w:fldCharType="begin"/>
            </w:r>
            <w:r w:rsidR="007B70EB">
              <w:rPr>
                <w:noProof/>
                <w:webHidden/>
              </w:rPr>
              <w:instrText xml:space="preserve"> PAGEREF _Toc494444495 \h </w:instrText>
            </w:r>
            <w:r w:rsidR="007B70EB">
              <w:rPr>
                <w:noProof/>
                <w:webHidden/>
              </w:rPr>
            </w:r>
            <w:r w:rsidR="007B70EB">
              <w:rPr>
                <w:noProof/>
                <w:webHidden/>
              </w:rPr>
              <w:fldChar w:fldCharType="separate"/>
            </w:r>
            <w:r w:rsidR="007B70EB">
              <w:rPr>
                <w:noProof/>
                <w:webHidden/>
              </w:rPr>
              <w:t>47</w:t>
            </w:r>
            <w:r w:rsidR="007B70EB">
              <w:rPr>
                <w:noProof/>
                <w:webHidden/>
              </w:rPr>
              <w:fldChar w:fldCharType="end"/>
            </w:r>
          </w:hyperlink>
        </w:p>
        <w:p w14:paraId="7DF1FA4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96" w:history="1">
            <w:r w:rsidR="007B70EB" w:rsidRPr="00AB6E34">
              <w:rPr>
                <w:rStyle w:val="Hyperlink"/>
                <w:rFonts w:eastAsia="Times New Roman"/>
                <w:noProof/>
                <w:lang w:eastAsia="en-AU"/>
                <w14:scene3d>
                  <w14:camera w14:prst="orthographicFront"/>
                  <w14:lightRig w14:rig="threePt" w14:dir="t">
                    <w14:rot w14:lat="0" w14:lon="0" w14:rev="0"/>
                  </w14:lightRig>
                </w14:scene3d>
              </w:rPr>
              <w:t>2.2.2.</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Chemicals of low concern for the environment per the National Chemicals Assessment</w:t>
            </w:r>
            <w:r w:rsidR="007B70EB">
              <w:rPr>
                <w:noProof/>
                <w:webHidden/>
              </w:rPr>
              <w:tab/>
            </w:r>
            <w:r w:rsidR="007B70EB">
              <w:rPr>
                <w:noProof/>
                <w:webHidden/>
              </w:rPr>
              <w:fldChar w:fldCharType="begin"/>
            </w:r>
            <w:r w:rsidR="007B70EB">
              <w:rPr>
                <w:noProof/>
                <w:webHidden/>
              </w:rPr>
              <w:instrText xml:space="preserve"> PAGEREF _Toc494444496 \h </w:instrText>
            </w:r>
            <w:r w:rsidR="007B70EB">
              <w:rPr>
                <w:noProof/>
                <w:webHidden/>
              </w:rPr>
            </w:r>
            <w:r w:rsidR="007B70EB">
              <w:rPr>
                <w:noProof/>
                <w:webHidden/>
              </w:rPr>
              <w:fldChar w:fldCharType="separate"/>
            </w:r>
            <w:r w:rsidR="007B70EB">
              <w:rPr>
                <w:noProof/>
                <w:webHidden/>
              </w:rPr>
              <w:t>47</w:t>
            </w:r>
            <w:r w:rsidR="007B70EB">
              <w:rPr>
                <w:noProof/>
                <w:webHidden/>
              </w:rPr>
              <w:fldChar w:fldCharType="end"/>
            </w:r>
          </w:hyperlink>
        </w:p>
        <w:p w14:paraId="471C724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97" w:history="1">
            <w:r w:rsidR="007B70EB" w:rsidRPr="00AB6E34">
              <w:rPr>
                <w:rStyle w:val="Hyperlink"/>
                <w:rFonts w:eastAsia="Times New Roman"/>
                <w:noProof/>
                <w:lang w:eastAsia="en-AU"/>
              </w:rPr>
              <w:t>2.2.2.1.</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Quantitative assessment approach</w:t>
            </w:r>
            <w:r w:rsidR="007B70EB">
              <w:rPr>
                <w:noProof/>
                <w:webHidden/>
              </w:rPr>
              <w:tab/>
            </w:r>
            <w:r w:rsidR="007B70EB">
              <w:rPr>
                <w:noProof/>
                <w:webHidden/>
              </w:rPr>
              <w:fldChar w:fldCharType="begin"/>
            </w:r>
            <w:r w:rsidR="007B70EB">
              <w:rPr>
                <w:noProof/>
                <w:webHidden/>
              </w:rPr>
              <w:instrText xml:space="preserve"> PAGEREF _Toc494444497 \h </w:instrText>
            </w:r>
            <w:r w:rsidR="007B70EB">
              <w:rPr>
                <w:noProof/>
                <w:webHidden/>
              </w:rPr>
            </w:r>
            <w:r w:rsidR="007B70EB">
              <w:rPr>
                <w:noProof/>
                <w:webHidden/>
              </w:rPr>
              <w:fldChar w:fldCharType="separate"/>
            </w:r>
            <w:r w:rsidR="007B70EB">
              <w:rPr>
                <w:noProof/>
                <w:webHidden/>
              </w:rPr>
              <w:t>47</w:t>
            </w:r>
            <w:r w:rsidR="007B70EB">
              <w:rPr>
                <w:noProof/>
                <w:webHidden/>
              </w:rPr>
              <w:fldChar w:fldCharType="end"/>
            </w:r>
          </w:hyperlink>
        </w:p>
        <w:p w14:paraId="2958F60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498" w:history="1">
            <w:r w:rsidR="007B70EB" w:rsidRPr="00AB6E34">
              <w:rPr>
                <w:rStyle w:val="Hyperlink"/>
                <w:rFonts w:eastAsia="Times New Roman"/>
                <w:noProof/>
                <w:lang w:eastAsia="en-AU"/>
              </w:rPr>
              <w:t>2.2.2.2.</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Qualitative assessment approach</w:t>
            </w:r>
            <w:r w:rsidR="007B70EB">
              <w:rPr>
                <w:noProof/>
                <w:webHidden/>
              </w:rPr>
              <w:tab/>
            </w:r>
            <w:r w:rsidR="007B70EB">
              <w:rPr>
                <w:noProof/>
                <w:webHidden/>
              </w:rPr>
              <w:fldChar w:fldCharType="begin"/>
            </w:r>
            <w:r w:rsidR="007B70EB">
              <w:rPr>
                <w:noProof/>
                <w:webHidden/>
              </w:rPr>
              <w:instrText xml:space="preserve"> PAGEREF _Toc494444498 \h </w:instrText>
            </w:r>
            <w:r w:rsidR="007B70EB">
              <w:rPr>
                <w:noProof/>
                <w:webHidden/>
              </w:rPr>
            </w:r>
            <w:r w:rsidR="007B70EB">
              <w:rPr>
                <w:noProof/>
                <w:webHidden/>
              </w:rPr>
              <w:fldChar w:fldCharType="separate"/>
            </w:r>
            <w:r w:rsidR="007B70EB">
              <w:rPr>
                <w:noProof/>
                <w:webHidden/>
              </w:rPr>
              <w:t>48</w:t>
            </w:r>
            <w:r w:rsidR="007B70EB">
              <w:rPr>
                <w:noProof/>
                <w:webHidden/>
              </w:rPr>
              <w:fldChar w:fldCharType="end"/>
            </w:r>
          </w:hyperlink>
        </w:p>
        <w:p w14:paraId="54E2EAB1" w14:textId="77777777" w:rsidR="007B70EB" w:rsidRDefault="00900E5C">
          <w:pPr>
            <w:pStyle w:val="TOC2"/>
            <w:rPr>
              <w:rFonts w:asciiTheme="minorHAnsi" w:hAnsiTheme="minorHAnsi"/>
              <w:noProof/>
              <w:sz w:val="22"/>
              <w:szCs w:val="22"/>
              <w:lang w:val="en-AU" w:eastAsia="en-AU"/>
            </w:rPr>
          </w:pPr>
          <w:hyperlink w:anchor="_Toc494444499" w:history="1">
            <w:r w:rsidR="007B70EB" w:rsidRPr="00AB6E34">
              <w:rPr>
                <w:rStyle w:val="Hyperlink"/>
                <w:noProof/>
                <w14:scene3d>
                  <w14:camera w14:prst="orthographicFront"/>
                  <w14:lightRig w14:rig="threePt" w14:dir="t">
                    <w14:rot w14:lat="0" w14:lon="0" w14:rev="0"/>
                  </w14:lightRig>
                </w14:scene3d>
              </w:rPr>
              <w:t>2.3.</w:t>
            </w:r>
            <w:r w:rsidR="007B70EB">
              <w:rPr>
                <w:rFonts w:asciiTheme="minorHAnsi" w:hAnsiTheme="minorHAnsi"/>
                <w:noProof/>
                <w:sz w:val="22"/>
                <w:szCs w:val="22"/>
                <w:lang w:val="en-AU" w:eastAsia="en-AU"/>
              </w:rPr>
              <w:tab/>
            </w:r>
            <w:r w:rsidR="007B70EB" w:rsidRPr="00AB6E34">
              <w:rPr>
                <w:rStyle w:val="Hyperlink"/>
                <w:noProof/>
              </w:rPr>
              <w:t>Selection of chemicals for proof-of-concept testing</w:t>
            </w:r>
            <w:r w:rsidR="007B70EB">
              <w:rPr>
                <w:noProof/>
                <w:webHidden/>
              </w:rPr>
              <w:tab/>
            </w:r>
            <w:r w:rsidR="007B70EB">
              <w:rPr>
                <w:noProof/>
                <w:webHidden/>
              </w:rPr>
              <w:fldChar w:fldCharType="begin"/>
            </w:r>
            <w:r w:rsidR="007B70EB">
              <w:rPr>
                <w:noProof/>
                <w:webHidden/>
              </w:rPr>
              <w:instrText xml:space="preserve"> PAGEREF _Toc494444499 \h </w:instrText>
            </w:r>
            <w:r w:rsidR="007B70EB">
              <w:rPr>
                <w:noProof/>
                <w:webHidden/>
              </w:rPr>
            </w:r>
            <w:r w:rsidR="007B70EB">
              <w:rPr>
                <w:noProof/>
                <w:webHidden/>
              </w:rPr>
              <w:fldChar w:fldCharType="separate"/>
            </w:r>
            <w:r w:rsidR="007B70EB">
              <w:rPr>
                <w:noProof/>
                <w:webHidden/>
              </w:rPr>
              <w:t>50</w:t>
            </w:r>
            <w:r w:rsidR="007B70EB">
              <w:rPr>
                <w:noProof/>
                <w:webHidden/>
              </w:rPr>
              <w:fldChar w:fldCharType="end"/>
            </w:r>
          </w:hyperlink>
        </w:p>
        <w:p w14:paraId="2052701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00" w:history="1">
            <w:r w:rsidR="007B70EB" w:rsidRPr="00AB6E34">
              <w:rPr>
                <w:rStyle w:val="Hyperlink"/>
                <w:noProof/>
                <w14:scene3d>
                  <w14:camera w14:prst="orthographicFront"/>
                  <w14:lightRig w14:rig="threePt" w14:dir="t">
                    <w14:rot w14:lat="0" w14:lon="0" w14:rev="0"/>
                  </w14:lightRig>
                </w14:scene3d>
              </w:rPr>
              <w:t>2.3.1.</w:t>
            </w:r>
            <w:r w:rsidR="007B70EB">
              <w:rPr>
                <w:rFonts w:asciiTheme="minorHAnsi" w:hAnsiTheme="minorHAnsi"/>
                <w:noProof/>
                <w:sz w:val="22"/>
                <w:szCs w:val="22"/>
                <w:lang w:val="en-AU" w:eastAsia="en-AU"/>
              </w:rPr>
              <w:tab/>
            </w:r>
            <w:r w:rsidR="007B70EB" w:rsidRPr="00AB6E34">
              <w:rPr>
                <w:rStyle w:val="Hyperlink"/>
                <w:noProof/>
              </w:rPr>
              <w:t>Methodology</w:t>
            </w:r>
            <w:r w:rsidR="007B70EB">
              <w:rPr>
                <w:noProof/>
                <w:webHidden/>
              </w:rPr>
              <w:tab/>
            </w:r>
            <w:r w:rsidR="007B70EB">
              <w:rPr>
                <w:noProof/>
                <w:webHidden/>
              </w:rPr>
              <w:fldChar w:fldCharType="begin"/>
            </w:r>
            <w:r w:rsidR="007B70EB">
              <w:rPr>
                <w:noProof/>
                <w:webHidden/>
              </w:rPr>
              <w:instrText xml:space="preserve"> PAGEREF _Toc494444500 \h </w:instrText>
            </w:r>
            <w:r w:rsidR="007B70EB">
              <w:rPr>
                <w:noProof/>
                <w:webHidden/>
              </w:rPr>
            </w:r>
            <w:r w:rsidR="007B70EB">
              <w:rPr>
                <w:noProof/>
                <w:webHidden/>
              </w:rPr>
              <w:fldChar w:fldCharType="separate"/>
            </w:r>
            <w:r w:rsidR="007B70EB">
              <w:rPr>
                <w:noProof/>
                <w:webHidden/>
              </w:rPr>
              <w:t>50</w:t>
            </w:r>
            <w:r w:rsidR="007B70EB">
              <w:rPr>
                <w:noProof/>
                <w:webHidden/>
              </w:rPr>
              <w:fldChar w:fldCharType="end"/>
            </w:r>
          </w:hyperlink>
        </w:p>
        <w:p w14:paraId="15A278B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01" w:history="1">
            <w:r w:rsidR="007B70EB" w:rsidRPr="00AB6E34">
              <w:rPr>
                <w:rStyle w:val="Hyperlink"/>
                <w:noProof/>
                <w14:scene3d>
                  <w14:camera w14:prst="orthographicFront"/>
                  <w14:lightRig w14:rig="threePt" w14:dir="t">
                    <w14:rot w14:lat="0" w14:lon="0" w14:rev="0"/>
                  </w14:lightRig>
                </w14:scene3d>
              </w:rPr>
              <w:t>2.3.2.</w:t>
            </w:r>
            <w:r w:rsidR="007B70EB">
              <w:rPr>
                <w:rFonts w:asciiTheme="minorHAnsi" w:hAnsiTheme="minorHAnsi"/>
                <w:noProof/>
                <w:sz w:val="22"/>
                <w:szCs w:val="22"/>
                <w:lang w:val="en-AU" w:eastAsia="en-AU"/>
              </w:rPr>
              <w:tab/>
            </w:r>
            <w:r w:rsidR="007B70EB" w:rsidRPr="00AB6E34">
              <w:rPr>
                <w:rStyle w:val="Hyperlink"/>
                <w:noProof/>
              </w:rPr>
              <w:t>Description of selected chemicals</w:t>
            </w:r>
            <w:r w:rsidR="007B70EB">
              <w:rPr>
                <w:noProof/>
                <w:webHidden/>
              </w:rPr>
              <w:tab/>
            </w:r>
            <w:r w:rsidR="007B70EB">
              <w:rPr>
                <w:noProof/>
                <w:webHidden/>
              </w:rPr>
              <w:fldChar w:fldCharType="begin"/>
            </w:r>
            <w:r w:rsidR="007B70EB">
              <w:rPr>
                <w:noProof/>
                <w:webHidden/>
              </w:rPr>
              <w:instrText xml:space="preserve"> PAGEREF _Toc494444501 \h </w:instrText>
            </w:r>
            <w:r w:rsidR="007B70EB">
              <w:rPr>
                <w:noProof/>
                <w:webHidden/>
              </w:rPr>
            </w:r>
            <w:r w:rsidR="007B70EB">
              <w:rPr>
                <w:noProof/>
                <w:webHidden/>
              </w:rPr>
              <w:fldChar w:fldCharType="separate"/>
            </w:r>
            <w:r w:rsidR="007B70EB">
              <w:rPr>
                <w:noProof/>
                <w:webHidden/>
              </w:rPr>
              <w:t>51</w:t>
            </w:r>
            <w:r w:rsidR="007B70EB">
              <w:rPr>
                <w:noProof/>
                <w:webHidden/>
              </w:rPr>
              <w:fldChar w:fldCharType="end"/>
            </w:r>
          </w:hyperlink>
        </w:p>
        <w:p w14:paraId="14FD1EC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02" w:history="1">
            <w:r w:rsidR="007B70EB" w:rsidRPr="00AB6E34">
              <w:rPr>
                <w:rStyle w:val="Hyperlink"/>
                <w:noProof/>
              </w:rPr>
              <w:t>2.3.2.1.</w:t>
            </w:r>
            <w:r w:rsidR="007B70EB">
              <w:rPr>
                <w:rFonts w:asciiTheme="minorHAnsi" w:hAnsiTheme="minorHAnsi"/>
                <w:noProof/>
                <w:sz w:val="22"/>
                <w:szCs w:val="22"/>
                <w:lang w:val="en-AU" w:eastAsia="en-AU"/>
              </w:rPr>
              <w:tab/>
            </w:r>
            <w:r w:rsidR="007B70EB" w:rsidRPr="00AB6E34">
              <w:rPr>
                <w:rStyle w:val="Hyperlink"/>
                <w:noProof/>
              </w:rPr>
              <w:t>2-Methylphenol</w:t>
            </w:r>
            <w:r w:rsidR="007B70EB">
              <w:rPr>
                <w:noProof/>
                <w:webHidden/>
              </w:rPr>
              <w:tab/>
            </w:r>
            <w:r w:rsidR="007B70EB">
              <w:rPr>
                <w:noProof/>
                <w:webHidden/>
              </w:rPr>
              <w:fldChar w:fldCharType="begin"/>
            </w:r>
            <w:r w:rsidR="007B70EB">
              <w:rPr>
                <w:noProof/>
                <w:webHidden/>
              </w:rPr>
              <w:instrText xml:space="preserve"> PAGEREF _Toc494444502 \h </w:instrText>
            </w:r>
            <w:r w:rsidR="007B70EB">
              <w:rPr>
                <w:noProof/>
                <w:webHidden/>
              </w:rPr>
            </w:r>
            <w:r w:rsidR="007B70EB">
              <w:rPr>
                <w:noProof/>
                <w:webHidden/>
              </w:rPr>
              <w:fldChar w:fldCharType="separate"/>
            </w:r>
            <w:r w:rsidR="007B70EB">
              <w:rPr>
                <w:noProof/>
                <w:webHidden/>
              </w:rPr>
              <w:t>51</w:t>
            </w:r>
            <w:r w:rsidR="007B70EB">
              <w:rPr>
                <w:noProof/>
                <w:webHidden/>
              </w:rPr>
              <w:fldChar w:fldCharType="end"/>
            </w:r>
          </w:hyperlink>
        </w:p>
        <w:p w14:paraId="4D938C0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03" w:history="1">
            <w:r w:rsidR="007B70EB" w:rsidRPr="00AB6E34">
              <w:rPr>
                <w:rStyle w:val="Hyperlink"/>
                <w:noProof/>
              </w:rPr>
              <w:t>2.3.2.2.</w:t>
            </w:r>
            <w:r w:rsidR="007B70EB">
              <w:rPr>
                <w:rFonts w:asciiTheme="minorHAnsi" w:hAnsiTheme="minorHAnsi"/>
                <w:noProof/>
                <w:sz w:val="22"/>
                <w:szCs w:val="22"/>
                <w:lang w:val="en-AU" w:eastAsia="en-AU"/>
              </w:rPr>
              <w:tab/>
            </w:r>
            <w:r w:rsidR="007B70EB" w:rsidRPr="00AB6E34">
              <w:rPr>
                <w:rStyle w:val="Hyperlink"/>
                <w:noProof/>
              </w:rPr>
              <w:t>Naphthalene</w:t>
            </w:r>
            <w:r w:rsidR="007B70EB">
              <w:rPr>
                <w:noProof/>
                <w:webHidden/>
              </w:rPr>
              <w:tab/>
            </w:r>
            <w:r w:rsidR="007B70EB">
              <w:rPr>
                <w:noProof/>
                <w:webHidden/>
              </w:rPr>
              <w:fldChar w:fldCharType="begin"/>
            </w:r>
            <w:r w:rsidR="007B70EB">
              <w:rPr>
                <w:noProof/>
                <w:webHidden/>
              </w:rPr>
              <w:instrText xml:space="preserve"> PAGEREF _Toc494444503 \h </w:instrText>
            </w:r>
            <w:r w:rsidR="007B70EB">
              <w:rPr>
                <w:noProof/>
                <w:webHidden/>
              </w:rPr>
            </w:r>
            <w:r w:rsidR="007B70EB">
              <w:rPr>
                <w:noProof/>
                <w:webHidden/>
              </w:rPr>
              <w:fldChar w:fldCharType="separate"/>
            </w:r>
            <w:r w:rsidR="007B70EB">
              <w:rPr>
                <w:noProof/>
                <w:webHidden/>
              </w:rPr>
              <w:t>51</w:t>
            </w:r>
            <w:r w:rsidR="007B70EB">
              <w:rPr>
                <w:noProof/>
                <w:webHidden/>
              </w:rPr>
              <w:fldChar w:fldCharType="end"/>
            </w:r>
          </w:hyperlink>
        </w:p>
        <w:p w14:paraId="306F64B9"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04" w:history="1">
            <w:r w:rsidR="007B70EB" w:rsidRPr="00AB6E34">
              <w:rPr>
                <w:rStyle w:val="Hyperlink"/>
                <w:noProof/>
              </w:rPr>
              <w:t>2.3.2.3.</w:t>
            </w:r>
            <w:r w:rsidR="007B70EB">
              <w:rPr>
                <w:rFonts w:asciiTheme="minorHAnsi" w:hAnsiTheme="minorHAnsi"/>
                <w:noProof/>
                <w:sz w:val="22"/>
                <w:szCs w:val="22"/>
                <w:lang w:val="en-AU" w:eastAsia="en-AU"/>
              </w:rPr>
              <w:tab/>
            </w:r>
            <w:r w:rsidR="007B70EB" w:rsidRPr="00AB6E34">
              <w:rPr>
                <w:rStyle w:val="Hyperlink"/>
                <w:noProof/>
              </w:rPr>
              <w:t>Boron</w:t>
            </w:r>
            <w:r w:rsidR="007B70EB">
              <w:rPr>
                <w:noProof/>
                <w:webHidden/>
              </w:rPr>
              <w:tab/>
            </w:r>
            <w:r w:rsidR="007B70EB">
              <w:rPr>
                <w:noProof/>
                <w:webHidden/>
              </w:rPr>
              <w:fldChar w:fldCharType="begin"/>
            </w:r>
            <w:r w:rsidR="007B70EB">
              <w:rPr>
                <w:noProof/>
                <w:webHidden/>
              </w:rPr>
              <w:instrText xml:space="preserve"> PAGEREF _Toc494444504 \h </w:instrText>
            </w:r>
            <w:r w:rsidR="007B70EB">
              <w:rPr>
                <w:noProof/>
                <w:webHidden/>
              </w:rPr>
            </w:r>
            <w:r w:rsidR="007B70EB">
              <w:rPr>
                <w:noProof/>
                <w:webHidden/>
              </w:rPr>
              <w:fldChar w:fldCharType="separate"/>
            </w:r>
            <w:r w:rsidR="007B70EB">
              <w:rPr>
                <w:noProof/>
                <w:webHidden/>
              </w:rPr>
              <w:t>57</w:t>
            </w:r>
            <w:r w:rsidR="007B70EB">
              <w:rPr>
                <w:noProof/>
                <w:webHidden/>
              </w:rPr>
              <w:fldChar w:fldCharType="end"/>
            </w:r>
          </w:hyperlink>
        </w:p>
        <w:p w14:paraId="3C77DCE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05" w:history="1">
            <w:r w:rsidR="007B70EB" w:rsidRPr="00AB6E34">
              <w:rPr>
                <w:rStyle w:val="Hyperlink"/>
                <w:noProof/>
              </w:rPr>
              <w:t>2.3.2.4.</w:t>
            </w:r>
            <w:r w:rsidR="007B70EB">
              <w:rPr>
                <w:rFonts w:asciiTheme="minorHAnsi" w:hAnsiTheme="minorHAnsi"/>
                <w:noProof/>
                <w:sz w:val="22"/>
                <w:szCs w:val="22"/>
                <w:lang w:val="en-AU" w:eastAsia="en-AU"/>
              </w:rPr>
              <w:tab/>
            </w:r>
            <w:r w:rsidR="007B70EB" w:rsidRPr="00AB6E34">
              <w:rPr>
                <w:rStyle w:val="Hyperlink"/>
                <w:noProof/>
              </w:rPr>
              <w:t>Arsenic</w:t>
            </w:r>
            <w:r w:rsidR="007B70EB">
              <w:rPr>
                <w:noProof/>
                <w:webHidden/>
              </w:rPr>
              <w:tab/>
            </w:r>
            <w:r w:rsidR="007B70EB">
              <w:rPr>
                <w:noProof/>
                <w:webHidden/>
              </w:rPr>
              <w:fldChar w:fldCharType="begin"/>
            </w:r>
            <w:r w:rsidR="007B70EB">
              <w:rPr>
                <w:noProof/>
                <w:webHidden/>
              </w:rPr>
              <w:instrText xml:space="preserve"> PAGEREF _Toc494444505 \h </w:instrText>
            </w:r>
            <w:r w:rsidR="007B70EB">
              <w:rPr>
                <w:noProof/>
                <w:webHidden/>
              </w:rPr>
            </w:r>
            <w:r w:rsidR="007B70EB">
              <w:rPr>
                <w:noProof/>
                <w:webHidden/>
              </w:rPr>
              <w:fldChar w:fldCharType="separate"/>
            </w:r>
            <w:r w:rsidR="007B70EB">
              <w:rPr>
                <w:noProof/>
                <w:webHidden/>
              </w:rPr>
              <w:t>57</w:t>
            </w:r>
            <w:r w:rsidR="007B70EB">
              <w:rPr>
                <w:noProof/>
                <w:webHidden/>
              </w:rPr>
              <w:fldChar w:fldCharType="end"/>
            </w:r>
          </w:hyperlink>
        </w:p>
        <w:p w14:paraId="5D637A7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06" w:history="1">
            <w:r w:rsidR="007B70EB" w:rsidRPr="00AB6E34">
              <w:rPr>
                <w:rStyle w:val="Hyperlink"/>
                <w:noProof/>
              </w:rPr>
              <w:t>2.3.2.5.</w:t>
            </w:r>
            <w:r w:rsidR="007B70EB">
              <w:rPr>
                <w:rFonts w:asciiTheme="minorHAnsi" w:hAnsiTheme="minorHAnsi"/>
                <w:noProof/>
                <w:sz w:val="22"/>
                <w:szCs w:val="22"/>
                <w:lang w:val="en-AU" w:eastAsia="en-AU"/>
              </w:rPr>
              <w:tab/>
            </w:r>
            <w:r w:rsidR="007B70EB" w:rsidRPr="00AB6E34">
              <w:rPr>
                <w:rStyle w:val="Hyperlink"/>
                <w:noProof/>
              </w:rPr>
              <w:t>Uranium</w:t>
            </w:r>
            <w:r w:rsidR="007B70EB">
              <w:rPr>
                <w:noProof/>
                <w:webHidden/>
              </w:rPr>
              <w:tab/>
            </w:r>
            <w:r w:rsidR="007B70EB">
              <w:rPr>
                <w:noProof/>
                <w:webHidden/>
              </w:rPr>
              <w:fldChar w:fldCharType="begin"/>
            </w:r>
            <w:r w:rsidR="007B70EB">
              <w:rPr>
                <w:noProof/>
                <w:webHidden/>
              </w:rPr>
              <w:instrText xml:space="preserve"> PAGEREF _Toc494444506 \h </w:instrText>
            </w:r>
            <w:r w:rsidR="007B70EB">
              <w:rPr>
                <w:noProof/>
                <w:webHidden/>
              </w:rPr>
            </w:r>
            <w:r w:rsidR="007B70EB">
              <w:rPr>
                <w:noProof/>
                <w:webHidden/>
              </w:rPr>
              <w:fldChar w:fldCharType="separate"/>
            </w:r>
            <w:r w:rsidR="007B70EB">
              <w:rPr>
                <w:noProof/>
                <w:webHidden/>
              </w:rPr>
              <w:t>59</w:t>
            </w:r>
            <w:r w:rsidR="007B70EB">
              <w:rPr>
                <w:noProof/>
                <w:webHidden/>
              </w:rPr>
              <w:fldChar w:fldCharType="end"/>
            </w:r>
          </w:hyperlink>
        </w:p>
        <w:p w14:paraId="4C5EFA0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07" w:history="1">
            <w:r w:rsidR="007B70EB" w:rsidRPr="00AB6E34">
              <w:rPr>
                <w:rStyle w:val="Hyperlink"/>
                <w:noProof/>
              </w:rPr>
              <w:t>2.3.2.6.</w:t>
            </w:r>
            <w:r w:rsidR="007B70EB">
              <w:rPr>
                <w:rFonts w:asciiTheme="minorHAnsi" w:hAnsiTheme="minorHAnsi"/>
                <w:noProof/>
                <w:sz w:val="22"/>
                <w:szCs w:val="22"/>
                <w:lang w:val="en-AU" w:eastAsia="en-AU"/>
              </w:rPr>
              <w:tab/>
            </w:r>
            <w:r w:rsidR="007B70EB" w:rsidRPr="00AB6E34">
              <w:rPr>
                <w:rStyle w:val="Hyperlink"/>
                <w:noProof/>
              </w:rPr>
              <w:t>HMX</w:t>
            </w:r>
            <w:r w:rsidR="007B70EB">
              <w:rPr>
                <w:noProof/>
                <w:webHidden/>
              </w:rPr>
              <w:tab/>
            </w:r>
            <w:r w:rsidR="007B70EB">
              <w:rPr>
                <w:noProof/>
                <w:webHidden/>
              </w:rPr>
              <w:fldChar w:fldCharType="begin"/>
            </w:r>
            <w:r w:rsidR="007B70EB">
              <w:rPr>
                <w:noProof/>
                <w:webHidden/>
              </w:rPr>
              <w:instrText xml:space="preserve"> PAGEREF _Toc494444507 \h </w:instrText>
            </w:r>
            <w:r w:rsidR="007B70EB">
              <w:rPr>
                <w:noProof/>
                <w:webHidden/>
              </w:rPr>
            </w:r>
            <w:r w:rsidR="007B70EB">
              <w:rPr>
                <w:noProof/>
                <w:webHidden/>
              </w:rPr>
              <w:fldChar w:fldCharType="separate"/>
            </w:r>
            <w:r w:rsidR="007B70EB">
              <w:rPr>
                <w:noProof/>
                <w:webHidden/>
              </w:rPr>
              <w:t>60</w:t>
            </w:r>
            <w:r w:rsidR="007B70EB">
              <w:rPr>
                <w:noProof/>
                <w:webHidden/>
              </w:rPr>
              <w:fldChar w:fldCharType="end"/>
            </w:r>
          </w:hyperlink>
        </w:p>
        <w:p w14:paraId="72ABD37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08" w:history="1">
            <w:r w:rsidR="007B70EB" w:rsidRPr="00AB6E34">
              <w:rPr>
                <w:rStyle w:val="Hyperlink"/>
                <w:noProof/>
              </w:rPr>
              <w:t>2.3.2.7.</w:t>
            </w:r>
            <w:r w:rsidR="007B70EB">
              <w:rPr>
                <w:rFonts w:asciiTheme="minorHAnsi" w:hAnsiTheme="minorHAnsi"/>
                <w:noProof/>
                <w:sz w:val="22"/>
                <w:szCs w:val="22"/>
                <w:lang w:val="en-AU" w:eastAsia="en-AU"/>
              </w:rPr>
              <w:tab/>
            </w:r>
            <w:r w:rsidR="007B70EB" w:rsidRPr="00AB6E34">
              <w:rPr>
                <w:rStyle w:val="Hyperlink"/>
                <w:noProof/>
              </w:rPr>
              <w:t>2-Butoxyethanol</w:t>
            </w:r>
            <w:r w:rsidR="007B70EB">
              <w:rPr>
                <w:noProof/>
                <w:webHidden/>
              </w:rPr>
              <w:tab/>
            </w:r>
            <w:r w:rsidR="007B70EB">
              <w:rPr>
                <w:noProof/>
                <w:webHidden/>
              </w:rPr>
              <w:fldChar w:fldCharType="begin"/>
            </w:r>
            <w:r w:rsidR="007B70EB">
              <w:rPr>
                <w:noProof/>
                <w:webHidden/>
              </w:rPr>
              <w:instrText xml:space="preserve"> PAGEREF _Toc494444508 \h </w:instrText>
            </w:r>
            <w:r w:rsidR="007B70EB">
              <w:rPr>
                <w:noProof/>
                <w:webHidden/>
              </w:rPr>
            </w:r>
            <w:r w:rsidR="007B70EB">
              <w:rPr>
                <w:noProof/>
                <w:webHidden/>
              </w:rPr>
              <w:fldChar w:fldCharType="separate"/>
            </w:r>
            <w:r w:rsidR="007B70EB">
              <w:rPr>
                <w:noProof/>
                <w:webHidden/>
              </w:rPr>
              <w:t>60</w:t>
            </w:r>
            <w:r w:rsidR="007B70EB">
              <w:rPr>
                <w:noProof/>
                <w:webHidden/>
              </w:rPr>
              <w:fldChar w:fldCharType="end"/>
            </w:r>
          </w:hyperlink>
        </w:p>
        <w:p w14:paraId="44DC30A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09" w:history="1">
            <w:r w:rsidR="007B70EB" w:rsidRPr="00AB6E34">
              <w:rPr>
                <w:rStyle w:val="Hyperlink"/>
                <w:noProof/>
              </w:rPr>
              <w:t>2.3.2.8.</w:t>
            </w:r>
            <w:r w:rsidR="007B70EB">
              <w:rPr>
                <w:rFonts w:asciiTheme="minorHAnsi" w:hAnsiTheme="minorHAnsi"/>
                <w:noProof/>
                <w:sz w:val="22"/>
                <w:szCs w:val="22"/>
                <w:lang w:val="en-AU" w:eastAsia="en-AU"/>
              </w:rPr>
              <w:tab/>
            </w:r>
            <w:r w:rsidR="007B70EB" w:rsidRPr="00AB6E34">
              <w:rPr>
                <w:rStyle w:val="Hyperlink"/>
                <w:noProof/>
              </w:rPr>
              <w:t>Bronopol</w:t>
            </w:r>
            <w:r w:rsidR="007B70EB">
              <w:rPr>
                <w:noProof/>
                <w:webHidden/>
              </w:rPr>
              <w:tab/>
            </w:r>
            <w:r w:rsidR="007B70EB">
              <w:rPr>
                <w:noProof/>
                <w:webHidden/>
              </w:rPr>
              <w:fldChar w:fldCharType="begin"/>
            </w:r>
            <w:r w:rsidR="007B70EB">
              <w:rPr>
                <w:noProof/>
                <w:webHidden/>
              </w:rPr>
              <w:instrText xml:space="preserve"> PAGEREF _Toc494444509 \h </w:instrText>
            </w:r>
            <w:r w:rsidR="007B70EB">
              <w:rPr>
                <w:noProof/>
                <w:webHidden/>
              </w:rPr>
            </w:r>
            <w:r w:rsidR="007B70EB">
              <w:rPr>
                <w:noProof/>
                <w:webHidden/>
              </w:rPr>
              <w:fldChar w:fldCharType="separate"/>
            </w:r>
            <w:r w:rsidR="007B70EB">
              <w:rPr>
                <w:noProof/>
                <w:webHidden/>
              </w:rPr>
              <w:t>60</w:t>
            </w:r>
            <w:r w:rsidR="007B70EB">
              <w:rPr>
                <w:noProof/>
                <w:webHidden/>
              </w:rPr>
              <w:fldChar w:fldCharType="end"/>
            </w:r>
          </w:hyperlink>
        </w:p>
        <w:p w14:paraId="4E4462B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10" w:history="1">
            <w:r w:rsidR="007B70EB" w:rsidRPr="00AB6E34">
              <w:rPr>
                <w:rStyle w:val="Hyperlink"/>
                <w:noProof/>
              </w:rPr>
              <w:t>2.3.2.9.</w:t>
            </w:r>
            <w:r w:rsidR="007B70EB">
              <w:rPr>
                <w:rFonts w:asciiTheme="minorHAnsi" w:hAnsiTheme="minorHAnsi"/>
                <w:noProof/>
                <w:sz w:val="22"/>
                <w:szCs w:val="22"/>
                <w:lang w:val="en-AU" w:eastAsia="en-AU"/>
              </w:rPr>
              <w:tab/>
            </w:r>
            <w:r w:rsidR="007B70EB" w:rsidRPr="00AB6E34">
              <w:rPr>
                <w:rStyle w:val="Hyperlink"/>
                <w:noProof/>
              </w:rPr>
              <w:t>Methyl-chloro-isothiazolinone</w:t>
            </w:r>
            <w:r w:rsidR="007B70EB">
              <w:rPr>
                <w:noProof/>
                <w:webHidden/>
              </w:rPr>
              <w:tab/>
            </w:r>
            <w:r w:rsidR="007B70EB">
              <w:rPr>
                <w:noProof/>
                <w:webHidden/>
              </w:rPr>
              <w:fldChar w:fldCharType="begin"/>
            </w:r>
            <w:r w:rsidR="007B70EB">
              <w:rPr>
                <w:noProof/>
                <w:webHidden/>
              </w:rPr>
              <w:instrText xml:space="preserve"> PAGEREF _Toc494444510 \h </w:instrText>
            </w:r>
            <w:r w:rsidR="007B70EB">
              <w:rPr>
                <w:noProof/>
                <w:webHidden/>
              </w:rPr>
            </w:r>
            <w:r w:rsidR="007B70EB">
              <w:rPr>
                <w:noProof/>
                <w:webHidden/>
              </w:rPr>
              <w:fldChar w:fldCharType="separate"/>
            </w:r>
            <w:r w:rsidR="007B70EB">
              <w:rPr>
                <w:noProof/>
                <w:webHidden/>
              </w:rPr>
              <w:t>60</w:t>
            </w:r>
            <w:r w:rsidR="007B70EB">
              <w:rPr>
                <w:noProof/>
                <w:webHidden/>
              </w:rPr>
              <w:fldChar w:fldCharType="end"/>
            </w:r>
          </w:hyperlink>
        </w:p>
        <w:p w14:paraId="308D039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11" w:history="1">
            <w:r w:rsidR="007B70EB" w:rsidRPr="00AB6E34">
              <w:rPr>
                <w:rStyle w:val="Hyperlink"/>
                <w:noProof/>
              </w:rPr>
              <w:t>2.3.2.10.</w:t>
            </w:r>
            <w:r w:rsidR="007B70EB">
              <w:rPr>
                <w:rFonts w:asciiTheme="minorHAnsi" w:hAnsiTheme="minorHAnsi"/>
                <w:noProof/>
                <w:sz w:val="22"/>
                <w:szCs w:val="22"/>
                <w:lang w:val="en-AU" w:eastAsia="en-AU"/>
              </w:rPr>
              <w:tab/>
            </w:r>
            <w:r w:rsidR="007B70EB" w:rsidRPr="00AB6E34">
              <w:rPr>
                <w:rStyle w:val="Hyperlink"/>
                <w:noProof/>
              </w:rPr>
              <w:t>Barium</w:t>
            </w:r>
            <w:r w:rsidR="007B70EB">
              <w:rPr>
                <w:noProof/>
                <w:webHidden/>
              </w:rPr>
              <w:tab/>
            </w:r>
            <w:r w:rsidR="007B70EB">
              <w:rPr>
                <w:noProof/>
                <w:webHidden/>
              </w:rPr>
              <w:fldChar w:fldCharType="begin"/>
            </w:r>
            <w:r w:rsidR="007B70EB">
              <w:rPr>
                <w:noProof/>
                <w:webHidden/>
              </w:rPr>
              <w:instrText xml:space="preserve"> PAGEREF _Toc494444511 \h </w:instrText>
            </w:r>
            <w:r w:rsidR="007B70EB">
              <w:rPr>
                <w:noProof/>
                <w:webHidden/>
              </w:rPr>
            </w:r>
            <w:r w:rsidR="007B70EB">
              <w:rPr>
                <w:noProof/>
                <w:webHidden/>
              </w:rPr>
              <w:fldChar w:fldCharType="separate"/>
            </w:r>
            <w:r w:rsidR="007B70EB">
              <w:rPr>
                <w:noProof/>
                <w:webHidden/>
              </w:rPr>
              <w:t>61</w:t>
            </w:r>
            <w:r w:rsidR="007B70EB">
              <w:rPr>
                <w:noProof/>
                <w:webHidden/>
              </w:rPr>
              <w:fldChar w:fldCharType="end"/>
            </w:r>
          </w:hyperlink>
        </w:p>
        <w:p w14:paraId="2CCEA4C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12" w:history="1">
            <w:r w:rsidR="007B70EB" w:rsidRPr="00AB6E34">
              <w:rPr>
                <w:rStyle w:val="Hyperlink"/>
                <w:noProof/>
              </w:rPr>
              <w:t>2.3.2.11.</w:t>
            </w:r>
            <w:r w:rsidR="007B70EB">
              <w:rPr>
                <w:rFonts w:asciiTheme="minorHAnsi" w:hAnsiTheme="minorHAnsi"/>
                <w:noProof/>
                <w:sz w:val="22"/>
                <w:szCs w:val="22"/>
                <w:lang w:val="en-AU" w:eastAsia="en-AU"/>
              </w:rPr>
              <w:tab/>
            </w:r>
            <w:r w:rsidR="007B70EB" w:rsidRPr="00AB6E34">
              <w:rPr>
                <w:rStyle w:val="Hyperlink"/>
                <w:noProof/>
              </w:rPr>
              <w:t>Limonene</w:t>
            </w:r>
            <w:r w:rsidR="007B70EB">
              <w:rPr>
                <w:noProof/>
                <w:webHidden/>
              </w:rPr>
              <w:tab/>
            </w:r>
            <w:r w:rsidR="007B70EB">
              <w:rPr>
                <w:noProof/>
                <w:webHidden/>
              </w:rPr>
              <w:fldChar w:fldCharType="begin"/>
            </w:r>
            <w:r w:rsidR="007B70EB">
              <w:rPr>
                <w:noProof/>
                <w:webHidden/>
              </w:rPr>
              <w:instrText xml:space="preserve"> PAGEREF _Toc494444512 \h </w:instrText>
            </w:r>
            <w:r w:rsidR="007B70EB">
              <w:rPr>
                <w:noProof/>
                <w:webHidden/>
              </w:rPr>
            </w:r>
            <w:r w:rsidR="007B70EB">
              <w:rPr>
                <w:noProof/>
                <w:webHidden/>
              </w:rPr>
              <w:fldChar w:fldCharType="separate"/>
            </w:r>
            <w:r w:rsidR="007B70EB">
              <w:rPr>
                <w:noProof/>
                <w:webHidden/>
              </w:rPr>
              <w:t>61</w:t>
            </w:r>
            <w:r w:rsidR="007B70EB">
              <w:rPr>
                <w:noProof/>
                <w:webHidden/>
              </w:rPr>
              <w:fldChar w:fldCharType="end"/>
            </w:r>
          </w:hyperlink>
        </w:p>
        <w:p w14:paraId="0E94044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13" w:history="1">
            <w:r w:rsidR="007B70EB" w:rsidRPr="00AB6E34">
              <w:rPr>
                <w:rStyle w:val="Hyperlink"/>
                <w:noProof/>
              </w:rPr>
              <w:t>2.3.2.12.</w:t>
            </w:r>
            <w:r w:rsidR="007B70EB">
              <w:rPr>
                <w:rFonts w:asciiTheme="minorHAnsi" w:hAnsiTheme="minorHAnsi"/>
                <w:noProof/>
                <w:sz w:val="22"/>
                <w:szCs w:val="22"/>
                <w:lang w:val="en-AU" w:eastAsia="en-AU"/>
              </w:rPr>
              <w:tab/>
            </w:r>
            <w:r w:rsidR="007B70EB" w:rsidRPr="00AB6E34">
              <w:rPr>
                <w:rStyle w:val="Hyperlink"/>
                <w:noProof/>
              </w:rPr>
              <w:t>Acrylamide polymer</w:t>
            </w:r>
            <w:r w:rsidR="007B70EB">
              <w:rPr>
                <w:noProof/>
                <w:webHidden/>
              </w:rPr>
              <w:tab/>
            </w:r>
            <w:r w:rsidR="007B70EB">
              <w:rPr>
                <w:noProof/>
                <w:webHidden/>
              </w:rPr>
              <w:fldChar w:fldCharType="begin"/>
            </w:r>
            <w:r w:rsidR="007B70EB">
              <w:rPr>
                <w:noProof/>
                <w:webHidden/>
              </w:rPr>
              <w:instrText xml:space="preserve"> PAGEREF _Toc494444513 \h </w:instrText>
            </w:r>
            <w:r w:rsidR="007B70EB">
              <w:rPr>
                <w:noProof/>
                <w:webHidden/>
              </w:rPr>
            </w:r>
            <w:r w:rsidR="007B70EB">
              <w:rPr>
                <w:noProof/>
                <w:webHidden/>
              </w:rPr>
              <w:fldChar w:fldCharType="separate"/>
            </w:r>
            <w:r w:rsidR="007B70EB">
              <w:rPr>
                <w:noProof/>
                <w:webHidden/>
              </w:rPr>
              <w:t>62</w:t>
            </w:r>
            <w:r w:rsidR="007B70EB">
              <w:rPr>
                <w:noProof/>
                <w:webHidden/>
              </w:rPr>
              <w:fldChar w:fldCharType="end"/>
            </w:r>
          </w:hyperlink>
        </w:p>
        <w:p w14:paraId="5F74715A" w14:textId="77777777" w:rsidR="007B70EB" w:rsidRDefault="00900E5C">
          <w:pPr>
            <w:pStyle w:val="TOC2"/>
            <w:rPr>
              <w:rFonts w:asciiTheme="minorHAnsi" w:hAnsiTheme="minorHAnsi"/>
              <w:noProof/>
              <w:sz w:val="22"/>
              <w:szCs w:val="22"/>
              <w:lang w:val="en-AU" w:eastAsia="en-AU"/>
            </w:rPr>
          </w:pPr>
          <w:hyperlink w:anchor="_Toc494444514" w:history="1">
            <w:r w:rsidR="007B70EB" w:rsidRPr="00AB6E34">
              <w:rPr>
                <w:rStyle w:val="Hyperlink"/>
                <w:noProof/>
                <w14:scene3d>
                  <w14:camera w14:prst="orthographicFront"/>
                  <w14:lightRig w14:rig="threePt" w14:dir="t">
                    <w14:rot w14:lat="0" w14:lon="0" w14:rev="0"/>
                  </w14:lightRig>
                </w14:scene3d>
              </w:rPr>
              <w:t>2.4.</w:t>
            </w:r>
            <w:r w:rsidR="007B70EB">
              <w:rPr>
                <w:rFonts w:asciiTheme="minorHAnsi" w:hAnsiTheme="minorHAnsi"/>
                <w:noProof/>
                <w:sz w:val="22"/>
                <w:szCs w:val="22"/>
                <w:lang w:val="en-AU" w:eastAsia="en-AU"/>
              </w:rPr>
              <w:tab/>
            </w:r>
            <w:r w:rsidR="007B70EB" w:rsidRPr="00AB6E34">
              <w:rPr>
                <w:rStyle w:val="Hyperlink"/>
                <w:noProof/>
              </w:rPr>
              <w:t>Identification of assets within the Gunnedah Basin</w:t>
            </w:r>
            <w:r w:rsidR="007B70EB">
              <w:rPr>
                <w:noProof/>
                <w:webHidden/>
              </w:rPr>
              <w:tab/>
            </w:r>
            <w:r w:rsidR="007B70EB">
              <w:rPr>
                <w:noProof/>
                <w:webHidden/>
              </w:rPr>
              <w:fldChar w:fldCharType="begin"/>
            </w:r>
            <w:r w:rsidR="007B70EB">
              <w:rPr>
                <w:noProof/>
                <w:webHidden/>
              </w:rPr>
              <w:instrText xml:space="preserve"> PAGEREF _Toc494444514 \h </w:instrText>
            </w:r>
            <w:r w:rsidR="007B70EB">
              <w:rPr>
                <w:noProof/>
                <w:webHidden/>
              </w:rPr>
            </w:r>
            <w:r w:rsidR="007B70EB">
              <w:rPr>
                <w:noProof/>
                <w:webHidden/>
              </w:rPr>
              <w:fldChar w:fldCharType="separate"/>
            </w:r>
            <w:r w:rsidR="007B70EB">
              <w:rPr>
                <w:noProof/>
                <w:webHidden/>
              </w:rPr>
              <w:t>63</w:t>
            </w:r>
            <w:r w:rsidR="007B70EB">
              <w:rPr>
                <w:noProof/>
                <w:webHidden/>
              </w:rPr>
              <w:fldChar w:fldCharType="end"/>
            </w:r>
          </w:hyperlink>
        </w:p>
        <w:p w14:paraId="112D82EF"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15" w:history="1">
            <w:r w:rsidR="007B70EB" w:rsidRPr="00AB6E34">
              <w:rPr>
                <w:rStyle w:val="Hyperlink"/>
                <w:noProof/>
                <w14:scene3d>
                  <w14:camera w14:prst="orthographicFront"/>
                  <w14:lightRig w14:rig="threePt" w14:dir="t">
                    <w14:rot w14:lat="0" w14:lon="0" w14:rev="0"/>
                  </w14:lightRig>
                </w14:scene3d>
              </w:rPr>
              <w:t>2.4.1.</w:t>
            </w:r>
            <w:r w:rsidR="007B70EB">
              <w:rPr>
                <w:rFonts w:asciiTheme="minorHAnsi" w:hAnsiTheme="minorHAnsi"/>
                <w:noProof/>
                <w:sz w:val="22"/>
                <w:szCs w:val="22"/>
                <w:lang w:val="en-AU" w:eastAsia="en-AU"/>
              </w:rPr>
              <w:tab/>
            </w:r>
            <w:r w:rsidR="007B70EB" w:rsidRPr="00AB6E34">
              <w:rPr>
                <w:rStyle w:val="Hyperlink"/>
                <w:noProof/>
              </w:rPr>
              <w:t>Ecological assets</w:t>
            </w:r>
            <w:r w:rsidR="007B70EB">
              <w:rPr>
                <w:noProof/>
                <w:webHidden/>
              </w:rPr>
              <w:tab/>
            </w:r>
            <w:r w:rsidR="007B70EB">
              <w:rPr>
                <w:noProof/>
                <w:webHidden/>
              </w:rPr>
              <w:fldChar w:fldCharType="begin"/>
            </w:r>
            <w:r w:rsidR="007B70EB">
              <w:rPr>
                <w:noProof/>
                <w:webHidden/>
              </w:rPr>
              <w:instrText xml:space="preserve"> PAGEREF _Toc494444515 \h </w:instrText>
            </w:r>
            <w:r w:rsidR="007B70EB">
              <w:rPr>
                <w:noProof/>
                <w:webHidden/>
              </w:rPr>
            </w:r>
            <w:r w:rsidR="007B70EB">
              <w:rPr>
                <w:noProof/>
                <w:webHidden/>
              </w:rPr>
              <w:fldChar w:fldCharType="separate"/>
            </w:r>
            <w:r w:rsidR="007B70EB">
              <w:rPr>
                <w:noProof/>
                <w:webHidden/>
              </w:rPr>
              <w:t>63</w:t>
            </w:r>
            <w:r w:rsidR="007B70EB">
              <w:rPr>
                <w:noProof/>
                <w:webHidden/>
              </w:rPr>
              <w:fldChar w:fldCharType="end"/>
            </w:r>
          </w:hyperlink>
        </w:p>
        <w:p w14:paraId="1A04BA4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16" w:history="1">
            <w:r w:rsidR="007B70EB" w:rsidRPr="00AB6E34">
              <w:rPr>
                <w:rStyle w:val="Hyperlink"/>
                <w:noProof/>
                <w14:scene3d>
                  <w14:camera w14:prst="orthographicFront"/>
                  <w14:lightRig w14:rig="threePt" w14:dir="t">
                    <w14:rot w14:lat="0" w14:lon="0" w14:rev="0"/>
                  </w14:lightRig>
                </w14:scene3d>
              </w:rPr>
              <w:t>2.4.2.</w:t>
            </w:r>
            <w:r w:rsidR="007B70EB">
              <w:rPr>
                <w:rFonts w:asciiTheme="minorHAnsi" w:hAnsiTheme="minorHAnsi"/>
                <w:noProof/>
                <w:sz w:val="22"/>
                <w:szCs w:val="22"/>
                <w:lang w:val="en-AU" w:eastAsia="en-AU"/>
              </w:rPr>
              <w:tab/>
            </w:r>
            <w:r w:rsidR="007B70EB" w:rsidRPr="00AB6E34">
              <w:rPr>
                <w:rStyle w:val="Hyperlink"/>
                <w:noProof/>
              </w:rPr>
              <w:t>Economic assets</w:t>
            </w:r>
            <w:r w:rsidR="007B70EB">
              <w:rPr>
                <w:noProof/>
                <w:webHidden/>
              </w:rPr>
              <w:tab/>
            </w:r>
            <w:r w:rsidR="007B70EB">
              <w:rPr>
                <w:noProof/>
                <w:webHidden/>
              </w:rPr>
              <w:fldChar w:fldCharType="begin"/>
            </w:r>
            <w:r w:rsidR="007B70EB">
              <w:rPr>
                <w:noProof/>
                <w:webHidden/>
              </w:rPr>
              <w:instrText xml:space="preserve"> PAGEREF _Toc494444516 \h </w:instrText>
            </w:r>
            <w:r w:rsidR="007B70EB">
              <w:rPr>
                <w:noProof/>
                <w:webHidden/>
              </w:rPr>
            </w:r>
            <w:r w:rsidR="007B70EB">
              <w:rPr>
                <w:noProof/>
                <w:webHidden/>
              </w:rPr>
              <w:fldChar w:fldCharType="separate"/>
            </w:r>
            <w:r w:rsidR="007B70EB">
              <w:rPr>
                <w:noProof/>
                <w:webHidden/>
              </w:rPr>
              <w:t>68</w:t>
            </w:r>
            <w:r w:rsidR="007B70EB">
              <w:rPr>
                <w:noProof/>
                <w:webHidden/>
              </w:rPr>
              <w:fldChar w:fldCharType="end"/>
            </w:r>
          </w:hyperlink>
        </w:p>
        <w:p w14:paraId="426A28A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17" w:history="1">
            <w:r w:rsidR="007B70EB" w:rsidRPr="00AB6E34">
              <w:rPr>
                <w:rStyle w:val="Hyperlink"/>
                <w:noProof/>
                <w14:scene3d>
                  <w14:camera w14:prst="orthographicFront"/>
                  <w14:lightRig w14:rig="threePt" w14:dir="t">
                    <w14:rot w14:lat="0" w14:lon="0" w14:rev="0"/>
                  </w14:lightRig>
                </w14:scene3d>
              </w:rPr>
              <w:t>2.4.3.</w:t>
            </w:r>
            <w:r w:rsidR="007B70EB">
              <w:rPr>
                <w:rFonts w:asciiTheme="minorHAnsi" w:hAnsiTheme="minorHAnsi"/>
                <w:noProof/>
                <w:sz w:val="22"/>
                <w:szCs w:val="22"/>
                <w:lang w:val="en-AU" w:eastAsia="en-AU"/>
              </w:rPr>
              <w:tab/>
            </w:r>
            <w:r w:rsidR="007B70EB" w:rsidRPr="00AB6E34">
              <w:rPr>
                <w:rStyle w:val="Hyperlink"/>
                <w:noProof/>
              </w:rPr>
              <w:t>Sociocultural assets</w:t>
            </w:r>
            <w:r w:rsidR="007B70EB">
              <w:rPr>
                <w:noProof/>
                <w:webHidden/>
              </w:rPr>
              <w:tab/>
            </w:r>
            <w:r w:rsidR="007B70EB">
              <w:rPr>
                <w:noProof/>
                <w:webHidden/>
              </w:rPr>
              <w:fldChar w:fldCharType="begin"/>
            </w:r>
            <w:r w:rsidR="007B70EB">
              <w:rPr>
                <w:noProof/>
                <w:webHidden/>
              </w:rPr>
              <w:instrText xml:space="preserve"> PAGEREF _Toc494444517 \h </w:instrText>
            </w:r>
            <w:r w:rsidR="007B70EB">
              <w:rPr>
                <w:noProof/>
                <w:webHidden/>
              </w:rPr>
            </w:r>
            <w:r w:rsidR="007B70EB">
              <w:rPr>
                <w:noProof/>
                <w:webHidden/>
              </w:rPr>
              <w:fldChar w:fldCharType="separate"/>
            </w:r>
            <w:r w:rsidR="007B70EB">
              <w:rPr>
                <w:noProof/>
                <w:webHidden/>
              </w:rPr>
              <w:t>73</w:t>
            </w:r>
            <w:r w:rsidR="007B70EB">
              <w:rPr>
                <w:noProof/>
                <w:webHidden/>
              </w:rPr>
              <w:fldChar w:fldCharType="end"/>
            </w:r>
          </w:hyperlink>
        </w:p>
        <w:p w14:paraId="7DA57A3B" w14:textId="77777777" w:rsidR="007B70EB" w:rsidRDefault="00900E5C">
          <w:pPr>
            <w:pStyle w:val="TOC2"/>
            <w:rPr>
              <w:rFonts w:asciiTheme="minorHAnsi" w:hAnsiTheme="minorHAnsi"/>
              <w:noProof/>
              <w:sz w:val="22"/>
              <w:szCs w:val="22"/>
              <w:lang w:val="en-AU" w:eastAsia="en-AU"/>
            </w:rPr>
          </w:pPr>
          <w:hyperlink w:anchor="_Toc494444518" w:history="1">
            <w:r w:rsidR="007B70EB" w:rsidRPr="00AB6E34">
              <w:rPr>
                <w:rStyle w:val="Hyperlink"/>
                <w:noProof/>
                <w14:scene3d>
                  <w14:camera w14:prst="orthographicFront"/>
                  <w14:lightRig w14:rig="threePt" w14:dir="t">
                    <w14:rot w14:lat="0" w14:lon="0" w14:rev="0"/>
                  </w14:lightRig>
                </w14:scene3d>
              </w:rPr>
              <w:t>2.5.</w:t>
            </w:r>
            <w:r w:rsidR="007B70EB">
              <w:rPr>
                <w:rFonts w:asciiTheme="minorHAnsi" w:hAnsiTheme="minorHAnsi"/>
                <w:noProof/>
                <w:sz w:val="22"/>
                <w:szCs w:val="22"/>
                <w:lang w:val="en-AU" w:eastAsia="en-AU"/>
              </w:rPr>
              <w:tab/>
            </w:r>
            <w:r w:rsidR="007B70EB" w:rsidRPr="00AB6E34">
              <w:rPr>
                <w:rStyle w:val="Hyperlink"/>
                <w:noProof/>
              </w:rPr>
              <w:t>Identification of assets within the Surat Basin</w:t>
            </w:r>
            <w:r w:rsidR="007B70EB">
              <w:rPr>
                <w:noProof/>
                <w:webHidden/>
              </w:rPr>
              <w:tab/>
            </w:r>
            <w:r w:rsidR="007B70EB">
              <w:rPr>
                <w:noProof/>
                <w:webHidden/>
              </w:rPr>
              <w:fldChar w:fldCharType="begin"/>
            </w:r>
            <w:r w:rsidR="007B70EB">
              <w:rPr>
                <w:noProof/>
                <w:webHidden/>
              </w:rPr>
              <w:instrText xml:space="preserve"> PAGEREF _Toc494444518 \h </w:instrText>
            </w:r>
            <w:r w:rsidR="007B70EB">
              <w:rPr>
                <w:noProof/>
                <w:webHidden/>
              </w:rPr>
            </w:r>
            <w:r w:rsidR="007B70EB">
              <w:rPr>
                <w:noProof/>
                <w:webHidden/>
              </w:rPr>
              <w:fldChar w:fldCharType="separate"/>
            </w:r>
            <w:r w:rsidR="007B70EB">
              <w:rPr>
                <w:noProof/>
                <w:webHidden/>
              </w:rPr>
              <w:t>75</w:t>
            </w:r>
            <w:r w:rsidR="007B70EB">
              <w:rPr>
                <w:noProof/>
                <w:webHidden/>
              </w:rPr>
              <w:fldChar w:fldCharType="end"/>
            </w:r>
          </w:hyperlink>
        </w:p>
        <w:p w14:paraId="504F302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19" w:history="1">
            <w:r w:rsidR="007B70EB" w:rsidRPr="00AB6E34">
              <w:rPr>
                <w:rStyle w:val="Hyperlink"/>
                <w:rFonts w:eastAsia="Times New Roman"/>
                <w:noProof/>
                <w:lang w:eastAsia="en-AU"/>
                <w14:scene3d>
                  <w14:camera w14:prst="orthographicFront"/>
                  <w14:lightRig w14:rig="threePt" w14:dir="t">
                    <w14:rot w14:lat="0" w14:lon="0" w14:rev="0"/>
                  </w14:lightRig>
                </w14:scene3d>
              </w:rPr>
              <w:t>2.5.1.</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Ecological assets</w:t>
            </w:r>
            <w:r w:rsidR="007B70EB">
              <w:rPr>
                <w:noProof/>
                <w:webHidden/>
              </w:rPr>
              <w:tab/>
            </w:r>
            <w:r w:rsidR="007B70EB">
              <w:rPr>
                <w:noProof/>
                <w:webHidden/>
              </w:rPr>
              <w:fldChar w:fldCharType="begin"/>
            </w:r>
            <w:r w:rsidR="007B70EB">
              <w:rPr>
                <w:noProof/>
                <w:webHidden/>
              </w:rPr>
              <w:instrText xml:space="preserve"> PAGEREF _Toc494444519 \h </w:instrText>
            </w:r>
            <w:r w:rsidR="007B70EB">
              <w:rPr>
                <w:noProof/>
                <w:webHidden/>
              </w:rPr>
            </w:r>
            <w:r w:rsidR="007B70EB">
              <w:rPr>
                <w:noProof/>
                <w:webHidden/>
              </w:rPr>
              <w:fldChar w:fldCharType="separate"/>
            </w:r>
            <w:r w:rsidR="007B70EB">
              <w:rPr>
                <w:noProof/>
                <w:webHidden/>
              </w:rPr>
              <w:t>75</w:t>
            </w:r>
            <w:r w:rsidR="007B70EB">
              <w:rPr>
                <w:noProof/>
                <w:webHidden/>
              </w:rPr>
              <w:fldChar w:fldCharType="end"/>
            </w:r>
          </w:hyperlink>
        </w:p>
        <w:p w14:paraId="08F738C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20" w:history="1">
            <w:r w:rsidR="007B70EB" w:rsidRPr="00AB6E34">
              <w:rPr>
                <w:rStyle w:val="Hyperlink"/>
                <w:rFonts w:eastAsia="Times New Roman"/>
                <w:noProof/>
                <w:lang w:eastAsia="en-AU"/>
                <w14:scene3d>
                  <w14:camera w14:prst="orthographicFront"/>
                  <w14:lightRig w14:rig="threePt" w14:dir="t">
                    <w14:rot w14:lat="0" w14:lon="0" w14:rev="0"/>
                  </w14:lightRig>
                </w14:scene3d>
              </w:rPr>
              <w:t>2.5.2.</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Economic assets</w:t>
            </w:r>
            <w:r w:rsidR="007B70EB">
              <w:rPr>
                <w:noProof/>
                <w:webHidden/>
              </w:rPr>
              <w:tab/>
            </w:r>
            <w:r w:rsidR="007B70EB">
              <w:rPr>
                <w:noProof/>
                <w:webHidden/>
              </w:rPr>
              <w:fldChar w:fldCharType="begin"/>
            </w:r>
            <w:r w:rsidR="007B70EB">
              <w:rPr>
                <w:noProof/>
                <w:webHidden/>
              </w:rPr>
              <w:instrText xml:space="preserve"> PAGEREF _Toc494444520 \h </w:instrText>
            </w:r>
            <w:r w:rsidR="007B70EB">
              <w:rPr>
                <w:noProof/>
                <w:webHidden/>
              </w:rPr>
            </w:r>
            <w:r w:rsidR="007B70EB">
              <w:rPr>
                <w:noProof/>
                <w:webHidden/>
              </w:rPr>
              <w:fldChar w:fldCharType="separate"/>
            </w:r>
            <w:r w:rsidR="007B70EB">
              <w:rPr>
                <w:noProof/>
                <w:webHidden/>
              </w:rPr>
              <w:t>79</w:t>
            </w:r>
            <w:r w:rsidR="007B70EB">
              <w:rPr>
                <w:noProof/>
                <w:webHidden/>
              </w:rPr>
              <w:fldChar w:fldCharType="end"/>
            </w:r>
          </w:hyperlink>
        </w:p>
        <w:p w14:paraId="0F4A511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21" w:history="1">
            <w:r w:rsidR="007B70EB" w:rsidRPr="00AB6E34">
              <w:rPr>
                <w:rStyle w:val="Hyperlink"/>
                <w:rFonts w:eastAsia="Times New Roman"/>
                <w:noProof/>
                <w:lang w:eastAsia="en-AU"/>
                <w14:scene3d>
                  <w14:camera w14:prst="orthographicFront"/>
                  <w14:lightRig w14:rig="threePt" w14:dir="t">
                    <w14:rot w14:lat="0" w14:lon="0" w14:rev="0"/>
                  </w14:lightRig>
                </w14:scene3d>
              </w:rPr>
              <w:t>2.5.3.</w:t>
            </w:r>
            <w:r w:rsidR="007B70EB">
              <w:rPr>
                <w:rFonts w:asciiTheme="minorHAnsi" w:hAnsiTheme="minorHAnsi"/>
                <w:noProof/>
                <w:sz w:val="22"/>
                <w:szCs w:val="22"/>
                <w:lang w:val="en-AU" w:eastAsia="en-AU"/>
              </w:rPr>
              <w:tab/>
            </w:r>
            <w:r w:rsidR="007B70EB" w:rsidRPr="00AB6E34">
              <w:rPr>
                <w:rStyle w:val="Hyperlink"/>
                <w:rFonts w:eastAsia="Times New Roman"/>
                <w:noProof/>
                <w:lang w:eastAsia="en-AU"/>
              </w:rPr>
              <w:t>Sociocultural assets</w:t>
            </w:r>
            <w:r w:rsidR="007B70EB">
              <w:rPr>
                <w:noProof/>
                <w:webHidden/>
              </w:rPr>
              <w:tab/>
            </w:r>
            <w:r w:rsidR="007B70EB">
              <w:rPr>
                <w:noProof/>
                <w:webHidden/>
              </w:rPr>
              <w:fldChar w:fldCharType="begin"/>
            </w:r>
            <w:r w:rsidR="007B70EB">
              <w:rPr>
                <w:noProof/>
                <w:webHidden/>
              </w:rPr>
              <w:instrText xml:space="preserve"> PAGEREF _Toc494444521 \h </w:instrText>
            </w:r>
            <w:r w:rsidR="007B70EB">
              <w:rPr>
                <w:noProof/>
                <w:webHidden/>
              </w:rPr>
            </w:r>
            <w:r w:rsidR="007B70EB">
              <w:rPr>
                <w:noProof/>
                <w:webHidden/>
              </w:rPr>
              <w:fldChar w:fldCharType="separate"/>
            </w:r>
            <w:r w:rsidR="007B70EB">
              <w:rPr>
                <w:noProof/>
                <w:webHidden/>
              </w:rPr>
              <w:t>82</w:t>
            </w:r>
            <w:r w:rsidR="007B70EB">
              <w:rPr>
                <w:noProof/>
                <w:webHidden/>
              </w:rPr>
              <w:fldChar w:fldCharType="end"/>
            </w:r>
          </w:hyperlink>
        </w:p>
        <w:p w14:paraId="31157935" w14:textId="77777777" w:rsidR="007B70EB" w:rsidRDefault="00900E5C">
          <w:pPr>
            <w:pStyle w:val="TOC2"/>
            <w:rPr>
              <w:rFonts w:asciiTheme="minorHAnsi" w:hAnsiTheme="minorHAnsi"/>
              <w:noProof/>
              <w:sz w:val="22"/>
              <w:szCs w:val="22"/>
              <w:lang w:val="en-AU" w:eastAsia="en-AU"/>
            </w:rPr>
          </w:pPr>
          <w:hyperlink w:anchor="_Toc494444522" w:history="1">
            <w:r w:rsidR="007B70EB" w:rsidRPr="00AB6E34">
              <w:rPr>
                <w:rStyle w:val="Hyperlink"/>
                <w:noProof/>
                <w14:scene3d>
                  <w14:camera w14:prst="orthographicFront"/>
                  <w14:lightRig w14:rig="threePt" w14:dir="t">
                    <w14:rot w14:lat="0" w14:lon="0" w14:rev="0"/>
                  </w14:lightRig>
                </w14:scene3d>
              </w:rPr>
              <w:t>2.6.</w:t>
            </w:r>
            <w:r w:rsidR="007B70EB">
              <w:rPr>
                <w:rFonts w:asciiTheme="minorHAnsi" w:hAnsiTheme="minorHAnsi"/>
                <w:noProof/>
                <w:sz w:val="22"/>
                <w:szCs w:val="22"/>
                <w:lang w:val="en-AU" w:eastAsia="en-AU"/>
              </w:rPr>
              <w:tab/>
            </w:r>
            <w:r w:rsidR="007B70EB" w:rsidRPr="00AB6E34">
              <w:rPr>
                <w:rStyle w:val="Hyperlink"/>
                <w:noProof/>
              </w:rPr>
              <w:t>Conceptualisation of fate and transport pathways</w:t>
            </w:r>
            <w:r w:rsidR="007B70EB">
              <w:rPr>
                <w:noProof/>
                <w:webHidden/>
              </w:rPr>
              <w:tab/>
            </w:r>
            <w:r w:rsidR="007B70EB">
              <w:rPr>
                <w:noProof/>
                <w:webHidden/>
              </w:rPr>
              <w:fldChar w:fldCharType="begin"/>
            </w:r>
            <w:r w:rsidR="007B70EB">
              <w:rPr>
                <w:noProof/>
                <w:webHidden/>
              </w:rPr>
              <w:instrText xml:space="preserve"> PAGEREF _Toc494444522 \h </w:instrText>
            </w:r>
            <w:r w:rsidR="007B70EB">
              <w:rPr>
                <w:noProof/>
                <w:webHidden/>
              </w:rPr>
            </w:r>
            <w:r w:rsidR="007B70EB">
              <w:rPr>
                <w:noProof/>
                <w:webHidden/>
              </w:rPr>
              <w:fldChar w:fldCharType="separate"/>
            </w:r>
            <w:r w:rsidR="007B70EB">
              <w:rPr>
                <w:noProof/>
                <w:webHidden/>
              </w:rPr>
              <w:t>84</w:t>
            </w:r>
            <w:r w:rsidR="007B70EB">
              <w:rPr>
                <w:noProof/>
                <w:webHidden/>
              </w:rPr>
              <w:fldChar w:fldCharType="end"/>
            </w:r>
          </w:hyperlink>
        </w:p>
        <w:p w14:paraId="1FD7B348"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23" w:history="1">
            <w:r w:rsidR="007B70EB" w:rsidRPr="00AB6E34">
              <w:rPr>
                <w:rStyle w:val="Hyperlink"/>
                <w:noProof/>
                <w14:scene3d>
                  <w14:camera w14:prst="orthographicFront"/>
                  <w14:lightRig w14:rig="threePt" w14:dir="t">
                    <w14:rot w14:lat="0" w14:lon="0" w14:rev="0"/>
                  </w14:lightRig>
                </w14:scene3d>
              </w:rPr>
              <w:t>2.6.1.</w:t>
            </w:r>
            <w:r w:rsidR="007B70EB">
              <w:rPr>
                <w:rFonts w:asciiTheme="minorHAnsi" w:hAnsiTheme="minorHAnsi"/>
                <w:noProof/>
                <w:sz w:val="22"/>
                <w:szCs w:val="22"/>
                <w:lang w:val="en-AU" w:eastAsia="en-AU"/>
              </w:rPr>
              <w:tab/>
            </w:r>
            <w:r w:rsidR="007B70EB" w:rsidRPr="00AB6E34">
              <w:rPr>
                <w:rStyle w:val="Hyperlink"/>
                <w:noProof/>
              </w:rPr>
              <w:t>Introduction</w:t>
            </w:r>
            <w:r w:rsidR="007B70EB">
              <w:rPr>
                <w:noProof/>
                <w:webHidden/>
              </w:rPr>
              <w:tab/>
            </w:r>
            <w:r w:rsidR="007B70EB">
              <w:rPr>
                <w:noProof/>
                <w:webHidden/>
              </w:rPr>
              <w:fldChar w:fldCharType="begin"/>
            </w:r>
            <w:r w:rsidR="007B70EB">
              <w:rPr>
                <w:noProof/>
                <w:webHidden/>
              </w:rPr>
              <w:instrText xml:space="preserve"> PAGEREF _Toc494444523 \h </w:instrText>
            </w:r>
            <w:r w:rsidR="007B70EB">
              <w:rPr>
                <w:noProof/>
                <w:webHidden/>
              </w:rPr>
            </w:r>
            <w:r w:rsidR="007B70EB">
              <w:rPr>
                <w:noProof/>
                <w:webHidden/>
              </w:rPr>
              <w:fldChar w:fldCharType="separate"/>
            </w:r>
            <w:r w:rsidR="007B70EB">
              <w:rPr>
                <w:noProof/>
                <w:webHidden/>
              </w:rPr>
              <w:t>84</w:t>
            </w:r>
            <w:r w:rsidR="007B70EB">
              <w:rPr>
                <w:noProof/>
                <w:webHidden/>
              </w:rPr>
              <w:fldChar w:fldCharType="end"/>
            </w:r>
          </w:hyperlink>
        </w:p>
        <w:p w14:paraId="3105A08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24" w:history="1">
            <w:r w:rsidR="007B70EB" w:rsidRPr="00AB6E34">
              <w:rPr>
                <w:rStyle w:val="Hyperlink"/>
                <w:noProof/>
                <w14:scene3d>
                  <w14:camera w14:prst="orthographicFront"/>
                  <w14:lightRig w14:rig="threePt" w14:dir="t">
                    <w14:rot w14:lat="0" w14:lon="0" w14:rev="0"/>
                  </w14:lightRig>
                </w14:scene3d>
              </w:rPr>
              <w:t>2.6.2.</w:t>
            </w:r>
            <w:r w:rsidR="007B70EB">
              <w:rPr>
                <w:rFonts w:asciiTheme="minorHAnsi" w:hAnsiTheme="minorHAnsi"/>
                <w:noProof/>
                <w:sz w:val="22"/>
                <w:szCs w:val="22"/>
                <w:lang w:val="en-AU" w:eastAsia="en-AU"/>
              </w:rPr>
              <w:tab/>
            </w:r>
            <w:r w:rsidR="007B70EB" w:rsidRPr="00AB6E34">
              <w:rPr>
                <w:rStyle w:val="Hyperlink"/>
                <w:noProof/>
              </w:rPr>
              <w:t>Plausible fate and transport release pathways</w:t>
            </w:r>
            <w:r w:rsidR="007B70EB">
              <w:rPr>
                <w:noProof/>
                <w:webHidden/>
              </w:rPr>
              <w:tab/>
            </w:r>
            <w:r w:rsidR="007B70EB">
              <w:rPr>
                <w:noProof/>
                <w:webHidden/>
              </w:rPr>
              <w:fldChar w:fldCharType="begin"/>
            </w:r>
            <w:r w:rsidR="007B70EB">
              <w:rPr>
                <w:noProof/>
                <w:webHidden/>
              </w:rPr>
              <w:instrText xml:space="preserve"> PAGEREF _Toc494444524 \h </w:instrText>
            </w:r>
            <w:r w:rsidR="007B70EB">
              <w:rPr>
                <w:noProof/>
                <w:webHidden/>
              </w:rPr>
            </w:r>
            <w:r w:rsidR="007B70EB">
              <w:rPr>
                <w:noProof/>
                <w:webHidden/>
              </w:rPr>
              <w:fldChar w:fldCharType="separate"/>
            </w:r>
            <w:r w:rsidR="007B70EB">
              <w:rPr>
                <w:noProof/>
                <w:webHidden/>
              </w:rPr>
              <w:t>86</w:t>
            </w:r>
            <w:r w:rsidR="007B70EB">
              <w:rPr>
                <w:noProof/>
                <w:webHidden/>
              </w:rPr>
              <w:fldChar w:fldCharType="end"/>
            </w:r>
          </w:hyperlink>
        </w:p>
        <w:p w14:paraId="3FEB5C6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25" w:history="1">
            <w:r w:rsidR="007B70EB" w:rsidRPr="00AB6E34">
              <w:rPr>
                <w:rStyle w:val="Hyperlink"/>
                <w:noProof/>
              </w:rPr>
              <w:t>2.6.2.1.</w:t>
            </w:r>
            <w:r w:rsidR="007B70EB">
              <w:rPr>
                <w:rFonts w:asciiTheme="minorHAnsi" w:hAnsiTheme="minorHAnsi"/>
                <w:noProof/>
                <w:sz w:val="22"/>
                <w:szCs w:val="22"/>
                <w:lang w:val="en-AU" w:eastAsia="en-AU"/>
              </w:rPr>
              <w:tab/>
            </w:r>
            <w:r w:rsidR="007B70EB" w:rsidRPr="00AB6E34">
              <w:rPr>
                <w:rStyle w:val="Hyperlink"/>
                <w:noProof/>
              </w:rPr>
              <w:t>Plausible pathway A:  fracture growth into an aquifer</w:t>
            </w:r>
            <w:r w:rsidR="007B70EB">
              <w:rPr>
                <w:noProof/>
                <w:webHidden/>
              </w:rPr>
              <w:tab/>
            </w:r>
            <w:r w:rsidR="007B70EB">
              <w:rPr>
                <w:noProof/>
                <w:webHidden/>
              </w:rPr>
              <w:fldChar w:fldCharType="begin"/>
            </w:r>
            <w:r w:rsidR="007B70EB">
              <w:rPr>
                <w:noProof/>
                <w:webHidden/>
              </w:rPr>
              <w:instrText xml:space="preserve"> PAGEREF _Toc494444525 \h </w:instrText>
            </w:r>
            <w:r w:rsidR="007B70EB">
              <w:rPr>
                <w:noProof/>
                <w:webHidden/>
              </w:rPr>
            </w:r>
            <w:r w:rsidR="007B70EB">
              <w:rPr>
                <w:noProof/>
                <w:webHidden/>
              </w:rPr>
              <w:fldChar w:fldCharType="separate"/>
            </w:r>
            <w:r w:rsidR="007B70EB">
              <w:rPr>
                <w:noProof/>
                <w:webHidden/>
              </w:rPr>
              <w:t>88</w:t>
            </w:r>
            <w:r w:rsidR="007B70EB">
              <w:rPr>
                <w:noProof/>
                <w:webHidden/>
              </w:rPr>
              <w:fldChar w:fldCharType="end"/>
            </w:r>
          </w:hyperlink>
        </w:p>
        <w:p w14:paraId="4345296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26" w:history="1">
            <w:r w:rsidR="007B70EB" w:rsidRPr="00AB6E34">
              <w:rPr>
                <w:rStyle w:val="Hyperlink"/>
                <w:noProof/>
              </w:rPr>
              <w:t>2.6.2.2.</w:t>
            </w:r>
            <w:r w:rsidR="007B70EB">
              <w:rPr>
                <w:rFonts w:asciiTheme="minorHAnsi" w:hAnsiTheme="minorHAnsi"/>
                <w:noProof/>
                <w:sz w:val="22"/>
                <w:szCs w:val="22"/>
                <w:lang w:val="en-AU" w:eastAsia="en-AU"/>
              </w:rPr>
              <w:tab/>
            </w:r>
            <w:r w:rsidR="007B70EB" w:rsidRPr="00AB6E34">
              <w:rPr>
                <w:rStyle w:val="Hyperlink"/>
                <w:noProof/>
              </w:rPr>
              <w:t>Plausible pathway B: fracture growth into a well</w:t>
            </w:r>
            <w:r w:rsidR="007B70EB">
              <w:rPr>
                <w:noProof/>
                <w:webHidden/>
              </w:rPr>
              <w:tab/>
            </w:r>
            <w:r w:rsidR="007B70EB">
              <w:rPr>
                <w:noProof/>
                <w:webHidden/>
              </w:rPr>
              <w:fldChar w:fldCharType="begin"/>
            </w:r>
            <w:r w:rsidR="007B70EB">
              <w:rPr>
                <w:noProof/>
                <w:webHidden/>
              </w:rPr>
              <w:instrText xml:space="preserve"> PAGEREF _Toc494444526 \h </w:instrText>
            </w:r>
            <w:r w:rsidR="007B70EB">
              <w:rPr>
                <w:noProof/>
                <w:webHidden/>
              </w:rPr>
            </w:r>
            <w:r w:rsidR="007B70EB">
              <w:rPr>
                <w:noProof/>
                <w:webHidden/>
              </w:rPr>
              <w:fldChar w:fldCharType="separate"/>
            </w:r>
            <w:r w:rsidR="007B70EB">
              <w:rPr>
                <w:noProof/>
                <w:webHidden/>
              </w:rPr>
              <w:t>89</w:t>
            </w:r>
            <w:r w:rsidR="007B70EB">
              <w:rPr>
                <w:noProof/>
                <w:webHidden/>
              </w:rPr>
              <w:fldChar w:fldCharType="end"/>
            </w:r>
          </w:hyperlink>
        </w:p>
        <w:p w14:paraId="4F51EE3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27" w:history="1">
            <w:r w:rsidR="007B70EB" w:rsidRPr="00AB6E34">
              <w:rPr>
                <w:rStyle w:val="Hyperlink"/>
                <w:noProof/>
              </w:rPr>
              <w:t>2.6.2.1.</w:t>
            </w:r>
            <w:r w:rsidR="007B70EB">
              <w:rPr>
                <w:rFonts w:asciiTheme="minorHAnsi" w:hAnsiTheme="minorHAnsi"/>
                <w:noProof/>
                <w:sz w:val="22"/>
                <w:szCs w:val="22"/>
                <w:lang w:val="en-AU" w:eastAsia="en-AU"/>
              </w:rPr>
              <w:tab/>
            </w:r>
            <w:r w:rsidR="007B70EB" w:rsidRPr="00AB6E34">
              <w:rPr>
                <w:rStyle w:val="Hyperlink"/>
                <w:noProof/>
              </w:rPr>
              <w:t>Plausible pathway C: well rupture during injection</w:t>
            </w:r>
            <w:r w:rsidR="007B70EB">
              <w:rPr>
                <w:noProof/>
                <w:webHidden/>
              </w:rPr>
              <w:tab/>
            </w:r>
            <w:r w:rsidR="007B70EB">
              <w:rPr>
                <w:noProof/>
                <w:webHidden/>
              </w:rPr>
              <w:fldChar w:fldCharType="begin"/>
            </w:r>
            <w:r w:rsidR="007B70EB">
              <w:rPr>
                <w:noProof/>
                <w:webHidden/>
              </w:rPr>
              <w:instrText xml:space="preserve"> PAGEREF _Toc494444527 \h </w:instrText>
            </w:r>
            <w:r w:rsidR="007B70EB">
              <w:rPr>
                <w:noProof/>
                <w:webHidden/>
              </w:rPr>
            </w:r>
            <w:r w:rsidR="007B70EB">
              <w:rPr>
                <w:noProof/>
                <w:webHidden/>
              </w:rPr>
              <w:fldChar w:fldCharType="separate"/>
            </w:r>
            <w:r w:rsidR="007B70EB">
              <w:rPr>
                <w:noProof/>
                <w:webHidden/>
              </w:rPr>
              <w:t>90</w:t>
            </w:r>
            <w:r w:rsidR="007B70EB">
              <w:rPr>
                <w:noProof/>
                <w:webHidden/>
              </w:rPr>
              <w:fldChar w:fldCharType="end"/>
            </w:r>
          </w:hyperlink>
        </w:p>
        <w:p w14:paraId="152BBA3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28" w:history="1">
            <w:r w:rsidR="007B70EB" w:rsidRPr="00AB6E34">
              <w:rPr>
                <w:rStyle w:val="Hyperlink"/>
                <w:noProof/>
              </w:rPr>
              <w:t>2.6.2.2.</w:t>
            </w:r>
            <w:r w:rsidR="007B70EB">
              <w:rPr>
                <w:rFonts w:asciiTheme="minorHAnsi" w:hAnsiTheme="minorHAnsi"/>
                <w:noProof/>
                <w:sz w:val="22"/>
                <w:szCs w:val="22"/>
                <w:lang w:val="en-AU" w:eastAsia="en-AU"/>
              </w:rPr>
              <w:tab/>
            </w:r>
            <w:r w:rsidR="007B70EB" w:rsidRPr="00AB6E34">
              <w:rPr>
                <w:rStyle w:val="Hyperlink"/>
                <w:noProof/>
              </w:rPr>
              <w:t>Plausible Pathway D: fracture growth into a fault</w:t>
            </w:r>
            <w:r w:rsidR="007B70EB">
              <w:rPr>
                <w:noProof/>
                <w:webHidden/>
              </w:rPr>
              <w:tab/>
            </w:r>
            <w:r w:rsidR="007B70EB">
              <w:rPr>
                <w:noProof/>
                <w:webHidden/>
              </w:rPr>
              <w:fldChar w:fldCharType="begin"/>
            </w:r>
            <w:r w:rsidR="007B70EB">
              <w:rPr>
                <w:noProof/>
                <w:webHidden/>
              </w:rPr>
              <w:instrText xml:space="preserve"> PAGEREF _Toc494444528 \h </w:instrText>
            </w:r>
            <w:r w:rsidR="007B70EB">
              <w:rPr>
                <w:noProof/>
                <w:webHidden/>
              </w:rPr>
            </w:r>
            <w:r w:rsidR="007B70EB">
              <w:rPr>
                <w:noProof/>
                <w:webHidden/>
              </w:rPr>
              <w:fldChar w:fldCharType="separate"/>
            </w:r>
            <w:r w:rsidR="007B70EB">
              <w:rPr>
                <w:noProof/>
                <w:webHidden/>
              </w:rPr>
              <w:t>91</w:t>
            </w:r>
            <w:r w:rsidR="007B70EB">
              <w:rPr>
                <w:noProof/>
                <w:webHidden/>
              </w:rPr>
              <w:fldChar w:fldCharType="end"/>
            </w:r>
          </w:hyperlink>
        </w:p>
        <w:p w14:paraId="4993F02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29" w:history="1">
            <w:r w:rsidR="007B70EB" w:rsidRPr="00AB6E34">
              <w:rPr>
                <w:rStyle w:val="Hyperlink"/>
                <w:noProof/>
              </w:rPr>
              <w:t>2.6.2.3.</w:t>
            </w:r>
            <w:r w:rsidR="007B70EB">
              <w:rPr>
                <w:rFonts w:asciiTheme="minorHAnsi" w:hAnsiTheme="minorHAnsi"/>
                <w:noProof/>
                <w:sz w:val="22"/>
                <w:szCs w:val="22"/>
                <w:lang w:val="en-AU" w:eastAsia="en-AU"/>
              </w:rPr>
              <w:tab/>
            </w:r>
            <w:r w:rsidR="007B70EB" w:rsidRPr="00AB6E34">
              <w:rPr>
                <w:rStyle w:val="Hyperlink"/>
                <w:noProof/>
              </w:rPr>
              <w:t>Overview of applicability of lines of evidence to each plausible pathway</w:t>
            </w:r>
            <w:r w:rsidR="007B70EB">
              <w:rPr>
                <w:noProof/>
                <w:webHidden/>
              </w:rPr>
              <w:tab/>
            </w:r>
            <w:r w:rsidR="007B70EB">
              <w:rPr>
                <w:noProof/>
                <w:webHidden/>
              </w:rPr>
              <w:fldChar w:fldCharType="begin"/>
            </w:r>
            <w:r w:rsidR="007B70EB">
              <w:rPr>
                <w:noProof/>
                <w:webHidden/>
              </w:rPr>
              <w:instrText xml:space="preserve"> PAGEREF _Toc494444529 \h </w:instrText>
            </w:r>
            <w:r w:rsidR="007B70EB">
              <w:rPr>
                <w:noProof/>
                <w:webHidden/>
              </w:rPr>
            </w:r>
            <w:r w:rsidR="007B70EB">
              <w:rPr>
                <w:noProof/>
                <w:webHidden/>
              </w:rPr>
              <w:fldChar w:fldCharType="separate"/>
            </w:r>
            <w:r w:rsidR="007B70EB">
              <w:rPr>
                <w:noProof/>
                <w:webHidden/>
              </w:rPr>
              <w:t>93</w:t>
            </w:r>
            <w:r w:rsidR="007B70EB">
              <w:rPr>
                <w:noProof/>
                <w:webHidden/>
              </w:rPr>
              <w:fldChar w:fldCharType="end"/>
            </w:r>
          </w:hyperlink>
        </w:p>
        <w:p w14:paraId="4B71D58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30" w:history="1">
            <w:r w:rsidR="007B70EB" w:rsidRPr="00AB6E34">
              <w:rPr>
                <w:rStyle w:val="Hyperlink"/>
                <w:noProof/>
                <w14:scene3d>
                  <w14:camera w14:prst="orthographicFront"/>
                  <w14:lightRig w14:rig="threePt" w14:dir="t">
                    <w14:rot w14:lat="0" w14:lon="0" w14:rev="0"/>
                  </w14:lightRig>
                </w14:scene3d>
              </w:rPr>
              <w:t>2.6.3.</w:t>
            </w:r>
            <w:r w:rsidR="007B70EB">
              <w:rPr>
                <w:rFonts w:asciiTheme="minorHAnsi" w:hAnsiTheme="minorHAnsi"/>
                <w:noProof/>
                <w:sz w:val="22"/>
                <w:szCs w:val="22"/>
                <w:lang w:val="en-AU" w:eastAsia="en-AU"/>
              </w:rPr>
              <w:tab/>
            </w:r>
            <w:r w:rsidR="007B70EB" w:rsidRPr="00AB6E34">
              <w:rPr>
                <w:rStyle w:val="Hyperlink"/>
                <w:noProof/>
              </w:rPr>
              <w:t>Methodology for assessment of fate and transport pathways</w:t>
            </w:r>
            <w:r w:rsidR="007B70EB">
              <w:rPr>
                <w:noProof/>
                <w:webHidden/>
              </w:rPr>
              <w:tab/>
            </w:r>
            <w:r w:rsidR="007B70EB">
              <w:rPr>
                <w:noProof/>
                <w:webHidden/>
              </w:rPr>
              <w:fldChar w:fldCharType="begin"/>
            </w:r>
            <w:r w:rsidR="007B70EB">
              <w:rPr>
                <w:noProof/>
                <w:webHidden/>
              </w:rPr>
              <w:instrText xml:space="preserve"> PAGEREF _Toc494444530 \h </w:instrText>
            </w:r>
            <w:r w:rsidR="007B70EB">
              <w:rPr>
                <w:noProof/>
                <w:webHidden/>
              </w:rPr>
            </w:r>
            <w:r w:rsidR="007B70EB">
              <w:rPr>
                <w:noProof/>
                <w:webHidden/>
              </w:rPr>
              <w:fldChar w:fldCharType="separate"/>
            </w:r>
            <w:r w:rsidR="007B70EB">
              <w:rPr>
                <w:noProof/>
                <w:webHidden/>
              </w:rPr>
              <w:t>94</w:t>
            </w:r>
            <w:r w:rsidR="007B70EB">
              <w:rPr>
                <w:noProof/>
                <w:webHidden/>
              </w:rPr>
              <w:fldChar w:fldCharType="end"/>
            </w:r>
          </w:hyperlink>
        </w:p>
        <w:p w14:paraId="6919541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31" w:history="1">
            <w:r w:rsidR="007B70EB" w:rsidRPr="00AB6E34">
              <w:rPr>
                <w:rStyle w:val="Hyperlink"/>
                <w:noProof/>
              </w:rPr>
              <w:t>2.6.3.1.</w:t>
            </w:r>
            <w:r w:rsidR="007B70EB">
              <w:rPr>
                <w:rFonts w:asciiTheme="minorHAnsi" w:hAnsiTheme="minorHAnsi"/>
                <w:noProof/>
                <w:sz w:val="22"/>
                <w:szCs w:val="22"/>
                <w:lang w:val="en-AU" w:eastAsia="en-AU"/>
              </w:rPr>
              <w:tab/>
            </w:r>
            <w:r w:rsidR="007B70EB" w:rsidRPr="00AB6E34">
              <w:rPr>
                <w:rStyle w:val="Hyperlink"/>
                <w:noProof/>
              </w:rPr>
              <w:t>Flow-path segmentation</w:t>
            </w:r>
            <w:r w:rsidR="007B70EB">
              <w:rPr>
                <w:noProof/>
                <w:webHidden/>
              </w:rPr>
              <w:tab/>
            </w:r>
            <w:r w:rsidR="007B70EB">
              <w:rPr>
                <w:noProof/>
                <w:webHidden/>
              </w:rPr>
              <w:fldChar w:fldCharType="begin"/>
            </w:r>
            <w:r w:rsidR="007B70EB">
              <w:rPr>
                <w:noProof/>
                <w:webHidden/>
              </w:rPr>
              <w:instrText xml:space="preserve"> PAGEREF _Toc494444531 \h </w:instrText>
            </w:r>
            <w:r w:rsidR="007B70EB">
              <w:rPr>
                <w:noProof/>
                <w:webHidden/>
              </w:rPr>
            </w:r>
            <w:r w:rsidR="007B70EB">
              <w:rPr>
                <w:noProof/>
                <w:webHidden/>
              </w:rPr>
              <w:fldChar w:fldCharType="separate"/>
            </w:r>
            <w:r w:rsidR="007B70EB">
              <w:rPr>
                <w:noProof/>
                <w:webHidden/>
              </w:rPr>
              <w:t>94</w:t>
            </w:r>
            <w:r w:rsidR="007B70EB">
              <w:rPr>
                <w:noProof/>
                <w:webHidden/>
              </w:rPr>
              <w:fldChar w:fldCharType="end"/>
            </w:r>
          </w:hyperlink>
        </w:p>
        <w:p w14:paraId="0BBBCB1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32" w:history="1">
            <w:r w:rsidR="007B70EB" w:rsidRPr="00AB6E34">
              <w:rPr>
                <w:rStyle w:val="Hyperlink"/>
                <w:noProof/>
              </w:rPr>
              <w:t>2.6.3.2.</w:t>
            </w:r>
            <w:r w:rsidR="007B70EB">
              <w:rPr>
                <w:rFonts w:asciiTheme="minorHAnsi" w:hAnsiTheme="minorHAnsi"/>
                <w:noProof/>
                <w:sz w:val="22"/>
                <w:szCs w:val="22"/>
                <w:lang w:val="en-AU" w:eastAsia="en-AU"/>
              </w:rPr>
              <w:tab/>
            </w:r>
            <w:r w:rsidR="007B70EB" w:rsidRPr="00AB6E34">
              <w:rPr>
                <w:rStyle w:val="Hyperlink"/>
                <w:noProof/>
              </w:rPr>
              <w:t>Solute particle tracking</w:t>
            </w:r>
            <w:r w:rsidR="007B70EB">
              <w:rPr>
                <w:noProof/>
                <w:webHidden/>
              </w:rPr>
              <w:tab/>
            </w:r>
            <w:r w:rsidR="007B70EB">
              <w:rPr>
                <w:noProof/>
                <w:webHidden/>
              </w:rPr>
              <w:fldChar w:fldCharType="begin"/>
            </w:r>
            <w:r w:rsidR="007B70EB">
              <w:rPr>
                <w:noProof/>
                <w:webHidden/>
              </w:rPr>
              <w:instrText xml:space="preserve"> PAGEREF _Toc494444532 \h </w:instrText>
            </w:r>
            <w:r w:rsidR="007B70EB">
              <w:rPr>
                <w:noProof/>
                <w:webHidden/>
              </w:rPr>
            </w:r>
            <w:r w:rsidR="007B70EB">
              <w:rPr>
                <w:noProof/>
                <w:webHidden/>
              </w:rPr>
              <w:fldChar w:fldCharType="separate"/>
            </w:r>
            <w:r w:rsidR="007B70EB">
              <w:rPr>
                <w:noProof/>
                <w:webHidden/>
              </w:rPr>
              <w:t>96</w:t>
            </w:r>
            <w:r w:rsidR="007B70EB">
              <w:rPr>
                <w:noProof/>
                <w:webHidden/>
              </w:rPr>
              <w:fldChar w:fldCharType="end"/>
            </w:r>
          </w:hyperlink>
        </w:p>
        <w:p w14:paraId="3E6B68A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33" w:history="1">
            <w:r w:rsidR="007B70EB" w:rsidRPr="00AB6E34">
              <w:rPr>
                <w:rStyle w:val="Hyperlink"/>
                <w:noProof/>
                <w14:scene3d>
                  <w14:camera w14:prst="orthographicFront"/>
                  <w14:lightRig w14:rig="threePt" w14:dir="t">
                    <w14:rot w14:lat="0" w14:lon="0" w14:rev="0"/>
                  </w14:lightRig>
                </w14:scene3d>
              </w:rPr>
              <w:t>2.6.4.</w:t>
            </w:r>
            <w:r w:rsidR="007B70EB">
              <w:rPr>
                <w:rFonts w:asciiTheme="minorHAnsi" w:hAnsiTheme="minorHAnsi"/>
                <w:noProof/>
                <w:sz w:val="22"/>
                <w:szCs w:val="22"/>
                <w:lang w:val="en-AU" w:eastAsia="en-AU"/>
              </w:rPr>
              <w:tab/>
            </w:r>
            <w:r w:rsidR="007B70EB" w:rsidRPr="00AB6E34">
              <w:rPr>
                <w:rStyle w:val="Hyperlink"/>
                <w:noProof/>
              </w:rPr>
              <w:t>Particle tracking analysis for the Gunnedah basin</w:t>
            </w:r>
            <w:r w:rsidR="007B70EB">
              <w:rPr>
                <w:noProof/>
                <w:webHidden/>
              </w:rPr>
              <w:tab/>
            </w:r>
            <w:r w:rsidR="007B70EB">
              <w:rPr>
                <w:noProof/>
                <w:webHidden/>
              </w:rPr>
              <w:fldChar w:fldCharType="begin"/>
            </w:r>
            <w:r w:rsidR="007B70EB">
              <w:rPr>
                <w:noProof/>
                <w:webHidden/>
              </w:rPr>
              <w:instrText xml:space="preserve"> PAGEREF _Toc494444533 \h </w:instrText>
            </w:r>
            <w:r w:rsidR="007B70EB">
              <w:rPr>
                <w:noProof/>
                <w:webHidden/>
              </w:rPr>
            </w:r>
            <w:r w:rsidR="007B70EB">
              <w:rPr>
                <w:noProof/>
                <w:webHidden/>
              </w:rPr>
              <w:fldChar w:fldCharType="separate"/>
            </w:r>
            <w:r w:rsidR="007B70EB">
              <w:rPr>
                <w:noProof/>
                <w:webHidden/>
              </w:rPr>
              <w:t>98</w:t>
            </w:r>
            <w:r w:rsidR="007B70EB">
              <w:rPr>
                <w:noProof/>
                <w:webHidden/>
              </w:rPr>
              <w:fldChar w:fldCharType="end"/>
            </w:r>
          </w:hyperlink>
        </w:p>
        <w:p w14:paraId="3999CD9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34" w:history="1">
            <w:r w:rsidR="007B70EB" w:rsidRPr="00AB6E34">
              <w:rPr>
                <w:rStyle w:val="Hyperlink"/>
                <w:noProof/>
              </w:rPr>
              <w:t>2.6.4.1.</w:t>
            </w:r>
            <w:r w:rsidR="007B70EB">
              <w:rPr>
                <w:rFonts w:asciiTheme="minorHAnsi" w:hAnsiTheme="minorHAnsi"/>
                <w:noProof/>
                <w:sz w:val="22"/>
                <w:szCs w:val="22"/>
                <w:lang w:val="en-AU" w:eastAsia="en-AU"/>
              </w:rPr>
              <w:tab/>
            </w:r>
            <w:r w:rsidR="007B70EB" w:rsidRPr="00AB6E34">
              <w:rPr>
                <w:rStyle w:val="Hyperlink"/>
                <w:noProof/>
              </w:rPr>
              <w:t>Hydrogeology</w:t>
            </w:r>
            <w:r w:rsidR="007B70EB">
              <w:rPr>
                <w:noProof/>
                <w:webHidden/>
              </w:rPr>
              <w:tab/>
            </w:r>
            <w:r w:rsidR="007B70EB">
              <w:rPr>
                <w:noProof/>
                <w:webHidden/>
              </w:rPr>
              <w:fldChar w:fldCharType="begin"/>
            </w:r>
            <w:r w:rsidR="007B70EB">
              <w:rPr>
                <w:noProof/>
                <w:webHidden/>
              </w:rPr>
              <w:instrText xml:space="preserve"> PAGEREF _Toc494444534 \h </w:instrText>
            </w:r>
            <w:r w:rsidR="007B70EB">
              <w:rPr>
                <w:noProof/>
                <w:webHidden/>
              </w:rPr>
            </w:r>
            <w:r w:rsidR="007B70EB">
              <w:rPr>
                <w:noProof/>
                <w:webHidden/>
              </w:rPr>
              <w:fldChar w:fldCharType="separate"/>
            </w:r>
            <w:r w:rsidR="007B70EB">
              <w:rPr>
                <w:noProof/>
                <w:webHidden/>
              </w:rPr>
              <w:t>98</w:t>
            </w:r>
            <w:r w:rsidR="007B70EB">
              <w:rPr>
                <w:noProof/>
                <w:webHidden/>
              </w:rPr>
              <w:fldChar w:fldCharType="end"/>
            </w:r>
          </w:hyperlink>
        </w:p>
        <w:p w14:paraId="5C700EC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35" w:history="1">
            <w:r w:rsidR="007B70EB" w:rsidRPr="00AB6E34">
              <w:rPr>
                <w:rStyle w:val="Hyperlink"/>
                <w:noProof/>
              </w:rPr>
              <w:t>2.6.4.2.</w:t>
            </w:r>
            <w:r w:rsidR="007B70EB">
              <w:rPr>
                <w:rFonts w:asciiTheme="minorHAnsi" w:hAnsiTheme="minorHAnsi"/>
                <w:noProof/>
                <w:sz w:val="22"/>
                <w:szCs w:val="22"/>
                <w:lang w:val="en-AU" w:eastAsia="en-AU"/>
              </w:rPr>
              <w:tab/>
            </w:r>
            <w:r w:rsidR="007B70EB" w:rsidRPr="00AB6E34">
              <w:rPr>
                <w:rStyle w:val="Hyperlink"/>
                <w:noProof/>
              </w:rPr>
              <w:t>Groundwater flow model</w:t>
            </w:r>
            <w:r w:rsidR="007B70EB">
              <w:rPr>
                <w:noProof/>
                <w:webHidden/>
              </w:rPr>
              <w:tab/>
            </w:r>
            <w:r w:rsidR="007B70EB">
              <w:rPr>
                <w:noProof/>
                <w:webHidden/>
              </w:rPr>
              <w:fldChar w:fldCharType="begin"/>
            </w:r>
            <w:r w:rsidR="007B70EB">
              <w:rPr>
                <w:noProof/>
                <w:webHidden/>
              </w:rPr>
              <w:instrText xml:space="preserve"> PAGEREF _Toc494444535 \h </w:instrText>
            </w:r>
            <w:r w:rsidR="007B70EB">
              <w:rPr>
                <w:noProof/>
                <w:webHidden/>
              </w:rPr>
            </w:r>
            <w:r w:rsidR="007B70EB">
              <w:rPr>
                <w:noProof/>
                <w:webHidden/>
              </w:rPr>
              <w:fldChar w:fldCharType="separate"/>
            </w:r>
            <w:r w:rsidR="007B70EB">
              <w:rPr>
                <w:noProof/>
                <w:webHidden/>
              </w:rPr>
              <w:t>103</w:t>
            </w:r>
            <w:r w:rsidR="007B70EB">
              <w:rPr>
                <w:noProof/>
                <w:webHidden/>
              </w:rPr>
              <w:fldChar w:fldCharType="end"/>
            </w:r>
          </w:hyperlink>
        </w:p>
        <w:p w14:paraId="51F4306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36" w:history="1">
            <w:r w:rsidR="007B70EB" w:rsidRPr="00AB6E34">
              <w:rPr>
                <w:rStyle w:val="Hyperlink"/>
                <w:noProof/>
              </w:rPr>
              <w:t>2.6.4.3.</w:t>
            </w:r>
            <w:r w:rsidR="007B70EB">
              <w:rPr>
                <w:rFonts w:asciiTheme="minorHAnsi" w:hAnsiTheme="minorHAnsi"/>
                <w:noProof/>
                <w:sz w:val="22"/>
                <w:szCs w:val="22"/>
                <w:lang w:val="en-AU" w:eastAsia="en-AU"/>
              </w:rPr>
              <w:tab/>
            </w:r>
            <w:r w:rsidR="007B70EB" w:rsidRPr="00AB6E34">
              <w:rPr>
                <w:rStyle w:val="Hyperlink"/>
                <w:noProof/>
              </w:rPr>
              <w:t>Forward particle tracking analysis</w:t>
            </w:r>
            <w:r w:rsidR="007B70EB">
              <w:rPr>
                <w:noProof/>
                <w:webHidden/>
              </w:rPr>
              <w:tab/>
            </w:r>
            <w:r w:rsidR="007B70EB">
              <w:rPr>
                <w:noProof/>
                <w:webHidden/>
              </w:rPr>
              <w:fldChar w:fldCharType="begin"/>
            </w:r>
            <w:r w:rsidR="007B70EB">
              <w:rPr>
                <w:noProof/>
                <w:webHidden/>
              </w:rPr>
              <w:instrText xml:space="preserve"> PAGEREF _Toc494444536 \h </w:instrText>
            </w:r>
            <w:r w:rsidR="007B70EB">
              <w:rPr>
                <w:noProof/>
                <w:webHidden/>
              </w:rPr>
            </w:r>
            <w:r w:rsidR="007B70EB">
              <w:rPr>
                <w:noProof/>
                <w:webHidden/>
              </w:rPr>
              <w:fldChar w:fldCharType="separate"/>
            </w:r>
            <w:r w:rsidR="007B70EB">
              <w:rPr>
                <w:noProof/>
                <w:webHidden/>
              </w:rPr>
              <w:t>110</w:t>
            </w:r>
            <w:r w:rsidR="007B70EB">
              <w:rPr>
                <w:noProof/>
                <w:webHidden/>
              </w:rPr>
              <w:fldChar w:fldCharType="end"/>
            </w:r>
          </w:hyperlink>
        </w:p>
        <w:p w14:paraId="1FF2A5A8"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37" w:history="1">
            <w:r w:rsidR="007B70EB" w:rsidRPr="00AB6E34">
              <w:rPr>
                <w:rStyle w:val="Hyperlink"/>
                <w:noProof/>
              </w:rPr>
              <w:t>2.6.4.3.1.</w:t>
            </w:r>
            <w:r w:rsidR="007B70EB">
              <w:rPr>
                <w:rFonts w:asciiTheme="minorHAnsi" w:hAnsiTheme="minorHAnsi"/>
                <w:noProof/>
                <w:sz w:val="22"/>
                <w:szCs w:val="22"/>
                <w:lang w:val="en-AU" w:eastAsia="en-AU"/>
              </w:rPr>
              <w:tab/>
            </w:r>
            <w:r w:rsidR="007B70EB" w:rsidRPr="00AB6E34">
              <w:rPr>
                <w:rStyle w:val="Hyperlink"/>
                <w:noProof/>
              </w:rPr>
              <w:t>Verification of 30 km buffer zone</w:t>
            </w:r>
            <w:r w:rsidR="007B70EB">
              <w:rPr>
                <w:noProof/>
                <w:webHidden/>
              </w:rPr>
              <w:tab/>
            </w:r>
            <w:r w:rsidR="007B70EB">
              <w:rPr>
                <w:noProof/>
                <w:webHidden/>
              </w:rPr>
              <w:fldChar w:fldCharType="begin"/>
            </w:r>
            <w:r w:rsidR="007B70EB">
              <w:rPr>
                <w:noProof/>
                <w:webHidden/>
              </w:rPr>
              <w:instrText xml:space="preserve"> PAGEREF _Toc494444537 \h </w:instrText>
            </w:r>
            <w:r w:rsidR="007B70EB">
              <w:rPr>
                <w:noProof/>
                <w:webHidden/>
              </w:rPr>
            </w:r>
            <w:r w:rsidR="007B70EB">
              <w:rPr>
                <w:noProof/>
                <w:webHidden/>
              </w:rPr>
              <w:fldChar w:fldCharType="separate"/>
            </w:r>
            <w:r w:rsidR="007B70EB">
              <w:rPr>
                <w:noProof/>
                <w:webHidden/>
              </w:rPr>
              <w:t>110</w:t>
            </w:r>
            <w:r w:rsidR="007B70EB">
              <w:rPr>
                <w:noProof/>
                <w:webHidden/>
              </w:rPr>
              <w:fldChar w:fldCharType="end"/>
            </w:r>
          </w:hyperlink>
        </w:p>
        <w:p w14:paraId="3AC9F2A0"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38" w:history="1">
            <w:r w:rsidR="007B70EB" w:rsidRPr="00AB6E34">
              <w:rPr>
                <w:rStyle w:val="Hyperlink"/>
                <w:noProof/>
              </w:rPr>
              <w:t>2.6.4.3.2.</w:t>
            </w:r>
            <w:r w:rsidR="007B70EB">
              <w:rPr>
                <w:rFonts w:asciiTheme="minorHAnsi" w:hAnsiTheme="minorHAnsi"/>
                <w:noProof/>
                <w:sz w:val="22"/>
                <w:szCs w:val="22"/>
                <w:lang w:val="en-AU" w:eastAsia="en-AU"/>
              </w:rPr>
              <w:tab/>
            </w:r>
            <w:r w:rsidR="007B70EB" w:rsidRPr="00AB6E34">
              <w:rPr>
                <w:rStyle w:val="Hyperlink"/>
                <w:noProof/>
              </w:rPr>
              <w:t>Baseline case without hydraulic fracturing</w:t>
            </w:r>
            <w:r w:rsidR="007B70EB">
              <w:rPr>
                <w:noProof/>
                <w:webHidden/>
              </w:rPr>
              <w:tab/>
            </w:r>
            <w:r w:rsidR="007B70EB">
              <w:rPr>
                <w:noProof/>
                <w:webHidden/>
              </w:rPr>
              <w:fldChar w:fldCharType="begin"/>
            </w:r>
            <w:r w:rsidR="007B70EB">
              <w:rPr>
                <w:noProof/>
                <w:webHidden/>
              </w:rPr>
              <w:instrText xml:space="preserve"> PAGEREF _Toc494444538 \h </w:instrText>
            </w:r>
            <w:r w:rsidR="007B70EB">
              <w:rPr>
                <w:noProof/>
                <w:webHidden/>
              </w:rPr>
            </w:r>
            <w:r w:rsidR="007B70EB">
              <w:rPr>
                <w:noProof/>
                <w:webHidden/>
              </w:rPr>
              <w:fldChar w:fldCharType="separate"/>
            </w:r>
            <w:r w:rsidR="007B70EB">
              <w:rPr>
                <w:noProof/>
                <w:webHidden/>
              </w:rPr>
              <w:t>112</w:t>
            </w:r>
            <w:r w:rsidR="007B70EB">
              <w:rPr>
                <w:noProof/>
                <w:webHidden/>
              </w:rPr>
              <w:fldChar w:fldCharType="end"/>
            </w:r>
          </w:hyperlink>
        </w:p>
        <w:p w14:paraId="706DC0BC"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39" w:history="1">
            <w:r w:rsidR="007B70EB" w:rsidRPr="00AB6E34">
              <w:rPr>
                <w:rStyle w:val="Hyperlink"/>
                <w:noProof/>
              </w:rPr>
              <w:t>2.6.4.3.3.</w:t>
            </w:r>
            <w:r w:rsidR="007B70EB">
              <w:rPr>
                <w:rFonts w:asciiTheme="minorHAnsi" w:hAnsiTheme="minorHAnsi"/>
                <w:noProof/>
                <w:sz w:val="22"/>
                <w:szCs w:val="22"/>
                <w:lang w:val="en-AU" w:eastAsia="en-AU"/>
              </w:rPr>
              <w:tab/>
            </w:r>
            <w:r w:rsidR="007B70EB" w:rsidRPr="00AB6E34">
              <w:rPr>
                <w:rStyle w:val="Hyperlink"/>
                <w:noProof/>
              </w:rPr>
              <w:t>Hydraulic fracturing induced pathways</w:t>
            </w:r>
            <w:r w:rsidR="007B70EB">
              <w:rPr>
                <w:noProof/>
                <w:webHidden/>
              </w:rPr>
              <w:tab/>
            </w:r>
            <w:r w:rsidR="007B70EB">
              <w:rPr>
                <w:noProof/>
                <w:webHidden/>
              </w:rPr>
              <w:fldChar w:fldCharType="begin"/>
            </w:r>
            <w:r w:rsidR="007B70EB">
              <w:rPr>
                <w:noProof/>
                <w:webHidden/>
              </w:rPr>
              <w:instrText xml:space="preserve"> PAGEREF _Toc494444539 \h </w:instrText>
            </w:r>
            <w:r w:rsidR="007B70EB">
              <w:rPr>
                <w:noProof/>
                <w:webHidden/>
              </w:rPr>
            </w:r>
            <w:r w:rsidR="007B70EB">
              <w:rPr>
                <w:noProof/>
                <w:webHidden/>
              </w:rPr>
              <w:fldChar w:fldCharType="separate"/>
            </w:r>
            <w:r w:rsidR="007B70EB">
              <w:rPr>
                <w:noProof/>
                <w:webHidden/>
              </w:rPr>
              <w:t>116</w:t>
            </w:r>
            <w:r w:rsidR="007B70EB">
              <w:rPr>
                <w:noProof/>
                <w:webHidden/>
              </w:rPr>
              <w:fldChar w:fldCharType="end"/>
            </w:r>
          </w:hyperlink>
        </w:p>
        <w:p w14:paraId="3D87D99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40" w:history="1">
            <w:r w:rsidR="007B70EB" w:rsidRPr="00AB6E34">
              <w:rPr>
                <w:rStyle w:val="Hyperlink"/>
                <w:noProof/>
              </w:rPr>
              <w:t>2.6.4.4.</w:t>
            </w:r>
            <w:r w:rsidR="007B70EB">
              <w:rPr>
                <w:rFonts w:asciiTheme="minorHAnsi" w:hAnsiTheme="minorHAnsi"/>
                <w:noProof/>
                <w:sz w:val="22"/>
                <w:szCs w:val="22"/>
                <w:lang w:val="en-AU" w:eastAsia="en-AU"/>
              </w:rPr>
              <w:tab/>
            </w:r>
            <w:r w:rsidR="007B70EB" w:rsidRPr="00AB6E34">
              <w:rPr>
                <w:rStyle w:val="Hyperlink"/>
                <w:noProof/>
              </w:rPr>
              <w:t>Backward particle tracking analysis</w:t>
            </w:r>
            <w:r w:rsidR="007B70EB">
              <w:rPr>
                <w:noProof/>
                <w:webHidden/>
              </w:rPr>
              <w:tab/>
            </w:r>
            <w:r w:rsidR="007B70EB">
              <w:rPr>
                <w:noProof/>
                <w:webHidden/>
              </w:rPr>
              <w:fldChar w:fldCharType="begin"/>
            </w:r>
            <w:r w:rsidR="007B70EB">
              <w:rPr>
                <w:noProof/>
                <w:webHidden/>
              </w:rPr>
              <w:instrText xml:space="preserve"> PAGEREF _Toc494444540 \h </w:instrText>
            </w:r>
            <w:r w:rsidR="007B70EB">
              <w:rPr>
                <w:noProof/>
                <w:webHidden/>
              </w:rPr>
            </w:r>
            <w:r w:rsidR="007B70EB">
              <w:rPr>
                <w:noProof/>
                <w:webHidden/>
              </w:rPr>
              <w:fldChar w:fldCharType="separate"/>
            </w:r>
            <w:r w:rsidR="007B70EB">
              <w:rPr>
                <w:noProof/>
                <w:webHidden/>
              </w:rPr>
              <w:t>120</w:t>
            </w:r>
            <w:r w:rsidR="007B70EB">
              <w:rPr>
                <w:noProof/>
                <w:webHidden/>
              </w:rPr>
              <w:fldChar w:fldCharType="end"/>
            </w:r>
          </w:hyperlink>
        </w:p>
        <w:p w14:paraId="1FB45CD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41" w:history="1">
            <w:r w:rsidR="007B70EB" w:rsidRPr="00AB6E34">
              <w:rPr>
                <w:rStyle w:val="Hyperlink"/>
                <w:noProof/>
                <w14:scene3d>
                  <w14:camera w14:prst="orthographicFront"/>
                  <w14:lightRig w14:rig="threePt" w14:dir="t">
                    <w14:rot w14:lat="0" w14:lon="0" w14:rev="0"/>
                  </w14:lightRig>
                </w14:scene3d>
              </w:rPr>
              <w:t>2.6.5.</w:t>
            </w:r>
            <w:r w:rsidR="007B70EB">
              <w:rPr>
                <w:rFonts w:asciiTheme="minorHAnsi" w:hAnsiTheme="minorHAnsi"/>
                <w:noProof/>
                <w:sz w:val="22"/>
                <w:szCs w:val="22"/>
                <w:lang w:val="en-AU" w:eastAsia="en-AU"/>
              </w:rPr>
              <w:tab/>
            </w:r>
            <w:r w:rsidR="007B70EB" w:rsidRPr="00AB6E34">
              <w:rPr>
                <w:rStyle w:val="Hyperlink"/>
                <w:noProof/>
              </w:rPr>
              <w:t>Particle tracking analysis for the Surat Basin</w:t>
            </w:r>
            <w:r w:rsidR="007B70EB">
              <w:rPr>
                <w:noProof/>
                <w:webHidden/>
              </w:rPr>
              <w:tab/>
            </w:r>
            <w:r w:rsidR="007B70EB">
              <w:rPr>
                <w:noProof/>
                <w:webHidden/>
              </w:rPr>
              <w:fldChar w:fldCharType="begin"/>
            </w:r>
            <w:r w:rsidR="007B70EB">
              <w:rPr>
                <w:noProof/>
                <w:webHidden/>
              </w:rPr>
              <w:instrText xml:space="preserve"> PAGEREF _Toc494444541 \h </w:instrText>
            </w:r>
            <w:r w:rsidR="007B70EB">
              <w:rPr>
                <w:noProof/>
                <w:webHidden/>
              </w:rPr>
            </w:r>
            <w:r w:rsidR="007B70EB">
              <w:rPr>
                <w:noProof/>
                <w:webHidden/>
              </w:rPr>
              <w:fldChar w:fldCharType="separate"/>
            </w:r>
            <w:r w:rsidR="007B70EB">
              <w:rPr>
                <w:noProof/>
                <w:webHidden/>
              </w:rPr>
              <w:t>126</w:t>
            </w:r>
            <w:r w:rsidR="007B70EB">
              <w:rPr>
                <w:noProof/>
                <w:webHidden/>
              </w:rPr>
              <w:fldChar w:fldCharType="end"/>
            </w:r>
          </w:hyperlink>
        </w:p>
        <w:p w14:paraId="655A60CC"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42" w:history="1">
            <w:r w:rsidR="007B70EB" w:rsidRPr="00AB6E34">
              <w:rPr>
                <w:rStyle w:val="Hyperlink"/>
                <w:noProof/>
              </w:rPr>
              <w:t>2.6.5.1.</w:t>
            </w:r>
            <w:r w:rsidR="007B70EB">
              <w:rPr>
                <w:rFonts w:asciiTheme="minorHAnsi" w:hAnsiTheme="minorHAnsi"/>
                <w:noProof/>
                <w:sz w:val="22"/>
                <w:szCs w:val="22"/>
                <w:lang w:val="en-AU" w:eastAsia="en-AU"/>
              </w:rPr>
              <w:tab/>
            </w:r>
            <w:r w:rsidR="007B70EB" w:rsidRPr="00AB6E34">
              <w:rPr>
                <w:rStyle w:val="Hyperlink"/>
                <w:noProof/>
              </w:rPr>
              <w:t>Hydrogeology</w:t>
            </w:r>
            <w:r w:rsidR="007B70EB">
              <w:rPr>
                <w:noProof/>
                <w:webHidden/>
              </w:rPr>
              <w:tab/>
            </w:r>
            <w:r w:rsidR="007B70EB">
              <w:rPr>
                <w:noProof/>
                <w:webHidden/>
              </w:rPr>
              <w:fldChar w:fldCharType="begin"/>
            </w:r>
            <w:r w:rsidR="007B70EB">
              <w:rPr>
                <w:noProof/>
                <w:webHidden/>
              </w:rPr>
              <w:instrText xml:space="preserve"> PAGEREF _Toc494444542 \h </w:instrText>
            </w:r>
            <w:r w:rsidR="007B70EB">
              <w:rPr>
                <w:noProof/>
                <w:webHidden/>
              </w:rPr>
            </w:r>
            <w:r w:rsidR="007B70EB">
              <w:rPr>
                <w:noProof/>
                <w:webHidden/>
              </w:rPr>
              <w:fldChar w:fldCharType="separate"/>
            </w:r>
            <w:r w:rsidR="007B70EB">
              <w:rPr>
                <w:noProof/>
                <w:webHidden/>
              </w:rPr>
              <w:t>127</w:t>
            </w:r>
            <w:r w:rsidR="007B70EB">
              <w:rPr>
                <w:noProof/>
                <w:webHidden/>
              </w:rPr>
              <w:fldChar w:fldCharType="end"/>
            </w:r>
          </w:hyperlink>
        </w:p>
        <w:p w14:paraId="574050E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43" w:history="1">
            <w:r w:rsidR="007B70EB" w:rsidRPr="00AB6E34">
              <w:rPr>
                <w:rStyle w:val="Hyperlink"/>
                <w:noProof/>
              </w:rPr>
              <w:t>2.6.5.2.</w:t>
            </w:r>
            <w:r w:rsidR="007B70EB">
              <w:rPr>
                <w:rFonts w:asciiTheme="minorHAnsi" w:hAnsiTheme="minorHAnsi"/>
                <w:noProof/>
                <w:sz w:val="22"/>
                <w:szCs w:val="22"/>
                <w:lang w:val="en-AU" w:eastAsia="en-AU"/>
              </w:rPr>
              <w:tab/>
            </w:r>
            <w:r w:rsidR="007B70EB" w:rsidRPr="00AB6E34">
              <w:rPr>
                <w:rStyle w:val="Hyperlink"/>
                <w:noProof/>
              </w:rPr>
              <w:t>Groundwater flow model</w:t>
            </w:r>
            <w:r w:rsidR="007B70EB">
              <w:rPr>
                <w:noProof/>
                <w:webHidden/>
              </w:rPr>
              <w:tab/>
            </w:r>
            <w:r w:rsidR="007B70EB">
              <w:rPr>
                <w:noProof/>
                <w:webHidden/>
              </w:rPr>
              <w:fldChar w:fldCharType="begin"/>
            </w:r>
            <w:r w:rsidR="007B70EB">
              <w:rPr>
                <w:noProof/>
                <w:webHidden/>
              </w:rPr>
              <w:instrText xml:space="preserve"> PAGEREF _Toc494444543 \h </w:instrText>
            </w:r>
            <w:r w:rsidR="007B70EB">
              <w:rPr>
                <w:noProof/>
                <w:webHidden/>
              </w:rPr>
            </w:r>
            <w:r w:rsidR="007B70EB">
              <w:rPr>
                <w:noProof/>
                <w:webHidden/>
              </w:rPr>
              <w:fldChar w:fldCharType="separate"/>
            </w:r>
            <w:r w:rsidR="007B70EB">
              <w:rPr>
                <w:noProof/>
                <w:webHidden/>
              </w:rPr>
              <w:t>131</w:t>
            </w:r>
            <w:r w:rsidR="007B70EB">
              <w:rPr>
                <w:noProof/>
                <w:webHidden/>
              </w:rPr>
              <w:fldChar w:fldCharType="end"/>
            </w:r>
          </w:hyperlink>
        </w:p>
        <w:p w14:paraId="596C326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44" w:history="1">
            <w:r w:rsidR="007B70EB" w:rsidRPr="00AB6E34">
              <w:rPr>
                <w:rStyle w:val="Hyperlink"/>
                <w:noProof/>
              </w:rPr>
              <w:t>2.6.5.3.</w:t>
            </w:r>
            <w:r w:rsidR="007B70EB">
              <w:rPr>
                <w:rFonts w:asciiTheme="minorHAnsi" w:hAnsiTheme="minorHAnsi"/>
                <w:noProof/>
                <w:sz w:val="22"/>
                <w:szCs w:val="22"/>
                <w:lang w:val="en-AU" w:eastAsia="en-AU"/>
              </w:rPr>
              <w:tab/>
            </w:r>
            <w:r w:rsidR="007B70EB" w:rsidRPr="00AB6E34">
              <w:rPr>
                <w:rStyle w:val="Hyperlink"/>
                <w:noProof/>
              </w:rPr>
              <w:t>Forward particle tracking analysis</w:t>
            </w:r>
            <w:r w:rsidR="007B70EB">
              <w:rPr>
                <w:noProof/>
                <w:webHidden/>
              </w:rPr>
              <w:tab/>
            </w:r>
            <w:r w:rsidR="007B70EB">
              <w:rPr>
                <w:noProof/>
                <w:webHidden/>
              </w:rPr>
              <w:fldChar w:fldCharType="begin"/>
            </w:r>
            <w:r w:rsidR="007B70EB">
              <w:rPr>
                <w:noProof/>
                <w:webHidden/>
              </w:rPr>
              <w:instrText xml:space="preserve"> PAGEREF _Toc494444544 \h </w:instrText>
            </w:r>
            <w:r w:rsidR="007B70EB">
              <w:rPr>
                <w:noProof/>
                <w:webHidden/>
              </w:rPr>
            </w:r>
            <w:r w:rsidR="007B70EB">
              <w:rPr>
                <w:noProof/>
                <w:webHidden/>
              </w:rPr>
              <w:fldChar w:fldCharType="separate"/>
            </w:r>
            <w:r w:rsidR="007B70EB">
              <w:rPr>
                <w:noProof/>
                <w:webHidden/>
              </w:rPr>
              <w:t>132</w:t>
            </w:r>
            <w:r w:rsidR="007B70EB">
              <w:rPr>
                <w:noProof/>
                <w:webHidden/>
              </w:rPr>
              <w:fldChar w:fldCharType="end"/>
            </w:r>
          </w:hyperlink>
        </w:p>
        <w:p w14:paraId="26D6E27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45" w:history="1">
            <w:r w:rsidR="007B70EB" w:rsidRPr="00AB6E34">
              <w:rPr>
                <w:rStyle w:val="Hyperlink"/>
                <w:noProof/>
              </w:rPr>
              <w:t>2.6.5.3.1.</w:t>
            </w:r>
            <w:r w:rsidR="007B70EB">
              <w:rPr>
                <w:rFonts w:asciiTheme="minorHAnsi" w:hAnsiTheme="minorHAnsi"/>
                <w:noProof/>
                <w:sz w:val="22"/>
                <w:szCs w:val="22"/>
                <w:lang w:val="en-AU" w:eastAsia="en-AU"/>
              </w:rPr>
              <w:tab/>
            </w:r>
            <w:r w:rsidR="007B70EB" w:rsidRPr="00AB6E34">
              <w:rPr>
                <w:rStyle w:val="Hyperlink"/>
                <w:noProof/>
              </w:rPr>
              <w:t>Baseline case without hydraulic fracturing</w:t>
            </w:r>
            <w:r w:rsidR="007B70EB">
              <w:rPr>
                <w:noProof/>
                <w:webHidden/>
              </w:rPr>
              <w:tab/>
            </w:r>
            <w:r w:rsidR="007B70EB">
              <w:rPr>
                <w:noProof/>
                <w:webHidden/>
              </w:rPr>
              <w:fldChar w:fldCharType="begin"/>
            </w:r>
            <w:r w:rsidR="007B70EB">
              <w:rPr>
                <w:noProof/>
                <w:webHidden/>
              </w:rPr>
              <w:instrText xml:space="preserve"> PAGEREF _Toc494444545 \h </w:instrText>
            </w:r>
            <w:r w:rsidR="007B70EB">
              <w:rPr>
                <w:noProof/>
                <w:webHidden/>
              </w:rPr>
            </w:r>
            <w:r w:rsidR="007B70EB">
              <w:rPr>
                <w:noProof/>
                <w:webHidden/>
              </w:rPr>
              <w:fldChar w:fldCharType="separate"/>
            </w:r>
            <w:r w:rsidR="007B70EB">
              <w:rPr>
                <w:noProof/>
                <w:webHidden/>
              </w:rPr>
              <w:t>132</w:t>
            </w:r>
            <w:r w:rsidR="007B70EB">
              <w:rPr>
                <w:noProof/>
                <w:webHidden/>
              </w:rPr>
              <w:fldChar w:fldCharType="end"/>
            </w:r>
          </w:hyperlink>
        </w:p>
        <w:p w14:paraId="1CBA3CBB"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46" w:history="1">
            <w:r w:rsidR="007B70EB" w:rsidRPr="00AB6E34">
              <w:rPr>
                <w:rStyle w:val="Hyperlink"/>
                <w:noProof/>
              </w:rPr>
              <w:t>2.6.5.3.2.</w:t>
            </w:r>
            <w:r w:rsidR="007B70EB">
              <w:rPr>
                <w:rFonts w:asciiTheme="minorHAnsi" w:hAnsiTheme="minorHAnsi"/>
                <w:noProof/>
                <w:sz w:val="22"/>
                <w:szCs w:val="22"/>
                <w:lang w:val="en-AU" w:eastAsia="en-AU"/>
              </w:rPr>
              <w:tab/>
            </w:r>
            <w:r w:rsidR="007B70EB" w:rsidRPr="00AB6E34">
              <w:rPr>
                <w:rStyle w:val="Hyperlink"/>
                <w:noProof/>
              </w:rPr>
              <w:t>Hydraulic fracturing induced pathways</w:t>
            </w:r>
            <w:r w:rsidR="007B70EB">
              <w:rPr>
                <w:noProof/>
                <w:webHidden/>
              </w:rPr>
              <w:tab/>
            </w:r>
            <w:r w:rsidR="007B70EB">
              <w:rPr>
                <w:noProof/>
                <w:webHidden/>
              </w:rPr>
              <w:fldChar w:fldCharType="begin"/>
            </w:r>
            <w:r w:rsidR="007B70EB">
              <w:rPr>
                <w:noProof/>
                <w:webHidden/>
              </w:rPr>
              <w:instrText xml:space="preserve"> PAGEREF _Toc494444546 \h </w:instrText>
            </w:r>
            <w:r w:rsidR="007B70EB">
              <w:rPr>
                <w:noProof/>
                <w:webHidden/>
              </w:rPr>
            </w:r>
            <w:r w:rsidR="007B70EB">
              <w:rPr>
                <w:noProof/>
                <w:webHidden/>
              </w:rPr>
              <w:fldChar w:fldCharType="separate"/>
            </w:r>
            <w:r w:rsidR="007B70EB">
              <w:rPr>
                <w:noProof/>
                <w:webHidden/>
              </w:rPr>
              <w:t>133</w:t>
            </w:r>
            <w:r w:rsidR="007B70EB">
              <w:rPr>
                <w:noProof/>
                <w:webHidden/>
              </w:rPr>
              <w:fldChar w:fldCharType="end"/>
            </w:r>
          </w:hyperlink>
        </w:p>
        <w:p w14:paraId="2FB89B7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47" w:history="1">
            <w:r w:rsidR="007B70EB" w:rsidRPr="00AB6E34">
              <w:rPr>
                <w:rStyle w:val="Hyperlink"/>
                <w:noProof/>
              </w:rPr>
              <w:t>2.6.5.4.</w:t>
            </w:r>
            <w:r w:rsidR="007B70EB">
              <w:rPr>
                <w:rFonts w:asciiTheme="minorHAnsi" w:hAnsiTheme="minorHAnsi"/>
                <w:noProof/>
                <w:sz w:val="22"/>
                <w:szCs w:val="22"/>
                <w:lang w:val="en-AU" w:eastAsia="en-AU"/>
              </w:rPr>
              <w:tab/>
            </w:r>
            <w:r w:rsidR="007B70EB" w:rsidRPr="00AB6E34">
              <w:rPr>
                <w:rStyle w:val="Hyperlink"/>
                <w:noProof/>
              </w:rPr>
              <w:t>Backward particle tracking analysis</w:t>
            </w:r>
            <w:r w:rsidR="007B70EB">
              <w:rPr>
                <w:noProof/>
                <w:webHidden/>
              </w:rPr>
              <w:tab/>
            </w:r>
            <w:r w:rsidR="007B70EB">
              <w:rPr>
                <w:noProof/>
                <w:webHidden/>
              </w:rPr>
              <w:fldChar w:fldCharType="begin"/>
            </w:r>
            <w:r w:rsidR="007B70EB">
              <w:rPr>
                <w:noProof/>
                <w:webHidden/>
              </w:rPr>
              <w:instrText xml:space="preserve"> PAGEREF _Toc494444547 \h </w:instrText>
            </w:r>
            <w:r w:rsidR="007B70EB">
              <w:rPr>
                <w:noProof/>
                <w:webHidden/>
              </w:rPr>
            </w:r>
            <w:r w:rsidR="007B70EB">
              <w:rPr>
                <w:noProof/>
                <w:webHidden/>
              </w:rPr>
              <w:fldChar w:fldCharType="separate"/>
            </w:r>
            <w:r w:rsidR="007B70EB">
              <w:rPr>
                <w:noProof/>
                <w:webHidden/>
              </w:rPr>
              <w:t>140</w:t>
            </w:r>
            <w:r w:rsidR="007B70EB">
              <w:rPr>
                <w:noProof/>
                <w:webHidden/>
              </w:rPr>
              <w:fldChar w:fldCharType="end"/>
            </w:r>
          </w:hyperlink>
        </w:p>
        <w:p w14:paraId="582FF8CB" w14:textId="77777777" w:rsidR="007B70EB" w:rsidRDefault="00900E5C">
          <w:pPr>
            <w:pStyle w:val="TOC1"/>
            <w:rPr>
              <w:rFonts w:asciiTheme="minorHAnsi" w:hAnsiTheme="minorHAnsi"/>
              <w:b w:val="0"/>
              <w:noProof/>
              <w:sz w:val="22"/>
              <w:szCs w:val="22"/>
              <w:lang w:val="en-AU" w:eastAsia="en-AU"/>
            </w:rPr>
          </w:pPr>
          <w:hyperlink w:anchor="_Toc494444548" w:history="1">
            <w:r w:rsidR="007B70EB" w:rsidRPr="00AB6E34">
              <w:rPr>
                <w:rStyle w:val="Hyperlink"/>
                <w:noProof/>
              </w:rPr>
              <w:t>3.</w:t>
            </w:r>
            <w:r w:rsidR="007B70EB">
              <w:rPr>
                <w:rFonts w:asciiTheme="minorHAnsi" w:hAnsiTheme="minorHAnsi"/>
                <w:b w:val="0"/>
                <w:noProof/>
                <w:sz w:val="22"/>
                <w:szCs w:val="22"/>
                <w:lang w:val="en-AU" w:eastAsia="en-AU"/>
              </w:rPr>
              <w:tab/>
            </w:r>
            <w:r w:rsidR="007B70EB" w:rsidRPr="00AB6E34">
              <w:rPr>
                <w:rStyle w:val="Hyperlink"/>
                <w:noProof/>
              </w:rPr>
              <w:t>Spatial analyses of CSG extraction activities, hydraulic fracturing operations, and relevant assets</w:t>
            </w:r>
            <w:r w:rsidR="007B70EB">
              <w:rPr>
                <w:noProof/>
                <w:webHidden/>
              </w:rPr>
              <w:tab/>
            </w:r>
            <w:r w:rsidR="007B70EB">
              <w:rPr>
                <w:noProof/>
                <w:webHidden/>
              </w:rPr>
              <w:fldChar w:fldCharType="begin"/>
            </w:r>
            <w:r w:rsidR="007B70EB">
              <w:rPr>
                <w:noProof/>
                <w:webHidden/>
              </w:rPr>
              <w:instrText xml:space="preserve"> PAGEREF _Toc494444548 \h </w:instrText>
            </w:r>
            <w:r w:rsidR="007B70EB">
              <w:rPr>
                <w:noProof/>
                <w:webHidden/>
              </w:rPr>
            </w:r>
            <w:r w:rsidR="007B70EB">
              <w:rPr>
                <w:noProof/>
                <w:webHidden/>
              </w:rPr>
              <w:fldChar w:fldCharType="separate"/>
            </w:r>
            <w:r w:rsidR="007B70EB">
              <w:rPr>
                <w:noProof/>
                <w:webHidden/>
              </w:rPr>
              <w:t>143</w:t>
            </w:r>
            <w:r w:rsidR="007B70EB">
              <w:rPr>
                <w:noProof/>
                <w:webHidden/>
              </w:rPr>
              <w:fldChar w:fldCharType="end"/>
            </w:r>
          </w:hyperlink>
        </w:p>
        <w:p w14:paraId="43686D2C" w14:textId="77777777" w:rsidR="007B70EB" w:rsidRDefault="00900E5C">
          <w:pPr>
            <w:pStyle w:val="TOC2"/>
            <w:rPr>
              <w:rFonts w:asciiTheme="minorHAnsi" w:hAnsiTheme="minorHAnsi"/>
              <w:noProof/>
              <w:sz w:val="22"/>
              <w:szCs w:val="22"/>
              <w:lang w:val="en-AU" w:eastAsia="en-AU"/>
            </w:rPr>
          </w:pPr>
          <w:hyperlink w:anchor="_Toc494444549" w:history="1">
            <w:r w:rsidR="007B70EB" w:rsidRPr="00AB6E34">
              <w:rPr>
                <w:rStyle w:val="Hyperlink"/>
                <w:noProof/>
                <w14:scene3d>
                  <w14:camera w14:prst="orthographicFront"/>
                  <w14:lightRig w14:rig="threePt" w14:dir="t">
                    <w14:rot w14:lat="0" w14:lon="0" w14:rev="0"/>
                  </w14:lightRig>
                </w14:scene3d>
              </w:rPr>
              <w:t>3.1.</w:t>
            </w:r>
            <w:r w:rsidR="007B70EB">
              <w:rPr>
                <w:rFonts w:asciiTheme="minorHAnsi" w:hAnsiTheme="minorHAnsi"/>
                <w:noProof/>
                <w:sz w:val="22"/>
                <w:szCs w:val="22"/>
                <w:lang w:val="en-AU" w:eastAsia="en-AU"/>
              </w:rPr>
              <w:tab/>
            </w:r>
            <w:r w:rsidR="007B70EB" w:rsidRPr="00AB6E34">
              <w:rPr>
                <w:rStyle w:val="Hyperlink"/>
                <w:noProof/>
              </w:rPr>
              <w:t>Methodology</w:t>
            </w:r>
            <w:r w:rsidR="007B70EB">
              <w:rPr>
                <w:noProof/>
                <w:webHidden/>
              </w:rPr>
              <w:tab/>
            </w:r>
            <w:r w:rsidR="007B70EB">
              <w:rPr>
                <w:noProof/>
                <w:webHidden/>
              </w:rPr>
              <w:fldChar w:fldCharType="begin"/>
            </w:r>
            <w:r w:rsidR="007B70EB">
              <w:rPr>
                <w:noProof/>
                <w:webHidden/>
              </w:rPr>
              <w:instrText xml:space="preserve"> PAGEREF _Toc494444549 \h </w:instrText>
            </w:r>
            <w:r w:rsidR="007B70EB">
              <w:rPr>
                <w:noProof/>
                <w:webHidden/>
              </w:rPr>
            </w:r>
            <w:r w:rsidR="007B70EB">
              <w:rPr>
                <w:noProof/>
                <w:webHidden/>
              </w:rPr>
              <w:fldChar w:fldCharType="separate"/>
            </w:r>
            <w:r w:rsidR="007B70EB">
              <w:rPr>
                <w:noProof/>
                <w:webHidden/>
              </w:rPr>
              <w:t>143</w:t>
            </w:r>
            <w:r w:rsidR="007B70EB">
              <w:rPr>
                <w:noProof/>
                <w:webHidden/>
              </w:rPr>
              <w:fldChar w:fldCharType="end"/>
            </w:r>
          </w:hyperlink>
        </w:p>
        <w:p w14:paraId="1830FA44" w14:textId="77777777" w:rsidR="007B70EB" w:rsidRDefault="00900E5C">
          <w:pPr>
            <w:pStyle w:val="TOC2"/>
            <w:rPr>
              <w:rFonts w:asciiTheme="minorHAnsi" w:hAnsiTheme="minorHAnsi"/>
              <w:noProof/>
              <w:sz w:val="22"/>
              <w:szCs w:val="22"/>
              <w:lang w:val="en-AU" w:eastAsia="en-AU"/>
            </w:rPr>
          </w:pPr>
          <w:hyperlink w:anchor="_Toc494444550" w:history="1">
            <w:r w:rsidR="007B70EB" w:rsidRPr="00AB6E34">
              <w:rPr>
                <w:rStyle w:val="Hyperlink"/>
                <w:noProof/>
                <w14:scene3d>
                  <w14:camera w14:prst="orthographicFront"/>
                  <w14:lightRig w14:rig="threePt" w14:dir="t">
                    <w14:rot w14:lat="0" w14:lon="0" w14:rev="0"/>
                  </w14:lightRig>
                </w14:scene3d>
              </w:rPr>
              <w:t>3.2.</w:t>
            </w:r>
            <w:r w:rsidR="007B70EB">
              <w:rPr>
                <w:rFonts w:asciiTheme="minorHAnsi" w:hAnsiTheme="minorHAnsi"/>
                <w:noProof/>
                <w:sz w:val="22"/>
                <w:szCs w:val="22"/>
                <w:lang w:val="en-AU" w:eastAsia="en-AU"/>
              </w:rPr>
              <w:tab/>
            </w:r>
            <w:r w:rsidR="007B70EB" w:rsidRPr="00AB6E34">
              <w:rPr>
                <w:rStyle w:val="Hyperlink"/>
                <w:noProof/>
              </w:rPr>
              <w:t>Frequency-proximity relationships for Gunnedah Basin</w:t>
            </w:r>
            <w:r w:rsidR="007B70EB">
              <w:rPr>
                <w:noProof/>
                <w:webHidden/>
              </w:rPr>
              <w:tab/>
            </w:r>
            <w:r w:rsidR="007B70EB">
              <w:rPr>
                <w:noProof/>
                <w:webHidden/>
              </w:rPr>
              <w:fldChar w:fldCharType="begin"/>
            </w:r>
            <w:r w:rsidR="007B70EB">
              <w:rPr>
                <w:noProof/>
                <w:webHidden/>
              </w:rPr>
              <w:instrText xml:space="preserve"> PAGEREF _Toc494444550 \h </w:instrText>
            </w:r>
            <w:r w:rsidR="007B70EB">
              <w:rPr>
                <w:noProof/>
                <w:webHidden/>
              </w:rPr>
            </w:r>
            <w:r w:rsidR="007B70EB">
              <w:rPr>
                <w:noProof/>
                <w:webHidden/>
              </w:rPr>
              <w:fldChar w:fldCharType="separate"/>
            </w:r>
            <w:r w:rsidR="007B70EB">
              <w:rPr>
                <w:noProof/>
                <w:webHidden/>
              </w:rPr>
              <w:t>147</w:t>
            </w:r>
            <w:r w:rsidR="007B70EB">
              <w:rPr>
                <w:noProof/>
                <w:webHidden/>
              </w:rPr>
              <w:fldChar w:fldCharType="end"/>
            </w:r>
          </w:hyperlink>
        </w:p>
        <w:p w14:paraId="29FDCEE8"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51" w:history="1">
            <w:r w:rsidR="007B70EB" w:rsidRPr="00AB6E34">
              <w:rPr>
                <w:rStyle w:val="Hyperlink"/>
                <w:noProof/>
                <w14:scene3d>
                  <w14:camera w14:prst="orthographicFront"/>
                  <w14:lightRig w14:rig="threePt" w14:dir="t">
                    <w14:rot w14:lat="0" w14:lon="0" w14:rev="0"/>
                  </w14:lightRig>
                </w14:scene3d>
              </w:rPr>
              <w:t>3.2.1.</w:t>
            </w:r>
            <w:r w:rsidR="007B70EB">
              <w:rPr>
                <w:rFonts w:asciiTheme="minorHAnsi" w:hAnsiTheme="minorHAnsi"/>
                <w:noProof/>
                <w:sz w:val="22"/>
                <w:szCs w:val="22"/>
                <w:lang w:val="en-AU" w:eastAsia="en-AU"/>
              </w:rPr>
              <w:tab/>
            </w:r>
            <w:r w:rsidR="007B70EB" w:rsidRPr="00AB6E34">
              <w:rPr>
                <w:rStyle w:val="Hyperlink"/>
                <w:noProof/>
              </w:rPr>
              <w:t>Ecological assets</w:t>
            </w:r>
            <w:r w:rsidR="007B70EB">
              <w:rPr>
                <w:noProof/>
                <w:webHidden/>
              </w:rPr>
              <w:tab/>
            </w:r>
            <w:r w:rsidR="007B70EB">
              <w:rPr>
                <w:noProof/>
                <w:webHidden/>
              </w:rPr>
              <w:fldChar w:fldCharType="begin"/>
            </w:r>
            <w:r w:rsidR="007B70EB">
              <w:rPr>
                <w:noProof/>
                <w:webHidden/>
              </w:rPr>
              <w:instrText xml:space="preserve"> PAGEREF _Toc494444551 \h </w:instrText>
            </w:r>
            <w:r w:rsidR="007B70EB">
              <w:rPr>
                <w:noProof/>
                <w:webHidden/>
              </w:rPr>
            </w:r>
            <w:r w:rsidR="007B70EB">
              <w:rPr>
                <w:noProof/>
                <w:webHidden/>
              </w:rPr>
              <w:fldChar w:fldCharType="separate"/>
            </w:r>
            <w:r w:rsidR="007B70EB">
              <w:rPr>
                <w:noProof/>
                <w:webHidden/>
              </w:rPr>
              <w:t>147</w:t>
            </w:r>
            <w:r w:rsidR="007B70EB">
              <w:rPr>
                <w:noProof/>
                <w:webHidden/>
              </w:rPr>
              <w:fldChar w:fldCharType="end"/>
            </w:r>
          </w:hyperlink>
        </w:p>
        <w:p w14:paraId="08F769B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52" w:history="1">
            <w:r w:rsidR="007B70EB" w:rsidRPr="00AB6E34">
              <w:rPr>
                <w:rStyle w:val="Hyperlink"/>
                <w:noProof/>
              </w:rPr>
              <w:t>3.2.1.1.</w:t>
            </w:r>
            <w:r w:rsidR="007B70EB">
              <w:rPr>
                <w:rFonts w:asciiTheme="minorHAnsi" w:hAnsiTheme="minorHAnsi"/>
                <w:noProof/>
                <w:sz w:val="22"/>
                <w:szCs w:val="22"/>
                <w:lang w:val="en-AU" w:eastAsia="en-AU"/>
              </w:rPr>
              <w:tab/>
            </w:r>
            <w:r w:rsidR="007B70EB" w:rsidRPr="00AB6E34">
              <w:rPr>
                <w:rStyle w:val="Hyperlink"/>
                <w:noProof/>
              </w:rPr>
              <w:t>Groundwater dependent ecosystem asset class</w:t>
            </w:r>
            <w:r w:rsidR="007B70EB">
              <w:rPr>
                <w:noProof/>
                <w:webHidden/>
              </w:rPr>
              <w:tab/>
            </w:r>
            <w:r w:rsidR="007B70EB">
              <w:rPr>
                <w:noProof/>
                <w:webHidden/>
              </w:rPr>
              <w:fldChar w:fldCharType="begin"/>
            </w:r>
            <w:r w:rsidR="007B70EB">
              <w:rPr>
                <w:noProof/>
                <w:webHidden/>
              </w:rPr>
              <w:instrText xml:space="preserve"> PAGEREF _Toc494444552 \h </w:instrText>
            </w:r>
            <w:r w:rsidR="007B70EB">
              <w:rPr>
                <w:noProof/>
                <w:webHidden/>
              </w:rPr>
            </w:r>
            <w:r w:rsidR="007B70EB">
              <w:rPr>
                <w:noProof/>
                <w:webHidden/>
              </w:rPr>
              <w:fldChar w:fldCharType="separate"/>
            </w:r>
            <w:r w:rsidR="007B70EB">
              <w:rPr>
                <w:noProof/>
                <w:webHidden/>
              </w:rPr>
              <w:t>147</w:t>
            </w:r>
            <w:r w:rsidR="007B70EB">
              <w:rPr>
                <w:noProof/>
                <w:webHidden/>
              </w:rPr>
              <w:fldChar w:fldCharType="end"/>
            </w:r>
          </w:hyperlink>
        </w:p>
        <w:p w14:paraId="169F0CE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53" w:history="1">
            <w:r w:rsidR="007B70EB" w:rsidRPr="00AB6E34">
              <w:rPr>
                <w:rStyle w:val="Hyperlink"/>
                <w:noProof/>
              </w:rPr>
              <w:t>3.2.1.2.</w:t>
            </w:r>
            <w:r w:rsidR="007B70EB">
              <w:rPr>
                <w:rFonts w:asciiTheme="minorHAnsi" w:hAnsiTheme="minorHAnsi"/>
                <w:noProof/>
                <w:sz w:val="22"/>
                <w:szCs w:val="22"/>
                <w:lang w:val="en-AU" w:eastAsia="en-AU"/>
              </w:rPr>
              <w:tab/>
            </w:r>
            <w:r w:rsidR="007B70EB" w:rsidRPr="00AB6E34">
              <w:rPr>
                <w:rStyle w:val="Hyperlink"/>
                <w:noProof/>
              </w:rPr>
              <w:t>Aquifer, geological feature, alluvium or stratum asset class</w:t>
            </w:r>
            <w:r w:rsidR="007B70EB">
              <w:rPr>
                <w:noProof/>
                <w:webHidden/>
              </w:rPr>
              <w:tab/>
            </w:r>
            <w:r w:rsidR="007B70EB">
              <w:rPr>
                <w:noProof/>
                <w:webHidden/>
              </w:rPr>
              <w:fldChar w:fldCharType="begin"/>
            </w:r>
            <w:r w:rsidR="007B70EB">
              <w:rPr>
                <w:noProof/>
                <w:webHidden/>
              </w:rPr>
              <w:instrText xml:space="preserve"> PAGEREF _Toc494444553 \h </w:instrText>
            </w:r>
            <w:r w:rsidR="007B70EB">
              <w:rPr>
                <w:noProof/>
                <w:webHidden/>
              </w:rPr>
            </w:r>
            <w:r w:rsidR="007B70EB">
              <w:rPr>
                <w:noProof/>
                <w:webHidden/>
              </w:rPr>
              <w:fldChar w:fldCharType="separate"/>
            </w:r>
            <w:r w:rsidR="007B70EB">
              <w:rPr>
                <w:noProof/>
                <w:webHidden/>
              </w:rPr>
              <w:t>150</w:t>
            </w:r>
            <w:r w:rsidR="007B70EB">
              <w:rPr>
                <w:noProof/>
                <w:webHidden/>
              </w:rPr>
              <w:fldChar w:fldCharType="end"/>
            </w:r>
          </w:hyperlink>
        </w:p>
        <w:p w14:paraId="6EBF1D69"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54" w:history="1">
            <w:r w:rsidR="007B70EB" w:rsidRPr="00AB6E34">
              <w:rPr>
                <w:rStyle w:val="Hyperlink"/>
                <w:noProof/>
              </w:rPr>
              <w:t>3.2.1.3.</w:t>
            </w:r>
            <w:r w:rsidR="007B70EB">
              <w:rPr>
                <w:rFonts w:asciiTheme="minorHAnsi" w:hAnsiTheme="minorHAnsi"/>
                <w:noProof/>
                <w:sz w:val="22"/>
                <w:szCs w:val="22"/>
                <w:lang w:val="en-AU" w:eastAsia="en-AU"/>
              </w:rPr>
              <w:tab/>
            </w:r>
            <w:r w:rsidR="007B70EB" w:rsidRPr="00AB6E34">
              <w:rPr>
                <w:rStyle w:val="Hyperlink"/>
                <w:noProof/>
              </w:rPr>
              <w:t>Habitat (Potential Species Distribution) asset class</w:t>
            </w:r>
            <w:r w:rsidR="007B70EB">
              <w:rPr>
                <w:noProof/>
                <w:webHidden/>
              </w:rPr>
              <w:tab/>
            </w:r>
            <w:r w:rsidR="007B70EB">
              <w:rPr>
                <w:noProof/>
                <w:webHidden/>
              </w:rPr>
              <w:fldChar w:fldCharType="begin"/>
            </w:r>
            <w:r w:rsidR="007B70EB">
              <w:rPr>
                <w:noProof/>
                <w:webHidden/>
              </w:rPr>
              <w:instrText xml:space="preserve"> PAGEREF _Toc494444554 \h </w:instrText>
            </w:r>
            <w:r w:rsidR="007B70EB">
              <w:rPr>
                <w:noProof/>
                <w:webHidden/>
              </w:rPr>
            </w:r>
            <w:r w:rsidR="007B70EB">
              <w:rPr>
                <w:noProof/>
                <w:webHidden/>
              </w:rPr>
              <w:fldChar w:fldCharType="separate"/>
            </w:r>
            <w:r w:rsidR="007B70EB">
              <w:rPr>
                <w:noProof/>
                <w:webHidden/>
              </w:rPr>
              <w:t>150</w:t>
            </w:r>
            <w:r w:rsidR="007B70EB">
              <w:rPr>
                <w:noProof/>
                <w:webHidden/>
              </w:rPr>
              <w:fldChar w:fldCharType="end"/>
            </w:r>
          </w:hyperlink>
        </w:p>
        <w:p w14:paraId="34D82C0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55" w:history="1">
            <w:r w:rsidR="007B70EB" w:rsidRPr="00AB6E34">
              <w:rPr>
                <w:rStyle w:val="Hyperlink"/>
                <w:noProof/>
              </w:rPr>
              <w:t>3.2.1.4.</w:t>
            </w:r>
            <w:r w:rsidR="007B70EB">
              <w:rPr>
                <w:rFonts w:asciiTheme="minorHAnsi" w:hAnsiTheme="minorHAnsi"/>
                <w:noProof/>
                <w:sz w:val="22"/>
                <w:szCs w:val="22"/>
                <w:lang w:val="en-AU" w:eastAsia="en-AU"/>
              </w:rPr>
              <w:tab/>
            </w:r>
            <w:r w:rsidR="007B70EB" w:rsidRPr="00AB6E34">
              <w:rPr>
                <w:rStyle w:val="Hyperlink"/>
                <w:noProof/>
              </w:rPr>
              <w:t>Surface water feature asset subgroup</w:t>
            </w:r>
            <w:r w:rsidR="007B70EB">
              <w:rPr>
                <w:noProof/>
                <w:webHidden/>
              </w:rPr>
              <w:tab/>
            </w:r>
            <w:r w:rsidR="007B70EB">
              <w:rPr>
                <w:noProof/>
                <w:webHidden/>
              </w:rPr>
              <w:fldChar w:fldCharType="begin"/>
            </w:r>
            <w:r w:rsidR="007B70EB">
              <w:rPr>
                <w:noProof/>
                <w:webHidden/>
              </w:rPr>
              <w:instrText xml:space="preserve"> PAGEREF _Toc494444555 \h </w:instrText>
            </w:r>
            <w:r w:rsidR="007B70EB">
              <w:rPr>
                <w:noProof/>
                <w:webHidden/>
              </w:rPr>
            </w:r>
            <w:r w:rsidR="007B70EB">
              <w:rPr>
                <w:noProof/>
                <w:webHidden/>
              </w:rPr>
              <w:fldChar w:fldCharType="separate"/>
            </w:r>
            <w:r w:rsidR="007B70EB">
              <w:rPr>
                <w:noProof/>
                <w:webHidden/>
              </w:rPr>
              <w:t>151</w:t>
            </w:r>
            <w:r w:rsidR="007B70EB">
              <w:rPr>
                <w:noProof/>
                <w:webHidden/>
              </w:rPr>
              <w:fldChar w:fldCharType="end"/>
            </w:r>
          </w:hyperlink>
        </w:p>
        <w:p w14:paraId="641DA4C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56" w:history="1">
            <w:r w:rsidR="007B70EB" w:rsidRPr="00AB6E34">
              <w:rPr>
                <w:rStyle w:val="Hyperlink"/>
                <w:noProof/>
                <w14:scene3d>
                  <w14:camera w14:prst="orthographicFront"/>
                  <w14:lightRig w14:rig="threePt" w14:dir="t">
                    <w14:rot w14:lat="0" w14:lon="0" w14:rev="0"/>
                  </w14:lightRig>
                </w14:scene3d>
              </w:rPr>
              <w:t>3.2.2.</w:t>
            </w:r>
            <w:r w:rsidR="007B70EB">
              <w:rPr>
                <w:rFonts w:asciiTheme="minorHAnsi" w:hAnsiTheme="minorHAnsi"/>
                <w:noProof/>
                <w:sz w:val="22"/>
                <w:szCs w:val="22"/>
                <w:lang w:val="en-AU" w:eastAsia="en-AU"/>
              </w:rPr>
              <w:tab/>
            </w:r>
            <w:r w:rsidR="007B70EB" w:rsidRPr="00AB6E34">
              <w:rPr>
                <w:rStyle w:val="Hyperlink"/>
                <w:noProof/>
              </w:rPr>
              <w:t>Economic assets</w:t>
            </w:r>
            <w:r w:rsidR="007B70EB">
              <w:rPr>
                <w:noProof/>
                <w:webHidden/>
              </w:rPr>
              <w:tab/>
            </w:r>
            <w:r w:rsidR="007B70EB">
              <w:rPr>
                <w:noProof/>
                <w:webHidden/>
              </w:rPr>
              <w:fldChar w:fldCharType="begin"/>
            </w:r>
            <w:r w:rsidR="007B70EB">
              <w:rPr>
                <w:noProof/>
                <w:webHidden/>
              </w:rPr>
              <w:instrText xml:space="preserve"> PAGEREF _Toc494444556 \h </w:instrText>
            </w:r>
            <w:r w:rsidR="007B70EB">
              <w:rPr>
                <w:noProof/>
                <w:webHidden/>
              </w:rPr>
            </w:r>
            <w:r w:rsidR="007B70EB">
              <w:rPr>
                <w:noProof/>
                <w:webHidden/>
              </w:rPr>
              <w:fldChar w:fldCharType="separate"/>
            </w:r>
            <w:r w:rsidR="007B70EB">
              <w:rPr>
                <w:noProof/>
                <w:webHidden/>
              </w:rPr>
              <w:t>152</w:t>
            </w:r>
            <w:r w:rsidR="007B70EB">
              <w:rPr>
                <w:noProof/>
                <w:webHidden/>
              </w:rPr>
              <w:fldChar w:fldCharType="end"/>
            </w:r>
          </w:hyperlink>
        </w:p>
        <w:p w14:paraId="6047C59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57" w:history="1">
            <w:r w:rsidR="007B70EB" w:rsidRPr="00AB6E34">
              <w:rPr>
                <w:rStyle w:val="Hyperlink"/>
                <w:noProof/>
              </w:rPr>
              <w:t>3.2.2.1.</w:t>
            </w:r>
            <w:r w:rsidR="007B70EB">
              <w:rPr>
                <w:rFonts w:asciiTheme="minorHAnsi" w:hAnsiTheme="minorHAnsi"/>
                <w:noProof/>
                <w:sz w:val="22"/>
                <w:szCs w:val="22"/>
                <w:lang w:val="en-AU" w:eastAsia="en-AU"/>
              </w:rPr>
              <w:tab/>
            </w:r>
            <w:r w:rsidR="007B70EB" w:rsidRPr="00AB6E34">
              <w:rPr>
                <w:rStyle w:val="Hyperlink"/>
                <w:noProof/>
              </w:rPr>
              <w:t>Groundwater management zone subgroup</w:t>
            </w:r>
            <w:r w:rsidR="007B70EB">
              <w:rPr>
                <w:noProof/>
                <w:webHidden/>
              </w:rPr>
              <w:tab/>
            </w:r>
            <w:r w:rsidR="007B70EB">
              <w:rPr>
                <w:noProof/>
                <w:webHidden/>
              </w:rPr>
              <w:fldChar w:fldCharType="begin"/>
            </w:r>
            <w:r w:rsidR="007B70EB">
              <w:rPr>
                <w:noProof/>
                <w:webHidden/>
              </w:rPr>
              <w:instrText xml:space="preserve"> PAGEREF _Toc494444557 \h </w:instrText>
            </w:r>
            <w:r w:rsidR="007B70EB">
              <w:rPr>
                <w:noProof/>
                <w:webHidden/>
              </w:rPr>
            </w:r>
            <w:r w:rsidR="007B70EB">
              <w:rPr>
                <w:noProof/>
                <w:webHidden/>
              </w:rPr>
              <w:fldChar w:fldCharType="separate"/>
            </w:r>
            <w:r w:rsidR="007B70EB">
              <w:rPr>
                <w:noProof/>
                <w:webHidden/>
              </w:rPr>
              <w:t>152</w:t>
            </w:r>
            <w:r w:rsidR="007B70EB">
              <w:rPr>
                <w:noProof/>
                <w:webHidden/>
              </w:rPr>
              <w:fldChar w:fldCharType="end"/>
            </w:r>
          </w:hyperlink>
        </w:p>
        <w:p w14:paraId="3C73A3B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58" w:history="1">
            <w:r w:rsidR="007B70EB" w:rsidRPr="00AB6E34">
              <w:rPr>
                <w:rStyle w:val="Hyperlink"/>
                <w:noProof/>
              </w:rPr>
              <w:t>3.2.2.2.</w:t>
            </w:r>
            <w:r w:rsidR="007B70EB">
              <w:rPr>
                <w:rFonts w:asciiTheme="minorHAnsi" w:hAnsiTheme="minorHAnsi"/>
                <w:noProof/>
                <w:sz w:val="22"/>
                <w:szCs w:val="22"/>
                <w:lang w:val="en-AU" w:eastAsia="en-AU"/>
              </w:rPr>
              <w:tab/>
            </w:r>
            <w:r w:rsidR="007B70EB" w:rsidRPr="00AB6E34">
              <w:rPr>
                <w:rStyle w:val="Hyperlink"/>
                <w:noProof/>
              </w:rPr>
              <w:t>Surface water management zone subgroup</w:t>
            </w:r>
            <w:r w:rsidR="007B70EB">
              <w:rPr>
                <w:noProof/>
                <w:webHidden/>
              </w:rPr>
              <w:tab/>
            </w:r>
            <w:r w:rsidR="007B70EB">
              <w:rPr>
                <w:noProof/>
                <w:webHidden/>
              </w:rPr>
              <w:fldChar w:fldCharType="begin"/>
            </w:r>
            <w:r w:rsidR="007B70EB">
              <w:rPr>
                <w:noProof/>
                <w:webHidden/>
              </w:rPr>
              <w:instrText xml:space="preserve"> PAGEREF _Toc494444558 \h </w:instrText>
            </w:r>
            <w:r w:rsidR="007B70EB">
              <w:rPr>
                <w:noProof/>
                <w:webHidden/>
              </w:rPr>
            </w:r>
            <w:r w:rsidR="007B70EB">
              <w:rPr>
                <w:noProof/>
                <w:webHidden/>
              </w:rPr>
              <w:fldChar w:fldCharType="separate"/>
            </w:r>
            <w:r w:rsidR="007B70EB">
              <w:rPr>
                <w:noProof/>
                <w:webHidden/>
              </w:rPr>
              <w:t>154</w:t>
            </w:r>
            <w:r w:rsidR="007B70EB">
              <w:rPr>
                <w:noProof/>
                <w:webHidden/>
              </w:rPr>
              <w:fldChar w:fldCharType="end"/>
            </w:r>
          </w:hyperlink>
        </w:p>
        <w:p w14:paraId="3B5BB0D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59" w:history="1">
            <w:r w:rsidR="007B70EB" w:rsidRPr="00AB6E34">
              <w:rPr>
                <w:rStyle w:val="Hyperlink"/>
                <w:noProof/>
                <w14:scene3d>
                  <w14:camera w14:prst="orthographicFront"/>
                  <w14:lightRig w14:rig="threePt" w14:dir="t">
                    <w14:rot w14:lat="0" w14:lon="0" w14:rev="0"/>
                  </w14:lightRig>
                </w14:scene3d>
              </w:rPr>
              <w:t>3.2.3.</w:t>
            </w:r>
            <w:r w:rsidR="007B70EB">
              <w:rPr>
                <w:rFonts w:asciiTheme="minorHAnsi" w:hAnsiTheme="minorHAnsi"/>
                <w:noProof/>
                <w:sz w:val="22"/>
                <w:szCs w:val="22"/>
                <w:lang w:val="en-AU" w:eastAsia="en-AU"/>
              </w:rPr>
              <w:tab/>
            </w:r>
            <w:r w:rsidR="007B70EB" w:rsidRPr="00AB6E34">
              <w:rPr>
                <w:rStyle w:val="Hyperlink"/>
                <w:noProof/>
              </w:rPr>
              <w:t>Sociocultural assets</w:t>
            </w:r>
            <w:r w:rsidR="007B70EB">
              <w:rPr>
                <w:noProof/>
                <w:webHidden/>
              </w:rPr>
              <w:tab/>
            </w:r>
            <w:r w:rsidR="007B70EB">
              <w:rPr>
                <w:noProof/>
                <w:webHidden/>
              </w:rPr>
              <w:fldChar w:fldCharType="begin"/>
            </w:r>
            <w:r w:rsidR="007B70EB">
              <w:rPr>
                <w:noProof/>
                <w:webHidden/>
              </w:rPr>
              <w:instrText xml:space="preserve"> PAGEREF _Toc494444559 \h </w:instrText>
            </w:r>
            <w:r w:rsidR="007B70EB">
              <w:rPr>
                <w:noProof/>
                <w:webHidden/>
              </w:rPr>
            </w:r>
            <w:r w:rsidR="007B70EB">
              <w:rPr>
                <w:noProof/>
                <w:webHidden/>
              </w:rPr>
              <w:fldChar w:fldCharType="separate"/>
            </w:r>
            <w:r w:rsidR="007B70EB">
              <w:rPr>
                <w:noProof/>
                <w:webHidden/>
              </w:rPr>
              <w:t>156</w:t>
            </w:r>
            <w:r w:rsidR="007B70EB">
              <w:rPr>
                <w:noProof/>
                <w:webHidden/>
              </w:rPr>
              <w:fldChar w:fldCharType="end"/>
            </w:r>
          </w:hyperlink>
        </w:p>
        <w:p w14:paraId="479C0564" w14:textId="77777777" w:rsidR="007B70EB" w:rsidRDefault="00900E5C">
          <w:pPr>
            <w:pStyle w:val="TOC2"/>
            <w:rPr>
              <w:rFonts w:asciiTheme="minorHAnsi" w:hAnsiTheme="minorHAnsi"/>
              <w:noProof/>
              <w:sz w:val="22"/>
              <w:szCs w:val="22"/>
              <w:lang w:val="en-AU" w:eastAsia="en-AU"/>
            </w:rPr>
          </w:pPr>
          <w:hyperlink w:anchor="_Toc494444560" w:history="1">
            <w:r w:rsidR="007B70EB" w:rsidRPr="00AB6E34">
              <w:rPr>
                <w:rStyle w:val="Hyperlink"/>
                <w:noProof/>
                <w14:scene3d>
                  <w14:camera w14:prst="orthographicFront"/>
                  <w14:lightRig w14:rig="threePt" w14:dir="t">
                    <w14:rot w14:lat="0" w14:lon="0" w14:rev="0"/>
                  </w14:lightRig>
                </w14:scene3d>
              </w:rPr>
              <w:t>3.3.</w:t>
            </w:r>
            <w:r w:rsidR="007B70EB">
              <w:rPr>
                <w:rFonts w:asciiTheme="minorHAnsi" w:hAnsiTheme="minorHAnsi"/>
                <w:noProof/>
                <w:sz w:val="22"/>
                <w:szCs w:val="22"/>
                <w:lang w:val="en-AU" w:eastAsia="en-AU"/>
              </w:rPr>
              <w:tab/>
            </w:r>
            <w:r w:rsidR="007B70EB" w:rsidRPr="00AB6E34">
              <w:rPr>
                <w:rStyle w:val="Hyperlink"/>
                <w:noProof/>
              </w:rPr>
              <w:t>Frequency-proximity relationships for the Surat Basin</w:t>
            </w:r>
            <w:r w:rsidR="007B70EB">
              <w:rPr>
                <w:noProof/>
                <w:webHidden/>
              </w:rPr>
              <w:tab/>
            </w:r>
            <w:r w:rsidR="007B70EB">
              <w:rPr>
                <w:noProof/>
                <w:webHidden/>
              </w:rPr>
              <w:fldChar w:fldCharType="begin"/>
            </w:r>
            <w:r w:rsidR="007B70EB">
              <w:rPr>
                <w:noProof/>
                <w:webHidden/>
              </w:rPr>
              <w:instrText xml:space="preserve"> PAGEREF _Toc494444560 \h </w:instrText>
            </w:r>
            <w:r w:rsidR="007B70EB">
              <w:rPr>
                <w:noProof/>
                <w:webHidden/>
              </w:rPr>
            </w:r>
            <w:r w:rsidR="007B70EB">
              <w:rPr>
                <w:noProof/>
                <w:webHidden/>
              </w:rPr>
              <w:fldChar w:fldCharType="separate"/>
            </w:r>
            <w:r w:rsidR="007B70EB">
              <w:rPr>
                <w:noProof/>
                <w:webHidden/>
              </w:rPr>
              <w:t>158</w:t>
            </w:r>
            <w:r w:rsidR="007B70EB">
              <w:rPr>
                <w:noProof/>
                <w:webHidden/>
              </w:rPr>
              <w:fldChar w:fldCharType="end"/>
            </w:r>
          </w:hyperlink>
        </w:p>
        <w:p w14:paraId="4787ACA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61" w:history="1">
            <w:r w:rsidR="007B70EB" w:rsidRPr="00AB6E34">
              <w:rPr>
                <w:rStyle w:val="Hyperlink"/>
                <w:noProof/>
                <w14:scene3d>
                  <w14:camera w14:prst="orthographicFront"/>
                  <w14:lightRig w14:rig="threePt" w14:dir="t">
                    <w14:rot w14:lat="0" w14:lon="0" w14:rev="0"/>
                  </w14:lightRig>
                </w14:scene3d>
              </w:rPr>
              <w:t>3.3.1.</w:t>
            </w:r>
            <w:r w:rsidR="007B70EB">
              <w:rPr>
                <w:rFonts w:asciiTheme="minorHAnsi" w:hAnsiTheme="minorHAnsi"/>
                <w:noProof/>
                <w:sz w:val="22"/>
                <w:szCs w:val="22"/>
                <w:lang w:val="en-AU" w:eastAsia="en-AU"/>
              </w:rPr>
              <w:tab/>
            </w:r>
            <w:r w:rsidR="007B70EB" w:rsidRPr="00AB6E34">
              <w:rPr>
                <w:rStyle w:val="Hyperlink"/>
                <w:noProof/>
              </w:rPr>
              <w:t>Ecological assets</w:t>
            </w:r>
            <w:r w:rsidR="007B70EB">
              <w:rPr>
                <w:noProof/>
                <w:webHidden/>
              </w:rPr>
              <w:tab/>
            </w:r>
            <w:r w:rsidR="007B70EB">
              <w:rPr>
                <w:noProof/>
                <w:webHidden/>
              </w:rPr>
              <w:fldChar w:fldCharType="begin"/>
            </w:r>
            <w:r w:rsidR="007B70EB">
              <w:rPr>
                <w:noProof/>
                <w:webHidden/>
              </w:rPr>
              <w:instrText xml:space="preserve"> PAGEREF _Toc494444561 \h </w:instrText>
            </w:r>
            <w:r w:rsidR="007B70EB">
              <w:rPr>
                <w:noProof/>
                <w:webHidden/>
              </w:rPr>
            </w:r>
            <w:r w:rsidR="007B70EB">
              <w:rPr>
                <w:noProof/>
                <w:webHidden/>
              </w:rPr>
              <w:fldChar w:fldCharType="separate"/>
            </w:r>
            <w:r w:rsidR="007B70EB">
              <w:rPr>
                <w:noProof/>
                <w:webHidden/>
              </w:rPr>
              <w:t>158</w:t>
            </w:r>
            <w:r w:rsidR="007B70EB">
              <w:rPr>
                <w:noProof/>
                <w:webHidden/>
              </w:rPr>
              <w:fldChar w:fldCharType="end"/>
            </w:r>
          </w:hyperlink>
        </w:p>
        <w:p w14:paraId="3AF6C4D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62" w:history="1">
            <w:r w:rsidR="007B70EB" w:rsidRPr="00AB6E34">
              <w:rPr>
                <w:rStyle w:val="Hyperlink"/>
                <w:noProof/>
              </w:rPr>
              <w:t>3.3.1.1.</w:t>
            </w:r>
            <w:r w:rsidR="007B70EB">
              <w:rPr>
                <w:rFonts w:asciiTheme="minorHAnsi" w:hAnsiTheme="minorHAnsi"/>
                <w:noProof/>
                <w:sz w:val="22"/>
                <w:szCs w:val="22"/>
                <w:lang w:val="en-AU" w:eastAsia="en-AU"/>
              </w:rPr>
              <w:tab/>
            </w:r>
            <w:r w:rsidR="007B70EB" w:rsidRPr="00AB6E34">
              <w:rPr>
                <w:rStyle w:val="Hyperlink"/>
                <w:noProof/>
              </w:rPr>
              <w:t>Surface Water Feature</w:t>
            </w:r>
            <w:r w:rsidR="007B70EB">
              <w:rPr>
                <w:noProof/>
                <w:webHidden/>
              </w:rPr>
              <w:tab/>
            </w:r>
            <w:r w:rsidR="007B70EB">
              <w:rPr>
                <w:noProof/>
                <w:webHidden/>
              </w:rPr>
              <w:fldChar w:fldCharType="begin"/>
            </w:r>
            <w:r w:rsidR="007B70EB">
              <w:rPr>
                <w:noProof/>
                <w:webHidden/>
              </w:rPr>
              <w:instrText xml:space="preserve"> PAGEREF _Toc494444562 \h </w:instrText>
            </w:r>
            <w:r w:rsidR="007B70EB">
              <w:rPr>
                <w:noProof/>
                <w:webHidden/>
              </w:rPr>
            </w:r>
            <w:r w:rsidR="007B70EB">
              <w:rPr>
                <w:noProof/>
                <w:webHidden/>
              </w:rPr>
              <w:fldChar w:fldCharType="separate"/>
            </w:r>
            <w:r w:rsidR="007B70EB">
              <w:rPr>
                <w:noProof/>
                <w:webHidden/>
              </w:rPr>
              <w:t>158</w:t>
            </w:r>
            <w:r w:rsidR="007B70EB">
              <w:rPr>
                <w:noProof/>
                <w:webHidden/>
              </w:rPr>
              <w:fldChar w:fldCharType="end"/>
            </w:r>
          </w:hyperlink>
        </w:p>
        <w:p w14:paraId="27EABEA8"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63" w:history="1">
            <w:r w:rsidR="007B70EB" w:rsidRPr="00AB6E34">
              <w:rPr>
                <w:rStyle w:val="Hyperlink"/>
                <w:noProof/>
              </w:rPr>
              <w:t>3.3.1.2.</w:t>
            </w:r>
            <w:r w:rsidR="007B70EB">
              <w:rPr>
                <w:rFonts w:asciiTheme="minorHAnsi" w:hAnsiTheme="minorHAnsi"/>
                <w:noProof/>
                <w:sz w:val="22"/>
                <w:szCs w:val="22"/>
                <w:lang w:val="en-AU" w:eastAsia="en-AU"/>
              </w:rPr>
              <w:tab/>
            </w:r>
            <w:r w:rsidR="007B70EB" w:rsidRPr="00AB6E34">
              <w:rPr>
                <w:rStyle w:val="Hyperlink"/>
                <w:noProof/>
              </w:rPr>
              <w:t>Groundwater Dependent Ecosystems asset class</w:t>
            </w:r>
            <w:r w:rsidR="007B70EB">
              <w:rPr>
                <w:noProof/>
                <w:webHidden/>
              </w:rPr>
              <w:tab/>
            </w:r>
            <w:r w:rsidR="007B70EB">
              <w:rPr>
                <w:noProof/>
                <w:webHidden/>
              </w:rPr>
              <w:fldChar w:fldCharType="begin"/>
            </w:r>
            <w:r w:rsidR="007B70EB">
              <w:rPr>
                <w:noProof/>
                <w:webHidden/>
              </w:rPr>
              <w:instrText xml:space="preserve"> PAGEREF _Toc494444563 \h </w:instrText>
            </w:r>
            <w:r w:rsidR="007B70EB">
              <w:rPr>
                <w:noProof/>
                <w:webHidden/>
              </w:rPr>
            </w:r>
            <w:r w:rsidR="007B70EB">
              <w:rPr>
                <w:noProof/>
                <w:webHidden/>
              </w:rPr>
              <w:fldChar w:fldCharType="separate"/>
            </w:r>
            <w:r w:rsidR="007B70EB">
              <w:rPr>
                <w:noProof/>
                <w:webHidden/>
              </w:rPr>
              <w:t>158</w:t>
            </w:r>
            <w:r w:rsidR="007B70EB">
              <w:rPr>
                <w:noProof/>
                <w:webHidden/>
              </w:rPr>
              <w:fldChar w:fldCharType="end"/>
            </w:r>
          </w:hyperlink>
        </w:p>
        <w:p w14:paraId="73A0F63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64" w:history="1">
            <w:r w:rsidR="007B70EB" w:rsidRPr="00AB6E34">
              <w:rPr>
                <w:rStyle w:val="Hyperlink"/>
                <w:noProof/>
              </w:rPr>
              <w:t>3.3.1.3.</w:t>
            </w:r>
            <w:r w:rsidR="007B70EB">
              <w:rPr>
                <w:rFonts w:asciiTheme="minorHAnsi" w:hAnsiTheme="minorHAnsi"/>
                <w:noProof/>
                <w:sz w:val="22"/>
                <w:szCs w:val="22"/>
                <w:lang w:val="en-AU" w:eastAsia="en-AU"/>
              </w:rPr>
              <w:tab/>
            </w:r>
            <w:r w:rsidR="007B70EB" w:rsidRPr="00AB6E34">
              <w:rPr>
                <w:rStyle w:val="Hyperlink"/>
                <w:noProof/>
              </w:rPr>
              <w:t>Aquifer, geological feature, alluvium or stratum asset class</w:t>
            </w:r>
            <w:r w:rsidR="007B70EB">
              <w:rPr>
                <w:noProof/>
                <w:webHidden/>
              </w:rPr>
              <w:tab/>
            </w:r>
            <w:r w:rsidR="007B70EB">
              <w:rPr>
                <w:noProof/>
                <w:webHidden/>
              </w:rPr>
              <w:fldChar w:fldCharType="begin"/>
            </w:r>
            <w:r w:rsidR="007B70EB">
              <w:rPr>
                <w:noProof/>
                <w:webHidden/>
              </w:rPr>
              <w:instrText xml:space="preserve"> PAGEREF _Toc494444564 \h </w:instrText>
            </w:r>
            <w:r w:rsidR="007B70EB">
              <w:rPr>
                <w:noProof/>
                <w:webHidden/>
              </w:rPr>
            </w:r>
            <w:r w:rsidR="007B70EB">
              <w:rPr>
                <w:noProof/>
                <w:webHidden/>
              </w:rPr>
              <w:fldChar w:fldCharType="separate"/>
            </w:r>
            <w:r w:rsidR="007B70EB">
              <w:rPr>
                <w:noProof/>
                <w:webHidden/>
              </w:rPr>
              <w:t>159</w:t>
            </w:r>
            <w:r w:rsidR="007B70EB">
              <w:rPr>
                <w:noProof/>
                <w:webHidden/>
              </w:rPr>
              <w:fldChar w:fldCharType="end"/>
            </w:r>
          </w:hyperlink>
        </w:p>
        <w:p w14:paraId="01137FB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65" w:history="1">
            <w:r w:rsidR="007B70EB" w:rsidRPr="00AB6E34">
              <w:rPr>
                <w:rStyle w:val="Hyperlink"/>
                <w:noProof/>
              </w:rPr>
              <w:t>3.3.1.4.</w:t>
            </w:r>
            <w:r w:rsidR="007B70EB">
              <w:rPr>
                <w:rFonts w:asciiTheme="minorHAnsi" w:hAnsiTheme="minorHAnsi"/>
                <w:noProof/>
                <w:sz w:val="22"/>
                <w:szCs w:val="22"/>
                <w:lang w:val="en-AU" w:eastAsia="en-AU"/>
              </w:rPr>
              <w:tab/>
            </w:r>
            <w:r w:rsidR="007B70EB" w:rsidRPr="00AB6E34">
              <w:rPr>
                <w:rStyle w:val="Hyperlink"/>
                <w:noProof/>
              </w:rPr>
              <w:t>Vegetation, Habitat Potential Species Distribution</w:t>
            </w:r>
            <w:r w:rsidR="007B70EB">
              <w:rPr>
                <w:noProof/>
                <w:webHidden/>
              </w:rPr>
              <w:tab/>
            </w:r>
            <w:r w:rsidR="007B70EB">
              <w:rPr>
                <w:noProof/>
                <w:webHidden/>
              </w:rPr>
              <w:fldChar w:fldCharType="begin"/>
            </w:r>
            <w:r w:rsidR="007B70EB">
              <w:rPr>
                <w:noProof/>
                <w:webHidden/>
              </w:rPr>
              <w:instrText xml:space="preserve"> PAGEREF _Toc494444565 \h </w:instrText>
            </w:r>
            <w:r w:rsidR="007B70EB">
              <w:rPr>
                <w:noProof/>
                <w:webHidden/>
              </w:rPr>
            </w:r>
            <w:r w:rsidR="007B70EB">
              <w:rPr>
                <w:noProof/>
                <w:webHidden/>
              </w:rPr>
              <w:fldChar w:fldCharType="separate"/>
            </w:r>
            <w:r w:rsidR="007B70EB">
              <w:rPr>
                <w:noProof/>
                <w:webHidden/>
              </w:rPr>
              <w:t>160</w:t>
            </w:r>
            <w:r w:rsidR="007B70EB">
              <w:rPr>
                <w:noProof/>
                <w:webHidden/>
              </w:rPr>
              <w:fldChar w:fldCharType="end"/>
            </w:r>
          </w:hyperlink>
        </w:p>
        <w:p w14:paraId="64185FFB"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66" w:history="1">
            <w:r w:rsidR="007B70EB" w:rsidRPr="00AB6E34">
              <w:rPr>
                <w:rStyle w:val="Hyperlink"/>
                <w:noProof/>
                <w14:scene3d>
                  <w14:camera w14:prst="orthographicFront"/>
                  <w14:lightRig w14:rig="threePt" w14:dir="t">
                    <w14:rot w14:lat="0" w14:lon="0" w14:rev="0"/>
                  </w14:lightRig>
                </w14:scene3d>
              </w:rPr>
              <w:t>3.3.2.</w:t>
            </w:r>
            <w:r w:rsidR="007B70EB">
              <w:rPr>
                <w:rFonts w:asciiTheme="minorHAnsi" w:hAnsiTheme="minorHAnsi"/>
                <w:noProof/>
                <w:sz w:val="22"/>
                <w:szCs w:val="22"/>
                <w:lang w:val="en-AU" w:eastAsia="en-AU"/>
              </w:rPr>
              <w:tab/>
            </w:r>
            <w:r w:rsidR="007B70EB" w:rsidRPr="00AB6E34">
              <w:rPr>
                <w:rStyle w:val="Hyperlink"/>
                <w:noProof/>
              </w:rPr>
              <w:t>Economic assets</w:t>
            </w:r>
            <w:r w:rsidR="007B70EB">
              <w:rPr>
                <w:noProof/>
                <w:webHidden/>
              </w:rPr>
              <w:tab/>
            </w:r>
            <w:r w:rsidR="007B70EB">
              <w:rPr>
                <w:noProof/>
                <w:webHidden/>
              </w:rPr>
              <w:fldChar w:fldCharType="begin"/>
            </w:r>
            <w:r w:rsidR="007B70EB">
              <w:rPr>
                <w:noProof/>
                <w:webHidden/>
              </w:rPr>
              <w:instrText xml:space="preserve"> PAGEREF _Toc494444566 \h </w:instrText>
            </w:r>
            <w:r w:rsidR="007B70EB">
              <w:rPr>
                <w:noProof/>
                <w:webHidden/>
              </w:rPr>
            </w:r>
            <w:r w:rsidR="007B70EB">
              <w:rPr>
                <w:noProof/>
                <w:webHidden/>
              </w:rPr>
              <w:fldChar w:fldCharType="separate"/>
            </w:r>
            <w:r w:rsidR="007B70EB">
              <w:rPr>
                <w:noProof/>
                <w:webHidden/>
              </w:rPr>
              <w:t>161</w:t>
            </w:r>
            <w:r w:rsidR="007B70EB">
              <w:rPr>
                <w:noProof/>
                <w:webHidden/>
              </w:rPr>
              <w:fldChar w:fldCharType="end"/>
            </w:r>
          </w:hyperlink>
        </w:p>
        <w:p w14:paraId="162716B9"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67" w:history="1">
            <w:r w:rsidR="007B70EB" w:rsidRPr="00AB6E34">
              <w:rPr>
                <w:rStyle w:val="Hyperlink"/>
                <w:noProof/>
              </w:rPr>
              <w:t>3.3.2.1.</w:t>
            </w:r>
            <w:r w:rsidR="007B70EB">
              <w:rPr>
                <w:rFonts w:asciiTheme="minorHAnsi" w:hAnsiTheme="minorHAnsi"/>
                <w:noProof/>
                <w:sz w:val="22"/>
                <w:szCs w:val="22"/>
                <w:lang w:val="en-AU" w:eastAsia="en-AU"/>
              </w:rPr>
              <w:tab/>
            </w:r>
            <w:r w:rsidR="007B70EB" w:rsidRPr="00AB6E34">
              <w:rPr>
                <w:rStyle w:val="Hyperlink"/>
                <w:noProof/>
              </w:rPr>
              <w:t>Groundwater management zone subgroup</w:t>
            </w:r>
            <w:r w:rsidR="007B70EB">
              <w:rPr>
                <w:noProof/>
                <w:webHidden/>
              </w:rPr>
              <w:tab/>
            </w:r>
            <w:r w:rsidR="007B70EB">
              <w:rPr>
                <w:noProof/>
                <w:webHidden/>
              </w:rPr>
              <w:fldChar w:fldCharType="begin"/>
            </w:r>
            <w:r w:rsidR="007B70EB">
              <w:rPr>
                <w:noProof/>
                <w:webHidden/>
              </w:rPr>
              <w:instrText xml:space="preserve"> PAGEREF _Toc494444567 \h </w:instrText>
            </w:r>
            <w:r w:rsidR="007B70EB">
              <w:rPr>
                <w:noProof/>
                <w:webHidden/>
              </w:rPr>
            </w:r>
            <w:r w:rsidR="007B70EB">
              <w:rPr>
                <w:noProof/>
                <w:webHidden/>
              </w:rPr>
              <w:fldChar w:fldCharType="separate"/>
            </w:r>
            <w:r w:rsidR="007B70EB">
              <w:rPr>
                <w:noProof/>
                <w:webHidden/>
              </w:rPr>
              <w:t>161</w:t>
            </w:r>
            <w:r w:rsidR="007B70EB">
              <w:rPr>
                <w:noProof/>
                <w:webHidden/>
              </w:rPr>
              <w:fldChar w:fldCharType="end"/>
            </w:r>
          </w:hyperlink>
        </w:p>
        <w:p w14:paraId="749F83C8"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68" w:history="1">
            <w:r w:rsidR="007B70EB" w:rsidRPr="00AB6E34">
              <w:rPr>
                <w:rStyle w:val="Hyperlink"/>
                <w:noProof/>
              </w:rPr>
              <w:t>3.3.2.2.</w:t>
            </w:r>
            <w:r w:rsidR="007B70EB">
              <w:rPr>
                <w:rFonts w:asciiTheme="minorHAnsi" w:hAnsiTheme="minorHAnsi"/>
                <w:noProof/>
                <w:sz w:val="22"/>
                <w:szCs w:val="22"/>
                <w:lang w:val="en-AU" w:eastAsia="en-AU"/>
              </w:rPr>
              <w:tab/>
            </w:r>
            <w:r w:rsidR="007B70EB" w:rsidRPr="00AB6E34">
              <w:rPr>
                <w:rStyle w:val="Hyperlink"/>
                <w:noProof/>
              </w:rPr>
              <w:t>Surface Water Management Zone, Water Access Right</w:t>
            </w:r>
            <w:r w:rsidR="007B70EB">
              <w:rPr>
                <w:noProof/>
                <w:webHidden/>
              </w:rPr>
              <w:tab/>
            </w:r>
            <w:r w:rsidR="007B70EB">
              <w:rPr>
                <w:noProof/>
                <w:webHidden/>
              </w:rPr>
              <w:fldChar w:fldCharType="begin"/>
            </w:r>
            <w:r w:rsidR="007B70EB">
              <w:rPr>
                <w:noProof/>
                <w:webHidden/>
              </w:rPr>
              <w:instrText xml:space="preserve"> PAGEREF _Toc494444568 \h </w:instrText>
            </w:r>
            <w:r w:rsidR="007B70EB">
              <w:rPr>
                <w:noProof/>
                <w:webHidden/>
              </w:rPr>
            </w:r>
            <w:r w:rsidR="007B70EB">
              <w:rPr>
                <w:noProof/>
                <w:webHidden/>
              </w:rPr>
              <w:fldChar w:fldCharType="separate"/>
            </w:r>
            <w:r w:rsidR="007B70EB">
              <w:rPr>
                <w:noProof/>
                <w:webHidden/>
              </w:rPr>
              <w:t>163</w:t>
            </w:r>
            <w:r w:rsidR="007B70EB">
              <w:rPr>
                <w:noProof/>
                <w:webHidden/>
              </w:rPr>
              <w:fldChar w:fldCharType="end"/>
            </w:r>
          </w:hyperlink>
        </w:p>
        <w:p w14:paraId="268F81EC"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69" w:history="1">
            <w:r w:rsidR="007B70EB" w:rsidRPr="00AB6E34">
              <w:rPr>
                <w:rStyle w:val="Hyperlink"/>
                <w:noProof/>
                <w14:scene3d>
                  <w14:camera w14:prst="orthographicFront"/>
                  <w14:lightRig w14:rig="threePt" w14:dir="t">
                    <w14:rot w14:lat="0" w14:lon="0" w14:rev="0"/>
                  </w14:lightRig>
                </w14:scene3d>
              </w:rPr>
              <w:t>3.3.3.</w:t>
            </w:r>
            <w:r w:rsidR="007B70EB">
              <w:rPr>
                <w:rFonts w:asciiTheme="minorHAnsi" w:hAnsiTheme="minorHAnsi"/>
                <w:noProof/>
                <w:sz w:val="22"/>
                <w:szCs w:val="22"/>
                <w:lang w:val="en-AU" w:eastAsia="en-AU"/>
              </w:rPr>
              <w:tab/>
            </w:r>
            <w:r w:rsidR="007B70EB" w:rsidRPr="00AB6E34">
              <w:rPr>
                <w:rStyle w:val="Hyperlink"/>
                <w:noProof/>
              </w:rPr>
              <w:t>Sociocultural assets</w:t>
            </w:r>
            <w:r w:rsidR="007B70EB">
              <w:rPr>
                <w:noProof/>
                <w:webHidden/>
              </w:rPr>
              <w:tab/>
            </w:r>
            <w:r w:rsidR="007B70EB">
              <w:rPr>
                <w:noProof/>
                <w:webHidden/>
              </w:rPr>
              <w:fldChar w:fldCharType="begin"/>
            </w:r>
            <w:r w:rsidR="007B70EB">
              <w:rPr>
                <w:noProof/>
                <w:webHidden/>
              </w:rPr>
              <w:instrText xml:space="preserve"> PAGEREF _Toc494444569 \h </w:instrText>
            </w:r>
            <w:r w:rsidR="007B70EB">
              <w:rPr>
                <w:noProof/>
                <w:webHidden/>
              </w:rPr>
            </w:r>
            <w:r w:rsidR="007B70EB">
              <w:rPr>
                <w:noProof/>
                <w:webHidden/>
              </w:rPr>
              <w:fldChar w:fldCharType="separate"/>
            </w:r>
            <w:r w:rsidR="007B70EB">
              <w:rPr>
                <w:noProof/>
                <w:webHidden/>
              </w:rPr>
              <w:t>164</w:t>
            </w:r>
            <w:r w:rsidR="007B70EB">
              <w:rPr>
                <w:noProof/>
                <w:webHidden/>
              </w:rPr>
              <w:fldChar w:fldCharType="end"/>
            </w:r>
          </w:hyperlink>
        </w:p>
        <w:p w14:paraId="6A7814B9" w14:textId="77777777" w:rsidR="007B70EB" w:rsidRDefault="00900E5C">
          <w:pPr>
            <w:pStyle w:val="TOC1"/>
            <w:rPr>
              <w:rFonts w:asciiTheme="minorHAnsi" w:hAnsiTheme="minorHAnsi"/>
              <w:b w:val="0"/>
              <w:noProof/>
              <w:sz w:val="22"/>
              <w:szCs w:val="22"/>
              <w:lang w:val="en-AU" w:eastAsia="en-AU"/>
            </w:rPr>
          </w:pPr>
          <w:hyperlink w:anchor="_Toc494444570" w:history="1">
            <w:r w:rsidR="007B70EB" w:rsidRPr="00AB6E34">
              <w:rPr>
                <w:rStyle w:val="Hyperlink"/>
                <w:noProof/>
              </w:rPr>
              <w:t>4.</w:t>
            </w:r>
            <w:r w:rsidR="007B70EB">
              <w:rPr>
                <w:rFonts w:asciiTheme="minorHAnsi" w:hAnsiTheme="minorHAnsi"/>
                <w:b w:val="0"/>
                <w:noProof/>
                <w:sz w:val="22"/>
                <w:szCs w:val="22"/>
                <w:lang w:val="en-AU" w:eastAsia="en-AU"/>
              </w:rPr>
              <w:tab/>
            </w:r>
            <w:r w:rsidR="007B70EB" w:rsidRPr="00AB6E34">
              <w:rPr>
                <w:rStyle w:val="Hyperlink"/>
                <w:noProof/>
              </w:rPr>
              <w:t>Chemical, biological and geological attenuation processes</w:t>
            </w:r>
            <w:r w:rsidR="007B70EB">
              <w:rPr>
                <w:noProof/>
                <w:webHidden/>
              </w:rPr>
              <w:tab/>
            </w:r>
            <w:r w:rsidR="007B70EB">
              <w:rPr>
                <w:noProof/>
                <w:webHidden/>
              </w:rPr>
              <w:fldChar w:fldCharType="begin"/>
            </w:r>
            <w:r w:rsidR="007B70EB">
              <w:rPr>
                <w:noProof/>
                <w:webHidden/>
              </w:rPr>
              <w:instrText xml:space="preserve"> PAGEREF _Toc494444570 \h </w:instrText>
            </w:r>
            <w:r w:rsidR="007B70EB">
              <w:rPr>
                <w:noProof/>
                <w:webHidden/>
              </w:rPr>
            </w:r>
            <w:r w:rsidR="007B70EB">
              <w:rPr>
                <w:noProof/>
                <w:webHidden/>
              </w:rPr>
              <w:fldChar w:fldCharType="separate"/>
            </w:r>
            <w:r w:rsidR="007B70EB">
              <w:rPr>
                <w:noProof/>
                <w:webHidden/>
              </w:rPr>
              <w:t>166</w:t>
            </w:r>
            <w:r w:rsidR="007B70EB">
              <w:rPr>
                <w:noProof/>
                <w:webHidden/>
              </w:rPr>
              <w:fldChar w:fldCharType="end"/>
            </w:r>
          </w:hyperlink>
        </w:p>
        <w:p w14:paraId="1BBFDCD1" w14:textId="77777777" w:rsidR="007B70EB" w:rsidRDefault="00900E5C">
          <w:pPr>
            <w:pStyle w:val="TOC2"/>
            <w:rPr>
              <w:rFonts w:asciiTheme="minorHAnsi" w:hAnsiTheme="minorHAnsi"/>
              <w:noProof/>
              <w:sz w:val="22"/>
              <w:szCs w:val="22"/>
              <w:lang w:val="en-AU" w:eastAsia="en-AU"/>
            </w:rPr>
          </w:pPr>
          <w:hyperlink w:anchor="_Toc494444571" w:history="1">
            <w:r w:rsidR="007B70EB" w:rsidRPr="00AB6E34">
              <w:rPr>
                <w:rStyle w:val="Hyperlink"/>
                <w:noProof/>
                <w14:scene3d>
                  <w14:camera w14:prst="orthographicFront"/>
                  <w14:lightRig w14:rig="threePt" w14:dir="t">
                    <w14:rot w14:lat="0" w14:lon="0" w14:rev="0"/>
                  </w14:lightRig>
                </w14:scene3d>
              </w:rPr>
              <w:t>4.1.</w:t>
            </w:r>
            <w:r w:rsidR="007B70EB">
              <w:rPr>
                <w:rFonts w:asciiTheme="minorHAnsi" w:hAnsiTheme="minorHAnsi"/>
                <w:noProof/>
                <w:sz w:val="22"/>
                <w:szCs w:val="22"/>
                <w:lang w:val="en-AU" w:eastAsia="en-AU"/>
              </w:rPr>
              <w:tab/>
            </w:r>
            <w:r w:rsidR="007B70EB" w:rsidRPr="00AB6E34">
              <w:rPr>
                <w:rStyle w:val="Hyperlink"/>
                <w:noProof/>
              </w:rPr>
              <w:t>Methodology</w:t>
            </w:r>
            <w:r w:rsidR="007B70EB">
              <w:rPr>
                <w:noProof/>
                <w:webHidden/>
              </w:rPr>
              <w:tab/>
            </w:r>
            <w:r w:rsidR="007B70EB">
              <w:rPr>
                <w:noProof/>
                <w:webHidden/>
              </w:rPr>
              <w:fldChar w:fldCharType="begin"/>
            </w:r>
            <w:r w:rsidR="007B70EB">
              <w:rPr>
                <w:noProof/>
                <w:webHidden/>
              </w:rPr>
              <w:instrText xml:space="preserve"> PAGEREF _Toc494444571 \h </w:instrText>
            </w:r>
            <w:r w:rsidR="007B70EB">
              <w:rPr>
                <w:noProof/>
                <w:webHidden/>
              </w:rPr>
            </w:r>
            <w:r w:rsidR="007B70EB">
              <w:rPr>
                <w:noProof/>
                <w:webHidden/>
              </w:rPr>
              <w:fldChar w:fldCharType="separate"/>
            </w:r>
            <w:r w:rsidR="007B70EB">
              <w:rPr>
                <w:noProof/>
                <w:webHidden/>
              </w:rPr>
              <w:t>166</w:t>
            </w:r>
            <w:r w:rsidR="007B70EB">
              <w:rPr>
                <w:noProof/>
                <w:webHidden/>
              </w:rPr>
              <w:fldChar w:fldCharType="end"/>
            </w:r>
          </w:hyperlink>
        </w:p>
        <w:p w14:paraId="2A870F1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72" w:history="1">
            <w:r w:rsidR="007B70EB" w:rsidRPr="00AB6E34">
              <w:rPr>
                <w:rStyle w:val="Hyperlink"/>
                <w:noProof/>
                <w14:scene3d>
                  <w14:camera w14:prst="orthographicFront"/>
                  <w14:lightRig w14:rig="threePt" w14:dir="t">
                    <w14:rot w14:lat="0" w14:lon="0" w14:rev="0"/>
                  </w14:lightRig>
                </w14:scene3d>
              </w:rPr>
              <w:t>4.1.1.</w:t>
            </w:r>
            <w:r w:rsidR="007B70EB">
              <w:rPr>
                <w:rFonts w:asciiTheme="minorHAnsi" w:hAnsiTheme="minorHAnsi"/>
                <w:noProof/>
                <w:sz w:val="22"/>
                <w:szCs w:val="22"/>
                <w:lang w:val="en-AU" w:eastAsia="en-AU"/>
              </w:rPr>
              <w:tab/>
            </w:r>
            <w:r w:rsidR="007B70EB" w:rsidRPr="00AB6E34">
              <w:rPr>
                <w:rStyle w:val="Hyperlink"/>
                <w:noProof/>
              </w:rPr>
              <w:t>Defining the hydrochemical conditions of deep groundwater: Gunnedah Basin</w:t>
            </w:r>
            <w:r w:rsidR="007B70EB">
              <w:rPr>
                <w:noProof/>
                <w:webHidden/>
              </w:rPr>
              <w:tab/>
            </w:r>
            <w:r w:rsidR="007B70EB">
              <w:rPr>
                <w:noProof/>
                <w:webHidden/>
              </w:rPr>
              <w:fldChar w:fldCharType="begin"/>
            </w:r>
            <w:r w:rsidR="007B70EB">
              <w:rPr>
                <w:noProof/>
                <w:webHidden/>
              </w:rPr>
              <w:instrText xml:space="preserve"> PAGEREF _Toc494444572 \h </w:instrText>
            </w:r>
            <w:r w:rsidR="007B70EB">
              <w:rPr>
                <w:noProof/>
                <w:webHidden/>
              </w:rPr>
            </w:r>
            <w:r w:rsidR="007B70EB">
              <w:rPr>
                <w:noProof/>
                <w:webHidden/>
              </w:rPr>
              <w:fldChar w:fldCharType="separate"/>
            </w:r>
            <w:r w:rsidR="007B70EB">
              <w:rPr>
                <w:noProof/>
                <w:webHidden/>
              </w:rPr>
              <w:t>168</w:t>
            </w:r>
            <w:r w:rsidR="007B70EB">
              <w:rPr>
                <w:noProof/>
                <w:webHidden/>
              </w:rPr>
              <w:fldChar w:fldCharType="end"/>
            </w:r>
          </w:hyperlink>
        </w:p>
        <w:p w14:paraId="1A5A1AE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73" w:history="1">
            <w:r w:rsidR="007B70EB" w:rsidRPr="00AB6E34">
              <w:rPr>
                <w:rStyle w:val="Hyperlink"/>
                <w:noProof/>
              </w:rPr>
              <w:t>4.1.1.1.</w:t>
            </w:r>
            <w:r w:rsidR="007B70EB">
              <w:rPr>
                <w:rFonts w:asciiTheme="minorHAnsi" w:hAnsiTheme="minorHAnsi"/>
                <w:noProof/>
                <w:sz w:val="22"/>
                <w:szCs w:val="22"/>
                <w:lang w:val="en-AU" w:eastAsia="en-AU"/>
              </w:rPr>
              <w:tab/>
            </w:r>
            <w:r w:rsidR="007B70EB" w:rsidRPr="00AB6E34">
              <w:rPr>
                <w:rStyle w:val="Hyperlink"/>
                <w:noProof/>
              </w:rPr>
              <w:t>General hydrochemical parameters</w:t>
            </w:r>
            <w:r w:rsidR="007B70EB">
              <w:rPr>
                <w:noProof/>
                <w:webHidden/>
              </w:rPr>
              <w:tab/>
            </w:r>
            <w:r w:rsidR="007B70EB">
              <w:rPr>
                <w:noProof/>
                <w:webHidden/>
              </w:rPr>
              <w:fldChar w:fldCharType="begin"/>
            </w:r>
            <w:r w:rsidR="007B70EB">
              <w:rPr>
                <w:noProof/>
                <w:webHidden/>
              </w:rPr>
              <w:instrText xml:space="preserve"> PAGEREF _Toc494444573 \h </w:instrText>
            </w:r>
            <w:r w:rsidR="007B70EB">
              <w:rPr>
                <w:noProof/>
                <w:webHidden/>
              </w:rPr>
            </w:r>
            <w:r w:rsidR="007B70EB">
              <w:rPr>
                <w:noProof/>
                <w:webHidden/>
              </w:rPr>
              <w:fldChar w:fldCharType="separate"/>
            </w:r>
            <w:r w:rsidR="007B70EB">
              <w:rPr>
                <w:noProof/>
                <w:webHidden/>
              </w:rPr>
              <w:t>168</w:t>
            </w:r>
            <w:r w:rsidR="007B70EB">
              <w:rPr>
                <w:noProof/>
                <w:webHidden/>
              </w:rPr>
              <w:fldChar w:fldCharType="end"/>
            </w:r>
          </w:hyperlink>
        </w:p>
        <w:p w14:paraId="0DC5EE7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74" w:history="1">
            <w:r w:rsidR="007B70EB" w:rsidRPr="00AB6E34">
              <w:rPr>
                <w:rStyle w:val="Hyperlink"/>
                <w:noProof/>
              </w:rPr>
              <w:t>4.1.1.2.</w:t>
            </w:r>
            <w:r w:rsidR="007B70EB">
              <w:rPr>
                <w:rFonts w:asciiTheme="minorHAnsi" w:hAnsiTheme="minorHAnsi"/>
                <w:noProof/>
                <w:sz w:val="22"/>
                <w:szCs w:val="22"/>
                <w:lang w:val="en-AU" w:eastAsia="en-AU"/>
              </w:rPr>
              <w:tab/>
            </w:r>
            <w:r w:rsidR="007B70EB" w:rsidRPr="00AB6E34">
              <w:rPr>
                <w:rStyle w:val="Hyperlink"/>
                <w:noProof/>
              </w:rPr>
              <w:t>Defining temperature and pressure conditions of deep groundwater</w:t>
            </w:r>
            <w:r w:rsidR="007B70EB">
              <w:rPr>
                <w:noProof/>
                <w:webHidden/>
              </w:rPr>
              <w:tab/>
            </w:r>
            <w:r w:rsidR="007B70EB">
              <w:rPr>
                <w:noProof/>
                <w:webHidden/>
              </w:rPr>
              <w:fldChar w:fldCharType="begin"/>
            </w:r>
            <w:r w:rsidR="007B70EB">
              <w:rPr>
                <w:noProof/>
                <w:webHidden/>
              </w:rPr>
              <w:instrText xml:space="preserve"> PAGEREF _Toc494444574 \h </w:instrText>
            </w:r>
            <w:r w:rsidR="007B70EB">
              <w:rPr>
                <w:noProof/>
                <w:webHidden/>
              </w:rPr>
            </w:r>
            <w:r w:rsidR="007B70EB">
              <w:rPr>
                <w:noProof/>
                <w:webHidden/>
              </w:rPr>
              <w:fldChar w:fldCharType="separate"/>
            </w:r>
            <w:r w:rsidR="007B70EB">
              <w:rPr>
                <w:noProof/>
                <w:webHidden/>
              </w:rPr>
              <w:t>171</w:t>
            </w:r>
            <w:r w:rsidR="007B70EB">
              <w:rPr>
                <w:noProof/>
                <w:webHidden/>
              </w:rPr>
              <w:fldChar w:fldCharType="end"/>
            </w:r>
          </w:hyperlink>
        </w:p>
        <w:p w14:paraId="7D597AE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75" w:history="1">
            <w:r w:rsidR="007B70EB" w:rsidRPr="00AB6E34">
              <w:rPr>
                <w:rStyle w:val="Hyperlink"/>
                <w:noProof/>
                <w14:scene3d>
                  <w14:camera w14:prst="orthographicFront"/>
                  <w14:lightRig w14:rig="threePt" w14:dir="t">
                    <w14:rot w14:lat="0" w14:lon="0" w14:rev="0"/>
                  </w14:lightRig>
                </w14:scene3d>
              </w:rPr>
              <w:t>4.1.2.</w:t>
            </w:r>
            <w:r w:rsidR="007B70EB">
              <w:rPr>
                <w:rFonts w:asciiTheme="minorHAnsi" w:hAnsiTheme="minorHAnsi"/>
                <w:noProof/>
                <w:sz w:val="22"/>
                <w:szCs w:val="22"/>
                <w:lang w:val="en-AU" w:eastAsia="en-AU"/>
              </w:rPr>
              <w:tab/>
            </w:r>
            <w:r w:rsidR="007B70EB" w:rsidRPr="00AB6E34">
              <w:rPr>
                <w:rStyle w:val="Hyperlink"/>
                <w:noProof/>
              </w:rPr>
              <w:t>Defining the hydrochemical conditions of deep groundwater: Surat Basin</w:t>
            </w:r>
            <w:r w:rsidR="007B70EB">
              <w:rPr>
                <w:noProof/>
                <w:webHidden/>
              </w:rPr>
              <w:tab/>
            </w:r>
            <w:r w:rsidR="007B70EB">
              <w:rPr>
                <w:noProof/>
                <w:webHidden/>
              </w:rPr>
              <w:fldChar w:fldCharType="begin"/>
            </w:r>
            <w:r w:rsidR="007B70EB">
              <w:rPr>
                <w:noProof/>
                <w:webHidden/>
              </w:rPr>
              <w:instrText xml:space="preserve"> PAGEREF _Toc494444575 \h </w:instrText>
            </w:r>
            <w:r w:rsidR="007B70EB">
              <w:rPr>
                <w:noProof/>
                <w:webHidden/>
              </w:rPr>
            </w:r>
            <w:r w:rsidR="007B70EB">
              <w:rPr>
                <w:noProof/>
                <w:webHidden/>
              </w:rPr>
              <w:fldChar w:fldCharType="separate"/>
            </w:r>
            <w:r w:rsidR="007B70EB">
              <w:rPr>
                <w:noProof/>
                <w:webHidden/>
              </w:rPr>
              <w:t>172</w:t>
            </w:r>
            <w:r w:rsidR="007B70EB">
              <w:rPr>
                <w:noProof/>
                <w:webHidden/>
              </w:rPr>
              <w:fldChar w:fldCharType="end"/>
            </w:r>
          </w:hyperlink>
        </w:p>
        <w:p w14:paraId="6CCCFAE8"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76" w:history="1">
            <w:r w:rsidR="007B70EB" w:rsidRPr="00AB6E34">
              <w:rPr>
                <w:rStyle w:val="Hyperlink"/>
                <w:noProof/>
              </w:rPr>
              <w:t>4.1.2.1.</w:t>
            </w:r>
            <w:r w:rsidR="007B70EB">
              <w:rPr>
                <w:rFonts w:asciiTheme="minorHAnsi" w:hAnsiTheme="minorHAnsi"/>
                <w:noProof/>
                <w:sz w:val="22"/>
                <w:szCs w:val="22"/>
                <w:lang w:val="en-AU" w:eastAsia="en-AU"/>
              </w:rPr>
              <w:tab/>
            </w:r>
            <w:r w:rsidR="007B70EB" w:rsidRPr="00AB6E34">
              <w:rPr>
                <w:rStyle w:val="Hyperlink"/>
                <w:noProof/>
              </w:rPr>
              <w:t>General hydrochemical parameters</w:t>
            </w:r>
            <w:r w:rsidR="007B70EB">
              <w:rPr>
                <w:noProof/>
                <w:webHidden/>
              </w:rPr>
              <w:tab/>
            </w:r>
            <w:r w:rsidR="007B70EB">
              <w:rPr>
                <w:noProof/>
                <w:webHidden/>
              </w:rPr>
              <w:fldChar w:fldCharType="begin"/>
            </w:r>
            <w:r w:rsidR="007B70EB">
              <w:rPr>
                <w:noProof/>
                <w:webHidden/>
              </w:rPr>
              <w:instrText xml:space="preserve"> PAGEREF _Toc494444576 \h </w:instrText>
            </w:r>
            <w:r w:rsidR="007B70EB">
              <w:rPr>
                <w:noProof/>
                <w:webHidden/>
              </w:rPr>
            </w:r>
            <w:r w:rsidR="007B70EB">
              <w:rPr>
                <w:noProof/>
                <w:webHidden/>
              </w:rPr>
              <w:fldChar w:fldCharType="separate"/>
            </w:r>
            <w:r w:rsidR="007B70EB">
              <w:rPr>
                <w:noProof/>
                <w:webHidden/>
              </w:rPr>
              <w:t>172</w:t>
            </w:r>
            <w:r w:rsidR="007B70EB">
              <w:rPr>
                <w:noProof/>
                <w:webHidden/>
              </w:rPr>
              <w:fldChar w:fldCharType="end"/>
            </w:r>
          </w:hyperlink>
        </w:p>
        <w:p w14:paraId="0EC2946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77" w:history="1">
            <w:r w:rsidR="007B70EB" w:rsidRPr="00AB6E34">
              <w:rPr>
                <w:rStyle w:val="Hyperlink"/>
                <w:noProof/>
              </w:rPr>
              <w:t>4.1.2.2.</w:t>
            </w:r>
            <w:r w:rsidR="007B70EB">
              <w:rPr>
                <w:rFonts w:asciiTheme="minorHAnsi" w:hAnsiTheme="minorHAnsi"/>
                <w:noProof/>
                <w:sz w:val="22"/>
                <w:szCs w:val="22"/>
                <w:lang w:val="en-AU" w:eastAsia="en-AU"/>
              </w:rPr>
              <w:tab/>
            </w:r>
            <w:r w:rsidR="007B70EB" w:rsidRPr="00AB6E34">
              <w:rPr>
                <w:rStyle w:val="Hyperlink"/>
                <w:noProof/>
              </w:rPr>
              <w:t>Defining temperature and pressure conditions of deep groundwater</w:t>
            </w:r>
            <w:r w:rsidR="007B70EB">
              <w:rPr>
                <w:noProof/>
                <w:webHidden/>
              </w:rPr>
              <w:tab/>
            </w:r>
            <w:r w:rsidR="007B70EB">
              <w:rPr>
                <w:noProof/>
                <w:webHidden/>
              </w:rPr>
              <w:fldChar w:fldCharType="begin"/>
            </w:r>
            <w:r w:rsidR="007B70EB">
              <w:rPr>
                <w:noProof/>
                <w:webHidden/>
              </w:rPr>
              <w:instrText xml:space="preserve"> PAGEREF _Toc494444577 \h </w:instrText>
            </w:r>
            <w:r w:rsidR="007B70EB">
              <w:rPr>
                <w:noProof/>
                <w:webHidden/>
              </w:rPr>
            </w:r>
            <w:r w:rsidR="007B70EB">
              <w:rPr>
                <w:noProof/>
                <w:webHidden/>
              </w:rPr>
              <w:fldChar w:fldCharType="separate"/>
            </w:r>
            <w:r w:rsidR="007B70EB">
              <w:rPr>
                <w:noProof/>
                <w:webHidden/>
              </w:rPr>
              <w:t>178</w:t>
            </w:r>
            <w:r w:rsidR="007B70EB">
              <w:rPr>
                <w:noProof/>
                <w:webHidden/>
              </w:rPr>
              <w:fldChar w:fldCharType="end"/>
            </w:r>
          </w:hyperlink>
        </w:p>
        <w:p w14:paraId="59C3686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78" w:history="1">
            <w:r w:rsidR="007B70EB" w:rsidRPr="00AB6E34">
              <w:rPr>
                <w:rStyle w:val="Hyperlink"/>
                <w:noProof/>
                <w14:scene3d>
                  <w14:camera w14:prst="orthographicFront"/>
                  <w14:lightRig w14:rig="threePt" w14:dir="t">
                    <w14:rot w14:lat="0" w14:lon="0" w14:rev="0"/>
                  </w14:lightRig>
                </w14:scene3d>
              </w:rPr>
              <w:t>4.1.3.</w:t>
            </w:r>
            <w:r w:rsidR="007B70EB">
              <w:rPr>
                <w:rFonts w:asciiTheme="minorHAnsi" w:hAnsiTheme="minorHAnsi"/>
                <w:noProof/>
                <w:sz w:val="22"/>
                <w:szCs w:val="22"/>
                <w:lang w:val="en-AU" w:eastAsia="en-AU"/>
              </w:rPr>
              <w:tab/>
            </w:r>
            <w:r w:rsidR="007B70EB" w:rsidRPr="00AB6E34">
              <w:rPr>
                <w:rStyle w:val="Hyperlink"/>
                <w:noProof/>
              </w:rPr>
              <w:t>Methodology for adapting the attenuation parameters obtained from literature to site-specific values</w:t>
            </w:r>
            <w:r w:rsidR="007B70EB">
              <w:rPr>
                <w:noProof/>
                <w:webHidden/>
              </w:rPr>
              <w:tab/>
            </w:r>
            <w:r w:rsidR="007B70EB">
              <w:rPr>
                <w:noProof/>
                <w:webHidden/>
              </w:rPr>
              <w:fldChar w:fldCharType="begin"/>
            </w:r>
            <w:r w:rsidR="007B70EB">
              <w:rPr>
                <w:noProof/>
                <w:webHidden/>
              </w:rPr>
              <w:instrText xml:space="preserve"> PAGEREF _Toc494444578 \h </w:instrText>
            </w:r>
            <w:r w:rsidR="007B70EB">
              <w:rPr>
                <w:noProof/>
                <w:webHidden/>
              </w:rPr>
            </w:r>
            <w:r w:rsidR="007B70EB">
              <w:rPr>
                <w:noProof/>
                <w:webHidden/>
              </w:rPr>
              <w:fldChar w:fldCharType="separate"/>
            </w:r>
            <w:r w:rsidR="007B70EB">
              <w:rPr>
                <w:noProof/>
                <w:webHidden/>
              </w:rPr>
              <w:t>178</w:t>
            </w:r>
            <w:r w:rsidR="007B70EB">
              <w:rPr>
                <w:noProof/>
                <w:webHidden/>
              </w:rPr>
              <w:fldChar w:fldCharType="end"/>
            </w:r>
          </w:hyperlink>
        </w:p>
        <w:p w14:paraId="38898B2B"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79" w:history="1">
            <w:r w:rsidR="007B70EB" w:rsidRPr="00AB6E34">
              <w:rPr>
                <w:rStyle w:val="Hyperlink"/>
                <w:noProof/>
                <w14:scene3d>
                  <w14:camera w14:prst="orthographicFront"/>
                  <w14:lightRig w14:rig="threePt" w14:dir="t">
                    <w14:rot w14:lat="0" w14:lon="0" w14:rev="0"/>
                  </w14:lightRig>
                </w14:scene3d>
              </w:rPr>
              <w:t>4.1.4.</w:t>
            </w:r>
            <w:r w:rsidR="007B70EB">
              <w:rPr>
                <w:rFonts w:asciiTheme="minorHAnsi" w:hAnsiTheme="minorHAnsi"/>
                <w:noProof/>
                <w:sz w:val="22"/>
                <w:szCs w:val="22"/>
                <w:lang w:val="en-AU" w:eastAsia="en-AU"/>
              </w:rPr>
              <w:tab/>
            </w:r>
            <w:r w:rsidR="007B70EB" w:rsidRPr="00AB6E34">
              <w:rPr>
                <w:rStyle w:val="Hyperlink"/>
                <w:noProof/>
              </w:rPr>
              <w:t>Effect of key physicochemical variables on contaminant attenuation parameters</w:t>
            </w:r>
            <w:r w:rsidR="007B70EB">
              <w:rPr>
                <w:noProof/>
                <w:webHidden/>
              </w:rPr>
              <w:tab/>
            </w:r>
            <w:r w:rsidR="007B70EB">
              <w:rPr>
                <w:noProof/>
                <w:webHidden/>
              </w:rPr>
              <w:fldChar w:fldCharType="begin"/>
            </w:r>
            <w:r w:rsidR="007B70EB">
              <w:rPr>
                <w:noProof/>
                <w:webHidden/>
              </w:rPr>
              <w:instrText xml:space="preserve"> PAGEREF _Toc494444579 \h </w:instrText>
            </w:r>
            <w:r w:rsidR="007B70EB">
              <w:rPr>
                <w:noProof/>
                <w:webHidden/>
              </w:rPr>
            </w:r>
            <w:r w:rsidR="007B70EB">
              <w:rPr>
                <w:noProof/>
                <w:webHidden/>
              </w:rPr>
              <w:fldChar w:fldCharType="separate"/>
            </w:r>
            <w:r w:rsidR="007B70EB">
              <w:rPr>
                <w:noProof/>
                <w:webHidden/>
              </w:rPr>
              <w:t>179</w:t>
            </w:r>
            <w:r w:rsidR="007B70EB">
              <w:rPr>
                <w:noProof/>
                <w:webHidden/>
              </w:rPr>
              <w:fldChar w:fldCharType="end"/>
            </w:r>
          </w:hyperlink>
        </w:p>
        <w:p w14:paraId="0FACB03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80" w:history="1">
            <w:r w:rsidR="007B70EB" w:rsidRPr="00AB6E34">
              <w:rPr>
                <w:rStyle w:val="Hyperlink"/>
                <w:rFonts w:asciiTheme="majorHAnsi" w:hAnsiTheme="majorHAnsi" w:cs="Arial"/>
                <w:noProof/>
              </w:rPr>
              <w:t>4.1.4.1.</w:t>
            </w:r>
            <w:r w:rsidR="007B70EB">
              <w:rPr>
                <w:rFonts w:asciiTheme="minorHAnsi" w:hAnsiTheme="minorHAnsi"/>
                <w:noProof/>
                <w:sz w:val="22"/>
                <w:szCs w:val="22"/>
                <w:lang w:val="en-AU" w:eastAsia="en-AU"/>
              </w:rPr>
              <w:tab/>
            </w:r>
            <w:r w:rsidR="007B70EB" w:rsidRPr="00AB6E34">
              <w:rPr>
                <w:rStyle w:val="Hyperlink"/>
                <w:rFonts w:asciiTheme="majorHAnsi" w:hAnsiTheme="majorHAnsi" w:cs="Arial"/>
                <w:noProof/>
              </w:rPr>
              <w:t>Effect of temperature on degradation of organic compounds</w:t>
            </w:r>
            <w:r w:rsidR="007B70EB">
              <w:rPr>
                <w:noProof/>
                <w:webHidden/>
              </w:rPr>
              <w:tab/>
            </w:r>
            <w:r w:rsidR="007B70EB">
              <w:rPr>
                <w:noProof/>
                <w:webHidden/>
              </w:rPr>
              <w:fldChar w:fldCharType="begin"/>
            </w:r>
            <w:r w:rsidR="007B70EB">
              <w:rPr>
                <w:noProof/>
                <w:webHidden/>
              </w:rPr>
              <w:instrText xml:space="preserve"> PAGEREF _Toc494444580 \h </w:instrText>
            </w:r>
            <w:r w:rsidR="007B70EB">
              <w:rPr>
                <w:noProof/>
                <w:webHidden/>
              </w:rPr>
            </w:r>
            <w:r w:rsidR="007B70EB">
              <w:rPr>
                <w:noProof/>
                <w:webHidden/>
              </w:rPr>
              <w:fldChar w:fldCharType="separate"/>
            </w:r>
            <w:r w:rsidR="007B70EB">
              <w:rPr>
                <w:noProof/>
                <w:webHidden/>
              </w:rPr>
              <w:t>179</w:t>
            </w:r>
            <w:r w:rsidR="007B70EB">
              <w:rPr>
                <w:noProof/>
                <w:webHidden/>
              </w:rPr>
              <w:fldChar w:fldCharType="end"/>
            </w:r>
          </w:hyperlink>
        </w:p>
        <w:p w14:paraId="6EF1CFC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81" w:history="1">
            <w:r w:rsidR="007B70EB" w:rsidRPr="00AB6E34">
              <w:rPr>
                <w:rStyle w:val="Hyperlink"/>
                <w:rFonts w:asciiTheme="majorHAnsi" w:hAnsiTheme="majorHAnsi" w:cs="Arial"/>
                <w:noProof/>
              </w:rPr>
              <w:t>4.1.4.2.</w:t>
            </w:r>
            <w:r w:rsidR="007B70EB">
              <w:rPr>
                <w:rFonts w:asciiTheme="minorHAnsi" w:hAnsiTheme="minorHAnsi"/>
                <w:noProof/>
                <w:sz w:val="22"/>
                <w:szCs w:val="22"/>
                <w:lang w:val="en-AU" w:eastAsia="en-AU"/>
              </w:rPr>
              <w:tab/>
            </w:r>
            <w:r w:rsidR="007B70EB" w:rsidRPr="00AB6E34">
              <w:rPr>
                <w:rStyle w:val="Hyperlink"/>
                <w:rFonts w:asciiTheme="majorHAnsi" w:hAnsiTheme="majorHAnsi" w:cs="Arial"/>
                <w:noProof/>
              </w:rPr>
              <w:t>Effect of pH, temperature and pressure on sorption coefficients of organic compounds</w:t>
            </w:r>
            <w:r w:rsidR="007B70EB">
              <w:rPr>
                <w:noProof/>
                <w:webHidden/>
              </w:rPr>
              <w:tab/>
            </w:r>
            <w:r w:rsidR="007B70EB">
              <w:rPr>
                <w:noProof/>
                <w:webHidden/>
              </w:rPr>
              <w:fldChar w:fldCharType="begin"/>
            </w:r>
            <w:r w:rsidR="007B70EB">
              <w:rPr>
                <w:noProof/>
                <w:webHidden/>
              </w:rPr>
              <w:instrText xml:space="preserve"> PAGEREF _Toc494444581 \h </w:instrText>
            </w:r>
            <w:r w:rsidR="007B70EB">
              <w:rPr>
                <w:noProof/>
                <w:webHidden/>
              </w:rPr>
            </w:r>
            <w:r w:rsidR="007B70EB">
              <w:rPr>
                <w:noProof/>
                <w:webHidden/>
              </w:rPr>
              <w:fldChar w:fldCharType="separate"/>
            </w:r>
            <w:r w:rsidR="007B70EB">
              <w:rPr>
                <w:noProof/>
                <w:webHidden/>
              </w:rPr>
              <w:t>181</w:t>
            </w:r>
            <w:r w:rsidR="007B70EB">
              <w:rPr>
                <w:noProof/>
                <w:webHidden/>
              </w:rPr>
              <w:fldChar w:fldCharType="end"/>
            </w:r>
          </w:hyperlink>
        </w:p>
        <w:p w14:paraId="4DBDDBC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82" w:history="1">
            <w:r w:rsidR="007B70EB" w:rsidRPr="00AB6E34">
              <w:rPr>
                <w:rStyle w:val="Hyperlink"/>
                <w:rFonts w:asciiTheme="majorHAnsi" w:hAnsiTheme="majorHAnsi" w:cs="Arial"/>
                <w:noProof/>
              </w:rPr>
              <w:t>4.1.4.2.1.</w:t>
            </w:r>
            <w:r w:rsidR="007B70EB">
              <w:rPr>
                <w:rFonts w:asciiTheme="minorHAnsi" w:hAnsiTheme="minorHAnsi"/>
                <w:noProof/>
                <w:sz w:val="22"/>
                <w:szCs w:val="22"/>
                <w:lang w:val="en-AU" w:eastAsia="en-AU"/>
              </w:rPr>
              <w:tab/>
            </w:r>
            <w:r w:rsidR="007B70EB" w:rsidRPr="00AB6E34">
              <w:rPr>
                <w:rStyle w:val="Hyperlink"/>
                <w:rFonts w:asciiTheme="majorHAnsi" w:hAnsiTheme="majorHAnsi" w:cs="Arial"/>
                <w:noProof/>
              </w:rPr>
              <w:t>pH</w:t>
            </w:r>
            <w:r w:rsidR="007B70EB">
              <w:rPr>
                <w:noProof/>
                <w:webHidden/>
              </w:rPr>
              <w:tab/>
            </w:r>
            <w:r w:rsidR="007B70EB">
              <w:rPr>
                <w:noProof/>
                <w:webHidden/>
              </w:rPr>
              <w:fldChar w:fldCharType="begin"/>
            </w:r>
            <w:r w:rsidR="007B70EB">
              <w:rPr>
                <w:noProof/>
                <w:webHidden/>
              </w:rPr>
              <w:instrText xml:space="preserve"> PAGEREF _Toc494444582 \h </w:instrText>
            </w:r>
            <w:r w:rsidR="007B70EB">
              <w:rPr>
                <w:noProof/>
                <w:webHidden/>
              </w:rPr>
            </w:r>
            <w:r w:rsidR="007B70EB">
              <w:rPr>
                <w:noProof/>
                <w:webHidden/>
              </w:rPr>
              <w:fldChar w:fldCharType="separate"/>
            </w:r>
            <w:r w:rsidR="007B70EB">
              <w:rPr>
                <w:noProof/>
                <w:webHidden/>
              </w:rPr>
              <w:t>181</w:t>
            </w:r>
            <w:r w:rsidR="007B70EB">
              <w:rPr>
                <w:noProof/>
                <w:webHidden/>
              </w:rPr>
              <w:fldChar w:fldCharType="end"/>
            </w:r>
          </w:hyperlink>
        </w:p>
        <w:p w14:paraId="07A5B90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83" w:history="1">
            <w:r w:rsidR="007B70EB" w:rsidRPr="00AB6E34">
              <w:rPr>
                <w:rStyle w:val="Hyperlink"/>
                <w:rFonts w:asciiTheme="majorHAnsi" w:hAnsiTheme="majorHAnsi" w:cs="Arial"/>
                <w:noProof/>
              </w:rPr>
              <w:t>4.1.4.2.2.</w:t>
            </w:r>
            <w:r w:rsidR="007B70EB">
              <w:rPr>
                <w:rFonts w:asciiTheme="minorHAnsi" w:hAnsiTheme="minorHAnsi"/>
                <w:noProof/>
                <w:sz w:val="22"/>
                <w:szCs w:val="22"/>
                <w:lang w:val="en-AU" w:eastAsia="en-AU"/>
              </w:rPr>
              <w:tab/>
            </w:r>
            <w:r w:rsidR="007B70EB" w:rsidRPr="00AB6E34">
              <w:rPr>
                <w:rStyle w:val="Hyperlink"/>
                <w:rFonts w:asciiTheme="majorHAnsi" w:hAnsiTheme="majorHAnsi" w:cs="Arial"/>
                <w:noProof/>
              </w:rPr>
              <w:t>Temperature</w:t>
            </w:r>
            <w:r w:rsidR="007B70EB">
              <w:rPr>
                <w:noProof/>
                <w:webHidden/>
              </w:rPr>
              <w:tab/>
            </w:r>
            <w:r w:rsidR="007B70EB">
              <w:rPr>
                <w:noProof/>
                <w:webHidden/>
              </w:rPr>
              <w:fldChar w:fldCharType="begin"/>
            </w:r>
            <w:r w:rsidR="007B70EB">
              <w:rPr>
                <w:noProof/>
                <w:webHidden/>
              </w:rPr>
              <w:instrText xml:space="preserve"> PAGEREF _Toc494444583 \h </w:instrText>
            </w:r>
            <w:r w:rsidR="007B70EB">
              <w:rPr>
                <w:noProof/>
                <w:webHidden/>
              </w:rPr>
            </w:r>
            <w:r w:rsidR="007B70EB">
              <w:rPr>
                <w:noProof/>
                <w:webHidden/>
              </w:rPr>
              <w:fldChar w:fldCharType="separate"/>
            </w:r>
            <w:r w:rsidR="007B70EB">
              <w:rPr>
                <w:noProof/>
                <w:webHidden/>
              </w:rPr>
              <w:t>181</w:t>
            </w:r>
            <w:r w:rsidR="007B70EB">
              <w:rPr>
                <w:noProof/>
                <w:webHidden/>
              </w:rPr>
              <w:fldChar w:fldCharType="end"/>
            </w:r>
          </w:hyperlink>
        </w:p>
        <w:p w14:paraId="7BB77FC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84" w:history="1">
            <w:r w:rsidR="007B70EB" w:rsidRPr="00AB6E34">
              <w:rPr>
                <w:rStyle w:val="Hyperlink"/>
                <w:rFonts w:asciiTheme="majorHAnsi" w:hAnsiTheme="majorHAnsi" w:cs="Arial"/>
                <w:noProof/>
              </w:rPr>
              <w:t>4.1.4.2.3.</w:t>
            </w:r>
            <w:r w:rsidR="007B70EB">
              <w:rPr>
                <w:rFonts w:asciiTheme="minorHAnsi" w:hAnsiTheme="minorHAnsi"/>
                <w:noProof/>
                <w:sz w:val="22"/>
                <w:szCs w:val="22"/>
                <w:lang w:val="en-AU" w:eastAsia="en-AU"/>
              </w:rPr>
              <w:tab/>
            </w:r>
            <w:r w:rsidR="007B70EB" w:rsidRPr="00AB6E34">
              <w:rPr>
                <w:rStyle w:val="Hyperlink"/>
                <w:rFonts w:asciiTheme="majorHAnsi" w:hAnsiTheme="majorHAnsi" w:cs="Arial"/>
                <w:noProof/>
              </w:rPr>
              <w:t>Pressure</w:t>
            </w:r>
            <w:r w:rsidR="007B70EB">
              <w:rPr>
                <w:noProof/>
                <w:webHidden/>
              </w:rPr>
              <w:tab/>
            </w:r>
            <w:r w:rsidR="007B70EB">
              <w:rPr>
                <w:noProof/>
                <w:webHidden/>
              </w:rPr>
              <w:fldChar w:fldCharType="begin"/>
            </w:r>
            <w:r w:rsidR="007B70EB">
              <w:rPr>
                <w:noProof/>
                <w:webHidden/>
              </w:rPr>
              <w:instrText xml:space="preserve"> PAGEREF _Toc494444584 \h </w:instrText>
            </w:r>
            <w:r w:rsidR="007B70EB">
              <w:rPr>
                <w:noProof/>
                <w:webHidden/>
              </w:rPr>
            </w:r>
            <w:r w:rsidR="007B70EB">
              <w:rPr>
                <w:noProof/>
                <w:webHidden/>
              </w:rPr>
              <w:fldChar w:fldCharType="separate"/>
            </w:r>
            <w:r w:rsidR="007B70EB">
              <w:rPr>
                <w:noProof/>
                <w:webHidden/>
              </w:rPr>
              <w:t>182</w:t>
            </w:r>
            <w:r w:rsidR="007B70EB">
              <w:rPr>
                <w:noProof/>
                <w:webHidden/>
              </w:rPr>
              <w:fldChar w:fldCharType="end"/>
            </w:r>
          </w:hyperlink>
        </w:p>
        <w:p w14:paraId="49ACFCE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85" w:history="1">
            <w:r w:rsidR="007B70EB" w:rsidRPr="00AB6E34">
              <w:rPr>
                <w:rStyle w:val="Hyperlink"/>
                <w:rFonts w:asciiTheme="majorHAnsi" w:hAnsiTheme="majorHAnsi" w:cs="Arial"/>
                <w:noProof/>
              </w:rPr>
              <w:t>4.1.4.3.</w:t>
            </w:r>
            <w:r w:rsidR="007B70EB">
              <w:rPr>
                <w:rFonts w:asciiTheme="minorHAnsi" w:hAnsiTheme="minorHAnsi"/>
                <w:noProof/>
                <w:sz w:val="22"/>
                <w:szCs w:val="22"/>
                <w:lang w:val="en-AU" w:eastAsia="en-AU"/>
              </w:rPr>
              <w:tab/>
            </w:r>
            <w:r w:rsidR="007B70EB" w:rsidRPr="00AB6E34">
              <w:rPr>
                <w:rStyle w:val="Hyperlink"/>
                <w:rFonts w:asciiTheme="majorHAnsi" w:hAnsiTheme="majorHAnsi" w:cs="Arial"/>
                <w:noProof/>
              </w:rPr>
              <w:t>Effect of pH, temperature and pressure on sorption coefficients for inorganic chemicals</w:t>
            </w:r>
            <w:r w:rsidR="007B70EB">
              <w:rPr>
                <w:noProof/>
                <w:webHidden/>
              </w:rPr>
              <w:tab/>
            </w:r>
            <w:r w:rsidR="007B70EB">
              <w:rPr>
                <w:noProof/>
                <w:webHidden/>
              </w:rPr>
              <w:fldChar w:fldCharType="begin"/>
            </w:r>
            <w:r w:rsidR="007B70EB">
              <w:rPr>
                <w:noProof/>
                <w:webHidden/>
              </w:rPr>
              <w:instrText xml:space="preserve"> PAGEREF _Toc494444585 \h </w:instrText>
            </w:r>
            <w:r w:rsidR="007B70EB">
              <w:rPr>
                <w:noProof/>
                <w:webHidden/>
              </w:rPr>
            </w:r>
            <w:r w:rsidR="007B70EB">
              <w:rPr>
                <w:noProof/>
                <w:webHidden/>
              </w:rPr>
              <w:fldChar w:fldCharType="separate"/>
            </w:r>
            <w:r w:rsidR="007B70EB">
              <w:rPr>
                <w:noProof/>
                <w:webHidden/>
              </w:rPr>
              <w:t>182</w:t>
            </w:r>
            <w:r w:rsidR="007B70EB">
              <w:rPr>
                <w:noProof/>
                <w:webHidden/>
              </w:rPr>
              <w:fldChar w:fldCharType="end"/>
            </w:r>
          </w:hyperlink>
        </w:p>
        <w:p w14:paraId="0C6E47F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86" w:history="1">
            <w:r w:rsidR="007B70EB" w:rsidRPr="00AB6E34">
              <w:rPr>
                <w:rStyle w:val="Hyperlink"/>
                <w:rFonts w:asciiTheme="majorHAnsi" w:hAnsiTheme="majorHAnsi" w:cs="Arial"/>
                <w:noProof/>
              </w:rPr>
              <w:t>4.1.4.3.1.</w:t>
            </w:r>
            <w:r w:rsidR="007B70EB">
              <w:rPr>
                <w:rFonts w:asciiTheme="minorHAnsi" w:hAnsiTheme="minorHAnsi"/>
                <w:noProof/>
                <w:sz w:val="22"/>
                <w:szCs w:val="22"/>
                <w:lang w:val="en-AU" w:eastAsia="en-AU"/>
              </w:rPr>
              <w:tab/>
            </w:r>
            <w:r w:rsidR="007B70EB" w:rsidRPr="00AB6E34">
              <w:rPr>
                <w:rStyle w:val="Hyperlink"/>
                <w:rFonts w:asciiTheme="majorHAnsi" w:hAnsiTheme="majorHAnsi" w:cs="Arial"/>
                <w:noProof/>
              </w:rPr>
              <w:t>pH</w:t>
            </w:r>
            <w:r w:rsidR="007B70EB">
              <w:rPr>
                <w:noProof/>
                <w:webHidden/>
              </w:rPr>
              <w:tab/>
            </w:r>
            <w:r w:rsidR="007B70EB">
              <w:rPr>
                <w:noProof/>
                <w:webHidden/>
              </w:rPr>
              <w:fldChar w:fldCharType="begin"/>
            </w:r>
            <w:r w:rsidR="007B70EB">
              <w:rPr>
                <w:noProof/>
                <w:webHidden/>
              </w:rPr>
              <w:instrText xml:space="preserve"> PAGEREF _Toc494444586 \h </w:instrText>
            </w:r>
            <w:r w:rsidR="007B70EB">
              <w:rPr>
                <w:noProof/>
                <w:webHidden/>
              </w:rPr>
            </w:r>
            <w:r w:rsidR="007B70EB">
              <w:rPr>
                <w:noProof/>
                <w:webHidden/>
              </w:rPr>
              <w:fldChar w:fldCharType="separate"/>
            </w:r>
            <w:r w:rsidR="007B70EB">
              <w:rPr>
                <w:noProof/>
                <w:webHidden/>
              </w:rPr>
              <w:t>182</w:t>
            </w:r>
            <w:r w:rsidR="007B70EB">
              <w:rPr>
                <w:noProof/>
                <w:webHidden/>
              </w:rPr>
              <w:fldChar w:fldCharType="end"/>
            </w:r>
          </w:hyperlink>
        </w:p>
        <w:p w14:paraId="7DCC7F3C"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87" w:history="1">
            <w:r w:rsidR="007B70EB" w:rsidRPr="00AB6E34">
              <w:rPr>
                <w:rStyle w:val="Hyperlink"/>
                <w:rFonts w:asciiTheme="majorHAnsi" w:hAnsiTheme="majorHAnsi" w:cs="Arial"/>
                <w:noProof/>
              </w:rPr>
              <w:t>4.1.4.3.2.</w:t>
            </w:r>
            <w:r w:rsidR="007B70EB">
              <w:rPr>
                <w:rFonts w:asciiTheme="minorHAnsi" w:hAnsiTheme="minorHAnsi"/>
                <w:noProof/>
                <w:sz w:val="22"/>
                <w:szCs w:val="22"/>
                <w:lang w:val="en-AU" w:eastAsia="en-AU"/>
              </w:rPr>
              <w:tab/>
            </w:r>
            <w:r w:rsidR="007B70EB" w:rsidRPr="00AB6E34">
              <w:rPr>
                <w:rStyle w:val="Hyperlink"/>
                <w:rFonts w:asciiTheme="majorHAnsi" w:hAnsiTheme="majorHAnsi" w:cs="Arial"/>
                <w:noProof/>
              </w:rPr>
              <w:t>Effect of pressure on sorption reactions involving inorganic chemicals</w:t>
            </w:r>
            <w:r w:rsidR="007B70EB">
              <w:rPr>
                <w:noProof/>
                <w:webHidden/>
              </w:rPr>
              <w:tab/>
            </w:r>
            <w:r w:rsidR="007B70EB">
              <w:rPr>
                <w:noProof/>
                <w:webHidden/>
              </w:rPr>
              <w:fldChar w:fldCharType="begin"/>
            </w:r>
            <w:r w:rsidR="007B70EB">
              <w:rPr>
                <w:noProof/>
                <w:webHidden/>
              </w:rPr>
              <w:instrText xml:space="preserve"> PAGEREF _Toc494444587 \h </w:instrText>
            </w:r>
            <w:r w:rsidR="007B70EB">
              <w:rPr>
                <w:noProof/>
                <w:webHidden/>
              </w:rPr>
            </w:r>
            <w:r w:rsidR="007B70EB">
              <w:rPr>
                <w:noProof/>
                <w:webHidden/>
              </w:rPr>
              <w:fldChar w:fldCharType="separate"/>
            </w:r>
            <w:r w:rsidR="007B70EB">
              <w:rPr>
                <w:noProof/>
                <w:webHidden/>
              </w:rPr>
              <w:t>183</w:t>
            </w:r>
            <w:r w:rsidR="007B70EB">
              <w:rPr>
                <w:noProof/>
                <w:webHidden/>
              </w:rPr>
              <w:fldChar w:fldCharType="end"/>
            </w:r>
          </w:hyperlink>
        </w:p>
        <w:p w14:paraId="293A283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88" w:history="1">
            <w:r w:rsidR="007B70EB" w:rsidRPr="00AB6E34">
              <w:rPr>
                <w:rStyle w:val="Hyperlink"/>
                <w:rFonts w:asciiTheme="majorHAnsi" w:hAnsiTheme="majorHAnsi" w:cs="Arial"/>
                <w:noProof/>
              </w:rPr>
              <w:t>4.1.4.3.3.</w:t>
            </w:r>
            <w:r w:rsidR="007B70EB">
              <w:rPr>
                <w:rFonts w:asciiTheme="minorHAnsi" w:hAnsiTheme="minorHAnsi"/>
                <w:noProof/>
                <w:sz w:val="22"/>
                <w:szCs w:val="22"/>
                <w:lang w:val="en-AU" w:eastAsia="en-AU"/>
              </w:rPr>
              <w:tab/>
            </w:r>
            <w:r w:rsidR="007B70EB" w:rsidRPr="00AB6E34">
              <w:rPr>
                <w:rStyle w:val="Hyperlink"/>
                <w:rFonts w:asciiTheme="majorHAnsi" w:hAnsiTheme="majorHAnsi" w:cs="Arial"/>
                <w:noProof/>
              </w:rPr>
              <w:t>Effect of temperature on sorption reactions involving inorganic chemicals</w:t>
            </w:r>
            <w:r w:rsidR="007B70EB">
              <w:rPr>
                <w:noProof/>
                <w:webHidden/>
              </w:rPr>
              <w:tab/>
            </w:r>
            <w:r w:rsidR="007B70EB">
              <w:rPr>
                <w:noProof/>
                <w:webHidden/>
              </w:rPr>
              <w:fldChar w:fldCharType="begin"/>
            </w:r>
            <w:r w:rsidR="007B70EB">
              <w:rPr>
                <w:noProof/>
                <w:webHidden/>
              </w:rPr>
              <w:instrText xml:space="preserve"> PAGEREF _Toc494444588 \h </w:instrText>
            </w:r>
            <w:r w:rsidR="007B70EB">
              <w:rPr>
                <w:noProof/>
                <w:webHidden/>
              </w:rPr>
            </w:r>
            <w:r w:rsidR="007B70EB">
              <w:rPr>
                <w:noProof/>
                <w:webHidden/>
              </w:rPr>
              <w:fldChar w:fldCharType="separate"/>
            </w:r>
            <w:r w:rsidR="007B70EB">
              <w:rPr>
                <w:noProof/>
                <w:webHidden/>
              </w:rPr>
              <w:t>183</w:t>
            </w:r>
            <w:r w:rsidR="007B70EB">
              <w:rPr>
                <w:noProof/>
                <w:webHidden/>
              </w:rPr>
              <w:fldChar w:fldCharType="end"/>
            </w:r>
          </w:hyperlink>
        </w:p>
        <w:p w14:paraId="3724C25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89" w:history="1">
            <w:r w:rsidR="007B70EB" w:rsidRPr="00AB6E34">
              <w:rPr>
                <w:rStyle w:val="Hyperlink"/>
                <w:noProof/>
                <w14:scene3d>
                  <w14:camera w14:prst="orthographicFront"/>
                  <w14:lightRig w14:rig="threePt" w14:dir="t">
                    <w14:rot w14:lat="0" w14:lon="0" w14:rev="0"/>
                  </w14:lightRig>
                </w14:scene3d>
              </w:rPr>
              <w:t>4.1.5.</w:t>
            </w:r>
            <w:r w:rsidR="007B70EB">
              <w:rPr>
                <w:rFonts w:asciiTheme="minorHAnsi" w:hAnsiTheme="minorHAnsi"/>
                <w:noProof/>
                <w:sz w:val="22"/>
                <w:szCs w:val="22"/>
                <w:lang w:val="en-AU" w:eastAsia="en-AU"/>
              </w:rPr>
              <w:tab/>
            </w:r>
            <w:r w:rsidR="007B70EB" w:rsidRPr="00AB6E34">
              <w:rPr>
                <w:rStyle w:val="Hyperlink"/>
                <w:noProof/>
              </w:rPr>
              <w:t>Integrating attenuation parameters to calculate residual concentration</w:t>
            </w:r>
            <w:r w:rsidR="007B70EB">
              <w:rPr>
                <w:noProof/>
                <w:webHidden/>
              </w:rPr>
              <w:tab/>
            </w:r>
            <w:r w:rsidR="007B70EB">
              <w:rPr>
                <w:noProof/>
                <w:webHidden/>
              </w:rPr>
              <w:fldChar w:fldCharType="begin"/>
            </w:r>
            <w:r w:rsidR="007B70EB">
              <w:rPr>
                <w:noProof/>
                <w:webHidden/>
              </w:rPr>
              <w:instrText xml:space="preserve"> PAGEREF _Toc494444589 \h </w:instrText>
            </w:r>
            <w:r w:rsidR="007B70EB">
              <w:rPr>
                <w:noProof/>
                <w:webHidden/>
              </w:rPr>
            </w:r>
            <w:r w:rsidR="007B70EB">
              <w:rPr>
                <w:noProof/>
                <w:webHidden/>
              </w:rPr>
              <w:fldChar w:fldCharType="separate"/>
            </w:r>
            <w:r w:rsidR="007B70EB">
              <w:rPr>
                <w:noProof/>
                <w:webHidden/>
              </w:rPr>
              <w:t>184</w:t>
            </w:r>
            <w:r w:rsidR="007B70EB">
              <w:rPr>
                <w:noProof/>
                <w:webHidden/>
              </w:rPr>
              <w:fldChar w:fldCharType="end"/>
            </w:r>
          </w:hyperlink>
        </w:p>
        <w:p w14:paraId="18400B40" w14:textId="77777777" w:rsidR="007B70EB" w:rsidRDefault="00900E5C">
          <w:pPr>
            <w:pStyle w:val="TOC2"/>
            <w:rPr>
              <w:rFonts w:asciiTheme="minorHAnsi" w:hAnsiTheme="minorHAnsi"/>
              <w:noProof/>
              <w:sz w:val="22"/>
              <w:szCs w:val="22"/>
              <w:lang w:val="en-AU" w:eastAsia="en-AU"/>
            </w:rPr>
          </w:pPr>
          <w:hyperlink w:anchor="_Toc494444590" w:history="1">
            <w:r w:rsidR="007B70EB" w:rsidRPr="00AB6E34">
              <w:rPr>
                <w:rStyle w:val="Hyperlink"/>
                <w:noProof/>
                <w14:scene3d>
                  <w14:camera w14:prst="orthographicFront"/>
                  <w14:lightRig w14:rig="threePt" w14:dir="t">
                    <w14:rot w14:lat="0" w14:lon="0" w14:rev="0"/>
                  </w14:lightRig>
                </w14:scene3d>
              </w:rPr>
              <w:t>4.2.</w:t>
            </w:r>
            <w:r w:rsidR="007B70EB">
              <w:rPr>
                <w:rFonts w:asciiTheme="minorHAnsi" w:hAnsiTheme="minorHAnsi"/>
                <w:noProof/>
                <w:sz w:val="22"/>
                <w:szCs w:val="22"/>
                <w:lang w:val="en-AU" w:eastAsia="en-AU"/>
              </w:rPr>
              <w:tab/>
            </w:r>
            <w:r w:rsidR="007B70EB" w:rsidRPr="00AB6E34">
              <w:rPr>
                <w:rStyle w:val="Hyperlink"/>
                <w:noProof/>
              </w:rPr>
              <w:t>Chemical transformation pathways and half-lives</w:t>
            </w:r>
            <w:r w:rsidR="007B70EB">
              <w:rPr>
                <w:noProof/>
                <w:webHidden/>
              </w:rPr>
              <w:tab/>
            </w:r>
            <w:r w:rsidR="007B70EB">
              <w:rPr>
                <w:noProof/>
                <w:webHidden/>
              </w:rPr>
              <w:fldChar w:fldCharType="begin"/>
            </w:r>
            <w:r w:rsidR="007B70EB">
              <w:rPr>
                <w:noProof/>
                <w:webHidden/>
              </w:rPr>
              <w:instrText xml:space="preserve"> PAGEREF _Toc494444590 \h </w:instrText>
            </w:r>
            <w:r w:rsidR="007B70EB">
              <w:rPr>
                <w:noProof/>
                <w:webHidden/>
              </w:rPr>
            </w:r>
            <w:r w:rsidR="007B70EB">
              <w:rPr>
                <w:noProof/>
                <w:webHidden/>
              </w:rPr>
              <w:fldChar w:fldCharType="separate"/>
            </w:r>
            <w:r w:rsidR="007B70EB">
              <w:rPr>
                <w:noProof/>
                <w:webHidden/>
              </w:rPr>
              <w:t>186</w:t>
            </w:r>
            <w:r w:rsidR="007B70EB">
              <w:rPr>
                <w:noProof/>
                <w:webHidden/>
              </w:rPr>
              <w:fldChar w:fldCharType="end"/>
            </w:r>
          </w:hyperlink>
        </w:p>
        <w:p w14:paraId="6BFC5DF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91" w:history="1">
            <w:r w:rsidR="007B70EB" w:rsidRPr="00AB6E34">
              <w:rPr>
                <w:rStyle w:val="Hyperlink"/>
                <w:noProof/>
                <w14:scene3d>
                  <w14:camera w14:prst="orthographicFront"/>
                  <w14:lightRig w14:rig="threePt" w14:dir="t">
                    <w14:rot w14:lat="0" w14:lon="0" w14:rev="0"/>
                  </w14:lightRig>
                </w14:scene3d>
              </w:rPr>
              <w:t>4.2.1.</w:t>
            </w:r>
            <w:r w:rsidR="007B70EB">
              <w:rPr>
                <w:rFonts w:asciiTheme="minorHAnsi" w:hAnsiTheme="minorHAnsi"/>
                <w:noProof/>
                <w:sz w:val="22"/>
                <w:szCs w:val="22"/>
                <w:lang w:val="en-AU" w:eastAsia="en-AU"/>
              </w:rPr>
              <w:tab/>
            </w:r>
            <w:r w:rsidR="007B70EB" w:rsidRPr="00AB6E34">
              <w:rPr>
                <w:rStyle w:val="Hyperlink"/>
                <w:noProof/>
              </w:rPr>
              <w:t>Conceptual model</w:t>
            </w:r>
            <w:r w:rsidR="007B70EB">
              <w:rPr>
                <w:noProof/>
                <w:webHidden/>
              </w:rPr>
              <w:tab/>
            </w:r>
            <w:r w:rsidR="007B70EB">
              <w:rPr>
                <w:noProof/>
                <w:webHidden/>
              </w:rPr>
              <w:fldChar w:fldCharType="begin"/>
            </w:r>
            <w:r w:rsidR="007B70EB">
              <w:rPr>
                <w:noProof/>
                <w:webHidden/>
              </w:rPr>
              <w:instrText xml:space="preserve"> PAGEREF _Toc494444591 \h </w:instrText>
            </w:r>
            <w:r w:rsidR="007B70EB">
              <w:rPr>
                <w:noProof/>
                <w:webHidden/>
              </w:rPr>
            </w:r>
            <w:r w:rsidR="007B70EB">
              <w:rPr>
                <w:noProof/>
                <w:webHidden/>
              </w:rPr>
              <w:fldChar w:fldCharType="separate"/>
            </w:r>
            <w:r w:rsidR="007B70EB">
              <w:rPr>
                <w:noProof/>
                <w:webHidden/>
              </w:rPr>
              <w:t>186</w:t>
            </w:r>
            <w:r w:rsidR="007B70EB">
              <w:rPr>
                <w:noProof/>
                <w:webHidden/>
              </w:rPr>
              <w:fldChar w:fldCharType="end"/>
            </w:r>
          </w:hyperlink>
        </w:p>
        <w:p w14:paraId="4BAD535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92" w:history="1">
            <w:r w:rsidR="007B70EB" w:rsidRPr="00AB6E34">
              <w:rPr>
                <w:rStyle w:val="Hyperlink"/>
                <w:noProof/>
                <w14:scene3d>
                  <w14:camera w14:prst="orthographicFront"/>
                  <w14:lightRig w14:rig="threePt" w14:dir="t">
                    <w14:rot w14:lat="0" w14:lon="0" w14:rev="0"/>
                  </w14:lightRig>
                </w14:scene3d>
              </w:rPr>
              <w:t>4.2.2.</w:t>
            </w:r>
            <w:r w:rsidR="007B70EB">
              <w:rPr>
                <w:rFonts w:asciiTheme="minorHAnsi" w:hAnsiTheme="minorHAnsi"/>
                <w:noProof/>
                <w:sz w:val="22"/>
                <w:szCs w:val="22"/>
                <w:lang w:val="en-AU" w:eastAsia="en-AU"/>
              </w:rPr>
              <w:tab/>
            </w:r>
            <w:r w:rsidR="007B70EB" w:rsidRPr="00AB6E34">
              <w:rPr>
                <w:rStyle w:val="Hyperlink"/>
                <w:noProof/>
              </w:rPr>
              <w:t>Chemical-specific transformation pathways</w:t>
            </w:r>
            <w:r w:rsidR="007B70EB">
              <w:rPr>
                <w:noProof/>
                <w:webHidden/>
              </w:rPr>
              <w:tab/>
            </w:r>
            <w:r w:rsidR="007B70EB">
              <w:rPr>
                <w:noProof/>
                <w:webHidden/>
              </w:rPr>
              <w:fldChar w:fldCharType="begin"/>
            </w:r>
            <w:r w:rsidR="007B70EB">
              <w:rPr>
                <w:noProof/>
                <w:webHidden/>
              </w:rPr>
              <w:instrText xml:space="preserve"> PAGEREF _Toc494444592 \h </w:instrText>
            </w:r>
            <w:r w:rsidR="007B70EB">
              <w:rPr>
                <w:noProof/>
                <w:webHidden/>
              </w:rPr>
            </w:r>
            <w:r w:rsidR="007B70EB">
              <w:rPr>
                <w:noProof/>
                <w:webHidden/>
              </w:rPr>
              <w:fldChar w:fldCharType="separate"/>
            </w:r>
            <w:r w:rsidR="007B70EB">
              <w:rPr>
                <w:noProof/>
                <w:webHidden/>
              </w:rPr>
              <w:t>186</w:t>
            </w:r>
            <w:r w:rsidR="007B70EB">
              <w:rPr>
                <w:noProof/>
                <w:webHidden/>
              </w:rPr>
              <w:fldChar w:fldCharType="end"/>
            </w:r>
          </w:hyperlink>
        </w:p>
        <w:p w14:paraId="5362706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93" w:history="1">
            <w:r w:rsidR="007B70EB" w:rsidRPr="00AB6E34">
              <w:rPr>
                <w:rStyle w:val="Hyperlink"/>
                <w:noProof/>
              </w:rPr>
              <w:t>4.2.2.1.</w:t>
            </w:r>
            <w:r w:rsidR="007B70EB">
              <w:rPr>
                <w:rFonts w:asciiTheme="minorHAnsi" w:hAnsiTheme="minorHAnsi"/>
                <w:noProof/>
                <w:sz w:val="22"/>
                <w:szCs w:val="22"/>
                <w:lang w:val="en-AU" w:eastAsia="en-AU"/>
              </w:rPr>
              <w:tab/>
            </w:r>
            <w:r w:rsidR="007B70EB" w:rsidRPr="00AB6E34">
              <w:rPr>
                <w:rStyle w:val="Hyperlink"/>
                <w:noProof/>
              </w:rPr>
              <w:t>2-methylphenol</w:t>
            </w:r>
            <w:r w:rsidR="007B70EB">
              <w:rPr>
                <w:noProof/>
                <w:webHidden/>
              </w:rPr>
              <w:tab/>
            </w:r>
            <w:r w:rsidR="007B70EB">
              <w:rPr>
                <w:noProof/>
                <w:webHidden/>
              </w:rPr>
              <w:fldChar w:fldCharType="begin"/>
            </w:r>
            <w:r w:rsidR="007B70EB">
              <w:rPr>
                <w:noProof/>
                <w:webHidden/>
              </w:rPr>
              <w:instrText xml:space="preserve"> PAGEREF _Toc494444593 \h </w:instrText>
            </w:r>
            <w:r w:rsidR="007B70EB">
              <w:rPr>
                <w:noProof/>
                <w:webHidden/>
              </w:rPr>
            </w:r>
            <w:r w:rsidR="007B70EB">
              <w:rPr>
                <w:noProof/>
                <w:webHidden/>
              </w:rPr>
              <w:fldChar w:fldCharType="separate"/>
            </w:r>
            <w:r w:rsidR="007B70EB">
              <w:rPr>
                <w:noProof/>
                <w:webHidden/>
              </w:rPr>
              <w:t>186</w:t>
            </w:r>
            <w:r w:rsidR="007B70EB">
              <w:rPr>
                <w:noProof/>
                <w:webHidden/>
              </w:rPr>
              <w:fldChar w:fldCharType="end"/>
            </w:r>
          </w:hyperlink>
        </w:p>
        <w:p w14:paraId="027E92FC"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94" w:history="1">
            <w:r w:rsidR="007B70EB" w:rsidRPr="00AB6E34">
              <w:rPr>
                <w:rStyle w:val="Hyperlink"/>
                <w:noProof/>
              </w:rPr>
              <w:t>4.2.2.2.</w:t>
            </w:r>
            <w:r w:rsidR="007B70EB">
              <w:rPr>
                <w:rFonts w:asciiTheme="minorHAnsi" w:hAnsiTheme="minorHAnsi"/>
                <w:noProof/>
                <w:sz w:val="22"/>
                <w:szCs w:val="22"/>
                <w:lang w:val="en-AU" w:eastAsia="en-AU"/>
              </w:rPr>
              <w:tab/>
            </w:r>
            <w:r w:rsidR="007B70EB" w:rsidRPr="00AB6E34">
              <w:rPr>
                <w:rStyle w:val="Hyperlink"/>
                <w:noProof/>
              </w:rPr>
              <w:t>Naphthalene</w:t>
            </w:r>
            <w:r w:rsidR="007B70EB">
              <w:rPr>
                <w:noProof/>
                <w:webHidden/>
              </w:rPr>
              <w:tab/>
            </w:r>
            <w:r w:rsidR="007B70EB">
              <w:rPr>
                <w:noProof/>
                <w:webHidden/>
              </w:rPr>
              <w:fldChar w:fldCharType="begin"/>
            </w:r>
            <w:r w:rsidR="007B70EB">
              <w:rPr>
                <w:noProof/>
                <w:webHidden/>
              </w:rPr>
              <w:instrText xml:space="preserve"> PAGEREF _Toc494444594 \h </w:instrText>
            </w:r>
            <w:r w:rsidR="007B70EB">
              <w:rPr>
                <w:noProof/>
                <w:webHidden/>
              </w:rPr>
            </w:r>
            <w:r w:rsidR="007B70EB">
              <w:rPr>
                <w:noProof/>
                <w:webHidden/>
              </w:rPr>
              <w:fldChar w:fldCharType="separate"/>
            </w:r>
            <w:r w:rsidR="007B70EB">
              <w:rPr>
                <w:noProof/>
                <w:webHidden/>
              </w:rPr>
              <w:t>187</w:t>
            </w:r>
            <w:r w:rsidR="007B70EB">
              <w:rPr>
                <w:noProof/>
                <w:webHidden/>
              </w:rPr>
              <w:fldChar w:fldCharType="end"/>
            </w:r>
          </w:hyperlink>
        </w:p>
        <w:p w14:paraId="4CD97B2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95" w:history="1">
            <w:r w:rsidR="007B70EB" w:rsidRPr="00AB6E34">
              <w:rPr>
                <w:rStyle w:val="Hyperlink"/>
                <w:noProof/>
              </w:rPr>
              <w:t>4.2.2.3.</w:t>
            </w:r>
            <w:r w:rsidR="007B70EB">
              <w:rPr>
                <w:rFonts w:asciiTheme="minorHAnsi" w:hAnsiTheme="minorHAnsi"/>
                <w:noProof/>
                <w:sz w:val="22"/>
                <w:szCs w:val="22"/>
                <w:lang w:val="en-AU" w:eastAsia="en-AU"/>
              </w:rPr>
              <w:tab/>
            </w:r>
            <w:r w:rsidR="007B70EB" w:rsidRPr="00AB6E34">
              <w:rPr>
                <w:rStyle w:val="Hyperlink"/>
                <w:noProof/>
              </w:rPr>
              <w:t>2-butoxyethanol</w:t>
            </w:r>
            <w:r w:rsidR="007B70EB">
              <w:rPr>
                <w:noProof/>
                <w:webHidden/>
              </w:rPr>
              <w:tab/>
            </w:r>
            <w:r w:rsidR="007B70EB">
              <w:rPr>
                <w:noProof/>
                <w:webHidden/>
              </w:rPr>
              <w:fldChar w:fldCharType="begin"/>
            </w:r>
            <w:r w:rsidR="007B70EB">
              <w:rPr>
                <w:noProof/>
                <w:webHidden/>
              </w:rPr>
              <w:instrText xml:space="preserve"> PAGEREF _Toc494444595 \h </w:instrText>
            </w:r>
            <w:r w:rsidR="007B70EB">
              <w:rPr>
                <w:noProof/>
                <w:webHidden/>
              </w:rPr>
            </w:r>
            <w:r w:rsidR="007B70EB">
              <w:rPr>
                <w:noProof/>
                <w:webHidden/>
              </w:rPr>
              <w:fldChar w:fldCharType="separate"/>
            </w:r>
            <w:r w:rsidR="007B70EB">
              <w:rPr>
                <w:noProof/>
                <w:webHidden/>
              </w:rPr>
              <w:t>188</w:t>
            </w:r>
            <w:r w:rsidR="007B70EB">
              <w:rPr>
                <w:noProof/>
                <w:webHidden/>
              </w:rPr>
              <w:fldChar w:fldCharType="end"/>
            </w:r>
          </w:hyperlink>
        </w:p>
        <w:p w14:paraId="4E575EF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96" w:history="1">
            <w:r w:rsidR="007B70EB" w:rsidRPr="00AB6E34">
              <w:rPr>
                <w:rStyle w:val="Hyperlink"/>
                <w:noProof/>
              </w:rPr>
              <w:t>4.2.2.4.</w:t>
            </w:r>
            <w:r w:rsidR="007B70EB">
              <w:rPr>
                <w:rFonts w:asciiTheme="minorHAnsi" w:hAnsiTheme="minorHAnsi"/>
                <w:noProof/>
                <w:sz w:val="22"/>
                <w:szCs w:val="22"/>
                <w:lang w:val="en-AU" w:eastAsia="en-AU"/>
              </w:rPr>
              <w:tab/>
            </w:r>
            <w:r w:rsidR="007B70EB" w:rsidRPr="00AB6E34">
              <w:rPr>
                <w:rStyle w:val="Hyperlink"/>
                <w:noProof/>
              </w:rPr>
              <w:t>Bronopol</w:t>
            </w:r>
            <w:r w:rsidR="007B70EB">
              <w:rPr>
                <w:noProof/>
                <w:webHidden/>
              </w:rPr>
              <w:tab/>
            </w:r>
            <w:r w:rsidR="007B70EB">
              <w:rPr>
                <w:noProof/>
                <w:webHidden/>
              </w:rPr>
              <w:fldChar w:fldCharType="begin"/>
            </w:r>
            <w:r w:rsidR="007B70EB">
              <w:rPr>
                <w:noProof/>
                <w:webHidden/>
              </w:rPr>
              <w:instrText xml:space="preserve"> PAGEREF _Toc494444596 \h </w:instrText>
            </w:r>
            <w:r w:rsidR="007B70EB">
              <w:rPr>
                <w:noProof/>
                <w:webHidden/>
              </w:rPr>
            </w:r>
            <w:r w:rsidR="007B70EB">
              <w:rPr>
                <w:noProof/>
                <w:webHidden/>
              </w:rPr>
              <w:fldChar w:fldCharType="separate"/>
            </w:r>
            <w:r w:rsidR="007B70EB">
              <w:rPr>
                <w:noProof/>
                <w:webHidden/>
              </w:rPr>
              <w:t>189</w:t>
            </w:r>
            <w:r w:rsidR="007B70EB">
              <w:rPr>
                <w:noProof/>
                <w:webHidden/>
              </w:rPr>
              <w:fldChar w:fldCharType="end"/>
            </w:r>
          </w:hyperlink>
        </w:p>
        <w:p w14:paraId="08E21C1F"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97" w:history="1">
            <w:r w:rsidR="007B70EB" w:rsidRPr="00AB6E34">
              <w:rPr>
                <w:rStyle w:val="Hyperlink"/>
                <w:noProof/>
              </w:rPr>
              <w:t>4.2.2.5.</w:t>
            </w:r>
            <w:r w:rsidR="007B70EB">
              <w:rPr>
                <w:rFonts w:asciiTheme="minorHAnsi" w:hAnsiTheme="minorHAnsi"/>
                <w:noProof/>
                <w:sz w:val="22"/>
                <w:szCs w:val="22"/>
                <w:lang w:val="en-AU" w:eastAsia="en-AU"/>
              </w:rPr>
              <w:tab/>
            </w:r>
            <w:r w:rsidR="007B70EB" w:rsidRPr="00AB6E34">
              <w:rPr>
                <w:rStyle w:val="Hyperlink"/>
                <w:noProof/>
              </w:rPr>
              <w:t>Limonene</w:t>
            </w:r>
            <w:r w:rsidR="007B70EB">
              <w:rPr>
                <w:noProof/>
                <w:webHidden/>
              </w:rPr>
              <w:tab/>
            </w:r>
            <w:r w:rsidR="007B70EB">
              <w:rPr>
                <w:noProof/>
                <w:webHidden/>
              </w:rPr>
              <w:fldChar w:fldCharType="begin"/>
            </w:r>
            <w:r w:rsidR="007B70EB">
              <w:rPr>
                <w:noProof/>
                <w:webHidden/>
              </w:rPr>
              <w:instrText xml:space="preserve"> PAGEREF _Toc494444597 \h </w:instrText>
            </w:r>
            <w:r w:rsidR="007B70EB">
              <w:rPr>
                <w:noProof/>
                <w:webHidden/>
              </w:rPr>
            </w:r>
            <w:r w:rsidR="007B70EB">
              <w:rPr>
                <w:noProof/>
                <w:webHidden/>
              </w:rPr>
              <w:fldChar w:fldCharType="separate"/>
            </w:r>
            <w:r w:rsidR="007B70EB">
              <w:rPr>
                <w:noProof/>
                <w:webHidden/>
              </w:rPr>
              <w:t>190</w:t>
            </w:r>
            <w:r w:rsidR="007B70EB">
              <w:rPr>
                <w:noProof/>
                <w:webHidden/>
              </w:rPr>
              <w:fldChar w:fldCharType="end"/>
            </w:r>
          </w:hyperlink>
        </w:p>
        <w:p w14:paraId="655D793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98" w:history="1">
            <w:r w:rsidR="007B70EB" w:rsidRPr="00AB6E34">
              <w:rPr>
                <w:rStyle w:val="Hyperlink"/>
                <w:noProof/>
              </w:rPr>
              <w:t>4.2.2.6.</w:t>
            </w:r>
            <w:r w:rsidR="007B70EB">
              <w:rPr>
                <w:rFonts w:asciiTheme="minorHAnsi" w:hAnsiTheme="minorHAnsi"/>
                <w:noProof/>
                <w:sz w:val="22"/>
                <w:szCs w:val="22"/>
                <w:lang w:val="en-AU" w:eastAsia="en-AU"/>
              </w:rPr>
              <w:tab/>
            </w:r>
            <w:r w:rsidR="007B70EB" w:rsidRPr="00AB6E34">
              <w:rPr>
                <w:rStyle w:val="Hyperlink"/>
                <w:noProof/>
              </w:rPr>
              <w:t>HMX</w:t>
            </w:r>
            <w:r w:rsidR="007B70EB">
              <w:rPr>
                <w:noProof/>
                <w:webHidden/>
              </w:rPr>
              <w:tab/>
            </w:r>
            <w:r w:rsidR="007B70EB">
              <w:rPr>
                <w:noProof/>
                <w:webHidden/>
              </w:rPr>
              <w:fldChar w:fldCharType="begin"/>
            </w:r>
            <w:r w:rsidR="007B70EB">
              <w:rPr>
                <w:noProof/>
                <w:webHidden/>
              </w:rPr>
              <w:instrText xml:space="preserve"> PAGEREF _Toc494444598 \h </w:instrText>
            </w:r>
            <w:r w:rsidR="007B70EB">
              <w:rPr>
                <w:noProof/>
                <w:webHidden/>
              </w:rPr>
            </w:r>
            <w:r w:rsidR="007B70EB">
              <w:rPr>
                <w:noProof/>
                <w:webHidden/>
              </w:rPr>
              <w:fldChar w:fldCharType="separate"/>
            </w:r>
            <w:r w:rsidR="007B70EB">
              <w:rPr>
                <w:noProof/>
                <w:webHidden/>
              </w:rPr>
              <w:t>191</w:t>
            </w:r>
            <w:r w:rsidR="007B70EB">
              <w:rPr>
                <w:noProof/>
                <w:webHidden/>
              </w:rPr>
              <w:fldChar w:fldCharType="end"/>
            </w:r>
          </w:hyperlink>
        </w:p>
        <w:p w14:paraId="4DFF6C3F"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599" w:history="1">
            <w:r w:rsidR="007B70EB" w:rsidRPr="00AB6E34">
              <w:rPr>
                <w:rStyle w:val="Hyperlink"/>
                <w:noProof/>
              </w:rPr>
              <w:t>4.2.2.7.</w:t>
            </w:r>
            <w:r w:rsidR="007B70EB">
              <w:rPr>
                <w:rFonts w:asciiTheme="minorHAnsi" w:hAnsiTheme="minorHAnsi"/>
                <w:noProof/>
                <w:sz w:val="22"/>
                <w:szCs w:val="22"/>
                <w:lang w:val="en-AU" w:eastAsia="en-AU"/>
              </w:rPr>
              <w:tab/>
            </w:r>
            <w:r w:rsidR="007B70EB" w:rsidRPr="00AB6E34">
              <w:rPr>
                <w:rStyle w:val="Hyperlink"/>
                <w:noProof/>
              </w:rPr>
              <w:t>Methylchloroisothiazolinone</w:t>
            </w:r>
            <w:r w:rsidR="007B70EB">
              <w:rPr>
                <w:noProof/>
                <w:webHidden/>
              </w:rPr>
              <w:tab/>
            </w:r>
            <w:r w:rsidR="007B70EB">
              <w:rPr>
                <w:noProof/>
                <w:webHidden/>
              </w:rPr>
              <w:fldChar w:fldCharType="begin"/>
            </w:r>
            <w:r w:rsidR="007B70EB">
              <w:rPr>
                <w:noProof/>
                <w:webHidden/>
              </w:rPr>
              <w:instrText xml:space="preserve"> PAGEREF _Toc494444599 \h </w:instrText>
            </w:r>
            <w:r w:rsidR="007B70EB">
              <w:rPr>
                <w:noProof/>
                <w:webHidden/>
              </w:rPr>
            </w:r>
            <w:r w:rsidR="007B70EB">
              <w:rPr>
                <w:noProof/>
                <w:webHidden/>
              </w:rPr>
              <w:fldChar w:fldCharType="separate"/>
            </w:r>
            <w:r w:rsidR="007B70EB">
              <w:rPr>
                <w:noProof/>
                <w:webHidden/>
              </w:rPr>
              <w:t>192</w:t>
            </w:r>
            <w:r w:rsidR="007B70EB">
              <w:rPr>
                <w:noProof/>
                <w:webHidden/>
              </w:rPr>
              <w:fldChar w:fldCharType="end"/>
            </w:r>
          </w:hyperlink>
        </w:p>
        <w:p w14:paraId="5AE89B1B"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00" w:history="1">
            <w:r w:rsidR="007B70EB" w:rsidRPr="00AB6E34">
              <w:rPr>
                <w:rStyle w:val="Hyperlink"/>
                <w:noProof/>
              </w:rPr>
              <w:t>4.2.2.8.</w:t>
            </w:r>
            <w:r w:rsidR="007B70EB">
              <w:rPr>
                <w:rFonts w:asciiTheme="minorHAnsi" w:hAnsiTheme="minorHAnsi"/>
                <w:noProof/>
                <w:sz w:val="22"/>
                <w:szCs w:val="22"/>
                <w:lang w:val="en-AU" w:eastAsia="en-AU"/>
              </w:rPr>
              <w:tab/>
            </w:r>
            <w:r w:rsidR="007B70EB" w:rsidRPr="00AB6E34">
              <w:rPr>
                <w:rStyle w:val="Hyperlink"/>
                <w:noProof/>
              </w:rPr>
              <w:t>Acrylamide polymer</w:t>
            </w:r>
            <w:r w:rsidR="007B70EB">
              <w:rPr>
                <w:noProof/>
                <w:webHidden/>
              </w:rPr>
              <w:tab/>
            </w:r>
            <w:r w:rsidR="007B70EB">
              <w:rPr>
                <w:noProof/>
                <w:webHidden/>
              </w:rPr>
              <w:fldChar w:fldCharType="begin"/>
            </w:r>
            <w:r w:rsidR="007B70EB">
              <w:rPr>
                <w:noProof/>
                <w:webHidden/>
              </w:rPr>
              <w:instrText xml:space="preserve"> PAGEREF _Toc494444600 \h </w:instrText>
            </w:r>
            <w:r w:rsidR="007B70EB">
              <w:rPr>
                <w:noProof/>
                <w:webHidden/>
              </w:rPr>
            </w:r>
            <w:r w:rsidR="007B70EB">
              <w:rPr>
                <w:noProof/>
                <w:webHidden/>
              </w:rPr>
              <w:fldChar w:fldCharType="separate"/>
            </w:r>
            <w:r w:rsidR="007B70EB">
              <w:rPr>
                <w:noProof/>
                <w:webHidden/>
              </w:rPr>
              <w:t>193</w:t>
            </w:r>
            <w:r w:rsidR="007B70EB">
              <w:rPr>
                <w:noProof/>
                <w:webHidden/>
              </w:rPr>
              <w:fldChar w:fldCharType="end"/>
            </w:r>
          </w:hyperlink>
        </w:p>
        <w:p w14:paraId="28933C1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01" w:history="1">
            <w:r w:rsidR="007B70EB" w:rsidRPr="00AB6E34">
              <w:rPr>
                <w:rStyle w:val="Hyperlink"/>
                <w:noProof/>
                <w14:scene3d>
                  <w14:camera w14:prst="orthographicFront"/>
                  <w14:lightRig w14:rig="threePt" w14:dir="t">
                    <w14:rot w14:lat="0" w14:lon="0" w14:rev="0"/>
                  </w14:lightRig>
                </w14:scene3d>
              </w:rPr>
              <w:t>4.2.3.</w:t>
            </w:r>
            <w:r w:rsidR="007B70EB">
              <w:rPr>
                <w:rFonts w:asciiTheme="minorHAnsi" w:hAnsiTheme="minorHAnsi"/>
                <w:noProof/>
                <w:sz w:val="22"/>
                <w:szCs w:val="22"/>
                <w:lang w:val="en-AU" w:eastAsia="en-AU"/>
              </w:rPr>
              <w:tab/>
            </w:r>
            <w:r w:rsidR="007B70EB" w:rsidRPr="00AB6E34">
              <w:rPr>
                <w:rStyle w:val="Hyperlink"/>
                <w:noProof/>
              </w:rPr>
              <w:t>Summary of chemical half-life parameters</w:t>
            </w:r>
            <w:r w:rsidR="007B70EB">
              <w:rPr>
                <w:noProof/>
                <w:webHidden/>
              </w:rPr>
              <w:tab/>
            </w:r>
            <w:r w:rsidR="007B70EB">
              <w:rPr>
                <w:noProof/>
                <w:webHidden/>
              </w:rPr>
              <w:fldChar w:fldCharType="begin"/>
            </w:r>
            <w:r w:rsidR="007B70EB">
              <w:rPr>
                <w:noProof/>
                <w:webHidden/>
              </w:rPr>
              <w:instrText xml:space="preserve"> PAGEREF _Toc494444601 \h </w:instrText>
            </w:r>
            <w:r w:rsidR="007B70EB">
              <w:rPr>
                <w:noProof/>
                <w:webHidden/>
              </w:rPr>
            </w:r>
            <w:r w:rsidR="007B70EB">
              <w:rPr>
                <w:noProof/>
                <w:webHidden/>
              </w:rPr>
              <w:fldChar w:fldCharType="separate"/>
            </w:r>
            <w:r w:rsidR="007B70EB">
              <w:rPr>
                <w:noProof/>
                <w:webHidden/>
              </w:rPr>
              <w:t>193</w:t>
            </w:r>
            <w:r w:rsidR="007B70EB">
              <w:rPr>
                <w:noProof/>
                <w:webHidden/>
              </w:rPr>
              <w:fldChar w:fldCharType="end"/>
            </w:r>
          </w:hyperlink>
        </w:p>
        <w:p w14:paraId="3374292D" w14:textId="77777777" w:rsidR="007B70EB" w:rsidRDefault="00900E5C">
          <w:pPr>
            <w:pStyle w:val="TOC2"/>
            <w:rPr>
              <w:rFonts w:asciiTheme="minorHAnsi" w:hAnsiTheme="minorHAnsi"/>
              <w:noProof/>
              <w:sz w:val="22"/>
              <w:szCs w:val="22"/>
              <w:lang w:val="en-AU" w:eastAsia="en-AU"/>
            </w:rPr>
          </w:pPr>
          <w:hyperlink w:anchor="_Toc494444602" w:history="1">
            <w:r w:rsidR="007B70EB" w:rsidRPr="00AB6E34">
              <w:rPr>
                <w:rStyle w:val="Hyperlink"/>
                <w:noProof/>
                <w14:scene3d>
                  <w14:camera w14:prst="orthographicFront"/>
                  <w14:lightRig w14:rig="threePt" w14:dir="t">
                    <w14:rot w14:lat="0" w14:lon="0" w14:rev="0"/>
                  </w14:lightRig>
                </w14:scene3d>
              </w:rPr>
              <w:t>4.3.</w:t>
            </w:r>
            <w:r w:rsidR="007B70EB">
              <w:rPr>
                <w:rFonts w:asciiTheme="minorHAnsi" w:hAnsiTheme="minorHAnsi"/>
                <w:noProof/>
                <w:sz w:val="22"/>
                <w:szCs w:val="22"/>
                <w:lang w:val="en-AU" w:eastAsia="en-AU"/>
              </w:rPr>
              <w:tab/>
            </w:r>
            <w:r w:rsidR="007B70EB" w:rsidRPr="00AB6E34">
              <w:rPr>
                <w:rStyle w:val="Hyperlink"/>
                <w:noProof/>
              </w:rPr>
              <w:t>Attenuation parameters for organic substances</w:t>
            </w:r>
            <w:r w:rsidR="007B70EB">
              <w:rPr>
                <w:noProof/>
                <w:webHidden/>
              </w:rPr>
              <w:tab/>
            </w:r>
            <w:r w:rsidR="007B70EB">
              <w:rPr>
                <w:noProof/>
                <w:webHidden/>
              </w:rPr>
              <w:fldChar w:fldCharType="begin"/>
            </w:r>
            <w:r w:rsidR="007B70EB">
              <w:rPr>
                <w:noProof/>
                <w:webHidden/>
              </w:rPr>
              <w:instrText xml:space="preserve"> PAGEREF _Toc494444602 \h </w:instrText>
            </w:r>
            <w:r w:rsidR="007B70EB">
              <w:rPr>
                <w:noProof/>
                <w:webHidden/>
              </w:rPr>
            </w:r>
            <w:r w:rsidR="007B70EB">
              <w:rPr>
                <w:noProof/>
                <w:webHidden/>
              </w:rPr>
              <w:fldChar w:fldCharType="separate"/>
            </w:r>
            <w:r w:rsidR="007B70EB">
              <w:rPr>
                <w:noProof/>
                <w:webHidden/>
              </w:rPr>
              <w:t>195</w:t>
            </w:r>
            <w:r w:rsidR="007B70EB">
              <w:rPr>
                <w:noProof/>
                <w:webHidden/>
              </w:rPr>
              <w:fldChar w:fldCharType="end"/>
            </w:r>
          </w:hyperlink>
        </w:p>
        <w:p w14:paraId="0A5C646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03" w:history="1">
            <w:r w:rsidR="007B70EB" w:rsidRPr="00AB6E34">
              <w:rPr>
                <w:rStyle w:val="Hyperlink"/>
                <w:noProof/>
                <w14:scene3d>
                  <w14:camera w14:prst="orthographicFront"/>
                  <w14:lightRig w14:rig="threePt" w14:dir="t">
                    <w14:rot w14:lat="0" w14:lon="0" w14:rev="0"/>
                  </w14:lightRig>
                </w14:scene3d>
              </w:rPr>
              <w:t>4.3.1.</w:t>
            </w:r>
            <w:r w:rsidR="007B70EB">
              <w:rPr>
                <w:rFonts w:asciiTheme="minorHAnsi" w:hAnsiTheme="minorHAnsi"/>
                <w:noProof/>
                <w:sz w:val="22"/>
                <w:szCs w:val="22"/>
                <w:lang w:val="en-AU" w:eastAsia="en-AU"/>
              </w:rPr>
              <w:tab/>
            </w:r>
            <w:r w:rsidR="007B70EB" w:rsidRPr="00AB6E34">
              <w:rPr>
                <w:rStyle w:val="Hyperlink"/>
                <w:noProof/>
              </w:rPr>
              <w:t>Sorption onto organic carbon</w:t>
            </w:r>
            <w:r w:rsidR="007B70EB">
              <w:rPr>
                <w:noProof/>
                <w:webHidden/>
              </w:rPr>
              <w:tab/>
            </w:r>
            <w:r w:rsidR="007B70EB">
              <w:rPr>
                <w:noProof/>
                <w:webHidden/>
              </w:rPr>
              <w:fldChar w:fldCharType="begin"/>
            </w:r>
            <w:r w:rsidR="007B70EB">
              <w:rPr>
                <w:noProof/>
                <w:webHidden/>
              </w:rPr>
              <w:instrText xml:space="preserve"> PAGEREF _Toc494444603 \h </w:instrText>
            </w:r>
            <w:r w:rsidR="007B70EB">
              <w:rPr>
                <w:noProof/>
                <w:webHidden/>
              </w:rPr>
            </w:r>
            <w:r w:rsidR="007B70EB">
              <w:rPr>
                <w:noProof/>
                <w:webHidden/>
              </w:rPr>
              <w:fldChar w:fldCharType="separate"/>
            </w:r>
            <w:r w:rsidR="007B70EB">
              <w:rPr>
                <w:noProof/>
                <w:webHidden/>
              </w:rPr>
              <w:t>195</w:t>
            </w:r>
            <w:r w:rsidR="007B70EB">
              <w:rPr>
                <w:noProof/>
                <w:webHidden/>
              </w:rPr>
              <w:fldChar w:fldCharType="end"/>
            </w:r>
          </w:hyperlink>
        </w:p>
        <w:p w14:paraId="1583F6EB"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04" w:history="1">
            <w:r w:rsidR="007B70EB" w:rsidRPr="00AB6E34">
              <w:rPr>
                <w:rStyle w:val="Hyperlink"/>
                <w:noProof/>
                <w14:scene3d>
                  <w14:camera w14:prst="orthographicFront"/>
                  <w14:lightRig w14:rig="threePt" w14:dir="t">
                    <w14:rot w14:lat="0" w14:lon="0" w14:rev="0"/>
                  </w14:lightRig>
                </w14:scene3d>
              </w:rPr>
              <w:t>4.3.2.</w:t>
            </w:r>
            <w:r w:rsidR="007B70EB">
              <w:rPr>
                <w:rFonts w:asciiTheme="minorHAnsi" w:hAnsiTheme="minorHAnsi"/>
                <w:noProof/>
                <w:sz w:val="22"/>
                <w:szCs w:val="22"/>
                <w:lang w:val="en-AU" w:eastAsia="en-AU"/>
              </w:rPr>
              <w:tab/>
            </w:r>
            <w:r w:rsidR="007B70EB" w:rsidRPr="00AB6E34">
              <w:rPr>
                <w:rStyle w:val="Hyperlink"/>
                <w:noProof/>
              </w:rPr>
              <w:t>Sorption onto rock matrix</w:t>
            </w:r>
            <w:r w:rsidR="007B70EB">
              <w:rPr>
                <w:noProof/>
                <w:webHidden/>
              </w:rPr>
              <w:tab/>
            </w:r>
            <w:r w:rsidR="007B70EB">
              <w:rPr>
                <w:noProof/>
                <w:webHidden/>
              </w:rPr>
              <w:fldChar w:fldCharType="begin"/>
            </w:r>
            <w:r w:rsidR="007B70EB">
              <w:rPr>
                <w:noProof/>
                <w:webHidden/>
              </w:rPr>
              <w:instrText xml:space="preserve"> PAGEREF _Toc494444604 \h </w:instrText>
            </w:r>
            <w:r w:rsidR="007B70EB">
              <w:rPr>
                <w:noProof/>
                <w:webHidden/>
              </w:rPr>
            </w:r>
            <w:r w:rsidR="007B70EB">
              <w:rPr>
                <w:noProof/>
                <w:webHidden/>
              </w:rPr>
              <w:fldChar w:fldCharType="separate"/>
            </w:r>
            <w:r w:rsidR="007B70EB">
              <w:rPr>
                <w:noProof/>
                <w:webHidden/>
              </w:rPr>
              <w:t>195</w:t>
            </w:r>
            <w:r w:rsidR="007B70EB">
              <w:rPr>
                <w:noProof/>
                <w:webHidden/>
              </w:rPr>
              <w:fldChar w:fldCharType="end"/>
            </w:r>
          </w:hyperlink>
        </w:p>
        <w:p w14:paraId="02A45DC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05" w:history="1">
            <w:r w:rsidR="007B70EB" w:rsidRPr="00AB6E34">
              <w:rPr>
                <w:rStyle w:val="Hyperlink"/>
                <w:noProof/>
                <w14:scene3d>
                  <w14:camera w14:prst="orthographicFront"/>
                  <w14:lightRig w14:rig="threePt" w14:dir="t">
                    <w14:rot w14:lat="0" w14:lon="0" w14:rev="0"/>
                  </w14:lightRig>
                </w14:scene3d>
              </w:rPr>
              <w:t>4.3.3.</w:t>
            </w:r>
            <w:r w:rsidR="007B70EB">
              <w:rPr>
                <w:rFonts w:asciiTheme="minorHAnsi" w:hAnsiTheme="minorHAnsi"/>
                <w:noProof/>
                <w:sz w:val="22"/>
                <w:szCs w:val="22"/>
                <w:lang w:val="en-AU" w:eastAsia="en-AU"/>
              </w:rPr>
              <w:tab/>
            </w:r>
            <w:r w:rsidR="007B70EB" w:rsidRPr="00AB6E34">
              <w:rPr>
                <w:rStyle w:val="Hyperlink"/>
                <w:noProof/>
              </w:rPr>
              <w:t>Default sorption (</w:t>
            </w:r>
            <w:r w:rsidR="007B70EB" w:rsidRPr="00AB6E34">
              <w:rPr>
                <w:rStyle w:val="Hyperlink"/>
                <w:i/>
                <w:noProof/>
              </w:rPr>
              <w:t>K</w:t>
            </w:r>
            <w:r w:rsidR="007B70EB" w:rsidRPr="00AB6E34">
              <w:rPr>
                <w:rStyle w:val="Hyperlink"/>
                <w:noProof/>
                <w:vertAlign w:val="subscript"/>
              </w:rPr>
              <w:t>d</w:t>
            </w:r>
            <w:r w:rsidR="007B70EB" w:rsidRPr="00AB6E34">
              <w:rPr>
                <w:rStyle w:val="Hyperlink"/>
                <w:noProof/>
              </w:rPr>
              <w:t xml:space="preserve"> and </w:t>
            </w:r>
            <w:r w:rsidR="007B70EB" w:rsidRPr="00AB6E34">
              <w:rPr>
                <w:rStyle w:val="Hyperlink"/>
                <w:i/>
                <w:noProof/>
              </w:rPr>
              <w:t>K</w:t>
            </w:r>
            <w:r w:rsidR="007B70EB" w:rsidRPr="00AB6E34">
              <w:rPr>
                <w:rStyle w:val="Hyperlink"/>
                <w:noProof/>
                <w:vertAlign w:val="subscript"/>
              </w:rPr>
              <w:t>OC</w:t>
            </w:r>
            <w:r w:rsidR="007B70EB" w:rsidRPr="00AB6E34">
              <w:rPr>
                <w:rStyle w:val="Hyperlink"/>
                <w:noProof/>
              </w:rPr>
              <w:t>) and degradation (half-life) values</w:t>
            </w:r>
            <w:r w:rsidR="007B70EB">
              <w:rPr>
                <w:noProof/>
                <w:webHidden/>
              </w:rPr>
              <w:tab/>
            </w:r>
            <w:r w:rsidR="007B70EB">
              <w:rPr>
                <w:noProof/>
                <w:webHidden/>
              </w:rPr>
              <w:fldChar w:fldCharType="begin"/>
            </w:r>
            <w:r w:rsidR="007B70EB">
              <w:rPr>
                <w:noProof/>
                <w:webHidden/>
              </w:rPr>
              <w:instrText xml:space="preserve"> PAGEREF _Toc494444605 \h </w:instrText>
            </w:r>
            <w:r w:rsidR="007B70EB">
              <w:rPr>
                <w:noProof/>
                <w:webHidden/>
              </w:rPr>
            </w:r>
            <w:r w:rsidR="007B70EB">
              <w:rPr>
                <w:noProof/>
                <w:webHidden/>
              </w:rPr>
              <w:fldChar w:fldCharType="separate"/>
            </w:r>
            <w:r w:rsidR="007B70EB">
              <w:rPr>
                <w:noProof/>
                <w:webHidden/>
              </w:rPr>
              <w:t>195</w:t>
            </w:r>
            <w:r w:rsidR="007B70EB">
              <w:rPr>
                <w:noProof/>
                <w:webHidden/>
              </w:rPr>
              <w:fldChar w:fldCharType="end"/>
            </w:r>
          </w:hyperlink>
        </w:p>
        <w:p w14:paraId="76AD7A6B"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06" w:history="1">
            <w:r w:rsidR="007B70EB" w:rsidRPr="00AB6E34">
              <w:rPr>
                <w:rStyle w:val="Hyperlink"/>
                <w:noProof/>
              </w:rPr>
              <w:t>4.3.3.1.</w:t>
            </w:r>
            <w:r w:rsidR="007B70EB">
              <w:rPr>
                <w:rFonts w:asciiTheme="minorHAnsi" w:hAnsiTheme="minorHAnsi"/>
                <w:noProof/>
                <w:sz w:val="22"/>
                <w:szCs w:val="22"/>
                <w:lang w:val="en-AU" w:eastAsia="en-AU"/>
              </w:rPr>
              <w:tab/>
            </w:r>
            <w:r w:rsidR="007B70EB" w:rsidRPr="00AB6E34">
              <w:rPr>
                <w:rStyle w:val="Hyperlink"/>
                <w:noProof/>
              </w:rPr>
              <w:t xml:space="preserve">Adaptation of </w:t>
            </w:r>
            <w:r w:rsidR="007B70EB" w:rsidRPr="00AB6E34">
              <w:rPr>
                <w:rStyle w:val="Hyperlink"/>
                <w:i/>
                <w:noProof/>
              </w:rPr>
              <w:t>K</w:t>
            </w:r>
            <w:r w:rsidR="007B70EB" w:rsidRPr="00AB6E34">
              <w:rPr>
                <w:rStyle w:val="Hyperlink"/>
                <w:noProof/>
                <w:vertAlign w:val="subscript"/>
              </w:rPr>
              <w:t>OC</w:t>
            </w:r>
            <w:r w:rsidR="007B70EB" w:rsidRPr="00AB6E34">
              <w:rPr>
                <w:rStyle w:val="Hyperlink"/>
                <w:noProof/>
              </w:rPr>
              <w:t xml:space="preserve"> and half-life values for organic substances</w:t>
            </w:r>
            <w:r w:rsidR="007B70EB">
              <w:rPr>
                <w:noProof/>
                <w:webHidden/>
              </w:rPr>
              <w:tab/>
            </w:r>
            <w:r w:rsidR="007B70EB">
              <w:rPr>
                <w:noProof/>
                <w:webHidden/>
              </w:rPr>
              <w:fldChar w:fldCharType="begin"/>
            </w:r>
            <w:r w:rsidR="007B70EB">
              <w:rPr>
                <w:noProof/>
                <w:webHidden/>
              </w:rPr>
              <w:instrText xml:space="preserve"> PAGEREF _Toc494444606 \h </w:instrText>
            </w:r>
            <w:r w:rsidR="007B70EB">
              <w:rPr>
                <w:noProof/>
                <w:webHidden/>
              </w:rPr>
            </w:r>
            <w:r w:rsidR="007B70EB">
              <w:rPr>
                <w:noProof/>
                <w:webHidden/>
              </w:rPr>
              <w:fldChar w:fldCharType="separate"/>
            </w:r>
            <w:r w:rsidR="007B70EB">
              <w:rPr>
                <w:noProof/>
                <w:webHidden/>
              </w:rPr>
              <w:t>196</w:t>
            </w:r>
            <w:r w:rsidR="007B70EB">
              <w:rPr>
                <w:noProof/>
                <w:webHidden/>
              </w:rPr>
              <w:fldChar w:fldCharType="end"/>
            </w:r>
          </w:hyperlink>
        </w:p>
        <w:p w14:paraId="783E5BBF"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07" w:history="1">
            <w:r w:rsidR="007B70EB" w:rsidRPr="00AB6E34">
              <w:rPr>
                <w:rStyle w:val="Hyperlink"/>
                <w:noProof/>
              </w:rPr>
              <w:t>4.3.3.1.1.</w:t>
            </w:r>
            <w:r w:rsidR="007B70EB">
              <w:rPr>
                <w:rFonts w:asciiTheme="minorHAnsi" w:hAnsiTheme="minorHAnsi"/>
                <w:noProof/>
                <w:sz w:val="22"/>
                <w:szCs w:val="22"/>
                <w:lang w:val="en-AU" w:eastAsia="en-AU"/>
              </w:rPr>
              <w:tab/>
            </w:r>
            <w:r w:rsidR="007B70EB" w:rsidRPr="00AB6E34">
              <w:rPr>
                <w:rStyle w:val="Hyperlink"/>
                <w:noProof/>
              </w:rPr>
              <w:t>Gunnedah Basin</w:t>
            </w:r>
            <w:r w:rsidR="007B70EB">
              <w:rPr>
                <w:noProof/>
                <w:webHidden/>
              </w:rPr>
              <w:tab/>
            </w:r>
            <w:r w:rsidR="007B70EB">
              <w:rPr>
                <w:noProof/>
                <w:webHidden/>
              </w:rPr>
              <w:fldChar w:fldCharType="begin"/>
            </w:r>
            <w:r w:rsidR="007B70EB">
              <w:rPr>
                <w:noProof/>
                <w:webHidden/>
              </w:rPr>
              <w:instrText xml:space="preserve"> PAGEREF _Toc494444607 \h </w:instrText>
            </w:r>
            <w:r w:rsidR="007B70EB">
              <w:rPr>
                <w:noProof/>
                <w:webHidden/>
              </w:rPr>
            </w:r>
            <w:r w:rsidR="007B70EB">
              <w:rPr>
                <w:noProof/>
                <w:webHidden/>
              </w:rPr>
              <w:fldChar w:fldCharType="separate"/>
            </w:r>
            <w:r w:rsidR="007B70EB">
              <w:rPr>
                <w:noProof/>
                <w:webHidden/>
              </w:rPr>
              <w:t>196</w:t>
            </w:r>
            <w:r w:rsidR="007B70EB">
              <w:rPr>
                <w:noProof/>
                <w:webHidden/>
              </w:rPr>
              <w:fldChar w:fldCharType="end"/>
            </w:r>
          </w:hyperlink>
        </w:p>
        <w:p w14:paraId="0B52AF7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08" w:history="1">
            <w:r w:rsidR="007B70EB" w:rsidRPr="00AB6E34">
              <w:rPr>
                <w:rStyle w:val="Hyperlink"/>
                <w:noProof/>
              </w:rPr>
              <w:t>4.3.3.1.2.</w:t>
            </w:r>
            <w:r w:rsidR="007B70EB">
              <w:rPr>
                <w:rFonts w:asciiTheme="minorHAnsi" w:hAnsiTheme="minorHAnsi"/>
                <w:noProof/>
                <w:sz w:val="22"/>
                <w:szCs w:val="22"/>
                <w:lang w:val="en-AU" w:eastAsia="en-AU"/>
              </w:rPr>
              <w:tab/>
            </w:r>
            <w:r w:rsidR="007B70EB" w:rsidRPr="00AB6E34">
              <w:rPr>
                <w:rStyle w:val="Hyperlink"/>
                <w:noProof/>
              </w:rPr>
              <w:t>Surat Basin</w:t>
            </w:r>
            <w:r w:rsidR="007B70EB">
              <w:rPr>
                <w:noProof/>
                <w:webHidden/>
              </w:rPr>
              <w:tab/>
            </w:r>
            <w:r w:rsidR="007B70EB">
              <w:rPr>
                <w:noProof/>
                <w:webHidden/>
              </w:rPr>
              <w:fldChar w:fldCharType="begin"/>
            </w:r>
            <w:r w:rsidR="007B70EB">
              <w:rPr>
                <w:noProof/>
                <w:webHidden/>
              </w:rPr>
              <w:instrText xml:space="preserve"> PAGEREF _Toc494444608 \h </w:instrText>
            </w:r>
            <w:r w:rsidR="007B70EB">
              <w:rPr>
                <w:noProof/>
                <w:webHidden/>
              </w:rPr>
            </w:r>
            <w:r w:rsidR="007B70EB">
              <w:rPr>
                <w:noProof/>
                <w:webHidden/>
              </w:rPr>
              <w:fldChar w:fldCharType="separate"/>
            </w:r>
            <w:r w:rsidR="007B70EB">
              <w:rPr>
                <w:noProof/>
                <w:webHidden/>
              </w:rPr>
              <w:t>197</w:t>
            </w:r>
            <w:r w:rsidR="007B70EB">
              <w:rPr>
                <w:noProof/>
                <w:webHidden/>
              </w:rPr>
              <w:fldChar w:fldCharType="end"/>
            </w:r>
          </w:hyperlink>
        </w:p>
        <w:p w14:paraId="7E23270C" w14:textId="77777777" w:rsidR="007B70EB" w:rsidRDefault="00900E5C">
          <w:pPr>
            <w:pStyle w:val="TOC2"/>
            <w:rPr>
              <w:rFonts w:asciiTheme="minorHAnsi" w:hAnsiTheme="minorHAnsi"/>
              <w:noProof/>
              <w:sz w:val="22"/>
              <w:szCs w:val="22"/>
              <w:lang w:val="en-AU" w:eastAsia="en-AU"/>
            </w:rPr>
          </w:pPr>
          <w:hyperlink w:anchor="_Toc494444609" w:history="1">
            <w:r w:rsidR="007B70EB" w:rsidRPr="00AB6E34">
              <w:rPr>
                <w:rStyle w:val="Hyperlink"/>
                <w:noProof/>
                <w14:scene3d>
                  <w14:camera w14:prst="orthographicFront"/>
                  <w14:lightRig w14:rig="threePt" w14:dir="t">
                    <w14:rot w14:lat="0" w14:lon="0" w14:rev="0"/>
                  </w14:lightRig>
                </w14:scene3d>
              </w:rPr>
              <w:t>4.4.</w:t>
            </w:r>
            <w:r w:rsidR="007B70EB">
              <w:rPr>
                <w:rFonts w:asciiTheme="minorHAnsi" w:hAnsiTheme="minorHAnsi"/>
                <w:noProof/>
                <w:sz w:val="22"/>
                <w:szCs w:val="22"/>
                <w:lang w:val="en-AU" w:eastAsia="en-AU"/>
              </w:rPr>
              <w:tab/>
            </w:r>
            <w:r w:rsidR="007B70EB" w:rsidRPr="00AB6E34">
              <w:rPr>
                <w:rStyle w:val="Hyperlink"/>
                <w:noProof/>
              </w:rPr>
              <w:t>Attenuation parameters for inorganic substances</w:t>
            </w:r>
            <w:r w:rsidR="007B70EB">
              <w:rPr>
                <w:noProof/>
                <w:webHidden/>
              </w:rPr>
              <w:tab/>
            </w:r>
            <w:r w:rsidR="007B70EB">
              <w:rPr>
                <w:noProof/>
                <w:webHidden/>
              </w:rPr>
              <w:fldChar w:fldCharType="begin"/>
            </w:r>
            <w:r w:rsidR="007B70EB">
              <w:rPr>
                <w:noProof/>
                <w:webHidden/>
              </w:rPr>
              <w:instrText xml:space="preserve"> PAGEREF _Toc494444609 \h </w:instrText>
            </w:r>
            <w:r w:rsidR="007B70EB">
              <w:rPr>
                <w:noProof/>
                <w:webHidden/>
              </w:rPr>
            </w:r>
            <w:r w:rsidR="007B70EB">
              <w:rPr>
                <w:noProof/>
                <w:webHidden/>
              </w:rPr>
              <w:fldChar w:fldCharType="separate"/>
            </w:r>
            <w:r w:rsidR="007B70EB">
              <w:rPr>
                <w:noProof/>
                <w:webHidden/>
              </w:rPr>
              <w:t>199</w:t>
            </w:r>
            <w:r w:rsidR="007B70EB">
              <w:rPr>
                <w:noProof/>
                <w:webHidden/>
              </w:rPr>
              <w:fldChar w:fldCharType="end"/>
            </w:r>
          </w:hyperlink>
        </w:p>
        <w:p w14:paraId="259DF2F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10" w:history="1">
            <w:r w:rsidR="007B70EB" w:rsidRPr="00AB6E34">
              <w:rPr>
                <w:rStyle w:val="Hyperlink"/>
                <w:noProof/>
              </w:rPr>
              <w:t>4.4.1.1.</w:t>
            </w:r>
            <w:r w:rsidR="007B70EB">
              <w:rPr>
                <w:rFonts w:asciiTheme="minorHAnsi" w:hAnsiTheme="minorHAnsi"/>
                <w:noProof/>
                <w:sz w:val="22"/>
                <w:szCs w:val="22"/>
                <w:lang w:val="en-AU" w:eastAsia="en-AU"/>
              </w:rPr>
              <w:tab/>
            </w:r>
            <w:r w:rsidR="007B70EB" w:rsidRPr="00AB6E34">
              <w:rPr>
                <w:rStyle w:val="Hyperlink"/>
                <w:noProof/>
              </w:rPr>
              <w:t xml:space="preserve">Adaptation of </w:t>
            </w:r>
            <w:r w:rsidR="007B70EB" w:rsidRPr="00AB6E34">
              <w:rPr>
                <w:rStyle w:val="Hyperlink"/>
                <w:i/>
                <w:noProof/>
              </w:rPr>
              <w:t>K</w:t>
            </w:r>
            <w:r w:rsidR="007B70EB" w:rsidRPr="00AB6E34">
              <w:rPr>
                <w:rStyle w:val="Hyperlink"/>
                <w:noProof/>
                <w:vertAlign w:val="subscript"/>
              </w:rPr>
              <w:t>d</w:t>
            </w:r>
            <w:r w:rsidR="007B70EB" w:rsidRPr="00AB6E34">
              <w:rPr>
                <w:rStyle w:val="Hyperlink"/>
                <w:noProof/>
              </w:rPr>
              <w:t xml:space="preserve"> values for inorganic substances</w:t>
            </w:r>
            <w:r w:rsidR="007B70EB">
              <w:rPr>
                <w:noProof/>
                <w:webHidden/>
              </w:rPr>
              <w:tab/>
            </w:r>
            <w:r w:rsidR="007B70EB">
              <w:rPr>
                <w:noProof/>
                <w:webHidden/>
              </w:rPr>
              <w:fldChar w:fldCharType="begin"/>
            </w:r>
            <w:r w:rsidR="007B70EB">
              <w:rPr>
                <w:noProof/>
                <w:webHidden/>
              </w:rPr>
              <w:instrText xml:space="preserve"> PAGEREF _Toc494444610 \h </w:instrText>
            </w:r>
            <w:r w:rsidR="007B70EB">
              <w:rPr>
                <w:noProof/>
                <w:webHidden/>
              </w:rPr>
            </w:r>
            <w:r w:rsidR="007B70EB">
              <w:rPr>
                <w:noProof/>
                <w:webHidden/>
              </w:rPr>
              <w:fldChar w:fldCharType="separate"/>
            </w:r>
            <w:r w:rsidR="007B70EB">
              <w:rPr>
                <w:noProof/>
                <w:webHidden/>
              </w:rPr>
              <w:t>201</w:t>
            </w:r>
            <w:r w:rsidR="007B70EB">
              <w:rPr>
                <w:noProof/>
                <w:webHidden/>
              </w:rPr>
              <w:fldChar w:fldCharType="end"/>
            </w:r>
          </w:hyperlink>
        </w:p>
        <w:p w14:paraId="377FC906" w14:textId="77777777" w:rsidR="007B70EB" w:rsidRDefault="00900E5C">
          <w:pPr>
            <w:pStyle w:val="TOC2"/>
            <w:rPr>
              <w:rFonts w:asciiTheme="minorHAnsi" w:hAnsiTheme="minorHAnsi"/>
              <w:noProof/>
              <w:sz w:val="22"/>
              <w:szCs w:val="22"/>
              <w:lang w:val="en-AU" w:eastAsia="en-AU"/>
            </w:rPr>
          </w:pPr>
          <w:hyperlink w:anchor="_Toc494444611" w:history="1">
            <w:r w:rsidR="007B70EB" w:rsidRPr="00AB6E34">
              <w:rPr>
                <w:rStyle w:val="Hyperlink"/>
                <w:noProof/>
                <w14:scene3d>
                  <w14:camera w14:prst="orthographicFront"/>
                  <w14:lightRig w14:rig="threePt" w14:dir="t">
                    <w14:rot w14:lat="0" w14:lon="0" w14:rev="0"/>
                  </w14:lightRig>
                </w14:scene3d>
              </w:rPr>
              <w:t>4.5.</w:t>
            </w:r>
            <w:r w:rsidR="007B70EB">
              <w:rPr>
                <w:rFonts w:asciiTheme="minorHAnsi" w:hAnsiTheme="minorHAnsi"/>
                <w:noProof/>
                <w:sz w:val="22"/>
                <w:szCs w:val="22"/>
                <w:lang w:val="en-AU" w:eastAsia="en-AU"/>
              </w:rPr>
              <w:tab/>
            </w:r>
            <w:r w:rsidR="007B70EB" w:rsidRPr="00AB6E34">
              <w:rPr>
                <w:rStyle w:val="Hyperlink"/>
                <w:noProof/>
              </w:rPr>
              <w:t>Interactions between hydraulic fracturing fluids and geogenics</w:t>
            </w:r>
            <w:r w:rsidR="007B70EB">
              <w:rPr>
                <w:noProof/>
                <w:webHidden/>
              </w:rPr>
              <w:tab/>
            </w:r>
            <w:r w:rsidR="007B70EB">
              <w:rPr>
                <w:noProof/>
                <w:webHidden/>
              </w:rPr>
              <w:fldChar w:fldCharType="begin"/>
            </w:r>
            <w:r w:rsidR="007B70EB">
              <w:rPr>
                <w:noProof/>
                <w:webHidden/>
              </w:rPr>
              <w:instrText xml:space="preserve"> PAGEREF _Toc494444611 \h </w:instrText>
            </w:r>
            <w:r w:rsidR="007B70EB">
              <w:rPr>
                <w:noProof/>
                <w:webHidden/>
              </w:rPr>
            </w:r>
            <w:r w:rsidR="007B70EB">
              <w:rPr>
                <w:noProof/>
                <w:webHidden/>
              </w:rPr>
              <w:fldChar w:fldCharType="separate"/>
            </w:r>
            <w:r w:rsidR="007B70EB">
              <w:rPr>
                <w:noProof/>
                <w:webHidden/>
              </w:rPr>
              <w:t>202</w:t>
            </w:r>
            <w:r w:rsidR="007B70EB">
              <w:rPr>
                <w:noProof/>
                <w:webHidden/>
              </w:rPr>
              <w:fldChar w:fldCharType="end"/>
            </w:r>
          </w:hyperlink>
        </w:p>
        <w:p w14:paraId="3C4FC159" w14:textId="77777777" w:rsidR="007B70EB" w:rsidRDefault="00900E5C">
          <w:pPr>
            <w:pStyle w:val="TOC2"/>
            <w:rPr>
              <w:rFonts w:asciiTheme="minorHAnsi" w:hAnsiTheme="minorHAnsi"/>
              <w:noProof/>
              <w:sz w:val="22"/>
              <w:szCs w:val="22"/>
              <w:lang w:val="en-AU" w:eastAsia="en-AU"/>
            </w:rPr>
          </w:pPr>
          <w:hyperlink w:anchor="_Toc494444612" w:history="1">
            <w:r w:rsidR="007B70EB" w:rsidRPr="00AB6E34">
              <w:rPr>
                <w:rStyle w:val="Hyperlink"/>
                <w:noProof/>
                <w14:scene3d>
                  <w14:camera w14:prst="orthographicFront"/>
                  <w14:lightRig w14:rig="threePt" w14:dir="t">
                    <w14:rot w14:lat="0" w14:lon="0" w14:rev="0"/>
                  </w14:lightRig>
                </w14:scene3d>
              </w:rPr>
              <w:t>4.6.</w:t>
            </w:r>
            <w:r w:rsidR="007B70EB">
              <w:rPr>
                <w:rFonts w:asciiTheme="minorHAnsi" w:hAnsiTheme="minorHAnsi"/>
                <w:noProof/>
                <w:sz w:val="22"/>
                <w:szCs w:val="22"/>
                <w:lang w:val="en-AU" w:eastAsia="en-AU"/>
              </w:rPr>
              <w:tab/>
            </w:r>
            <w:r w:rsidR="007B70EB" w:rsidRPr="00AB6E34">
              <w:rPr>
                <w:rStyle w:val="Hyperlink"/>
                <w:noProof/>
              </w:rPr>
              <w:t>Toxicity of Chemicals</w:t>
            </w:r>
            <w:r w:rsidR="007B70EB">
              <w:rPr>
                <w:noProof/>
                <w:webHidden/>
              </w:rPr>
              <w:tab/>
            </w:r>
            <w:r w:rsidR="007B70EB">
              <w:rPr>
                <w:noProof/>
                <w:webHidden/>
              </w:rPr>
              <w:fldChar w:fldCharType="begin"/>
            </w:r>
            <w:r w:rsidR="007B70EB">
              <w:rPr>
                <w:noProof/>
                <w:webHidden/>
              </w:rPr>
              <w:instrText xml:space="preserve"> PAGEREF _Toc494444612 \h </w:instrText>
            </w:r>
            <w:r w:rsidR="007B70EB">
              <w:rPr>
                <w:noProof/>
                <w:webHidden/>
              </w:rPr>
            </w:r>
            <w:r w:rsidR="007B70EB">
              <w:rPr>
                <w:noProof/>
                <w:webHidden/>
              </w:rPr>
              <w:fldChar w:fldCharType="separate"/>
            </w:r>
            <w:r w:rsidR="007B70EB">
              <w:rPr>
                <w:noProof/>
                <w:webHidden/>
              </w:rPr>
              <w:t>203</w:t>
            </w:r>
            <w:r w:rsidR="007B70EB">
              <w:rPr>
                <w:noProof/>
                <w:webHidden/>
              </w:rPr>
              <w:fldChar w:fldCharType="end"/>
            </w:r>
          </w:hyperlink>
        </w:p>
        <w:p w14:paraId="5AB948D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13" w:history="1">
            <w:r w:rsidR="007B70EB" w:rsidRPr="00AB6E34">
              <w:rPr>
                <w:rStyle w:val="Hyperlink"/>
                <w:noProof/>
                <w14:scene3d>
                  <w14:camera w14:prst="orthographicFront"/>
                  <w14:lightRig w14:rig="threePt" w14:dir="t">
                    <w14:rot w14:lat="0" w14:lon="0" w14:rev="0"/>
                  </w14:lightRig>
                </w14:scene3d>
              </w:rPr>
              <w:t>4.6.1.</w:t>
            </w:r>
            <w:r w:rsidR="007B70EB">
              <w:rPr>
                <w:rFonts w:asciiTheme="minorHAnsi" w:hAnsiTheme="minorHAnsi"/>
                <w:noProof/>
                <w:sz w:val="22"/>
                <w:szCs w:val="22"/>
                <w:lang w:val="en-AU" w:eastAsia="en-AU"/>
              </w:rPr>
              <w:tab/>
            </w:r>
            <w:r w:rsidR="007B70EB" w:rsidRPr="00AB6E34">
              <w:rPr>
                <w:rStyle w:val="Hyperlink"/>
                <w:noProof/>
              </w:rPr>
              <w:t>2-methylphenol (o-cresol)</w:t>
            </w:r>
            <w:r w:rsidR="007B70EB">
              <w:rPr>
                <w:noProof/>
                <w:webHidden/>
              </w:rPr>
              <w:tab/>
            </w:r>
            <w:r w:rsidR="007B70EB">
              <w:rPr>
                <w:noProof/>
                <w:webHidden/>
              </w:rPr>
              <w:fldChar w:fldCharType="begin"/>
            </w:r>
            <w:r w:rsidR="007B70EB">
              <w:rPr>
                <w:noProof/>
                <w:webHidden/>
              </w:rPr>
              <w:instrText xml:space="preserve"> PAGEREF _Toc494444613 \h </w:instrText>
            </w:r>
            <w:r w:rsidR="007B70EB">
              <w:rPr>
                <w:noProof/>
                <w:webHidden/>
              </w:rPr>
            </w:r>
            <w:r w:rsidR="007B70EB">
              <w:rPr>
                <w:noProof/>
                <w:webHidden/>
              </w:rPr>
              <w:fldChar w:fldCharType="separate"/>
            </w:r>
            <w:r w:rsidR="007B70EB">
              <w:rPr>
                <w:noProof/>
                <w:webHidden/>
              </w:rPr>
              <w:t>203</w:t>
            </w:r>
            <w:r w:rsidR="007B70EB">
              <w:rPr>
                <w:noProof/>
                <w:webHidden/>
              </w:rPr>
              <w:fldChar w:fldCharType="end"/>
            </w:r>
          </w:hyperlink>
        </w:p>
        <w:p w14:paraId="112BAA29"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14" w:history="1">
            <w:r w:rsidR="007B70EB" w:rsidRPr="00AB6E34">
              <w:rPr>
                <w:rStyle w:val="Hyperlink"/>
                <w:noProof/>
              </w:rPr>
              <w:t>4.6.1.1.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_Toc494444614 \h </w:instrText>
            </w:r>
            <w:r w:rsidR="007B70EB">
              <w:rPr>
                <w:noProof/>
                <w:webHidden/>
              </w:rPr>
            </w:r>
            <w:r w:rsidR="007B70EB">
              <w:rPr>
                <w:noProof/>
                <w:webHidden/>
              </w:rPr>
              <w:fldChar w:fldCharType="separate"/>
            </w:r>
            <w:r w:rsidR="007B70EB">
              <w:rPr>
                <w:noProof/>
                <w:webHidden/>
              </w:rPr>
              <w:t>203</w:t>
            </w:r>
            <w:r w:rsidR="007B70EB">
              <w:rPr>
                <w:noProof/>
                <w:webHidden/>
              </w:rPr>
              <w:fldChar w:fldCharType="end"/>
            </w:r>
          </w:hyperlink>
        </w:p>
        <w:p w14:paraId="532BA2C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15" w:history="1">
            <w:r w:rsidR="007B70EB" w:rsidRPr="00AB6E34">
              <w:rPr>
                <w:rStyle w:val="Hyperlink"/>
                <w:noProof/>
              </w:rPr>
              <w:t>4.6.1.2.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_Toc494444615 \h </w:instrText>
            </w:r>
            <w:r w:rsidR="007B70EB">
              <w:rPr>
                <w:noProof/>
                <w:webHidden/>
              </w:rPr>
            </w:r>
            <w:r w:rsidR="007B70EB">
              <w:rPr>
                <w:noProof/>
                <w:webHidden/>
              </w:rPr>
              <w:fldChar w:fldCharType="separate"/>
            </w:r>
            <w:r w:rsidR="007B70EB">
              <w:rPr>
                <w:noProof/>
                <w:webHidden/>
              </w:rPr>
              <w:t>203</w:t>
            </w:r>
            <w:r w:rsidR="007B70EB">
              <w:rPr>
                <w:noProof/>
                <w:webHidden/>
              </w:rPr>
              <w:fldChar w:fldCharType="end"/>
            </w:r>
          </w:hyperlink>
        </w:p>
        <w:p w14:paraId="4C0FF1B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16" w:history="1">
            <w:r w:rsidR="007B70EB" w:rsidRPr="00AB6E34">
              <w:rPr>
                <w:rStyle w:val="Hyperlink"/>
                <w:noProof/>
                <w14:scene3d>
                  <w14:camera w14:prst="orthographicFront"/>
                  <w14:lightRig w14:rig="threePt" w14:dir="t">
                    <w14:rot w14:lat="0" w14:lon="0" w14:rev="0"/>
                  </w14:lightRig>
                </w14:scene3d>
              </w:rPr>
              <w:t>4.6.2.</w:t>
            </w:r>
            <w:r w:rsidR="007B70EB">
              <w:rPr>
                <w:rFonts w:asciiTheme="minorHAnsi" w:hAnsiTheme="minorHAnsi"/>
                <w:noProof/>
                <w:sz w:val="22"/>
                <w:szCs w:val="22"/>
                <w:lang w:val="en-AU" w:eastAsia="en-AU"/>
              </w:rPr>
              <w:tab/>
            </w:r>
            <w:r w:rsidR="007B70EB" w:rsidRPr="00AB6E34">
              <w:rPr>
                <w:rStyle w:val="Hyperlink"/>
                <w:noProof/>
              </w:rPr>
              <w:t>Naphthalene</w:t>
            </w:r>
            <w:r w:rsidR="007B70EB">
              <w:rPr>
                <w:noProof/>
                <w:webHidden/>
              </w:rPr>
              <w:tab/>
            </w:r>
            <w:r w:rsidR="007B70EB">
              <w:rPr>
                <w:noProof/>
                <w:webHidden/>
              </w:rPr>
              <w:fldChar w:fldCharType="begin"/>
            </w:r>
            <w:r w:rsidR="007B70EB">
              <w:rPr>
                <w:noProof/>
                <w:webHidden/>
              </w:rPr>
              <w:instrText xml:space="preserve"> PAGEREF _Toc494444616 \h </w:instrText>
            </w:r>
            <w:r w:rsidR="007B70EB">
              <w:rPr>
                <w:noProof/>
                <w:webHidden/>
              </w:rPr>
            </w:r>
            <w:r w:rsidR="007B70EB">
              <w:rPr>
                <w:noProof/>
                <w:webHidden/>
              </w:rPr>
              <w:fldChar w:fldCharType="separate"/>
            </w:r>
            <w:r w:rsidR="007B70EB">
              <w:rPr>
                <w:noProof/>
                <w:webHidden/>
              </w:rPr>
              <w:t>203</w:t>
            </w:r>
            <w:r w:rsidR="007B70EB">
              <w:rPr>
                <w:noProof/>
                <w:webHidden/>
              </w:rPr>
              <w:fldChar w:fldCharType="end"/>
            </w:r>
          </w:hyperlink>
        </w:p>
        <w:p w14:paraId="1AB83838"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17" w:history="1">
            <w:r w:rsidR="007B70EB" w:rsidRPr="00AB6E34">
              <w:rPr>
                <w:rStyle w:val="Hyperlink"/>
                <w:noProof/>
              </w:rPr>
              <w:t>4.6.2.1.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_Toc494444617 \h </w:instrText>
            </w:r>
            <w:r w:rsidR="007B70EB">
              <w:rPr>
                <w:noProof/>
                <w:webHidden/>
              </w:rPr>
            </w:r>
            <w:r w:rsidR="007B70EB">
              <w:rPr>
                <w:noProof/>
                <w:webHidden/>
              </w:rPr>
              <w:fldChar w:fldCharType="separate"/>
            </w:r>
            <w:r w:rsidR="007B70EB">
              <w:rPr>
                <w:noProof/>
                <w:webHidden/>
              </w:rPr>
              <w:t>203</w:t>
            </w:r>
            <w:r w:rsidR="007B70EB">
              <w:rPr>
                <w:noProof/>
                <w:webHidden/>
              </w:rPr>
              <w:fldChar w:fldCharType="end"/>
            </w:r>
          </w:hyperlink>
        </w:p>
        <w:p w14:paraId="28518E2B"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18" w:history="1">
            <w:r w:rsidR="007B70EB" w:rsidRPr="00AB6E34">
              <w:rPr>
                <w:rStyle w:val="Hyperlink"/>
                <w:noProof/>
              </w:rPr>
              <w:t>4.6.2.2.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_Toc494444618 \h </w:instrText>
            </w:r>
            <w:r w:rsidR="007B70EB">
              <w:rPr>
                <w:noProof/>
                <w:webHidden/>
              </w:rPr>
            </w:r>
            <w:r w:rsidR="007B70EB">
              <w:rPr>
                <w:noProof/>
                <w:webHidden/>
              </w:rPr>
              <w:fldChar w:fldCharType="separate"/>
            </w:r>
            <w:r w:rsidR="007B70EB">
              <w:rPr>
                <w:noProof/>
                <w:webHidden/>
              </w:rPr>
              <w:t>204</w:t>
            </w:r>
            <w:r w:rsidR="007B70EB">
              <w:rPr>
                <w:noProof/>
                <w:webHidden/>
              </w:rPr>
              <w:fldChar w:fldCharType="end"/>
            </w:r>
          </w:hyperlink>
        </w:p>
        <w:p w14:paraId="5BC7C89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19" w:history="1">
            <w:r w:rsidR="007B70EB" w:rsidRPr="00AB6E34">
              <w:rPr>
                <w:rStyle w:val="Hyperlink"/>
                <w:noProof/>
                <w14:scene3d>
                  <w14:camera w14:prst="orthographicFront"/>
                  <w14:lightRig w14:rig="threePt" w14:dir="t">
                    <w14:rot w14:lat="0" w14:lon="0" w14:rev="0"/>
                  </w14:lightRig>
                </w14:scene3d>
              </w:rPr>
              <w:t>4.6.3.</w:t>
            </w:r>
            <w:r w:rsidR="007B70EB">
              <w:rPr>
                <w:rFonts w:asciiTheme="minorHAnsi" w:hAnsiTheme="minorHAnsi"/>
                <w:noProof/>
                <w:sz w:val="22"/>
                <w:szCs w:val="22"/>
                <w:lang w:val="en-AU" w:eastAsia="en-AU"/>
              </w:rPr>
              <w:tab/>
            </w:r>
            <w:r w:rsidR="007B70EB" w:rsidRPr="00AB6E34">
              <w:rPr>
                <w:rStyle w:val="Hyperlink"/>
                <w:noProof/>
              </w:rPr>
              <w:t>Limonene (1-methyl-4-(1-methylethenyl)-cyclohexene)</w:t>
            </w:r>
            <w:r w:rsidR="007B70EB">
              <w:rPr>
                <w:noProof/>
                <w:webHidden/>
              </w:rPr>
              <w:tab/>
            </w:r>
            <w:r w:rsidR="007B70EB">
              <w:rPr>
                <w:noProof/>
                <w:webHidden/>
              </w:rPr>
              <w:fldChar w:fldCharType="begin"/>
            </w:r>
            <w:r w:rsidR="007B70EB">
              <w:rPr>
                <w:noProof/>
                <w:webHidden/>
              </w:rPr>
              <w:instrText xml:space="preserve"> PAGEREF _Toc494444619 \h </w:instrText>
            </w:r>
            <w:r w:rsidR="007B70EB">
              <w:rPr>
                <w:noProof/>
                <w:webHidden/>
              </w:rPr>
            </w:r>
            <w:r w:rsidR="007B70EB">
              <w:rPr>
                <w:noProof/>
                <w:webHidden/>
              </w:rPr>
              <w:fldChar w:fldCharType="separate"/>
            </w:r>
            <w:r w:rsidR="007B70EB">
              <w:rPr>
                <w:noProof/>
                <w:webHidden/>
              </w:rPr>
              <w:t>204</w:t>
            </w:r>
            <w:r w:rsidR="007B70EB">
              <w:rPr>
                <w:noProof/>
                <w:webHidden/>
              </w:rPr>
              <w:fldChar w:fldCharType="end"/>
            </w:r>
          </w:hyperlink>
        </w:p>
        <w:p w14:paraId="1A66E87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20" w:history="1">
            <w:r w:rsidR="007B70EB" w:rsidRPr="00AB6E34">
              <w:rPr>
                <w:rStyle w:val="Hyperlink"/>
                <w:noProof/>
              </w:rPr>
              <w:t>4.6.3.1.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_Toc494444620 \h </w:instrText>
            </w:r>
            <w:r w:rsidR="007B70EB">
              <w:rPr>
                <w:noProof/>
                <w:webHidden/>
              </w:rPr>
            </w:r>
            <w:r w:rsidR="007B70EB">
              <w:rPr>
                <w:noProof/>
                <w:webHidden/>
              </w:rPr>
              <w:fldChar w:fldCharType="separate"/>
            </w:r>
            <w:r w:rsidR="007B70EB">
              <w:rPr>
                <w:noProof/>
                <w:webHidden/>
              </w:rPr>
              <w:t>204</w:t>
            </w:r>
            <w:r w:rsidR="007B70EB">
              <w:rPr>
                <w:noProof/>
                <w:webHidden/>
              </w:rPr>
              <w:fldChar w:fldCharType="end"/>
            </w:r>
          </w:hyperlink>
        </w:p>
        <w:p w14:paraId="78F15CD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21" w:history="1">
            <w:r w:rsidR="007B70EB" w:rsidRPr="00AB6E34">
              <w:rPr>
                <w:rStyle w:val="Hyperlink"/>
                <w:noProof/>
              </w:rPr>
              <w:t>4.6.3.2.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_Toc494444621 \h </w:instrText>
            </w:r>
            <w:r w:rsidR="007B70EB">
              <w:rPr>
                <w:noProof/>
                <w:webHidden/>
              </w:rPr>
            </w:r>
            <w:r w:rsidR="007B70EB">
              <w:rPr>
                <w:noProof/>
                <w:webHidden/>
              </w:rPr>
              <w:fldChar w:fldCharType="separate"/>
            </w:r>
            <w:r w:rsidR="007B70EB">
              <w:rPr>
                <w:noProof/>
                <w:webHidden/>
              </w:rPr>
              <w:t>204</w:t>
            </w:r>
            <w:r w:rsidR="007B70EB">
              <w:rPr>
                <w:noProof/>
                <w:webHidden/>
              </w:rPr>
              <w:fldChar w:fldCharType="end"/>
            </w:r>
          </w:hyperlink>
        </w:p>
        <w:p w14:paraId="5E82CF9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22" w:history="1">
            <w:r w:rsidR="007B70EB" w:rsidRPr="00AB6E34">
              <w:rPr>
                <w:rStyle w:val="Hyperlink"/>
                <w:noProof/>
                <w14:scene3d>
                  <w14:camera w14:prst="orthographicFront"/>
                  <w14:lightRig w14:rig="threePt" w14:dir="t">
                    <w14:rot w14:lat="0" w14:lon="0" w14:rev="0"/>
                  </w14:lightRig>
                </w14:scene3d>
              </w:rPr>
              <w:t>4.6.4.</w:t>
            </w:r>
            <w:r w:rsidR="007B70EB">
              <w:rPr>
                <w:rFonts w:asciiTheme="minorHAnsi" w:hAnsiTheme="minorHAnsi"/>
                <w:noProof/>
                <w:sz w:val="22"/>
                <w:szCs w:val="22"/>
                <w:lang w:val="en-AU" w:eastAsia="en-AU"/>
              </w:rPr>
              <w:tab/>
            </w:r>
            <w:r w:rsidR="007B70EB" w:rsidRPr="00AB6E34">
              <w:rPr>
                <w:rStyle w:val="Hyperlink"/>
                <w:noProof/>
              </w:rPr>
              <w:t>HMX (Octahydro-1,3,5,7-tetranitro-1,3,5,7-tetrazocine)</w:t>
            </w:r>
            <w:r w:rsidR="007B70EB">
              <w:rPr>
                <w:noProof/>
                <w:webHidden/>
              </w:rPr>
              <w:tab/>
            </w:r>
            <w:r w:rsidR="007B70EB">
              <w:rPr>
                <w:noProof/>
                <w:webHidden/>
              </w:rPr>
              <w:fldChar w:fldCharType="begin"/>
            </w:r>
            <w:r w:rsidR="007B70EB">
              <w:rPr>
                <w:noProof/>
                <w:webHidden/>
              </w:rPr>
              <w:instrText xml:space="preserve"> PAGEREF _Toc494444622 \h </w:instrText>
            </w:r>
            <w:r w:rsidR="007B70EB">
              <w:rPr>
                <w:noProof/>
                <w:webHidden/>
              </w:rPr>
            </w:r>
            <w:r w:rsidR="007B70EB">
              <w:rPr>
                <w:noProof/>
                <w:webHidden/>
              </w:rPr>
              <w:fldChar w:fldCharType="separate"/>
            </w:r>
            <w:r w:rsidR="007B70EB">
              <w:rPr>
                <w:noProof/>
                <w:webHidden/>
              </w:rPr>
              <w:t>205</w:t>
            </w:r>
            <w:r w:rsidR="007B70EB">
              <w:rPr>
                <w:noProof/>
                <w:webHidden/>
              </w:rPr>
              <w:fldChar w:fldCharType="end"/>
            </w:r>
          </w:hyperlink>
        </w:p>
        <w:p w14:paraId="5B628B8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23" w:history="1">
            <w:r w:rsidR="007B70EB" w:rsidRPr="00AB6E34">
              <w:rPr>
                <w:rStyle w:val="Hyperlink"/>
                <w:noProof/>
              </w:rPr>
              <w:t>4.6.4.1.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_Toc494444623 \h </w:instrText>
            </w:r>
            <w:r w:rsidR="007B70EB">
              <w:rPr>
                <w:noProof/>
                <w:webHidden/>
              </w:rPr>
            </w:r>
            <w:r w:rsidR="007B70EB">
              <w:rPr>
                <w:noProof/>
                <w:webHidden/>
              </w:rPr>
              <w:fldChar w:fldCharType="separate"/>
            </w:r>
            <w:r w:rsidR="007B70EB">
              <w:rPr>
                <w:noProof/>
                <w:webHidden/>
              </w:rPr>
              <w:t>205</w:t>
            </w:r>
            <w:r w:rsidR="007B70EB">
              <w:rPr>
                <w:noProof/>
                <w:webHidden/>
              </w:rPr>
              <w:fldChar w:fldCharType="end"/>
            </w:r>
          </w:hyperlink>
        </w:p>
        <w:p w14:paraId="6E8F924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24" w:history="1">
            <w:r w:rsidR="007B70EB" w:rsidRPr="00AB6E34">
              <w:rPr>
                <w:rStyle w:val="Hyperlink"/>
                <w:noProof/>
              </w:rPr>
              <w:t>4.6.4.2.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_Toc494444624 \h </w:instrText>
            </w:r>
            <w:r w:rsidR="007B70EB">
              <w:rPr>
                <w:noProof/>
                <w:webHidden/>
              </w:rPr>
            </w:r>
            <w:r w:rsidR="007B70EB">
              <w:rPr>
                <w:noProof/>
                <w:webHidden/>
              </w:rPr>
              <w:fldChar w:fldCharType="separate"/>
            </w:r>
            <w:r w:rsidR="007B70EB">
              <w:rPr>
                <w:noProof/>
                <w:webHidden/>
              </w:rPr>
              <w:t>205</w:t>
            </w:r>
            <w:r w:rsidR="007B70EB">
              <w:rPr>
                <w:noProof/>
                <w:webHidden/>
              </w:rPr>
              <w:fldChar w:fldCharType="end"/>
            </w:r>
          </w:hyperlink>
        </w:p>
        <w:p w14:paraId="14ECB97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25" w:history="1">
            <w:r w:rsidR="007B70EB" w:rsidRPr="00AB6E34">
              <w:rPr>
                <w:rStyle w:val="Hyperlink"/>
                <w:noProof/>
                <w14:scene3d>
                  <w14:camera w14:prst="orthographicFront"/>
                  <w14:lightRig w14:rig="threePt" w14:dir="t">
                    <w14:rot w14:lat="0" w14:lon="0" w14:rev="0"/>
                  </w14:lightRig>
                </w14:scene3d>
              </w:rPr>
              <w:t>4.6.5.</w:t>
            </w:r>
            <w:r w:rsidR="007B70EB">
              <w:rPr>
                <w:rFonts w:asciiTheme="minorHAnsi" w:hAnsiTheme="minorHAnsi"/>
                <w:noProof/>
                <w:sz w:val="22"/>
                <w:szCs w:val="22"/>
                <w:lang w:val="en-AU" w:eastAsia="en-AU"/>
              </w:rPr>
              <w:tab/>
            </w:r>
            <w:r w:rsidR="007B70EB" w:rsidRPr="00AB6E34">
              <w:rPr>
                <w:rStyle w:val="Hyperlink"/>
                <w:noProof/>
              </w:rPr>
              <w:t>2-butoxyethanol</w:t>
            </w:r>
            <w:r w:rsidR="007B70EB">
              <w:rPr>
                <w:noProof/>
                <w:webHidden/>
              </w:rPr>
              <w:tab/>
            </w:r>
            <w:r w:rsidR="007B70EB">
              <w:rPr>
                <w:noProof/>
                <w:webHidden/>
              </w:rPr>
              <w:fldChar w:fldCharType="begin"/>
            </w:r>
            <w:r w:rsidR="007B70EB">
              <w:rPr>
                <w:noProof/>
                <w:webHidden/>
              </w:rPr>
              <w:instrText xml:space="preserve"> PAGEREF _Toc494444625 \h </w:instrText>
            </w:r>
            <w:r w:rsidR="007B70EB">
              <w:rPr>
                <w:noProof/>
                <w:webHidden/>
              </w:rPr>
            </w:r>
            <w:r w:rsidR="007B70EB">
              <w:rPr>
                <w:noProof/>
                <w:webHidden/>
              </w:rPr>
              <w:fldChar w:fldCharType="separate"/>
            </w:r>
            <w:r w:rsidR="007B70EB">
              <w:rPr>
                <w:noProof/>
                <w:webHidden/>
              </w:rPr>
              <w:t>205</w:t>
            </w:r>
            <w:r w:rsidR="007B70EB">
              <w:rPr>
                <w:noProof/>
                <w:webHidden/>
              </w:rPr>
              <w:fldChar w:fldCharType="end"/>
            </w:r>
          </w:hyperlink>
        </w:p>
        <w:p w14:paraId="5894D3B0"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26" w:history="1">
            <w:r w:rsidR="007B70EB" w:rsidRPr="00AB6E34">
              <w:rPr>
                <w:rStyle w:val="Hyperlink"/>
                <w:noProof/>
              </w:rPr>
              <w:t>4.6.5.1.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_Toc494444626 \h </w:instrText>
            </w:r>
            <w:r w:rsidR="007B70EB">
              <w:rPr>
                <w:noProof/>
                <w:webHidden/>
              </w:rPr>
            </w:r>
            <w:r w:rsidR="007B70EB">
              <w:rPr>
                <w:noProof/>
                <w:webHidden/>
              </w:rPr>
              <w:fldChar w:fldCharType="separate"/>
            </w:r>
            <w:r w:rsidR="007B70EB">
              <w:rPr>
                <w:noProof/>
                <w:webHidden/>
              </w:rPr>
              <w:t>205</w:t>
            </w:r>
            <w:r w:rsidR="007B70EB">
              <w:rPr>
                <w:noProof/>
                <w:webHidden/>
              </w:rPr>
              <w:fldChar w:fldCharType="end"/>
            </w:r>
          </w:hyperlink>
        </w:p>
        <w:p w14:paraId="6089FAA0"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27" w:history="1">
            <w:r w:rsidR="007B70EB" w:rsidRPr="00AB6E34">
              <w:rPr>
                <w:rStyle w:val="Hyperlink"/>
                <w:noProof/>
              </w:rPr>
              <w:t>4.6.5.2.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_Toc494444627 \h </w:instrText>
            </w:r>
            <w:r w:rsidR="007B70EB">
              <w:rPr>
                <w:noProof/>
                <w:webHidden/>
              </w:rPr>
            </w:r>
            <w:r w:rsidR="007B70EB">
              <w:rPr>
                <w:noProof/>
                <w:webHidden/>
              </w:rPr>
              <w:fldChar w:fldCharType="separate"/>
            </w:r>
            <w:r w:rsidR="007B70EB">
              <w:rPr>
                <w:noProof/>
                <w:webHidden/>
              </w:rPr>
              <w:t>205</w:t>
            </w:r>
            <w:r w:rsidR="007B70EB">
              <w:rPr>
                <w:noProof/>
                <w:webHidden/>
              </w:rPr>
              <w:fldChar w:fldCharType="end"/>
            </w:r>
          </w:hyperlink>
        </w:p>
        <w:p w14:paraId="2860B759"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28" w:history="1">
            <w:r w:rsidR="007B70EB" w:rsidRPr="00AB6E34">
              <w:rPr>
                <w:rStyle w:val="Hyperlink"/>
                <w:noProof/>
                <w14:scene3d>
                  <w14:camera w14:prst="orthographicFront"/>
                  <w14:lightRig w14:rig="threePt" w14:dir="t">
                    <w14:rot w14:lat="0" w14:lon="0" w14:rev="0"/>
                  </w14:lightRig>
                </w14:scene3d>
              </w:rPr>
              <w:t>4.6.6.</w:t>
            </w:r>
            <w:r w:rsidR="007B70EB">
              <w:rPr>
                <w:rFonts w:asciiTheme="minorHAnsi" w:hAnsiTheme="minorHAnsi"/>
                <w:noProof/>
                <w:sz w:val="22"/>
                <w:szCs w:val="22"/>
                <w:lang w:val="en-AU" w:eastAsia="en-AU"/>
              </w:rPr>
              <w:tab/>
            </w:r>
            <w:r w:rsidR="007B70EB" w:rsidRPr="00AB6E34">
              <w:rPr>
                <w:rStyle w:val="Hyperlink"/>
                <w:noProof/>
              </w:rPr>
              <w:t>Bronopol (2-bromo-2-nitropropane-1,3-diol)</w:t>
            </w:r>
            <w:r w:rsidR="007B70EB">
              <w:rPr>
                <w:noProof/>
                <w:webHidden/>
              </w:rPr>
              <w:tab/>
            </w:r>
            <w:r w:rsidR="007B70EB">
              <w:rPr>
                <w:noProof/>
                <w:webHidden/>
              </w:rPr>
              <w:fldChar w:fldCharType="begin"/>
            </w:r>
            <w:r w:rsidR="007B70EB">
              <w:rPr>
                <w:noProof/>
                <w:webHidden/>
              </w:rPr>
              <w:instrText xml:space="preserve"> PAGEREF _Toc494444628 \h </w:instrText>
            </w:r>
            <w:r w:rsidR="007B70EB">
              <w:rPr>
                <w:noProof/>
                <w:webHidden/>
              </w:rPr>
            </w:r>
            <w:r w:rsidR="007B70EB">
              <w:rPr>
                <w:noProof/>
                <w:webHidden/>
              </w:rPr>
              <w:fldChar w:fldCharType="separate"/>
            </w:r>
            <w:r w:rsidR="007B70EB">
              <w:rPr>
                <w:noProof/>
                <w:webHidden/>
              </w:rPr>
              <w:t>206</w:t>
            </w:r>
            <w:r w:rsidR="007B70EB">
              <w:rPr>
                <w:noProof/>
                <w:webHidden/>
              </w:rPr>
              <w:fldChar w:fldCharType="end"/>
            </w:r>
          </w:hyperlink>
        </w:p>
        <w:p w14:paraId="2166A86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29" w:history="1">
            <w:r w:rsidR="007B70EB" w:rsidRPr="00AB6E34">
              <w:rPr>
                <w:rStyle w:val="Hyperlink"/>
                <w:noProof/>
              </w:rPr>
              <w:t>4.6.6.1.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_Toc494444629 \h </w:instrText>
            </w:r>
            <w:r w:rsidR="007B70EB">
              <w:rPr>
                <w:noProof/>
                <w:webHidden/>
              </w:rPr>
            </w:r>
            <w:r w:rsidR="007B70EB">
              <w:rPr>
                <w:noProof/>
                <w:webHidden/>
              </w:rPr>
              <w:fldChar w:fldCharType="separate"/>
            </w:r>
            <w:r w:rsidR="007B70EB">
              <w:rPr>
                <w:noProof/>
                <w:webHidden/>
              </w:rPr>
              <w:t>206</w:t>
            </w:r>
            <w:r w:rsidR="007B70EB">
              <w:rPr>
                <w:noProof/>
                <w:webHidden/>
              </w:rPr>
              <w:fldChar w:fldCharType="end"/>
            </w:r>
          </w:hyperlink>
        </w:p>
        <w:p w14:paraId="7A572D70"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30" w:history="1">
            <w:r w:rsidR="007B70EB" w:rsidRPr="00AB6E34">
              <w:rPr>
                <w:rStyle w:val="Hyperlink"/>
                <w:noProof/>
              </w:rPr>
              <w:t>4.6.6.2.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_Toc494444630 \h </w:instrText>
            </w:r>
            <w:r w:rsidR="007B70EB">
              <w:rPr>
                <w:noProof/>
                <w:webHidden/>
              </w:rPr>
            </w:r>
            <w:r w:rsidR="007B70EB">
              <w:rPr>
                <w:noProof/>
                <w:webHidden/>
              </w:rPr>
              <w:fldChar w:fldCharType="separate"/>
            </w:r>
            <w:r w:rsidR="007B70EB">
              <w:rPr>
                <w:noProof/>
                <w:webHidden/>
              </w:rPr>
              <w:t>206</w:t>
            </w:r>
            <w:r w:rsidR="007B70EB">
              <w:rPr>
                <w:noProof/>
                <w:webHidden/>
              </w:rPr>
              <w:fldChar w:fldCharType="end"/>
            </w:r>
          </w:hyperlink>
        </w:p>
        <w:p w14:paraId="7D77207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31" w:history="1">
            <w:r w:rsidR="007B70EB" w:rsidRPr="00AB6E34">
              <w:rPr>
                <w:rStyle w:val="Hyperlink"/>
                <w:noProof/>
                <w14:scene3d>
                  <w14:camera w14:prst="orthographicFront"/>
                  <w14:lightRig w14:rig="threePt" w14:dir="t">
                    <w14:rot w14:lat="0" w14:lon="0" w14:rev="0"/>
                  </w14:lightRig>
                </w14:scene3d>
              </w:rPr>
              <w:t>4.6.7.</w:t>
            </w:r>
            <w:r w:rsidR="007B70EB">
              <w:rPr>
                <w:rFonts w:asciiTheme="minorHAnsi" w:hAnsiTheme="minorHAnsi"/>
                <w:noProof/>
                <w:sz w:val="22"/>
                <w:szCs w:val="22"/>
                <w:lang w:val="en-AU" w:eastAsia="en-AU"/>
              </w:rPr>
              <w:tab/>
            </w:r>
            <w:r w:rsidR="007B70EB" w:rsidRPr="00AB6E34">
              <w:rPr>
                <w:rStyle w:val="Hyperlink"/>
                <w:noProof/>
              </w:rPr>
              <w:t>Methyl-chloro-isothiazolinone (MCI)</w:t>
            </w:r>
            <w:r w:rsidR="007B70EB">
              <w:rPr>
                <w:noProof/>
                <w:webHidden/>
              </w:rPr>
              <w:tab/>
            </w:r>
            <w:r w:rsidR="007B70EB">
              <w:rPr>
                <w:noProof/>
                <w:webHidden/>
              </w:rPr>
              <w:fldChar w:fldCharType="begin"/>
            </w:r>
            <w:r w:rsidR="007B70EB">
              <w:rPr>
                <w:noProof/>
                <w:webHidden/>
              </w:rPr>
              <w:instrText xml:space="preserve"> PAGEREF _Toc494444631 \h </w:instrText>
            </w:r>
            <w:r w:rsidR="007B70EB">
              <w:rPr>
                <w:noProof/>
                <w:webHidden/>
              </w:rPr>
            </w:r>
            <w:r w:rsidR="007B70EB">
              <w:rPr>
                <w:noProof/>
                <w:webHidden/>
              </w:rPr>
              <w:fldChar w:fldCharType="separate"/>
            </w:r>
            <w:r w:rsidR="007B70EB">
              <w:rPr>
                <w:noProof/>
                <w:webHidden/>
              </w:rPr>
              <w:t>206</w:t>
            </w:r>
            <w:r w:rsidR="007B70EB">
              <w:rPr>
                <w:noProof/>
                <w:webHidden/>
              </w:rPr>
              <w:fldChar w:fldCharType="end"/>
            </w:r>
          </w:hyperlink>
        </w:p>
        <w:p w14:paraId="5E255BF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32" w:history="1">
            <w:r w:rsidR="007B70EB" w:rsidRPr="00AB6E34">
              <w:rPr>
                <w:rStyle w:val="Hyperlink"/>
                <w:noProof/>
              </w:rPr>
              <w:t>4.6.7.1.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_Toc494444632 \h </w:instrText>
            </w:r>
            <w:r w:rsidR="007B70EB">
              <w:rPr>
                <w:noProof/>
                <w:webHidden/>
              </w:rPr>
            </w:r>
            <w:r w:rsidR="007B70EB">
              <w:rPr>
                <w:noProof/>
                <w:webHidden/>
              </w:rPr>
              <w:fldChar w:fldCharType="separate"/>
            </w:r>
            <w:r w:rsidR="007B70EB">
              <w:rPr>
                <w:noProof/>
                <w:webHidden/>
              </w:rPr>
              <w:t>206</w:t>
            </w:r>
            <w:r w:rsidR="007B70EB">
              <w:rPr>
                <w:noProof/>
                <w:webHidden/>
              </w:rPr>
              <w:fldChar w:fldCharType="end"/>
            </w:r>
          </w:hyperlink>
        </w:p>
        <w:p w14:paraId="5A45A10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33" w:history="1">
            <w:r w:rsidR="007B70EB" w:rsidRPr="00AB6E34">
              <w:rPr>
                <w:rStyle w:val="Hyperlink"/>
                <w:noProof/>
              </w:rPr>
              <w:t>4.6.7.2.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_Toc494444633 \h </w:instrText>
            </w:r>
            <w:r w:rsidR="007B70EB">
              <w:rPr>
                <w:noProof/>
                <w:webHidden/>
              </w:rPr>
            </w:r>
            <w:r w:rsidR="007B70EB">
              <w:rPr>
                <w:noProof/>
                <w:webHidden/>
              </w:rPr>
              <w:fldChar w:fldCharType="separate"/>
            </w:r>
            <w:r w:rsidR="007B70EB">
              <w:rPr>
                <w:noProof/>
                <w:webHidden/>
              </w:rPr>
              <w:t>206</w:t>
            </w:r>
            <w:r w:rsidR="007B70EB">
              <w:rPr>
                <w:noProof/>
                <w:webHidden/>
              </w:rPr>
              <w:fldChar w:fldCharType="end"/>
            </w:r>
          </w:hyperlink>
        </w:p>
        <w:p w14:paraId="3C3FF11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34" w:history="1">
            <w:r w:rsidR="007B70EB" w:rsidRPr="00AB6E34">
              <w:rPr>
                <w:rStyle w:val="Hyperlink"/>
                <w:noProof/>
                <w14:scene3d>
                  <w14:camera w14:prst="orthographicFront"/>
                  <w14:lightRig w14:rig="threePt" w14:dir="t">
                    <w14:rot w14:lat="0" w14:lon="0" w14:rev="0"/>
                  </w14:lightRig>
                </w14:scene3d>
              </w:rPr>
              <w:t>4.6.8.</w:t>
            </w:r>
            <w:r w:rsidR="007B70EB">
              <w:rPr>
                <w:rFonts w:asciiTheme="minorHAnsi" w:hAnsiTheme="minorHAnsi"/>
                <w:noProof/>
                <w:sz w:val="22"/>
                <w:szCs w:val="22"/>
                <w:lang w:val="en-AU" w:eastAsia="en-AU"/>
              </w:rPr>
              <w:tab/>
            </w:r>
            <w:r w:rsidR="007B70EB" w:rsidRPr="00AB6E34">
              <w:rPr>
                <w:rStyle w:val="Hyperlink"/>
                <w:noProof/>
              </w:rPr>
              <w:t>Acrylamide polymer</w:t>
            </w:r>
            <w:r w:rsidR="007B70EB">
              <w:rPr>
                <w:noProof/>
                <w:webHidden/>
              </w:rPr>
              <w:tab/>
            </w:r>
            <w:r w:rsidR="007B70EB">
              <w:rPr>
                <w:noProof/>
                <w:webHidden/>
              </w:rPr>
              <w:fldChar w:fldCharType="begin"/>
            </w:r>
            <w:r w:rsidR="007B70EB">
              <w:rPr>
                <w:noProof/>
                <w:webHidden/>
              </w:rPr>
              <w:instrText xml:space="preserve"> PAGEREF _Toc494444634 \h </w:instrText>
            </w:r>
            <w:r w:rsidR="007B70EB">
              <w:rPr>
                <w:noProof/>
                <w:webHidden/>
              </w:rPr>
            </w:r>
            <w:r w:rsidR="007B70EB">
              <w:rPr>
                <w:noProof/>
                <w:webHidden/>
              </w:rPr>
              <w:fldChar w:fldCharType="separate"/>
            </w:r>
            <w:r w:rsidR="007B70EB">
              <w:rPr>
                <w:noProof/>
                <w:webHidden/>
              </w:rPr>
              <w:t>206</w:t>
            </w:r>
            <w:r w:rsidR="007B70EB">
              <w:rPr>
                <w:noProof/>
                <w:webHidden/>
              </w:rPr>
              <w:fldChar w:fldCharType="end"/>
            </w:r>
          </w:hyperlink>
        </w:p>
        <w:p w14:paraId="7C1023B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35" w:history="1">
            <w:r w:rsidR="007B70EB" w:rsidRPr="00AB6E34">
              <w:rPr>
                <w:rStyle w:val="Hyperlink"/>
                <w:noProof/>
              </w:rPr>
              <w:t>4.6.8.1.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_Toc494444635 \h </w:instrText>
            </w:r>
            <w:r w:rsidR="007B70EB">
              <w:rPr>
                <w:noProof/>
                <w:webHidden/>
              </w:rPr>
            </w:r>
            <w:r w:rsidR="007B70EB">
              <w:rPr>
                <w:noProof/>
                <w:webHidden/>
              </w:rPr>
              <w:fldChar w:fldCharType="separate"/>
            </w:r>
            <w:r w:rsidR="007B70EB">
              <w:rPr>
                <w:noProof/>
                <w:webHidden/>
              </w:rPr>
              <w:t>207</w:t>
            </w:r>
            <w:r w:rsidR="007B70EB">
              <w:rPr>
                <w:noProof/>
                <w:webHidden/>
              </w:rPr>
              <w:fldChar w:fldCharType="end"/>
            </w:r>
          </w:hyperlink>
        </w:p>
        <w:p w14:paraId="12371E1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36" w:history="1">
            <w:r w:rsidR="007B70EB" w:rsidRPr="00AB6E34">
              <w:rPr>
                <w:rStyle w:val="Hyperlink"/>
                <w:noProof/>
              </w:rPr>
              <w:t>4.6.8.2.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_Toc494444636 \h </w:instrText>
            </w:r>
            <w:r w:rsidR="007B70EB">
              <w:rPr>
                <w:noProof/>
                <w:webHidden/>
              </w:rPr>
            </w:r>
            <w:r w:rsidR="007B70EB">
              <w:rPr>
                <w:noProof/>
                <w:webHidden/>
              </w:rPr>
              <w:fldChar w:fldCharType="separate"/>
            </w:r>
            <w:r w:rsidR="007B70EB">
              <w:rPr>
                <w:noProof/>
                <w:webHidden/>
              </w:rPr>
              <w:t>207</w:t>
            </w:r>
            <w:r w:rsidR="007B70EB">
              <w:rPr>
                <w:noProof/>
                <w:webHidden/>
              </w:rPr>
              <w:fldChar w:fldCharType="end"/>
            </w:r>
          </w:hyperlink>
        </w:p>
        <w:p w14:paraId="67892BF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37" w:history="1">
            <w:r w:rsidR="007B70EB" w:rsidRPr="00AB6E34">
              <w:rPr>
                <w:rStyle w:val="Hyperlink"/>
                <w:noProof/>
                <w14:scene3d>
                  <w14:camera w14:prst="orthographicFront"/>
                  <w14:lightRig w14:rig="threePt" w14:dir="t">
                    <w14:rot w14:lat="0" w14:lon="0" w14:rev="0"/>
                  </w14:lightRig>
                </w14:scene3d>
              </w:rPr>
              <w:t>4.6.9.</w:t>
            </w:r>
            <w:r w:rsidR="007B70EB">
              <w:rPr>
                <w:rFonts w:asciiTheme="minorHAnsi" w:hAnsiTheme="minorHAnsi"/>
                <w:noProof/>
                <w:sz w:val="22"/>
                <w:szCs w:val="22"/>
                <w:lang w:val="en-AU" w:eastAsia="en-AU"/>
              </w:rPr>
              <w:tab/>
            </w:r>
            <w:r w:rsidR="007B70EB" w:rsidRPr="00AB6E34">
              <w:rPr>
                <w:rStyle w:val="Hyperlink"/>
                <w:noProof/>
              </w:rPr>
              <w:t>Boron (Boric acid, Borax)</w:t>
            </w:r>
            <w:r w:rsidR="007B70EB">
              <w:rPr>
                <w:noProof/>
                <w:webHidden/>
              </w:rPr>
              <w:tab/>
            </w:r>
            <w:r w:rsidR="007B70EB">
              <w:rPr>
                <w:noProof/>
                <w:webHidden/>
              </w:rPr>
              <w:fldChar w:fldCharType="begin"/>
            </w:r>
            <w:r w:rsidR="007B70EB">
              <w:rPr>
                <w:noProof/>
                <w:webHidden/>
              </w:rPr>
              <w:instrText xml:space="preserve"> PAGEREF _Toc494444637 \h </w:instrText>
            </w:r>
            <w:r w:rsidR="007B70EB">
              <w:rPr>
                <w:noProof/>
                <w:webHidden/>
              </w:rPr>
            </w:r>
            <w:r w:rsidR="007B70EB">
              <w:rPr>
                <w:noProof/>
                <w:webHidden/>
              </w:rPr>
              <w:fldChar w:fldCharType="separate"/>
            </w:r>
            <w:r w:rsidR="007B70EB">
              <w:rPr>
                <w:noProof/>
                <w:webHidden/>
              </w:rPr>
              <w:t>207</w:t>
            </w:r>
            <w:r w:rsidR="007B70EB">
              <w:rPr>
                <w:noProof/>
                <w:webHidden/>
              </w:rPr>
              <w:fldChar w:fldCharType="end"/>
            </w:r>
          </w:hyperlink>
        </w:p>
        <w:p w14:paraId="1467BE7B"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38" w:history="1">
            <w:r w:rsidR="007B70EB" w:rsidRPr="00AB6E34">
              <w:rPr>
                <w:rStyle w:val="Hyperlink"/>
                <w:noProof/>
              </w:rPr>
              <w:t>4.6.9.1.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_Toc494444638 \h </w:instrText>
            </w:r>
            <w:r w:rsidR="007B70EB">
              <w:rPr>
                <w:noProof/>
                <w:webHidden/>
              </w:rPr>
            </w:r>
            <w:r w:rsidR="007B70EB">
              <w:rPr>
                <w:noProof/>
                <w:webHidden/>
              </w:rPr>
              <w:fldChar w:fldCharType="separate"/>
            </w:r>
            <w:r w:rsidR="007B70EB">
              <w:rPr>
                <w:noProof/>
                <w:webHidden/>
              </w:rPr>
              <w:t>207</w:t>
            </w:r>
            <w:r w:rsidR="007B70EB">
              <w:rPr>
                <w:noProof/>
                <w:webHidden/>
              </w:rPr>
              <w:fldChar w:fldCharType="end"/>
            </w:r>
          </w:hyperlink>
        </w:p>
        <w:p w14:paraId="6B0326CF"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39" w:history="1">
            <w:r w:rsidR="007B70EB" w:rsidRPr="00AB6E34">
              <w:rPr>
                <w:rStyle w:val="Hyperlink"/>
                <w:noProof/>
              </w:rPr>
              <w:t>4.6.9.2.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_Toc494444639 \h </w:instrText>
            </w:r>
            <w:r w:rsidR="007B70EB">
              <w:rPr>
                <w:noProof/>
                <w:webHidden/>
              </w:rPr>
            </w:r>
            <w:r w:rsidR="007B70EB">
              <w:rPr>
                <w:noProof/>
                <w:webHidden/>
              </w:rPr>
              <w:fldChar w:fldCharType="separate"/>
            </w:r>
            <w:r w:rsidR="007B70EB">
              <w:rPr>
                <w:noProof/>
                <w:webHidden/>
              </w:rPr>
              <w:t>207</w:t>
            </w:r>
            <w:r w:rsidR="007B70EB">
              <w:rPr>
                <w:noProof/>
                <w:webHidden/>
              </w:rPr>
              <w:fldChar w:fldCharType="end"/>
            </w:r>
          </w:hyperlink>
        </w:p>
        <w:p w14:paraId="72F4C0E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40" w:history="1">
            <w:r w:rsidR="007B70EB" w:rsidRPr="00AB6E34">
              <w:rPr>
                <w:rStyle w:val="Hyperlink"/>
                <w:noProof/>
                <w14:scene3d>
                  <w14:camera w14:prst="orthographicFront"/>
                  <w14:lightRig w14:rig="threePt" w14:dir="t">
                    <w14:rot w14:lat="0" w14:lon="0" w14:rev="0"/>
                  </w14:lightRig>
                </w14:scene3d>
              </w:rPr>
              <w:t>4.6.10.</w:t>
            </w:r>
            <w:r w:rsidR="007B70EB">
              <w:rPr>
                <w:rFonts w:asciiTheme="minorHAnsi" w:hAnsiTheme="minorHAnsi"/>
                <w:noProof/>
                <w:sz w:val="22"/>
                <w:szCs w:val="22"/>
                <w:lang w:val="en-AU" w:eastAsia="en-AU"/>
              </w:rPr>
              <w:tab/>
            </w:r>
            <w:r w:rsidR="007B70EB" w:rsidRPr="00AB6E34">
              <w:rPr>
                <w:rStyle w:val="Hyperlink"/>
                <w:noProof/>
              </w:rPr>
              <w:t>Uranium</w:t>
            </w:r>
            <w:r w:rsidR="007B70EB">
              <w:rPr>
                <w:noProof/>
                <w:webHidden/>
              </w:rPr>
              <w:tab/>
            </w:r>
            <w:r w:rsidR="007B70EB">
              <w:rPr>
                <w:noProof/>
                <w:webHidden/>
              </w:rPr>
              <w:fldChar w:fldCharType="begin"/>
            </w:r>
            <w:r w:rsidR="007B70EB">
              <w:rPr>
                <w:noProof/>
                <w:webHidden/>
              </w:rPr>
              <w:instrText xml:space="preserve"> PAGEREF _Toc494444640 \h </w:instrText>
            </w:r>
            <w:r w:rsidR="007B70EB">
              <w:rPr>
                <w:noProof/>
                <w:webHidden/>
              </w:rPr>
            </w:r>
            <w:r w:rsidR="007B70EB">
              <w:rPr>
                <w:noProof/>
                <w:webHidden/>
              </w:rPr>
              <w:fldChar w:fldCharType="separate"/>
            </w:r>
            <w:r w:rsidR="007B70EB">
              <w:rPr>
                <w:noProof/>
                <w:webHidden/>
              </w:rPr>
              <w:t>208</w:t>
            </w:r>
            <w:r w:rsidR="007B70EB">
              <w:rPr>
                <w:noProof/>
                <w:webHidden/>
              </w:rPr>
              <w:fldChar w:fldCharType="end"/>
            </w:r>
          </w:hyperlink>
        </w:p>
        <w:p w14:paraId="3298E809"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41" w:history="1">
            <w:r w:rsidR="007B70EB" w:rsidRPr="00AB6E34">
              <w:rPr>
                <w:rStyle w:val="Hyperlink"/>
                <w:noProof/>
              </w:rPr>
              <w:t>4.6.10.1.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_Toc494444641 \h </w:instrText>
            </w:r>
            <w:r w:rsidR="007B70EB">
              <w:rPr>
                <w:noProof/>
                <w:webHidden/>
              </w:rPr>
            </w:r>
            <w:r w:rsidR="007B70EB">
              <w:rPr>
                <w:noProof/>
                <w:webHidden/>
              </w:rPr>
              <w:fldChar w:fldCharType="separate"/>
            </w:r>
            <w:r w:rsidR="007B70EB">
              <w:rPr>
                <w:noProof/>
                <w:webHidden/>
              </w:rPr>
              <w:t>208</w:t>
            </w:r>
            <w:r w:rsidR="007B70EB">
              <w:rPr>
                <w:noProof/>
                <w:webHidden/>
              </w:rPr>
              <w:fldChar w:fldCharType="end"/>
            </w:r>
          </w:hyperlink>
        </w:p>
        <w:p w14:paraId="2F0A68D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42" w:history="1">
            <w:r w:rsidR="007B70EB" w:rsidRPr="00AB6E34">
              <w:rPr>
                <w:rStyle w:val="Hyperlink"/>
                <w:noProof/>
              </w:rPr>
              <w:t>4.6.10.2.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_Toc494444642 \h </w:instrText>
            </w:r>
            <w:r w:rsidR="007B70EB">
              <w:rPr>
                <w:noProof/>
                <w:webHidden/>
              </w:rPr>
            </w:r>
            <w:r w:rsidR="007B70EB">
              <w:rPr>
                <w:noProof/>
                <w:webHidden/>
              </w:rPr>
              <w:fldChar w:fldCharType="separate"/>
            </w:r>
            <w:r w:rsidR="007B70EB">
              <w:rPr>
                <w:noProof/>
                <w:webHidden/>
              </w:rPr>
              <w:t>208</w:t>
            </w:r>
            <w:r w:rsidR="007B70EB">
              <w:rPr>
                <w:noProof/>
                <w:webHidden/>
              </w:rPr>
              <w:fldChar w:fldCharType="end"/>
            </w:r>
          </w:hyperlink>
        </w:p>
        <w:p w14:paraId="3D64526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43" w:history="1">
            <w:r w:rsidR="007B70EB" w:rsidRPr="00AB6E34">
              <w:rPr>
                <w:rStyle w:val="Hyperlink"/>
                <w:noProof/>
                <w14:scene3d>
                  <w14:camera w14:prst="orthographicFront"/>
                  <w14:lightRig w14:rig="threePt" w14:dir="t">
                    <w14:rot w14:lat="0" w14:lon="0" w14:rev="0"/>
                  </w14:lightRig>
                </w14:scene3d>
              </w:rPr>
              <w:t>4.6.11.</w:t>
            </w:r>
            <w:r w:rsidR="007B70EB">
              <w:rPr>
                <w:rFonts w:asciiTheme="minorHAnsi" w:hAnsiTheme="minorHAnsi"/>
                <w:noProof/>
                <w:sz w:val="22"/>
                <w:szCs w:val="22"/>
                <w:lang w:val="en-AU" w:eastAsia="en-AU"/>
              </w:rPr>
              <w:tab/>
            </w:r>
            <w:r w:rsidR="007B70EB" w:rsidRPr="00AB6E34">
              <w:rPr>
                <w:rStyle w:val="Hyperlink"/>
                <w:noProof/>
              </w:rPr>
              <w:t>Barium</w:t>
            </w:r>
            <w:r w:rsidR="007B70EB">
              <w:rPr>
                <w:noProof/>
                <w:webHidden/>
              </w:rPr>
              <w:tab/>
            </w:r>
            <w:r w:rsidR="007B70EB">
              <w:rPr>
                <w:noProof/>
                <w:webHidden/>
              </w:rPr>
              <w:fldChar w:fldCharType="begin"/>
            </w:r>
            <w:r w:rsidR="007B70EB">
              <w:rPr>
                <w:noProof/>
                <w:webHidden/>
              </w:rPr>
              <w:instrText xml:space="preserve"> PAGEREF _Toc494444643 \h </w:instrText>
            </w:r>
            <w:r w:rsidR="007B70EB">
              <w:rPr>
                <w:noProof/>
                <w:webHidden/>
              </w:rPr>
            </w:r>
            <w:r w:rsidR="007B70EB">
              <w:rPr>
                <w:noProof/>
                <w:webHidden/>
              </w:rPr>
              <w:fldChar w:fldCharType="separate"/>
            </w:r>
            <w:r w:rsidR="007B70EB">
              <w:rPr>
                <w:noProof/>
                <w:webHidden/>
              </w:rPr>
              <w:t>209</w:t>
            </w:r>
            <w:r w:rsidR="007B70EB">
              <w:rPr>
                <w:noProof/>
                <w:webHidden/>
              </w:rPr>
              <w:fldChar w:fldCharType="end"/>
            </w:r>
          </w:hyperlink>
        </w:p>
        <w:p w14:paraId="4CB9F489"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44" w:history="1">
            <w:r w:rsidR="007B70EB" w:rsidRPr="00AB6E34">
              <w:rPr>
                <w:rStyle w:val="Hyperlink"/>
                <w:noProof/>
              </w:rPr>
              <w:t>4.6.11.1.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_Toc494444644 \h </w:instrText>
            </w:r>
            <w:r w:rsidR="007B70EB">
              <w:rPr>
                <w:noProof/>
                <w:webHidden/>
              </w:rPr>
            </w:r>
            <w:r w:rsidR="007B70EB">
              <w:rPr>
                <w:noProof/>
                <w:webHidden/>
              </w:rPr>
              <w:fldChar w:fldCharType="separate"/>
            </w:r>
            <w:r w:rsidR="007B70EB">
              <w:rPr>
                <w:noProof/>
                <w:webHidden/>
              </w:rPr>
              <w:t>209</w:t>
            </w:r>
            <w:r w:rsidR="007B70EB">
              <w:rPr>
                <w:noProof/>
                <w:webHidden/>
              </w:rPr>
              <w:fldChar w:fldCharType="end"/>
            </w:r>
          </w:hyperlink>
        </w:p>
        <w:p w14:paraId="14E711A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45" w:history="1">
            <w:r w:rsidR="007B70EB" w:rsidRPr="00AB6E34">
              <w:rPr>
                <w:rStyle w:val="Hyperlink"/>
                <w:noProof/>
              </w:rPr>
              <w:t>4.6.11.2.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_Toc494444645 \h </w:instrText>
            </w:r>
            <w:r w:rsidR="007B70EB">
              <w:rPr>
                <w:noProof/>
                <w:webHidden/>
              </w:rPr>
            </w:r>
            <w:r w:rsidR="007B70EB">
              <w:rPr>
                <w:noProof/>
                <w:webHidden/>
              </w:rPr>
              <w:fldChar w:fldCharType="separate"/>
            </w:r>
            <w:r w:rsidR="007B70EB">
              <w:rPr>
                <w:noProof/>
                <w:webHidden/>
              </w:rPr>
              <w:t>209</w:t>
            </w:r>
            <w:r w:rsidR="007B70EB">
              <w:rPr>
                <w:noProof/>
                <w:webHidden/>
              </w:rPr>
              <w:fldChar w:fldCharType="end"/>
            </w:r>
          </w:hyperlink>
        </w:p>
        <w:p w14:paraId="7F9DCE8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46" w:history="1">
            <w:r w:rsidR="007B70EB" w:rsidRPr="00AB6E34">
              <w:rPr>
                <w:rStyle w:val="Hyperlink"/>
                <w:noProof/>
                <w14:scene3d>
                  <w14:camera w14:prst="orthographicFront"/>
                  <w14:lightRig w14:rig="threePt" w14:dir="t">
                    <w14:rot w14:lat="0" w14:lon="0" w14:rev="0"/>
                  </w14:lightRig>
                </w14:scene3d>
              </w:rPr>
              <w:t>4.6.12.</w:t>
            </w:r>
            <w:r w:rsidR="007B70EB">
              <w:rPr>
                <w:rFonts w:asciiTheme="minorHAnsi" w:hAnsiTheme="minorHAnsi"/>
                <w:noProof/>
                <w:sz w:val="22"/>
                <w:szCs w:val="22"/>
                <w:lang w:val="en-AU" w:eastAsia="en-AU"/>
              </w:rPr>
              <w:tab/>
            </w:r>
            <w:r w:rsidR="007B70EB" w:rsidRPr="00AB6E34">
              <w:rPr>
                <w:rStyle w:val="Hyperlink"/>
                <w:noProof/>
              </w:rPr>
              <w:t>Arsenic</w:t>
            </w:r>
            <w:r w:rsidR="007B70EB">
              <w:rPr>
                <w:noProof/>
                <w:webHidden/>
              </w:rPr>
              <w:tab/>
            </w:r>
            <w:r w:rsidR="007B70EB">
              <w:rPr>
                <w:noProof/>
                <w:webHidden/>
              </w:rPr>
              <w:fldChar w:fldCharType="begin"/>
            </w:r>
            <w:r w:rsidR="007B70EB">
              <w:rPr>
                <w:noProof/>
                <w:webHidden/>
              </w:rPr>
              <w:instrText xml:space="preserve"> PAGEREF _Toc494444646 \h </w:instrText>
            </w:r>
            <w:r w:rsidR="007B70EB">
              <w:rPr>
                <w:noProof/>
                <w:webHidden/>
              </w:rPr>
            </w:r>
            <w:r w:rsidR="007B70EB">
              <w:rPr>
                <w:noProof/>
                <w:webHidden/>
              </w:rPr>
              <w:fldChar w:fldCharType="separate"/>
            </w:r>
            <w:r w:rsidR="007B70EB">
              <w:rPr>
                <w:noProof/>
                <w:webHidden/>
              </w:rPr>
              <w:t>209</w:t>
            </w:r>
            <w:r w:rsidR="007B70EB">
              <w:rPr>
                <w:noProof/>
                <w:webHidden/>
              </w:rPr>
              <w:fldChar w:fldCharType="end"/>
            </w:r>
          </w:hyperlink>
        </w:p>
        <w:p w14:paraId="6408B8C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47" w:history="1">
            <w:r w:rsidR="007B70EB" w:rsidRPr="00AB6E34">
              <w:rPr>
                <w:rStyle w:val="Hyperlink"/>
                <w:noProof/>
              </w:rPr>
              <w:t>4.6.12.1.</w:t>
            </w:r>
            <w:r w:rsidR="007B70EB">
              <w:rPr>
                <w:rFonts w:asciiTheme="minorHAnsi" w:hAnsiTheme="minorHAnsi"/>
                <w:noProof/>
                <w:sz w:val="22"/>
                <w:szCs w:val="22"/>
                <w:lang w:val="en-AU" w:eastAsia="en-AU"/>
              </w:rPr>
              <w:tab/>
            </w:r>
            <w:r w:rsidR="007B70EB" w:rsidRPr="00AB6E34">
              <w:rPr>
                <w:rStyle w:val="Hyperlink"/>
                <w:noProof/>
              </w:rPr>
              <w:t>Environmental Hazards</w:t>
            </w:r>
            <w:r w:rsidR="007B70EB">
              <w:rPr>
                <w:noProof/>
                <w:webHidden/>
              </w:rPr>
              <w:tab/>
            </w:r>
            <w:r w:rsidR="007B70EB">
              <w:rPr>
                <w:noProof/>
                <w:webHidden/>
              </w:rPr>
              <w:fldChar w:fldCharType="begin"/>
            </w:r>
            <w:r w:rsidR="007B70EB">
              <w:rPr>
                <w:noProof/>
                <w:webHidden/>
              </w:rPr>
              <w:instrText xml:space="preserve"> PAGEREF _Toc494444647 \h </w:instrText>
            </w:r>
            <w:r w:rsidR="007B70EB">
              <w:rPr>
                <w:noProof/>
                <w:webHidden/>
              </w:rPr>
            </w:r>
            <w:r w:rsidR="007B70EB">
              <w:rPr>
                <w:noProof/>
                <w:webHidden/>
              </w:rPr>
              <w:fldChar w:fldCharType="separate"/>
            </w:r>
            <w:r w:rsidR="007B70EB">
              <w:rPr>
                <w:noProof/>
                <w:webHidden/>
              </w:rPr>
              <w:t>209</w:t>
            </w:r>
            <w:r w:rsidR="007B70EB">
              <w:rPr>
                <w:noProof/>
                <w:webHidden/>
              </w:rPr>
              <w:fldChar w:fldCharType="end"/>
            </w:r>
          </w:hyperlink>
        </w:p>
        <w:p w14:paraId="3DA4A87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48" w:history="1">
            <w:r w:rsidR="007B70EB" w:rsidRPr="00AB6E34">
              <w:rPr>
                <w:rStyle w:val="Hyperlink"/>
                <w:noProof/>
              </w:rPr>
              <w:t>4.6.12.2.</w:t>
            </w:r>
            <w:r w:rsidR="007B70EB">
              <w:rPr>
                <w:rFonts w:asciiTheme="minorHAnsi" w:hAnsiTheme="minorHAnsi"/>
                <w:noProof/>
                <w:sz w:val="22"/>
                <w:szCs w:val="22"/>
                <w:lang w:val="en-AU" w:eastAsia="en-AU"/>
              </w:rPr>
              <w:tab/>
            </w:r>
            <w:r w:rsidR="007B70EB" w:rsidRPr="00AB6E34">
              <w:rPr>
                <w:rStyle w:val="Hyperlink"/>
                <w:noProof/>
              </w:rPr>
              <w:t>Human Health Hazards</w:t>
            </w:r>
            <w:r w:rsidR="007B70EB">
              <w:rPr>
                <w:noProof/>
                <w:webHidden/>
              </w:rPr>
              <w:tab/>
            </w:r>
            <w:r w:rsidR="007B70EB">
              <w:rPr>
                <w:noProof/>
                <w:webHidden/>
              </w:rPr>
              <w:fldChar w:fldCharType="begin"/>
            </w:r>
            <w:r w:rsidR="007B70EB">
              <w:rPr>
                <w:noProof/>
                <w:webHidden/>
              </w:rPr>
              <w:instrText xml:space="preserve"> PAGEREF _Toc494444648 \h </w:instrText>
            </w:r>
            <w:r w:rsidR="007B70EB">
              <w:rPr>
                <w:noProof/>
                <w:webHidden/>
              </w:rPr>
            </w:r>
            <w:r w:rsidR="007B70EB">
              <w:rPr>
                <w:noProof/>
                <w:webHidden/>
              </w:rPr>
              <w:fldChar w:fldCharType="separate"/>
            </w:r>
            <w:r w:rsidR="007B70EB">
              <w:rPr>
                <w:noProof/>
                <w:webHidden/>
              </w:rPr>
              <w:t>210</w:t>
            </w:r>
            <w:r w:rsidR="007B70EB">
              <w:rPr>
                <w:noProof/>
                <w:webHidden/>
              </w:rPr>
              <w:fldChar w:fldCharType="end"/>
            </w:r>
          </w:hyperlink>
        </w:p>
        <w:p w14:paraId="70DED93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49" w:history="1">
            <w:r w:rsidR="007B70EB" w:rsidRPr="00AB6E34">
              <w:rPr>
                <w:rStyle w:val="Hyperlink"/>
                <w:noProof/>
                <w14:scene3d>
                  <w14:camera w14:prst="orthographicFront"/>
                  <w14:lightRig w14:rig="threePt" w14:dir="t">
                    <w14:rot w14:lat="0" w14:lon="0" w14:rev="0"/>
                  </w14:lightRig>
                </w14:scene3d>
              </w:rPr>
              <w:t>4.6.13.</w:t>
            </w:r>
            <w:r w:rsidR="007B70EB">
              <w:rPr>
                <w:rFonts w:asciiTheme="minorHAnsi" w:hAnsiTheme="minorHAnsi"/>
                <w:noProof/>
                <w:sz w:val="22"/>
                <w:szCs w:val="22"/>
                <w:lang w:val="en-AU" w:eastAsia="en-AU"/>
              </w:rPr>
              <w:tab/>
            </w:r>
            <w:r w:rsidR="007B70EB" w:rsidRPr="00AB6E34">
              <w:rPr>
                <w:rStyle w:val="Hyperlink"/>
                <w:noProof/>
              </w:rPr>
              <w:t>Summary of PNEC and drinking water guideline values</w:t>
            </w:r>
            <w:r w:rsidR="007B70EB">
              <w:rPr>
                <w:noProof/>
                <w:webHidden/>
              </w:rPr>
              <w:tab/>
            </w:r>
            <w:r w:rsidR="007B70EB">
              <w:rPr>
                <w:noProof/>
                <w:webHidden/>
              </w:rPr>
              <w:fldChar w:fldCharType="begin"/>
            </w:r>
            <w:r w:rsidR="007B70EB">
              <w:rPr>
                <w:noProof/>
                <w:webHidden/>
              </w:rPr>
              <w:instrText xml:space="preserve"> PAGEREF _Toc494444649 \h </w:instrText>
            </w:r>
            <w:r w:rsidR="007B70EB">
              <w:rPr>
                <w:noProof/>
                <w:webHidden/>
              </w:rPr>
            </w:r>
            <w:r w:rsidR="007B70EB">
              <w:rPr>
                <w:noProof/>
                <w:webHidden/>
              </w:rPr>
              <w:fldChar w:fldCharType="separate"/>
            </w:r>
            <w:r w:rsidR="007B70EB">
              <w:rPr>
                <w:noProof/>
                <w:webHidden/>
              </w:rPr>
              <w:t>210</w:t>
            </w:r>
            <w:r w:rsidR="007B70EB">
              <w:rPr>
                <w:noProof/>
                <w:webHidden/>
              </w:rPr>
              <w:fldChar w:fldCharType="end"/>
            </w:r>
          </w:hyperlink>
        </w:p>
        <w:p w14:paraId="303F9E25" w14:textId="77777777" w:rsidR="007B70EB" w:rsidRDefault="00900E5C">
          <w:pPr>
            <w:pStyle w:val="TOC1"/>
            <w:rPr>
              <w:rFonts w:asciiTheme="minorHAnsi" w:hAnsiTheme="minorHAnsi"/>
              <w:b w:val="0"/>
              <w:noProof/>
              <w:sz w:val="22"/>
              <w:szCs w:val="22"/>
              <w:lang w:val="en-AU" w:eastAsia="en-AU"/>
            </w:rPr>
          </w:pPr>
          <w:hyperlink w:anchor="_Toc494444650" w:history="1">
            <w:r w:rsidR="007B70EB" w:rsidRPr="00AB6E34">
              <w:rPr>
                <w:rStyle w:val="Hyperlink"/>
                <w:noProof/>
              </w:rPr>
              <w:t>5.</w:t>
            </w:r>
            <w:r w:rsidR="007B70EB">
              <w:rPr>
                <w:rFonts w:asciiTheme="minorHAnsi" w:hAnsiTheme="minorHAnsi"/>
                <w:b w:val="0"/>
                <w:noProof/>
                <w:sz w:val="22"/>
                <w:szCs w:val="22"/>
                <w:lang w:val="en-AU" w:eastAsia="en-AU"/>
              </w:rPr>
              <w:tab/>
            </w:r>
            <w:r w:rsidR="007B70EB" w:rsidRPr="00AB6E34">
              <w:rPr>
                <w:rStyle w:val="Hyperlink"/>
                <w:noProof/>
              </w:rPr>
              <w:t>Composite research product</w:t>
            </w:r>
            <w:r w:rsidR="007B70EB">
              <w:rPr>
                <w:noProof/>
                <w:webHidden/>
              </w:rPr>
              <w:tab/>
            </w:r>
            <w:r w:rsidR="007B70EB">
              <w:rPr>
                <w:noProof/>
                <w:webHidden/>
              </w:rPr>
              <w:fldChar w:fldCharType="begin"/>
            </w:r>
            <w:r w:rsidR="007B70EB">
              <w:rPr>
                <w:noProof/>
                <w:webHidden/>
              </w:rPr>
              <w:instrText xml:space="preserve"> PAGEREF _Toc494444650 \h </w:instrText>
            </w:r>
            <w:r w:rsidR="007B70EB">
              <w:rPr>
                <w:noProof/>
                <w:webHidden/>
              </w:rPr>
            </w:r>
            <w:r w:rsidR="007B70EB">
              <w:rPr>
                <w:noProof/>
                <w:webHidden/>
              </w:rPr>
              <w:fldChar w:fldCharType="separate"/>
            </w:r>
            <w:r w:rsidR="007B70EB">
              <w:rPr>
                <w:noProof/>
                <w:webHidden/>
              </w:rPr>
              <w:t>211</w:t>
            </w:r>
            <w:r w:rsidR="007B70EB">
              <w:rPr>
                <w:noProof/>
                <w:webHidden/>
              </w:rPr>
              <w:fldChar w:fldCharType="end"/>
            </w:r>
          </w:hyperlink>
        </w:p>
        <w:p w14:paraId="13A2CDD5" w14:textId="77777777" w:rsidR="007B70EB" w:rsidRDefault="00900E5C">
          <w:pPr>
            <w:pStyle w:val="TOC2"/>
            <w:rPr>
              <w:rFonts w:asciiTheme="minorHAnsi" w:hAnsiTheme="minorHAnsi"/>
              <w:noProof/>
              <w:sz w:val="22"/>
              <w:szCs w:val="22"/>
              <w:lang w:val="en-AU" w:eastAsia="en-AU"/>
            </w:rPr>
          </w:pPr>
          <w:hyperlink w:anchor="_Toc494444651" w:history="1">
            <w:r w:rsidR="007B70EB" w:rsidRPr="00AB6E34">
              <w:rPr>
                <w:rStyle w:val="Hyperlink"/>
                <w:noProof/>
                <w14:scene3d>
                  <w14:camera w14:prst="orthographicFront"/>
                  <w14:lightRig w14:rig="threePt" w14:dir="t">
                    <w14:rot w14:lat="0" w14:lon="0" w14:rev="0"/>
                  </w14:lightRig>
                </w14:scene3d>
              </w:rPr>
              <w:t>5.1.</w:t>
            </w:r>
            <w:r w:rsidR="007B70EB">
              <w:rPr>
                <w:rFonts w:asciiTheme="minorHAnsi" w:hAnsiTheme="minorHAnsi"/>
                <w:noProof/>
                <w:sz w:val="22"/>
                <w:szCs w:val="22"/>
                <w:lang w:val="en-AU" w:eastAsia="en-AU"/>
              </w:rPr>
              <w:tab/>
            </w:r>
            <w:r w:rsidR="007B70EB" w:rsidRPr="00AB6E34">
              <w:rPr>
                <w:rStyle w:val="Hyperlink"/>
                <w:noProof/>
              </w:rPr>
              <w:t>Methodology</w:t>
            </w:r>
            <w:r w:rsidR="007B70EB">
              <w:rPr>
                <w:noProof/>
                <w:webHidden/>
              </w:rPr>
              <w:tab/>
            </w:r>
            <w:r w:rsidR="007B70EB">
              <w:rPr>
                <w:noProof/>
                <w:webHidden/>
              </w:rPr>
              <w:fldChar w:fldCharType="begin"/>
            </w:r>
            <w:r w:rsidR="007B70EB">
              <w:rPr>
                <w:noProof/>
                <w:webHidden/>
              </w:rPr>
              <w:instrText xml:space="preserve"> PAGEREF _Toc494444651 \h </w:instrText>
            </w:r>
            <w:r w:rsidR="007B70EB">
              <w:rPr>
                <w:noProof/>
                <w:webHidden/>
              </w:rPr>
            </w:r>
            <w:r w:rsidR="007B70EB">
              <w:rPr>
                <w:noProof/>
                <w:webHidden/>
              </w:rPr>
              <w:fldChar w:fldCharType="separate"/>
            </w:r>
            <w:r w:rsidR="007B70EB">
              <w:rPr>
                <w:noProof/>
                <w:webHidden/>
              </w:rPr>
              <w:t>211</w:t>
            </w:r>
            <w:r w:rsidR="007B70EB">
              <w:rPr>
                <w:noProof/>
                <w:webHidden/>
              </w:rPr>
              <w:fldChar w:fldCharType="end"/>
            </w:r>
          </w:hyperlink>
        </w:p>
        <w:p w14:paraId="67BF166E" w14:textId="77777777" w:rsidR="007B70EB" w:rsidRDefault="00900E5C">
          <w:pPr>
            <w:pStyle w:val="TOC2"/>
            <w:rPr>
              <w:rFonts w:asciiTheme="minorHAnsi" w:hAnsiTheme="minorHAnsi"/>
              <w:noProof/>
              <w:sz w:val="22"/>
              <w:szCs w:val="22"/>
              <w:lang w:val="en-AU" w:eastAsia="en-AU"/>
            </w:rPr>
          </w:pPr>
          <w:hyperlink w:anchor="_Toc494444652" w:history="1">
            <w:r w:rsidR="007B70EB" w:rsidRPr="00AB6E34">
              <w:rPr>
                <w:rStyle w:val="Hyperlink"/>
                <w:noProof/>
                <w14:scene3d>
                  <w14:camera w14:prst="orthographicFront"/>
                  <w14:lightRig w14:rig="threePt" w14:dir="t">
                    <w14:rot w14:lat="0" w14:lon="0" w14:rev="0"/>
                  </w14:lightRig>
                </w14:scene3d>
              </w:rPr>
              <w:t>5.2.</w:t>
            </w:r>
            <w:r w:rsidR="007B70EB">
              <w:rPr>
                <w:rFonts w:asciiTheme="minorHAnsi" w:hAnsiTheme="minorHAnsi"/>
                <w:noProof/>
                <w:sz w:val="22"/>
                <w:szCs w:val="22"/>
                <w:lang w:val="en-AU" w:eastAsia="en-AU"/>
              </w:rPr>
              <w:tab/>
            </w:r>
            <w:r w:rsidR="007B70EB" w:rsidRPr="00AB6E34">
              <w:rPr>
                <w:rStyle w:val="Hyperlink"/>
                <w:noProof/>
              </w:rPr>
              <w:t>Application to the Gunnedah Basin</w:t>
            </w:r>
            <w:r w:rsidR="007B70EB">
              <w:rPr>
                <w:noProof/>
                <w:webHidden/>
              </w:rPr>
              <w:tab/>
            </w:r>
            <w:r w:rsidR="007B70EB">
              <w:rPr>
                <w:noProof/>
                <w:webHidden/>
              </w:rPr>
              <w:fldChar w:fldCharType="begin"/>
            </w:r>
            <w:r w:rsidR="007B70EB">
              <w:rPr>
                <w:noProof/>
                <w:webHidden/>
              </w:rPr>
              <w:instrText xml:space="preserve"> PAGEREF _Toc494444652 \h </w:instrText>
            </w:r>
            <w:r w:rsidR="007B70EB">
              <w:rPr>
                <w:noProof/>
                <w:webHidden/>
              </w:rPr>
            </w:r>
            <w:r w:rsidR="007B70EB">
              <w:rPr>
                <w:noProof/>
                <w:webHidden/>
              </w:rPr>
              <w:fldChar w:fldCharType="separate"/>
            </w:r>
            <w:r w:rsidR="007B70EB">
              <w:rPr>
                <w:noProof/>
                <w:webHidden/>
              </w:rPr>
              <w:t>214</w:t>
            </w:r>
            <w:r w:rsidR="007B70EB">
              <w:rPr>
                <w:noProof/>
                <w:webHidden/>
              </w:rPr>
              <w:fldChar w:fldCharType="end"/>
            </w:r>
          </w:hyperlink>
        </w:p>
        <w:p w14:paraId="28CC60B0"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53" w:history="1">
            <w:r w:rsidR="007B70EB" w:rsidRPr="00AB6E34">
              <w:rPr>
                <w:rStyle w:val="Hyperlink"/>
                <w:noProof/>
                <w14:scene3d>
                  <w14:camera w14:prst="orthographicFront"/>
                  <w14:lightRig w14:rig="threePt" w14:dir="t">
                    <w14:rot w14:lat="0" w14:lon="0" w14:rev="0"/>
                  </w14:lightRig>
                </w14:scene3d>
              </w:rPr>
              <w:t>5.2.1.</w:t>
            </w:r>
            <w:r w:rsidR="007B70EB">
              <w:rPr>
                <w:rFonts w:asciiTheme="minorHAnsi" w:hAnsiTheme="minorHAnsi"/>
                <w:noProof/>
                <w:sz w:val="22"/>
                <w:szCs w:val="22"/>
                <w:lang w:val="en-AU" w:eastAsia="en-AU"/>
              </w:rPr>
              <w:tab/>
            </w:r>
            <w:r w:rsidR="007B70EB" w:rsidRPr="00AB6E34">
              <w:rPr>
                <w:rStyle w:val="Hyperlink"/>
                <w:noProof/>
              </w:rPr>
              <w:t>Organic substances</w:t>
            </w:r>
            <w:r w:rsidR="007B70EB">
              <w:rPr>
                <w:noProof/>
                <w:webHidden/>
              </w:rPr>
              <w:tab/>
            </w:r>
            <w:r w:rsidR="007B70EB">
              <w:rPr>
                <w:noProof/>
                <w:webHidden/>
              </w:rPr>
              <w:fldChar w:fldCharType="begin"/>
            </w:r>
            <w:r w:rsidR="007B70EB">
              <w:rPr>
                <w:noProof/>
                <w:webHidden/>
              </w:rPr>
              <w:instrText xml:space="preserve"> PAGEREF _Toc494444653 \h </w:instrText>
            </w:r>
            <w:r w:rsidR="007B70EB">
              <w:rPr>
                <w:noProof/>
                <w:webHidden/>
              </w:rPr>
            </w:r>
            <w:r w:rsidR="007B70EB">
              <w:rPr>
                <w:noProof/>
                <w:webHidden/>
              </w:rPr>
              <w:fldChar w:fldCharType="separate"/>
            </w:r>
            <w:r w:rsidR="007B70EB">
              <w:rPr>
                <w:noProof/>
                <w:webHidden/>
              </w:rPr>
              <w:t>214</w:t>
            </w:r>
            <w:r w:rsidR="007B70EB">
              <w:rPr>
                <w:noProof/>
                <w:webHidden/>
              </w:rPr>
              <w:fldChar w:fldCharType="end"/>
            </w:r>
          </w:hyperlink>
        </w:p>
        <w:p w14:paraId="43A61AE7"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54" w:history="1">
            <w:r w:rsidR="007B70EB" w:rsidRPr="00AB6E34">
              <w:rPr>
                <w:rStyle w:val="Hyperlink"/>
                <w:noProof/>
              </w:rPr>
              <w:t>5.2.1.1.</w:t>
            </w:r>
            <w:r w:rsidR="007B70EB">
              <w:rPr>
                <w:rFonts w:asciiTheme="minorHAnsi" w:hAnsiTheme="minorHAnsi"/>
                <w:noProof/>
                <w:sz w:val="22"/>
                <w:szCs w:val="22"/>
                <w:lang w:val="en-AU" w:eastAsia="en-AU"/>
              </w:rPr>
              <w:tab/>
            </w:r>
            <w:r w:rsidR="007B70EB" w:rsidRPr="00AB6E34">
              <w:rPr>
                <w:rStyle w:val="Hyperlink"/>
                <w:noProof/>
              </w:rPr>
              <w:t>Attenuation due to chemical/biological degradation</w:t>
            </w:r>
            <w:r w:rsidR="007B70EB">
              <w:rPr>
                <w:noProof/>
                <w:webHidden/>
              </w:rPr>
              <w:tab/>
            </w:r>
            <w:r w:rsidR="007B70EB">
              <w:rPr>
                <w:noProof/>
                <w:webHidden/>
              </w:rPr>
              <w:fldChar w:fldCharType="begin"/>
            </w:r>
            <w:r w:rsidR="007B70EB">
              <w:rPr>
                <w:noProof/>
                <w:webHidden/>
              </w:rPr>
              <w:instrText xml:space="preserve"> PAGEREF _Toc494444654 \h </w:instrText>
            </w:r>
            <w:r w:rsidR="007B70EB">
              <w:rPr>
                <w:noProof/>
                <w:webHidden/>
              </w:rPr>
            </w:r>
            <w:r w:rsidR="007B70EB">
              <w:rPr>
                <w:noProof/>
                <w:webHidden/>
              </w:rPr>
              <w:fldChar w:fldCharType="separate"/>
            </w:r>
            <w:r w:rsidR="007B70EB">
              <w:rPr>
                <w:noProof/>
                <w:webHidden/>
              </w:rPr>
              <w:t>214</w:t>
            </w:r>
            <w:r w:rsidR="007B70EB">
              <w:rPr>
                <w:noProof/>
                <w:webHidden/>
              </w:rPr>
              <w:fldChar w:fldCharType="end"/>
            </w:r>
          </w:hyperlink>
        </w:p>
        <w:p w14:paraId="5662D70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55" w:history="1">
            <w:r w:rsidR="007B70EB" w:rsidRPr="00AB6E34">
              <w:rPr>
                <w:rStyle w:val="Hyperlink"/>
                <w:noProof/>
              </w:rPr>
              <w:t>5.2.1.1.1.</w:t>
            </w:r>
            <w:r w:rsidR="007B70EB">
              <w:rPr>
                <w:rFonts w:asciiTheme="minorHAnsi" w:hAnsiTheme="minorHAnsi"/>
                <w:noProof/>
                <w:sz w:val="22"/>
                <w:szCs w:val="22"/>
                <w:lang w:val="en-AU" w:eastAsia="en-AU"/>
              </w:rPr>
              <w:tab/>
            </w:r>
            <w:r w:rsidR="007B70EB" w:rsidRPr="00AB6E34">
              <w:rPr>
                <w:rStyle w:val="Hyperlink"/>
                <w:noProof/>
              </w:rPr>
              <w:t>2-methylphenol</w:t>
            </w:r>
            <w:r w:rsidR="007B70EB">
              <w:rPr>
                <w:noProof/>
                <w:webHidden/>
              </w:rPr>
              <w:tab/>
            </w:r>
            <w:r w:rsidR="007B70EB">
              <w:rPr>
                <w:noProof/>
                <w:webHidden/>
              </w:rPr>
              <w:fldChar w:fldCharType="begin"/>
            </w:r>
            <w:r w:rsidR="007B70EB">
              <w:rPr>
                <w:noProof/>
                <w:webHidden/>
              </w:rPr>
              <w:instrText xml:space="preserve"> PAGEREF _Toc494444655 \h </w:instrText>
            </w:r>
            <w:r w:rsidR="007B70EB">
              <w:rPr>
                <w:noProof/>
                <w:webHidden/>
              </w:rPr>
            </w:r>
            <w:r w:rsidR="007B70EB">
              <w:rPr>
                <w:noProof/>
                <w:webHidden/>
              </w:rPr>
              <w:fldChar w:fldCharType="separate"/>
            </w:r>
            <w:r w:rsidR="007B70EB">
              <w:rPr>
                <w:noProof/>
                <w:webHidden/>
              </w:rPr>
              <w:t>215</w:t>
            </w:r>
            <w:r w:rsidR="007B70EB">
              <w:rPr>
                <w:noProof/>
                <w:webHidden/>
              </w:rPr>
              <w:fldChar w:fldCharType="end"/>
            </w:r>
          </w:hyperlink>
        </w:p>
        <w:p w14:paraId="28DFE97B"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56" w:history="1">
            <w:r w:rsidR="007B70EB" w:rsidRPr="00AB6E34">
              <w:rPr>
                <w:rStyle w:val="Hyperlink"/>
                <w:noProof/>
              </w:rPr>
              <w:t>5.2.1.1.2.</w:t>
            </w:r>
            <w:r w:rsidR="007B70EB">
              <w:rPr>
                <w:rFonts w:asciiTheme="minorHAnsi" w:hAnsiTheme="minorHAnsi"/>
                <w:noProof/>
                <w:sz w:val="22"/>
                <w:szCs w:val="22"/>
                <w:lang w:val="en-AU" w:eastAsia="en-AU"/>
              </w:rPr>
              <w:tab/>
            </w:r>
            <w:r w:rsidR="007B70EB" w:rsidRPr="00AB6E34">
              <w:rPr>
                <w:rStyle w:val="Hyperlink"/>
                <w:noProof/>
              </w:rPr>
              <w:t>Naphthalene</w:t>
            </w:r>
            <w:r w:rsidR="007B70EB">
              <w:rPr>
                <w:noProof/>
                <w:webHidden/>
              </w:rPr>
              <w:tab/>
            </w:r>
            <w:r w:rsidR="007B70EB">
              <w:rPr>
                <w:noProof/>
                <w:webHidden/>
              </w:rPr>
              <w:fldChar w:fldCharType="begin"/>
            </w:r>
            <w:r w:rsidR="007B70EB">
              <w:rPr>
                <w:noProof/>
                <w:webHidden/>
              </w:rPr>
              <w:instrText xml:space="preserve"> PAGEREF _Toc494444656 \h </w:instrText>
            </w:r>
            <w:r w:rsidR="007B70EB">
              <w:rPr>
                <w:noProof/>
                <w:webHidden/>
              </w:rPr>
            </w:r>
            <w:r w:rsidR="007B70EB">
              <w:rPr>
                <w:noProof/>
                <w:webHidden/>
              </w:rPr>
              <w:fldChar w:fldCharType="separate"/>
            </w:r>
            <w:r w:rsidR="007B70EB">
              <w:rPr>
                <w:noProof/>
                <w:webHidden/>
              </w:rPr>
              <w:t>217</w:t>
            </w:r>
            <w:r w:rsidR="007B70EB">
              <w:rPr>
                <w:noProof/>
                <w:webHidden/>
              </w:rPr>
              <w:fldChar w:fldCharType="end"/>
            </w:r>
          </w:hyperlink>
        </w:p>
        <w:p w14:paraId="310CE788"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57" w:history="1">
            <w:r w:rsidR="007B70EB" w:rsidRPr="00AB6E34">
              <w:rPr>
                <w:rStyle w:val="Hyperlink"/>
                <w:noProof/>
              </w:rPr>
              <w:t>5.2.1.1.3.</w:t>
            </w:r>
            <w:r w:rsidR="007B70EB">
              <w:rPr>
                <w:rFonts w:asciiTheme="minorHAnsi" w:hAnsiTheme="minorHAnsi"/>
                <w:noProof/>
                <w:sz w:val="22"/>
                <w:szCs w:val="22"/>
                <w:lang w:val="en-AU" w:eastAsia="en-AU"/>
              </w:rPr>
              <w:tab/>
            </w:r>
            <w:r w:rsidR="007B70EB" w:rsidRPr="00AB6E34">
              <w:rPr>
                <w:rStyle w:val="Hyperlink"/>
                <w:noProof/>
              </w:rPr>
              <w:t>Limonene</w:t>
            </w:r>
            <w:r w:rsidR="007B70EB">
              <w:rPr>
                <w:noProof/>
                <w:webHidden/>
              </w:rPr>
              <w:tab/>
            </w:r>
            <w:r w:rsidR="007B70EB">
              <w:rPr>
                <w:noProof/>
                <w:webHidden/>
              </w:rPr>
              <w:fldChar w:fldCharType="begin"/>
            </w:r>
            <w:r w:rsidR="007B70EB">
              <w:rPr>
                <w:noProof/>
                <w:webHidden/>
              </w:rPr>
              <w:instrText xml:space="preserve"> PAGEREF _Toc494444657 \h </w:instrText>
            </w:r>
            <w:r w:rsidR="007B70EB">
              <w:rPr>
                <w:noProof/>
                <w:webHidden/>
              </w:rPr>
            </w:r>
            <w:r w:rsidR="007B70EB">
              <w:rPr>
                <w:noProof/>
                <w:webHidden/>
              </w:rPr>
              <w:fldChar w:fldCharType="separate"/>
            </w:r>
            <w:r w:rsidR="007B70EB">
              <w:rPr>
                <w:noProof/>
                <w:webHidden/>
              </w:rPr>
              <w:t>218</w:t>
            </w:r>
            <w:r w:rsidR="007B70EB">
              <w:rPr>
                <w:noProof/>
                <w:webHidden/>
              </w:rPr>
              <w:fldChar w:fldCharType="end"/>
            </w:r>
          </w:hyperlink>
        </w:p>
        <w:p w14:paraId="571B09B2"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58" w:history="1">
            <w:r w:rsidR="007B70EB" w:rsidRPr="00AB6E34">
              <w:rPr>
                <w:rStyle w:val="Hyperlink"/>
                <w:noProof/>
              </w:rPr>
              <w:t>5.2.1.1.4.</w:t>
            </w:r>
            <w:r w:rsidR="007B70EB">
              <w:rPr>
                <w:rFonts w:asciiTheme="minorHAnsi" w:hAnsiTheme="minorHAnsi"/>
                <w:noProof/>
                <w:sz w:val="22"/>
                <w:szCs w:val="22"/>
                <w:lang w:val="en-AU" w:eastAsia="en-AU"/>
              </w:rPr>
              <w:tab/>
            </w:r>
            <w:r w:rsidR="007B70EB" w:rsidRPr="00AB6E34">
              <w:rPr>
                <w:rStyle w:val="Hyperlink"/>
                <w:noProof/>
              </w:rPr>
              <w:t>HMX</w:t>
            </w:r>
            <w:r w:rsidR="007B70EB">
              <w:rPr>
                <w:noProof/>
                <w:webHidden/>
              </w:rPr>
              <w:tab/>
            </w:r>
            <w:r w:rsidR="007B70EB">
              <w:rPr>
                <w:noProof/>
                <w:webHidden/>
              </w:rPr>
              <w:fldChar w:fldCharType="begin"/>
            </w:r>
            <w:r w:rsidR="007B70EB">
              <w:rPr>
                <w:noProof/>
                <w:webHidden/>
              </w:rPr>
              <w:instrText xml:space="preserve"> PAGEREF _Toc494444658 \h </w:instrText>
            </w:r>
            <w:r w:rsidR="007B70EB">
              <w:rPr>
                <w:noProof/>
                <w:webHidden/>
              </w:rPr>
            </w:r>
            <w:r w:rsidR="007B70EB">
              <w:rPr>
                <w:noProof/>
                <w:webHidden/>
              </w:rPr>
              <w:fldChar w:fldCharType="separate"/>
            </w:r>
            <w:r w:rsidR="007B70EB">
              <w:rPr>
                <w:noProof/>
                <w:webHidden/>
              </w:rPr>
              <w:t>219</w:t>
            </w:r>
            <w:r w:rsidR="007B70EB">
              <w:rPr>
                <w:noProof/>
                <w:webHidden/>
              </w:rPr>
              <w:fldChar w:fldCharType="end"/>
            </w:r>
          </w:hyperlink>
        </w:p>
        <w:p w14:paraId="434FE1D5"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59" w:history="1">
            <w:r w:rsidR="007B70EB" w:rsidRPr="00AB6E34">
              <w:rPr>
                <w:rStyle w:val="Hyperlink"/>
                <w:noProof/>
              </w:rPr>
              <w:t>5.2.1.1.5.</w:t>
            </w:r>
            <w:r w:rsidR="007B70EB">
              <w:rPr>
                <w:rFonts w:asciiTheme="minorHAnsi" w:hAnsiTheme="minorHAnsi"/>
                <w:noProof/>
                <w:sz w:val="22"/>
                <w:szCs w:val="22"/>
                <w:lang w:val="en-AU" w:eastAsia="en-AU"/>
              </w:rPr>
              <w:tab/>
            </w:r>
            <w:r w:rsidR="007B70EB" w:rsidRPr="00AB6E34">
              <w:rPr>
                <w:rStyle w:val="Hyperlink"/>
                <w:noProof/>
              </w:rPr>
              <w:t>2-butoxyethanol</w:t>
            </w:r>
            <w:r w:rsidR="007B70EB">
              <w:rPr>
                <w:noProof/>
                <w:webHidden/>
              </w:rPr>
              <w:tab/>
            </w:r>
            <w:r w:rsidR="007B70EB">
              <w:rPr>
                <w:noProof/>
                <w:webHidden/>
              </w:rPr>
              <w:fldChar w:fldCharType="begin"/>
            </w:r>
            <w:r w:rsidR="007B70EB">
              <w:rPr>
                <w:noProof/>
                <w:webHidden/>
              </w:rPr>
              <w:instrText xml:space="preserve"> PAGEREF _Toc494444659 \h </w:instrText>
            </w:r>
            <w:r w:rsidR="007B70EB">
              <w:rPr>
                <w:noProof/>
                <w:webHidden/>
              </w:rPr>
            </w:r>
            <w:r w:rsidR="007B70EB">
              <w:rPr>
                <w:noProof/>
                <w:webHidden/>
              </w:rPr>
              <w:fldChar w:fldCharType="separate"/>
            </w:r>
            <w:r w:rsidR="007B70EB">
              <w:rPr>
                <w:noProof/>
                <w:webHidden/>
              </w:rPr>
              <w:t>220</w:t>
            </w:r>
            <w:r w:rsidR="007B70EB">
              <w:rPr>
                <w:noProof/>
                <w:webHidden/>
              </w:rPr>
              <w:fldChar w:fldCharType="end"/>
            </w:r>
          </w:hyperlink>
        </w:p>
        <w:p w14:paraId="6A977EF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60" w:history="1">
            <w:r w:rsidR="007B70EB" w:rsidRPr="00AB6E34">
              <w:rPr>
                <w:rStyle w:val="Hyperlink"/>
                <w:noProof/>
              </w:rPr>
              <w:t>5.2.1.1.6.</w:t>
            </w:r>
            <w:r w:rsidR="007B70EB">
              <w:rPr>
                <w:rFonts w:asciiTheme="minorHAnsi" w:hAnsiTheme="minorHAnsi"/>
                <w:noProof/>
                <w:sz w:val="22"/>
                <w:szCs w:val="22"/>
                <w:lang w:val="en-AU" w:eastAsia="en-AU"/>
              </w:rPr>
              <w:tab/>
            </w:r>
            <w:r w:rsidR="007B70EB" w:rsidRPr="00AB6E34">
              <w:rPr>
                <w:rStyle w:val="Hyperlink"/>
                <w:noProof/>
              </w:rPr>
              <w:t>Bronopol</w:t>
            </w:r>
            <w:r w:rsidR="007B70EB">
              <w:rPr>
                <w:noProof/>
                <w:webHidden/>
              </w:rPr>
              <w:tab/>
            </w:r>
            <w:r w:rsidR="007B70EB">
              <w:rPr>
                <w:noProof/>
                <w:webHidden/>
              </w:rPr>
              <w:fldChar w:fldCharType="begin"/>
            </w:r>
            <w:r w:rsidR="007B70EB">
              <w:rPr>
                <w:noProof/>
                <w:webHidden/>
              </w:rPr>
              <w:instrText xml:space="preserve"> PAGEREF _Toc494444660 \h </w:instrText>
            </w:r>
            <w:r w:rsidR="007B70EB">
              <w:rPr>
                <w:noProof/>
                <w:webHidden/>
              </w:rPr>
            </w:r>
            <w:r w:rsidR="007B70EB">
              <w:rPr>
                <w:noProof/>
                <w:webHidden/>
              </w:rPr>
              <w:fldChar w:fldCharType="separate"/>
            </w:r>
            <w:r w:rsidR="007B70EB">
              <w:rPr>
                <w:noProof/>
                <w:webHidden/>
              </w:rPr>
              <w:t>221</w:t>
            </w:r>
            <w:r w:rsidR="007B70EB">
              <w:rPr>
                <w:noProof/>
                <w:webHidden/>
              </w:rPr>
              <w:fldChar w:fldCharType="end"/>
            </w:r>
          </w:hyperlink>
        </w:p>
        <w:p w14:paraId="50EFD59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61" w:history="1">
            <w:r w:rsidR="007B70EB" w:rsidRPr="00AB6E34">
              <w:rPr>
                <w:rStyle w:val="Hyperlink"/>
                <w:noProof/>
              </w:rPr>
              <w:t>5.2.1.1.7.</w:t>
            </w:r>
            <w:r w:rsidR="007B70EB">
              <w:rPr>
                <w:rFonts w:asciiTheme="minorHAnsi" w:hAnsiTheme="minorHAnsi"/>
                <w:noProof/>
                <w:sz w:val="22"/>
                <w:szCs w:val="22"/>
                <w:lang w:val="en-AU" w:eastAsia="en-AU"/>
              </w:rPr>
              <w:tab/>
            </w:r>
            <w:r w:rsidR="007B70EB" w:rsidRPr="00AB6E34">
              <w:rPr>
                <w:rStyle w:val="Hyperlink"/>
                <w:noProof/>
              </w:rPr>
              <w:t>Methyl-chloro-isothiazolinone</w:t>
            </w:r>
            <w:r w:rsidR="007B70EB">
              <w:rPr>
                <w:noProof/>
                <w:webHidden/>
              </w:rPr>
              <w:tab/>
            </w:r>
            <w:r w:rsidR="007B70EB">
              <w:rPr>
                <w:noProof/>
                <w:webHidden/>
              </w:rPr>
              <w:fldChar w:fldCharType="begin"/>
            </w:r>
            <w:r w:rsidR="007B70EB">
              <w:rPr>
                <w:noProof/>
                <w:webHidden/>
              </w:rPr>
              <w:instrText xml:space="preserve"> PAGEREF _Toc494444661 \h </w:instrText>
            </w:r>
            <w:r w:rsidR="007B70EB">
              <w:rPr>
                <w:noProof/>
                <w:webHidden/>
              </w:rPr>
            </w:r>
            <w:r w:rsidR="007B70EB">
              <w:rPr>
                <w:noProof/>
                <w:webHidden/>
              </w:rPr>
              <w:fldChar w:fldCharType="separate"/>
            </w:r>
            <w:r w:rsidR="007B70EB">
              <w:rPr>
                <w:noProof/>
                <w:webHidden/>
              </w:rPr>
              <w:t>222</w:t>
            </w:r>
            <w:r w:rsidR="007B70EB">
              <w:rPr>
                <w:noProof/>
                <w:webHidden/>
              </w:rPr>
              <w:fldChar w:fldCharType="end"/>
            </w:r>
          </w:hyperlink>
        </w:p>
        <w:p w14:paraId="1BE1598C"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62" w:history="1">
            <w:r w:rsidR="007B70EB" w:rsidRPr="00AB6E34">
              <w:rPr>
                <w:rStyle w:val="Hyperlink"/>
                <w:noProof/>
              </w:rPr>
              <w:t>5.2.1.1.8.</w:t>
            </w:r>
            <w:r w:rsidR="007B70EB">
              <w:rPr>
                <w:rFonts w:asciiTheme="minorHAnsi" w:hAnsiTheme="minorHAnsi"/>
                <w:noProof/>
                <w:sz w:val="22"/>
                <w:szCs w:val="22"/>
                <w:lang w:val="en-AU" w:eastAsia="en-AU"/>
              </w:rPr>
              <w:tab/>
            </w:r>
            <w:r w:rsidR="007B70EB" w:rsidRPr="00AB6E34">
              <w:rPr>
                <w:rStyle w:val="Hyperlink"/>
                <w:noProof/>
              </w:rPr>
              <w:t>Summary of attenuation calculations</w:t>
            </w:r>
            <w:r w:rsidR="007B70EB">
              <w:rPr>
                <w:noProof/>
                <w:webHidden/>
              </w:rPr>
              <w:tab/>
            </w:r>
            <w:r w:rsidR="007B70EB">
              <w:rPr>
                <w:noProof/>
                <w:webHidden/>
              </w:rPr>
              <w:fldChar w:fldCharType="begin"/>
            </w:r>
            <w:r w:rsidR="007B70EB">
              <w:rPr>
                <w:noProof/>
                <w:webHidden/>
              </w:rPr>
              <w:instrText xml:space="preserve"> PAGEREF _Toc494444662 \h </w:instrText>
            </w:r>
            <w:r w:rsidR="007B70EB">
              <w:rPr>
                <w:noProof/>
                <w:webHidden/>
              </w:rPr>
            </w:r>
            <w:r w:rsidR="007B70EB">
              <w:rPr>
                <w:noProof/>
                <w:webHidden/>
              </w:rPr>
              <w:fldChar w:fldCharType="separate"/>
            </w:r>
            <w:r w:rsidR="007B70EB">
              <w:rPr>
                <w:noProof/>
                <w:webHidden/>
              </w:rPr>
              <w:t>223</w:t>
            </w:r>
            <w:r w:rsidR="007B70EB">
              <w:rPr>
                <w:noProof/>
                <w:webHidden/>
              </w:rPr>
              <w:fldChar w:fldCharType="end"/>
            </w:r>
          </w:hyperlink>
        </w:p>
        <w:p w14:paraId="2F350DF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63" w:history="1">
            <w:r w:rsidR="007B70EB" w:rsidRPr="00AB6E34">
              <w:rPr>
                <w:rStyle w:val="Hyperlink"/>
                <w:noProof/>
              </w:rPr>
              <w:t>5.2.1.2.</w:t>
            </w:r>
            <w:r w:rsidR="007B70EB">
              <w:rPr>
                <w:rFonts w:asciiTheme="minorHAnsi" w:hAnsiTheme="minorHAnsi"/>
                <w:noProof/>
                <w:sz w:val="22"/>
                <w:szCs w:val="22"/>
                <w:lang w:val="en-AU" w:eastAsia="en-AU"/>
              </w:rPr>
              <w:tab/>
            </w:r>
            <w:r w:rsidR="007B70EB" w:rsidRPr="00AB6E34">
              <w:rPr>
                <w:rStyle w:val="Hyperlink"/>
                <w:noProof/>
              </w:rPr>
              <w:t>Attenuation due to chemical/biological degradation and sorption</w:t>
            </w:r>
            <w:r w:rsidR="007B70EB">
              <w:rPr>
                <w:noProof/>
                <w:webHidden/>
              </w:rPr>
              <w:tab/>
            </w:r>
            <w:r w:rsidR="007B70EB">
              <w:rPr>
                <w:noProof/>
                <w:webHidden/>
              </w:rPr>
              <w:fldChar w:fldCharType="begin"/>
            </w:r>
            <w:r w:rsidR="007B70EB">
              <w:rPr>
                <w:noProof/>
                <w:webHidden/>
              </w:rPr>
              <w:instrText xml:space="preserve"> PAGEREF _Toc494444663 \h </w:instrText>
            </w:r>
            <w:r w:rsidR="007B70EB">
              <w:rPr>
                <w:noProof/>
                <w:webHidden/>
              </w:rPr>
            </w:r>
            <w:r w:rsidR="007B70EB">
              <w:rPr>
                <w:noProof/>
                <w:webHidden/>
              </w:rPr>
              <w:fldChar w:fldCharType="separate"/>
            </w:r>
            <w:r w:rsidR="007B70EB">
              <w:rPr>
                <w:noProof/>
                <w:webHidden/>
              </w:rPr>
              <w:t>226</w:t>
            </w:r>
            <w:r w:rsidR="007B70EB">
              <w:rPr>
                <w:noProof/>
                <w:webHidden/>
              </w:rPr>
              <w:fldChar w:fldCharType="end"/>
            </w:r>
          </w:hyperlink>
        </w:p>
        <w:p w14:paraId="2165F98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64" w:history="1">
            <w:r w:rsidR="007B70EB" w:rsidRPr="00AB6E34">
              <w:rPr>
                <w:rStyle w:val="Hyperlink"/>
                <w:noProof/>
              </w:rPr>
              <w:t>5.2.1.3.</w:t>
            </w:r>
            <w:r w:rsidR="007B70EB">
              <w:rPr>
                <w:rFonts w:asciiTheme="minorHAnsi" w:hAnsiTheme="minorHAnsi"/>
                <w:noProof/>
                <w:sz w:val="22"/>
                <w:szCs w:val="22"/>
                <w:lang w:val="en-AU" w:eastAsia="en-AU"/>
              </w:rPr>
              <w:tab/>
            </w:r>
            <w:r w:rsidR="007B70EB" w:rsidRPr="00AB6E34">
              <w:rPr>
                <w:rStyle w:val="Hyperlink"/>
                <w:noProof/>
              </w:rPr>
              <w:t>Attenuation due to dilution and dispersion</w:t>
            </w:r>
            <w:r w:rsidR="007B70EB">
              <w:rPr>
                <w:noProof/>
                <w:webHidden/>
              </w:rPr>
              <w:tab/>
            </w:r>
            <w:r w:rsidR="007B70EB">
              <w:rPr>
                <w:noProof/>
                <w:webHidden/>
              </w:rPr>
              <w:fldChar w:fldCharType="begin"/>
            </w:r>
            <w:r w:rsidR="007B70EB">
              <w:rPr>
                <w:noProof/>
                <w:webHidden/>
              </w:rPr>
              <w:instrText xml:space="preserve"> PAGEREF _Toc494444664 \h </w:instrText>
            </w:r>
            <w:r w:rsidR="007B70EB">
              <w:rPr>
                <w:noProof/>
                <w:webHidden/>
              </w:rPr>
            </w:r>
            <w:r w:rsidR="007B70EB">
              <w:rPr>
                <w:noProof/>
                <w:webHidden/>
              </w:rPr>
              <w:fldChar w:fldCharType="separate"/>
            </w:r>
            <w:r w:rsidR="007B70EB">
              <w:rPr>
                <w:noProof/>
                <w:webHidden/>
              </w:rPr>
              <w:t>230</w:t>
            </w:r>
            <w:r w:rsidR="007B70EB">
              <w:rPr>
                <w:noProof/>
                <w:webHidden/>
              </w:rPr>
              <w:fldChar w:fldCharType="end"/>
            </w:r>
          </w:hyperlink>
        </w:p>
        <w:p w14:paraId="602365DF"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65" w:history="1">
            <w:r w:rsidR="007B70EB" w:rsidRPr="00AB6E34">
              <w:rPr>
                <w:rStyle w:val="Hyperlink"/>
                <w:noProof/>
              </w:rPr>
              <w:t>5.2.1.4.</w:t>
            </w:r>
            <w:r w:rsidR="007B70EB">
              <w:rPr>
                <w:rFonts w:asciiTheme="minorHAnsi" w:hAnsiTheme="minorHAnsi"/>
                <w:noProof/>
                <w:sz w:val="22"/>
                <w:szCs w:val="22"/>
                <w:lang w:val="en-AU" w:eastAsia="en-AU"/>
              </w:rPr>
              <w:tab/>
            </w:r>
            <w:r w:rsidR="007B70EB" w:rsidRPr="00AB6E34">
              <w:rPr>
                <w:rStyle w:val="Hyperlink"/>
                <w:noProof/>
              </w:rPr>
              <w:t>Summary of attenuation potential for organic compounds</w:t>
            </w:r>
            <w:r w:rsidR="007B70EB">
              <w:rPr>
                <w:noProof/>
                <w:webHidden/>
              </w:rPr>
              <w:tab/>
            </w:r>
            <w:r w:rsidR="007B70EB">
              <w:rPr>
                <w:noProof/>
                <w:webHidden/>
              </w:rPr>
              <w:fldChar w:fldCharType="begin"/>
            </w:r>
            <w:r w:rsidR="007B70EB">
              <w:rPr>
                <w:noProof/>
                <w:webHidden/>
              </w:rPr>
              <w:instrText xml:space="preserve"> PAGEREF _Toc494444665 \h </w:instrText>
            </w:r>
            <w:r w:rsidR="007B70EB">
              <w:rPr>
                <w:noProof/>
                <w:webHidden/>
              </w:rPr>
            </w:r>
            <w:r w:rsidR="007B70EB">
              <w:rPr>
                <w:noProof/>
                <w:webHidden/>
              </w:rPr>
              <w:fldChar w:fldCharType="separate"/>
            </w:r>
            <w:r w:rsidR="007B70EB">
              <w:rPr>
                <w:noProof/>
                <w:webHidden/>
              </w:rPr>
              <w:t>234</w:t>
            </w:r>
            <w:r w:rsidR="007B70EB">
              <w:rPr>
                <w:noProof/>
                <w:webHidden/>
              </w:rPr>
              <w:fldChar w:fldCharType="end"/>
            </w:r>
          </w:hyperlink>
        </w:p>
        <w:p w14:paraId="4907F91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66" w:history="1">
            <w:r w:rsidR="007B70EB" w:rsidRPr="00AB6E34">
              <w:rPr>
                <w:rStyle w:val="Hyperlink"/>
                <w:noProof/>
              </w:rPr>
              <w:t>5.2.1.5.</w:t>
            </w:r>
            <w:r w:rsidR="007B70EB">
              <w:rPr>
                <w:rFonts w:asciiTheme="minorHAnsi" w:hAnsiTheme="minorHAnsi"/>
                <w:noProof/>
                <w:sz w:val="22"/>
                <w:szCs w:val="22"/>
                <w:lang w:val="en-AU" w:eastAsia="en-AU"/>
              </w:rPr>
              <w:tab/>
            </w:r>
            <w:r w:rsidR="007B70EB" w:rsidRPr="00AB6E34">
              <w:rPr>
                <w:rStyle w:val="Hyperlink"/>
                <w:noProof/>
              </w:rPr>
              <w:t>Multiple-well releases and cumulative effects</w:t>
            </w:r>
            <w:r w:rsidR="007B70EB">
              <w:rPr>
                <w:noProof/>
                <w:webHidden/>
              </w:rPr>
              <w:tab/>
            </w:r>
            <w:r w:rsidR="007B70EB">
              <w:rPr>
                <w:noProof/>
                <w:webHidden/>
              </w:rPr>
              <w:fldChar w:fldCharType="begin"/>
            </w:r>
            <w:r w:rsidR="007B70EB">
              <w:rPr>
                <w:noProof/>
                <w:webHidden/>
              </w:rPr>
              <w:instrText xml:space="preserve"> PAGEREF _Toc494444666 \h </w:instrText>
            </w:r>
            <w:r w:rsidR="007B70EB">
              <w:rPr>
                <w:noProof/>
                <w:webHidden/>
              </w:rPr>
            </w:r>
            <w:r w:rsidR="007B70EB">
              <w:rPr>
                <w:noProof/>
                <w:webHidden/>
              </w:rPr>
              <w:fldChar w:fldCharType="separate"/>
            </w:r>
            <w:r w:rsidR="007B70EB">
              <w:rPr>
                <w:noProof/>
                <w:webHidden/>
              </w:rPr>
              <w:t>235</w:t>
            </w:r>
            <w:r w:rsidR="007B70EB">
              <w:rPr>
                <w:noProof/>
                <w:webHidden/>
              </w:rPr>
              <w:fldChar w:fldCharType="end"/>
            </w:r>
          </w:hyperlink>
        </w:p>
        <w:p w14:paraId="51EB184E"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67" w:history="1">
            <w:r w:rsidR="007B70EB" w:rsidRPr="00AB6E34">
              <w:rPr>
                <w:rStyle w:val="Hyperlink"/>
                <w:noProof/>
                <w14:scene3d>
                  <w14:camera w14:prst="orthographicFront"/>
                  <w14:lightRig w14:rig="threePt" w14:dir="t">
                    <w14:rot w14:lat="0" w14:lon="0" w14:rev="0"/>
                  </w14:lightRig>
                </w14:scene3d>
              </w:rPr>
              <w:t>5.2.2.</w:t>
            </w:r>
            <w:r w:rsidR="007B70EB">
              <w:rPr>
                <w:rFonts w:asciiTheme="minorHAnsi" w:hAnsiTheme="minorHAnsi"/>
                <w:noProof/>
                <w:sz w:val="22"/>
                <w:szCs w:val="22"/>
                <w:lang w:val="en-AU" w:eastAsia="en-AU"/>
              </w:rPr>
              <w:tab/>
            </w:r>
            <w:r w:rsidR="007B70EB" w:rsidRPr="00AB6E34">
              <w:rPr>
                <w:rStyle w:val="Hyperlink"/>
                <w:noProof/>
              </w:rPr>
              <w:t>Inorganic substances</w:t>
            </w:r>
            <w:r w:rsidR="007B70EB">
              <w:rPr>
                <w:noProof/>
                <w:webHidden/>
              </w:rPr>
              <w:tab/>
            </w:r>
            <w:r w:rsidR="007B70EB">
              <w:rPr>
                <w:noProof/>
                <w:webHidden/>
              </w:rPr>
              <w:fldChar w:fldCharType="begin"/>
            </w:r>
            <w:r w:rsidR="007B70EB">
              <w:rPr>
                <w:noProof/>
                <w:webHidden/>
              </w:rPr>
              <w:instrText xml:space="preserve"> PAGEREF _Toc494444667 \h </w:instrText>
            </w:r>
            <w:r w:rsidR="007B70EB">
              <w:rPr>
                <w:noProof/>
                <w:webHidden/>
              </w:rPr>
            </w:r>
            <w:r w:rsidR="007B70EB">
              <w:rPr>
                <w:noProof/>
                <w:webHidden/>
              </w:rPr>
              <w:fldChar w:fldCharType="separate"/>
            </w:r>
            <w:r w:rsidR="007B70EB">
              <w:rPr>
                <w:noProof/>
                <w:webHidden/>
              </w:rPr>
              <w:t>236</w:t>
            </w:r>
            <w:r w:rsidR="007B70EB">
              <w:rPr>
                <w:noProof/>
                <w:webHidden/>
              </w:rPr>
              <w:fldChar w:fldCharType="end"/>
            </w:r>
          </w:hyperlink>
        </w:p>
        <w:p w14:paraId="4310505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68" w:history="1">
            <w:r w:rsidR="007B70EB" w:rsidRPr="00AB6E34">
              <w:rPr>
                <w:rStyle w:val="Hyperlink"/>
                <w:noProof/>
              </w:rPr>
              <w:t>5.2.2.1.</w:t>
            </w:r>
            <w:r w:rsidR="007B70EB">
              <w:rPr>
                <w:rFonts w:asciiTheme="minorHAnsi" w:hAnsiTheme="minorHAnsi"/>
                <w:noProof/>
                <w:sz w:val="22"/>
                <w:szCs w:val="22"/>
                <w:lang w:val="en-AU" w:eastAsia="en-AU"/>
              </w:rPr>
              <w:tab/>
            </w:r>
            <w:r w:rsidR="007B70EB" w:rsidRPr="00AB6E34">
              <w:rPr>
                <w:rStyle w:val="Hyperlink"/>
                <w:noProof/>
              </w:rPr>
              <w:t>Attenuation due to dilution, dispersion and sorption</w:t>
            </w:r>
            <w:r w:rsidR="007B70EB">
              <w:rPr>
                <w:noProof/>
                <w:webHidden/>
              </w:rPr>
              <w:tab/>
            </w:r>
            <w:r w:rsidR="007B70EB">
              <w:rPr>
                <w:noProof/>
                <w:webHidden/>
              </w:rPr>
              <w:fldChar w:fldCharType="begin"/>
            </w:r>
            <w:r w:rsidR="007B70EB">
              <w:rPr>
                <w:noProof/>
                <w:webHidden/>
              </w:rPr>
              <w:instrText xml:space="preserve"> PAGEREF _Toc494444668 \h </w:instrText>
            </w:r>
            <w:r w:rsidR="007B70EB">
              <w:rPr>
                <w:noProof/>
                <w:webHidden/>
              </w:rPr>
            </w:r>
            <w:r w:rsidR="007B70EB">
              <w:rPr>
                <w:noProof/>
                <w:webHidden/>
              </w:rPr>
              <w:fldChar w:fldCharType="separate"/>
            </w:r>
            <w:r w:rsidR="007B70EB">
              <w:rPr>
                <w:noProof/>
                <w:webHidden/>
              </w:rPr>
              <w:t>236</w:t>
            </w:r>
            <w:r w:rsidR="007B70EB">
              <w:rPr>
                <w:noProof/>
                <w:webHidden/>
              </w:rPr>
              <w:fldChar w:fldCharType="end"/>
            </w:r>
          </w:hyperlink>
        </w:p>
        <w:p w14:paraId="63E6D193"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69" w:history="1">
            <w:r w:rsidR="007B70EB" w:rsidRPr="00AB6E34">
              <w:rPr>
                <w:rStyle w:val="Hyperlink"/>
                <w:noProof/>
                <w14:scene3d>
                  <w14:camera w14:prst="orthographicFront"/>
                  <w14:lightRig w14:rig="threePt" w14:dir="t">
                    <w14:rot w14:lat="0" w14:lon="0" w14:rev="0"/>
                  </w14:lightRig>
                </w14:scene3d>
              </w:rPr>
              <w:t>5.2.3.</w:t>
            </w:r>
            <w:r w:rsidR="007B70EB">
              <w:rPr>
                <w:rFonts w:asciiTheme="minorHAnsi" w:hAnsiTheme="minorHAnsi"/>
                <w:noProof/>
                <w:sz w:val="22"/>
                <w:szCs w:val="22"/>
                <w:lang w:val="en-AU" w:eastAsia="en-AU"/>
              </w:rPr>
              <w:tab/>
            </w:r>
            <w:r w:rsidR="007B70EB" w:rsidRPr="00AB6E34">
              <w:rPr>
                <w:rStyle w:val="Hyperlink"/>
                <w:noProof/>
              </w:rPr>
              <w:t>Linking spatial analysis and DAF values</w:t>
            </w:r>
            <w:r w:rsidR="007B70EB">
              <w:rPr>
                <w:noProof/>
                <w:webHidden/>
              </w:rPr>
              <w:tab/>
            </w:r>
            <w:r w:rsidR="007B70EB">
              <w:rPr>
                <w:noProof/>
                <w:webHidden/>
              </w:rPr>
              <w:fldChar w:fldCharType="begin"/>
            </w:r>
            <w:r w:rsidR="007B70EB">
              <w:rPr>
                <w:noProof/>
                <w:webHidden/>
              </w:rPr>
              <w:instrText xml:space="preserve"> PAGEREF _Toc494444669 \h </w:instrText>
            </w:r>
            <w:r w:rsidR="007B70EB">
              <w:rPr>
                <w:noProof/>
                <w:webHidden/>
              </w:rPr>
            </w:r>
            <w:r w:rsidR="007B70EB">
              <w:rPr>
                <w:noProof/>
                <w:webHidden/>
              </w:rPr>
              <w:fldChar w:fldCharType="separate"/>
            </w:r>
            <w:r w:rsidR="007B70EB">
              <w:rPr>
                <w:noProof/>
                <w:webHidden/>
              </w:rPr>
              <w:t>239</w:t>
            </w:r>
            <w:r w:rsidR="007B70EB">
              <w:rPr>
                <w:noProof/>
                <w:webHidden/>
              </w:rPr>
              <w:fldChar w:fldCharType="end"/>
            </w:r>
          </w:hyperlink>
        </w:p>
        <w:p w14:paraId="2902E88B" w14:textId="77777777" w:rsidR="007B70EB" w:rsidRDefault="00900E5C">
          <w:pPr>
            <w:pStyle w:val="TOC2"/>
            <w:rPr>
              <w:rFonts w:asciiTheme="minorHAnsi" w:hAnsiTheme="minorHAnsi"/>
              <w:noProof/>
              <w:sz w:val="22"/>
              <w:szCs w:val="22"/>
              <w:lang w:val="en-AU" w:eastAsia="en-AU"/>
            </w:rPr>
          </w:pPr>
          <w:hyperlink w:anchor="_Toc494444670" w:history="1">
            <w:r w:rsidR="007B70EB" w:rsidRPr="00AB6E34">
              <w:rPr>
                <w:rStyle w:val="Hyperlink"/>
                <w:noProof/>
                <w14:scene3d>
                  <w14:camera w14:prst="orthographicFront"/>
                  <w14:lightRig w14:rig="threePt" w14:dir="t">
                    <w14:rot w14:lat="0" w14:lon="0" w14:rev="0"/>
                  </w14:lightRig>
                </w14:scene3d>
              </w:rPr>
              <w:t>5.3.</w:t>
            </w:r>
            <w:r w:rsidR="007B70EB">
              <w:rPr>
                <w:rFonts w:asciiTheme="minorHAnsi" w:hAnsiTheme="minorHAnsi"/>
                <w:noProof/>
                <w:sz w:val="22"/>
                <w:szCs w:val="22"/>
                <w:lang w:val="en-AU" w:eastAsia="en-AU"/>
              </w:rPr>
              <w:tab/>
            </w:r>
            <w:r w:rsidR="007B70EB" w:rsidRPr="00AB6E34">
              <w:rPr>
                <w:rStyle w:val="Hyperlink"/>
                <w:noProof/>
              </w:rPr>
              <w:t>Application to Surat Basin</w:t>
            </w:r>
            <w:r w:rsidR="007B70EB">
              <w:rPr>
                <w:noProof/>
                <w:webHidden/>
              </w:rPr>
              <w:tab/>
            </w:r>
            <w:r w:rsidR="007B70EB">
              <w:rPr>
                <w:noProof/>
                <w:webHidden/>
              </w:rPr>
              <w:fldChar w:fldCharType="begin"/>
            </w:r>
            <w:r w:rsidR="007B70EB">
              <w:rPr>
                <w:noProof/>
                <w:webHidden/>
              </w:rPr>
              <w:instrText xml:space="preserve"> PAGEREF _Toc494444670 \h </w:instrText>
            </w:r>
            <w:r w:rsidR="007B70EB">
              <w:rPr>
                <w:noProof/>
                <w:webHidden/>
              </w:rPr>
            </w:r>
            <w:r w:rsidR="007B70EB">
              <w:rPr>
                <w:noProof/>
                <w:webHidden/>
              </w:rPr>
              <w:fldChar w:fldCharType="separate"/>
            </w:r>
            <w:r w:rsidR="007B70EB">
              <w:rPr>
                <w:noProof/>
                <w:webHidden/>
              </w:rPr>
              <w:t>241</w:t>
            </w:r>
            <w:r w:rsidR="007B70EB">
              <w:rPr>
                <w:noProof/>
                <w:webHidden/>
              </w:rPr>
              <w:fldChar w:fldCharType="end"/>
            </w:r>
          </w:hyperlink>
        </w:p>
        <w:p w14:paraId="6F9FE4C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71" w:history="1">
            <w:r w:rsidR="007B70EB" w:rsidRPr="00AB6E34">
              <w:rPr>
                <w:rStyle w:val="Hyperlink"/>
                <w:noProof/>
                <w14:scene3d>
                  <w14:camera w14:prst="orthographicFront"/>
                  <w14:lightRig w14:rig="threePt" w14:dir="t">
                    <w14:rot w14:lat="0" w14:lon="0" w14:rev="0"/>
                  </w14:lightRig>
                </w14:scene3d>
              </w:rPr>
              <w:t>5.3.1.</w:t>
            </w:r>
            <w:r w:rsidR="007B70EB">
              <w:rPr>
                <w:rFonts w:asciiTheme="minorHAnsi" w:hAnsiTheme="minorHAnsi"/>
                <w:noProof/>
                <w:sz w:val="22"/>
                <w:szCs w:val="22"/>
                <w:lang w:val="en-AU" w:eastAsia="en-AU"/>
              </w:rPr>
              <w:tab/>
            </w:r>
            <w:r w:rsidR="007B70EB" w:rsidRPr="00AB6E34">
              <w:rPr>
                <w:rStyle w:val="Hyperlink"/>
                <w:noProof/>
              </w:rPr>
              <w:t>Organic substances</w:t>
            </w:r>
            <w:r w:rsidR="007B70EB">
              <w:rPr>
                <w:noProof/>
                <w:webHidden/>
              </w:rPr>
              <w:tab/>
            </w:r>
            <w:r w:rsidR="007B70EB">
              <w:rPr>
                <w:noProof/>
                <w:webHidden/>
              </w:rPr>
              <w:fldChar w:fldCharType="begin"/>
            </w:r>
            <w:r w:rsidR="007B70EB">
              <w:rPr>
                <w:noProof/>
                <w:webHidden/>
              </w:rPr>
              <w:instrText xml:space="preserve"> PAGEREF _Toc494444671 \h </w:instrText>
            </w:r>
            <w:r w:rsidR="007B70EB">
              <w:rPr>
                <w:noProof/>
                <w:webHidden/>
              </w:rPr>
            </w:r>
            <w:r w:rsidR="007B70EB">
              <w:rPr>
                <w:noProof/>
                <w:webHidden/>
              </w:rPr>
              <w:fldChar w:fldCharType="separate"/>
            </w:r>
            <w:r w:rsidR="007B70EB">
              <w:rPr>
                <w:noProof/>
                <w:webHidden/>
              </w:rPr>
              <w:t>241</w:t>
            </w:r>
            <w:r w:rsidR="007B70EB">
              <w:rPr>
                <w:noProof/>
                <w:webHidden/>
              </w:rPr>
              <w:fldChar w:fldCharType="end"/>
            </w:r>
          </w:hyperlink>
        </w:p>
        <w:p w14:paraId="6419712D"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72" w:history="1">
            <w:r w:rsidR="007B70EB" w:rsidRPr="00AB6E34">
              <w:rPr>
                <w:rStyle w:val="Hyperlink"/>
                <w:noProof/>
              </w:rPr>
              <w:t>5.3.1.1.</w:t>
            </w:r>
            <w:r w:rsidR="007B70EB">
              <w:rPr>
                <w:rFonts w:asciiTheme="minorHAnsi" w:hAnsiTheme="minorHAnsi"/>
                <w:noProof/>
                <w:sz w:val="22"/>
                <w:szCs w:val="22"/>
                <w:lang w:val="en-AU" w:eastAsia="en-AU"/>
              </w:rPr>
              <w:tab/>
            </w:r>
            <w:r w:rsidR="007B70EB" w:rsidRPr="00AB6E34">
              <w:rPr>
                <w:rStyle w:val="Hyperlink"/>
                <w:noProof/>
              </w:rPr>
              <w:t>Attenuation due to chemical/biological degradation</w:t>
            </w:r>
            <w:r w:rsidR="007B70EB">
              <w:rPr>
                <w:noProof/>
                <w:webHidden/>
              </w:rPr>
              <w:tab/>
            </w:r>
            <w:r w:rsidR="007B70EB">
              <w:rPr>
                <w:noProof/>
                <w:webHidden/>
              </w:rPr>
              <w:fldChar w:fldCharType="begin"/>
            </w:r>
            <w:r w:rsidR="007B70EB">
              <w:rPr>
                <w:noProof/>
                <w:webHidden/>
              </w:rPr>
              <w:instrText xml:space="preserve"> PAGEREF _Toc494444672 \h </w:instrText>
            </w:r>
            <w:r w:rsidR="007B70EB">
              <w:rPr>
                <w:noProof/>
                <w:webHidden/>
              </w:rPr>
            </w:r>
            <w:r w:rsidR="007B70EB">
              <w:rPr>
                <w:noProof/>
                <w:webHidden/>
              </w:rPr>
              <w:fldChar w:fldCharType="separate"/>
            </w:r>
            <w:r w:rsidR="007B70EB">
              <w:rPr>
                <w:noProof/>
                <w:webHidden/>
              </w:rPr>
              <w:t>241</w:t>
            </w:r>
            <w:r w:rsidR="007B70EB">
              <w:rPr>
                <w:noProof/>
                <w:webHidden/>
              </w:rPr>
              <w:fldChar w:fldCharType="end"/>
            </w:r>
          </w:hyperlink>
        </w:p>
        <w:p w14:paraId="3F17A9FC"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73" w:history="1">
            <w:r w:rsidR="007B70EB" w:rsidRPr="00AB6E34">
              <w:rPr>
                <w:rStyle w:val="Hyperlink"/>
                <w:noProof/>
              </w:rPr>
              <w:t>5.3.1.2.</w:t>
            </w:r>
            <w:r w:rsidR="007B70EB">
              <w:rPr>
                <w:rFonts w:asciiTheme="minorHAnsi" w:hAnsiTheme="minorHAnsi"/>
                <w:noProof/>
                <w:sz w:val="22"/>
                <w:szCs w:val="22"/>
                <w:lang w:val="en-AU" w:eastAsia="en-AU"/>
              </w:rPr>
              <w:tab/>
            </w:r>
            <w:r w:rsidR="007B70EB" w:rsidRPr="00AB6E34">
              <w:rPr>
                <w:rStyle w:val="Hyperlink"/>
                <w:noProof/>
              </w:rPr>
              <w:t>Attenuation due to chemical/biological degradation and sorption</w:t>
            </w:r>
            <w:r w:rsidR="007B70EB">
              <w:rPr>
                <w:noProof/>
                <w:webHidden/>
              </w:rPr>
              <w:tab/>
            </w:r>
            <w:r w:rsidR="007B70EB">
              <w:rPr>
                <w:noProof/>
                <w:webHidden/>
              </w:rPr>
              <w:fldChar w:fldCharType="begin"/>
            </w:r>
            <w:r w:rsidR="007B70EB">
              <w:rPr>
                <w:noProof/>
                <w:webHidden/>
              </w:rPr>
              <w:instrText xml:space="preserve"> PAGEREF _Toc494444673 \h </w:instrText>
            </w:r>
            <w:r w:rsidR="007B70EB">
              <w:rPr>
                <w:noProof/>
                <w:webHidden/>
              </w:rPr>
            </w:r>
            <w:r w:rsidR="007B70EB">
              <w:rPr>
                <w:noProof/>
                <w:webHidden/>
              </w:rPr>
              <w:fldChar w:fldCharType="separate"/>
            </w:r>
            <w:r w:rsidR="007B70EB">
              <w:rPr>
                <w:noProof/>
                <w:webHidden/>
              </w:rPr>
              <w:t>241</w:t>
            </w:r>
            <w:r w:rsidR="007B70EB">
              <w:rPr>
                <w:noProof/>
                <w:webHidden/>
              </w:rPr>
              <w:fldChar w:fldCharType="end"/>
            </w:r>
          </w:hyperlink>
        </w:p>
        <w:p w14:paraId="09E0EBD6"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74" w:history="1">
            <w:r w:rsidR="007B70EB" w:rsidRPr="00AB6E34">
              <w:rPr>
                <w:rStyle w:val="Hyperlink"/>
                <w:noProof/>
              </w:rPr>
              <w:t>5.3.1.3.</w:t>
            </w:r>
            <w:r w:rsidR="007B70EB">
              <w:rPr>
                <w:rFonts w:asciiTheme="minorHAnsi" w:hAnsiTheme="minorHAnsi"/>
                <w:noProof/>
                <w:sz w:val="22"/>
                <w:szCs w:val="22"/>
                <w:lang w:val="en-AU" w:eastAsia="en-AU"/>
              </w:rPr>
              <w:tab/>
            </w:r>
            <w:r w:rsidR="007B70EB" w:rsidRPr="00AB6E34">
              <w:rPr>
                <w:rStyle w:val="Hyperlink"/>
                <w:noProof/>
              </w:rPr>
              <w:t>Attenuation due to dilution and dispersion</w:t>
            </w:r>
            <w:r w:rsidR="007B70EB">
              <w:rPr>
                <w:noProof/>
                <w:webHidden/>
              </w:rPr>
              <w:tab/>
            </w:r>
            <w:r w:rsidR="007B70EB">
              <w:rPr>
                <w:noProof/>
                <w:webHidden/>
              </w:rPr>
              <w:fldChar w:fldCharType="begin"/>
            </w:r>
            <w:r w:rsidR="007B70EB">
              <w:rPr>
                <w:noProof/>
                <w:webHidden/>
              </w:rPr>
              <w:instrText xml:space="preserve"> PAGEREF _Toc494444674 \h </w:instrText>
            </w:r>
            <w:r w:rsidR="007B70EB">
              <w:rPr>
                <w:noProof/>
                <w:webHidden/>
              </w:rPr>
            </w:r>
            <w:r w:rsidR="007B70EB">
              <w:rPr>
                <w:noProof/>
                <w:webHidden/>
              </w:rPr>
              <w:fldChar w:fldCharType="separate"/>
            </w:r>
            <w:r w:rsidR="007B70EB">
              <w:rPr>
                <w:noProof/>
                <w:webHidden/>
              </w:rPr>
              <w:t>241</w:t>
            </w:r>
            <w:r w:rsidR="007B70EB">
              <w:rPr>
                <w:noProof/>
                <w:webHidden/>
              </w:rPr>
              <w:fldChar w:fldCharType="end"/>
            </w:r>
          </w:hyperlink>
        </w:p>
        <w:p w14:paraId="14C4289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75" w:history="1">
            <w:r w:rsidR="007B70EB" w:rsidRPr="00AB6E34">
              <w:rPr>
                <w:rStyle w:val="Hyperlink"/>
                <w:noProof/>
              </w:rPr>
              <w:t>5.3.1.4.</w:t>
            </w:r>
            <w:r w:rsidR="007B70EB">
              <w:rPr>
                <w:rFonts w:asciiTheme="minorHAnsi" w:hAnsiTheme="minorHAnsi"/>
                <w:noProof/>
                <w:sz w:val="22"/>
                <w:szCs w:val="22"/>
                <w:lang w:val="en-AU" w:eastAsia="en-AU"/>
              </w:rPr>
              <w:tab/>
            </w:r>
            <w:r w:rsidR="007B70EB" w:rsidRPr="00AB6E34">
              <w:rPr>
                <w:rStyle w:val="Hyperlink"/>
                <w:noProof/>
              </w:rPr>
              <w:t>Summary of attenuation potential for organic compounds</w:t>
            </w:r>
            <w:r w:rsidR="007B70EB">
              <w:rPr>
                <w:noProof/>
                <w:webHidden/>
              </w:rPr>
              <w:tab/>
            </w:r>
            <w:r w:rsidR="007B70EB">
              <w:rPr>
                <w:noProof/>
                <w:webHidden/>
              </w:rPr>
              <w:fldChar w:fldCharType="begin"/>
            </w:r>
            <w:r w:rsidR="007B70EB">
              <w:rPr>
                <w:noProof/>
                <w:webHidden/>
              </w:rPr>
              <w:instrText xml:space="preserve"> PAGEREF _Toc494444675 \h </w:instrText>
            </w:r>
            <w:r w:rsidR="007B70EB">
              <w:rPr>
                <w:noProof/>
                <w:webHidden/>
              </w:rPr>
            </w:r>
            <w:r w:rsidR="007B70EB">
              <w:rPr>
                <w:noProof/>
                <w:webHidden/>
              </w:rPr>
              <w:fldChar w:fldCharType="separate"/>
            </w:r>
            <w:r w:rsidR="007B70EB">
              <w:rPr>
                <w:noProof/>
                <w:webHidden/>
              </w:rPr>
              <w:t>241</w:t>
            </w:r>
            <w:r w:rsidR="007B70EB">
              <w:rPr>
                <w:noProof/>
                <w:webHidden/>
              </w:rPr>
              <w:fldChar w:fldCharType="end"/>
            </w:r>
          </w:hyperlink>
        </w:p>
        <w:p w14:paraId="44550284"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76" w:history="1">
            <w:r w:rsidR="007B70EB" w:rsidRPr="00AB6E34">
              <w:rPr>
                <w:rStyle w:val="Hyperlink"/>
                <w:noProof/>
                <w14:scene3d>
                  <w14:camera w14:prst="orthographicFront"/>
                  <w14:lightRig w14:rig="threePt" w14:dir="t">
                    <w14:rot w14:lat="0" w14:lon="0" w14:rev="0"/>
                  </w14:lightRig>
                </w14:scene3d>
              </w:rPr>
              <w:t>5.3.2.</w:t>
            </w:r>
            <w:r w:rsidR="007B70EB">
              <w:rPr>
                <w:rFonts w:asciiTheme="minorHAnsi" w:hAnsiTheme="minorHAnsi"/>
                <w:noProof/>
                <w:sz w:val="22"/>
                <w:szCs w:val="22"/>
                <w:lang w:val="en-AU" w:eastAsia="en-AU"/>
              </w:rPr>
              <w:tab/>
            </w:r>
            <w:r w:rsidR="007B70EB" w:rsidRPr="00AB6E34">
              <w:rPr>
                <w:rStyle w:val="Hyperlink"/>
                <w:noProof/>
              </w:rPr>
              <w:t>Inorganic substances</w:t>
            </w:r>
            <w:r w:rsidR="007B70EB">
              <w:rPr>
                <w:noProof/>
                <w:webHidden/>
              </w:rPr>
              <w:tab/>
            </w:r>
            <w:r w:rsidR="007B70EB">
              <w:rPr>
                <w:noProof/>
                <w:webHidden/>
              </w:rPr>
              <w:fldChar w:fldCharType="begin"/>
            </w:r>
            <w:r w:rsidR="007B70EB">
              <w:rPr>
                <w:noProof/>
                <w:webHidden/>
              </w:rPr>
              <w:instrText xml:space="preserve"> PAGEREF _Toc494444676 \h </w:instrText>
            </w:r>
            <w:r w:rsidR="007B70EB">
              <w:rPr>
                <w:noProof/>
                <w:webHidden/>
              </w:rPr>
            </w:r>
            <w:r w:rsidR="007B70EB">
              <w:rPr>
                <w:noProof/>
                <w:webHidden/>
              </w:rPr>
              <w:fldChar w:fldCharType="separate"/>
            </w:r>
            <w:r w:rsidR="007B70EB">
              <w:rPr>
                <w:noProof/>
                <w:webHidden/>
              </w:rPr>
              <w:t>242</w:t>
            </w:r>
            <w:r w:rsidR="007B70EB">
              <w:rPr>
                <w:noProof/>
                <w:webHidden/>
              </w:rPr>
              <w:fldChar w:fldCharType="end"/>
            </w:r>
          </w:hyperlink>
        </w:p>
        <w:p w14:paraId="0C4E5281"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77" w:history="1">
            <w:r w:rsidR="007B70EB" w:rsidRPr="00AB6E34">
              <w:rPr>
                <w:rStyle w:val="Hyperlink"/>
                <w:noProof/>
                <w14:scene3d>
                  <w14:camera w14:prst="orthographicFront"/>
                  <w14:lightRig w14:rig="threePt" w14:dir="t">
                    <w14:rot w14:lat="0" w14:lon="0" w14:rev="0"/>
                  </w14:lightRig>
                </w14:scene3d>
              </w:rPr>
              <w:t>5.3.3.</w:t>
            </w:r>
            <w:r w:rsidR="007B70EB">
              <w:rPr>
                <w:rFonts w:asciiTheme="minorHAnsi" w:hAnsiTheme="minorHAnsi"/>
                <w:noProof/>
                <w:sz w:val="22"/>
                <w:szCs w:val="22"/>
                <w:lang w:val="en-AU" w:eastAsia="en-AU"/>
              </w:rPr>
              <w:tab/>
            </w:r>
            <w:r w:rsidR="007B70EB" w:rsidRPr="00AB6E34">
              <w:rPr>
                <w:rStyle w:val="Hyperlink"/>
                <w:noProof/>
              </w:rPr>
              <w:t>Linking spatial analysis and DAF values</w:t>
            </w:r>
            <w:r w:rsidR="007B70EB">
              <w:rPr>
                <w:noProof/>
                <w:webHidden/>
              </w:rPr>
              <w:tab/>
            </w:r>
            <w:r w:rsidR="007B70EB">
              <w:rPr>
                <w:noProof/>
                <w:webHidden/>
              </w:rPr>
              <w:fldChar w:fldCharType="begin"/>
            </w:r>
            <w:r w:rsidR="007B70EB">
              <w:rPr>
                <w:noProof/>
                <w:webHidden/>
              </w:rPr>
              <w:instrText xml:space="preserve"> PAGEREF _Toc494444677 \h </w:instrText>
            </w:r>
            <w:r w:rsidR="007B70EB">
              <w:rPr>
                <w:noProof/>
                <w:webHidden/>
              </w:rPr>
            </w:r>
            <w:r w:rsidR="007B70EB">
              <w:rPr>
                <w:noProof/>
                <w:webHidden/>
              </w:rPr>
              <w:fldChar w:fldCharType="separate"/>
            </w:r>
            <w:r w:rsidR="007B70EB">
              <w:rPr>
                <w:noProof/>
                <w:webHidden/>
              </w:rPr>
              <w:t>244</w:t>
            </w:r>
            <w:r w:rsidR="007B70EB">
              <w:rPr>
                <w:noProof/>
                <w:webHidden/>
              </w:rPr>
              <w:fldChar w:fldCharType="end"/>
            </w:r>
          </w:hyperlink>
        </w:p>
        <w:p w14:paraId="33BFDC75" w14:textId="77777777" w:rsidR="007B70EB" w:rsidRDefault="00900E5C">
          <w:pPr>
            <w:pStyle w:val="TOC2"/>
            <w:rPr>
              <w:rFonts w:asciiTheme="minorHAnsi" w:hAnsiTheme="minorHAnsi"/>
              <w:noProof/>
              <w:sz w:val="22"/>
              <w:szCs w:val="22"/>
              <w:lang w:val="en-AU" w:eastAsia="en-AU"/>
            </w:rPr>
          </w:pPr>
          <w:hyperlink w:anchor="_Toc494444678" w:history="1">
            <w:r w:rsidR="007B70EB" w:rsidRPr="00AB6E34">
              <w:rPr>
                <w:rStyle w:val="Hyperlink"/>
                <w:noProof/>
                <w14:scene3d>
                  <w14:camera w14:prst="orthographicFront"/>
                  <w14:lightRig w14:rig="threePt" w14:dir="t">
                    <w14:rot w14:lat="0" w14:lon="0" w14:rev="0"/>
                  </w14:lightRig>
                </w14:scene3d>
              </w:rPr>
              <w:t>5.4.</w:t>
            </w:r>
            <w:r w:rsidR="007B70EB">
              <w:rPr>
                <w:rFonts w:asciiTheme="minorHAnsi" w:hAnsiTheme="minorHAnsi"/>
                <w:noProof/>
                <w:sz w:val="22"/>
                <w:szCs w:val="22"/>
                <w:lang w:val="en-AU" w:eastAsia="en-AU"/>
              </w:rPr>
              <w:tab/>
            </w:r>
            <w:r w:rsidR="007B70EB" w:rsidRPr="00AB6E34">
              <w:rPr>
                <w:rStyle w:val="Hyperlink"/>
                <w:noProof/>
              </w:rPr>
              <w:t>Conclusions for Level-2 analysis</w:t>
            </w:r>
            <w:r w:rsidR="007B70EB">
              <w:rPr>
                <w:noProof/>
                <w:webHidden/>
              </w:rPr>
              <w:tab/>
            </w:r>
            <w:r w:rsidR="007B70EB">
              <w:rPr>
                <w:noProof/>
                <w:webHidden/>
              </w:rPr>
              <w:fldChar w:fldCharType="begin"/>
            </w:r>
            <w:r w:rsidR="007B70EB">
              <w:rPr>
                <w:noProof/>
                <w:webHidden/>
              </w:rPr>
              <w:instrText xml:space="preserve"> PAGEREF _Toc494444678 \h </w:instrText>
            </w:r>
            <w:r w:rsidR="007B70EB">
              <w:rPr>
                <w:noProof/>
                <w:webHidden/>
              </w:rPr>
            </w:r>
            <w:r w:rsidR="007B70EB">
              <w:rPr>
                <w:noProof/>
                <w:webHidden/>
              </w:rPr>
              <w:fldChar w:fldCharType="separate"/>
            </w:r>
            <w:r w:rsidR="007B70EB">
              <w:rPr>
                <w:noProof/>
                <w:webHidden/>
              </w:rPr>
              <w:t>245</w:t>
            </w:r>
            <w:r w:rsidR="007B70EB">
              <w:rPr>
                <w:noProof/>
                <w:webHidden/>
              </w:rPr>
              <w:fldChar w:fldCharType="end"/>
            </w:r>
          </w:hyperlink>
        </w:p>
        <w:p w14:paraId="627933D1" w14:textId="77777777" w:rsidR="007B70EB" w:rsidRDefault="00900E5C">
          <w:pPr>
            <w:pStyle w:val="TOC2"/>
            <w:rPr>
              <w:rFonts w:asciiTheme="minorHAnsi" w:hAnsiTheme="minorHAnsi"/>
              <w:noProof/>
              <w:sz w:val="22"/>
              <w:szCs w:val="22"/>
              <w:lang w:val="en-AU" w:eastAsia="en-AU"/>
            </w:rPr>
          </w:pPr>
          <w:hyperlink w:anchor="_Toc494444679" w:history="1">
            <w:r w:rsidR="007B70EB" w:rsidRPr="00AB6E34">
              <w:rPr>
                <w:rStyle w:val="Hyperlink"/>
                <w:noProof/>
                <w14:scene3d>
                  <w14:camera w14:prst="orthographicFront"/>
                  <w14:lightRig w14:rig="threePt" w14:dir="t">
                    <w14:rot w14:lat="0" w14:lon="0" w14:rev="0"/>
                  </w14:lightRig>
                </w14:scene3d>
              </w:rPr>
              <w:t>5.5.</w:t>
            </w:r>
            <w:r w:rsidR="007B70EB">
              <w:rPr>
                <w:rFonts w:asciiTheme="minorHAnsi" w:hAnsiTheme="minorHAnsi"/>
                <w:noProof/>
                <w:sz w:val="22"/>
                <w:szCs w:val="22"/>
                <w:lang w:val="en-AU" w:eastAsia="en-AU"/>
              </w:rPr>
              <w:tab/>
            </w:r>
            <w:r w:rsidR="007B70EB" w:rsidRPr="00AB6E34">
              <w:rPr>
                <w:rStyle w:val="Hyperlink"/>
                <w:noProof/>
              </w:rPr>
              <w:t>Mixed toxicity</w:t>
            </w:r>
            <w:r w:rsidR="007B70EB">
              <w:rPr>
                <w:noProof/>
                <w:webHidden/>
              </w:rPr>
              <w:tab/>
            </w:r>
            <w:r w:rsidR="007B70EB">
              <w:rPr>
                <w:noProof/>
                <w:webHidden/>
              </w:rPr>
              <w:fldChar w:fldCharType="begin"/>
            </w:r>
            <w:r w:rsidR="007B70EB">
              <w:rPr>
                <w:noProof/>
                <w:webHidden/>
              </w:rPr>
              <w:instrText xml:space="preserve"> PAGEREF _Toc494444679 \h </w:instrText>
            </w:r>
            <w:r w:rsidR="007B70EB">
              <w:rPr>
                <w:noProof/>
                <w:webHidden/>
              </w:rPr>
            </w:r>
            <w:r w:rsidR="007B70EB">
              <w:rPr>
                <w:noProof/>
                <w:webHidden/>
              </w:rPr>
              <w:fldChar w:fldCharType="separate"/>
            </w:r>
            <w:r w:rsidR="007B70EB">
              <w:rPr>
                <w:noProof/>
                <w:webHidden/>
              </w:rPr>
              <w:t>246</w:t>
            </w:r>
            <w:r w:rsidR="007B70EB">
              <w:rPr>
                <w:noProof/>
                <w:webHidden/>
              </w:rPr>
              <w:fldChar w:fldCharType="end"/>
            </w:r>
          </w:hyperlink>
        </w:p>
        <w:p w14:paraId="5EC5C56C" w14:textId="77777777" w:rsidR="007B70EB" w:rsidRDefault="00900E5C">
          <w:pPr>
            <w:pStyle w:val="TOC2"/>
            <w:rPr>
              <w:rFonts w:asciiTheme="minorHAnsi" w:hAnsiTheme="minorHAnsi"/>
              <w:noProof/>
              <w:sz w:val="22"/>
              <w:szCs w:val="22"/>
              <w:lang w:val="en-AU" w:eastAsia="en-AU"/>
            </w:rPr>
          </w:pPr>
          <w:hyperlink w:anchor="_Toc494444680" w:history="1">
            <w:r w:rsidR="007B70EB" w:rsidRPr="00AB6E34">
              <w:rPr>
                <w:rStyle w:val="Hyperlink"/>
                <w:noProof/>
                <w14:scene3d>
                  <w14:camera w14:prst="orthographicFront"/>
                  <w14:lightRig w14:rig="threePt" w14:dir="t">
                    <w14:rot w14:lat="0" w14:lon="0" w14:rev="0"/>
                  </w14:lightRig>
                </w14:scene3d>
              </w:rPr>
              <w:t>5.6.</w:t>
            </w:r>
            <w:r w:rsidR="007B70EB">
              <w:rPr>
                <w:rFonts w:asciiTheme="minorHAnsi" w:hAnsiTheme="minorHAnsi"/>
                <w:noProof/>
                <w:sz w:val="22"/>
                <w:szCs w:val="22"/>
                <w:lang w:val="en-AU" w:eastAsia="en-AU"/>
              </w:rPr>
              <w:tab/>
            </w:r>
            <w:r w:rsidR="007B70EB" w:rsidRPr="00AB6E34">
              <w:rPr>
                <w:rStyle w:val="Hyperlink"/>
                <w:noProof/>
              </w:rPr>
              <w:t>Applications with DAF values</w:t>
            </w:r>
            <w:r w:rsidR="007B70EB">
              <w:rPr>
                <w:noProof/>
                <w:webHidden/>
              </w:rPr>
              <w:tab/>
            </w:r>
            <w:r w:rsidR="007B70EB">
              <w:rPr>
                <w:noProof/>
                <w:webHidden/>
              </w:rPr>
              <w:fldChar w:fldCharType="begin"/>
            </w:r>
            <w:r w:rsidR="007B70EB">
              <w:rPr>
                <w:noProof/>
                <w:webHidden/>
              </w:rPr>
              <w:instrText xml:space="preserve"> PAGEREF _Toc494444680 \h </w:instrText>
            </w:r>
            <w:r w:rsidR="007B70EB">
              <w:rPr>
                <w:noProof/>
                <w:webHidden/>
              </w:rPr>
            </w:r>
            <w:r w:rsidR="007B70EB">
              <w:rPr>
                <w:noProof/>
                <w:webHidden/>
              </w:rPr>
              <w:fldChar w:fldCharType="separate"/>
            </w:r>
            <w:r w:rsidR="007B70EB">
              <w:rPr>
                <w:noProof/>
                <w:webHidden/>
              </w:rPr>
              <w:t>247</w:t>
            </w:r>
            <w:r w:rsidR="007B70EB">
              <w:rPr>
                <w:noProof/>
                <w:webHidden/>
              </w:rPr>
              <w:fldChar w:fldCharType="end"/>
            </w:r>
          </w:hyperlink>
        </w:p>
        <w:p w14:paraId="64339AAC"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81" w:history="1">
            <w:r w:rsidR="007B70EB" w:rsidRPr="00AB6E34">
              <w:rPr>
                <w:rStyle w:val="Hyperlink"/>
                <w:noProof/>
                <w14:scene3d>
                  <w14:camera w14:prst="orthographicFront"/>
                  <w14:lightRig w14:rig="threePt" w14:dir="t">
                    <w14:rot w14:lat="0" w14:lon="0" w14:rev="0"/>
                  </w14:lightRig>
                </w14:scene3d>
              </w:rPr>
              <w:t>5.6.1.</w:t>
            </w:r>
            <w:r w:rsidR="007B70EB">
              <w:rPr>
                <w:rFonts w:asciiTheme="minorHAnsi" w:hAnsiTheme="minorHAnsi"/>
                <w:noProof/>
                <w:sz w:val="22"/>
                <w:szCs w:val="22"/>
                <w:lang w:val="en-AU" w:eastAsia="en-AU"/>
              </w:rPr>
              <w:tab/>
            </w:r>
            <w:r w:rsidR="007B70EB" w:rsidRPr="00AB6E34">
              <w:rPr>
                <w:rStyle w:val="Hyperlink"/>
                <w:noProof/>
              </w:rPr>
              <w:t>Significance of DAF values</w:t>
            </w:r>
            <w:r w:rsidR="007B70EB">
              <w:rPr>
                <w:noProof/>
                <w:webHidden/>
              </w:rPr>
              <w:tab/>
            </w:r>
            <w:r w:rsidR="007B70EB">
              <w:rPr>
                <w:noProof/>
                <w:webHidden/>
              </w:rPr>
              <w:fldChar w:fldCharType="begin"/>
            </w:r>
            <w:r w:rsidR="007B70EB">
              <w:rPr>
                <w:noProof/>
                <w:webHidden/>
              </w:rPr>
              <w:instrText xml:space="preserve"> PAGEREF _Toc494444681 \h </w:instrText>
            </w:r>
            <w:r w:rsidR="007B70EB">
              <w:rPr>
                <w:noProof/>
                <w:webHidden/>
              </w:rPr>
            </w:r>
            <w:r w:rsidR="007B70EB">
              <w:rPr>
                <w:noProof/>
                <w:webHidden/>
              </w:rPr>
              <w:fldChar w:fldCharType="separate"/>
            </w:r>
            <w:r w:rsidR="007B70EB">
              <w:rPr>
                <w:noProof/>
                <w:webHidden/>
              </w:rPr>
              <w:t>247</w:t>
            </w:r>
            <w:r w:rsidR="007B70EB">
              <w:rPr>
                <w:noProof/>
                <w:webHidden/>
              </w:rPr>
              <w:fldChar w:fldCharType="end"/>
            </w:r>
          </w:hyperlink>
        </w:p>
        <w:p w14:paraId="2AC19B8B"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82" w:history="1">
            <w:r w:rsidR="007B70EB" w:rsidRPr="00AB6E34">
              <w:rPr>
                <w:rStyle w:val="Hyperlink"/>
                <w:noProof/>
                <w14:scene3d>
                  <w14:camera w14:prst="orthographicFront"/>
                  <w14:lightRig w14:rig="threePt" w14:dir="t">
                    <w14:rot w14:lat="0" w14:lon="0" w14:rev="0"/>
                  </w14:lightRig>
                </w14:scene3d>
              </w:rPr>
              <w:t>5.6.2.</w:t>
            </w:r>
            <w:r w:rsidR="007B70EB">
              <w:rPr>
                <w:rFonts w:asciiTheme="minorHAnsi" w:hAnsiTheme="minorHAnsi"/>
                <w:noProof/>
                <w:sz w:val="22"/>
                <w:szCs w:val="22"/>
                <w:lang w:val="en-AU" w:eastAsia="en-AU"/>
              </w:rPr>
              <w:tab/>
            </w:r>
            <w:r w:rsidR="007B70EB" w:rsidRPr="00AB6E34">
              <w:rPr>
                <w:rStyle w:val="Hyperlink"/>
                <w:noProof/>
              </w:rPr>
              <w:t>Further uses of the DAF values</w:t>
            </w:r>
            <w:r w:rsidR="007B70EB">
              <w:rPr>
                <w:noProof/>
                <w:webHidden/>
              </w:rPr>
              <w:tab/>
            </w:r>
            <w:r w:rsidR="007B70EB">
              <w:rPr>
                <w:noProof/>
                <w:webHidden/>
              </w:rPr>
              <w:fldChar w:fldCharType="begin"/>
            </w:r>
            <w:r w:rsidR="007B70EB">
              <w:rPr>
                <w:noProof/>
                <w:webHidden/>
              </w:rPr>
              <w:instrText xml:space="preserve"> PAGEREF _Toc494444682 \h </w:instrText>
            </w:r>
            <w:r w:rsidR="007B70EB">
              <w:rPr>
                <w:noProof/>
                <w:webHidden/>
              </w:rPr>
            </w:r>
            <w:r w:rsidR="007B70EB">
              <w:rPr>
                <w:noProof/>
                <w:webHidden/>
              </w:rPr>
              <w:fldChar w:fldCharType="separate"/>
            </w:r>
            <w:r w:rsidR="007B70EB">
              <w:rPr>
                <w:noProof/>
                <w:webHidden/>
              </w:rPr>
              <w:t>251</w:t>
            </w:r>
            <w:r w:rsidR="007B70EB">
              <w:rPr>
                <w:noProof/>
                <w:webHidden/>
              </w:rPr>
              <w:fldChar w:fldCharType="end"/>
            </w:r>
          </w:hyperlink>
        </w:p>
        <w:p w14:paraId="6078DBEA"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83" w:history="1">
            <w:r w:rsidR="007B70EB" w:rsidRPr="00AB6E34">
              <w:rPr>
                <w:rStyle w:val="Hyperlink"/>
                <w:noProof/>
                <w14:scene3d>
                  <w14:camera w14:prst="orthographicFront"/>
                  <w14:lightRig w14:rig="threePt" w14:dir="t">
                    <w14:rot w14:lat="0" w14:lon="0" w14:rev="0"/>
                  </w14:lightRig>
                </w14:scene3d>
              </w:rPr>
              <w:t>5.6.3.</w:t>
            </w:r>
            <w:r w:rsidR="007B70EB">
              <w:rPr>
                <w:rFonts w:asciiTheme="minorHAnsi" w:hAnsiTheme="minorHAnsi"/>
                <w:noProof/>
                <w:sz w:val="22"/>
                <w:szCs w:val="22"/>
                <w:lang w:val="en-AU" w:eastAsia="en-AU"/>
              </w:rPr>
              <w:tab/>
            </w:r>
            <w:r w:rsidR="007B70EB" w:rsidRPr="00AB6E34">
              <w:rPr>
                <w:rStyle w:val="Hyperlink"/>
                <w:noProof/>
              </w:rPr>
              <w:t>Usage of methodology and DAF values outside study areas</w:t>
            </w:r>
            <w:r w:rsidR="007B70EB">
              <w:rPr>
                <w:noProof/>
                <w:webHidden/>
              </w:rPr>
              <w:tab/>
            </w:r>
            <w:r w:rsidR="007B70EB">
              <w:rPr>
                <w:noProof/>
                <w:webHidden/>
              </w:rPr>
              <w:fldChar w:fldCharType="begin"/>
            </w:r>
            <w:r w:rsidR="007B70EB">
              <w:rPr>
                <w:noProof/>
                <w:webHidden/>
              </w:rPr>
              <w:instrText xml:space="preserve"> PAGEREF _Toc494444683 \h </w:instrText>
            </w:r>
            <w:r w:rsidR="007B70EB">
              <w:rPr>
                <w:noProof/>
                <w:webHidden/>
              </w:rPr>
            </w:r>
            <w:r w:rsidR="007B70EB">
              <w:rPr>
                <w:noProof/>
                <w:webHidden/>
              </w:rPr>
              <w:fldChar w:fldCharType="separate"/>
            </w:r>
            <w:r w:rsidR="007B70EB">
              <w:rPr>
                <w:noProof/>
                <w:webHidden/>
              </w:rPr>
              <w:t>254</w:t>
            </w:r>
            <w:r w:rsidR="007B70EB">
              <w:rPr>
                <w:noProof/>
                <w:webHidden/>
              </w:rPr>
              <w:fldChar w:fldCharType="end"/>
            </w:r>
          </w:hyperlink>
        </w:p>
        <w:p w14:paraId="17999799" w14:textId="77777777" w:rsidR="007B70EB" w:rsidRDefault="00900E5C">
          <w:pPr>
            <w:pStyle w:val="TOC3"/>
            <w:tabs>
              <w:tab w:val="right" w:leader="dot" w:pos="9010"/>
            </w:tabs>
            <w:rPr>
              <w:rFonts w:asciiTheme="minorHAnsi" w:hAnsiTheme="minorHAnsi"/>
              <w:noProof/>
              <w:sz w:val="22"/>
              <w:szCs w:val="22"/>
              <w:lang w:val="en-AU" w:eastAsia="en-AU"/>
            </w:rPr>
          </w:pPr>
          <w:hyperlink w:anchor="_Toc494444684" w:history="1">
            <w:r w:rsidR="007B70EB" w:rsidRPr="00AB6E34">
              <w:rPr>
                <w:rStyle w:val="Hyperlink"/>
                <w:noProof/>
                <w14:scene3d>
                  <w14:camera w14:prst="orthographicFront"/>
                  <w14:lightRig w14:rig="threePt" w14:dir="t">
                    <w14:rot w14:lat="0" w14:lon="0" w14:rev="0"/>
                  </w14:lightRig>
                </w14:scene3d>
              </w:rPr>
              <w:t>5.6.4.</w:t>
            </w:r>
            <w:r w:rsidR="007B70EB">
              <w:rPr>
                <w:rFonts w:asciiTheme="minorHAnsi" w:hAnsiTheme="minorHAnsi"/>
                <w:noProof/>
                <w:sz w:val="22"/>
                <w:szCs w:val="22"/>
                <w:lang w:val="en-AU" w:eastAsia="en-AU"/>
              </w:rPr>
              <w:tab/>
            </w:r>
            <w:r w:rsidR="007B70EB" w:rsidRPr="00AB6E34">
              <w:rPr>
                <w:rStyle w:val="Hyperlink"/>
                <w:noProof/>
              </w:rPr>
              <w:t>Key assumptions that underpin analyses and results</w:t>
            </w:r>
            <w:r w:rsidR="007B70EB">
              <w:rPr>
                <w:noProof/>
                <w:webHidden/>
              </w:rPr>
              <w:tab/>
            </w:r>
            <w:r w:rsidR="007B70EB">
              <w:rPr>
                <w:noProof/>
                <w:webHidden/>
              </w:rPr>
              <w:fldChar w:fldCharType="begin"/>
            </w:r>
            <w:r w:rsidR="007B70EB">
              <w:rPr>
                <w:noProof/>
                <w:webHidden/>
              </w:rPr>
              <w:instrText xml:space="preserve"> PAGEREF _Toc494444684 \h </w:instrText>
            </w:r>
            <w:r w:rsidR="007B70EB">
              <w:rPr>
                <w:noProof/>
                <w:webHidden/>
              </w:rPr>
            </w:r>
            <w:r w:rsidR="007B70EB">
              <w:rPr>
                <w:noProof/>
                <w:webHidden/>
              </w:rPr>
              <w:fldChar w:fldCharType="separate"/>
            </w:r>
            <w:r w:rsidR="007B70EB">
              <w:rPr>
                <w:noProof/>
                <w:webHidden/>
              </w:rPr>
              <w:t>256</w:t>
            </w:r>
            <w:r w:rsidR="007B70EB">
              <w:rPr>
                <w:noProof/>
                <w:webHidden/>
              </w:rPr>
              <w:fldChar w:fldCharType="end"/>
            </w:r>
          </w:hyperlink>
        </w:p>
        <w:p w14:paraId="7A597829" w14:textId="77777777" w:rsidR="007B70EB" w:rsidRDefault="00900E5C">
          <w:pPr>
            <w:pStyle w:val="TOC1"/>
            <w:rPr>
              <w:rFonts w:asciiTheme="minorHAnsi" w:hAnsiTheme="minorHAnsi"/>
              <w:b w:val="0"/>
              <w:noProof/>
              <w:sz w:val="22"/>
              <w:szCs w:val="22"/>
              <w:lang w:val="en-AU" w:eastAsia="en-AU"/>
            </w:rPr>
          </w:pPr>
          <w:hyperlink w:anchor="_Toc494444685" w:history="1">
            <w:r w:rsidR="007B70EB" w:rsidRPr="00AB6E34">
              <w:rPr>
                <w:rStyle w:val="Hyperlink"/>
                <w:noProof/>
              </w:rPr>
              <w:t>6.</w:t>
            </w:r>
            <w:r w:rsidR="007B70EB">
              <w:rPr>
                <w:rFonts w:asciiTheme="minorHAnsi" w:hAnsiTheme="minorHAnsi"/>
                <w:b w:val="0"/>
                <w:noProof/>
                <w:sz w:val="22"/>
                <w:szCs w:val="22"/>
                <w:lang w:val="en-AU" w:eastAsia="en-AU"/>
              </w:rPr>
              <w:tab/>
            </w:r>
            <w:r w:rsidR="007B70EB" w:rsidRPr="00AB6E34">
              <w:rPr>
                <w:rStyle w:val="Hyperlink"/>
                <w:noProof/>
              </w:rPr>
              <w:t>Research outcomes and outputs</w:t>
            </w:r>
            <w:r w:rsidR="007B70EB">
              <w:rPr>
                <w:noProof/>
                <w:webHidden/>
              </w:rPr>
              <w:tab/>
            </w:r>
            <w:r w:rsidR="007B70EB">
              <w:rPr>
                <w:noProof/>
                <w:webHidden/>
              </w:rPr>
              <w:fldChar w:fldCharType="begin"/>
            </w:r>
            <w:r w:rsidR="007B70EB">
              <w:rPr>
                <w:noProof/>
                <w:webHidden/>
              </w:rPr>
              <w:instrText xml:space="preserve"> PAGEREF _Toc494444685 \h </w:instrText>
            </w:r>
            <w:r w:rsidR="007B70EB">
              <w:rPr>
                <w:noProof/>
                <w:webHidden/>
              </w:rPr>
            </w:r>
            <w:r w:rsidR="007B70EB">
              <w:rPr>
                <w:noProof/>
                <w:webHidden/>
              </w:rPr>
              <w:fldChar w:fldCharType="separate"/>
            </w:r>
            <w:r w:rsidR="007B70EB">
              <w:rPr>
                <w:noProof/>
                <w:webHidden/>
              </w:rPr>
              <w:t>257</w:t>
            </w:r>
            <w:r w:rsidR="007B70EB">
              <w:rPr>
                <w:noProof/>
                <w:webHidden/>
              </w:rPr>
              <w:fldChar w:fldCharType="end"/>
            </w:r>
          </w:hyperlink>
        </w:p>
        <w:p w14:paraId="5563A3D8" w14:textId="77777777" w:rsidR="007B70EB" w:rsidRDefault="00900E5C">
          <w:pPr>
            <w:pStyle w:val="TOC2"/>
            <w:rPr>
              <w:rFonts w:asciiTheme="minorHAnsi" w:hAnsiTheme="minorHAnsi"/>
              <w:noProof/>
              <w:sz w:val="22"/>
              <w:szCs w:val="22"/>
              <w:lang w:val="en-AU" w:eastAsia="en-AU"/>
            </w:rPr>
          </w:pPr>
          <w:hyperlink w:anchor="_Toc494444686" w:history="1">
            <w:r w:rsidR="007B70EB" w:rsidRPr="00AB6E34">
              <w:rPr>
                <w:rStyle w:val="Hyperlink"/>
                <w:noProof/>
                <w14:scene3d>
                  <w14:camera w14:prst="orthographicFront"/>
                  <w14:lightRig w14:rig="threePt" w14:dir="t">
                    <w14:rot w14:lat="0" w14:lon="0" w14:rev="0"/>
                  </w14:lightRig>
                </w14:scene3d>
              </w:rPr>
              <w:t>6.1.</w:t>
            </w:r>
            <w:r w:rsidR="007B70EB">
              <w:rPr>
                <w:rFonts w:asciiTheme="minorHAnsi" w:hAnsiTheme="minorHAnsi"/>
                <w:noProof/>
                <w:sz w:val="22"/>
                <w:szCs w:val="22"/>
                <w:lang w:val="en-AU" w:eastAsia="en-AU"/>
              </w:rPr>
              <w:tab/>
            </w:r>
            <w:r w:rsidR="007B70EB" w:rsidRPr="00AB6E34">
              <w:rPr>
                <w:rStyle w:val="Hyperlink"/>
                <w:noProof/>
              </w:rPr>
              <w:t>Research outcomes</w:t>
            </w:r>
            <w:r w:rsidR="007B70EB">
              <w:rPr>
                <w:noProof/>
                <w:webHidden/>
              </w:rPr>
              <w:tab/>
            </w:r>
            <w:r w:rsidR="007B70EB">
              <w:rPr>
                <w:noProof/>
                <w:webHidden/>
              </w:rPr>
              <w:fldChar w:fldCharType="begin"/>
            </w:r>
            <w:r w:rsidR="007B70EB">
              <w:rPr>
                <w:noProof/>
                <w:webHidden/>
              </w:rPr>
              <w:instrText xml:space="preserve"> PAGEREF _Toc494444686 \h </w:instrText>
            </w:r>
            <w:r w:rsidR="007B70EB">
              <w:rPr>
                <w:noProof/>
                <w:webHidden/>
              </w:rPr>
            </w:r>
            <w:r w:rsidR="007B70EB">
              <w:rPr>
                <w:noProof/>
                <w:webHidden/>
              </w:rPr>
              <w:fldChar w:fldCharType="separate"/>
            </w:r>
            <w:r w:rsidR="007B70EB">
              <w:rPr>
                <w:noProof/>
                <w:webHidden/>
              </w:rPr>
              <w:t>257</w:t>
            </w:r>
            <w:r w:rsidR="007B70EB">
              <w:rPr>
                <w:noProof/>
                <w:webHidden/>
              </w:rPr>
              <w:fldChar w:fldCharType="end"/>
            </w:r>
          </w:hyperlink>
        </w:p>
        <w:p w14:paraId="6A91857C" w14:textId="77777777" w:rsidR="007B70EB" w:rsidRDefault="00900E5C">
          <w:pPr>
            <w:pStyle w:val="TOC2"/>
            <w:rPr>
              <w:rFonts w:asciiTheme="minorHAnsi" w:hAnsiTheme="minorHAnsi"/>
              <w:noProof/>
              <w:sz w:val="22"/>
              <w:szCs w:val="22"/>
              <w:lang w:val="en-AU" w:eastAsia="en-AU"/>
            </w:rPr>
          </w:pPr>
          <w:hyperlink w:anchor="_Toc494444687" w:history="1">
            <w:r w:rsidR="007B70EB" w:rsidRPr="00AB6E34">
              <w:rPr>
                <w:rStyle w:val="Hyperlink"/>
                <w:noProof/>
                <w14:scene3d>
                  <w14:camera w14:prst="orthographicFront"/>
                  <w14:lightRig w14:rig="threePt" w14:dir="t">
                    <w14:rot w14:lat="0" w14:lon="0" w14:rev="0"/>
                  </w14:lightRig>
                </w14:scene3d>
              </w:rPr>
              <w:t>6.2.</w:t>
            </w:r>
            <w:r w:rsidR="007B70EB">
              <w:rPr>
                <w:rFonts w:asciiTheme="minorHAnsi" w:hAnsiTheme="minorHAnsi"/>
                <w:noProof/>
                <w:sz w:val="22"/>
                <w:szCs w:val="22"/>
                <w:lang w:val="en-AU" w:eastAsia="en-AU"/>
              </w:rPr>
              <w:tab/>
            </w:r>
            <w:r w:rsidR="007B70EB" w:rsidRPr="00AB6E34">
              <w:rPr>
                <w:rStyle w:val="Hyperlink"/>
                <w:noProof/>
              </w:rPr>
              <w:t>Research outputs</w:t>
            </w:r>
            <w:r w:rsidR="007B70EB">
              <w:rPr>
                <w:noProof/>
                <w:webHidden/>
              </w:rPr>
              <w:tab/>
            </w:r>
            <w:r w:rsidR="007B70EB">
              <w:rPr>
                <w:noProof/>
                <w:webHidden/>
              </w:rPr>
              <w:fldChar w:fldCharType="begin"/>
            </w:r>
            <w:r w:rsidR="007B70EB">
              <w:rPr>
                <w:noProof/>
                <w:webHidden/>
              </w:rPr>
              <w:instrText xml:space="preserve"> PAGEREF _Toc494444687 \h </w:instrText>
            </w:r>
            <w:r w:rsidR="007B70EB">
              <w:rPr>
                <w:noProof/>
                <w:webHidden/>
              </w:rPr>
            </w:r>
            <w:r w:rsidR="007B70EB">
              <w:rPr>
                <w:noProof/>
                <w:webHidden/>
              </w:rPr>
              <w:fldChar w:fldCharType="separate"/>
            </w:r>
            <w:r w:rsidR="007B70EB">
              <w:rPr>
                <w:noProof/>
                <w:webHidden/>
              </w:rPr>
              <w:t>257</w:t>
            </w:r>
            <w:r w:rsidR="007B70EB">
              <w:rPr>
                <w:noProof/>
                <w:webHidden/>
              </w:rPr>
              <w:fldChar w:fldCharType="end"/>
            </w:r>
          </w:hyperlink>
        </w:p>
        <w:p w14:paraId="6BBAD517" w14:textId="77777777" w:rsidR="007B70EB" w:rsidRDefault="00900E5C">
          <w:pPr>
            <w:pStyle w:val="TOC2"/>
            <w:rPr>
              <w:rFonts w:asciiTheme="minorHAnsi" w:hAnsiTheme="minorHAnsi"/>
              <w:noProof/>
              <w:sz w:val="22"/>
              <w:szCs w:val="22"/>
              <w:lang w:val="en-AU" w:eastAsia="en-AU"/>
            </w:rPr>
          </w:pPr>
          <w:hyperlink w:anchor="_Toc494444688" w:history="1">
            <w:r w:rsidR="007B70EB" w:rsidRPr="00AB6E34">
              <w:rPr>
                <w:rStyle w:val="Hyperlink"/>
                <w:noProof/>
                <w14:scene3d>
                  <w14:camera w14:prst="orthographicFront"/>
                  <w14:lightRig w14:rig="threePt" w14:dir="t">
                    <w14:rot w14:lat="0" w14:lon="0" w14:rev="0"/>
                  </w14:lightRig>
                </w14:scene3d>
              </w:rPr>
              <w:t>6.3.</w:t>
            </w:r>
            <w:r w:rsidR="007B70EB">
              <w:rPr>
                <w:rFonts w:asciiTheme="minorHAnsi" w:hAnsiTheme="minorHAnsi"/>
                <w:noProof/>
                <w:sz w:val="22"/>
                <w:szCs w:val="22"/>
                <w:lang w:val="en-AU" w:eastAsia="en-AU"/>
              </w:rPr>
              <w:tab/>
            </w:r>
            <w:r w:rsidR="007B70EB" w:rsidRPr="00AB6E34">
              <w:rPr>
                <w:rStyle w:val="Hyperlink"/>
                <w:noProof/>
              </w:rPr>
              <w:t>Has this research improved the existing evidence base?</w:t>
            </w:r>
            <w:r w:rsidR="007B70EB">
              <w:rPr>
                <w:noProof/>
                <w:webHidden/>
              </w:rPr>
              <w:tab/>
            </w:r>
            <w:r w:rsidR="007B70EB">
              <w:rPr>
                <w:noProof/>
                <w:webHidden/>
              </w:rPr>
              <w:fldChar w:fldCharType="begin"/>
            </w:r>
            <w:r w:rsidR="007B70EB">
              <w:rPr>
                <w:noProof/>
                <w:webHidden/>
              </w:rPr>
              <w:instrText xml:space="preserve"> PAGEREF _Toc494444688 \h </w:instrText>
            </w:r>
            <w:r w:rsidR="007B70EB">
              <w:rPr>
                <w:noProof/>
                <w:webHidden/>
              </w:rPr>
            </w:r>
            <w:r w:rsidR="007B70EB">
              <w:rPr>
                <w:noProof/>
                <w:webHidden/>
              </w:rPr>
              <w:fldChar w:fldCharType="separate"/>
            </w:r>
            <w:r w:rsidR="007B70EB">
              <w:rPr>
                <w:noProof/>
                <w:webHidden/>
              </w:rPr>
              <w:t>258</w:t>
            </w:r>
            <w:r w:rsidR="007B70EB">
              <w:rPr>
                <w:noProof/>
                <w:webHidden/>
              </w:rPr>
              <w:fldChar w:fldCharType="end"/>
            </w:r>
          </w:hyperlink>
        </w:p>
        <w:p w14:paraId="798DB489" w14:textId="77777777" w:rsidR="007B70EB" w:rsidRDefault="00900E5C">
          <w:pPr>
            <w:pStyle w:val="TOC1"/>
            <w:rPr>
              <w:rFonts w:asciiTheme="minorHAnsi" w:hAnsiTheme="minorHAnsi"/>
              <w:b w:val="0"/>
              <w:noProof/>
              <w:sz w:val="22"/>
              <w:szCs w:val="22"/>
              <w:lang w:val="en-AU" w:eastAsia="en-AU"/>
            </w:rPr>
          </w:pPr>
          <w:hyperlink w:anchor="_Toc494444689" w:history="1">
            <w:r w:rsidR="007B70EB" w:rsidRPr="00AB6E34">
              <w:rPr>
                <w:rStyle w:val="Hyperlink"/>
                <w:noProof/>
              </w:rPr>
              <w:t>7.</w:t>
            </w:r>
            <w:r w:rsidR="007B70EB">
              <w:rPr>
                <w:rFonts w:asciiTheme="minorHAnsi" w:hAnsiTheme="minorHAnsi"/>
                <w:b w:val="0"/>
                <w:noProof/>
                <w:sz w:val="22"/>
                <w:szCs w:val="22"/>
                <w:lang w:val="en-AU" w:eastAsia="en-AU"/>
              </w:rPr>
              <w:tab/>
            </w:r>
            <w:r w:rsidR="007B70EB" w:rsidRPr="00AB6E34">
              <w:rPr>
                <w:rStyle w:val="Hyperlink"/>
                <w:noProof/>
              </w:rPr>
              <w:t>Summary</w:t>
            </w:r>
            <w:r w:rsidR="007B70EB">
              <w:rPr>
                <w:noProof/>
                <w:webHidden/>
              </w:rPr>
              <w:tab/>
            </w:r>
            <w:r w:rsidR="007B70EB">
              <w:rPr>
                <w:noProof/>
                <w:webHidden/>
              </w:rPr>
              <w:fldChar w:fldCharType="begin"/>
            </w:r>
            <w:r w:rsidR="007B70EB">
              <w:rPr>
                <w:noProof/>
                <w:webHidden/>
              </w:rPr>
              <w:instrText xml:space="preserve"> PAGEREF _Toc494444689 \h </w:instrText>
            </w:r>
            <w:r w:rsidR="007B70EB">
              <w:rPr>
                <w:noProof/>
                <w:webHidden/>
              </w:rPr>
            </w:r>
            <w:r w:rsidR="007B70EB">
              <w:rPr>
                <w:noProof/>
                <w:webHidden/>
              </w:rPr>
              <w:fldChar w:fldCharType="separate"/>
            </w:r>
            <w:r w:rsidR="007B70EB">
              <w:rPr>
                <w:noProof/>
                <w:webHidden/>
              </w:rPr>
              <w:t>260</w:t>
            </w:r>
            <w:r w:rsidR="007B70EB">
              <w:rPr>
                <w:noProof/>
                <w:webHidden/>
              </w:rPr>
              <w:fldChar w:fldCharType="end"/>
            </w:r>
          </w:hyperlink>
        </w:p>
        <w:p w14:paraId="4C53DC3D" w14:textId="77777777" w:rsidR="007B70EB" w:rsidRDefault="00900E5C">
          <w:pPr>
            <w:pStyle w:val="TOC1"/>
            <w:rPr>
              <w:rFonts w:asciiTheme="minorHAnsi" w:hAnsiTheme="minorHAnsi"/>
              <w:b w:val="0"/>
              <w:noProof/>
              <w:sz w:val="22"/>
              <w:szCs w:val="22"/>
              <w:lang w:val="en-AU" w:eastAsia="en-AU"/>
            </w:rPr>
          </w:pPr>
          <w:hyperlink w:anchor="_Toc494444690" w:history="1">
            <w:r w:rsidR="007B70EB" w:rsidRPr="00AB6E34">
              <w:rPr>
                <w:rStyle w:val="Hyperlink"/>
                <w:noProof/>
              </w:rPr>
              <w:t>8.</w:t>
            </w:r>
            <w:r w:rsidR="007B70EB">
              <w:rPr>
                <w:rFonts w:asciiTheme="minorHAnsi" w:hAnsiTheme="minorHAnsi"/>
                <w:b w:val="0"/>
                <w:noProof/>
                <w:sz w:val="22"/>
                <w:szCs w:val="22"/>
                <w:lang w:val="en-AU" w:eastAsia="en-AU"/>
              </w:rPr>
              <w:tab/>
            </w:r>
            <w:r w:rsidR="007B70EB" w:rsidRPr="00AB6E34">
              <w:rPr>
                <w:rStyle w:val="Hyperlink"/>
                <w:noProof/>
              </w:rPr>
              <w:t>References</w:t>
            </w:r>
            <w:r w:rsidR="007B70EB">
              <w:rPr>
                <w:noProof/>
                <w:webHidden/>
              </w:rPr>
              <w:tab/>
            </w:r>
            <w:r w:rsidR="007B70EB">
              <w:rPr>
                <w:noProof/>
                <w:webHidden/>
              </w:rPr>
              <w:fldChar w:fldCharType="begin"/>
            </w:r>
            <w:r w:rsidR="007B70EB">
              <w:rPr>
                <w:noProof/>
                <w:webHidden/>
              </w:rPr>
              <w:instrText xml:space="preserve"> PAGEREF _Toc494444690 \h </w:instrText>
            </w:r>
            <w:r w:rsidR="007B70EB">
              <w:rPr>
                <w:noProof/>
                <w:webHidden/>
              </w:rPr>
            </w:r>
            <w:r w:rsidR="007B70EB">
              <w:rPr>
                <w:noProof/>
                <w:webHidden/>
              </w:rPr>
              <w:fldChar w:fldCharType="separate"/>
            </w:r>
            <w:r w:rsidR="007B70EB">
              <w:rPr>
                <w:noProof/>
                <w:webHidden/>
              </w:rPr>
              <w:t>264</w:t>
            </w:r>
            <w:r w:rsidR="007B70EB">
              <w:rPr>
                <w:noProof/>
                <w:webHidden/>
              </w:rPr>
              <w:fldChar w:fldCharType="end"/>
            </w:r>
          </w:hyperlink>
        </w:p>
        <w:p w14:paraId="1C61ADB0" w14:textId="0E814AC9" w:rsidR="00AF25B8" w:rsidRPr="00E6110F" w:rsidRDefault="00CD2125" w:rsidP="00CD2125">
          <w:pPr>
            <w:pStyle w:val="TOC1"/>
          </w:pPr>
          <w:r w:rsidRPr="00E6110F">
            <w:fldChar w:fldCharType="end"/>
          </w:r>
        </w:p>
      </w:sdtContent>
    </w:sdt>
    <w:p w14:paraId="3C0F0741" w14:textId="77777777" w:rsidR="002D1395" w:rsidRPr="00E6110F" w:rsidRDefault="002D1395">
      <w:pPr>
        <w:rPr>
          <w:rFonts w:ascii="Calibri-Bold" w:hAnsi="Calibri-Bold" w:cs="Calibri-Bold"/>
          <w:b/>
          <w:bCs/>
          <w:color w:val="00AEEF"/>
          <w:sz w:val="48"/>
          <w:szCs w:val="48"/>
          <w:lang w:val="en-GB"/>
        </w:rPr>
      </w:pPr>
      <w:r w:rsidRPr="00E6110F">
        <w:br w:type="page"/>
      </w:r>
    </w:p>
    <w:p w14:paraId="6A510822" w14:textId="322B23F4" w:rsidR="00017C3F" w:rsidRPr="00E6110F" w:rsidRDefault="00017C3F" w:rsidP="00017C3F">
      <w:pPr>
        <w:pStyle w:val="H1"/>
      </w:pPr>
      <w:r w:rsidRPr="00E6110F">
        <w:t>Figures</w:t>
      </w:r>
    </w:p>
    <w:p w14:paraId="563C114C" w14:textId="77777777" w:rsidR="00FE5988" w:rsidRDefault="00084CDD">
      <w:pPr>
        <w:pStyle w:val="TableofFigures"/>
        <w:tabs>
          <w:tab w:val="right" w:leader="dot" w:pos="9010"/>
        </w:tabs>
        <w:rPr>
          <w:rFonts w:asciiTheme="minorHAnsi" w:hAnsiTheme="minorHAnsi"/>
          <w:noProof/>
          <w:sz w:val="22"/>
          <w:szCs w:val="22"/>
          <w:lang w:val="en-AU" w:eastAsia="en-AU"/>
        </w:rPr>
      </w:pPr>
      <w:r w:rsidRPr="00E6110F">
        <w:fldChar w:fldCharType="begin"/>
      </w:r>
      <w:r w:rsidR="00812784" w:rsidRPr="00E6110F">
        <w:instrText xml:space="preserve"> TOC \h \z \c "Figure" </w:instrText>
      </w:r>
      <w:r w:rsidRPr="00E6110F">
        <w:fldChar w:fldCharType="separate"/>
      </w:r>
      <w:hyperlink w:anchor="_Toc477347532" w:history="1">
        <w:r w:rsidR="00FE5988" w:rsidRPr="001017E9">
          <w:rPr>
            <w:rStyle w:val="Hyperlink"/>
            <w:noProof/>
          </w:rPr>
          <w:t>Figure 1</w:t>
        </w:r>
        <w:r w:rsidR="00FE5988" w:rsidRPr="001017E9">
          <w:rPr>
            <w:rStyle w:val="Hyperlink"/>
            <w:noProof/>
          </w:rPr>
          <w:noBreakHyphen/>
          <w:t>1 Workflow of the hazard screening framework.</w:t>
        </w:r>
        <w:r w:rsidR="00FE5988">
          <w:rPr>
            <w:noProof/>
            <w:webHidden/>
          </w:rPr>
          <w:tab/>
        </w:r>
        <w:r w:rsidR="00FE5988">
          <w:rPr>
            <w:noProof/>
            <w:webHidden/>
          </w:rPr>
          <w:fldChar w:fldCharType="begin"/>
        </w:r>
        <w:r w:rsidR="00FE5988">
          <w:rPr>
            <w:noProof/>
            <w:webHidden/>
          </w:rPr>
          <w:instrText xml:space="preserve"> PAGEREF _Toc477347532 \h </w:instrText>
        </w:r>
        <w:r w:rsidR="00FE5988">
          <w:rPr>
            <w:noProof/>
            <w:webHidden/>
          </w:rPr>
        </w:r>
        <w:r w:rsidR="00FE5988">
          <w:rPr>
            <w:noProof/>
            <w:webHidden/>
          </w:rPr>
          <w:fldChar w:fldCharType="separate"/>
        </w:r>
        <w:r w:rsidR="00951AFC">
          <w:rPr>
            <w:noProof/>
            <w:webHidden/>
          </w:rPr>
          <w:t>8</w:t>
        </w:r>
        <w:r w:rsidR="00FE5988">
          <w:rPr>
            <w:noProof/>
            <w:webHidden/>
          </w:rPr>
          <w:fldChar w:fldCharType="end"/>
        </w:r>
      </w:hyperlink>
    </w:p>
    <w:p w14:paraId="597072FD"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33" w:history="1">
        <w:r w:rsidR="00FE5988" w:rsidRPr="001017E9">
          <w:rPr>
            <w:rStyle w:val="Hyperlink"/>
            <w:noProof/>
          </w:rPr>
          <w:t>Figure 2</w:t>
        </w:r>
        <w:r w:rsidR="00FE5988" w:rsidRPr="001017E9">
          <w:rPr>
            <w:rStyle w:val="Hyperlink"/>
            <w:noProof/>
          </w:rPr>
          <w:noBreakHyphen/>
          <w:t>1 Schematics of levels of hydraulic fracture networks (Fisher and Warpinski 2012).</w:t>
        </w:r>
        <w:r w:rsidR="00FE5988">
          <w:rPr>
            <w:noProof/>
            <w:webHidden/>
          </w:rPr>
          <w:tab/>
        </w:r>
        <w:r w:rsidR="00FE5988">
          <w:rPr>
            <w:noProof/>
            <w:webHidden/>
          </w:rPr>
          <w:fldChar w:fldCharType="begin"/>
        </w:r>
        <w:r w:rsidR="00FE5988">
          <w:rPr>
            <w:noProof/>
            <w:webHidden/>
          </w:rPr>
          <w:instrText xml:space="preserve"> PAGEREF _Toc477347533 \h </w:instrText>
        </w:r>
        <w:r w:rsidR="00FE5988">
          <w:rPr>
            <w:noProof/>
            <w:webHidden/>
          </w:rPr>
        </w:r>
        <w:r w:rsidR="00FE5988">
          <w:rPr>
            <w:noProof/>
            <w:webHidden/>
          </w:rPr>
          <w:fldChar w:fldCharType="separate"/>
        </w:r>
        <w:r w:rsidR="00951AFC">
          <w:rPr>
            <w:noProof/>
            <w:webHidden/>
          </w:rPr>
          <w:t>14</w:t>
        </w:r>
        <w:r w:rsidR="00FE5988">
          <w:rPr>
            <w:noProof/>
            <w:webHidden/>
          </w:rPr>
          <w:fldChar w:fldCharType="end"/>
        </w:r>
      </w:hyperlink>
    </w:p>
    <w:p w14:paraId="49F840B5"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34" w:history="1">
        <w:r w:rsidR="00FE5988" w:rsidRPr="001017E9">
          <w:rPr>
            <w:rStyle w:val="Hyperlink"/>
            <w:noProof/>
          </w:rPr>
          <w:t>Figure 2</w:t>
        </w:r>
        <w:r w:rsidR="00FE5988" w:rsidRPr="001017E9">
          <w:rPr>
            <w:rStyle w:val="Hyperlink"/>
            <w:noProof/>
          </w:rPr>
          <w:noBreakHyphen/>
          <w:t>2 Frequency of hydraulic fracture height for (a) upward and (b) downward propagating fractures in the Marcellus, Barnett, Woodford, Eagle Ford and Niobrara shales. Probability of exceedance of height of (c) upward propagating fractures and (d) downward propagating fractures (Davies et al. 2012).</w:t>
        </w:r>
        <w:r w:rsidR="00FE5988">
          <w:rPr>
            <w:noProof/>
            <w:webHidden/>
          </w:rPr>
          <w:tab/>
        </w:r>
        <w:r w:rsidR="00FE5988">
          <w:rPr>
            <w:noProof/>
            <w:webHidden/>
          </w:rPr>
          <w:fldChar w:fldCharType="begin"/>
        </w:r>
        <w:r w:rsidR="00FE5988">
          <w:rPr>
            <w:noProof/>
            <w:webHidden/>
          </w:rPr>
          <w:instrText xml:space="preserve"> PAGEREF _Toc477347534 \h </w:instrText>
        </w:r>
        <w:r w:rsidR="00FE5988">
          <w:rPr>
            <w:noProof/>
            <w:webHidden/>
          </w:rPr>
        </w:r>
        <w:r w:rsidR="00FE5988">
          <w:rPr>
            <w:noProof/>
            <w:webHidden/>
          </w:rPr>
          <w:fldChar w:fldCharType="separate"/>
        </w:r>
        <w:r w:rsidR="00951AFC">
          <w:rPr>
            <w:noProof/>
            <w:webHidden/>
          </w:rPr>
          <w:t>15</w:t>
        </w:r>
        <w:r w:rsidR="00FE5988">
          <w:rPr>
            <w:noProof/>
            <w:webHidden/>
          </w:rPr>
          <w:fldChar w:fldCharType="end"/>
        </w:r>
      </w:hyperlink>
    </w:p>
    <w:p w14:paraId="53D72FB4"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35" w:history="1">
        <w:r w:rsidR="00FE5988" w:rsidRPr="001017E9">
          <w:rPr>
            <w:rStyle w:val="Hyperlink"/>
            <w:noProof/>
          </w:rPr>
          <w:t>Figure 2</w:t>
        </w:r>
        <w:r w:rsidR="00FE5988" w:rsidRPr="001017E9">
          <w:rPr>
            <w:rStyle w:val="Hyperlink"/>
            <w:noProof/>
          </w:rPr>
          <w:noBreakHyphen/>
          <w:t>3 (A) and (B) Concentrations of methane (A), ethane and propane (B) in drinking water wells vs. distance to natural gas wells. (C) Methane concentration plotted against δ</w:t>
        </w:r>
        <w:r w:rsidR="00FE5988" w:rsidRPr="001017E9">
          <w:rPr>
            <w:rStyle w:val="Hyperlink"/>
            <w:noProof/>
            <w:vertAlign w:val="superscript"/>
          </w:rPr>
          <w:t>13</w:t>
        </w:r>
        <w:r w:rsidR="00FE5988" w:rsidRPr="001017E9">
          <w:rPr>
            <w:rStyle w:val="Hyperlink"/>
            <w:noProof/>
          </w:rPr>
          <w:t>C-CH</w:t>
        </w:r>
        <w:r w:rsidR="00FE5988" w:rsidRPr="001017E9">
          <w:rPr>
            <w:rStyle w:val="Hyperlink"/>
            <w:noProof/>
            <w:vertAlign w:val="subscript"/>
          </w:rPr>
          <w:t>4</w:t>
        </w:r>
        <w:r w:rsidR="00FE5988" w:rsidRPr="001017E9">
          <w:rPr>
            <w:rStyle w:val="Hyperlink"/>
            <w:noProof/>
          </w:rPr>
          <w:t xml:space="preserve">, The grayscale shading refers to distance to nearest gas wells. (D) The ratio of </w:t>
        </w:r>
        <w:r w:rsidR="00FE5988" w:rsidRPr="001017E9">
          <w:rPr>
            <w:rStyle w:val="Hyperlink"/>
            <w:noProof/>
            <w:vertAlign w:val="superscript"/>
          </w:rPr>
          <w:t>4</w:t>
        </w:r>
        <w:r w:rsidR="00FE5988" w:rsidRPr="001017E9">
          <w:rPr>
            <w:rStyle w:val="Hyperlink"/>
            <w:noProof/>
          </w:rPr>
          <w:t>He:CH</w:t>
        </w:r>
        <w:r w:rsidR="00FE5988" w:rsidRPr="001017E9">
          <w:rPr>
            <w:rStyle w:val="Hyperlink"/>
            <w:noProof/>
            <w:vertAlign w:val="subscript"/>
          </w:rPr>
          <w:t>4</w:t>
        </w:r>
        <w:r w:rsidR="00FE5988" w:rsidRPr="001017E9">
          <w:rPr>
            <w:rStyle w:val="Hyperlink"/>
            <w:noProof/>
          </w:rPr>
          <w:t xml:space="preserve"> concentrations in drinking water wells vs. distance to gas wells (kilometres). The values are compared with water samples (mean ± SE) from the salt spring at Salt Springs State Park (n = 3) and Marcellus (n = 4) and Upper Devonian (n = 5) production gases (Jackson et al. 2013). Grey-shaded scale bars refer to (C) and (D) only.</w:t>
        </w:r>
        <w:r w:rsidR="00FE5988">
          <w:rPr>
            <w:noProof/>
            <w:webHidden/>
          </w:rPr>
          <w:tab/>
        </w:r>
        <w:r w:rsidR="00FE5988">
          <w:rPr>
            <w:noProof/>
            <w:webHidden/>
          </w:rPr>
          <w:fldChar w:fldCharType="begin"/>
        </w:r>
        <w:r w:rsidR="00FE5988">
          <w:rPr>
            <w:noProof/>
            <w:webHidden/>
          </w:rPr>
          <w:instrText xml:space="preserve"> PAGEREF _Toc477347535 \h </w:instrText>
        </w:r>
        <w:r w:rsidR="00FE5988">
          <w:rPr>
            <w:noProof/>
            <w:webHidden/>
          </w:rPr>
        </w:r>
        <w:r w:rsidR="00FE5988">
          <w:rPr>
            <w:noProof/>
            <w:webHidden/>
          </w:rPr>
          <w:fldChar w:fldCharType="separate"/>
        </w:r>
        <w:r w:rsidR="00951AFC">
          <w:rPr>
            <w:noProof/>
            <w:webHidden/>
          </w:rPr>
          <w:t>16</w:t>
        </w:r>
        <w:r w:rsidR="00FE5988">
          <w:rPr>
            <w:noProof/>
            <w:webHidden/>
          </w:rPr>
          <w:fldChar w:fldCharType="end"/>
        </w:r>
      </w:hyperlink>
    </w:p>
    <w:p w14:paraId="014DDEF7"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36" w:history="1">
        <w:r w:rsidR="00FE5988" w:rsidRPr="001017E9">
          <w:rPr>
            <w:rStyle w:val="Hyperlink"/>
            <w:noProof/>
          </w:rPr>
          <w:t>Figure 2</w:t>
        </w:r>
        <w:r w:rsidR="00FE5988" w:rsidRPr="001017E9">
          <w:rPr>
            <w:rStyle w:val="Hyperlink"/>
            <w:noProof/>
          </w:rPr>
          <w:noBreakHyphen/>
          <w:t>4 Possible flow paths of fracturing fluid, brine and methane into aquifers; see main text for definition of flow paths F1/M1, F2/M2, and F3/M3; F3 represents spill from a truck accident (Kissinger et al. 2013). Light grey coloures layers are low-permeable formations (aquitards); dark grey coloured layers are gas reservoirs or aquifers.</w:t>
        </w:r>
        <w:r w:rsidR="00FE5988">
          <w:rPr>
            <w:noProof/>
            <w:webHidden/>
          </w:rPr>
          <w:tab/>
        </w:r>
        <w:r w:rsidR="00FE5988">
          <w:rPr>
            <w:noProof/>
            <w:webHidden/>
          </w:rPr>
          <w:fldChar w:fldCharType="begin"/>
        </w:r>
        <w:r w:rsidR="00FE5988">
          <w:rPr>
            <w:noProof/>
            <w:webHidden/>
          </w:rPr>
          <w:instrText xml:space="preserve"> PAGEREF _Toc477347536 \h </w:instrText>
        </w:r>
        <w:r w:rsidR="00FE5988">
          <w:rPr>
            <w:noProof/>
            <w:webHidden/>
          </w:rPr>
        </w:r>
        <w:r w:rsidR="00FE5988">
          <w:rPr>
            <w:noProof/>
            <w:webHidden/>
          </w:rPr>
          <w:fldChar w:fldCharType="separate"/>
        </w:r>
        <w:r w:rsidR="00951AFC">
          <w:rPr>
            <w:noProof/>
            <w:webHidden/>
          </w:rPr>
          <w:t>17</w:t>
        </w:r>
        <w:r w:rsidR="00FE5988">
          <w:rPr>
            <w:noProof/>
            <w:webHidden/>
          </w:rPr>
          <w:fldChar w:fldCharType="end"/>
        </w:r>
      </w:hyperlink>
    </w:p>
    <w:p w14:paraId="236F63A7"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37" w:history="1">
        <w:r w:rsidR="00FE5988" w:rsidRPr="001017E9">
          <w:rPr>
            <w:rStyle w:val="Hyperlink"/>
            <w:noProof/>
          </w:rPr>
          <w:t>Figure 2</w:t>
        </w:r>
        <w:r w:rsidR="00FE5988" w:rsidRPr="001017E9">
          <w:rPr>
            <w:rStyle w:val="Hyperlink"/>
            <w:noProof/>
          </w:rPr>
          <w:noBreakHyphen/>
          <w:t>5 Schematic representation of the conservative assumptions made in Scenario 1 (Kissinger et al. 2013).</w:t>
        </w:r>
        <w:r w:rsidR="00FE5988">
          <w:rPr>
            <w:noProof/>
            <w:webHidden/>
          </w:rPr>
          <w:tab/>
        </w:r>
        <w:r w:rsidR="00FE5988">
          <w:rPr>
            <w:noProof/>
            <w:webHidden/>
          </w:rPr>
          <w:fldChar w:fldCharType="begin"/>
        </w:r>
        <w:r w:rsidR="00FE5988">
          <w:rPr>
            <w:noProof/>
            <w:webHidden/>
          </w:rPr>
          <w:instrText xml:space="preserve"> PAGEREF _Toc477347537 \h </w:instrText>
        </w:r>
        <w:r w:rsidR="00FE5988">
          <w:rPr>
            <w:noProof/>
            <w:webHidden/>
          </w:rPr>
        </w:r>
        <w:r w:rsidR="00FE5988">
          <w:rPr>
            <w:noProof/>
            <w:webHidden/>
          </w:rPr>
          <w:fldChar w:fldCharType="separate"/>
        </w:r>
        <w:r w:rsidR="00951AFC">
          <w:rPr>
            <w:noProof/>
            <w:webHidden/>
          </w:rPr>
          <w:t>18</w:t>
        </w:r>
        <w:r w:rsidR="00FE5988">
          <w:rPr>
            <w:noProof/>
            <w:webHidden/>
          </w:rPr>
          <w:fldChar w:fldCharType="end"/>
        </w:r>
      </w:hyperlink>
    </w:p>
    <w:p w14:paraId="034EC0CF"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38" w:history="1">
        <w:r w:rsidR="00FE5988" w:rsidRPr="001017E9">
          <w:rPr>
            <w:rStyle w:val="Hyperlink"/>
            <w:noProof/>
          </w:rPr>
          <w:t>Figure 2</w:t>
        </w:r>
        <w:r w:rsidR="00FE5988" w:rsidRPr="001017E9">
          <w:rPr>
            <w:rStyle w:val="Hyperlink"/>
            <w:noProof/>
          </w:rPr>
          <w:noBreakHyphen/>
          <w:t>6 Hydraulic fractures tend to rise because of differential gradients; above the injection point, a positive driving force exists because the rock mass stress gradient (17-23 kPa/m) is larger than the fracturing fluid stress gradient (10-13 kPa/m). Below the injection point a pressure deficiency exists resulting in limited downward fracture growth (modified from Dusseault and Jackson 2014).</w:t>
        </w:r>
        <w:r w:rsidR="00FE5988">
          <w:rPr>
            <w:noProof/>
            <w:webHidden/>
          </w:rPr>
          <w:tab/>
        </w:r>
        <w:r w:rsidR="00FE5988">
          <w:rPr>
            <w:noProof/>
            <w:webHidden/>
          </w:rPr>
          <w:fldChar w:fldCharType="begin"/>
        </w:r>
        <w:r w:rsidR="00FE5988">
          <w:rPr>
            <w:noProof/>
            <w:webHidden/>
          </w:rPr>
          <w:instrText xml:space="preserve"> PAGEREF _Toc477347538 \h </w:instrText>
        </w:r>
        <w:r w:rsidR="00FE5988">
          <w:rPr>
            <w:noProof/>
            <w:webHidden/>
          </w:rPr>
        </w:r>
        <w:r w:rsidR="00FE5988">
          <w:rPr>
            <w:noProof/>
            <w:webHidden/>
          </w:rPr>
          <w:fldChar w:fldCharType="separate"/>
        </w:r>
        <w:r w:rsidR="00951AFC">
          <w:rPr>
            <w:noProof/>
            <w:webHidden/>
          </w:rPr>
          <w:t>20</w:t>
        </w:r>
        <w:r w:rsidR="00FE5988">
          <w:rPr>
            <w:noProof/>
            <w:webHidden/>
          </w:rPr>
          <w:fldChar w:fldCharType="end"/>
        </w:r>
      </w:hyperlink>
    </w:p>
    <w:p w14:paraId="7F477A95"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39" w:history="1">
        <w:r w:rsidR="00FE5988" w:rsidRPr="001017E9">
          <w:rPr>
            <w:rStyle w:val="Hyperlink"/>
            <w:noProof/>
          </w:rPr>
          <w:t>Figure 2</w:t>
        </w:r>
        <w:r w:rsidR="00FE5988" w:rsidRPr="001017E9">
          <w:rPr>
            <w:rStyle w:val="Hyperlink"/>
            <w:noProof/>
          </w:rPr>
          <w:noBreakHyphen/>
          <w:t>7 Relation between stresses and fracture orientation, north of Medicine Hat, Alberta, Western Canada sedimentary basin. At shallow depths (from 200 to approximately 380 m) the vertical stress is smaller than the minimum horizontal stress (referred to as reverse fault regime); as a result, fractures develop preferentially in horizontal direction. At depths below 380 m, a strike-slip fault regime exists (vertical stress is larger than minimum horizontal stress) promoting vertical fracture propagation (Dusseault and Jackson 2014).</w:t>
        </w:r>
        <w:r w:rsidR="00FE5988">
          <w:rPr>
            <w:noProof/>
            <w:webHidden/>
          </w:rPr>
          <w:tab/>
        </w:r>
        <w:r w:rsidR="00FE5988">
          <w:rPr>
            <w:noProof/>
            <w:webHidden/>
          </w:rPr>
          <w:fldChar w:fldCharType="begin"/>
        </w:r>
        <w:r w:rsidR="00FE5988">
          <w:rPr>
            <w:noProof/>
            <w:webHidden/>
          </w:rPr>
          <w:instrText xml:space="preserve"> PAGEREF _Toc477347539 \h </w:instrText>
        </w:r>
        <w:r w:rsidR="00FE5988">
          <w:rPr>
            <w:noProof/>
            <w:webHidden/>
          </w:rPr>
        </w:r>
        <w:r w:rsidR="00FE5988">
          <w:rPr>
            <w:noProof/>
            <w:webHidden/>
          </w:rPr>
          <w:fldChar w:fldCharType="separate"/>
        </w:r>
        <w:r w:rsidR="00951AFC">
          <w:rPr>
            <w:noProof/>
            <w:webHidden/>
          </w:rPr>
          <w:t>21</w:t>
        </w:r>
        <w:r w:rsidR="00FE5988">
          <w:rPr>
            <w:noProof/>
            <w:webHidden/>
          </w:rPr>
          <w:fldChar w:fldCharType="end"/>
        </w:r>
      </w:hyperlink>
    </w:p>
    <w:p w14:paraId="7436A339"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40" w:history="1">
        <w:r w:rsidR="00FE5988" w:rsidRPr="001017E9">
          <w:rPr>
            <w:rStyle w:val="Hyperlink"/>
            <w:noProof/>
          </w:rPr>
          <w:t>Figure 2</w:t>
        </w:r>
        <w:r w:rsidR="00FE5988" w:rsidRPr="001017E9">
          <w:rPr>
            <w:rStyle w:val="Hyperlink"/>
            <w:noProof/>
          </w:rPr>
          <w:noBreakHyphen/>
          <w:t>8 Chemical and diffusion osmosis: transfer of water and inorganic ions between drilling fluid and formation when the drilling fluid is equal to the far-field formation pressure (Engelder et al. 2014).</w:t>
        </w:r>
        <w:r w:rsidR="00FE5988">
          <w:rPr>
            <w:noProof/>
            <w:webHidden/>
          </w:rPr>
          <w:tab/>
        </w:r>
        <w:r w:rsidR="00FE5988">
          <w:rPr>
            <w:noProof/>
            <w:webHidden/>
          </w:rPr>
          <w:fldChar w:fldCharType="begin"/>
        </w:r>
        <w:r w:rsidR="00FE5988">
          <w:rPr>
            <w:noProof/>
            <w:webHidden/>
          </w:rPr>
          <w:instrText xml:space="preserve"> PAGEREF _Toc477347540 \h </w:instrText>
        </w:r>
        <w:r w:rsidR="00FE5988">
          <w:rPr>
            <w:noProof/>
            <w:webHidden/>
          </w:rPr>
        </w:r>
        <w:r w:rsidR="00FE5988">
          <w:rPr>
            <w:noProof/>
            <w:webHidden/>
          </w:rPr>
          <w:fldChar w:fldCharType="separate"/>
        </w:r>
        <w:r w:rsidR="00951AFC">
          <w:rPr>
            <w:noProof/>
            <w:webHidden/>
          </w:rPr>
          <w:t>22</w:t>
        </w:r>
        <w:r w:rsidR="00FE5988">
          <w:rPr>
            <w:noProof/>
            <w:webHidden/>
          </w:rPr>
          <w:fldChar w:fldCharType="end"/>
        </w:r>
      </w:hyperlink>
    </w:p>
    <w:p w14:paraId="6F20A908"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41" w:history="1">
        <w:r w:rsidR="00FE5988" w:rsidRPr="001017E9">
          <w:rPr>
            <w:rStyle w:val="Hyperlink"/>
            <w:noProof/>
          </w:rPr>
          <w:t>Figure 2</w:t>
        </w:r>
        <w:r w:rsidR="00FE5988" w:rsidRPr="001017E9">
          <w:rPr>
            <w:rStyle w:val="Hyperlink"/>
            <w:noProof/>
          </w:rPr>
          <w:noBreakHyphen/>
          <w:t>9 Failure scenario 1 (a) and 2 (b) (Reagan et al. 2015).</w:t>
        </w:r>
        <w:r w:rsidR="00FE5988">
          <w:rPr>
            <w:noProof/>
            <w:webHidden/>
          </w:rPr>
          <w:tab/>
        </w:r>
        <w:r w:rsidR="00FE5988">
          <w:rPr>
            <w:noProof/>
            <w:webHidden/>
          </w:rPr>
          <w:fldChar w:fldCharType="begin"/>
        </w:r>
        <w:r w:rsidR="00FE5988">
          <w:rPr>
            <w:noProof/>
            <w:webHidden/>
          </w:rPr>
          <w:instrText xml:space="preserve"> PAGEREF _Toc477347541 \h </w:instrText>
        </w:r>
        <w:r w:rsidR="00FE5988">
          <w:rPr>
            <w:noProof/>
            <w:webHidden/>
          </w:rPr>
        </w:r>
        <w:r w:rsidR="00FE5988">
          <w:rPr>
            <w:noProof/>
            <w:webHidden/>
          </w:rPr>
          <w:fldChar w:fldCharType="separate"/>
        </w:r>
        <w:r w:rsidR="00951AFC">
          <w:rPr>
            <w:noProof/>
            <w:webHidden/>
          </w:rPr>
          <w:t>25</w:t>
        </w:r>
        <w:r w:rsidR="00FE5988">
          <w:rPr>
            <w:noProof/>
            <w:webHidden/>
          </w:rPr>
          <w:fldChar w:fldCharType="end"/>
        </w:r>
      </w:hyperlink>
    </w:p>
    <w:p w14:paraId="53018454"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42" w:history="1">
        <w:r w:rsidR="00FE5988" w:rsidRPr="001017E9">
          <w:rPr>
            <w:rStyle w:val="Hyperlink"/>
            <w:noProof/>
          </w:rPr>
          <w:t>Figure 2</w:t>
        </w:r>
        <w:r w:rsidR="00FE5988" w:rsidRPr="001017E9">
          <w:rPr>
            <w:rStyle w:val="Hyperlink"/>
            <w:noProof/>
          </w:rPr>
          <w:noBreakHyphen/>
          <w:t>10 Failure scenario 3 (a) and 4 (b) (Reagan et al. 2015).</w:t>
        </w:r>
        <w:r w:rsidR="00FE5988">
          <w:rPr>
            <w:noProof/>
            <w:webHidden/>
          </w:rPr>
          <w:tab/>
        </w:r>
        <w:r w:rsidR="00FE5988">
          <w:rPr>
            <w:noProof/>
            <w:webHidden/>
          </w:rPr>
          <w:fldChar w:fldCharType="begin"/>
        </w:r>
        <w:r w:rsidR="00FE5988">
          <w:rPr>
            <w:noProof/>
            <w:webHidden/>
          </w:rPr>
          <w:instrText xml:space="preserve"> PAGEREF _Toc477347542 \h </w:instrText>
        </w:r>
        <w:r w:rsidR="00FE5988">
          <w:rPr>
            <w:noProof/>
            <w:webHidden/>
          </w:rPr>
        </w:r>
        <w:r w:rsidR="00FE5988">
          <w:rPr>
            <w:noProof/>
            <w:webHidden/>
          </w:rPr>
          <w:fldChar w:fldCharType="separate"/>
        </w:r>
        <w:r w:rsidR="00951AFC">
          <w:rPr>
            <w:noProof/>
            <w:webHidden/>
          </w:rPr>
          <w:t>25</w:t>
        </w:r>
        <w:r w:rsidR="00FE5988">
          <w:rPr>
            <w:noProof/>
            <w:webHidden/>
          </w:rPr>
          <w:fldChar w:fldCharType="end"/>
        </w:r>
      </w:hyperlink>
    </w:p>
    <w:p w14:paraId="7C3E5E0F"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43" w:history="1">
        <w:r w:rsidR="00FE5988" w:rsidRPr="001017E9">
          <w:rPr>
            <w:rStyle w:val="Hyperlink"/>
            <w:noProof/>
          </w:rPr>
          <w:t>Figure 2</w:t>
        </w:r>
        <w:r w:rsidR="00FE5988" w:rsidRPr="001017E9">
          <w:rPr>
            <w:rStyle w:val="Hyperlink"/>
            <w:noProof/>
          </w:rPr>
          <w:noBreakHyphen/>
          <w:t>11. Locations of CSG wells (blue dots), groundwater bores not screened in the Walloon Coal Measures (white dots) and water bores screened in the Walloon Coal Measures (red dots) in a CSG field, North East Roma, Queensland. The width of the image is approximately 86 KM. Data obtained from Queensland Government database (http://qldspatial.information.qld.gov.au/catalogue/custom/search.page?q=%22Coal%20seam%20gas%20well%20locations%20-%20Queensland%22). Accessed in August 2015.</w:t>
        </w:r>
        <w:r w:rsidR="00FE5988">
          <w:rPr>
            <w:noProof/>
            <w:webHidden/>
          </w:rPr>
          <w:tab/>
        </w:r>
        <w:r w:rsidR="00FE5988">
          <w:rPr>
            <w:noProof/>
            <w:webHidden/>
          </w:rPr>
          <w:fldChar w:fldCharType="begin"/>
        </w:r>
        <w:r w:rsidR="00FE5988">
          <w:rPr>
            <w:noProof/>
            <w:webHidden/>
          </w:rPr>
          <w:instrText xml:space="preserve"> PAGEREF _Toc477347543 \h </w:instrText>
        </w:r>
        <w:r w:rsidR="00FE5988">
          <w:rPr>
            <w:noProof/>
            <w:webHidden/>
          </w:rPr>
        </w:r>
        <w:r w:rsidR="00FE5988">
          <w:rPr>
            <w:noProof/>
            <w:webHidden/>
          </w:rPr>
          <w:fldChar w:fldCharType="separate"/>
        </w:r>
        <w:r w:rsidR="00951AFC">
          <w:rPr>
            <w:noProof/>
            <w:webHidden/>
          </w:rPr>
          <w:t>32</w:t>
        </w:r>
        <w:r w:rsidR="00FE5988">
          <w:rPr>
            <w:noProof/>
            <w:webHidden/>
          </w:rPr>
          <w:fldChar w:fldCharType="end"/>
        </w:r>
      </w:hyperlink>
    </w:p>
    <w:p w14:paraId="7FAB5397"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44" w:history="1">
        <w:r w:rsidR="00FE5988" w:rsidRPr="001017E9">
          <w:rPr>
            <w:rStyle w:val="Hyperlink"/>
            <w:noProof/>
          </w:rPr>
          <w:t>Figure 2</w:t>
        </w:r>
        <w:r w:rsidR="00FE5988" w:rsidRPr="001017E9">
          <w:rPr>
            <w:rStyle w:val="Hyperlink"/>
            <w:noProof/>
          </w:rPr>
          <w:noBreakHyphen/>
          <w:t>12 Overview of the MCDA framework applied to the hazard evaluations (US EPA 2016a).</w:t>
        </w:r>
        <w:r w:rsidR="00FE5988">
          <w:rPr>
            <w:noProof/>
            <w:webHidden/>
          </w:rPr>
          <w:tab/>
        </w:r>
        <w:r w:rsidR="00FE5988">
          <w:rPr>
            <w:noProof/>
            <w:webHidden/>
          </w:rPr>
          <w:fldChar w:fldCharType="begin"/>
        </w:r>
        <w:r w:rsidR="00FE5988">
          <w:rPr>
            <w:noProof/>
            <w:webHidden/>
          </w:rPr>
          <w:instrText xml:space="preserve"> PAGEREF _Toc477347544 \h </w:instrText>
        </w:r>
        <w:r w:rsidR="00FE5988">
          <w:rPr>
            <w:noProof/>
            <w:webHidden/>
          </w:rPr>
        </w:r>
        <w:r w:rsidR="00FE5988">
          <w:rPr>
            <w:noProof/>
            <w:webHidden/>
          </w:rPr>
          <w:fldChar w:fldCharType="separate"/>
        </w:r>
        <w:r w:rsidR="00951AFC">
          <w:rPr>
            <w:noProof/>
            <w:webHidden/>
          </w:rPr>
          <w:t>40</w:t>
        </w:r>
        <w:r w:rsidR="00FE5988">
          <w:rPr>
            <w:noProof/>
            <w:webHidden/>
          </w:rPr>
          <w:fldChar w:fldCharType="end"/>
        </w:r>
      </w:hyperlink>
    </w:p>
    <w:p w14:paraId="6AB2C8A8"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45" w:history="1">
        <w:r w:rsidR="00FE5988" w:rsidRPr="001017E9">
          <w:rPr>
            <w:rStyle w:val="Hyperlink"/>
            <w:noProof/>
          </w:rPr>
          <w:t>Figure 2</w:t>
        </w:r>
        <w:r w:rsidR="00FE5988" w:rsidRPr="001017E9">
          <w:rPr>
            <w:rStyle w:val="Hyperlink"/>
            <w:noProof/>
          </w:rPr>
          <w:noBreakHyphen/>
          <w:t>13. Proposed Level-1 analysis to identify chemicals of low concern.</w:t>
        </w:r>
        <w:r w:rsidR="00FE5988">
          <w:rPr>
            <w:noProof/>
            <w:webHidden/>
          </w:rPr>
          <w:tab/>
        </w:r>
        <w:r w:rsidR="00FE5988">
          <w:rPr>
            <w:noProof/>
            <w:webHidden/>
          </w:rPr>
          <w:fldChar w:fldCharType="begin"/>
        </w:r>
        <w:r w:rsidR="00FE5988">
          <w:rPr>
            <w:noProof/>
            <w:webHidden/>
          </w:rPr>
          <w:instrText xml:space="preserve"> PAGEREF _Toc477347545 \h </w:instrText>
        </w:r>
        <w:r w:rsidR="00FE5988">
          <w:rPr>
            <w:noProof/>
            <w:webHidden/>
          </w:rPr>
        </w:r>
        <w:r w:rsidR="00FE5988">
          <w:rPr>
            <w:noProof/>
            <w:webHidden/>
          </w:rPr>
          <w:fldChar w:fldCharType="separate"/>
        </w:r>
        <w:r w:rsidR="00951AFC">
          <w:rPr>
            <w:noProof/>
            <w:webHidden/>
          </w:rPr>
          <w:t>44</w:t>
        </w:r>
        <w:r w:rsidR="00FE5988">
          <w:rPr>
            <w:noProof/>
            <w:webHidden/>
          </w:rPr>
          <w:fldChar w:fldCharType="end"/>
        </w:r>
      </w:hyperlink>
    </w:p>
    <w:p w14:paraId="67C8B829"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46" w:history="1">
        <w:r w:rsidR="00FE5988" w:rsidRPr="001017E9">
          <w:rPr>
            <w:rStyle w:val="Hyperlink"/>
            <w:noProof/>
          </w:rPr>
          <w:t>Figure 2</w:t>
        </w:r>
        <w:r w:rsidR="00FE5988" w:rsidRPr="001017E9">
          <w:rPr>
            <w:rStyle w:val="Hyperlink"/>
            <w:noProof/>
          </w:rPr>
          <w:noBreakHyphen/>
          <w:t>14. Eh-pH stability diagram for the dominant arsenic aqueous species at 25°C, total dissolved arsenic concentration: 10</w:t>
        </w:r>
        <w:r w:rsidR="00FE5988" w:rsidRPr="001017E9">
          <w:rPr>
            <w:rStyle w:val="Hyperlink"/>
            <w:noProof/>
            <w:vertAlign w:val="superscript"/>
          </w:rPr>
          <w:t>-6</w:t>
        </w:r>
        <w:r w:rsidR="00FE5988" w:rsidRPr="001017E9">
          <w:rPr>
            <w:rStyle w:val="Hyperlink"/>
            <w:noProof/>
          </w:rPr>
          <w:t xml:space="preserve"> mol/L (US EPA 2004b).</w:t>
        </w:r>
        <w:r w:rsidR="00FE5988">
          <w:rPr>
            <w:noProof/>
            <w:webHidden/>
          </w:rPr>
          <w:tab/>
        </w:r>
        <w:r w:rsidR="00FE5988">
          <w:rPr>
            <w:noProof/>
            <w:webHidden/>
          </w:rPr>
          <w:fldChar w:fldCharType="begin"/>
        </w:r>
        <w:r w:rsidR="00FE5988">
          <w:rPr>
            <w:noProof/>
            <w:webHidden/>
          </w:rPr>
          <w:instrText xml:space="preserve"> PAGEREF _Toc477347546 \h </w:instrText>
        </w:r>
        <w:r w:rsidR="00FE5988">
          <w:rPr>
            <w:noProof/>
            <w:webHidden/>
          </w:rPr>
        </w:r>
        <w:r w:rsidR="00FE5988">
          <w:rPr>
            <w:noProof/>
            <w:webHidden/>
          </w:rPr>
          <w:fldChar w:fldCharType="separate"/>
        </w:r>
        <w:r w:rsidR="00951AFC">
          <w:rPr>
            <w:noProof/>
            <w:webHidden/>
          </w:rPr>
          <w:t>57</w:t>
        </w:r>
        <w:r w:rsidR="00FE5988">
          <w:rPr>
            <w:noProof/>
            <w:webHidden/>
          </w:rPr>
          <w:fldChar w:fldCharType="end"/>
        </w:r>
      </w:hyperlink>
    </w:p>
    <w:p w14:paraId="1A4DE2A6"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47" w:history="1">
        <w:r w:rsidR="00FE5988" w:rsidRPr="001017E9">
          <w:rPr>
            <w:rStyle w:val="Hyperlink"/>
            <w:noProof/>
          </w:rPr>
          <w:t>Figure 2</w:t>
        </w:r>
        <w:r w:rsidR="00FE5988" w:rsidRPr="001017E9">
          <w:rPr>
            <w:rStyle w:val="Hyperlink"/>
            <w:noProof/>
          </w:rPr>
          <w:noBreakHyphen/>
          <w:t>15. Calculated distribution of U(VI) aqueous species as a function of pH for typical river water (US EPA 1999b) [The species distribution is based on a concentration of 1,000 µg/L total dissolved U(VI)].</w:t>
        </w:r>
        <w:r w:rsidR="00FE5988">
          <w:rPr>
            <w:noProof/>
            <w:webHidden/>
          </w:rPr>
          <w:tab/>
        </w:r>
        <w:r w:rsidR="00FE5988">
          <w:rPr>
            <w:noProof/>
            <w:webHidden/>
          </w:rPr>
          <w:fldChar w:fldCharType="begin"/>
        </w:r>
        <w:r w:rsidR="00FE5988">
          <w:rPr>
            <w:noProof/>
            <w:webHidden/>
          </w:rPr>
          <w:instrText xml:space="preserve"> PAGEREF _Toc477347547 \h </w:instrText>
        </w:r>
        <w:r w:rsidR="00FE5988">
          <w:rPr>
            <w:noProof/>
            <w:webHidden/>
          </w:rPr>
        </w:r>
        <w:r w:rsidR="00FE5988">
          <w:rPr>
            <w:noProof/>
            <w:webHidden/>
          </w:rPr>
          <w:fldChar w:fldCharType="separate"/>
        </w:r>
        <w:r w:rsidR="00951AFC">
          <w:rPr>
            <w:noProof/>
            <w:webHidden/>
          </w:rPr>
          <w:t>58</w:t>
        </w:r>
        <w:r w:rsidR="00FE5988">
          <w:rPr>
            <w:noProof/>
            <w:webHidden/>
          </w:rPr>
          <w:fldChar w:fldCharType="end"/>
        </w:r>
      </w:hyperlink>
    </w:p>
    <w:p w14:paraId="38FCC768"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48" w:history="1">
        <w:r w:rsidR="00FE5988" w:rsidRPr="001017E9">
          <w:rPr>
            <w:rStyle w:val="Hyperlink"/>
            <w:noProof/>
          </w:rPr>
          <w:t>Figure 2</w:t>
        </w:r>
        <w:r w:rsidR="00FE5988" w:rsidRPr="001017E9">
          <w:rPr>
            <w:rStyle w:val="Hyperlink"/>
            <w:noProof/>
          </w:rPr>
          <w:noBreakHyphen/>
          <w:t>16 Ecological assets subgroup “groundwater feature/subsurface” within the Gunnedah basin subregion. 30 km buffer area based on groundwater impact assessments from projected CSG extraction. Labels are linked to large polygons.</w:t>
        </w:r>
        <w:r w:rsidR="00FE5988">
          <w:rPr>
            <w:noProof/>
            <w:webHidden/>
          </w:rPr>
          <w:tab/>
        </w:r>
        <w:r w:rsidR="00FE5988">
          <w:rPr>
            <w:noProof/>
            <w:webHidden/>
          </w:rPr>
          <w:fldChar w:fldCharType="begin"/>
        </w:r>
        <w:r w:rsidR="00FE5988">
          <w:rPr>
            <w:noProof/>
            <w:webHidden/>
          </w:rPr>
          <w:instrText xml:space="preserve"> PAGEREF _Toc477347548 \h </w:instrText>
        </w:r>
        <w:r w:rsidR="00FE5988">
          <w:rPr>
            <w:noProof/>
            <w:webHidden/>
          </w:rPr>
        </w:r>
        <w:r w:rsidR="00FE5988">
          <w:rPr>
            <w:noProof/>
            <w:webHidden/>
          </w:rPr>
          <w:fldChar w:fldCharType="separate"/>
        </w:r>
        <w:r w:rsidR="00951AFC">
          <w:rPr>
            <w:noProof/>
            <w:webHidden/>
          </w:rPr>
          <w:t>64</w:t>
        </w:r>
        <w:r w:rsidR="00FE5988">
          <w:rPr>
            <w:noProof/>
            <w:webHidden/>
          </w:rPr>
          <w:fldChar w:fldCharType="end"/>
        </w:r>
      </w:hyperlink>
    </w:p>
    <w:p w14:paraId="547AB719"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49" w:history="1">
        <w:r w:rsidR="00FE5988" w:rsidRPr="001017E9">
          <w:rPr>
            <w:rStyle w:val="Hyperlink"/>
            <w:noProof/>
          </w:rPr>
          <w:t>Figure 2</w:t>
        </w:r>
        <w:r w:rsidR="00FE5988" w:rsidRPr="001017E9">
          <w:rPr>
            <w:rStyle w:val="Hyperlink"/>
            <w:noProof/>
          </w:rPr>
          <w:noBreakHyphen/>
          <w:t>17 Ecological assets subgroup “surface water feature” within the Gunnedah basin subregion. 30 km buffer area based on groundwater impact assessments from projected CSG extraction. Floodplain polygon is a multipart feature that was split into individual features for spatial analysis.</w:t>
        </w:r>
        <w:r w:rsidR="00FE5988">
          <w:rPr>
            <w:noProof/>
            <w:webHidden/>
          </w:rPr>
          <w:tab/>
        </w:r>
        <w:r w:rsidR="00FE5988">
          <w:rPr>
            <w:noProof/>
            <w:webHidden/>
          </w:rPr>
          <w:fldChar w:fldCharType="begin"/>
        </w:r>
        <w:r w:rsidR="00FE5988">
          <w:rPr>
            <w:noProof/>
            <w:webHidden/>
          </w:rPr>
          <w:instrText xml:space="preserve"> PAGEREF _Toc477347549 \h </w:instrText>
        </w:r>
        <w:r w:rsidR="00FE5988">
          <w:rPr>
            <w:noProof/>
            <w:webHidden/>
          </w:rPr>
        </w:r>
        <w:r w:rsidR="00FE5988">
          <w:rPr>
            <w:noProof/>
            <w:webHidden/>
          </w:rPr>
          <w:fldChar w:fldCharType="separate"/>
        </w:r>
        <w:r w:rsidR="00951AFC">
          <w:rPr>
            <w:noProof/>
            <w:webHidden/>
          </w:rPr>
          <w:t>65</w:t>
        </w:r>
        <w:r w:rsidR="00FE5988">
          <w:rPr>
            <w:noProof/>
            <w:webHidden/>
          </w:rPr>
          <w:fldChar w:fldCharType="end"/>
        </w:r>
      </w:hyperlink>
    </w:p>
    <w:p w14:paraId="02CF1D84"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50" w:history="1">
        <w:r w:rsidR="00FE5988" w:rsidRPr="001017E9">
          <w:rPr>
            <w:rStyle w:val="Hyperlink"/>
            <w:noProof/>
          </w:rPr>
          <w:t>Figure 2</w:t>
        </w:r>
        <w:r w:rsidR="00FE5988" w:rsidRPr="001017E9">
          <w:rPr>
            <w:rStyle w:val="Hyperlink"/>
            <w:noProof/>
          </w:rPr>
          <w:noBreakHyphen/>
          <w:t>18 Ecological assets subgroup “Vegetation” within the Gunnedah basin subregion. 30 km buffer area based on groundwater impact assessments from projected CSG extraction. Groundwater dependent ecosystem polygon is a multipart feature that was split into individual features for spatial analysis.</w:t>
        </w:r>
        <w:r w:rsidR="00FE5988">
          <w:rPr>
            <w:noProof/>
            <w:webHidden/>
          </w:rPr>
          <w:tab/>
        </w:r>
        <w:r w:rsidR="00FE5988">
          <w:rPr>
            <w:noProof/>
            <w:webHidden/>
          </w:rPr>
          <w:fldChar w:fldCharType="begin"/>
        </w:r>
        <w:r w:rsidR="00FE5988">
          <w:rPr>
            <w:noProof/>
            <w:webHidden/>
          </w:rPr>
          <w:instrText xml:space="preserve"> PAGEREF _Toc477347550 \h </w:instrText>
        </w:r>
        <w:r w:rsidR="00FE5988">
          <w:rPr>
            <w:noProof/>
            <w:webHidden/>
          </w:rPr>
        </w:r>
        <w:r w:rsidR="00FE5988">
          <w:rPr>
            <w:noProof/>
            <w:webHidden/>
          </w:rPr>
          <w:fldChar w:fldCharType="separate"/>
        </w:r>
        <w:r w:rsidR="00951AFC">
          <w:rPr>
            <w:noProof/>
            <w:webHidden/>
          </w:rPr>
          <w:t>66</w:t>
        </w:r>
        <w:r w:rsidR="00FE5988">
          <w:rPr>
            <w:noProof/>
            <w:webHidden/>
          </w:rPr>
          <w:fldChar w:fldCharType="end"/>
        </w:r>
      </w:hyperlink>
    </w:p>
    <w:p w14:paraId="5EAC05DA"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51" w:history="1">
        <w:r w:rsidR="00FE5988" w:rsidRPr="001017E9">
          <w:rPr>
            <w:rStyle w:val="Hyperlink"/>
            <w:noProof/>
          </w:rPr>
          <w:t>Figure 2</w:t>
        </w:r>
        <w:r w:rsidR="00FE5988" w:rsidRPr="001017E9">
          <w:rPr>
            <w:rStyle w:val="Hyperlink"/>
            <w:noProof/>
          </w:rPr>
          <w:noBreakHyphen/>
          <w:t>19  Licensed groundwater bores less than (left) and greater than (right) 150 m deep (modified from CDM Smith 2014). The black cross-hatching shows licensed bores with unspecified groundwater management area (GMA). Red polygon is the study area (encloses the proposed CSG wells as shown in Figure 2-16 through 2-18).</w:t>
        </w:r>
        <w:r w:rsidR="00FE5988">
          <w:rPr>
            <w:noProof/>
            <w:webHidden/>
          </w:rPr>
          <w:tab/>
        </w:r>
        <w:r w:rsidR="00FE5988">
          <w:rPr>
            <w:noProof/>
            <w:webHidden/>
          </w:rPr>
          <w:fldChar w:fldCharType="begin"/>
        </w:r>
        <w:r w:rsidR="00FE5988">
          <w:rPr>
            <w:noProof/>
            <w:webHidden/>
          </w:rPr>
          <w:instrText xml:space="preserve"> PAGEREF _Toc477347551 \h </w:instrText>
        </w:r>
        <w:r w:rsidR="00FE5988">
          <w:rPr>
            <w:noProof/>
            <w:webHidden/>
          </w:rPr>
        </w:r>
        <w:r w:rsidR="00FE5988">
          <w:rPr>
            <w:noProof/>
            <w:webHidden/>
          </w:rPr>
          <w:fldChar w:fldCharType="separate"/>
        </w:r>
        <w:r w:rsidR="00951AFC">
          <w:rPr>
            <w:noProof/>
            <w:webHidden/>
          </w:rPr>
          <w:t>68</w:t>
        </w:r>
        <w:r w:rsidR="00FE5988">
          <w:rPr>
            <w:noProof/>
            <w:webHidden/>
          </w:rPr>
          <w:fldChar w:fldCharType="end"/>
        </w:r>
      </w:hyperlink>
    </w:p>
    <w:p w14:paraId="08695F2F"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52" w:history="1">
        <w:r w:rsidR="00FE5988" w:rsidRPr="001017E9">
          <w:rPr>
            <w:rStyle w:val="Hyperlink"/>
            <w:noProof/>
          </w:rPr>
          <w:t>Figure 2</w:t>
        </w:r>
        <w:r w:rsidR="00FE5988" w:rsidRPr="001017E9">
          <w:rPr>
            <w:rStyle w:val="Hyperlink"/>
            <w:noProof/>
          </w:rPr>
          <w:noBreakHyphen/>
          <w:t>20 Economic Assets subgroup “Groundwater Management Zone or Area” within the Gunnedah basin subregion. 30 km buffer area based on groundwater impact assessments from projected CSG extraction. Assets include groundwater bores for purposes including water conservation, domestic, stock, teaching and ‘unknown’; and Groundwater Management Plan areas for the Upper and Lower Namoi sources, NSW GAB, and the NSW MDB Fractured and NSW MDB Porous Rock sources.</w:t>
        </w:r>
        <w:r w:rsidR="00FE5988">
          <w:rPr>
            <w:noProof/>
            <w:webHidden/>
          </w:rPr>
          <w:tab/>
        </w:r>
        <w:r w:rsidR="00FE5988">
          <w:rPr>
            <w:noProof/>
            <w:webHidden/>
          </w:rPr>
          <w:fldChar w:fldCharType="begin"/>
        </w:r>
        <w:r w:rsidR="00FE5988">
          <w:rPr>
            <w:noProof/>
            <w:webHidden/>
          </w:rPr>
          <w:instrText xml:space="preserve"> PAGEREF _Toc477347552 \h </w:instrText>
        </w:r>
        <w:r w:rsidR="00FE5988">
          <w:rPr>
            <w:noProof/>
            <w:webHidden/>
          </w:rPr>
        </w:r>
        <w:r w:rsidR="00FE5988">
          <w:rPr>
            <w:noProof/>
            <w:webHidden/>
          </w:rPr>
          <w:fldChar w:fldCharType="separate"/>
        </w:r>
        <w:r w:rsidR="00951AFC">
          <w:rPr>
            <w:noProof/>
            <w:webHidden/>
          </w:rPr>
          <w:t>70</w:t>
        </w:r>
        <w:r w:rsidR="00FE5988">
          <w:rPr>
            <w:noProof/>
            <w:webHidden/>
          </w:rPr>
          <w:fldChar w:fldCharType="end"/>
        </w:r>
      </w:hyperlink>
    </w:p>
    <w:p w14:paraId="4D75302B" w14:textId="77777777" w:rsidR="00FE5988" w:rsidRDefault="00900E5C">
      <w:pPr>
        <w:pStyle w:val="TableofFigures"/>
        <w:tabs>
          <w:tab w:val="right" w:leader="dot" w:pos="9010"/>
        </w:tabs>
        <w:rPr>
          <w:rFonts w:asciiTheme="minorHAnsi" w:hAnsiTheme="minorHAnsi"/>
          <w:noProof/>
          <w:sz w:val="22"/>
          <w:szCs w:val="22"/>
          <w:lang w:val="en-AU" w:eastAsia="en-AU"/>
        </w:rPr>
      </w:pPr>
      <w:hyperlink w:anchor="_Toc477347553" w:history="1">
        <w:r w:rsidR="00FE5988" w:rsidRPr="001017E9">
          <w:rPr>
            <w:rStyle w:val="Hyperlink"/>
            <w:noProof/>
          </w:rPr>
          <w:t>Figure 2</w:t>
        </w:r>
        <w:r w:rsidR="00FE5988" w:rsidRPr="001017E9">
          <w:rPr>
            <w:rStyle w:val="Hyperlink"/>
            <w:noProof/>
          </w:rPr>
          <w:noBreakHyphen/>
          <w:t>21 Economic Assets subgroup “Surface Water Management Zone or Area” within the Gunnedah basin subregion. 30 km buffer area based on groundwater impact assessments from projected CSG extraction. Assets include Water Sharing Plan areas (management zones) for Basic Water Rights (stock and domestic) and Water Access Right locations for the Lower Namoi River and the Bohena, Brigalow, Bundock, Eulah, Spring, Bobbiwaa, Maules, Pian and Millie Creeks.</w:t>
        </w:r>
        <w:r w:rsidR="00FE5988">
          <w:rPr>
            <w:noProof/>
            <w:webHidden/>
          </w:rPr>
          <w:tab/>
        </w:r>
        <w:r w:rsidR="00FE5988">
          <w:rPr>
            <w:noProof/>
            <w:webHidden/>
          </w:rPr>
          <w:fldChar w:fldCharType="begin"/>
        </w:r>
        <w:r w:rsidR="00FE5988">
          <w:rPr>
            <w:noProof/>
            <w:webHidden/>
          </w:rPr>
          <w:instrText xml:space="preserve"> PAGEREF _Toc477347553 \h </w:instrText>
        </w:r>
        <w:r w:rsidR="00FE5988">
          <w:rPr>
            <w:noProof/>
            <w:webHidden/>
          </w:rPr>
        </w:r>
        <w:r w:rsidR="00FE5988">
          <w:rPr>
            <w:noProof/>
            <w:webHidden/>
          </w:rPr>
          <w:fldChar w:fldCharType="separate"/>
        </w:r>
        <w:r w:rsidR="00951AFC">
          <w:rPr>
            <w:noProof/>
            <w:webHidden/>
          </w:rPr>
          <w:t>71</w:t>
        </w:r>
        <w:r w:rsidR="00FE5988">
          <w:rPr>
            <w:noProof/>
            <w:webHidden/>
          </w:rPr>
          <w:fldChar w:fldCharType="end"/>
        </w:r>
      </w:hyperlink>
    </w:p>
    <w:p w14:paraId="23C5ADE6" w14:textId="36276D83" w:rsidR="00FE5988" w:rsidRDefault="00900E5C">
      <w:pPr>
        <w:pStyle w:val="TableofFigures"/>
        <w:tabs>
          <w:tab w:val="right" w:leader="dot" w:pos="9010"/>
        </w:tabs>
        <w:rPr>
          <w:rFonts w:asciiTheme="minorHAnsi" w:hAnsiTheme="minorHAnsi"/>
          <w:noProof/>
          <w:sz w:val="22"/>
          <w:szCs w:val="22"/>
          <w:lang w:val="en-AU" w:eastAsia="en-AU"/>
        </w:rPr>
      </w:pPr>
      <w:hyperlink w:anchor="_Toc477347554" w:history="1">
        <w:r w:rsidR="00FE5988" w:rsidRPr="001017E9">
          <w:rPr>
            <w:rStyle w:val="Hyperlink"/>
            <w:noProof/>
          </w:rPr>
          <w:t>Figure 2</w:t>
        </w:r>
        <w:r w:rsidR="00FE5988" w:rsidRPr="001017E9">
          <w:rPr>
            <w:rStyle w:val="Hyperlink"/>
            <w:noProof/>
          </w:rPr>
          <w:noBreakHyphen/>
          <w:t>22 Sociocultural assets within the Gunnedah basin subregion. 30 km buffer area based on groundwater impact assessments from projected CSG extraction.</w:t>
        </w:r>
        <w:r w:rsidR="00FE5988">
          <w:rPr>
            <w:noProof/>
            <w:webHidden/>
          </w:rPr>
          <w:tab/>
        </w:r>
        <w:r w:rsidR="00FE5988">
          <w:rPr>
            <w:noProof/>
            <w:webHidden/>
          </w:rPr>
          <w:fldChar w:fldCharType="begin"/>
        </w:r>
        <w:r w:rsidR="00FE5988">
          <w:rPr>
            <w:noProof/>
            <w:webHidden/>
          </w:rPr>
          <w:instrText xml:space="preserve"> PAGEREF _Toc477347554 \h </w:instrText>
        </w:r>
        <w:r w:rsidR="00FE5988">
          <w:rPr>
            <w:noProof/>
            <w:webHidden/>
          </w:rPr>
        </w:r>
        <w:r w:rsidR="00FE5988">
          <w:rPr>
            <w:noProof/>
            <w:webHidden/>
          </w:rPr>
          <w:fldChar w:fldCharType="separate"/>
        </w:r>
        <w:r w:rsidR="00951AFC">
          <w:rPr>
            <w:noProof/>
            <w:webHidden/>
          </w:rPr>
          <w:t>73</w:t>
        </w:r>
        <w:r w:rsidR="00FE5988">
          <w:rPr>
            <w:noProof/>
            <w:webHidden/>
          </w:rPr>
          <w:fldChar w:fldCharType="end"/>
        </w:r>
      </w:hyperlink>
    </w:p>
    <w:p w14:paraId="71AD26F2" w14:textId="21A0FD21" w:rsidR="00FE5988" w:rsidRDefault="00900E5C">
      <w:pPr>
        <w:pStyle w:val="TableofFigures"/>
        <w:tabs>
          <w:tab w:val="right" w:leader="dot" w:pos="9010"/>
        </w:tabs>
        <w:rPr>
          <w:rFonts w:asciiTheme="minorHAnsi" w:hAnsiTheme="minorHAnsi"/>
          <w:noProof/>
          <w:sz w:val="22"/>
          <w:szCs w:val="22"/>
          <w:lang w:val="en-AU" w:eastAsia="en-AU"/>
        </w:rPr>
      </w:pPr>
      <w:hyperlink w:anchor="_Toc477347555" w:history="1">
        <w:r w:rsidR="00FE5988" w:rsidRPr="001017E9">
          <w:rPr>
            <w:rStyle w:val="Hyperlink"/>
            <w:noProof/>
          </w:rPr>
          <w:t>Figure 2</w:t>
        </w:r>
        <w:r w:rsidR="00FE5988" w:rsidRPr="001017E9">
          <w:rPr>
            <w:rStyle w:val="Hyperlink"/>
            <w:noProof/>
          </w:rPr>
          <w:noBreakHyphen/>
          <w:t>23  Ecological assets Groundwater Feature (subsurface) Subgroup, Aquifer, geological Feature Class within the Surat Basin study area. Numbers refer to polygons.</w:t>
        </w:r>
        <w:r w:rsidR="00FE5988">
          <w:rPr>
            <w:noProof/>
            <w:webHidden/>
          </w:rPr>
          <w:tab/>
        </w:r>
        <w:r w:rsidR="00FE5988">
          <w:rPr>
            <w:noProof/>
            <w:webHidden/>
          </w:rPr>
          <w:fldChar w:fldCharType="begin"/>
        </w:r>
        <w:r w:rsidR="00FE5988">
          <w:rPr>
            <w:noProof/>
            <w:webHidden/>
          </w:rPr>
          <w:instrText xml:space="preserve"> PAGEREF _Toc477347555 \h </w:instrText>
        </w:r>
        <w:r w:rsidR="00FE5988">
          <w:rPr>
            <w:noProof/>
            <w:webHidden/>
          </w:rPr>
        </w:r>
        <w:r w:rsidR="00FE5988">
          <w:rPr>
            <w:noProof/>
            <w:webHidden/>
          </w:rPr>
          <w:fldChar w:fldCharType="separate"/>
        </w:r>
        <w:r w:rsidR="00951AFC">
          <w:rPr>
            <w:noProof/>
            <w:webHidden/>
          </w:rPr>
          <w:t>75</w:t>
        </w:r>
        <w:r w:rsidR="00FE5988">
          <w:rPr>
            <w:noProof/>
            <w:webHidden/>
          </w:rPr>
          <w:fldChar w:fldCharType="end"/>
        </w:r>
      </w:hyperlink>
    </w:p>
    <w:p w14:paraId="1ABBFC51" w14:textId="381B99DB" w:rsidR="00FE5988" w:rsidRDefault="00900E5C">
      <w:pPr>
        <w:pStyle w:val="TableofFigures"/>
        <w:tabs>
          <w:tab w:val="right" w:leader="dot" w:pos="9010"/>
        </w:tabs>
        <w:rPr>
          <w:rFonts w:asciiTheme="minorHAnsi" w:hAnsiTheme="minorHAnsi"/>
          <w:noProof/>
          <w:sz w:val="22"/>
          <w:szCs w:val="22"/>
          <w:lang w:val="en-AU" w:eastAsia="en-AU"/>
        </w:rPr>
      </w:pPr>
      <w:hyperlink w:anchor="_Toc477347556" w:history="1">
        <w:r w:rsidR="00FE5988" w:rsidRPr="001017E9">
          <w:rPr>
            <w:rStyle w:val="Hyperlink"/>
            <w:noProof/>
          </w:rPr>
          <w:t>Figure 2</w:t>
        </w:r>
        <w:r w:rsidR="00FE5988" w:rsidRPr="001017E9">
          <w:rPr>
            <w:rStyle w:val="Hyperlink"/>
            <w:noProof/>
          </w:rPr>
          <w:noBreakHyphen/>
          <w:t>24  Ecological assets Surface Water Feature Subgroup within the Surat Basin study area.</w:t>
        </w:r>
        <w:r w:rsidR="00FE5988">
          <w:rPr>
            <w:noProof/>
            <w:webHidden/>
          </w:rPr>
          <w:tab/>
        </w:r>
        <w:r w:rsidR="00FE5988">
          <w:rPr>
            <w:noProof/>
            <w:webHidden/>
          </w:rPr>
          <w:fldChar w:fldCharType="begin"/>
        </w:r>
        <w:r w:rsidR="00FE5988">
          <w:rPr>
            <w:noProof/>
            <w:webHidden/>
          </w:rPr>
          <w:instrText xml:space="preserve"> PAGEREF _Toc477347556 \h </w:instrText>
        </w:r>
        <w:r w:rsidR="00FE5988">
          <w:rPr>
            <w:noProof/>
            <w:webHidden/>
          </w:rPr>
        </w:r>
        <w:r w:rsidR="00FE5988">
          <w:rPr>
            <w:noProof/>
            <w:webHidden/>
          </w:rPr>
          <w:fldChar w:fldCharType="separate"/>
        </w:r>
        <w:r w:rsidR="00951AFC">
          <w:rPr>
            <w:noProof/>
            <w:webHidden/>
          </w:rPr>
          <w:t>76</w:t>
        </w:r>
        <w:r w:rsidR="00FE5988">
          <w:rPr>
            <w:noProof/>
            <w:webHidden/>
          </w:rPr>
          <w:fldChar w:fldCharType="end"/>
        </w:r>
      </w:hyperlink>
    </w:p>
    <w:p w14:paraId="38CB6034" w14:textId="15EA293F" w:rsidR="00FE5988" w:rsidRDefault="00900E5C">
      <w:pPr>
        <w:pStyle w:val="TableofFigures"/>
        <w:tabs>
          <w:tab w:val="right" w:leader="dot" w:pos="9010"/>
        </w:tabs>
        <w:rPr>
          <w:rFonts w:asciiTheme="minorHAnsi" w:hAnsiTheme="minorHAnsi"/>
          <w:noProof/>
          <w:sz w:val="22"/>
          <w:szCs w:val="22"/>
          <w:lang w:val="en-AU" w:eastAsia="en-AU"/>
        </w:rPr>
      </w:pPr>
      <w:hyperlink w:anchor="_Toc477347557" w:history="1">
        <w:r w:rsidR="00FE5988" w:rsidRPr="001017E9">
          <w:rPr>
            <w:rStyle w:val="Hyperlink"/>
            <w:noProof/>
          </w:rPr>
          <w:t>Figure 2</w:t>
        </w:r>
        <w:r w:rsidR="00FE5988" w:rsidRPr="001017E9">
          <w:rPr>
            <w:rStyle w:val="Hyperlink"/>
            <w:noProof/>
          </w:rPr>
          <w:noBreakHyphen/>
          <w:t>25 Ecological assets Vegetation Subgroup within the Surat Basin study area.</w:t>
        </w:r>
        <w:r w:rsidR="00FE5988">
          <w:rPr>
            <w:noProof/>
            <w:webHidden/>
          </w:rPr>
          <w:tab/>
        </w:r>
        <w:r w:rsidR="00FE5988">
          <w:rPr>
            <w:noProof/>
            <w:webHidden/>
          </w:rPr>
          <w:fldChar w:fldCharType="begin"/>
        </w:r>
        <w:r w:rsidR="00FE5988">
          <w:rPr>
            <w:noProof/>
            <w:webHidden/>
          </w:rPr>
          <w:instrText xml:space="preserve"> PAGEREF _Toc477347557 \h </w:instrText>
        </w:r>
        <w:r w:rsidR="00FE5988">
          <w:rPr>
            <w:noProof/>
            <w:webHidden/>
          </w:rPr>
        </w:r>
        <w:r w:rsidR="00FE5988">
          <w:rPr>
            <w:noProof/>
            <w:webHidden/>
          </w:rPr>
          <w:fldChar w:fldCharType="separate"/>
        </w:r>
        <w:r w:rsidR="00951AFC">
          <w:rPr>
            <w:noProof/>
            <w:webHidden/>
          </w:rPr>
          <w:t>77</w:t>
        </w:r>
        <w:r w:rsidR="00FE5988">
          <w:rPr>
            <w:noProof/>
            <w:webHidden/>
          </w:rPr>
          <w:fldChar w:fldCharType="end"/>
        </w:r>
      </w:hyperlink>
    </w:p>
    <w:p w14:paraId="6D368E3E" w14:textId="533D22B0" w:rsidR="00FE5988" w:rsidRDefault="00900E5C">
      <w:pPr>
        <w:pStyle w:val="TableofFigures"/>
        <w:tabs>
          <w:tab w:val="right" w:leader="dot" w:pos="9010"/>
        </w:tabs>
        <w:rPr>
          <w:rFonts w:asciiTheme="minorHAnsi" w:hAnsiTheme="minorHAnsi"/>
          <w:noProof/>
          <w:sz w:val="22"/>
          <w:szCs w:val="22"/>
          <w:lang w:val="en-AU" w:eastAsia="en-AU"/>
        </w:rPr>
      </w:pPr>
      <w:hyperlink w:anchor="_Toc477347558" w:history="1">
        <w:r w:rsidR="00FE5988" w:rsidRPr="001017E9">
          <w:rPr>
            <w:rStyle w:val="Hyperlink"/>
            <w:noProof/>
          </w:rPr>
          <w:t>Figure 2</w:t>
        </w:r>
        <w:r w:rsidR="00FE5988" w:rsidRPr="001017E9">
          <w:rPr>
            <w:rStyle w:val="Hyperlink"/>
            <w:noProof/>
          </w:rPr>
          <w:noBreakHyphen/>
          <w:t>26 Economic assets Groundwater management zone Subgroup within the Surat Basin study area.</w:t>
        </w:r>
        <w:r w:rsidR="00FE5988">
          <w:rPr>
            <w:noProof/>
            <w:webHidden/>
          </w:rPr>
          <w:tab/>
        </w:r>
        <w:r w:rsidR="00FE5988">
          <w:rPr>
            <w:noProof/>
            <w:webHidden/>
          </w:rPr>
          <w:fldChar w:fldCharType="begin"/>
        </w:r>
        <w:r w:rsidR="00FE5988">
          <w:rPr>
            <w:noProof/>
            <w:webHidden/>
          </w:rPr>
          <w:instrText xml:space="preserve"> PAGEREF _Toc477347558 \h </w:instrText>
        </w:r>
        <w:r w:rsidR="00FE5988">
          <w:rPr>
            <w:noProof/>
            <w:webHidden/>
          </w:rPr>
        </w:r>
        <w:r w:rsidR="00FE5988">
          <w:rPr>
            <w:noProof/>
            <w:webHidden/>
          </w:rPr>
          <w:fldChar w:fldCharType="separate"/>
        </w:r>
        <w:r w:rsidR="00951AFC">
          <w:rPr>
            <w:noProof/>
            <w:webHidden/>
          </w:rPr>
          <w:t>79</w:t>
        </w:r>
        <w:r w:rsidR="00FE5988">
          <w:rPr>
            <w:noProof/>
            <w:webHidden/>
          </w:rPr>
          <w:fldChar w:fldCharType="end"/>
        </w:r>
      </w:hyperlink>
    </w:p>
    <w:p w14:paraId="60FBDB2E" w14:textId="6B689ABE" w:rsidR="00FE5988" w:rsidRDefault="00900E5C">
      <w:pPr>
        <w:pStyle w:val="TableofFigures"/>
        <w:tabs>
          <w:tab w:val="right" w:leader="dot" w:pos="9010"/>
        </w:tabs>
        <w:rPr>
          <w:rFonts w:asciiTheme="minorHAnsi" w:hAnsiTheme="minorHAnsi"/>
          <w:noProof/>
          <w:sz w:val="22"/>
          <w:szCs w:val="22"/>
          <w:lang w:val="en-AU" w:eastAsia="en-AU"/>
        </w:rPr>
      </w:pPr>
      <w:hyperlink w:anchor="_Toc477347559" w:history="1">
        <w:r w:rsidR="00FE5988" w:rsidRPr="001017E9">
          <w:rPr>
            <w:rStyle w:val="Hyperlink"/>
            <w:noProof/>
          </w:rPr>
          <w:t>Figure 2</w:t>
        </w:r>
        <w:r w:rsidR="00FE5988" w:rsidRPr="001017E9">
          <w:rPr>
            <w:rStyle w:val="Hyperlink"/>
            <w:noProof/>
          </w:rPr>
          <w:noBreakHyphen/>
          <w:t>27 Economic assets Surface water management zone Subgroup within the Surat Basin study area.</w:t>
        </w:r>
        <w:r w:rsidR="00FE5988">
          <w:rPr>
            <w:noProof/>
            <w:webHidden/>
          </w:rPr>
          <w:tab/>
        </w:r>
        <w:r w:rsidR="00FE5988">
          <w:rPr>
            <w:noProof/>
            <w:webHidden/>
          </w:rPr>
          <w:fldChar w:fldCharType="begin"/>
        </w:r>
        <w:r w:rsidR="00FE5988">
          <w:rPr>
            <w:noProof/>
            <w:webHidden/>
          </w:rPr>
          <w:instrText xml:space="preserve"> PAGEREF _Toc477347559 \h </w:instrText>
        </w:r>
        <w:r w:rsidR="00FE5988">
          <w:rPr>
            <w:noProof/>
            <w:webHidden/>
          </w:rPr>
        </w:r>
        <w:r w:rsidR="00FE5988">
          <w:rPr>
            <w:noProof/>
            <w:webHidden/>
          </w:rPr>
          <w:fldChar w:fldCharType="separate"/>
        </w:r>
        <w:r w:rsidR="00951AFC">
          <w:rPr>
            <w:noProof/>
            <w:webHidden/>
          </w:rPr>
          <w:t>80</w:t>
        </w:r>
        <w:r w:rsidR="00FE5988">
          <w:rPr>
            <w:noProof/>
            <w:webHidden/>
          </w:rPr>
          <w:fldChar w:fldCharType="end"/>
        </w:r>
      </w:hyperlink>
    </w:p>
    <w:p w14:paraId="39145AE3" w14:textId="27055EF0" w:rsidR="00FE5988" w:rsidRDefault="00900E5C">
      <w:pPr>
        <w:pStyle w:val="TableofFigures"/>
        <w:tabs>
          <w:tab w:val="right" w:leader="dot" w:pos="9010"/>
        </w:tabs>
        <w:rPr>
          <w:rFonts w:asciiTheme="minorHAnsi" w:hAnsiTheme="minorHAnsi"/>
          <w:noProof/>
          <w:sz w:val="22"/>
          <w:szCs w:val="22"/>
          <w:lang w:val="en-AU" w:eastAsia="en-AU"/>
        </w:rPr>
      </w:pPr>
      <w:hyperlink w:anchor="_Toc477347560" w:history="1">
        <w:r w:rsidR="00FE5988" w:rsidRPr="001017E9">
          <w:rPr>
            <w:rStyle w:val="Hyperlink"/>
            <w:noProof/>
          </w:rPr>
          <w:t>Figure 2</w:t>
        </w:r>
        <w:r w:rsidR="00FE5988" w:rsidRPr="001017E9">
          <w:rPr>
            <w:rStyle w:val="Hyperlink"/>
            <w:noProof/>
          </w:rPr>
          <w:noBreakHyphen/>
          <w:t>28 Sociocultural assets within the Surat Basin study area.</w:t>
        </w:r>
        <w:r w:rsidR="00FE5988">
          <w:rPr>
            <w:noProof/>
            <w:webHidden/>
          </w:rPr>
          <w:tab/>
        </w:r>
        <w:r w:rsidR="00FE5988">
          <w:rPr>
            <w:noProof/>
            <w:webHidden/>
          </w:rPr>
          <w:fldChar w:fldCharType="begin"/>
        </w:r>
        <w:r w:rsidR="00FE5988">
          <w:rPr>
            <w:noProof/>
            <w:webHidden/>
          </w:rPr>
          <w:instrText xml:space="preserve"> PAGEREF _Toc477347560 \h </w:instrText>
        </w:r>
        <w:r w:rsidR="00FE5988">
          <w:rPr>
            <w:noProof/>
            <w:webHidden/>
          </w:rPr>
        </w:r>
        <w:r w:rsidR="00FE5988">
          <w:rPr>
            <w:noProof/>
            <w:webHidden/>
          </w:rPr>
          <w:fldChar w:fldCharType="separate"/>
        </w:r>
        <w:r w:rsidR="00951AFC">
          <w:rPr>
            <w:noProof/>
            <w:webHidden/>
          </w:rPr>
          <w:t>82</w:t>
        </w:r>
        <w:r w:rsidR="00FE5988">
          <w:rPr>
            <w:noProof/>
            <w:webHidden/>
          </w:rPr>
          <w:fldChar w:fldCharType="end"/>
        </w:r>
      </w:hyperlink>
    </w:p>
    <w:p w14:paraId="5CEF94E0" w14:textId="1417F708" w:rsidR="00FE5988" w:rsidRDefault="00900E5C">
      <w:pPr>
        <w:pStyle w:val="TableofFigures"/>
        <w:tabs>
          <w:tab w:val="right" w:leader="dot" w:pos="9010"/>
        </w:tabs>
        <w:rPr>
          <w:rFonts w:asciiTheme="minorHAnsi" w:hAnsiTheme="minorHAnsi"/>
          <w:noProof/>
          <w:sz w:val="22"/>
          <w:szCs w:val="22"/>
          <w:lang w:val="en-AU" w:eastAsia="en-AU"/>
        </w:rPr>
      </w:pPr>
      <w:hyperlink w:anchor="_Toc477347561" w:history="1">
        <w:r w:rsidR="00FE5988" w:rsidRPr="001017E9">
          <w:rPr>
            <w:rStyle w:val="Hyperlink"/>
            <w:noProof/>
          </w:rPr>
          <w:t>Figure 2</w:t>
        </w:r>
        <w:r w:rsidR="00FE5988" w:rsidRPr="001017E9">
          <w:rPr>
            <w:rStyle w:val="Hyperlink"/>
            <w:noProof/>
          </w:rPr>
          <w:noBreakHyphen/>
          <w:t>29 Phases of development and operation of a CSG project (Mallants et al. 2017a).</w:t>
        </w:r>
        <w:r w:rsidR="00FE5988">
          <w:rPr>
            <w:noProof/>
            <w:webHidden/>
          </w:rPr>
          <w:tab/>
        </w:r>
        <w:r w:rsidR="00FE5988">
          <w:rPr>
            <w:noProof/>
            <w:webHidden/>
          </w:rPr>
          <w:fldChar w:fldCharType="begin"/>
        </w:r>
        <w:r w:rsidR="00FE5988">
          <w:rPr>
            <w:noProof/>
            <w:webHidden/>
          </w:rPr>
          <w:instrText xml:space="preserve"> PAGEREF _Toc477347561 \h </w:instrText>
        </w:r>
        <w:r w:rsidR="00FE5988">
          <w:rPr>
            <w:noProof/>
            <w:webHidden/>
          </w:rPr>
        </w:r>
        <w:r w:rsidR="00FE5988">
          <w:rPr>
            <w:noProof/>
            <w:webHidden/>
          </w:rPr>
          <w:fldChar w:fldCharType="separate"/>
        </w:r>
        <w:r w:rsidR="00951AFC">
          <w:rPr>
            <w:noProof/>
            <w:webHidden/>
          </w:rPr>
          <w:t>83</w:t>
        </w:r>
        <w:r w:rsidR="00FE5988">
          <w:rPr>
            <w:noProof/>
            <w:webHidden/>
          </w:rPr>
          <w:fldChar w:fldCharType="end"/>
        </w:r>
      </w:hyperlink>
    </w:p>
    <w:p w14:paraId="6E2F2A1E" w14:textId="766C9936" w:rsidR="00FE5988" w:rsidRDefault="00900E5C">
      <w:pPr>
        <w:pStyle w:val="TableofFigures"/>
        <w:tabs>
          <w:tab w:val="right" w:leader="dot" w:pos="9010"/>
        </w:tabs>
        <w:rPr>
          <w:rFonts w:asciiTheme="minorHAnsi" w:hAnsiTheme="minorHAnsi"/>
          <w:noProof/>
          <w:sz w:val="22"/>
          <w:szCs w:val="22"/>
          <w:lang w:val="en-AU" w:eastAsia="en-AU"/>
        </w:rPr>
      </w:pPr>
      <w:hyperlink w:anchor="_Toc477347562" w:history="1">
        <w:r w:rsidR="00FE5988" w:rsidRPr="001017E9">
          <w:rPr>
            <w:rStyle w:val="Hyperlink"/>
            <w:noProof/>
          </w:rPr>
          <w:t>Figure 2</w:t>
        </w:r>
        <w:r w:rsidR="00FE5988" w:rsidRPr="001017E9">
          <w:rPr>
            <w:rStyle w:val="Hyperlink"/>
            <w:noProof/>
          </w:rPr>
          <w:noBreakHyphen/>
          <w:t>30 Conceptualisation of possible contaminant pathways linked to deep groundwater and receptors at the CSG site for injection phase. Conceptualisations of pathways to shallow groundwater were developed in the National Assessment of CSG Chemicals Project (Mallants et al. 2017a).</w:t>
        </w:r>
        <w:r w:rsidR="00FE5988">
          <w:rPr>
            <w:noProof/>
            <w:webHidden/>
          </w:rPr>
          <w:tab/>
        </w:r>
        <w:r w:rsidR="00FE5988">
          <w:rPr>
            <w:noProof/>
            <w:webHidden/>
          </w:rPr>
          <w:fldChar w:fldCharType="begin"/>
        </w:r>
        <w:r w:rsidR="00FE5988">
          <w:rPr>
            <w:noProof/>
            <w:webHidden/>
          </w:rPr>
          <w:instrText xml:space="preserve"> PAGEREF _Toc477347562 \h </w:instrText>
        </w:r>
        <w:r w:rsidR="00FE5988">
          <w:rPr>
            <w:noProof/>
            <w:webHidden/>
          </w:rPr>
        </w:r>
        <w:r w:rsidR="00FE5988">
          <w:rPr>
            <w:noProof/>
            <w:webHidden/>
          </w:rPr>
          <w:fldChar w:fldCharType="separate"/>
        </w:r>
        <w:r w:rsidR="00951AFC">
          <w:rPr>
            <w:noProof/>
            <w:webHidden/>
          </w:rPr>
          <w:t>84</w:t>
        </w:r>
        <w:r w:rsidR="00FE5988">
          <w:rPr>
            <w:noProof/>
            <w:webHidden/>
          </w:rPr>
          <w:fldChar w:fldCharType="end"/>
        </w:r>
      </w:hyperlink>
    </w:p>
    <w:p w14:paraId="226FAB73" w14:textId="3F3EAC5F" w:rsidR="00FE5988" w:rsidRDefault="00900E5C">
      <w:pPr>
        <w:pStyle w:val="TableofFigures"/>
        <w:tabs>
          <w:tab w:val="right" w:leader="dot" w:pos="9010"/>
        </w:tabs>
        <w:rPr>
          <w:rFonts w:asciiTheme="minorHAnsi" w:hAnsiTheme="minorHAnsi"/>
          <w:noProof/>
          <w:sz w:val="22"/>
          <w:szCs w:val="22"/>
          <w:lang w:val="en-AU" w:eastAsia="en-AU"/>
        </w:rPr>
      </w:pPr>
      <w:hyperlink w:anchor="_Toc477347563" w:history="1">
        <w:r w:rsidR="00FE5988" w:rsidRPr="001017E9">
          <w:rPr>
            <w:rStyle w:val="Hyperlink"/>
            <w:noProof/>
          </w:rPr>
          <w:t>Figure 2</w:t>
        </w:r>
        <w:r w:rsidR="00FE5988" w:rsidRPr="001017E9">
          <w:rPr>
            <w:rStyle w:val="Hyperlink"/>
            <w:noProof/>
          </w:rPr>
          <w:noBreakHyphen/>
          <w:t>31 Example of plausible fate and transport release pathways. A water bore is shown as typical receptor.</w:t>
        </w:r>
        <w:r w:rsidR="00FE5988">
          <w:rPr>
            <w:noProof/>
            <w:webHidden/>
          </w:rPr>
          <w:tab/>
        </w:r>
        <w:r w:rsidR="00FE5988">
          <w:rPr>
            <w:noProof/>
            <w:webHidden/>
          </w:rPr>
          <w:fldChar w:fldCharType="begin"/>
        </w:r>
        <w:r w:rsidR="00FE5988">
          <w:rPr>
            <w:noProof/>
            <w:webHidden/>
          </w:rPr>
          <w:instrText xml:space="preserve"> PAGEREF _Toc477347563 \h </w:instrText>
        </w:r>
        <w:r w:rsidR="00FE5988">
          <w:rPr>
            <w:noProof/>
            <w:webHidden/>
          </w:rPr>
        </w:r>
        <w:r w:rsidR="00FE5988">
          <w:rPr>
            <w:noProof/>
            <w:webHidden/>
          </w:rPr>
          <w:fldChar w:fldCharType="separate"/>
        </w:r>
        <w:r w:rsidR="00951AFC">
          <w:rPr>
            <w:noProof/>
            <w:webHidden/>
          </w:rPr>
          <w:t>86</w:t>
        </w:r>
        <w:r w:rsidR="00FE5988">
          <w:rPr>
            <w:noProof/>
            <w:webHidden/>
          </w:rPr>
          <w:fldChar w:fldCharType="end"/>
        </w:r>
      </w:hyperlink>
    </w:p>
    <w:p w14:paraId="311119A5" w14:textId="626786CF" w:rsidR="00FE5988" w:rsidRDefault="00900E5C">
      <w:pPr>
        <w:pStyle w:val="TableofFigures"/>
        <w:tabs>
          <w:tab w:val="right" w:leader="dot" w:pos="9010"/>
        </w:tabs>
        <w:rPr>
          <w:rFonts w:asciiTheme="minorHAnsi" w:hAnsiTheme="minorHAnsi"/>
          <w:noProof/>
          <w:sz w:val="22"/>
          <w:szCs w:val="22"/>
          <w:lang w:val="en-AU" w:eastAsia="en-AU"/>
        </w:rPr>
      </w:pPr>
      <w:hyperlink w:anchor="_Toc477347564" w:history="1">
        <w:r w:rsidR="00FE5988" w:rsidRPr="001017E9">
          <w:rPr>
            <w:rStyle w:val="Hyperlink"/>
            <w:noProof/>
          </w:rPr>
          <w:t>Figure 2</w:t>
        </w:r>
        <w:r w:rsidR="00FE5988" w:rsidRPr="001017E9">
          <w:rPr>
            <w:rStyle w:val="Hyperlink"/>
            <w:noProof/>
          </w:rPr>
          <w:noBreakHyphen/>
          <w:t>32 Segmentation of a plausible flowpath involving flow through a leaky wellbore annulus (Segment A) and flow through a water bearing aquifer potentially intercepting a groundwater dependent ecosystem (Segment B).</w:t>
        </w:r>
        <w:r w:rsidR="00FE5988">
          <w:rPr>
            <w:noProof/>
            <w:webHidden/>
          </w:rPr>
          <w:tab/>
        </w:r>
        <w:r w:rsidR="00FE5988">
          <w:rPr>
            <w:noProof/>
            <w:webHidden/>
          </w:rPr>
          <w:fldChar w:fldCharType="begin"/>
        </w:r>
        <w:r w:rsidR="00FE5988">
          <w:rPr>
            <w:noProof/>
            <w:webHidden/>
          </w:rPr>
          <w:instrText xml:space="preserve"> PAGEREF _Toc477347564 \h </w:instrText>
        </w:r>
        <w:r w:rsidR="00FE5988">
          <w:rPr>
            <w:noProof/>
            <w:webHidden/>
          </w:rPr>
        </w:r>
        <w:r w:rsidR="00FE5988">
          <w:rPr>
            <w:noProof/>
            <w:webHidden/>
          </w:rPr>
          <w:fldChar w:fldCharType="separate"/>
        </w:r>
        <w:r w:rsidR="00951AFC">
          <w:rPr>
            <w:noProof/>
            <w:webHidden/>
          </w:rPr>
          <w:t>94</w:t>
        </w:r>
        <w:r w:rsidR="00FE5988">
          <w:rPr>
            <w:noProof/>
            <w:webHidden/>
          </w:rPr>
          <w:fldChar w:fldCharType="end"/>
        </w:r>
      </w:hyperlink>
    </w:p>
    <w:p w14:paraId="781191A0" w14:textId="38ABAC49" w:rsidR="00FE5988" w:rsidRDefault="00900E5C">
      <w:pPr>
        <w:pStyle w:val="TableofFigures"/>
        <w:tabs>
          <w:tab w:val="right" w:leader="dot" w:pos="9010"/>
        </w:tabs>
        <w:rPr>
          <w:rFonts w:asciiTheme="minorHAnsi" w:hAnsiTheme="minorHAnsi"/>
          <w:noProof/>
          <w:sz w:val="22"/>
          <w:szCs w:val="22"/>
          <w:lang w:val="en-AU" w:eastAsia="en-AU"/>
        </w:rPr>
      </w:pPr>
      <w:hyperlink w:anchor="_Toc477347565" w:history="1">
        <w:r w:rsidR="00FE5988" w:rsidRPr="001017E9">
          <w:rPr>
            <w:rStyle w:val="Hyperlink"/>
            <w:noProof/>
          </w:rPr>
          <w:t>Figure 2</w:t>
        </w:r>
        <w:r w:rsidR="00FE5988" w:rsidRPr="001017E9">
          <w:rPr>
            <w:rStyle w:val="Hyperlink"/>
            <w:noProof/>
          </w:rPr>
          <w:noBreakHyphen/>
          <w:t>33 3D transient example illustrating forward pathlines released adjacent to the constant head cells (coloured in red) in the top layer 1. Note that some pathlines track through the discontinuous aquitard in middle layer 2 (coloured as solid green), and reach the water supply well in bottom layer 3.</w:t>
        </w:r>
        <w:r w:rsidR="00FE5988">
          <w:rPr>
            <w:noProof/>
            <w:webHidden/>
          </w:rPr>
          <w:tab/>
        </w:r>
        <w:r w:rsidR="00FE5988">
          <w:rPr>
            <w:noProof/>
            <w:webHidden/>
          </w:rPr>
          <w:fldChar w:fldCharType="begin"/>
        </w:r>
        <w:r w:rsidR="00FE5988">
          <w:rPr>
            <w:noProof/>
            <w:webHidden/>
          </w:rPr>
          <w:instrText xml:space="preserve"> PAGEREF _Toc477347565 \h </w:instrText>
        </w:r>
        <w:r w:rsidR="00FE5988">
          <w:rPr>
            <w:noProof/>
            <w:webHidden/>
          </w:rPr>
        </w:r>
        <w:r w:rsidR="00FE5988">
          <w:rPr>
            <w:noProof/>
            <w:webHidden/>
          </w:rPr>
          <w:fldChar w:fldCharType="separate"/>
        </w:r>
        <w:r w:rsidR="00951AFC">
          <w:rPr>
            <w:noProof/>
            <w:webHidden/>
          </w:rPr>
          <w:t>96</w:t>
        </w:r>
        <w:r w:rsidR="00FE5988">
          <w:rPr>
            <w:noProof/>
            <w:webHidden/>
          </w:rPr>
          <w:fldChar w:fldCharType="end"/>
        </w:r>
      </w:hyperlink>
    </w:p>
    <w:p w14:paraId="550C9A4A" w14:textId="2CFD3461" w:rsidR="00FE5988" w:rsidRDefault="00900E5C">
      <w:pPr>
        <w:pStyle w:val="TableofFigures"/>
        <w:tabs>
          <w:tab w:val="right" w:leader="dot" w:pos="9010"/>
        </w:tabs>
        <w:rPr>
          <w:rFonts w:asciiTheme="minorHAnsi" w:hAnsiTheme="minorHAnsi"/>
          <w:noProof/>
          <w:sz w:val="22"/>
          <w:szCs w:val="22"/>
          <w:lang w:val="en-AU" w:eastAsia="en-AU"/>
        </w:rPr>
      </w:pPr>
      <w:hyperlink w:anchor="_Toc477347566" w:history="1">
        <w:r w:rsidR="00FE5988" w:rsidRPr="001017E9">
          <w:rPr>
            <w:rStyle w:val="Hyperlink"/>
            <w:noProof/>
          </w:rPr>
          <w:t>Figure 2</w:t>
        </w:r>
        <w:r w:rsidR="00FE5988" w:rsidRPr="001017E9">
          <w:rPr>
            <w:rStyle w:val="Hyperlink"/>
            <w:noProof/>
          </w:rPr>
          <w:noBreakHyphen/>
          <w:t>34 Stratigraphy of the Surat basin (QWC 2012). For pathway B particles will be released in the Walloon Coal Measures (WCM) subdomain (red box); for pathways A, C and D particles will be released in aquifers above the WCM aquitard.</w:t>
        </w:r>
        <w:r w:rsidR="00FE5988">
          <w:rPr>
            <w:noProof/>
            <w:webHidden/>
          </w:rPr>
          <w:tab/>
        </w:r>
        <w:r w:rsidR="00FE5988">
          <w:rPr>
            <w:noProof/>
            <w:webHidden/>
          </w:rPr>
          <w:fldChar w:fldCharType="begin"/>
        </w:r>
        <w:r w:rsidR="00FE5988">
          <w:rPr>
            <w:noProof/>
            <w:webHidden/>
          </w:rPr>
          <w:instrText xml:space="preserve"> PAGEREF _Toc477347566 \h </w:instrText>
        </w:r>
        <w:r w:rsidR="00FE5988">
          <w:rPr>
            <w:noProof/>
            <w:webHidden/>
          </w:rPr>
        </w:r>
        <w:r w:rsidR="00FE5988">
          <w:rPr>
            <w:noProof/>
            <w:webHidden/>
          </w:rPr>
          <w:fldChar w:fldCharType="separate"/>
        </w:r>
        <w:r w:rsidR="00951AFC">
          <w:rPr>
            <w:noProof/>
            <w:webHidden/>
          </w:rPr>
          <w:t>97</w:t>
        </w:r>
        <w:r w:rsidR="00FE5988">
          <w:rPr>
            <w:noProof/>
            <w:webHidden/>
          </w:rPr>
          <w:fldChar w:fldCharType="end"/>
        </w:r>
      </w:hyperlink>
    </w:p>
    <w:p w14:paraId="5F87E9C3" w14:textId="08CF2823" w:rsidR="00FE5988" w:rsidRDefault="00900E5C">
      <w:pPr>
        <w:pStyle w:val="TableofFigures"/>
        <w:tabs>
          <w:tab w:val="right" w:leader="dot" w:pos="9010"/>
        </w:tabs>
        <w:rPr>
          <w:rFonts w:asciiTheme="minorHAnsi" w:hAnsiTheme="minorHAnsi"/>
          <w:noProof/>
          <w:sz w:val="22"/>
          <w:szCs w:val="22"/>
          <w:lang w:val="en-AU" w:eastAsia="en-AU"/>
        </w:rPr>
      </w:pPr>
      <w:hyperlink w:anchor="_Toc477347567" w:history="1">
        <w:r w:rsidR="00FE5988" w:rsidRPr="001017E9">
          <w:rPr>
            <w:rStyle w:val="Hyperlink"/>
            <w:noProof/>
          </w:rPr>
          <w:t>Figure 2</w:t>
        </w:r>
        <w:r w:rsidR="00FE5988" w:rsidRPr="001017E9">
          <w:rPr>
            <w:rStyle w:val="Hyperlink"/>
            <w:noProof/>
          </w:rPr>
          <w:noBreakHyphen/>
          <w:t>35 Surface geology of the study area (modified from CDM Smith 2014). Red polygon represents study area.</w:t>
        </w:r>
        <w:r w:rsidR="00FE5988">
          <w:rPr>
            <w:noProof/>
            <w:webHidden/>
          </w:rPr>
          <w:tab/>
        </w:r>
        <w:r w:rsidR="00FE5988">
          <w:rPr>
            <w:noProof/>
            <w:webHidden/>
          </w:rPr>
          <w:fldChar w:fldCharType="begin"/>
        </w:r>
        <w:r w:rsidR="00FE5988">
          <w:rPr>
            <w:noProof/>
            <w:webHidden/>
          </w:rPr>
          <w:instrText xml:space="preserve"> PAGEREF _Toc477347567 \h </w:instrText>
        </w:r>
        <w:r w:rsidR="00FE5988">
          <w:rPr>
            <w:noProof/>
            <w:webHidden/>
          </w:rPr>
        </w:r>
        <w:r w:rsidR="00FE5988">
          <w:rPr>
            <w:noProof/>
            <w:webHidden/>
          </w:rPr>
          <w:fldChar w:fldCharType="separate"/>
        </w:r>
        <w:r w:rsidR="00951AFC">
          <w:rPr>
            <w:noProof/>
            <w:webHidden/>
          </w:rPr>
          <w:t>100</w:t>
        </w:r>
        <w:r w:rsidR="00FE5988">
          <w:rPr>
            <w:noProof/>
            <w:webHidden/>
          </w:rPr>
          <w:fldChar w:fldCharType="end"/>
        </w:r>
      </w:hyperlink>
    </w:p>
    <w:p w14:paraId="7C1FD8B8" w14:textId="0E43715A" w:rsidR="00FE5988" w:rsidRDefault="00900E5C">
      <w:pPr>
        <w:pStyle w:val="TableofFigures"/>
        <w:tabs>
          <w:tab w:val="right" w:leader="dot" w:pos="9010"/>
        </w:tabs>
        <w:rPr>
          <w:rFonts w:asciiTheme="minorHAnsi" w:hAnsiTheme="minorHAnsi"/>
          <w:noProof/>
          <w:sz w:val="22"/>
          <w:szCs w:val="22"/>
          <w:lang w:val="en-AU" w:eastAsia="en-AU"/>
        </w:rPr>
      </w:pPr>
      <w:hyperlink w:anchor="_Toc477347568" w:history="1">
        <w:r w:rsidR="00FE5988" w:rsidRPr="001017E9">
          <w:rPr>
            <w:rStyle w:val="Hyperlink"/>
            <w:noProof/>
          </w:rPr>
          <w:t>Figure 2</w:t>
        </w:r>
        <w:r w:rsidR="00FE5988" w:rsidRPr="001017E9">
          <w:rPr>
            <w:rStyle w:val="Hyperlink"/>
            <w:noProof/>
          </w:rPr>
          <w:noBreakHyphen/>
          <w:t>36 Lithology map and cross-section locations (CDM Smith 2014). Red polygon represents study area.</w:t>
        </w:r>
        <w:r w:rsidR="00FE5988">
          <w:rPr>
            <w:noProof/>
            <w:webHidden/>
          </w:rPr>
          <w:tab/>
        </w:r>
        <w:r w:rsidR="00FE5988">
          <w:rPr>
            <w:noProof/>
            <w:webHidden/>
          </w:rPr>
          <w:fldChar w:fldCharType="begin"/>
        </w:r>
        <w:r w:rsidR="00FE5988">
          <w:rPr>
            <w:noProof/>
            <w:webHidden/>
          </w:rPr>
          <w:instrText xml:space="preserve"> PAGEREF _Toc477347568 \h </w:instrText>
        </w:r>
        <w:r w:rsidR="00FE5988">
          <w:rPr>
            <w:noProof/>
            <w:webHidden/>
          </w:rPr>
        </w:r>
        <w:r w:rsidR="00FE5988">
          <w:rPr>
            <w:noProof/>
            <w:webHidden/>
          </w:rPr>
          <w:fldChar w:fldCharType="separate"/>
        </w:r>
        <w:r w:rsidR="00951AFC">
          <w:rPr>
            <w:noProof/>
            <w:webHidden/>
          </w:rPr>
          <w:t>101</w:t>
        </w:r>
        <w:r w:rsidR="00FE5988">
          <w:rPr>
            <w:noProof/>
            <w:webHidden/>
          </w:rPr>
          <w:fldChar w:fldCharType="end"/>
        </w:r>
      </w:hyperlink>
    </w:p>
    <w:p w14:paraId="6CCA06D9" w14:textId="4C604ABC" w:rsidR="00FE5988" w:rsidRDefault="00900E5C">
      <w:pPr>
        <w:pStyle w:val="TableofFigures"/>
        <w:tabs>
          <w:tab w:val="right" w:leader="dot" w:pos="9010"/>
        </w:tabs>
        <w:rPr>
          <w:rFonts w:asciiTheme="minorHAnsi" w:hAnsiTheme="minorHAnsi"/>
          <w:noProof/>
          <w:sz w:val="22"/>
          <w:szCs w:val="22"/>
          <w:lang w:val="en-AU" w:eastAsia="en-AU"/>
        </w:rPr>
      </w:pPr>
      <w:hyperlink w:anchor="_Toc477347569" w:history="1">
        <w:r w:rsidR="00FE5988" w:rsidRPr="001017E9">
          <w:rPr>
            <w:rStyle w:val="Hyperlink"/>
            <w:noProof/>
          </w:rPr>
          <w:t>Figure 2</w:t>
        </w:r>
        <w:r w:rsidR="00FE5988" w:rsidRPr="001017E9">
          <w:rPr>
            <w:rStyle w:val="Hyperlink"/>
            <w:noProof/>
          </w:rPr>
          <w:noBreakHyphen/>
          <w:t>37 Geological model cross-section A-A’ (CDM Smith 2014).</w:t>
        </w:r>
        <w:r w:rsidR="00FE5988">
          <w:rPr>
            <w:noProof/>
            <w:webHidden/>
          </w:rPr>
          <w:tab/>
        </w:r>
        <w:r w:rsidR="00FE5988">
          <w:rPr>
            <w:noProof/>
            <w:webHidden/>
          </w:rPr>
          <w:fldChar w:fldCharType="begin"/>
        </w:r>
        <w:r w:rsidR="00FE5988">
          <w:rPr>
            <w:noProof/>
            <w:webHidden/>
          </w:rPr>
          <w:instrText xml:space="preserve"> PAGEREF _Toc477347569 \h </w:instrText>
        </w:r>
        <w:r w:rsidR="00FE5988">
          <w:rPr>
            <w:noProof/>
            <w:webHidden/>
          </w:rPr>
        </w:r>
        <w:r w:rsidR="00FE5988">
          <w:rPr>
            <w:noProof/>
            <w:webHidden/>
          </w:rPr>
          <w:fldChar w:fldCharType="separate"/>
        </w:r>
        <w:r w:rsidR="00951AFC">
          <w:rPr>
            <w:noProof/>
            <w:webHidden/>
          </w:rPr>
          <w:t>101</w:t>
        </w:r>
        <w:r w:rsidR="00FE5988">
          <w:rPr>
            <w:noProof/>
            <w:webHidden/>
          </w:rPr>
          <w:fldChar w:fldCharType="end"/>
        </w:r>
      </w:hyperlink>
    </w:p>
    <w:p w14:paraId="1D75A45A" w14:textId="251FDB40" w:rsidR="00FE5988" w:rsidRDefault="00900E5C">
      <w:pPr>
        <w:pStyle w:val="TableofFigures"/>
        <w:tabs>
          <w:tab w:val="right" w:leader="dot" w:pos="9010"/>
        </w:tabs>
        <w:rPr>
          <w:rFonts w:asciiTheme="minorHAnsi" w:hAnsiTheme="minorHAnsi"/>
          <w:noProof/>
          <w:sz w:val="22"/>
          <w:szCs w:val="22"/>
          <w:lang w:val="en-AU" w:eastAsia="en-AU"/>
        </w:rPr>
      </w:pPr>
      <w:hyperlink w:anchor="_Toc477347570" w:history="1">
        <w:r w:rsidR="00FE5988" w:rsidRPr="001017E9">
          <w:rPr>
            <w:rStyle w:val="Hyperlink"/>
            <w:noProof/>
          </w:rPr>
          <w:t>Figure 2</w:t>
        </w:r>
        <w:r w:rsidR="00FE5988" w:rsidRPr="001017E9">
          <w:rPr>
            <w:rStyle w:val="Hyperlink"/>
            <w:noProof/>
          </w:rPr>
          <w:noBreakHyphen/>
          <w:t>38 Geological model cross-section B-B’ (CDM Smith 2014).</w:t>
        </w:r>
        <w:r w:rsidR="00FE5988">
          <w:rPr>
            <w:noProof/>
            <w:webHidden/>
          </w:rPr>
          <w:tab/>
        </w:r>
        <w:r w:rsidR="00FE5988">
          <w:rPr>
            <w:noProof/>
            <w:webHidden/>
          </w:rPr>
          <w:fldChar w:fldCharType="begin"/>
        </w:r>
        <w:r w:rsidR="00FE5988">
          <w:rPr>
            <w:noProof/>
            <w:webHidden/>
          </w:rPr>
          <w:instrText xml:space="preserve"> PAGEREF _Toc477347570 \h </w:instrText>
        </w:r>
        <w:r w:rsidR="00FE5988">
          <w:rPr>
            <w:noProof/>
            <w:webHidden/>
          </w:rPr>
        </w:r>
        <w:r w:rsidR="00FE5988">
          <w:rPr>
            <w:noProof/>
            <w:webHidden/>
          </w:rPr>
          <w:fldChar w:fldCharType="separate"/>
        </w:r>
        <w:r w:rsidR="00951AFC">
          <w:rPr>
            <w:noProof/>
            <w:webHidden/>
          </w:rPr>
          <w:t>102</w:t>
        </w:r>
        <w:r w:rsidR="00FE5988">
          <w:rPr>
            <w:noProof/>
            <w:webHidden/>
          </w:rPr>
          <w:fldChar w:fldCharType="end"/>
        </w:r>
      </w:hyperlink>
    </w:p>
    <w:p w14:paraId="452ECB5D" w14:textId="522AEEA1" w:rsidR="00FE5988" w:rsidRDefault="00900E5C">
      <w:pPr>
        <w:pStyle w:val="TableofFigures"/>
        <w:tabs>
          <w:tab w:val="right" w:leader="dot" w:pos="9010"/>
        </w:tabs>
        <w:rPr>
          <w:rFonts w:asciiTheme="minorHAnsi" w:hAnsiTheme="minorHAnsi"/>
          <w:noProof/>
          <w:sz w:val="22"/>
          <w:szCs w:val="22"/>
          <w:lang w:val="en-AU" w:eastAsia="en-AU"/>
        </w:rPr>
      </w:pPr>
      <w:hyperlink w:anchor="_Toc477347571" w:history="1">
        <w:r w:rsidR="00FE5988" w:rsidRPr="001017E9">
          <w:rPr>
            <w:rStyle w:val="Hyperlink"/>
            <w:noProof/>
          </w:rPr>
          <w:t>Figure 2</w:t>
        </w:r>
        <w:r w:rsidR="00FE5988" w:rsidRPr="001017E9">
          <w:rPr>
            <w:rStyle w:val="Hyperlink"/>
            <w:noProof/>
          </w:rPr>
          <w:noBreakHyphen/>
          <w:t>39 Geological model cross-section C-C’ (CDM Smith 2014).</w:t>
        </w:r>
        <w:r w:rsidR="00FE5988">
          <w:rPr>
            <w:noProof/>
            <w:webHidden/>
          </w:rPr>
          <w:tab/>
        </w:r>
        <w:r w:rsidR="00FE5988">
          <w:rPr>
            <w:noProof/>
            <w:webHidden/>
          </w:rPr>
          <w:fldChar w:fldCharType="begin"/>
        </w:r>
        <w:r w:rsidR="00FE5988">
          <w:rPr>
            <w:noProof/>
            <w:webHidden/>
          </w:rPr>
          <w:instrText xml:space="preserve"> PAGEREF _Toc477347571 \h </w:instrText>
        </w:r>
        <w:r w:rsidR="00FE5988">
          <w:rPr>
            <w:noProof/>
            <w:webHidden/>
          </w:rPr>
        </w:r>
        <w:r w:rsidR="00FE5988">
          <w:rPr>
            <w:noProof/>
            <w:webHidden/>
          </w:rPr>
          <w:fldChar w:fldCharType="separate"/>
        </w:r>
        <w:r w:rsidR="00951AFC">
          <w:rPr>
            <w:noProof/>
            <w:webHidden/>
          </w:rPr>
          <w:t>102</w:t>
        </w:r>
        <w:r w:rsidR="00FE5988">
          <w:rPr>
            <w:noProof/>
            <w:webHidden/>
          </w:rPr>
          <w:fldChar w:fldCharType="end"/>
        </w:r>
      </w:hyperlink>
    </w:p>
    <w:p w14:paraId="2F3C913E" w14:textId="54118229" w:rsidR="00FE5988" w:rsidRDefault="00900E5C">
      <w:pPr>
        <w:pStyle w:val="TableofFigures"/>
        <w:tabs>
          <w:tab w:val="right" w:leader="dot" w:pos="9010"/>
        </w:tabs>
        <w:rPr>
          <w:rFonts w:asciiTheme="minorHAnsi" w:hAnsiTheme="minorHAnsi"/>
          <w:noProof/>
          <w:sz w:val="22"/>
          <w:szCs w:val="22"/>
          <w:lang w:val="en-AU" w:eastAsia="en-AU"/>
        </w:rPr>
      </w:pPr>
      <w:hyperlink w:anchor="_Toc477347572" w:history="1">
        <w:r w:rsidR="00FE5988" w:rsidRPr="001017E9">
          <w:rPr>
            <w:rStyle w:val="Hyperlink"/>
            <w:noProof/>
          </w:rPr>
          <w:t>Figure 2</w:t>
        </w:r>
        <w:r w:rsidR="00FE5988" w:rsidRPr="001017E9">
          <w:rPr>
            <w:rStyle w:val="Hyperlink"/>
            <w:noProof/>
          </w:rPr>
          <w:noBreakHyphen/>
          <w:t>40 Location of the fifteen observation points within the model domain including the study area. A close-up of the location of proposed CSG wells is provided in Figure 2</w:t>
        </w:r>
        <w:r w:rsidR="00FE5988" w:rsidRPr="001017E9">
          <w:rPr>
            <w:rStyle w:val="Hyperlink"/>
            <w:noProof/>
          </w:rPr>
          <w:noBreakHyphen/>
          <w:t>41.</w:t>
        </w:r>
        <w:r w:rsidR="00FE5988">
          <w:rPr>
            <w:noProof/>
            <w:webHidden/>
          </w:rPr>
          <w:tab/>
        </w:r>
        <w:r w:rsidR="00FE5988">
          <w:rPr>
            <w:noProof/>
            <w:webHidden/>
          </w:rPr>
          <w:fldChar w:fldCharType="begin"/>
        </w:r>
        <w:r w:rsidR="00FE5988">
          <w:rPr>
            <w:noProof/>
            <w:webHidden/>
          </w:rPr>
          <w:instrText xml:space="preserve"> PAGEREF _Toc477347572 \h </w:instrText>
        </w:r>
        <w:r w:rsidR="00FE5988">
          <w:rPr>
            <w:noProof/>
            <w:webHidden/>
          </w:rPr>
        </w:r>
        <w:r w:rsidR="00FE5988">
          <w:rPr>
            <w:noProof/>
            <w:webHidden/>
          </w:rPr>
          <w:fldChar w:fldCharType="separate"/>
        </w:r>
        <w:r w:rsidR="00951AFC">
          <w:rPr>
            <w:noProof/>
            <w:webHidden/>
          </w:rPr>
          <w:t>104</w:t>
        </w:r>
        <w:r w:rsidR="00FE5988">
          <w:rPr>
            <w:noProof/>
            <w:webHidden/>
          </w:rPr>
          <w:fldChar w:fldCharType="end"/>
        </w:r>
      </w:hyperlink>
    </w:p>
    <w:p w14:paraId="419CC4ED" w14:textId="3EBB3969" w:rsidR="00FE5988" w:rsidRDefault="00900E5C">
      <w:pPr>
        <w:pStyle w:val="TableofFigures"/>
        <w:tabs>
          <w:tab w:val="right" w:leader="dot" w:pos="9010"/>
        </w:tabs>
        <w:rPr>
          <w:rFonts w:asciiTheme="minorHAnsi" w:hAnsiTheme="minorHAnsi"/>
          <w:noProof/>
          <w:sz w:val="22"/>
          <w:szCs w:val="22"/>
          <w:lang w:val="en-AU" w:eastAsia="en-AU"/>
        </w:rPr>
      </w:pPr>
      <w:hyperlink w:anchor="_Toc477347573" w:history="1">
        <w:r w:rsidR="00FE5988" w:rsidRPr="001017E9">
          <w:rPr>
            <w:rStyle w:val="Hyperlink"/>
            <w:noProof/>
          </w:rPr>
          <w:t>Figure 2</w:t>
        </w:r>
        <w:r w:rsidR="00FE5988" w:rsidRPr="001017E9">
          <w:rPr>
            <w:rStyle w:val="Hyperlink"/>
            <w:noProof/>
          </w:rPr>
          <w:noBreakHyphen/>
          <w:t>41 Location of the CSG wells within the study area.</w:t>
        </w:r>
        <w:r w:rsidR="00FE5988">
          <w:rPr>
            <w:noProof/>
            <w:webHidden/>
          </w:rPr>
          <w:tab/>
        </w:r>
        <w:r w:rsidR="00FE5988">
          <w:rPr>
            <w:noProof/>
            <w:webHidden/>
          </w:rPr>
          <w:fldChar w:fldCharType="begin"/>
        </w:r>
        <w:r w:rsidR="00FE5988">
          <w:rPr>
            <w:noProof/>
            <w:webHidden/>
          </w:rPr>
          <w:instrText xml:space="preserve"> PAGEREF _Toc477347573 \h </w:instrText>
        </w:r>
        <w:r w:rsidR="00FE5988">
          <w:rPr>
            <w:noProof/>
            <w:webHidden/>
          </w:rPr>
        </w:r>
        <w:r w:rsidR="00FE5988">
          <w:rPr>
            <w:noProof/>
            <w:webHidden/>
          </w:rPr>
          <w:fldChar w:fldCharType="separate"/>
        </w:r>
        <w:r w:rsidR="00951AFC">
          <w:rPr>
            <w:noProof/>
            <w:webHidden/>
          </w:rPr>
          <w:t>105</w:t>
        </w:r>
        <w:r w:rsidR="00FE5988">
          <w:rPr>
            <w:noProof/>
            <w:webHidden/>
          </w:rPr>
          <w:fldChar w:fldCharType="end"/>
        </w:r>
      </w:hyperlink>
    </w:p>
    <w:p w14:paraId="363B83ED" w14:textId="2F9634CE" w:rsidR="00FE5988" w:rsidRDefault="00900E5C">
      <w:pPr>
        <w:pStyle w:val="TableofFigures"/>
        <w:tabs>
          <w:tab w:val="right" w:leader="dot" w:pos="9010"/>
        </w:tabs>
        <w:rPr>
          <w:rFonts w:asciiTheme="minorHAnsi" w:hAnsiTheme="minorHAnsi"/>
          <w:noProof/>
          <w:sz w:val="22"/>
          <w:szCs w:val="22"/>
          <w:lang w:val="en-AU" w:eastAsia="en-AU"/>
        </w:rPr>
      </w:pPr>
      <w:hyperlink w:anchor="_Toc477347574" w:history="1">
        <w:r w:rsidR="00FE5988" w:rsidRPr="001017E9">
          <w:rPr>
            <w:rStyle w:val="Hyperlink"/>
            <w:noProof/>
          </w:rPr>
          <w:t>Figure 2</w:t>
        </w:r>
        <w:r w:rsidR="00FE5988" w:rsidRPr="001017E9">
          <w:rPr>
            <w:rStyle w:val="Hyperlink"/>
            <w:noProof/>
          </w:rPr>
          <w:noBreakHyphen/>
          <w:t>42 North-South model cross-section along model column 67 showing discretisation of hydrostratigraphic units and location of the observation points along a model transect. Pilliga Sandstone aquifer outcrops near row 76.</w:t>
        </w:r>
        <w:r w:rsidR="00FE5988">
          <w:rPr>
            <w:noProof/>
            <w:webHidden/>
          </w:rPr>
          <w:tab/>
        </w:r>
        <w:r w:rsidR="00FE5988">
          <w:rPr>
            <w:noProof/>
            <w:webHidden/>
          </w:rPr>
          <w:fldChar w:fldCharType="begin"/>
        </w:r>
        <w:r w:rsidR="00FE5988">
          <w:rPr>
            <w:noProof/>
            <w:webHidden/>
          </w:rPr>
          <w:instrText xml:space="preserve"> PAGEREF _Toc477347574 \h </w:instrText>
        </w:r>
        <w:r w:rsidR="00FE5988">
          <w:rPr>
            <w:noProof/>
            <w:webHidden/>
          </w:rPr>
        </w:r>
        <w:r w:rsidR="00FE5988">
          <w:rPr>
            <w:noProof/>
            <w:webHidden/>
          </w:rPr>
          <w:fldChar w:fldCharType="separate"/>
        </w:r>
        <w:r w:rsidR="00951AFC">
          <w:rPr>
            <w:noProof/>
            <w:webHidden/>
          </w:rPr>
          <w:t>106</w:t>
        </w:r>
        <w:r w:rsidR="00FE5988">
          <w:rPr>
            <w:noProof/>
            <w:webHidden/>
          </w:rPr>
          <w:fldChar w:fldCharType="end"/>
        </w:r>
      </w:hyperlink>
    </w:p>
    <w:p w14:paraId="2440EE0C" w14:textId="30749D80" w:rsidR="00FE5988" w:rsidRDefault="00900E5C">
      <w:pPr>
        <w:pStyle w:val="TableofFigures"/>
        <w:tabs>
          <w:tab w:val="right" w:leader="dot" w:pos="9010"/>
        </w:tabs>
        <w:rPr>
          <w:rFonts w:asciiTheme="minorHAnsi" w:hAnsiTheme="minorHAnsi"/>
          <w:noProof/>
          <w:sz w:val="22"/>
          <w:szCs w:val="22"/>
          <w:lang w:val="en-AU" w:eastAsia="en-AU"/>
        </w:rPr>
      </w:pPr>
      <w:hyperlink w:anchor="_Toc477347575" w:history="1">
        <w:r w:rsidR="00FE5988" w:rsidRPr="001017E9">
          <w:rPr>
            <w:rStyle w:val="Hyperlink"/>
            <w:noProof/>
          </w:rPr>
          <w:t>Figure 2</w:t>
        </w:r>
        <w:r w:rsidR="00FE5988" w:rsidRPr="001017E9">
          <w:rPr>
            <w:rStyle w:val="Hyperlink"/>
            <w:noProof/>
          </w:rPr>
          <w:noBreakHyphen/>
          <w:t>43 Model cross-section along model row 76 showing discretisation of hydrostratigraphic units and location of the observation points along a model transect. Pilliga Sandstone aquifer outcrops near column 77 [indicate column on fig 10 and add cross-section near column 67].</w:t>
        </w:r>
        <w:r w:rsidR="00FE5988">
          <w:rPr>
            <w:noProof/>
            <w:webHidden/>
          </w:rPr>
          <w:tab/>
        </w:r>
        <w:r w:rsidR="00FE5988">
          <w:rPr>
            <w:noProof/>
            <w:webHidden/>
          </w:rPr>
          <w:fldChar w:fldCharType="begin"/>
        </w:r>
        <w:r w:rsidR="00FE5988">
          <w:rPr>
            <w:noProof/>
            <w:webHidden/>
          </w:rPr>
          <w:instrText xml:space="preserve"> PAGEREF _Toc477347575 \h </w:instrText>
        </w:r>
        <w:r w:rsidR="00FE5988">
          <w:rPr>
            <w:noProof/>
            <w:webHidden/>
          </w:rPr>
        </w:r>
        <w:r w:rsidR="00FE5988">
          <w:rPr>
            <w:noProof/>
            <w:webHidden/>
          </w:rPr>
          <w:fldChar w:fldCharType="separate"/>
        </w:r>
        <w:r w:rsidR="00951AFC">
          <w:rPr>
            <w:noProof/>
            <w:webHidden/>
          </w:rPr>
          <w:t>106</w:t>
        </w:r>
        <w:r w:rsidR="00FE5988">
          <w:rPr>
            <w:noProof/>
            <w:webHidden/>
          </w:rPr>
          <w:fldChar w:fldCharType="end"/>
        </w:r>
      </w:hyperlink>
    </w:p>
    <w:p w14:paraId="69F8F8C1" w14:textId="04CB091A" w:rsidR="00FE5988" w:rsidRDefault="00900E5C">
      <w:pPr>
        <w:pStyle w:val="TableofFigures"/>
        <w:tabs>
          <w:tab w:val="right" w:leader="dot" w:pos="9010"/>
        </w:tabs>
        <w:rPr>
          <w:rFonts w:asciiTheme="minorHAnsi" w:hAnsiTheme="minorHAnsi"/>
          <w:noProof/>
          <w:sz w:val="22"/>
          <w:szCs w:val="22"/>
          <w:lang w:val="en-AU" w:eastAsia="en-AU"/>
        </w:rPr>
      </w:pPr>
      <w:hyperlink w:anchor="_Toc477347576" w:history="1">
        <w:r w:rsidR="00FE5988" w:rsidRPr="001017E9">
          <w:rPr>
            <w:rStyle w:val="Hyperlink"/>
            <w:noProof/>
          </w:rPr>
          <w:t>Figure 2</w:t>
        </w:r>
        <w:r w:rsidR="00FE5988" w:rsidRPr="001017E9">
          <w:rPr>
            <w:rStyle w:val="Hyperlink"/>
            <w:noProof/>
          </w:rPr>
          <w:noBreakHyphen/>
          <w:t>44 Pre-CSG production hydraulic head gradients for cells of the study area, with formations described in Figure 2</w:t>
        </w:r>
        <w:r w:rsidR="00FE5988" w:rsidRPr="001017E9">
          <w:rPr>
            <w:rStyle w:val="Hyperlink"/>
            <w:noProof/>
          </w:rPr>
          <w:noBreakHyphen/>
          <w:t>43.</w:t>
        </w:r>
        <w:r w:rsidR="00FE5988">
          <w:rPr>
            <w:noProof/>
            <w:webHidden/>
          </w:rPr>
          <w:tab/>
        </w:r>
        <w:r w:rsidR="00FE5988">
          <w:rPr>
            <w:noProof/>
            <w:webHidden/>
          </w:rPr>
          <w:fldChar w:fldCharType="begin"/>
        </w:r>
        <w:r w:rsidR="00FE5988">
          <w:rPr>
            <w:noProof/>
            <w:webHidden/>
          </w:rPr>
          <w:instrText xml:space="preserve"> PAGEREF _Toc477347576 \h </w:instrText>
        </w:r>
        <w:r w:rsidR="00FE5988">
          <w:rPr>
            <w:noProof/>
            <w:webHidden/>
          </w:rPr>
        </w:r>
        <w:r w:rsidR="00FE5988">
          <w:rPr>
            <w:noProof/>
            <w:webHidden/>
          </w:rPr>
          <w:fldChar w:fldCharType="separate"/>
        </w:r>
        <w:r w:rsidR="00951AFC">
          <w:rPr>
            <w:noProof/>
            <w:webHidden/>
          </w:rPr>
          <w:t>107</w:t>
        </w:r>
        <w:r w:rsidR="00FE5988">
          <w:rPr>
            <w:noProof/>
            <w:webHidden/>
          </w:rPr>
          <w:fldChar w:fldCharType="end"/>
        </w:r>
      </w:hyperlink>
    </w:p>
    <w:p w14:paraId="0F6BFF60" w14:textId="7C28D680" w:rsidR="00FE5988" w:rsidRDefault="00900E5C">
      <w:pPr>
        <w:pStyle w:val="TableofFigures"/>
        <w:tabs>
          <w:tab w:val="right" w:leader="dot" w:pos="9010"/>
        </w:tabs>
        <w:rPr>
          <w:rFonts w:asciiTheme="minorHAnsi" w:hAnsiTheme="minorHAnsi"/>
          <w:noProof/>
          <w:sz w:val="22"/>
          <w:szCs w:val="22"/>
          <w:lang w:val="en-AU" w:eastAsia="en-AU"/>
        </w:rPr>
      </w:pPr>
      <w:hyperlink w:anchor="_Toc477347577" w:history="1">
        <w:r w:rsidR="00FE5988" w:rsidRPr="001017E9">
          <w:rPr>
            <w:rStyle w:val="Hyperlink"/>
            <w:noProof/>
          </w:rPr>
          <w:t>Figure 2</w:t>
        </w:r>
        <w:r w:rsidR="00FE5988" w:rsidRPr="001017E9">
          <w:rPr>
            <w:rStyle w:val="Hyperlink"/>
            <w:noProof/>
          </w:rPr>
          <w:noBreakHyphen/>
          <w:t>45 Hydraulic head gradients immediately post CSG production (26 years after commencement) for cells of the study area, with formations described in Figure 2</w:t>
        </w:r>
        <w:r w:rsidR="00FE5988" w:rsidRPr="001017E9">
          <w:rPr>
            <w:rStyle w:val="Hyperlink"/>
            <w:noProof/>
          </w:rPr>
          <w:noBreakHyphen/>
          <w:t>43.</w:t>
        </w:r>
        <w:r w:rsidR="00FE5988">
          <w:rPr>
            <w:noProof/>
            <w:webHidden/>
          </w:rPr>
          <w:tab/>
        </w:r>
        <w:r w:rsidR="00FE5988">
          <w:rPr>
            <w:noProof/>
            <w:webHidden/>
          </w:rPr>
          <w:fldChar w:fldCharType="begin"/>
        </w:r>
        <w:r w:rsidR="00FE5988">
          <w:rPr>
            <w:noProof/>
            <w:webHidden/>
          </w:rPr>
          <w:instrText xml:space="preserve"> PAGEREF _Toc477347577 \h </w:instrText>
        </w:r>
        <w:r w:rsidR="00FE5988">
          <w:rPr>
            <w:noProof/>
            <w:webHidden/>
          </w:rPr>
        </w:r>
        <w:r w:rsidR="00FE5988">
          <w:rPr>
            <w:noProof/>
            <w:webHidden/>
          </w:rPr>
          <w:fldChar w:fldCharType="separate"/>
        </w:r>
        <w:r w:rsidR="00951AFC">
          <w:rPr>
            <w:noProof/>
            <w:webHidden/>
          </w:rPr>
          <w:t>107</w:t>
        </w:r>
        <w:r w:rsidR="00FE5988">
          <w:rPr>
            <w:noProof/>
            <w:webHidden/>
          </w:rPr>
          <w:fldChar w:fldCharType="end"/>
        </w:r>
      </w:hyperlink>
    </w:p>
    <w:p w14:paraId="3D30B1A2" w14:textId="45B9E536" w:rsidR="00FE5988" w:rsidRDefault="00900E5C">
      <w:pPr>
        <w:pStyle w:val="TableofFigures"/>
        <w:tabs>
          <w:tab w:val="right" w:leader="dot" w:pos="9010"/>
        </w:tabs>
        <w:rPr>
          <w:rFonts w:asciiTheme="minorHAnsi" w:hAnsiTheme="minorHAnsi"/>
          <w:noProof/>
          <w:sz w:val="22"/>
          <w:szCs w:val="22"/>
          <w:lang w:val="en-AU" w:eastAsia="en-AU"/>
        </w:rPr>
      </w:pPr>
      <w:hyperlink w:anchor="_Toc477347578" w:history="1">
        <w:r w:rsidR="00FE5988" w:rsidRPr="001017E9">
          <w:rPr>
            <w:rStyle w:val="Hyperlink"/>
            <w:noProof/>
          </w:rPr>
          <w:t>Figure 2</w:t>
        </w:r>
        <w:r w:rsidR="00FE5988" w:rsidRPr="001017E9">
          <w:rPr>
            <w:rStyle w:val="Hyperlink"/>
            <w:noProof/>
          </w:rPr>
          <w:noBreakHyphen/>
          <w:t>46 Hydraulic head gradients 500 years after commencement of CSG production for cells of the study area, with formations described in Figure 2</w:t>
        </w:r>
        <w:r w:rsidR="00FE5988" w:rsidRPr="001017E9">
          <w:rPr>
            <w:rStyle w:val="Hyperlink"/>
            <w:noProof/>
          </w:rPr>
          <w:noBreakHyphen/>
          <w:t>43. CSG production lasted for 26 years.</w:t>
        </w:r>
        <w:r w:rsidR="00FE5988">
          <w:rPr>
            <w:noProof/>
            <w:webHidden/>
          </w:rPr>
          <w:tab/>
        </w:r>
        <w:r w:rsidR="00FE5988">
          <w:rPr>
            <w:noProof/>
            <w:webHidden/>
          </w:rPr>
          <w:fldChar w:fldCharType="begin"/>
        </w:r>
        <w:r w:rsidR="00FE5988">
          <w:rPr>
            <w:noProof/>
            <w:webHidden/>
          </w:rPr>
          <w:instrText xml:space="preserve"> PAGEREF _Toc477347578 \h </w:instrText>
        </w:r>
        <w:r w:rsidR="00FE5988">
          <w:rPr>
            <w:noProof/>
            <w:webHidden/>
          </w:rPr>
        </w:r>
        <w:r w:rsidR="00FE5988">
          <w:rPr>
            <w:noProof/>
            <w:webHidden/>
          </w:rPr>
          <w:fldChar w:fldCharType="separate"/>
        </w:r>
        <w:r w:rsidR="00951AFC">
          <w:rPr>
            <w:noProof/>
            <w:webHidden/>
          </w:rPr>
          <w:t>108</w:t>
        </w:r>
        <w:r w:rsidR="00FE5988">
          <w:rPr>
            <w:noProof/>
            <w:webHidden/>
          </w:rPr>
          <w:fldChar w:fldCharType="end"/>
        </w:r>
      </w:hyperlink>
    </w:p>
    <w:p w14:paraId="101B70B1" w14:textId="079B1413" w:rsidR="00FE5988" w:rsidRDefault="00900E5C">
      <w:pPr>
        <w:pStyle w:val="TableofFigures"/>
        <w:tabs>
          <w:tab w:val="right" w:leader="dot" w:pos="9010"/>
        </w:tabs>
        <w:rPr>
          <w:rFonts w:asciiTheme="minorHAnsi" w:hAnsiTheme="minorHAnsi"/>
          <w:noProof/>
          <w:sz w:val="22"/>
          <w:szCs w:val="22"/>
          <w:lang w:val="en-AU" w:eastAsia="en-AU"/>
        </w:rPr>
      </w:pPr>
      <w:hyperlink w:anchor="_Toc477347579" w:history="1">
        <w:r w:rsidR="00FE5988" w:rsidRPr="001017E9">
          <w:rPr>
            <w:rStyle w:val="Hyperlink"/>
            <w:noProof/>
          </w:rPr>
          <w:t>Figure 2</w:t>
        </w:r>
        <w:r w:rsidR="00FE5988" w:rsidRPr="001017E9">
          <w:rPr>
            <w:rStyle w:val="Hyperlink"/>
            <w:noProof/>
          </w:rPr>
          <w:noBreakHyphen/>
          <w:t>47 Changes in hydraulic head for cells in the region of highest drawdown in the Maules Creek Formation, compared with heads in the confined Pillinga Sandstone aquifer. Start date (t = 0) corresponds commencement of 26-year CSG production period. Inset shows negligible head variation in Pilliga Sandstone.</w:t>
        </w:r>
        <w:r w:rsidR="00FE5988">
          <w:rPr>
            <w:noProof/>
            <w:webHidden/>
          </w:rPr>
          <w:tab/>
        </w:r>
        <w:r w:rsidR="00FE5988">
          <w:rPr>
            <w:noProof/>
            <w:webHidden/>
          </w:rPr>
          <w:fldChar w:fldCharType="begin"/>
        </w:r>
        <w:r w:rsidR="00FE5988">
          <w:rPr>
            <w:noProof/>
            <w:webHidden/>
          </w:rPr>
          <w:instrText xml:space="preserve"> PAGEREF _Toc477347579 \h </w:instrText>
        </w:r>
        <w:r w:rsidR="00FE5988">
          <w:rPr>
            <w:noProof/>
            <w:webHidden/>
          </w:rPr>
        </w:r>
        <w:r w:rsidR="00FE5988">
          <w:rPr>
            <w:noProof/>
            <w:webHidden/>
          </w:rPr>
          <w:fldChar w:fldCharType="separate"/>
        </w:r>
        <w:r w:rsidR="00951AFC">
          <w:rPr>
            <w:noProof/>
            <w:webHidden/>
          </w:rPr>
          <w:t>108</w:t>
        </w:r>
        <w:r w:rsidR="00FE5988">
          <w:rPr>
            <w:noProof/>
            <w:webHidden/>
          </w:rPr>
          <w:fldChar w:fldCharType="end"/>
        </w:r>
      </w:hyperlink>
    </w:p>
    <w:p w14:paraId="07BEEBCE" w14:textId="635DCD01" w:rsidR="00FE5988" w:rsidRDefault="00900E5C">
      <w:pPr>
        <w:pStyle w:val="TableofFigures"/>
        <w:tabs>
          <w:tab w:val="right" w:leader="dot" w:pos="9010"/>
        </w:tabs>
        <w:rPr>
          <w:rFonts w:asciiTheme="minorHAnsi" w:hAnsiTheme="minorHAnsi"/>
          <w:noProof/>
          <w:sz w:val="22"/>
          <w:szCs w:val="22"/>
          <w:lang w:val="en-AU" w:eastAsia="en-AU"/>
        </w:rPr>
      </w:pPr>
      <w:hyperlink w:anchor="_Toc477347580" w:history="1">
        <w:r w:rsidR="00FE5988" w:rsidRPr="001017E9">
          <w:rPr>
            <w:rStyle w:val="Hyperlink"/>
            <w:noProof/>
          </w:rPr>
          <w:t>Figure 2</w:t>
        </w:r>
        <w:r w:rsidR="00FE5988" w:rsidRPr="001017E9">
          <w:rPr>
            <w:rStyle w:val="Hyperlink"/>
            <w:noProof/>
          </w:rPr>
          <w:noBreakHyphen/>
          <w:t>48 Changes in hydraulic head for cells in the region of highest drawdown in the Hoskissons Coal formation, compared with heads in the confined Pilliga Sandstone aquifer. Start date (t = 0) corresponds commencement of 26-year CSG production period. Inset shows negligible head variation in Pilliga Sandstone.</w:t>
        </w:r>
        <w:r w:rsidR="00FE5988">
          <w:rPr>
            <w:noProof/>
            <w:webHidden/>
          </w:rPr>
          <w:tab/>
        </w:r>
        <w:r w:rsidR="00FE5988">
          <w:rPr>
            <w:noProof/>
            <w:webHidden/>
          </w:rPr>
          <w:fldChar w:fldCharType="begin"/>
        </w:r>
        <w:r w:rsidR="00FE5988">
          <w:rPr>
            <w:noProof/>
            <w:webHidden/>
          </w:rPr>
          <w:instrText xml:space="preserve"> PAGEREF _Toc477347580 \h </w:instrText>
        </w:r>
        <w:r w:rsidR="00FE5988">
          <w:rPr>
            <w:noProof/>
            <w:webHidden/>
          </w:rPr>
        </w:r>
        <w:r w:rsidR="00FE5988">
          <w:rPr>
            <w:noProof/>
            <w:webHidden/>
          </w:rPr>
          <w:fldChar w:fldCharType="separate"/>
        </w:r>
        <w:r w:rsidR="00951AFC">
          <w:rPr>
            <w:noProof/>
            <w:webHidden/>
          </w:rPr>
          <w:t>109</w:t>
        </w:r>
        <w:r w:rsidR="00FE5988">
          <w:rPr>
            <w:noProof/>
            <w:webHidden/>
          </w:rPr>
          <w:fldChar w:fldCharType="end"/>
        </w:r>
      </w:hyperlink>
    </w:p>
    <w:p w14:paraId="4268E579" w14:textId="208E90BB" w:rsidR="00FE5988" w:rsidRDefault="00900E5C">
      <w:pPr>
        <w:pStyle w:val="TableofFigures"/>
        <w:tabs>
          <w:tab w:val="left" w:pos="1134"/>
          <w:tab w:val="right" w:leader="dot" w:pos="9010"/>
        </w:tabs>
        <w:rPr>
          <w:rFonts w:asciiTheme="minorHAnsi" w:hAnsiTheme="minorHAnsi"/>
          <w:noProof/>
          <w:sz w:val="22"/>
          <w:szCs w:val="22"/>
          <w:lang w:val="en-AU" w:eastAsia="en-AU"/>
        </w:rPr>
      </w:pPr>
      <w:hyperlink w:anchor="_Toc477347581" w:history="1">
        <w:r w:rsidR="00FE5988" w:rsidRPr="001017E9">
          <w:rPr>
            <w:rStyle w:val="Hyperlink"/>
            <w:noProof/>
          </w:rPr>
          <w:t>Figure 2</w:t>
        </w:r>
        <w:r w:rsidR="00FE5988" w:rsidRPr="001017E9">
          <w:rPr>
            <w:rStyle w:val="Hyperlink"/>
            <w:noProof/>
          </w:rPr>
          <w:noBreakHyphen/>
          <w:t xml:space="preserve">49. </w:t>
        </w:r>
        <w:r w:rsidR="00FE5988">
          <w:rPr>
            <w:rFonts w:asciiTheme="minorHAnsi" w:hAnsiTheme="minorHAnsi"/>
            <w:noProof/>
            <w:sz w:val="22"/>
            <w:szCs w:val="22"/>
            <w:lang w:val="en-AU" w:eastAsia="en-AU"/>
          </w:rPr>
          <w:tab/>
        </w:r>
        <w:r w:rsidR="00FE5988" w:rsidRPr="001017E9">
          <w:rPr>
            <w:rStyle w:val="Hyperlink"/>
            <w:noProof/>
          </w:rPr>
          <w:t>Particle tracking path lines (black), originating from selected cells (red) on the study area boundary (yellow) and 30 km buffer zone.  Particles are released from the Pilliga Sandstone aquifer. Model cells are 1 × 1 km</w:t>
        </w:r>
        <w:r w:rsidR="00FE5988" w:rsidRPr="001017E9">
          <w:rPr>
            <w:rStyle w:val="Hyperlink"/>
            <w:noProof/>
            <w:vertAlign w:val="superscript"/>
          </w:rPr>
          <w:t>2</w:t>
        </w:r>
        <w:r w:rsidR="00FE5988" w:rsidRPr="001017E9">
          <w:rPr>
            <w:rStyle w:val="Hyperlink"/>
            <w:noProof/>
          </w:rPr>
          <w:t>.</w:t>
        </w:r>
        <w:r w:rsidR="00FE5988">
          <w:rPr>
            <w:noProof/>
            <w:webHidden/>
          </w:rPr>
          <w:tab/>
        </w:r>
        <w:r w:rsidR="00FE5988">
          <w:rPr>
            <w:noProof/>
            <w:webHidden/>
          </w:rPr>
          <w:fldChar w:fldCharType="begin"/>
        </w:r>
        <w:r w:rsidR="00FE5988">
          <w:rPr>
            <w:noProof/>
            <w:webHidden/>
          </w:rPr>
          <w:instrText xml:space="preserve"> PAGEREF _Toc477347581 \h </w:instrText>
        </w:r>
        <w:r w:rsidR="00FE5988">
          <w:rPr>
            <w:noProof/>
            <w:webHidden/>
          </w:rPr>
        </w:r>
        <w:r w:rsidR="00FE5988">
          <w:rPr>
            <w:noProof/>
            <w:webHidden/>
          </w:rPr>
          <w:fldChar w:fldCharType="separate"/>
        </w:r>
        <w:r w:rsidR="00951AFC">
          <w:rPr>
            <w:noProof/>
            <w:webHidden/>
          </w:rPr>
          <w:t>110</w:t>
        </w:r>
        <w:r w:rsidR="00FE5988">
          <w:rPr>
            <w:noProof/>
            <w:webHidden/>
          </w:rPr>
          <w:fldChar w:fldCharType="end"/>
        </w:r>
      </w:hyperlink>
    </w:p>
    <w:p w14:paraId="4D38302B" w14:textId="185328F5" w:rsidR="00FE5988" w:rsidRDefault="00900E5C">
      <w:pPr>
        <w:pStyle w:val="TableofFigures"/>
        <w:tabs>
          <w:tab w:val="right" w:leader="dot" w:pos="9010"/>
        </w:tabs>
        <w:rPr>
          <w:rFonts w:asciiTheme="minorHAnsi" w:hAnsiTheme="minorHAnsi"/>
          <w:noProof/>
          <w:sz w:val="22"/>
          <w:szCs w:val="22"/>
          <w:lang w:val="en-AU" w:eastAsia="en-AU"/>
        </w:rPr>
      </w:pPr>
      <w:hyperlink w:anchor="_Toc477347582" w:history="1">
        <w:r w:rsidR="00FE5988" w:rsidRPr="001017E9">
          <w:rPr>
            <w:rStyle w:val="Hyperlink"/>
            <w:noProof/>
          </w:rPr>
          <w:t>Figure 2</w:t>
        </w:r>
        <w:r w:rsidR="00FE5988" w:rsidRPr="001017E9">
          <w:rPr>
            <w:rStyle w:val="Hyperlink"/>
            <w:noProof/>
          </w:rPr>
          <w:noBreakHyphen/>
          <w:t>50 Forward particle tracking pathlines from 425 CSG wells. Particles are released at the base of the Maules Creek Coal, with one particle released for each well.</w:t>
        </w:r>
        <w:r w:rsidR="00FE5988">
          <w:rPr>
            <w:noProof/>
            <w:webHidden/>
          </w:rPr>
          <w:tab/>
        </w:r>
        <w:r w:rsidR="00FE5988">
          <w:rPr>
            <w:noProof/>
            <w:webHidden/>
          </w:rPr>
          <w:fldChar w:fldCharType="begin"/>
        </w:r>
        <w:r w:rsidR="00FE5988">
          <w:rPr>
            <w:noProof/>
            <w:webHidden/>
          </w:rPr>
          <w:instrText xml:space="preserve"> PAGEREF _Toc477347582 \h </w:instrText>
        </w:r>
        <w:r w:rsidR="00FE5988">
          <w:rPr>
            <w:noProof/>
            <w:webHidden/>
          </w:rPr>
        </w:r>
        <w:r w:rsidR="00FE5988">
          <w:rPr>
            <w:noProof/>
            <w:webHidden/>
          </w:rPr>
          <w:fldChar w:fldCharType="separate"/>
        </w:r>
        <w:r w:rsidR="00951AFC">
          <w:rPr>
            <w:noProof/>
            <w:webHidden/>
          </w:rPr>
          <w:t>111</w:t>
        </w:r>
        <w:r w:rsidR="00FE5988">
          <w:rPr>
            <w:noProof/>
            <w:webHidden/>
          </w:rPr>
          <w:fldChar w:fldCharType="end"/>
        </w:r>
      </w:hyperlink>
    </w:p>
    <w:p w14:paraId="7F9CB9F5" w14:textId="4956FC5F" w:rsidR="00FE5988" w:rsidRDefault="00900E5C">
      <w:pPr>
        <w:pStyle w:val="TableofFigures"/>
        <w:tabs>
          <w:tab w:val="right" w:leader="dot" w:pos="9010"/>
        </w:tabs>
        <w:rPr>
          <w:rFonts w:asciiTheme="minorHAnsi" w:hAnsiTheme="minorHAnsi"/>
          <w:noProof/>
          <w:sz w:val="22"/>
          <w:szCs w:val="22"/>
          <w:lang w:val="en-AU" w:eastAsia="en-AU"/>
        </w:rPr>
      </w:pPr>
      <w:hyperlink w:anchor="_Toc477347583" w:history="1">
        <w:r w:rsidR="00FE5988" w:rsidRPr="001017E9">
          <w:rPr>
            <w:rStyle w:val="Hyperlink"/>
            <w:noProof/>
          </w:rPr>
          <w:t>Figure 2</w:t>
        </w:r>
        <w:r w:rsidR="00FE5988" w:rsidRPr="001017E9">
          <w:rPr>
            <w:rStyle w:val="Hyperlink"/>
            <w:noProof/>
          </w:rPr>
          <w:noBreakHyphen/>
          <w:t>51 Histogram of particle travel times for 425 sources (i.e. CSG wells) released within the Maules Creek Coal (base).  Also shown are the 10th, 50th and 90th percentile values (dashed vertical lines) and the cumulative probability (blue line).</w:t>
        </w:r>
        <w:r w:rsidR="00FE5988">
          <w:rPr>
            <w:noProof/>
            <w:webHidden/>
          </w:rPr>
          <w:tab/>
        </w:r>
        <w:r w:rsidR="00FE5988">
          <w:rPr>
            <w:noProof/>
            <w:webHidden/>
          </w:rPr>
          <w:fldChar w:fldCharType="begin"/>
        </w:r>
        <w:r w:rsidR="00FE5988">
          <w:rPr>
            <w:noProof/>
            <w:webHidden/>
          </w:rPr>
          <w:instrText xml:space="preserve"> PAGEREF _Toc477347583 \h </w:instrText>
        </w:r>
        <w:r w:rsidR="00FE5988">
          <w:rPr>
            <w:noProof/>
            <w:webHidden/>
          </w:rPr>
        </w:r>
        <w:r w:rsidR="00FE5988">
          <w:rPr>
            <w:noProof/>
            <w:webHidden/>
          </w:rPr>
          <w:fldChar w:fldCharType="separate"/>
        </w:r>
        <w:r w:rsidR="00951AFC">
          <w:rPr>
            <w:noProof/>
            <w:webHidden/>
          </w:rPr>
          <w:t>112</w:t>
        </w:r>
        <w:r w:rsidR="00FE5988">
          <w:rPr>
            <w:noProof/>
            <w:webHidden/>
          </w:rPr>
          <w:fldChar w:fldCharType="end"/>
        </w:r>
      </w:hyperlink>
    </w:p>
    <w:p w14:paraId="3A96F220" w14:textId="291C9949" w:rsidR="00FE5988" w:rsidRDefault="00900E5C">
      <w:pPr>
        <w:pStyle w:val="TableofFigures"/>
        <w:tabs>
          <w:tab w:val="right" w:leader="dot" w:pos="9010"/>
        </w:tabs>
        <w:rPr>
          <w:rFonts w:asciiTheme="minorHAnsi" w:hAnsiTheme="minorHAnsi"/>
          <w:noProof/>
          <w:sz w:val="22"/>
          <w:szCs w:val="22"/>
          <w:lang w:val="en-AU" w:eastAsia="en-AU"/>
        </w:rPr>
      </w:pPr>
      <w:hyperlink w:anchor="_Toc477347584" w:history="1">
        <w:r w:rsidR="00FE5988" w:rsidRPr="001017E9">
          <w:rPr>
            <w:rStyle w:val="Hyperlink"/>
            <w:noProof/>
          </w:rPr>
          <w:t>Figure 2</w:t>
        </w:r>
        <w:r w:rsidR="00FE5988" w:rsidRPr="001017E9">
          <w:rPr>
            <w:rStyle w:val="Hyperlink"/>
            <w:noProof/>
          </w:rPr>
          <w:noBreakHyphen/>
          <w:t>52 Hydrostratigraphic units encountered during particle tracking for particles released in Maules Creek (top: particles for wells 1 to 200; bottom: particles for wells 201 to 425). The bottom graph has units of 10</w:t>
        </w:r>
        <w:r w:rsidR="00FE5988" w:rsidRPr="001017E9">
          <w:rPr>
            <w:rStyle w:val="Hyperlink"/>
            <w:noProof/>
            <w:vertAlign w:val="superscript"/>
          </w:rPr>
          <w:t>7</w:t>
        </w:r>
        <w:r w:rsidR="00FE5988" w:rsidRPr="001017E9">
          <w:rPr>
            <w:rStyle w:val="Hyperlink"/>
            <w:noProof/>
          </w:rPr>
          <w:t xml:space="preserve"> years.</w:t>
        </w:r>
        <w:r w:rsidR="00FE5988">
          <w:rPr>
            <w:noProof/>
            <w:webHidden/>
          </w:rPr>
          <w:tab/>
        </w:r>
        <w:r w:rsidR="00FE5988">
          <w:rPr>
            <w:noProof/>
            <w:webHidden/>
          </w:rPr>
          <w:fldChar w:fldCharType="begin"/>
        </w:r>
        <w:r w:rsidR="00FE5988">
          <w:rPr>
            <w:noProof/>
            <w:webHidden/>
          </w:rPr>
          <w:instrText xml:space="preserve"> PAGEREF _Toc477347584 \h </w:instrText>
        </w:r>
        <w:r w:rsidR="00FE5988">
          <w:rPr>
            <w:noProof/>
            <w:webHidden/>
          </w:rPr>
        </w:r>
        <w:r w:rsidR="00FE5988">
          <w:rPr>
            <w:noProof/>
            <w:webHidden/>
          </w:rPr>
          <w:fldChar w:fldCharType="separate"/>
        </w:r>
        <w:r w:rsidR="00951AFC">
          <w:rPr>
            <w:noProof/>
            <w:webHidden/>
          </w:rPr>
          <w:t>113</w:t>
        </w:r>
        <w:r w:rsidR="00FE5988">
          <w:rPr>
            <w:noProof/>
            <w:webHidden/>
          </w:rPr>
          <w:fldChar w:fldCharType="end"/>
        </w:r>
      </w:hyperlink>
    </w:p>
    <w:p w14:paraId="4BD394DC" w14:textId="49315804" w:rsidR="00FE5988" w:rsidRDefault="00900E5C">
      <w:pPr>
        <w:pStyle w:val="TableofFigures"/>
        <w:tabs>
          <w:tab w:val="right" w:leader="dot" w:pos="9010"/>
        </w:tabs>
        <w:rPr>
          <w:rFonts w:asciiTheme="minorHAnsi" w:hAnsiTheme="minorHAnsi"/>
          <w:noProof/>
          <w:sz w:val="22"/>
          <w:szCs w:val="22"/>
          <w:lang w:val="en-AU" w:eastAsia="en-AU"/>
        </w:rPr>
      </w:pPr>
      <w:hyperlink w:anchor="_Toc477347585" w:history="1">
        <w:r w:rsidR="00FE5988" w:rsidRPr="001017E9">
          <w:rPr>
            <w:rStyle w:val="Hyperlink"/>
            <w:noProof/>
          </w:rPr>
          <w:t>Figure 2</w:t>
        </w:r>
        <w:r w:rsidR="00FE5988" w:rsidRPr="001017E9">
          <w:rPr>
            <w:rStyle w:val="Hyperlink"/>
            <w:noProof/>
          </w:rPr>
          <w:noBreakHyphen/>
          <w:t>53 Hydrostratigraphic units encountered during particle tracking for particles released in Pilliga Sandstone (top: particles for wells 1 to 200; bottom: particles for wells 201 to 425).</w:t>
        </w:r>
        <w:r w:rsidR="00FE5988">
          <w:rPr>
            <w:noProof/>
            <w:webHidden/>
          </w:rPr>
          <w:tab/>
        </w:r>
        <w:r w:rsidR="00FE5988">
          <w:rPr>
            <w:noProof/>
            <w:webHidden/>
          </w:rPr>
          <w:fldChar w:fldCharType="begin"/>
        </w:r>
        <w:r w:rsidR="00FE5988">
          <w:rPr>
            <w:noProof/>
            <w:webHidden/>
          </w:rPr>
          <w:instrText xml:space="preserve"> PAGEREF _Toc477347585 \h </w:instrText>
        </w:r>
        <w:r w:rsidR="00FE5988">
          <w:rPr>
            <w:noProof/>
            <w:webHidden/>
          </w:rPr>
        </w:r>
        <w:r w:rsidR="00FE5988">
          <w:rPr>
            <w:noProof/>
            <w:webHidden/>
          </w:rPr>
          <w:fldChar w:fldCharType="separate"/>
        </w:r>
        <w:r w:rsidR="00951AFC">
          <w:rPr>
            <w:noProof/>
            <w:webHidden/>
          </w:rPr>
          <w:t>114</w:t>
        </w:r>
        <w:r w:rsidR="00FE5988">
          <w:rPr>
            <w:noProof/>
            <w:webHidden/>
          </w:rPr>
          <w:fldChar w:fldCharType="end"/>
        </w:r>
      </w:hyperlink>
    </w:p>
    <w:p w14:paraId="0F029098" w14:textId="050A6AC6" w:rsidR="00FE5988" w:rsidRDefault="00900E5C">
      <w:pPr>
        <w:pStyle w:val="TableofFigures"/>
        <w:tabs>
          <w:tab w:val="right" w:leader="dot" w:pos="9010"/>
        </w:tabs>
        <w:rPr>
          <w:rFonts w:asciiTheme="minorHAnsi" w:hAnsiTheme="minorHAnsi"/>
          <w:noProof/>
          <w:sz w:val="22"/>
          <w:szCs w:val="22"/>
          <w:lang w:val="en-AU" w:eastAsia="en-AU"/>
        </w:rPr>
      </w:pPr>
      <w:hyperlink w:anchor="_Toc477347586" w:history="1">
        <w:r w:rsidR="00FE5988" w:rsidRPr="001017E9">
          <w:rPr>
            <w:rStyle w:val="Hyperlink"/>
            <w:noProof/>
          </w:rPr>
          <w:t>Figure 2</w:t>
        </w:r>
        <w:r w:rsidR="00FE5988" w:rsidRPr="001017E9">
          <w:rPr>
            <w:rStyle w:val="Hyperlink"/>
            <w:noProof/>
          </w:rPr>
          <w:noBreakHyphen/>
          <w:t>54 Forward particle tracking pathlines from 425 CSG wells (assumed located in the middle of each pink cell) within the NPG area. Particles are released in the Pilliga Sandstone, with one particle released for each pink cell (half-way the cell height). Also shown is the 30 km-radius boundary around the study area (black boundary). A more detailed depiction of particle travel paths is provided in Figure 2</w:t>
        </w:r>
        <w:r w:rsidR="00FE5988" w:rsidRPr="001017E9">
          <w:rPr>
            <w:rStyle w:val="Hyperlink"/>
            <w:noProof/>
          </w:rPr>
          <w:noBreakHyphen/>
          <w:t>59.</w:t>
        </w:r>
        <w:r w:rsidR="00FE5988">
          <w:rPr>
            <w:noProof/>
            <w:webHidden/>
          </w:rPr>
          <w:tab/>
        </w:r>
        <w:r w:rsidR="00FE5988">
          <w:rPr>
            <w:noProof/>
            <w:webHidden/>
          </w:rPr>
          <w:fldChar w:fldCharType="begin"/>
        </w:r>
        <w:r w:rsidR="00FE5988">
          <w:rPr>
            <w:noProof/>
            <w:webHidden/>
          </w:rPr>
          <w:instrText xml:space="preserve"> PAGEREF _Toc477347586 \h </w:instrText>
        </w:r>
        <w:r w:rsidR="00FE5988">
          <w:rPr>
            <w:noProof/>
            <w:webHidden/>
          </w:rPr>
        </w:r>
        <w:r w:rsidR="00FE5988">
          <w:rPr>
            <w:noProof/>
            <w:webHidden/>
          </w:rPr>
          <w:fldChar w:fldCharType="separate"/>
        </w:r>
        <w:r w:rsidR="00951AFC">
          <w:rPr>
            <w:noProof/>
            <w:webHidden/>
          </w:rPr>
          <w:t>115</w:t>
        </w:r>
        <w:r w:rsidR="00FE5988">
          <w:rPr>
            <w:noProof/>
            <w:webHidden/>
          </w:rPr>
          <w:fldChar w:fldCharType="end"/>
        </w:r>
      </w:hyperlink>
    </w:p>
    <w:p w14:paraId="7071D46F" w14:textId="7BAECED2" w:rsidR="00FE5988" w:rsidRDefault="00900E5C">
      <w:pPr>
        <w:pStyle w:val="TableofFigures"/>
        <w:tabs>
          <w:tab w:val="right" w:leader="dot" w:pos="9010"/>
        </w:tabs>
        <w:rPr>
          <w:rFonts w:asciiTheme="minorHAnsi" w:hAnsiTheme="minorHAnsi"/>
          <w:noProof/>
          <w:sz w:val="22"/>
          <w:szCs w:val="22"/>
          <w:lang w:val="en-AU" w:eastAsia="en-AU"/>
        </w:rPr>
      </w:pPr>
      <w:hyperlink w:anchor="_Toc477347587" w:history="1">
        <w:r w:rsidR="00FE5988" w:rsidRPr="001017E9">
          <w:rPr>
            <w:rStyle w:val="Hyperlink"/>
            <w:noProof/>
          </w:rPr>
          <w:t>Figure 2</w:t>
        </w:r>
        <w:r w:rsidR="00FE5988" w:rsidRPr="001017E9">
          <w:rPr>
            <w:rStyle w:val="Hyperlink"/>
            <w:noProof/>
          </w:rPr>
          <w:noBreakHyphen/>
          <w:t>55 Forward particle tracking pathlines from 425 CSG wells (assumed located in the middle of each pink cell). Particles are released in the Pilliga Sandstone, with one particle released for each pink cell (half-way the cell height).</w:t>
        </w:r>
        <w:r w:rsidR="00FE5988">
          <w:rPr>
            <w:noProof/>
            <w:webHidden/>
          </w:rPr>
          <w:tab/>
        </w:r>
        <w:r w:rsidR="00FE5988">
          <w:rPr>
            <w:noProof/>
            <w:webHidden/>
          </w:rPr>
          <w:fldChar w:fldCharType="begin"/>
        </w:r>
        <w:r w:rsidR="00FE5988">
          <w:rPr>
            <w:noProof/>
            <w:webHidden/>
          </w:rPr>
          <w:instrText xml:space="preserve"> PAGEREF _Toc477347587 \h </w:instrText>
        </w:r>
        <w:r w:rsidR="00FE5988">
          <w:rPr>
            <w:noProof/>
            <w:webHidden/>
          </w:rPr>
        </w:r>
        <w:r w:rsidR="00FE5988">
          <w:rPr>
            <w:noProof/>
            <w:webHidden/>
          </w:rPr>
          <w:fldChar w:fldCharType="separate"/>
        </w:r>
        <w:r w:rsidR="00951AFC">
          <w:rPr>
            <w:noProof/>
            <w:webHidden/>
          </w:rPr>
          <w:t>116</w:t>
        </w:r>
        <w:r w:rsidR="00FE5988">
          <w:rPr>
            <w:noProof/>
            <w:webHidden/>
          </w:rPr>
          <w:fldChar w:fldCharType="end"/>
        </w:r>
      </w:hyperlink>
    </w:p>
    <w:p w14:paraId="59EF8F86" w14:textId="7C414486" w:rsidR="00FE5988" w:rsidRDefault="00900E5C">
      <w:pPr>
        <w:pStyle w:val="TableofFigures"/>
        <w:tabs>
          <w:tab w:val="right" w:leader="dot" w:pos="9010"/>
        </w:tabs>
        <w:rPr>
          <w:rFonts w:asciiTheme="minorHAnsi" w:hAnsiTheme="minorHAnsi"/>
          <w:noProof/>
          <w:sz w:val="22"/>
          <w:szCs w:val="22"/>
          <w:lang w:val="en-AU" w:eastAsia="en-AU"/>
        </w:rPr>
      </w:pPr>
      <w:hyperlink w:anchor="_Toc477347588" w:history="1">
        <w:r w:rsidR="00FE5988" w:rsidRPr="001017E9">
          <w:rPr>
            <w:rStyle w:val="Hyperlink"/>
            <w:noProof/>
          </w:rPr>
          <w:t>Figure 2</w:t>
        </w:r>
        <w:r w:rsidR="00FE5988" w:rsidRPr="001017E9">
          <w:rPr>
            <w:rStyle w:val="Hyperlink"/>
            <w:noProof/>
          </w:rPr>
          <w:noBreakHyphen/>
          <w:t>56 Hydrogeological model units with location of grey-shaded cross-section capturing a single pathline (for details, see Figure 2</w:t>
        </w:r>
        <w:r w:rsidR="00FE5988" w:rsidRPr="001017E9">
          <w:rPr>
            <w:rStyle w:val="Hyperlink"/>
            <w:noProof/>
          </w:rPr>
          <w:noBreakHyphen/>
          <w:t>57).</w:t>
        </w:r>
        <w:r w:rsidR="00FE5988">
          <w:rPr>
            <w:noProof/>
            <w:webHidden/>
          </w:rPr>
          <w:tab/>
        </w:r>
        <w:r w:rsidR="00FE5988">
          <w:rPr>
            <w:noProof/>
            <w:webHidden/>
          </w:rPr>
          <w:fldChar w:fldCharType="begin"/>
        </w:r>
        <w:r w:rsidR="00FE5988">
          <w:rPr>
            <w:noProof/>
            <w:webHidden/>
          </w:rPr>
          <w:instrText xml:space="preserve"> PAGEREF _Toc477347588 \h </w:instrText>
        </w:r>
        <w:r w:rsidR="00FE5988">
          <w:rPr>
            <w:noProof/>
            <w:webHidden/>
          </w:rPr>
        </w:r>
        <w:r w:rsidR="00FE5988">
          <w:rPr>
            <w:noProof/>
            <w:webHidden/>
          </w:rPr>
          <w:fldChar w:fldCharType="separate"/>
        </w:r>
        <w:r w:rsidR="00951AFC">
          <w:rPr>
            <w:noProof/>
            <w:webHidden/>
          </w:rPr>
          <w:t>116</w:t>
        </w:r>
        <w:r w:rsidR="00FE5988">
          <w:rPr>
            <w:noProof/>
            <w:webHidden/>
          </w:rPr>
          <w:fldChar w:fldCharType="end"/>
        </w:r>
      </w:hyperlink>
    </w:p>
    <w:p w14:paraId="5661E26B" w14:textId="6EEEBACB" w:rsidR="00FE5988" w:rsidRDefault="00900E5C">
      <w:pPr>
        <w:pStyle w:val="TableofFigures"/>
        <w:tabs>
          <w:tab w:val="right" w:leader="dot" w:pos="9010"/>
        </w:tabs>
        <w:rPr>
          <w:rFonts w:asciiTheme="minorHAnsi" w:hAnsiTheme="minorHAnsi"/>
          <w:noProof/>
          <w:sz w:val="22"/>
          <w:szCs w:val="22"/>
          <w:lang w:val="en-AU" w:eastAsia="en-AU"/>
        </w:rPr>
      </w:pPr>
      <w:hyperlink w:anchor="_Toc477347589" w:history="1">
        <w:r w:rsidR="00FE5988" w:rsidRPr="001017E9">
          <w:rPr>
            <w:rStyle w:val="Hyperlink"/>
            <w:noProof/>
          </w:rPr>
          <w:t>Figure 2</w:t>
        </w:r>
        <w:r w:rsidR="00FE5988" w:rsidRPr="001017E9">
          <w:rPr>
            <w:rStyle w:val="Hyperlink"/>
            <w:noProof/>
          </w:rPr>
          <w:noBreakHyphen/>
          <w:t>57 Example solute particle pathline released in the Pilliga Sandstone (forward calculation). Modelling shows this particle pathway ending in the Namoi Alluvium.</w:t>
        </w:r>
        <w:r w:rsidR="00FE5988">
          <w:rPr>
            <w:noProof/>
            <w:webHidden/>
          </w:rPr>
          <w:tab/>
        </w:r>
        <w:r w:rsidR="00FE5988">
          <w:rPr>
            <w:noProof/>
            <w:webHidden/>
          </w:rPr>
          <w:fldChar w:fldCharType="begin"/>
        </w:r>
        <w:r w:rsidR="00FE5988">
          <w:rPr>
            <w:noProof/>
            <w:webHidden/>
          </w:rPr>
          <w:instrText xml:space="preserve"> PAGEREF _Toc477347589 \h </w:instrText>
        </w:r>
        <w:r w:rsidR="00FE5988">
          <w:rPr>
            <w:noProof/>
            <w:webHidden/>
          </w:rPr>
        </w:r>
        <w:r w:rsidR="00FE5988">
          <w:rPr>
            <w:noProof/>
            <w:webHidden/>
          </w:rPr>
          <w:fldChar w:fldCharType="separate"/>
        </w:r>
        <w:r w:rsidR="00951AFC">
          <w:rPr>
            <w:noProof/>
            <w:webHidden/>
          </w:rPr>
          <w:t>117</w:t>
        </w:r>
        <w:r w:rsidR="00FE5988">
          <w:rPr>
            <w:noProof/>
            <w:webHidden/>
          </w:rPr>
          <w:fldChar w:fldCharType="end"/>
        </w:r>
      </w:hyperlink>
    </w:p>
    <w:p w14:paraId="0437FB71" w14:textId="5780F029" w:rsidR="00FE5988" w:rsidRDefault="00900E5C">
      <w:pPr>
        <w:pStyle w:val="TableofFigures"/>
        <w:tabs>
          <w:tab w:val="right" w:leader="dot" w:pos="9010"/>
        </w:tabs>
        <w:rPr>
          <w:rFonts w:asciiTheme="minorHAnsi" w:hAnsiTheme="minorHAnsi"/>
          <w:noProof/>
          <w:sz w:val="22"/>
          <w:szCs w:val="22"/>
          <w:lang w:val="en-AU" w:eastAsia="en-AU"/>
        </w:rPr>
      </w:pPr>
      <w:hyperlink w:anchor="_Toc477347590" w:history="1">
        <w:r w:rsidR="00FE5988" w:rsidRPr="001017E9">
          <w:rPr>
            <w:rStyle w:val="Hyperlink"/>
            <w:noProof/>
          </w:rPr>
          <w:t>Figure 2</w:t>
        </w:r>
        <w:r w:rsidR="00FE5988" w:rsidRPr="001017E9">
          <w:rPr>
            <w:rStyle w:val="Hyperlink"/>
            <w:noProof/>
          </w:rPr>
          <w:noBreakHyphen/>
          <w:t>58 Forward particle tracking pathlines from 425 CSG wells. Particles are released at the middle (top) and base (bottom) of the Pilliga Sandstone. One particle is released for each well.</w:t>
        </w:r>
        <w:r w:rsidR="00FE5988">
          <w:rPr>
            <w:noProof/>
            <w:webHidden/>
          </w:rPr>
          <w:tab/>
        </w:r>
        <w:r w:rsidR="00FE5988">
          <w:rPr>
            <w:noProof/>
            <w:webHidden/>
          </w:rPr>
          <w:fldChar w:fldCharType="begin"/>
        </w:r>
        <w:r w:rsidR="00FE5988">
          <w:rPr>
            <w:noProof/>
            <w:webHidden/>
          </w:rPr>
          <w:instrText xml:space="preserve"> PAGEREF _Toc477347590 \h </w:instrText>
        </w:r>
        <w:r w:rsidR="00FE5988">
          <w:rPr>
            <w:noProof/>
            <w:webHidden/>
          </w:rPr>
        </w:r>
        <w:r w:rsidR="00FE5988">
          <w:rPr>
            <w:noProof/>
            <w:webHidden/>
          </w:rPr>
          <w:fldChar w:fldCharType="separate"/>
        </w:r>
        <w:r w:rsidR="00951AFC">
          <w:rPr>
            <w:noProof/>
            <w:webHidden/>
          </w:rPr>
          <w:t>117</w:t>
        </w:r>
        <w:r w:rsidR="00FE5988">
          <w:rPr>
            <w:noProof/>
            <w:webHidden/>
          </w:rPr>
          <w:fldChar w:fldCharType="end"/>
        </w:r>
      </w:hyperlink>
    </w:p>
    <w:p w14:paraId="72B5C5FC" w14:textId="088A3CD3" w:rsidR="00FE5988" w:rsidRDefault="00900E5C">
      <w:pPr>
        <w:pStyle w:val="TableofFigures"/>
        <w:tabs>
          <w:tab w:val="right" w:leader="dot" w:pos="9010"/>
        </w:tabs>
        <w:rPr>
          <w:rFonts w:asciiTheme="minorHAnsi" w:hAnsiTheme="minorHAnsi"/>
          <w:noProof/>
          <w:sz w:val="22"/>
          <w:szCs w:val="22"/>
          <w:lang w:val="en-AU" w:eastAsia="en-AU"/>
        </w:rPr>
      </w:pPr>
      <w:hyperlink w:anchor="_Toc477347591" w:history="1">
        <w:r w:rsidR="00FE5988" w:rsidRPr="001017E9">
          <w:rPr>
            <w:rStyle w:val="Hyperlink"/>
            <w:noProof/>
          </w:rPr>
          <w:t>Figure 2</w:t>
        </w:r>
        <w:r w:rsidR="00FE5988" w:rsidRPr="001017E9">
          <w:rPr>
            <w:rStyle w:val="Hyperlink"/>
            <w:noProof/>
          </w:rPr>
          <w:noBreakHyphen/>
          <w:t>59 Histogram of particle travel times for 425 sources (i.e. CSG wells) released within the Pilliga Sandstone aquifer (middle).  Also shown are the 10th, 50th and 90th percentile values (dashed vertical lines) and the cumulative probability (blue line).</w:t>
        </w:r>
        <w:r w:rsidR="00FE5988">
          <w:rPr>
            <w:noProof/>
            <w:webHidden/>
          </w:rPr>
          <w:tab/>
        </w:r>
        <w:r w:rsidR="00FE5988">
          <w:rPr>
            <w:noProof/>
            <w:webHidden/>
          </w:rPr>
          <w:fldChar w:fldCharType="begin"/>
        </w:r>
        <w:r w:rsidR="00FE5988">
          <w:rPr>
            <w:noProof/>
            <w:webHidden/>
          </w:rPr>
          <w:instrText xml:space="preserve"> PAGEREF _Toc477347591 \h </w:instrText>
        </w:r>
        <w:r w:rsidR="00FE5988">
          <w:rPr>
            <w:noProof/>
            <w:webHidden/>
          </w:rPr>
        </w:r>
        <w:r w:rsidR="00FE5988">
          <w:rPr>
            <w:noProof/>
            <w:webHidden/>
          </w:rPr>
          <w:fldChar w:fldCharType="separate"/>
        </w:r>
        <w:r w:rsidR="00951AFC">
          <w:rPr>
            <w:noProof/>
            <w:webHidden/>
          </w:rPr>
          <w:t>118</w:t>
        </w:r>
        <w:r w:rsidR="00FE5988">
          <w:rPr>
            <w:noProof/>
            <w:webHidden/>
          </w:rPr>
          <w:fldChar w:fldCharType="end"/>
        </w:r>
      </w:hyperlink>
    </w:p>
    <w:p w14:paraId="42794DA2" w14:textId="3A4C1BA8" w:rsidR="00FE5988" w:rsidRDefault="00900E5C">
      <w:pPr>
        <w:pStyle w:val="TableofFigures"/>
        <w:tabs>
          <w:tab w:val="right" w:leader="dot" w:pos="9010"/>
        </w:tabs>
        <w:rPr>
          <w:rFonts w:asciiTheme="minorHAnsi" w:hAnsiTheme="minorHAnsi"/>
          <w:noProof/>
          <w:sz w:val="22"/>
          <w:szCs w:val="22"/>
          <w:lang w:val="en-AU" w:eastAsia="en-AU"/>
        </w:rPr>
      </w:pPr>
      <w:hyperlink w:anchor="_Toc477347592" w:history="1">
        <w:r w:rsidR="00FE5988" w:rsidRPr="001017E9">
          <w:rPr>
            <w:rStyle w:val="Hyperlink"/>
            <w:noProof/>
          </w:rPr>
          <w:t>Figure 2</w:t>
        </w:r>
        <w:r w:rsidR="00FE5988" w:rsidRPr="001017E9">
          <w:rPr>
            <w:rStyle w:val="Hyperlink"/>
            <w:noProof/>
          </w:rPr>
          <w:noBreakHyphen/>
          <w:t>60  Pathlines between all 1267 receptors and source locations (any starting point of a groundwater flow path) calculated using backward particle tracking for (a) “top” and (b) “bottom” approaches. A total of 951 and 983 particles are shown for the “top” and “bottom” approaches, respectively (with one particle released per receptor).</w:t>
        </w:r>
        <w:r w:rsidR="00FE5988">
          <w:rPr>
            <w:noProof/>
            <w:webHidden/>
          </w:rPr>
          <w:tab/>
        </w:r>
        <w:r w:rsidR="00FE5988">
          <w:rPr>
            <w:noProof/>
            <w:webHidden/>
          </w:rPr>
          <w:fldChar w:fldCharType="begin"/>
        </w:r>
        <w:r w:rsidR="00FE5988">
          <w:rPr>
            <w:noProof/>
            <w:webHidden/>
          </w:rPr>
          <w:instrText xml:space="preserve"> PAGEREF _Toc477347592 \h </w:instrText>
        </w:r>
        <w:r w:rsidR="00FE5988">
          <w:rPr>
            <w:noProof/>
            <w:webHidden/>
          </w:rPr>
        </w:r>
        <w:r w:rsidR="00FE5988">
          <w:rPr>
            <w:noProof/>
            <w:webHidden/>
          </w:rPr>
          <w:fldChar w:fldCharType="separate"/>
        </w:r>
        <w:r w:rsidR="00951AFC">
          <w:rPr>
            <w:noProof/>
            <w:webHidden/>
          </w:rPr>
          <w:t>120</w:t>
        </w:r>
        <w:r w:rsidR="00FE5988">
          <w:rPr>
            <w:noProof/>
            <w:webHidden/>
          </w:rPr>
          <w:fldChar w:fldCharType="end"/>
        </w:r>
      </w:hyperlink>
    </w:p>
    <w:p w14:paraId="42A407B5" w14:textId="14CDCDEE" w:rsidR="00FE5988" w:rsidRDefault="00900E5C">
      <w:pPr>
        <w:pStyle w:val="TableofFigures"/>
        <w:tabs>
          <w:tab w:val="right" w:leader="dot" w:pos="9010"/>
        </w:tabs>
        <w:rPr>
          <w:rFonts w:asciiTheme="minorHAnsi" w:hAnsiTheme="minorHAnsi"/>
          <w:noProof/>
          <w:sz w:val="22"/>
          <w:szCs w:val="22"/>
          <w:lang w:val="en-AU" w:eastAsia="en-AU"/>
        </w:rPr>
      </w:pPr>
      <w:hyperlink w:anchor="_Toc477347593" w:history="1">
        <w:r w:rsidR="00FE5988" w:rsidRPr="001017E9">
          <w:rPr>
            <w:rStyle w:val="Hyperlink"/>
            <w:noProof/>
          </w:rPr>
          <w:t>Figure 2</w:t>
        </w:r>
        <w:r w:rsidR="00FE5988" w:rsidRPr="001017E9">
          <w:rPr>
            <w:rStyle w:val="Hyperlink"/>
            <w:noProof/>
          </w:rPr>
          <w:noBreakHyphen/>
          <w:t>61 Pathlines between receptors (connected to sources within the study area) and source locations (any starting point of a groundwater flow path) calculated using backward particle tracking for (a) “top” and (b) “bottom” approaches. A total of 87 and 107 receptor-source pairs are shown for the “top” and “bottom” approaches, respectively (one particle released per receptor).</w:t>
        </w:r>
        <w:r w:rsidR="00FE5988">
          <w:rPr>
            <w:noProof/>
            <w:webHidden/>
          </w:rPr>
          <w:tab/>
        </w:r>
        <w:r w:rsidR="00FE5988">
          <w:rPr>
            <w:noProof/>
            <w:webHidden/>
          </w:rPr>
          <w:fldChar w:fldCharType="begin"/>
        </w:r>
        <w:r w:rsidR="00FE5988">
          <w:rPr>
            <w:noProof/>
            <w:webHidden/>
          </w:rPr>
          <w:instrText xml:space="preserve"> PAGEREF _Toc477347593 \h </w:instrText>
        </w:r>
        <w:r w:rsidR="00FE5988">
          <w:rPr>
            <w:noProof/>
            <w:webHidden/>
          </w:rPr>
        </w:r>
        <w:r w:rsidR="00FE5988">
          <w:rPr>
            <w:noProof/>
            <w:webHidden/>
          </w:rPr>
          <w:fldChar w:fldCharType="separate"/>
        </w:r>
        <w:r w:rsidR="00951AFC">
          <w:rPr>
            <w:noProof/>
            <w:webHidden/>
          </w:rPr>
          <w:t>121</w:t>
        </w:r>
        <w:r w:rsidR="00FE5988">
          <w:rPr>
            <w:noProof/>
            <w:webHidden/>
          </w:rPr>
          <w:fldChar w:fldCharType="end"/>
        </w:r>
      </w:hyperlink>
    </w:p>
    <w:p w14:paraId="29C88C03" w14:textId="3661EB65" w:rsidR="00FE5988" w:rsidRDefault="00900E5C">
      <w:pPr>
        <w:pStyle w:val="TableofFigures"/>
        <w:tabs>
          <w:tab w:val="right" w:leader="dot" w:pos="9010"/>
        </w:tabs>
        <w:rPr>
          <w:rFonts w:asciiTheme="minorHAnsi" w:hAnsiTheme="minorHAnsi"/>
          <w:noProof/>
          <w:sz w:val="22"/>
          <w:szCs w:val="22"/>
          <w:lang w:val="en-AU" w:eastAsia="en-AU"/>
        </w:rPr>
      </w:pPr>
      <w:hyperlink w:anchor="_Toc477347594" w:history="1">
        <w:r w:rsidR="00FE5988" w:rsidRPr="001017E9">
          <w:rPr>
            <w:rStyle w:val="Hyperlink"/>
            <w:noProof/>
          </w:rPr>
          <w:t>Figure 2</w:t>
        </w:r>
        <w:r w:rsidR="00FE5988" w:rsidRPr="001017E9">
          <w:rPr>
            <w:rStyle w:val="Hyperlink"/>
            <w:noProof/>
          </w:rPr>
          <w:noBreakHyphen/>
          <w:t>62 Pathlines between receptors and source locations (any starting point of a groundwater flow path) with travel time less than 10</w:t>
        </w:r>
        <w:r w:rsidR="00FE5988" w:rsidRPr="001017E9">
          <w:rPr>
            <w:rStyle w:val="Hyperlink"/>
            <w:noProof/>
            <w:vertAlign w:val="superscript"/>
          </w:rPr>
          <w:t>5</w:t>
        </w:r>
        <w:r w:rsidR="00FE5988" w:rsidRPr="001017E9">
          <w:rPr>
            <w:rStyle w:val="Hyperlink"/>
            <w:noProof/>
          </w:rPr>
          <w:t xml:space="preserve"> years calculated using backward particle tracking for (a) “top” and (b) “bottom” approaches. A total of 631 and 253 receptor-source pairs are shown for the “top” and “bottom” approaches, respectively (one particle released per receptor).</w:t>
        </w:r>
        <w:r w:rsidR="00FE5988">
          <w:rPr>
            <w:noProof/>
            <w:webHidden/>
          </w:rPr>
          <w:tab/>
        </w:r>
        <w:r w:rsidR="00FE5988">
          <w:rPr>
            <w:noProof/>
            <w:webHidden/>
          </w:rPr>
          <w:fldChar w:fldCharType="begin"/>
        </w:r>
        <w:r w:rsidR="00FE5988">
          <w:rPr>
            <w:noProof/>
            <w:webHidden/>
          </w:rPr>
          <w:instrText xml:space="preserve"> PAGEREF _Toc477347594 \h </w:instrText>
        </w:r>
        <w:r w:rsidR="00FE5988">
          <w:rPr>
            <w:noProof/>
            <w:webHidden/>
          </w:rPr>
        </w:r>
        <w:r w:rsidR="00FE5988">
          <w:rPr>
            <w:noProof/>
            <w:webHidden/>
          </w:rPr>
          <w:fldChar w:fldCharType="separate"/>
        </w:r>
        <w:r w:rsidR="00951AFC">
          <w:rPr>
            <w:noProof/>
            <w:webHidden/>
          </w:rPr>
          <w:t>122</w:t>
        </w:r>
        <w:r w:rsidR="00FE5988">
          <w:rPr>
            <w:noProof/>
            <w:webHidden/>
          </w:rPr>
          <w:fldChar w:fldCharType="end"/>
        </w:r>
      </w:hyperlink>
    </w:p>
    <w:p w14:paraId="0DB02017" w14:textId="6590438D" w:rsidR="00FE5988" w:rsidRDefault="00900E5C">
      <w:pPr>
        <w:pStyle w:val="TableofFigures"/>
        <w:tabs>
          <w:tab w:val="right" w:leader="dot" w:pos="9010"/>
        </w:tabs>
        <w:rPr>
          <w:rFonts w:asciiTheme="minorHAnsi" w:hAnsiTheme="minorHAnsi"/>
          <w:noProof/>
          <w:sz w:val="22"/>
          <w:szCs w:val="22"/>
          <w:lang w:val="en-AU" w:eastAsia="en-AU"/>
        </w:rPr>
      </w:pPr>
      <w:hyperlink w:anchor="_Toc477347595" w:history="1">
        <w:r w:rsidR="00FE5988" w:rsidRPr="001017E9">
          <w:rPr>
            <w:rStyle w:val="Hyperlink"/>
            <w:noProof/>
          </w:rPr>
          <w:t>Figure 2</w:t>
        </w:r>
        <w:r w:rsidR="00FE5988" w:rsidRPr="001017E9">
          <w:rPr>
            <w:rStyle w:val="Hyperlink"/>
            <w:noProof/>
          </w:rPr>
          <w:noBreakHyphen/>
          <w:t>63 Proximities between receptors and source locations (any starting point of a groundwater flow path) for travel times less than 10</w:t>
        </w:r>
        <w:r w:rsidR="00FE5988" w:rsidRPr="001017E9">
          <w:rPr>
            <w:rStyle w:val="Hyperlink"/>
            <w:noProof/>
            <w:vertAlign w:val="superscript"/>
          </w:rPr>
          <w:t>5</w:t>
        </w:r>
        <w:r w:rsidR="00FE5988" w:rsidRPr="001017E9">
          <w:rPr>
            <w:rStyle w:val="Hyperlink"/>
            <w:noProof/>
          </w:rPr>
          <w:t xml:space="preserve"> years for (a) “top” and (b) “bottom” approaches. A total of 631 and 253 receptor-source pairs are shown for the “top” and “bottom” approaches, respectively (one particle released per receptor).</w:t>
        </w:r>
        <w:r w:rsidR="00FE5988">
          <w:rPr>
            <w:noProof/>
            <w:webHidden/>
          </w:rPr>
          <w:tab/>
        </w:r>
        <w:r w:rsidR="00FE5988">
          <w:rPr>
            <w:noProof/>
            <w:webHidden/>
          </w:rPr>
          <w:fldChar w:fldCharType="begin"/>
        </w:r>
        <w:r w:rsidR="00FE5988">
          <w:rPr>
            <w:noProof/>
            <w:webHidden/>
          </w:rPr>
          <w:instrText xml:space="preserve"> PAGEREF _Toc477347595 \h </w:instrText>
        </w:r>
        <w:r w:rsidR="00FE5988">
          <w:rPr>
            <w:noProof/>
            <w:webHidden/>
          </w:rPr>
        </w:r>
        <w:r w:rsidR="00FE5988">
          <w:rPr>
            <w:noProof/>
            <w:webHidden/>
          </w:rPr>
          <w:fldChar w:fldCharType="separate"/>
        </w:r>
        <w:r w:rsidR="00951AFC">
          <w:rPr>
            <w:noProof/>
            <w:webHidden/>
          </w:rPr>
          <w:t>123</w:t>
        </w:r>
        <w:r w:rsidR="00FE5988">
          <w:rPr>
            <w:noProof/>
            <w:webHidden/>
          </w:rPr>
          <w:fldChar w:fldCharType="end"/>
        </w:r>
      </w:hyperlink>
    </w:p>
    <w:p w14:paraId="38CBD365" w14:textId="6A7C6B76" w:rsidR="00FE5988" w:rsidRDefault="00900E5C">
      <w:pPr>
        <w:pStyle w:val="TableofFigures"/>
        <w:tabs>
          <w:tab w:val="right" w:leader="dot" w:pos="9010"/>
        </w:tabs>
        <w:rPr>
          <w:rFonts w:asciiTheme="minorHAnsi" w:hAnsiTheme="minorHAnsi"/>
          <w:noProof/>
          <w:sz w:val="22"/>
          <w:szCs w:val="22"/>
          <w:lang w:val="en-AU" w:eastAsia="en-AU"/>
        </w:rPr>
      </w:pPr>
      <w:hyperlink w:anchor="_Toc477347596" w:history="1">
        <w:r w:rsidR="00FE5988" w:rsidRPr="001017E9">
          <w:rPr>
            <w:rStyle w:val="Hyperlink"/>
            <w:noProof/>
          </w:rPr>
          <w:t>Figure 2</w:t>
        </w:r>
        <w:r w:rsidR="00FE5988" w:rsidRPr="001017E9">
          <w:rPr>
            <w:rStyle w:val="Hyperlink"/>
            <w:noProof/>
          </w:rPr>
          <w:noBreakHyphen/>
          <w:t>64 Selected case study area for the Surat Basin. See Figure 2-65 for cross-section.</w:t>
        </w:r>
        <w:r w:rsidR="00FE5988">
          <w:rPr>
            <w:noProof/>
            <w:webHidden/>
          </w:rPr>
          <w:tab/>
        </w:r>
        <w:r w:rsidR="00FE5988">
          <w:rPr>
            <w:noProof/>
            <w:webHidden/>
          </w:rPr>
          <w:fldChar w:fldCharType="begin"/>
        </w:r>
        <w:r w:rsidR="00FE5988">
          <w:rPr>
            <w:noProof/>
            <w:webHidden/>
          </w:rPr>
          <w:instrText xml:space="preserve"> PAGEREF _Toc477347596 \h </w:instrText>
        </w:r>
        <w:r w:rsidR="00FE5988">
          <w:rPr>
            <w:noProof/>
            <w:webHidden/>
          </w:rPr>
        </w:r>
        <w:r w:rsidR="00FE5988">
          <w:rPr>
            <w:noProof/>
            <w:webHidden/>
          </w:rPr>
          <w:fldChar w:fldCharType="separate"/>
        </w:r>
        <w:r w:rsidR="00951AFC">
          <w:rPr>
            <w:noProof/>
            <w:webHidden/>
          </w:rPr>
          <w:t>126</w:t>
        </w:r>
        <w:r w:rsidR="00FE5988">
          <w:rPr>
            <w:noProof/>
            <w:webHidden/>
          </w:rPr>
          <w:fldChar w:fldCharType="end"/>
        </w:r>
      </w:hyperlink>
    </w:p>
    <w:p w14:paraId="7E7996A4" w14:textId="423375A5" w:rsidR="00FE5988" w:rsidRDefault="00900E5C">
      <w:pPr>
        <w:pStyle w:val="TableofFigures"/>
        <w:tabs>
          <w:tab w:val="right" w:leader="dot" w:pos="9010"/>
        </w:tabs>
        <w:rPr>
          <w:rFonts w:asciiTheme="minorHAnsi" w:hAnsiTheme="minorHAnsi"/>
          <w:noProof/>
          <w:sz w:val="22"/>
          <w:szCs w:val="22"/>
          <w:lang w:val="en-AU" w:eastAsia="en-AU"/>
        </w:rPr>
      </w:pPr>
      <w:hyperlink w:anchor="_Toc477347597" w:history="1">
        <w:r w:rsidR="00FE5988" w:rsidRPr="001017E9">
          <w:rPr>
            <w:rStyle w:val="Hyperlink"/>
            <w:noProof/>
          </w:rPr>
          <w:t>Figure 2</w:t>
        </w:r>
        <w:r w:rsidR="00FE5988" w:rsidRPr="001017E9">
          <w:rPr>
            <w:rStyle w:val="Hyperlink"/>
            <w:noProof/>
          </w:rPr>
          <w:noBreakHyphen/>
          <w:t>66 Cross-section through the northern part of the Surat Basin showing aquifer-aquitard sequence.</w:t>
        </w:r>
        <w:r w:rsidR="00FE5988">
          <w:rPr>
            <w:noProof/>
            <w:webHidden/>
          </w:rPr>
          <w:tab/>
        </w:r>
        <w:r w:rsidR="00FE5988">
          <w:rPr>
            <w:noProof/>
            <w:webHidden/>
          </w:rPr>
          <w:fldChar w:fldCharType="begin"/>
        </w:r>
        <w:r w:rsidR="00FE5988">
          <w:rPr>
            <w:noProof/>
            <w:webHidden/>
          </w:rPr>
          <w:instrText xml:space="preserve"> PAGEREF _Toc477347597 \h </w:instrText>
        </w:r>
        <w:r w:rsidR="00FE5988">
          <w:rPr>
            <w:noProof/>
            <w:webHidden/>
          </w:rPr>
        </w:r>
        <w:r w:rsidR="00FE5988">
          <w:rPr>
            <w:noProof/>
            <w:webHidden/>
          </w:rPr>
          <w:fldChar w:fldCharType="separate"/>
        </w:r>
        <w:r w:rsidR="00951AFC">
          <w:rPr>
            <w:noProof/>
            <w:webHidden/>
          </w:rPr>
          <w:t>128</w:t>
        </w:r>
        <w:r w:rsidR="00FE5988">
          <w:rPr>
            <w:noProof/>
            <w:webHidden/>
          </w:rPr>
          <w:fldChar w:fldCharType="end"/>
        </w:r>
      </w:hyperlink>
    </w:p>
    <w:p w14:paraId="19950053" w14:textId="4B35045F" w:rsidR="00FE5988" w:rsidRDefault="00900E5C">
      <w:pPr>
        <w:pStyle w:val="TableofFigures"/>
        <w:tabs>
          <w:tab w:val="right" w:leader="dot" w:pos="9010"/>
        </w:tabs>
        <w:rPr>
          <w:rFonts w:asciiTheme="minorHAnsi" w:hAnsiTheme="minorHAnsi"/>
          <w:noProof/>
          <w:sz w:val="22"/>
          <w:szCs w:val="22"/>
          <w:lang w:val="en-AU" w:eastAsia="en-AU"/>
        </w:rPr>
      </w:pPr>
      <w:hyperlink w:anchor="_Toc477347598" w:history="1">
        <w:r w:rsidR="00FE5988" w:rsidRPr="001017E9">
          <w:rPr>
            <w:rStyle w:val="Hyperlink"/>
            <w:noProof/>
          </w:rPr>
          <w:t>Figure 2</w:t>
        </w:r>
        <w:r w:rsidR="00FE5988" w:rsidRPr="001017E9">
          <w:rPr>
            <w:rStyle w:val="Hyperlink"/>
            <w:noProof/>
          </w:rPr>
          <w:noBreakHyphen/>
          <w:t>67 Lithological variability within the Walloon Coal Measures (OGIA 2016).</w:t>
        </w:r>
        <w:r w:rsidR="00FE5988">
          <w:rPr>
            <w:noProof/>
            <w:webHidden/>
          </w:rPr>
          <w:tab/>
        </w:r>
        <w:r w:rsidR="00FE5988">
          <w:rPr>
            <w:noProof/>
            <w:webHidden/>
          </w:rPr>
          <w:fldChar w:fldCharType="begin"/>
        </w:r>
        <w:r w:rsidR="00FE5988">
          <w:rPr>
            <w:noProof/>
            <w:webHidden/>
          </w:rPr>
          <w:instrText xml:space="preserve"> PAGEREF _Toc477347598 \h </w:instrText>
        </w:r>
        <w:r w:rsidR="00FE5988">
          <w:rPr>
            <w:noProof/>
            <w:webHidden/>
          </w:rPr>
        </w:r>
        <w:r w:rsidR="00FE5988">
          <w:rPr>
            <w:noProof/>
            <w:webHidden/>
          </w:rPr>
          <w:fldChar w:fldCharType="separate"/>
        </w:r>
        <w:r w:rsidR="00951AFC">
          <w:rPr>
            <w:noProof/>
            <w:webHidden/>
          </w:rPr>
          <w:t>129</w:t>
        </w:r>
        <w:r w:rsidR="00FE5988">
          <w:rPr>
            <w:noProof/>
            <w:webHidden/>
          </w:rPr>
          <w:fldChar w:fldCharType="end"/>
        </w:r>
      </w:hyperlink>
    </w:p>
    <w:p w14:paraId="043A359D" w14:textId="4BF58AA6" w:rsidR="00FE5988" w:rsidRDefault="00900E5C">
      <w:pPr>
        <w:pStyle w:val="TableofFigures"/>
        <w:tabs>
          <w:tab w:val="right" w:leader="dot" w:pos="9010"/>
        </w:tabs>
        <w:rPr>
          <w:rFonts w:asciiTheme="minorHAnsi" w:hAnsiTheme="minorHAnsi"/>
          <w:noProof/>
          <w:sz w:val="22"/>
          <w:szCs w:val="22"/>
          <w:lang w:val="en-AU" w:eastAsia="en-AU"/>
        </w:rPr>
      </w:pPr>
      <w:hyperlink w:anchor="_Toc477347599" w:history="1">
        <w:r w:rsidR="00FE5988" w:rsidRPr="001017E9">
          <w:rPr>
            <w:rStyle w:val="Hyperlink"/>
            <w:noProof/>
          </w:rPr>
          <w:t>Figure 2</w:t>
        </w:r>
        <w:r w:rsidR="00FE5988" w:rsidRPr="001017E9">
          <w:rPr>
            <w:rStyle w:val="Hyperlink"/>
            <w:noProof/>
          </w:rPr>
          <w:noBreakHyphen/>
          <w:t>68 Example of lithological composition in Westbourne Formation, Springbok Sandstone and Walloon Coal Measures (herein represented by Durabilla Formation, Taroom Coal Measures, Tangalooma Sandstone and Juandah Coal Measures) in selected Surat Basin wells (Esterle et al. 2013)</w:t>
        </w:r>
        <w:r w:rsidR="00FE5988">
          <w:rPr>
            <w:noProof/>
            <w:webHidden/>
          </w:rPr>
          <w:tab/>
        </w:r>
        <w:r w:rsidR="00FE5988">
          <w:rPr>
            <w:noProof/>
            <w:webHidden/>
          </w:rPr>
          <w:fldChar w:fldCharType="begin"/>
        </w:r>
        <w:r w:rsidR="00FE5988">
          <w:rPr>
            <w:noProof/>
            <w:webHidden/>
          </w:rPr>
          <w:instrText xml:space="preserve"> PAGEREF _Toc477347599 \h </w:instrText>
        </w:r>
        <w:r w:rsidR="00FE5988">
          <w:rPr>
            <w:noProof/>
            <w:webHidden/>
          </w:rPr>
        </w:r>
        <w:r w:rsidR="00FE5988">
          <w:rPr>
            <w:noProof/>
            <w:webHidden/>
          </w:rPr>
          <w:fldChar w:fldCharType="separate"/>
        </w:r>
        <w:r w:rsidR="00951AFC">
          <w:rPr>
            <w:noProof/>
            <w:webHidden/>
          </w:rPr>
          <w:t>130</w:t>
        </w:r>
        <w:r w:rsidR="00FE5988">
          <w:rPr>
            <w:noProof/>
            <w:webHidden/>
          </w:rPr>
          <w:fldChar w:fldCharType="end"/>
        </w:r>
      </w:hyperlink>
    </w:p>
    <w:p w14:paraId="48278A1F" w14:textId="25D4EFDA" w:rsidR="00FE5988" w:rsidRDefault="00900E5C">
      <w:pPr>
        <w:pStyle w:val="TableofFigures"/>
        <w:tabs>
          <w:tab w:val="right" w:leader="dot" w:pos="9010"/>
        </w:tabs>
        <w:rPr>
          <w:rFonts w:asciiTheme="minorHAnsi" w:hAnsiTheme="minorHAnsi"/>
          <w:noProof/>
          <w:sz w:val="22"/>
          <w:szCs w:val="22"/>
          <w:lang w:val="en-AU" w:eastAsia="en-AU"/>
        </w:rPr>
      </w:pPr>
      <w:hyperlink w:anchor="_Toc477347600" w:history="1">
        <w:r w:rsidR="00FE5988" w:rsidRPr="001017E9">
          <w:rPr>
            <w:rStyle w:val="Hyperlink"/>
            <w:i/>
            <w:noProof/>
          </w:rPr>
          <w:t>Figure 2</w:t>
        </w:r>
        <w:r w:rsidR="00FE5988" w:rsidRPr="001017E9">
          <w:rPr>
            <w:rStyle w:val="Hyperlink"/>
            <w:i/>
            <w:noProof/>
          </w:rPr>
          <w:noBreakHyphen/>
          <w:t>69 Selected CSG wells and an overlay of the flow model grid. Particle tracks from particles released in the Walloon Coal Measures.</w:t>
        </w:r>
        <w:r w:rsidR="00FE5988">
          <w:rPr>
            <w:noProof/>
            <w:webHidden/>
          </w:rPr>
          <w:tab/>
        </w:r>
        <w:r w:rsidR="00FE5988">
          <w:rPr>
            <w:noProof/>
            <w:webHidden/>
          </w:rPr>
          <w:fldChar w:fldCharType="begin"/>
        </w:r>
        <w:r w:rsidR="00FE5988">
          <w:rPr>
            <w:noProof/>
            <w:webHidden/>
          </w:rPr>
          <w:instrText xml:space="preserve"> PAGEREF _Toc477347600 \h </w:instrText>
        </w:r>
        <w:r w:rsidR="00FE5988">
          <w:rPr>
            <w:noProof/>
            <w:webHidden/>
          </w:rPr>
        </w:r>
        <w:r w:rsidR="00FE5988">
          <w:rPr>
            <w:noProof/>
            <w:webHidden/>
          </w:rPr>
          <w:fldChar w:fldCharType="separate"/>
        </w:r>
        <w:r w:rsidR="00951AFC">
          <w:rPr>
            <w:noProof/>
            <w:webHidden/>
          </w:rPr>
          <w:t>132</w:t>
        </w:r>
        <w:r w:rsidR="00FE5988">
          <w:rPr>
            <w:noProof/>
            <w:webHidden/>
          </w:rPr>
          <w:fldChar w:fldCharType="end"/>
        </w:r>
      </w:hyperlink>
    </w:p>
    <w:p w14:paraId="2FEAA90B" w14:textId="75024719" w:rsidR="00FE5988" w:rsidRDefault="00900E5C">
      <w:pPr>
        <w:pStyle w:val="TableofFigures"/>
        <w:tabs>
          <w:tab w:val="right" w:leader="dot" w:pos="9010"/>
        </w:tabs>
        <w:rPr>
          <w:rFonts w:asciiTheme="minorHAnsi" w:hAnsiTheme="minorHAnsi"/>
          <w:noProof/>
          <w:sz w:val="22"/>
          <w:szCs w:val="22"/>
          <w:lang w:val="en-AU" w:eastAsia="en-AU"/>
        </w:rPr>
      </w:pPr>
      <w:hyperlink w:anchor="_Toc477347601" w:history="1">
        <w:r w:rsidR="00FE5988" w:rsidRPr="001017E9">
          <w:rPr>
            <w:rStyle w:val="Hyperlink"/>
            <w:noProof/>
          </w:rPr>
          <w:t>Figure 2</w:t>
        </w:r>
        <w:r w:rsidR="00FE5988" w:rsidRPr="001017E9">
          <w:rPr>
            <w:rStyle w:val="Hyperlink"/>
            <w:noProof/>
          </w:rPr>
          <w:noBreakHyphen/>
          <w:t>70 Plan view of the particle tracks originating from the Gubberamunda formation.</w:t>
        </w:r>
        <w:r w:rsidR="00FE5988">
          <w:rPr>
            <w:noProof/>
            <w:webHidden/>
          </w:rPr>
          <w:tab/>
        </w:r>
        <w:r w:rsidR="00FE5988">
          <w:rPr>
            <w:noProof/>
            <w:webHidden/>
          </w:rPr>
          <w:fldChar w:fldCharType="begin"/>
        </w:r>
        <w:r w:rsidR="00FE5988">
          <w:rPr>
            <w:noProof/>
            <w:webHidden/>
          </w:rPr>
          <w:instrText xml:space="preserve"> PAGEREF _Toc477347601 \h </w:instrText>
        </w:r>
        <w:r w:rsidR="00FE5988">
          <w:rPr>
            <w:noProof/>
            <w:webHidden/>
          </w:rPr>
        </w:r>
        <w:r w:rsidR="00FE5988">
          <w:rPr>
            <w:noProof/>
            <w:webHidden/>
          </w:rPr>
          <w:fldChar w:fldCharType="separate"/>
        </w:r>
        <w:r w:rsidR="00951AFC">
          <w:rPr>
            <w:noProof/>
            <w:webHidden/>
          </w:rPr>
          <w:t>133</w:t>
        </w:r>
        <w:r w:rsidR="00FE5988">
          <w:rPr>
            <w:noProof/>
            <w:webHidden/>
          </w:rPr>
          <w:fldChar w:fldCharType="end"/>
        </w:r>
      </w:hyperlink>
    </w:p>
    <w:p w14:paraId="5863E668" w14:textId="736E802B" w:rsidR="00FE5988" w:rsidRDefault="00900E5C">
      <w:pPr>
        <w:pStyle w:val="TableofFigures"/>
        <w:tabs>
          <w:tab w:val="right" w:leader="dot" w:pos="9010"/>
        </w:tabs>
        <w:rPr>
          <w:rFonts w:asciiTheme="minorHAnsi" w:hAnsiTheme="minorHAnsi"/>
          <w:noProof/>
          <w:sz w:val="22"/>
          <w:szCs w:val="22"/>
          <w:lang w:val="en-AU" w:eastAsia="en-AU"/>
        </w:rPr>
      </w:pPr>
      <w:hyperlink w:anchor="_Toc477347602" w:history="1">
        <w:r w:rsidR="00FE5988" w:rsidRPr="001017E9">
          <w:rPr>
            <w:rStyle w:val="Hyperlink"/>
            <w:noProof/>
          </w:rPr>
          <w:t>Figure 2</w:t>
        </w:r>
        <w:r w:rsidR="00FE5988" w:rsidRPr="001017E9">
          <w:rPr>
            <w:rStyle w:val="Hyperlink"/>
            <w:noProof/>
          </w:rPr>
          <w:noBreakHyphen/>
          <w:t>71 Plan view of the particle tracks originating from the Springbok Sandstone aquifer.</w:t>
        </w:r>
        <w:r w:rsidR="00FE5988">
          <w:rPr>
            <w:noProof/>
            <w:webHidden/>
          </w:rPr>
          <w:tab/>
        </w:r>
        <w:r w:rsidR="00FE5988">
          <w:rPr>
            <w:noProof/>
            <w:webHidden/>
          </w:rPr>
          <w:fldChar w:fldCharType="begin"/>
        </w:r>
        <w:r w:rsidR="00FE5988">
          <w:rPr>
            <w:noProof/>
            <w:webHidden/>
          </w:rPr>
          <w:instrText xml:space="preserve"> PAGEREF _Toc477347602 \h </w:instrText>
        </w:r>
        <w:r w:rsidR="00FE5988">
          <w:rPr>
            <w:noProof/>
            <w:webHidden/>
          </w:rPr>
        </w:r>
        <w:r w:rsidR="00FE5988">
          <w:rPr>
            <w:noProof/>
            <w:webHidden/>
          </w:rPr>
          <w:fldChar w:fldCharType="separate"/>
        </w:r>
        <w:r w:rsidR="00951AFC">
          <w:rPr>
            <w:noProof/>
            <w:webHidden/>
          </w:rPr>
          <w:t>134</w:t>
        </w:r>
        <w:r w:rsidR="00FE5988">
          <w:rPr>
            <w:noProof/>
            <w:webHidden/>
          </w:rPr>
          <w:fldChar w:fldCharType="end"/>
        </w:r>
      </w:hyperlink>
    </w:p>
    <w:p w14:paraId="0B8B14B4" w14:textId="7137D5A6" w:rsidR="00FE5988" w:rsidRDefault="00900E5C">
      <w:pPr>
        <w:pStyle w:val="TableofFigures"/>
        <w:tabs>
          <w:tab w:val="right" w:leader="dot" w:pos="9010"/>
        </w:tabs>
        <w:rPr>
          <w:rFonts w:asciiTheme="minorHAnsi" w:hAnsiTheme="minorHAnsi"/>
          <w:noProof/>
          <w:sz w:val="22"/>
          <w:szCs w:val="22"/>
          <w:lang w:val="en-AU" w:eastAsia="en-AU"/>
        </w:rPr>
      </w:pPr>
      <w:hyperlink w:anchor="_Toc477347603" w:history="1">
        <w:r w:rsidR="00FE5988" w:rsidRPr="001017E9">
          <w:rPr>
            <w:rStyle w:val="Hyperlink"/>
            <w:noProof/>
          </w:rPr>
          <w:t>Figure 2</w:t>
        </w:r>
        <w:r w:rsidR="00FE5988" w:rsidRPr="001017E9">
          <w:rPr>
            <w:rStyle w:val="Hyperlink"/>
            <w:noProof/>
          </w:rPr>
          <w:noBreakHyphen/>
          <w:t>72 Plan view of the particle tracks originating from the Hutton Sandstone.</w:t>
        </w:r>
        <w:r w:rsidR="00FE5988">
          <w:rPr>
            <w:noProof/>
            <w:webHidden/>
          </w:rPr>
          <w:tab/>
        </w:r>
        <w:r w:rsidR="00FE5988">
          <w:rPr>
            <w:noProof/>
            <w:webHidden/>
          </w:rPr>
          <w:fldChar w:fldCharType="begin"/>
        </w:r>
        <w:r w:rsidR="00FE5988">
          <w:rPr>
            <w:noProof/>
            <w:webHidden/>
          </w:rPr>
          <w:instrText xml:space="preserve"> PAGEREF _Toc477347603 \h </w:instrText>
        </w:r>
        <w:r w:rsidR="00FE5988">
          <w:rPr>
            <w:noProof/>
            <w:webHidden/>
          </w:rPr>
        </w:r>
        <w:r w:rsidR="00FE5988">
          <w:rPr>
            <w:noProof/>
            <w:webHidden/>
          </w:rPr>
          <w:fldChar w:fldCharType="separate"/>
        </w:r>
        <w:r w:rsidR="00951AFC">
          <w:rPr>
            <w:noProof/>
            <w:webHidden/>
          </w:rPr>
          <w:t>135</w:t>
        </w:r>
        <w:r w:rsidR="00FE5988">
          <w:rPr>
            <w:noProof/>
            <w:webHidden/>
          </w:rPr>
          <w:fldChar w:fldCharType="end"/>
        </w:r>
      </w:hyperlink>
    </w:p>
    <w:p w14:paraId="71A5E699" w14:textId="060C2E08" w:rsidR="00FE5988" w:rsidRDefault="00900E5C">
      <w:pPr>
        <w:pStyle w:val="TableofFigures"/>
        <w:tabs>
          <w:tab w:val="right" w:leader="dot" w:pos="9010"/>
        </w:tabs>
        <w:rPr>
          <w:rFonts w:asciiTheme="minorHAnsi" w:hAnsiTheme="minorHAnsi"/>
          <w:noProof/>
          <w:sz w:val="22"/>
          <w:szCs w:val="22"/>
          <w:lang w:val="en-AU" w:eastAsia="en-AU"/>
        </w:rPr>
      </w:pPr>
      <w:hyperlink w:anchor="_Toc477347604" w:history="1">
        <w:r w:rsidR="00FE5988" w:rsidRPr="001017E9">
          <w:rPr>
            <w:rStyle w:val="Hyperlink"/>
            <w:noProof/>
          </w:rPr>
          <w:t>Figure 2</w:t>
        </w:r>
        <w:r w:rsidR="00FE5988" w:rsidRPr="001017E9">
          <w:rPr>
            <w:rStyle w:val="Hyperlink"/>
            <w:noProof/>
          </w:rPr>
          <w:noBreakHyphen/>
          <w:t>73 Distributions of particle travel distance.</w:t>
        </w:r>
        <w:r w:rsidR="00FE5988">
          <w:rPr>
            <w:noProof/>
            <w:webHidden/>
          </w:rPr>
          <w:tab/>
        </w:r>
        <w:r w:rsidR="00FE5988">
          <w:rPr>
            <w:noProof/>
            <w:webHidden/>
          </w:rPr>
          <w:fldChar w:fldCharType="begin"/>
        </w:r>
        <w:r w:rsidR="00FE5988">
          <w:rPr>
            <w:noProof/>
            <w:webHidden/>
          </w:rPr>
          <w:instrText xml:space="preserve"> PAGEREF _Toc477347604 \h </w:instrText>
        </w:r>
        <w:r w:rsidR="00FE5988">
          <w:rPr>
            <w:noProof/>
            <w:webHidden/>
          </w:rPr>
        </w:r>
        <w:r w:rsidR="00FE5988">
          <w:rPr>
            <w:noProof/>
            <w:webHidden/>
          </w:rPr>
          <w:fldChar w:fldCharType="separate"/>
        </w:r>
        <w:r w:rsidR="00951AFC">
          <w:rPr>
            <w:noProof/>
            <w:webHidden/>
          </w:rPr>
          <w:t>136</w:t>
        </w:r>
        <w:r w:rsidR="00FE5988">
          <w:rPr>
            <w:noProof/>
            <w:webHidden/>
          </w:rPr>
          <w:fldChar w:fldCharType="end"/>
        </w:r>
      </w:hyperlink>
    </w:p>
    <w:p w14:paraId="048C780B" w14:textId="1C4E8B9A" w:rsidR="00FE5988" w:rsidRDefault="00900E5C">
      <w:pPr>
        <w:pStyle w:val="TableofFigures"/>
        <w:tabs>
          <w:tab w:val="right" w:leader="dot" w:pos="9010"/>
        </w:tabs>
        <w:rPr>
          <w:rFonts w:asciiTheme="minorHAnsi" w:hAnsiTheme="minorHAnsi"/>
          <w:noProof/>
          <w:sz w:val="22"/>
          <w:szCs w:val="22"/>
          <w:lang w:val="en-AU" w:eastAsia="en-AU"/>
        </w:rPr>
      </w:pPr>
      <w:hyperlink w:anchor="_Toc477347605" w:history="1">
        <w:r w:rsidR="00FE5988" w:rsidRPr="001017E9">
          <w:rPr>
            <w:rStyle w:val="Hyperlink"/>
            <w:noProof/>
          </w:rPr>
          <w:t>Figure 2</w:t>
        </w:r>
        <w:r w:rsidR="00FE5988" w:rsidRPr="001017E9">
          <w:rPr>
            <w:rStyle w:val="Hyperlink"/>
            <w:noProof/>
          </w:rPr>
          <w:noBreakHyphen/>
          <w:t>74 Distribution of particle travel times.</w:t>
        </w:r>
        <w:r w:rsidR="00FE5988">
          <w:rPr>
            <w:noProof/>
            <w:webHidden/>
          </w:rPr>
          <w:tab/>
        </w:r>
        <w:r w:rsidR="00FE5988">
          <w:rPr>
            <w:noProof/>
            <w:webHidden/>
          </w:rPr>
          <w:fldChar w:fldCharType="begin"/>
        </w:r>
        <w:r w:rsidR="00FE5988">
          <w:rPr>
            <w:noProof/>
            <w:webHidden/>
          </w:rPr>
          <w:instrText xml:space="preserve"> PAGEREF _Toc477347605 \h </w:instrText>
        </w:r>
        <w:r w:rsidR="00FE5988">
          <w:rPr>
            <w:noProof/>
            <w:webHidden/>
          </w:rPr>
        </w:r>
        <w:r w:rsidR="00FE5988">
          <w:rPr>
            <w:noProof/>
            <w:webHidden/>
          </w:rPr>
          <w:fldChar w:fldCharType="separate"/>
        </w:r>
        <w:r w:rsidR="00951AFC">
          <w:rPr>
            <w:noProof/>
            <w:webHidden/>
          </w:rPr>
          <w:t>137</w:t>
        </w:r>
        <w:r w:rsidR="00FE5988">
          <w:rPr>
            <w:noProof/>
            <w:webHidden/>
          </w:rPr>
          <w:fldChar w:fldCharType="end"/>
        </w:r>
      </w:hyperlink>
    </w:p>
    <w:p w14:paraId="1BE5E63C" w14:textId="0C4E4A3F" w:rsidR="00FE5988" w:rsidRDefault="00900E5C">
      <w:pPr>
        <w:pStyle w:val="TableofFigures"/>
        <w:tabs>
          <w:tab w:val="right" w:leader="dot" w:pos="9010"/>
        </w:tabs>
        <w:rPr>
          <w:rFonts w:asciiTheme="minorHAnsi" w:hAnsiTheme="minorHAnsi"/>
          <w:noProof/>
          <w:sz w:val="22"/>
          <w:szCs w:val="22"/>
          <w:lang w:val="en-AU" w:eastAsia="en-AU"/>
        </w:rPr>
      </w:pPr>
      <w:hyperlink w:anchor="_Toc477347606" w:history="1">
        <w:r w:rsidR="00FE5988" w:rsidRPr="001017E9">
          <w:rPr>
            <w:rStyle w:val="Hyperlink"/>
            <w:noProof/>
          </w:rPr>
          <w:t>Figure 2</w:t>
        </w:r>
        <w:r w:rsidR="00FE5988" w:rsidRPr="001017E9">
          <w:rPr>
            <w:rStyle w:val="Hyperlink"/>
            <w:noProof/>
          </w:rPr>
          <w:noBreakHyphen/>
          <w:t>75 Backward particle tracks for particles released within the Gubberamunda Sandstone.</w:t>
        </w:r>
        <w:r w:rsidR="00FE5988">
          <w:rPr>
            <w:noProof/>
            <w:webHidden/>
          </w:rPr>
          <w:tab/>
        </w:r>
        <w:r w:rsidR="00FE5988">
          <w:rPr>
            <w:noProof/>
            <w:webHidden/>
          </w:rPr>
          <w:fldChar w:fldCharType="begin"/>
        </w:r>
        <w:r w:rsidR="00FE5988">
          <w:rPr>
            <w:noProof/>
            <w:webHidden/>
          </w:rPr>
          <w:instrText xml:space="preserve"> PAGEREF _Toc477347606 \h </w:instrText>
        </w:r>
        <w:r w:rsidR="00FE5988">
          <w:rPr>
            <w:noProof/>
            <w:webHidden/>
          </w:rPr>
        </w:r>
        <w:r w:rsidR="00FE5988">
          <w:rPr>
            <w:noProof/>
            <w:webHidden/>
          </w:rPr>
          <w:fldChar w:fldCharType="separate"/>
        </w:r>
        <w:r w:rsidR="00951AFC">
          <w:rPr>
            <w:noProof/>
            <w:webHidden/>
          </w:rPr>
          <w:t>139</w:t>
        </w:r>
        <w:r w:rsidR="00FE5988">
          <w:rPr>
            <w:noProof/>
            <w:webHidden/>
          </w:rPr>
          <w:fldChar w:fldCharType="end"/>
        </w:r>
      </w:hyperlink>
    </w:p>
    <w:p w14:paraId="5DBE5407" w14:textId="32830850" w:rsidR="00FE5988" w:rsidRDefault="00900E5C">
      <w:pPr>
        <w:pStyle w:val="TableofFigures"/>
        <w:tabs>
          <w:tab w:val="right" w:leader="dot" w:pos="9010"/>
        </w:tabs>
        <w:rPr>
          <w:rFonts w:asciiTheme="minorHAnsi" w:hAnsiTheme="minorHAnsi"/>
          <w:noProof/>
          <w:sz w:val="22"/>
          <w:szCs w:val="22"/>
          <w:lang w:val="en-AU" w:eastAsia="en-AU"/>
        </w:rPr>
      </w:pPr>
      <w:hyperlink w:anchor="_Toc477347607" w:history="1">
        <w:r w:rsidR="00FE5988" w:rsidRPr="001017E9">
          <w:rPr>
            <w:rStyle w:val="Hyperlink"/>
            <w:noProof/>
          </w:rPr>
          <w:t>Figure 2</w:t>
        </w:r>
        <w:r w:rsidR="00FE5988" w:rsidRPr="001017E9">
          <w:rPr>
            <w:rStyle w:val="Hyperlink"/>
            <w:noProof/>
          </w:rPr>
          <w:noBreakHyphen/>
          <w:t>76 Distribution of travel times for the backward particle tracking analysis.</w:t>
        </w:r>
        <w:r w:rsidR="00FE5988">
          <w:rPr>
            <w:noProof/>
            <w:webHidden/>
          </w:rPr>
          <w:tab/>
        </w:r>
        <w:r w:rsidR="00FE5988">
          <w:rPr>
            <w:noProof/>
            <w:webHidden/>
          </w:rPr>
          <w:fldChar w:fldCharType="begin"/>
        </w:r>
        <w:r w:rsidR="00FE5988">
          <w:rPr>
            <w:noProof/>
            <w:webHidden/>
          </w:rPr>
          <w:instrText xml:space="preserve"> PAGEREF _Toc477347607 \h </w:instrText>
        </w:r>
        <w:r w:rsidR="00FE5988">
          <w:rPr>
            <w:noProof/>
            <w:webHidden/>
          </w:rPr>
        </w:r>
        <w:r w:rsidR="00FE5988">
          <w:rPr>
            <w:noProof/>
            <w:webHidden/>
          </w:rPr>
          <w:fldChar w:fldCharType="separate"/>
        </w:r>
        <w:r w:rsidR="00951AFC">
          <w:rPr>
            <w:noProof/>
            <w:webHidden/>
          </w:rPr>
          <w:t>140</w:t>
        </w:r>
        <w:r w:rsidR="00FE5988">
          <w:rPr>
            <w:noProof/>
            <w:webHidden/>
          </w:rPr>
          <w:fldChar w:fldCharType="end"/>
        </w:r>
      </w:hyperlink>
    </w:p>
    <w:p w14:paraId="69AA6E47" w14:textId="67E2AC18" w:rsidR="00FE5988" w:rsidRDefault="00900E5C">
      <w:pPr>
        <w:pStyle w:val="TableofFigures"/>
        <w:tabs>
          <w:tab w:val="right" w:leader="dot" w:pos="9010"/>
        </w:tabs>
        <w:rPr>
          <w:rFonts w:asciiTheme="minorHAnsi" w:hAnsiTheme="minorHAnsi"/>
          <w:noProof/>
          <w:sz w:val="22"/>
          <w:szCs w:val="22"/>
          <w:lang w:val="en-AU" w:eastAsia="en-AU"/>
        </w:rPr>
      </w:pPr>
      <w:hyperlink w:anchor="_Toc477347608" w:history="1">
        <w:r w:rsidR="00FE5988" w:rsidRPr="001017E9">
          <w:rPr>
            <w:rStyle w:val="Hyperlink"/>
            <w:noProof/>
          </w:rPr>
          <w:t>Figure 2</w:t>
        </w:r>
        <w:r w:rsidR="00FE5988" w:rsidRPr="001017E9">
          <w:rPr>
            <w:rStyle w:val="Hyperlink"/>
            <w:noProof/>
          </w:rPr>
          <w:noBreakHyphen/>
          <w:t>77 Backward particle tracks for particles released within the Walloon Coal Measures. Receptors represent water bores.</w:t>
        </w:r>
        <w:r w:rsidR="00FE5988">
          <w:rPr>
            <w:noProof/>
            <w:webHidden/>
          </w:rPr>
          <w:tab/>
        </w:r>
        <w:r w:rsidR="00FE5988">
          <w:rPr>
            <w:noProof/>
            <w:webHidden/>
          </w:rPr>
          <w:fldChar w:fldCharType="begin"/>
        </w:r>
        <w:r w:rsidR="00FE5988">
          <w:rPr>
            <w:noProof/>
            <w:webHidden/>
          </w:rPr>
          <w:instrText xml:space="preserve"> PAGEREF _Toc477347608 \h </w:instrText>
        </w:r>
        <w:r w:rsidR="00FE5988">
          <w:rPr>
            <w:noProof/>
            <w:webHidden/>
          </w:rPr>
        </w:r>
        <w:r w:rsidR="00FE5988">
          <w:rPr>
            <w:noProof/>
            <w:webHidden/>
          </w:rPr>
          <w:fldChar w:fldCharType="separate"/>
        </w:r>
        <w:r w:rsidR="00951AFC">
          <w:rPr>
            <w:noProof/>
            <w:webHidden/>
          </w:rPr>
          <w:t>141</w:t>
        </w:r>
        <w:r w:rsidR="00FE5988">
          <w:rPr>
            <w:noProof/>
            <w:webHidden/>
          </w:rPr>
          <w:fldChar w:fldCharType="end"/>
        </w:r>
      </w:hyperlink>
    </w:p>
    <w:p w14:paraId="4A557C8C" w14:textId="7DF0F60C" w:rsidR="00FE5988" w:rsidRDefault="00900E5C">
      <w:pPr>
        <w:pStyle w:val="TableofFigures"/>
        <w:tabs>
          <w:tab w:val="right" w:leader="dot" w:pos="9010"/>
        </w:tabs>
        <w:rPr>
          <w:rFonts w:asciiTheme="minorHAnsi" w:hAnsiTheme="minorHAnsi"/>
          <w:noProof/>
          <w:sz w:val="22"/>
          <w:szCs w:val="22"/>
          <w:lang w:val="en-AU" w:eastAsia="en-AU"/>
        </w:rPr>
      </w:pPr>
      <w:hyperlink w:anchor="_Toc477347609" w:history="1">
        <w:r w:rsidR="00FE5988" w:rsidRPr="001017E9">
          <w:rPr>
            <w:rStyle w:val="Hyperlink"/>
            <w:noProof/>
          </w:rPr>
          <w:t>Figure 3</w:t>
        </w:r>
        <w:r w:rsidR="00FE5988" w:rsidRPr="001017E9">
          <w:rPr>
            <w:rStyle w:val="Hyperlink"/>
            <w:noProof/>
          </w:rPr>
          <w:noBreakHyphen/>
          <w:t>1 Methodology for linking DAF classes to probability (likelihood). Top panel shows for a set of CSG wells and water bores i) frequency distribution of CSG well – bore distances based on spatial analysis and ii) frequency distribution of CSG well – bore travel times based on particle tracking analysis. Middle panel shows cumulative frequency of CSG well – bore distances and table with travel time characteristics (mean and standard deviation for travel time distribution) for water bores. Bottom panel shows calculated dilution attenuation factors (DAF) for a given chemical. DAF values are assigned a likelihood based on the travel distance – probability curve.</w:t>
        </w:r>
        <w:r w:rsidR="00FE5988">
          <w:rPr>
            <w:noProof/>
            <w:webHidden/>
          </w:rPr>
          <w:tab/>
        </w:r>
        <w:r w:rsidR="00FE5988">
          <w:rPr>
            <w:noProof/>
            <w:webHidden/>
          </w:rPr>
          <w:fldChar w:fldCharType="begin"/>
        </w:r>
        <w:r w:rsidR="00FE5988">
          <w:rPr>
            <w:noProof/>
            <w:webHidden/>
          </w:rPr>
          <w:instrText xml:space="preserve"> PAGEREF _Toc477347609 \h </w:instrText>
        </w:r>
        <w:r w:rsidR="00FE5988">
          <w:rPr>
            <w:noProof/>
            <w:webHidden/>
          </w:rPr>
        </w:r>
        <w:r w:rsidR="00FE5988">
          <w:rPr>
            <w:noProof/>
            <w:webHidden/>
          </w:rPr>
          <w:fldChar w:fldCharType="separate"/>
        </w:r>
        <w:r w:rsidR="00951AFC">
          <w:rPr>
            <w:noProof/>
            <w:webHidden/>
          </w:rPr>
          <w:t>143</w:t>
        </w:r>
        <w:r w:rsidR="00FE5988">
          <w:rPr>
            <w:noProof/>
            <w:webHidden/>
          </w:rPr>
          <w:fldChar w:fldCharType="end"/>
        </w:r>
      </w:hyperlink>
    </w:p>
    <w:p w14:paraId="4C97F022" w14:textId="201C28B1" w:rsidR="00FE5988" w:rsidRDefault="00900E5C">
      <w:pPr>
        <w:pStyle w:val="TableofFigures"/>
        <w:tabs>
          <w:tab w:val="right" w:leader="dot" w:pos="9010"/>
        </w:tabs>
        <w:rPr>
          <w:rFonts w:asciiTheme="minorHAnsi" w:hAnsiTheme="minorHAnsi"/>
          <w:noProof/>
          <w:sz w:val="22"/>
          <w:szCs w:val="22"/>
          <w:lang w:val="en-AU" w:eastAsia="en-AU"/>
        </w:rPr>
      </w:pPr>
      <w:hyperlink w:anchor="_Toc477347610" w:history="1">
        <w:r w:rsidR="00FE5988" w:rsidRPr="001017E9">
          <w:rPr>
            <w:rStyle w:val="Hyperlink"/>
            <w:noProof/>
          </w:rPr>
          <w:t>Figure 3</w:t>
        </w:r>
        <w:r w:rsidR="00FE5988" w:rsidRPr="001017E9">
          <w:rPr>
            <w:rStyle w:val="Hyperlink"/>
            <w:noProof/>
          </w:rPr>
          <w:noBreakHyphen/>
          <w:t>2 Schematic representation of multipart and singlepart features in ArcGIS (from ArcGIS Resource Centre).</w:t>
        </w:r>
        <w:r w:rsidR="00FE5988">
          <w:rPr>
            <w:noProof/>
            <w:webHidden/>
          </w:rPr>
          <w:tab/>
        </w:r>
        <w:r w:rsidR="00FE5988">
          <w:rPr>
            <w:noProof/>
            <w:webHidden/>
          </w:rPr>
          <w:fldChar w:fldCharType="begin"/>
        </w:r>
        <w:r w:rsidR="00FE5988">
          <w:rPr>
            <w:noProof/>
            <w:webHidden/>
          </w:rPr>
          <w:instrText xml:space="preserve"> PAGEREF _Toc477347610 \h </w:instrText>
        </w:r>
        <w:r w:rsidR="00FE5988">
          <w:rPr>
            <w:noProof/>
            <w:webHidden/>
          </w:rPr>
        </w:r>
        <w:r w:rsidR="00FE5988">
          <w:rPr>
            <w:noProof/>
            <w:webHidden/>
          </w:rPr>
          <w:fldChar w:fldCharType="separate"/>
        </w:r>
        <w:r w:rsidR="00951AFC">
          <w:rPr>
            <w:noProof/>
            <w:webHidden/>
          </w:rPr>
          <w:t>145</w:t>
        </w:r>
        <w:r w:rsidR="00FE5988">
          <w:rPr>
            <w:noProof/>
            <w:webHidden/>
          </w:rPr>
          <w:fldChar w:fldCharType="end"/>
        </w:r>
      </w:hyperlink>
    </w:p>
    <w:p w14:paraId="7BE42A0E" w14:textId="7351CB5D" w:rsidR="00FE5988" w:rsidRDefault="00900E5C">
      <w:pPr>
        <w:pStyle w:val="TableofFigures"/>
        <w:tabs>
          <w:tab w:val="right" w:leader="dot" w:pos="9010"/>
        </w:tabs>
        <w:rPr>
          <w:rFonts w:asciiTheme="minorHAnsi" w:hAnsiTheme="minorHAnsi"/>
          <w:noProof/>
          <w:sz w:val="22"/>
          <w:szCs w:val="22"/>
          <w:lang w:val="en-AU" w:eastAsia="en-AU"/>
        </w:rPr>
      </w:pPr>
      <w:hyperlink w:anchor="_Toc477347611" w:history="1">
        <w:r w:rsidR="00FE5988" w:rsidRPr="001017E9">
          <w:rPr>
            <w:rStyle w:val="Hyperlink"/>
            <w:noProof/>
          </w:rPr>
          <w:t>Figure 3</w:t>
        </w:r>
        <w:r w:rsidR="00FE5988" w:rsidRPr="001017E9">
          <w:rPr>
            <w:rStyle w:val="Hyperlink"/>
            <w:noProof/>
          </w:rPr>
          <w:noBreakHyphen/>
          <w:t>3 Multipart and singlepart line feature representation; line segment representing a single line feature highlighted in singlepart panel is part of one multipart line feature shown highlighted in the multipart panel.</w:t>
        </w:r>
        <w:r w:rsidR="00FE5988">
          <w:rPr>
            <w:noProof/>
            <w:webHidden/>
          </w:rPr>
          <w:tab/>
        </w:r>
        <w:r w:rsidR="00FE5988">
          <w:rPr>
            <w:noProof/>
            <w:webHidden/>
          </w:rPr>
          <w:fldChar w:fldCharType="begin"/>
        </w:r>
        <w:r w:rsidR="00FE5988">
          <w:rPr>
            <w:noProof/>
            <w:webHidden/>
          </w:rPr>
          <w:instrText xml:space="preserve"> PAGEREF _Toc477347611 \h </w:instrText>
        </w:r>
        <w:r w:rsidR="00FE5988">
          <w:rPr>
            <w:noProof/>
            <w:webHidden/>
          </w:rPr>
        </w:r>
        <w:r w:rsidR="00FE5988">
          <w:rPr>
            <w:noProof/>
            <w:webHidden/>
          </w:rPr>
          <w:fldChar w:fldCharType="separate"/>
        </w:r>
        <w:r w:rsidR="00951AFC">
          <w:rPr>
            <w:noProof/>
            <w:webHidden/>
          </w:rPr>
          <w:t>146</w:t>
        </w:r>
        <w:r w:rsidR="00FE5988">
          <w:rPr>
            <w:noProof/>
            <w:webHidden/>
          </w:rPr>
          <w:fldChar w:fldCharType="end"/>
        </w:r>
      </w:hyperlink>
    </w:p>
    <w:p w14:paraId="7B2E55E4" w14:textId="23F3B06A" w:rsidR="00FE5988" w:rsidRDefault="00900E5C">
      <w:pPr>
        <w:pStyle w:val="TableofFigures"/>
        <w:tabs>
          <w:tab w:val="right" w:leader="dot" w:pos="9010"/>
        </w:tabs>
        <w:rPr>
          <w:rFonts w:asciiTheme="minorHAnsi" w:hAnsiTheme="minorHAnsi"/>
          <w:noProof/>
          <w:sz w:val="22"/>
          <w:szCs w:val="22"/>
          <w:lang w:val="en-AU" w:eastAsia="en-AU"/>
        </w:rPr>
      </w:pPr>
      <w:hyperlink w:anchor="_Toc477347612" w:history="1">
        <w:r w:rsidR="00FE5988" w:rsidRPr="001017E9">
          <w:rPr>
            <w:rStyle w:val="Hyperlink"/>
            <w:noProof/>
          </w:rPr>
          <w:t>Figure 3</w:t>
        </w:r>
        <w:r w:rsidR="00FE5988" w:rsidRPr="001017E9">
          <w:rPr>
            <w:rStyle w:val="Hyperlink"/>
            <w:noProof/>
          </w:rPr>
          <w:noBreakHyphen/>
          <w:t>4 Cumulative probability of the proximity of the nearest CSG well (in m) to assets (Approach #1) in the Groundwater Dependent Ecosystems Class (Ecological Assets, Vegetation Subgroup) within a distance of 30 km and an angle north between 90°E and 270°W from CSG wells.</w:t>
        </w:r>
        <w:r w:rsidR="00FE5988">
          <w:rPr>
            <w:noProof/>
            <w:webHidden/>
          </w:rPr>
          <w:tab/>
        </w:r>
        <w:r w:rsidR="00FE5988">
          <w:rPr>
            <w:noProof/>
            <w:webHidden/>
          </w:rPr>
          <w:fldChar w:fldCharType="begin"/>
        </w:r>
        <w:r w:rsidR="00FE5988">
          <w:rPr>
            <w:noProof/>
            <w:webHidden/>
          </w:rPr>
          <w:instrText xml:space="preserve"> PAGEREF _Toc477347612 \h </w:instrText>
        </w:r>
        <w:r w:rsidR="00FE5988">
          <w:rPr>
            <w:noProof/>
            <w:webHidden/>
          </w:rPr>
        </w:r>
        <w:r w:rsidR="00FE5988">
          <w:rPr>
            <w:noProof/>
            <w:webHidden/>
          </w:rPr>
          <w:fldChar w:fldCharType="separate"/>
        </w:r>
        <w:r w:rsidR="00951AFC">
          <w:rPr>
            <w:noProof/>
            <w:webHidden/>
          </w:rPr>
          <w:t>147</w:t>
        </w:r>
        <w:r w:rsidR="00FE5988">
          <w:rPr>
            <w:noProof/>
            <w:webHidden/>
          </w:rPr>
          <w:fldChar w:fldCharType="end"/>
        </w:r>
      </w:hyperlink>
    </w:p>
    <w:p w14:paraId="3BA200F1" w14:textId="56C38F46" w:rsidR="00FE5988" w:rsidRDefault="00900E5C">
      <w:pPr>
        <w:pStyle w:val="TableofFigures"/>
        <w:tabs>
          <w:tab w:val="right" w:leader="dot" w:pos="9010"/>
        </w:tabs>
        <w:rPr>
          <w:rFonts w:asciiTheme="minorHAnsi" w:hAnsiTheme="minorHAnsi"/>
          <w:noProof/>
          <w:sz w:val="22"/>
          <w:szCs w:val="22"/>
          <w:lang w:val="en-AU" w:eastAsia="en-AU"/>
        </w:rPr>
      </w:pPr>
      <w:hyperlink w:anchor="_Toc477347613" w:history="1">
        <w:r w:rsidR="00FE5988" w:rsidRPr="001017E9">
          <w:rPr>
            <w:rStyle w:val="Hyperlink"/>
            <w:noProof/>
          </w:rPr>
          <w:t>Figure 3</w:t>
        </w:r>
        <w:r w:rsidR="00FE5988" w:rsidRPr="001017E9">
          <w:rPr>
            <w:rStyle w:val="Hyperlink"/>
            <w:noProof/>
          </w:rPr>
          <w:noBreakHyphen/>
          <w:t>5 Cumulative probability of the proximity of up to 5 of the nearest CSG wells to assets (Approach #2) in the Groundwater Dependent Ecosystems Class (Ecological Assets, Vegetation Subgroup) within a distance of 30 km and an angle south between 90°E and 270°W from assets.</w:t>
        </w:r>
        <w:r w:rsidR="00FE5988">
          <w:rPr>
            <w:noProof/>
            <w:webHidden/>
          </w:rPr>
          <w:tab/>
        </w:r>
        <w:r w:rsidR="00FE5988">
          <w:rPr>
            <w:noProof/>
            <w:webHidden/>
          </w:rPr>
          <w:fldChar w:fldCharType="begin"/>
        </w:r>
        <w:r w:rsidR="00FE5988">
          <w:rPr>
            <w:noProof/>
            <w:webHidden/>
          </w:rPr>
          <w:instrText xml:space="preserve"> PAGEREF _Toc477347613 \h </w:instrText>
        </w:r>
        <w:r w:rsidR="00FE5988">
          <w:rPr>
            <w:noProof/>
            <w:webHidden/>
          </w:rPr>
        </w:r>
        <w:r w:rsidR="00FE5988">
          <w:rPr>
            <w:noProof/>
            <w:webHidden/>
          </w:rPr>
          <w:fldChar w:fldCharType="separate"/>
        </w:r>
        <w:r w:rsidR="00951AFC">
          <w:rPr>
            <w:noProof/>
            <w:webHidden/>
          </w:rPr>
          <w:t>148</w:t>
        </w:r>
        <w:r w:rsidR="00FE5988">
          <w:rPr>
            <w:noProof/>
            <w:webHidden/>
          </w:rPr>
          <w:fldChar w:fldCharType="end"/>
        </w:r>
      </w:hyperlink>
    </w:p>
    <w:p w14:paraId="510AF3CB" w14:textId="275C562F" w:rsidR="00FE5988" w:rsidRDefault="00900E5C">
      <w:pPr>
        <w:pStyle w:val="TableofFigures"/>
        <w:tabs>
          <w:tab w:val="right" w:leader="dot" w:pos="9010"/>
        </w:tabs>
        <w:rPr>
          <w:rFonts w:asciiTheme="minorHAnsi" w:hAnsiTheme="minorHAnsi"/>
          <w:noProof/>
          <w:sz w:val="22"/>
          <w:szCs w:val="22"/>
          <w:lang w:val="en-AU" w:eastAsia="en-AU"/>
        </w:rPr>
      </w:pPr>
      <w:hyperlink w:anchor="_Toc477347614" w:history="1">
        <w:r w:rsidR="00FE5988" w:rsidRPr="001017E9">
          <w:rPr>
            <w:rStyle w:val="Hyperlink"/>
            <w:noProof/>
          </w:rPr>
          <w:t>Figure 3</w:t>
        </w:r>
        <w:r w:rsidR="00FE5988" w:rsidRPr="001017E9">
          <w:rPr>
            <w:rStyle w:val="Hyperlink"/>
            <w:noProof/>
          </w:rPr>
          <w:noBreakHyphen/>
          <w:t>6 Cumulative probability of the proximity of all CSG wells to assets (Approach #3) in the Groundwater Dependent Ecosystems Class (Ecological Assets, Vegetation Subgroup) within a distance of 30 km and an angle north between 90°E and 270°W from CSG wells.</w:t>
        </w:r>
        <w:r w:rsidR="00FE5988">
          <w:rPr>
            <w:noProof/>
            <w:webHidden/>
          </w:rPr>
          <w:tab/>
        </w:r>
        <w:r w:rsidR="00FE5988">
          <w:rPr>
            <w:noProof/>
            <w:webHidden/>
          </w:rPr>
          <w:fldChar w:fldCharType="begin"/>
        </w:r>
        <w:r w:rsidR="00FE5988">
          <w:rPr>
            <w:noProof/>
            <w:webHidden/>
          </w:rPr>
          <w:instrText xml:space="preserve"> PAGEREF _Toc477347614 \h </w:instrText>
        </w:r>
        <w:r w:rsidR="00FE5988">
          <w:rPr>
            <w:noProof/>
            <w:webHidden/>
          </w:rPr>
        </w:r>
        <w:r w:rsidR="00FE5988">
          <w:rPr>
            <w:noProof/>
            <w:webHidden/>
          </w:rPr>
          <w:fldChar w:fldCharType="separate"/>
        </w:r>
        <w:r w:rsidR="00951AFC">
          <w:rPr>
            <w:noProof/>
            <w:webHidden/>
          </w:rPr>
          <w:t>148</w:t>
        </w:r>
        <w:r w:rsidR="00FE5988">
          <w:rPr>
            <w:noProof/>
            <w:webHidden/>
          </w:rPr>
          <w:fldChar w:fldCharType="end"/>
        </w:r>
      </w:hyperlink>
    </w:p>
    <w:p w14:paraId="2C378F36" w14:textId="1C63162E" w:rsidR="00FE5988" w:rsidRDefault="00900E5C">
      <w:pPr>
        <w:pStyle w:val="TableofFigures"/>
        <w:tabs>
          <w:tab w:val="right" w:leader="dot" w:pos="9010"/>
        </w:tabs>
        <w:rPr>
          <w:rFonts w:asciiTheme="minorHAnsi" w:hAnsiTheme="minorHAnsi"/>
          <w:noProof/>
          <w:sz w:val="22"/>
          <w:szCs w:val="22"/>
          <w:lang w:val="en-AU" w:eastAsia="en-AU"/>
        </w:rPr>
      </w:pPr>
      <w:hyperlink w:anchor="_Toc477347615" w:history="1">
        <w:r w:rsidR="00FE5988" w:rsidRPr="001017E9">
          <w:rPr>
            <w:rStyle w:val="Hyperlink"/>
            <w:noProof/>
          </w:rPr>
          <w:t>Figure 3</w:t>
        </w:r>
        <w:r w:rsidR="00FE5988" w:rsidRPr="001017E9">
          <w:rPr>
            <w:rStyle w:val="Hyperlink"/>
            <w:noProof/>
          </w:rPr>
          <w:noBreakHyphen/>
          <w:t>7 Cumulative probability of the proximity of all assets to each CSG well pair (Approach #3) for assets in the Aquifer, geological feature, alluvium or stratum Class (Ecological Assets, groundwater feature subgroup) within a distance of 30 km and an angle north between 90°E and 270°W from CSG wells.</w:t>
        </w:r>
        <w:r w:rsidR="00FE5988">
          <w:rPr>
            <w:noProof/>
            <w:webHidden/>
          </w:rPr>
          <w:tab/>
        </w:r>
        <w:r w:rsidR="00FE5988">
          <w:rPr>
            <w:noProof/>
            <w:webHidden/>
          </w:rPr>
          <w:fldChar w:fldCharType="begin"/>
        </w:r>
        <w:r w:rsidR="00FE5988">
          <w:rPr>
            <w:noProof/>
            <w:webHidden/>
          </w:rPr>
          <w:instrText xml:space="preserve"> PAGEREF _Toc477347615 \h </w:instrText>
        </w:r>
        <w:r w:rsidR="00FE5988">
          <w:rPr>
            <w:noProof/>
            <w:webHidden/>
          </w:rPr>
        </w:r>
        <w:r w:rsidR="00FE5988">
          <w:rPr>
            <w:noProof/>
            <w:webHidden/>
          </w:rPr>
          <w:fldChar w:fldCharType="separate"/>
        </w:r>
        <w:r w:rsidR="00951AFC">
          <w:rPr>
            <w:noProof/>
            <w:webHidden/>
          </w:rPr>
          <w:t>149</w:t>
        </w:r>
        <w:r w:rsidR="00FE5988">
          <w:rPr>
            <w:noProof/>
            <w:webHidden/>
          </w:rPr>
          <w:fldChar w:fldCharType="end"/>
        </w:r>
      </w:hyperlink>
    </w:p>
    <w:p w14:paraId="6A7DC3A3" w14:textId="205692AB" w:rsidR="00FE5988" w:rsidRDefault="00900E5C">
      <w:pPr>
        <w:pStyle w:val="TableofFigures"/>
        <w:tabs>
          <w:tab w:val="right" w:leader="dot" w:pos="9010"/>
        </w:tabs>
        <w:rPr>
          <w:rFonts w:asciiTheme="minorHAnsi" w:hAnsiTheme="minorHAnsi"/>
          <w:noProof/>
          <w:sz w:val="22"/>
          <w:szCs w:val="22"/>
          <w:lang w:val="en-AU" w:eastAsia="en-AU"/>
        </w:rPr>
      </w:pPr>
      <w:hyperlink w:anchor="_Toc477347616" w:history="1">
        <w:r w:rsidR="00FE5988" w:rsidRPr="001017E9">
          <w:rPr>
            <w:rStyle w:val="Hyperlink"/>
            <w:noProof/>
          </w:rPr>
          <w:t>Figure 3</w:t>
        </w:r>
        <w:r w:rsidR="00FE5988" w:rsidRPr="001017E9">
          <w:rPr>
            <w:rStyle w:val="Hyperlink"/>
            <w:noProof/>
          </w:rPr>
          <w:noBreakHyphen/>
          <w:t>8 Cumulative probability of the proximity of all assets to each CSG well pair (Approach #3) for assets in the Habitat (Potential Species Distribution) Class (Ecological Assets, Vegetation subgroup) within a distance of 30 km and an angle north between 90°E and 270°W from CSG wells.</w:t>
        </w:r>
        <w:r w:rsidR="00FE5988">
          <w:rPr>
            <w:noProof/>
            <w:webHidden/>
          </w:rPr>
          <w:tab/>
        </w:r>
        <w:r w:rsidR="00FE5988">
          <w:rPr>
            <w:noProof/>
            <w:webHidden/>
          </w:rPr>
          <w:fldChar w:fldCharType="begin"/>
        </w:r>
        <w:r w:rsidR="00FE5988">
          <w:rPr>
            <w:noProof/>
            <w:webHidden/>
          </w:rPr>
          <w:instrText xml:space="preserve"> PAGEREF _Toc477347616 \h </w:instrText>
        </w:r>
        <w:r w:rsidR="00FE5988">
          <w:rPr>
            <w:noProof/>
            <w:webHidden/>
          </w:rPr>
        </w:r>
        <w:r w:rsidR="00FE5988">
          <w:rPr>
            <w:noProof/>
            <w:webHidden/>
          </w:rPr>
          <w:fldChar w:fldCharType="separate"/>
        </w:r>
        <w:r w:rsidR="00951AFC">
          <w:rPr>
            <w:noProof/>
            <w:webHidden/>
          </w:rPr>
          <w:t>150</w:t>
        </w:r>
        <w:r w:rsidR="00FE5988">
          <w:rPr>
            <w:noProof/>
            <w:webHidden/>
          </w:rPr>
          <w:fldChar w:fldCharType="end"/>
        </w:r>
      </w:hyperlink>
    </w:p>
    <w:p w14:paraId="75C726D1" w14:textId="34456730" w:rsidR="00FE5988" w:rsidRDefault="00900E5C">
      <w:pPr>
        <w:pStyle w:val="TableofFigures"/>
        <w:tabs>
          <w:tab w:val="right" w:leader="dot" w:pos="9010"/>
        </w:tabs>
        <w:rPr>
          <w:rFonts w:asciiTheme="minorHAnsi" w:hAnsiTheme="minorHAnsi"/>
          <w:noProof/>
          <w:sz w:val="22"/>
          <w:szCs w:val="22"/>
          <w:lang w:val="en-AU" w:eastAsia="en-AU"/>
        </w:rPr>
      </w:pPr>
      <w:hyperlink w:anchor="_Toc477347617" w:history="1">
        <w:r w:rsidR="00FE5988" w:rsidRPr="001017E9">
          <w:rPr>
            <w:rStyle w:val="Hyperlink"/>
            <w:noProof/>
          </w:rPr>
          <w:t>Figure 3</w:t>
        </w:r>
        <w:r w:rsidR="00FE5988" w:rsidRPr="001017E9">
          <w:rPr>
            <w:rStyle w:val="Hyperlink"/>
            <w:noProof/>
          </w:rPr>
          <w:noBreakHyphen/>
          <w:t>9 Cumulative probability of the proximity of all assets to each CSG well pair (Approach #3) for assets in the River or stream reach, tributary, anabranch or bend; Floodplain; Wetland, wetland complex or swamp; Lake, reservoir, lagoon or estuary; Marsh, sedgeland, bog, spring or soak Classes (Ecological Assets, Surface Water Feature subgroup) within a distance of 30 km and an angle north between 90°E and 270°W from CSG wells.</w:t>
        </w:r>
        <w:r w:rsidR="00FE5988">
          <w:rPr>
            <w:noProof/>
            <w:webHidden/>
          </w:rPr>
          <w:tab/>
        </w:r>
        <w:r w:rsidR="00FE5988">
          <w:rPr>
            <w:noProof/>
            <w:webHidden/>
          </w:rPr>
          <w:fldChar w:fldCharType="begin"/>
        </w:r>
        <w:r w:rsidR="00FE5988">
          <w:rPr>
            <w:noProof/>
            <w:webHidden/>
          </w:rPr>
          <w:instrText xml:space="preserve"> PAGEREF _Toc477347617 \h </w:instrText>
        </w:r>
        <w:r w:rsidR="00FE5988">
          <w:rPr>
            <w:noProof/>
            <w:webHidden/>
          </w:rPr>
        </w:r>
        <w:r w:rsidR="00FE5988">
          <w:rPr>
            <w:noProof/>
            <w:webHidden/>
          </w:rPr>
          <w:fldChar w:fldCharType="separate"/>
        </w:r>
        <w:r w:rsidR="00951AFC">
          <w:rPr>
            <w:noProof/>
            <w:webHidden/>
          </w:rPr>
          <w:t>151</w:t>
        </w:r>
        <w:r w:rsidR="00FE5988">
          <w:rPr>
            <w:noProof/>
            <w:webHidden/>
          </w:rPr>
          <w:fldChar w:fldCharType="end"/>
        </w:r>
      </w:hyperlink>
    </w:p>
    <w:p w14:paraId="742921A0" w14:textId="659477B3" w:rsidR="00FE5988" w:rsidRDefault="00900E5C">
      <w:pPr>
        <w:pStyle w:val="TableofFigures"/>
        <w:tabs>
          <w:tab w:val="right" w:leader="dot" w:pos="9010"/>
        </w:tabs>
        <w:rPr>
          <w:rFonts w:asciiTheme="minorHAnsi" w:hAnsiTheme="minorHAnsi"/>
          <w:noProof/>
          <w:sz w:val="22"/>
          <w:szCs w:val="22"/>
          <w:lang w:val="en-AU" w:eastAsia="en-AU"/>
        </w:rPr>
      </w:pPr>
      <w:hyperlink w:anchor="_Toc477347618" w:history="1">
        <w:r w:rsidR="00FE5988" w:rsidRPr="001017E9">
          <w:rPr>
            <w:rStyle w:val="Hyperlink"/>
            <w:noProof/>
          </w:rPr>
          <w:t>Figure 3</w:t>
        </w:r>
        <w:r w:rsidR="00FE5988" w:rsidRPr="001017E9">
          <w:rPr>
            <w:rStyle w:val="Hyperlink"/>
            <w:noProof/>
          </w:rPr>
          <w:noBreakHyphen/>
          <w:t>10 Cumulative probability of the proximity of all assets to each CSG well pair (Approach #3) for assets in the Water Access Right Class (Economic Assets, Groundwater management zone subgroup) within a distance of 30 km and an angle north between 90°E and 270°W from CSG wells. Assets include groundwater bores for purposes including aquaculture, domestic, stock, farming, industrial, fire fighting, mineral water extraction, irrigation, and recreation; and the Water Access Right In Upper Zone 4, Namoi Valley (Keepit Dam To Gin's Leap) Groundwater Source area.</w:t>
        </w:r>
        <w:r w:rsidR="00FE5988">
          <w:rPr>
            <w:noProof/>
            <w:webHidden/>
          </w:rPr>
          <w:tab/>
        </w:r>
        <w:r w:rsidR="00FE5988">
          <w:rPr>
            <w:noProof/>
            <w:webHidden/>
          </w:rPr>
          <w:fldChar w:fldCharType="begin"/>
        </w:r>
        <w:r w:rsidR="00FE5988">
          <w:rPr>
            <w:noProof/>
            <w:webHidden/>
          </w:rPr>
          <w:instrText xml:space="preserve"> PAGEREF _Toc477347618 \h </w:instrText>
        </w:r>
        <w:r w:rsidR="00FE5988">
          <w:rPr>
            <w:noProof/>
            <w:webHidden/>
          </w:rPr>
        </w:r>
        <w:r w:rsidR="00FE5988">
          <w:rPr>
            <w:noProof/>
            <w:webHidden/>
          </w:rPr>
          <w:fldChar w:fldCharType="separate"/>
        </w:r>
        <w:r w:rsidR="00951AFC">
          <w:rPr>
            <w:noProof/>
            <w:webHidden/>
          </w:rPr>
          <w:t>152</w:t>
        </w:r>
        <w:r w:rsidR="00FE5988">
          <w:rPr>
            <w:noProof/>
            <w:webHidden/>
          </w:rPr>
          <w:fldChar w:fldCharType="end"/>
        </w:r>
      </w:hyperlink>
    </w:p>
    <w:p w14:paraId="68FBE125" w14:textId="0BC0F103" w:rsidR="00FE5988" w:rsidRDefault="00900E5C">
      <w:pPr>
        <w:pStyle w:val="TableofFigures"/>
        <w:tabs>
          <w:tab w:val="right" w:leader="dot" w:pos="9010"/>
        </w:tabs>
        <w:rPr>
          <w:rFonts w:asciiTheme="minorHAnsi" w:hAnsiTheme="minorHAnsi"/>
          <w:noProof/>
          <w:sz w:val="22"/>
          <w:szCs w:val="22"/>
          <w:lang w:val="en-AU" w:eastAsia="en-AU"/>
        </w:rPr>
      </w:pPr>
      <w:hyperlink w:anchor="_Toc477347619" w:history="1">
        <w:r w:rsidR="00FE5988" w:rsidRPr="001017E9">
          <w:rPr>
            <w:rStyle w:val="Hyperlink"/>
            <w:noProof/>
          </w:rPr>
          <w:t>Figure 3</w:t>
        </w:r>
        <w:r w:rsidR="00FE5988" w:rsidRPr="001017E9">
          <w:rPr>
            <w:rStyle w:val="Hyperlink"/>
            <w:noProof/>
          </w:rPr>
          <w:noBreakHyphen/>
          <w:t>11 Cumulative probability of the proximity of all assets to each CSG well pair (Approach #3) for assets in the Basic Water Right (stock and domestic) Class (Economic Assets, Groundwater management zone subgroup) within a distance of 30 km and an angle north between 90°E and 270°W from CSG wells. Assets include groundwater bores for purposes including water conservation, domestic, stock, teaching and ‘unknown’; and Groundwater Management Plan areas for the Upper and Lower Namoi sources, NSW GAB, and the NSW MDB Fractured and NSW MDB Porous Rock sources (the latter 3 intersect directly with the proposed CSG wells).</w:t>
        </w:r>
        <w:r w:rsidR="00FE5988">
          <w:rPr>
            <w:noProof/>
            <w:webHidden/>
          </w:rPr>
          <w:tab/>
        </w:r>
        <w:r w:rsidR="00FE5988">
          <w:rPr>
            <w:noProof/>
            <w:webHidden/>
          </w:rPr>
          <w:fldChar w:fldCharType="begin"/>
        </w:r>
        <w:r w:rsidR="00FE5988">
          <w:rPr>
            <w:noProof/>
            <w:webHidden/>
          </w:rPr>
          <w:instrText xml:space="preserve"> PAGEREF _Toc477347619 \h </w:instrText>
        </w:r>
        <w:r w:rsidR="00FE5988">
          <w:rPr>
            <w:noProof/>
            <w:webHidden/>
          </w:rPr>
        </w:r>
        <w:r w:rsidR="00FE5988">
          <w:rPr>
            <w:noProof/>
            <w:webHidden/>
          </w:rPr>
          <w:fldChar w:fldCharType="separate"/>
        </w:r>
        <w:r w:rsidR="00951AFC">
          <w:rPr>
            <w:noProof/>
            <w:webHidden/>
          </w:rPr>
          <w:t>153</w:t>
        </w:r>
        <w:r w:rsidR="00FE5988">
          <w:rPr>
            <w:noProof/>
            <w:webHidden/>
          </w:rPr>
          <w:fldChar w:fldCharType="end"/>
        </w:r>
      </w:hyperlink>
    </w:p>
    <w:p w14:paraId="21F9498C" w14:textId="03EAB18C" w:rsidR="00FE5988" w:rsidRDefault="00900E5C">
      <w:pPr>
        <w:pStyle w:val="TableofFigures"/>
        <w:tabs>
          <w:tab w:val="right" w:leader="dot" w:pos="9010"/>
        </w:tabs>
        <w:rPr>
          <w:rFonts w:asciiTheme="minorHAnsi" w:hAnsiTheme="minorHAnsi"/>
          <w:noProof/>
          <w:sz w:val="22"/>
          <w:szCs w:val="22"/>
          <w:lang w:val="en-AU" w:eastAsia="en-AU"/>
        </w:rPr>
      </w:pPr>
      <w:hyperlink w:anchor="_Toc477347620" w:history="1">
        <w:r w:rsidR="00FE5988" w:rsidRPr="001017E9">
          <w:rPr>
            <w:rStyle w:val="Hyperlink"/>
            <w:noProof/>
          </w:rPr>
          <w:t>Figure 3</w:t>
        </w:r>
        <w:r w:rsidR="00FE5988" w:rsidRPr="001017E9">
          <w:rPr>
            <w:rStyle w:val="Hyperlink"/>
            <w:noProof/>
          </w:rPr>
          <w:noBreakHyphen/>
          <w:t>12 Cumulative probability of the proximity of all assets to each CSG well pair (Approach #3) for assets in the Water Access Right Class (Economic Assets, Surface water management zone subgroup) within a distance of 30 km and an angle north between 90°E and 270°W from CSG wells. Assets include Water Access Right locations for the Lower Namoi River and the Bohena, Brigalow, Bundock, Eulah, Spring, Bobbiwaa, Maules, Pian, and Millie Creeks.</w:t>
        </w:r>
        <w:r w:rsidR="00FE5988">
          <w:rPr>
            <w:noProof/>
            <w:webHidden/>
          </w:rPr>
          <w:tab/>
        </w:r>
        <w:r w:rsidR="00FE5988">
          <w:rPr>
            <w:noProof/>
            <w:webHidden/>
          </w:rPr>
          <w:fldChar w:fldCharType="begin"/>
        </w:r>
        <w:r w:rsidR="00FE5988">
          <w:rPr>
            <w:noProof/>
            <w:webHidden/>
          </w:rPr>
          <w:instrText xml:space="preserve"> PAGEREF _Toc477347620 \h </w:instrText>
        </w:r>
        <w:r w:rsidR="00FE5988">
          <w:rPr>
            <w:noProof/>
            <w:webHidden/>
          </w:rPr>
        </w:r>
        <w:r w:rsidR="00FE5988">
          <w:rPr>
            <w:noProof/>
            <w:webHidden/>
          </w:rPr>
          <w:fldChar w:fldCharType="separate"/>
        </w:r>
        <w:r w:rsidR="00951AFC">
          <w:rPr>
            <w:noProof/>
            <w:webHidden/>
          </w:rPr>
          <w:t>154</w:t>
        </w:r>
        <w:r w:rsidR="00FE5988">
          <w:rPr>
            <w:noProof/>
            <w:webHidden/>
          </w:rPr>
          <w:fldChar w:fldCharType="end"/>
        </w:r>
      </w:hyperlink>
    </w:p>
    <w:p w14:paraId="7387320F" w14:textId="5DA9F6D7" w:rsidR="00FE5988" w:rsidRDefault="00900E5C">
      <w:pPr>
        <w:pStyle w:val="TableofFigures"/>
        <w:tabs>
          <w:tab w:val="right" w:leader="dot" w:pos="9010"/>
        </w:tabs>
        <w:rPr>
          <w:rFonts w:asciiTheme="minorHAnsi" w:hAnsiTheme="minorHAnsi"/>
          <w:noProof/>
          <w:sz w:val="22"/>
          <w:szCs w:val="22"/>
          <w:lang w:val="en-AU" w:eastAsia="en-AU"/>
        </w:rPr>
      </w:pPr>
      <w:hyperlink w:anchor="_Toc477347621" w:history="1">
        <w:r w:rsidR="00FE5988" w:rsidRPr="001017E9">
          <w:rPr>
            <w:rStyle w:val="Hyperlink"/>
            <w:noProof/>
          </w:rPr>
          <w:t>Figure 3</w:t>
        </w:r>
        <w:r w:rsidR="00FE5988" w:rsidRPr="001017E9">
          <w:rPr>
            <w:rStyle w:val="Hyperlink"/>
            <w:noProof/>
          </w:rPr>
          <w:noBreakHyphen/>
          <w:t>13 Cumulative probability of the proximity of all assets to each CSG well pair (Approach #3) for assets in the Basic Water Right (stock and domestic) Class (Economic Assets, Surface water management zone subgroup) within a distance of 30 km and an angle north between 90°E and 270°W from CSG wells. Assets include Water Sharing Plan areas (management zones) for Basic Water Rights (stock and domestic) for the Lower Namoi River and the Bohena, Brigalow, Bundock, Eulah, Spring, Bobbiwaa, Maules, Pian, and Millie Creeks.</w:t>
        </w:r>
        <w:r w:rsidR="00FE5988">
          <w:rPr>
            <w:noProof/>
            <w:webHidden/>
          </w:rPr>
          <w:tab/>
        </w:r>
        <w:r w:rsidR="00FE5988">
          <w:rPr>
            <w:noProof/>
            <w:webHidden/>
          </w:rPr>
          <w:fldChar w:fldCharType="begin"/>
        </w:r>
        <w:r w:rsidR="00FE5988">
          <w:rPr>
            <w:noProof/>
            <w:webHidden/>
          </w:rPr>
          <w:instrText xml:space="preserve"> PAGEREF _Toc477347621 \h </w:instrText>
        </w:r>
        <w:r w:rsidR="00FE5988">
          <w:rPr>
            <w:noProof/>
            <w:webHidden/>
          </w:rPr>
        </w:r>
        <w:r w:rsidR="00FE5988">
          <w:rPr>
            <w:noProof/>
            <w:webHidden/>
          </w:rPr>
          <w:fldChar w:fldCharType="separate"/>
        </w:r>
        <w:r w:rsidR="00951AFC">
          <w:rPr>
            <w:noProof/>
            <w:webHidden/>
          </w:rPr>
          <w:t>155</w:t>
        </w:r>
        <w:r w:rsidR="00FE5988">
          <w:rPr>
            <w:noProof/>
            <w:webHidden/>
          </w:rPr>
          <w:fldChar w:fldCharType="end"/>
        </w:r>
      </w:hyperlink>
    </w:p>
    <w:p w14:paraId="24985E1D" w14:textId="5C6F6BAC" w:rsidR="00FE5988" w:rsidRDefault="00900E5C">
      <w:pPr>
        <w:pStyle w:val="TableofFigures"/>
        <w:tabs>
          <w:tab w:val="right" w:leader="dot" w:pos="9010"/>
        </w:tabs>
        <w:rPr>
          <w:rFonts w:asciiTheme="minorHAnsi" w:hAnsiTheme="minorHAnsi"/>
          <w:noProof/>
          <w:sz w:val="22"/>
          <w:szCs w:val="22"/>
          <w:lang w:val="en-AU" w:eastAsia="en-AU"/>
        </w:rPr>
      </w:pPr>
      <w:hyperlink w:anchor="_Toc477347622" w:history="1">
        <w:r w:rsidR="00FE5988" w:rsidRPr="001017E9">
          <w:rPr>
            <w:rStyle w:val="Hyperlink"/>
            <w:noProof/>
          </w:rPr>
          <w:t>Figure 3</w:t>
        </w:r>
        <w:r w:rsidR="00FE5988" w:rsidRPr="001017E9">
          <w:rPr>
            <w:rStyle w:val="Hyperlink"/>
            <w:noProof/>
          </w:rPr>
          <w:noBreakHyphen/>
          <w:t>14  Cumulative probability of the proximity of all assets to each CSG well pair (Approach #3) for assets in the Sociocultural Assets (cultural subgroup). Assets include heritage and indigenous sites asset classes.</w:t>
        </w:r>
        <w:r w:rsidR="00FE5988">
          <w:rPr>
            <w:noProof/>
            <w:webHidden/>
          </w:rPr>
          <w:tab/>
        </w:r>
        <w:r w:rsidR="00FE5988">
          <w:rPr>
            <w:noProof/>
            <w:webHidden/>
          </w:rPr>
          <w:fldChar w:fldCharType="begin"/>
        </w:r>
        <w:r w:rsidR="00FE5988">
          <w:rPr>
            <w:noProof/>
            <w:webHidden/>
          </w:rPr>
          <w:instrText xml:space="preserve"> PAGEREF _Toc477347622 \h </w:instrText>
        </w:r>
        <w:r w:rsidR="00FE5988">
          <w:rPr>
            <w:noProof/>
            <w:webHidden/>
          </w:rPr>
        </w:r>
        <w:r w:rsidR="00FE5988">
          <w:rPr>
            <w:noProof/>
            <w:webHidden/>
          </w:rPr>
          <w:fldChar w:fldCharType="separate"/>
        </w:r>
        <w:r w:rsidR="00951AFC">
          <w:rPr>
            <w:noProof/>
            <w:webHidden/>
          </w:rPr>
          <w:t>156</w:t>
        </w:r>
        <w:r w:rsidR="00FE5988">
          <w:rPr>
            <w:noProof/>
            <w:webHidden/>
          </w:rPr>
          <w:fldChar w:fldCharType="end"/>
        </w:r>
      </w:hyperlink>
    </w:p>
    <w:p w14:paraId="045F5156" w14:textId="39828FF5" w:rsidR="00FE5988" w:rsidRDefault="00900E5C">
      <w:pPr>
        <w:pStyle w:val="TableofFigures"/>
        <w:tabs>
          <w:tab w:val="right" w:leader="dot" w:pos="9010"/>
        </w:tabs>
        <w:rPr>
          <w:rFonts w:asciiTheme="minorHAnsi" w:hAnsiTheme="minorHAnsi"/>
          <w:noProof/>
          <w:sz w:val="22"/>
          <w:szCs w:val="22"/>
          <w:lang w:val="en-AU" w:eastAsia="en-AU"/>
        </w:rPr>
      </w:pPr>
      <w:hyperlink w:anchor="_Toc477347623" w:history="1">
        <w:r w:rsidR="00FE5988" w:rsidRPr="001017E9">
          <w:rPr>
            <w:rStyle w:val="Hyperlink"/>
            <w:noProof/>
          </w:rPr>
          <w:t>Figure 3</w:t>
        </w:r>
        <w:r w:rsidR="00FE5988" w:rsidRPr="001017E9">
          <w:rPr>
            <w:rStyle w:val="Hyperlink"/>
            <w:noProof/>
          </w:rPr>
          <w:noBreakHyphen/>
          <w:t>15  Cumulative probability of the proximity of assets to CSG wells for assets in the River or stream reach, tributary, anabranch or bend; floodplain; wetland, wetland complex or swamp; lake, reservoir, lagoon or estuary; marsh, sedgeland, bog, spring or soak Classes (Ecological Assets, Surface Water Feature Subgroup) within a distance of 30 km and an angle between 180°S and 90°E from CSG wells in the Surat Basin.</w:t>
        </w:r>
        <w:r w:rsidR="00FE5988">
          <w:rPr>
            <w:noProof/>
            <w:webHidden/>
          </w:rPr>
          <w:tab/>
        </w:r>
        <w:r w:rsidR="00FE5988">
          <w:rPr>
            <w:noProof/>
            <w:webHidden/>
          </w:rPr>
          <w:fldChar w:fldCharType="begin"/>
        </w:r>
        <w:r w:rsidR="00FE5988">
          <w:rPr>
            <w:noProof/>
            <w:webHidden/>
          </w:rPr>
          <w:instrText xml:space="preserve"> PAGEREF _Toc477347623 \h </w:instrText>
        </w:r>
        <w:r w:rsidR="00FE5988">
          <w:rPr>
            <w:noProof/>
            <w:webHidden/>
          </w:rPr>
        </w:r>
        <w:r w:rsidR="00FE5988">
          <w:rPr>
            <w:noProof/>
            <w:webHidden/>
          </w:rPr>
          <w:fldChar w:fldCharType="separate"/>
        </w:r>
        <w:r w:rsidR="00951AFC">
          <w:rPr>
            <w:noProof/>
            <w:webHidden/>
          </w:rPr>
          <w:t>157</w:t>
        </w:r>
        <w:r w:rsidR="00FE5988">
          <w:rPr>
            <w:noProof/>
            <w:webHidden/>
          </w:rPr>
          <w:fldChar w:fldCharType="end"/>
        </w:r>
      </w:hyperlink>
    </w:p>
    <w:p w14:paraId="57BFF8B4" w14:textId="60D9881D" w:rsidR="00FE5988" w:rsidRDefault="00900E5C">
      <w:pPr>
        <w:pStyle w:val="TableofFigures"/>
        <w:tabs>
          <w:tab w:val="right" w:leader="dot" w:pos="9010"/>
        </w:tabs>
        <w:rPr>
          <w:rFonts w:asciiTheme="minorHAnsi" w:hAnsiTheme="minorHAnsi"/>
          <w:noProof/>
          <w:sz w:val="22"/>
          <w:szCs w:val="22"/>
          <w:lang w:val="en-AU" w:eastAsia="en-AU"/>
        </w:rPr>
      </w:pPr>
      <w:hyperlink w:anchor="_Toc477347624" w:history="1">
        <w:r w:rsidR="00FE5988" w:rsidRPr="001017E9">
          <w:rPr>
            <w:rStyle w:val="Hyperlink"/>
            <w:noProof/>
          </w:rPr>
          <w:t>Figure 3</w:t>
        </w:r>
        <w:r w:rsidR="00FE5988" w:rsidRPr="001017E9">
          <w:rPr>
            <w:rStyle w:val="Hyperlink"/>
            <w:noProof/>
          </w:rPr>
          <w:noBreakHyphen/>
          <w:t>16 Cumulative probability of the proximity of assets to CSG wells for assets in the Groundwater Dependent Ecosystems Class (Ecological Assets, Vegetation Subgroup) within a distance of 30 km and an angle between 180°S and 90°E from CSG wells in the Surat Basin.</w:t>
        </w:r>
        <w:r w:rsidR="00FE5988">
          <w:rPr>
            <w:noProof/>
            <w:webHidden/>
          </w:rPr>
          <w:tab/>
        </w:r>
        <w:r w:rsidR="00FE5988">
          <w:rPr>
            <w:noProof/>
            <w:webHidden/>
          </w:rPr>
          <w:fldChar w:fldCharType="begin"/>
        </w:r>
        <w:r w:rsidR="00FE5988">
          <w:rPr>
            <w:noProof/>
            <w:webHidden/>
          </w:rPr>
          <w:instrText xml:space="preserve"> PAGEREF _Toc477347624 \h </w:instrText>
        </w:r>
        <w:r w:rsidR="00FE5988">
          <w:rPr>
            <w:noProof/>
            <w:webHidden/>
          </w:rPr>
        </w:r>
        <w:r w:rsidR="00FE5988">
          <w:rPr>
            <w:noProof/>
            <w:webHidden/>
          </w:rPr>
          <w:fldChar w:fldCharType="separate"/>
        </w:r>
        <w:r w:rsidR="00951AFC">
          <w:rPr>
            <w:noProof/>
            <w:webHidden/>
          </w:rPr>
          <w:t>158</w:t>
        </w:r>
        <w:r w:rsidR="00FE5988">
          <w:rPr>
            <w:noProof/>
            <w:webHidden/>
          </w:rPr>
          <w:fldChar w:fldCharType="end"/>
        </w:r>
      </w:hyperlink>
    </w:p>
    <w:p w14:paraId="7AB4EE86" w14:textId="14479FC6" w:rsidR="00FE5988" w:rsidRDefault="00900E5C">
      <w:pPr>
        <w:pStyle w:val="TableofFigures"/>
        <w:tabs>
          <w:tab w:val="right" w:leader="dot" w:pos="9010"/>
        </w:tabs>
        <w:rPr>
          <w:rFonts w:asciiTheme="minorHAnsi" w:hAnsiTheme="minorHAnsi"/>
          <w:noProof/>
          <w:sz w:val="22"/>
          <w:szCs w:val="22"/>
          <w:lang w:val="en-AU" w:eastAsia="en-AU"/>
        </w:rPr>
      </w:pPr>
      <w:hyperlink w:anchor="_Toc477347625" w:history="1">
        <w:r w:rsidR="00FE5988" w:rsidRPr="001017E9">
          <w:rPr>
            <w:rStyle w:val="Hyperlink"/>
            <w:noProof/>
          </w:rPr>
          <w:t>Figure 3</w:t>
        </w:r>
        <w:r w:rsidR="00FE5988" w:rsidRPr="001017E9">
          <w:rPr>
            <w:rStyle w:val="Hyperlink"/>
            <w:noProof/>
          </w:rPr>
          <w:noBreakHyphen/>
          <w:t>17  Cumulative probability of the proximity of assets to CSG wells for assets in the Aquifer, geological feature, alluvium or stratum Class (Ecological Assets, Groundwater feature (subsurface) Subgroup) within a distance of 30 km and an angle between 180°S and 90°E from CSG wells in the Surat Basin.</w:t>
        </w:r>
        <w:r w:rsidR="00FE5988">
          <w:rPr>
            <w:noProof/>
            <w:webHidden/>
          </w:rPr>
          <w:tab/>
        </w:r>
        <w:r w:rsidR="00FE5988">
          <w:rPr>
            <w:noProof/>
            <w:webHidden/>
          </w:rPr>
          <w:fldChar w:fldCharType="begin"/>
        </w:r>
        <w:r w:rsidR="00FE5988">
          <w:rPr>
            <w:noProof/>
            <w:webHidden/>
          </w:rPr>
          <w:instrText xml:space="preserve"> PAGEREF _Toc477347625 \h </w:instrText>
        </w:r>
        <w:r w:rsidR="00FE5988">
          <w:rPr>
            <w:noProof/>
            <w:webHidden/>
          </w:rPr>
        </w:r>
        <w:r w:rsidR="00FE5988">
          <w:rPr>
            <w:noProof/>
            <w:webHidden/>
          </w:rPr>
          <w:fldChar w:fldCharType="separate"/>
        </w:r>
        <w:r w:rsidR="00951AFC">
          <w:rPr>
            <w:noProof/>
            <w:webHidden/>
          </w:rPr>
          <w:t>159</w:t>
        </w:r>
        <w:r w:rsidR="00FE5988">
          <w:rPr>
            <w:noProof/>
            <w:webHidden/>
          </w:rPr>
          <w:fldChar w:fldCharType="end"/>
        </w:r>
      </w:hyperlink>
    </w:p>
    <w:p w14:paraId="0A2F826B" w14:textId="1AC91D3D" w:rsidR="00FE5988" w:rsidRDefault="00900E5C">
      <w:pPr>
        <w:pStyle w:val="TableofFigures"/>
        <w:tabs>
          <w:tab w:val="right" w:leader="dot" w:pos="9010"/>
        </w:tabs>
        <w:rPr>
          <w:rFonts w:asciiTheme="minorHAnsi" w:hAnsiTheme="minorHAnsi"/>
          <w:noProof/>
          <w:sz w:val="22"/>
          <w:szCs w:val="22"/>
          <w:lang w:val="en-AU" w:eastAsia="en-AU"/>
        </w:rPr>
      </w:pPr>
      <w:hyperlink w:anchor="_Toc477347626" w:history="1">
        <w:r w:rsidR="00FE5988" w:rsidRPr="001017E9">
          <w:rPr>
            <w:rStyle w:val="Hyperlink"/>
            <w:noProof/>
          </w:rPr>
          <w:t>Figure 3</w:t>
        </w:r>
        <w:r w:rsidR="00FE5988" w:rsidRPr="001017E9">
          <w:rPr>
            <w:rStyle w:val="Hyperlink"/>
            <w:noProof/>
          </w:rPr>
          <w:noBreakHyphen/>
          <w:t>18  Cumulative probability of the proximity of assets to CSG wells for assets in the Habitat Potential Species Distribution Class (Ecological Assets, Vegetation Subgroup) within a distance of 30 km and an angle between 180°S and 90°E from CSG wells in the Surat Basin.</w:t>
        </w:r>
        <w:r w:rsidR="00FE5988">
          <w:rPr>
            <w:noProof/>
            <w:webHidden/>
          </w:rPr>
          <w:tab/>
        </w:r>
        <w:r w:rsidR="00FE5988">
          <w:rPr>
            <w:noProof/>
            <w:webHidden/>
          </w:rPr>
          <w:fldChar w:fldCharType="begin"/>
        </w:r>
        <w:r w:rsidR="00FE5988">
          <w:rPr>
            <w:noProof/>
            <w:webHidden/>
          </w:rPr>
          <w:instrText xml:space="preserve"> PAGEREF _Toc477347626 \h </w:instrText>
        </w:r>
        <w:r w:rsidR="00FE5988">
          <w:rPr>
            <w:noProof/>
            <w:webHidden/>
          </w:rPr>
        </w:r>
        <w:r w:rsidR="00FE5988">
          <w:rPr>
            <w:noProof/>
            <w:webHidden/>
          </w:rPr>
          <w:fldChar w:fldCharType="separate"/>
        </w:r>
        <w:r w:rsidR="00951AFC">
          <w:rPr>
            <w:noProof/>
            <w:webHidden/>
          </w:rPr>
          <w:t>160</w:t>
        </w:r>
        <w:r w:rsidR="00FE5988">
          <w:rPr>
            <w:noProof/>
            <w:webHidden/>
          </w:rPr>
          <w:fldChar w:fldCharType="end"/>
        </w:r>
      </w:hyperlink>
    </w:p>
    <w:p w14:paraId="5BAB0089" w14:textId="30736A61" w:rsidR="00FE5988" w:rsidRDefault="00900E5C">
      <w:pPr>
        <w:pStyle w:val="TableofFigures"/>
        <w:tabs>
          <w:tab w:val="right" w:leader="dot" w:pos="9010"/>
        </w:tabs>
        <w:rPr>
          <w:rFonts w:asciiTheme="minorHAnsi" w:hAnsiTheme="minorHAnsi"/>
          <w:noProof/>
          <w:sz w:val="22"/>
          <w:szCs w:val="22"/>
          <w:lang w:val="en-AU" w:eastAsia="en-AU"/>
        </w:rPr>
      </w:pPr>
      <w:hyperlink w:anchor="_Toc477347627" w:history="1">
        <w:r w:rsidR="00FE5988" w:rsidRPr="001017E9">
          <w:rPr>
            <w:rStyle w:val="Hyperlink"/>
            <w:noProof/>
          </w:rPr>
          <w:t>Figure 3</w:t>
        </w:r>
        <w:r w:rsidR="00FE5988" w:rsidRPr="001017E9">
          <w:rPr>
            <w:rStyle w:val="Hyperlink"/>
            <w:noProof/>
          </w:rPr>
          <w:noBreakHyphen/>
          <w:t>19 Cumulative probability of the proximity of assets to CSG wells for assets in the Water Access Right  Class (Economic Assets, Groundwater Management Zone Subgroup) within a distance of 30 km and an angle between 180°S and 90°E from CSG wells in the Surat Basin.</w:t>
        </w:r>
        <w:r w:rsidR="00FE5988">
          <w:rPr>
            <w:noProof/>
            <w:webHidden/>
          </w:rPr>
          <w:tab/>
        </w:r>
        <w:r w:rsidR="00FE5988">
          <w:rPr>
            <w:noProof/>
            <w:webHidden/>
          </w:rPr>
          <w:fldChar w:fldCharType="begin"/>
        </w:r>
        <w:r w:rsidR="00FE5988">
          <w:rPr>
            <w:noProof/>
            <w:webHidden/>
          </w:rPr>
          <w:instrText xml:space="preserve"> PAGEREF _Toc477347627 \h </w:instrText>
        </w:r>
        <w:r w:rsidR="00FE5988">
          <w:rPr>
            <w:noProof/>
            <w:webHidden/>
          </w:rPr>
        </w:r>
        <w:r w:rsidR="00FE5988">
          <w:rPr>
            <w:noProof/>
            <w:webHidden/>
          </w:rPr>
          <w:fldChar w:fldCharType="separate"/>
        </w:r>
        <w:r w:rsidR="00951AFC">
          <w:rPr>
            <w:noProof/>
            <w:webHidden/>
          </w:rPr>
          <w:t>161</w:t>
        </w:r>
        <w:r w:rsidR="00FE5988">
          <w:rPr>
            <w:noProof/>
            <w:webHidden/>
          </w:rPr>
          <w:fldChar w:fldCharType="end"/>
        </w:r>
      </w:hyperlink>
    </w:p>
    <w:p w14:paraId="4A40746A" w14:textId="56C4CE13" w:rsidR="00FE5988" w:rsidRDefault="00900E5C">
      <w:pPr>
        <w:pStyle w:val="TableofFigures"/>
        <w:tabs>
          <w:tab w:val="right" w:leader="dot" w:pos="9010"/>
        </w:tabs>
        <w:rPr>
          <w:rFonts w:asciiTheme="minorHAnsi" w:hAnsiTheme="minorHAnsi"/>
          <w:noProof/>
          <w:sz w:val="22"/>
          <w:szCs w:val="22"/>
          <w:lang w:val="en-AU" w:eastAsia="en-AU"/>
        </w:rPr>
      </w:pPr>
      <w:hyperlink w:anchor="_Toc477347628" w:history="1">
        <w:r w:rsidR="00FE5988" w:rsidRPr="001017E9">
          <w:rPr>
            <w:rStyle w:val="Hyperlink"/>
            <w:noProof/>
          </w:rPr>
          <w:t>Figure 3</w:t>
        </w:r>
        <w:r w:rsidR="00FE5988" w:rsidRPr="001017E9">
          <w:rPr>
            <w:rStyle w:val="Hyperlink"/>
            <w:noProof/>
          </w:rPr>
          <w:noBreakHyphen/>
          <w:t>20  Cumulative probability of the proximity of assets to CSG wells for assets in the Basic Water Right Class (Stock and Domestic) (Economic Assets, Groundwater Management Zone Subgroup) within a distance of 30 km and an angle between 180°S and 90°E from CSG wells in the Surat Basin.</w:t>
        </w:r>
        <w:r w:rsidR="00FE5988">
          <w:rPr>
            <w:noProof/>
            <w:webHidden/>
          </w:rPr>
          <w:tab/>
        </w:r>
        <w:r w:rsidR="00FE5988">
          <w:rPr>
            <w:noProof/>
            <w:webHidden/>
          </w:rPr>
          <w:fldChar w:fldCharType="begin"/>
        </w:r>
        <w:r w:rsidR="00FE5988">
          <w:rPr>
            <w:noProof/>
            <w:webHidden/>
          </w:rPr>
          <w:instrText xml:space="preserve"> PAGEREF _Toc477347628 \h </w:instrText>
        </w:r>
        <w:r w:rsidR="00FE5988">
          <w:rPr>
            <w:noProof/>
            <w:webHidden/>
          </w:rPr>
        </w:r>
        <w:r w:rsidR="00FE5988">
          <w:rPr>
            <w:noProof/>
            <w:webHidden/>
          </w:rPr>
          <w:fldChar w:fldCharType="separate"/>
        </w:r>
        <w:r w:rsidR="00951AFC">
          <w:rPr>
            <w:noProof/>
            <w:webHidden/>
          </w:rPr>
          <w:t>162</w:t>
        </w:r>
        <w:r w:rsidR="00FE5988">
          <w:rPr>
            <w:noProof/>
            <w:webHidden/>
          </w:rPr>
          <w:fldChar w:fldCharType="end"/>
        </w:r>
      </w:hyperlink>
    </w:p>
    <w:p w14:paraId="25BEEEE3" w14:textId="572289A4" w:rsidR="00FE5988" w:rsidRDefault="00900E5C">
      <w:pPr>
        <w:pStyle w:val="TableofFigures"/>
        <w:tabs>
          <w:tab w:val="right" w:leader="dot" w:pos="9010"/>
        </w:tabs>
        <w:rPr>
          <w:rFonts w:asciiTheme="minorHAnsi" w:hAnsiTheme="minorHAnsi"/>
          <w:noProof/>
          <w:sz w:val="22"/>
          <w:szCs w:val="22"/>
          <w:lang w:val="en-AU" w:eastAsia="en-AU"/>
        </w:rPr>
      </w:pPr>
      <w:hyperlink w:anchor="_Toc477347629" w:history="1">
        <w:r w:rsidR="00FE5988" w:rsidRPr="001017E9">
          <w:rPr>
            <w:rStyle w:val="Hyperlink"/>
            <w:noProof/>
          </w:rPr>
          <w:t>Figure 3</w:t>
        </w:r>
        <w:r w:rsidR="00FE5988" w:rsidRPr="001017E9">
          <w:rPr>
            <w:rStyle w:val="Hyperlink"/>
            <w:noProof/>
          </w:rPr>
          <w:noBreakHyphen/>
          <w:t>21 Cumulative probability of the proximity of assets to CSG wells for assets in the Water Access Right Class (Economic Assets, Surface Water Management Zone Subgroup) within a distance of 30 km and an angle between 180°S and 90°E from CSG wells in the Surat Basin.</w:t>
        </w:r>
        <w:r w:rsidR="00FE5988">
          <w:rPr>
            <w:noProof/>
            <w:webHidden/>
          </w:rPr>
          <w:tab/>
        </w:r>
        <w:r w:rsidR="00FE5988">
          <w:rPr>
            <w:noProof/>
            <w:webHidden/>
          </w:rPr>
          <w:fldChar w:fldCharType="begin"/>
        </w:r>
        <w:r w:rsidR="00FE5988">
          <w:rPr>
            <w:noProof/>
            <w:webHidden/>
          </w:rPr>
          <w:instrText xml:space="preserve"> PAGEREF _Toc477347629 \h </w:instrText>
        </w:r>
        <w:r w:rsidR="00FE5988">
          <w:rPr>
            <w:noProof/>
            <w:webHidden/>
          </w:rPr>
        </w:r>
        <w:r w:rsidR="00FE5988">
          <w:rPr>
            <w:noProof/>
            <w:webHidden/>
          </w:rPr>
          <w:fldChar w:fldCharType="separate"/>
        </w:r>
        <w:r w:rsidR="00951AFC">
          <w:rPr>
            <w:noProof/>
            <w:webHidden/>
          </w:rPr>
          <w:t>163</w:t>
        </w:r>
        <w:r w:rsidR="00FE5988">
          <w:rPr>
            <w:noProof/>
            <w:webHidden/>
          </w:rPr>
          <w:fldChar w:fldCharType="end"/>
        </w:r>
      </w:hyperlink>
    </w:p>
    <w:p w14:paraId="28DF2EEB" w14:textId="63073124" w:rsidR="00FE5988" w:rsidRDefault="00900E5C">
      <w:pPr>
        <w:pStyle w:val="TableofFigures"/>
        <w:tabs>
          <w:tab w:val="right" w:leader="dot" w:pos="9010"/>
        </w:tabs>
        <w:rPr>
          <w:rFonts w:asciiTheme="minorHAnsi" w:hAnsiTheme="minorHAnsi"/>
          <w:noProof/>
          <w:sz w:val="22"/>
          <w:szCs w:val="22"/>
          <w:lang w:val="en-AU" w:eastAsia="en-AU"/>
        </w:rPr>
      </w:pPr>
      <w:hyperlink w:anchor="_Toc477347630" w:history="1">
        <w:r w:rsidR="00FE5988" w:rsidRPr="001017E9">
          <w:rPr>
            <w:rStyle w:val="Hyperlink"/>
            <w:noProof/>
          </w:rPr>
          <w:t>Figure 3</w:t>
        </w:r>
        <w:r w:rsidR="00FE5988" w:rsidRPr="001017E9">
          <w:rPr>
            <w:rStyle w:val="Hyperlink"/>
            <w:noProof/>
          </w:rPr>
          <w:noBreakHyphen/>
          <w:t>22  Cumulative probability of the proximity of assets to CSG wells for assets in the Sociocultural asset group within the particle tracking buffer zone and an angle between 180°S and 90°E from CSG wells in the Surat Basin.</w:t>
        </w:r>
        <w:r w:rsidR="00FE5988">
          <w:rPr>
            <w:noProof/>
            <w:webHidden/>
          </w:rPr>
          <w:tab/>
        </w:r>
        <w:r w:rsidR="00FE5988">
          <w:rPr>
            <w:noProof/>
            <w:webHidden/>
          </w:rPr>
          <w:fldChar w:fldCharType="begin"/>
        </w:r>
        <w:r w:rsidR="00FE5988">
          <w:rPr>
            <w:noProof/>
            <w:webHidden/>
          </w:rPr>
          <w:instrText xml:space="preserve"> PAGEREF _Toc477347630 \h </w:instrText>
        </w:r>
        <w:r w:rsidR="00FE5988">
          <w:rPr>
            <w:noProof/>
            <w:webHidden/>
          </w:rPr>
        </w:r>
        <w:r w:rsidR="00FE5988">
          <w:rPr>
            <w:noProof/>
            <w:webHidden/>
          </w:rPr>
          <w:fldChar w:fldCharType="separate"/>
        </w:r>
        <w:r w:rsidR="00951AFC">
          <w:rPr>
            <w:noProof/>
            <w:webHidden/>
          </w:rPr>
          <w:t>164</w:t>
        </w:r>
        <w:r w:rsidR="00FE5988">
          <w:rPr>
            <w:noProof/>
            <w:webHidden/>
          </w:rPr>
          <w:fldChar w:fldCharType="end"/>
        </w:r>
      </w:hyperlink>
    </w:p>
    <w:p w14:paraId="1517A68B" w14:textId="25F526BE" w:rsidR="00FE5988" w:rsidRDefault="00900E5C">
      <w:pPr>
        <w:pStyle w:val="TableofFigures"/>
        <w:tabs>
          <w:tab w:val="right" w:leader="dot" w:pos="9010"/>
        </w:tabs>
        <w:rPr>
          <w:rFonts w:asciiTheme="minorHAnsi" w:hAnsiTheme="minorHAnsi"/>
          <w:noProof/>
          <w:sz w:val="22"/>
          <w:szCs w:val="22"/>
          <w:lang w:val="en-AU" w:eastAsia="en-AU"/>
        </w:rPr>
      </w:pPr>
      <w:hyperlink w:anchor="_Toc477347631" w:history="1">
        <w:r w:rsidR="00FE5988" w:rsidRPr="001017E9">
          <w:rPr>
            <w:rStyle w:val="Hyperlink"/>
            <w:noProof/>
          </w:rPr>
          <w:t>Figure 4</w:t>
        </w:r>
        <w:r w:rsidR="00FE5988" w:rsidRPr="001017E9">
          <w:rPr>
            <w:rStyle w:val="Hyperlink"/>
            <w:noProof/>
          </w:rPr>
          <w:noBreakHyphen/>
          <w:t>1 General sorption isotherm representation, showing differences between linear (indicated as "K</w:t>
        </w:r>
        <w:r w:rsidR="00FE5988" w:rsidRPr="001017E9">
          <w:rPr>
            <w:rStyle w:val="Hyperlink"/>
            <w:noProof/>
            <w:vertAlign w:val="subscript"/>
          </w:rPr>
          <w:t>d</w:t>
        </w:r>
        <w:r w:rsidR="00FE5988" w:rsidRPr="001017E9">
          <w:rPr>
            <w:rStyle w:val="Hyperlink"/>
            <w:noProof/>
          </w:rPr>
          <w:t>" region) and non-linear sorption (indicated as "Freundlich" region), a transition period left of the precipitation threshold, and solute precipitation (indicated as "precipitation" region).  Vertical axis (C</w:t>
        </w:r>
        <w:r w:rsidR="00FE5988" w:rsidRPr="001017E9">
          <w:rPr>
            <w:rStyle w:val="Hyperlink"/>
            <w:noProof/>
            <w:vertAlign w:val="subscript"/>
          </w:rPr>
          <w:t>s</w:t>
        </w:r>
        <w:r w:rsidR="00FE5988" w:rsidRPr="001017E9">
          <w:rPr>
            <w:rStyle w:val="Hyperlink"/>
            <w:noProof/>
          </w:rPr>
          <w:t>) and horizontal axis (C</w:t>
        </w:r>
        <w:r w:rsidR="00FE5988" w:rsidRPr="001017E9">
          <w:rPr>
            <w:rStyle w:val="Hyperlink"/>
            <w:noProof/>
            <w:vertAlign w:val="subscript"/>
          </w:rPr>
          <w:t>l</w:t>
        </w:r>
        <w:r w:rsidR="00FE5988" w:rsidRPr="001017E9">
          <w:rPr>
            <w:rStyle w:val="Hyperlink"/>
            <w:noProof/>
          </w:rPr>
          <w:t>) are, respectively, the sorbed concentration (on solid phases) and the dissolved concentration (in the liquid phase). Source: Wang et al. (2009).</w:t>
        </w:r>
        <w:r w:rsidR="00FE5988">
          <w:rPr>
            <w:noProof/>
            <w:webHidden/>
          </w:rPr>
          <w:tab/>
        </w:r>
        <w:r w:rsidR="00FE5988">
          <w:rPr>
            <w:noProof/>
            <w:webHidden/>
          </w:rPr>
          <w:fldChar w:fldCharType="begin"/>
        </w:r>
        <w:r w:rsidR="00FE5988">
          <w:rPr>
            <w:noProof/>
            <w:webHidden/>
          </w:rPr>
          <w:instrText xml:space="preserve"> PAGEREF _Toc477347631 \h </w:instrText>
        </w:r>
        <w:r w:rsidR="00FE5988">
          <w:rPr>
            <w:noProof/>
            <w:webHidden/>
          </w:rPr>
        </w:r>
        <w:r w:rsidR="00FE5988">
          <w:rPr>
            <w:noProof/>
            <w:webHidden/>
          </w:rPr>
          <w:fldChar w:fldCharType="separate"/>
        </w:r>
        <w:r w:rsidR="00951AFC">
          <w:rPr>
            <w:noProof/>
            <w:webHidden/>
          </w:rPr>
          <w:t>166</w:t>
        </w:r>
        <w:r w:rsidR="00FE5988">
          <w:rPr>
            <w:noProof/>
            <w:webHidden/>
          </w:rPr>
          <w:fldChar w:fldCharType="end"/>
        </w:r>
      </w:hyperlink>
    </w:p>
    <w:p w14:paraId="475CECAD" w14:textId="48DC19BE" w:rsidR="00FE5988" w:rsidRDefault="00900E5C">
      <w:pPr>
        <w:pStyle w:val="TableofFigures"/>
        <w:tabs>
          <w:tab w:val="right" w:leader="dot" w:pos="9010"/>
        </w:tabs>
        <w:rPr>
          <w:rFonts w:asciiTheme="minorHAnsi" w:hAnsiTheme="minorHAnsi"/>
          <w:noProof/>
          <w:sz w:val="22"/>
          <w:szCs w:val="22"/>
          <w:lang w:val="en-AU" w:eastAsia="en-AU"/>
        </w:rPr>
      </w:pPr>
      <w:hyperlink w:anchor="_Toc477347632" w:history="1">
        <w:r w:rsidR="00FE5988" w:rsidRPr="001017E9">
          <w:rPr>
            <w:rStyle w:val="Hyperlink"/>
            <w:noProof/>
          </w:rPr>
          <w:t>Figure 4</w:t>
        </w:r>
        <w:r w:rsidR="00FE5988" w:rsidRPr="001017E9">
          <w:rPr>
            <w:rStyle w:val="Hyperlink"/>
            <w:noProof/>
          </w:rPr>
          <w:noBreakHyphen/>
          <w:t>2 Left: Boreholes with available temperature profiles in the CDM Smith groundwater model area. Right: five boreholes with temperature profile selected for the current study (orange rectangles).</w:t>
        </w:r>
        <w:r w:rsidR="00FE5988">
          <w:rPr>
            <w:noProof/>
            <w:webHidden/>
          </w:rPr>
          <w:tab/>
        </w:r>
        <w:r w:rsidR="00FE5988">
          <w:rPr>
            <w:noProof/>
            <w:webHidden/>
          </w:rPr>
          <w:fldChar w:fldCharType="begin"/>
        </w:r>
        <w:r w:rsidR="00FE5988">
          <w:rPr>
            <w:noProof/>
            <w:webHidden/>
          </w:rPr>
          <w:instrText xml:space="preserve"> PAGEREF _Toc477347632 \h </w:instrText>
        </w:r>
        <w:r w:rsidR="00FE5988">
          <w:rPr>
            <w:noProof/>
            <w:webHidden/>
          </w:rPr>
        </w:r>
        <w:r w:rsidR="00FE5988">
          <w:rPr>
            <w:noProof/>
            <w:webHidden/>
          </w:rPr>
          <w:fldChar w:fldCharType="separate"/>
        </w:r>
        <w:r w:rsidR="00951AFC">
          <w:rPr>
            <w:noProof/>
            <w:webHidden/>
          </w:rPr>
          <w:t>170</w:t>
        </w:r>
        <w:r w:rsidR="00FE5988">
          <w:rPr>
            <w:noProof/>
            <w:webHidden/>
          </w:rPr>
          <w:fldChar w:fldCharType="end"/>
        </w:r>
      </w:hyperlink>
    </w:p>
    <w:p w14:paraId="52F07BF1" w14:textId="3ED47C3E" w:rsidR="00FE5988" w:rsidRDefault="00900E5C">
      <w:pPr>
        <w:pStyle w:val="TableofFigures"/>
        <w:tabs>
          <w:tab w:val="right" w:leader="dot" w:pos="9010"/>
        </w:tabs>
        <w:rPr>
          <w:rFonts w:asciiTheme="minorHAnsi" w:hAnsiTheme="minorHAnsi"/>
          <w:noProof/>
          <w:sz w:val="22"/>
          <w:szCs w:val="22"/>
          <w:lang w:val="en-AU" w:eastAsia="en-AU"/>
        </w:rPr>
      </w:pPr>
      <w:hyperlink w:anchor="_Toc477347633" w:history="1">
        <w:r w:rsidR="00FE5988" w:rsidRPr="001017E9">
          <w:rPr>
            <w:rStyle w:val="Hyperlink"/>
            <w:noProof/>
          </w:rPr>
          <w:t>Figure 4</w:t>
        </w:r>
        <w:r w:rsidR="00FE5988" w:rsidRPr="001017E9">
          <w:rPr>
            <w:rStyle w:val="Hyperlink"/>
            <w:noProof/>
          </w:rPr>
          <w:noBreakHyphen/>
          <w:t>3 Measured temperature profiles for five boreholes within the study area.</w:t>
        </w:r>
        <w:r w:rsidR="00FE5988">
          <w:rPr>
            <w:noProof/>
            <w:webHidden/>
          </w:rPr>
          <w:tab/>
        </w:r>
        <w:r w:rsidR="00FE5988">
          <w:rPr>
            <w:noProof/>
            <w:webHidden/>
          </w:rPr>
          <w:fldChar w:fldCharType="begin"/>
        </w:r>
        <w:r w:rsidR="00FE5988">
          <w:rPr>
            <w:noProof/>
            <w:webHidden/>
          </w:rPr>
          <w:instrText xml:space="preserve"> PAGEREF _Toc477347633 \h </w:instrText>
        </w:r>
        <w:r w:rsidR="00FE5988">
          <w:rPr>
            <w:noProof/>
            <w:webHidden/>
          </w:rPr>
        </w:r>
        <w:r w:rsidR="00FE5988">
          <w:rPr>
            <w:noProof/>
            <w:webHidden/>
          </w:rPr>
          <w:fldChar w:fldCharType="separate"/>
        </w:r>
        <w:r w:rsidR="00951AFC">
          <w:rPr>
            <w:noProof/>
            <w:webHidden/>
          </w:rPr>
          <w:t>171</w:t>
        </w:r>
        <w:r w:rsidR="00FE5988">
          <w:rPr>
            <w:noProof/>
            <w:webHidden/>
          </w:rPr>
          <w:fldChar w:fldCharType="end"/>
        </w:r>
      </w:hyperlink>
    </w:p>
    <w:p w14:paraId="6ECFB73F" w14:textId="78AF37C7" w:rsidR="00FE5988" w:rsidRDefault="00900E5C">
      <w:pPr>
        <w:pStyle w:val="TableofFigures"/>
        <w:tabs>
          <w:tab w:val="right" w:leader="dot" w:pos="9010"/>
        </w:tabs>
        <w:rPr>
          <w:rFonts w:asciiTheme="minorHAnsi" w:hAnsiTheme="minorHAnsi"/>
          <w:noProof/>
          <w:sz w:val="22"/>
          <w:szCs w:val="22"/>
          <w:lang w:val="en-AU" w:eastAsia="en-AU"/>
        </w:rPr>
      </w:pPr>
      <w:hyperlink w:anchor="_Toc477347634" w:history="1">
        <w:r w:rsidR="00FE5988" w:rsidRPr="001017E9">
          <w:rPr>
            <w:rStyle w:val="Hyperlink"/>
            <w:noProof/>
          </w:rPr>
          <w:t>Figure 4</w:t>
        </w:r>
        <w:r w:rsidR="00FE5988" w:rsidRPr="001017E9">
          <w:rPr>
            <w:rStyle w:val="Hyperlink"/>
            <w:noProof/>
          </w:rPr>
          <w:noBreakHyphen/>
          <w:t>4 Measured temperature profiles for three boreholes within the Surat case study area (data source: Queensland DNRM).</w:t>
        </w:r>
        <w:r w:rsidR="00FE5988">
          <w:rPr>
            <w:noProof/>
            <w:webHidden/>
          </w:rPr>
          <w:tab/>
        </w:r>
        <w:r w:rsidR="00FE5988">
          <w:rPr>
            <w:noProof/>
            <w:webHidden/>
          </w:rPr>
          <w:fldChar w:fldCharType="begin"/>
        </w:r>
        <w:r w:rsidR="00FE5988">
          <w:rPr>
            <w:noProof/>
            <w:webHidden/>
          </w:rPr>
          <w:instrText xml:space="preserve"> PAGEREF _Toc477347634 \h </w:instrText>
        </w:r>
        <w:r w:rsidR="00FE5988">
          <w:rPr>
            <w:noProof/>
            <w:webHidden/>
          </w:rPr>
        </w:r>
        <w:r w:rsidR="00FE5988">
          <w:rPr>
            <w:noProof/>
            <w:webHidden/>
          </w:rPr>
          <w:fldChar w:fldCharType="separate"/>
        </w:r>
        <w:r w:rsidR="00951AFC">
          <w:rPr>
            <w:noProof/>
            <w:webHidden/>
          </w:rPr>
          <w:t>177</w:t>
        </w:r>
        <w:r w:rsidR="00FE5988">
          <w:rPr>
            <w:noProof/>
            <w:webHidden/>
          </w:rPr>
          <w:fldChar w:fldCharType="end"/>
        </w:r>
      </w:hyperlink>
    </w:p>
    <w:p w14:paraId="31B5DEE7" w14:textId="74FBC4A7" w:rsidR="00FE5988" w:rsidRDefault="00900E5C">
      <w:pPr>
        <w:pStyle w:val="TableofFigures"/>
        <w:tabs>
          <w:tab w:val="right" w:leader="dot" w:pos="9010"/>
        </w:tabs>
        <w:rPr>
          <w:rFonts w:asciiTheme="minorHAnsi" w:hAnsiTheme="minorHAnsi"/>
          <w:noProof/>
          <w:sz w:val="22"/>
          <w:szCs w:val="22"/>
          <w:lang w:val="en-AU" w:eastAsia="en-AU"/>
        </w:rPr>
      </w:pPr>
      <w:hyperlink w:anchor="_Toc477347635" w:history="1">
        <w:r w:rsidR="00FE5988" w:rsidRPr="001017E9">
          <w:rPr>
            <w:rStyle w:val="Hyperlink"/>
            <w:noProof/>
          </w:rPr>
          <w:t>Figure 4</w:t>
        </w:r>
        <w:r w:rsidR="00FE5988" w:rsidRPr="001017E9">
          <w:rPr>
            <w:rStyle w:val="Hyperlink"/>
            <w:noProof/>
          </w:rPr>
          <w:noBreakHyphen/>
          <w:t>5 Hypothetical example of chemical concentration as function of travel time in deeper groundwater</w:t>
        </w:r>
        <w:r w:rsidR="00FE5988">
          <w:rPr>
            <w:noProof/>
            <w:webHidden/>
          </w:rPr>
          <w:tab/>
        </w:r>
        <w:r w:rsidR="00FE5988">
          <w:rPr>
            <w:noProof/>
            <w:webHidden/>
          </w:rPr>
          <w:fldChar w:fldCharType="begin"/>
        </w:r>
        <w:r w:rsidR="00FE5988">
          <w:rPr>
            <w:noProof/>
            <w:webHidden/>
          </w:rPr>
          <w:instrText xml:space="preserve"> PAGEREF _Toc477347635 \h </w:instrText>
        </w:r>
        <w:r w:rsidR="00FE5988">
          <w:rPr>
            <w:noProof/>
            <w:webHidden/>
          </w:rPr>
        </w:r>
        <w:r w:rsidR="00FE5988">
          <w:rPr>
            <w:noProof/>
            <w:webHidden/>
          </w:rPr>
          <w:fldChar w:fldCharType="separate"/>
        </w:r>
        <w:r w:rsidR="00951AFC">
          <w:rPr>
            <w:noProof/>
            <w:webHidden/>
          </w:rPr>
          <w:t>184</w:t>
        </w:r>
        <w:r w:rsidR="00FE5988">
          <w:rPr>
            <w:noProof/>
            <w:webHidden/>
          </w:rPr>
          <w:fldChar w:fldCharType="end"/>
        </w:r>
      </w:hyperlink>
    </w:p>
    <w:p w14:paraId="293516DE" w14:textId="79B42224" w:rsidR="00FE5988" w:rsidRDefault="00900E5C">
      <w:pPr>
        <w:pStyle w:val="TableofFigures"/>
        <w:tabs>
          <w:tab w:val="right" w:leader="dot" w:pos="9010"/>
        </w:tabs>
        <w:rPr>
          <w:rFonts w:asciiTheme="minorHAnsi" w:hAnsiTheme="minorHAnsi"/>
          <w:noProof/>
          <w:sz w:val="22"/>
          <w:szCs w:val="22"/>
          <w:lang w:val="en-AU" w:eastAsia="en-AU"/>
        </w:rPr>
      </w:pPr>
      <w:hyperlink w:anchor="_Toc477347636" w:history="1">
        <w:r w:rsidR="00FE5988" w:rsidRPr="001017E9">
          <w:rPr>
            <w:rStyle w:val="Hyperlink"/>
            <w:noProof/>
          </w:rPr>
          <w:t>Figure 4</w:t>
        </w:r>
        <w:r w:rsidR="00FE5988" w:rsidRPr="001017E9">
          <w:rPr>
            <w:rStyle w:val="Hyperlink"/>
            <w:noProof/>
          </w:rPr>
          <w:noBreakHyphen/>
          <w:t>6 Summary of reported metabolic degradation pathway for o-cresol (based on Ahamad et al. 2001).</w:t>
        </w:r>
        <w:r w:rsidR="00FE5988">
          <w:rPr>
            <w:noProof/>
            <w:webHidden/>
          </w:rPr>
          <w:tab/>
        </w:r>
        <w:r w:rsidR="00FE5988">
          <w:rPr>
            <w:noProof/>
            <w:webHidden/>
          </w:rPr>
          <w:fldChar w:fldCharType="begin"/>
        </w:r>
        <w:r w:rsidR="00FE5988">
          <w:rPr>
            <w:noProof/>
            <w:webHidden/>
          </w:rPr>
          <w:instrText xml:space="preserve"> PAGEREF _Toc477347636 \h </w:instrText>
        </w:r>
        <w:r w:rsidR="00FE5988">
          <w:rPr>
            <w:noProof/>
            <w:webHidden/>
          </w:rPr>
        </w:r>
        <w:r w:rsidR="00FE5988">
          <w:rPr>
            <w:noProof/>
            <w:webHidden/>
          </w:rPr>
          <w:fldChar w:fldCharType="separate"/>
        </w:r>
        <w:r w:rsidR="00951AFC">
          <w:rPr>
            <w:noProof/>
            <w:webHidden/>
          </w:rPr>
          <w:t>186</w:t>
        </w:r>
        <w:r w:rsidR="00FE5988">
          <w:rPr>
            <w:noProof/>
            <w:webHidden/>
          </w:rPr>
          <w:fldChar w:fldCharType="end"/>
        </w:r>
      </w:hyperlink>
    </w:p>
    <w:p w14:paraId="74BAF90B" w14:textId="0E8EB970" w:rsidR="00FE5988" w:rsidRDefault="00900E5C">
      <w:pPr>
        <w:pStyle w:val="TableofFigures"/>
        <w:tabs>
          <w:tab w:val="right" w:leader="dot" w:pos="9010"/>
        </w:tabs>
        <w:rPr>
          <w:rFonts w:asciiTheme="minorHAnsi" w:hAnsiTheme="minorHAnsi"/>
          <w:noProof/>
          <w:sz w:val="22"/>
          <w:szCs w:val="22"/>
          <w:lang w:val="en-AU" w:eastAsia="en-AU"/>
        </w:rPr>
      </w:pPr>
      <w:hyperlink w:anchor="_Toc477347637" w:history="1">
        <w:r w:rsidR="00FE5988" w:rsidRPr="001017E9">
          <w:rPr>
            <w:rStyle w:val="Hyperlink"/>
            <w:noProof/>
          </w:rPr>
          <w:t>Figure 4</w:t>
        </w:r>
        <w:r w:rsidR="00FE5988" w:rsidRPr="001017E9">
          <w:rPr>
            <w:rStyle w:val="Hyperlink"/>
            <w:noProof/>
          </w:rPr>
          <w:noBreakHyphen/>
          <w:t>7 Proposed catabolic pathway for naphthalene by soil bacteria (based on Denome et al. 1993; Kiyohara et al. 1994; Goyal and Zylastra 1997).</w:t>
        </w:r>
        <w:r w:rsidR="00FE5988">
          <w:rPr>
            <w:noProof/>
            <w:webHidden/>
          </w:rPr>
          <w:tab/>
        </w:r>
        <w:r w:rsidR="00FE5988">
          <w:rPr>
            <w:noProof/>
            <w:webHidden/>
          </w:rPr>
          <w:fldChar w:fldCharType="begin"/>
        </w:r>
        <w:r w:rsidR="00FE5988">
          <w:rPr>
            <w:noProof/>
            <w:webHidden/>
          </w:rPr>
          <w:instrText xml:space="preserve"> PAGEREF _Toc477347637 \h </w:instrText>
        </w:r>
        <w:r w:rsidR="00FE5988">
          <w:rPr>
            <w:noProof/>
            <w:webHidden/>
          </w:rPr>
        </w:r>
        <w:r w:rsidR="00FE5988">
          <w:rPr>
            <w:noProof/>
            <w:webHidden/>
          </w:rPr>
          <w:fldChar w:fldCharType="separate"/>
        </w:r>
        <w:r w:rsidR="00951AFC">
          <w:rPr>
            <w:noProof/>
            <w:webHidden/>
          </w:rPr>
          <w:t>187</w:t>
        </w:r>
        <w:r w:rsidR="00FE5988">
          <w:rPr>
            <w:noProof/>
            <w:webHidden/>
          </w:rPr>
          <w:fldChar w:fldCharType="end"/>
        </w:r>
      </w:hyperlink>
    </w:p>
    <w:p w14:paraId="43F11641" w14:textId="146CC8FE" w:rsidR="00FE5988" w:rsidRDefault="00900E5C">
      <w:pPr>
        <w:pStyle w:val="TableofFigures"/>
        <w:tabs>
          <w:tab w:val="right" w:leader="dot" w:pos="9010"/>
        </w:tabs>
        <w:rPr>
          <w:rFonts w:asciiTheme="minorHAnsi" w:hAnsiTheme="minorHAnsi"/>
          <w:noProof/>
          <w:sz w:val="22"/>
          <w:szCs w:val="22"/>
          <w:lang w:val="en-AU" w:eastAsia="en-AU"/>
        </w:rPr>
      </w:pPr>
      <w:hyperlink w:anchor="_Toc477347638" w:history="1">
        <w:r w:rsidR="00FE5988" w:rsidRPr="001017E9">
          <w:rPr>
            <w:rStyle w:val="Hyperlink"/>
            <w:noProof/>
          </w:rPr>
          <w:t>Figure 4</w:t>
        </w:r>
        <w:r w:rsidR="00FE5988" w:rsidRPr="001017E9">
          <w:rPr>
            <w:rStyle w:val="Hyperlink"/>
            <w:noProof/>
          </w:rPr>
          <w:noBreakHyphen/>
          <w:t>8 Enzymatic oxidation of 2-butoxyethanol (based on ATSDR 1998).</w:t>
        </w:r>
        <w:r w:rsidR="00FE5988">
          <w:rPr>
            <w:noProof/>
            <w:webHidden/>
          </w:rPr>
          <w:tab/>
        </w:r>
        <w:r w:rsidR="00FE5988">
          <w:rPr>
            <w:noProof/>
            <w:webHidden/>
          </w:rPr>
          <w:fldChar w:fldCharType="begin"/>
        </w:r>
        <w:r w:rsidR="00FE5988">
          <w:rPr>
            <w:noProof/>
            <w:webHidden/>
          </w:rPr>
          <w:instrText xml:space="preserve"> PAGEREF _Toc477347638 \h </w:instrText>
        </w:r>
        <w:r w:rsidR="00FE5988">
          <w:rPr>
            <w:noProof/>
            <w:webHidden/>
          </w:rPr>
        </w:r>
        <w:r w:rsidR="00FE5988">
          <w:rPr>
            <w:noProof/>
            <w:webHidden/>
          </w:rPr>
          <w:fldChar w:fldCharType="separate"/>
        </w:r>
        <w:r w:rsidR="00951AFC">
          <w:rPr>
            <w:noProof/>
            <w:webHidden/>
          </w:rPr>
          <w:t>188</w:t>
        </w:r>
        <w:r w:rsidR="00FE5988">
          <w:rPr>
            <w:noProof/>
            <w:webHidden/>
          </w:rPr>
          <w:fldChar w:fldCharType="end"/>
        </w:r>
      </w:hyperlink>
    </w:p>
    <w:p w14:paraId="12EF8DD0" w14:textId="2C6780CE" w:rsidR="00FE5988" w:rsidRDefault="00900E5C">
      <w:pPr>
        <w:pStyle w:val="TableofFigures"/>
        <w:tabs>
          <w:tab w:val="right" w:leader="dot" w:pos="9010"/>
        </w:tabs>
        <w:rPr>
          <w:rFonts w:asciiTheme="minorHAnsi" w:hAnsiTheme="minorHAnsi"/>
          <w:noProof/>
          <w:sz w:val="22"/>
          <w:szCs w:val="22"/>
          <w:lang w:val="en-AU" w:eastAsia="en-AU"/>
        </w:rPr>
      </w:pPr>
      <w:hyperlink w:anchor="_Toc477347639" w:history="1">
        <w:r w:rsidR="00FE5988" w:rsidRPr="001017E9">
          <w:rPr>
            <w:rStyle w:val="Hyperlink"/>
            <w:noProof/>
          </w:rPr>
          <w:t>Figure 4</w:t>
        </w:r>
        <w:r w:rsidR="00FE5988" w:rsidRPr="001017E9">
          <w:rPr>
            <w:rStyle w:val="Hyperlink"/>
            <w:noProof/>
          </w:rPr>
          <w:noBreakHyphen/>
          <w:t>9 Proposed degradation pathways for bronopol in natural waters (based on Cui et al. 2011).</w:t>
        </w:r>
        <w:r w:rsidR="00FE5988">
          <w:rPr>
            <w:noProof/>
            <w:webHidden/>
          </w:rPr>
          <w:tab/>
        </w:r>
        <w:r w:rsidR="00FE5988">
          <w:rPr>
            <w:noProof/>
            <w:webHidden/>
          </w:rPr>
          <w:fldChar w:fldCharType="begin"/>
        </w:r>
        <w:r w:rsidR="00FE5988">
          <w:rPr>
            <w:noProof/>
            <w:webHidden/>
          </w:rPr>
          <w:instrText xml:space="preserve"> PAGEREF _Toc477347639 \h </w:instrText>
        </w:r>
        <w:r w:rsidR="00FE5988">
          <w:rPr>
            <w:noProof/>
            <w:webHidden/>
          </w:rPr>
        </w:r>
        <w:r w:rsidR="00FE5988">
          <w:rPr>
            <w:noProof/>
            <w:webHidden/>
          </w:rPr>
          <w:fldChar w:fldCharType="separate"/>
        </w:r>
        <w:r w:rsidR="00951AFC">
          <w:rPr>
            <w:noProof/>
            <w:webHidden/>
          </w:rPr>
          <w:t>189</w:t>
        </w:r>
        <w:r w:rsidR="00FE5988">
          <w:rPr>
            <w:noProof/>
            <w:webHidden/>
          </w:rPr>
          <w:fldChar w:fldCharType="end"/>
        </w:r>
      </w:hyperlink>
    </w:p>
    <w:p w14:paraId="0B202202" w14:textId="19C53215" w:rsidR="00FE5988" w:rsidRDefault="00900E5C">
      <w:pPr>
        <w:pStyle w:val="TableofFigures"/>
        <w:tabs>
          <w:tab w:val="right" w:leader="dot" w:pos="9010"/>
        </w:tabs>
        <w:rPr>
          <w:rFonts w:asciiTheme="minorHAnsi" w:hAnsiTheme="minorHAnsi"/>
          <w:noProof/>
          <w:sz w:val="22"/>
          <w:szCs w:val="22"/>
          <w:lang w:val="en-AU" w:eastAsia="en-AU"/>
        </w:rPr>
      </w:pPr>
      <w:hyperlink w:anchor="_Toc477347640" w:history="1">
        <w:r w:rsidR="00FE5988" w:rsidRPr="001017E9">
          <w:rPr>
            <w:rStyle w:val="Hyperlink"/>
            <w:noProof/>
          </w:rPr>
          <w:t>Figure 4</w:t>
        </w:r>
        <w:r w:rsidR="00FE5988" w:rsidRPr="001017E9">
          <w:rPr>
            <w:rStyle w:val="Hyperlink"/>
            <w:noProof/>
          </w:rPr>
          <w:noBreakHyphen/>
          <w:t>10 Biodegradation pathways for d-limonene by a Pseudomonad. Pathway 1 (P-1), pathway 2(P-2), pathway 3 (P-3), limonene (1), carveol (2), carvone (3), perillyl alcohol (4), limonene epoxide (5), dihydrocarvone (6) (based on Mikami 1988).</w:t>
        </w:r>
        <w:r w:rsidR="00FE5988">
          <w:rPr>
            <w:noProof/>
            <w:webHidden/>
          </w:rPr>
          <w:tab/>
        </w:r>
        <w:r w:rsidR="00FE5988">
          <w:rPr>
            <w:noProof/>
            <w:webHidden/>
          </w:rPr>
          <w:fldChar w:fldCharType="begin"/>
        </w:r>
        <w:r w:rsidR="00FE5988">
          <w:rPr>
            <w:noProof/>
            <w:webHidden/>
          </w:rPr>
          <w:instrText xml:space="preserve"> PAGEREF _Toc477347640 \h </w:instrText>
        </w:r>
        <w:r w:rsidR="00FE5988">
          <w:rPr>
            <w:noProof/>
            <w:webHidden/>
          </w:rPr>
        </w:r>
        <w:r w:rsidR="00FE5988">
          <w:rPr>
            <w:noProof/>
            <w:webHidden/>
          </w:rPr>
          <w:fldChar w:fldCharType="separate"/>
        </w:r>
        <w:r w:rsidR="00951AFC">
          <w:rPr>
            <w:noProof/>
            <w:webHidden/>
          </w:rPr>
          <w:t>190</w:t>
        </w:r>
        <w:r w:rsidR="00FE5988">
          <w:rPr>
            <w:noProof/>
            <w:webHidden/>
          </w:rPr>
          <w:fldChar w:fldCharType="end"/>
        </w:r>
      </w:hyperlink>
    </w:p>
    <w:p w14:paraId="6AC5581A" w14:textId="3D1F21E7" w:rsidR="00FE5988" w:rsidRDefault="00900E5C">
      <w:pPr>
        <w:pStyle w:val="TableofFigures"/>
        <w:tabs>
          <w:tab w:val="right" w:leader="dot" w:pos="9010"/>
        </w:tabs>
        <w:rPr>
          <w:rFonts w:asciiTheme="minorHAnsi" w:hAnsiTheme="minorHAnsi"/>
          <w:noProof/>
          <w:sz w:val="22"/>
          <w:szCs w:val="22"/>
          <w:lang w:val="en-AU" w:eastAsia="en-AU"/>
        </w:rPr>
      </w:pPr>
      <w:hyperlink w:anchor="_Toc477347641" w:history="1">
        <w:r w:rsidR="00FE5988" w:rsidRPr="001017E9">
          <w:rPr>
            <w:rStyle w:val="Hyperlink"/>
            <w:noProof/>
          </w:rPr>
          <w:t>Figure 4</w:t>
        </w:r>
        <w:r w:rsidR="00FE5988" w:rsidRPr="001017E9">
          <w:rPr>
            <w:rStyle w:val="Hyperlink"/>
            <w:noProof/>
          </w:rPr>
          <w:noBreakHyphen/>
          <w:t xml:space="preserve">11 Potential biodegradation routes of HMX during treatment with anaerobic sludge. Path b: Ring cleavage followed by competing chemical and biochemical transformations. A square bracket indicates unidentified product whereas a question mark indicates potential presence that requires further experimental verification (based on </w:t>
        </w:r>
        <w:r w:rsidR="00FE5988" w:rsidRPr="001017E9">
          <w:rPr>
            <w:rStyle w:val="Hyperlink"/>
            <w:rFonts w:eastAsiaTheme="minorHAnsi" w:cs="AdvGulliv-R"/>
            <w:noProof/>
            <w:lang w:eastAsia="en-US"/>
          </w:rPr>
          <w:t>Hawari et al. 2001)</w:t>
        </w:r>
        <w:r w:rsidR="00FE5988" w:rsidRPr="001017E9">
          <w:rPr>
            <w:rStyle w:val="Hyperlink"/>
            <w:noProof/>
          </w:rPr>
          <w:t>.</w:t>
        </w:r>
        <w:r w:rsidR="00FE5988">
          <w:rPr>
            <w:noProof/>
            <w:webHidden/>
          </w:rPr>
          <w:tab/>
        </w:r>
        <w:r w:rsidR="00FE5988">
          <w:rPr>
            <w:noProof/>
            <w:webHidden/>
          </w:rPr>
          <w:fldChar w:fldCharType="begin"/>
        </w:r>
        <w:r w:rsidR="00FE5988">
          <w:rPr>
            <w:noProof/>
            <w:webHidden/>
          </w:rPr>
          <w:instrText xml:space="preserve"> PAGEREF _Toc477347641 \h </w:instrText>
        </w:r>
        <w:r w:rsidR="00FE5988">
          <w:rPr>
            <w:noProof/>
            <w:webHidden/>
          </w:rPr>
        </w:r>
        <w:r w:rsidR="00FE5988">
          <w:rPr>
            <w:noProof/>
            <w:webHidden/>
          </w:rPr>
          <w:fldChar w:fldCharType="separate"/>
        </w:r>
        <w:r w:rsidR="00951AFC">
          <w:rPr>
            <w:noProof/>
            <w:webHidden/>
          </w:rPr>
          <w:t>191</w:t>
        </w:r>
        <w:r w:rsidR="00FE5988">
          <w:rPr>
            <w:noProof/>
            <w:webHidden/>
          </w:rPr>
          <w:fldChar w:fldCharType="end"/>
        </w:r>
      </w:hyperlink>
    </w:p>
    <w:p w14:paraId="2FD1D22F" w14:textId="6E645F53" w:rsidR="00FE5988" w:rsidRDefault="00900E5C">
      <w:pPr>
        <w:pStyle w:val="TableofFigures"/>
        <w:tabs>
          <w:tab w:val="right" w:leader="dot" w:pos="9010"/>
        </w:tabs>
        <w:rPr>
          <w:rFonts w:asciiTheme="minorHAnsi" w:hAnsiTheme="minorHAnsi"/>
          <w:noProof/>
          <w:sz w:val="22"/>
          <w:szCs w:val="22"/>
          <w:lang w:val="en-AU" w:eastAsia="en-AU"/>
        </w:rPr>
      </w:pPr>
      <w:hyperlink w:anchor="_Toc477347642" w:history="1">
        <w:r w:rsidR="00FE5988" w:rsidRPr="001017E9">
          <w:rPr>
            <w:rStyle w:val="Hyperlink"/>
            <w:noProof/>
          </w:rPr>
          <w:t>Figure 4</w:t>
        </w:r>
        <w:r w:rsidR="00FE5988" w:rsidRPr="001017E9">
          <w:rPr>
            <w:rStyle w:val="Hyperlink"/>
            <w:noProof/>
          </w:rPr>
          <w:noBreakHyphen/>
          <w:t>12 MCI biodegradation under anaerobic conditions (based on Jacobson and Williams 2000).</w:t>
        </w:r>
        <w:r w:rsidR="00FE5988">
          <w:rPr>
            <w:noProof/>
            <w:webHidden/>
          </w:rPr>
          <w:tab/>
        </w:r>
        <w:r w:rsidR="00FE5988">
          <w:rPr>
            <w:noProof/>
            <w:webHidden/>
          </w:rPr>
          <w:fldChar w:fldCharType="begin"/>
        </w:r>
        <w:r w:rsidR="00FE5988">
          <w:rPr>
            <w:noProof/>
            <w:webHidden/>
          </w:rPr>
          <w:instrText xml:space="preserve"> PAGEREF _Toc477347642 \h </w:instrText>
        </w:r>
        <w:r w:rsidR="00FE5988">
          <w:rPr>
            <w:noProof/>
            <w:webHidden/>
          </w:rPr>
        </w:r>
        <w:r w:rsidR="00FE5988">
          <w:rPr>
            <w:noProof/>
            <w:webHidden/>
          </w:rPr>
          <w:fldChar w:fldCharType="separate"/>
        </w:r>
        <w:r w:rsidR="00951AFC">
          <w:rPr>
            <w:noProof/>
            <w:webHidden/>
          </w:rPr>
          <w:t>192</w:t>
        </w:r>
        <w:r w:rsidR="00FE5988">
          <w:rPr>
            <w:noProof/>
            <w:webHidden/>
          </w:rPr>
          <w:fldChar w:fldCharType="end"/>
        </w:r>
      </w:hyperlink>
    </w:p>
    <w:p w14:paraId="1F792EEA" w14:textId="1BA9ED23" w:rsidR="00FE5988" w:rsidRDefault="00900E5C">
      <w:pPr>
        <w:pStyle w:val="TableofFigures"/>
        <w:tabs>
          <w:tab w:val="right" w:leader="dot" w:pos="9010"/>
        </w:tabs>
        <w:rPr>
          <w:rFonts w:asciiTheme="minorHAnsi" w:hAnsiTheme="minorHAnsi"/>
          <w:noProof/>
          <w:sz w:val="22"/>
          <w:szCs w:val="22"/>
          <w:lang w:val="en-AU" w:eastAsia="en-AU"/>
        </w:rPr>
      </w:pPr>
      <w:hyperlink w:anchor="_Toc477347643" w:history="1">
        <w:r w:rsidR="00FE5988" w:rsidRPr="001017E9">
          <w:rPr>
            <w:rStyle w:val="Hyperlink"/>
            <w:noProof/>
          </w:rPr>
          <w:t>Figure 5</w:t>
        </w:r>
        <w:r w:rsidR="00FE5988" w:rsidRPr="001017E9">
          <w:rPr>
            <w:rStyle w:val="Hyperlink"/>
            <w:noProof/>
          </w:rPr>
          <w:noBreakHyphen/>
          <w:t>1 Two-level hazard screening approach for drilling and hydraulic fracturing chemicals.</w:t>
        </w:r>
        <w:r w:rsidR="00FE5988">
          <w:rPr>
            <w:noProof/>
            <w:webHidden/>
          </w:rPr>
          <w:tab/>
        </w:r>
        <w:r w:rsidR="00FE5988">
          <w:rPr>
            <w:noProof/>
            <w:webHidden/>
          </w:rPr>
          <w:fldChar w:fldCharType="begin"/>
        </w:r>
        <w:r w:rsidR="00FE5988">
          <w:rPr>
            <w:noProof/>
            <w:webHidden/>
          </w:rPr>
          <w:instrText xml:space="preserve"> PAGEREF _Toc477347643 \h </w:instrText>
        </w:r>
        <w:r w:rsidR="00FE5988">
          <w:rPr>
            <w:noProof/>
            <w:webHidden/>
          </w:rPr>
        </w:r>
        <w:r w:rsidR="00FE5988">
          <w:rPr>
            <w:noProof/>
            <w:webHidden/>
          </w:rPr>
          <w:fldChar w:fldCharType="separate"/>
        </w:r>
        <w:r w:rsidR="00951AFC">
          <w:rPr>
            <w:noProof/>
            <w:webHidden/>
          </w:rPr>
          <w:t>210</w:t>
        </w:r>
        <w:r w:rsidR="00FE5988">
          <w:rPr>
            <w:noProof/>
            <w:webHidden/>
          </w:rPr>
          <w:fldChar w:fldCharType="end"/>
        </w:r>
      </w:hyperlink>
    </w:p>
    <w:p w14:paraId="070998AF" w14:textId="60FB2676" w:rsidR="00FE5988" w:rsidRDefault="00900E5C">
      <w:pPr>
        <w:pStyle w:val="TableofFigures"/>
        <w:tabs>
          <w:tab w:val="right" w:leader="dot" w:pos="9010"/>
        </w:tabs>
        <w:rPr>
          <w:rFonts w:asciiTheme="minorHAnsi" w:hAnsiTheme="minorHAnsi"/>
          <w:noProof/>
          <w:sz w:val="22"/>
          <w:szCs w:val="22"/>
          <w:lang w:val="en-AU" w:eastAsia="en-AU"/>
        </w:rPr>
      </w:pPr>
      <w:hyperlink w:anchor="_Toc477347644" w:history="1">
        <w:r w:rsidR="00FE5988" w:rsidRPr="001017E9">
          <w:rPr>
            <w:rStyle w:val="Hyperlink"/>
            <w:noProof/>
          </w:rPr>
          <w:t>Figure 5</w:t>
        </w:r>
        <w:r w:rsidR="00FE5988" w:rsidRPr="001017E9">
          <w:rPr>
            <w:rStyle w:val="Hyperlink"/>
            <w:noProof/>
          </w:rPr>
          <w:noBreakHyphen/>
          <w:t>2 Possible workflow of the hazard screening framework.</w:t>
        </w:r>
        <w:r w:rsidR="00FE5988">
          <w:rPr>
            <w:noProof/>
            <w:webHidden/>
          </w:rPr>
          <w:tab/>
        </w:r>
        <w:r w:rsidR="00FE5988">
          <w:rPr>
            <w:noProof/>
            <w:webHidden/>
          </w:rPr>
          <w:fldChar w:fldCharType="begin"/>
        </w:r>
        <w:r w:rsidR="00FE5988">
          <w:rPr>
            <w:noProof/>
            <w:webHidden/>
          </w:rPr>
          <w:instrText xml:space="preserve"> PAGEREF _Toc477347644 \h </w:instrText>
        </w:r>
        <w:r w:rsidR="00FE5988">
          <w:rPr>
            <w:noProof/>
            <w:webHidden/>
          </w:rPr>
        </w:r>
        <w:r w:rsidR="00FE5988">
          <w:rPr>
            <w:noProof/>
            <w:webHidden/>
          </w:rPr>
          <w:fldChar w:fldCharType="separate"/>
        </w:r>
        <w:r w:rsidR="00951AFC">
          <w:rPr>
            <w:noProof/>
            <w:webHidden/>
          </w:rPr>
          <w:t>212</w:t>
        </w:r>
        <w:r w:rsidR="00FE5988">
          <w:rPr>
            <w:noProof/>
            <w:webHidden/>
          </w:rPr>
          <w:fldChar w:fldCharType="end"/>
        </w:r>
      </w:hyperlink>
    </w:p>
    <w:p w14:paraId="1633249A" w14:textId="1DFF7967" w:rsidR="00FE5988" w:rsidRDefault="00900E5C">
      <w:pPr>
        <w:pStyle w:val="TableofFigures"/>
        <w:tabs>
          <w:tab w:val="right" w:leader="dot" w:pos="9010"/>
        </w:tabs>
        <w:rPr>
          <w:rFonts w:asciiTheme="minorHAnsi" w:hAnsiTheme="minorHAnsi"/>
          <w:noProof/>
          <w:sz w:val="22"/>
          <w:szCs w:val="22"/>
          <w:lang w:val="en-AU" w:eastAsia="en-AU"/>
        </w:rPr>
      </w:pPr>
      <w:hyperlink w:anchor="_Toc477347645" w:history="1">
        <w:r w:rsidR="00FE5988" w:rsidRPr="001017E9">
          <w:rPr>
            <w:rStyle w:val="Hyperlink"/>
            <w:noProof/>
          </w:rPr>
          <w:t>Figure 5</w:t>
        </w:r>
        <w:r w:rsidR="00FE5988" w:rsidRPr="001017E9">
          <w:rPr>
            <w:rStyle w:val="Hyperlink"/>
            <w:noProof/>
          </w:rPr>
          <w:noBreakHyphen/>
          <w:t>3 Relative concentration for 2-methylphenol as a result of chemical/biological degradation. Minimum and maximum half-lives are used for aerobic and anaerobic degradation.</w:t>
        </w:r>
        <w:r w:rsidR="00FE5988">
          <w:rPr>
            <w:noProof/>
            <w:webHidden/>
          </w:rPr>
          <w:tab/>
        </w:r>
        <w:r w:rsidR="00FE5988">
          <w:rPr>
            <w:noProof/>
            <w:webHidden/>
          </w:rPr>
          <w:fldChar w:fldCharType="begin"/>
        </w:r>
        <w:r w:rsidR="00FE5988">
          <w:rPr>
            <w:noProof/>
            <w:webHidden/>
          </w:rPr>
          <w:instrText xml:space="preserve"> PAGEREF _Toc477347645 \h </w:instrText>
        </w:r>
        <w:r w:rsidR="00FE5988">
          <w:rPr>
            <w:noProof/>
            <w:webHidden/>
          </w:rPr>
        </w:r>
        <w:r w:rsidR="00FE5988">
          <w:rPr>
            <w:noProof/>
            <w:webHidden/>
          </w:rPr>
          <w:fldChar w:fldCharType="separate"/>
        </w:r>
        <w:r w:rsidR="00951AFC">
          <w:rPr>
            <w:noProof/>
            <w:webHidden/>
          </w:rPr>
          <w:t>214</w:t>
        </w:r>
        <w:r w:rsidR="00FE5988">
          <w:rPr>
            <w:noProof/>
            <w:webHidden/>
          </w:rPr>
          <w:fldChar w:fldCharType="end"/>
        </w:r>
      </w:hyperlink>
    </w:p>
    <w:p w14:paraId="430FF62C" w14:textId="6CE1138C" w:rsidR="00FE5988" w:rsidRDefault="00900E5C">
      <w:pPr>
        <w:pStyle w:val="TableofFigures"/>
        <w:tabs>
          <w:tab w:val="right" w:leader="dot" w:pos="9010"/>
        </w:tabs>
        <w:rPr>
          <w:rFonts w:asciiTheme="minorHAnsi" w:hAnsiTheme="minorHAnsi"/>
          <w:noProof/>
          <w:sz w:val="22"/>
          <w:szCs w:val="22"/>
          <w:lang w:val="en-AU" w:eastAsia="en-AU"/>
        </w:rPr>
      </w:pPr>
      <w:hyperlink w:anchor="_Toc477347646" w:history="1">
        <w:r w:rsidR="00FE5988" w:rsidRPr="001017E9">
          <w:rPr>
            <w:rStyle w:val="Hyperlink"/>
            <w:noProof/>
          </w:rPr>
          <w:t>Figure 5</w:t>
        </w:r>
        <w:r w:rsidR="00FE5988" w:rsidRPr="001017E9">
          <w:rPr>
            <w:rStyle w:val="Hyperlink"/>
            <w:noProof/>
          </w:rPr>
          <w:noBreakHyphen/>
          <w:t>4 Relative concentration for 2-methylphenol as a result of chemical/biological degradation. Dilution attenuation factor (DAF) and final concentration at receptor (C</w:t>
        </w:r>
        <w:r w:rsidR="00FE5988" w:rsidRPr="001017E9">
          <w:rPr>
            <w:rStyle w:val="Hyperlink"/>
            <w:noProof/>
            <w:vertAlign w:val="subscript"/>
          </w:rPr>
          <w:t>F</w:t>
        </w:r>
        <w:r w:rsidR="00FE5988" w:rsidRPr="001017E9">
          <w:rPr>
            <w:rStyle w:val="Hyperlink"/>
            <w:noProof/>
          </w:rPr>
          <w:t>) derived for minimum solute travel time T</w:t>
        </w:r>
        <w:r w:rsidR="00FE5988" w:rsidRPr="001017E9">
          <w:rPr>
            <w:rStyle w:val="Hyperlink"/>
            <w:noProof/>
            <w:vertAlign w:val="subscript"/>
          </w:rPr>
          <w:t>min</w:t>
        </w:r>
        <w:r w:rsidR="00FE5988" w:rsidRPr="001017E9">
          <w:rPr>
            <w:rStyle w:val="Hyperlink"/>
            <w:noProof/>
          </w:rPr>
          <w:t xml:space="preserve"> of 3,660 days. Minimum and maximum half-lives used for aerobic and anaerobic degradation.</w:t>
        </w:r>
        <w:r w:rsidR="00FE5988">
          <w:rPr>
            <w:noProof/>
            <w:webHidden/>
          </w:rPr>
          <w:tab/>
        </w:r>
        <w:r w:rsidR="00FE5988">
          <w:rPr>
            <w:noProof/>
            <w:webHidden/>
          </w:rPr>
          <w:fldChar w:fldCharType="begin"/>
        </w:r>
        <w:r w:rsidR="00FE5988">
          <w:rPr>
            <w:noProof/>
            <w:webHidden/>
          </w:rPr>
          <w:instrText xml:space="preserve"> PAGEREF _Toc477347646 \h </w:instrText>
        </w:r>
        <w:r w:rsidR="00FE5988">
          <w:rPr>
            <w:noProof/>
            <w:webHidden/>
          </w:rPr>
        </w:r>
        <w:r w:rsidR="00FE5988">
          <w:rPr>
            <w:noProof/>
            <w:webHidden/>
          </w:rPr>
          <w:fldChar w:fldCharType="separate"/>
        </w:r>
        <w:r w:rsidR="00951AFC">
          <w:rPr>
            <w:noProof/>
            <w:webHidden/>
          </w:rPr>
          <w:t>215</w:t>
        </w:r>
        <w:r w:rsidR="00FE5988">
          <w:rPr>
            <w:noProof/>
            <w:webHidden/>
          </w:rPr>
          <w:fldChar w:fldCharType="end"/>
        </w:r>
      </w:hyperlink>
    </w:p>
    <w:p w14:paraId="5663C1BC" w14:textId="11B7C55E" w:rsidR="00FE5988" w:rsidRDefault="00900E5C">
      <w:pPr>
        <w:pStyle w:val="TableofFigures"/>
        <w:tabs>
          <w:tab w:val="right" w:leader="dot" w:pos="9010"/>
        </w:tabs>
        <w:rPr>
          <w:rFonts w:asciiTheme="minorHAnsi" w:hAnsiTheme="minorHAnsi"/>
          <w:noProof/>
          <w:sz w:val="22"/>
          <w:szCs w:val="22"/>
          <w:lang w:val="en-AU" w:eastAsia="en-AU"/>
        </w:rPr>
      </w:pPr>
      <w:hyperlink w:anchor="_Toc477347647" w:history="1">
        <w:r w:rsidR="00FE5988" w:rsidRPr="001017E9">
          <w:rPr>
            <w:rStyle w:val="Hyperlink"/>
            <w:noProof/>
          </w:rPr>
          <w:t>Figure 5</w:t>
        </w:r>
        <w:r w:rsidR="00FE5988" w:rsidRPr="001017E9">
          <w:rPr>
            <w:rStyle w:val="Hyperlink"/>
            <w:noProof/>
          </w:rPr>
          <w:noBreakHyphen/>
          <w:t>5 Relative concentration for 2-methylphenol as a result of chemical/biological degradation. Dilution attenuation factor (DAF) and final concentration at receptor (C</w:t>
        </w:r>
        <w:r w:rsidR="00FE5988" w:rsidRPr="001017E9">
          <w:rPr>
            <w:rStyle w:val="Hyperlink"/>
            <w:noProof/>
            <w:vertAlign w:val="subscript"/>
          </w:rPr>
          <w:t>F</w:t>
        </w:r>
        <w:r w:rsidR="00FE5988" w:rsidRPr="001017E9">
          <w:rPr>
            <w:rStyle w:val="Hyperlink"/>
            <w:noProof/>
          </w:rPr>
          <w:t>) derived for minimum (3,660 days), mean (12,300 days) and maximum (33,500 days) solute travel time for travel time class # 1 (Table 2</w:t>
        </w:r>
        <w:r w:rsidR="00FE5988" w:rsidRPr="001017E9">
          <w:rPr>
            <w:rStyle w:val="Hyperlink"/>
            <w:noProof/>
          </w:rPr>
          <w:noBreakHyphen/>
          <w:t>24). Minimum and maximum half-lives used for anaerobic degradation.</w:t>
        </w:r>
        <w:r w:rsidR="00FE5988">
          <w:rPr>
            <w:noProof/>
            <w:webHidden/>
          </w:rPr>
          <w:tab/>
        </w:r>
        <w:r w:rsidR="00FE5988">
          <w:rPr>
            <w:noProof/>
            <w:webHidden/>
          </w:rPr>
          <w:fldChar w:fldCharType="begin"/>
        </w:r>
        <w:r w:rsidR="00FE5988">
          <w:rPr>
            <w:noProof/>
            <w:webHidden/>
          </w:rPr>
          <w:instrText xml:space="preserve"> PAGEREF _Toc477347647 \h </w:instrText>
        </w:r>
        <w:r w:rsidR="00FE5988">
          <w:rPr>
            <w:noProof/>
            <w:webHidden/>
          </w:rPr>
        </w:r>
        <w:r w:rsidR="00FE5988">
          <w:rPr>
            <w:noProof/>
            <w:webHidden/>
          </w:rPr>
          <w:fldChar w:fldCharType="separate"/>
        </w:r>
        <w:r w:rsidR="00951AFC">
          <w:rPr>
            <w:noProof/>
            <w:webHidden/>
          </w:rPr>
          <w:t>215</w:t>
        </w:r>
        <w:r w:rsidR="00FE5988">
          <w:rPr>
            <w:noProof/>
            <w:webHidden/>
          </w:rPr>
          <w:fldChar w:fldCharType="end"/>
        </w:r>
      </w:hyperlink>
    </w:p>
    <w:p w14:paraId="4C0C3BA3" w14:textId="521B6304" w:rsidR="00FE5988" w:rsidRDefault="00900E5C">
      <w:pPr>
        <w:pStyle w:val="TableofFigures"/>
        <w:tabs>
          <w:tab w:val="right" w:leader="dot" w:pos="9010"/>
        </w:tabs>
        <w:rPr>
          <w:rFonts w:asciiTheme="minorHAnsi" w:hAnsiTheme="minorHAnsi"/>
          <w:noProof/>
          <w:sz w:val="22"/>
          <w:szCs w:val="22"/>
          <w:lang w:val="en-AU" w:eastAsia="en-AU"/>
        </w:rPr>
      </w:pPr>
      <w:hyperlink w:anchor="_Toc477347648" w:history="1">
        <w:r w:rsidR="00FE5988" w:rsidRPr="001017E9">
          <w:rPr>
            <w:rStyle w:val="Hyperlink"/>
            <w:noProof/>
          </w:rPr>
          <w:t>Figure 5</w:t>
        </w:r>
        <w:r w:rsidR="00FE5988" w:rsidRPr="001017E9">
          <w:rPr>
            <w:rStyle w:val="Hyperlink"/>
            <w:noProof/>
          </w:rPr>
          <w:noBreakHyphen/>
          <w:t>6 Relative concentration for naphthalene as a result of chemical/biological degradation. Minimum and maximum half-lives used for aerobic and anaerobic degradation.</w:t>
        </w:r>
        <w:r w:rsidR="00FE5988">
          <w:rPr>
            <w:noProof/>
            <w:webHidden/>
          </w:rPr>
          <w:tab/>
        </w:r>
        <w:r w:rsidR="00FE5988">
          <w:rPr>
            <w:noProof/>
            <w:webHidden/>
          </w:rPr>
          <w:fldChar w:fldCharType="begin"/>
        </w:r>
        <w:r w:rsidR="00FE5988">
          <w:rPr>
            <w:noProof/>
            <w:webHidden/>
          </w:rPr>
          <w:instrText xml:space="preserve"> PAGEREF _Toc477347648 \h </w:instrText>
        </w:r>
        <w:r w:rsidR="00FE5988">
          <w:rPr>
            <w:noProof/>
            <w:webHidden/>
          </w:rPr>
        </w:r>
        <w:r w:rsidR="00FE5988">
          <w:rPr>
            <w:noProof/>
            <w:webHidden/>
          </w:rPr>
          <w:fldChar w:fldCharType="separate"/>
        </w:r>
        <w:r w:rsidR="00951AFC">
          <w:rPr>
            <w:noProof/>
            <w:webHidden/>
          </w:rPr>
          <w:t>216</w:t>
        </w:r>
        <w:r w:rsidR="00FE5988">
          <w:rPr>
            <w:noProof/>
            <w:webHidden/>
          </w:rPr>
          <w:fldChar w:fldCharType="end"/>
        </w:r>
      </w:hyperlink>
    </w:p>
    <w:p w14:paraId="0C58BD1A" w14:textId="7FB26F4F" w:rsidR="00FE5988" w:rsidRDefault="00900E5C">
      <w:pPr>
        <w:pStyle w:val="TableofFigures"/>
        <w:tabs>
          <w:tab w:val="right" w:leader="dot" w:pos="9010"/>
        </w:tabs>
        <w:rPr>
          <w:rFonts w:asciiTheme="minorHAnsi" w:hAnsiTheme="minorHAnsi"/>
          <w:noProof/>
          <w:sz w:val="22"/>
          <w:szCs w:val="22"/>
          <w:lang w:val="en-AU" w:eastAsia="en-AU"/>
        </w:rPr>
      </w:pPr>
      <w:hyperlink w:anchor="_Toc477347649" w:history="1">
        <w:r w:rsidR="00FE5988" w:rsidRPr="001017E9">
          <w:rPr>
            <w:rStyle w:val="Hyperlink"/>
            <w:noProof/>
          </w:rPr>
          <w:t>Figure 5</w:t>
        </w:r>
        <w:r w:rsidR="00FE5988" w:rsidRPr="001017E9">
          <w:rPr>
            <w:rStyle w:val="Hyperlink"/>
            <w:noProof/>
          </w:rPr>
          <w:noBreakHyphen/>
          <w:t>7 Relative concentration for naphthalene as a result of chemical/biological degradation. Dilution attenuation factor (DAF) and final concentration at receptor (C</w:t>
        </w:r>
        <w:r w:rsidR="00FE5988" w:rsidRPr="001017E9">
          <w:rPr>
            <w:rStyle w:val="Hyperlink"/>
            <w:noProof/>
            <w:vertAlign w:val="subscript"/>
          </w:rPr>
          <w:t>F</w:t>
        </w:r>
        <w:r w:rsidR="00FE5988" w:rsidRPr="001017E9">
          <w:rPr>
            <w:rStyle w:val="Hyperlink"/>
            <w:noProof/>
          </w:rPr>
          <w:t>) derived for minimum (3,660 days) solute travel time for travel time class # 1 (Table 2</w:t>
        </w:r>
        <w:r w:rsidR="00FE5988" w:rsidRPr="001017E9">
          <w:rPr>
            <w:rStyle w:val="Hyperlink"/>
            <w:noProof/>
          </w:rPr>
          <w:noBreakHyphen/>
          <w:t>24). Minimum and maximum half-lives used for aerobic and anaerobic degradation.</w:t>
        </w:r>
        <w:r w:rsidR="00FE5988">
          <w:rPr>
            <w:noProof/>
            <w:webHidden/>
          </w:rPr>
          <w:tab/>
        </w:r>
        <w:r w:rsidR="00FE5988">
          <w:rPr>
            <w:noProof/>
            <w:webHidden/>
          </w:rPr>
          <w:fldChar w:fldCharType="begin"/>
        </w:r>
        <w:r w:rsidR="00FE5988">
          <w:rPr>
            <w:noProof/>
            <w:webHidden/>
          </w:rPr>
          <w:instrText xml:space="preserve"> PAGEREF _Toc477347649 \h </w:instrText>
        </w:r>
        <w:r w:rsidR="00FE5988">
          <w:rPr>
            <w:noProof/>
            <w:webHidden/>
          </w:rPr>
        </w:r>
        <w:r w:rsidR="00FE5988">
          <w:rPr>
            <w:noProof/>
            <w:webHidden/>
          </w:rPr>
          <w:fldChar w:fldCharType="separate"/>
        </w:r>
        <w:r w:rsidR="00951AFC">
          <w:rPr>
            <w:noProof/>
            <w:webHidden/>
          </w:rPr>
          <w:t>217</w:t>
        </w:r>
        <w:r w:rsidR="00FE5988">
          <w:rPr>
            <w:noProof/>
            <w:webHidden/>
          </w:rPr>
          <w:fldChar w:fldCharType="end"/>
        </w:r>
      </w:hyperlink>
    </w:p>
    <w:p w14:paraId="435B3C9A" w14:textId="7B652840" w:rsidR="00FE5988" w:rsidRDefault="00900E5C">
      <w:pPr>
        <w:pStyle w:val="TableofFigures"/>
        <w:tabs>
          <w:tab w:val="right" w:leader="dot" w:pos="9010"/>
        </w:tabs>
        <w:rPr>
          <w:rFonts w:asciiTheme="minorHAnsi" w:hAnsiTheme="minorHAnsi"/>
          <w:noProof/>
          <w:sz w:val="22"/>
          <w:szCs w:val="22"/>
          <w:lang w:val="en-AU" w:eastAsia="en-AU"/>
        </w:rPr>
      </w:pPr>
      <w:hyperlink w:anchor="_Toc477347650" w:history="1">
        <w:r w:rsidR="00FE5988" w:rsidRPr="001017E9">
          <w:rPr>
            <w:rStyle w:val="Hyperlink"/>
            <w:noProof/>
          </w:rPr>
          <w:t>Figure 5</w:t>
        </w:r>
        <w:r w:rsidR="00FE5988" w:rsidRPr="001017E9">
          <w:rPr>
            <w:rStyle w:val="Hyperlink"/>
            <w:noProof/>
          </w:rPr>
          <w:noBreakHyphen/>
          <w:t>8 Relative concentration for naphthalene as a result of chemical/biological degradation. Dilution attenuation factor (DAF) and final concentration at receptor (C</w:t>
        </w:r>
        <w:r w:rsidR="00FE5988" w:rsidRPr="001017E9">
          <w:rPr>
            <w:rStyle w:val="Hyperlink"/>
            <w:noProof/>
            <w:vertAlign w:val="subscript"/>
          </w:rPr>
          <w:t>F</w:t>
        </w:r>
        <w:r w:rsidR="00FE5988" w:rsidRPr="001017E9">
          <w:rPr>
            <w:rStyle w:val="Hyperlink"/>
            <w:noProof/>
          </w:rPr>
          <w:t>) derived for minimum (3,660 days), mean (12,300 days) and maximum (33,500 days) solute travel time for travel time class # 1 (Table 2</w:t>
        </w:r>
        <w:r w:rsidR="00FE5988" w:rsidRPr="001017E9">
          <w:rPr>
            <w:rStyle w:val="Hyperlink"/>
            <w:noProof/>
          </w:rPr>
          <w:noBreakHyphen/>
          <w:t>24). DAF and C</w:t>
        </w:r>
        <w:r w:rsidR="00FE5988" w:rsidRPr="001017E9">
          <w:rPr>
            <w:rStyle w:val="Hyperlink"/>
            <w:noProof/>
            <w:vertAlign w:val="subscript"/>
          </w:rPr>
          <w:t>F</w:t>
        </w:r>
        <w:r w:rsidR="00FE5988" w:rsidRPr="001017E9">
          <w:rPr>
            <w:rStyle w:val="Hyperlink"/>
            <w:noProof/>
          </w:rPr>
          <w:t xml:space="preserve"> values for mean and maximum travel time are not shown (C</w:t>
        </w:r>
        <w:r w:rsidR="00FE5988" w:rsidRPr="001017E9">
          <w:rPr>
            <w:rStyle w:val="Hyperlink"/>
            <w:noProof/>
            <w:vertAlign w:val="subscript"/>
          </w:rPr>
          <w:t>F</w:t>
        </w:r>
        <w:r w:rsidR="00FE5988" w:rsidRPr="001017E9">
          <w:rPr>
            <w:rStyle w:val="Hyperlink"/>
            <w:noProof/>
          </w:rPr>
          <w:t xml:space="preserve"> = 0 and DAF = infinitely large). Minimum half-life used for anaerobic degradation.</w:t>
        </w:r>
        <w:r w:rsidR="00FE5988">
          <w:rPr>
            <w:noProof/>
            <w:webHidden/>
          </w:rPr>
          <w:tab/>
        </w:r>
        <w:r w:rsidR="00FE5988">
          <w:rPr>
            <w:noProof/>
            <w:webHidden/>
          </w:rPr>
          <w:fldChar w:fldCharType="begin"/>
        </w:r>
        <w:r w:rsidR="00FE5988">
          <w:rPr>
            <w:noProof/>
            <w:webHidden/>
          </w:rPr>
          <w:instrText xml:space="preserve"> PAGEREF _Toc477347650 \h </w:instrText>
        </w:r>
        <w:r w:rsidR="00FE5988">
          <w:rPr>
            <w:noProof/>
            <w:webHidden/>
          </w:rPr>
        </w:r>
        <w:r w:rsidR="00FE5988">
          <w:rPr>
            <w:noProof/>
            <w:webHidden/>
          </w:rPr>
          <w:fldChar w:fldCharType="separate"/>
        </w:r>
        <w:r w:rsidR="00951AFC">
          <w:rPr>
            <w:noProof/>
            <w:webHidden/>
          </w:rPr>
          <w:t>217</w:t>
        </w:r>
        <w:r w:rsidR="00FE5988">
          <w:rPr>
            <w:noProof/>
            <w:webHidden/>
          </w:rPr>
          <w:fldChar w:fldCharType="end"/>
        </w:r>
      </w:hyperlink>
    </w:p>
    <w:p w14:paraId="1E30B597" w14:textId="72C61782" w:rsidR="00FE5988" w:rsidRDefault="00900E5C">
      <w:pPr>
        <w:pStyle w:val="TableofFigures"/>
        <w:tabs>
          <w:tab w:val="right" w:leader="dot" w:pos="9010"/>
        </w:tabs>
        <w:rPr>
          <w:rFonts w:asciiTheme="minorHAnsi" w:hAnsiTheme="minorHAnsi"/>
          <w:noProof/>
          <w:sz w:val="22"/>
          <w:szCs w:val="22"/>
          <w:lang w:val="en-AU" w:eastAsia="en-AU"/>
        </w:rPr>
      </w:pPr>
      <w:hyperlink w:anchor="_Toc477347651" w:history="1">
        <w:r w:rsidR="00FE5988" w:rsidRPr="001017E9">
          <w:rPr>
            <w:rStyle w:val="Hyperlink"/>
            <w:noProof/>
          </w:rPr>
          <w:t>Figure 5</w:t>
        </w:r>
        <w:r w:rsidR="00FE5988" w:rsidRPr="001017E9">
          <w:rPr>
            <w:rStyle w:val="Hyperlink"/>
            <w:noProof/>
          </w:rPr>
          <w:noBreakHyphen/>
          <w:t>9 Relative concentration for limonene as a result of chemical/biological degradation. Minimum and maximum half-lives used for aerobic degradation.</w:t>
        </w:r>
        <w:r w:rsidR="00FE5988">
          <w:rPr>
            <w:noProof/>
            <w:webHidden/>
          </w:rPr>
          <w:tab/>
        </w:r>
        <w:r w:rsidR="00FE5988">
          <w:rPr>
            <w:noProof/>
            <w:webHidden/>
          </w:rPr>
          <w:fldChar w:fldCharType="begin"/>
        </w:r>
        <w:r w:rsidR="00FE5988">
          <w:rPr>
            <w:noProof/>
            <w:webHidden/>
          </w:rPr>
          <w:instrText xml:space="preserve"> PAGEREF _Toc477347651 \h </w:instrText>
        </w:r>
        <w:r w:rsidR="00FE5988">
          <w:rPr>
            <w:noProof/>
            <w:webHidden/>
          </w:rPr>
        </w:r>
        <w:r w:rsidR="00FE5988">
          <w:rPr>
            <w:noProof/>
            <w:webHidden/>
          </w:rPr>
          <w:fldChar w:fldCharType="separate"/>
        </w:r>
        <w:r w:rsidR="00951AFC">
          <w:rPr>
            <w:noProof/>
            <w:webHidden/>
          </w:rPr>
          <w:t>218</w:t>
        </w:r>
        <w:r w:rsidR="00FE5988">
          <w:rPr>
            <w:noProof/>
            <w:webHidden/>
          </w:rPr>
          <w:fldChar w:fldCharType="end"/>
        </w:r>
      </w:hyperlink>
    </w:p>
    <w:p w14:paraId="4DB32CEF" w14:textId="3480C499" w:rsidR="00FE5988" w:rsidRDefault="00900E5C">
      <w:pPr>
        <w:pStyle w:val="TableofFigures"/>
        <w:tabs>
          <w:tab w:val="right" w:leader="dot" w:pos="9010"/>
        </w:tabs>
        <w:rPr>
          <w:rFonts w:asciiTheme="minorHAnsi" w:hAnsiTheme="minorHAnsi"/>
          <w:noProof/>
          <w:sz w:val="22"/>
          <w:szCs w:val="22"/>
          <w:lang w:val="en-AU" w:eastAsia="en-AU"/>
        </w:rPr>
      </w:pPr>
      <w:hyperlink w:anchor="_Toc477347652" w:history="1">
        <w:r w:rsidR="00FE5988" w:rsidRPr="001017E9">
          <w:rPr>
            <w:rStyle w:val="Hyperlink"/>
            <w:noProof/>
          </w:rPr>
          <w:t>Figure 5</w:t>
        </w:r>
        <w:r w:rsidR="00FE5988" w:rsidRPr="001017E9">
          <w:rPr>
            <w:rStyle w:val="Hyperlink"/>
            <w:noProof/>
          </w:rPr>
          <w:noBreakHyphen/>
          <w:t>10 Relative concentration for limonene as a result of chemical/biological degradation. Dilution attenuation factor (DAF) and final concentration at receptor (C</w:t>
        </w:r>
        <w:r w:rsidR="00FE5988" w:rsidRPr="001017E9">
          <w:rPr>
            <w:rStyle w:val="Hyperlink"/>
            <w:noProof/>
            <w:vertAlign w:val="subscript"/>
          </w:rPr>
          <w:t>F</w:t>
        </w:r>
        <w:r w:rsidR="00FE5988" w:rsidRPr="001017E9">
          <w:rPr>
            <w:rStyle w:val="Hyperlink"/>
            <w:noProof/>
          </w:rPr>
          <w:t>) derived for minimum (3,660 days) solute travel time for travel time class # 1 (Table 2</w:t>
        </w:r>
        <w:r w:rsidR="00FE5988" w:rsidRPr="001017E9">
          <w:rPr>
            <w:rStyle w:val="Hyperlink"/>
            <w:noProof/>
          </w:rPr>
          <w:noBreakHyphen/>
          <w:t>24). Minimum and maximum half-lives used for aerobic degradation.</w:t>
        </w:r>
        <w:r w:rsidR="00FE5988">
          <w:rPr>
            <w:noProof/>
            <w:webHidden/>
          </w:rPr>
          <w:tab/>
        </w:r>
        <w:r w:rsidR="00FE5988">
          <w:rPr>
            <w:noProof/>
            <w:webHidden/>
          </w:rPr>
          <w:fldChar w:fldCharType="begin"/>
        </w:r>
        <w:r w:rsidR="00FE5988">
          <w:rPr>
            <w:noProof/>
            <w:webHidden/>
          </w:rPr>
          <w:instrText xml:space="preserve"> PAGEREF _Toc477347652 \h </w:instrText>
        </w:r>
        <w:r w:rsidR="00FE5988">
          <w:rPr>
            <w:noProof/>
            <w:webHidden/>
          </w:rPr>
        </w:r>
        <w:r w:rsidR="00FE5988">
          <w:rPr>
            <w:noProof/>
            <w:webHidden/>
          </w:rPr>
          <w:fldChar w:fldCharType="separate"/>
        </w:r>
        <w:r w:rsidR="00951AFC">
          <w:rPr>
            <w:noProof/>
            <w:webHidden/>
          </w:rPr>
          <w:t>218</w:t>
        </w:r>
        <w:r w:rsidR="00FE5988">
          <w:rPr>
            <w:noProof/>
            <w:webHidden/>
          </w:rPr>
          <w:fldChar w:fldCharType="end"/>
        </w:r>
      </w:hyperlink>
    </w:p>
    <w:p w14:paraId="6DCFA6D0" w14:textId="4B02EA7D" w:rsidR="00FE5988" w:rsidRDefault="00900E5C">
      <w:pPr>
        <w:pStyle w:val="TableofFigures"/>
        <w:tabs>
          <w:tab w:val="right" w:leader="dot" w:pos="9010"/>
        </w:tabs>
        <w:rPr>
          <w:rFonts w:asciiTheme="minorHAnsi" w:hAnsiTheme="minorHAnsi"/>
          <w:noProof/>
          <w:sz w:val="22"/>
          <w:szCs w:val="22"/>
          <w:lang w:val="en-AU" w:eastAsia="en-AU"/>
        </w:rPr>
      </w:pPr>
      <w:hyperlink w:anchor="_Toc477347653" w:history="1">
        <w:r w:rsidR="00FE5988" w:rsidRPr="001017E9">
          <w:rPr>
            <w:rStyle w:val="Hyperlink"/>
            <w:noProof/>
          </w:rPr>
          <w:t>Figure 5</w:t>
        </w:r>
        <w:r w:rsidR="00FE5988" w:rsidRPr="001017E9">
          <w:rPr>
            <w:rStyle w:val="Hyperlink"/>
            <w:noProof/>
          </w:rPr>
          <w:noBreakHyphen/>
          <w:t>11 Relative concentration for HMX as a result of chemical/biological degradation. Minimum and maximum half-lives used for anaerobic and aerobic degradation and hydrolysis.</w:t>
        </w:r>
        <w:r w:rsidR="00FE5988">
          <w:rPr>
            <w:noProof/>
            <w:webHidden/>
          </w:rPr>
          <w:tab/>
        </w:r>
        <w:r w:rsidR="00FE5988">
          <w:rPr>
            <w:noProof/>
            <w:webHidden/>
          </w:rPr>
          <w:fldChar w:fldCharType="begin"/>
        </w:r>
        <w:r w:rsidR="00FE5988">
          <w:rPr>
            <w:noProof/>
            <w:webHidden/>
          </w:rPr>
          <w:instrText xml:space="preserve"> PAGEREF _Toc477347653 \h </w:instrText>
        </w:r>
        <w:r w:rsidR="00FE5988">
          <w:rPr>
            <w:noProof/>
            <w:webHidden/>
          </w:rPr>
        </w:r>
        <w:r w:rsidR="00FE5988">
          <w:rPr>
            <w:noProof/>
            <w:webHidden/>
          </w:rPr>
          <w:fldChar w:fldCharType="separate"/>
        </w:r>
        <w:r w:rsidR="00951AFC">
          <w:rPr>
            <w:noProof/>
            <w:webHidden/>
          </w:rPr>
          <w:t>219</w:t>
        </w:r>
        <w:r w:rsidR="00FE5988">
          <w:rPr>
            <w:noProof/>
            <w:webHidden/>
          </w:rPr>
          <w:fldChar w:fldCharType="end"/>
        </w:r>
      </w:hyperlink>
    </w:p>
    <w:p w14:paraId="523F592C" w14:textId="49EA8D22" w:rsidR="00FE5988" w:rsidRDefault="00900E5C">
      <w:pPr>
        <w:pStyle w:val="TableofFigures"/>
        <w:tabs>
          <w:tab w:val="right" w:leader="dot" w:pos="9010"/>
        </w:tabs>
        <w:rPr>
          <w:rFonts w:asciiTheme="minorHAnsi" w:hAnsiTheme="minorHAnsi"/>
          <w:noProof/>
          <w:sz w:val="22"/>
          <w:szCs w:val="22"/>
          <w:lang w:val="en-AU" w:eastAsia="en-AU"/>
        </w:rPr>
      </w:pPr>
      <w:hyperlink w:anchor="_Toc477347654" w:history="1">
        <w:r w:rsidR="00FE5988" w:rsidRPr="001017E9">
          <w:rPr>
            <w:rStyle w:val="Hyperlink"/>
            <w:noProof/>
          </w:rPr>
          <w:t>Figure 5</w:t>
        </w:r>
        <w:r w:rsidR="00FE5988" w:rsidRPr="001017E9">
          <w:rPr>
            <w:rStyle w:val="Hyperlink"/>
            <w:noProof/>
          </w:rPr>
          <w:noBreakHyphen/>
          <w:t>12 Relative concentration for HMX as a result of chemical/biological degradation. Dilution attenuation factor (DAF) and final concentration at receptor (C</w:t>
        </w:r>
        <w:r w:rsidR="00FE5988" w:rsidRPr="001017E9">
          <w:rPr>
            <w:rStyle w:val="Hyperlink"/>
            <w:noProof/>
            <w:vertAlign w:val="subscript"/>
          </w:rPr>
          <w:t>F</w:t>
        </w:r>
        <w:r w:rsidR="00FE5988" w:rsidRPr="001017E9">
          <w:rPr>
            <w:rStyle w:val="Hyperlink"/>
            <w:noProof/>
          </w:rPr>
          <w:t>) derived for minimum (3,660 days) solute travel time for travel time class # 1 (Table 2</w:t>
        </w:r>
        <w:r w:rsidR="00FE5988" w:rsidRPr="001017E9">
          <w:rPr>
            <w:rStyle w:val="Hyperlink"/>
            <w:noProof/>
          </w:rPr>
          <w:noBreakHyphen/>
          <w:t>24). Minimum and maximum half-lives used for anaerobic and aerobic degradation and hydrolysis.</w:t>
        </w:r>
        <w:r w:rsidR="00FE5988">
          <w:rPr>
            <w:noProof/>
            <w:webHidden/>
          </w:rPr>
          <w:tab/>
        </w:r>
        <w:r w:rsidR="00FE5988">
          <w:rPr>
            <w:noProof/>
            <w:webHidden/>
          </w:rPr>
          <w:fldChar w:fldCharType="begin"/>
        </w:r>
        <w:r w:rsidR="00FE5988">
          <w:rPr>
            <w:noProof/>
            <w:webHidden/>
          </w:rPr>
          <w:instrText xml:space="preserve"> PAGEREF _Toc477347654 \h </w:instrText>
        </w:r>
        <w:r w:rsidR="00FE5988">
          <w:rPr>
            <w:noProof/>
            <w:webHidden/>
          </w:rPr>
        </w:r>
        <w:r w:rsidR="00FE5988">
          <w:rPr>
            <w:noProof/>
            <w:webHidden/>
          </w:rPr>
          <w:fldChar w:fldCharType="separate"/>
        </w:r>
        <w:r w:rsidR="00951AFC">
          <w:rPr>
            <w:noProof/>
            <w:webHidden/>
          </w:rPr>
          <w:t>219</w:t>
        </w:r>
        <w:r w:rsidR="00FE5988">
          <w:rPr>
            <w:noProof/>
            <w:webHidden/>
          </w:rPr>
          <w:fldChar w:fldCharType="end"/>
        </w:r>
      </w:hyperlink>
    </w:p>
    <w:p w14:paraId="634CBE21" w14:textId="46353561" w:rsidR="00FE5988" w:rsidRDefault="00900E5C">
      <w:pPr>
        <w:pStyle w:val="TableofFigures"/>
        <w:tabs>
          <w:tab w:val="right" w:leader="dot" w:pos="9010"/>
        </w:tabs>
        <w:rPr>
          <w:rFonts w:asciiTheme="minorHAnsi" w:hAnsiTheme="minorHAnsi"/>
          <w:noProof/>
          <w:sz w:val="22"/>
          <w:szCs w:val="22"/>
          <w:lang w:val="en-AU" w:eastAsia="en-AU"/>
        </w:rPr>
      </w:pPr>
      <w:hyperlink w:anchor="_Toc477347655" w:history="1">
        <w:r w:rsidR="00FE5988" w:rsidRPr="001017E9">
          <w:rPr>
            <w:rStyle w:val="Hyperlink"/>
            <w:noProof/>
          </w:rPr>
          <w:t>Figure 5</w:t>
        </w:r>
        <w:r w:rsidR="00FE5988" w:rsidRPr="001017E9">
          <w:rPr>
            <w:rStyle w:val="Hyperlink"/>
            <w:noProof/>
          </w:rPr>
          <w:noBreakHyphen/>
          <w:t>13 Relative concentration for 2-butoxyethanol as a result of biological degradation. Minimum and maximum half-lives used for anaerobic and aerobic degradation.</w:t>
        </w:r>
        <w:r w:rsidR="00FE5988">
          <w:rPr>
            <w:noProof/>
            <w:webHidden/>
          </w:rPr>
          <w:tab/>
        </w:r>
        <w:r w:rsidR="00FE5988">
          <w:rPr>
            <w:noProof/>
            <w:webHidden/>
          </w:rPr>
          <w:fldChar w:fldCharType="begin"/>
        </w:r>
        <w:r w:rsidR="00FE5988">
          <w:rPr>
            <w:noProof/>
            <w:webHidden/>
          </w:rPr>
          <w:instrText xml:space="preserve"> PAGEREF _Toc477347655 \h </w:instrText>
        </w:r>
        <w:r w:rsidR="00FE5988">
          <w:rPr>
            <w:noProof/>
            <w:webHidden/>
          </w:rPr>
        </w:r>
        <w:r w:rsidR="00FE5988">
          <w:rPr>
            <w:noProof/>
            <w:webHidden/>
          </w:rPr>
          <w:fldChar w:fldCharType="separate"/>
        </w:r>
        <w:r w:rsidR="00951AFC">
          <w:rPr>
            <w:noProof/>
            <w:webHidden/>
          </w:rPr>
          <w:t>220</w:t>
        </w:r>
        <w:r w:rsidR="00FE5988">
          <w:rPr>
            <w:noProof/>
            <w:webHidden/>
          </w:rPr>
          <w:fldChar w:fldCharType="end"/>
        </w:r>
      </w:hyperlink>
    </w:p>
    <w:p w14:paraId="1226ED54" w14:textId="024DB6E3" w:rsidR="00FE5988" w:rsidRDefault="00900E5C">
      <w:pPr>
        <w:pStyle w:val="TableofFigures"/>
        <w:tabs>
          <w:tab w:val="right" w:leader="dot" w:pos="9010"/>
        </w:tabs>
        <w:rPr>
          <w:rFonts w:asciiTheme="minorHAnsi" w:hAnsiTheme="minorHAnsi"/>
          <w:noProof/>
          <w:sz w:val="22"/>
          <w:szCs w:val="22"/>
          <w:lang w:val="en-AU" w:eastAsia="en-AU"/>
        </w:rPr>
      </w:pPr>
      <w:hyperlink w:anchor="_Toc477347656" w:history="1">
        <w:r w:rsidR="00FE5988" w:rsidRPr="001017E9">
          <w:rPr>
            <w:rStyle w:val="Hyperlink"/>
            <w:noProof/>
          </w:rPr>
          <w:t>Figure 5</w:t>
        </w:r>
        <w:r w:rsidR="00FE5988" w:rsidRPr="001017E9">
          <w:rPr>
            <w:rStyle w:val="Hyperlink"/>
            <w:noProof/>
          </w:rPr>
          <w:noBreakHyphen/>
          <w:t>14 Relative concentration for HMX as a result of biological degradation. Dilution attenuation factor (DAF) and final concentration at receptor (C</w:t>
        </w:r>
        <w:r w:rsidR="00FE5988" w:rsidRPr="001017E9">
          <w:rPr>
            <w:rStyle w:val="Hyperlink"/>
            <w:noProof/>
            <w:vertAlign w:val="subscript"/>
          </w:rPr>
          <w:t>F</w:t>
        </w:r>
        <w:r w:rsidR="00FE5988" w:rsidRPr="001017E9">
          <w:rPr>
            <w:rStyle w:val="Hyperlink"/>
            <w:noProof/>
          </w:rPr>
          <w:t>) derived for minimum (3,660 days) solute travel time for travel time class # 1 (Table 2</w:t>
        </w:r>
        <w:r w:rsidR="00FE5988" w:rsidRPr="001017E9">
          <w:rPr>
            <w:rStyle w:val="Hyperlink"/>
            <w:noProof/>
          </w:rPr>
          <w:noBreakHyphen/>
          <w:t>24). Minimum and maximum half-lives used for anaerobic and aerobic degradation.</w:t>
        </w:r>
        <w:r w:rsidR="00FE5988">
          <w:rPr>
            <w:noProof/>
            <w:webHidden/>
          </w:rPr>
          <w:tab/>
        </w:r>
        <w:r w:rsidR="00FE5988">
          <w:rPr>
            <w:noProof/>
            <w:webHidden/>
          </w:rPr>
          <w:fldChar w:fldCharType="begin"/>
        </w:r>
        <w:r w:rsidR="00FE5988">
          <w:rPr>
            <w:noProof/>
            <w:webHidden/>
          </w:rPr>
          <w:instrText xml:space="preserve"> PAGEREF _Toc477347656 \h </w:instrText>
        </w:r>
        <w:r w:rsidR="00FE5988">
          <w:rPr>
            <w:noProof/>
            <w:webHidden/>
          </w:rPr>
        </w:r>
        <w:r w:rsidR="00FE5988">
          <w:rPr>
            <w:noProof/>
            <w:webHidden/>
          </w:rPr>
          <w:fldChar w:fldCharType="separate"/>
        </w:r>
        <w:r w:rsidR="00951AFC">
          <w:rPr>
            <w:noProof/>
            <w:webHidden/>
          </w:rPr>
          <w:t>220</w:t>
        </w:r>
        <w:r w:rsidR="00FE5988">
          <w:rPr>
            <w:noProof/>
            <w:webHidden/>
          </w:rPr>
          <w:fldChar w:fldCharType="end"/>
        </w:r>
      </w:hyperlink>
    </w:p>
    <w:p w14:paraId="7A6B7439" w14:textId="7A6DE479" w:rsidR="00FE5988" w:rsidRDefault="00900E5C">
      <w:pPr>
        <w:pStyle w:val="TableofFigures"/>
        <w:tabs>
          <w:tab w:val="right" w:leader="dot" w:pos="9010"/>
        </w:tabs>
        <w:rPr>
          <w:rFonts w:asciiTheme="minorHAnsi" w:hAnsiTheme="minorHAnsi"/>
          <w:noProof/>
          <w:sz w:val="22"/>
          <w:szCs w:val="22"/>
          <w:lang w:val="en-AU" w:eastAsia="en-AU"/>
        </w:rPr>
      </w:pPr>
      <w:hyperlink w:anchor="_Toc477347657" w:history="1">
        <w:r w:rsidR="00FE5988" w:rsidRPr="001017E9">
          <w:rPr>
            <w:rStyle w:val="Hyperlink"/>
            <w:noProof/>
          </w:rPr>
          <w:t>Figure 5</w:t>
        </w:r>
        <w:r w:rsidR="00FE5988" w:rsidRPr="001017E9">
          <w:rPr>
            <w:rStyle w:val="Hyperlink"/>
            <w:noProof/>
          </w:rPr>
          <w:noBreakHyphen/>
          <w:t>15 Relative concentration for bronopol as a result of chemical degradation. Minimum and maximum half-lives used for hydrolysis.</w:t>
        </w:r>
        <w:r w:rsidR="00FE5988">
          <w:rPr>
            <w:noProof/>
            <w:webHidden/>
          </w:rPr>
          <w:tab/>
        </w:r>
        <w:r w:rsidR="00FE5988">
          <w:rPr>
            <w:noProof/>
            <w:webHidden/>
          </w:rPr>
          <w:fldChar w:fldCharType="begin"/>
        </w:r>
        <w:r w:rsidR="00FE5988">
          <w:rPr>
            <w:noProof/>
            <w:webHidden/>
          </w:rPr>
          <w:instrText xml:space="preserve"> PAGEREF _Toc477347657 \h </w:instrText>
        </w:r>
        <w:r w:rsidR="00FE5988">
          <w:rPr>
            <w:noProof/>
            <w:webHidden/>
          </w:rPr>
        </w:r>
        <w:r w:rsidR="00FE5988">
          <w:rPr>
            <w:noProof/>
            <w:webHidden/>
          </w:rPr>
          <w:fldChar w:fldCharType="separate"/>
        </w:r>
        <w:r w:rsidR="00951AFC">
          <w:rPr>
            <w:noProof/>
            <w:webHidden/>
          </w:rPr>
          <w:t>221</w:t>
        </w:r>
        <w:r w:rsidR="00FE5988">
          <w:rPr>
            <w:noProof/>
            <w:webHidden/>
          </w:rPr>
          <w:fldChar w:fldCharType="end"/>
        </w:r>
      </w:hyperlink>
    </w:p>
    <w:p w14:paraId="07569E34" w14:textId="64E2F722" w:rsidR="00FE5988" w:rsidRDefault="00900E5C">
      <w:pPr>
        <w:pStyle w:val="TableofFigures"/>
        <w:tabs>
          <w:tab w:val="right" w:leader="dot" w:pos="9010"/>
        </w:tabs>
        <w:rPr>
          <w:rFonts w:asciiTheme="minorHAnsi" w:hAnsiTheme="minorHAnsi"/>
          <w:noProof/>
          <w:sz w:val="22"/>
          <w:szCs w:val="22"/>
          <w:lang w:val="en-AU" w:eastAsia="en-AU"/>
        </w:rPr>
      </w:pPr>
      <w:hyperlink w:anchor="_Toc477347658" w:history="1">
        <w:r w:rsidR="00FE5988" w:rsidRPr="001017E9">
          <w:rPr>
            <w:rStyle w:val="Hyperlink"/>
            <w:noProof/>
          </w:rPr>
          <w:t>Figure 5</w:t>
        </w:r>
        <w:r w:rsidR="00FE5988" w:rsidRPr="001017E9">
          <w:rPr>
            <w:rStyle w:val="Hyperlink"/>
            <w:noProof/>
          </w:rPr>
          <w:noBreakHyphen/>
          <w:t>16 Relative concentration for bronopol as a result of chemical degradation. Dilution attenuation factor (DAF) and final concentration at receptor (C</w:t>
        </w:r>
        <w:r w:rsidR="00FE5988" w:rsidRPr="001017E9">
          <w:rPr>
            <w:rStyle w:val="Hyperlink"/>
            <w:noProof/>
            <w:vertAlign w:val="subscript"/>
          </w:rPr>
          <w:t>F</w:t>
        </w:r>
        <w:r w:rsidR="00FE5988" w:rsidRPr="001017E9">
          <w:rPr>
            <w:rStyle w:val="Hyperlink"/>
            <w:noProof/>
          </w:rPr>
          <w:t>) derived for minimum (3,660 days) solute travel time for travel time class # 1 (Table 2</w:t>
        </w:r>
        <w:r w:rsidR="00FE5988" w:rsidRPr="001017E9">
          <w:rPr>
            <w:rStyle w:val="Hyperlink"/>
            <w:noProof/>
          </w:rPr>
          <w:noBreakHyphen/>
          <w:t>24). Minimum and maximum half-lives used for hydrolysis.</w:t>
        </w:r>
        <w:r w:rsidR="00FE5988">
          <w:rPr>
            <w:noProof/>
            <w:webHidden/>
          </w:rPr>
          <w:tab/>
        </w:r>
        <w:r w:rsidR="00FE5988">
          <w:rPr>
            <w:noProof/>
            <w:webHidden/>
          </w:rPr>
          <w:fldChar w:fldCharType="begin"/>
        </w:r>
        <w:r w:rsidR="00FE5988">
          <w:rPr>
            <w:noProof/>
            <w:webHidden/>
          </w:rPr>
          <w:instrText xml:space="preserve"> PAGEREF _Toc477347658 \h </w:instrText>
        </w:r>
        <w:r w:rsidR="00FE5988">
          <w:rPr>
            <w:noProof/>
            <w:webHidden/>
          </w:rPr>
        </w:r>
        <w:r w:rsidR="00FE5988">
          <w:rPr>
            <w:noProof/>
            <w:webHidden/>
          </w:rPr>
          <w:fldChar w:fldCharType="separate"/>
        </w:r>
        <w:r w:rsidR="00951AFC">
          <w:rPr>
            <w:noProof/>
            <w:webHidden/>
          </w:rPr>
          <w:t>221</w:t>
        </w:r>
        <w:r w:rsidR="00FE5988">
          <w:rPr>
            <w:noProof/>
            <w:webHidden/>
          </w:rPr>
          <w:fldChar w:fldCharType="end"/>
        </w:r>
      </w:hyperlink>
    </w:p>
    <w:p w14:paraId="20FFEF29" w14:textId="722FC9F6" w:rsidR="00FE5988" w:rsidRDefault="00900E5C">
      <w:pPr>
        <w:pStyle w:val="TableofFigures"/>
        <w:tabs>
          <w:tab w:val="right" w:leader="dot" w:pos="9010"/>
        </w:tabs>
        <w:rPr>
          <w:rFonts w:asciiTheme="minorHAnsi" w:hAnsiTheme="minorHAnsi"/>
          <w:noProof/>
          <w:sz w:val="22"/>
          <w:szCs w:val="22"/>
          <w:lang w:val="en-AU" w:eastAsia="en-AU"/>
        </w:rPr>
      </w:pPr>
      <w:hyperlink w:anchor="_Toc477347659" w:history="1">
        <w:r w:rsidR="00FE5988" w:rsidRPr="001017E9">
          <w:rPr>
            <w:rStyle w:val="Hyperlink"/>
            <w:noProof/>
          </w:rPr>
          <w:t>Figure 5</w:t>
        </w:r>
        <w:r w:rsidR="00FE5988" w:rsidRPr="001017E9">
          <w:rPr>
            <w:rStyle w:val="Hyperlink"/>
            <w:noProof/>
          </w:rPr>
          <w:noBreakHyphen/>
          <w:t>17 Relative concentration for MCI as a result of chemical/biological degradation. Maximum half-lives used for anaerobic and aerobic degradation and hydrolysis.</w:t>
        </w:r>
        <w:r w:rsidR="00FE5988">
          <w:rPr>
            <w:noProof/>
            <w:webHidden/>
          </w:rPr>
          <w:tab/>
        </w:r>
        <w:r w:rsidR="00FE5988">
          <w:rPr>
            <w:noProof/>
            <w:webHidden/>
          </w:rPr>
          <w:fldChar w:fldCharType="begin"/>
        </w:r>
        <w:r w:rsidR="00FE5988">
          <w:rPr>
            <w:noProof/>
            <w:webHidden/>
          </w:rPr>
          <w:instrText xml:space="preserve"> PAGEREF _Toc477347659 \h </w:instrText>
        </w:r>
        <w:r w:rsidR="00FE5988">
          <w:rPr>
            <w:noProof/>
            <w:webHidden/>
          </w:rPr>
        </w:r>
        <w:r w:rsidR="00FE5988">
          <w:rPr>
            <w:noProof/>
            <w:webHidden/>
          </w:rPr>
          <w:fldChar w:fldCharType="separate"/>
        </w:r>
        <w:r w:rsidR="00951AFC">
          <w:rPr>
            <w:noProof/>
            <w:webHidden/>
          </w:rPr>
          <w:t>222</w:t>
        </w:r>
        <w:r w:rsidR="00FE5988">
          <w:rPr>
            <w:noProof/>
            <w:webHidden/>
          </w:rPr>
          <w:fldChar w:fldCharType="end"/>
        </w:r>
      </w:hyperlink>
    </w:p>
    <w:p w14:paraId="1586A933" w14:textId="2E63D0D0" w:rsidR="00FE5988" w:rsidRDefault="00900E5C">
      <w:pPr>
        <w:pStyle w:val="TableofFigures"/>
        <w:tabs>
          <w:tab w:val="right" w:leader="dot" w:pos="9010"/>
        </w:tabs>
        <w:rPr>
          <w:rFonts w:asciiTheme="minorHAnsi" w:hAnsiTheme="minorHAnsi"/>
          <w:noProof/>
          <w:sz w:val="22"/>
          <w:szCs w:val="22"/>
          <w:lang w:val="en-AU" w:eastAsia="en-AU"/>
        </w:rPr>
      </w:pPr>
      <w:hyperlink w:anchor="_Toc477347660" w:history="1">
        <w:r w:rsidR="00FE5988" w:rsidRPr="001017E9">
          <w:rPr>
            <w:rStyle w:val="Hyperlink"/>
            <w:noProof/>
          </w:rPr>
          <w:t>Figure 5</w:t>
        </w:r>
        <w:r w:rsidR="00FE5988" w:rsidRPr="001017E9">
          <w:rPr>
            <w:rStyle w:val="Hyperlink"/>
            <w:noProof/>
          </w:rPr>
          <w:noBreakHyphen/>
          <w:t>18 Relative concentration for MCI as a result of chemical/biological degradation. Dilution attenuation factor (DAF) and final concentration at receptor (C</w:t>
        </w:r>
        <w:r w:rsidR="00FE5988" w:rsidRPr="001017E9">
          <w:rPr>
            <w:rStyle w:val="Hyperlink"/>
            <w:noProof/>
            <w:vertAlign w:val="subscript"/>
          </w:rPr>
          <w:t>F</w:t>
        </w:r>
        <w:r w:rsidR="00FE5988" w:rsidRPr="001017E9">
          <w:rPr>
            <w:rStyle w:val="Hyperlink"/>
            <w:noProof/>
          </w:rPr>
          <w:t>) derived for minimum (3,660 days) solute travel time for travel time class # 1 (Table 2</w:t>
        </w:r>
        <w:r w:rsidR="00FE5988" w:rsidRPr="001017E9">
          <w:rPr>
            <w:rStyle w:val="Hyperlink"/>
            <w:noProof/>
          </w:rPr>
          <w:noBreakHyphen/>
          <w:t>24). Maximum half-lives used for anaerobic and aerobic degradation and hydrolysis.</w:t>
        </w:r>
        <w:r w:rsidR="00FE5988">
          <w:rPr>
            <w:noProof/>
            <w:webHidden/>
          </w:rPr>
          <w:tab/>
        </w:r>
        <w:r w:rsidR="00FE5988">
          <w:rPr>
            <w:noProof/>
            <w:webHidden/>
          </w:rPr>
          <w:fldChar w:fldCharType="begin"/>
        </w:r>
        <w:r w:rsidR="00FE5988">
          <w:rPr>
            <w:noProof/>
            <w:webHidden/>
          </w:rPr>
          <w:instrText xml:space="preserve"> PAGEREF _Toc477347660 \h </w:instrText>
        </w:r>
        <w:r w:rsidR="00FE5988">
          <w:rPr>
            <w:noProof/>
            <w:webHidden/>
          </w:rPr>
        </w:r>
        <w:r w:rsidR="00FE5988">
          <w:rPr>
            <w:noProof/>
            <w:webHidden/>
          </w:rPr>
          <w:fldChar w:fldCharType="separate"/>
        </w:r>
        <w:r w:rsidR="00951AFC">
          <w:rPr>
            <w:noProof/>
            <w:webHidden/>
          </w:rPr>
          <w:t>222</w:t>
        </w:r>
        <w:r w:rsidR="00FE5988">
          <w:rPr>
            <w:noProof/>
            <w:webHidden/>
          </w:rPr>
          <w:fldChar w:fldCharType="end"/>
        </w:r>
      </w:hyperlink>
    </w:p>
    <w:p w14:paraId="6A15D0EF" w14:textId="464E8B83" w:rsidR="00FE5988" w:rsidRDefault="00900E5C">
      <w:pPr>
        <w:pStyle w:val="TableofFigures"/>
        <w:tabs>
          <w:tab w:val="right" w:leader="dot" w:pos="9010"/>
        </w:tabs>
        <w:rPr>
          <w:rFonts w:asciiTheme="minorHAnsi" w:hAnsiTheme="minorHAnsi"/>
          <w:noProof/>
          <w:sz w:val="22"/>
          <w:szCs w:val="22"/>
          <w:lang w:val="en-AU" w:eastAsia="en-AU"/>
        </w:rPr>
      </w:pPr>
      <w:hyperlink w:anchor="_Toc477347661" w:history="1">
        <w:r w:rsidR="00FE5988" w:rsidRPr="001017E9">
          <w:rPr>
            <w:rStyle w:val="Hyperlink"/>
            <w:noProof/>
          </w:rPr>
          <w:t>Figure 5</w:t>
        </w:r>
        <w:r w:rsidR="00FE5988" w:rsidRPr="001017E9">
          <w:rPr>
            <w:rStyle w:val="Hyperlink"/>
            <w:noProof/>
          </w:rPr>
          <w:noBreakHyphen/>
          <w:t>19 Comparison between relative concentration at receptor considering anaerobic biodegradation without sorption (R=1) and with sorption (various R</w:t>
        </w:r>
        <w:r w:rsidR="00FE5988" w:rsidRPr="001017E9">
          <w:rPr>
            <w:rStyle w:val="Hyperlink"/>
            <w:noProof/>
            <w:vertAlign w:val="subscript"/>
          </w:rPr>
          <w:t>f</w:t>
        </w:r>
        <w:r w:rsidR="00FE5988" w:rsidRPr="001017E9">
          <w:rPr>
            <w:rStyle w:val="Hyperlink"/>
            <w:noProof/>
          </w:rPr>
          <w:t xml:space="preserve"> values &gt; 1). The fraction of organic carbon (f</w:t>
        </w:r>
        <w:r w:rsidR="00FE5988" w:rsidRPr="001017E9">
          <w:rPr>
            <w:rStyle w:val="Hyperlink"/>
            <w:noProof/>
            <w:vertAlign w:val="subscript"/>
          </w:rPr>
          <w:t>OC_r</w:t>
        </w:r>
        <w:r w:rsidR="00FE5988" w:rsidRPr="001017E9">
          <w:rPr>
            <w:rStyle w:val="Hyperlink"/>
            <w:noProof/>
          </w:rPr>
          <w:t>) is indicated. Calculations based on minimum anaerobic biodegradation rate for 2-methylphenol.</w:t>
        </w:r>
        <w:r w:rsidR="00FE5988">
          <w:rPr>
            <w:noProof/>
            <w:webHidden/>
          </w:rPr>
          <w:tab/>
        </w:r>
        <w:r w:rsidR="00FE5988">
          <w:rPr>
            <w:noProof/>
            <w:webHidden/>
          </w:rPr>
          <w:fldChar w:fldCharType="begin"/>
        </w:r>
        <w:r w:rsidR="00FE5988">
          <w:rPr>
            <w:noProof/>
            <w:webHidden/>
          </w:rPr>
          <w:instrText xml:space="preserve"> PAGEREF _Toc477347661 \h </w:instrText>
        </w:r>
        <w:r w:rsidR="00FE5988">
          <w:rPr>
            <w:noProof/>
            <w:webHidden/>
          </w:rPr>
        </w:r>
        <w:r w:rsidR="00FE5988">
          <w:rPr>
            <w:noProof/>
            <w:webHidden/>
          </w:rPr>
          <w:fldChar w:fldCharType="separate"/>
        </w:r>
        <w:r w:rsidR="00951AFC">
          <w:rPr>
            <w:noProof/>
            <w:webHidden/>
          </w:rPr>
          <w:t>229</w:t>
        </w:r>
        <w:r w:rsidR="00FE5988">
          <w:rPr>
            <w:noProof/>
            <w:webHidden/>
          </w:rPr>
          <w:fldChar w:fldCharType="end"/>
        </w:r>
      </w:hyperlink>
    </w:p>
    <w:p w14:paraId="61FD3EA2" w14:textId="4E4AF329" w:rsidR="00FE5988" w:rsidRDefault="00900E5C">
      <w:pPr>
        <w:pStyle w:val="TableofFigures"/>
        <w:tabs>
          <w:tab w:val="right" w:leader="dot" w:pos="9010"/>
        </w:tabs>
        <w:rPr>
          <w:rFonts w:asciiTheme="minorHAnsi" w:hAnsiTheme="minorHAnsi"/>
          <w:noProof/>
          <w:sz w:val="22"/>
          <w:szCs w:val="22"/>
          <w:lang w:val="en-AU" w:eastAsia="en-AU"/>
        </w:rPr>
      </w:pPr>
      <w:hyperlink w:anchor="_Toc477347662" w:history="1">
        <w:r w:rsidR="00FE5988" w:rsidRPr="001017E9">
          <w:rPr>
            <w:rStyle w:val="Hyperlink"/>
            <w:noProof/>
          </w:rPr>
          <w:t>Figure 5</w:t>
        </w:r>
        <w:r w:rsidR="00FE5988" w:rsidRPr="001017E9">
          <w:rPr>
            <w:rStyle w:val="Hyperlink"/>
            <w:noProof/>
          </w:rPr>
          <w:noBreakHyphen/>
          <w:t>20 Cumulative frequency distribution of injected hydraulic fracturing volumes during 2014 in QLD across 7 production sites (based on data from APPEA).</w:t>
        </w:r>
        <w:r w:rsidR="00FE5988">
          <w:rPr>
            <w:noProof/>
            <w:webHidden/>
          </w:rPr>
          <w:tab/>
        </w:r>
        <w:r w:rsidR="00FE5988">
          <w:rPr>
            <w:noProof/>
            <w:webHidden/>
          </w:rPr>
          <w:fldChar w:fldCharType="begin"/>
        </w:r>
        <w:r w:rsidR="00FE5988">
          <w:rPr>
            <w:noProof/>
            <w:webHidden/>
          </w:rPr>
          <w:instrText xml:space="preserve"> PAGEREF _Toc477347662 \h </w:instrText>
        </w:r>
        <w:r w:rsidR="00FE5988">
          <w:rPr>
            <w:noProof/>
            <w:webHidden/>
          </w:rPr>
        </w:r>
        <w:r w:rsidR="00FE5988">
          <w:rPr>
            <w:noProof/>
            <w:webHidden/>
          </w:rPr>
          <w:fldChar w:fldCharType="separate"/>
        </w:r>
        <w:r w:rsidR="00951AFC">
          <w:rPr>
            <w:noProof/>
            <w:webHidden/>
          </w:rPr>
          <w:t>230</w:t>
        </w:r>
        <w:r w:rsidR="00FE5988">
          <w:rPr>
            <w:noProof/>
            <w:webHidden/>
          </w:rPr>
          <w:fldChar w:fldCharType="end"/>
        </w:r>
      </w:hyperlink>
    </w:p>
    <w:p w14:paraId="4B58B693" w14:textId="2C5F4C2E" w:rsidR="00FE5988" w:rsidRDefault="00900E5C">
      <w:pPr>
        <w:pStyle w:val="TableofFigures"/>
        <w:tabs>
          <w:tab w:val="right" w:leader="dot" w:pos="9010"/>
        </w:tabs>
        <w:rPr>
          <w:rFonts w:asciiTheme="minorHAnsi" w:hAnsiTheme="minorHAnsi"/>
          <w:noProof/>
          <w:sz w:val="22"/>
          <w:szCs w:val="22"/>
          <w:lang w:val="en-AU" w:eastAsia="en-AU"/>
        </w:rPr>
      </w:pPr>
      <w:hyperlink w:anchor="_Toc477347663" w:history="1">
        <w:r w:rsidR="00FE5988" w:rsidRPr="001017E9">
          <w:rPr>
            <w:rStyle w:val="Hyperlink"/>
            <w:noProof/>
          </w:rPr>
          <w:t>Figure 5</w:t>
        </w:r>
        <w:r w:rsidR="00FE5988" w:rsidRPr="001017E9">
          <w:rPr>
            <w:rStyle w:val="Hyperlink"/>
            <w:noProof/>
          </w:rPr>
          <w:noBreakHyphen/>
          <w:t>21 Schematic of fracture zone for a vertical well (left). Cubic (middle) and rectangular (right) source zone used for transport modelling. Dimensions are not to scale.</w:t>
        </w:r>
        <w:r w:rsidR="00FE5988">
          <w:rPr>
            <w:noProof/>
            <w:webHidden/>
          </w:rPr>
          <w:tab/>
        </w:r>
        <w:r w:rsidR="00FE5988">
          <w:rPr>
            <w:noProof/>
            <w:webHidden/>
          </w:rPr>
          <w:fldChar w:fldCharType="begin"/>
        </w:r>
        <w:r w:rsidR="00FE5988">
          <w:rPr>
            <w:noProof/>
            <w:webHidden/>
          </w:rPr>
          <w:instrText xml:space="preserve"> PAGEREF _Toc477347663 \h </w:instrText>
        </w:r>
        <w:r w:rsidR="00FE5988">
          <w:rPr>
            <w:noProof/>
            <w:webHidden/>
          </w:rPr>
        </w:r>
        <w:r w:rsidR="00FE5988">
          <w:rPr>
            <w:noProof/>
            <w:webHidden/>
          </w:rPr>
          <w:fldChar w:fldCharType="separate"/>
        </w:r>
        <w:r w:rsidR="00951AFC">
          <w:rPr>
            <w:noProof/>
            <w:webHidden/>
          </w:rPr>
          <w:t>231</w:t>
        </w:r>
        <w:r w:rsidR="00FE5988">
          <w:rPr>
            <w:noProof/>
            <w:webHidden/>
          </w:rPr>
          <w:fldChar w:fldCharType="end"/>
        </w:r>
      </w:hyperlink>
    </w:p>
    <w:p w14:paraId="25610A8F" w14:textId="5EFA43D8" w:rsidR="00FE5988" w:rsidRDefault="00900E5C">
      <w:pPr>
        <w:pStyle w:val="TableofFigures"/>
        <w:tabs>
          <w:tab w:val="right" w:leader="dot" w:pos="9010"/>
        </w:tabs>
        <w:rPr>
          <w:rFonts w:asciiTheme="minorHAnsi" w:hAnsiTheme="minorHAnsi"/>
          <w:noProof/>
          <w:sz w:val="22"/>
          <w:szCs w:val="22"/>
          <w:lang w:val="en-AU" w:eastAsia="en-AU"/>
        </w:rPr>
      </w:pPr>
      <w:hyperlink w:anchor="_Toc477347664" w:history="1">
        <w:r w:rsidR="00FE5988" w:rsidRPr="001017E9">
          <w:rPr>
            <w:rStyle w:val="Hyperlink"/>
            <w:noProof/>
          </w:rPr>
          <w:t>Figure 5</w:t>
        </w:r>
        <w:r w:rsidR="00FE5988" w:rsidRPr="001017E9">
          <w:rPr>
            <w:rStyle w:val="Hyperlink"/>
            <w:noProof/>
          </w:rPr>
          <w:noBreakHyphen/>
          <w:t>22 Application of 3D analytical solution to the advection-dispersion solute transport equation for the cubic source zone (type C-2). A: Conceptual model of perforated CSG well with fracturing fluid soon after injection; B: Source zone geometry; C: Solute breakthrough curves at 50, 100, and 200 from the source. Particle velocity v = 0.14 m/day.</w:t>
        </w:r>
        <w:r w:rsidR="00FE5988">
          <w:rPr>
            <w:noProof/>
            <w:webHidden/>
          </w:rPr>
          <w:tab/>
        </w:r>
        <w:r w:rsidR="00FE5988">
          <w:rPr>
            <w:noProof/>
            <w:webHidden/>
          </w:rPr>
          <w:fldChar w:fldCharType="begin"/>
        </w:r>
        <w:r w:rsidR="00FE5988">
          <w:rPr>
            <w:noProof/>
            <w:webHidden/>
          </w:rPr>
          <w:instrText xml:space="preserve"> PAGEREF _Toc477347664 \h </w:instrText>
        </w:r>
        <w:r w:rsidR="00FE5988">
          <w:rPr>
            <w:noProof/>
            <w:webHidden/>
          </w:rPr>
        </w:r>
        <w:r w:rsidR="00FE5988">
          <w:rPr>
            <w:noProof/>
            <w:webHidden/>
          </w:rPr>
          <w:fldChar w:fldCharType="separate"/>
        </w:r>
        <w:r w:rsidR="00951AFC">
          <w:rPr>
            <w:noProof/>
            <w:webHidden/>
          </w:rPr>
          <w:t>232</w:t>
        </w:r>
        <w:r w:rsidR="00FE5988">
          <w:rPr>
            <w:noProof/>
            <w:webHidden/>
          </w:rPr>
          <w:fldChar w:fldCharType="end"/>
        </w:r>
      </w:hyperlink>
    </w:p>
    <w:p w14:paraId="16DECBAB" w14:textId="4209AC15" w:rsidR="00FE5988" w:rsidRDefault="00900E5C">
      <w:pPr>
        <w:pStyle w:val="TableofFigures"/>
        <w:tabs>
          <w:tab w:val="right" w:leader="dot" w:pos="9010"/>
        </w:tabs>
        <w:rPr>
          <w:rFonts w:asciiTheme="minorHAnsi" w:hAnsiTheme="minorHAnsi"/>
          <w:noProof/>
          <w:sz w:val="22"/>
          <w:szCs w:val="22"/>
          <w:lang w:val="en-AU" w:eastAsia="en-AU"/>
        </w:rPr>
      </w:pPr>
      <w:hyperlink w:anchor="_Toc477347665" w:history="1">
        <w:r w:rsidR="00FE5988" w:rsidRPr="001017E9">
          <w:rPr>
            <w:rStyle w:val="Hyperlink"/>
            <w:noProof/>
          </w:rPr>
          <w:t>Figure 5</w:t>
        </w:r>
        <w:r w:rsidR="00FE5988" w:rsidRPr="001017E9">
          <w:rPr>
            <w:rStyle w:val="Hyperlink"/>
            <w:noProof/>
          </w:rPr>
          <w:noBreakHyphen/>
          <w:t>23 Calculated particle pathlines in Pilliga Sandstone show receptors-sources connections. Backward partical tracking with 9 particles released per receptor.</w:t>
        </w:r>
        <w:r w:rsidR="00FE5988">
          <w:rPr>
            <w:noProof/>
            <w:webHidden/>
          </w:rPr>
          <w:tab/>
        </w:r>
        <w:r w:rsidR="00FE5988">
          <w:rPr>
            <w:noProof/>
            <w:webHidden/>
          </w:rPr>
          <w:fldChar w:fldCharType="begin"/>
        </w:r>
        <w:r w:rsidR="00FE5988">
          <w:rPr>
            <w:noProof/>
            <w:webHidden/>
          </w:rPr>
          <w:instrText xml:space="preserve"> PAGEREF _Toc477347665 \h </w:instrText>
        </w:r>
        <w:r w:rsidR="00FE5988">
          <w:rPr>
            <w:noProof/>
            <w:webHidden/>
          </w:rPr>
        </w:r>
        <w:r w:rsidR="00FE5988">
          <w:rPr>
            <w:noProof/>
            <w:webHidden/>
          </w:rPr>
          <w:fldChar w:fldCharType="separate"/>
        </w:r>
        <w:r w:rsidR="00951AFC">
          <w:rPr>
            <w:noProof/>
            <w:webHidden/>
          </w:rPr>
          <w:t>235</w:t>
        </w:r>
        <w:r w:rsidR="00FE5988">
          <w:rPr>
            <w:noProof/>
            <w:webHidden/>
          </w:rPr>
          <w:fldChar w:fldCharType="end"/>
        </w:r>
      </w:hyperlink>
    </w:p>
    <w:p w14:paraId="7C38300A" w14:textId="081B69B7" w:rsidR="00FE5988" w:rsidRDefault="00900E5C">
      <w:pPr>
        <w:pStyle w:val="TableofFigures"/>
        <w:tabs>
          <w:tab w:val="right" w:leader="dot" w:pos="9010"/>
        </w:tabs>
        <w:rPr>
          <w:rFonts w:asciiTheme="minorHAnsi" w:hAnsiTheme="minorHAnsi"/>
          <w:noProof/>
          <w:sz w:val="22"/>
          <w:szCs w:val="22"/>
          <w:lang w:val="en-AU" w:eastAsia="en-AU"/>
        </w:rPr>
      </w:pPr>
      <w:hyperlink w:anchor="_Toc477347666" w:history="1">
        <w:r w:rsidR="00FE5988" w:rsidRPr="001017E9">
          <w:rPr>
            <w:rStyle w:val="Hyperlink"/>
            <w:noProof/>
          </w:rPr>
          <w:t>Figure 5</w:t>
        </w:r>
        <w:r w:rsidR="00FE5988" w:rsidRPr="001017E9">
          <w:rPr>
            <w:rStyle w:val="Hyperlink"/>
            <w:noProof/>
          </w:rPr>
          <w:noBreakHyphen/>
          <w:t>24 Calculated barium concentrations (C/C</w:t>
        </w:r>
        <w:r w:rsidR="00FE5988" w:rsidRPr="001017E9">
          <w:rPr>
            <w:rStyle w:val="Hyperlink"/>
            <w:noProof/>
            <w:vertAlign w:val="subscript"/>
          </w:rPr>
          <w:t>0</w:t>
        </w:r>
        <w:r w:rsidR="00FE5988" w:rsidRPr="001017E9">
          <w:rPr>
            <w:rStyle w:val="Hyperlink"/>
            <w:noProof/>
          </w:rPr>
          <w:t>) remaining at receptors (at 50 and 500 m from source) with (retardation R</w:t>
        </w:r>
        <w:r w:rsidR="00FE5988" w:rsidRPr="001017E9">
          <w:rPr>
            <w:rStyle w:val="Hyperlink"/>
            <w:noProof/>
            <w:vertAlign w:val="subscript"/>
          </w:rPr>
          <w:t>f</w:t>
        </w:r>
        <w:r w:rsidR="00FE5988" w:rsidRPr="001017E9">
          <w:rPr>
            <w:rStyle w:val="Hyperlink"/>
            <w:noProof/>
          </w:rPr>
          <w:t xml:space="preserve"> = 4.2) and without (retardation R</w:t>
        </w:r>
        <w:r w:rsidR="00FE5988" w:rsidRPr="001017E9">
          <w:rPr>
            <w:rStyle w:val="Hyperlink"/>
            <w:noProof/>
            <w:vertAlign w:val="subscript"/>
          </w:rPr>
          <w:t>f</w:t>
        </w:r>
        <w:r w:rsidR="00FE5988" w:rsidRPr="001017E9">
          <w:rPr>
            <w:rStyle w:val="Hyperlink"/>
            <w:noProof/>
          </w:rPr>
          <w:t xml:space="preserve"> = 1) sorption.</w:t>
        </w:r>
        <w:r w:rsidR="00FE5988">
          <w:rPr>
            <w:noProof/>
            <w:webHidden/>
          </w:rPr>
          <w:tab/>
        </w:r>
        <w:r w:rsidR="00FE5988">
          <w:rPr>
            <w:noProof/>
            <w:webHidden/>
          </w:rPr>
          <w:fldChar w:fldCharType="begin"/>
        </w:r>
        <w:r w:rsidR="00FE5988">
          <w:rPr>
            <w:noProof/>
            <w:webHidden/>
          </w:rPr>
          <w:instrText xml:space="preserve"> PAGEREF _Toc477347666 \h </w:instrText>
        </w:r>
        <w:r w:rsidR="00FE5988">
          <w:rPr>
            <w:noProof/>
            <w:webHidden/>
          </w:rPr>
        </w:r>
        <w:r w:rsidR="00FE5988">
          <w:rPr>
            <w:noProof/>
            <w:webHidden/>
          </w:rPr>
          <w:fldChar w:fldCharType="separate"/>
        </w:r>
        <w:r w:rsidR="00951AFC">
          <w:rPr>
            <w:noProof/>
            <w:webHidden/>
          </w:rPr>
          <w:t>236</w:t>
        </w:r>
        <w:r w:rsidR="00FE5988">
          <w:rPr>
            <w:noProof/>
            <w:webHidden/>
          </w:rPr>
          <w:fldChar w:fldCharType="end"/>
        </w:r>
      </w:hyperlink>
    </w:p>
    <w:p w14:paraId="1297F66F" w14:textId="1EB33AEB" w:rsidR="00FE5988" w:rsidRDefault="00900E5C">
      <w:pPr>
        <w:pStyle w:val="TableofFigures"/>
        <w:tabs>
          <w:tab w:val="right" w:leader="dot" w:pos="9010"/>
        </w:tabs>
        <w:rPr>
          <w:rFonts w:asciiTheme="minorHAnsi" w:hAnsiTheme="minorHAnsi"/>
          <w:noProof/>
          <w:sz w:val="22"/>
          <w:szCs w:val="22"/>
          <w:lang w:val="en-AU" w:eastAsia="en-AU"/>
        </w:rPr>
      </w:pPr>
      <w:hyperlink w:anchor="_Toc477347667" w:history="1">
        <w:r w:rsidR="00FE5988" w:rsidRPr="001017E9">
          <w:rPr>
            <w:rStyle w:val="Hyperlink"/>
            <w:noProof/>
          </w:rPr>
          <w:t>Figure 5</w:t>
        </w:r>
        <w:r w:rsidR="00FE5988" w:rsidRPr="001017E9">
          <w:rPr>
            <w:rStyle w:val="Hyperlink"/>
            <w:noProof/>
          </w:rPr>
          <w:noBreakHyphen/>
          <w:t>25 Effect of retardation (R</w:t>
        </w:r>
        <w:r w:rsidR="00FE5988" w:rsidRPr="001017E9">
          <w:rPr>
            <w:rStyle w:val="Hyperlink"/>
            <w:noProof/>
            <w:vertAlign w:val="subscript"/>
          </w:rPr>
          <w:t>f</w:t>
        </w:r>
        <w:r w:rsidR="00FE5988" w:rsidRPr="001017E9">
          <w:rPr>
            <w:rStyle w:val="Hyperlink"/>
            <w:noProof/>
          </w:rPr>
          <w:t xml:space="preserve"> = 4.2 and R</w:t>
        </w:r>
        <w:r w:rsidR="00FE5988" w:rsidRPr="001017E9">
          <w:rPr>
            <w:rStyle w:val="Hyperlink"/>
            <w:noProof/>
            <w:vertAlign w:val="subscript"/>
          </w:rPr>
          <w:t>f</w:t>
        </w:r>
        <w:r w:rsidR="00FE5988" w:rsidRPr="001017E9">
          <w:rPr>
            <w:rStyle w:val="Hyperlink"/>
            <w:noProof/>
          </w:rPr>
          <w:t xml:space="preserve"> = 2625) and travel distance (500, 1400, and 3500 m) on barium concentrations at receptors.</w:t>
        </w:r>
        <w:r w:rsidR="00FE5988">
          <w:rPr>
            <w:noProof/>
            <w:webHidden/>
          </w:rPr>
          <w:tab/>
        </w:r>
        <w:r w:rsidR="00FE5988">
          <w:rPr>
            <w:noProof/>
            <w:webHidden/>
          </w:rPr>
          <w:fldChar w:fldCharType="begin"/>
        </w:r>
        <w:r w:rsidR="00FE5988">
          <w:rPr>
            <w:noProof/>
            <w:webHidden/>
          </w:rPr>
          <w:instrText xml:space="preserve"> PAGEREF _Toc477347667 \h </w:instrText>
        </w:r>
        <w:r w:rsidR="00FE5988">
          <w:rPr>
            <w:noProof/>
            <w:webHidden/>
          </w:rPr>
        </w:r>
        <w:r w:rsidR="00FE5988">
          <w:rPr>
            <w:noProof/>
            <w:webHidden/>
          </w:rPr>
          <w:fldChar w:fldCharType="separate"/>
        </w:r>
        <w:r w:rsidR="00951AFC">
          <w:rPr>
            <w:noProof/>
            <w:webHidden/>
          </w:rPr>
          <w:t>236</w:t>
        </w:r>
        <w:r w:rsidR="00FE5988">
          <w:rPr>
            <w:noProof/>
            <w:webHidden/>
          </w:rPr>
          <w:fldChar w:fldCharType="end"/>
        </w:r>
      </w:hyperlink>
    </w:p>
    <w:p w14:paraId="6AD5AB1B" w14:textId="5CE80E01" w:rsidR="00FE5988" w:rsidRDefault="00900E5C">
      <w:pPr>
        <w:pStyle w:val="TableofFigures"/>
        <w:tabs>
          <w:tab w:val="right" w:leader="dot" w:pos="9010"/>
        </w:tabs>
        <w:rPr>
          <w:rFonts w:asciiTheme="minorHAnsi" w:hAnsiTheme="minorHAnsi"/>
          <w:noProof/>
          <w:sz w:val="22"/>
          <w:szCs w:val="22"/>
          <w:lang w:val="en-AU" w:eastAsia="en-AU"/>
        </w:rPr>
      </w:pPr>
      <w:hyperlink w:anchor="_Toc477347668" w:history="1">
        <w:r w:rsidR="00FE5988" w:rsidRPr="001017E9">
          <w:rPr>
            <w:rStyle w:val="Hyperlink"/>
            <w:noProof/>
          </w:rPr>
          <w:t>Figure 5</w:t>
        </w:r>
        <w:r w:rsidR="00FE5988" w:rsidRPr="001017E9">
          <w:rPr>
            <w:rStyle w:val="Hyperlink"/>
            <w:noProof/>
          </w:rPr>
          <w:noBreakHyphen/>
          <w:t>26 Combination of frequency distribution of proximities (distance between CSG well and receptor) and DAF values for 2-methylphenol. Right panel shows DAF values based on chemical/biological degradation and sorption only (top) and DAF values accounting for all three attenuation processes (chemical/biological degradation and sorption and dilution/dispersion). DAF values representative for Pilliga Sandstone conditions.</w:t>
        </w:r>
        <w:r w:rsidR="00FE5988">
          <w:rPr>
            <w:noProof/>
            <w:webHidden/>
          </w:rPr>
          <w:tab/>
        </w:r>
        <w:r w:rsidR="00FE5988">
          <w:rPr>
            <w:noProof/>
            <w:webHidden/>
          </w:rPr>
          <w:fldChar w:fldCharType="begin"/>
        </w:r>
        <w:r w:rsidR="00FE5988">
          <w:rPr>
            <w:noProof/>
            <w:webHidden/>
          </w:rPr>
          <w:instrText xml:space="preserve"> PAGEREF _Toc477347668 \h </w:instrText>
        </w:r>
        <w:r w:rsidR="00FE5988">
          <w:rPr>
            <w:noProof/>
            <w:webHidden/>
          </w:rPr>
        </w:r>
        <w:r w:rsidR="00FE5988">
          <w:rPr>
            <w:noProof/>
            <w:webHidden/>
          </w:rPr>
          <w:fldChar w:fldCharType="separate"/>
        </w:r>
        <w:r w:rsidR="00951AFC">
          <w:rPr>
            <w:noProof/>
            <w:webHidden/>
          </w:rPr>
          <w:t>239</w:t>
        </w:r>
        <w:r w:rsidR="00FE5988">
          <w:rPr>
            <w:noProof/>
            <w:webHidden/>
          </w:rPr>
          <w:fldChar w:fldCharType="end"/>
        </w:r>
      </w:hyperlink>
    </w:p>
    <w:p w14:paraId="22122026" w14:textId="4D6E24E3" w:rsidR="00FE5988" w:rsidRDefault="00900E5C">
      <w:pPr>
        <w:pStyle w:val="TableofFigures"/>
        <w:tabs>
          <w:tab w:val="right" w:leader="dot" w:pos="9010"/>
        </w:tabs>
        <w:rPr>
          <w:rFonts w:asciiTheme="minorHAnsi" w:hAnsiTheme="minorHAnsi"/>
          <w:noProof/>
          <w:sz w:val="22"/>
          <w:szCs w:val="22"/>
          <w:lang w:val="en-AU" w:eastAsia="en-AU"/>
        </w:rPr>
      </w:pPr>
      <w:hyperlink w:anchor="_Toc477347669" w:history="1">
        <w:r w:rsidR="00FE5988" w:rsidRPr="001017E9">
          <w:rPr>
            <w:rStyle w:val="Hyperlink"/>
            <w:noProof/>
          </w:rPr>
          <w:t>Figure 5</w:t>
        </w:r>
        <w:r w:rsidR="00FE5988" w:rsidRPr="001017E9">
          <w:rPr>
            <w:rStyle w:val="Hyperlink"/>
            <w:noProof/>
          </w:rPr>
          <w:noBreakHyphen/>
          <w:t>27 A: Relationship between velocity and dispersion coefficient for different values of dispersivity λL. Blue coloured area indicates dispersion dominated transport (Pe ≤1); green coloured area indicates advection dominated transport (Pe ≥1). B: Barium concentrations at a 500 m receptor using high velocity (0.14 m/day) and low velocity (3.3×10</w:t>
        </w:r>
        <w:r w:rsidR="00FE5988" w:rsidRPr="001017E9">
          <w:rPr>
            <w:rStyle w:val="Hyperlink"/>
            <w:noProof/>
            <w:vertAlign w:val="superscript"/>
          </w:rPr>
          <w:t>-3</w:t>
        </w:r>
        <w:r w:rsidR="00FE5988" w:rsidRPr="001017E9">
          <w:rPr>
            <w:rStyle w:val="Hyperlink"/>
            <w:noProof/>
          </w:rPr>
          <w:t xml:space="preserve"> m/day). Sorption is not considered (R=1).</w:t>
        </w:r>
        <w:r w:rsidR="00FE5988">
          <w:rPr>
            <w:noProof/>
            <w:webHidden/>
          </w:rPr>
          <w:tab/>
        </w:r>
        <w:r w:rsidR="00FE5988">
          <w:rPr>
            <w:noProof/>
            <w:webHidden/>
          </w:rPr>
          <w:fldChar w:fldCharType="begin"/>
        </w:r>
        <w:r w:rsidR="00FE5988">
          <w:rPr>
            <w:noProof/>
            <w:webHidden/>
          </w:rPr>
          <w:instrText xml:space="preserve"> PAGEREF _Toc477347669 \h </w:instrText>
        </w:r>
        <w:r w:rsidR="00FE5988">
          <w:rPr>
            <w:noProof/>
            <w:webHidden/>
          </w:rPr>
        </w:r>
        <w:r w:rsidR="00FE5988">
          <w:rPr>
            <w:noProof/>
            <w:webHidden/>
          </w:rPr>
          <w:fldChar w:fldCharType="separate"/>
        </w:r>
        <w:r w:rsidR="00951AFC">
          <w:rPr>
            <w:noProof/>
            <w:webHidden/>
          </w:rPr>
          <w:t>242</w:t>
        </w:r>
        <w:r w:rsidR="00FE5988">
          <w:rPr>
            <w:noProof/>
            <w:webHidden/>
          </w:rPr>
          <w:fldChar w:fldCharType="end"/>
        </w:r>
      </w:hyperlink>
    </w:p>
    <w:p w14:paraId="2C6816AA" w14:textId="158A0138" w:rsidR="00FE5988" w:rsidRDefault="00900E5C">
      <w:pPr>
        <w:pStyle w:val="TableofFigures"/>
        <w:tabs>
          <w:tab w:val="right" w:leader="dot" w:pos="9010"/>
        </w:tabs>
        <w:rPr>
          <w:rFonts w:asciiTheme="minorHAnsi" w:hAnsiTheme="minorHAnsi"/>
          <w:noProof/>
          <w:sz w:val="22"/>
          <w:szCs w:val="22"/>
          <w:lang w:val="en-AU" w:eastAsia="en-AU"/>
        </w:rPr>
      </w:pPr>
      <w:hyperlink w:anchor="_Toc477347670" w:history="1">
        <w:r w:rsidR="00FE5988" w:rsidRPr="001017E9">
          <w:rPr>
            <w:rStyle w:val="Hyperlink"/>
            <w:noProof/>
          </w:rPr>
          <w:t>Figure 5</w:t>
        </w:r>
        <w:r w:rsidR="00FE5988" w:rsidRPr="001017E9">
          <w:rPr>
            <w:rStyle w:val="Hyperlink"/>
            <w:noProof/>
          </w:rPr>
          <w:noBreakHyphen/>
          <w:t>28 Combination of frequency distribution of proximities (distance between CSG well and receptors: stock and domestic bores, left panel) and DAF values for 2-methylphenol. Right panel shows DAF values based on chemical/biological degradation and sorption only (top) and DAF values accounting for all three attenuation processes (chemical/biological degradation and sorption and dilution/dispersion). DAF values representative for BMO Group conditions (from Table 5</w:t>
        </w:r>
        <w:r w:rsidR="00FE5988" w:rsidRPr="001017E9">
          <w:rPr>
            <w:rStyle w:val="Hyperlink"/>
            <w:noProof/>
          </w:rPr>
          <w:noBreakHyphen/>
          <w:t>22).</w:t>
        </w:r>
        <w:r w:rsidR="00FE5988">
          <w:rPr>
            <w:noProof/>
            <w:webHidden/>
          </w:rPr>
          <w:tab/>
        </w:r>
        <w:r w:rsidR="00FE5988">
          <w:rPr>
            <w:noProof/>
            <w:webHidden/>
          </w:rPr>
          <w:fldChar w:fldCharType="begin"/>
        </w:r>
        <w:r w:rsidR="00FE5988">
          <w:rPr>
            <w:noProof/>
            <w:webHidden/>
          </w:rPr>
          <w:instrText xml:space="preserve"> PAGEREF _Toc477347670 \h </w:instrText>
        </w:r>
        <w:r w:rsidR="00FE5988">
          <w:rPr>
            <w:noProof/>
            <w:webHidden/>
          </w:rPr>
        </w:r>
        <w:r w:rsidR="00FE5988">
          <w:rPr>
            <w:noProof/>
            <w:webHidden/>
          </w:rPr>
          <w:fldChar w:fldCharType="separate"/>
        </w:r>
        <w:r w:rsidR="00951AFC">
          <w:rPr>
            <w:noProof/>
            <w:webHidden/>
          </w:rPr>
          <w:t>243</w:t>
        </w:r>
        <w:r w:rsidR="00FE5988">
          <w:rPr>
            <w:noProof/>
            <w:webHidden/>
          </w:rPr>
          <w:fldChar w:fldCharType="end"/>
        </w:r>
      </w:hyperlink>
    </w:p>
    <w:p w14:paraId="303A4ED3" w14:textId="6A5D7245" w:rsidR="00FE5988" w:rsidRDefault="00900E5C">
      <w:pPr>
        <w:pStyle w:val="TableofFigures"/>
        <w:tabs>
          <w:tab w:val="right" w:leader="dot" w:pos="9010"/>
        </w:tabs>
        <w:rPr>
          <w:rFonts w:asciiTheme="minorHAnsi" w:hAnsiTheme="minorHAnsi"/>
          <w:noProof/>
          <w:sz w:val="22"/>
          <w:szCs w:val="22"/>
          <w:lang w:val="en-AU" w:eastAsia="en-AU"/>
        </w:rPr>
      </w:pPr>
      <w:hyperlink w:anchor="_Toc477347671" w:history="1">
        <w:r w:rsidR="00FE5988" w:rsidRPr="001017E9">
          <w:rPr>
            <w:rStyle w:val="Hyperlink"/>
            <w:noProof/>
          </w:rPr>
          <w:t>Figure 5</w:t>
        </w:r>
        <w:r w:rsidR="00FE5988" w:rsidRPr="001017E9">
          <w:rPr>
            <w:rStyle w:val="Hyperlink"/>
            <w:noProof/>
          </w:rPr>
          <w:noBreakHyphen/>
          <w:t>29 Dilution attenuation factor (DAF) in function of travel distance or setback distance (this is an example only; actual values would need to be developed based on site-specific circumstances).  (A) Dilution and dispersion without degradation and without sorption. Closed circles are calculated; coloured lines are fitted. Cubic source types are C-1 (0.5 ML), C-2 (1 ML) and C-3 (2 ML); open circles are for rectangular source types R-1, R-2 and R-3. (B) Dilution, dispersion and degradation for cubic source type C-2. (C) Dilution, dispersion, degradation and sorption for cubic source type C-2 (half-life T</w:t>
        </w:r>
        <w:r w:rsidR="00FE5988" w:rsidRPr="001017E9">
          <w:rPr>
            <w:rStyle w:val="Hyperlink"/>
            <w:noProof/>
            <w:vertAlign w:val="subscript"/>
          </w:rPr>
          <w:t xml:space="preserve">1/2 </w:t>
        </w:r>
        <w:r w:rsidR="00FE5988" w:rsidRPr="001017E9">
          <w:rPr>
            <w:rStyle w:val="Hyperlink"/>
            <w:noProof/>
          </w:rPr>
          <w:t>= 1,386 days). (D) Dilution, dispersion, degradation and sorption for cubic source type C-2 (half-life T</w:t>
        </w:r>
        <w:r w:rsidR="00FE5988" w:rsidRPr="001017E9">
          <w:rPr>
            <w:rStyle w:val="Hyperlink"/>
            <w:noProof/>
            <w:vertAlign w:val="subscript"/>
          </w:rPr>
          <w:t xml:space="preserve">1/2 </w:t>
        </w:r>
        <w:r w:rsidR="00FE5988" w:rsidRPr="001017E9">
          <w:rPr>
            <w:rStyle w:val="Hyperlink"/>
            <w:noProof/>
          </w:rPr>
          <w:t>= 693 days).</w:t>
        </w:r>
        <w:r w:rsidR="00FE5988">
          <w:rPr>
            <w:noProof/>
            <w:webHidden/>
          </w:rPr>
          <w:tab/>
        </w:r>
        <w:r w:rsidR="00FE5988">
          <w:rPr>
            <w:noProof/>
            <w:webHidden/>
          </w:rPr>
          <w:fldChar w:fldCharType="begin"/>
        </w:r>
        <w:r w:rsidR="00FE5988">
          <w:rPr>
            <w:noProof/>
            <w:webHidden/>
          </w:rPr>
          <w:instrText xml:space="preserve"> PAGEREF _Toc477347671 \h </w:instrText>
        </w:r>
        <w:r w:rsidR="00FE5988">
          <w:rPr>
            <w:noProof/>
            <w:webHidden/>
          </w:rPr>
        </w:r>
        <w:r w:rsidR="00FE5988">
          <w:rPr>
            <w:noProof/>
            <w:webHidden/>
          </w:rPr>
          <w:fldChar w:fldCharType="separate"/>
        </w:r>
        <w:r w:rsidR="00951AFC">
          <w:rPr>
            <w:noProof/>
            <w:webHidden/>
          </w:rPr>
          <w:t>249</w:t>
        </w:r>
        <w:r w:rsidR="00FE5988">
          <w:rPr>
            <w:noProof/>
            <w:webHidden/>
          </w:rPr>
          <w:fldChar w:fldCharType="end"/>
        </w:r>
      </w:hyperlink>
    </w:p>
    <w:p w14:paraId="47EED10A" w14:textId="1DF5B25C" w:rsidR="00FE5988" w:rsidRDefault="00900E5C">
      <w:pPr>
        <w:pStyle w:val="TableofFigures"/>
        <w:tabs>
          <w:tab w:val="right" w:leader="dot" w:pos="9010"/>
        </w:tabs>
        <w:rPr>
          <w:rFonts w:asciiTheme="minorHAnsi" w:hAnsiTheme="minorHAnsi"/>
          <w:noProof/>
          <w:sz w:val="22"/>
          <w:szCs w:val="22"/>
          <w:lang w:val="en-AU" w:eastAsia="en-AU"/>
        </w:rPr>
      </w:pPr>
      <w:hyperlink w:anchor="_Toc477347672" w:history="1">
        <w:r w:rsidR="00FE5988" w:rsidRPr="001017E9">
          <w:rPr>
            <w:rStyle w:val="Hyperlink"/>
            <w:noProof/>
          </w:rPr>
          <w:t>Figure 5</w:t>
        </w:r>
        <w:r w:rsidR="00FE5988" w:rsidRPr="001017E9">
          <w:rPr>
            <w:rStyle w:val="Hyperlink"/>
            <w:noProof/>
          </w:rPr>
          <w:noBreakHyphen/>
          <w:t>30 Estimated maximum chemical concentration prior to injection for different injection volumes (total hydraulic fracture volume in ML, megalitres) and distances to the nearest receptor (0.5, 1, and 2 km). Based on DAF values from Table 5</w:t>
        </w:r>
        <w:r w:rsidR="00FE5988" w:rsidRPr="001017E9">
          <w:rPr>
            <w:rStyle w:val="Hyperlink"/>
            <w:noProof/>
          </w:rPr>
          <w:noBreakHyphen/>
          <w:t>26 (dispersion/dilution only) and PNEC values from Table 5</w:t>
        </w:r>
        <w:r w:rsidR="00FE5988" w:rsidRPr="001017E9">
          <w:rPr>
            <w:rStyle w:val="Hyperlink"/>
            <w:noProof/>
          </w:rPr>
          <w:noBreakHyphen/>
          <w:t>24 . Higher permissible concentrations may be obtained if degradation can be demonstrated.</w:t>
        </w:r>
        <w:r w:rsidR="00FE5988">
          <w:rPr>
            <w:noProof/>
            <w:webHidden/>
          </w:rPr>
          <w:tab/>
        </w:r>
        <w:r w:rsidR="00FE5988">
          <w:rPr>
            <w:noProof/>
            <w:webHidden/>
          </w:rPr>
          <w:fldChar w:fldCharType="begin"/>
        </w:r>
        <w:r w:rsidR="00FE5988">
          <w:rPr>
            <w:noProof/>
            <w:webHidden/>
          </w:rPr>
          <w:instrText xml:space="preserve"> PAGEREF _Toc477347672 \h </w:instrText>
        </w:r>
        <w:r w:rsidR="00FE5988">
          <w:rPr>
            <w:noProof/>
            <w:webHidden/>
          </w:rPr>
        </w:r>
        <w:r w:rsidR="00FE5988">
          <w:rPr>
            <w:noProof/>
            <w:webHidden/>
          </w:rPr>
          <w:fldChar w:fldCharType="separate"/>
        </w:r>
        <w:r w:rsidR="00951AFC">
          <w:rPr>
            <w:noProof/>
            <w:webHidden/>
          </w:rPr>
          <w:t>252</w:t>
        </w:r>
        <w:r w:rsidR="00FE5988">
          <w:rPr>
            <w:noProof/>
            <w:webHidden/>
          </w:rPr>
          <w:fldChar w:fldCharType="end"/>
        </w:r>
      </w:hyperlink>
    </w:p>
    <w:p w14:paraId="2FD6450D" w14:textId="75C83F79" w:rsidR="00FE5988" w:rsidRDefault="00900E5C">
      <w:pPr>
        <w:pStyle w:val="TableofFigures"/>
        <w:tabs>
          <w:tab w:val="right" w:leader="dot" w:pos="9010"/>
        </w:tabs>
        <w:rPr>
          <w:rFonts w:asciiTheme="minorHAnsi" w:hAnsiTheme="minorHAnsi"/>
          <w:noProof/>
          <w:sz w:val="22"/>
          <w:szCs w:val="22"/>
          <w:lang w:val="en-AU" w:eastAsia="en-AU"/>
        </w:rPr>
      </w:pPr>
      <w:hyperlink w:anchor="_Toc477347673" w:history="1">
        <w:r w:rsidR="00FE5988" w:rsidRPr="001017E9">
          <w:rPr>
            <w:rStyle w:val="Hyperlink"/>
            <w:noProof/>
          </w:rPr>
          <w:t>Figure 5</w:t>
        </w:r>
        <w:r w:rsidR="00FE5988" w:rsidRPr="001017E9">
          <w:rPr>
            <w:rStyle w:val="Hyperlink"/>
            <w:noProof/>
          </w:rPr>
          <w:noBreakHyphen/>
          <w:t>31 Estimated maximum half-life T</w:t>
        </w:r>
        <w:r w:rsidR="00FE5988" w:rsidRPr="001017E9">
          <w:rPr>
            <w:rStyle w:val="Hyperlink"/>
            <w:noProof/>
            <w:vertAlign w:val="subscript"/>
          </w:rPr>
          <w:t>1/2</w:t>
        </w:r>
        <w:r w:rsidR="00FE5988" w:rsidRPr="001017E9">
          <w:rPr>
            <w:rStyle w:val="Hyperlink"/>
            <w:noProof/>
          </w:rPr>
          <w:t xml:space="preserve"> (days) to achieve a given DAF for three travel distances to the nearest receptor (0.5, 1, and 2 km) (based on dilution/dispersion model C-2, without sorption).</w:t>
        </w:r>
        <w:r w:rsidR="00FE5988">
          <w:rPr>
            <w:noProof/>
            <w:webHidden/>
          </w:rPr>
          <w:tab/>
        </w:r>
        <w:r w:rsidR="00FE5988">
          <w:rPr>
            <w:noProof/>
            <w:webHidden/>
          </w:rPr>
          <w:fldChar w:fldCharType="begin"/>
        </w:r>
        <w:r w:rsidR="00FE5988">
          <w:rPr>
            <w:noProof/>
            <w:webHidden/>
          </w:rPr>
          <w:instrText xml:space="preserve"> PAGEREF _Toc477347673 \h </w:instrText>
        </w:r>
        <w:r w:rsidR="00FE5988">
          <w:rPr>
            <w:noProof/>
            <w:webHidden/>
          </w:rPr>
        </w:r>
        <w:r w:rsidR="00FE5988">
          <w:rPr>
            <w:noProof/>
            <w:webHidden/>
          </w:rPr>
          <w:fldChar w:fldCharType="separate"/>
        </w:r>
        <w:r w:rsidR="00951AFC">
          <w:rPr>
            <w:noProof/>
            <w:webHidden/>
          </w:rPr>
          <w:t>253</w:t>
        </w:r>
        <w:r w:rsidR="00FE5988">
          <w:rPr>
            <w:noProof/>
            <w:webHidden/>
          </w:rPr>
          <w:fldChar w:fldCharType="end"/>
        </w:r>
      </w:hyperlink>
    </w:p>
    <w:p w14:paraId="5BBB91D7" w14:textId="77777777" w:rsidR="00E713C3" w:rsidRPr="00E6110F" w:rsidRDefault="00084CDD" w:rsidP="00E713C3">
      <w:pPr>
        <w:pStyle w:val="H1"/>
      </w:pPr>
      <w:r w:rsidRPr="00E6110F">
        <w:rPr>
          <w:rFonts w:ascii="Calibri" w:hAnsi="Calibri"/>
          <w:b w:val="0"/>
          <w:bCs w:val="0"/>
          <w:sz w:val="18"/>
        </w:rPr>
        <w:fldChar w:fldCharType="end"/>
      </w:r>
      <w:r w:rsidR="00AA0670" w:rsidRPr="00E6110F">
        <w:t xml:space="preserve"> </w:t>
      </w:r>
      <w:r w:rsidR="007F1009" w:rsidRPr="00E6110F">
        <w:br w:type="page"/>
      </w:r>
    </w:p>
    <w:p w14:paraId="45D6C2EA" w14:textId="77777777" w:rsidR="00AA0670" w:rsidRPr="00E6110F" w:rsidRDefault="00AA0670" w:rsidP="00AA0670">
      <w:pPr>
        <w:pStyle w:val="H1"/>
      </w:pPr>
      <w:r w:rsidRPr="00E6110F">
        <w:t>Tables</w:t>
      </w:r>
    </w:p>
    <w:p w14:paraId="6BC5A655" w14:textId="77777777" w:rsidR="007B70EB" w:rsidRDefault="00084CDD">
      <w:pPr>
        <w:pStyle w:val="TableofFigures"/>
        <w:tabs>
          <w:tab w:val="right" w:leader="dot" w:pos="9010"/>
        </w:tabs>
        <w:rPr>
          <w:rFonts w:asciiTheme="minorHAnsi" w:hAnsiTheme="minorHAnsi"/>
          <w:noProof/>
          <w:sz w:val="22"/>
          <w:szCs w:val="22"/>
          <w:lang w:val="en-AU" w:eastAsia="en-AU"/>
        </w:rPr>
      </w:pPr>
      <w:r w:rsidRPr="00E6110F">
        <w:fldChar w:fldCharType="begin"/>
      </w:r>
      <w:r w:rsidR="00017C3F" w:rsidRPr="00E6110F">
        <w:instrText xml:space="preserve"> TOC \h \z \c "Table" </w:instrText>
      </w:r>
      <w:r w:rsidRPr="00E6110F">
        <w:fldChar w:fldCharType="separate"/>
      </w:r>
      <w:hyperlink w:anchor="_Toc494444691" w:history="1">
        <w:r w:rsidR="007B70EB" w:rsidRPr="00121BC4">
          <w:rPr>
            <w:rStyle w:val="Hyperlink"/>
            <w:noProof/>
          </w:rPr>
          <w:t>Table 2</w:t>
        </w:r>
        <w:r w:rsidR="007B70EB" w:rsidRPr="00121BC4">
          <w:rPr>
            <w:rStyle w:val="Hyperlink"/>
            <w:noProof/>
          </w:rPr>
          <w:noBreakHyphen/>
          <w:t>1. Selection of sources of information used in literature review.</w:t>
        </w:r>
        <w:r w:rsidR="007B70EB">
          <w:rPr>
            <w:noProof/>
            <w:webHidden/>
          </w:rPr>
          <w:tab/>
        </w:r>
        <w:r w:rsidR="007B70EB">
          <w:rPr>
            <w:noProof/>
            <w:webHidden/>
          </w:rPr>
          <w:fldChar w:fldCharType="begin"/>
        </w:r>
        <w:r w:rsidR="007B70EB">
          <w:rPr>
            <w:noProof/>
            <w:webHidden/>
          </w:rPr>
          <w:instrText xml:space="preserve"> PAGEREF _Toc494444691 \h </w:instrText>
        </w:r>
        <w:r w:rsidR="007B70EB">
          <w:rPr>
            <w:noProof/>
            <w:webHidden/>
          </w:rPr>
        </w:r>
        <w:r w:rsidR="007B70EB">
          <w:rPr>
            <w:noProof/>
            <w:webHidden/>
          </w:rPr>
          <w:fldChar w:fldCharType="separate"/>
        </w:r>
        <w:r w:rsidR="007B70EB">
          <w:rPr>
            <w:noProof/>
            <w:webHidden/>
          </w:rPr>
          <w:t>10</w:t>
        </w:r>
        <w:r w:rsidR="007B70EB">
          <w:rPr>
            <w:noProof/>
            <w:webHidden/>
          </w:rPr>
          <w:fldChar w:fldCharType="end"/>
        </w:r>
      </w:hyperlink>
    </w:p>
    <w:p w14:paraId="188AF91A"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692" w:history="1">
        <w:r w:rsidR="007B70EB" w:rsidRPr="00121BC4">
          <w:rPr>
            <w:rStyle w:val="Hyperlink"/>
            <w:noProof/>
          </w:rPr>
          <w:t>Table 2</w:t>
        </w:r>
        <w:r w:rsidR="007B70EB" w:rsidRPr="00121BC4">
          <w:rPr>
            <w:rStyle w:val="Hyperlink"/>
            <w:noProof/>
          </w:rPr>
          <w:noBreakHyphen/>
          <w:t>2 Criteria for degradation threshold (half-life) for determining chemical persistence (EPHC 2009a, b; DoEE 2016a, b).</w:t>
        </w:r>
        <w:r w:rsidR="007B70EB">
          <w:rPr>
            <w:noProof/>
            <w:webHidden/>
          </w:rPr>
          <w:tab/>
        </w:r>
        <w:r w:rsidR="007B70EB">
          <w:rPr>
            <w:noProof/>
            <w:webHidden/>
          </w:rPr>
          <w:fldChar w:fldCharType="begin"/>
        </w:r>
        <w:r w:rsidR="007B70EB">
          <w:rPr>
            <w:noProof/>
            <w:webHidden/>
          </w:rPr>
          <w:instrText xml:space="preserve"> PAGEREF _Toc494444692 \h </w:instrText>
        </w:r>
        <w:r w:rsidR="007B70EB">
          <w:rPr>
            <w:noProof/>
            <w:webHidden/>
          </w:rPr>
        </w:r>
        <w:r w:rsidR="007B70EB">
          <w:rPr>
            <w:noProof/>
            <w:webHidden/>
          </w:rPr>
          <w:fldChar w:fldCharType="separate"/>
        </w:r>
        <w:r w:rsidR="007B70EB">
          <w:rPr>
            <w:noProof/>
            <w:webHidden/>
          </w:rPr>
          <w:t>34</w:t>
        </w:r>
        <w:r w:rsidR="007B70EB">
          <w:rPr>
            <w:noProof/>
            <w:webHidden/>
          </w:rPr>
          <w:fldChar w:fldCharType="end"/>
        </w:r>
      </w:hyperlink>
    </w:p>
    <w:p w14:paraId="2683156A"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693" w:history="1">
        <w:r w:rsidR="007B70EB" w:rsidRPr="00121BC4">
          <w:rPr>
            <w:rStyle w:val="Hyperlink"/>
            <w:noProof/>
          </w:rPr>
          <w:t>Table 2</w:t>
        </w:r>
        <w:r w:rsidR="007B70EB" w:rsidRPr="00121BC4">
          <w:rPr>
            <w:rStyle w:val="Hyperlink"/>
            <w:noProof/>
          </w:rPr>
          <w:noBreakHyphen/>
          <w:t>3 MCDA results for selected chemicals used in hydraulic fracturing fluid (HFF) and detected in flowback and produced water (FPW) (US EPA 2016a).</w:t>
        </w:r>
        <w:r w:rsidR="007B70EB">
          <w:rPr>
            <w:noProof/>
            <w:webHidden/>
          </w:rPr>
          <w:tab/>
        </w:r>
        <w:r w:rsidR="007B70EB">
          <w:rPr>
            <w:noProof/>
            <w:webHidden/>
          </w:rPr>
          <w:fldChar w:fldCharType="begin"/>
        </w:r>
        <w:r w:rsidR="007B70EB">
          <w:rPr>
            <w:noProof/>
            <w:webHidden/>
          </w:rPr>
          <w:instrText xml:space="preserve"> PAGEREF _Toc494444693 \h </w:instrText>
        </w:r>
        <w:r w:rsidR="007B70EB">
          <w:rPr>
            <w:noProof/>
            <w:webHidden/>
          </w:rPr>
        </w:r>
        <w:r w:rsidR="007B70EB">
          <w:rPr>
            <w:noProof/>
            <w:webHidden/>
          </w:rPr>
          <w:fldChar w:fldCharType="separate"/>
        </w:r>
        <w:r w:rsidR="007B70EB">
          <w:rPr>
            <w:noProof/>
            <w:webHidden/>
          </w:rPr>
          <w:t>40</w:t>
        </w:r>
        <w:r w:rsidR="007B70EB">
          <w:rPr>
            <w:noProof/>
            <w:webHidden/>
          </w:rPr>
          <w:fldChar w:fldCharType="end"/>
        </w:r>
      </w:hyperlink>
    </w:p>
    <w:p w14:paraId="0DD95B7A"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694" w:history="1">
        <w:r w:rsidR="007B70EB" w:rsidRPr="00121BC4">
          <w:rPr>
            <w:rStyle w:val="Hyperlink"/>
            <w:noProof/>
          </w:rPr>
          <w:t>Table 2</w:t>
        </w:r>
        <w:r w:rsidR="007B70EB" w:rsidRPr="00121BC4">
          <w:rPr>
            <w:rStyle w:val="Hyperlink"/>
            <w:noProof/>
          </w:rPr>
          <w:noBreakHyphen/>
          <w:t>4. Summary of existing screening methodologies to identify chemicals of low concern for human health and environment</w:t>
        </w:r>
        <w:r w:rsidR="007B70EB">
          <w:rPr>
            <w:noProof/>
            <w:webHidden/>
          </w:rPr>
          <w:tab/>
        </w:r>
        <w:r w:rsidR="007B70EB">
          <w:rPr>
            <w:noProof/>
            <w:webHidden/>
          </w:rPr>
          <w:fldChar w:fldCharType="begin"/>
        </w:r>
        <w:r w:rsidR="007B70EB">
          <w:rPr>
            <w:noProof/>
            <w:webHidden/>
          </w:rPr>
          <w:instrText xml:space="preserve"> PAGEREF _Toc494444694 \h </w:instrText>
        </w:r>
        <w:r w:rsidR="007B70EB">
          <w:rPr>
            <w:noProof/>
            <w:webHidden/>
          </w:rPr>
        </w:r>
        <w:r w:rsidR="007B70EB">
          <w:rPr>
            <w:noProof/>
            <w:webHidden/>
          </w:rPr>
          <w:fldChar w:fldCharType="separate"/>
        </w:r>
        <w:r w:rsidR="007B70EB">
          <w:rPr>
            <w:noProof/>
            <w:webHidden/>
          </w:rPr>
          <w:t>43</w:t>
        </w:r>
        <w:r w:rsidR="007B70EB">
          <w:rPr>
            <w:noProof/>
            <w:webHidden/>
          </w:rPr>
          <w:fldChar w:fldCharType="end"/>
        </w:r>
      </w:hyperlink>
    </w:p>
    <w:p w14:paraId="6697143C"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695" w:history="1">
        <w:r w:rsidR="007B70EB" w:rsidRPr="00121BC4">
          <w:rPr>
            <w:rStyle w:val="Hyperlink"/>
            <w:noProof/>
          </w:rPr>
          <w:t>Table 2</w:t>
        </w:r>
        <w:r w:rsidR="007B70EB" w:rsidRPr="00121BC4">
          <w:rPr>
            <w:rStyle w:val="Hyperlink"/>
            <w:noProof/>
          </w:rPr>
          <w:noBreakHyphen/>
          <w:t>5 Identified lists/groups for determining chemicals of low concern.</w:t>
        </w:r>
        <w:r w:rsidR="007B70EB">
          <w:rPr>
            <w:noProof/>
            <w:webHidden/>
          </w:rPr>
          <w:tab/>
        </w:r>
        <w:r w:rsidR="007B70EB">
          <w:rPr>
            <w:noProof/>
            <w:webHidden/>
          </w:rPr>
          <w:fldChar w:fldCharType="begin"/>
        </w:r>
        <w:r w:rsidR="007B70EB">
          <w:rPr>
            <w:noProof/>
            <w:webHidden/>
          </w:rPr>
          <w:instrText xml:space="preserve"> PAGEREF _Toc494444695 \h </w:instrText>
        </w:r>
        <w:r w:rsidR="007B70EB">
          <w:rPr>
            <w:noProof/>
            <w:webHidden/>
          </w:rPr>
        </w:r>
        <w:r w:rsidR="007B70EB">
          <w:rPr>
            <w:noProof/>
            <w:webHidden/>
          </w:rPr>
          <w:fldChar w:fldCharType="separate"/>
        </w:r>
        <w:r w:rsidR="007B70EB">
          <w:rPr>
            <w:noProof/>
            <w:webHidden/>
          </w:rPr>
          <w:t>45</w:t>
        </w:r>
        <w:r w:rsidR="007B70EB">
          <w:rPr>
            <w:noProof/>
            <w:webHidden/>
          </w:rPr>
          <w:fldChar w:fldCharType="end"/>
        </w:r>
      </w:hyperlink>
    </w:p>
    <w:p w14:paraId="4CF0357C"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696" w:history="1">
        <w:r w:rsidR="007B70EB" w:rsidRPr="00121BC4">
          <w:rPr>
            <w:rStyle w:val="Hyperlink"/>
            <w:noProof/>
          </w:rPr>
          <w:t>Table 2</w:t>
        </w:r>
        <w:r w:rsidR="007B70EB" w:rsidRPr="00121BC4">
          <w:rPr>
            <w:rStyle w:val="Hyperlink"/>
            <w:noProof/>
          </w:rPr>
          <w:noBreakHyphen/>
          <w:t>6. Chemicals selected for screening and attenuation analysis. NCA = National Assessment of Chemicals Associated with Coal Seam Gas Extraction in Australia</w:t>
        </w:r>
        <w:r w:rsidR="007B70EB">
          <w:rPr>
            <w:noProof/>
            <w:webHidden/>
          </w:rPr>
          <w:tab/>
        </w:r>
        <w:r w:rsidR="007B70EB">
          <w:rPr>
            <w:noProof/>
            <w:webHidden/>
          </w:rPr>
          <w:fldChar w:fldCharType="begin"/>
        </w:r>
        <w:r w:rsidR="007B70EB">
          <w:rPr>
            <w:noProof/>
            <w:webHidden/>
          </w:rPr>
          <w:instrText xml:space="preserve"> PAGEREF _Toc494444696 \h </w:instrText>
        </w:r>
        <w:r w:rsidR="007B70EB">
          <w:rPr>
            <w:noProof/>
            <w:webHidden/>
          </w:rPr>
        </w:r>
        <w:r w:rsidR="007B70EB">
          <w:rPr>
            <w:noProof/>
            <w:webHidden/>
          </w:rPr>
          <w:fldChar w:fldCharType="separate"/>
        </w:r>
        <w:r w:rsidR="007B70EB">
          <w:rPr>
            <w:noProof/>
            <w:webHidden/>
          </w:rPr>
          <w:t>53</w:t>
        </w:r>
        <w:r w:rsidR="007B70EB">
          <w:rPr>
            <w:noProof/>
            <w:webHidden/>
          </w:rPr>
          <w:fldChar w:fldCharType="end"/>
        </w:r>
      </w:hyperlink>
    </w:p>
    <w:p w14:paraId="3640C145"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697" w:history="1">
        <w:r w:rsidR="007B70EB" w:rsidRPr="00121BC4">
          <w:rPr>
            <w:rStyle w:val="Hyperlink"/>
            <w:noProof/>
          </w:rPr>
          <w:t>Table 2</w:t>
        </w:r>
        <w:r w:rsidR="007B70EB" w:rsidRPr="00121BC4">
          <w:rPr>
            <w:rStyle w:val="Hyperlink"/>
            <w:noProof/>
          </w:rPr>
          <w:noBreakHyphen/>
          <w:t>7. Background boron concentrations (mg/L) in Surat Basin formations (Ransley et al. 2015).</w:t>
        </w:r>
        <w:r w:rsidR="007B70EB">
          <w:rPr>
            <w:noProof/>
            <w:webHidden/>
          </w:rPr>
          <w:tab/>
        </w:r>
        <w:r w:rsidR="007B70EB">
          <w:rPr>
            <w:noProof/>
            <w:webHidden/>
          </w:rPr>
          <w:fldChar w:fldCharType="begin"/>
        </w:r>
        <w:r w:rsidR="007B70EB">
          <w:rPr>
            <w:noProof/>
            <w:webHidden/>
          </w:rPr>
          <w:instrText xml:space="preserve"> PAGEREF _Toc494444697 \h </w:instrText>
        </w:r>
        <w:r w:rsidR="007B70EB">
          <w:rPr>
            <w:noProof/>
            <w:webHidden/>
          </w:rPr>
        </w:r>
        <w:r w:rsidR="007B70EB">
          <w:rPr>
            <w:noProof/>
            <w:webHidden/>
          </w:rPr>
          <w:fldChar w:fldCharType="separate"/>
        </w:r>
        <w:r w:rsidR="007B70EB">
          <w:rPr>
            <w:noProof/>
            <w:webHidden/>
          </w:rPr>
          <w:t>57</w:t>
        </w:r>
        <w:r w:rsidR="007B70EB">
          <w:rPr>
            <w:noProof/>
            <w:webHidden/>
          </w:rPr>
          <w:fldChar w:fldCharType="end"/>
        </w:r>
      </w:hyperlink>
    </w:p>
    <w:p w14:paraId="6D434B21"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698" w:history="1">
        <w:r w:rsidR="007B70EB" w:rsidRPr="00121BC4">
          <w:rPr>
            <w:rStyle w:val="Hyperlink"/>
            <w:noProof/>
          </w:rPr>
          <w:t>Table 2</w:t>
        </w:r>
        <w:r w:rsidR="007B70EB" w:rsidRPr="00121BC4">
          <w:rPr>
            <w:rStyle w:val="Hyperlink"/>
            <w:noProof/>
          </w:rPr>
          <w:noBreakHyphen/>
          <w:t>8. Background arsenic concentrations (mg/L) in Surat Basin formations (Ransley et al. 2015).</w:t>
        </w:r>
        <w:r w:rsidR="007B70EB">
          <w:rPr>
            <w:noProof/>
            <w:webHidden/>
          </w:rPr>
          <w:tab/>
        </w:r>
        <w:r w:rsidR="007B70EB">
          <w:rPr>
            <w:noProof/>
            <w:webHidden/>
          </w:rPr>
          <w:fldChar w:fldCharType="begin"/>
        </w:r>
        <w:r w:rsidR="007B70EB">
          <w:rPr>
            <w:noProof/>
            <w:webHidden/>
          </w:rPr>
          <w:instrText xml:space="preserve"> PAGEREF _Toc494444698 \h </w:instrText>
        </w:r>
        <w:r w:rsidR="007B70EB">
          <w:rPr>
            <w:noProof/>
            <w:webHidden/>
          </w:rPr>
        </w:r>
        <w:r w:rsidR="007B70EB">
          <w:rPr>
            <w:noProof/>
            <w:webHidden/>
          </w:rPr>
          <w:fldChar w:fldCharType="separate"/>
        </w:r>
        <w:r w:rsidR="007B70EB">
          <w:rPr>
            <w:noProof/>
            <w:webHidden/>
          </w:rPr>
          <w:t>58</w:t>
        </w:r>
        <w:r w:rsidR="007B70EB">
          <w:rPr>
            <w:noProof/>
            <w:webHidden/>
          </w:rPr>
          <w:fldChar w:fldCharType="end"/>
        </w:r>
      </w:hyperlink>
    </w:p>
    <w:p w14:paraId="49A633BD"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699" w:history="1">
        <w:r w:rsidR="007B70EB" w:rsidRPr="00121BC4">
          <w:rPr>
            <w:rStyle w:val="Hyperlink"/>
            <w:noProof/>
          </w:rPr>
          <w:t>Table 2</w:t>
        </w:r>
        <w:r w:rsidR="007B70EB" w:rsidRPr="00121BC4">
          <w:rPr>
            <w:rStyle w:val="Hyperlink"/>
            <w:noProof/>
          </w:rPr>
          <w:noBreakHyphen/>
          <w:t>9. Background barium concentrations (mg/L) in Surat Basin formations (Ransley et al. 2015). n.d. = no data</w:t>
        </w:r>
        <w:r w:rsidR="007B70EB">
          <w:rPr>
            <w:noProof/>
            <w:webHidden/>
          </w:rPr>
          <w:tab/>
        </w:r>
        <w:r w:rsidR="007B70EB">
          <w:rPr>
            <w:noProof/>
            <w:webHidden/>
          </w:rPr>
          <w:fldChar w:fldCharType="begin"/>
        </w:r>
        <w:r w:rsidR="007B70EB">
          <w:rPr>
            <w:noProof/>
            <w:webHidden/>
          </w:rPr>
          <w:instrText xml:space="preserve"> PAGEREF _Toc494444699 \h </w:instrText>
        </w:r>
        <w:r w:rsidR="007B70EB">
          <w:rPr>
            <w:noProof/>
            <w:webHidden/>
          </w:rPr>
        </w:r>
        <w:r w:rsidR="007B70EB">
          <w:rPr>
            <w:noProof/>
            <w:webHidden/>
          </w:rPr>
          <w:fldChar w:fldCharType="separate"/>
        </w:r>
        <w:r w:rsidR="007B70EB">
          <w:rPr>
            <w:noProof/>
            <w:webHidden/>
          </w:rPr>
          <w:t>61</w:t>
        </w:r>
        <w:r w:rsidR="007B70EB">
          <w:rPr>
            <w:noProof/>
            <w:webHidden/>
          </w:rPr>
          <w:fldChar w:fldCharType="end"/>
        </w:r>
      </w:hyperlink>
    </w:p>
    <w:p w14:paraId="081BB227"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00" w:history="1">
        <w:r w:rsidR="007B70EB" w:rsidRPr="00121BC4">
          <w:rPr>
            <w:rStyle w:val="Hyperlink"/>
            <w:noProof/>
          </w:rPr>
          <w:t>Table 2</w:t>
        </w:r>
        <w:r w:rsidR="007B70EB" w:rsidRPr="00121BC4">
          <w:rPr>
            <w:rStyle w:val="Hyperlink"/>
            <w:noProof/>
          </w:rPr>
          <w:noBreakHyphen/>
          <w:t>10 Summary of ecological assets within the preliminary assessment extent of the Namoi subregion (O’Grady et al. 2015). Only the water-dependent assets within the 30-km buffer area are considered in the current study.</w:t>
        </w:r>
        <w:r w:rsidR="007B70EB">
          <w:rPr>
            <w:noProof/>
            <w:webHidden/>
          </w:rPr>
          <w:tab/>
        </w:r>
        <w:r w:rsidR="007B70EB">
          <w:rPr>
            <w:noProof/>
            <w:webHidden/>
          </w:rPr>
          <w:fldChar w:fldCharType="begin"/>
        </w:r>
        <w:r w:rsidR="007B70EB">
          <w:rPr>
            <w:noProof/>
            <w:webHidden/>
          </w:rPr>
          <w:instrText xml:space="preserve"> PAGEREF _Toc494444700 \h </w:instrText>
        </w:r>
        <w:r w:rsidR="007B70EB">
          <w:rPr>
            <w:noProof/>
            <w:webHidden/>
          </w:rPr>
        </w:r>
        <w:r w:rsidR="007B70EB">
          <w:rPr>
            <w:noProof/>
            <w:webHidden/>
          </w:rPr>
          <w:fldChar w:fldCharType="separate"/>
        </w:r>
        <w:r w:rsidR="007B70EB">
          <w:rPr>
            <w:noProof/>
            <w:webHidden/>
          </w:rPr>
          <w:t>64</w:t>
        </w:r>
        <w:r w:rsidR="007B70EB">
          <w:rPr>
            <w:noProof/>
            <w:webHidden/>
          </w:rPr>
          <w:fldChar w:fldCharType="end"/>
        </w:r>
      </w:hyperlink>
    </w:p>
    <w:p w14:paraId="298E4980"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01" w:history="1">
        <w:r w:rsidR="007B70EB" w:rsidRPr="00121BC4">
          <w:rPr>
            <w:rStyle w:val="Hyperlink"/>
            <w:noProof/>
          </w:rPr>
          <w:t>Table 2</w:t>
        </w:r>
        <w:r w:rsidR="007B70EB" w:rsidRPr="00121BC4">
          <w:rPr>
            <w:rStyle w:val="Hyperlink"/>
            <w:noProof/>
          </w:rPr>
          <w:noBreakHyphen/>
          <w:t>11 Classification of economic elements to create economic assets in the Namoi asset database (O’Grady et al. 2015). Only the water-dependent assets within the 30-km buffer area are considered in the current study.</w:t>
        </w:r>
        <w:r w:rsidR="007B70EB">
          <w:rPr>
            <w:noProof/>
            <w:webHidden/>
          </w:rPr>
          <w:tab/>
        </w:r>
        <w:r w:rsidR="007B70EB">
          <w:rPr>
            <w:noProof/>
            <w:webHidden/>
          </w:rPr>
          <w:fldChar w:fldCharType="begin"/>
        </w:r>
        <w:r w:rsidR="007B70EB">
          <w:rPr>
            <w:noProof/>
            <w:webHidden/>
          </w:rPr>
          <w:instrText xml:space="preserve"> PAGEREF _Toc494444701 \h </w:instrText>
        </w:r>
        <w:r w:rsidR="007B70EB">
          <w:rPr>
            <w:noProof/>
            <w:webHidden/>
          </w:rPr>
        </w:r>
        <w:r w:rsidR="007B70EB">
          <w:rPr>
            <w:noProof/>
            <w:webHidden/>
          </w:rPr>
          <w:fldChar w:fldCharType="separate"/>
        </w:r>
        <w:r w:rsidR="007B70EB">
          <w:rPr>
            <w:noProof/>
            <w:webHidden/>
          </w:rPr>
          <w:t>70</w:t>
        </w:r>
        <w:r w:rsidR="007B70EB">
          <w:rPr>
            <w:noProof/>
            <w:webHidden/>
          </w:rPr>
          <w:fldChar w:fldCharType="end"/>
        </w:r>
      </w:hyperlink>
    </w:p>
    <w:p w14:paraId="52A68A57"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02" w:history="1">
        <w:r w:rsidR="007B70EB" w:rsidRPr="00121BC4">
          <w:rPr>
            <w:rStyle w:val="Hyperlink"/>
            <w:noProof/>
          </w:rPr>
          <w:t>Table 2</w:t>
        </w:r>
        <w:r w:rsidR="007B70EB" w:rsidRPr="00121BC4">
          <w:rPr>
            <w:rStyle w:val="Hyperlink"/>
            <w:noProof/>
          </w:rPr>
          <w:noBreakHyphen/>
          <w:t>12 Summary of ecological assets within the preliminary assessment extent of the MBC subregion. Only the water-dependent assets within the particle tracking extent buffer area are considered in the current study. Note that not all assets may be visible on the graphical displays due to clustering of data points.</w:t>
        </w:r>
        <w:r w:rsidR="007B70EB">
          <w:rPr>
            <w:noProof/>
            <w:webHidden/>
          </w:rPr>
          <w:tab/>
        </w:r>
        <w:r w:rsidR="007B70EB">
          <w:rPr>
            <w:noProof/>
            <w:webHidden/>
          </w:rPr>
          <w:fldChar w:fldCharType="begin"/>
        </w:r>
        <w:r w:rsidR="007B70EB">
          <w:rPr>
            <w:noProof/>
            <w:webHidden/>
          </w:rPr>
          <w:instrText xml:space="preserve"> PAGEREF _Toc494444702 \h </w:instrText>
        </w:r>
        <w:r w:rsidR="007B70EB">
          <w:rPr>
            <w:noProof/>
            <w:webHidden/>
          </w:rPr>
        </w:r>
        <w:r w:rsidR="007B70EB">
          <w:rPr>
            <w:noProof/>
            <w:webHidden/>
          </w:rPr>
          <w:fldChar w:fldCharType="separate"/>
        </w:r>
        <w:r w:rsidR="007B70EB">
          <w:rPr>
            <w:noProof/>
            <w:webHidden/>
          </w:rPr>
          <w:t>75</w:t>
        </w:r>
        <w:r w:rsidR="007B70EB">
          <w:rPr>
            <w:noProof/>
            <w:webHidden/>
          </w:rPr>
          <w:fldChar w:fldCharType="end"/>
        </w:r>
      </w:hyperlink>
    </w:p>
    <w:p w14:paraId="5A161973"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03" w:history="1">
        <w:r w:rsidR="007B70EB" w:rsidRPr="00121BC4">
          <w:rPr>
            <w:rStyle w:val="Hyperlink"/>
            <w:noProof/>
          </w:rPr>
          <w:t>Table 2</w:t>
        </w:r>
        <w:r w:rsidR="007B70EB" w:rsidRPr="00121BC4">
          <w:rPr>
            <w:rStyle w:val="Hyperlink"/>
            <w:noProof/>
          </w:rPr>
          <w:noBreakHyphen/>
          <w:t>13 Summary of economic assets within the preliminary assessment extent of the MBC subregion. Only the water-dependent assets within the particle tracking extent buffer area are considered in the current study.</w:t>
        </w:r>
        <w:r w:rsidR="007B70EB">
          <w:rPr>
            <w:noProof/>
            <w:webHidden/>
          </w:rPr>
          <w:tab/>
        </w:r>
        <w:r w:rsidR="007B70EB">
          <w:rPr>
            <w:noProof/>
            <w:webHidden/>
          </w:rPr>
          <w:fldChar w:fldCharType="begin"/>
        </w:r>
        <w:r w:rsidR="007B70EB">
          <w:rPr>
            <w:noProof/>
            <w:webHidden/>
          </w:rPr>
          <w:instrText xml:space="preserve"> PAGEREF _Toc494444703 \h </w:instrText>
        </w:r>
        <w:r w:rsidR="007B70EB">
          <w:rPr>
            <w:noProof/>
            <w:webHidden/>
          </w:rPr>
        </w:r>
        <w:r w:rsidR="007B70EB">
          <w:rPr>
            <w:noProof/>
            <w:webHidden/>
          </w:rPr>
          <w:fldChar w:fldCharType="separate"/>
        </w:r>
        <w:r w:rsidR="007B70EB">
          <w:rPr>
            <w:noProof/>
            <w:webHidden/>
          </w:rPr>
          <w:t>79</w:t>
        </w:r>
        <w:r w:rsidR="007B70EB">
          <w:rPr>
            <w:noProof/>
            <w:webHidden/>
          </w:rPr>
          <w:fldChar w:fldCharType="end"/>
        </w:r>
      </w:hyperlink>
    </w:p>
    <w:p w14:paraId="1CDB358F"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04" w:history="1">
        <w:r w:rsidR="007B70EB" w:rsidRPr="00121BC4">
          <w:rPr>
            <w:rStyle w:val="Hyperlink"/>
            <w:noProof/>
          </w:rPr>
          <w:t>Table 2</w:t>
        </w:r>
        <w:r w:rsidR="007B70EB" w:rsidRPr="00121BC4">
          <w:rPr>
            <w:rStyle w:val="Hyperlink"/>
            <w:noProof/>
          </w:rPr>
          <w:noBreakHyphen/>
          <w:t>14 Summary of sociocultural assets within the preliminary assessment extent of the MBC subregion. Only the water-dependent assets within the particle tracking extent buffer area are considered in the current study.</w:t>
        </w:r>
        <w:r w:rsidR="007B70EB">
          <w:rPr>
            <w:noProof/>
            <w:webHidden/>
          </w:rPr>
          <w:tab/>
        </w:r>
        <w:r w:rsidR="007B70EB">
          <w:rPr>
            <w:noProof/>
            <w:webHidden/>
          </w:rPr>
          <w:fldChar w:fldCharType="begin"/>
        </w:r>
        <w:r w:rsidR="007B70EB">
          <w:rPr>
            <w:noProof/>
            <w:webHidden/>
          </w:rPr>
          <w:instrText xml:space="preserve"> PAGEREF _Toc494444704 \h </w:instrText>
        </w:r>
        <w:r w:rsidR="007B70EB">
          <w:rPr>
            <w:noProof/>
            <w:webHidden/>
          </w:rPr>
        </w:r>
        <w:r w:rsidR="007B70EB">
          <w:rPr>
            <w:noProof/>
            <w:webHidden/>
          </w:rPr>
          <w:fldChar w:fldCharType="separate"/>
        </w:r>
        <w:r w:rsidR="007B70EB">
          <w:rPr>
            <w:noProof/>
            <w:webHidden/>
          </w:rPr>
          <w:t>82</w:t>
        </w:r>
        <w:r w:rsidR="007B70EB">
          <w:rPr>
            <w:noProof/>
            <w:webHidden/>
          </w:rPr>
          <w:fldChar w:fldCharType="end"/>
        </w:r>
      </w:hyperlink>
    </w:p>
    <w:p w14:paraId="20A26E31"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05" w:history="1">
        <w:r w:rsidR="007B70EB" w:rsidRPr="00121BC4">
          <w:rPr>
            <w:rStyle w:val="Hyperlink"/>
            <w:noProof/>
          </w:rPr>
          <w:t>Table 2</w:t>
        </w:r>
        <w:r w:rsidR="007B70EB" w:rsidRPr="00121BC4">
          <w:rPr>
            <w:rStyle w:val="Hyperlink"/>
            <w:noProof/>
          </w:rPr>
          <w:noBreakHyphen/>
          <w:t>15 Lines of evidence relevant to plausible Pathway A.</w:t>
        </w:r>
        <w:r w:rsidR="007B70EB">
          <w:rPr>
            <w:noProof/>
            <w:webHidden/>
          </w:rPr>
          <w:tab/>
        </w:r>
        <w:r w:rsidR="007B70EB">
          <w:rPr>
            <w:noProof/>
            <w:webHidden/>
          </w:rPr>
          <w:fldChar w:fldCharType="begin"/>
        </w:r>
        <w:r w:rsidR="007B70EB">
          <w:rPr>
            <w:noProof/>
            <w:webHidden/>
          </w:rPr>
          <w:instrText xml:space="preserve"> PAGEREF _Toc494444705 \h </w:instrText>
        </w:r>
        <w:r w:rsidR="007B70EB">
          <w:rPr>
            <w:noProof/>
            <w:webHidden/>
          </w:rPr>
        </w:r>
        <w:r w:rsidR="007B70EB">
          <w:rPr>
            <w:noProof/>
            <w:webHidden/>
          </w:rPr>
          <w:fldChar w:fldCharType="separate"/>
        </w:r>
        <w:r w:rsidR="007B70EB">
          <w:rPr>
            <w:noProof/>
            <w:webHidden/>
          </w:rPr>
          <w:t>89</w:t>
        </w:r>
        <w:r w:rsidR="007B70EB">
          <w:rPr>
            <w:noProof/>
            <w:webHidden/>
          </w:rPr>
          <w:fldChar w:fldCharType="end"/>
        </w:r>
      </w:hyperlink>
    </w:p>
    <w:p w14:paraId="126A0CF8"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06" w:history="1">
        <w:r w:rsidR="007B70EB" w:rsidRPr="00121BC4">
          <w:rPr>
            <w:rStyle w:val="Hyperlink"/>
            <w:noProof/>
          </w:rPr>
          <w:t>Table 2</w:t>
        </w:r>
        <w:r w:rsidR="007B70EB" w:rsidRPr="00121BC4">
          <w:rPr>
            <w:rStyle w:val="Hyperlink"/>
            <w:noProof/>
          </w:rPr>
          <w:noBreakHyphen/>
          <w:t>16 Lines of evidence relevant to plausible Pathway B.</w:t>
        </w:r>
        <w:r w:rsidR="007B70EB">
          <w:rPr>
            <w:noProof/>
            <w:webHidden/>
          </w:rPr>
          <w:tab/>
        </w:r>
        <w:r w:rsidR="007B70EB">
          <w:rPr>
            <w:noProof/>
            <w:webHidden/>
          </w:rPr>
          <w:fldChar w:fldCharType="begin"/>
        </w:r>
        <w:r w:rsidR="007B70EB">
          <w:rPr>
            <w:noProof/>
            <w:webHidden/>
          </w:rPr>
          <w:instrText xml:space="preserve"> PAGEREF _Toc494444706 \h </w:instrText>
        </w:r>
        <w:r w:rsidR="007B70EB">
          <w:rPr>
            <w:noProof/>
            <w:webHidden/>
          </w:rPr>
        </w:r>
        <w:r w:rsidR="007B70EB">
          <w:rPr>
            <w:noProof/>
            <w:webHidden/>
          </w:rPr>
          <w:fldChar w:fldCharType="separate"/>
        </w:r>
        <w:r w:rsidR="007B70EB">
          <w:rPr>
            <w:noProof/>
            <w:webHidden/>
          </w:rPr>
          <w:t>90</w:t>
        </w:r>
        <w:r w:rsidR="007B70EB">
          <w:rPr>
            <w:noProof/>
            <w:webHidden/>
          </w:rPr>
          <w:fldChar w:fldCharType="end"/>
        </w:r>
      </w:hyperlink>
    </w:p>
    <w:p w14:paraId="09803E4B"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07" w:history="1">
        <w:r w:rsidR="007B70EB" w:rsidRPr="00121BC4">
          <w:rPr>
            <w:rStyle w:val="Hyperlink"/>
            <w:noProof/>
          </w:rPr>
          <w:t>Table 2</w:t>
        </w:r>
        <w:r w:rsidR="007B70EB" w:rsidRPr="00121BC4">
          <w:rPr>
            <w:rStyle w:val="Hyperlink"/>
            <w:noProof/>
          </w:rPr>
          <w:noBreakHyphen/>
          <w:t>17  Lines of evidence relevant to plausible Pathway C.</w:t>
        </w:r>
        <w:r w:rsidR="007B70EB">
          <w:rPr>
            <w:noProof/>
            <w:webHidden/>
          </w:rPr>
          <w:tab/>
        </w:r>
        <w:r w:rsidR="007B70EB">
          <w:rPr>
            <w:noProof/>
            <w:webHidden/>
          </w:rPr>
          <w:fldChar w:fldCharType="begin"/>
        </w:r>
        <w:r w:rsidR="007B70EB">
          <w:rPr>
            <w:noProof/>
            <w:webHidden/>
          </w:rPr>
          <w:instrText xml:space="preserve"> PAGEREF _Toc494444707 \h </w:instrText>
        </w:r>
        <w:r w:rsidR="007B70EB">
          <w:rPr>
            <w:noProof/>
            <w:webHidden/>
          </w:rPr>
        </w:r>
        <w:r w:rsidR="007B70EB">
          <w:rPr>
            <w:noProof/>
            <w:webHidden/>
          </w:rPr>
          <w:fldChar w:fldCharType="separate"/>
        </w:r>
        <w:r w:rsidR="007B70EB">
          <w:rPr>
            <w:noProof/>
            <w:webHidden/>
          </w:rPr>
          <w:t>91</w:t>
        </w:r>
        <w:r w:rsidR="007B70EB">
          <w:rPr>
            <w:noProof/>
            <w:webHidden/>
          </w:rPr>
          <w:fldChar w:fldCharType="end"/>
        </w:r>
      </w:hyperlink>
    </w:p>
    <w:p w14:paraId="17E27F91"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08" w:history="1">
        <w:r w:rsidR="007B70EB" w:rsidRPr="00121BC4">
          <w:rPr>
            <w:rStyle w:val="Hyperlink"/>
            <w:noProof/>
          </w:rPr>
          <w:t>Table 2</w:t>
        </w:r>
        <w:r w:rsidR="007B70EB" w:rsidRPr="00121BC4">
          <w:rPr>
            <w:rStyle w:val="Hyperlink"/>
            <w:noProof/>
          </w:rPr>
          <w:noBreakHyphen/>
          <w:t>18 Lines of evidence relevant to plausible Pathway D.</w:t>
        </w:r>
        <w:r w:rsidR="007B70EB">
          <w:rPr>
            <w:noProof/>
            <w:webHidden/>
          </w:rPr>
          <w:tab/>
        </w:r>
        <w:r w:rsidR="007B70EB">
          <w:rPr>
            <w:noProof/>
            <w:webHidden/>
          </w:rPr>
          <w:fldChar w:fldCharType="begin"/>
        </w:r>
        <w:r w:rsidR="007B70EB">
          <w:rPr>
            <w:noProof/>
            <w:webHidden/>
          </w:rPr>
          <w:instrText xml:space="preserve"> PAGEREF _Toc494444708 \h </w:instrText>
        </w:r>
        <w:r w:rsidR="007B70EB">
          <w:rPr>
            <w:noProof/>
            <w:webHidden/>
          </w:rPr>
        </w:r>
        <w:r w:rsidR="007B70EB">
          <w:rPr>
            <w:noProof/>
            <w:webHidden/>
          </w:rPr>
          <w:fldChar w:fldCharType="separate"/>
        </w:r>
        <w:r w:rsidR="007B70EB">
          <w:rPr>
            <w:noProof/>
            <w:webHidden/>
          </w:rPr>
          <w:t>92</w:t>
        </w:r>
        <w:r w:rsidR="007B70EB">
          <w:rPr>
            <w:noProof/>
            <w:webHidden/>
          </w:rPr>
          <w:fldChar w:fldCharType="end"/>
        </w:r>
      </w:hyperlink>
    </w:p>
    <w:p w14:paraId="6744999E"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09" w:history="1">
        <w:r w:rsidR="007B70EB" w:rsidRPr="00121BC4">
          <w:rPr>
            <w:rStyle w:val="Hyperlink"/>
            <w:noProof/>
          </w:rPr>
          <w:t>Table 2</w:t>
        </w:r>
        <w:r w:rsidR="007B70EB" w:rsidRPr="00121BC4">
          <w:rPr>
            <w:rStyle w:val="Hyperlink"/>
            <w:noProof/>
          </w:rPr>
          <w:noBreakHyphen/>
          <w:t>19 Applicability of lines of evidence to each plausible pathway. Colour codes are as follows: highly applicable (green), moderately applicable (yellow), loosely applicable (orange).</w:t>
        </w:r>
        <w:r w:rsidR="007B70EB">
          <w:rPr>
            <w:noProof/>
            <w:webHidden/>
          </w:rPr>
          <w:tab/>
        </w:r>
        <w:r w:rsidR="007B70EB">
          <w:rPr>
            <w:noProof/>
            <w:webHidden/>
          </w:rPr>
          <w:fldChar w:fldCharType="begin"/>
        </w:r>
        <w:r w:rsidR="007B70EB">
          <w:rPr>
            <w:noProof/>
            <w:webHidden/>
          </w:rPr>
          <w:instrText xml:space="preserve"> PAGEREF _Toc494444709 \h </w:instrText>
        </w:r>
        <w:r w:rsidR="007B70EB">
          <w:rPr>
            <w:noProof/>
            <w:webHidden/>
          </w:rPr>
        </w:r>
        <w:r w:rsidR="007B70EB">
          <w:rPr>
            <w:noProof/>
            <w:webHidden/>
          </w:rPr>
          <w:fldChar w:fldCharType="separate"/>
        </w:r>
        <w:r w:rsidR="007B70EB">
          <w:rPr>
            <w:noProof/>
            <w:webHidden/>
          </w:rPr>
          <w:t>93</w:t>
        </w:r>
        <w:r w:rsidR="007B70EB">
          <w:rPr>
            <w:noProof/>
            <w:webHidden/>
          </w:rPr>
          <w:fldChar w:fldCharType="end"/>
        </w:r>
      </w:hyperlink>
    </w:p>
    <w:p w14:paraId="4DC6283A"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10" w:history="1">
        <w:r w:rsidR="007B70EB" w:rsidRPr="00121BC4">
          <w:rPr>
            <w:rStyle w:val="Hyperlink"/>
            <w:noProof/>
          </w:rPr>
          <w:t>Table 2</w:t>
        </w:r>
        <w:r w:rsidR="007B70EB" w:rsidRPr="00121BC4">
          <w:rPr>
            <w:rStyle w:val="Hyperlink"/>
            <w:noProof/>
          </w:rPr>
          <w:noBreakHyphen/>
          <w:t>20. Summary of geological units, hydrostratigraphic units and groundwater flow model layers represented in the Gunnedah Basin groundwater flow model.</w:t>
        </w:r>
        <w:r w:rsidR="007B70EB">
          <w:rPr>
            <w:noProof/>
            <w:webHidden/>
          </w:rPr>
          <w:tab/>
        </w:r>
        <w:r w:rsidR="007B70EB">
          <w:rPr>
            <w:noProof/>
            <w:webHidden/>
          </w:rPr>
          <w:fldChar w:fldCharType="begin"/>
        </w:r>
        <w:r w:rsidR="007B70EB">
          <w:rPr>
            <w:noProof/>
            <w:webHidden/>
          </w:rPr>
          <w:instrText xml:space="preserve"> PAGEREF _Toc494444710 \h </w:instrText>
        </w:r>
        <w:r w:rsidR="007B70EB">
          <w:rPr>
            <w:noProof/>
            <w:webHidden/>
          </w:rPr>
        </w:r>
        <w:r w:rsidR="007B70EB">
          <w:rPr>
            <w:noProof/>
            <w:webHidden/>
          </w:rPr>
          <w:fldChar w:fldCharType="separate"/>
        </w:r>
        <w:r w:rsidR="007B70EB">
          <w:rPr>
            <w:noProof/>
            <w:webHidden/>
          </w:rPr>
          <w:t>100</w:t>
        </w:r>
        <w:r w:rsidR="007B70EB">
          <w:rPr>
            <w:noProof/>
            <w:webHidden/>
          </w:rPr>
          <w:fldChar w:fldCharType="end"/>
        </w:r>
      </w:hyperlink>
    </w:p>
    <w:p w14:paraId="46020D24"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11" w:history="1">
        <w:r w:rsidR="007B70EB" w:rsidRPr="00121BC4">
          <w:rPr>
            <w:rStyle w:val="Hyperlink"/>
            <w:noProof/>
          </w:rPr>
          <w:t>Table 2</w:t>
        </w:r>
        <w:r w:rsidR="007B70EB" w:rsidRPr="00121BC4">
          <w:rPr>
            <w:rStyle w:val="Hyperlink"/>
            <w:noProof/>
          </w:rPr>
          <w:noBreakHyphen/>
          <w:t>21  Particle tracking sink formations and travel time statistics for particles released within the Maules Creek Coal.</w:t>
        </w:r>
        <w:r w:rsidR="007B70EB">
          <w:rPr>
            <w:noProof/>
            <w:webHidden/>
          </w:rPr>
          <w:tab/>
        </w:r>
        <w:r w:rsidR="007B70EB">
          <w:rPr>
            <w:noProof/>
            <w:webHidden/>
          </w:rPr>
          <w:fldChar w:fldCharType="begin"/>
        </w:r>
        <w:r w:rsidR="007B70EB">
          <w:rPr>
            <w:noProof/>
            <w:webHidden/>
          </w:rPr>
          <w:instrText xml:space="preserve"> PAGEREF _Toc494444711 \h </w:instrText>
        </w:r>
        <w:r w:rsidR="007B70EB">
          <w:rPr>
            <w:noProof/>
            <w:webHidden/>
          </w:rPr>
        </w:r>
        <w:r w:rsidR="007B70EB">
          <w:rPr>
            <w:noProof/>
            <w:webHidden/>
          </w:rPr>
          <w:fldChar w:fldCharType="separate"/>
        </w:r>
        <w:r w:rsidR="007B70EB">
          <w:rPr>
            <w:noProof/>
            <w:webHidden/>
          </w:rPr>
          <w:t>113</w:t>
        </w:r>
        <w:r w:rsidR="007B70EB">
          <w:rPr>
            <w:noProof/>
            <w:webHidden/>
          </w:rPr>
          <w:fldChar w:fldCharType="end"/>
        </w:r>
      </w:hyperlink>
    </w:p>
    <w:p w14:paraId="57BEF046"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12" w:history="1">
        <w:r w:rsidR="007B70EB" w:rsidRPr="00121BC4">
          <w:rPr>
            <w:rStyle w:val="Hyperlink"/>
            <w:noProof/>
          </w:rPr>
          <w:t>Table 2</w:t>
        </w:r>
        <w:r w:rsidR="007B70EB" w:rsidRPr="00121BC4">
          <w:rPr>
            <w:rStyle w:val="Hyperlink"/>
            <w:noProof/>
          </w:rPr>
          <w:noBreakHyphen/>
          <w:t>22  Particle tracking travel time and distance statistics for particle pathways within the Maules Creek Coal.</w:t>
        </w:r>
        <w:r w:rsidR="007B70EB">
          <w:rPr>
            <w:noProof/>
            <w:webHidden/>
          </w:rPr>
          <w:tab/>
        </w:r>
        <w:r w:rsidR="007B70EB">
          <w:rPr>
            <w:noProof/>
            <w:webHidden/>
          </w:rPr>
          <w:fldChar w:fldCharType="begin"/>
        </w:r>
        <w:r w:rsidR="007B70EB">
          <w:rPr>
            <w:noProof/>
            <w:webHidden/>
          </w:rPr>
          <w:instrText xml:space="preserve"> PAGEREF _Toc494444712 \h </w:instrText>
        </w:r>
        <w:r w:rsidR="007B70EB">
          <w:rPr>
            <w:noProof/>
            <w:webHidden/>
          </w:rPr>
        </w:r>
        <w:r w:rsidR="007B70EB">
          <w:rPr>
            <w:noProof/>
            <w:webHidden/>
          </w:rPr>
          <w:fldChar w:fldCharType="separate"/>
        </w:r>
        <w:r w:rsidR="007B70EB">
          <w:rPr>
            <w:noProof/>
            <w:webHidden/>
          </w:rPr>
          <w:t>113</w:t>
        </w:r>
        <w:r w:rsidR="007B70EB">
          <w:rPr>
            <w:noProof/>
            <w:webHidden/>
          </w:rPr>
          <w:fldChar w:fldCharType="end"/>
        </w:r>
      </w:hyperlink>
    </w:p>
    <w:p w14:paraId="5314913C"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13" w:history="1">
        <w:r w:rsidR="007B70EB" w:rsidRPr="00121BC4">
          <w:rPr>
            <w:rStyle w:val="Hyperlink"/>
            <w:noProof/>
          </w:rPr>
          <w:t>Table 2</w:t>
        </w:r>
        <w:r w:rsidR="007B70EB" w:rsidRPr="00121BC4">
          <w:rPr>
            <w:rStyle w:val="Hyperlink"/>
            <w:noProof/>
          </w:rPr>
          <w:noBreakHyphen/>
          <w:t>23  Forward particle tracking sink formations and travel time statistics for particles released within the Pilliga Sandstone.</w:t>
        </w:r>
        <w:r w:rsidR="007B70EB">
          <w:rPr>
            <w:noProof/>
            <w:webHidden/>
          </w:rPr>
          <w:tab/>
        </w:r>
        <w:r w:rsidR="007B70EB">
          <w:rPr>
            <w:noProof/>
            <w:webHidden/>
          </w:rPr>
          <w:fldChar w:fldCharType="begin"/>
        </w:r>
        <w:r w:rsidR="007B70EB">
          <w:rPr>
            <w:noProof/>
            <w:webHidden/>
          </w:rPr>
          <w:instrText xml:space="preserve"> PAGEREF _Toc494444713 \h </w:instrText>
        </w:r>
        <w:r w:rsidR="007B70EB">
          <w:rPr>
            <w:noProof/>
            <w:webHidden/>
          </w:rPr>
        </w:r>
        <w:r w:rsidR="007B70EB">
          <w:rPr>
            <w:noProof/>
            <w:webHidden/>
          </w:rPr>
          <w:fldChar w:fldCharType="separate"/>
        </w:r>
        <w:r w:rsidR="007B70EB">
          <w:rPr>
            <w:noProof/>
            <w:webHidden/>
          </w:rPr>
          <w:t>119</w:t>
        </w:r>
        <w:r w:rsidR="007B70EB">
          <w:rPr>
            <w:noProof/>
            <w:webHidden/>
          </w:rPr>
          <w:fldChar w:fldCharType="end"/>
        </w:r>
      </w:hyperlink>
    </w:p>
    <w:p w14:paraId="57148289"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14" w:history="1">
        <w:r w:rsidR="007B70EB" w:rsidRPr="00121BC4">
          <w:rPr>
            <w:rStyle w:val="Hyperlink"/>
            <w:noProof/>
          </w:rPr>
          <w:t>Table 2</w:t>
        </w:r>
        <w:r w:rsidR="007B70EB" w:rsidRPr="00121BC4">
          <w:rPr>
            <w:rStyle w:val="Hyperlink"/>
            <w:noProof/>
          </w:rPr>
          <w:noBreakHyphen/>
          <w:t>24  Backward particle tracking travel time classes and corresponding proximity statistics for particles released at receptor locations located within a 30 km radius of the study area and tracked backward (i.e. upgradient) to locations within the study area . Data representative for Pilliga Sandstone.</w:t>
        </w:r>
        <w:r w:rsidR="007B70EB">
          <w:rPr>
            <w:noProof/>
            <w:webHidden/>
          </w:rPr>
          <w:tab/>
        </w:r>
        <w:r w:rsidR="007B70EB">
          <w:rPr>
            <w:noProof/>
            <w:webHidden/>
          </w:rPr>
          <w:fldChar w:fldCharType="begin"/>
        </w:r>
        <w:r w:rsidR="007B70EB">
          <w:rPr>
            <w:noProof/>
            <w:webHidden/>
          </w:rPr>
          <w:instrText xml:space="preserve"> PAGEREF _Toc494444714 \h </w:instrText>
        </w:r>
        <w:r w:rsidR="007B70EB">
          <w:rPr>
            <w:noProof/>
            <w:webHidden/>
          </w:rPr>
        </w:r>
        <w:r w:rsidR="007B70EB">
          <w:rPr>
            <w:noProof/>
            <w:webHidden/>
          </w:rPr>
          <w:fldChar w:fldCharType="separate"/>
        </w:r>
        <w:r w:rsidR="007B70EB">
          <w:rPr>
            <w:noProof/>
            <w:webHidden/>
          </w:rPr>
          <w:t>125</w:t>
        </w:r>
        <w:r w:rsidR="007B70EB">
          <w:rPr>
            <w:noProof/>
            <w:webHidden/>
          </w:rPr>
          <w:fldChar w:fldCharType="end"/>
        </w:r>
      </w:hyperlink>
    </w:p>
    <w:p w14:paraId="48E0B682"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15" w:history="1">
        <w:r w:rsidR="007B70EB" w:rsidRPr="00121BC4">
          <w:rPr>
            <w:rStyle w:val="Hyperlink"/>
            <w:rFonts w:cs="Calibri"/>
            <w:i/>
            <w:noProof/>
            <w:lang w:val="en-GB"/>
          </w:rPr>
          <w:t>Table 2</w:t>
        </w:r>
        <w:r w:rsidR="007B70EB" w:rsidRPr="00121BC4">
          <w:rPr>
            <w:rStyle w:val="Hyperlink"/>
            <w:rFonts w:cs="Calibri"/>
            <w:i/>
            <w:noProof/>
            <w:lang w:val="en-GB"/>
          </w:rPr>
          <w:noBreakHyphen/>
          <w:t>25  Summary of geological units, hydrostratigraphic units and groundwater flow model layers represented in Office of Groundwater Impact Assessment (OGIA) flow model (GHD 2012).</w:t>
        </w:r>
        <w:r w:rsidR="007B70EB">
          <w:rPr>
            <w:noProof/>
            <w:webHidden/>
          </w:rPr>
          <w:tab/>
        </w:r>
        <w:r w:rsidR="007B70EB">
          <w:rPr>
            <w:noProof/>
            <w:webHidden/>
          </w:rPr>
          <w:fldChar w:fldCharType="begin"/>
        </w:r>
        <w:r w:rsidR="007B70EB">
          <w:rPr>
            <w:noProof/>
            <w:webHidden/>
          </w:rPr>
          <w:instrText xml:space="preserve"> PAGEREF _Toc494444715 \h </w:instrText>
        </w:r>
        <w:r w:rsidR="007B70EB">
          <w:rPr>
            <w:noProof/>
            <w:webHidden/>
          </w:rPr>
        </w:r>
        <w:r w:rsidR="007B70EB">
          <w:rPr>
            <w:noProof/>
            <w:webHidden/>
          </w:rPr>
          <w:fldChar w:fldCharType="separate"/>
        </w:r>
        <w:r w:rsidR="007B70EB">
          <w:rPr>
            <w:noProof/>
            <w:webHidden/>
          </w:rPr>
          <w:t>128</w:t>
        </w:r>
        <w:r w:rsidR="007B70EB">
          <w:rPr>
            <w:noProof/>
            <w:webHidden/>
          </w:rPr>
          <w:fldChar w:fldCharType="end"/>
        </w:r>
      </w:hyperlink>
    </w:p>
    <w:p w14:paraId="6FC672EA"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16" w:history="1">
        <w:r w:rsidR="007B70EB" w:rsidRPr="00121BC4">
          <w:rPr>
            <w:rStyle w:val="Hyperlink"/>
            <w:noProof/>
          </w:rPr>
          <w:t>Table 2</w:t>
        </w:r>
        <w:r w:rsidR="007B70EB" w:rsidRPr="00121BC4">
          <w:rPr>
            <w:rStyle w:val="Hyperlink"/>
            <w:noProof/>
          </w:rPr>
          <w:noBreakHyphen/>
          <w:t>26 Statistics of travel times and distances from the forward particle tracking analysis for the Surat Basin</w:t>
        </w:r>
        <w:r w:rsidR="007B70EB">
          <w:rPr>
            <w:noProof/>
            <w:webHidden/>
          </w:rPr>
          <w:tab/>
        </w:r>
        <w:r w:rsidR="007B70EB">
          <w:rPr>
            <w:noProof/>
            <w:webHidden/>
          </w:rPr>
          <w:fldChar w:fldCharType="begin"/>
        </w:r>
        <w:r w:rsidR="007B70EB">
          <w:rPr>
            <w:noProof/>
            <w:webHidden/>
          </w:rPr>
          <w:instrText xml:space="preserve"> PAGEREF _Toc494444716 \h </w:instrText>
        </w:r>
        <w:r w:rsidR="007B70EB">
          <w:rPr>
            <w:noProof/>
            <w:webHidden/>
          </w:rPr>
        </w:r>
        <w:r w:rsidR="007B70EB">
          <w:rPr>
            <w:noProof/>
            <w:webHidden/>
          </w:rPr>
          <w:fldChar w:fldCharType="separate"/>
        </w:r>
        <w:r w:rsidR="007B70EB">
          <w:rPr>
            <w:noProof/>
            <w:webHidden/>
          </w:rPr>
          <w:t>139</w:t>
        </w:r>
        <w:r w:rsidR="007B70EB">
          <w:rPr>
            <w:noProof/>
            <w:webHidden/>
          </w:rPr>
          <w:fldChar w:fldCharType="end"/>
        </w:r>
      </w:hyperlink>
    </w:p>
    <w:p w14:paraId="2B33651C"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17" w:history="1">
        <w:r w:rsidR="007B70EB" w:rsidRPr="00121BC4">
          <w:rPr>
            <w:rStyle w:val="Hyperlink"/>
            <w:noProof/>
          </w:rPr>
          <w:t>Table 2</w:t>
        </w:r>
        <w:r w:rsidR="007B70EB" w:rsidRPr="00121BC4">
          <w:rPr>
            <w:rStyle w:val="Hyperlink"/>
            <w:noProof/>
          </w:rPr>
          <w:noBreakHyphen/>
          <w:t>27 Travel time and distance statistics for the backward particle tracking for particles released in the Gubberamunda Sandstone.</w:t>
        </w:r>
        <w:r w:rsidR="007B70EB">
          <w:rPr>
            <w:noProof/>
            <w:webHidden/>
          </w:rPr>
          <w:tab/>
        </w:r>
        <w:r w:rsidR="007B70EB">
          <w:rPr>
            <w:noProof/>
            <w:webHidden/>
          </w:rPr>
          <w:fldChar w:fldCharType="begin"/>
        </w:r>
        <w:r w:rsidR="007B70EB">
          <w:rPr>
            <w:noProof/>
            <w:webHidden/>
          </w:rPr>
          <w:instrText xml:space="preserve"> PAGEREF _Toc494444717 \h </w:instrText>
        </w:r>
        <w:r w:rsidR="007B70EB">
          <w:rPr>
            <w:noProof/>
            <w:webHidden/>
          </w:rPr>
        </w:r>
        <w:r w:rsidR="007B70EB">
          <w:rPr>
            <w:noProof/>
            <w:webHidden/>
          </w:rPr>
          <w:fldChar w:fldCharType="separate"/>
        </w:r>
        <w:r w:rsidR="007B70EB">
          <w:rPr>
            <w:noProof/>
            <w:webHidden/>
          </w:rPr>
          <w:t>141</w:t>
        </w:r>
        <w:r w:rsidR="007B70EB">
          <w:rPr>
            <w:noProof/>
            <w:webHidden/>
          </w:rPr>
          <w:fldChar w:fldCharType="end"/>
        </w:r>
      </w:hyperlink>
    </w:p>
    <w:p w14:paraId="6DBA9E70"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18" w:history="1">
        <w:r w:rsidR="007B70EB" w:rsidRPr="00121BC4">
          <w:rPr>
            <w:rStyle w:val="Hyperlink"/>
            <w:noProof/>
          </w:rPr>
          <w:t>Table 4</w:t>
        </w:r>
        <w:r w:rsidR="007B70EB" w:rsidRPr="00121BC4">
          <w:rPr>
            <w:rStyle w:val="Hyperlink"/>
            <w:noProof/>
          </w:rPr>
          <w:noBreakHyphen/>
          <w:t>1  Summary of hydrochemical conditions for Gunnedah basin geology (Well completion report). Hydrostatic pressure based on 15 locations within the study area. * = median; # = mean; @ = estimated; n.d. = no data.</w:t>
        </w:r>
        <w:r w:rsidR="007B70EB">
          <w:rPr>
            <w:noProof/>
            <w:webHidden/>
          </w:rPr>
          <w:tab/>
        </w:r>
        <w:r w:rsidR="007B70EB">
          <w:rPr>
            <w:noProof/>
            <w:webHidden/>
          </w:rPr>
          <w:fldChar w:fldCharType="begin"/>
        </w:r>
        <w:r w:rsidR="007B70EB">
          <w:rPr>
            <w:noProof/>
            <w:webHidden/>
          </w:rPr>
          <w:instrText xml:space="preserve"> PAGEREF _Toc494444718 \h </w:instrText>
        </w:r>
        <w:r w:rsidR="007B70EB">
          <w:rPr>
            <w:noProof/>
            <w:webHidden/>
          </w:rPr>
        </w:r>
        <w:r w:rsidR="007B70EB">
          <w:rPr>
            <w:noProof/>
            <w:webHidden/>
          </w:rPr>
          <w:fldChar w:fldCharType="separate"/>
        </w:r>
        <w:r w:rsidR="007B70EB">
          <w:rPr>
            <w:noProof/>
            <w:webHidden/>
          </w:rPr>
          <w:t>170</w:t>
        </w:r>
        <w:r w:rsidR="007B70EB">
          <w:rPr>
            <w:noProof/>
            <w:webHidden/>
          </w:rPr>
          <w:fldChar w:fldCharType="end"/>
        </w:r>
      </w:hyperlink>
    </w:p>
    <w:p w14:paraId="2B5D2287"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19" w:history="1">
        <w:r w:rsidR="007B70EB" w:rsidRPr="00121BC4">
          <w:rPr>
            <w:rStyle w:val="Hyperlink"/>
            <w:noProof/>
          </w:rPr>
          <w:t>Table 4</w:t>
        </w:r>
        <w:r w:rsidR="007B70EB" w:rsidRPr="00121BC4">
          <w:rPr>
            <w:rStyle w:val="Hyperlink"/>
            <w:noProof/>
          </w:rPr>
          <w:noBreakHyphen/>
          <w:t>2  Summary of hydrochemical conditions for Surat basin geology. 1 = Grigorescu (2011); 2 = Gopalakrishan et al. (2015); 3 = Esterle et al. (2013). 4 = Mallants et al. (2016). 5 = Scott et al. (2007). 6 = APLNG (2015); 7 = Papendick et al. (2011). 8 = Queensland Department of Natural Resources and Mines (2015).</w:t>
        </w:r>
        <w:r w:rsidR="007B70EB">
          <w:rPr>
            <w:noProof/>
            <w:webHidden/>
          </w:rPr>
          <w:tab/>
        </w:r>
        <w:r w:rsidR="007B70EB">
          <w:rPr>
            <w:noProof/>
            <w:webHidden/>
          </w:rPr>
          <w:fldChar w:fldCharType="begin"/>
        </w:r>
        <w:r w:rsidR="007B70EB">
          <w:rPr>
            <w:noProof/>
            <w:webHidden/>
          </w:rPr>
          <w:instrText xml:space="preserve"> PAGEREF _Toc494444719 \h </w:instrText>
        </w:r>
        <w:r w:rsidR="007B70EB">
          <w:rPr>
            <w:noProof/>
            <w:webHidden/>
          </w:rPr>
        </w:r>
        <w:r w:rsidR="007B70EB">
          <w:rPr>
            <w:noProof/>
            <w:webHidden/>
          </w:rPr>
          <w:fldChar w:fldCharType="separate"/>
        </w:r>
        <w:r w:rsidR="007B70EB">
          <w:rPr>
            <w:noProof/>
            <w:webHidden/>
          </w:rPr>
          <w:t>175</w:t>
        </w:r>
        <w:r w:rsidR="007B70EB">
          <w:rPr>
            <w:noProof/>
            <w:webHidden/>
          </w:rPr>
          <w:fldChar w:fldCharType="end"/>
        </w:r>
      </w:hyperlink>
    </w:p>
    <w:p w14:paraId="2F0267FD"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20" w:history="1">
        <w:r w:rsidR="007B70EB" w:rsidRPr="00121BC4">
          <w:rPr>
            <w:rStyle w:val="Hyperlink"/>
            <w:noProof/>
          </w:rPr>
          <w:t>Table 4</w:t>
        </w:r>
        <w:r w:rsidR="007B70EB" w:rsidRPr="00121BC4">
          <w:rPr>
            <w:rStyle w:val="Hyperlink"/>
            <w:noProof/>
          </w:rPr>
          <w:noBreakHyphen/>
          <w:t>3 Experimental primary degradation half-lives vs. EPI Suite default half-lives (US EPA 2012b).</w:t>
        </w:r>
        <w:r w:rsidR="007B70EB">
          <w:rPr>
            <w:noProof/>
            <w:webHidden/>
          </w:rPr>
          <w:tab/>
        </w:r>
        <w:r w:rsidR="007B70EB">
          <w:rPr>
            <w:noProof/>
            <w:webHidden/>
          </w:rPr>
          <w:fldChar w:fldCharType="begin"/>
        </w:r>
        <w:r w:rsidR="007B70EB">
          <w:rPr>
            <w:noProof/>
            <w:webHidden/>
          </w:rPr>
          <w:instrText xml:space="preserve"> PAGEREF _Toc494444720 \h </w:instrText>
        </w:r>
        <w:r w:rsidR="007B70EB">
          <w:rPr>
            <w:noProof/>
            <w:webHidden/>
          </w:rPr>
        </w:r>
        <w:r w:rsidR="007B70EB">
          <w:rPr>
            <w:noProof/>
            <w:webHidden/>
          </w:rPr>
          <w:fldChar w:fldCharType="separate"/>
        </w:r>
        <w:r w:rsidR="007B70EB">
          <w:rPr>
            <w:noProof/>
            <w:webHidden/>
          </w:rPr>
          <w:t>194</w:t>
        </w:r>
        <w:r w:rsidR="007B70EB">
          <w:rPr>
            <w:noProof/>
            <w:webHidden/>
          </w:rPr>
          <w:fldChar w:fldCharType="end"/>
        </w:r>
      </w:hyperlink>
    </w:p>
    <w:p w14:paraId="0A5C31AD"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21" w:history="1">
        <w:r w:rsidR="007B70EB" w:rsidRPr="00121BC4">
          <w:rPr>
            <w:rStyle w:val="Hyperlink"/>
            <w:noProof/>
          </w:rPr>
          <w:t>Table 4</w:t>
        </w:r>
        <w:r w:rsidR="007B70EB" w:rsidRPr="00121BC4">
          <w:rPr>
            <w:rStyle w:val="Hyperlink"/>
            <w:noProof/>
          </w:rPr>
          <w:noBreakHyphen/>
          <w:t>4 Summary of default sorption and degradation parameters (minimum – maximum value). n.a = not applicable; n.d. = not data; nbd = not biodegradable (based on Appendix 5).</w:t>
        </w:r>
        <w:r w:rsidR="007B70EB">
          <w:rPr>
            <w:noProof/>
            <w:webHidden/>
          </w:rPr>
          <w:tab/>
        </w:r>
        <w:r w:rsidR="007B70EB">
          <w:rPr>
            <w:noProof/>
            <w:webHidden/>
          </w:rPr>
          <w:fldChar w:fldCharType="begin"/>
        </w:r>
        <w:r w:rsidR="007B70EB">
          <w:rPr>
            <w:noProof/>
            <w:webHidden/>
          </w:rPr>
          <w:instrText xml:space="preserve"> PAGEREF _Toc494444721 \h </w:instrText>
        </w:r>
        <w:r w:rsidR="007B70EB">
          <w:rPr>
            <w:noProof/>
            <w:webHidden/>
          </w:rPr>
        </w:r>
        <w:r w:rsidR="007B70EB">
          <w:rPr>
            <w:noProof/>
            <w:webHidden/>
          </w:rPr>
          <w:fldChar w:fldCharType="separate"/>
        </w:r>
        <w:r w:rsidR="007B70EB">
          <w:rPr>
            <w:noProof/>
            <w:webHidden/>
          </w:rPr>
          <w:t>195</w:t>
        </w:r>
        <w:r w:rsidR="007B70EB">
          <w:rPr>
            <w:noProof/>
            <w:webHidden/>
          </w:rPr>
          <w:fldChar w:fldCharType="end"/>
        </w:r>
      </w:hyperlink>
    </w:p>
    <w:p w14:paraId="0DEA6862"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22" w:history="1">
        <w:r w:rsidR="007B70EB" w:rsidRPr="00121BC4">
          <w:rPr>
            <w:rStyle w:val="Hyperlink"/>
            <w:noProof/>
          </w:rPr>
          <w:t>Table 4</w:t>
        </w:r>
        <w:r w:rsidR="007B70EB" w:rsidRPr="00121BC4">
          <w:rPr>
            <w:rStyle w:val="Hyperlink"/>
            <w:noProof/>
          </w:rPr>
          <w:noBreakHyphen/>
          <w:t xml:space="preserve">5  Table of fate parameters adjusted for Gunnedah basin geology (organic chemicals). A = 2-methylphenol, B = Naphthalene, C = d-Limonene; D = HMX, E = 2-butoxyethanol, F = Bronopol, G = Methylchloroisothiazolinone, H = Acrylamide polymer.  </w:t>
        </w:r>
        <w:r w:rsidR="007B70EB" w:rsidRPr="00121BC4">
          <w:rPr>
            <w:rStyle w:val="Hyperlink"/>
            <w:noProof/>
            <w:vertAlign w:val="superscript"/>
          </w:rPr>
          <w:t>#</w:t>
        </w:r>
        <w:r w:rsidR="007B70EB" w:rsidRPr="00121BC4">
          <w:rPr>
            <w:rStyle w:val="Hyperlink"/>
            <w:noProof/>
          </w:rPr>
          <w:t xml:space="preserve"> Multiply default K</w:t>
        </w:r>
        <w:r w:rsidR="007B70EB" w:rsidRPr="00121BC4">
          <w:rPr>
            <w:rStyle w:val="Hyperlink"/>
            <w:noProof/>
            <w:vertAlign w:val="subscript"/>
          </w:rPr>
          <w:t>OC</w:t>
        </w:r>
        <w:r w:rsidR="007B70EB" w:rsidRPr="00121BC4">
          <w:rPr>
            <w:rStyle w:val="Hyperlink"/>
            <w:noProof/>
          </w:rPr>
          <w:t xml:space="preserve"> by the factor f</w:t>
        </w:r>
        <w:r w:rsidR="007B70EB" w:rsidRPr="00121BC4">
          <w:rPr>
            <w:rStyle w:val="Hyperlink"/>
            <w:noProof/>
            <w:vertAlign w:val="subscript"/>
          </w:rPr>
          <w:t xml:space="preserve">OC_ r  </w:t>
        </w:r>
        <w:r w:rsidR="007B70EB" w:rsidRPr="00121BC4">
          <w:rPr>
            <w:rStyle w:val="Hyperlink"/>
            <w:noProof/>
          </w:rPr>
          <w:t xml:space="preserve">(fraction of organic carbon × scaling factor); a factor of 0 implies extent of sorption essentially approaching 0. Value given is worst case of known abiotic or biotic degradation. Biotic degradation assumed to be minimal where minimal %OC; </w:t>
        </w:r>
        <w:r w:rsidR="007B70EB" w:rsidRPr="00121BC4">
          <w:rPr>
            <w:rStyle w:val="Hyperlink"/>
            <w:noProof/>
            <w:vertAlign w:val="superscript"/>
          </w:rPr>
          <w:t>@</w:t>
        </w:r>
        <w:r w:rsidR="007B70EB" w:rsidRPr="00121BC4">
          <w:rPr>
            <w:rStyle w:val="Hyperlink"/>
            <w:noProof/>
          </w:rPr>
          <w:t xml:space="preserve"> “Salting out” likely to decrease water solubility – dependent on concentration of species i.e. approaching water solubility; and Assume conditions as per Pilliga sandstone. NBD = not biodegradable; ND = No Data.</w:t>
        </w:r>
        <w:r w:rsidR="007B70EB">
          <w:rPr>
            <w:noProof/>
            <w:webHidden/>
          </w:rPr>
          <w:tab/>
        </w:r>
        <w:r w:rsidR="007B70EB">
          <w:rPr>
            <w:noProof/>
            <w:webHidden/>
          </w:rPr>
          <w:fldChar w:fldCharType="begin"/>
        </w:r>
        <w:r w:rsidR="007B70EB">
          <w:rPr>
            <w:noProof/>
            <w:webHidden/>
          </w:rPr>
          <w:instrText xml:space="preserve"> PAGEREF _Toc494444722 \h </w:instrText>
        </w:r>
        <w:r w:rsidR="007B70EB">
          <w:rPr>
            <w:noProof/>
            <w:webHidden/>
          </w:rPr>
        </w:r>
        <w:r w:rsidR="007B70EB">
          <w:rPr>
            <w:noProof/>
            <w:webHidden/>
          </w:rPr>
          <w:fldChar w:fldCharType="separate"/>
        </w:r>
        <w:r w:rsidR="007B70EB">
          <w:rPr>
            <w:noProof/>
            <w:webHidden/>
          </w:rPr>
          <w:t>197</w:t>
        </w:r>
        <w:r w:rsidR="007B70EB">
          <w:rPr>
            <w:noProof/>
            <w:webHidden/>
          </w:rPr>
          <w:fldChar w:fldCharType="end"/>
        </w:r>
      </w:hyperlink>
    </w:p>
    <w:p w14:paraId="74B3235B"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23" w:history="1">
        <w:r w:rsidR="007B70EB" w:rsidRPr="00121BC4">
          <w:rPr>
            <w:rStyle w:val="Hyperlink"/>
            <w:noProof/>
          </w:rPr>
          <w:t>Table 4</w:t>
        </w:r>
        <w:r w:rsidR="007B70EB" w:rsidRPr="00121BC4">
          <w:rPr>
            <w:rStyle w:val="Hyperlink"/>
            <w:noProof/>
          </w:rPr>
          <w:noBreakHyphen/>
          <w:t xml:space="preserve">6  Table of fate parameters adjusted for Surat Basin geology (organic chemicals). A = 2-methylphenol, B = Naphthalene, C = HMX, D = 2-butoxyethanol, E = Bronopol, F = Methylchloroisothiazolinone, G = d-Limonene, H = Acrylamide polymer.  </w:t>
        </w:r>
        <w:r w:rsidR="007B70EB" w:rsidRPr="00121BC4">
          <w:rPr>
            <w:rStyle w:val="Hyperlink"/>
            <w:noProof/>
            <w:vertAlign w:val="superscript"/>
          </w:rPr>
          <w:t>#</w:t>
        </w:r>
        <w:r w:rsidR="007B70EB" w:rsidRPr="00121BC4">
          <w:rPr>
            <w:rStyle w:val="Hyperlink"/>
            <w:noProof/>
          </w:rPr>
          <w:t xml:space="preserve"> Multiply default K</w:t>
        </w:r>
        <w:r w:rsidR="007B70EB" w:rsidRPr="00121BC4">
          <w:rPr>
            <w:rStyle w:val="Hyperlink"/>
            <w:noProof/>
            <w:vertAlign w:val="subscript"/>
          </w:rPr>
          <w:t>OC</w:t>
        </w:r>
        <w:r w:rsidR="007B70EB" w:rsidRPr="00121BC4">
          <w:rPr>
            <w:rStyle w:val="Hyperlink"/>
            <w:noProof/>
          </w:rPr>
          <w:t xml:space="preserve"> by f</w:t>
        </w:r>
        <w:r w:rsidR="007B70EB" w:rsidRPr="00121BC4">
          <w:rPr>
            <w:rStyle w:val="Hyperlink"/>
            <w:noProof/>
            <w:vertAlign w:val="subscript"/>
          </w:rPr>
          <w:t xml:space="preserve">OC_r  </w:t>
        </w:r>
        <w:r w:rsidR="007B70EB" w:rsidRPr="00121BC4">
          <w:rPr>
            <w:rStyle w:val="Hyperlink"/>
            <w:noProof/>
          </w:rPr>
          <w:t xml:space="preserve">(fraction of organic carbon × scaling factor); a factor of 0 implies extent of sorption essentially approaching 0. Value given is worst case of known abiotic or biotic degradation. Biotic degradation assumed to be minimal where minimal %OC; </w:t>
        </w:r>
        <w:r w:rsidR="007B70EB" w:rsidRPr="00121BC4">
          <w:rPr>
            <w:rStyle w:val="Hyperlink"/>
            <w:noProof/>
            <w:vertAlign w:val="superscript"/>
          </w:rPr>
          <w:t>@</w:t>
        </w:r>
        <w:r w:rsidR="007B70EB" w:rsidRPr="00121BC4">
          <w:rPr>
            <w:rStyle w:val="Hyperlink"/>
            <w:noProof/>
          </w:rPr>
          <w:t xml:space="preserve"> “Salting out” likely to decrease water solubility – dependent on concentration of species i.e. approaching water solubility; and Assume conditions as per Pilliga sandstone.</w:t>
        </w:r>
        <w:r w:rsidR="007B70EB">
          <w:rPr>
            <w:noProof/>
            <w:webHidden/>
          </w:rPr>
          <w:tab/>
        </w:r>
        <w:r w:rsidR="007B70EB">
          <w:rPr>
            <w:noProof/>
            <w:webHidden/>
          </w:rPr>
          <w:fldChar w:fldCharType="begin"/>
        </w:r>
        <w:r w:rsidR="007B70EB">
          <w:rPr>
            <w:noProof/>
            <w:webHidden/>
          </w:rPr>
          <w:instrText xml:space="preserve"> PAGEREF _Toc494444723 \h </w:instrText>
        </w:r>
        <w:r w:rsidR="007B70EB">
          <w:rPr>
            <w:noProof/>
            <w:webHidden/>
          </w:rPr>
        </w:r>
        <w:r w:rsidR="007B70EB">
          <w:rPr>
            <w:noProof/>
            <w:webHidden/>
          </w:rPr>
          <w:fldChar w:fldCharType="separate"/>
        </w:r>
        <w:r w:rsidR="007B70EB">
          <w:rPr>
            <w:noProof/>
            <w:webHidden/>
          </w:rPr>
          <w:t>198</w:t>
        </w:r>
        <w:r w:rsidR="007B70EB">
          <w:rPr>
            <w:noProof/>
            <w:webHidden/>
          </w:rPr>
          <w:fldChar w:fldCharType="end"/>
        </w:r>
      </w:hyperlink>
    </w:p>
    <w:p w14:paraId="17605D43"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24" w:history="1">
        <w:r w:rsidR="007B70EB" w:rsidRPr="00121BC4">
          <w:rPr>
            <w:rStyle w:val="Hyperlink"/>
            <w:noProof/>
          </w:rPr>
          <w:t>Table 4</w:t>
        </w:r>
        <w:r w:rsidR="007B70EB" w:rsidRPr="00121BC4">
          <w:rPr>
            <w:rStyle w:val="Hyperlink"/>
            <w:noProof/>
          </w:rPr>
          <w:noBreakHyphen/>
          <w:t>7 Effect of various physicochemical variables on K</w:t>
        </w:r>
        <w:r w:rsidR="007B70EB" w:rsidRPr="00121BC4">
          <w:rPr>
            <w:rStyle w:val="Hyperlink"/>
            <w:noProof/>
            <w:vertAlign w:val="subscript"/>
          </w:rPr>
          <w:t>d</w:t>
        </w:r>
        <w:r w:rsidR="007B70EB" w:rsidRPr="00121BC4">
          <w:rPr>
            <w:rStyle w:val="Hyperlink"/>
            <w:noProof/>
          </w:rPr>
          <w:t>.</w:t>
        </w:r>
        <w:r w:rsidR="007B70EB">
          <w:rPr>
            <w:noProof/>
            <w:webHidden/>
          </w:rPr>
          <w:tab/>
        </w:r>
        <w:r w:rsidR="007B70EB">
          <w:rPr>
            <w:noProof/>
            <w:webHidden/>
          </w:rPr>
          <w:fldChar w:fldCharType="begin"/>
        </w:r>
        <w:r w:rsidR="007B70EB">
          <w:rPr>
            <w:noProof/>
            <w:webHidden/>
          </w:rPr>
          <w:instrText xml:space="preserve"> PAGEREF _Toc494444724 \h </w:instrText>
        </w:r>
        <w:r w:rsidR="007B70EB">
          <w:rPr>
            <w:noProof/>
            <w:webHidden/>
          </w:rPr>
        </w:r>
        <w:r w:rsidR="007B70EB">
          <w:rPr>
            <w:noProof/>
            <w:webHidden/>
          </w:rPr>
          <w:fldChar w:fldCharType="separate"/>
        </w:r>
        <w:r w:rsidR="007B70EB">
          <w:rPr>
            <w:noProof/>
            <w:webHidden/>
          </w:rPr>
          <w:t>200</w:t>
        </w:r>
        <w:r w:rsidR="007B70EB">
          <w:rPr>
            <w:noProof/>
            <w:webHidden/>
          </w:rPr>
          <w:fldChar w:fldCharType="end"/>
        </w:r>
      </w:hyperlink>
    </w:p>
    <w:p w14:paraId="66E688E9"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25" w:history="1">
        <w:r w:rsidR="007B70EB" w:rsidRPr="00121BC4">
          <w:rPr>
            <w:rStyle w:val="Hyperlink"/>
            <w:noProof/>
          </w:rPr>
          <w:t>Table 4</w:t>
        </w:r>
        <w:r w:rsidR="007B70EB" w:rsidRPr="00121BC4">
          <w:rPr>
            <w:rStyle w:val="Hyperlink"/>
            <w:noProof/>
          </w:rPr>
          <w:noBreakHyphen/>
          <w:t>8 Summary of default sorption parameters for inorganic chemicals.</w:t>
        </w:r>
        <w:r w:rsidR="007B70EB">
          <w:rPr>
            <w:noProof/>
            <w:webHidden/>
          </w:rPr>
          <w:tab/>
        </w:r>
        <w:r w:rsidR="007B70EB">
          <w:rPr>
            <w:noProof/>
            <w:webHidden/>
          </w:rPr>
          <w:fldChar w:fldCharType="begin"/>
        </w:r>
        <w:r w:rsidR="007B70EB">
          <w:rPr>
            <w:noProof/>
            <w:webHidden/>
          </w:rPr>
          <w:instrText xml:space="preserve"> PAGEREF _Toc494444725 \h </w:instrText>
        </w:r>
        <w:r w:rsidR="007B70EB">
          <w:rPr>
            <w:noProof/>
            <w:webHidden/>
          </w:rPr>
        </w:r>
        <w:r w:rsidR="007B70EB">
          <w:rPr>
            <w:noProof/>
            <w:webHidden/>
          </w:rPr>
          <w:fldChar w:fldCharType="separate"/>
        </w:r>
        <w:r w:rsidR="007B70EB">
          <w:rPr>
            <w:noProof/>
            <w:webHidden/>
          </w:rPr>
          <w:t>200</w:t>
        </w:r>
        <w:r w:rsidR="007B70EB">
          <w:rPr>
            <w:noProof/>
            <w:webHidden/>
          </w:rPr>
          <w:fldChar w:fldCharType="end"/>
        </w:r>
      </w:hyperlink>
    </w:p>
    <w:p w14:paraId="351F4DFA"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26" w:history="1">
        <w:r w:rsidR="007B70EB" w:rsidRPr="00121BC4">
          <w:rPr>
            <w:rStyle w:val="Hyperlink"/>
            <w:noProof/>
          </w:rPr>
          <w:t>Table 4</w:t>
        </w:r>
        <w:r w:rsidR="007B70EB" w:rsidRPr="00121BC4">
          <w:rPr>
            <w:rStyle w:val="Hyperlink"/>
            <w:noProof/>
          </w:rPr>
          <w:noBreakHyphen/>
          <w:t>9  Table of fate parameters adjusted for Gunnedah Basin geology (inorganic chemicals).</w:t>
        </w:r>
        <w:r w:rsidR="007B70EB">
          <w:rPr>
            <w:noProof/>
            <w:webHidden/>
          </w:rPr>
          <w:tab/>
        </w:r>
        <w:r w:rsidR="007B70EB">
          <w:rPr>
            <w:noProof/>
            <w:webHidden/>
          </w:rPr>
          <w:fldChar w:fldCharType="begin"/>
        </w:r>
        <w:r w:rsidR="007B70EB">
          <w:rPr>
            <w:noProof/>
            <w:webHidden/>
          </w:rPr>
          <w:instrText xml:space="preserve"> PAGEREF _Toc494444726 \h </w:instrText>
        </w:r>
        <w:r w:rsidR="007B70EB">
          <w:rPr>
            <w:noProof/>
            <w:webHidden/>
          </w:rPr>
        </w:r>
        <w:r w:rsidR="007B70EB">
          <w:rPr>
            <w:noProof/>
            <w:webHidden/>
          </w:rPr>
          <w:fldChar w:fldCharType="separate"/>
        </w:r>
        <w:r w:rsidR="007B70EB">
          <w:rPr>
            <w:noProof/>
            <w:webHidden/>
          </w:rPr>
          <w:t>201</w:t>
        </w:r>
        <w:r w:rsidR="007B70EB">
          <w:rPr>
            <w:noProof/>
            <w:webHidden/>
          </w:rPr>
          <w:fldChar w:fldCharType="end"/>
        </w:r>
      </w:hyperlink>
    </w:p>
    <w:p w14:paraId="0CFF48EA"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27" w:history="1">
        <w:r w:rsidR="007B70EB" w:rsidRPr="00121BC4">
          <w:rPr>
            <w:rStyle w:val="Hyperlink"/>
            <w:noProof/>
          </w:rPr>
          <w:t>Table 4</w:t>
        </w:r>
        <w:r w:rsidR="007B70EB" w:rsidRPr="00121BC4">
          <w:rPr>
            <w:rStyle w:val="Hyperlink"/>
            <w:noProof/>
          </w:rPr>
          <w:noBreakHyphen/>
          <w:t>10  Table of fate parameters adjusted for Surat Basin geology (inorganic chemicals).</w:t>
        </w:r>
        <w:r w:rsidR="007B70EB">
          <w:rPr>
            <w:noProof/>
            <w:webHidden/>
          </w:rPr>
          <w:tab/>
        </w:r>
        <w:r w:rsidR="007B70EB">
          <w:rPr>
            <w:noProof/>
            <w:webHidden/>
          </w:rPr>
          <w:fldChar w:fldCharType="begin"/>
        </w:r>
        <w:r w:rsidR="007B70EB">
          <w:rPr>
            <w:noProof/>
            <w:webHidden/>
          </w:rPr>
          <w:instrText xml:space="preserve"> PAGEREF _Toc494444727 \h </w:instrText>
        </w:r>
        <w:r w:rsidR="007B70EB">
          <w:rPr>
            <w:noProof/>
            <w:webHidden/>
          </w:rPr>
        </w:r>
        <w:r w:rsidR="007B70EB">
          <w:rPr>
            <w:noProof/>
            <w:webHidden/>
          </w:rPr>
          <w:fldChar w:fldCharType="separate"/>
        </w:r>
        <w:r w:rsidR="007B70EB">
          <w:rPr>
            <w:noProof/>
            <w:webHidden/>
          </w:rPr>
          <w:t>201</w:t>
        </w:r>
        <w:r w:rsidR="007B70EB">
          <w:rPr>
            <w:noProof/>
            <w:webHidden/>
          </w:rPr>
          <w:fldChar w:fldCharType="end"/>
        </w:r>
      </w:hyperlink>
    </w:p>
    <w:p w14:paraId="389CEB5C"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28" w:history="1">
        <w:r w:rsidR="007B70EB" w:rsidRPr="00121BC4">
          <w:rPr>
            <w:rStyle w:val="Hyperlink"/>
            <w:noProof/>
          </w:rPr>
          <w:t>Table 4</w:t>
        </w:r>
        <w:r w:rsidR="007B70EB" w:rsidRPr="00121BC4">
          <w:rPr>
            <w:rStyle w:val="Hyperlink"/>
            <w:noProof/>
          </w:rPr>
          <w:noBreakHyphen/>
          <w:t>11 Predicted no effect concentrations (PNEC) for the protection of aquatic freshwater biota and drinking water guideline concentrations for Australia.</w:t>
        </w:r>
        <w:r w:rsidR="007B70EB">
          <w:rPr>
            <w:noProof/>
            <w:webHidden/>
          </w:rPr>
          <w:tab/>
        </w:r>
        <w:r w:rsidR="007B70EB">
          <w:rPr>
            <w:noProof/>
            <w:webHidden/>
          </w:rPr>
          <w:fldChar w:fldCharType="begin"/>
        </w:r>
        <w:r w:rsidR="007B70EB">
          <w:rPr>
            <w:noProof/>
            <w:webHidden/>
          </w:rPr>
          <w:instrText xml:space="preserve"> PAGEREF _Toc494444728 \h </w:instrText>
        </w:r>
        <w:r w:rsidR="007B70EB">
          <w:rPr>
            <w:noProof/>
            <w:webHidden/>
          </w:rPr>
        </w:r>
        <w:r w:rsidR="007B70EB">
          <w:rPr>
            <w:noProof/>
            <w:webHidden/>
          </w:rPr>
          <w:fldChar w:fldCharType="separate"/>
        </w:r>
        <w:r w:rsidR="007B70EB">
          <w:rPr>
            <w:noProof/>
            <w:webHidden/>
          </w:rPr>
          <w:t>210</w:t>
        </w:r>
        <w:r w:rsidR="007B70EB">
          <w:rPr>
            <w:noProof/>
            <w:webHidden/>
          </w:rPr>
          <w:fldChar w:fldCharType="end"/>
        </w:r>
      </w:hyperlink>
    </w:p>
    <w:p w14:paraId="76FE04A8"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29" w:history="1">
        <w:r w:rsidR="007B70EB" w:rsidRPr="00121BC4">
          <w:rPr>
            <w:rStyle w:val="Hyperlink"/>
            <w:noProof/>
          </w:rPr>
          <w:t>Table 5</w:t>
        </w:r>
        <w:r w:rsidR="007B70EB" w:rsidRPr="00121BC4">
          <w:rPr>
            <w:rStyle w:val="Hyperlink"/>
            <w:noProof/>
          </w:rPr>
          <w:noBreakHyphen/>
          <w:t>1 Half-life data used in attenuation calculations. Values represent observed range based on in situ and field studies. MCI = Methyl-chloro-isothiazolinone. NBD = not biodegradable . Values rounded to three significant figures. N.d. = no data; n.a. = not applicable.</w:t>
        </w:r>
        <w:r w:rsidR="007B70EB">
          <w:rPr>
            <w:noProof/>
            <w:webHidden/>
          </w:rPr>
          <w:tab/>
        </w:r>
        <w:r w:rsidR="007B70EB">
          <w:rPr>
            <w:noProof/>
            <w:webHidden/>
          </w:rPr>
          <w:fldChar w:fldCharType="begin"/>
        </w:r>
        <w:r w:rsidR="007B70EB">
          <w:rPr>
            <w:noProof/>
            <w:webHidden/>
          </w:rPr>
          <w:instrText xml:space="preserve"> PAGEREF _Toc494444729 \h </w:instrText>
        </w:r>
        <w:r w:rsidR="007B70EB">
          <w:rPr>
            <w:noProof/>
            <w:webHidden/>
          </w:rPr>
        </w:r>
        <w:r w:rsidR="007B70EB">
          <w:rPr>
            <w:noProof/>
            <w:webHidden/>
          </w:rPr>
          <w:fldChar w:fldCharType="separate"/>
        </w:r>
        <w:r w:rsidR="007B70EB">
          <w:rPr>
            <w:noProof/>
            <w:webHidden/>
          </w:rPr>
          <w:t>214</w:t>
        </w:r>
        <w:r w:rsidR="007B70EB">
          <w:rPr>
            <w:noProof/>
            <w:webHidden/>
          </w:rPr>
          <w:fldChar w:fldCharType="end"/>
        </w:r>
      </w:hyperlink>
    </w:p>
    <w:p w14:paraId="0A0591E0"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30" w:history="1">
        <w:r w:rsidR="007B70EB" w:rsidRPr="00121BC4">
          <w:rPr>
            <w:rStyle w:val="Hyperlink"/>
            <w:noProof/>
          </w:rPr>
          <w:t>Table 5</w:t>
        </w:r>
        <w:r w:rsidR="007B70EB" w:rsidRPr="00121BC4">
          <w:rPr>
            <w:rStyle w:val="Hyperlink"/>
            <w:noProof/>
          </w:rPr>
          <w:noBreakHyphen/>
          <w:t>2 Calculated relative concentration at receptor for minimum travel time of 10 years (travel time class # 1 Table 2</w:t>
        </w:r>
        <w:r w:rsidR="007B70EB" w:rsidRPr="00121BC4">
          <w:rPr>
            <w:rStyle w:val="Hyperlink"/>
            <w:noProof/>
          </w:rPr>
          <w:noBreakHyphen/>
          <w:t>24). MCI = Methyl-chloro-isothiazolinone.  Initial source concentration is 1 (no units specified). Numbers in italics assume absence of chemical/biological degradation.</w:t>
        </w:r>
        <w:r w:rsidR="007B70EB">
          <w:rPr>
            <w:noProof/>
            <w:webHidden/>
          </w:rPr>
          <w:tab/>
        </w:r>
        <w:r w:rsidR="007B70EB">
          <w:rPr>
            <w:noProof/>
            <w:webHidden/>
          </w:rPr>
          <w:fldChar w:fldCharType="begin"/>
        </w:r>
        <w:r w:rsidR="007B70EB">
          <w:rPr>
            <w:noProof/>
            <w:webHidden/>
          </w:rPr>
          <w:instrText xml:space="preserve"> PAGEREF _Toc494444730 \h </w:instrText>
        </w:r>
        <w:r w:rsidR="007B70EB">
          <w:rPr>
            <w:noProof/>
            <w:webHidden/>
          </w:rPr>
        </w:r>
        <w:r w:rsidR="007B70EB">
          <w:rPr>
            <w:noProof/>
            <w:webHidden/>
          </w:rPr>
          <w:fldChar w:fldCharType="separate"/>
        </w:r>
        <w:r w:rsidR="007B70EB">
          <w:rPr>
            <w:noProof/>
            <w:webHidden/>
          </w:rPr>
          <w:t>224</w:t>
        </w:r>
        <w:r w:rsidR="007B70EB">
          <w:rPr>
            <w:noProof/>
            <w:webHidden/>
          </w:rPr>
          <w:fldChar w:fldCharType="end"/>
        </w:r>
      </w:hyperlink>
    </w:p>
    <w:p w14:paraId="12BA0722"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31" w:history="1">
        <w:r w:rsidR="007B70EB" w:rsidRPr="00121BC4">
          <w:rPr>
            <w:rStyle w:val="Hyperlink"/>
            <w:noProof/>
          </w:rPr>
          <w:t>Table 5</w:t>
        </w:r>
        <w:r w:rsidR="007B70EB" w:rsidRPr="00121BC4">
          <w:rPr>
            <w:rStyle w:val="Hyperlink"/>
            <w:noProof/>
          </w:rPr>
          <w:noBreakHyphen/>
          <w:t>3 Calculated relative concentration at receptor for mean travel time of 34 years (travel time class # 2 Table 2</w:t>
        </w:r>
        <w:r w:rsidR="007B70EB" w:rsidRPr="00121BC4">
          <w:rPr>
            <w:rStyle w:val="Hyperlink"/>
            <w:noProof/>
          </w:rPr>
          <w:noBreakHyphen/>
          <w:t>24). MCI = Methyl-chloro-isothiazolinone.  Initial source concentration is 1 (no units specified). Numbers in italics assume absence of chemical/biological degradation.</w:t>
        </w:r>
        <w:r w:rsidR="007B70EB">
          <w:rPr>
            <w:noProof/>
            <w:webHidden/>
          </w:rPr>
          <w:tab/>
        </w:r>
        <w:r w:rsidR="007B70EB">
          <w:rPr>
            <w:noProof/>
            <w:webHidden/>
          </w:rPr>
          <w:fldChar w:fldCharType="begin"/>
        </w:r>
        <w:r w:rsidR="007B70EB">
          <w:rPr>
            <w:noProof/>
            <w:webHidden/>
          </w:rPr>
          <w:instrText xml:space="preserve"> PAGEREF _Toc494444731 \h </w:instrText>
        </w:r>
        <w:r w:rsidR="007B70EB">
          <w:rPr>
            <w:noProof/>
            <w:webHidden/>
          </w:rPr>
        </w:r>
        <w:r w:rsidR="007B70EB">
          <w:rPr>
            <w:noProof/>
            <w:webHidden/>
          </w:rPr>
          <w:fldChar w:fldCharType="separate"/>
        </w:r>
        <w:r w:rsidR="007B70EB">
          <w:rPr>
            <w:noProof/>
            <w:webHidden/>
          </w:rPr>
          <w:t>225</w:t>
        </w:r>
        <w:r w:rsidR="007B70EB">
          <w:rPr>
            <w:noProof/>
            <w:webHidden/>
          </w:rPr>
          <w:fldChar w:fldCharType="end"/>
        </w:r>
      </w:hyperlink>
    </w:p>
    <w:p w14:paraId="05B06524"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32" w:history="1">
        <w:r w:rsidR="007B70EB" w:rsidRPr="00121BC4">
          <w:rPr>
            <w:rStyle w:val="Hyperlink"/>
            <w:noProof/>
          </w:rPr>
          <w:t>Table 5</w:t>
        </w:r>
        <w:r w:rsidR="007B70EB" w:rsidRPr="00121BC4">
          <w:rPr>
            <w:rStyle w:val="Hyperlink"/>
            <w:noProof/>
          </w:rPr>
          <w:noBreakHyphen/>
          <w:t>4 Calculated relative concentration at receptor for maximum travel time of 92 years (travel time class # 3 Table 2</w:t>
        </w:r>
        <w:r w:rsidR="007B70EB" w:rsidRPr="00121BC4">
          <w:rPr>
            <w:rStyle w:val="Hyperlink"/>
            <w:noProof/>
          </w:rPr>
          <w:noBreakHyphen/>
          <w:t>24). MCI = Methyl-chloro-isothiazolinone. Initial source concentration is 1 (no units specified). Numbers in italics assume absence of chemical/biological degradation.</w:t>
        </w:r>
        <w:r w:rsidR="007B70EB">
          <w:rPr>
            <w:noProof/>
            <w:webHidden/>
          </w:rPr>
          <w:tab/>
        </w:r>
        <w:r w:rsidR="007B70EB">
          <w:rPr>
            <w:noProof/>
            <w:webHidden/>
          </w:rPr>
          <w:fldChar w:fldCharType="begin"/>
        </w:r>
        <w:r w:rsidR="007B70EB">
          <w:rPr>
            <w:noProof/>
            <w:webHidden/>
          </w:rPr>
          <w:instrText xml:space="preserve"> PAGEREF _Toc494444732 \h </w:instrText>
        </w:r>
        <w:r w:rsidR="007B70EB">
          <w:rPr>
            <w:noProof/>
            <w:webHidden/>
          </w:rPr>
        </w:r>
        <w:r w:rsidR="007B70EB">
          <w:rPr>
            <w:noProof/>
            <w:webHidden/>
          </w:rPr>
          <w:fldChar w:fldCharType="separate"/>
        </w:r>
        <w:r w:rsidR="007B70EB">
          <w:rPr>
            <w:noProof/>
            <w:webHidden/>
          </w:rPr>
          <w:t>225</w:t>
        </w:r>
        <w:r w:rsidR="007B70EB">
          <w:rPr>
            <w:noProof/>
            <w:webHidden/>
          </w:rPr>
          <w:fldChar w:fldCharType="end"/>
        </w:r>
      </w:hyperlink>
    </w:p>
    <w:p w14:paraId="5B24DBFC"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33" w:history="1">
        <w:r w:rsidR="007B70EB" w:rsidRPr="00121BC4">
          <w:rPr>
            <w:rStyle w:val="Hyperlink"/>
            <w:noProof/>
          </w:rPr>
          <w:t>Table 5</w:t>
        </w:r>
        <w:r w:rsidR="007B70EB" w:rsidRPr="00121BC4">
          <w:rPr>
            <w:rStyle w:val="Hyperlink"/>
            <w:noProof/>
          </w:rPr>
          <w:noBreakHyphen/>
          <w:t>5 Calculated dilution attenuation factor (DAF) at receptor for minimum travel time of 10 years (travel time class # 1 Table 2</w:t>
        </w:r>
        <w:r w:rsidR="007B70EB" w:rsidRPr="00121BC4">
          <w:rPr>
            <w:rStyle w:val="Hyperlink"/>
            <w:noProof/>
          </w:rPr>
          <w:noBreakHyphen/>
          <w:t>24). MCI = Methyl-chloro-isothiazolinone. Numbers in italics assume absence of chemical/biological degradation.</w:t>
        </w:r>
        <w:r w:rsidR="007B70EB">
          <w:rPr>
            <w:noProof/>
            <w:webHidden/>
          </w:rPr>
          <w:tab/>
        </w:r>
        <w:r w:rsidR="007B70EB">
          <w:rPr>
            <w:noProof/>
            <w:webHidden/>
          </w:rPr>
          <w:fldChar w:fldCharType="begin"/>
        </w:r>
        <w:r w:rsidR="007B70EB">
          <w:rPr>
            <w:noProof/>
            <w:webHidden/>
          </w:rPr>
          <w:instrText xml:space="preserve"> PAGEREF _Toc494444733 \h </w:instrText>
        </w:r>
        <w:r w:rsidR="007B70EB">
          <w:rPr>
            <w:noProof/>
            <w:webHidden/>
          </w:rPr>
        </w:r>
        <w:r w:rsidR="007B70EB">
          <w:rPr>
            <w:noProof/>
            <w:webHidden/>
          </w:rPr>
          <w:fldChar w:fldCharType="separate"/>
        </w:r>
        <w:r w:rsidR="007B70EB">
          <w:rPr>
            <w:noProof/>
            <w:webHidden/>
          </w:rPr>
          <w:t>225</w:t>
        </w:r>
        <w:r w:rsidR="007B70EB">
          <w:rPr>
            <w:noProof/>
            <w:webHidden/>
          </w:rPr>
          <w:fldChar w:fldCharType="end"/>
        </w:r>
      </w:hyperlink>
    </w:p>
    <w:p w14:paraId="30183E72"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34" w:history="1">
        <w:r w:rsidR="007B70EB" w:rsidRPr="00121BC4">
          <w:rPr>
            <w:rStyle w:val="Hyperlink"/>
            <w:noProof/>
          </w:rPr>
          <w:t>Table 5</w:t>
        </w:r>
        <w:r w:rsidR="007B70EB" w:rsidRPr="00121BC4">
          <w:rPr>
            <w:rStyle w:val="Hyperlink"/>
            <w:noProof/>
          </w:rPr>
          <w:noBreakHyphen/>
          <w:t>6 Calculated dilution attenuation factor (DAF) at receptor for mean travel time of 34 years (travel time class # 1 Table 2</w:t>
        </w:r>
        <w:r w:rsidR="007B70EB" w:rsidRPr="00121BC4">
          <w:rPr>
            <w:rStyle w:val="Hyperlink"/>
            <w:noProof/>
          </w:rPr>
          <w:noBreakHyphen/>
          <w:t>24). MCI = Methyl-chloro-isothiazolinone. Numbers in italics assume absence of chemical/biological degradation.</w:t>
        </w:r>
        <w:r w:rsidR="007B70EB">
          <w:rPr>
            <w:noProof/>
            <w:webHidden/>
          </w:rPr>
          <w:tab/>
        </w:r>
        <w:r w:rsidR="007B70EB">
          <w:rPr>
            <w:noProof/>
            <w:webHidden/>
          </w:rPr>
          <w:fldChar w:fldCharType="begin"/>
        </w:r>
        <w:r w:rsidR="007B70EB">
          <w:rPr>
            <w:noProof/>
            <w:webHidden/>
          </w:rPr>
          <w:instrText xml:space="preserve"> PAGEREF _Toc494444734 \h </w:instrText>
        </w:r>
        <w:r w:rsidR="007B70EB">
          <w:rPr>
            <w:noProof/>
            <w:webHidden/>
          </w:rPr>
        </w:r>
        <w:r w:rsidR="007B70EB">
          <w:rPr>
            <w:noProof/>
            <w:webHidden/>
          </w:rPr>
          <w:fldChar w:fldCharType="separate"/>
        </w:r>
        <w:r w:rsidR="007B70EB">
          <w:rPr>
            <w:noProof/>
            <w:webHidden/>
          </w:rPr>
          <w:t>226</w:t>
        </w:r>
        <w:r w:rsidR="007B70EB">
          <w:rPr>
            <w:noProof/>
            <w:webHidden/>
          </w:rPr>
          <w:fldChar w:fldCharType="end"/>
        </w:r>
      </w:hyperlink>
    </w:p>
    <w:p w14:paraId="2D206478"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35" w:history="1">
        <w:r w:rsidR="007B70EB" w:rsidRPr="00121BC4">
          <w:rPr>
            <w:rStyle w:val="Hyperlink"/>
            <w:noProof/>
          </w:rPr>
          <w:t>Table 5</w:t>
        </w:r>
        <w:r w:rsidR="007B70EB" w:rsidRPr="00121BC4">
          <w:rPr>
            <w:rStyle w:val="Hyperlink"/>
            <w:noProof/>
          </w:rPr>
          <w:noBreakHyphen/>
          <w:t>7 Calculated dilution attenuation factor (DAF) at receptor for maximum travel time of 92 years (travel time class # 1 Table 2</w:t>
        </w:r>
        <w:r w:rsidR="007B70EB" w:rsidRPr="00121BC4">
          <w:rPr>
            <w:rStyle w:val="Hyperlink"/>
            <w:noProof/>
          </w:rPr>
          <w:noBreakHyphen/>
          <w:t>24). MCI = Methyl-chloro-isothiazolinone. Numbers in italics assume absence of chemical/biological degradation.</w:t>
        </w:r>
        <w:r w:rsidR="007B70EB">
          <w:rPr>
            <w:noProof/>
            <w:webHidden/>
          </w:rPr>
          <w:tab/>
        </w:r>
        <w:r w:rsidR="007B70EB">
          <w:rPr>
            <w:noProof/>
            <w:webHidden/>
          </w:rPr>
          <w:fldChar w:fldCharType="begin"/>
        </w:r>
        <w:r w:rsidR="007B70EB">
          <w:rPr>
            <w:noProof/>
            <w:webHidden/>
          </w:rPr>
          <w:instrText xml:space="preserve"> PAGEREF _Toc494444735 \h </w:instrText>
        </w:r>
        <w:r w:rsidR="007B70EB">
          <w:rPr>
            <w:noProof/>
            <w:webHidden/>
          </w:rPr>
        </w:r>
        <w:r w:rsidR="007B70EB">
          <w:rPr>
            <w:noProof/>
            <w:webHidden/>
          </w:rPr>
          <w:fldChar w:fldCharType="separate"/>
        </w:r>
        <w:r w:rsidR="007B70EB">
          <w:rPr>
            <w:noProof/>
            <w:webHidden/>
          </w:rPr>
          <w:t>226</w:t>
        </w:r>
        <w:r w:rsidR="007B70EB">
          <w:rPr>
            <w:noProof/>
            <w:webHidden/>
          </w:rPr>
          <w:fldChar w:fldCharType="end"/>
        </w:r>
      </w:hyperlink>
    </w:p>
    <w:p w14:paraId="4EBB2D41"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36" w:history="1">
        <w:r w:rsidR="007B70EB" w:rsidRPr="00121BC4">
          <w:rPr>
            <w:rStyle w:val="Hyperlink"/>
            <w:noProof/>
          </w:rPr>
          <w:t>Table 5</w:t>
        </w:r>
        <w:r w:rsidR="007B70EB" w:rsidRPr="00121BC4">
          <w:rPr>
            <w:rStyle w:val="Hyperlink"/>
            <w:noProof/>
          </w:rPr>
          <w:noBreakHyphen/>
          <w:t>8 Summary of fraction of organic carbon (f</w:t>
        </w:r>
        <w:r w:rsidR="007B70EB" w:rsidRPr="00121BC4">
          <w:rPr>
            <w:rStyle w:val="Hyperlink"/>
            <w:noProof/>
            <w:vertAlign w:val="subscript"/>
          </w:rPr>
          <w:t>OC_r</w:t>
        </w:r>
        <w:r w:rsidR="007B70EB" w:rsidRPr="00121BC4">
          <w:rPr>
            <w:rStyle w:val="Hyperlink"/>
            <w:noProof/>
          </w:rPr>
          <w:t>) for Gunnedah and Surat Basin aquifers.</w:t>
        </w:r>
        <w:r w:rsidR="007B70EB">
          <w:rPr>
            <w:noProof/>
            <w:webHidden/>
          </w:rPr>
          <w:tab/>
        </w:r>
        <w:r w:rsidR="007B70EB">
          <w:rPr>
            <w:noProof/>
            <w:webHidden/>
          </w:rPr>
          <w:fldChar w:fldCharType="begin"/>
        </w:r>
        <w:r w:rsidR="007B70EB">
          <w:rPr>
            <w:noProof/>
            <w:webHidden/>
          </w:rPr>
          <w:instrText xml:space="preserve"> PAGEREF _Toc494444736 \h </w:instrText>
        </w:r>
        <w:r w:rsidR="007B70EB">
          <w:rPr>
            <w:noProof/>
            <w:webHidden/>
          </w:rPr>
        </w:r>
        <w:r w:rsidR="007B70EB">
          <w:rPr>
            <w:noProof/>
            <w:webHidden/>
          </w:rPr>
          <w:fldChar w:fldCharType="separate"/>
        </w:r>
        <w:r w:rsidR="007B70EB">
          <w:rPr>
            <w:noProof/>
            <w:webHidden/>
          </w:rPr>
          <w:t>227</w:t>
        </w:r>
        <w:r w:rsidR="007B70EB">
          <w:rPr>
            <w:noProof/>
            <w:webHidden/>
          </w:rPr>
          <w:fldChar w:fldCharType="end"/>
        </w:r>
      </w:hyperlink>
    </w:p>
    <w:p w14:paraId="7DC3F266"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37" w:history="1">
        <w:r w:rsidR="007B70EB" w:rsidRPr="00121BC4">
          <w:rPr>
            <w:rStyle w:val="Hyperlink"/>
            <w:noProof/>
          </w:rPr>
          <w:t>Table 5</w:t>
        </w:r>
        <w:r w:rsidR="007B70EB" w:rsidRPr="00121BC4">
          <w:rPr>
            <w:rStyle w:val="Hyperlink"/>
            <w:noProof/>
          </w:rPr>
          <w:noBreakHyphen/>
          <w:t>9 Sorption data (K</w:t>
        </w:r>
        <w:r w:rsidR="007B70EB" w:rsidRPr="00121BC4">
          <w:rPr>
            <w:rStyle w:val="Hyperlink"/>
            <w:noProof/>
            <w:vertAlign w:val="subscript"/>
          </w:rPr>
          <w:t xml:space="preserve">OC </w:t>
        </w:r>
        <w:r w:rsidR="007B70EB" w:rsidRPr="00121BC4">
          <w:rPr>
            <w:rStyle w:val="Hyperlink"/>
            <w:noProof/>
          </w:rPr>
          <w:t>and distribution coefficient K</w:t>
        </w:r>
        <w:r w:rsidR="007B70EB" w:rsidRPr="00121BC4">
          <w:rPr>
            <w:rStyle w:val="Hyperlink"/>
            <w:noProof/>
            <w:vertAlign w:val="subscript"/>
          </w:rPr>
          <w:t>d</w:t>
        </w:r>
        <w:r w:rsidR="007B70EB" w:rsidRPr="00121BC4">
          <w:rPr>
            <w:rStyle w:val="Hyperlink"/>
            <w:noProof/>
          </w:rPr>
          <w:t xml:space="preserve"> = f</w:t>
        </w:r>
        <w:r w:rsidR="007B70EB" w:rsidRPr="00121BC4">
          <w:rPr>
            <w:rStyle w:val="Hyperlink"/>
            <w:noProof/>
            <w:vertAlign w:val="subscript"/>
          </w:rPr>
          <w:t xml:space="preserve">OC_r </w:t>
        </w:r>
        <w:r w:rsidR="007B70EB" w:rsidRPr="00121BC4">
          <w:rPr>
            <w:rStyle w:val="Hyperlink"/>
            <w:noProof/>
          </w:rPr>
          <w:t>x K</w:t>
        </w:r>
        <w:r w:rsidR="007B70EB" w:rsidRPr="00121BC4">
          <w:rPr>
            <w:rStyle w:val="Hyperlink"/>
            <w:noProof/>
            <w:vertAlign w:val="subscript"/>
          </w:rPr>
          <w:t>OC</w:t>
        </w:r>
        <w:r w:rsidR="007B70EB" w:rsidRPr="00121BC4">
          <w:rPr>
            <w:rStyle w:val="Hyperlink"/>
            <w:noProof/>
          </w:rPr>
          <w:t xml:space="preserve"> with f</w:t>
        </w:r>
        <w:r w:rsidR="007B70EB" w:rsidRPr="00121BC4">
          <w:rPr>
            <w:rStyle w:val="Hyperlink"/>
            <w:noProof/>
            <w:vertAlign w:val="subscript"/>
          </w:rPr>
          <w:t xml:space="preserve">OC_r </w:t>
        </w:r>
        <w:r w:rsidR="007B70EB" w:rsidRPr="00121BC4">
          <w:rPr>
            <w:rStyle w:val="Hyperlink"/>
            <w:noProof/>
          </w:rPr>
          <w:t>= 0.001) used for attenuation calculations. MCI = Methyl-chloro-isothiazolinone. Values rounded to three significant figures.</w:t>
        </w:r>
        <w:r w:rsidR="007B70EB">
          <w:rPr>
            <w:noProof/>
            <w:webHidden/>
          </w:rPr>
          <w:tab/>
        </w:r>
        <w:r w:rsidR="007B70EB">
          <w:rPr>
            <w:noProof/>
            <w:webHidden/>
          </w:rPr>
          <w:fldChar w:fldCharType="begin"/>
        </w:r>
        <w:r w:rsidR="007B70EB">
          <w:rPr>
            <w:noProof/>
            <w:webHidden/>
          </w:rPr>
          <w:instrText xml:space="preserve"> PAGEREF _Toc494444737 \h </w:instrText>
        </w:r>
        <w:r w:rsidR="007B70EB">
          <w:rPr>
            <w:noProof/>
            <w:webHidden/>
          </w:rPr>
        </w:r>
        <w:r w:rsidR="007B70EB">
          <w:rPr>
            <w:noProof/>
            <w:webHidden/>
          </w:rPr>
          <w:fldChar w:fldCharType="separate"/>
        </w:r>
        <w:r w:rsidR="007B70EB">
          <w:rPr>
            <w:noProof/>
            <w:webHidden/>
          </w:rPr>
          <w:t>227</w:t>
        </w:r>
        <w:r w:rsidR="007B70EB">
          <w:rPr>
            <w:noProof/>
            <w:webHidden/>
          </w:rPr>
          <w:fldChar w:fldCharType="end"/>
        </w:r>
      </w:hyperlink>
    </w:p>
    <w:p w14:paraId="61372073"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38" w:history="1">
        <w:r w:rsidR="007B70EB" w:rsidRPr="00121BC4">
          <w:rPr>
            <w:rStyle w:val="Hyperlink"/>
            <w:noProof/>
          </w:rPr>
          <w:t>Table 5</w:t>
        </w:r>
        <w:r w:rsidR="007B70EB" w:rsidRPr="00121BC4">
          <w:rPr>
            <w:rStyle w:val="Hyperlink"/>
            <w:noProof/>
          </w:rPr>
          <w:noBreakHyphen/>
          <w:t>10 Sorption data (R</w:t>
        </w:r>
        <w:r w:rsidR="007B70EB" w:rsidRPr="00121BC4">
          <w:rPr>
            <w:rStyle w:val="Hyperlink"/>
            <w:noProof/>
            <w:vertAlign w:val="subscript"/>
          </w:rPr>
          <w:t>f</w:t>
        </w:r>
        <w:r w:rsidR="007B70EB" w:rsidRPr="00121BC4">
          <w:rPr>
            <w:rStyle w:val="Hyperlink"/>
            <w:noProof/>
          </w:rPr>
          <w:t>) used for attenuation calculations (f</w:t>
        </w:r>
        <w:r w:rsidR="007B70EB" w:rsidRPr="00121BC4">
          <w:rPr>
            <w:rStyle w:val="Hyperlink"/>
            <w:noProof/>
            <w:vertAlign w:val="subscript"/>
          </w:rPr>
          <w:t xml:space="preserve">OC_r </w:t>
        </w:r>
        <w:r w:rsidR="007B70EB" w:rsidRPr="00121BC4">
          <w:rPr>
            <w:rStyle w:val="Hyperlink"/>
            <w:noProof/>
          </w:rPr>
          <w:t>= 0.001). MCI = Methyl-chloro-isothiazolinone.</w:t>
        </w:r>
        <w:r w:rsidR="007B70EB">
          <w:rPr>
            <w:noProof/>
            <w:webHidden/>
          </w:rPr>
          <w:tab/>
        </w:r>
        <w:r w:rsidR="007B70EB">
          <w:rPr>
            <w:noProof/>
            <w:webHidden/>
          </w:rPr>
          <w:fldChar w:fldCharType="begin"/>
        </w:r>
        <w:r w:rsidR="007B70EB">
          <w:rPr>
            <w:noProof/>
            <w:webHidden/>
          </w:rPr>
          <w:instrText xml:space="preserve"> PAGEREF _Toc494444738 \h </w:instrText>
        </w:r>
        <w:r w:rsidR="007B70EB">
          <w:rPr>
            <w:noProof/>
            <w:webHidden/>
          </w:rPr>
        </w:r>
        <w:r w:rsidR="007B70EB">
          <w:rPr>
            <w:noProof/>
            <w:webHidden/>
          </w:rPr>
          <w:fldChar w:fldCharType="separate"/>
        </w:r>
        <w:r w:rsidR="007B70EB">
          <w:rPr>
            <w:noProof/>
            <w:webHidden/>
          </w:rPr>
          <w:t>228</w:t>
        </w:r>
        <w:r w:rsidR="007B70EB">
          <w:rPr>
            <w:noProof/>
            <w:webHidden/>
          </w:rPr>
          <w:fldChar w:fldCharType="end"/>
        </w:r>
      </w:hyperlink>
    </w:p>
    <w:p w14:paraId="1AE4BD1D"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39" w:history="1">
        <w:r w:rsidR="007B70EB" w:rsidRPr="00121BC4">
          <w:rPr>
            <w:rStyle w:val="Hyperlink"/>
            <w:noProof/>
          </w:rPr>
          <w:t>Table 5</w:t>
        </w:r>
        <w:r w:rsidR="007B70EB" w:rsidRPr="00121BC4">
          <w:rPr>
            <w:rStyle w:val="Hyperlink"/>
            <w:noProof/>
          </w:rPr>
          <w:noBreakHyphen/>
          <w:t>11 Sorption data (K</w:t>
        </w:r>
        <w:r w:rsidR="007B70EB" w:rsidRPr="00121BC4">
          <w:rPr>
            <w:rStyle w:val="Hyperlink"/>
            <w:noProof/>
            <w:vertAlign w:val="subscript"/>
          </w:rPr>
          <w:t xml:space="preserve">OC </w:t>
        </w:r>
        <w:r w:rsidR="007B70EB" w:rsidRPr="00121BC4">
          <w:rPr>
            <w:rStyle w:val="Hyperlink"/>
            <w:noProof/>
          </w:rPr>
          <w:t>and distribution coefficient K</w:t>
        </w:r>
        <w:r w:rsidR="007B70EB" w:rsidRPr="00121BC4">
          <w:rPr>
            <w:rStyle w:val="Hyperlink"/>
            <w:noProof/>
            <w:vertAlign w:val="subscript"/>
          </w:rPr>
          <w:t xml:space="preserve">d </w:t>
        </w:r>
        <w:r w:rsidR="007B70EB" w:rsidRPr="00121BC4">
          <w:rPr>
            <w:rStyle w:val="Hyperlink"/>
            <w:noProof/>
          </w:rPr>
          <w:t>= f</w:t>
        </w:r>
        <w:r w:rsidR="007B70EB" w:rsidRPr="00121BC4">
          <w:rPr>
            <w:rStyle w:val="Hyperlink"/>
            <w:noProof/>
            <w:vertAlign w:val="subscript"/>
          </w:rPr>
          <w:t>OC_r</w:t>
        </w:r>
        <w:r w:rsidR="007B70EB" w:rsidRPr="00121BC4">
          <w:rPr>
            <w:rStyle w:val="Hyperlink"/>
            <w:noProof/>
          </w:rPr>
          <w:t xml:space="preserve"> x K</w:t>
        </w:r>
        <w:r w:rsidR="007B70EB" w:rsidRPr="00121BC4">
          <w:rPr>
            <w:rStyle w:val="Hyperlink"/>
            <w:noProof/>
            <w:vertAlign w:val="subscript"/>
          </w:rPr>
          <w:t>OC</w:t>
        </w:r>
        <w:r w:rsidR="007B70EB" w:rsidRPr="00121BC4">
          <w:rPr>
            <w:rStyle w:val="Hyperlink"/>
            <w:noProof/>
          </w:rPr>
          <w:t xml:space="preserve"> with f</w:t>
        </w:r>
        <w:r w:rsidR="007B70EB" w:rsidRPr="00121BC4">
          <w:rPr>
            <w:rStyle w:val="Hyperlink"/>
            <w:noProof/>
            <w:vertAlign w:val="subscript"/>
          </w:rPr>
          <w:t>OC_r</w:t>
        </w:r>
        <w:r w:rsidR="007B70EB" w:rsidRPr="00121BC4">
          <w:rPr>
            <w:rStyle w:val="Hyperlink"/>
            <w:noProof/>
          </w:rPr>
          <w:t xml:space="preserve"> = 0.275 for Gunnedah and 0.0126 for Surat) used for attenuation calculations. MCI = Methyl-chloro-isothiazolinone. Values rounded to three significant figures.</w:t>
        </w:r>
        <w:r w:rsidR="007B70EB">
          <w:rPr>
            <w:noProof/>
            <w:webHidden/>
          </w:rPr>
          <w:tab/>
        </w:r>
        <w:r w:rsidR="007B70EB">
          <w:rPr>
            <w:noProof/>
            <w:webHidden/>
          </w:rPr>
          <w:fldChar w:fldCharType="begin"/>
        </w:r>
        <w:r w:rsidR="007B70EB">
          <w:rPr>
            <w:noProof/>
            <w:webHidden/>
          </w:rPr>
          <w:instrText xml:space="preserve"> PAGEREF _Toc494444739 \h </w:instrText>
        </w:r>
        <w:r w:rsidR="007B70EB">
          <w:rPr>
            <w:noProof/>
            <w:webHidden/>
          </w:rPr>
        </w:r>
        <w:r w:rsidR="007B70EB">
          <w:rPr>
            <w:noProof/>
            <w:webHidden/>
          </w:rPr>
          <w:fldChar w:fldCharType="separate"/>
        </w:r>
        <w:r w:rsidR="007B70EB">
          <w:rPr>
            <w:noProof/>
            <w:webHidden/>
          </w:rPr>
          <w:t>228</w:t>
        </w:r>
        <w:r w:rsidR="007B70EB">
          <w:rPr>
            <w:noProof/>
            <w:webHidden/>
          </w:rPr>
          <w:fldChar w:fldCharType="end"/>
        </w:r>
      </w:hyperlink>
    </w:p>
    <w:p w14:paraId="5437B323"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40" w:history="1">
        <w:r w:rsidR="007B70EB" w:rsidRPr="00121BC4">
          <w:rPr>
            <w:rStyle w:val="Hyperlink"/>
            <w:noProof/>
          </w:rPr>
          <w:t>Table 5</w:t>
        </w:r>
        <w:r w:rsidR="007B70EB" w:rsidRPr="00121BC4">
          <w:rPr>
            <w:rStyle w:val="Hyperlink"/>
            <w:noProof/>
          </w:rPr>
          <w:noBreakHyphen/>
          <w:t>12 Sorption data (R</w:t>
        </w:r>
        <w:r w:rsidR="007B70EB" w:rsidRPr="00121BC4">
          <w:rPr>
            <w:rStyle w:val="Hyperlink"/>
            <w:noProof/>
            <w:vertAlign w:val="subscript"/>
          </w:rPr>
          <w:t>f</w:t>
        </w:r>
        <w:r w:rsidR="007B70EB" w:rsidRPr="00121BC4">
          <w:rPr>
            <w:rStyle w:val="Hyperlink"/>
            <w:noProof/>
          </w:rPr>
          <w:t>) (rounded to three significant figures) used for attenuation calculations (f</w:t>
        </w:r>
        <w:r w:rsidR="007B70EB" w:rsidRPr="00121BC4">
          <w:rPr>
            <w:rStyle w:val="Hyperlink"/>
            <w:noProof/>
            <w:vertAlign w:val="subscript"/>
          </w:rPr>
          <w:t>OC_r</w:t>
        </w:r>
        <w:r w:rsidR="007B70EB" w:rsidRPr="00121BC4">
          <w:rPr>
            <w:rStyle w:val="Hyperlink"/>
            <w:noProof/>
          </w:rPr>
          <w:t xml:space="preserve"> = 0.275 for Gunnedah and 0.0126 for Surat). MCI = Methyl-chloro-isothiazolinone. Values rounded to three significant figures.</w:t>
        </w:r>
        <w:r w:rsidR="007B70EB">
          <w:rPr>
            <w:noProof/>
            <w:webHidden/>
          </w:rPr>
          <w:tab/>
        </w:r>
        <w:r w:rsidR="007B70EB">
          <w:rPr>
            <w:noProof/>
            <w:webHidden/>
          </w:rPr>
          <w:fldChar w:fldCharType="begin"/>
        </w:r>
        <w:r w:rsidR="007B70EB">
          <w:rPr>
            <w:noProof/>
            <w:webHidden/>
          </w:rPr>
          <w:instrText xml:space="preserve"> PAGEREF _Toc494444740 \h </w:instrText>
        </w:r>
        <w:r w:rsidR="007B70EB">
          <w:rPr>
            <w:noProof/>
            <w:webHidden/>
          </w:rPr>
        </w:r>
        <w:r w:rsidR="007B70EB">
          <w:rPr>
            <w:noProof/>
            <w:webHidden/>
          </w:rPr>
          <w:fldChar w:fldCharType="separate"/>
        </w:r>
        <w:r w:rsidR="007B70EB">
          <w:rPr>
            <w:noProof/>
            <w:webHidden/>
          </w:rPr>
          <w:t>228</w:t>
        </w:r>
        <w:r w:rsidR="007B70EB">
          <w:rPr>
            <w:noProof/>
            <w:webHidden/>
          </w:rPr>
          <w:fldChar w:fldCharType="end"/>
        </w:r>
      </w:hyperlink>
    </w:p>
    <w:p w14:paraId="77E028FE"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41" w:history="1">
        <w:r w:rsidR="007B70EB" w:rsidRPr="00121BC4">
          <w:rPr>
            <w:rStyle w:val="Hyperlink"/>
            <w:noProof/>
          </w:rPr>
          <w:t>Table 5</w:t>
        </w:r>
        <w:r w:rsidR="007B70EB" w:rsidRPr="00121BC4">
          <w:rPr>
            <w:rStyle w:val="Hyperlink"/>
            <w:noProof/>
          </w:rPr>
          <w:noBreakHyphen/>
          <w:t>13 Calculated relative concentration at receptor for minimum travel time of 10 years (travel time class # 1 Table 2</w:t>
        </w:r>
        <w:r w:rsidR="007B70EB" w:rsidRPr="00121BC4">
          <w:rPr>
            <w:rStyle w:val="Hyperlink"/>
            <w:noProof/>
          </w:rPr>
          <w:noBreakHyphen/>
          <w:t>24). MCI = Methyl-chloro-isothiazolinone. Initial source concentration is 1 (no units specified). (f</w:t>
        </w:r>
        <w:r w:rsidR="007B70EB" w:rsidRPr="00121BC4">
          <w:rPr>
            <w:rStyle w:val="Hyperlink"/>
            <w:noProof/>
            <w:vertAlign w:val="subscript"/>
          </w:rPr>
          <w:t>OC_r</w:t>
        </w:r>
        <w:r w:rsidR="007B70EB" w:rsidRPr="00121BC4">
          <w:rPr>
            <w:rStyle w:val="Hyperlink"/>
            <w:noProof/>
          </w:rPr>
          <w:t xml:space="preserve"> = 0.001). Underlined numbers have their concentrations decreased compared to calculations without sorption. When two numbers are shown results represent minimum/maximum R</w:t>
        </w:r>
        <w:r w:rsidR="007B70EB" w:rsidRPr="00121BC4">
          <w:rPr>
            <w:rStyle w:val="Hyperlink"/>
            <w:noProof/>
            <w:vertAlign w:val="subscript"/>
          </w:rPr>
          <w:t>f</w:t>
        </w:r>
        <w:r w:rsidR="007B70EB" w:rsidRPr="00121BC4">
          <w:rPr>
            <w:rStyle w:val="Hyperlink"/>
            <w:noProof/>
          </w:rPr>
          <w:t xml:space="preserve"> values. Attenuation due to degradation and sorption.</w:t>
        </w:r>
        <w:r w:rsidR="007B70EB">
          <w:rPr>
            <w:noProof/>
            <w:webHidden/>
          </w:rPr>
          <w:tab/>
        </w:r>
        <w:r w:rsidR="007B70EB">
          <w:rPr>
            <w:noProof/>
            <w:webHidden/>
          </w:rPr>
          <w:fldChar w:fldCharType="begin"/>
        </w:r>
        <w:r w:rsidR="007B70EB">
          <w:rPr>
            <w:noProof/>
            <w:webHidden/>
          </w:rPr>
          <w:instrText xml:space="preserve"> PAGEREF _Toc494444741 \h </w:instrText>
        </w:r>
        <w:r w:rsidR="007B70EB">
          <w:rPr>
            <w:noProof/>
            <w:webHidden/>
          </w:rPr>
        </w:r>
        <w:r w:rsidR="007B70EB">
          <w:rPr>
            <w:noProof/>
            <w:webHidden/>
          </w:rPr>
          <w:fldChar w:fldCharType="separate"/>
        </w:r>
        <w:r w:rsidR="007B70EB">
          <w:rPr>
            <w:noProof/>
            <w:webHidden/>
          </w:rPr>
          <w:t>229</w:t>
        </w:r>
        <w:r w:rsidR="007B70EB">
          <w:rPr>
            <w:noProof/>
            <w:webHidden/>
          </w:rPr>
          <w:fldChar w:fldCharType="end"/>
        </w:r>
      </w:hyperlink>
    </w:p>
    <w:p w14:paraId="6D918BF6"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42" w:history="1">
        <w:r w:rsidR="007B70EB" w:rsidRPr="00121BC4">
          <w:rPr>
            <w:rStyle w:val="Hyperlink"/>
            <w:noProof/>
          </w:rPr>
          <w:t>Table 5</w:t>
        </w:r>
        <w:r w:rsidR="007B70EB" w:rsidRPr="00121BC4">
          <w:rPr>
            <w:rStyle w:val="Hyperlink"/>
            <w:noProof/>
          </w:rPr>
          <w:noBreakHyphen/>
          <w:t>14 Calculated relative concentration at receptor for mean travel time of 34 years (travel time class # 1 Table 2</w:t>
        </w:r>
        <w:r w:rsidR="007B70EB" w:rsidRPr="00121BC4">
          <w:rPr>
            <w:rStyle w:val="Hyperlink"/>
            <w:noProof/>
          </w:rPr>
          <w:noBreakHyphen/>
          <w:t>24). MCI = Methyl-chloro-isothiazolinone. Initial source concentration is 1 (no units specified). (f</w:t>
        </w:r>
        <w:r w:rsidR="007B70EB" w:rsidRPr="00121BC4">
          <w:rPr>
            <w:rStyle w:val="Hyperlink"/>
            <w:noProof/>
            <w:vertAlign w:val="subscript"/>
          </w:rPr>
          <w:t>OC_r</w:t>
        </w:r>
        <w:r w:rsidR="007B70EB" w:rsidRPr="00121BC4">
          <w:rPr>
            <w:rStyle w:val="Hyperlink"/>
            <w:noProof/>
          </w:rPr>
          <w:t xml:space="preserve"> = 0.001). Underlined numbers have their concentrations decreased compared to calculations without sorption. When two numbers are shown results represent minimum/maximum R</w:t>
        </w:r>
        <w:r w:rsidR="007B70EB" w:rsidRPr="00121BC4">
          <w:rPr>
            <w:rStyle w:val="Hyperlink"/>
            <w:noProof/>
            <w:vertAlign w:val="subscript"/>
          </w:rPr>
          <w:t>f</w:t>
        </w:r>
        <w:r w:rsidR="007B70EB" w:rsidRPr="00121BC4">
          <w:rPr>
            <w:rStyle w:val="Hyperlink"/>
            <w:noProof/>
          </w:rPr>
          <w:t xml:space="preserve"> values. Attenuation due to degradation and sorption.</w:t>
        </w:r>
        <w:r w:rsidR="007B70EB">
          <w:rPr>
            <w:noProof/>
            <w:webHidden/>
          </w:rPr>
          <w:tab/>
        </w:r>
        <w:r w:rsidR="007B70EB">
          <w:rPr>
            <w:noProof/>
            <w:webHidden/>
          </w:rPr>
          <w:fldChar w:fldCharType="begin"/>
        </w:r>
        <w:r w:rsidR="007B70EB">
          <w:rPr>
            <w:noProof/>
            <w:webHidden/>
          </w:rPr>
          <w:instrText xml:space="preserve"> PAGEREF _Toc494444742 \h </w:instrText>
        </w:r>
        <w:r w:rsidR="007B70EB">
          <w:rPr>
            <w:noProof/>
            <w:webHidden/>
          </w:rPr>
        </w:r>
        <w:r w:rsidR="007B70EB">
          <w:rPr>
            <w:noProof/>
            <w:webHidden/>
          </w:rPr>
          <w:fldChar w:fldCharType="separate"/>
        </w:r>
        <w:r w:rsidR="007B70EB">
          <w:rPr>
            <w:noProof/>
            <w:webHidden/>
          </w:rPr>
          <w:t>229</w:t>
        </w:r>
        <w:r w:rsidR="007B70EB">
          <w:rPr>
            <w:noProof/>
            <w:webHidden/>
          </w:rPr>
          <w:fldChar w:fldCharType="end"/>
        </w:r>
      </w:hyperlink>
    </w:p>
    <w:p w14:paraId="03B34798"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43" w:history="1">
        <w:r w:rsidR="007B70EB" w:rsidRPr="00121BC4">
          <w:rPr>
            <w:rStyle w:val="Hyperlink"/>
            <w:noProof/>
          </w:rPr>
          <w:t>Table 5</w:t>
        </w:r>
        <w:r w:rsidR="007B70EB" w:rsidRPr="00121BC4">
          <w:rPr>
            <w:rStyle w:val="Hyperlink"/>
            <w:noProof/>
          </w:rPr>
          <w:noBreakHyphen/>
          <w:t>15 Calculated relative concentration at receptor for maximum travel time of 92 years (travel time class # 1 Table 2</w:t>
        </w:r>
        <w:r w:rsidR="007B70EB" w:rsidRPr="00121BC4">
          <w:rPr>
            <w:rStyle w:val="Hyperlink"/>
            <w:noProof/>
          </w:rPr>
          <w:noBreakHyphen/>
          <w:t>24). MCI = Methyl-chloro-isothiazolinone. Underlined numbers have their concentrations decreased compared to calculations without sorption.Initial source concentration is 1 (no units specified). (f</w:t>
        </w:r>
        <w:r w:rsidR="007B70EB" w:rsidRPr="00121BC4">
          <w:rPr>
            <w:rStyle w:val="Hyperlink"/>
            <w:noProof/>
            <w:vertAlign w:val="subscript"/>
          </w:rPr>
          <w:t>OC_r</w:t>
        </w:r>
        <w:r w:rsidR="007B70EB" w:rsidRPr="00121BC4">
          <w:rPr>
            <w:rStyle w:val="Hyperlink"/>
            <w:noProof/>
          </w:rPr>
          <w:t xml:space="preserve"> = 0.001). Attenuation due to degradation and sorption.</w:t>
        </w:r>
        <w:r w:rsidR="007B70EB">
          <w:rPr>
            <w:noProof/>
            <w:webHidden/>
          </w:rPr>
          <w:tab/>
        </w:r>
        <w:r w:rsidR="007B70EB">
          <w:rPr>
            <w:noProof/>
            <w:webHidden/>
          </w:rPr>
          <w:fldChar w:fldCharType="begin"/>
        </w:r>
        <w:r w:rsidR="007B70EB">
          <w:rPr>
            <w:noProof/>
            <w:webHidden/>
          </w:rPr>
          <w:instrText xml:space="preserve"> PAGEREF _Toc494444743 \h </w:instrText>
        </w:r>
        <w:r w:rsidR="007B70EB">
          <w:rPr>
            <w:noProof/>
            <w:webHidden/>
          </w:rPr>
        </w:r>
        <w:r w:rsidR="007B70EB">
          <w:rPr>
            <w:noProof/>
            <w:webHidden/>
          </w:rPr>
          <w:fldChar w:fldCharType="separate"/>
        </w:r>
        <w:r w:rsidR="007B70EB">
          <w:rPr>
            <w:noProof/>
            <w:webHidden/>
          </w:rPr>
          <w:t>229</w:t>
        </w:r>
        <w:r w:rsidR="007B70EB">
          <w:rPr>
            <w:noProof/>
            <w:webHidden/>
          </w:rPr>
          <w:fldChar w:fldCharType="end"/>
        </w:r>
      </w:hyperlink>
    </w:p>
    <w:p w14:paraId="0FCE4300"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44" w:history="1">
        <w:r w:rsidR="007B70EB" w:rsidRPr="00121BC4">
          <w:rPr>
            <w:rStyle w:val="Hyperlink"/>
            <w:noProof/>
          </w:rPr>
          <w:t>Table 5</w:t>
        </w:r>
        <w:r w:rsidR="007B70EB" w:rsidRPr="00121BC4">
          <w:rPr>
            <w:rStyle w:val="Hyperlink"/>
            <w:noProof/>
          </w:rPr>
          <w:noBreakHyphen/>
          <w:t>16 Calculated Dilution Attenuation Factors due to dilution and dispersion as function of travel distance for rectangular (R-1, R-2, and R-3) and cubic (C-1, C-2, and C-3) source types. Values are rounded to three significant figures.</w:t>
        </w:r>
        <w:r w:rsidR="007B70EB">
          <w:rPr>
            <w:noProof/>
            <w:webHidden/>
          </w:rPr>
          <w:tab/>
        </w:r>
        <w:r w:rsidR="007B70EB">
          <w:rPr>
            <w:noProof/>
            <w:webHidden/>
          </w:rPr>
          <w:fldChar w:fldCharType="begin"/>
        </w:r>
        <w:r w:rsidR="007B70EB">
          <w:rPr>
            <w:noProof/>
            <w:webHidden/>
          </w:rPr>
          <w:instrText xml:space="preserve"> PAGEREF _Toc494444744 \h </w:instrText>
        </w:r>
        <w:r w:rsidR="007B70EB">
          <w:rPr>
            <w:noProof/>
            <w:webHidden/>
          </w:rPr>
        </w:r>
        <w:r w:rsidR="007B70EB">
          <w:rPr>
            <w:noProof/>
            <w:webHidden/>
          </w:rPr>
          <w:fldChar w:fldCharType="separate"/>
        </w:r>
        <w:r w:rsidR="007B70EB">
          <w:rPr>
            <w:noProof/>
            <w:webHidden/>
          </w:rPr>
          <w:t>233</w:t>
        </w:r>
        <w:r w:rsidR="007B70EB">
          <w:rPr>
            <w:noProof/>
            <w:webHidden/>
          </w:rPr>
          <w:fldChar w:fldCharType="end"/>
        </w:r>
      </w:hyperlink>
    </w:p>
    <w:p w14:paraId="76ED13FD"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45" w:history="1">
        <w:r w:rsidR="007B70EB" w:rsidRPr="00121BC4">
          <w:rPr>
            <w:rStyle w:val="Hyperlink"/>
            <w:noProof/>
          </w:rPr>
          <w:t>Table 5</w:t>
        </w:r>
        <w:r w:rsidR="007B70EB" w:rsidRPr="00121BC4">
          <w:rPr>
            <w:rStyle w:val="Hyperlink"/>
            <w:noProof/>
          </w:rPr>
          <w:noBreakHyphen/>
          <w:t>17 Calculated relative concentration at receptor when all three attenuation processes are accounted for: chemical/biological degradation, sorption, and dilution/dispersion (cubic source C-2, 1 ML). Results are for a minimum travel time of 10 years (travel time class # 1 Table 2</w:t>
        </w:r>
        <w:r w:rsidR="007B70EB" w:rsidRPr="00121BC4">
          <w:rPr>
            <w:rStyle w:val="Hyperlink"/>
            <w:noProof/>
          </w:rPr>
          <w:noBreakHyphen/>
          <w:t>24). MCI = Methyl-chloro-isothiazolinone. Initial source concentration is 1 (no units specified). (f</w:t>
        </w:r>
        <w:r w:rsidR="007B70EB" w:rsidRPr="00121BC4">
          <w:rPr>
            <w:rStyle w:val="Hyperlink"/>
            <w:noProof/>
            <w:vertAlign w:val="subscript"/>
          </w:rPr>
          <w:t>OC_r</w:t>
        </w:r>
        <w:r w:rsidR="007B70EB" w:rsidRPr="00121BC4">
          <w:rPr>
            <w:rStyle w:val="Hyperlink"/>
            <w:noProof/>
          </w:rPr>
          <w:t xml:space="preserve"> = 0.001). Underlined numbers have their concentrations decreased compared to calculations without sorption. When two numbers are shown results represent minimum/maximum R</w:t>
        </w:r>
        <w:r w:rsidR="007B70EB" w:rsidRPr="00121BC4">
          <w:rPr>
            <w:rStyle w:val="Hyperlink"/>
            <w:noProof/>
            <w:vertAlign w:val="subscript"/>
          </w:rPr>
          <w:t>f</w:t>
        </w:r>
        <w:r w:rsidR="007B70EB" w:rsidRPr="00121BC4">
          <w:rPr>
            <w:rStyle w:val="Hyperlink"/>
            <w:noProof/>
          </w:rPr>
          <w:t xml:space="preserve"> values.</w:t>
        </w:r>
        <w:r w:rsidR="007B70EB">
          <w:rPr>
            <w:noProof/>
            <w:webHidden/>
          </w:rPr>
          <w:tab/>
        </w:r>
        <w:r w:rsidR="007B70EB">
          <w:rPr>
            <w:noProof/>
            <w:webHidden/>
          </w:rPr>
          <w:fldChar w:fldCharType="begin"/>
        </w:r>
        <w:r w:rsidR="007B70EB">
          <w:rPr>
            <w:noProof/>
            <w:webHidden/>
          </w:rPr>
          <w:instrText xml:space="preserve"> PAGEREF _Toc494444745 \h </w:instrText>
        </w:r>
        <w:r w:rsidR="007B70EB">
          <w:rPr>
            <w:noProof/>
            <w:webHidden/>
          </w:rPr>
        </w:r>
        <w:r w:rsidR="007B70EB">
          <w:rPr>
            <w:noProof/>
            <w:webHidden/>
          </w:rPr>
          <w:fldChar w:fldCharType="separate"/>
        </w:r>
        <w:r w:rsidR="007B70EB">
          <w:rPr>
            <w:noProof/>
            <w:webHidden/>
          </w:rPr>
          <w:t>234</w:t>
        </w:r>
        <w:r w:rsidR="007B70EB">
          <w:rPr>
            <w:noProof/>
            <w:webHidden/>
          </w:rPr>
          <w:fldChar w:fldCharType="end"/>
        </w:r>
      </w:hyperlink>
    </w:p>
    <w:p w14:paraId="0024CB92"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46" w:history="1">
        <w:r w:rsidR="007B70EB" w:rsidRPr="00121BC4">
          <w:rPr>
            <w:rStyle w:val="Hyperlink"/>
            <w:noProof/>
          </w:rPr>
          <w:t>Table 5</w:t>
        </w:r>
        <w:r w:rsidR="007B70EB" w:rsidRPr="00121BC4">
          <w:rPr>
            <w:rStyle w:val="Hyperlink"/>
            <w:noProof/>
          </w:rPr>
          <w:noBreakHyphen/>
          <w:t>18  Table of Dilution Attenuation Factors (DAF) for Gunnedah basin geology accounted for combined effect of chemical/biological degradation, sorption, and dilution/dispersion (organic chemicals). A = 2-methylphenol, B = Naphthalene, C = d-Limonene, D = HMX, E = 2-butoxyethanol, F = Bronopol, G = Methylchloroisothiazolinone, H = Acrylamide polymer.  For effect of chemical/biological degradation, see layer-specific half-lifes in Table 4.5. For sorption effect layer-specific f</w:t>
        </w:r>
        <w:r w:rsidR="007B70EB" w:rsidRPr="00121BC4">
          <w:rPr>
            <w:rStyle w:val="Hyperlink"/>
            <w:noProof/>
            <w:vertAlign w:val="subscript"/>
          </w:rPr>
          <w:t>OC</w:t>
        </w:r>
        <w:r w:rsidR="007B70EB" w:rsidRPr="00121BC4">
          <w:rPr>
            <w:rStyle w:val="Hyperlink"/>
            <w:noProof/>
          </w:rPr>
          <w:t>_</w:t>
        </w:r>
        <w:r w:rsidR="007B70EB" w:rsidRPr="00121BC4">
          <w:rPr>
            <w:rStyle w:val="Hyperlink"/>
            <w:noProof/>
            <w:vertAlign w:val="subscript"/>
          </w:rPr>
          <w:t>r</w:t>
        </w:r>
        <w:r w:rsidR="007B70EB" w:rsidRPr="00121BC4">
          <w:rPr>
            <w:rStyle w:val="Hyperlink"/>
            <w:noProof/>
          </w:rPr>
          <w:t xml:space="preserve"> values were used (fraction of organic carbon × scaling factor). For effect of dilution/dispersion a 1 ML injection volume and travel distance of 0.5 km was used for Namoi alluvium, Pilliga Sandstone, and Blythesdale Group; 3.4 km distance was used for all three Maules Creek Formations. Colour codes are as follows:   DAF ≤ 10</w:t>
        </w:r>
        <w:r w:rsidR="007B70EB" w:rsidRPr="00121BC4">
          <w:rPr>
            <w:rStyle w:val="Hyperlink"/>
            <w:noProof/>
            <w:vertAlign w:val="superscript"/>
          </w:rPr>
          <w:t>3</w:t>
        </w:r>
        <w:r w:rsidR="007B70EB" w:rsidRPr="00121BC4">
          <w:rPr>
            <w:rStyle w:val="Hyperlink"/>
            <w:noProof/>
          </w:rPr>
          <w:t>: green; 10</w:t>
        </w:r>
        <w:r w:rsidR="007B70EB" w:rsidRPr="00121BC4">
          <w:rPr>
            <w:rStyle w:val="Hyperlink"/>
            <w:noProof/>
            <w:vertAlign w:val="superscript"/>
          </w:rPr>
          <w:t>3</w:t>
        </w:r>
        <w:r w:rsidR="007B70EB" w:rsidRPr="00121BC4">
          <w:rPr>
            <w:rStyle w:val="Hyperlink"/>
            <w:noProof/>
          </w:rPr>
          <w:t xml:space="preserve"> ≤ DAF&lt; 10</w:t>
        </w:r>
        <w:r w:rsidR="007B70EB" w:rsidRPr="00121BC4">
          <w:rPr>
            <w:rStyle w:val="Hyperlink"/>
            <w:noProof/>
            <w:vertAlign w:val="superscript"/>
          </w:rPr>
          <w:t>6</w:t>
        </w:r>
        <w:r w:rsidR="007B70EB" w:rsidRPr="00121BC4">
          <w:rPr>
            <w:rStyle w:val="Hyperlink"/>
            <w:noProof/>
          </w:rPr>
          <w:t>: orange; DAF ≥ 10</w:t>
        </w:r>
        <w:r w:rsidR="007B70EB" w:rsidRPr="00121BC4">
          <w:rPr>
            <w:rStyle w:val="Hyperlink"/>
            <w:noProof/>
            <w:vertAlign w:val="superscript"/>
          </w:rPr>
          <w:t>6</w:t>
        </w:r>
        <w:r w:rsidR="007B70EB" w:rsidRPr="00121BC4">
          <w:rPr>
            <w:rStyle w:val="Hyperlink"/>
            <w:noProof/>
          </w:rPr>
          <w:t>: blue.</w:t>
        </w:r>
        <w:r w:rsidR="007B70EB">
          <w:rPr>
            <w:noProof/>
            <w:webHidden/>
          </w:rPr>
          <w:tab/>
        </w:r>
        <w:r w:rsidR="007B70EB">
          <w:rPr>
            <w:noProof/>
            <w:webHidden/>
          </w:rPr>
          <w:fldChar w:fldCharType="begin"/>
        </w:r>
        <w:r w:rsidR="007B70EB">
          <w:rPr>
            <w:noProof/>
            <w:webHidden/>
          </w:rPr>
          <w:instrText xml:space="preserve"> PAGEREF _Toc494444746 \h </w:instrText>
        </w:r>
        <w:r w:rsidR="007B70EB">
          <w:rPr>
            <w:noProof/>
            <w:webHidden/>
          </w:rPr>
        </w:r>
        <w:r w:rsidR="007B70EB">
          <w:rPr>
            <w:noProof/>
            <w:webHidden/>
          </w:rPr>
          <w:fldChar w:fldCharType="separate"/>
        </w:r>
        <w:r w:rsidR="007B70EB">
          <w:rPr>
            <w:noProof/>
            <w:webHidden/>
          </w:rPr>
          <w:t>234</w:t>
        </w:r>
        <w:r w:rsidR="007B70EB">
          <w:rPr>
            <w:noProof/>
            <w:webHidden/>
          </w:rPr>
          <w:fldChar w:fldCharType="end"/>
        </w:r>
      </w:hyperlink>
    </w:p>
    <w:p w14:paraId="1EA260DB"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47" w:history="1">
        <w:r w:rsidR="007B70EB" w:rsidRPr="00121BC4">
          <w:rPr>
            <w:rStyle w:val="Hyperlink"/>
            <w:noProof/>
          </w:rPr>
          <w:t>Table 5</w:t>
        </w:r>
        <w:r w:rsidR="007B70EB" w:rsidRPr="00121BC4">
          <w:rPr>
            <w:rStyle w:val="Hyperlink"/>
            <w:noProof/>
          </w:rPr>
          <w:noBreakHyphen/>
          <w:t>19 Sorption parameters K</w:t>
        </w:r>
        <w:r w:rsidR="007B70EB" w:rsidRPr="00121BC4">
          <w:rPr>
            <w:rStyle w:val="Hyperlink"/>
            <w:noProof/>
            <w:vertAlign w:val="subscript"/>
          </w:rPr>
          <w:t>d</w:t>
        </w:r>
        <w:r w:rsidR="007B70EB" w:rsidRPr="00121BC4">
          <w:rPr>
            <w:rStyle w:val="Hyperlink"/>
            <w:noProof/>
          </w:rPr>
          <w:t xml:space="preserve"> and retardation factor R</w:t>
        </w:r>
        <w:r w:rsidR="007B70EB" w:rsidRPr="00121BC4">
          <w:rPr>
            <w:rStyle w:val="Hyperlink"/>
            <w:noProof/>
            <w:vertAlign w:val="subscript"/>
          </w:rPr>
          <w:t>f</w:t>
        </w:r>
        <w:r w:rsidR="007B70EB" w:rsidRPr="00121BC4">
          <w:rPr>
            <w:rStyle w:val="Hyperlink"/>
            <w:noProof/>
          </w:rPr>
          <w:t>, travel time from source to receptor (T</w:t>
        </w:r>
        <w:r w:rsidR="007B70EB" w:rsidRPr="00121BC4">
          <w:rPr>
            <w:rStyle w:val="Hyperlink"/>
            <w:noProof/>
            <w:vertAlign w:val="subscript"/>
          </w:rPr>
          <w:t>max</w:t>
        </w:r>
        <w:r w:rsidR="007B70EB" w:rsidRPr="00121BC4">
          <w:rPr>
            <w:rStyle w:val="Hyperlink"/>
            <w:noProof/>
          </w:rPr>
          <w:t>), calculated maximum concentration (C</w:t>
        </w:r>
        <w:r w:rsidR="007B70EB" w:rsidRPr="00121BC4">
          <w:rPr>
            <w:rStyle w:val="Hyperlink"/>
            <w:noProof/>
            <w:vertAlign w:val="subscript"/>
          </w:rPr>
          <w:t>max</w:t>
        </w:r>
        <w:r w:rsidR="007B70EB" w:rsidRPr="00121BC4">
          <w:rPr>
            <w:rStyle w:val="Hyperlink"/>
            <w:noProof/>
          </w:rPr>
          <w:t>) and DAF at 500 m downstream the solute source. Unit input concentration assumed. Attenuation due to sorption and dilution/dispersion (1 ML injection volume).</w:t>
        </w:r>
        <w:r w:rsidR="007B70EB">
          <w:rPr>
            <w:noProof/>
            <w:webHidden/>
          </w:rPr>
          <w:tab/>
        </w:r>
        <w:r w:rsidR="007B70EB">
          <w:rPr>
            <w:noProof/>
            <w:webHidden/>
          </w:rPr>
          <w:fldChar w:fldCharType="begin"/>
        </w:r>
        <w:r w:rsidR="007B70EB">
          <w:rPr>
            <w:noProof/>
            <w:webHidden/>
          </w:rPr>
          <w:instrText xml:space="preserve"> PAGEREF _Toc494444747 \h </w:instrText>
        </w:r>
        <w:r w:rsidR="007B70EB">
          <w:rPr>
            <w:noProof/>
            <w:webHidden/>
          </w:rPr>
        </w:r>
        <w:r w:rsidR="007B70EB">
          <w:rPr>
            <w:noProof/>
            <w:webHidden/>
          </w:rPr>
          <w:fldChar w:fldCharType="separate"/>
        </w:r>
        <w:r w:rsidR="007B70EB">
          <w:rPr>
            <w:noProof/>
            <w:webHidden/>
          </w:rPr>
          <w:t>238</w:t>
        </w:r>
        <w:r w:rsidR="007B70EB">
          <w:rPr>
            <w:noProof/>
            <w:webHidden/>
          </w:rPr>
          <w:fldChar w:fldCharType="end"/>
        </w:r>
      </w:hyperlink>
    </w:p>
    <w:p w14:paraId="566A699B"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48" w:history="1">
        <w:r w:rsidR="007B70EB" w:rsidRPr="00121BC4">
          <w:rPr>
            <w:rStyle w:val="Hyperlink"/>
            <w:noProof/>
          </w:rPr>
          <w:t>Table 5</w:t>
        </w:r>
        <w:r w:rsidR="007B70EB" w:rsidRPr="00121BC4">
          <w:rPr>
            <w:rStyle w:val="Hyperlink"/>
            <w:noProof/>
          </w:rPr>
          <w:noBreakHyphen/>
          <w:t>20 Sorption parameters K</w:t>
        </w:r>
        <w:r w:rsidR="007B70EB" w:rsidRPr="00121BC4">
          <w:rPr>
            <w:rStyle w:val="Hyperlink"/>
            <w:noProof/>
            <w:vertAlign w:val="subscript"/>
          </w:rPr>
          <w:t>d</w:t>
        </w:r>
        <w:r w:rsidR="007B70EB" w:rsidRPr="00121BC4">
          <w:rPr>
            <w:rStyle w:val="Hyperlink"/>
            <w:noProof/>
          </w:rPr>
          <w:t xml:space="preserve"> and retardation factor R</w:t>
        </w:r>
        <w:r w:rsidR="007B70EB" w:rsidRPr="00121BC4">
          <w:rPr>
            <w:rStyle w:val="Hyperlink"/>
            <w:noProof/>
            <w:vertAlign w:val="subscript"/>
          </w:rPr>
          <w:t>f</w:t>
        </w:r>
        <w:r w:rsidR="007B70EB" w:rsidRPr="00121BC4">
          <w:rPr>
            <w:rStyle w:val="Hyperlink"/>
            <w:noProof/>
          </w:rPr>
          <w:t>, travel time from source to receptor (T</w:t>
        </w:r>
        <w:r w:rsidR="007B70EB" w:rsidRPr="00121BC4">
          <w:rPr>
            <w:rStyle w:val="Hyperlink"/>
            <w:noProof/>
            <w:vertAlign w:val="subscript"/>
          </w:rPr>
          <w:t>max</w:t>
        </w:r>
        <w:r w:rsidR="007B70EB" w:rsidRPr="00121BC4">
          <w:rPr>
            <w:rStyle w:val="Hyperlink"/>
            <w:noProof/>
          </w:rPr>
          <w:t>), calculated maximum concentration (C</w:t>
        </w:r>
        <w:r w:rsidR="007B70EB" w:rsidRPr="00121BC4">
          <w:rPr>
            <w:rStyle w:val="Hyperlink"/>
            <w:noProof/>
            <w:vertAlign w:val="subscript"/>
          </w:rPr>
          <w:t>max</w:t>
        </w:r>
        <w:r w:rsidR="007B70EB" w:rsidRPr="00121BC4">
          <w:rPr>
            <w:rStyle w:val="Hyperlink"/>
            <w:noProof/>
          </w:rPr>
          <w:t>) and DAF at 1400 m downstream the solute source. Unit input concentration assumed. Attenuation due to sorption and dilution/dispersion (1 ML injection volume).</w:t>
        </w:r>
        <w:r w:rsidR="007B70EB">
          <w:rPr>
            <w:noProof/>
            <w:webHidden/>
          </w:rPr>
          <w:tab/>
        </w:r>
        <w:r w:rsidR="007B70EB">
          <w:rPr>
            <w:noProof/>
            <w:webHidden/>
          </w:rPr>
          <w:fldChar w:fldCharType="begin"/>
        </w:r>
        <w:r w:rsidR="007B70EB">
          <w:rPr>
            <w:noProof/>
            <w:webHidden/>
          </w:rPr>
          <w:instrText xml:space="preserve"> PAGEREF _Toc494444748 \h </w:instrText>
        </w:r>
        <w:r w:rsidR="007B70EB">
          <w:rPr>
            <w:noProof/>
            <w:webHidden/>
          </w:rPr>
        </w:r>
        <w:r w:rsidR="007B70EB">
          <w:rPr>
            <w:noProof/>
            <w:webHidden/>
          </w:rPr>
          <w:fldChar w:fldCharType="separate"/>
        </w:r>
        <w:r w:rsidR="007B70EB">
          <w:rPr>
            <w:noProof/>
            <w:webHidden/>
          </w:rPr>
          <w:t>238</w:t>
        </w:r>
        <w:r w:rsidR="007B70EB">
          <w:rPr>
            <w:noProof/>
            <w:webHidden/>
          </w:rPr>
          <w:fldChar w:fldCharType="end"/>
        </w:r>
      </w:hyperlink>
    </w:p>
    <w:p w14:paraId="4B624270"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49" w:history="1">
        <w:r w:rsidR="007B70EB" w:rsidRPr="00121BC4">
          <w:rPr>
            <w:rStyle w:val="Hyperlink"/>
            <w:noProof/>
          </w:rPr>
          <w:t>Table 5</w:t>
        </w:r>
        <w:r w:rsidR="007B70EB" w:rsidRPr="00121BC4">
          <w:rPr>
            <w:rStyle w:val="Hyperlink"/>
            <w:noProof/>
          </w:rPr>
          <w:noBreakHyphen/>
          <w:t>21 Sorption parameters K</w:t>
        </w:r>
        <w:r w:rsidR="007B70EB" w:rsidRPr="00121BC4">
          <w:rPr>
            <w:rStyle w:val="Hyperlink"/>
            <w:noProof/>
            <w:vertAlign w:val="subscript"/>
          </w:rPr>
          <w:t>d</w:t>
        </w:r>
        <w:r w:rsidR="007B70EB" w:rsidRPr="00121BC4">
          <w:rPr>
            <w:rStyle w:val="Hyperlink"/>
            <w:noProof/>
          </w:rPr>
          <w:t xml:space="preserve"> and retardation factor R</w:t>
        </w:r>
        <w:r w:rsidR="007B70EB" w:rsidRPr="00121BC4">
          <w:rPr>
            <w:rStyle w:val="Hyperlink"/>
            <w:noProof/>
            <w:vertAlign w:val="subscript"/>
          </w:rPr>
          <w:t>f</w:t>
        </w:r>
        <w:r w:rsidR="007B70EB" w:rsidRPr="00121BC4">
          <w:rPr>
            <w:rStyle w:val="Hyperlink"/>
            <w:noProof/>
          </w:rPr>
          <w:t>, travel time from source to receptor (T</w:t>
        </w:r>
        <w:r w:rsidR="007B70EB" w:rsidRPr="00121BC4">
          <w:rPr>
            <w:rStyle w:val="Hyperlink"/>
            <w:noProof/>
            <w:vertAlign w:val="subscript"/>
          </w:rPr>
          <w:t>max</w:t>
        </w:r>
        <w:r w:rsidR="007B70EB" w:rsidRPr="00121BC4">
          <w:rPr>
            <w:rStyle w:val="Hyperlink"/>
            <w:noProof/>
          </w:rPr>
          <w:t>), calculated maximum concentration (C</w:t>
        </w:r>
        <w:r w:rsidR="007B70EB" w:rsidRPr="00121BC4">
          <w:rPr>
            <w:rStyle w:val="Hyperlink"/>
            <w:noProof/>
            <w:vertAlign w:val="subscript"/>
          </w:rPr>
          <w:t>max</w:t>
        </w:r>
        <w:r w:rsidR="007B70EB" w:rsidRPr="00121BC4">
          <w:rPr>
            <w:rStyle w:val="Hyperlink"/>
            <w:noProof/>
          </w:rPr>
          <w:t>) and DAF at 3,500 m downstream the solute source. Unit input concentration assumed. Attenuation due to sorption and dilution/dispersion (1ML injection volume).</w:t>
        </w:r>
        <w:r w:rsidR="007B70EB">
          <w:rPr>
            <w:noProof/>
            <w:webHidden/>
          </w:rPr>
          <w:tab/>
        </w:r>
        <w:r w:rsidR="007B70EB">
          <w:rPr>
            <w:noProof/>
            <w:webHidden/>
          </w:rPr>
          <w:fldChar w:fldCharType="begin"/>
        </w:r>
        <w:r w:rsidR="007B70EB">
          <w:rPr>
            <w:noProof/>
            <w:webHidden/>
          </w:rPr>
          <w:instrText xml:space="preserve"> PAGEREF _Toc494444749 \h </w:instrText>
        </w:r>
        <w:r w:rsidR="007B70EB">
          <w:rPr>
            <w:noProof/>
            <w:webHidden/>
          </w:rPr>
        </w:r>
        <w:r w:rsidR="007B70EB">
          <w:rPr>
            <w:noProof/>
            <w:webHidden/>
          </w:rPr>
          <w:fldChar w:fldCharType="separate"/>
        </w:r>
        <w:r w:rsidR="007B70EB">
          <w:rPr>
            <w:noProof/>
            <w:webHidden/>
          </w:rPr>
          <w:t>238</w:t>
        </w:r>
        <w:r w:rsidR="007B70EB">
          <w:rPr>
            <w:noProof/>
            <w:webHidden/>
          </w:rPr>
          <w:fldChar w:fldCharType="end"/>
        </w:r>
      </w:hyperlink>
    </w:p>
    <w:p w14:paraId="139BA871"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50" w:history="1">
        <w:r w:rsidR="007B70EB" w:rsidRPr="00121BC4">
          <w:rPr>
            <w:rStyle w:val="Hyperlink"/>
            <w:noProof/>
          </w:rPr>
          <w:t>Table 5</w:t>
        </w:r>
        <w:r w:rsidR="007B70EB" w:rsidRPr="00121BC4">
          <w:rPr>
            <w:rStyle w:val="Hyperlink"/>
            <w:noProof/>
          </w:rPr>
          <w:noBreakHyphen/>
          <w:t>22  Table of Dilution Attenuation Factors (DAF) for Surat basin geology accounted for combined effect of chemical/biological degradation, sorption, and dilution/dispersion (organic chemicals). A = 2-methylphenol, B = Naphthalene, C = d-Limonene, D = HMX, E = 2-butoxyethanol, F = Bronopol, G = Methylchloroisothiazolinone, H = Acrylamide polymer.  For effect of chemical/biological degradation, see layer-specific half-lifes in Table 4.6. For sorption effect layer-specific f</w:t>
        </w:r>
        <w:r w:rsidR="007B70EB" w:rsidRPr="00121BC4">
          <w:rPr>
            <w:rStyle w:val="Hyperlink"/>
            <w:noProof/>
            <w:vertAlign w:val="subscript"/>
          </w:rPr>
          <w:t xml:space="preserve">OC_r </w:t>
        </w:r>
        <w:r w:rsidR="007B70EB" w:rsidRPr="00121BC4">
          <w:rPr>
            <w:rStyle w:val="Hyperlink"/>
            <w:noProof/>
          </w:rPr>
          <w:t>values were used. For effect of dilution/dispersion a 1 ML injection volume and travel distance of 0.5 km was used for Dawson River alluvium, BMO Group, and Gubberamunda Sandstone; 3.4 km distance was used for all subsequent layers. Colour codes are as follows:  DAF ≤ 10</w:t>
        </w:r>
        <w:r w:rsidR="007B70EB" w:rsidRPr="00121BC4">
          <w:rPr>
            <w:rStyle w:val="Hyperlink"/>
            <w:noProof/>
            <w:vertAlign w:val="superscript"/>
          </w:rPr>
          <w:t>3</w:t>
        </w:r>
        <w:r w:rsidR="007B70EB" w:rsidRPr="00121BC4">
          <w:rPr>
            <w:rStyle w:val="Hyperlink"/>
            <w:noProof/>
          </w:rPr>
          <w:t>: green; 10</w:t>
        </w:r>
        <w:r w:rsidR="007B70EB" w:rsidRPr="00121BC4">
          <w:rPr>
            <w:rStyle w:val="Hyperlink"/>
            <w:noProof/>
            <w:vertAlign w:val="superscript"/>
          </w:rPr>
          <w:t>3</w:t>
        </w:r>
        <w:r w:rsidR="007B70EB" w:rsidRPr="00121BC4">
          <w:rPr>
            <w:rStyle w:val="Hyperlink"/>
            <w:noProof/>
          </w:rPr>
          <w:t xml:space="preserve"> ≤ DAF&lt; 10</w:t>
        </w:r>
        <w:r w:rsidR="007B70EB" w:rsidRPr="00121BC4">
          <w:rPr>
            <w:rStyle w:val="Hyperlink"/>
            <w:noProof/>
            <w:vertAlign w:val="superscript"/>
          </w:rPr>
          <w:t>6</w:t>
        </w:r>
        <w:r w:rsidR="007B70EB" w:rsidRPr="00121BC4">
          <w:rPr>
            <w:rStyle w:val="Hyperlink"/>
            <w:noProof/>
          </w:rPr>
          <w:t>: orange; DAF ≥ 10</w:t>
        </w:r>
        <w:r w:rsidR="007B70EB" w:rsidRPr="00121BC4">
          <w:rPr>
            <w:rStyle w:val="Hyperlink"/>
            <w:noProof/>
            <w:vertAlign w:val="superscript"/>
          </w:rPr>
          <w:t>6</w:t>
        </w:r>
        <w:r w:rsidR="007B70EB" w:rsidRPr="00121BC4">
          <w:rPr>
            <w:rStyle w:val="Hyperlink"/>
            <w:noProof/>
          </w:rPr>
          <w:t>: blue.</w:t>
        </w:r>
        <w:r w:rsidR="007B70EB">
          <w:rPr>
            <w:noProof/>
            <w:webHidden/>
          </w:rPr>
          <w:tab/>
        </w:r>
        <w:r w:rsidR="007B70EB">
          <w:rPr>
            <w:noProof/>
            <w:webHidden/>
          </w:rPr>
          <w:fldChar w:fldCharType="begin"/>
        </w:r>
        <w:r w:rsidR="007B70EB">
          <w:rPr>
            <w:noProof/>
            <w:webHidden/>
          </w:rPr>
          <w:instrText xml:space="preserve"> PAGEREF _Toc494444750 \h </w:instrText>
        </w:r>
        <w:r w:rsidR="007B70EB">
          <w:rPr>
            <w:noProof/>
            <w:webHidden/>
          </w:rPr>
        </w:r>
        <w:r w:rsidR="007B70EB">
          <w:rPr>
            <w:noProof/>
            <w:webHidden/>
          </w:rPr>
          <w:fldChar w:fldCharType="separate"/>
        </w:r>
        <w:r w:rsidR="007B70EB">
          <w:rPr>
            <w:noProof/>
            <w:webHidden/>
          </w:rPr>
          <w:t>242</w:t>
        </w:r>
        <w:r w:rsidR="007B70EB">
          <w:rPr>
            <w:noProof/>
            <w:webHidden/>
          </w:rPr>
          <w:fldChar w:fldCharType="end"/>
        </w:r>
      </w:hyperlink>
    </w:p>
    <w:p w14:paraId="5599C427"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51" w:history="1">
        <w:r w:rsidR="007B70EB" w:rsidRPr="00121BC4">
          <w:rPr>
            <w:rStyle w:val="Hyperlink"/>
            <w:noProof/>
          </w:rPr>
          <w:t>Table 5</w:t>
        </w:r>
        <w:r w:rsidR="007B70EB" w:rsidRPr="00121BC4">
          <w:rPr>
            <w:rStyle w:val="Hyperlink"/>
            <w:noProof/>
          </w:rPr>
          <w:noBreakHyphen/>
          <w:t>23 Predicted no effect concentrations (PNEC) for the protection of aquatic freshwater biota and drinking water guideline concentrations for Australia (NHMRC and NHMMC (2011), and minimum DAF to satisfy the condition RQ &lt; 1. NR = not reported. NC = not calculated.</w:t>
        </w:r>
        <w:r w:rsidR="007B70EB">
          <w:rPr>
            <w:noProof/>
            <w:webHidden/>
          </w:rPr>
          <w:tab/>
        </w:r>
        <w:r w:rsidR="007B70EB">
          <w:rPr>
            <w:noProof/>
            <w:webHidden/>
          </w:rPr>
          <w:fldChar w:fldCharType="begin"/>
        </w:r>
        <w:r w:rsidR="007B70EB">
          <w:rPr>
            <w:noProof/>
            <w:webHidden/>
          </w:rPr>
          <w:instrText xml:space="preserve"> PAGEREF _Toc494444751 \h </w:instrText>
        </w:r>
        <w:r w:rsidR="007B70EB">
          <w:rPr>
            <w:noProof/>
            <w:webHidden/>
          </w:rPr>
        </w:r>
        <w:r w:rsidR="007B70EB">
          <w:rPr>
            <w:noProof/>
            <w:webHidden/>
          </w:rPr>
          <w:fldChar w:fldCharType="separate"/>
        </w:r>
        <w:r w:rsidR="007B70EB">
          <w:rPr>
            <w:noProof/>
            <w:webHidden/>
          </w:rPr>
          <w:t>247</w:t>
        </w:r>
        <w:r w:rsidR="007B70EB">
          <w:rPr>
            <w:noProof/>
            <w:webHidden/>
          </w:rPr>
          <w:fldChar w:fldCharType="end"/>
        </w:r>
      </w:hyperlink>
    </w:p>
    <w:p w14:paraId="0706E27D"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52" w:history="1">
        <w:r w:rsidR="007B70EB" w:rsidRPr="00121BC4">
          <w:rPr>
            <w:rStyle w:val="Hyperlink"/>
            <w:noProof/>
          </w:rPr>
          <w:t>Table 5</w:t>
        </w:r>
        <w:r w:rsidR="007B70EB" w:rsidRPr="00121BC4">
          <w:rPr>
            <w:rStyle w:val="Hyperlink"/>
            <w:noProof/>
          </w:rPr>
          <w:noBreakHyphen/>
          <w:t xml:space="preserve">24 Selection of hydraulic fracturing chemicals with previously estimated concentrations prior to injection – CPI (NICNAS 2017c) and PNEC values for aquatic ecosystem protection (DoEE 2017b). Minimum Dilution Attenuation Factor (DAF) was calculated as CPI/PNEC. </w:t>
        </w:r>
        <w:r w:rsidR="007B70EB" w:rsidRPr="00121BC4">
          <w:rPr>
            <w:rStyle w:val="Hyperlink"/>
            <w:noProof/>
            <w:vertAlign w:val="superscript"/>
          </w:rPr>
          <w:t>#</w:t>
        </w:r>
        <w:r w:rsidR="007B70EB" w:rsidRPr="00121BC4">
          <w:rPr>
            <w:rStyle w:val="Hyperlink"/>
            <w:noProof/>
          </w:rPr>
          <w:t>Na</w:t>
        </w:r>
        <w:r w:rsidR="007B70EB" w:rsidRPr="00121BC4">
          <w:rPr>
            <w:rStyle w:val="Hyperlink"/>
            <w:noProof/>
            <w:vertAlign w:val="subscript"/>
          </w:rPr>
          <w:t>2</w:t>
        </w:r>
        <w:r w:rsidR="007B70EB" w:rsidRPr="00121BC4">
          <w:rPr>
            <w:rStyle w:val="Hyperlink"/>
            <w:noProof/>
          </w:rPr>
          <w:t>CO</w:t>
        </w:r>
        <w:r w:rsidR="007B70EB" w:rsidRPr="00121BC4">
          <w:rPr>
            <w:rStyle w:val="Hyperlink"/>
            <w:noProof/>
            <w:vertAlign w:val="subscript"/>
          </w:rPr>
          <w:t>3</w:t>
        </w:r>
        <w:r w:rsidR="007B70EB" w:rsidRPr="00121BC4">
          <w:rPr>
            <w:rStyle w:val="Hyperlink"/>
            <w:noProof/>
          </w:rPr>
          <w:t xml:space="preserve"> - Alternative names: sodium carbonate, soda ash: when dissolved in water, it forms carbonic acid (H</w:t>
        </w:r>
        <w:r w:rsidR="007B70EB" w:rsidRPr="00121BC4">
          <w:rPr>
            <w:rStyle w:val="Hyperlink"/>
            <w:noProof/>
            <w:vertAlign w:val="subscript"/>
          </w:rPr>
          <w:t>2</w:t>
        </w:r>
        <w:r w:rsidR="007B70EB" w:rsidRPr="00121BC4">
          <w:rPr>
            <w:rStyle w:val="Hyperlink"/>
            <w:noProof/>
          </w:rPr>
          <w:t>CO</w:t>
        </w:r>
        <w:r w:rsidR="007B70EB" w:rsidRPr="00121BC4">
          <w:rPr>
            <w:rStyle w:val="Hyperlink"/>
            <w:noProof/>
            <w:vertAlign w:val="subscript"/>
          </w:rPr>
          <w:t>3</w:t>
        </w:r>
        <w:r w:rsidR="007B70EB" w:rsidRPr="00121BC4">
          <w:rPr>
            <w:rStyle w:val="Hyperlink"/>
            <w:noProof/>
          </w:rPr>
          <w:t xml:space="preserve">) and sodium hydroxide (NaOH). </w:t>
        </w:r>
        <w:r w:rsidR="007B70EB" w:rsidRPr="00121BC4">
          <w:rPr>
            <w:rStyle w:val="Hyperlink"/>
            <w:noProof/>
            <w:vertAlign w:val="superscript"/>
          </w:rPr>
          <w:t>@</w:t>
        </w:r>
        <w:r w:rsidR="007B70EB" w:rsidRPr="00121BC4">
          <w:rPr>
            <w:rStyle w:val="Hyperlink"/>
            <w:noProof/>
          </w:rPr>
          <w:t>NaClO – althernative names: sodium hypochlorite, chloride of soda, bleach: when dissolved in water, it forms chlorine and sodium hydroxide.</w:t>
        </w:r>
        <w:r w:rsidR="007B70EB">
          <w:rPr>
            <w:noProof/>
            <w:webHidden/>
          </w:rPr>
          <w:tab/>
        </w:r>
        <w:r w:rsidR="007B70EB">
          <w:rPr>
            <w:noProof/>
            <w:webHidden/>
          </w:rPr>
          <w:fldChar w:fldCharType="begin"/>
        </w:r>
        <w:r w:rsidR="007B70EB">
          <w:rPr>
            <w:noProof/>
            <w:webHidden/>
          </w:rPr>
          <w:instrText xml:space="preserve"> PAGEREF _Toc494444752 \h </w:instrText>
        </w:r>
        <w:r w:rsidR="007B70EB">
          <w:rPr>
            <w:noProof/>
            <w:webHidden/>
          </w:rPr>
        </w:r>
        <w:r w:rsidR="007B70EB">
          <w:rPr>
            <w:noProof/>
            <w:webHidden/>
          </w:rPr>
          <w:fldChar w:fldCharType="separate"/>
        </w:r>
        <w:r w:rsidR="007B70EB">
          <w:rPr>
            <w:noProof/>
            <w:webHidden/>
          </w:rPr>
          <w:t>248</w:t>
        </w:r>
        <w:r w:rsidR="007B70EB">
          <w:rPr>
            <w:noProof/>
            <w:webHidden/>
          </w:rPr>
          <w:fldChar w:fldCharType="end"/>
        </w:r>
      </w:hyperlink>
    </w:p>
    <w:p w14:paraId="2E2B927A"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53" w:history="1">
        <w:r w:rsidR="007B70EB" w:rsidRPr="00121BC4">
          <w:rPr>
            <w:rStyle w:val="Hyperlink"/>
            <w:noProof/>
          </w:rPr>
          <w:t>Table 5</w:t>
        </w:r>
        <w:r w:rsidR="007B70EB" w:rsidRPr="00121BC4">
          <w:rPr>
            <w:rStyle w:val="Hyperlink"/>
            <w:noProof/>
          </w:rPr>
          <w:noBreakHyphen/>
          <w:t>25 Selection of trace elements measured in laboratory tests, guide values (NHMRC and NHMMC 2011), and minimum Dilution Attenuation Factor (DAF) required to achieve RQ &lt; 1.</w:t>
        </w:r>
        <w:r w:rsidR="007B70EB">
          <w:rPr>
            <w:noProof/>
            <w:webHidden/>
          </w:rPr>
          <w:tab/>
        </w:r>
        <w:r w:rsidR="007B70EB">
          <w:rPr>
            <w:noProof/>
            <w:webHidden/>
          </w:rPr>
          <w:fldChar w:fldCharType="begin"/>
        </w:r>
        <w:r w:rsidR="007B70EB">
          <w:rPr>
            <w:noProof/>
            <w:webHidden/>
          </w:rPr>
          <w:instrText xml:space="preserve"> PAGEREF _Toc494444753 \h </w:instrText>
        </w:r>
        <w:r w:rsidR="007B70EB">
          <w:rPr>
            <w:noProof/>
            <w:webHidden/>
          </w:rPr>
        </w:r>
        <w:r w:rsidR="007B70EB">
          <w:rPr>
            <w:noProof/>
            <w:webHidden/>
          </w:rPr>
          <w:fldChar w:fldCharType="separate"/>
        </w:r>
        <w:r w:rsidR="007B70EB">
          <w:rPr>
            <w:noProof/>
            <w:webHidden/>
          </w:rPr>
          <w:t>249</w:t>
        </w:r>
        <w:r w:rsidR="007B70EB">
          <w:rPr>
            <w:noProof/>
            <w:webHidden/>
          </w:rPr>
          <w:fldChar w:fldCharType="end"/>
        </w:r>
      </w:hyperlink>
    </w:p>
    <w:p w14:paraId="589F2D95"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54" w:history="1">
        <w:r w:rsidR="007B70EB" w:rsidRPr="00121BC4">
          <w:rPr>
            <w:rStyle w:val="Hyperlink"/>
            <w:noProof/>
          </w:rPr>
          <w:t>Table 5</w:t>
        </w:r>
        <w:r w:rsidR="007B70EB" w:rsidRPr="00121BC4">
          <w:rPr>
            <w:rStyle w:val="Hyperlink"/>
            <w:noProof/>
          </w:rPr>
          <w:noBreakHyphen/>
          <w:t>26 Setback distances to obtain minimum DAF values for which RQ &lt; 1 (attenuation based on dilution and dispersion only, source type C-1, C-2, and C-3). Injected volumes in megalitres (1 ML = one million litres). This is an example only; actual values would need to be developed based on site-specific circumstances.</w:t>
        </w:r>
        <w:r w:rsidR="007B70EB">
          <w:rPr>
            <w:noProof/>
            <w:webHidden/>
          </w:rPr>
          <w:tab/>
        </w:r>
        <w:r w:rsidR="007B70EB">
          <w:rPr>
            <w:noProof/>
            <w:webHidden/>
          </w:rPr>
          <w:fldChar w:fldCharType="begin"/>
        </w:r>
        <w:r w:rsidR="007B70EB">
          <w:rPr>
            <w:noProof/>
            <w:webHidden/>
          </w:rPr>
          <w:instrText xml:space="preserve"> PAGEREF _Toc494444754 \h </w:instrText>
        </w:r>
        <w:r w:rsidR="007B70EB">
          <w:rPr>
            <w:noProof/>
            <w:webHidden/>
          </w:rPr>
        </w:r>
        <w:r w:rsidR="007B70EB">
          <w:rPr>
            <w:noProof/>
            <w:webHidden/>
          </w:rPr>
          <w:fldChar w:fldCharType="separate"/>
        </w:r>
        <w:r w:rsidR="007B70EB">
          <w:rPr>
            <w:noProof/>
            <w:webHidden/>
          </w:rPr>
          <w:t>251</w:t>
        </w:r>
        <w:r w:rsidR="007B70EB">
          <w:rPr>
            <w:noProof/>
            <w:webHidden/>
          </w:rPr>
          <w:fldChar w:fldCharType="end"/>
        </w:r>
      </w:hyperlink>
    </w:p>
    <w:p w14:paraId="6DA4901B" w14:textId="77777777" w:rsidR="007B70EB" w:rsidRDefault="00900E5C">
      <w:pPr>
        <w:pStyle w:val="TableofFigures"/>
        <w:tabs>
          <w:tab w:val="right" w:leader="dot" w:pos="9010"/>
        </w:tabs>
        <w:rPr>
          <w:rFonts w:asciiTheme="minorHAnsi" w:hAnsiTheme="minorHAnsi"/>
          <w:noProof/>
          <w:sz w:val="22"/>
          <w:szCs w:val="22"/>
          <w:lang w:val="en-AU" w:eastAsia="en-AU"/>
        </w:rPr>
      </w:pPr>
      <w:hyperlink w:anchor="_Toc494444755" w:history="1">
        <w:r w:rsidR="007B70EB" w:rsidRPr="00121BC4">
          <w:rPr>
            <w:rStyle w:val="Hyperlink"/>
            <w:noProof/>
          </w:rPr>
          <w:t>Table 5</w:t>
        </w:r>
        <w:r w:rsidR="007B70EB" w:rsidRPr="00121BC4">
          <w:rPr>
            <w:rStyle w:val="Hyperlink"/>
            <w:noProof/>
          </w:rPr>
          <w:noBreakHyphen/>
          <w:t xml:space="preserve">27 Selection of hydraulic fracturing chemicals with previously estimated concentrations prior to injection – CPI (NICNAS 2017c). Calculated predicted environmental concentrations (PEC) for 1ML of injected fluids at three travel distances from injection source. </w:t>
        </w:r>
        <w:r w:rsidR="007B70EB" w:rsidRPr="00121BC4">
          <w:rPr>
            <w:rStyle w:val="Hyperlink"/>
            <w:noProof/>
            <w:vertAlign w:val="superscript"/>
          </w:rPr>
          <w:t>#</w:t>
        </w:r>
        <w:r w:rsidR="007B70EB" w:rsidRPr="00121BC4">
          <w:rPr>
            <w:rStyle w:val="Hyperlink"/>
            <w:noProof/>
          </w:rPr>
          <w:t>Na</w:t>
        </w:r>
        <w:r w:rsidR="007B70EB" w:rsidRPr="00121BC4">
          <w:rPr>
            <w:rStyle w:val="Hyperlink"/>
            <w:noProof/>
            <w:vertAlign w:val="subscript"/>
          </w:rPr>
          <w:t>2</w:t>
        </w:r>
        <w:r w:rsidR="007B70EB" w:rsidRPr="00121BC4">
          <w:rPr>
            <w:rStyle w:val="Hyperlink"/>
            <w:noProof/>
          </w:rPr>
          <w:t>CO</w:t>
        </w:r>
        <w:r w:rsidR="007B70EB" w:rsidRPr="00121BC4">
          <w:rPr>
            <w:rStyle w:val="Hyperlink"/>
            <w:noProof/>
            <w:vertAlign w:val="subscript"/>
          </w:rPr>
          <w:t>3</w:t>
        </w:r>
        <w:r w:rsidR="007B70EB" w:rsidRPr="00121BC4">
          <w:rPr>
            <w:rStyle w:val="Hyperlink"/>
            <w:noProof/>
          </w:rPr>
          <w:t xml:space="preserve"> - Alternative names: sodium carbonate, soda ash: when dissolved in water, it forms carbonic acid (H</w:t>
        </w:r>
        <w:r w:rsidR="007B70EB" w:rsidRPr="00121BC4">
          <w:rPr>
            <w:rStyle w:val="Hyperlink"/>
            <w:noProof/>
            <w:vertAlign w:val="subscript"/>
          </w:rPr>
          <w:t>2</w:t>
        </w:r>
        <w:r w:rsidR="007B70EB" w:rsidRPr="00121BC4">
          <w:rPr>
            <w:rStyle w:val="Hyperlink"/>
            <w:noProof/>
          </w:rPr>
          <w:t>CO</w:t>
        </w:r>
        <w:r w:rsidR="007B70EB" w:rsidRPr="00121BC4">
          <w:rPr>
            <w:rStyle w:val="Hyperlink"/>
            <w:noProof/>
            <w:vertAlign w:val="subscript"/>
          </w:rPr>
          <w:t>3</w:t>
        </w:r>
        <w:r w:rsidR="007B70EB" w:rsidRPr="00121BC4">
          <w:rPr>
            <w:rStyle w:val="Hyperlink"/>
            <w:noProof/>
          </w:rPr>
          <w:t xml:space="preserve">) and sodium hydroxide (NaOH). </w:t>
        </w:r>
        <w:r w:rsidR="007B70EB" w:rsidRPr="00121BC4">
          <w:rPr>
            <w:rStyle w:val="Hyperlink"/>
            <w:noProof/>
            <w:vertAlign w:val="superscript"/>
          </w:rPr>
          <w:t>@</w:t>
        </w:r>
        <w:r w:rsidR="007B70EB" w:rsidRPr="00121BC4">
          <w:rPr>
            <w:rStyle w:val="Hyperlink"/>
            <w:noProof/>
          </w:rPr>
          <w:t>NaClO – althernative names: sodium hypochlorite, chloride of soda, bleach: when dissolved in water, it forms chlorine and sodium hydroxide.</w:t>
        </w:r>
        <w:r w:rsidR="007B70EB">
          <w:rPr>
            <w:noProof/>
            <w:webHidden/>
          </w:rPr>
          <w:tab/>
        </w:r>
        <w:r w:rsidR="007B70EB">
          <w:rPr>
            <w:noProof/>
            <w:webHidden/>
          </w:rPr>
          <w:fldChar w:fldCharType="begin"/>
        </w:r>
        <w:r w:rsidR="007B70EB">
          <w:rPr>
            <w:noProof/>
            <w:webHidden/>
          </w:rPr>
          <w:instrText xml:space="preserve"> PAGEREF _Toc494444755 \h </w:instrText>
        </w:r>
        <w:r w:rsidR="007B70EB">
          <w:rPr>
            <w:noProof/>
            <w:webHidden/>
          </w:rPr>
        </w:r>
        <w:r w:rsidR="007B70EB">
          <w:rPr>
            <w:noProof/>
            <w:webHidden/>
          </w:rPr>
          <w:fldChar w:fldCharType="separate"/>
        </w:r>
        <w:r w:rsidR="007B70EB">
          <w:rPr>
            <w:noProof/>
            <w:webHidden/>
          </w:rPr>
          <w:t>252</w:t>
        </w:r>
        <w:r w:rsidR="007B70EB">
          <w:rPr>
            <w:noProof/>
            <w:webHidden/>
          </w:rPr>
          <w:fldChar w:fldCharType="end"/>
        </w:r>
      </w:hyperlink>
    </w:p>
    <w:p w14:paraId="620DA274" w14:textId="77777777" w:rsidR="00F400AD" w:rsidRPr="00E6110F" w:rsidRDefault="00084CDD" w:rsidP="00F400AD">
      <w:pPr>
        <w:pStyle w:val="Body"/>
      </w:pPr>
      <w:r w:rsidRPr="00E6110F">
        <w:fldChar w:fldCharType="end"/>
      </w:r>
    </w:p>
    <w:p w14:paraId="401E2531" w14:textId="77777777" w:rsidR="00F400AD" w:rsidRPr="00E6110F" w:rsidRDefault="00F400AD">
      <w:pPr>
        <w:rPr>
          <w:rFonts w:ascii="Calibri" w:hAnsi="Calibri" w:cs="Calibri"/>
          <w:color w:val="000000"/>
          <w:sz w:val="18"/>
          <w:szCs w:val="18"/>
          <w:lang w:val="en-GB"/>
        </w:rPr>
      </w:pPr>
      <w:r w:rsidRPr="00E6110F">
        <w:br w:type="page"/>
      </w:r>
    </w:p>
    <w:p w14:paraId="5F85959A" w14:textId="77777777" w:rsidR="00726719" w:rsidRPr="00E6110F" w:rsidRDefault="00726719" w:rsidP="00F400AD">
      <w:pPr>
        <w:pStyle w:val="H1"/>
      </w:pPr>
      <w:bookmarkStart w:id="2" w:name="_Toc432618722"/>
      <w:r w:rsidRPr="00E6110F">
        <w:t>Abbreviations</w:t>
      </w:r>
      <w:bookmarkEnd w:id="2"/>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7087"/>
      </w:tblGrid>
      <w:tr w:rsidR="00726719" w:rsidRPr="00E6110F" w14:paraId="1A270586" w14:textId="77777777" w:rsidTr="00726719">
        <w:trPr>
          <w:trHeight w:val="188"/>
          <w:tblHeader/>
        </w:trPr>
        <w:tc>
          <w:tcPr>
            <w:tcW w:w="2127" w:type="dxa"/>
            <w:shd w:val="clear" w:color="auto" w:fill="C6D9F1"/>
          </w:tcPr>
          <w:p w14:paraId="22C915C1" w14:textId="77777777" w:rsidR="00726719" w:rsidRPr="00E6110F" w:rsidRDefault="007B180B" w:rsidP="00A8139B">
            <w:pPr>
              <w:pStyle w:val="Body"/>
              <w:spacing w:before="10" w:after="10"/>
              <w:rPr>
                <w:b/>
              </w:rPr>
            </w:pPr>
            <w:r w:rsidRPr="00E6110F">
              <w:rPr>
                <w:b/>
              </w:rPr>
              <w:t>A</w:t>
            </w:r>
            <w:r w:rsidR="00726719" w:rsidRPr="00E6110F">
              <w:rPr>
                <w:b/>
              </w:rPr>
              <w:t>bbreviation</w:t>
            </w:r>
          </w:p>
        </w:tc>
        <w:tc>
          <w:tcPr>
            <w:tcW w:w="7087" w:type="dxa"/>
            <w:shd w:val="clear" w:color="auto" w:fill="C6D9F1"/>
          </w:tcPr>
          <w:p w14:paraId="17545AAB" w14:textId="77777777" w:rsidR="00726719" w:rsidRPr="00E6110F" w:rsidRDefault="00726719" w:rsidP="00A8139B">
            <w:pPr>
              <w:pStyle w:val="Body"/>
              <w:spacing w:before="10" w:after="10"/>
              <w:rPr>
                <w:b/>
              </w:rPr>
            </w:pPr>
            <w:r w:rsidRPr="00E6110F">
              <w:rPr>
                <w:b/>
              </w:rPr>
              <w:t>Description</w:t>
            </w:r>
          </w:p>
        </w:tc>
      </w:tr>
      <w:tr w:rsidR="007B3DC4" w:rsidRPr="00E6110F" w14:paraId="7F426C1B" w14:textId="77777777" w:rsidTr="00726719">
        <w:trPr>
          <w:trHeight w:val="188"/>
        </w:trPr>
        <w:tc>
          <w:tcPr>
            <w:tcW w:w="2127" w:type="dxa"/>
          </w:tcPr>
          <w:p w14:paraId="0C510CE8" w14:textId="77777777" w:rsidR="007B3DC4" w:rsidRPr="00E6110F" w:rsidRDefault="007B3DC4" w:rsidP="007B3DC4">
            <w:pPr>
              <w:pStyle w:val="Body"/>
              <w:spacing w:before="10" w:after="10"/>
            </w:pPr>
            <w:r w:rsidRPr="00E6110F">
              <w:t>APLNG</w:t>
            </w:r>
          </w:p>
        </w:tc>
        <w:tc>
          <w:tcPr>
            <w:tcW w:w="7087" w:type="dxa"/>
          </w:tcPr>
          <w:p w14:paraId="1C68E5BE" w14:textId="77777777" w:rsidR="007B3DC4" w:rsidRPr="00E6110F" w:rsidRDefault="007B3DC4" w:rsidP="007B3DC4">
            <w:pPr>
              <w:pStyle w:val="Body"/>
              <w:spacing w:before="10" w:after="10"/>
            </w:pPr>
            <w:r w:rsidRPr="00E6110F">
              <w:t>Australia Pacific Liquefied Natural Gas (project)</w:t>
            </w:r>
          </w:p>
        </w:tc>
      </w:tr>
      <w:tr w:rsidR="007B3DC4" w:rsidRPr="00E6110F" w14:paraId="63A7D787" w14:textId="77777777" w:rsidTr="00726719">
        <w:trPr>
          <w:trHeight w:val="188"/>
        </w:trPr>
        <w:tc>
          <w:tcPr>
            <w:tcW w:w="2127" w:type="dxa"/>
          </w:tcPr>
          <w:p w14:paraId="23EB9B0C" w14:textId="77777777" w:rsidR="007B3DC4" w:rsidRPr="00E6110F" w:rsidRDefault="007B3DC4" w:rsidP="007B3DC4">
            <w:pPr>
              <w:pStyle w:val="Body"/>
              <w:spacing w:before="10" w:after="10"/>
            </w:pPr>
            <w:r w:rsidRPr="00E6110F">
              <w:t>CMA</w:t>
            </w:r>
          </w:p>
        </w:tc>
        <w:tc>
          <w:tcPr>
            <w:tcW w:w="7087" w:type="dxa"/>
          </w:tcPr>
          <w:p w14:paraId="20A7E278" w14:textId="77777777" w:rsidR="007B3DC4" w:rsidRPr="00E6110F" w:rsidRDefault="007B3DC4" w:rsidP="007B3DC4">
            <w:pPr>
              <w:pStyle w:val="Body"/>
              <w:spacing w:before="10" w:after="10"/>
            </w:pPr>
            <w:r w:rsidRPr="00E6110F">
              <w:t>Cumulative Management Authority</w:t>
            </w:r>
          </w:p>
        </w:tc>
      </w:tr>
      <w:tr w:rsidR="007B3DC4" w:rsidRPr="00E6110F" w14:paraId="41DC7293" w14:textId="77777777" w:rsidTr="00726719">
        <w:trPr>
          <w:trHeight w:val="188"/>
        </w:trPr>
        <w:tc>
          <w:tcPr>
            <w:tcW w:w="2127" w:type="dxa"/>
          </w:tcPr>
          <w:p w14:paraId="58B812AF" w14:textId="77777777" w:rsidR="007B3DC4" w:rsidRPr="00E6110F" w:rsidRDefault="007B3DC4" w:rsidP="007B3DC4">
            <w:pPr>
              <w:pStyle w:val="Body"/>
              <w:spacing w:before="10" w:after="10"/>
            </w:pPr>
            <w:r w:rsidRPr="00E6110F">
              <w:t>CSG</w:t>
            </w:r>
          </w:p>
        </w:tc>
        <w:tc>
          <w:tcPr>
            <w:tcW w:w="7087" w:type="dxa"/>
          </w:tcPr>
          <w:p w14:paraId="28B1A38F" w14:textId="77777777" w:rsidR="007B3DC4" w:rsidRPr="00E6110F" w:rsidRDefault="007B3DC4" w:rsidP="007B3DC4">
            <w:pPr>
              <w:pStyle w:val="Body"/>
              <w:spacing w:before="10" w:after="10"/>
            </w:pPr>
            <w:r w:rsidRPr="00E6110F">
              <w:t>Coal Seam Gas</w:t>
            </w:r>
          </w:p>
        </w:tc>
      </w:tr>
      <w:tr w:rsidR="007B3DC4" w:rsidRPr="00E6110F" w14:paraId="4170747F" w14:textId="77777777" w:rsidTr="00726719">
        <w:trPr>
          <w:trHeight w:val="188"/>
        </w:trPr>
        <w:tc>
          <w:tcPr>
            <w:tcW w:w="2127" w:type="dxa"/>
          </w:tcPr>
          <w:p w14:paraId="41245223" w14:textId="77777777" w:rsidR="007B3DC4" w:rsidRPr="00E6110F" w:rsidRDefault="007B3DC4" w:rsidP="007B3DC4">
            <w:pPr>
              <w:pStyle w:val="Body"/>
              <w:spacing w:before="10" w:after="10"/>
            </w:pPr>
            <w:r w:rsidRPr="00E6110F">
              <w:t>CSIRO</w:t>
            </w:r>
          </w:p>
        </w:tc>
        <w:tc>
          <w:tcPr>
            <w:tcW w:w="7087" w:type="dxa"/>
          </w:tcPr>
          <w:p w14:paraId="296FCF4D" w14:textId="77777777" w:rsidR="007B3DC4" w:rsidRPr="00E6110F" w:rsidRDefault="007B3DC4" w:rsidP="007B3DC4">
            <w:pPr>
              <w:pStyle w:val="Body"/>
              <w:spacing w:before="10" w:after="10"/>
            </w:pPr>
            <w:r w:rsidRPr="00E6110F">
              <w:t>Commonwealth Scientific and Industrial Research Organisation</w:t>
            </w:r>
          </w:p>
        </w:tc>
      </w:tr>
      <w:tr w:rsidR="007B3DC4" w:rsidRPr="00E6110F" w14:paraId="41CB9349" w14:textId="77777777" w:rsidTr="00726719">
        <w:trPr>
          <w:trHeight w:val="188"/>
        </w:trPr>
        <w:tc>
          <w:tcPr>
            <w:tcW w:w="2127" w:type="dxa"/>
          </w:tcPr>
          <w:p w14:paraId="440DCD3C" w14:textId="39DE2393" w:rsidR="007B3DC4" w:rsidRPr="00E6110F" w:rsidRDefault="007B3DC4" w:rsidP="007B3DC4">
            <w:pPr>
              <w:pStyle w:val="Body"/>
              <w:spacing w:before="10" w:after="10"/>
            </w:pPr>
            <w:r>
              <w:t>DAF</w:t>
            </w:r>
          </w:p>
        </w:tc>
        <w:tc>
          <w:tcPr>
            <w:tcW w:w="7087" w:type="dxa"/>
          </w:tcPr>
          <w:p w14:paraId="60874E16" w14:textId="1A077FE4" w:rsidR="007B3DC4" w:rsidRPr="00E6110F" w:rsidRDefault="007B3DC4" w:rsidP="007B3DC4">
            <w:pPr>
              <w:pStyle w:val="Body"/>
              <w:spacing w:before="10" w:after="10"/>
            </w:pPr>
            <w:r>
              <w:t>Dilution Attenuation Factor</w:t>
            </w:r>
          </w:p>
        </w:tc>
      </w:tr>
      <w:tr w:rsidR="007B3DC4" w:rsidRPr="00E6110F" w14:paraId="714AFBD0" w14:textId="77777777" w:rsidTr="00726719">
        <w:trPr>
          <w:trHeight w:val="84"/>
        </w:trPr>
        <w:tc>
          <w:tcPr>
            <w:tcW w:w="2127" w:type="dxa"/>
          </w:tcPr>
          <w:p w14:paraId="402BCF83" w14:textId="77777777" w:rsidR="007B3DC4" w:rsidRPr="00E6110F" w:rsidRDefault="007B3DC4" w:rsidP="007B3DC4">
            <w:pPr>
              <w:pStyle w:val="Body"/>
              <w:spacing w:before="10" w:after="10"/>
            </w:pPr>
            <w:r w:rsidRPr="00E6110F">
              <w:t>DNRM</w:t>
            </w:r>
          </w:p>
        </w:tc>
        <w:tc>
          <w:tcPr>
            <w:tcW w:w="7087" w:type="dxa"/>
          </w:tcPr>
          <w:p w14:paraId="6BC4A06A" w14:textId="77777777" w:rsidR="007B3DC4" w:rsidRPr="00E6110F" w:rsidRDefault="007B3DC4" w:rsidP="007B3DC4">
            <w:pPr>
              <w:pStyle w:val="Body"/>
              <w:spacing w:before="10" w:after="10"/>
            </w:pPr>
            <w:r w:rsidRPr="00E6110F">
              <w:t>Department of Natural Resources and Mines (Queensland)</w:t>
            </w:r>
          </w:p>
        </w:tc>
      </w:tr>
      <w:tr w:rsidR="007B3DC4" w:rsidRPr="00E6110F" w14:paraId="46DA125A" w14:textId="77777777" w:rsidTr="00726719">
        <w:trPr>
          <w:trHeight w:val="84"/>
        </w:trPr>
        <w:tc>
          <w:tcPr>
            <w:tcW w:w="2127" w:type="dxa"/>
          </w:tcPr>
          <w:p w14:paraId="0529236C" w14:textId="68B6F36F" w:rsidR="007B3DC4" w:rsidRPr="00E6110F" w:rsidRDefault="007B3DC4" w:rsidP="007B3DC4">
            <w:pPr>
              <w:pStyle w:val="Body"/>
              <w:spacing w:before="10" w:after="10"/>
            </w:pPr>
            <w:r>
              <w:t>EC10</w:t>
            </w:r>
          </w:p>
        </w:tc>
        <w:tc>
          <w:tcPr>
            <w:tcW w:w="7087" w:type="dxa"/>
          </w:tcPr>
          <w:p w14:paraId="1640967E" w14:textId="2F7DE512" w:rsidR="007B3DC4" w:rsidRPr="007A4925" w:rsidRDefault="007B3DC4" w:rsidP="007B3DC4">
            <w:pPr>
              <w:pStyle w:val="Body"/>
              <w:spacing w:before="10" w:after="10"/>
            </w:pPr>
            <w:r w:rsidRPr="007A4925">
              <w:t>Concentrati</w:t>
            </w:r>
            <w:r w:rsidR="00A174A2">
              <w:t>on of a toxicant that causes a 1</w:t>
            </w:r>
            <w:r w:rsidRPr="007A4925">
              <w:t xml:space="preserve">0% </w:t>
            </w:r>
            <w:r w:rsidR="00A174A2">
              <w:t xml:space="preserve">lethal </w:t>
            </w:r>
            <w:r w:rsidRPr="007A4925">
              <w:t>effect</w:t>
            </w:r>
          </w:p>
        </w:tc>
      </w:tr>
      <w:tr w:rsidR="007B3DC4" w:rsidRPr="00E6110F" w14:paraId="22940E0B" w14:textId="77777777" w:rsidTr="00726719">
        <w:trPr>
          <w:trHeight w:val="84"/>
        </w:trPr>
        <w:tc>
          <w:tcPr>
            <w:tcW w:w="2127" w:type="dxa"/>
          </w:tcPr>
          <w:p w14:paraId="1E12DCA2" w14:textId="6F08CFEB" w:rsidR="007B3DC4" w:rsidRDefault="007B3DC4" w:rsidP="007B3DC4">
            <w:pPr>
              <w:pStyle w:val="Body"/>
              <w:spacing w:before="10" w:after="10"/>
            </w:pPr>
            <w:r>
              <w:t>EC50</w:t>
            </w:r>
          </w:p>
        </w:tc>
        <w:tc>
          <w:tcPr>
            <w:tcW w:w="7087" w:type="dxa"/>
          </w:tcPr>
          <w:p w14:paraId="54A6EB0C" w14:textId="6A413591" w:rsidR="007B3DC4" w:rsidRPr="007A4925" w:rsidRDefault="007B3DC4" w:rsidP="007B3DC4">
            <w:pPr>
              <w:pStyle w:val="Body"/>
              <w:spacing w:before="10" w:after="10"/>
            </w:pPr>
            <w:r w:rsidRPr="007A4925">
              <w:t xml:space="preserve">Concentration of a toxicant that cause a 50% </w:t>
            </w:r>
            <w:r w:rsidR="00A174A2">
              <w:t xml:space="preserve">lethal </w:t>
            </w:r>
            <w:r w:rsidRPr="007A4925">
              <w:t>effect</w:t>
            </w:r>
          </w:p>
        </w:tc>
      </w:tr>
      <w:tr w:rsidR="007B3DC4" w:rsidRPr="00E6110F" w14:paraId="21B49AD4" w14:textId="77777777" w:rsidTr="00726719">
        <w:trPr>
          <w:trHeight w:val="84"/>
        </w:trPr>
        <w:tc>
          <w:tcPr>
            <w:tcW w:w="2127" w:type="dxa"/>
          </w:tcPr>
          <w:p w14:paraId="1E7D8263" w14:textId="77777777" w:rsidR="007B3DC4" w:rsidRPr="00E6110F" w:rsidRDefault="007B3DC4" w:rsidP="007B3DC4">
            <w:pPr>
              <w:pStyle w:val="Body"/>
              <w:spacing w:before="10" w:after="10"/>
            </w:pPr>
            <w:r w:rsidRPr="00E6110F">
              <w:t>HSU</w:t>
            </w:r>
          </w:p>
        </w:tc>
        <w:tc>
          <w:tcPr>
            <w:tcW w:w="7087" w:type="dxa"/>
          </w:tcPr>
          <w:p w14:paraId="4FFFC1A4" w14:textId="77777777" w:rsidR="007B3DC4" w:rsidRPr="00E6110F" w:rsidRDefault="007B3DC4" w:rsidP="007B3DC4">
            <w:pPr>
              <w:pStyle w:val="Body"/>
              <w:spacing w:before="10" w:after="10"/>
            </w:pPr>
            <w:r w:rsidRPr="00E6110F">
              <w:t>HydroStratigraphic Unit</w:t>
            </w:r>
          </w:p>
        </w:tc>
      </w:tr>
      <w:tr w:rsidR="007B3DC4" w:rsidRPr="00E6110F" w14:paraId="68E7BAA3" w14:textId="77777777" w:rsidTr="00726719">
        <w:trPr>
          <w:trHeight w:val="84"/>
        </w:trPr>
        <w:tc>
          <w:tcPr>
            <w:tcW w:w="2127" w:type="dxa"/>
          </w:tcPr>
          <w:p w14:paraId="0AC54901" w14:textId="346A3E67" w:rsidR="007B3DC4" w:rsidRPr="00E6110F" w:rsidRDefault="007B3DC4" w:rsidP="007B3DC4">
            <w:pPr>
              <w:pStyle w:val="Body"/>
              <w:spacing w:before="10" w:after="10"/>
            </w:pPr>
            <w:r>
              <w:t>LC50</w:t>
            </w:r>
            <w:r>
              <w:tab/>
            </w:r>
          </w:p>
        </w:tc>
        <w:tc>
          <w:tcPr>
            <w:tcW w:w="7087" w:type="dxa"/>
          </w:tcPr>
          <w:p w14:paraId="4D8E588B" w14:textId="7B51923A" w:rsidR="007B3DC4" w:rsidRPr="00E6110F" w:rsidRDefault="007B3DC4" w:rsidP="007B3DC4">
            <w:pPr>
              <w:pStyle w:val="Body"/>
              <w:spacing w:before="10" w:after="10"/>
            </w:pPr>
            <w:r>
              <w:t>Concentration of a toxicant that causes a 50% lethal effect</w:t>
            </w:r>
          </w:p>
        </w:tc>
      </w:tr>
      <w:tr w:rsidR="007B3DC4" w:rsidRPr="00E6110F" w14:paraId="6681A6C0" w14:textId="77777777" w:rsidTr="00726719">
        <w:trPr>
          <w:trHeight w:val="84"/>
        </w:trPr>
        <w:tc>
          <w:tcPr>
            <w:tcW w:w="2127" w:type="dxa"/>
          </w:tcPr>
          <w:p w14:paraId="0D324CF0" w14:textId="16E6EF9D" w:rsidR="007B3DC4" w:rsidRDefault="007B3DC4" w:rsidP="007B3DC4">
            <w:pPr>
              <w:pStyle w:val="Body"/>
              <w:spacing w:before="10" w:after="10"/>
            </w:pPr>
            <w:r>
              <w:t>LoE</w:t>
            </w:r>
          </w:p>
        </w:tc>
        <w:tc>
          <w:tcPr>
            <w:tcW w:w="7087" w:type="dxa"/>
          </w:tcPr>
          <w:p w14:paraId="5DBE3EF2" w14:textId="34832809" w:rsidR="007B3DC4" w:rsidRDefault="007B3DC4" w:rsidP="007B3DC4">
            <w:pPr>
              <w:pStyle w:val="Body"/>
              <w:spacing w:before="10" w:after="10"/>
            </w:pPr>
            <w:r>
              <w:t>Lines of Evidence</w:t>
            </w:r>
          </w:p>
        </w:tc>
      </w:tr>
      <w:tr w:rsidR="007B3DC4" w:rsidRPr="00E6110F" w14:paraId="064AA8CC" w14:textId="77777777" w:rsidTr="00726719">
        <w:trPr>
          <w:trHeight w:val="84"/>
        </w:trPr>
        <w:tc>
          <w:tcPr>
            <w:tcW w:w="2127" w:type="dxa"/>
          </w:tcPr>
          <w:p w14:paraId="5E4356BF" w14:textId="4A5DE095" w:rsidR="007B3DC4" w:rsidRDefault="007B3DC4" w:rsidP="007B3DC4">
            <w:pPr>
              <w:pStyle w:val="Body"/>
              <w:spacing w:before="10" w:after="10"/>
            </w:pPr>
            <w:r>
              <w:t>LOEC</w:t>
            </w:r>
          </w:p>
        </w:tc>
        <w:tc>
          <w:tcPr>
            <w:tcW w:w="7087" w:type="dxa"/>
          </w:tcPr>
          <w:p w14:paraId="5863C35D" w14:textId="7B3F79B6" w:rsidR="007B3DC4" w:rsidRDefault="007B3DC4" w:rsidP="007B3DC4">
            <w:pPr>
              <w:pStyle w:val="Body"/>
              <w:spacing w:before="10" w:after="10"/>
            </w:pPr>
            <w:r>
              <w:t>Lowest concentration of a toxicant tested that causes a significant effect</w:t>
            </w:r>
          </w:p>
        </w:tc>
      </w:tr>
      <w:tr w:rsidR="007B3DC4" w:rsidRPr="00E6110F" w14:paraId="6A2635F5" w14:textId="77777777" w:rsidTr="00726719">
        <w:trPr>
          <w:trHeight w:val="84"/>
        </w:trPr>
        <w:tc>
          <w:tcPr>
            <w:tcW w:w="2127" w:type="dxa"/>
          </w:tcPr>
          <w:p w14:paraId="13C1E4AA" w14:textId="3459A805" w:rsidR="007B3DC4" w:rsidRPr="00E6110F" w:rsidRDefault="007B3DC4" w:rsidP="007B3DC4">
            <w:pPr>
              <w:pStyle w:val="Body"/>
              <w:spacing w:before="10" w:after="10"/>
            </w:pPr>
            <w:r>
              <w:t>MATA</w:t>
            </w:r>
            <w:r>
              <w:tab/>
            </w:r>
          </w:p>
        </w:tc>
        <w:tc>
          <w:tcPr>
            <w:tcW w:w="7087" w:type="dxa"/>
          </w:tcPr>
          <w:p w14:paraId="106E14F2" w14:textId="705D0547" w:rsidR="007B3DC4" w:rsidRPr="00E6110F" w:rsidRDefault="007B3DC4" w:rsidP="007B3DC4">
            <w:pPr>
              <w:pStyle w:val="Body"/>
              <w:spacing w:before="10" w:after="10"/>
            </w:pPr>
            <w:r w:rsidRPr="000A531A">
              <w:t>Maximum acceptable toxicant concentration</w:t>
            </w:r>
          </w:p>
        </w:tc>
      </w:tr>
      <w:tr w:rsidR="007B3DC4" w:rsidRPr="00E6110F" w14:paraId="1F489E57" w14:textId="77777777" w:rsidTr="003E65A5">
        <w:tblPrEx>
          <w:tblLook w:val="00A0" w:firstRow="1" w:lastRow="0" w:firstColumn="1" w:lastColumn="0" w:noHBand="0" w:noVBand="0"/>
        </w:tblPrEx>
        <w:tc>
          <w:tcPr>
            <w:tcW w:w="2127" w:type="dxa"/>
          </w:tcPr>
          <w:p w14:paraId="7EE29ADC" w14:textId="77777777" w:rsidR="007B3DC4" w:rsidRPr="00E6110F" w:rsidRDefault="007B3DC4" w:rsidP="007B3DC4">
            <w:pPr>
              <w:pStyle w:val="Body"/>
              <w:spacing w:before="10" w:after="10"/>
            </w:pPr>
            <w:r w:rsidRPr="00E6110F">
              <w:t>mD</w:t>
            </w:r>
          </w:p>
        </w:tc>
        <w:tc>
          <w:tcPr>
            <w:tcW w:w="7087" w:type="dxa"/>
          </w:tcPr>
          <w:p w14:paraId="565BEAB9" w14:textId="77777777" w:rsidR="007B3DC4" w:rsidRPr="00E6110F" w:rsidRDefault="007B3DC4" w:rsidP="007B3DC4">
            <w:pPr>
              <w:pStyle w:val="Body"/>
              <w:spacing w:before="10" w:after="10"/>
              <w:rPr>
                <w:rFonts w:eastAsia="Times New Roman"/>
                <w:lang w:eastAsia="en-AU"/>
              </w:rPr>
            </w:pPr>
            <w:r w:rsidRPr="00E6110F">
              <w:rPr>
                <w:rFonts w:eastAsia="Times New Roman"/>
                <w:lang w:eastAsia="en-AU"/>
              </w:rPr>
              <w:t>milliDarcy</w:t>
            </w:r>
          </w:p>
        </w:tc>
      </w:tr>
      <w:tr w:rsidR="007B3DC4" w:rsidRPr="00E6110F" w14:paraId="28E45DFB" w14:textId="77777777" w:rsidTr="00726719">
        <w:trPr>
          <w:trHeight w:val="84"/>
        </w:trPr>
        <w:tc>
          <w:tcPr>
            <w:tcW w:w="2127" w:type="dxa"/>
          </w:tcPr>
          <w:p w14:paraId="3FEF2EFF" w14:textId="77777777" w:rsidR="007B3DC4" w:rsidRPr="00E6110F" w:rsidRDefault="007B3DC4" w:rsidP="007B3DC4">
            <w:pPr>
              <w:pStyle w:val="Body"/>
              <w:spacing w:before="10" w:after="10"/>
            </w:pPr>
            <w:r w:rsidRPr="00E6110F">
              <w:t>MODFLOW</w:t>
            </w:r>
          </w:p>
        </w:tc>
        <w:tc>
          <w:tcPr>
            <w:tcW w:w="7087" w:type="dxa"/>
          </w:tcPr>
          <w:p w14:paraId="55EAB9BD" w14:textId="77777777" w:rsidR="007B3DC4" w:rsidRPr="00E6110F" w:rsidRDefault="007B3DC4" w:rsidP="007B3DC4">
            <w:pPr>
              <w:pStyle w:val="Body"/>
              <w:spacing w:before="10" w:after="10"/>
            </w:pPr>
            <w:r w:rsidRPr="00E6110F">
              <w:t>MODular groundwater FLOW model</w:t>
            </w:r>
          </w:p>
        </w:tc>
      </w:tr>
      <w:tr w:rsidR="007B3DC4" w:rsidRPr="00E6110F" w14:paraId="504C6992" w14:textId="77777777" w:rsidTr="00726719">
        <w:trPr>
          <w:trHeight w:val="84"/>
        </w:trPr>
        <w:tc>
          <w:tcPr>
            <w:tcW w:w="2127" w:type="dxa"/>
          </w:tcPr>
          <w:p w14:paraId="5BF62340" w14:textId="77777777" w:rsidR="007B3DC4" w:rsidRPr="00E6110F" w:rsidRDefault="007B3DC4" w:rsidP="007B3DC4">
            <w:pPr>
              <w:pStyle w:val="Body"/>
              <w:spacing w:before="10" w:after="10"/>
            </w:pPr>
            <w:r w:rsidRPr="00E6110F">
              <w:t>MPA</w:t>
            </w:r>
          </w:p>
        </w:tc>
        <w:tc>
          <w:tcPr>
            <w:tcW w:w="7087" w:type="dxa"/>
          </w:tcPr>
          <w:p w14:paraId="0CB32984" w14:textId="77777777" w:rsidR="007B3DC4" w:rsidRPr="00E6110F" w:rsidRDefault="007B3DC4" w:rsidP="007B3DC4">
            <w:pPr>
              <w:pStyle w:val="Body"/>
              <w:spacing w:before="10" w:after="10"/>
            </w:pPr>
            <w:r w:rsidRPr="00E6110F">
              <w:t>MegaPAscals</w:t>
            </w:r>
          </w:p>
        </w:tc>
      </w:tr>
      <w:tr w:rsidR="007B3DC4" w:rsidRPr="00E6110F" w14:paraId="155B10C4" w14:textId="77777777" w:rsidTr="00726719">
        <w:trPr>
          <w:trHeight w:val="84"/>
        </w:trPr>
        <w:tc>
          <w:tcPr>
            <w:tcW w:w="2127" w:type="dxa"/>
          </w:tcPr>
          <w:p w14:paraId="44F00B08" w14:textId="227C0347" w:rsidR="007B3DC4" w:rsidRPr="00C0124E" w:rsidRDefault="007B3DC4" w:rsidP="007B3DC4">
            <w:pPr>
              <w:pStyle w:val="Body"/>
              <w:spacing w:before="10" w:after="10"/>
            </w:pPr>
            <w:r w:rsidRPr="00C0124E">
              <w:t>NOEC</w:t>
            </w:r>
          </w:p>
        </w:tc>
        <w:tc>
          <w:tcPr>
            <w:tcW w:w="7087" w:type="dxa"/>
          </w:tcPr>
          <w:p w14:paraId="47E41DE1" w14:textId="36AA35CD" w:rsidR="007B3DC4" w:rsidRPr="00E6110F" w:rsidRDefault="007B3DC4" w:rsidP="007B3DC4">
            <w:pPr>
              <w:pStyle w:val="Body"/>
              <w:spacing w:before="10" w:after="10"/>
            </w:pPr>
            <w:r>
              <w:t>No Observable Effect Concentration</w:t>
            </w:r>
          </w:p>
        </w:tc>
      </w:tr>
      <w:tr w:rsidR="007B3DC4" w:rsidRPr="00E6110F" w14:paraId="48A9EC21" w14:textId="77777777" w:rsidTr="00726719">
        <w:trPr>
          <w:trHeight w:val="84"/>
        </w:trPr>
        <w:tc>
          <w:tcPr>
            <w:tcW w:w="2127" w:type="dxa"/>
          </w:tcPr>
          <w:p w14:paraId="1C6E710D" w14:textId="77777777" w:rsidR="007B3DC4" w:rsidRPr="00E6110F" w:rsidRDefault="007B3DC4" w:rsidP="007B3DC4">
            <w:pPr>
              <w:pStyle w:val="Body"/>
              <w:spacing w:before="10" w:after="10"/>
            </w:pPr>
            <w:r w:rsidRPr="00E6110F">
              <w:t>NSW</w:t>
            </w:r>
          </w:p>
        </w:tc>
        <w:tc>
          <w:tcPr>
            <w:tcW w:w="7087" w:type="dxa"/>
          </w:tcPr>
          <w:p w14:paraId="53F3BD17" w14:textId="77777777" w:rsidR="007B3DC4" w:rsidRPr="00E6110F" w:rsidRDefault="007B3DC4" w:rsidP="007B3DC4">
            <w:pPr>
              <w:pStyle w:val="Body"/>
              <w:spacing w:before="10" w:after="10"/>
            </w:pPr>
            <w:r w:rsidRPr="00E6110F">
              <w:t>New South Wales</w:t>
            </w:r>
          </w:p>
        </w:tc>
      </w:tr>
      <w:tr w:rsidR="007B3DC4" w:rsidRPr="00E6110F" w14:paraId="6A322D0A" w14:textId="77777777" w:rsidTr="00726719">
        <w:trPr>
          <w:trHeight w:val="84"/>
        </w:trPr>
        <w:tc>
          <w:tcPr>
            <w:tcW w:w="2127" w:type="dxa"/>
          </w:tcPr>
          <w:p w14:paraId="39D4807C" w14:textId="77777777" w:rsidR="007B3DC4" w:rsidRPr="00E6110F" w:rsidRDefault="007B3DC4" w:rsidP="007B3DC4">
            <w:pPr>
              <w:pStyle w:val="Body"/>
              <w:spacing w:before="10" w:after="10"/>
            </w:pPr>
            <w:r w:rsidRPr="00E6110F">
              <w:t>OGIA</w:t>
            </w:r>
          </w:p>
        </w:tc>
        <w:tc>
          <w:tcPr>
            <w:tcW w:w="7087" w:type="dxa"/>
          </w:tcPr>
          <w:p w14:paraId="2851EE5D" w14:textId="77777777" w:rsidR="007B3DC4" w:rsidRPr="00E6110F" w:rsidRDefault="007B3DC4" w:rsidP="007B3DC4">
            <w:pPr>
              <w:pStyle w:val="Body"/>
              <w:spacing w:before="10" w:after="10"/>
            </w:pPr>
            <w:r w:rsidRPr="00E6110F">
              <w:t>Office of Groundwater Impact Assessment (Queensland)</w:t>
            </w:r>
          </w:p>
        </w:tc>
      </w:tr>
      <w:tr w:rsidR="007B3DC4" w:rsidRPr="00E6110F" w14:paraId="73253252" w14:textId="77777777" w:rsidTr="00726719">
        <w:trPr>
          <w:trHeight w:val="84"/>
        </w:trPr>
        <w:tc>
          <w:tcPr>
            <w:tcW w:w="2127" w:type="dxa"/>
          </w:tcPr>
          <w:p w14:paraId="64FD61C3" w14:textId="75085BC9" w:rsidR="007B3DC4" w:rsidRPr="00E6110F" w:rsidRDefault="007B3DC4" w:rsidP="007B3DC4">
            <w:pPr>
              <w:pStyle w:val="Body"/>
              <w:spacing w:before="10" w:after="10"/>
            </w:pPr>
            <w:r>
              <w:t>PAH</w:t>
            </w:r>
          </w:p>
        </w:tc>
        <w:tc>
          <w:tcPr>
            <w:tcW w:w="7087" w:type="dxa"/>
          </w:tcPr>
          <w:p w14:paraId="679C52E6" w14:textId="13099DF1" w:rsidR="007B3DC4" w:rsidRPr="00E6110F" w:rsidRDefault="007B3DC4" w:rsidP="007B3DC4">
            <w:pPr>
              <w:pStyle w:val="Body"/>
              <w:spacing w:before="10" w:after="10"/>
            </w:pPr>
            <w:r>
              <w:t>Polycyclic aromatic hydrocarbons</w:t>
            </w:r>
          </w:p>
        </w:tc>
      </w:tr>
      <w:tr w:rsidR="007B3DC4" w:rsidRPr="00E6110F" w14:paraId="35604FE6" w14:textId="77777777" w:rsidTr="00726719">
        <w:trPr>
          <w:trHeight w:val="84"/>
        </w:trPr>
        <w:tc>
          <w:tcPr>
            <w:tcW w:w="2127" w:type="dxa"/>
          </w:tcPr>
          <w:p w14:paraId="4A82409A" w14:textId="77777777" w:rsidR="007B3DC4" w:rsidRPr="00E6110F" w:rsidRDefault="007B3DC4" w:rsidP="007B3DC4">
            <w:pPr>
              <w:pStyle w:val="Body"/>
              <w:spacing w:before="10" w:after="10"/>
            </w:pPr>
            <w:r w:rsidRPr="00E6110F">
              <w:t>QGC</w:t>
            </w:r>
          </w:p>
        </w:tc>
        <w:tc>
          <w:tcPr>
            <w:tcW w:w="7087" w:type="dxa"/>
          </w:tcPr>
          <w:p w14:paraId="01F52A31" w14:textId="77777777" w:rsidR="007B3DC4" w:rsidRPr="00E6110F" w:rsidRDefault="007B3DC4" w:rsidP="007B3DC4">
            <w:pPr>
              <w:pStyle w:val="Body"/>
              <w:spacing w:before="10" w:after="10"/>
            </w:pPr>
            <w:r w:rsidRPr="00E6110F">
              <w:t>Queensland Gas Company</w:t>
            </w:r>
          </w:p>
        </w:tc>
      </w:tr>
      <w:tr w:rsidR="007B3DC4" w:rsidRPr="00E6110F" w14:paraId="19D4A562" w14:textId="77777777" w:rsidTr="00726719">
        <w:trPr>
          <w:trHeight w:val="84"/>
        </w:trPr>
        <w:tc>
          <w:tcPr>
            <w:tcW w:w="2127" w:type="dxa"/>
          </w:tcPr>
          <w:p w14:paraId="4AE609F1" w14:textId="77777777" w:rsidR="007B3DC4" w:rsidRPr="00E6110F" w:rsidRDefault="007B3DC4" w:rsidP="007B3DC4">
            <w:pPr>
              <w:pStyle w:val="Body"/>
              <w:spacing w:before="10" w:after="10"/>
            </w:pPr>
            <w:r w:rsidRPr="00E6110F">
              <w:t>Qld</w:t>
            </w:r>
          </w:p>
        </w:tc>
        <w:tc>
          <w:tcPr>
            <w:tcW w:w="7087" w:type="dxa"/>
          </w:tcPr>
          <w:p w14:paraId="761835CB" w14:textId="77777777" w:rsidR="007B3DC4" w:rsidRPr="00E6110F" w:rsidRDefault="007B3DC4" w:rsidP="007B3DC4">
            <w:pPr>
              <w:pStyle w:val="Body"/>
              <w:spacing w:before="10" w:after="10"/>
            </w:pPr>
            <w:r w:rsidRPr="00E6110F">
              <w:t>Queensland</w:t>
            </w:r>
          </w:p>
        </w:tc>
      </w:tr>
      <w:tr w:rsidR="007B3DC4" w:rsidRPr="00E6110F" w14:paraId="7E2CA3A5" w14:textId="77777777" w:rsidTr="00726719">
        <w:trPr>
          <w:trHeight w:val="84"/>
        </w:trPr>
        <w:tc>
          <w:tcPr>
            <w:tcW w:w="2127" w:type="dxa"/>
          </w:tcPr>
          <w:p w14:paraId="0DD9652A" w14:textId="77777777" w:rsidR="007B3DC4" w:rsidRPr="00E6110F" w:rsidRDefault="007B3DC4" w:rsidP="007B3DC4">
            <w:pPr>
              <w:pStyle w:val="Body"/>
              <w:spacing w:before="10" w:after="10"/>
            </w:pPr>
            <w:r w:rsidRPr="00E6110F">
              <w:t>QWC</w:t>
            </w:r>
          </w:p>
        </w:tc>
        <w:tc>
          <w:tcPr>
            <w:tcW w:w="7087" w:type="dxa"/>
          </w:tcPr>
          <w:p w14:paraId="680AB773" w14:textId="77777777" w:rsidR="007B3DC4" w:rsidRPr="00E6110F" w:rsidRDefault="007B3DC4" w:rsidP="007B3DC4">
            <w:pPr>
              <w:pStyle w:val="Body"/>
              <w:spacing w:before="10" w:after="10"/>
            </w:pPr>
            <w:r w:rsidRPr="00E6110F">
              <w:t>Queensland Water Commission</w:t>
            </w:r>
          </w:p>
        </w:tc>
      </w:tr>
      <w:tr w:rsidR="007B3DC4" w:rsidRPr="00E6110F" w14:paraId="35BE7A19" w14:textId="77777777" w:rsidTr="00726719">
        <w:trPr>
          <w:trHeight w:val="84"/>
        </w:trPr>
        <w:tc>
          <w:tcPr>
            <w:tcW w:w="2127" w:type="dxa"/>
          </w:tcPr>
          <w:p w14:paraId="790CC8B9" w14:textId="77777777" w:rsidR="007B3DC4" w:rsidRPr="00E6110F" w:rsidRDefault="007B3DC4" w:rsidP="007B3DC4">
            <w:pPr>
              <w:pStyle w:val="Body"/>
              <w:spacing w:before="10" w:after="10"/>
            </w:pPr>
            <w:r w:rsidRPr="00E6110F">
              <w:t>US EPA</w:t>
            </w:r>
          </w:p>
        </w:tc>
        <w:tc>
          <w:tcPr>
            <w:tcW w:w="7087" w:type="dxa"/>
          </w:tcPr>
          <w:p w14:paraId="7A7D58A4" w14:textId="77777777" w:rsidR="007B3DC4" w:rsidRPr="00E6110F" w:rsidRDefault="007B3DC4" w:rsidP="007B3DC4">
            <w:pPr>
              <w:pStyle w:val="Body"/>
              <w:spacing w:before="10" w:after="10"/>
            </w:pPr>
            <w:r w:rsidRPr="00E6110F">
              <w:t>United States</w:t>
            </w:r>
            <w:r w:rsidRPr="00E6110F">
              <w:rPr>
                <w:noProof/>
                <w:sz w:val="22"/>
              </w:rPr>
              <w:t xml:space="preserve"> </w:t>
            </w:r>
            <w:r w:rsidRPr="00E6110F">
              <w:t>Environmental Protection Agency</w:t>
            </w:r>
          </w:p>
        </w:tc>
      </w:tr>
    </w:tbl>
    <w:p w14:paraId="2F27AA1A" w14:textId="77777777" w:rsidR="00F400AD" w:rsidRPr="00E6110F" w:rsidRDefault="00F400AD">
      <w:pPr>
        <w:rPr>
          <w:rFonts w:ascii="Calibri" w:hAnsi="Calibri" w:cs="Calibri"/>
          <w:color w:val="000000"/>
          <w:sz w:val="18"/>
          <w:szCs w:val="18"/>
          <w:lang w:val="en-GB"/>
        </w:rPr>
      </w:pPr>
      <w:r w:rsidRPr="00E6110F">
        <w:br w:type="page"/>
      </w:r>
    </w:p>
    <w:p w14:paraId="1FB5669D" w14:textId="77777777" w:rsidR="00726719" w:rsidRPr="00E6110F" w:rsidRDefault="00726719" w:rsidP="00F400AD">
      <w:pPr>
        <w:pStyle w:val="H1"/>
      </w:pPr>
      <w:bookmarkStart w:id="3" w:name="_Toc351121191"/>
      <w:bookmarkStart w:id="4" w:name="_Toc409431712"/>
      <w:bookmarkStart w:id="5" w:name="_Toc413683947"/>
      <w:bookmarkStart w:id="6" w:name="_Toc432618723"/>
      <w:r w:rsidRPr="00E6110F">
        <w:t>Glossary</w:t>
      </w:r>
      <w:bookmarkEnd w:id="3"/>
      <w:bookmarkEnd w:id="4"/>
      <w:bookmarkEnd w:id="5"/>
      <w:bookmarkEnd w:id="6"/>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726719" w:rsidRPr="00E6110F" w14:paraId="26C541D8" w14:textId="77777777" w:rsidTr="00726719">
        <w:trPr>
          <w:tblHeader/>
        </w:trPr>
        <w:tc>
          <w:tcPr>
            <w:tcW w:w="2268" w:type="dxa"/>
            <w:shd w:val="clear" w:color="auto" w:fill="C6D9F1"/>
          </w:tcPr>
          <w:p w14:paraId="0D2E4D3C" w14:textId="77777777" w:rsidR="00726719" w:rsidRPr="00E6110F" w:rsidRDefault="00726719" w:rsidP="00B9544F">
            <w:pPr>
              <w:pStyle w:val="Body"/>
              <w:rPr>
                <w:b/>
              </w:rPr>
            </w:pPr>
            <w:r w:rsidRPr="00E6110F">
              <w:rPr>
                <w:b/>
              </w:rPr>
              <w:t>Term</w:t>
            </w:r>
          </w:p>
        </w:tc>
        <w:tc>
          <w:tcPr>
            <w:tcW w:w="6946" w:type="dxa"/>
            <w:shd w:val="clear" w:color="auto" w:fill="C6D9F1"/>
          </w:tcPr>
          <w:p w14:paraId="4455B31D" w14:textId="77777777" w:rsidR="00726719" w:rsidRPr="00E6110F" w:rsidRDefault="00726719" w:rsidP="00B9544F">
            <w:pPr>
              <w:pStyle w:val="Body"/>
              <w:rPr>
                <w:b/>
              </w:rPr>
            </w:pPr>
            <w:r w:rsidRPr="00E6110F">
              <w:rPr>
                <w:b/>
              </w:rPr>
              <w:t>Description</w:t>
            </w:r>
          </w:p>
        </w:tc>
      </w:tr>
      <w:tr w:rsidR="00726719" w:rsidRPr="00E6110F" w14:paraId="6D0CC951" w14:textId="77777777" w:rsidTr="00726719">
        <w:tc>
          <w:tcPr>
            <w:tcW w:w="2268" w:type="dxa"/>
          </w:tcPr>
          <w:p w14:paraId="008C591D" w14:textId="77777777" w:rsidR="00726719" w:rsidRPr="00E6110F" w:rsidRDefault="00726719" w:rsidP="00B9544F">
            <w:pPr>
              <w:pStyle w:val="Body"/>
              <w:rPr>
                <w:rFonts w:eastAsia="Times New Roman"/>
                <w:lang w:eastAsia="en-AU"/>
              </w:rPr>
            </w:pPr>
            <w:r w:rsidRPr="00E6110F">
              <w:rPr>
                <w:rFonts w:eastAsia="Times New Roman"/>
                <w:lang w:eastAsia="en-AU"/>
              </w:rPr>
              <w:t>Aquifer</w:t>
            </w:r>
          </w:p>
        </w:tc>
        <w:tc>
          <w:tcPr>
            <w:tcW w:w="6946" w:type="dxa"/>
          </w:tcPr>
          <w:p w14:paraId="23436F2D" w14:textId="77777777" w:rsidR="00726719" w:rsidRPr="00E6110F" w:rsidRDefault="00726719" w:rsidP="00B9544F">
            <w:pPr>
              <w:pStyle w:val="Body"/>
              <w:rPr>
                <w:rFonts w:eastAsia="Times New Roman"/>
                <w:lang w:eastAsia="en-AU"/>
              </w:rPr>
            </w:pPr>
            <w:r w:rsidRPr="00E6110F">
              <w:rPr>
                <w:rFonts w:eastAsia="Times New Roman"/>
                <w:lang w:eastAsia="en-AU"/>
              </w:rPr>
              <w:t>Rock or sediment in formation, group of formations or part of a formation, which is saturated and sufficiently permeable to transmit quantities of water to wells and springs</w:t>
            </w:r>
          </w:p>
        </w:tc>
      </w:tr>
      <w:tr w:rsidR="00726719" w:rsidRPr="00E6110F" w14:paraId="7437A609" w14:textId="77777777" w:rsidTr="00726719">
        <w:tc>
          <w:tcPr>
            <w:tcW w:w="2268" w:type="dxa"/>
          </w:tcPr>
          <w:p w14:paraId="1E942812" w14:textId="77777777" w:rsidR="00726719" w:rsidRPr="00E6110F" w:rsidRDefault="00726719" w:rsidP="00B9544F">
            <w:pPr>
              <w:pStyle w:val="Body"/>
              <w:rPr>
                <w:rFonts w:eastAsia="Times New Roman"/>
                <w:lang w:eastAsia="en-AU"/>
              </w:rPr>
            </w:pPr>
            <w:r w:rsidRPr="00E6110F">
              <w:rPr>
                <w:rFonts w:eastAsia="Times New Roman"/>
                <w:lang w:eastAsia="en-AU"/>
              </w:rPr>
              <w:t>Aquitard</w:t>
            </w:r>
          </w:p>
        </w:tc>
        <w:tc>
          <w:tcPr>
            <w:tcW w:w="6946" w:type="dxa"/>
          </w:tcPr>
          <w:p w14:paraId="34D1EB2B" w14:textId="77777777" w:rsidR="00726719" w:rsidRPr="00E6110F" w:rsidRDefault="00726719" w:rsidP="00EB3023">
            <w:pPr>
              <w:pStyle w:val="Body"/>
              <w:rPr>
                <w:rFonts w:eastAsia="Times New Roman"/>
                <w:lang w:eastAsia="en-AU"/>
              </w:rPr>
            </w:pPr>
            <w:r w:rsidRPr="00E6110F">
              <w:rPr>
                <w:rFonts w:eastAsia="Times New Roman"/>
                <w:lang w:eastAsia="en-AU"/>
              </w:rPr>
              <w:t>A saturated geological unit that is less permeable than an aquifer and incapable of transmitting useful quantities of water. Aquitards often form a confining layer over aquifer</w:t>
            </w:r>
            <w:r w:rsidR="00EB3023" w:rsidRPr="00E6110F">
              <w:rPr>
                <w:rFonts w:eastAsia="Times New Roman"/>
                <w:lang w:eastAsia="en-AU"/>
              </w:rPr>
              <w:t>s</w:t>
            </w:r>
          </w:p>
        </w:tc>
      </w:tr>
      <w:tr w:rsidR="00726719" w:rsidRPr="00E6110F" w14:paraId="6178EA02" w14:textId="77777777" w:rsidTr="00726719">
        <w:tc>
          <w:tcPr>
            <w:tcW w:w="2268" w:type="dxa"/>
          </w:tcPr>
          <w:p w14:paraId="3C3722BB" w14:textId="77777777" w:rsidR="00726719" w:rsidRPr="00E6110F" w:rsidRDefault="00726719" w:rsidP="00B9544F">
            <w:pPr>
              <w:pStyle w:val="Body"/>
              <w:rPr>
                <w:rFonts w:eastAsia="Times New Roman"/>
                <w:lang w:eastAsia="en-AU"/>
              </w:rPr>
            </w:pPr>
            <w:r w:rsidRPr="00E6110F">
              <w:rPr>
                <w:rFonts w:eastAsia="Times New Roman"/>
                <w:lang w:eastAsia="en-AU"/>
              </w:rPr>
              <w:t>Cleats</w:t>
            </w:r>
          </w:p>
        </w:tc>
        <w:tc>
          <w:tcPr>
            <w:tcW w:w="6946" w:type="dxa"/>
          </w:tcPr>
          <w:p w14:paraId="2A3C2C36" w14:textId="77777777" w:rsidR="00726719" w:rsidRPr="00E6110F" w:rsidRDefault="00726719" w:rsidP="00B9544F">
            <w:pPr>
              <w:pStyle w:val="Body"/>
              <w:rPr>
                <w:rFonts w:eastAsia="Times New Roman"/>
                <w:lang w:eastAsia="en-AU"/>
              </w:rPr>
            </w:pPr>
            <w:r w:rsidRPr="00E6110F">
              <w:rPr>
                <w:rFonts w:eastAsia="Times New Roman"/>
                <w:lang w:eastAsia="en-AU"/>
              </w:rPr>
              <w:t>Cleats are natural fractures in coal. They usually occur in two sets that are perpendicular to one another and perpendicular to bedding.  The cleats in one direction form first and exhibit a high level of continuity.  These are called “face cleats”.  Cleats perpendicular to face cleats are called “butt cleats”</w:t>
            </w:r>
          </w:p>
        </w:tc>
      </w:tr>
      <w:tr w:rsidR="00726719" w:rsidRPr="00E6110F" w14:paraId="52C5DDA2" w14:textId="77777777" w:rsidTr="00726719">
        <w:tc>
          <w:tcPr>
            <w:tcW w:w="2268" w:type="dxa"/>
          </w:tcPr>
          <w:p w14:paraId="76B6391F" w14:textId="77777777" w:rsidR="00726719" w:rsidRPr="00E6110F" w:rsidRDefault="00726719" w:rsidP="00B9544F">
            <w:pPr>
              <w:pStyle w:val="Body"/>
              <w:rPr>
                <w:rFonts w:eastAsia="Times New Roman"/>
                <w:lang w:eastAsia="en-AU"/>
              </w:rPr>
            </w:pPr>
            <w:r w:rsidRPr="00E6110F">
              <w:rPr>
                <w:rFonts w:eastAsia="Times New Roman"/>
                <w:lang w:eastAsia="en-AU"/>
              </w:rPr>
              <w:t>Coal measure</w:t>
            </w:r>
          </w:p>
        </w:tc>
        <w:tc>
          <w:tcPr>
            <w:tcW w:w="6946" w:type="dxa"/>
          </w:tcPr>
          <w:p w14:paraId="47BA57C4" w14:textId="77777777" w:rsidR="005574E1" w:rsidRPr="00E6110F" w:rsidRDefault="00726719">
            <w:pPr>
              <w:pStyle w:val="Body"/>
              <w:rPr>
                <w:rFonts w:eastAsia="Times New Roman"/>
                <w:lang w:eastAsia="en-AU"/>
              </w:rPr>
            </w:pPr>
            <w:r w:rsidRPr="00E6110F">
              <w:rPr>
                <w:rFonts w:eastAsia="Times New Roman"/>
                <w:lang w:eastAsia="en-AU"/>
              </w:rPr>
              <w:t xml:space="preserve">Geological strata of the </w:t>
            </w:r>
            <w:r w:rsidR="00EB3023" w:rsidRPr="00E6110F">
              <w:rPr>
                <w:rFonts w:eastAsia="Times New Roman"/>
                <w:lang w:eastAsia="en-AU"/>
              </w:rPr>
              <w:t>C</w:t>
            </w:r>
            <w:r w:rsidRPr="00E6110F">
              <w:rPr>
                <w:rFonts w:eastAsia="Times New Roman"/>
                <w:lang w:eastAsia="en-AU"/>
              </w:rPr>
              <w:t xml:space="preserve">arboniferous </w:t>
            </w:r>
            <w:r w:rsidR="00EB3023" w:rsidRPr="00E6110F">
              <w:rPr>
                <w:rFonts w:eastAsia="Times New Roman"/>
                <w:lang w:eastAsia="en-AU"/>
              </w:rPr>
              <w:t xml:space="preserve">or Permian </w:t>
            </w:r>
            <w:r w:rsidRPr="00E6110F">
              <w:rPr>
                <w:rFonts w:eastAsia="Times New Roman"/>
                <w:lang w:eastAsia="en-AU"/>
              </w:rPr>
              <w:t>period</w:t>
            </w:r>
            <w:r w:rsidR="00EB3023" w:rsidRPr="00E6110F">
              <w:rPr>
                <w:rFonts w:eastAsia="Times New Roman"/>
                <w:lang w:eastAsia="en-AU"/>
              </w:rPr>
              <w:t>s</w:t>
            </w:r>
            <w:r w:rsidRPr="00E6110F">
              <w:rPr>
                <w:rFonts w:eastAsia="Times New Roman"/>
                <w:lang w:eastAsia="en-AU"/>
              </w:rPr>
              <w:t xml:space="preserve"> usually containing coal deposits</w:t>
            </w:r>
          </w:p>
        </w:tc>
      </w:tr>
      <w:tr w:rsidR="00726719" w:rsidRPr="00E6110F" w14:paraId="70EC11C4" w14:textId="77777777" w:rsidTr="00726719">
        <w:tc>
          <w:tcPr>
            <w:tcW w:w="2268" w:type="dxa"/>
          </w:tcPr>
          <w:p w14:paraId="0BD46B1E" w14:textId="77777777" w:rsidR="00726719" w:rsidRPr="00E6110F" w:rsidRDefault="00726719" w:rsidP="00B9544F">
            <w:pPr>
              <w:pStyle w:val="Body"/>
              <w:rPr>
                <w:rFonts w:eastAsia="Times New Roman"/>
                <w:lang w:eastAsia="en-AU"/>
              </w:rPr>
            </w:pPr>
            <w:r w:rsidRPr="00E6110F">
              <w:rPr>
                <w:rFonts w:eastAsia="Times New Roman"/>
                <w:lang w:eastAsia="en-AU"/>
              </w:rPr>
              <w:t>Coal seam</w:t>
            </w:r>
          </w:p>
        </w:tc>
        <w:tc>
          <w:tcPr>
            <w:tcW w:w="6946" w:type="dxa"/>
          </w:tcPr>
          <w:p w14:paraId="6F1E1A83" w14:textId="77777777" w:rsidR="00726719" w:rsidRPr="00E6110F" w:rsidRDefault="00726719" w:rsidP="00B9544F">
            <w:pPr>
              <w:pStyle w:val="Body"/>
              <w:rPr>
                <w:rFonts w:eastAsia="Times New Roman"/>
                <w:lang w:eastAsia="en-AU"/>
              </w:rPr>
            </w:pPr>
            <w:r w:rsidRPr="00E6110F">
              <w:rPr>
                <w:rFonts w:eastAsia="Times New Roman"/>
                <w:lang w:eastAsia="en-AU"/>
              </w:rPr>
              <w:t>Coal seams or coal deposits are layers containing coal (sedimentary rock). Coal seams store both water and gas. Coal seams generally contain more salty groundwater than aquifers that are used for drinking water or agriculture</w:t>
            </w:r>
          </w:p>
        </w:tc>
      </w:tr>
      <w:tr w:rsidR="00726719" w:rsidRPr="00E6110F" w14:paraId="7587A0F5" w14:textId="77777777" w:rsidTr="0072671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2B7287E9" w14:textId="77777777" w:rsidR="00726719" w:rsidRPr="00E6110F" w:rsidRDefault="00726719" w:rsidP="00B9544F">
            <w:pPr>
              <w:pStyle w:val="Body"/>
              <w:rPr>
                <w:rFonts w:eastAsia="Times New Roman"/>
                <w:lang w:eastAsia="en-AU"/>
              </w:rPr>
            </w:pPr>
            <w:r w:rsidRPr="00E6110F">
              <w:rPr>
                <w:rFonts w:eastAsia="Times New Roman"/>
                <w:lang w:eastAsia="en-AU"/>
              </w:rPr>
              <w:t>Coal seam gas</w:t>
            </w:r>
          </w:p>
        </w:tc>
        <w:tc>
          <w:tcPr>
            <w:tcW w:w="6946" w:type="dxa"/>
            <w:tcBorders>
              <w:top w:val="nil"/>
              <w:left w:val="nil"/>
              <w:bottom w:val="single" w:sz="4" w:space="0" w:color="auto"/>
              <w:right w:val="single" w:sz="4" w:space="0" w:color="auto"/>
            </w:tcBorders>
            <w:shd w:val="clear" w:color="auto" w:fill="auto"/>
          </w:tcPr>
          <w:p w14:paraId="63D4CB49" w14:textId="77777777" w:rsidR="00726719" w:rsidRPr="00E6110F" w:rsidRDefault="00726719" w:rsidP="00B9544F">
            <w:pPr>
              <w:pStyle w:val="Body"/>
            </w:pPr>
            <w:r w:rsidRPr="00E6110F">
              <w:rPr>
                <w:rFonts w:eastAsia="Times New Roman"/>
                <w:lang w:eastAsia="en-AU"/>
              </w:rPr>
              <w:t>A form of natural gas (generally 95 to 97% pure methane, CH</w:t>
            </w:r>
            <w:r w:rsidRPr="00E6110F">
              <w:rPr>
                <w:rFonts w:eastAsia="Times New Roman"/>
                <w:vertAlign w:val="subscript"/>
                <w:lang w:eastAsia="en-AU"/>
              </w:rPr>
              <w:t>4</w:t>
            </w:r>
            <w:r w:rsidRPr="00E6110F">
              <w:rPr>
                <w:rFonts w:eastAsia="Times New Roman"/>
                <w:lang w:eastAsia="en-AU"/>
              </w:rPr>
              <w:t>) typically extracted from permeable coal seams at depths of 300 to 1000 m Also called coal seam methane (CSM) or coalbed methane (CBM).</w:t>
            </w:r>
          </w:p>
        </w:tc>
      </w:tr>
      <w:tr w:rsidR="00726719" w:rsidRPr="00E6110F" w14:paraId="6EEBCA74" w14:textId="77777777" w:rsidTr="00726719">
        <w:tc>
          <w:tcPr>
            <w:tcW w:w="2268" w:type="dxa"/>
          </w:tcPr>
          <w:p w14:paraId="2BF1C1CE" w14:textId="77777777" w:rsidR="00726719" w:rsidRPr="00E6110F" w:rsidRDefault="00726719" w:rsidP="00B9544F">
            <w:pPr>
              <w:pStyle w:val="Body"/>
              <w:rPr>
                <w:rFonts w:eastAsia="Times New Roman"/>
                <w:lang w:eastAsia="en-AU"/>
              </w:rPr>
            </w:pPr>
            <w:r w:rsidRPr="00E6110F">
              <w:rPr>
                <w:rFonts w:eastAsia="Times New Roman"/>
                <w:lang w:eastAsia="en-AU"/>
              </w:rPr>
              <w:t>Confined aquifer</w:t>
            </w:r>
          </w:p>
        </w:tc>
        <w:tc>
          <w:tcPr>
            <w:tcW w:w="6946" w:type="dxa"/>
          </w:tcPr>
          <w:p w14:paraId="74A4BCCC" w14:textId="77777777" w:rsidR="00726719" w:rsidRPr="00E6110F" w:rsidRDefault="002E7E2B" w:rsidP="00B9544F">
            <w:pPr>
              <w:pStyle w:val="Body"/>
              <w:rPr>
                <w:rFonts w:eastAsia="Times New Roman"/>
                <w:lang w:eastAsia="en-AU"/>
              </w:rPr>
            </w:pPr>
            <w:r w:rsidRPr="00E6110F">
              <w:rPr>
                <w:rFonts w:eastAsia="Times New Roman"/>
                <w:lang w:eastAsia="en-AU"/>
              </w:rPr>
              <w:t>An aquifer that is isolated from the atmosphere by an impermeable layer. Pressure in confined aquifers is generally greater than atmospheric pressure</w:t>
            </w:r>
          </w:p>
        </w:tc>
      </w:tr>
      <w:tr w:rsidR="000A2A48" w:rsidRPr="00E6110F" w14:paraId="2E19DB60" w14:textId="77777777" w:rsidTr="00726719">
        <w:tc>
          <w:tcPr>
            <w:tcW w:w="2268" w:type="dxa"/>
          </w:tcPr>
          <w:p w14:paraId="64AE94C7" w14:textId="18B7802D" w:rsidR="000A2A48" w:rsidRPr="00E6110F" w:rsidRDefault="000A2A48" w:rsidP="00A03846">
            <w:pPr>
              <w:pStyle w:val="Body"/>
              <w:rPr>
                <w:rFonts w:eastAsia="Times New Roman"/>
                <w:lang w:eastAsia="en-AU"/>
              </w:rPr>
            </w:pPr>
            <w:r>
              <w:rPr>
                <w:rFonts w:eastAsia="Times New Roman"/>
                <w:lang w:eastAsia="en-AU"/>
              </w:rPr>
              <w:t>Deeper groundwater</w:t>
            </w:r>
          </w:p>
        </w:tc>
        <w:tc>
          <w:tcPr>
            <w:tcW w:w="6946" w:type="dxa"/>
          </w:tcPr>
          <w:p w14:paraId="188E81E5" w14:textId="36E816ED" w:rsidR="000A2A48" w:rsidRPr="00E6110F" w:rsidRDefault="000A2A48" w:rsidP="00C21E74">
            <w:pPr>
              <w:pStyle w:val="Body"/>
              <w:rPr>
                <w:rFonts w:eastAsia="Times New Roman"/>
                <w:lang w:eastAsia="en-AU"/>
              </w:rPr>
            </w:pPr>
            <w:r>
              <w:rPr>
                <w:rFonts w:eastAsia="Times New Roman"/>
                <w:lang w:eastAsia="en-AU"/>
              </w:rPr>
              <w:t>W</w:t>
            </w:r>
            <w:r w:rsidRPr="000A2A48">
              <w:rPr>
                <w:rFonts w:eastAsia="Times New Roman"/>
                <w:lang w:eastAsia="en-AU"/>
              </w:rPr>
              <w:t xml:space="preserve">ater bearing aquifers, including coal </w:t>
            </w:r>
            <w:r w:rsidR="00C21E74" w:rsidRPr="000A2A48">
              <w:rPr>
                <w:rFonts w:eastAsia="Times New Roman"/>
                <w:lang w:eastAsia="en-AU"/>
              </w:rPr>
              <w:t>formations</w:t>
            </w:r>
            <w:r w:rsidR="00C21E74">
              <w:rPr>
                <w:rFonts w:eastAsia="Times New Roman"/>
                <w:lang w:eastAsia="en-AU"/>
              </w:rPr>
              <w:t>, which</w:t>
            </w:r>
            <w:r>
              <w:rPr>
                <w:rFonts w:eastAsia="Times New Roman"/>
                <w:lang w:eastAsia="en-AU"/>
              </w:rPr>
              <w:t xml:space="preserve"> are generally confined by an impermeable layer (aquitard)</w:t>
            </w:r>
            <w:r w:rsidR="004A71A5">
              <w:rPr>
                <w:rFonts w:eastAsia="Times New Roman"/>
                <w:lang w:eastAsia="en-AU"/>
              </w:rPr>
              <w:t>. They are</w:t>
            </w:r>
            <w:r>
              <w:rPr>
                <w:rFonts w:eastAsia="Times New Roman"/>
                <w:lang w:eastAsia="en-AU"/>
              </w:rPr>
              <w:t xml:space="preserve"> unconfined where the sediments outcrop</w:t>
            </w:r>
            <w:r w:rsidR="004A71A5">
              <w:rPr>
                <w:rFonts w:eastAsia="Times New Roman"/>
                <w:lang w:eastAsia="en-AU"/>
              </w:rPr>
              <w:t>.</w:t>
            </w:r>
            <w:r w:rsidR="00C21E74">
              <w:rPr>
                <w:rFonts w:eastAsia="Times New Roman"/>
                <w:lang w:eastAsia="en-AU"/>
              </w:rPr>
              <w:t xml:space="preserve"> The potential chemical contamination source for deeper groundwater is several hundred meters deep and associated with the coal seam formation targeted for hydraulic fracturing</w:t>
            </w:r>
          </w:p>
        </w:tc>
      </w:tr>
      <w:tr w:rsidR="00A03846" w:rsidRPr="00E6110F" w14:paraId="6497E1D4" w14:textId="77777777" w:rsidTr="00726719">
        <w:tc>
          <w:tcPr>
            <w:tcW w:w="2268" w:type="dxa"/>
          </w:tcPr>
          <w:p w14:paraId="6FEBC3E4" w14:textId="77777777" w:rsidR="00A03846" w:rsidRPr="00E6110F" w:rsidRDefault="00A03846" w:rsidP="00B9544F">
            <w:pPr>
              <w:pStyle w:val="Body"/>
              <w:rPr>
                <w:rFonts w:eastAsia="Times New Roman"/>
                <w:lang w:eastAsia="en-AU"/>
              </w:rPr>
            </w:pPr>
            <w:r w:rsidRPr="00E6110F">
              <w:rPr>
                <w:rFonts w:eastAsia="Times New Roman"/>
                <w:lang w:eastAsia="en-AU"/>
              </w:rPr>
              <w:t>Depressurisation</w:t>
            </w:r>
          </w:p>
        </w:tc>
        <w:tc>
          <w:tcPr>
            <w:tcW w:w="6946" w:type="dxa"/>
          </w:tcPr>
          <w:p w14:paraId="42C6EDA6" w14:textId="77777777" w:rsidR="00A03846" w:rsidRPr="00E6110F" w:rsidRDefault="00A03846" w:rsidP="00B9544F">
            <w:pPr>
              <w:pStyle w:val="Body"/>
              <w:rPr>
                <w:rFonts w:eastAsia="Times New Roman"/>
                <w:lang w:eastAsia="en-AU"/>
              </w:rPr>
            </w:pPr>
            <w:r w:rsidRPr="00E6110F">
              <w:rPr>
                <w:rFonts w:eastAsia="Times New Roman"/>
                <w:lang w:eastAsia="en-AU"/>
              </w:rPr>
              <w:t>The lowering of static groundwater levels through the partial extraction of available groundwater, usually by means of pumping from one or several groundwater bores</w:t>
            </w:r>
            <w:r w:rsidR="00430AC5" w:rsidRPr="00E6110F">
              <w:rPr>
                <w:rFonts w:eastAsia="Times New Roman"/>
                <w:lang w:eastAsia="en-AU"/>
              </w:rPr>
              <w:t xml:space="preserve"> or gas wells</w:t>
            </w:r>
          </w:p>
        </w:tc>
      </w:tr>
      <w:tr w:rsidR="00A03846" w:rsidRPr="00E6110F" w14:paraId="4450D522" w14:textId="77777777" w:rsidTr="00726719">
        <w:tc>
          <w:tcPr>
            <w:tcW w:w="2268" w:type="dxa"/>
          </w:tcPr>
          <w:p w14:paraId="5880773A" w14:textId="77777777" w:rsidR="00A03846" w:rsidRPr="00E6110F" w:rsidRDefault="00A03846" w:rsidP="00B9544F">
            <w:pPr>
              <w:pStyle w:val="Body"/>
              <w:rPr>
                <w:rFonts w:eastAsia="Times New Roman"/>
                <w:lang w:eastAsia="en-AU"/>
              </w:rPr>
            </w:pPr>
            <w:r w:rsidRPr="00E6110F">
              <w:rPr>
                <w:rFonts w:eastAsia="Times New Roman"/>
                <w:lang w:eastAsia="en-AU"/>
              </w:rPr>
              <w:t>Dewatering</w:t>
            </w:r>
          </w:p>
        </w:tc>
        <w:tc>
          <w:tcPr>
            <w:tcW w:w="6946" w:type="dxa"/>
          </w:tcPr>
          <w:p w14:paraId="536AD3EC" w14:textId="77777777" w:rsidR="00A03846" w:rsidRPr="00E6110F" w:rsidRDefault="00A03846" w:rsidP="00B9544F">
            <w:pPr>
              <w:pStyle w:val="Body"/>
              <w:rPr>
                <w:rFonts w:eastAsia="Times New Roman"/>
                <w:lang w:eastAsia="en-AU"/>
              </w:rPr>
            </w:pPr>
            <w:r w:rsidRPr="00E6110F">
              <w:rPr>
                <w:rFonts w:eastAsia="Times New Roman"/>
                <w:lang w:eastAsia="en-AU"/>
              </w:rPr>
              <w:t>The lowering of static groundwater levels through complete extraction of all readily available groundwater, usually by means of pumping from one or several groundwater bores</w:t>
            </w:r>
            <w:r w:rsidR="00430AC5" w:rsidRPr="00E6110F">
              <w:rPr>
                <w:rFonts w:eastAsia="Times New Roman"/>
                <w:lang w:eastAsia="en-AU"/>
              </w:rPr>
              <w:t xml:space="preserve"> or gas wells</w:t>
            </w:r>
          </w:p>
        </w:tc>
      </w:tr>
      <w:tr w:rsidR="00E513F3" w:rsidRPr="00E6110F" w14:paraId="113DF300" w14:textId="77777777" w:rsidTr="00726719">
        <w:tc>
          <w:tcPr>
            <w:tcW w:w="2268" w:type="dxa"/>
          </w:tcPr>
          <w:p w14:paraId="6C0D4F5E" w14:textId="77777777" w:rsidR="00E513F3" w:rsidRPr="00E6110F" w:rsidRDefault="00E513F3" w:rsidP="00B9544F">
            <w:pPr>
              <w:pStyle w:val="Body"/>
              <w:rPr>
                <w:rFonts w:eastAsia="Times New Roman"/>
                <w:lang w:eastAsia="en-AU"/>
              </w:rPr>
            </w:pPr>
            <w:r w:rsidRPr="00E6110F">
              <w:rPr>
                <w:rFonts w:eastAsia="Times New Roman"/>
                <w:lang w:eastAsia="en-AU"/>
              </w:rPr>
              <w:t>Diffusion</w:t>
            </w:r>
          </w:p>
        </w:tc>
        <w:tc>
          <w:tcPr>
            <w:tcW w:w="6946" w:type="dxa"/>
          </w:tcPr>
          <w:p w14:paraId="55AAB711" w14:textId="77777777" w:rsidR="00E513F3" w:rsidRPr="00E6110F" w:rsidRDefault="00E0632E" w:rsidP="007D64CD">
            <w:pPr>
              <w:pStyle w:val="Body"/>
              <w:rPr>
                <w:rFonts w:eastAsia="Times New Roman"/>
                <w:lang w:eastAsia="en-AU"/>
              </w:rPr>
            </w:pPr>
            <w:r w:rsidRPr="00E6110F">
              <w:rPr>
                <w:rFonts w:eastAsia="Times New Roman"/>
                <w:lang w:eastAsia="en-AU"/>
              </w:rPr>
              <w:t>The process by which ionic or molecular constituents move under the influence of their kinetic activity in the direction of their concentration gradient</w:t>
            </w:r>
          </w:p>
        </w:tc>
      </w:tr>
      <w:tr w:rsidR="00A03846" w:rsidRPr="00E6110F" w14:paraId="472B45BA" w14:textId="77777777" w:rsidTr="00726719">
        <w:tc>
          <w:tcPr>
            <w:tcW w:w="2268" w:type="dxa"/>
          </w:tcPr>
          <w:p w14:paraId="6125FC47" w14:textId="77777777" w:rsidR="00A03846" w:rsidRPr="00E6110F" w:rsidRDefault="00A03846" w:rsidP="00B9544F">
            <w:pPr>
              <w:pStyle w:val="Body"/>
              <w:rPr>
                <w:rFonts w:eastAsia="Times New Roman"/>
                <w:lang w:eastAsia="en-AU"/>
              </w:rPr>
            </w:pPr>
            <w:r w:rsidRPr="00E6110F">
              <w:rPr>
                <w:rFonts w:eastAsia="Times New Roman"/>
                <w:lang w:eastAsia="en-AU"/>
              </w:rPr>
              <w:t>Dispersion or hydrodynamic dispersion</w:t>
            </w:r>
          </w:p>
        </w:tc>
        <w:tc>
          <w:tcPr>
            <w:tcW w:w="6946" w:type="dxa"/>
          </w:tcPr>
          <w:p w14:paraId="094C176C" w14:textId="77777777" w:rsidR="00A03846" w:rsidRPr="00E6110F" w:rsidRDefault="00A03846" w:rsidP="00B9544F">
            <w:pPr>
              <w:pStyle w:val="Body"/>
              <w:rPr>
                <w:rFonts w:eastAsia="Times New Roman"/>
                <w:lang w:eastAsia="en-AU"/>
              </w:rPr>
            </w:pPr>
            <w:r w:rsidRPr="00E6110F">
              <w:rPr>
                <w:rFonts w:eastAsia="Times New Roman"/>
                <w:lang w:eastAsia="en-AU"/>
              </w:rPr>
              <w:t>The spread of solutes, colloids, particulate matter, or heat by the combined processes of diffusion and physical mixing of fluids along the path of groundwater flow. This leads to a reduction of concentration at the macroscopic scale</w:t>
            </w:r>
          </w:p>
        </w:tc>
      </w:tr>
      <w:tr w:rsidR="00A03846" w:rsidRPr="00E6110F" w14:paraId="482325DA" w14:textId="77777777" w:rsidTr="00726719">
        <w:tc>
          <w:tcPr>
            <w:tcW w:w="2268" w:type="dxa"/>
          </w:tcPr>
          <w:p w14:paraId="621ED2F3" w14:textId="77777777" w:rsidR="00A03846" w:rsidRPr="00E6110F" w:rsidRDefault="00A03846" w:rsidP="00B9544F">
            <w:pPr>
              <w:pStyle w:val="Body"/>
              <w:rPr>
                <w:rFonts w:eastAsia="Times New Roman"/>
                <w:lang w:eastAsia="en-AU"/>
              </w:rPr>
            </w:pPr>
            <w:r w:rsidRPr="00E6110F">
              <w:rPr>
                <w:rFonts w:eastAsia="Times New Roman"/>
                <w:lang w:eastAsia="en-AU"/>
              </w:rPr>
              <w:t>Drawdown</w:t>
            </w:r>
          </w:p>
        </w:tc>
        <w:tc>
          <w:tcPr>
            <w:tcW w:w="6946" w:type="dxa"/>
          </w:tcPr>
          <w:p w14:paraId="538FA113" w14:textId="77777777" w:rsidR="00A03846" w:rsidRPr="00E6110F" w:rsidRDefault="00A03846" w:rsidP="00B9544F">
            <w:pPr>
              <w:pStyle w:val="Body"/>
              <w:rPr>
                <w:rFonts w:eastAsia="Times New Roman"/>
                <w:lang w:eastAsia="en-AU"/>
              </w:rPr>
            </w:pPr>
            <w:r w:rsidRPr="00E6110F">
              <w:rPr>
                <w:rFonts w:eastAsia="Times New Roman"/>
                <w:lang w:eastAsia="en-AU"/>
              </w:rPr>
              <w:t>A lowering of the water table of an unconfined aquifer or of the potentiometric surface of a confined aquifer, typically caused by groundwater extraction</w:t>
            </w:r>
          </w:p>
        </w:tc>
      </w:tr>
      <w:tr w:rsidR="00214AFB" w:rsidRPr="00E6110F" w14:paraId="1A03F866" w14:textId="77777777" w:rsidTr="00726719">
        <w:tc>
          <w:tcPr>
            <w:tcW w:w="2268" w:type="dxa"/>
          </w:tcPr>
          <w:p w14:paraId="3D504727" w14:textId="77777777" w:rsidR="00214AFB" w:rsidRPr="00E6110F" w:rsidRDefault="00214AFB" w:rsidP="00214AFB">
            <w:pPr>
              <w:pStyle w:val="Body"/>
              <w:rPr>
                <w:rFonts w:eastAsia="Times New Roman"/>
                <w:lang w:eastAsia="en-AU"/>
              </w:rPr>
            </w:pPr>
            <w:r w:rsidRPr="00E6110F">
              <w:rPr>
                <w:rFonts w:eastAsia="Times New Roman"/>
                <w:lang w:eastAsia="en-AU"/>
              </w:rPr>
              <w:t>Geomechanical</w:t>
            </w:r>
          </w:p>
        </w:tc>
        <w:tc>
          <w:tcPr>
            <w:tcW w:w="6946" w:type="dxa"/>
          </w:tcPr>
          <w:p w14:paraId="4BC685B3" w14:textId="77777777" w:rsidR="00214AFB" w:rsidRPr="00E6110F" w:rsidRDefault="00214AFB" w:rsidP="00214AFB">
            <w:pPr>
              <w:pStyle w:val="Body"/>
              <w:rPr>
                <w:rFonts w:eastAsia="Times New Roman"/>
                <w:lang w:eastAsia="en-AU"/>
              </w:rPr>
            </w:pPr>
            <w:r w:rsidRPr="00E6110F">
              <w:rPr>
                <w:rFonts w:eastAsia="Times New Roman"/>
                <w:lang w:eastAsia="en-AU"/>
              </w:rPr>
              <w:t>Relating to the movement/expansion/contraction of soil and rock</w:t>
            </w:r>
          </w:p>
        </w:tc>
      </w:tr>
      <w:tr w:rsidR="00214AFB" w:rsidRPr="00E6110F" w14:paraId="2BCDC223" w14:textId="77777777" w:rsidTr="00726719">
        <w:tc>
          <w:tcPr>
            <w:tcW w:w="2268" w:type="dxa"/>
          </w:tcPr>
          <w:p w14:paraId="255D28C3" w14:textId="77777777" w:rsidR="00214AFB" w:rsidRPr="00E6110F" w:rsidRDefault="00214AFB" w:rsidP="00B9544F">
            <w:pPr>
              <w:pStyle w:val="Body"/>
              <w:rPr>
                <w:rFonts w:eastAsia="Times New Roman"/>
                <w:lang w:eastAsia="en-AU"/>
              </w:rPr>
            </w:pPr>
            <w:r w:rsidRPr="00E6110F">
              <w:rPr>
                <w:rFonts w:eastAsia="Times New Roman"/>
                <w:lang w:eastAsia="en-AU"/>
              </w:rPr>
              <w:t>Groundwater</w:t>
            </w:r>
          </w:p>
        </w:tc>
        <w:tc>
          <w:tcPr>
            <w:tcW w:w="6946" w:type="dxa"/>
          </w:tcPr>
          <w:p w14:paraId="01F1942A" w14:textId="77777777" w:rsidR="00214AFB" w:rsidRPr="00E6110F" w:rsidRDefault="00214AFB" w:rsidP="00B9544F">
            <w:pPr>
              <w:pStyle w:val="Body"/>
              <w:rPr>
                <w:rFonts w:eastAsia="Times New Roman"/>
                <w:lang w:eastAsia="en-AU"/>
              </w:rPr>
            </w:pPr>
            <w:r w:rsidRPr="00E6110F">
              <w:rPr>
                <w:rFonts w:eastAsia="Times New Roman"/>
                <w:lang w:eastAsia="en-AU"/>
              </w:rPr>
              <w:t>Water occurring naturally below ground level (whether in an aquifer or other low-permeability material), or water occurring at a place below ground that has been pumped, diverted or released to that place for storage. This does not include water held in underground tanks, pipes or other works</w:t>
            </w:r>
          </w:p>
        </w:tc>
      </w:tr>
      <w:tr w:rsidR="00214AFB" w:rsidRPr="00E6110F" w14:paraId="2B58DFF3" w14:textId="77777777" w:rsidTr="00726719">
        <w:tc>
          <w:tcPr>
            <w:tcW w:w="2268" w:type="dxa"/>
          </w:tcPr>
          <w:p w14:paraId="0F9D7902" w14:textId="77777777" w:rsidR="00214AFB" w:rsidRPr="00E6110F" w:rsidRDefault="00214AFB" w:rsidP="00B9544F">
            <w:pPr>
              <w:pStyle w:val="Body"/>
              <w:rPr>
                <w:rFonts w:eastAsia="Times New Roman"/>
                <w:lang w:eastAsia="en-AU"/>
              </w:rPr>
            </w:pPr>
            <w:r w:rsidRPr="00E6110F">
              <w:rPr>
                <w:rFonts w:eastAsia="Times New Roman"/>
                <w:lang w:eastAsia="en-AU"/>
              </w:rPr>
              <w:t xml:space="preserve">Groundwater dependent ecosystem </w:t>
            </w:r>
          </w:p>
        </w:tc>
        <w:tc>
          <w:tcPr>
            <w:tcW w:w="6946" w:type="dxa"/>
          </w:tcPr>
          <w:p w14:paraId="2738065D" w14:textId="77777777" w:rsidR="00214AFB" w:rsidRPr="00E6110F" w:rsidRDefault="00214AFB" w:rsidP="00B0726C">
            <w:pPr>
              <w:pStyle w:val="Body"/>
              <w:rPr>
                <w:rFonts w:eastAsia="Times New Roman"/>
                <w:lang w:eastAsia="en-AU"/>
              </w:rPr>
            </w:pPr>
            <w:r w:rsidRPr="00E6110F">
              <w:rPr>
                <w:rFonts w:eastAsia="Times New Roman"/>
                <w:lang w:eastAsia="en-AU"/>
              </w:rPr>
              <w:t>Ecosystems that partially or fully rely on groundwater. These include terrestrial vegetation, wetlands, estuarine and near shore marine systems, river base-flows, cave and aquifer ecosystems and terrestrial fauna</w:t>
            </w:r>
          </w:p>
        </w:tc>
      </w:tr>
      <w:tr w:rsidR="00E513F3" w:rsidRPr="00E6110F" w14:paraId="370C11A7" w14:textId="77777777" w:rsidTr="00726719">
        <w:tc>
          <w:tcPr>
            <w:tcW w:w="2268" w:type="dxa"/>
          </w:tcPr>
          <w:p w14:paraId="0B942FAB" w14:textId="77777777" w:rsidR="00E513F3" w:rsidRPr="00E6110F" w:rsidRDefault="00E513F3" w:rsidP="00B9544F">
            <w:pPr>
              <w:pStyle w:val="Body"/>
              <w:rPr>
                <w:rFonts w:eastAsia="Times New Roman"/>
                <w:lang w:eastAsia="en-AU"/>
              </w:rPr>
            </w:pPr>
            <w:r w:rsidRPr="00E6110F">
              <w:rPr>
                <w:rFonts w:eastAsia="Times New Roman"/>
                <w:lang w:eastAsia="en-AU"/>
              </w:rPr>
              <w:t>Groundwater (single phase) flow model</w:t>
            </w:r>
          </w:p>
        </w:tc>
        <w:tc>
          <w:tcPr>
            <w:tcW w:w="6946" w:type="dxa"/>
          </w:tcPr>
          <w:p w14:paraId="4EF5640C" w14:textId="77777777" w:rsidR="00E513F3" w:rsidRPr="00E6110F" w:rsidRDefault="00E0632E" w:rsidP="00E0632E">
            <w:pPr>
              <w:pStyle w:val="Body"/>
              <w:rPr>
                <w:lang w:eastAsia="en-AU"/>
              </w:rPr>
            </w:pPr>
            <w:r w:rsidRPr="00E6110F">
              <w:rPr>
                <w:rFonts w:eastAsia="Times New Roman"/>
                <w:lang w:eastAsia="en-AU"/>
              </w:rPr>
              <w:t>A numerical solution to a partial differential equation used to describe the flow of water in the subsurface. Groundwater flow models involve the flow simulation of a single fluid phase (i.e. water). Common parameters used in groundwater flow models are hydraulic conductivity, specific yield and specific storage</w:t>
            </w:r>
          </w:p>
        </w:tc>
      </w:tr>
      <w:tr w:rsidR="00F6330E" w:rsidRPr="00E6110F" w14:paraId="5C60ACC9" w14:textId="77777777" w:rsidTr="00726719">
        <w:tc>
          <w:tcPr>
            <w:tcW w:w="2268" w:type="dxa"/>
          </w:tcPr>
          <w:p w14:paraId="2ADD2E4E" w14:textId="25BFCEC1" w:rsidR="00F6330E" w:rsidRPr="00E6110F" w:rsidRDefault="00F6330E" w:rsidP="00B9544F">
            <w:pPr>
              <w:pStyle w:val="Body"/>
              <w:rPr>
                <w:rFonts w:eastAsia="Times New Roman"/>
                <w:lang w:eastAsia="en-AU"/>
              </w:rPr>
            </w:pPr>
            <w:r w:rsidRPr="00E6110F">
              <w:rPr>
                <w:szCs w:val="22"/>
                <w:lang w:val="en-AU" w:eastAsia="en-US"/>
              </w:rPr>
              <w:t>Hardness</w:t>
            </w:r>
          </w:p>
        </w:tc>
        <w:tc>
          <w:tcPr>
            <w:tcW w:w="6946" w:type="dxa"/>
          </w:tcPr>
          <w:p w14:paraId="0246420D" w14:textId="03583D3E" w:rsidR="00F6330E" w:rsidRPr="00E6110F" w:rsidRDefault="00F6330E" w:rsidP="00F6330E">
            <w:pPr>
              <w:pStyle w:val="Body"/>
              <w:rPr>
                <w:rFonts w:eastAsia="Times New Roman"/>
                <w:lang w:eastAsia="en-AU"/>
              </w:rPr>
            </w:pPr>
            <w:r>
              <w:rPr>
                <w:szCs w:val="22"/>
                <w:lang w:val="en-AU" w:eastAsia="en-US"/>
              </w:rPr>
              <w:t>Sum of the ions which can precipitate as ‘hard particles’ from water. Sum of Ca</w:t>
            </w:r>
            <w:r w:rsidRPr="00F6330E">
              <w:rPr>
                <w:szCs w:val="22"/>
                <w:vertAlign w:val="superscript"/>
                <w:lang w:val="en-AU" w:eastAsia="en-US"/>
              </w:rPr>
              <w:t>2+</w:t>
            </w:r>
            <w:r>
              <w:rPr>
                <w:szCs w:val="22"/>
                <w:lang w:val="en-AU" w:eastAsia="en-US"/>
              </w:rPr>
              <w:t xml:space="preserve"> and Mg</w:t>
            </w:r>
            <w:r w:rsidRPr="00F6330E">
              <w:rPr>
                <w:szCs w:val="22"/>
                <w:vertAlign w:val="superscript"/>
                <w:lang w:val="en-AU" w:eastAsia="en-US"/>
              </w:rPr>
              <w:t>2+</w:t>
            </w:r>
            <w:r>
              <w:rPr>
                <w:szCs w:val="22"/>
                <w:lang w:val="en-AU" w:eastAsia="en-US"/>
              </w:rPr>
              <w:t>, and sometimes Fe</w:t>
            </w:r>
            <w:r w:rsidRPr="00F6330E">
              <w:rPr>
                <w:szCs w:val="22"/>
                <w:vertAlign w:val="superscript"/>
                <w:lang w:val="en-AU" w:eastAsia="en-US"/>
              </w:rPr>
              <w:t>2+</w:t>
            </w:r>
            <w:r>
              <w:rPr>
                <w:szCs w:val="22"/>
                <w:lang w:val="en-AU" w:eastAsia="en-US"/>
              </w:rPr>
              <w:t>.</w:t>
            </w:r>
          </w:p>
        </w:tc>
      </w:tr>
      <w:tr w:rsidR="00214AFB" w:rsidRPr="00E6110F" w14:paraId="6938060F" w14:textId="77777777" w:rsidTr="00726719">
        <w:tc>
          <w:tcPr>
            <w:tcW w:w="2268" w:type="dxa"/>
          </w:tcPr>
          <w:p w14:paraId="650DFFB8" w14:textId="77777777" w:rsidR="00214AFB" w:rsidRPr="00E6110F" w:rsidRDefault="00214AFB" w:rsidP="00B9544F">
            <w:pPr>
              <w:pStyle w:val="Body"/>
              <w:rPr>
                <w:rFonts w:eastAsia="Times New Roman"/>
                <w:lang w:eastAsia="en-AU"/>
              </w:rPr>
            </w:pPr>
            <w:r w:rsidRPr="00E6110F">
              <w:rPr>
                <w:rFonts w:eastAsia="Times New Roman"/>
                <w:lang w:eastAsia="en-AU"/>
              </w:rPr>
              <w:t xml:space="preserve">Hydraulic conductivity  </w:t>
            </w:r>
          </w:p>
        </w:tc>
        <w:tc>
          <w:tcPr>
            <w:tcW w:w="6946" w:type="dxa"/>
          </w:tcPr>
          <w:p w14:paraId="65181DB1" w14:textId="77777777" w:rsidR="00214AFB" w:rsidRPr="00E6110F" w:rsidRDefault="00214AFB" w:rsidP="002A738B">
            <w:pPr>
              <w:pStyle w:val="Body"/>
              <w:rPr>
                <w:lang w:eastAsia="en-AU"/>
              </w:rPr>
            </w:pPr>
            <w:r w:rsidRPr="00E6110F">
              <w:rPr>
                <w:lang w:eastAsia="en-AU"/>
              </w:rPr>
              <w:t>A coefficient of proportionality describing the rate at which a fluid can move through a permeable medium</w:t>
            </w:r>
          </w:p>
        </w:tc>
      </w:tr>
      <w:tr w:rsidR="00214AFB" w:rsidRPr="00E6110F" w14:paraId="6425D792" w14:textId="77777777" w:rsidTr="00726719">
        <w:tc>
          <w:tcPr>
            <w:tcW w:w="2268" w:type="dxa"/>
          </w:tcPr>
          <w:p w14:paraId="254D69D5" w14:textId="77777777" w:rsidR="00214AFB" w:rsidRPr="00E6110F" w:rsidRDefault="00214AFB" w:rsidP="00B9544F">
            <w:pPr>
              <w:pStyle w:val="Body"/>
              <w:rPr>
                <w:rFonts w:eastAsia="Times New Roman"/>
                <w:lang w:eastAsia="en-AU"/>
              </w:rPr>
            </w:pPr>
            <w:r w:rsidRPr="00E6110F">
              <w:rPr>
                <w:rFonts w:eastAsia="Times New Roman"/>
                <w:lang w:eastAsia="en-AU"/>
              </w:rPr>
              <w:t>Hydraulic fracturing</w:t>
            </w:r>
          </w:p>
        </w:tc>
        <w:tc>
          <w:tcPr>
            <w:tcW w:w="6946" w:type="dxa"/>
          </w:tcPr>
          <w:p w14:paraId="25E1D7F0" w14:textId="77777777" w:rsidR="00214AFB" w:rsidRPr="00E6110F" w:rsidRDefault="00214AFB" w:rsidP="00B9544F">
            <w:pPr>
              <w:pStyle w:val="Body"/>
              <w:rPr>
                <w:rFonts w:eastAsia="Times New Roman"/>
                <w:lang w:eastAsia="en-AU"/>
              </w:rPr>
            </w:pPr>
            <w:r w:rsidRPr="00E6110F">
              <w:rPr>
                <w:lang w:eastAsia="en-AU"/>
              </w:rPr>
              <w:t>Also known as ‘fracking’, ‘fraccing’ or ‘fracture stimulation’, is one process by which hydrocarbon (oil and gas) bearing geological formations are ‘stimulated’ to enhance the flow of hydrocarbons and other fluids towards the well. In most cases is only undertaken where the permeability of the formation is initially insufficient to support sustained flow of gas. The hydraulic fracturing process involves the injection of fluids, gas, proppant and other additives under high pressure into a geological formation to create a conductive fracture. The fracture extends from the well into the coal reservoir, creating a large surface area through which gas and water are produced and then transported to the well via the conductive propped fracture channel</w:t>
            </w:r>
          </w:p>
        </w:tc>
      </w:tr>
      <w:tr w:rsidR="00214AFB" w:rsidRPr="00E6110F" w14:paraId="44B3C862" w14:textId="77777777" w:rsidTr="00726719">
        <w:tc>
          <w:tcPr>
            <w:tcW w:w="2268" w:type="dxa"/>
          </w:tcPr>
          <w:p w14:paraId="1ACBDD86" w14:textId="77777777" w:rsidR="00214AFB" w:rsidRPr="00E6110F" w:rsidRDefault="00214AFB" w:rsidP="00B9544F">
            <w:pPr>
              <w:pStyle w:val="Body"/>
              <w:rPr>
                <w:rFonts w:eastAsia="Times New Roman"/>
                <w:lang w:eastAsia="en-AU"/>
              </w:rPr>
            </w:pPr>
            <w:r w:rsidRPr="00E6110F">
              <w:rPr>
                <w:rFonts w:eastAsia="Times New Roman"/>
                <w:lang w:eastAsia="en-AU"/>
              </w:rPr>
              <w:t>Hydraulic gradient</w:t>
            </w:r>
          </w:p>
        </w:tc>
        <w:tc>
          <w:tcPr>
            <w:tcW w:w="6946" w:type="dxa"/>
          </w:tcPr>
          <w:p w14:paraId="19FE1D39" w14:textId="77777777" w:rsidR="00214AFB" w:rsidRPr="00E6110F" w:rsidRDefault="00214AFB" w:rsidP="00C53A10">
            <w:pPr>
              <w:pStyle w:val="Body"/>
              <w:rPr>
                <w:rFonts w:eastAsia="Times New Roman"/>
                <w:lang w:eastAsia="en-AU"/>
              </w:rPr>
            </w:pPr>
            <w:r w:rsidRPr="00E6110F">
              <w:rPr>
                <w:rFonts w:eastAsia="Times New Roman"/>
                <w:lang w:eastAsia="en-AU"/>
              </w:rPr>
              <w:t>The difference in hydraulic head between different locations within or between hydrostratigraphic units, as indicated by water levels observed in wells constructed in those units</w:t>
            </w:r>
          </w:p>
        </w:tc>
      </w:tr>
      <w:tr w:rsidR="00214AFB" w:rsidRPr="00E6110F" w14:paraId="35CEDAC3" w14:textId="77777777" w:rsidTr="00726719">
        <w:tc>
          <w:tcPr>
            <w:tcW w:w="2268" w:type="dxa"/>
          </w:tcPr>
          <w:p w14:paraId="401B25AD" w14:textId="77777777" w:rsidR="00214AFB" w:rsidRPr="00E6110F" w:rsidRDefault="00214AFB" w:rsidP="00B9544F">
            <w:pPr>
              <w:pStyle w:val="Body"/>
              <w:rPr>
                <w:rFonts w:eastAsia="Times New Roman"/>
                <w:lang w:eastAsia="en-AU"/>
              </w:rPr>
            </w:pPr>
            <w:r w:rsidRPr="00E6110F">
              <w:rPr>
                <w:rFonts w:eastAsia="Times New Roman"/>
                <w:lang w:eastAsia="en-AU"/>
              </w:rPr>
              <w:t>Hydraulic head</w:t>
            </w:r>
          </w:p>
        </w:tc>
        <w:tc>
          <w:tcPr>
            <w:tcW w:w="6946" w:type="dxa"/>
          </w:tcPr>
          <w:p w14:paraId="6C814206" w14:textId="77777777" w:rsidR="00214AFB" w:rsidRPr="00E6110F" w:rsidRDefault="00214AFB" w:rsidP="00B9544F">
            <w:pPr>
              <w:pStyle w:val="Body"/>
              <w:rPr>
                <w:rFonts w:eastAsia="Times New Roman"/>
                <w:lang w:eastAsia="en-AU"/>
              </w:rPr>
            </w:pPr>
            <w:r w:rsidRPr="00E6110F">
              <w:rPr>
                <w:rFonts w:eastAsia="Times New Roman"/>
                <w:lang w:eastAsia="en-AU"/>
              </w:rPr>
              <w:t>The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water table at that location. For a confined aquifer, it is a reflection of the pressure that the groundwater is subject to and will typically manifest in a bore as a water level above the top of the confined aquifer, and in some cases above ground level</w:t>
            </w:r>
          </w:p>
        </w:tc>
      </w:tr>
      <w:tr w:rsidR="00214AFB" w:rsidRPr="00E6110F" w14:paraId="07AD2CE0" w14:textId="77777777" w:rsidTr="00726719">
        <w:tc>
          <w:tcPr>
            <w:tcW w:w="2268" w:type="dxa"/>
          </w:tcPr>
          <w:p w14:paraId="008F2A37" w14:textId="77777777" w:rsidR="00214AFB" w:rsidRPr="00E6110F" w:rsidRDefault="00214AFB" w:rsidP="00B9544F">
            <w:pPr>
              <w:pStyle w:val="Body"/>
              <w:rPr>
                <w:rFonts w:eastAsia="Times New Roman"/>
                <w:lang w:eastAsia="en-AU"/>
              </w:rPr>
            </w:pPr>
            <w:r w:rsidRPr="00E6110F">
              <w:rPr>
                <w:rFonts w:eastAsia="Times New Roman"/>
                <w:lang w:eastAsia="en-AU"/>
              </w:rPr>
              <w:t>Hydrostratigraphic unit</w:t>
            </w:r>
          </w:p>
        </w:tc>
        <w:tc>
          <w:tcPr>
            <w:tcW w:w="6946" w:type="dxa"/>
          </w:tcPr>
          <w:p w14:paraId="0F533F39" w14:textId="77777777" w:rsidR="00214AFB" w:rsidRPr="00E6110F" w:rsidRDefault="00214AFB" w:rsidP="005B05B6">
            <w:pPr>
              <w:pStyle w:val="Body"/>
              <w:rPr>
                <w:rFonts w:eastAsia="Times New Roman"/>
                <w:lang w:eastAsia="en-AU"/>
              </w:rPr>
            </w:pPr>
            <w:r w:rsidRPr="00E6110F">
              <w:rPr>
                <w:rFonts w:eastAsia="Times New Roman"/>
                <w:lang w:eastAsia="en-AU"/>
              </w:rPr>
              <w:t>A formation, part of a formation, or group of formations of significant lateral extent that compose a unit of reasonably distinct (similar) hydrogeologic parameters and responses.</w:t>
            </w:r>
          </w:p>
        </w:tc>
      </w:tr>
      <w:tr w:rsidR="000768A9" w:rsidRPr="00E6110F" w14:paraId="3216FBF4" w14:textId="77777777" w:rsidTr="00726719">
        <w:tc>
          <w:tcPr>
            <w:tcW w:w="2268" w:type="dxa"/>
          </w:tcPr>
          <w:p w14:paraId="76ABA3C1" w14:textId="77777777" w:rsidR="000768A9" w:rsidRPr="00E6110F" w:rsidRDefault="000768A9" w:rsidP="00B9544F">
            <w:pPr>
              <w:pStyle w:val="Body"/>
              <w:rPr>
                <w:rFonts w:eastAsia="Times New Roman"/>
                <w:lang w:eastAsia="en-AU"/>
              </w:rPr>
            </w:pPr>
            <w:r w:rsidRPr="00E6110F">
              <w:rPr>
                <w:rFonts w:eastAsia="Times New Roman"/>
                <w:lang w:eastAsia="en-AU"/>
              </w:rPr>
              <w:t>Imbibition</w:t>
            </w:r>
          </w:p>
        </w:tc>
        <w:tc>
          <w:tcPr>
            <w:tcW w:w="6946" w:type="dxa"/>
          </w:tcPr>
          <w:p w14:paraId="31B61A2D" w14:textId="77777777" w:rsidR="000768A9" w:rsidRPr="00E6110F" w:rsidRDefault="00966C55" w:rsidP="00966C55">
            <w:pPr>
              <w:pStyle w:val="Body"/>
              <w:rPr>
                <w:rFonts w:eastAsia="Times New Roman"/>
                <w:lang w:eastAsia="en-AU"/>
              </w:rPr>
            </w:pPr>
            <w:r w:rsidRPr="00E6110F">
              <w:rPr>
                <w:rFonts w:eastAsia="Times New Roman"/>
                <w:lang w:eastAsia="en-AU"/>
              </w:rPr>
              <w:t xml:space="preserve">The process of absorbing a wetting phase into a </w:t>
            </w:r>
            <w:hyperlink r:id="rId16" w:history="1">
              <w:r w:rsidRPr="00E6110F">
                <w:rPr>
                  <w:rFonts w:eastAsia="Times New Roman"/>
                  <w:lang w:eastAsia="en-AU"/>
                </w:rPr>
                <w:t>porous</w:t>
              </w:r>
            </w:hyperlink>
            <w:r w:rsidRPr="00E6110F">
              <w:rPr>
                <w:rFonts w:eastAsia="Times New Roman"/>
                <w:lang w:eastAsia="en-AU"/>
              </w:rPr>
              <w:t xml:space="preserve"> </w:t>
            </w:r>
            <w:hyperlink r:id="rId17" w:history="1">
              <w:r w:rsidRPr="00E6110F">
                <w:rPr>
                  <w:rFonts w:eastAsia="Times New Roman"/>
                  <w:lang w:eastAsia="en-AU"/>
                </w:rPr>
                <w:t>rock</w:t>
              </w:r>
            </w:hyperlink>
            <w:r w:rsidRPr="00E6110F">
              <w:rPr>
                <w:rFonts w:eastAsia="Times New Roman"/>
                <w:lang w:eastAsia="en-AU"/>
              </w:rPr>
              <w:t xml:space="preserve">. Spontaneous imbibition refers to the process of </w:t>
            </w:r>
            <w:hyperlink r:id="rId18" w:history="1">
              <w:r w:rsidRPr="00E6110F">
                <w:rPr>
                  <w:rFonts w:eastAsia="Times New Roman"/>
                  <w:lang w:eastAsia="en-AU"/>
                </w:rPr>
                <w:t>absorption</w:t>
              </w:r>
            </w:hyperlink>
            <w:r w:rsidRPr="00E6110F">
              <w:rPr>
                <w:rFonts w:eastAsia="Times New Roman"/>
                <w:lang w:eastAsia="en-AU"/>
              </w:rPr>
              <w:t xml:space="preserve"> with no </w:t>
            </w:r>
            <w:hyperlink r:id="rId19" w:history="1">
              <w:r w:rsidRPr="00E6110F">
                <w:rPr>
                  <w:rFonts w:eastAsia="Times New Roman"/>
                  <w:lang w:eastAsia="en-AU"/>
                </w:rPr>
                <w:t>pressure</w:t>
              </w:r>
            </w:hyperlink>
            <w:r w:rsidRPr="00E6110F">
              <w:rPr>
                <w:rFonts w:eastAsia="Times New Roman"/>
                <w:lang w:eastAsia="en-AU"/>
              </w:rPr>
              <w:t xml:space="preserve"> driving the phase into the rock</w:t>
            </w:r>
          </w:p>
        </w:tc>
      </w:tr>
      <w:tr w:rsidR="00214AFB" w:rsidRPr="00E6110F" w14:paraId="03826804" w14:textId="77777777" w:rsidTr="00726719">
        <w:tc>
          <w:tcPr>
            <w:tcW w:w="2268" w:type="dxa"/>
          </w:tcPr>
          <w:p w14:paraId="36CC7DAF" w14:textId="77777777" w:rsidR="00214AFB" w:rsidRPr="00E6110F" w:rsidRDefault="00214AFB" w:rsidP="00B9544F">
            <w:pPr>
              <w:pStyle w:val="Body"/>
              <w:rPr>
                <w:rFonts w:eastAsia="Times New Roman"/>
                <w:lang w:eastAsia="en-AU"/>
              </w:rPr>
            </w:pPr>
            <w:r w:rsidRPr="00E6110F">
              <w:rPr>
                <w:rFonts w:eastAsia="Times New Roman"/>
                <w:lang w:eastAsia="en-AU"/>
              </w:rPr>
              <w:t xml:space="preserve">Interburden </w:t>
            </w:r>
          </w:p>
        </w:tc>
        <w:tc>
          <w:tcPr>
            <w:tcW w:w="6946" w:type="dxa"/>
          </w:tcPr>
          <w:p w14:paraId="5DFE6555" w14:textId="77777777" w:rsidR="00214AFB" w:rsidRPr="00E6110F" w:rsidRDefault="00214AFB" w:rsidP="00B9544F">
            <w:pPr>
              <w:pStyle w:val="Body"/>
              <w:rPr>
                <w:rFonts w:eastAsia="Times New Roman"/>
                <w:lang w:eastAsia="en-AU"/>
              </w:rPr>
            </w:pPr>
            <w:r w:rsidRPr="00E6110F">
              <w:rPr>
                <w:rFonts w:eastAsia="Times New Roman"/>
                <w:lang w:eastAsia="en-AU"/>
              </w:rPr>
              <w:t>Material of any nature that lies between two or more bedded ore zones or coal seams.</w:t>
            </w:r>
          </w:p>
        </w:tc>
      </w:tr>
      <w:tr w:rsidR="00214AFB" w:rsidRPr="00E6110F" w14:paraId="3EC5C6ED" w14:textId="77777777" w:rsidTr="00726719">
        <w:tc>
          <w:tcPr>
            <w:tcW w:w="2268" w:type="dxa"/>
          </w:tcPr>
          <w:p w14:paraId="4B68869E" w14:textId="77777777" w:rsidR="00214AFB" w:rsidRPr="00E6110F" w:rsidRDefault="00214AFB" w:rsidP="00D2003B">
            <w:pPr>
              <w:pStyle w:val="Body"/>
              <w:rPr>
                <w:rFonts w:eastAsia="Times New Roman"/>
                <w:lang w:eastAsia="en-AU"/>
              </w:rPr>
            </w:pPr>
            <w:r w:rsidRPr="00E6110F">
              <w:rPr>
                <w:rFonts w:eastAsia="Times New Roman"/>
                <w:lang w:eastAsia="en-AU"/>
              </w:rPr>
              <w:t>Isotherm</w:t>
            </w:r>
          </w:p>
        </w:tc>
        <w:tc>
          <w:tcPr>
            <w:tcW w:w="6946" w:type="dxa"/>
          </w:tcPr>
          <w:p w14:paraId="04013E75" w14:textId="77777777" w:rsidR="00214AFB" w:rsidRPr="00E6110F" w:rsidRDefault="00430AC5" w:rsidP="002A738B">
            <w:pPr>
              <w:pStyle w:val="Body"/>
              <w:rPr>
                <w:rFonts w:eastAsia="Times New Roman"/>
                <w:lang w:eastAsia="en-AU"/>
              </w:rPr>
            </w:pPr>
            <w:r w:rsidRPr="00E6110F">
              <w:rPr>
                <w:rFonts w:eastAsia="Times New Roman"/>
                <w:lang w:eastAsia="en-AU"/>
              </w:rPr>
              <w:t>A function describing the adsorption/desorption path of solute or gas on solids (e.g. rocks, coal)</w:t>
            </w:r>
          </w:p>
        </w:tc>
      </w:tr>
      <w:tr w:rsidR="00214AFB" w:rsidRPr="00E6110F" w14:paraId="217D1735" w14:textId="77777777" w:rsidTr="00726719">
        <w:tc>
          <w:tcPr>
            <w:tcW w:w="2268" w:type="dxa"/>
          </w:tcPr>
          <w:p w14:paraId="2CFD5CEB" w14:textId="77777777" w:rsidR="00214AFB" w:rsidRPr="00E6110F" w:rsidRDefault="00214AFB" w:rsidP="00B9544F">
            <w:pPr>
              <w:pStyle w:val="Body"/>
              <w:rPr>
                <w:rFonts w:eastAsia="Times New Roman"/>
                <w:lang w:eastAsia="en-AU"/>
              </w:rPr>
            </w:pPr>
            <w:r w:rsidRPr="00E6110F">
              <w:rPr>
                <w:rFonts w:eastAsia="Times New Roman"/>
                <w:lang w:eastAsia="en-AU"/>
              </w:rPr>
              <w:t>Matrix (rock matrix)</w:t>
            </w:r>
          </w:p>
        </w:tc>
        <w:tc>
          <w:tcPr>
            <w:tcW w:w="6946" w:type="dxa"/>
          </w:tcPr>
          <w:p w14:paraId="0EE27A5E" w14:textId="77777777" w:rsidR="00214AFB" w:rsidRPr="00E6110F" w:rsidRDefault="00214AFB" w:rsidP="00B9544F">
            <w:pPr>
              <w:pStyle w:val="Body"/>
              <w:rPr>
                <w:rFonts w:eastAsia="Times New Roman"/>
                <w:lang w:eastAsia="en-AU"/>
              </w:rPr>
            </w:pPr>
            <w:r w:rsidRPr="00E6110F">
              <w:rPr>
                <w:rFonts w:eastAsia="Times New Roman"/>
                <w:lang w:eastAsia="en-AU"/>
              </w:rPr>
              <w:t>The finer grained mass of rock material in which larger grains/crystals are embedded</w:t>
            </w:r>
          </w:p>
        </w:tc>
      </w:tr>
      <w:tr w:rsidR="00214AFB" w:rsidRPr="00E6110F" w14:paraId="64C34635" w14:textId="77777777" w:rsidTr="00726719">
        <w:tc>
          <w:tcPr>
            <w:tcW w:w="2268" w:type="dxa"/>
          </w:tcPr>
          <w:p w14:paraId="29ECDACE" w14:textId="77777777" w:rsidR="00214AFB" w:rsidRPr="00E6110F" w:rsidRDefault="00214AFB" w:rsidP="00545B1A">
            <w:pPr>
              <w:pStyle w:val="Body"/>
              <w:rPr>
                <w:rFonts w:eastAsia="Times New Roman"/>
                <w:lang w:eastAsia="en-AU"/>
              </w:rPr>
            </w:pPr>
            <w:r w:rsidRPr="00E6110F">
              <w:rPr>
                <w:rFonts w:eastAsia="Times New Roman"/>
                <w:lang w:eastAsia="en-AU"/>
              </w:rPr>
              <w:t>Neumann boundary condition</w:t>
            </w:r>
          </w:p>
        </w:tc>
        <w:tc>
          <w:tcPr>
            <w:tcW w:w="6946" w:type="dxa"/>
          </w:tcPr>
          <w:p w14:paraId="7E92E760" w14:textId="77777777" w:rsidR="005574E1" w:rsidRPr="00E6110F" w:rsidRDefault="00214AFB">
            <w:pPr>
              <w:pStyle w:val="Body"/>
              <w:rPr>
                <w:rFonts w:eastAsia="Times New Roman"/>
                <w:lang w:eastAsia="en-AU"/>
              </w:rPr>
            </w:pPr>
            <w:r w:rsidRPr="00E6110F">
              <w:rPr>
                <w:rFonts w:eastAsia="Times New Roman"/>
                <w:lang w:eastAsia="en-AU"/>
              </w:rPr>
              <w:t xml:space="preserve">Also known as a second type boundary condition, involves specification of the derivative that </w:t>
            </w:r>
            <w:r w:rsidR="007D64CD" w:rsidRPr="00E6110F">
              <w:rPr>
                <w:rFonts w:eastAsia="Times New Roman"/>
                <w:lang w:eastAsia="en-AU"/>
              </w:rPr>
              <w:t xml:space="preserve">the </w:t>
            </w:r>
            <w:r w:rsidRPr="00E6110F">
              <w:rPr>
                <w:rFonts w:eastAsia="Times New Roman"/>
                <w:lang w:eastAsia="en-AU"/>
              </w:rPr>
              <w:t xml:space="preserve">solution </w:t>
            </w:r>
            <w:r w:rsidR="007D64CD" w:rsidRPr="00E6110F">
              <w:rPr>
                <w:rFonts w:eastAsia="Times New Roman"/>
                <w:lang w:eastAsia="en-AU"/>
              </w:rPr>
              <w:t xml:space="preserve">of a differential equation </w:t>
            </w:r>
            <w:r w:rsidRPr="00E6110F">
              <w:rPr>
                <w:rFonts w:eastAsia="Times New Roman"/>
                <w:lang w:eastAsia="en-AU"/>
              </w:rPr>
              <w:t>needs to produce along the boundary of a model domain</w:t>
            </w:r>
          </w:p>
        </w:tc>
      </w:tr>
      <w:tr w:rsidR="008E7895" w:rsidRPr="00E6110F" w14:paraId="34929253" w14:textId="77777777" w:rsidTr="008E7895">
        <w:tc>
          <w:tcPr>
            <w:tcW w:w="2268" w:type="dxa"/>
          </w:tcPr>
          <w:p w14:paraId="4DCC344D" w14:textId="77777777" w:rsidR="008E7895" w:rsidRPr="00E6110F" w:rsidRDefault="008E7895" w:rsidP="008E7895">
            <w:pPr>
              <w:pStyle w:val="Body"/>
              <w:rPr>
                <w:rFonts w:eastAsia="Times New Roman"/>
                <w:lang w:eastAsia="en-AU"/>
              </w:rPr>
            </w:pPr>
            <w:r w:rsidRPr="00E6110F">
              <w:rPr>
                <w:rFonts w:eastAsia="Times New Roman"/>
                <w:lang w:eastAsia="en-AU"/>
              </w:rPr>
              <w:t>Permeability</w:t>
            </w:r>
          </w:p>
        </w:tc>
        <w:tc>
          <w:tcPr>
            <w:tcW w:w="6946" w:type="dxa"/>
          </w:tcPr>
          <w:p w14:paraId="2DFF41F8" w14:textId="77777777" w:rsidR="008E7895" w:rsidRPr="00E6110F" w:rsidRDefault="008E7895" w:rsidP="008E7895">
            <w:pPr>
              <w:pStyle w:val="Body"/>
              <w:rPr>
                <w:rFonts w:eastAsia="Times New Roman"/>
                <w:lang w:eastAsia="en-AU"/>
              </w:rPr>
            </w:pPr>
            <w:r w:rsidRPr="00E6110F">
              <w:rPr>
                <w:rFonts w:eastAsia="Times New Roman"/>
                <w:lang w:eastAsia="en-AU"/>
              </w:rPr>
              <w:t xml:space="preserve">The measure of the ability of a rock, soil or sediment to yield or transmit a fluid. The magnitude of permeability depends largely on the porosity and the interconnectivity of pores and spaces in the ground. </w:t>
            </w:r>
          </w:p>
        </w:tc>
      </w:tr>
      <w:tr w:rsidR="00214AFB" w:rsidRPr="00E6110F" w14:paraId="46DC31F2" w14:textId="77777777" w:rsidTr="00726719">
        <w:tc>
          <w:tcPr>
            <w:tcW w:w="2268" w:type="dxa"/>
          </w:tcPr>
          <w:p w14:paraId="7BAB8D9A" w14:textId="77777777" w:rsidR="00214AFB" w:rsidRPr="00E6110F" w:rsidRDefault="00214AFB" w:rsidP="00B9544F">
            <w:pPr>
              <w:pStyle w:val="Body"/>
              <w:rPr>
                <w:rFonts w:eastAsia="Times New Roman"/>
                <w:lang w:eastAsia="en-AU"/>
              </w:rPr>
            </w:pPr>
            <w:r w:rsidRPr="00E6110F">
              <w:rPr>
                <w:rFonts w:eastAsia="Times New Roman"/>
                <w:lang w:eastAsia="en-AU"/>
              </w:rPr>
              <w:t>Porosity</w:t>
            </w:r>
          </w:p>
        </w:tc>
        <w:tc>
          <w:tcPr>
            <w:tcW w:w="6946" w:type="dxa"/>
          </w:tcPr>
          <w:p w14:paraId="7F64534A" w14:textId="77777777" w:rsidR="00214AFB" w:rsidRPr="00E6110F" w:rsidRDefault="00214AFB" w:rsidP="00B9544F">
            <w:pPr>
              <w:pStyle w:val="Body"/>
              <w:rPr>
                <w:rFonts w:eastAsia="Times New Roman"/>
                <w:lang w:eastAsia="en-AU"/>
              </w:rPr>
            </w:pPr>
            <w:r w:rsidRPr="00E6110F">
              <w:rPr>
                <w:rFonts w:eastAsia="Times New Roman"/>
                <w:lang w:eastAsia="en-AU"/>
              </w:rPr>
              <w:t>The proportion of the volume of rock consisting of pores, usually expressed as a percentage of the total rock or soil mass</w:t>
            </w:r>
          </w:p>
        </w:tc>
      </w:tr>
      <w:tr w:rsidR="00214AFB" w:rsidRPr="00E6110F" w14:paraId="55194B12" w14:textId="77777777" w:rsidTr="00726719">
        <w:tc>
          <w:tcPr>
            <w:tcW w:w="2268" w:type="dxa"/>
          </w:tcPr>
          <w:p w14:paraId="0874F8B2" w14:textId="77777777" w:rsidR="00214AFB" w:rsidRPr="00E6110F" w:rsidRDefault="00214AFB" w:rsidP="00B9544F">
            <w:pPr>
              <w:pStyle w:val="Body"/>
              <w:rPr>
                <w:rFonts w:eastAsia="Times New Roman"/>
                <w:lang w:eastAsia="en-AU"/>
              </w:rPr>
            </w:pPr>
            <w:r w:rsidRPr="00E6110F">
              <w:rPr>
                <w:rFonts w:eastAsia="Times New Roman"/>
                <w:lang w:eastAsia="en-AU"/>
              </w:rPr>
              <w:t>Preferential flow</w:t>
            </w:r>
          </w:p>
        </w:tc>
        <w:tc>
          <w:tcPr>
            <w:tcW w:w="6946" w:type="dxa"/>
          </w:tcPr>
          <w:p w14:paraId="0A7567BC" w14:textId="77777777" w:rsidR="00214AFB" w:rsidRPr="00E6110F" w:rsidRDefault="00214AFB" w:rsidP="00B9544F">
            <w:pPr>
              <w:pStyle w:val="Body"/>
              <w:rPr>
                <w:rFonts w:eastAsia="Times New Roman"/>
                <w:lang w:eastAsia="en-AU"/>
              </w:rPr>
            </w:pPr>
            <w:r w:rsidRPr="00E6110F">
              <w:rPr>
                <w:rFonts w:eastAsia="Times New Roman"/>
                <w:lang w:eastAsia="en-AU"/>
              </w:rPr>
              <w:t>Preferential flow refers to the uneven and often rapid and short-circuiting movement of water and solutes throu</w:t>
            </w:r>
            <w:r w:rsidR="00430AC5" w:rsidRPr="00E6110F">
              <w:rPr>
                <w:rFonts w:eastAsia="Times New Roman"/>
                <w:lang w:eastAsia="en-AU"/>
              </w:rPr>
              <w:t>gh porous media</w:t>
            </w:r>
            <w:r w:rsidRPr="00E6110F">
              <w:rPr>
                <w:rFonts w:eastAsia="Times New Roman"/>
                <w:lang w:eastAsia="en-AU"/>
              </w:rPr>
              <w:t xml:space="preserve"> characterised by small regions of enhanced flux (such as faults, fractures or other high permeability pathways), which contributes most of the flow, allowing much faster </w:t>
            </w:r>
            <w:r w:rsidR="0094146F" w:rsidRPr="00E6110F">
              <w:rPr>
                <w:rFonts w:eastAsia="Times New Roman"/>
                <w:lang w:eastAsia="en-AU"/>
              </w:rPr>
              <w:t xml:space="preserve">propagation of pressured differences and </w:t>
            </w:r>
            <w:r w:rsidRPr="00E6110F">
              <w:rPr>
                <w:rFonts w:eastAsia="Times New Roman"/>
                <w:lang w:eastAsia="en-AU"/>
              </w:rPr>
              <w:t>transport of a range of contaminants through that pathway</w:t>
            </w:r>
          </w:p>
        </w:tc>
      </w:tr>
      <w:tr w:rsidR="00214AFB" w:rsidRPr="00E6110F" w14:paraId="3879A247" w14:textId="77777777" w:rsidTr="00726719">
        <w:tc>
          <w:tcPr>
            <w:tcW w:w="2268" w:type="dxa"/>
          </w:tcPr>
          <w:p w14:paraId="4661DF16" w14:textId="77777777" w:rsidR="00214AFB" w:rsidRPr="00E6110F" w:rsidRDefault="00214AFB" w:rsidP="00B9544F">
            <w:pPr>
              <w:pStyle w:val="Body"/>
              <w:rPr>
                <w:rFonts w:eastAsia="Times New Roman"/>
                <w:lang w:eastAsia="en-AU"/>
              </w:rPr>
            </w:pPr>
            <w:r w:rsidRPr="00E6110F">
              <w:rPr>
                <w:rFonts w:eastAsia="Times New Roman"/>
                <w:lang w:eastAsia="en-AU"/>
              </w:rPr>
              <w:t>Probability density function</w:t>
            </w:r>
          </w:p>
        </w:tc>
        <w:tc>
          <w:tcPr>
            <w:tcW w:w="6946" w:type="dxa"/>
          </w:tcPr>
          <w:p w14:paraId="33B817E6" w14:textId="77777777" w:rsidR="00214AFB" w:rsidRPr="00E6110F" w:rsidRDefault="00214AFB" w:rsidP="00EC06E1">
            <w:pPr>
              <w:pStyle w:val="Body"/>
              <w:rPr>
                <w:rFonts w:eastAsia="Times New Roman"/>
                <w:lang w:eastAsia="en-AU"/>
              </w:rPr>
            </w:pPr>
            <w:r w:rsidRPr="00E6110F">
              <w:rPr>
                <w:rFonts w:eastAsia="Times New Roman"/>
                <w:lang w:eastAsia="en-AU"/>
              </w:rPr>
              <w:t xml:space="preserve">A </w:t>
            </w:r>
            <w:hyperlink r:id="rId20" w:tooltip="Function (mathematics)" w:history="1">
              <w:r w:rsidRPr="00E6110F">
                <w:rPr>
                  <w:rFonts w:eastAsia="Times New Roman"/>
                  <w:lang w:eastAsia="en-AU"/>
                </w:rPr>
                <w:t>function</w:t>
              </w:r>
            </w:hyperlink>
            <w:r w:rsidRPr="00E6110F">
              <w:rPr>
                <w:rFonts w:eastAsia="Times New Roman"/>
                <w:lang w:eastAsia="en-AU"/>
              </w:rPr>
              <w:t xml:space="preserve"> that describes the relative likelihood for a random variable to take on a given value</w:t>
            </w:r>
          </w:p>
        </w:tc>
      </w:tr>
      <w:tr w:rsidR="00214AFB" w:rsidRPr="00E6110F" w14:paraId="1077E8B9" w14:textId="77777777" w:rsidTr="00726719">
        <w:tc>
          <w:tcPr>
            <w:tcW w:w="2268" w:type="dxa"/>
          </w:tcPr>
          <w:p w14:paraId="55A69C46" w14:textId="77777777" w:rsidR="00214AFB" w:rsidRPr="00E6110F" w:rsidRDefault="00214AFB" w:rsidP="00B9544F">
            <w:pPr>
              <w:pStyle w:val="Body"/>
              <w:rPr>
                <w:rFonts w:eastAsia="Times New Roman"/>
                <w:lang w:eastAsia="en-AU"/>
              </w:rPr>
            </w:pPr>
            <w:r w:rsidRPr="00E6110F">
              <w:rPr>
                <w:rFonts w:eastAsia="Times New Roman"/>
                <w:lang w:eastAsia="en-AU"/>
              </w:rPr>
              <w:t>Recharge</w:t>
            </w:r>
          </w:p>
        </w:tc>
        <w:tc>
          <w:tcPr>
            <w:tcW w:w="6946" w:type="dxa"/>
          </w:tcPr>
          <w:p w14:paraId="73C6109A" w14:textId="77777777" w:rsidR="00214AFB" w:rsidRPr="00E6110F" w:rsidRDefault="00214AFB" w:rsidP="00B9544F">
            <w:pPr>
              <w:pStyle w:val="Body"/>
              <w:rPr>
                <w:rFonts w:eastAsia="Times New Roman"/>
                <w:lang w:eastAsia="en-AU"/>
              </w:rPr>
            </w:pPr>
            <w:r w:rsidRPr="00E6110F">
              <w:rPr>
                <w:rFonts w:eastAsia="Times New Roman"/>
                <w:lang w:eastAsia="en-AU"/>
              </w:rPr>
              <w:t>Groundwater recharge is the process whereby surface water (such as from rainfall runoff</w:t>
            </w:r>
            <w:r w:rsidR="0094146F" w:rsidRPr="00E6110F">
              <w:rPr>
                <w:rFonts w:eastAsia="Times New Roman"/>
                <w:lang w:eastAsia="en-AU"/>
              </w:rPr>
              <w:t xml:space="preserve"> or irrigation</w:t>
            </w:r>
            <w:r w:rsidRPr="00E6110F">
              <w:rPr>
                <w:rFonts w:eastAsia="Times New Roman"/>
                <w:lang w:eastAsia="en-AU"/>
              </w:rPr>
              <w:t>) percolates through the ground to the water table</w:t>
            </w:r>
          </w:p>
        </w:tc>
      </w:tr>
      <w:tr w:rsidR="00214AFB" w:rsidRPr="00E6110F" w14:paraId="6F437CB5" w14:textId="77777777" w:rsidTr="00726719">
        <w:tc>
          <w:tcPr>
            <w:tcW w:w="2268" w:type="dxa"/>
          </w:tcPr>
          <w:p w14:paraId="6327AF96" w14:textId="77777777" w:rsidR="00214AFB" w:rsidRPr="00E6110F" w:rsidRDefault="00214AFB" w:rsidP="00214AFB">
            <w:pPr>
              <w:pStyle w:val="Body"/>
            </w:pPr>
            <w:r w:rsidRPr="00E6110F">
              <w:t>Regional-scale groundwater models</w:t>
            </w:r>
          </w:p>
        </w:tc>
        <w:tc>
          <w:tcPr>
            <w:tcW w:w="6946" w:type="dxa"/>
          </w:tcPr>
          <w:p w14:paraId="0487F80B" w14:textId="77777777" w:rsidR="00214AFB" w:rsidRPr="00E6110F" w:rsidRDefault="00214AFB" w:rsidP="00214AFB">
            <w:pPr>
              <w:pStyle w:val="Body"/>
            </w:pPr>
            <w:r w:rsidRPr="00E6110F">
              <w:t>Models that encompass an entire groundwater system, geological basin or other significant area of interest that extends well beyond the measurable influence of individual bores or borefields</w:t>
            </w:r>
          </w:p>
        </w:tc>
      </w:tr>
      <w:tr w:rsidR="00E513F3" w:rsidRPr="00E6110F" w14:paraId="7C296411" w14:textId="77777777" w:rsidTr="00726719">
        <w:tc>
          <w:tcPr>
            <w:tcW w:w="2268" w:type="dxa"/>
          </w:tcPr>
          <w:p w14:paraId="632C25CC" w14:textId="77777777" w:rsidR="005574E1" w:rsidRPr="00E6110F" w:rsidRDefault="00E513F3">
            <w:pPr>
              <w:pStyle w:val="Body"/>
              <w:rPr>
                <w:rFonts w:eastAsia="Times New Roman"/>
                <w:lang w:eastAsia="en-AU"/>
              </w:rPr>
            </w:pPr>
            <w:r w:rsidRPr="00E6110F">
              <w:rPr>
                <w:rFonts w:eastAsia="Times New Roman"/>
                <w:lang w:eastAsia="en-AU"/>
              </w:rPr>
              <w:t>Reservoir (hydrocarbon)</w:t>
            </w:r>
          </w:p>
        </w:tc>
        <w:tc>
          <w:tcPr>
            <w:tcW w:w="6946" w:type="dxa"/>
          </w:tcPr>
          <w:p w14:paraId="2FB2DF33" w14:textId="77777777" w:rsidR="00E513F3" w:rsidRPr="00E6110F" w:rsidRDefault="00E0632E" w:rsidP="00E0632E">
            <w:pPr>
              <w:pStyle w:val="Body"/>
              <w:rPr>
                <w:rFonts w:eastAsia="Times New Roman"/>
                <w:lang w:eastAsia="en-AU"/>
              </w:rPr>
            </w:pPr>
            <w:r w:rsidRPr="00E6110F">
              <w:rPr>
                <w:rFonts w:eastAsia="Times New Roman"/>
                <w:lang w:eastAsia="en-AU"/>
              </w:rPr>
              <w:t>A subsurface pool of hydrocarbons (i.e. oil and/or gas) contained in porous or fractured rock formations. Naturally-occurring hydrocarbons such as crude oil or natural gas are typically trapped in source or host rocks by overlying low permeability formations</w:t>
            </w:r>
          </w:p>
        </w:tc>
      </w:tr>
      <w:tr w:rsidR="00214AFB" w:rsidRPr="00E6110F" w14:paraId="538CD756" w14:textId="77777777" w:rsidTr="00726719">
        <w:tc>
          <w:tcPr>
            <w:tcW w:w="2268" w:type="dxa"/>
          </w:tcPr>
          <w:p w14:paraId="23F3B1BF" w14:textId="77777777" w:rsidR="00214AFB" w:rsidRPr="00E6110F" w:rsidRDefault="00214AFB" w:rsidP="00B9544F">
            <w:pPr>
              <w:pStyle w:val="Body"/>
              <w:rPr>
                <w:rFonts w:eastAsia="Times New Roman"/>
                <w:lang w:eastAsia="en-AU"/>
              </w:rPr>
            </w:pPr>
            <w:r w:rsidRPr="00E6110F">
              <w:rPr>
                <w:rFonts w:eastAsia="Times New Roman"/>
                <w:lang w:eastAsia="en-AU"/>
              </w:rPr>
              <w:t>Solute</w:t>
            </w:r>
          </w:p>
        </w:tc>
        <w:tc>
          <w:tcPr>
            <w:tcW w:w="6946" w:type="dxa"/>
          </w:tcPr>
          <w:p w14:paraId="56F6C267" w14:textId="77777777" w:rsidR="00214AFB" w:rsidRPr="00E6110F" w:rsidRDefault="00214AFB" w:rsidP="00B9544F">
            <w:pPr>
              <w:pStyle w:val="Body"/>
              <w:rPr>
                <w:rFonts w:eastAsia="Times New Roman"/>
                <w:lang w:eastAsia="en-AU"/>
              </w:rPr>
            </w:pPr>
            <w:r w:rsidRPr="00E6110F">
              <w:rPr>
                <w:rFonts w:eastAsia="Times New Roman"/>
                <w:lang w:eastAsia="en-AU"/>
              </w:rPr>
              <w:t>The substance present in a solution in the smaller amount. For convenience, water is generally considered the solvent even in concentrated solutions with water molecules in the minority</w:t>
            </w:r>
          </w:p>
        </w:tc>
      </w:tr>
      <w:tr w:rsidR="00214AFB" w:rsidRPr="00E6110F" w14:paraId="25D9C2AF" w14:textId="77777777" w:rsidTr="00726719">
        <w:tc>
          <w:tcPr>
            <w:tcW w:w="2268" w:type="dxa"/>
          </w:tcPr>
          <w:p w14:paraId="2270BC79" w14:textId="77777777" w:rsidR="00214AFB" w:rsidRPr="00E6110F" w:rsidRDefault="00214AFB" w:rsidP="00D2003B">
            <w:pPr>
              <w:pStyle w:val="Body"/>
              <w:rPr>
                <w:rFonts w:eastAsia="Times New Roman"/>
                <w:lang w:eastAsia="en-AU"/>
              </w:rPr>
            </w:pPr>
            <w:r w:rsidRPr="00E6110F">
              <w:rPr>
                <w:rFonts w:eastAsia="Times New Roman"/>
                <w:lang w:eastAsia="en-AU"/>
              </w:rPr>
              <w:t xml:space="preserve">Spatial interpolation  </w:t>
            </w:r>
          </w:p>
        </w:tc>
        <w:tc>
          <w:tcPr>
            <w:tcW w:w="6946" w:type="dxa"/>
          </w:tcPr>
          <w:p w14:paraId="22D022F4" w14:textId="77777777" w:rsidR="00214AFB" w:rsidRPr="00E6110F" w:rsidRDefault="00214AFB" w:rsidP="0011542D">
            <w:pPr>
              <w:pStyle w:val="Body"/>
              <w:rPr>
                <w:rFonts w:eastAsia="Times New Roman"/>
                <w:lang w:eastAsia="en-AU"/>
              </w:rPr>
            </w:pPr>
            <w:r w:rsidRPr="00E6110F">
              <w:rPr>
                <w:rFonts w:eastAsia="Times New Roman"/>
                <w:lang w:eastAsia="en-AU"/>
              </w:rPr>
              <w:t>The procedure of estimating the value of properties at unsampled sites within the area covered by existing observations</w:t>
            </w:r>
          </w:p>
        </w:tc>
      </w:tr>
      <w:tr w:rsidR="00430AC5" w:rsidRPr="00E6110F" w14:paraId="4074928F" w14:textId="77777777" w:rsidTr="00726719">
        <w:tc>
          <w:tcPr>
            <w:tcW w:w="2268" w:type="dxa"/>
          </w:tcPr>
          <w:p w14:paraId="38C25409" w14:textId="77777777" w:rsidR="00430AC5" w:rsidRPr="00E6110F" w:rsidRDefault="00430AC5" w:rsidP="00D2003B">
            <w:pPr>
              <w:pStyle w:val="Body"/>
              <w:rPr>
                <w:rFonts w:eastAsia="Times New Roman"/>
                <w:lang w:eastAsia="en-AU"/>
              </w:rPr>
            </w:pPr>
            <w:r w:rsidRPr="00E6110F">
              <w:rPr>
                <w:rFonts w:eastAsia="Times New Roman"/>
                <w:lang w:eastAsia="en-AU"/>
              </w:rPr>
              <w:t xml:space="preserve">Stratigraphy </w:t>
            </w:r>
          </w:p>
        </w:tc>
        <w:tc>
          <w:tcPr>
            <w:tcW w:w="6946" w:type="dxa"/>
          </w:tcPr>
          <w:p w14:paraId="121EBE3B" w14:textId="77777777" w:rsidR="00430AC5" w:rsidRPr="00E6110F" w:rsidRDefault="00430AC5" w:rsidP="00B9544F">
            <w:pPr>
              <w:pStyle w:val="Body"/>
              <w:rPr>
                <w:rFonts w:eastAsia="Times New Roman"/>
                <w:lang w:eastAsia="en-AU"/>
              </w:rPr>
            </w:pPr>
            <w:r w:rsidRPr="00E6110F">
              <w:rPr>
                <w:rFonts w:eastAsia="Times New Roman"/>
                <w:lang w:eastAsia="en-AU"/>
              </w:rPr>
              <w:t>An arrangement of sedimentary, metamorphic and/or igneous rocks</w:t>
            </w:r>
          </w:p>
        </w:tc>
      </w:tr>
      <w:tr w:rsidR="00430AC5" w:rsidRPr="00E6110F" w14:paraId="4A60194B" w14:textId="77777777" w:rsidTr="00726719">
        <w:tc>
          <w:tcPr>
            <w:tcW w:w="2268" w:type="dxa"/>
          </w:tcPr>
          <w:p w14:paraId="33537FA7" w14:textId="77777777" w:rsidR="00430AC5" w:rsidRPr="00E6110F" w:rsidRDefault="00430AC5" w:rsidP="00D2003B">
            <w:pPr>
              <w:pStyle w:val="Body"/>
              <w:rPr>
                <w:rFonts w:eastAsia="Times New Roman"/>
                <w:lang w:eastAsia="en-AU"/>
              </w:rPr>
            </w:pPr>
            <w:r w:rsidRPr="00E6110F">
              <w:rPr>
                <w:rFonts w:eastAsia="Times New Roman"/>
                <w:lang w:eastAsia="en-AU"/>
              </w:rPr>
              <w:t>Unconfined aquifer</w:t>
            </w:r>
          </w:p>
        </w:tc>
        <w:tc>
          <w:tcPr>
            <w:tcW w:w="6946" w:type="dxa"/>
          </w:tcPr>
          <w:p w14:paraId="255509A7" w14:textId="77777777" w:rsidR="00430AC5" w:rsidRPr="00E6110F" w:rsidRDefault="00430AC5" w:rsidP="002E7E2B">
            <w:pPr>
              <w:pStyle w:val="Body"/>
              <w:rPr>
                <w:rFonts w:eastAsia="Times New Roman"/>
                <w:lang w:eastAsia="en-AU"/>
              </w:rPr>
            </w:pPr>
            <w:r w:rsidRPr="00E6110F">
              <w:rPr>
                <w:rFonts w:eastAsia="Times New Roman"/>
                <w:lang w:eastAsia="en-AU"/>
              </w:rPr>
              <w:t>An aquifer in which there are no confining beds between the zone of saturation and land surface</w:t>
            </w:r>
          </w:p>
        </w:tc>
      </w:tr>
      <w:tr w:rsidR="00430AC5" w:rsidRPr="00E6110F" w14:paraId="4FEA7616" w14:textId="77777777" w:rsidTr="00726719">
        <w:tc>
          <w:tcPr>
            <w:tcW w:w="2268" w:type="dxa"/>
          </w:tcPr>
          <w:p w14:paraId="63B732FA" w14:textId="77777777" w:rsidR="00430AC5" w:rsidRPr="00E6110F" w:rsidRDefault="00430AC5" w:rsidP="00B9544F">
            <w:pPr>
              <w:pStyle w:val="Body"/>
              <w:rPr>
                <w:rFonts w:eastAsia="Times New Roman"/>
                <w:lang w:eastAsia="en-AU"/>
              </w:rPr>
            </w:pPr>
            <w:r w:rsidRPr="00E6110F">
              <w:rPr>
                <w:rFonts w:eastAsia="Times New Roman"/>
                <w:lang w:eastAsia="en-AU"/>
              </w:rPr>
              <w:t>Unconventional gas</w:t>
            </w:r>
          </w:p>
        </w:tc>
        <w:tc>
          <w:tcPr>
            <w:tcW w:w="6946" w:type="dxa"/>
          </w:tcPr>
          <w:p w14:paraId="062B8DC5" w14:textId="77777777" w:rsidR="00430AC5" w:rsidRPr="00E6110F" w:rsidRDefault="00430AC5" w:rsidP="00C23CFC">
            <w:pPr>
              <w:pStyle w:val="Body"/>
              <w:rPr>
                <w:rFonts w:eastAsia="Times New Roman"/>
                <w:lang w:eastAsia="en-AU"/>
              </w:rPr>
            </w:pPr>
            <w:r w:rsidRPr="00E6110F">
              <w:rPr>
                <w:rFonts w:eastAsia="Times New Roman"/>
                <w:lang w:eastAsia="en-AU"/>
              </w:rPr>
              <w:t xml:space="preserve">Natural gas found in a very low permeability rock, such as </w:t>
            </w:r>
            <w:r w:rsidR="00C23CFC" w:rsidRPr="00E6110F">
              <w:rPr>
                <w:rFonts w:eastAsia="Times New Roman"/>
                <w:lang w:eastAsia="en-AU"/>
              </w:rPr>
              <w:t xml:space="preserve">coal seam gas, </w:t>
            </w:r>
            <w:r w:rsidRPr="00E6110F">
              <w:rPr>
                <w:rFonts w:eastAsia="Times New Roman"/>
                <w:lang w:eastAsia="en-AU"/>
              </w:rPr>
              <w:t>shale gas</w:t>
            </w:r>
            <w:r w:rsidR="00C23CFC" w:rsidRPr="00E6110F">
              <w:rPr>
                <w:rFonts w:eastAsia="Times New Roman"/>
                <w:lang w:eastAsia="en-AU"/>
              </w:rPr>
              <w:t>, and tight</w:t>
            </w:r>
            <w:r w:rsidRPr="00E6110F">
              <w:rPr>
                <w:rFonts w:eastAsia="Times New Roman"/>
                <w:lang w:eastAsia="en-AU"/>
              </w:rPr>
              <w:t xml:space="preserve"> </w:t>
            </w:r>
            <w:r w:rsidR="00C23CFC" w:rsidRPr="00E6110F">
              <w:rPr>
                <w:rFonts w:eastAsia="Times New Roman"/>
                <w:lang w:eastAsia="en-AU"/>
              </w:rPr>
              <w:t>gas</w:t>
            </w:r>
            <w:r w:rsidR="00213159" w:rsidRPr="00E6110F">
              <w:rPr>
                <w:rFonts w:eastAsia="Times New Roman"/>
                <w:lang w:eastAsia="en-AU"/>
              </w:rPr>
              <w:t>.</w:t>
            </w:r>
            <w:r w:rsidR="00213159" w:rsidRPr="00E6110F">
              <w:t xml:space="preserve"> Unconventional gas </w:t>
            </w:r>
            <w:r w:rsidR="00C23CFC" w:rsidRPr="00E6110F">
              <w:t xml:space="preserve">such as coal seam gas </w:t>
            </w:r>
            <w:r w:rsidR="00213159" w:rsidRPr="00E6110F">
              <w:t>is trapped in coal beds by adsorption of the gas molecules to the internal surfaces of coal. It cannot migrate to a trap and form a conventional gas deposit. This distinguishes it from conventional gas resources, which occur as discrete accumulations in traps formed by folds and other structures in sedimentary layers</w:t>
            </w:r>
          </w:p>
        </w:tc>
      </w:tr>
      <w:tr w:rsidR="00430AC5" w:rsidRPr="00E6110F" w14:paraId="35D58880" w14:textId="77777777" w:rsidTr="00726719">
        <w:tc>
          <w:tcPr>
            <w:tcW w:w="2268" w:type="dxa"/>
          </w:tcPr>
          <w:p w14:paraId="2A122526" w14:textId="77777777" w:rsidR="00430AC5" w:rsidRPr="00E6110F" w:rsidRDefault="00430AC5" w:rsidP="00430AC5">
            <w:pPr>
              <w:pStyle w:val="Body"/>
              <w:rPr>
                <w:rFonts w:eastAsia="Times New Roman"/>
                <w:lang w:eastAsia="en-AU"/>
              </w:rPr>
            </w:pPr>
            <w:r w:rsidRPr="00E6110F">
              <w:rPr>
                <w:rFonts w:eastAsia="Times New Roman"/>
                <w:lang w:eastAsia="en-AU"/>
              </w:rPr>
              <w:t>Well</w:t>
            </w:r>
          </w:p>
        </w:tc>
        <w:tc>
          <w:tcPr>
            <w:tcW w:w="6946" w:type="dxa"/>
          </w:tcPr>
          <w:p w14:paraId="1527E053" w14:textId="77777777" w:rsidR="00430AC5" w:rsidRPr="00E6110F" w:rsidRDefault="00430AC5" w:rsidP="00430AC5">
            <w:pPr>
              <w:pStyle w:val="Body"/>
              <w:rPr>
                <w:rFonts w:eastAsia="Times New Roman"/>
                <w:lang w:eastAsia="en-AU"/>
              </w:rPr>
            </w:pPr>
            <w:r w:rsidRPr="00E6110F">
              <w:rPr>
                <w:rFonts w:eastAsia="Times New Roman"/>
                <w:lang w:eastAsia="en-AU"/>
              </w:rPr>
              <w:t>Borehole in which a casing (e.g. steel piping) has been placed to restrict connection to specific ground horizons/depths</w:t>
            </w:r>
          </w:p>
        </w:tc>
      </w:tr>
    </w:tbl>
    <w:p w14:paraId="5BE260C1" w14:textId="77777777" w:rsidR="00F400AD" w:rsidRPr="00E6110F" w:rsidRDefault="00F400AD">
      <w:pPr>
        <w:rPr>
          <w:rFonts w:ascii="Calibri" w:eastAsia="Times New Roman" w:hAnsi="Calibri" w:cs="Calibri"/>
          <w:color w:val="000000"/>
          <w:sz w:val="18"/>
          <w:szCs w:val="18"/>
          <w:lang w:val="en-GB" w:eastAsia="en-AU"/>
        </w:rPr>
      </w:pPr>
    </w:p>
    <w:p w14:paraId="16A6A62E" w14:textId="77777777" w:rsidR="00A12398" w:rsidRPr="00E6110F" w:rsidRDefault="00A12398">
      <w:pPr>
        <w:rPr>
          <w:rFonts w:ascii="Calibri-Bold" w:hAnsi="Calibri-Bold" w:cs="Calibri-Bold"/>
          <w:b/>
          <w:bCs/>
          <w:color w:val="00AEEF"/>
          <w:sz w:val="48"/>
          <w:szCs w:val="48"/>
          <w:lang w:val="en-GB"/>
        </w:rPr>
      </w:pPr>
      <w:bookmarkStart w:id="7" w:name="_Toc432618724"/>
      <w:r w:rsidRPr="00E6110F">
        <w:br w:type="page"/>
      </w:r>
    </w:p>
    <w:p w14:paraId="1241F2ED" w14:textId="77777777" w:rsidR="00726719" w:rsidRPr="00E6110F" w:rsidRDefault="00726719" w:rsidP="00F400AD">
      <w:pPr>
        <w:pStyle w:val="H1"/>
      </w:pPr>
      <w:r w:rsidRPr="00E6110F">
        <w:t>Symbols</w:t>
      </w:r>
      <w:bookmarkEnd w:id="7"/>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C270C5" w:rsidRPr="00E6110F" w14:paraId="57897D02" w14:textId="77777777" w:rsidTr="00C270C5">
        <w:trPr>
          <w:tblHeader/>
        </w:trPr>
        <w:tc>
          <w:tcPr>
            <w:tcW w:w="2268" w:type="dxa"/>
            <w:shd w:val="clear" w:color="auto" w:fill="C6D9F1"/>
          </w:tcPr>
          <w:p w14:paraId="07113B21" w14:textId="77777777" w:rsidR="00C270C5" w:rsidRPr="00E6110F" w:rsidRDefault="00C270C5" w:rsidP="00C270C5">
            <w:pPr>
              <w:pStyle w:val="Body"/>
              <w:rPr>
                <w:b/>
              </w:rPr>
            </w:pPr>
            <w:r w:rsidRPr="00E6110F">
              <w:rPr>
                <w:b/>
              </w:rPr>
              <w:t>Symbol</w:t>
            </w:r>
          </w:p>
        </w:tc>
        <w:tc>
          <w:tcPr>
            <w:tcW w:w="6946" w:type="dxa"/>
            <w:shd w:val="clear" w:color="auto" w:fill="C6D9F1"/>
          </w:tcPr>
          <w:p w14:paraId="3B1609FA" w14:textId="3CEB2C47" w:rsidR="00C270C5" w:rsidRPr="00E6110F" w:rsidRDefault="00366E23" w:rsidP="005574E1">
            <w:pPr>
              <w:pStyle w:val="Body"/>
              <w:rPr>
                <w:b/>
              </w:rPr>
            </w:pPr>
            <w:r w:rsidRPr="00E6110F">
              <w:rPr>
                <w:b/>
              </w:rPr>
              <w:t>Brief</w:t>
            </w:r>
            <w:r w:rsidR="00C270C5" w:rsidRPr="00E6110F">
              <w:rPr>
                <w:b/>
              </w:rPr>
              <w:t xml:space="preserve"> description</w:t>
            </w:r>
            <w:r w:rsidR="005574E1" w:rsidRPr="00E6110F">
              <w:rPr>
                <w:b/>
              </w:rPr>
              <w:t xml:space="preserve"> and </w:t>
            </w:r>
            <w:r w:rsidR="00935D49" w:rsidRPr="00E6110F">
              <w:rPr>
                <w:b/>
              </w:rPr>
              <w:t>unit</w:t>
            </w:r>
            <w:r w:rsidR="005574E1" w:rsidRPr="00E6110F">
              <w:rPr>
                <w:b/>
              </w:rPr>
              <w:t xml:space="preserve"> of me</w:t>
            </w:r>
            <w:r w:rsidR="00B945B5">
              <w:rPr>
                <w:b/>
              </w:rPr>
              <w:t>asurement</w:t>
            </w:r>
          </w:p>
        </w:tc>
      </w:tr>
      <w:tr w:rsidR="0030293D" w:rsidRPr="00E6110F" w14:paraId="0027D929" w14:textId="77777777" w:rsidTr="00C270C5">
        <w:tc>
          <w:tcPr>
            <w:tcW w:w="2268" w:type="dxa"/>
          </w:tcPr>
          <w:p w14:paraId="278174E0" w14:textId="420367E0" w:rsidR="0030293D" w:rsidRPr="00E6110F" w:rsidRDefault="007E0ED0" w:rsidP="0030293D">
            <w:pPr>
              <w:pStyle w:val="Body"/>
              <w:rPr>
                <w:i/>
              </w:rPr>
            </w:pPr>
            <w:r>
              <w:rPr>
                <w:i/>
              </w:rPr>
              <w:t>C</w:t>
            </w:r>
          </w:p>
        </w:tc>
        <w:tc>
          <w:tcPr>
            <w:tcW w:w="6946" w:type="dxa"/>
          </w:tcPr>
          <w:p w14:paraId="2C6D822E" w14:textId="5C05134E" w:rsidR="0030293D" w:rsidRPr="00E6110F" w:rsidRDefault="007E0ED0" w:rsidP="007E0ED0">
            <w:pPr>
              <w:pStyle w:val="Body"/>
              <w:rPr>
                <w:rFonts w:eastAsia="Times New Roman"/>
                <w:lang w:eastAsia="en-AU"/>
              </w:rPr>
            </w:pPr>
            <w:r>
              <w:rPr>
                <w:rFonts w:eastAsia="Times New Roman"/>
                <w:lang w:eastAsia="en-AU"/>
              </w:rPr>
              <w:t>Predicted environmental concentration</w:t>
            </w:r>
            <w:r w:rsidR="00091E8F">
              <w:rPr>
                <w:rFonts w:eastAsia="Times New Roman"/>
                <w:lang w:eastAsia="en-AU"/>
              </w:rPr>
              <w:t xml:space="preserve"> (mg/L)</w:t>
            </w:r>
          </w:p>
        </w:tc>
      </w:tr>
      <w:tr w:rsidR="007E0ED0" w:rsidRPr="00E6110F" w14:paraId="44D8FBB4" w14:textId="77777777" w:rsidTr="00C270C5">
        <w:tc>
          <w:tcPr>
            <w:tcW w:w="2268" w:type="dxa"/>
          </w:tcPr>
          <w:p w14:paraId="1FA01817" w14:textId="533D115D" w:rsidR="007E0ED0" w:rsidRDefault="007E0ED0" w:rsidP="0030293D">
            <w:pPr>
              <w:pStyle w:val="Body"/>
              <w:rPr>
                <w:i/>
              </w:rPr>
            </w:pPr>
            <w:r>
              <w:rPr>
                <w:i/>
              </w:rPr>
              <w:t>C</w:t>
            </w:r>
            <w:r w:rsidRPr="00091E8F">
              <w:rPr>
                <w:i/>
                <w:vertAlign w:val="subscript"/>
              </w:rPr>
              <w:t>0</w:t>
            </w:r>
          </w:p>
        </w:tc>
        <w:tc>
          <w:tcPr>
            <w:tcW w:w="6946" w:type="dxa"/>
          </w:tcPr>
          <w:p w14:paraId="5BC8E3D3" w14:textId="5DEB25A9" w:rsidR="007E0ED0" w:rsidRDefault="007E0ED0" w:rsidP="007E0ED0">
            <w:pPr>
              <w:pStyle w:val="Body"/>
              <w:rPr>
                <w:rFonts w:eastAsia="Times New Roman"/>
                <w:lang w:eastAsia="en-AU"/>
              </w:rPr>
            </w:pPr>
            <w:r>
              <w:rPr>
                <w:rFonts w:eastAsia="Times New Roman"/>
                <w:lang w:eastAsia="en-AU"/>
              </w:rPr>
              <w:t>Initial concentration</w:t>
            </w:r>
            <w:r w:rsidR="00091E8F">
              <w:rPr>
                <w:rFonts w:eastAsia="Times New Roman"/>
                <w:lang w:eastAsia="en-AU"/>
              </w:rPr>
              <w:t xml:space="preserve"> (mg/L)</w:t>
            </w:r>
          </w:p>
        </w:tc>
      </w:tr>
      <w:tr w:rsidR="007E0ED0" w:rsidRPr="00E6110F" w14:paraId="3170F4F0" w14:textId="77777777" w:rsidTr="00C270C5">
        <w:tc>
          <w:tcPr>
            <w:tcW w:w="2268" w:type="dxa"/>
          </w:tcPr>
          <w:p w14:paraId="337CA17D" w14:textId="6AA11DDC" w:rsidR="007E0ED0" w:rsidRDefault="007E0ED0" w:rsidP="0030293D">
            <w:pPr>
              <w:pStyle w:val="Body"/>
              <w:rPr>
                <w:i/>
              </w:rPr>
            </w:pPr>
            <w:r>
              <w:rPr>
                <w:i/>
              </w:rPr>
              <w:t>C</w:t>
            </w:r>
            <w:r w:rsidRPr="00091E8F">
              <w:rPr>
                <w:i/>
                <w:vertAlign w:val="subscript"/>
              </w:rPr>
              <w:t>ads</w:t>
            </w:r>
          </w:p>
        </w:tc>
        <w:tc>
          <w:tcPr>
            <w:tcW w:w="6946" w:type="dxa"/>
          </w:tcPr>
          <w:p w14:paraId="4F4BFE8B" w14:textId="732A0278" w:rsidR="007E0ED0" w:rsidRPr="00E6110F" w:rsidRDefault="00091E8F" w:rsidP="005574E1">
            <w:pPr>
              <w:pStyle w:val="Body"/>
              <w:rPr>
                <w:rFonts w:eastAsia="Times New Roman"/>
                <w:lang w:eastAsia="en-AU"/>
              </w:rPr>
            </w:pPr>
            <w:r>
              <w:rPr>
                <w:rFonts w:eastAsia="Times New Roman"/>
                <w:lang w:eastAsia="en-AU"/>
              </w:rPr>
              <w:t>Adsorbed (or solid phase) concentration (mg/L)</w:t>
            </w:r>
          </w:p>
        </w:tc>
      </w:tr>
      <w:tr w:rsidR="00CD2A24" w:rsidRPr="00E6110F" w14:paraId="510076CF" w14:textId="77777777" w:rsidTr="00C270C5">
        <w:tc>
          <w:tcPr>
            <w:tcW w:w="2268" w:type="dxa"/>
          </w:tcPr>
          <w:p w14:paraId="489208BC" w14:textId="2FE709F1" w:rsidR="00CD2A24" w:rsidRPr="00E6110F" w:rsidRDefault="00CD2A24" w:rsidP="0030293D">
            <w:pPr>
              <w:pStyle w:val="Body"/>
              <w:rPr>
                <w:i/>
              </w:rPr>
            </w:pPr>
            <w:r>
              <w:rPr>
                <w:i/>
              </w:rPr>
              <w:t>C</w:t>
            </w:r>
            <w:r w:rsidRPr="00091E8F">
              <w:rPr>
                <w:i/>
                <w:vertAlign w:val="subscript"/>
              </w:rPr>
              <w:t>liq</w:t>
            </w:r>
          </w:p>
        </w:tc>
        <w:tc>
          <w:tcPr>
            <w:tcW w:w="6946" w:type="dxa"/>
          </w:tcPr>
          <w:p w14:paraId="2565E49F" w14:textId="34D993A4" w:rsidR="00CD2A24" w:rsidRPr="00E6110F" w:rsidRDefault="00091E8F" w:rsidP="005574E1">
            <w:pPr>
              <w:pStyle w:val="Body"/>
              <w:rPr>
                <w:rFonts w:eastAsia="Times New Roman"/>
                <w:lang w:eastAsia="en-AU"/>
              </w:rPr>
            </w:pPr>
            <w:r>
              <w:rPr>
                <w:rFonts w:eastAsia="Times New Roman"/>
                <w:lang w:eastAsia="en-AU"/>
              </w:rPr>
              <w:t>Liquid phase concentration (mg/L)</w:t>
            </w:r>
          </w:p>
        </w:tc>
      </w:tr>
      <w:tr w:rsidR="003A11DD" w:rsidRPr="00E6110F" w14:paraId="1FA0237C" w14:textId="77777777" w:rsidTr="00C270C5">
        <w:tc>
          <w:tcPr>
            <w:tcW w:w="2268" w:type="dxa"/>
          </w:tcPr>
          <w:p w14:paraId="065C3762" w14:textId="5D7E0F2E" w:rsidR="003A11DD" w:rsidRDefault="003A11DD" w:rsidP="0030293D">
            <w:pPr>
              <w:pStyle w:val="Body"/>
              <w:rPr>
                <w:i/>
              </w:rPr>
            </w:pPr>
            <w:r>
              <w:rPr>
                <w:i/>
              </w:rPr>
              <w:t>D</w:t>
            </w:r>
            <w:r w:rsidRPr="00091E8F">
              <w:rPr>
                <w:i/>
                <w:vertAlign w:val="subscript"/>
              </w:rPr>
              <w:t>L</w:t>
            </w:r>
          </w:p>
        </w:tc>
        <w:tc>
          <w:tcPr>
            <w:tcW w:w="6946" w:type="dxa"/>
          </w:tcPr>
          <w:p w14:paraId="1AC556D0" w14:textId="72F3F05E" w:rsidR="003A11DD" w:rsidRPr="00E6110F" w:rsidRDefault="00091E8F" w:rsidP="005574E1">
            <w:pPr>
              <w:pStyle w:val="Body"/>
              <w:rPr>
                <w:rFonts w:eastAsia="Times New Roman"/>
                <w:lang w:eastAsia="en-AU"/>
              </w:rPr>
            </w:pPr>
            <w:r>
              <w:rPr>
                <w:rFonts w:eastAsia="Times New Roman"/>
                <w:lang w:eastAsia="en-AU"/>
              </w:rPr>
              <w:t xml:space="preserve">Longitudinal dispersion </w:t>
            </w:r>
            <w:r>
              <w:t>(m</w:t>
            </w:r>
            <w:r w:rsidRPr="00091E8F">
              <w:rPr>
                <w:vertAlign w:val="superscript"/>
              </w:rPr>
              <w:t>2</w:t>
            </w:r>
            <w:r>
              <w:t>/day)</w:t>
            </w:r>
          </w:p>
        </w:tc>
      </w:tr>
      <w:tr w:rsidR="003A11DD" w:rsidRPr="00E6110F" w14:paraId="41388B81" w14:textId="77777777" w:rsidTr="00C270C5">
        <w:tc>
          <w:tcPr>
            <w:tcW w:w="2268" w:type="dxa"/>
          </w:tcPr>
          <w:p w14:paraId="2E036399" w14:textId="49265536" w:rsidR="003A11DD" w:rsidRDefault="003A11DD" w:rsidP="00091E8F">
            <w:pPr>
              <w:pStyle w:val="Body"/>
              <w:rPr>
                <w:i/>
              </w:rPr>
            </w:pPr>
            <w:r w:rsidRPr="00181692">
              <w:rPr>
                <w:i/>
              </w:rPr>
              <w:t>D</w:t>
            </w:r>
            <w:r w:rsidRPr="00181692">
              <w:rPr>
                <w:vertAlign w:val="subscript"/>
              </w:rPr>
              <w:t>TH</w:t>
            </w:r>
            <w:r w:rsidR="00B945B5">
              <w:rPr>
                <w:vertAlign w:val="subscript"/>
              </w:rPr>
              <w:t xml:space="preserve"> </w:t>
            </w:r>
            <w:r w:rsidR="00091E8F">
              <w:t xml:space="preserve">, </w:t>
            </w:r>
            <w:r w:rsidRPr="00181692">
              <w:rPr>
                <w:i/>
              </w:rPr>
              <w:t>D</w:t>
            </w:r>
            <w:r w:rsidRPr="00181692">
              <w:rPr>
                <w:vertAlign w:val="subscript"/>
              </w:rPr>
              <w:t>TV</w:t>
            </w:r>
          </w:p>
        </w:tc>
        <w:tc>
          <w:tcPr>
            <w:tcW w:w="6946" w:type="dxa"/>
          </w:tcPr>
          <w:p w14:paraId="5310A937" w14:textId="3EDD8C55" w:rsidR="003A11DD" w:rsidRPr="00E6110F" w:rsidRDefault="00091E8F" w:rsidP="00091E8F">
            <w:pPr>
              <w:pStyle w:val="Body"/>
              <w:rPr>
                <w:rFonts w:eastAsia="Times New Roman"/>
                <w:lang w:eastAsia="en-AU"/>
              </w:rPr>
            </w:pPr>
            <w:r>
              <w:t>Horizontal and vertical transverse dispersion (m</w:t>
            </w:r>
            <w:r w:rsidRPr="00091E8F">
              <w:rPr>
                <w:vertAlign w:val="superscript"/>
              </w:rPr>
              <w:t>2</w:t>
            </w:r>
            <w:r>
              <w:t>/day)</w:t>
            </w:r>
          </w:p>
        </w:tc>
      </w:tr>
      <w:tr w:rsidR="007E0ED0" w:rsidRPr="00E6110F" w14:paraId="3315E157" w14:textId="77777777" w:rsidTr="00C270C5">
        <w:tc>
          <w:tcPr>
            <w:tcW w:w="2268" w:type="dxa"/>
          </w:tcPr>
          <w:p w14:paraId="07FF11E3" w14:textId="69729A73" w:rsidR="007E0ED0" w:rsidRDefault="007E0ED0" w:rsidP="0030293D">
            <w:pPr>
              <w:pStyle w:val="Body"/>
              <w:rPr>
                <w:i/>
              </w:rPr>
            </w:pPr>
            <w:r>
              <w:rPr>
                <w:i/>
              </w:rPr>
              <w:t>E</w:t>
            </w:r>
            <w:r w:rsidRPr="00091E8F">
              <w:rPr>
                <w:i/>
                <w:vertAlign w:val="subscript"/>
              </w:rPr>
              <w:t>a</w:t>
            </w:r>
          </w:p>
        </w:tc>
        <w:tc>
          <w:tcPr>
            <w:tcW w:w="6946" w:type="dxa"/>
          </w:tcPr>
          <w:p w14:paraId="5F5DF892" w14:textId="1F9A7858" w:rsidR="007E0ED0" w:rsidRPr="00E6110F" w:rsidRDefault="007E0ED0" w:rsidP="005574E1">
            <w:pPr>
              <w:pStyle w:val="Body"/>
              <w:rPr>
                <w:rFonts w:eastAsia="Times New Roman"/>
                <w:lang w:eastAsia="en-AU"/>
              </w:rPr>
            </w:pPr>
            <w:r>
              <w:rPr>
                <w:rFonts w:eastAsia="Times New Roman"/>
                <w:lang w:eastAsia="en-AU"/>
              </w:rPr>
              <w:t xml:space="preserve">Activation energy </w:t>
            </w:r>
            <w:r w:rsidRPr="00E6110F">
              <w:t>(kJ/mol</w:t>
            </w:r>
            <w:r>
              <w:t>)</w:t>
            </w:r>
          </w:p>
        </w:tc>
      </w:tr>
      <w:tr w:rsidR="007E0ED0" w:rsidRPr="00E6110F" w14:paraId="4C7FB939" w14:textId="77777777" w:rsidTr="00C270C5">
        <w:tc>
          <w:tcPr>
            <w:tcW w:w="2268" w:type="dxa"/>
          </w:tcPr>
          <w:p w14:paraId="14D3A243" w14:textId="5AF1975F" w:rsidR="007E0ED0" w:rsidRDefault="007E0ED0" w:rsidP="0030293D">
            <w:pPr>
              <w:pStyle w:val="Body"/>
              <w:rPr>
                <w:i/>
              </w:rPr>
            </w:pPr>
            <w:r>
              <w:rPr>
                <w:i/>
              </w:rPr>
              <w:t>E</w:t>
            </w:r>
            <w:r w:rsidRPr="00091E8F">
              <w:rPr>
                <w:i/>
                <w:vertAlign w:val="subscript"/>
              </w:rPr>
              <w:t>h</w:t>
            </w:r>
          </w:p>
        </w:tc>
        <w:tc>
          <w:tcPr>
            <w:tcW w:w="6946" w:type="dxa"/>
          </w:tcPr>
          <w:p w14:paraId="1604AD79" w14:textId="13592A68" w:rsidR="007E0ED0" w:rsidRPr="00E6110F" w:rsidRDefault="007E0ED0" w:rsidP="005574E1">
            <w:pPr>
              <w:pStyle w:val="Body"/>
              <w:rPr>
                <w:rFonts w:eastAsia="Times New Roman"/>
                <w:lang w:eastAsia="en-AU"/>
              </w:rPr>
            </w:pPr>
            <w:r>
              <w:rPr>
                <w:rFonts w:eastAsia="Times New Roman"/>
                <w:lang w:eastAsia="en-AU"/>
              </w:rPr>
              <w:t>Redox potential</w:t>
            </w:r>
            <w:r w:rsidR="00091E8F">
              <w:rPr>
                <w:rFonts w:eastAsia="Times New Roman"/>
                <w:lang w:eastAsia="en-AU"/>
              </w:rPr>
              <w:t xml:space="preserve"> (mV)</w:t>
            </w:r>
          </w:p>
        </w:tc>
      </w:tr>
      <w:tr w:rsidR="00CD2A24" w:rsidRPr="00E6110F" w14:paraId="11EEC669" w14:textId="77777777" w:rsidTr="00C270C5">
        <w:tc>
          <w:tcPr>
            <w:tcW w:w="2268" w:type="dxa"/>
          </w:tcPr>
          <w:p w14:paraId="5959C22F" w14:textId="103E71A1" w:rsidR="00CD2A24" w:rsidRDefault="00CD2A24" w:rsidP="0030293D">
            <w:pPr>
              <w:pStyle w:val="Body"/>
              <w:rPr>
                <w:i/>
              </w:rPr>
            </w:pPr>
            <w:r>
              <w:rPr>
                <w:i/>
              </w:rPr>
              <w:t>f</w:t>
            </w:r>
            <w:r w:rsidRPr="00B945B5">
              <w:rPr>
                <w:i/>
                <w:vertAlign w:val="subscript"/>
              </w:rPr>
              <w:t>OC</w:t>
            </w:r>
          </w:p>
        </w:tc>
        <w:tc>
          <w:tcPr>
            <w:tcW w:w="6946" w:type="dxa"/>
          </w:tcPr>
          <w:p w14:paraId="637B72C4" w14:textId="6730FD0D" w:rsidR="00CD2A24" w:rsidRPr="00E6110F" w:rsidRDefault="00091E8F" w:rsidP="005574E1">
            <w:pPr>
              <w:pStyle w:val="Body"/>
              <w:rPr>
                <w:rFonts w:eastAsia="Times New Roman"/>
                <w:lang w:eastAsia="en-AU"/>
              </w:rPr>
            </w:pPr>
            <w:r>
              <w:rPr>
                <w:rFonts w:eastAsia="Times New Roman"/>
                <w:lang w:eastAsia="en-AU"/>
              </w:rPr>
              <w:t>Fraction of organic carbon</w:t>
            </w:r>
            <w:r w:rsidR="00B945B5">
              <w:rPr>
                <w:rFonts w:eastAsia="Times New Roman"/>
                <w:lang w:eastAsia="en-AU"/>
              </w:rPr>
              <w:t xml:space="preserve"> (g/g)</w:t>
            </w:r>
          </w:p>
        </w:tc>
      </w:tr>
      <w:tr w:rsidR="00CD2A24" w:rsidRPr="00E6110F" w14:paraId="37932D60" w14:textId="77777777" w:rsidTr="00C270C5">
        <w:tc>
          <w:tcPr>
            <w:tcW w:w="2268" w:type="dxa"/>
          </w:tcPr>
          <w:p w14:paraId="6F2DEDD7" w14:textId="010519DA" w:rsidR="00CD2A24" w:rsidRDefault="00CD2A24" w:rsidP="0030293D">
            <w:pPr>
              <w:pStyle w:val="Body"/>
              <w:rPr>
                <w:i/>
              </w:rPr>
            </w:pPr>
            <w:r>
              <w:rPr>
                <w:i/>
              </w:rPr>
              <w:t>f</w:t>
            </w:r>
            <w:r w:rsidRPr="00B945B5">
              <w:rPr>
                <w:i/>
                <w:vertAlign w:val="subscript"/>
              </w:rPr>
              <w:t>OC_r</w:t>
            </w:r>
          </w:p>
        </w:tc>
        <w:tc>
          <w:tcPr>
            <w:tcW w:w="6946" w:type="dxa"/>
          </w:tcPr>
          <w:p w14:paraId="500A5607" w14:textId="0FEF6985" w:rsidR="00CD2A24" w:rsidRPr="00E6110F" w:rsidRDefault="00B945B5" w:rsidP="005574E1">
            <w:pPr>
              <w:pStyle w:val="Body"/>
              <w:rPr>
                <w:rFonts w:eastAsia="Times New Roman"/>
                <w:lang w:eastAsia="en-AU"/>
              </w:rPr>
            </w:pPr>
            <w:r>
              <w:rPr>
                <w:rFonts w:eastAsia="Times New Roman"/>
                <w:lang w:eastAsia="en-AU"/>
              </w:rPr>
              <w:t>Fraction of organic carbon, rescaled (g/g)</w:t>
            </w:r>
          </w:p>
        </w:tc>
      </w:tr>
      <w:tr w:rsidR="00CD2A24" w:rsidRPr="00E6110F" w14:paraId="55D1D306" w14:textId="77777777" w:rsidTr="002D4C66">
        <w:tc>
          <w:tcPr>
            <w:tcW w:w="2268" w:type="dxa"/>
          </w:tcPr>
          <w:p w14:paraId="504B4397" w14:textId="384A094F" w:rsidR="00CD2A24" w:rsidRPr="00E6110F" w:rsidRDefault="007B3DC4" w:rsidP="002D4C66">
            <w:pPr>
              <w:pStyle w:val="Body"/>
              <w:rPr>
                <w:i/>
              </w:rPr>
            </w:pPr>
            <w:r>
              <w:rPr>
                <w:i/>
              </w:rPr>
              <w:t>k</w:t>
            </w:r>
          </w:p>
        </w:tc>
        <w:tc>
          <w:tcPr>
            <w:tcW w:w="6946" w:type="dxa"/>
          </w:tcPr>
          <w:p w14:paraId="726CDFC7" w14:textId="4BD0F3C3" w:rsidR="00CD2A24" w:rsidRPr="00E6110F" w:rsidRDefault="00D97741" w:rsidP="00B945B5">
            <w:pPr>
              <w:pStyle w:val="Body"/>
              <w:rPr>
                <w:rFonts w:eastAsia="Times New Roman"/>
                <w:lang w:eastAsia="en-AU"/>
              </w:rPr>
            </w:pPr>
            <w:r>
              <w:rPr>
                <w:rFonts w:eastAsia="Times New Roman"/>
                <w:lang w:eastAsia="en-AU"/>
              </w:rPr>
              <w:t>P</w:t>
            </w:r>
            <w:r w:rsidR="00CD2A24" w:rsidRPr="00E6110F">
              <w:rPr>
                <w:rFonts w:eastAsia="Times New Roman"/>
                <w:lang w:eastAsia="en-AU"/>
              </w:rPr>
              <w:t>ermeability [</w:t>
            </w:r>
            <w:r w:rsidR="00B945B5">
              <w:rPr>
                <w:rFonts w:eastAsia="Times New Roman"/>
                <w:lang w:eastAsia="en-AU"/>
              </w:rPr>
              <w:t>m</w:t>
            </w:r>
            <w:r w:rsidR="00CD2A24" w:rsidRPr="00E6110F">
              <w:rPr>
                <w:rFonts w:eastAsia="Times New Roman"/>
                <w:vertAlign w:val="superscript"/>
                <w:lang w:eastAsia="en-AU"/>
              </w:rPr>
              <w:t>2</w:t>
            </w:r>
            <w:r w:rsidR="00CD2A24" w:rsidRPr="00E6110F">
              <w:rPr>
                <w:rFonts w:eastAsia="Times New Roman"/>
                <w:lang w:eastAsia="en-AU"/>
              </w:rPr>
              <w:t>]</w:t>
            </w:r>
          </w:p>
        </w:tc>
      </w:tr>
      <w:tr w:rsidR="00267348" w:rsidRPr="00E6110F" w14:paraId="48660C79" w14:textId="77777777" w:rsidTr="002D4C66">
        <w:tc>
          <w:tcPr>
            <w:tcW w:w="2268" w:type="dxa"/>
          </w:tcPr>
          <w:p w14:paraId="29612F1D" w14:textId="5D1840D8" w:rsidR="00267348" w:rsidRDefault="00267348" w:rsidP="00267348">
            <w:pPr>
              <w:pStyle w:val="Body"/>
              <w:rPr>
                <w:i/>
              </w:rPr>
            </w:pPr>
            <w:r w:rsidRPr="00E6110F">
              <w:rPr>
                <w:i/>
              </w:rPr>
              <w:t>K</w:t>
            </w:r>
          </w:p>
        </w:tc>
        <w:tc>
          <w:tcPr>
            <w:tcW w:w="6946" w:type="dxa"/>
          </w:tcPr>
          <w:p w14:paraId="10592ED3" w14:textId="067C844D" w:rsidR="00267348" w:rsidRPr="00E6110F" w:rsidRDefault="00267348" w:rsidP="00267348">
            <w:pPr>
              <w:pStyle w:val="Body"/>
              <w:rPr>
                <w:rFonts w:eastAsia="Times New Roman"/>
                <w:lang w:eastAsia="en-AU"/>
              </w:rPr>
            </w:pPr>
            <w:r>
              <w:rPr>
                <w:rFonts w:eastAsia="Times New Roman"/>
                <w:lang w:eastAsia="en-AU"/>
              </w:rPr>
              <w:t>H</w:t>
            </w:r>
            <w:r w:rsidRPr="00E6110F">
              <w:rPr>
                <w:rFonts w:eastAsia="Times New Roman"/>
                <w:lang w:eastAsia="en-AU"/>
              </w:rPr>
              <w:t>ydraulic conductivity [L.T</w:t>
            </w:r>
            <w:r w:rsidRPr="00E6110F">
              <w:rPr>
                <w:rFonts w:eastAsia="Times New Roman"/>
                <w:vertAlign w:val="superscript"/>
                <w:lang w:eastAsia="en-AU"/>
              </w:rPr>
              <w:t>-1</w:t>
            </w:r>
            <w:r w:rsidRPr="00E6110F">
              <w:rPr>
                <w:rFonts w:eastAsia="Times New Roman"/>
                <w:lang w:eastAsia="en-AU"/>
              </w:rPr>
              <w:t>]</w:t>
            </w:r>
          </w:p>
        </w:tc>
      </w:tr>
      <w:tr w:rsidR="00267348" w:rsidRPr="00E6110F" w14:paraId="1726222D" w14:textId="77777777" w:rsidTr="00C270C5">
        <w:tc>
          <w:tcPr>
            <w:tcW w:w="2268" w:type="dxa"/>
          </w:tcPr>
          <w:p w14:paraId="612FF564" w14:textId="394379ED" w:rsidR="00267348" w:rsidRPr="00E6110F" w:rsidRDefault="00267348" w:rsidP="00267348">
            <w:pPr>
              <w:pStyle w:val="Body"/>
              <w:rPr>
                <w:i/>
              </w:rPr>
            </w:pPr>
            <w:r w:rsidRPr="00267348">
              <w:rPr>
                <w:rFonts w:ascii="Times New Roman" w:hAnsi="Times New Roman" w:cs="Times New Roman"/>
                <w:i/>
              </w:rPr>
              <w:t>κ</w:t>
            </w:r>
          </w:p>
        </w:tc>
        <w:tc>
          <w:tcPr>
            <w:tcW w:w="6946" w:type="dxa"/>
          </w:tcPr>
          <w:p w14:paraId="07E5D4EC" w14:textId="47B26D6B" w:rsidR="00267348" w:rsidRPr="00E6110F" w:rsidRDefault="00267348" w:rsidP="00267348">
            <w:pPr>
              <w:pStyle w:val="Body"/>
              <w:rPr>
                <w:rFonts w:eastAsia="Times New Roman"/>
                <w:lang w:eastAsia="en-AU"/>
              </w:rPr>
            </w:pPr>
            <w:r>
              <w:rPr>
                <w:rFonts w:eastAsia="Times New Roman"/>
                <w:lang w:eastAsia="en-AU"/>
              </w:rPr>
              <w:t>Rate constant (1/day)</w:t>
            </w:r>
          </w:p>
        </w:tc>
      </w:tr>
      <w:tr w:rsidR="00267348" w:rsidRPr="00E6110F" w14:paraId="23BF97D6" w14:textId="77777777" w:rsidTr="00C270C5">
        <w:tc>
          <w:tcPr>
            <w:tcW w:w="2268" w:type="dxa"/>
          </w:tcPr>
          <w:p w14:paraId="7369AA0E" w14:textId="0830B1D4" w:rsidR="00267348" w:rsidRPr="00E6110F" w:rsidRDefault="00267348" w:rsidP="00267348">
            <w:pPr>
              <w:pStyle w:val="Body"/>
              <w:rPr>
                <w:i/>
              </w:rPr>
            </w:pPr>
            <w:r>
              <w:rPr>
                <w:i/>
              </w:rPr>
              <w:t>K</w:t>
            </w:r>
            <w:r w:rsidRPr="00B945B5">
              <w:rPr>
                <w:i/>
                <w:vertAlign w:val="subscript"/>
              </w:rPr>
              <w:t>d</w:t>
            </w:r>
          </w:p>
        </w:tc>
        <w:tc>
          <w:tcPr>
            <w:tcW w:w="6946" w:type="dxa"/>
          </w:tcPr>
          <w:p w14:paraId="37ADDB37" w14:textId="1B731615" w:rsidR="00267348" w:rsidRPr="00E6110F" w:rsidRDefault="00267348" w:rsidP="00267348">
            <w:pPr>
              <w:pStyle w:val="Body"/>
              <w:rPr>
                <w:rFonts w:eastAsia="Times New Roman"/>
                <w:lang w:eastAsia="en-AU"/>
              </w:rPr>
            </w:pPr>
            <w:r>
              <w:rPr>
                <w:rFonts w:eastAsia="Times New Roman"/>
                <w:lang w:eastAsia="en-AU"/>
              </w:rPr>
              <w:t>Solid-liquid partition coefficient (L/kg)</w:t>
            </w:r>
          </w:p>
        </w:tc>
      </w:tr>
      <w:tr w:rsidR="00267348" w:rsidRPr="00E6110F" w14:paraId="7344D94C" w14:textId="77777777" w:rsidTr="00C270C5">
        <w:tc>
          <w:tcPr>
            <w:tcW w:w="2268" w:type="dxa"/>
          </w:tcPr>
          <w:p w14:paraId="497029E1" w14:textId="335127BB" w:rsidR="00267348" w:rsidRDefault="00267348" w:rsidP="00267348">
            <w:pPr>
              <w:pStyle w:val="Body"/>
              <w:rPr>
                <w:i/>
              </w:rPr>
            </w:pPr>
            <w:r>
              <w:rPr>
                <w:i/>
              </w:rPr>
              <w:t>K</w:t>
            </w:r>
            <w:r w:rsidRPr="00B945B5">
              <w:rPr>
                <w:i/>
                <w:vertAlign w:val="subscript"/>
              </w:rPr>
              <w:t>eq</w:t>
            </w:r>
          </w:p>
        </w:tc>
        <w:tc>
          <w:tcPr>
            <w:tcW w:w="6946" w:type="dxa"/>
          </w:tcPr>
          <w:p w14:paraId="6F0378F9" w14:textId="39D0CAE7" w:rsidR="00267348" w:rsidRPr="00E6110F" w:rsidRDefault="00267348" w:rsidP="00267348">
            <w:pPr>
              <w:pStyle w:val="Body"/>
              <w:rPr>
                <w:rFonts w:eastAsia="Times New Roman"/>
                <w:lang w:eastAsia="en-AU"/>
              </w:rPr>
            </w:pPr>
            <w:r>
              <w:t>E</w:t>
            </w:r>
            <w:r w:rsidRPr="00E6110F">
              <w:t>quilibrium partition coefficient at a given temperature (L/kg)</w:t>
            </w:r>
          </w:p>
        </w:tc>
      </w:tr>
      <w:tr w:rsidR="00267348" w:rsidRPr="00E6110F" w14:paraId="237307C4" w14:textId="77777777" w:rsidTr="00C270C5">
        <w:tc>
          <w:tcPr>
            <w:tcW w:w="2268" w:type="dxa"/>
          </w:tcPr>
          <w:p w14:paraId="13C2A116" w14:textId="77777777" w:rsidR="00267348" w:rsidRPr="00E6110F" w:rsidRDefault="00267348" w:rsidP="00267348">
            <w:pPr>
              <w:pStyle w:val="Body"/>
              <w:rPr>
                <w:i/>
              </w:rPr>
            </w:pPr>
            <w:r w:rsidRPr="00E6110F">
              <w:rPr>
                <w:i/>
              </w:rPr>
              <w:t>k</w:t>
            </w:r>
            <w:r w:rsidRPr="00E6110F">
              <w:rPr>
                <w:i/>
                <w:vertAlign w:val="subscript"/>
              </w:rPr>
              <w:t>h</w:t>
            </w:r>
          </w:p>
        </w:tc>
        <w:tc>
          <w:tcPr>
            <w:tcW w:w="6946" w:type="dxa"/>
          </w:tcPr>
          <w:p w14:paraId="2CAA7C65" w14:textId="49E05E2D" w:rsidR="00267348" w:rsidRPr="00E6110F" w:rsidRDefault="00267348" w:rsidP="00267348">
            <w:pPr>
              <w:pStyle w:val="Body"/>
              <w:rPr>
                <w:rFonts w:eastAsia="Times New Roman"/>
                <w:lang w:eastAsia="en-AU"/>
              </w:rPr>
            </w:pPr>
            <w:r>
              <w:rPr>
                <w:rFonts w:eastAsia="Times New Roman"/>
                <w:lang w:eastAsia="en-AU"/>
              </w:rPr>
              <w:t>H</w:t>
            </w:r>
            <w:r w:rsidRPr="00E6110F">
              <w:rPr>
                <w:rFonts w:eastAsia="Times New Roman"/>
                <w:lang w:eastAsia="en-AU"/>
              </w:rPr>
              <w:t>orizontal permeability [</w:t>
            </w:r>
            <w:r>
              <w:rPr>
                <w:rFonts w:eastAsia="Times New Roman"/>
                <w:lang w:eastAsia="en-AU"/>
              </w:rPr>
              <w:t>m</w:t>
            </w:r>
            <w:r w:rsidRPr="00E6110F">
              <w:rPr>
                <w:rFonts w:eastAsia="Times New Roman"/>
                <w:vertAlign w:val="superscript"/>
                <w:lang w:eastAsia="en-AU"/>
              </w:rPr>
              <w:t>2</w:t>
            </w:r>
            <w:r w:rsidRPr="00E6110F">
              <w:rPr>
                <w:rFonts w:eastAsia="Times New Roman"/>
                <w:lang w:eastAsia="en-AU"/>
              </w:rPr>
              <w:t>]</w:t>
            </w:r>
          </w:p>
        </w:tc>
      </w:tr>
      <w:tr w:rsidR="00267348" w:rsidRPr="00E6110F" w14:paraId="3BF8D3DD" w14:textId="77777777" w:rsidTr="00C270C5">
        <w:tc>
          <w:tcPr>
            <w:tcW w:w="2268" w:type="dxa"/>
          </w:tcPr>
          <w:p w14:paraId="3181BC58" w14:textId="53E49203" w:rsidR="00267348" w:rsidRPr="00E6110F" w:rsidRDefault="00267348" w:rsidP="00267348">
            <w:pPr>
              <w:pStyle w:val="Body"/>
              <w:rPr>
                <w:i/>
              </w:rPr>
            </w:pPr>
            <w:r>
              <w:rPr>
                <w:i/>
              </w:rPr>
              <w:t>K</w:t>
            </w:r>
            <w:r w:rsidRPr="00B945B5">
              <w:rPr>
                <w:i/>
                <w:vertAlign w:val="subscript"/>
              </w:rPr>
              <w:t>OC</w:t>
            </w:r>
          </w:p>
        </w:tc>
        <w:tc>
          <w:tcPr>
            <w:tcW w:w="6946" w:type="dxa"/>
          </w:tcPr>
          <w:p w14:paraId="59235821" w14:textId="0C16187A" w:rsidR="00267348" w:rsidRPr="00E6110F" w:rsidRDefault="00267348" w:rsidP="00267348">
            <w:pPr>
              <w:pStyle w:val="Body"/>
              <w:rPr>
                <w:rFonts w:eastAsia="Times New Roman"/>
                <w:lang w:eastAsia="en-AU"/>
              </w:rPr>
            </w:pPr>
            <w:r>
              <w:rPr>
                <w:rFonts w:eastAsia="Times New Roman"/>
                <w:lang w:eastAsia="en-AU"/>
              </w:rPr>
              <w:t>Organic carbon partition coefficient (L/kg)</w:t>
            </w:r>
          </w:p>
        </w:tc>
      </w:tr>
      <w:tr w:rsidR="00267348" w:rsidRPr="00E6110F" w14:paraId="33CF338E" w14:textId="77777777" w:rsidTr="00C270C5">
        <w:tc>
          <w:tcPr>
            <w:tcW w:w="2268" w:type="dxa"/>
          </w:tcPr>
          <w:p w14:paraId="50A2CC4A" w14:textId="2EF995D8" w:rsidR="00267348" w:rsidRDefault="00267348" w:rsidP="00267348">
            <w:pPr>
              <w:pStyle w:val="Body"/>
              <w:rPr>
                <w:i/>
              </w:rPr>
            </w:pPr>
            <w:r>
              <w:rPr>
                <w:i/>
              </w:rPr>
              <w:t>K</w:t>
            </w:r>
            <w:r w:rsidRPr="00B945B5">
              <w:rPr>
                <w:i/>
                <w:vertAlign w:val="subscript"/>
              </w:rPr>
              <w:t>OW</w:t>
            </w:r>
          </w:p>
        </w:tc>
        <w:tc>
          <w:tcPr>
            <w:tcW w:w="6946" w:type="dxa"/>
          </w:tcPr>
          <w:p w14:paraId="10840562" w14:textId="2E6167EB" w:rsidR="00267348" w:rsidRPr="00E6110F" w:rsidRDefault="00267348" w:rsidP="00267348">
            <w:pPr>
              <w:pStyle w:val="Body"/>
              <w:rPr>
                <w:rFonts w:eastAsia="Times New Roman"/>
                <w:lang w:eastAsia="en-AU"/>
              </w:rPr>
            </w:pPr>
            <w:r>
              <w:rPr>
                <w:rFonts w:cs="HelveticaNeue Condensed"/>
              </w:rPr>
              <w:t>O</w:t>
            </w:r>
            <w:r w:rsidRPr="00E6110F">
              <w:rPr>
                <w:rFonts w:cs="HelveticaNeue Condensed"/>
              </w:rPr>
              <w:t>ctanol-water partition coefficient</w:t>
            </w:r>
            <w:r>
              <w:rPr>
                <w:rFonts w:cs="HelveticaNeue Condensed"/>
              </w:rPr>
              <w:t xml:space="preserve"> </w:t>
            </w:r>
            <w:r>
              <w:rPr>
                <w:rFonts w:eastAsia="Times New Roman"/>
                <w:lang w:eastAsia="en-AU"/>
              </w:rPr>
              <w:t>(L/kg)</w:t>
            </w:r>
          </w:p>
        </w:tc>
      </w:tr>
      <w:tr w:rsidR="00267348" w:rsidRPr="00E6110F" w14:paraId="27F20AA7" w14:textId="77777777" w:rsidTr="00C270C5">
        <w:tc>
          <w:tcPr>
            <w:tcW w:w="2268" w:type="dxa"/>
          </w:tcPr>
          <w:p w14:paraId="0EFDA46D" w14:textId="77777777" w:rsidR="00267348" w:rsidRPr="00E6110F" w:rsidRDefault="00267348" w:rsidP="00267348">
            <w:pPr>
              <w:pStyle w:val="Body"/>
              <w:rPr>
                <w:i/>
              </w:rPr>
            </w:pPr>
            <w:r w:rsidRPr="00E6110F">
              <w:rPr>
                <w:i/>
              </w:rPr>
              <w:t>k</w:t>
            </w:r>
            <w:r w:rsidRPr="00E6110F">
              <w:rPr>
                <w:i/>
                <w:vertAlign w:val="subscript"/>
              </w:rPr>
              <w:t>v</w:t>
            </w:r>
          </w:p>
        </w:tc>
        <w:tc>
          <w:tcPr>
            <w:tcW w:w="6946" w:type="dxa"/>
          </w:tcPr>
          <w:p w14:paraId="3399A23F" w14:textId="444538F0" w:rsidR="00267348" w:rsidRPr="00E6110F" w:rsidRDefault="00267348" w:rsidP="00267348">
            <w:pPr>
              <w:pStyle w:val="Body"/>
              <w:rPr>
                <w:rFonts w:eastAsia="Times New Roman"/>
                <w:lang w:eastAsia="en-AU"/>
              </w:rPr>
            </w:pPr>
            <w:r>
              <w:rPr>
                <w:rFonts w:eastAsia="Times New Roman"/>
                <w:lang w:eastAsia="en-AU"/>
              </w:rPr>
              <w:t>V</w:t>
            </w:r>
            <w:r w:rsidRPr="00E6110F">
              <w:rPr>
                <w:rFonts w:eastAsia="Times New Roman"/>
                <w:lang w:eastAsia="en-AU"/>
              </w:rPr>
              <w:t>ertical permeability [L</w:t>
            </w:r>
            <w:r w:rsidRPr="00E6110F">
              <w:rPr>
                <w:rFonts w:eastAsia="Times New Roman"/>
                <w:vertAlign w:val="superscript"/>
                <w:lang w:eastAsia="en-AU"/>
              </w:rPr>
              <w:t>2</w:t>
            </w:r>
            <w:r w:rsidRPr="00E6110F">
              <w:rPr>
                <w:rFonts w:eastAsia="Times New Roman"/>
                <w:lang w:eastAsia="en-AU"/>
              </w:rPr>
              <w:t>]</w:t>
            </w:r>
          </w:p>
        </w:tc>
      </w:tr>
      <w:tr w:rsidR="00267348" w:rsidRPr="00E6110F" w14:paraId="5AF62E7C" w14:textId="77777777" w:rsidTr="00C270C5">
        <w:tc>
          <w:tcPr>
            <w:tcW w:w="2268" w:type="dxa"/>
          </w:tcPr>
          <w:p w14:paraId="0D37C80B" w14:textId="4B55B999" w:rsidR="00267348" w:rsidRPr="00E6110F" w:rsidRDefault="00267348" w:rsidP="00267348">
            <w:pPr>
              <w:pStyle w:val="Body"/>
              <w:rPr>
                <w:i/>
              </w:rPr>
            </w:pPr>
            <w:r>
              <w:rPr>
                <w:i/>
              </w:rPr>
              <w:t>n</w:t>
            </w:r>
          </w:p>
        </w:tc>
        <w:tc>
          <w:tcPr>
            <w:tcW w:w="6946" w:type="dxa"/>
          </w:tcPr>
          <w:p w14:paraId="30021541" w14:textId="3AFBC7C9" w:rsidR="00267348" w:rsidRPr="00E6110F" w:rsidRDefault="00267348" w:rsidP="00267348">
            <w:pPr>
              <w:pStyle w:val="Body"/>
              <w:rPr>
                <w:rFonts w:eastAsia="Times New Roman"/>
                <w:lang w:eastAsia="en-AU"/>
              </w:rPr>
            </w:pPr>
            <w:r>
              <w:rPr>
                <w:rFonts w:eastAsia="Times New Roman"/>
                <w:lang w:eastAsia="en-AU"/>
              </w:rPr>
              <w:t>Total porosity (-)</w:t>
            </w:r>
          </w:p>
        </w:tc>
      </w:tr>
      <w:tr w:rsidR="00267348" w:rsidRPr="00E6110F" w14:paraId="299ECF36" w14:textId="77777777" w:rsidTr="00C270C5">
        <w:tc>
          <w:tcPr>
            <w:tcW w:w="2268" w:type="dxa"/>
          </w:tcPr>
          <w:p w14:paraId="48D2CE67" w14:textId="3F73CB85" w:rsidR="00267348" w:rsidRDefault="00267348" w:rsidP="00267348">
            <w:pPr>
              <w:pStyle w:val="Body"/>
              <w:rPr>
                <w:i/>
              </w:rPr>
            </w:pPr>
            <w:r w:rsidRPr="00E6110F">
              <w:t>λ</w:t>
            </w:r>
          </w:p>
        </w:tc>
        <w:tc>
          <w:tcPr>
            <w:tcW w:w="6946" w:type="dxa"/>
          </w:tcPr>
          <w:p w14:paraId="5A4524BA" w14:textId="7D9240A1" w:rsidR="00267348" w:rsidRDefault="00267348" w:rsidP="00267348">
            <w:pPr>
              <w:pStyle w:val="Body"/>
              <w:rPr>
                <w:rFonts w:eastAsia="Times New Roman"/>
                <w:lang w:eastAsia="en-AU"/>
              </w:rPr>
            </w:pPr>
            <w:r>
              <w:t>F</w:t>
            </w:r>
            <w:r w:rsidRPr="00E6110F">
              <w:t>irst-order transformation or decay constant (day</w:t>
            </w:r>
            <w:r w:rsidRPr="00E6110F">
              <w:rPr>
                <w:vertAlign w:val="superscript"/>
              </w:rPr>
              <w:t>-1</w:t>
            </w:r>
            <w:r w:rsidRPr="00E6110F">
              <w:t>)</w:t>
            </w:r>
          </w:p>
        </w:tc>
      </w:tr>
      <w:tr w:rsidR="00267348" w:rsidRPr="00E6110F" w14:paraId="190CAFEF" w14:textId="77777777" w:rsidTr="00C270C5">
        <w:tc>
          <w:tcPr>
            <w:tcW w:w="2268" w:type="dxa"/>
          </w:tcPr>
          <w:p w14:paraId="2FEF76EC" w14:textId="49FD9C25" w:rsidR="00267348" w:rsidRPr="00E6110F" w:rsidRDefault="00267348" w:rsidP="00267348">
            <w:pPr>
              <w:pStyle w:val="Body"/>
            </w:pPr>
            <w:r w:rsidRPr="00E6110F">
              <w:t>λ</w:t>
            </w:r>
            <w:r w:rsidRPr="007B3DC4">
              <w:rPr>
                <w:vertAlign w:val="subscript"/>
              </w:rPr>
              <w:t>L</w:t>
            </w:r>
          </w:p>
        </w:tc>
        <w:tc>
          <w:tcPr>
            <w:tcW w:w="6946" w:type="dxa"/>
          </w:tcPr>
          <w:p w14:paraId="10B208EA" w14:textId="0A93C57A" w:rsidR="00267348" w:rsidRPr="00E6110F" w:rsidRDefault="00267348" w:rsidP="00267348">
            <w:pPr>
              <w:pStyle w:val="Body"/>
            </w:pPr>
            <w:r>
              <w:t>Longitudinal dispersivity (m)</w:t>
            </w:r>
          </w:p>
        </w:tc>
      </w:tr>
      <w:tr w:rsidR="00267348" w:rsidRPr="00E6110F" w14:paraId="41B03B14" w14:textId="77777777" w:rsidTr="00C270C5">
        <w:tc>
          <w:tcPr>
            <w:tcW w:w="2268" w:type="dxa"/>
          </w:tcPr>
          <w:p w14:paraId="1950B513" w14:textId="0D8BD991" w:rsidR="00267348" w:rsidRPr="00E6110F" w:rsidRDefault="00267348" w:rsidP="00267348">
            <w:pPr>
              <w:pStyle w:val="Body"/>
            </w:pPr>
            <w:r>
              <w:t>λ</w:t>
            </w:r>
            <w:r>
              <w:rPr>
                <w:vertAlign w:val="subscript"/>
              </w:rPr>
              <w:t xml:space="preserve">TH , </w:t>
            </w:r>
            <w:r>
              <w:t>λ</w:t>
            </w:r>
            <w:r>
              <w:rPr>
                <w:vertAlign w:val="subscript"/>
              </w:rPr>
              <w:t>TV</w:t>
            </w:r>
          </w:p>
        </w:tc>
        <w:tc>
          <w:tcPr>
            <w:tcW w:w="6946" w:type="dxa"/>
          </w:tcPr>
          <w:p w14:paraId="483F5BC4" w14:textId="49AA73E8" w:rsidR="00267348" w:rsidRPr="00E6110F" w:rsidRDefault="00267348" w:rsidP="00267348">
            <w:pPr>
              <w:pStyle w:val="Body"/>
            </w:pPr>
            <w:r>
              <w:t>Horizontal transverse dispersivity and vertical transverse dispersivity (m)</w:t>
            </w:r>
          </w:p>
        </w:tc>
      </w:tr>
      <w:tr w:rsidR="00267348" w:rsidRPr="00E6110F" w14:paraId="2943CFB2" w14:textId="77777777" w:rsidTr="00C270C5">
        <w:tc>
          <w:tcPr>
            <w:tcW w:w="2268" w:type="dxa"/>
          </w:tcPr>
          <w:p w14:paraId="433DE679" w14:textId="063DD7C8" w:rsidR="00267348" w:rsidRPr="00E6110F" w:rsidRDefault="00267348" w:rsidP="00267348">
            <w:pPr>
              <w:pStyle w:val="Body"/>
            </w:pPr>
            <w:r w:rsidRPr="00E6110F">
              <w:rPr>
                <w:i/>
              </w:rPr>
              <w:t>µ</w:t>
            </w:r>
            <w:r w:rsidRPr="00E6110F">
              <w:rPr>
                <w:vertAlign w:val="subscript"/>
              </w:rPr>
              <w:t xml:space="preserve">1 </w:t>
            </w:r>
            <w:r>
              <w:rPr>
                <w:vertAlign w:val="subscript"/>
              </w:rPr>
              <w:t xml:space="preserve">, </w:t>
            </w:r>
            <w:r w:rsidRPr="00E6110F">
              <w:rPr>
                <w:i/>
              </w:rPr>
              <w:t>µ</w:t>
            </w:r>
            <w:r w:rsidRPr="00E6110F">
              <w:rPr>
                <w:vertAlign w:val="subscript"/>
              </w:rPr>
              <w:t>2</w:t>
            </w:r>
          </w:p>
        </w:tc>
        <w:tc>
          <w:tcPr>
            <w:tcW w:w="6946" w:type="dxa"/>
          </w:tcPr>
          <w:p w14:paraId="38BF9855" w14:textId="056DE061" w:rsidR="00267348" w:rsidRPr="00E6110F" w:rsidRDefault="00267348" w:rsidP="00267348">
            <w:pPr>
              <w:pStyle w:val="Body"/>
            </w:pPr>
            <w:r>
              <w:t>F</w:t>
            </w:r>
            <w:r w:rsidRPr="00E6110F">
              <w:t>irst-order biodegradation constants</w:t>
            </w:r>
            <w:r>
              <w:t xml:space="preserve"> (</w:t>
            </w:r>
            <w:r w:rsidRPr="00E6110F">
              <w:t>day</w:t>
            </w:r>
            <w:r w:rsidRPr="00E6110F">
              <w:rPr>
                <w:vertAlign w:val="superscript"/>
              </w:rPr>
              <w:t>-1</w:t>
            </w:r>
            <w:r w:rsidRPr="00E6110F">
              <w:t>)</w:t>
            </w:r>
          </w:p>
        </w:tc>
      </w:tr>
      <w:tr w:rsidR="00267348" w:rsidRPr="00E6110F" w14:paraId="2422DADF" w14:textId="77777777" w:rsidTr="00C270C5">
        <w:tc>
          <w:tcPr>
            <w:tcW w:w="2268" w:type="dxa"/>
          </w:tcPr>
          <w:p w14:paraId="1F508EEC" w14:textId="6A711C86" w:rsidR="00267348" w:rsidRPr="00E6110F" w:rsidRDefault="00267348" w:rsidP="00267348">
            <w:pPr>
              <w:pStyle w:val="Body"/>
              <w:rPr>
                <w:i/>
              </w:rPr>
            </w:pPr>
            <w:r w:rsidRPr="00623D00">
              <w:rPr>
                <w:i/>
              </w:rPr>
              <w:sym w:font="Symbol" w:char="F072"/>
            </w:r>
            <w:r w:rsidRPr="00B945B5">
              <w:rPr>
                <w:i/>
                <w:vertAlign w:val="subscript"/>
              </w:rPr>
              <w:t>b</w:t>
            </w:r>
            <w:r>
              <w:rPr>
                <w:i/>
                <w:vertAlign w:val="subscript"/>
              </w:rPr>
              <w:t xml:space="preserve"> ,  </w:t>
            </w:r>
            <w:r w:rsidRPr="00623D00">
              <w:rPr>
                <w:i/>
              </w:rPr>
              <w:sym w:font="Symbol" w:char="F072"/>
            </w:r>
            <w:r w:rsidRPr="00623D00">
              <w:rPr>
                <w:vertAlign w:val="subscript"/>
              </w:rPr>
              <w:t>s</w:t>
            </w:r>
            <w:r>
              <w:rPr>
                <w:i/>
                <w:vertAlign w:val="subscript"/>
              </w:rPr>
              <w:t xml:space="preserve"> </w:t>
            </w:r>
          </w:p>
        </w:tc>
        <w:tc>
          <w:tcPr>
            <w:tcW w:w="6946" w:type="dxa"/>
          </w:tcPr>
          <w:p w14:paraId="7087C87A" w14:textId="0C548469" w:rsidR="00267348" w:rsidRPr="00E6110F" w:rsidRDefault="00267348" w:rsidP="00267348">
            <w:pPr>
              <w:pStyle w:val="Body"/>
              <w:rPr>
                <w:rFonts w:eastAsia="Times New Roman"/>
                <w:lang w:eastAsia="en-AU"/>
              </w:rPr>
            </w:pPr>
            <w:r>
              <w:rPr>
                <w:rFonts w:eastAsia="Times New Roman"/>
                <w:lang w:eastAsia="en-AU"/>
              </w:rPr>
              <w:t>Dry bulk density (</w:t>
            </w:r>
            <w:r w:rsidRPr="00E6110F">
              <w:t>g/cm</w:t>
            </w:r>
            <w:r w:rsidRPr="00623D00">
              <w:rPr>
                <w:vertAlign w:val="superscript"/>
              </w:rPr>
              <w:t>3</w:t>
            </w:r>
            <w:r>
              <w:rPr>
                <w:rFonts w:eastAsia="Times New Roman"/>
                <w:lang w:eastAsia="en-AU"/>
              </w:rPr>
              <w:t xml:space="preserve">) and </w:t>
            </w:r>
            <w:r>
              <w:t>s</w:t>
            </w:r>
            <w:r w:rsidRPr="00E6110F">
              <w:t>olid density (g/cm</w:t>
            </w:r>
            <w:r w:rsidRPr="00623D00">
              <w:rPr>
                <w:vertAlign w:val="superscript"/>
              </w:rPr>
              <w:t>3</w:t>
            </w:r>
            <w:r w:rsidRPr="00E6110F">
              <w:t xml:space="preserve"> of solids</w:t>
            </w:r>
            <w:r>
              <w:t>)</w:t>
            </w:r>
          </w:p>
        </w:tc>
      </w:tr>
      <w:tr w:rsidR="00267348" w:rsidRPr="00E6110F" w14:paraId="60D7B5D8" w14:textId="77777777" w:rsidTr="00C270C5">
        <w:tc>
          <w:tcPr>
            <w:tcW w:w="2268" w:type="dxa"/>
          </w:tcPr>
          <w:p w14:paraId="4A1C3AE9" w14:textId="2D1E9D75" w:rsidR="00267348" w:rsidRDefault="00267348" w:rsidP="00267348">
            <w:pPr>
              <w:pStyle w:val="Body"/>
              <w:rPr>
                <w:i/>
              </w:rPr>
            </w:pPr>
            <w:r>
              <w:rPr>
                <w:i/>
              </w:rPr>
              <w:t>R</w:t>
            </w:r>
          </w:p>
        </w:tc>
        <w:tc>
          <w:tcPr>
            <w:tcW w:w="6946" w:type="dxa"/>
          </w:tcPr>
          <w:p w14:paraId="380CDF1A" w14:textId="0A8B63A1" w:rsidR="00267348" w:rsidRDefault="00267348" w:rsidP="00267348">
            <w:pPr>
              <w:pStyle w:val="Body"/>
              <w:rPr>
                <w:rFonts w:eastAsia="Times New Roman"/>
                <w:lang w:eastAsia="en-AU"/>
              </w:rPr>
            </w:pPr>
            <w:r>
              <w:t>U</w:t>
            </w:r>
            <w:r w:rsidRPr="00E6110F">
              <w:t>niversal gas constant (8.314 x 10</w:t>
            </w:r>
            <w:r w:rsidRPr="00E6110F">
              <w:rPr>
                <w:vertAlign w:val="superscript"/>
              </w:rPr>
              <w:t>-3</w:t>
            </w:r>
            <w:r>
              <w:t xml:space="preserve">  kJ/K/mol)</w:t>
            </w:r>
          </w:p>
        </w:tc>
      </w:tr>
      <w:tr w:rsidR="00267348" w:rsidRPr="00E6110F" w14:paraId="44B7C1FF" w14:textId="77777777" w:rsidTr="00C270C5">
        <w:tc>
          <w:tcPr>
            <w:tcW w:w="2268" w:type="dxa"/>
          </w:tcPr>
          <w:p w14:paraId="1AE5B440" w14:textId="7559FA39" w:rsidR="00267348" w:rsidRDefault="00267348" w:rsidP="00267348">
            <w:pPr>
              <w:pStyle w:val="Body"/>
              <w:rPr>
                <w:i/>
              </w:rPr>
            </w:pPr>
            <w:r>
              <w:rPr>
                <w:i/>
              </w:rPr>
              <w:t>R</w:t>
            </w:r>
            <w:r w:rsidRPr="007B3DC4">
              <w:rPr>
                <w:i/>
                <w:vertAlign w:val="subscript"/>
              </w:rPr>
              <w:t>f</w:t>
            </w:r>
          </w:p>
        </w:tc>
        <w:tc>
          <w:tcPr>
            <w:tcW w:w="6946" w:type="dxa"/>
          </w:tcPr>
          <w:p w14:paraId="7940C44D" w14:textId="17E15C63" w:rsidR="00267348" w:rsidRDefault="00267348" w:rsidP="00267348">
            <w:pPr>
              <w:pStyle w:val="Body"/>
              <w:rPr>
                <w:rFonts w:eastAsia="Times New Roman"/>
                <w:lang w:eastAsia="en-AU"/>
              </w:rPr>
            </w:pPr>
            <w:r>
              <w:rPr>
                <w:rFonts w:eastAsia="Times New Roman"/>
                <w:lang w:eastAsia="en-AU"/>
              </w:rPr>
              <w:t>Retardation factor (-)</w:t>
            </w:r>
          </w:p>
        </w:tc>
      </w:tr>
      <w:tr w:rsidR="00267348" w:rsidRPr="00E6110F" w14:paraId="00CA28F1" w14:textId="77777777" w:rsidTr="00C270C5">
        <w:tc>
          <w:tcPr>
            <w:tcW w:w="2268" w:type="dxa"/>
          </w:tcPr>
          <w:p w14:paraId="78CDDFC5" w14:textId="66915ABF" w:rsidR="00267348" w:rsidRDefault="00267348" w:rsidP="00267348">
            <w:pPr>
              <w:pStyle w:val="Body"/>
              <w:rPr>
                <w:i/>
              </w:rPr>
            </w:pPr>
            <w:r>
              <w:rPr>
                <w:i/>
              </w:rPr>
              <w:t>T</w:t>
            </w:r>
          </w:p>
        </w:tc>
        <w:tc>
          <w:tcPr>
            <w:tcW w:w="6946" w:type="dxa"/>
          </w:tcPr>
          <w:p w14:paraId="0D0E8327" w14:textId="056E7AD8" w:rsidR="00267348" w:rsidRDefault="00267348" w:rsidP="00267348">
            <w:pPr>
              <w:pStyle w:val="Body"/>
              <w:rPr>
                <w:rFonts w:eastAsia="Times New Roman"/>
                <w:lang w:eastAsia="en-AU"/>
              </w:rPr>
            </w:pPr>
            <w:r>
              <w:rPr>
                <w:rFonts w:eastAsia="Times New Roman"/>
                <w:lang w:eastAsia="en-AU"/>
              </w:rPr>
              <w:t>Absolute temperature (K)</w:t>
            </w:r>
          </w:p>
        </w:tc>
      </w:tr>
      <w:tr w:rsidR="00267348" w:rsidRPr="00E6110F" w14:paraId="0BDF7DA2" w14:textId="77777777" w:rsidTr="00C270C5">
        <w:tc>
          <w:tcPr>
            <w:tcW w:w="2268" w:type="dxa"/>
          </w:tcPr>
          <w:p w14:paraId="3A298160" w14:textId="57650BA5" w:rsidR="00267348" w:rsidRPr="00E6110F" w:rsidRDefault="00267348" w:rsidP="00267348">
            <w:pPr>
              <w:pStyle w:val="Body"/>
              <w:rPr>
                <w:i/>
              </w:rPr>
            </w:pPr>
            <w:r>
              <w:rPr>
                <w:i/>
              </w:rPr>
              <w:t>t</w:t>
            </w:r>
            <w:r w:rsidRPr="00B945B5">
              <w:rPr>
                <w:i/>
                <w:vertAlign w:val="subscript"/>
              </w:rPr>
              <w:t>1/2</w:t>
            </w:r>
          </w:p>
        </w:tc>
        <w:tc>
          <w:tcPr>
            <w:tcW w:w="6946" w:type="dxa"/>
          </w:tcPr>
          <w:p w14:paraId="655513A5" w14:textId="786E6ABA" w:rsidR="00267348" w:rsidRPr="00E6110F" w:rsidRDefault="00267348" w:rsidP="00267348">
            <w:pPr>
              <w:pStyle w:val="Body"/>
              <w:rPr>
                <w:rFonts w:eastAsia="Times New Roman"/>
                <w:lang w:eastAsia="en-AU"/>
              </w:rPr>
            </w:pPr>
            <w:r>
              <w:rPr>
                <w:rFonts w:eastAsia="Times New Roman"/>
                <w:lang w:eastAsia="en-AU"/>
              </w:rPr>
              <w:t xml:space="preserve">Chemical half-life (1/day) </w:t>
            </w:r>
          </w:p>
        </w:tc>
      </w:tr>
      <w:tr w:rsidR="00267348" w:rsidRPr="00E6110F" w14:paraId="41AC82DA" w14:textId="77777777" w:rsidTr="00C270C5">
        <w:tc>
          <w:tcPr>
            <w:tcW w:w="2268" w:type="dxa"/>
          </w:tcPr>
          <w:p w14:paraId="482BC2E8" w14:textId="748DBA21" w:rsidR="00267348" w:rsidRPr="00E6110F" w:rsidRDefault="00267348" w:rsidP="00267348">
            <w:pPr>
              <w:pStyle w:val="Body"/>
              <w:rPr>
                <w:i/>
              </w:rPr>
            </w:pPr>
            <w:r w:rsidRPr="00E6110F">
              <w:rPr>
                <w:i/>
              </w:rPr>
              <w:t>V</w:t>
            </w:r>
          </w:p>
        </w:tc>
        <w:tc>
          <w:tcPr>
            <w:tcW w:w="6946" w:type="dxa"/>
          </w:tcPr>
          <w:p w14:paraId="51E10C95" w14:textId="6B8FFA8B" w:rsidR="00267348" w:rsidRPr="00E6110F" w:rsidRDefault="00267348" w:rsidP="00267348">
            <w:pPr>
              <w:pStyle w:val="Body"/>
            </w:pPr>
            <w:r>
              <w:t>L</w:t>
            </w:r>
            <w:r w:rsidRPr="00E6110F">
              <w:t xml:space="preserve">inear </w:t>
            </w:r>
            <w:r w:rsidRPr="00E6110F">
              <w:rPr>
                <w:rFonts w:eastAsia="Times New Roman"/>
                <w:lang w:eastAsia="en-AU"/>
              </w:rPr>
              <w:t xml:space="preserve">fluid </w:t>
            </w:r>
            <w:r w:rsidRPr="00E6110F">
              <w:t xml:space="preserve">flux </w:t>
            </w:r>
            <w:r w:rsidRPr="00E6110F">
              <w:rPr>
                <w:rFonts w:eastAsia="Times New Roman"/>
                <w:lang w:eastAsia="en-AU"/>
              </w:rPr>
              <w:t>[</w:t>
            </w:r>
            <w:r>
              <w:rPr>
                <w:rFonts w:eastAsia="Times New Roman"/>
                <w:lang w:eastAsia="en-AU"/>
              </w:rPr>
              <w:t>m/day</w:t>
            </w:r>
            <w:r w:rsidRPr="00E6110F">
              <w:rPr>
                <w:rFonts w:eastAsia="Times New Roman"/>
                <w:lang w:eastAsia="en-AU"/>
              </w:rPr>
              <w:t>]</w:t>
            </w:r>
          </w:p>
        </w:tc>
      </w:tr>
    </w:tbl>
    <w:p w14:paraId="086BEA2F" w14:textId="77777777" w:rsidR="00F400AD" w:rsidRPr="00E6110F" w:rsidRDefault="00F400AD">
      <w:pPr>
        <w:rPr>
          <w:rFonts w:ascii="Calibri" w:eastAsia="Times New Roman" w:hAnsi="Calibri" w:cs="Calibri"/>
          <w:color w:val="000000"/>
          <w:sz w:val="18"/>
          <w:szCs w:val="18"/>
          <w:lang w:val="en-GB" w:eastAsia="en-AU"/>
        </w:rPr>
      </w:pPr>
      <w:r w:rsidRPr="00E6110F">
        <w:rPr>
          <w:rFonts w:eastAsia="Times New Roman"/>
          <w:lang w:eastAsia="en-AU"/>
        </w:rPr>
        <w:br w:type="page"/>
      </w:r>
    </w:p>
    <w:p w14:paraId="2F03CE1D" w14:textId="77777777" w:rsidR="00DD54F3" w:rsidRPr="00E6110F" w:rsidRDefault="00DD54F3" w:rsidP="00DD54F3">
      <w:pPr>
        <w:pStyle w:val="H1"/>
        <w:rPr>
          <w:rFonts w:ascii="Calibri" w:hAnsi="Calibri"/>
        </w:rPr>
      </w:pPr>
      <w:r w:rsidRPr="00E6110F">
        <w:rPr>
          <w:rFonts w:ascii="Calibri" w:hAnsi="Calibri"/>
        </w:rPr>
        <w:t>Acknowledgements</w:t>
      </w:r>
    </w:p>
    <w:p w14:paraId="4006FB7D" w14:textId="36C6B317" w:rsidR="00F400AD" w:rsidRPr="00E6110F" w:rsidRDefault="00DD54F3" w:rsidP="00F400AD">
      <w:pPr>
        <w:pStyle w:val="Body"/>
      </w:pPr>
      <w:r w:rsidRPr="00E6110F">
        <w:t>The authors would like to acknowledge the Commonwealth Department of the Environment, Office of Water Science for funding the project “</w:t>
      </w:r>
      <w:r w:rsidR="00CD2125" w:rsidRPr="00E6110F">
        <w:t>Deeper groundwater hazard screening research: National assessment of chemicals associated with coal seam gas extraction in Australia</w:t>
      </w:r>
      <w:r w:rsidRPr="00E6110F">
        <w:t xml:space="preserve">”. </w:t>
      </w:r>
      <w:r w:rsidR="00A423DF" w:rsidRPr="00E6110F">
        <w:t xml:space="preserve">The report was subject to internal </w:t>
      </w:r>
      <w:r w:rsidR="009E76A6" w:rsidRPr="00E6110F">
        <w:t xml:space="preserve">peer </w:t>
      </w:r>
      <w:r w:rsidR="00A423DF" w:rsidRPr="00E6110F">
        <w:t xml:space="preserve">review processes during its development and </w:t>
      </w:r>
      <w:r w:rsidRPr="00E6110F">
        <w:t xml:space="preserve">benefitted from </w:t>
      </w:r>
      <w:r w:rsidR="008E7895" w:rsidRPr="00E6110F">
        <w:t>reviews undertaken by</w:t>
      </w:r>
      <w:r w:rsidR="009574DC" w:rsidRPr="00E6110F">
        <w:t xml:space="preserve"> </w:t>
      </w:r>
      <w:r w:rsidR="00BE6074">
        <w:t>D</w:t>
      </w:r>
      <w:r w:rsidR="004E17C4">
        <w:t xml:space="preserve">r. John Higgins (Office of Water Science, DoEE), </w:t>
      </w:r>
      <w:r w:rsidR="004B70BF">
        <w:t>Mr. Bruce Gray (Office of Water Science</w:t>
      </w:r>
      <w:r w:rsidR="004E17C4">
        <w:t>, DoEE</w:t>
      </w:r>
      <w:r w:rsidR="004B70BF">
        <w:t xml:space="preserve">), </w:t>
      </w:r>
      <w:r w:rsidR="00CD2125" w:rsidRPr="004B70BF">
        <w:t xml:space="preserve">Dr. </w:t>
      </w:r>
      <w:r w:rsidR="000412E7" w:rsidRPr="004B70BF">
        <w:t>Graeme Batley</w:t>
      </w:r>
      <w:r w:rsidR="00CD2125" w:rsidRPr="004B70BF">
        <w:t xml:space="preserve"> </w:t>
      </w:r>
      <w:r w:rsidR="009574DC" w:rsidRPr="004B70BF">
        <w:t>(C</w:t>
      </w:r>
      <w:r w:rsidR="00A423DF" w:rsidRPr="004B70BF">
        <w:t>S</w:t>
      </w:r>
      <w:r w:rsidR="009574DC" w:rsidRPr="004B70BF">
        <w:t>IRO</w:t>
      </w:r>
      <w:r w:rsidR="00CD2125" w:rsidRPr="004B70BF">
        <w:t>)</w:t>
      </w:r>
      <w:r w:rsidR="007D64CD" w:rsidRPr="004B70BF">
        <w:t>,</w:t>
      </w:r>
      <w:r w:rsidR="009574DC" w:rsidRPr="004B70BF">
        <w:t xml:space="preserve"> </w:t>
      </w:r>
      <w:r w:rsidR="004B70BF" w:rsidRPr="004B70BF">
        <w:t xml:space="preserve">and </w:t>
      </w:r>
      <w:r w:rsidR="001C33C3" w:rsidRPr="004B70BF">
        <w:t xml:space="preserve">Dr. </w:t>
      </w:r>
      <w:r w:rsidR="004B70BF" w:rsidRPr="004B70BF">
        <w:t xml:space="preserve">Adam Siade </w:t>
      </w:r>
      <w:r w:rsidR="009574DC" w:rsidRPr="004B70BF">
        <w:t>(CSIRO).</w:t>
      </w:r>
      <w:r w:rsidR="00B26410" w:rsidRPr="00E6110F">
        <w:t xml:space="preserve"> </w:t>
      </w:r>
    </w:p>
    <w:p w14:paraId="54D9DB0E" w14:textId="77777777" w:rsidR="00BA6CFE" w:rsidRPr="00E6110F" w:rsidRDefault="00BA6CFE">
      <w:pPr>
        <w:sectPr w:rsidR="00BA6CFE" w:rsidRPr="00E6110F" w:rsidSect="00BA6CFE">
          <w:headerReference w:type="even" r:id="rId21"/>
          <w:headerReference w:type="default" r:id="rId22"/>
          <w:footerReference w:type="even" r:id="rId23"/>
          <w:footerReference w:type="default" r:id="rId24"/>
          <w:headerReference w:type="first" r:id="rId25"/>
          <w:pgSz w:w="11900" w:h="16840"/>
          <w:pgMar w:top="1440" w:right="1440" w:bottom="1440" w:left="1440" w:header="0" w:footer="0" w:gutter="0"/>
          <w:pgNumType w:fmt="lowerRoman"/>
          <w:cols w:space="284"/>
          <w:noEndnote/>
          <w:docGrid w:linePitch="326"/>
        </w:sectPr>
      </w:pPr>
    </w:p>
    <w:p w14:paraId="0260119C" w14:textId="1ED69D0C" w:rsidR="002611C1" w:rsidRPr="00E6110F" w:rsidRDefault="004F1A3C" w:rsidP="002611C1">
      <w:pPr>
        <w:pStyle w:val="H1"/>
        <w:rPr>
          <w:rFonts w:ascii="Calibri" w:hAnsi="Calibri"/>
        </w:rPr>
      </w:pPr>
      <w:r>
        <w:rPr>
          <w:rFonts w:ascii="Calibri" w:hAnsi="Calibri"/>
        </w:rPr>
        <w:t>S</w:t>
      </w:r>
      <w:r w:rsidR="0092387D" w:rsidRPr="00E6110F">
        <w:rPr>
          <w:rFonts w:ascii="Calibri" w:hAnsi="Calibri"/>
        </w:rPr>
        <w:t>ummary</w:t>
      </w:r>
    </w:p>
    <w:p w14:paraId="155FBCAE" w14:textId="3BDCE877" w:rsidR="00504B0B" w:rsidRPr="00E6110F" w:rsidRDefault="004669CD" w:rsidP="00504B0B">
      <w:pPr>
        <w:pStyle w:val="Body"/>
      </w:pPr>
      <w:r w:rsidRPr="00E6110F">
        <w:t xml:space="preserve">The </w:t>
      </w:r>
      <w:r w:rsidR="0070567E">
        <w:t xml:space="preserve">main purpose of the </w:t>
      </w:r>
      <w:r w:rsidRPr="00E6110F">
        <w:t>project ‘</w:t>
      </w:r>
      <w:r w:rsidR="00504B0B" w:rsidRPr="00E6110F">
        <w:t xml:space="preserve">Deeper groundwater </w:t>
      </w:r>
      <w:r w:rsidR="00DE4AE8">
        <w:t xml:space="preserve">hazard </w:t>
      </w:r>
      <w:r w:rsidR="00504B0B" w:rsidRPr="00E6110F">
        <w:t>screening</w:t>
      </w:r>
      <w:r w:rsidR="00621704">
        <w:t xml:space="preserve"> research</w:t>
      </w:r>
      <w:r w:rsidRPr="00E6110F">
        <w:t>’</w:t>
      </w:r>
      <w:r w:rsidR="00504B0B" w:rsidRPr="00E6110F">
        <w:t xml:space="preserve"> </w:t>
      </w:r>
      <w:r w:rsidR="0070567E">
        <w:t xml:space="preserve">is to </w:t>
      </w:r>
      <w:r w:rsidR="00504B0B" w:rsidRPr="00E6110F">
        <w:t>deliver a number of enabling science products</w:t>
      </w:r>
      <w:r w:rsidR="00073B89">
        <w:t xml:space="preserve"> </w:t>
      </w:r>
      <w:r w:rsidR="00AB1483" w:rsidRPr="00AB1483">
        <w:t>that can be used to assess risks that may arise if chemicals used in coal seam gas extraction enter deeper groundwater'</w:t>
      </w:r>
      <w:r w:rsidR="00073B89">
        <w:t>.</w:t>
      </w:r>
      <w:r w:rsidR="00504B0B" w:rsidRPr="00E6110F">
        <w:t xml:space="preserve"> </w:t>
      </w:r>
      <w:r w:rsidR="00073B89">
        <w:t>Final produc</w:t>
      </w:r>
      <w:r w:rsidR="007B70EB">
        <w:t>t</w:t>
      </w:r>
      <w:r w:rsidR="00073B89">
        <w:t xml:space="preserve">s </w:t>
      </w:r>
      <w:r w:rsidR="00504B0B" w:rsidRPr="00E6110F">
        <w:t>includ</w:t>
      </w:r>
      <w:r w:rsidR="00073B89">
        <w:t>e</w:t>
      </w:r>
      <w:r w:rsidR="00504B0B" w:rsidRPr="00E6110F">
        <w:t xml:space="preserve"> a “proof-of-concept” tiered hazard screening framework, developed and tested in at least two separate study areas, and associated protocols</w:t>
      </w:r>
      <w:r w:rsidR="00073B89">
        <w:t>.</w:t>
      </w:r>
      <w:r w:rsidR="00504B0B" w:rsidRPr="00E6110F">
        <w:t xml:space="preserve"> </w:t>
      </w:r>
      <w:r w:rsidR="00073B89">
        <w:t>The framework is developed considering that</w:t>
      </w:r>
      <w:r w:rsidR="00504B0B" w:rsidRPr="00E6110F">
        <w:t xml:space="preserve"> the main </w:t>
      </w:r>
      <w:r w:rsidR="00073B89">
        <w:t xml:space="preserve">chemical </w:t>
      </w:r>
      <w:r w:rsidR="00504B0B" w:rsidRPr="00E6110F">
        <w:t xml:space="preserve">source is present in deeper groundwater </w:t>
      </w:r>
      <w:r w:rsidR="00073B89">
        <w:t>(</w:t>
      </w:r>
      <w:r w:rsidR="004E5123">
        <w:t xml:space="preserve">injected </w:t>
      </w:r>
      <w:r w:rsidR="00073B89">
        <w:t xml:space="preserve">drilling and hydraulic fracturing fluids, and geogenics) </w:t>
      </w:r>
      <w:r w:rsidR="00504B0B" w:rsidRPr="00E6110F">
        <w:t xml:space="preserve">and the main </w:t>
      </w:r>
      <w:r w:rsidR="00073B89">
        <w:t xml:space="preserve">chemical </w:t>
      </w:r>
      <w:r w:rsidR="00504B0B" w:rsidRPr="00E6110F">
        <w:t xml:space="preserve">transport pathway is via deeper groundwater. This framework will allow a rapid screening to determine which chemicals are more likely to be hazardous </w:t>
      </w:r>
      <w:r w:rsidR="0061010B">
        <w:t xml:space="preserve">when emitted into deeper groundwater environments </w:t>
      </w:r>
      <w:r w:rsidR="00504B0B" w:rsidRPr="00E6110F">
        <w:t xml:space="preserve">and may </w:t>
      </w:r>
      <w:r w:rsidR="0070567E">
        <w:t xml:space="preserve">thus </w:t>
      </w:r>
      <w:r w:rsidR="00504B0B" w:rsidRPr="00E6110F">
        <w:t xml:space="preserve">present potential risks to the environment and human health. Application of the framework will allow chemicals with low hazard levels to be readily excluded from separate, more detailed </w:t>
      </w:r>
      <w:r w:rsidR="0061010B">
        <w:t xml:space="preserve">assessments of </w:t>
      </w:r>
      <w:r w:rsidR="00504B0B" w:rsidRPr="00E6110F">
        <w:t xml:space="preserve">environmental </w:t>
      </w:r>
      <w:r w:rsidR="0070567E">
        <w:t xml:space="preserve">and human health </w:t>
      </w:r>
      <w:r w:rsidR="00504B0B" w:rsidRPr="00E6110F">
        <w:t>risk</w:t>
      </w:r>
      <w:r w:rsidR="0061010B">
        <w:t>s</w:t>
      </w:r>
      <w:r w:rsidR="00504B0B" w:rsidRPr="00E6110F">
        <w:t xml:space="preserve"> </w:t>
      </w:r>
      <w:r w:rsidR="0061010B">
        <w:t>associated with deeper groundwater contamination</w:t>
      </w:r>
      <w:r w:rsidR="00504B0B" w:rsidRPr="00E6110F">
        <w:t xml:space="preserve">. This </w:t>
      </w:r>
      <w:r w:rsidR="0070567E">
        <w:t xml:space="preserve">further </w:t>
      </w:r>
      <w:r w:rsidR="00504B0B" w:rsidRPr="00E6110F">
        <w:t>provides a robust evidence base to inform future research priorities</w:t>
      </w:r>
      <w:r w:rsidR="0070567E">
        <w:t xml:space="preserve"> into the fate of coal seam gas chemicals</w:t>
      </w:r>
      <w:r w:rsidR="00504B0B" w:rsidRPr="00E6110F">
        <w:t>.</w:t>
      </w:r>
      <w:r w:rsidR="00C40276">
        <w:t xml:space="preserve"> This study is not an assessment of the risk of any actual or proposed coal seam gas extraction project. The chemicals chosen for the study are representative and any concentrations or conditions of use, while based on known practices, are notional.</w:t>
      </w:r>
    </w:p>
    <w:p w14:paraId="6592913E" w14:textId="664C015D" w:rsidR="0061010B" w:rsidRDefault="0061010B" w:rsidP="0061010B">
      <w:pPr>
        <w:pStyle w:val="Body"/>
        <w:rPr>
          <w:rFonts w:eastAsia="Times New Roman"/>
          <w:lang w:eastAsia="en-AU"/>
        </w:rPr>
      </w:pPr>
      <w:r>
        <w:t xml:space="preserve">This project complements the </w:t>
      </w:r>
      <w:r w:rsidRPr="0037379B">
        <w:rPr>
          <w:i/>
        </w:rPr>
        <w:t>National Assessment of Chemicals Associated with Coal Seam Gas Extraction in Australia</w:t>
      </w:r>
      <w:r>
        <w:rPr>
          <w:i/>
        </w:rPr>
        <w:t xml:space="preserve"> </w:t>
      </w:r>
      <w:r w:rsidRPr="0037379B">
        <w:t>(the</w:t>
      </w:r>
      <w:r w:rsidRPr="0037379B">
        <w:rPr>
          <w:i/>
        </w:rPr>
        <w:t xml:space="preserve"> </w:t>
      </w:r>
      <w:r>
        <w:rPr>
          <w:i/>
        </w:rPr>
        <w:t>A</w:t>
      </w:r>
      <w:r w:rsidRPr="009A2E57">
        <w:t>ssessment</w:t>
      </w:r>
      <w:r w:rsidRPr="0037379B">
        <w:t>)</w:t>
      </w:r>
      <w:r>
        <w:rPr>
          <w:i/>
        </w:rPr>
        <w:t xml:space="preserve">. </w:t>
      </w:r>
      <w:r w:rsidRPr="009A2E57">
        <w:t xml:space="preserve">The Assessment aimed to </w:t>
      </w:r>
      <w:r w:rsidRPr="0037379B">
        <w:t>develop an improved understanding of the occupational, public health and environmental risks associated with chemicals either used in or mobili</w:t>
      </w:r>
      <w:r>
        <w:t>s</w:t>
      </w:r>
      <w:r w:rsidRPr="0037379B">
        <w:t xml:space="preserve">ed by </w:t>
      </w:r>
      <w:r>
        <w:t xml:space="preserve">drilling and </w:t>
      </w:r>
      <w:r w:rsidRPr="0037379B">
        <w:t>hydraulic fracturing for coal seam gas in an Australian context</w:t>
      </w:r>
      <w:r>
        <w:t xml:space="preserve">. </w:t>
      </w:r>
      <w:r w:rsidRPr="00F43D32">
        <w:t>The Assessment looked at chemicals used in drilling and hydraulic fracturing for coal seam gas within a sample time period to develop a stronger understanding of the chemicals used in the industry and what risks they may pose to coal seam gas workers, the public and the environment</w:t>
      </w:r>
      <w:r>
        <w:t xml:space="preserve">. The </w:t>
      </w:r>
      <w:r w:rsidRPr="00E6110F">
        <w:t xml:space="preserve">assessment </w:t>
      </w:r>
      <w:r>
        <w:t xml:space="preserve">considered </w:t>
      </w:r>
      <w:r w:rsidRPr="00E6110F">
        <w:t>potential risks to human health and the environment associated with surface-related exposure pathways of chemicals used in drilling and hydraulic fracturing. Th</w:t>
      </w:r>
      <w:r>
        <w:t>ese</w:t>
      </w:r>
      <w:r w:rsidRPr="00E6110F">
        <w:t xml:space="preserve"> include surface water, soils, and shallow unconfined groundwater systems.</w:t>
      </w:r>
      <w:r>
        <w:t xml:space="preserve"> Unlike the current project, t</w:t>
      </w:r>
      <w:r w:rsidRPr="00526206">
        <w:t>he Assessment did not consider the effects of potential risks to deeper groundwater.</w:t>
      </w:r>
      <w:r>
        <w:t xml:space="preserve"> Here deeper groundwater refers the w</w:t>
      </w:r>
      <w:r w:rsidRPr="000A2A48">
        <w:rPr>
          <w:rFonts w:eastAsia="Times New Roman"/>
          <w:lang w:eastAsia="en-AU"/>
        </w:rPr>
        <w:t>ater bearing aquifers, including coal formations</w:t>
      </w:r>
      <w:r>
        <w:rPr>
          <w:rFonts w:eastAsia="Times New Roman"/>
          <w:lang w:eastAsia="en-AU"/>
        </w:rPr>
        <w:t>, which are generally confined by an impermeable layer (aquitard). They are unconfined where the sediments outcrop. The potential chemical contamination source for deeper groundwater is several hundred meters deep and associated with the coal seam formation targeted for hydraulic fracturing.</w:t>
      </w:r>
    </w:p>
    <w:p w14:paraId="1BF63F51" w14:textId="0089A5CD" w:rsidR="00CB5185" w:rsidRDefault="00504B0B" w:rsidP="00E573FF">
      <w:pPr>
        <w:pStyle w:val="Body"/>
      </w:pPr>
      <w:r w:rsidRPr="00E6110F">
        <w:t>The</w:t>
      </w:r>
      <w:r w:rsidR="003338F3" w:rsidRPr="003338F3">
        <w:t xml:space="preserve"> deeper groundwater hazard screening methodology described in this report</w:t>
      </w:r>
      <w:r w:rsidR="004D34D0">
        <w:t xml:space="preserve"> </w:t>
      </w:r>
      <w:r w:rsidR="0070567E">
        <w:t xml:space="preserve">involved development of </w:t>
      </w:r>
      <w:r w:rsidRPr="00E6110F">
        <w:t xml:space="preserve">a </w:t>
      </w:r>
      <w:r w:rsidR="0070567E">
        <w:t xml:space="preserve">two-level </w:t>
      </w:r>
      <w:r w:rsidRPr="00E6110F">
        <w:t xml:space="preserve">hazard screening </w:t>
      </w:r>
      <w:r w:rsidR="0070567E">
        <w:t>framework</w:t>
      </w:r>
      <w:r w:rsidRPr="00E6110F">
        <w:t xml:space="preserve"> that identifies (at a Level 1) chemicals </w:t>
      </w:r>
      <w:r w:rsidR="00E573FF">
        <w:t>‘</w:t>
      </w:r>
      <w:r w:rsidRPr="00E6110F">
        <w:t>of low concern</w:t>
      </w:r>
      <w:r w:rsidR="0070567E">
        <w:t>’</w:t>
      </w:r>
      <w:r w:rsidRPr="00E6110F">
        <w:t xml:space="preserve"> and chemicals </w:t>
      </w:r>
      <w:r w:rsidR="00E573FF">
        <w:t>that require a more detailed Level 2 analysis because they could not be</w:t>
      </w:r>
      <w:r w:rsidRPr="00E6110F">
        <w:t xml:space="preserve"> screened out at Level 1</w:t>
      </w:r>
      <w:r w:rsidR="00E573FF">
        <w:t>.</w:t>
      </w:r>
      <w:r w:rsidRPr="00E6110F">
        <w:t xml:space="preserve"> </w:t>
      </w:r>
      <w:r w:rsidR="00E573FF">
        <w:t xml:space="preserve">The </w:t>
      </w:r>
      <w:r w:rsidR="00E573FF" w:rsidRPr="004004AA">
        <w:t xml:space="preserve">Level 1 screening used existing lists and rules for screening chemicals and lists of chemicals </w:t>
      </w:r>
      <w:r w:rsidR="00EA1675">
        <w:t xml:space="preserve">that have previously been rigorously assessed and found to be </w:t>
      </w:r>
      <w:r w:rsidR="00E573FF" w:rsidRPr="004004AA">
        <w:t xml:space="preserve">of low concern to </w:t>
      </w:r>
      <w:r w:rsidR="00EA1675" w:rsidRPr="004004AA">
        <w:t>the environment</w:t>
      </w:r>
      <w:r w:rsidR="00EA1675">
        <w:t xml:space="preserve"> and/or</w:t>
      </w:r>
      <w:r w:rsidR="00EA1675" w:rsidRPr="004004AA">
        <w:t xml:space="preserve"> </w:t>
      </w:r>
      <w:r w:rsidR="00E573FF" w:rsidRPr="004004AA">
        <w:t xml:space="preserve">human health </w:t>
      </w:r>
      <w:r w:rsidR="00EA1675">
        <w:t>(that is, “chemicals of low concern”)</w:t>
      </w:r>
      <w:r w:rsidR="00E573FF">
        <w:t xml:space="preserve">. </w:t>
      </w:r>
      <w:r w:rsidR="00E573FF" w:rsidRPr="004004AA">
        <w:t xml:space="preserve">The Level-2 analysis </w:t>
      </w:r>
      <w:r w:rsidR="00EA2F77">
        <w:t>involved integration of</w:t>
      </w:r>
      <w:r w:rsidR="00CB5185">
        <w:t>:</w:t>
      </w:r>
    </w:p>
    <w:p w14:paraId="04035792" w14:textId="312629A2" w:rsidR="00CB5185" w:rsidRDefault="006F1D3E" w:rsidP="00943534">
      <w:pPr>
        <w:pStyle w:val="Body"/>
        <w:numPr>
          <w:ilvl w:val="0"/>
          <w:numId w:val="77"/>
        </w:numPr>
      </w:pPr>
      <w:r w:rsidRPr="004004AA">
        <w:t>conceptual models with plausible fate and transport release pathways</w:t>
      </w:r>
      <w:r w:rsidRPr="006F1D3E">
        <w:t xml:space="preserve"> </w:t>
      </w:r>
      <w:r>
        <w:t xml:space="preserve">and simplified </w:t>
      </w:r>
      <w:r w:rsidRPr="004004AA">
        <w:t xml:space="preserve">calculation tools </w:t>
      </w:r>
      <w:r>
        <w:t>for</w:t>
      </w:r>
      <w:r w:rsidRPr="004004AA">
        <w:t xml:space="preserve"> estimat</w:t>
      </w:r>
      <w:r>
        <w:t>ing</w:t>
      </w:r>
      <w:r w:rsidRPr="004004AA">
        <w:t xml:space="preserve"> the degree of attenuation </w:t>
      </w:r>
      <w:r>
        <w:t xml:space="preserve">(expressed as dilution attenuation factor [DAF]) </w:t>
      </w:r>
      <w:r w:rsidRPr="004004AA">
        <w:t>that chemicals would experience prior to potentially reaching receptors</w:t>
      </w:r>
      <w:r>
        <w:t xml:space="preserve">, </w:t>
      </w:r>
    </w:p>
    <w:p w14:paraId="50B924E1" w14:textId="16DE0EC6" w:rsidR="00CB5185" w:rsidRDefault="006F1D3E" w:rsidP="00943534">
      <w:pPr>
        <w:pStyle w:val="Body"/>
        <w:numPr>
          <w:ilvl w:val="0"/>
          <w:numId w:val="77"/>
        </w:numPr>
      </w:pPr>
      <w:r w:rsidRPr="004004AA">
        <w:t xml:space="preserve">spatial analyses of </w:t>
      </w:r>
      <w:r>
        <w:t xml:space="preserve">proximity (horizontal distance) between potential </w:t>
      </w:r>
      <w:r w:rsidRPr="004004AA">
        <w:t>contaminant source</w:t>
      </w:r>
      <w:r>
        <w:t xml:space="preserve">s at CSG wells and </w:t>
      </w:r>
      <w:r w:rsidRPr="004004AA">
        <w:t>receptor</w:t>
      </w:r>
      <w:r>
        <w:t xml:space="preserve"> locations identified in two case study areas (</w:t>
      </w:r>
      <w:r w:rsidRPr="00E6110F">
        <w:t>one in the Sura</w:t>
      </w:r>
      <w:r>
        <w:t>t basin [</w:t>
      </w:r>
      <w:r w:rsidRPr="00E6110F">
        <w:t>Queensland</w:t>
      </w:r>
      <w:r>
        <w:t>] and one in the Gunnedah basin [New South Wales]) and derivation of</w:t>
      </w:r>
      <w:r w:rsidRPr="004004AA">
        <w:t xml:space="preserve"> proximity-frequency relationships for </w:t>
      </w:r>
      <w:r>
        <w:t>each</w:t>
      </w:r>
      <w:r w:rsidRPr="004004AA">
        <w:t xml:space="preserve"> group of receptor</w:t>
      </w:r>
      <w:r>
        <w:t xml:space="preserve">s, </w:t>
      </w:r>
    </w:p>
    <w:p w14:paraId="388D38B8" w14:textId="5D4EF338" w:rsidR="00E573FF" w:rsidRPr="004004AA" w:rsidRDefault="0071088A" w:rsidP="00943534">
      <w:pPr>
        <w:pStyle w:val="Body"/>
        <w:numPr>
          <w:ilvl w:val="0"/>
          <w:numId w:val="77"/>
        </w:numPr>
      </w:pPr>
      <w:r>
        <w:t xml:space="preserve">information on attenuation due to </w:t>
      </w:r>
      <w:r w:rsidR="006F1D3E" w:rsidRPr="004004AA">
        <w:t>chemical</w:t>
      </w:r>
      <w:r>
        <w:t xml:space="preserve"> or</w:t>
      </w:r>
      <w:r w:rsidR="006F1D3E">
        <w:t xml:space="preserve"> </w:t>
      </w:r>
      <w:r w:rsidR="006F1D3E" w:rsidRPr="004004AA">
        <w:t>biological</w:t>
      </w:r>
      <w:r>
        <w:t xml:space="preserve"> degradation</w:t>
      </w:r>
      <w:r w:rsidR="00156E7E">
        <w:t>,</w:t>
      </w:r>
      <w:r w:rsidR="006F1D3E">
        <w:t xml:space="preserve"> </w:t>
      </w:r>
      <w:r w:rsidR="006F1D3E" w:rsidRPr="004004AA">
        <w:t xml:space="preserve">geological </w:t>
      </w:r>
      <w:r>
        <w:t>processes</w:t>
      </w:r>
      <w:r w:rsidRPr="004004AA">
        <w:t xml:space="preserve"> </w:t>
      </w:r>
      <w:r w:rsidR="006F1D3E" w:rsidRPr="004004AA">
        <w:t>(sorption</w:t>
      </w:r>
      <w:r w:rsidR="006F1D3E">
        <w:t xml:space="preserve"> onto organic and/or mineral phases</w:t>
      </w:r>
      <w:r w:rsidR="006F1D3E" w:rsidRPr="004004AA">
        <w:t xml:space="preserve">) and flow-related </w:t>
      </w:r>
      <w:r>
        <w:t xml:space="preserve">processes </w:t>
      </w:r>
      <w:r w:rsidR="006F1D3E" w:rsidRPr="004004AA">
        <w:t xml:space="preserve">(dilution/dispersion) for a selection of characteristic </w:t>
      </w:r>
      <w:r w:rsidR="006F1D3E">
        <w:t xml:space="preserve">coal seam gas </w:t>
      </w:r>
      <w:r w:rsidR="006F1D3E" w:rsidRPr="004004AA">
        <w:t>chemicals</w:t>
      </w:r>
      <w:r w:rsidR="006F1D3E">
        <w:t xml:space="preserve"> (hydraulic fracturing and geogenic chemicals), and iv) solute particle tracking analysis</w:t>
      </w:r>
      <w:r w:rsidR="006F1D3E" w:rsidRPr="004004AA">
        <w:t xml:space="preserve"> </w:t>
      </w:r>
      <w:r w:rsidR="006F1D3E">
        <w:t>to identify likely connectivity, travel distance and time between the coal seam formaton being hydraulically stimulated and groundwater related receptors</w:t>
      </w:r>
      <w:r w:rsidR="00E573FF" w:rsidRPr="004004AA">
        <w:t>.</w:t>
      </w:r>
    </w:p>
    <w:p w14:paraId="3F9E01BF" w14:textId="00F7C0C6" w:rsidR="0061010B" w:rsidRDefault="0061010B" w:rsidP="00504B0B">
      <w:pPr>
        <w:pStyle w:val="Body"/>
      </w:pPr>
      <w:r>
        <w:t>T</w:t>
      </w:r>
      <w:r w:rsidRPr="0061010B">
        <w:t xml:space="preserve">he </w:t>
      </w:r>
      <w:r>
        <w:t xml:space="preserve">current </w:t>
      </w:r>
      <w:r w:rsidRPr="0061010B">
        <w:t>study only applies to intentional chemical releases into deeper groundwater, including coal measures. Importantly, the study’s results and techniques should not be applied to surface-related risks, where more established techniques should be employed to assess environment and human health risks. </w:t>
      </w:r>
    </w:p>
    <w:p w14:paraId="1F6E0DEC" w14:textId="0FB5F7E1" w:rsidR="00E573FF" w:rsidRDefault="00065032" w:rsidP="00504B0B">
      <w:pPr>
        <w:pStyle w:val="Body"/>
      </w:pPr>
      <w:r>
        <w:t>The major findings of this research are</w:t>
      </w:r>
      <w:r w:rsidR="006909C5">
        <w:t xml:space="preserve"> that</w:t>
      </w:r>
      <w:r>
        <w:t>:</w:t>
      </w:r>
    </w:p>
    <w:p w14:paraId="3418E625" w14:textId="07A6D37E" w:rsidR="006909C5" w:rsidRDefault="006909C5" w:rsidP="00943534">
      <w:pPr>
        <w:pStyle w:val="Body"/>
        <w:numPr>
          <w:ilvl w:val="0"/>
          <w:numId w:val="63"/>
        </w:numPr>
      </w:pPr>
      <w:proofErr w:type="gramStart"/>
      <w:r>
        <w:t>based</w:t>
      </w:r>
      <w:proofErr w:type="gramEnd"/>
      <w:r>
        <w:t xml:space="preserve"> on a literature review </w:t>
      </w:r>
      <w:r w:rsidR="006E7FB6">
        <w:t>involving</w:t>
      </w:r>
      <w:r>
        <w:t xml:space="preserve"> mainly</w:t>
      </w:r>
      <w:r w:rsidRPr="004004AA">
        <w:t xml:space="preserve"> US </w:t>
      </w:r>
      <w:r>
        <w:t xml:space="preserve">studies, </w:t>
      </w:r>
      <w:r w:rsidRPr="004004AA">
        <w:t xml:space="preserve">hydraulic fracturing </w:t>
      </w:r>
      <w:r w:rsidR="0061010B">
        <w:t>operations</w:t>
      </w:r>
      <w:r w:rsidRPr="004004AA">
        <w:t xml:space="preserve"> appear not to present a significant environmental risk</w:t>
      </w:r>
      <w:r w:rsidR="0061010B">
        <w:t xml:space="preserve"> to deeper groundwater resources and groundwater depend</w:t>
      </w:r>
      <w:r w:rsidR="00736347">
        <w:t>e</w:t>
      </w:r>
      <w:r w:rsidR="0061010B">
        <w:t>nt ecosystems</w:t>
      </w:r>
      <w:r w:rsidRPr="004004AA">
        <w:t>, except when abandoned or suspended well casings are intersected by fracturing fluids during the high-pr</w:t>
      </w:r>
      <w:r w:rsidR="006E7FB6">
        <w:t xml:space="preserve">essure stage of fluid injection. Furthermore, </w:t>
      </w:r>
      <w:r w:rsidR="00431A12">
        <w:t xml:space="preserve">maintaining good </w:t>
      </w:r>
      <w:r w:rsidR="006E7FB6" w:rsidRPr="004004AA">
        <w:t xml:space="preserve">well integrity </w:t>
      </w:r>
      <w:r w:rsidR="006E7FB6">
        <w:t>was found to be</w:t>
      </w:r>
      <w:r w:rsidR="006E7FB6" w:rsidRPr="004004AA">
        <w:t xml:space="preserve"> the key to minimi</w:t>
      </w:r>
      <w:r w:rsidR="006E7FB6">
        <w:t>s</w:t>
      </w:r>
      <w:r w:rsidR="006E7FB6" w:rsidRPr="004004AA">
        <w:t>ing many of the risks associated with hydraulic fracturing and unconventional resource extraction</w:t>
      </w:r>
      <w:r w:rsidR="006E7FB6">
        <w:t>,</w:t>
      </w:r>
    </w:p>
    <w:p w14:paraId="129CCA37" w14:textId="5021D670" w:rsidR="00065032" w:rsidRPr="004004AA" w:rsidRDefault="00065032" w:rsidP="00943534">
      <w:pPr>
        <w:pStyle w:val="Body"/>
        <w:numPr>
          <w:ilvl w:val="0"/>
          <w:numId w:val="63"/>
        </w:numPr>
      </w:pPr>
      <w:r w:rsidRPr="004004AA">
        <w:t>the likelihood of each of four plausible fate and transport release pathways</w:t>
      </w:r>
      <w:r>
        <w:t xml:space="preserve"> </w:t>
      </w:r>
      <w:r w:rsidRPr="004004AA">
        <w:t>are either unlikely (</w:t>
      </w:r>
      <w:r w:rsidR="004B0C32">
        <w:t>with high or very high confidence</w:t>
      </w:r>
      <w:r w:rsidRPr="004004AA">
        <w:t>) or extremely unlikely (&lt;5% probability) in an Australian context,</w:t>
      </w:r>
    </w:p>
    <w:p w14:paraId="2406570E" w14:textId="33CAE6CB" w:rsidR="00065032" w:rsidRPr="004004AA" w:rsidRDefault="00065032" w:rsidP="00943534">
      <w:pPr>
        <w:pStyle w:val="Body"/>
        <w:numPr>
          <w:ilvl w:val="0"/>
          <w:numId w:val="63"/>
        </w:numPr>
      </w:pPr>
      <w:r>
        <w:t>the</w:t>
      </w:r>
      <w:r w:rsidRPr="004004AA">
        <w:t xml:space="preserve"> spatial analysis of proximity of ecologic, economic and socio-cultural </w:t>
      </w:r>
      <w:r>
        <w:t>receptors</w:t>
      </w:r>
      <w:r w:rsidRPr="004004AA">
        <w:t xml:space="preserve"> to CSG wells in subdomains of the Gunnedah and Surat Basins</w:t>
      </w:r>
      <w:r>
        <w:t xml:space="preserve"> </w:t>
      </w:r>
      <w:r w:rsidRPr="004004AA">
        <w:t xml:space="preserve">indicated the majority </w:t>
      </w:r>
      <w:r>
        <w:t xml:space="preserve">of receptors </w:t>
      </w:r>
      <w:r w:rsidRPr="004004AA">
        <w:t>were at large (km) to very large (tens of km) distance</w:t>
      </w:r>
      <w:r>
        <w:t>s</w:t>
      </w:r>
      <w:r w:rsidRPr="004004AA">
        <w:t xml:space="preserve"> from existing or planned CSG wells, </w:t>
      </w:r>
    </w:p>
    <w:p w14:paraId="22467AF8" w14:textId="53691316" w:rsidR="00065032" w:rsidRDefault="00065032" w:rsidP="00943534">
      <w:pPr>
        <w:pStyle w:val="Body"/>
        <w:numPr>
          <w:ilvl w:val="0"/>
          <w:numId w:val="63"/>
        </w:numPr>
      </w:pPr>
      <w:proofErr w:type="gramStart"/>
      <w:r w:rsidRPr="004004AA">
        <w:t>particle</w:t>
      </w:r>
      <w:proofErr w:type="gramEnd"/>
      <w:r w:rsidRPr="004004AA">
        <w:t xml:space="preserve"> tracking</w:t>
      </w:r>
      <w:r w:rsidR="000B1EEC">
        <w:t>-</w:t>
      </w:r>
      <w:r>
        <w:t>based pathways</w:t>
      </w:r>
      <w:r w:rsidRPr="004004AA">
        <w:t xml:space="preserve"> </w:t>
      </w:r>
      <w:r w:rsidR="00E61876">
        <w:t xml:space="preserve">calculated </w:t>
      </w:r>
      <w:r w:rsidRPr="004004AA">
        <w:t xml:space="preserve">in the subdomains of the Gunnedah and Surat Basins </w:t>
      </w:r>
      <w:r>
        <w:t xml:space="preserve">were shown to have a relatively small number </w:t>
      </w:r>
      <w:r w:rsidRPr="004004AA">
        <w:t xml:space="preserve">of potential connections between existing receptors </w:t>
      </w:r>
      <w:r>
        <w:t>and coal seam gas wells</w:t>
      </w:r>
      <w:r w:rsidRPr="004004AA">
        <w:t xml:space="preserve">. Where connections </w:t>
      </w:r>
      <w:r>
        <w:t>did exist</w:t>
      </w:r>
      <w:r w:rsidRPr="004004AA">
        <w:t>, the travel time through groundwater was determined to be very long, from hundreds to tens of thousands of years,</w:t>
      </w:r>
    </w:p>
    <w:p w14:paraId="0A8F26F8" w14:textId="69C81C8D" w:rsidR="00B33E5C" w:rsidRPr="004004AA" w:rsidRDefault="00B33E5C" w:rsidP="00943534">
      <w:pPr>
        <w:pStyle w:val="Body"/>
        <w:numPr>
          <w:ilvl w:val="0"/>
          <w:numId w:val="63"/>
        </w:numPr>
      </w:pPr>
      <w:r w:rsidRPr="004004AA">
        <w:t>particle tracking</w:t>
      </w:r>
      <w:r>
        <w:t xml:space="preserve">-based pathway calculations undertaken with </w:t>
      </w:r>
      <w:r w:rsidRPr="00B33E5C">
        <w:t xml:space="preserve">an entire well field to capture possible cumulative effects from mass accumulating in </w:t>
      </w:r>
      <w:r>
        <w:t xml:space="preserve">tens and </w:t>
      </w:r>
      <w:r w:rsidR="00431A12">
        <w:t>possibly</w:t>
      </w:r>
      <w:r w:rsidR="00431A12" w:rsidRPr="00B33E5C">
        <w:t xml:space="preserve"> </w:t>
      </w:r>
      <w:r w:rsidRPr="00B33E5C">
        <w:t>hundreds of hydraulically fractured</w:t>
      </w:r>
      <w:r>
        <w:t xml:space="preserve"> wells</w:t>
      </w:r>
      <w:r w:rsidR="00431A12">
        <w:t xml:space="preserve"> reveals that, for the conditions of the case study area, the likelihood for chemicals released through multiple wells contributing to a single receptor are small,</w:t>
      </w:r>
      <w:r>
        <w:t xml:space="preserve"> </w:t>
      </w:r>
    </w:p>
    <w:p w14:paraId="04E84F7E" w14:textId="58B468CA" w:rsidR="00065032" w:rsidRPr="004004AA" w:rsidRDefault="00E61876" w:rsidP="00943534">
      <w:pPr>
        <w:pStyle w:val="Body"/>
        <w:numPr>
          <w:ilvl w:val="0"/>
          <w:numId w:val="63"/>
        </w:numPr>
      </w:pPr>
      <w:r>
        <w:t>c</w:t>
      </w:r>
      <w:r w:rsidR="00065032" w:rsidRPr="004004AA">
        <w:t>alculat</w:t>
      </w:r>
      <w:r>
        <w:t>ed</w:t>
      </w:r>
      <w:r w:rsidR="00065032" w:rsidRPr="004004AA">
        <w:t xml:space="preserve"> attenuation potential for organic compounds </w:t>
      </w:r>
      <w:r>
        <w:t>b</w:t>
      </w:r>
      <w:r w:rsidR="00065032" w:rsidRPr="004004AA">
        <w:t>as</w:t>
      </w:r>
      <w:r>
        <w:t>ed on</w:t>
      </w:r>
      <w:r w:rsidR="00065032" w:rsidRPr="004004AA">
        <w:t xml:space="preserve"> degradation constants (half-lives) obtained from the literature indicated that for the long travel times typical of the two case study areas, chemical</w:t>
      </w:r>
      <w:r>
        <w:t>/biological</w:t>
      </w:r>
      <w:r w:rsidR="00065032" w:rsidRPr="004004AA">
        <w:t xml:space="preserve">  degradation processes together with sorption would easily reduce chemical concentrations to </w:t>
      </w:r>
      <w:r>
        <w:t>‘low concern’ level,</w:t>
      </w:r>
    </w:p>
    <w:p w14:paraId="5F3E4E9E" w14:textId="74E9F0A5" w:rsidR="00065032" w:rsidRPr="004004AA" w:rsidRDefault="00E61876" w:rsidP="00943534">
      <w:pPr>
        <w:pStyle w:val="Body"/>
        <w:numPr>
          <w:ilvl w:val="0"/>
          <w:numId w:val="63"/>
        </w:numPr>
      </w:pPr>
      <w:r>
        <w:t>c</w:t>
      </w:r>
      <w:r w:rsidR="00065032" w:rsidRPr="004004AA">
        <w:t>alculat</w:t>
      </w:r>
      <w:r>
        <w:t>ed</w:t>
      </w:r>
      <w:r w:rsidR="00065032" w:rsidRPr="004004AA">
        <w:t xml:space="preserve"> attenuation potential due to dilution and dispersion provided another line of evidence that for the large travel distances </w:t>
      </w:r>
      <w:r>
        <w:t xml:space="preserve">a </w:t>
      </w:r>
      <w:r w:rsidR="00065032" w:rsidRPr="004004AA">
        <w:t xml:space="preserve">significant decrease in chemical concentration can be </w:t>
      </w:r>
      <w:r>
        <w:t>expected</w:t>
      </w:r>
      <w:r w:rsidR="00065032" w:rsidRPr="004004AA">
        <w:t xml:space="preserve"> (for </w:t>
      </w:r>
      <w:r>
        <w:t xml:space="preserve">both organic and </w:t>
      </w:r>
      <w:r w:rsidR="00065032" w:rsidRPr="004004AA">
        <w:t>inorganic chemicals)</w:t>
      </w:r>
      <w:r w:rsidR="00AC04E6">
        <w:t>,</w:t>
      </w:r>
      <w:r w:rsidR="00065032" w:rsidRPr="004004AA">
        <w:t xml:space="preserve"> </w:t>
      </w:r>
    </w:p>
    <w:p w14:paraId="7275A316" w14:textId="22350B4B" w:rsidR="006E7FB6" w:rsidRDefault="006E7FB6" w:rsidP="00943534">
      <w:pPr>
        <w:pStyle w:val="Body"/>
        <w:numPr>
          <w:ilvl w:val="0"/>
          <w:numId w:val="63"/>
        </w:numPr>
      </w:pPr>
      <w:r w:rsidRPr="004004AA">
        <w:t xml:space="preserve">to yield concentrations </w:t>
      </w:r>
      <w:r>
        <w:t xml:space="preserve">of coal seam gas chemicals </w:t>
      </w:r>
      <w:r w:rsidRPr="004004AA">
        <w:t xml:space="preserve">in groundwater that are </w:t>
      </w:r>
      <w:r>
        <w:t xml:space="preserve">‘of low concern’ to </w:t>
      </w:r>
      <w:r w:rsidRPr="004004AA">
        <w:t>aquatic ecosystem</w:t>
      </w:r>
      <w:r>
        <w:t>s</w:t>
      </w:r>
      <w:r w:rsidR="00D41C36">
        <w:t>,</w:t>
      </w:r>
      <w:r w:rsidRPr="004004AA">
        <w:t xml:space="preserve"> </w:t>
      </w:r>
      <w:r>
        <w:t xml:space="preserve">sufficient </w:t>
      </w:r>
      <w:r w:rsidRPr="004004AA">
        <w:t xml:space="preserve">attenuation </w:t>
      </w:r>
      <w:r>
        <w:t xml:space="preserve">can be obtained after a travel distance of 2 km or less due to </w:t>
      </w:r>
      <w:r w:rsidRPr="004004AA">
        <w:t xml:space="preserve">the dilution </w:t>
      </w:r>
      <w:r>
        <w:t xml:space="preserve">and dispersion </w:t>
      </w:r>
      <w:r w:rsidRPr="004004AA">
        <w:t>processes</w:t>
      </w:r>
      <w:r w:rsidR="00D41C36">
        <w:t>; higher dilution can be obtained for chemicals subject to degradation and sorption</w:t>
      </w:r>
      <w:r w:rsidR="00AC04E6">
        <w:t>,</w:t>
      </w:r>
    </w:p>
    <w:p w14:paraId="65D9460C" w14:textId="6B499A63" w:rsidR="00431A12" w:rsidRDefault="00431A12" w:rsidP="00943534">
      <w:pPr>
        <w:pStyle w:val="Body"/>
        <w:numPr>
          <w:ilvl w:val="0"/>
          <w:numId w:val="63"/>
        </w:numPr>
      </w:pPr>
      <w:proofErr w:type="gramStart"/>
      <w:r w:rsidRPr="00431A12">
        <w:t>bore</w:t>
      </w:r>
      <w:proofErr w:type="gramEnd"/>
      <w:r w:rsidRPr="00431A12">
        <w:t xml:space="preserve"> integrity, well spacing, and using chemicals with shorter half-lives were found to be key to minimising risks</w:t>
      </w:r>
      <w:r>
        <w:t xml:space="preserve"> to contamination of deeper groundwater</w:t>
      </w:r>
      <w:r w:rsidRPr="00431A12">
        <w:t>.</w:t>
      </w:r>
    </w:p>
    <w:p w14:paraId="70032F75" w14:textId="2E0E6D17" w:rsidR="00065032" w:rsidRDefault="00D41C36" w:rsidP="00504B0B">
      <w:pPr>
        <w:pStyle w:val="Body"/>
      </w:pPr>
      <w:r>
        <w:t>In conclusion, t</w:t>
      </w:r>
      <w:r w:rsidR="00504B0B" w:rsidRPr="00E6110F">
        <w:t xml:space="preserve">he </w:t>
      </w:r>
      <w:r w:rsidR="004669CD" w:rsidRPr="00E6110F">
        <w:t xml:space="preserve">usability of the </w:t>
      </w:r>
      <w:r>
        <w:t xml:space="preserve">hazard screening </w:t>
      </w:r>
      <w:r w:rsidR="00065032">
        <w:t>framework</w:t>
      </w:r>
      <w:r w:rsidR="00504B0B" w:rsidRPr="00E6110F">
        <w:t xml:space="preserve"> </w:t>
      </w:r>
      <w:r w:rsidR="004669CD" w:rsidRPr="00E6110F">
        <w:t>has</w:t>
      </w:r>
      <w:r w:rsidR="00504B0B" w:rsidRPr="00E6110F">
        <w:t xml:space="preserve"> be</w:t>
      </w:r>
      <w:r w:rsidR="004669CD" w:rsidRPr="00E6110F">
        <w:t>en</w:t>
      </w:r>
      <w:r w:rsidR="00504B0B" w:rsidRPr="00E6110F">
        <w:t xml:space="preserve"> demonstrated, and </w:t>
      </w:r>
      <w:r w:rsidR="000B1EEC">
        <w:t>dilution attenuation factors (</w:t>
      </w:r>
      <w:r w:rsidR="00504B0B" w:rsidRPr="00E6110F">
        <w:t>DAFs</w:t>
      </w:r>
      <w:r w:rsidR="000B1EEC">
        <w:t>)</w:t>
      </w:r>
      <w:r w:rsidR="00504B0B" w:rsidRPr="00E6110F">
        <w:t xml:space="preserve"> derived, for a limited set of chemicals, exhibiting widely differing properties (mobility, persistence, toxicity) that would permit a sufficiently broad understanding of potential risks across the currently used chemicals. Development and “proof-of-concept” testing </w:t>
      </w:r>
      <w:r w:rsidR="004669CD" w:rsidRPr="00E6110F">
        <w:t>ha</w:t>
      </w:r>
      <w:r w:rsidR="000B1EEC">
        <w:t>ve</w:t>
      </w:r>
      <w:r w:rsidR="00504B0B" w:rsidRPr="00E6110F">
        <w:t xml:space="preserve"> be</w:t>
      </w:r>
      <w:r w:rsidR="004669CD" w:rsidRPr="00E6110F">
        <w:t>en</w:t>
      </w:r>
      <w:r w:rsidR="00504B0B" w:rsidRPr="00E6110F">
        <w:t xml:space="preserve"> conducted using data in two separate study areas.</w:t>
      </w:r>
      <w:r>
        <w:t xml:space="preserve"> </w:t>
      </w:r>
      <w:r w:rsidR="00504B0B" w:rsidRPr="00E6110F">
        <w:t>Hypothesis</w:t>
      </w:r>
      <w:r w:rsidR="000B1EEC">
        <w:t>-</w:t>
      </w:r>
      <w:r w:rsidR="00504B0B" w:rsidRPr="00E6110F">
        <w:t xml:space="preserve">driven research has been used to develop quantitative tools for identifying potential hazards to human and environmental health from chemicals associated with coal seam gas extraction (primarily drilling and hydraulic fracturing chemicals). Such tools will also assist with communicating the hazards and risks to regulators, industry, and the community. The tools are uniquely placed to provide insight in the dominant processes and conditions that govern fate, mobility, persistence, and ultimately exposure. </w:t>
      </w:r>
    </w:p>
    <w:p w14:paraId="1F6DF3D3" w14:textId="7A2BB8A9" w:rsidR="00D41C36" w:rsidRPr="004004AA" w:rsidRDefault="00D41C36" w:rsidP="00D41C36">
      <w:pPr>
        <w:pStyle w:val="Body"/>
      </w:pPr>
      <w:r w:rsidRPr="004004AA">
        <w:t xml:space="preserve">The overall conclusions from this study </w:t>
      </w:r>
      <w:r w:rsidR="00156E7E">
        <w:t>suggest</w:t>
      </w:r>
      <w:r>
        <w:t xml:space="preserve"> </w:t>
      </w:r>
      <w:r w:rsidRPr="004004AA">
        <w:t>that the risk</w:t>
      </w:r>
      <w:r w:rsidR="00156E7E">
        <w:t>s arising</w:t>
      </w:r>
      <w:r w:rsidRPr="004004AA">
        <w:t xml:space="preserve"> fr</w:t>
      </w:r>
      <w:r w:rsidR="00156E7E">
        <w:t>om</w:t>
      </w:r>
      <w:r w:rsidRPr="004004AA">
        <w:t xml:space="preserve"> contamination of deeper groundwater </w:t>
      </w:r>
      <w:r w:rsidR="00156E7E">
        <w:t xml:space="preserve">by </w:t>
      </w:r>
      <w:r w:rsidRPr="004004AA">
        <w:t xml:space="preserve">hydraulic fracturing chemicals </w:t>
      </w:r>
      <w:r w:rsidR="00156E7E">
        <w:t>are likely to be</w:t>
      </w:r>
      <w:r w:rsidRPr="004004AA">
        <w:t xml:space="preserve"> very small </w:t>
      </w:r>
      <w:r w:rsidR="00156E7E">
        <w:t xml:space="preserve">under conditions such as those found in the </w:t>
      </w:r>
      <w:r w:rsidRPr="004004AA">
        <w:t xml:space="preserve">two case study areas. </w:t>
      </w:r>
      <w:r>
        <w:t>Multiple lines of e</w:t>
      </w:r>
      <w:r w:rsidRPr="004004AA">
        <w:t xml:space="preserve">vidence </w:t>
      </w:r>
      <w:r>
        <w:t xml:space="preserve">have been developed </w:t>
      </w:r>
      <w:r w:rsidRPr="004004AA">
        <w:t>to underpin this conclusion</w:t>
      </w:r>
      <w:r>
        <w:t>.</w:t>
      </w:r>
      <w:r w:rsidR="006B28AF">
        <w:t xml:space="preserve"> Although a systematic uncertainty analysis was not undertaken and beyond the scope of this project, a simplified sensitivity analysis was instrumental in providing reasonable bounds around output values. A systematic qualification of predictive uncertainty is recommended for future research.</w:t>
      </w:r>
    </w:p>
    <w:p w14:paraId="11D47A8B" w14:textId="77777777" w:rsidR="00D41C36" w:rsidRDefault="00D41C36" w:rsidP="00504B0B">
      <w:pPr>
        <w:pStyle w:val="Body"/>
      </w:pPr>
    </w:p>
    <w:p w14:paraId="612EE9F4" w14:textId="450AC66F" w:rsidR="00F400AD" w:rsidRPr="00E6110F" w:rsidRDefault="00F400AD" w:rsidP="008668C2">
      <w:pPr>
        <w:pStyle w:val="Body"/>
      </w:pPr>
      <w:r w:rsidRPr="00E6110F">
        <w:br w:type="page"/>
      </w:r>
    </w:p>
    <w:p w14:paraId="5FD21CAA" w14:textId="77777777" w:rsidR="00E8296A" w:rsidRPr="00E6110F" w:rsidRDefault="00E8296A" w:rsidP="00563D0F">
      <w:pPr>
        <w:pStyle w:val="Heading1"/>
      </w:pPr>
      <w:bookmarkStart w:id="8" w:name="_Toc494444472"/>
      <w:r w:rsidRPr="00E6110F">
        <w:t>Introduction</w:t>
      </w:r>
      <w:bookmarkEnd w:id="8"/>
    </w:p>
    <w:p w14:paraId="199BFAE4" w14:textId="4E873273" w:rsidR="00CA7E19" w:rsidRDefault="00CA7E19" w:rsidP="00CA7E19">
      <w:pPr>
        <w:pStyle w:val="Body"/>
      </w:pPr>
      <w:r w:rsidRPr="00E6110F">
        <w:t>Th</w:t>
      </w:r>
      <w:r>
        <w:t>is</w:t>
      </w:r>
      <w:r w:rsidRPr="00E6110F">
        <w:t xml:space="preserve"> project ‘Deeper groundwater screening hazard</w:t>
      </w:r>
      <w:r w:rsidR="00621704">
        <w:t xml:space="preserve"> research</w:t>
      </w:r>
      <w:r w:rsidRPr="00E6110F">
        <w:t>: National assessment of chemicals associated with coal seam gas extraction in Australian’ delivers a “proof-of-concept” tiered</w:t>
      </w:r>
      <w:r w:rsidR="003C76CE">
        <w:t>,</w:t>
      </w:r>
      <w:r w:rsidRPr="00E6110F">
        <w:t xml:space="preserve"> hazard</w:t>
      </w:r>
      <w:r w:rsidR="003C76CE">
        <w:t>-</w:t>
      </w:r>
      <w:r w:rsidRPr="00E6110F">
        <w:t xml:space="preserve">screening framework for identifying chemicals used in coal seam gas extraction in Australia that may be a potential hazard to </w:t>
      </w:r>
      <w:r w:rsidR="00C441DF">
        <w:t xml:space="preserve">human health and </w:t>
      </w:r>
      <w:r w:rsidRPr="00E6110F">
        <w:t>aquatic and groundwater depend</w:t>
      </w:r>
      <w:r w:rsidR="00736347">
        <w:t>e</w:t>
      </w:r>
      <w:r w:rsidR="004B14AF">
        <w:t>nt</w:t>
      </w:r>
      <w:r w:rsidRPr="00E6110F">
        <w:t xml:space="preserve"> terrestrial receptors</w:t>
      </w:r>
      <w:r w:rsidR="00F579FC">
        <w:rPr>
          <w:rFonts w:ascii="ZWAdobeF" w:hAnsi="ZWAdobeF" w:cs="ZWAdobeF"/>
          <w:color w:val="auto"/>
          <w:sz w:val="2"/>
          <w:szCs w:val="2"/>
        </w:rPr>
        <w:t>0F</w:t>
      </w:r>
      <w:r w:rsidR="008D1679">
        <w:rPr>
          <w:rStyle w:val="FootnoteReference"/>
        </w:rPr>
        <w:footnoteReference w:id="2"/>
      </w:r>
      <w:r>
        <w:t>. The project considers</w:t>
      </w:r>
      <w:r w:rsidRPr="00E6110F">
        <w:t xml:space="preserve"> </w:t>
      </w:r>
      <w:r>
        <w:t xml:space="preserve">potential </w:t>
      </w:r>
      <w:r w:rsidRPr="00E6110F">
        <w:t xml:space="preserve">contamination in deeper groundwater and </w:t>
      </w:r>
      <w:r>
        <w:t>potential</w:t>
      </w:r>
      <w:r w:rsidRPr="00E6110F">
        <w:t xml:space="preserve"> transport pathway</w:t>
      </w:r>
      <w:r>
        <w:t>s</w:t>
      </w:r>
      <w:r w:rsidRPr="00E6110F">
        <w:t xml:space="preserve"> via deeper groundwater</w:t>
      </w:r>
      <w:r>
        <w:t xml:space="preserve"> to </w:t>
      </w:r>
      <w:r w:rsidR="00C441DF">
        <w:t xml:space="preserve">water bores and </w:t>
      </w:r>
      <w:r>
        <w:t>aquatic and terrestrial receptors</w:t>
      </w:r>
      <w:r w:rsidR="00C441DF">
        <w:t xml:space="preserve"> linked to surface water environments</w:t>
      </w:r>
      <w:r w:rsidRPr="00E6110F">
        <w:t xml:space="preserve">. This framework will allow a rapid screening to determine which chemicals are more likely to be hazardous and which may present potential risks to the environment and human health. </w:t>
      </w:r>
      <w:r w:rsidR="00CC0219">
        <w:t xml:space="preserve">The framework will be </w:t>
      </w:r>
      <w:r w:rsidR="00CC0219" w:rsidRPr="00E6110F">
        <w:t>developed and tested in two separate study areas</w:t>
      </w:r>
      <w:r w:rsidR="00CC0219">
        <w:t xml:space="preserve">. </w:t>
      </w:r>
      <w:r w:rsidRPr="00E6110F">
        <w:t>Application of the framework will allow chemicals with low hazard levels to be readily excluded from separate, more detailed environmental risk assessment</w:t>
      </w:r>
      <w:r>
        <w:t>s</w:t>
      </w:r>
      <w:r w:rsidRPr="00E6110F">
        <w:t xml:space="preserve">. This </w:t>
      </w:r>
      <w:r w:rsidR="00377864">
        <w:t xml:space="preserve">also </w:t>
      </w:r>
      <w:r w:rsidRPr="00E6110F">
        <w:t>provides a robust evidence base to inform future research priorities.</w:t>
      </w:r>
      <w:r w:rsidR="00C24266">
        <w:t xml:space="preserve"> </w:t>
      </w:r>
    </w:p>
    <w:p w14:paraId="4AD98704" w14:textId="0009B4CB" w:rsidR="004A71A5" w:rsidRDefault="008E24C1" w:rsidP="00F43D32">
      <w:pPr>
        <w:pStyle w:val="Body"/>
        <w:rPr>
          <w:rFonts w:eastAsia="Times New Roman"/>
          <w:lang w:eastAsia="en-AU"/>
        </w:rPr>
      </w:pPr>
      <w:r>
        <w:t xml:space="preserve">This project complements the </w:t>
      </w:r>
      <w:r w:rsidRPr="0037379B">
        <w:rPr>
          <w:i/>
        </w:rPr>
        <w:t>National Assessment of Chemicals Associated with Coal Seam Gas Extraction in Australia</w:t>
      </w:r>
      <w:r>
        <w:rPr>
          <w:i/>
        </w:rPr>
        <w:t xml:space="preserve"> </w:t>
      </w:r>
      <w:r w:rsidRPr="0037379B">
        <w:t>(the</w:t>
      </w:r>
      <w:r w:rsidRPr="0037379B">
        <w:rPr>
          <w:i/>
        </w:rPr>
        <w:t xml:space="preserve"> </w:t>
      </w:r>
      <w:r>
        <w:rPr>
          <w:i/>
        </w:rPr>
        <w:t>A</w:t>
      </w:r>
      <w:r w:rsidRPr="009A2E57">
        <w:t>ssessment</w:t>
      </w:r>
      <w:r w:rsidRPr="0037379B">
        <w:t>)</w:t>
      </w:r>
      <w:r w:rsidR="00B55F25">
        <w:t xml:space="preserve"> (</w:t>
      </w:r>
      <w:r w:rsidR="006157F4">
        <w:t>NICNAS 201</w:t>
      </w:r>
      <w:r w:rsidR="00914462">
        <w:t>7</w:t>
      </w:r>
      <w:r w:rsidR="001A79EA">
        <w:t>a</w:t>
      </w:r>
      <w:r w:rsidR="00B55F25">
        <w:t>)</w:t>
      </w:r>
      <w:r>
        <w:rPr>
          <w:i/>
        </w:rPr>
        <w:t xml:space="preserve">. </w:t>
      </w:r>
      <w:r w:rsidRPr="009A2E57">
        <w:t xml:space="preserve">The Assessment aimed to </w:t>
      </w:r>
      <w:r w:rsidRPr="0037379B">
        <w:t>develop an improved understanding of the occupational, public health and environmental risks associated with chemicals either used in or mobili</w:t>
      </w:r>
      <w:r>
        <w:t>s</w:t>
      </w:r>
      <w:r w:rsidRPr="0037379B">
        <w:t xml:space="preserve">ed by </w:t>
      </w:r>
      <w:r>
        <w:t xml:space="preserve">drilling and </w:t>
      </w:r>
      <w:r w:rsidRPr="0037379B">
        <w:t>hydraulic fracturing for coal seam gas in an Australian context</w:t>
      </w:r>
      <w:r>
        <w:t>.</w:t>
      </w:r>
      <w:r w:rsidR="00F43D32">
        <w:t xml:space="preserve"> </w:t>
      </w:r>
      <w:r w:rsidR="00F43D32" w:rsidRPr="00F43D32">
        <w:t>The Assessment looked at chemicals used in drilling and hydraulic fracturing for coal seam gas within a sample time period to develop a stronger understanding of the chemicals used in the industry and what risks they may pose to coal seam gas workers, the public and the environment</w:t>
      </w:r>
      <w:r w:rsidR="00F43D32">
        <w:t xml:space="preserve">. </w:t>
      </w:r>
      <w:r w:rsidR="00C21E74">
        <w:t>The potential chemi</w:t>
      </w:r>
      <w:r w:rsidR="002476C7">
        <w:t>cal contamination source is at o</w:t>
      </w:r>
      <w:r w:rsidR="00C21E74">
        <w:t xml:space="preserve">r near the surface, therefore only shallow groundwater was considered in the Assessment. </w:t>
      </w:r>
      <w:r w:rsidR="0007581A">
        <w:t>Unlike the current project, t</w:t>
      </w:r>
      <w:r w:rsidRPr="00526206">
        <w:t>he Assessment did not consider the effects of potential risks to deeper groundwater.</w:t>
      </w:r>
      <w:r w:rsidR="00C21E74">
        <w:t xml:space="preserve"> Here deeper groundwater refers </w:t>
      </w:r>
      <w:r w:rsidR="006B28AF">
        <w:t xml:space="preserve">to </w:t>
      </w:r>
      <w:r w:rsidR="00C21E74">
        <w:t>the w</w:t>
      </w:r>
      <w:r w:rsidR="004A71A5" w:rsidRPr="000A2A48">
        <w:rPr>
          <w:rFonts w:eastAsia="Times New Roman"/>
          <w:lang w:eastAsia="en-AU"/>
        </w:rPr>
        <w:t xml:space="preserve">ater bearing aquifers, including coal </w:t>
      </w:r>
      <w:r w:rsidR="00C21E74" w:rsidRPr="000A2A48">
        <w:rPr>
          <w:rFonts w:eastAsia="Times New Roman"/>
          <w:lang w:eastAsia="en-AU"/>
        </w:rPr>
        <w:t>formations</w:t>
      </w:r>
      <w:r w:rsidR="00C21E74">
        <w:rPr>
          <w:rFonts w:eastAsia="Times New Roman"/>
          <w:lang w:eastAsia="en-AU"/>
        </w:rPr>
        <w:t>, which</w:t>
      </w:r>
      <w:r w:rsidR="004A71A5">
        <w:rPr>
          <w:rFonts w:eastAsia="Times New Roman"/>
          <w:lang w:eastAsia="en-AU"/>
        </w:rPr>
        <w:t xml:space="preserve"> are generally confined by an impermeable layer (aquitard). They are unconfined where the sediments outcrop.</w:t>
      </w:r>
      <w:r w:rsidR="00C21E74">
        <w:rPr>
          <w:rFonts w:eastAsia="Times New Roman"/>
          <w:lang w:eastAsia="en-AU"/>
        </w:rPr>
        <w:t xml:space="preserve"> The potential chemical contamination source for deeper groundwater is several hundred meters deep and associated with the coal seam formation targeted for hydraulic fracturing.</w:t>
      </w:r>
      <w:r w:rsidR="00C441DF">
        <w:rPr>
          <w:rFonts w:eastAsia="Times New Roman"/>
          <w:lang w:eastAsia="en-AU"/>
        </w:rPr>
        <w:t xml:space="preserve"> Because of the great depths involved, pathways from a coal seam gas related chemical source (drilling fluids, hydraulic fracturing fluids, and geogenics) to distant receptors will generally take tens to hundreds of years during which natural attenuation takes place which reduces initial concentrations to negligible levels.</w:t>
      </w:r>
    </w:p>
    <w:p w14:paraId="72171F49" w14:textId="4221B871" w:rsidR="00C24006" w:rsidRPr="00E6110F" w:rsidRDefault="00C24006" w:rsidP="00F43D32">
      <w:pPr>
        <w:pStyle w:val="Body"/>
      </w:pPr>
      <w:r w:rsidRPr="00C24006">
        <w:t>It should be noted that sublethal toxicity effects of contaminants such as endocrine disruption are not considered in this study. Similarly, the effects of mixtures of contaminants are not considered as the ecotoxicological data to develop the required concentration additive models of mixture toxicity are not available.</w:t>
      </w:r>
    </w:p>
    <w:p w14:paraId="3D2D70D8" w14:textId="22ADA78F" w:rsidR="00CD7F48" w:rsidRDefault="00C42A24" w:rsidP="004A1F3F">
      <w:pPr>
        <w:pStyle w:val="Body"/>
      </w:pPr>
      <w:r w:rsidRPr="00E6110F">
        <w:t xml:space="preserve">Contamination of groundwater resources as a result of hydraulic fracturing for gas production requires </w:t>
      </w:r>
      <w:r w:rsidR="003C76CE">
        <w:t xml:space="preserve">the </w:t>
      </w:r>
      <w:r w:rsidRPr="00E6110F">
        <w:t xml:space="preserve">presence of a </w:t>
      </w:r>
      <w:r>
        <w:t xml:space="preserve">contamination source, a </w:t>
      </w:r>
      <w:r w:rsidRPr="00E6110F">
        <w:t xml:space="preserve">pathway and a driving force. </w:t>
      </w:r>
      <w:r>
        <w:t>The contamination source relates to the residual fraction of hydraulic fracturing fluid not recovered during the water extraction required for gas production. Indeed, h</w:t>
      </w:r>
      <w:r w:rsidR="004A1F3F" w:rsidRPr="00E6110F">
        <w:t>ydraulic fracturing fluids injected in</w:t>
      </w:r>
      <w:r w:rsidR="003C76CE">
        <w:t>to</w:t>
      </w:r>
      <w:r w:rsidR="004A1F3F" w:rsidRPr="00E6110F">
        <w:t xml:space="preserve"> coal seam wells will to a large degree be recovered from coal seam pore waters during normal well operations (</w:t>
      </w:r>
      <w:r w:rsidR="00856607">
        <w:t>Mallants et al</w:t>
      </w:r>
      <w:r w:rsidR="003C76CE">
        <w:t>.</w:t>
      </w:r>
      <w:r w:rsidR="004A1F3F" w:rsidRPr="00E6110F">
        <w:t xml:space="preserve"> 201</w:t>
      </w:r>
      <w:r w:rsidR="00914462">
        <w:t>7</w:t>
      </w:r>
      <w:r w:rsidR="00856607">
        <w:t>a</w:t>
      </w:r>
      <w:r w:rsidR="004A1F3F" w:rsidRPr="00E6110F">
        <w:t>). A residual fraction may remain in the pore waters</w:t>
      </w:r>
      <w:r w:rsidR="007B0E98">
        <w:t xml:space="preserve"> of the coal seam formations</w:t>
      </w:r>
      <w:r w:rsidR="004A1F3F" w:rsidRPr="00E6110F">
        <w:t xml:space="preserve">, especially at the fringe of the fractured zone and within micro-fractures and micro-pores within coal and </w:t>
      </w:r>
      <w:r w:rsidR="007B0E98">
        <w:t>coal seam</w:t>
      </w:r>
      <w:r w:rsidR="004A1F3F" w:rsidRPr="00E6110F">
        <w:t xml:space="preserve"> formation sediments</w:t>
      </w:r>
      <w:r w:rsidR="00196368">
        <w:t xml:space="preserve"> (</w:t>
      </w:r>
      <w:r w:rsidR="00141471" w:rsidRPr="00141471">
        <w:t>Santos 2014</w:t>
      </w:r>
      <w:r w:rsidR="00196368">
        <w:t>)</w:t>
      </w:r>
      <w:r w:rsidR="004A1F3F" w:rsidRPr="00E6110F">
        <w:t xml:space="preserve">. Adsorption of hydraulic fracturing chemicals onto coal and host formation sediments will further contribute to some fraction of the chemicals remaining in the CSG well fields and potentially in adjacent formations, especially if natural connectivity via tectonic windows between these formations exists. </w:t>
      </w:r>
    </w:p>
    <w:p w14:paraId="5E670A9B" w14:textId="1D4CB568" w:rsidR="00CD7F48" w:rsidRDefault="004A1F3F" w:rsidP="004A1F3F">
      <w:pPr>
        <w:pStyle w:val="Body"/>
      </w:pPr>
      <w:r w:rsidRPr="00E6110F">
        <w:t>Depending on the ambient flow rate compared to the flow rate induced by CSG extraction, hydraulic fracturing chemicals may migrate away from the well fields towards irrigation, stock or other extraction bores placed within coal seam aquifers</w:t>
      </w:r>
      <w:r w:rsidR="00CD7F48">
        <w:t xml:space="preserve">. For instance, although </w:t>
      </w:r>
      <w:r w:rsidR="00CD7F48" w:rsidRPr="00CD7F48">
        <w:t xml:space="preserve">the Walloon Coal Measures </w:t>
      </w:r>
      <w:r w:rsidR="00CD7F48">
        <w:t>in the Surat Basin in Queensland, Australia,</w:t>
      </w:r>
      <w:r w:rsidR="00CD7F48" w:rsidRPr="00CD7F48">
        <w:t xml:space="preserve"> are considered to be an aquitard at the basin scale, they can form aquifers in particular near the basin margin. In the Surat Basin, groundwater from the Walloon Coal Measures is currently extracted from 1647 groundwater bores for stock, domestic, industrial and urban purposes (OGIA 2016). In the Bandanna Formation of the Bowen Basin </w:t>
      </w:r>
      <w:r w:rsidR="00CD7F48">
        <w:t xml:space="preserve">in Queensland, </w:t>
      </w:r>
      <w:r w:rsidR="00CD7F48" w:rsidRPr="00CD7F48">
        <w:t xml:space="preserve">there a further 103 groundwater bores </w:t>
      </w:r>
      <w:r w:rsidR="00CD7F48">
        <w:t xml:space="preserve">for town water supply, agriculture and industry </w:t>
      </w:r>
      <w:r w:rsidR="00CD7F48" w:rsidRPr="00CD7F48">
        <w:t>(OGIA 201</w:t>
      </w:r>
      <w:r w:rsidR="00CD7F48">
        <w:t>6</w:t>
      </w:r>
      <w:r w:rsidR="00CD7F48" w:rsidRPr="00CD7F48">
        <w:t>).</w:t>
      </w:r>
    </w:p>
    <w:p w14:paraId="23B02358" w14:textId="30EE5438" w:rsidR="004A1F3F" w:rsidRPr="00E6110F" w:rsidRDefault="00CD7F48" w:rsidP="004A1F3F">
      <w:pPr>
        <w:pStyle w:val="Body"/>
      </w:pPr>
      <w:r>
        <w:t>H</w:t>
      </w:r>
      <w:r w:rsidRPr="00E6110F">
        <w:t>ydraulic fracturing chemicals</w:t>
      </w:r>
      <w:r w:rsidR="004A1F3F" w:rsidRPr="00E6110F">
        <w:t xml:space="preserve"> could </w:t>
      </w:r>
      <w:r>
        <w:t xml:space="preserve">potentially also </w:t>
      </w:r>
      <w:r w:rsidR="004A1F3F" w:rsidRPr="00E6110F">
        <w:t>find a pathway into overlying or underlying aquifers through hydraulically active faults and/or hydraulic fracturing-induced preferential flow paths (</w:t>
      </w:r>
      <w:r w:rsidR="00341E9B">
        <w:t>Davies et al. 2012; Warner et al. 2012</w:t>
      </w:r>
      <w:r w:rsidR="00A92016">
        <w:t>a</w:t>
      </w:r>
      <w:r w:rsidR="00341E9B">
        <w:t xml:space="preserve">; </w:t>
      </w:r>
      <w:r w:rsidR="004A1F3F" w:rsidRPr="00E6110F">
        <w:t>US EPA 2012</w:t>
      </w:r>
      <w:r w:rsidR="008D3414" w:rsidRPr="00E6110F">
        <w:t>a</w:t>
      </w:r>
      <w:r w:rsidR="008B003B" w:rsidRPr="00E6110F">
        <w:t>,</w:t>
      </w:r>
      <w:r w:rsidR="004A1F3F" w:rsidRPr="00E6110F">
        <w:t xml:space="preserve"> 2013</w:t>
      </w:r>
      <w:r w:rsidR="00341E9B">
        <w:t xml:space="preserve">; Kissinger et al. 2013; Reagan et al. 2015; </w:t>
      </w:r>
      <w:r w:rsidR="00341E9B" w:rsidRPr="00E6110F">
        <w:t>DoE</w:t>
      </w:r>
      <w:r w:rsidR="00527149">
        <w:t>E</w:t>
      </w:r>
      <w:r w:rsidR="00341E9B" w:rsidRPr="00E6110F">
        <w:t xml:space="preserve"> 201</w:t>
      </w:r>
      <w:r w:rsidR="00914462">
        <w:t>7</w:t>
      </w:r>
      <w:r w:rsidR="005D5567">
        <w:t>a</w:t>
      </w:r>
      <w:r w:rsidR="004A1F3F" w:rsidRPr="00E6110F">
        <w:t>).</w:t>
      </w:r>
      <w:r w:rsidR="00A346D7" w:rsidRPr="00E6110F">
        <w:t xml:space="preserve"> Additional pathways might exist through </w:t>
      </w:r>
      <w:r w:rsidR="00AA32D7" w:rsidRPr="00E6110F">
        <w:t xml:space="preserve">water bores exhibiting poor integrity and </w:t>
      </w:r>
      <w:r w:rsidR="00A346D7" w:rsidRPr="00E6110F">
        <w:t>exploration</w:t>
      </w:r>
      <w:r w:rsidR="00AA32D7" w:rsidRPr="00E6110F">
        <w:t xml:space="preserve"> </w:t>
      </w:r>
      <w:r w:rsidR="004038FD" w:rsidRPr="00E6110F">
        <w:t xml:space="preserve">bores that provide inter-aquifer connectivity </w:t>
      </w:r>
      <w:r w:rsidR="00AA32D7" w:rsidRPr="00E6110F">
        <w:t>(</w:t>
      </w:r>
      <w:r w:rsidR="00341E9B">
        <w:t xml:space="preserve">Jackson et al. 2013; </w:t>
      </w:r>
      <w:r w:rsidR="00AA32D7" w:rsidRPr="00E6110F">
        <w:t xml:space="preserve">Wu et al. 2016). </w:t>
      </w:r>
      <w:r w:rsidR="00A346D7" w:rsidRPr="00E6110F">
        <w:t xml:space="preserve"> </w:t>
      </w:r>
    </w:p>
    <w:p w14:paraId="3748A130" w14:textId="0FF4B1CD" w:rsidR="004A1F3F" w:rsidRPr="00E6110F" w:rsidRDefault="004A1F3F" w:rsidP="004A1F3F">
      <w:pPr>
        <w:pStyle w:val="Body"/>
      </w:pPr>
      <w:r w:rsidRPr="00E6110F">
        <w:t xml:space="preserve">Some of the key research questions regarding </w:t>
      </w:r>
      <w:r w:rsidR="00F90814">
        <w:t xml:space="preserve">potential </w:t>
      </w:r>
      <w:r w:rsidRPr="00E6110F">
        <w:t xml:space="preserve">deep groundwater contamination </w:t>
      </w:r>
      <w:r w:rsidR="004038FD" w:rsidRPr="00E6110F">
        <w:t xml:space="preserve">that are addressed in the current research </w:t>
      </w:r>
      <w:r w:rsidRPr="00E6110F">
        <w:t>include:</w:t>
      </w:r>
    </w:p>
    <w:p w14:paraId="11AB348B" w14:textId="77777777" w:rsidR="004A1F3F" w:rsidRPr="00E6110F" w:rsidRDefault="004A1F3F" w:rsidP="00C117A3">
      <w:pPr>
        <w:pStyle w:val="Body"/>
        <w:numPr>
          <w:ilvl w:val="0"/>
          <w:numId w:val="10"/>
        </w:numPr>
      </w:pPr>
      <w:r w:rsidRPr="00E6110F">
        <w:t>What is the long-term adsorption, and thus attenuation potential of coal for hydraulic fracturing-related chemicals?</w:t>
      </w:r>
    </w:p>
    <w:p w14:paraId="700B8226" w14:textId="514F5FAE" w:rsidR="004A1F3F" w:rsidRPr="00E6110F" w:rsidRDefault="004A1F3F" w:rsidP="00C117A3">
      <w:pPr>
        <w:pStyle w:val="Body"/>
        <w:numPr>
          <w:ilvl w:val="0"/>
          <w:numId w:val="10"/>
        </w:numPr>
      </w:pPr>
      <w:r w:rsidRPr="00E6110F">
        <w:t xml:space="preserve">Once the key </w:t>
      </w:r>
      <w:r w:rsidR="00B85A8E">
        <w:t>attenuation</w:t>
      </w:r>
      <w:r w:rsidRPr="00E6110F">
        <w:t xml:space="preserve"> reactions in the </w:t>
      </w:r>
      <w:r w:rsidR="00B85A8E">
        <w:t>deeper groundwater</w:t>
      </w:r>
      <w:r w:rsidRPr="00E6110F">
        <w:t xml:space="preserve"> have been accounted for, what are the contaminant concentrations </w:t>
      </w:r>
      <w:r w:rsidR="00B85A8E">
        <w:t>along the chemical pathway</w:t>
      </w:r>
      <w:r w:rsidR="00A618E6">
        <w:t>s</w:t>
      </w:r>
      <w:r w:rsidRPr="00E6110F">
        <w:t>, and what chemicals warrant further assessment and fate</w:t>
      </w:r>
      <w:r w:rsidR="00A618E6">
        <w:t>-</w:t>
      </w:r>
      <w:r w:rsidRPr="00E6110F">
        <w:t>pathway analysis?</w:t>
      </w:r>
    </w:p>
    <w:p w14:paraId="048CDADA" w14:textId="77777777" w:rsidR="004A1F3F" w:rsidRPr="00E6110F" w:rsidRDefault="004A1F3F" w:rsidP="00C117A3">
      <w:pPr>
        <w:pStyle w:val="Body"/>
        <w:numPr>
          <w:ilvl w:val="0"/>
          <w:numId w:val="10"/>
        </w:numPr>
      </w:pPr>
      <w:r w:rsidRPr="00E6110F">
        <w:t>Are there any pathways in deep groundwater that provide a connection between the contaminant source and receptors such as (deep and shallow) water bores?</w:t>
      </w:r>
    </w:p>
    <w:p w14:paraId="2AB4982A" w14:textId="77777777" w:rsidR="004A1F3F" w:rsidRPr="00E6110F" w:rsidRDefault="004A1F3F" w:rsidP="00C117A3">
      <w:pPr>
        <w:pStyle w:val="Body"/>
        <w:numPr>
          <w:ilvl w:val="0"/>
          <w:numId w:val="10"/>
        </w:numPr>
      </w:pPr>
      <w:r w:rsidRPr="00E6110F">
        <w:t>Based on coupling groundwater flow with the coal seam contaminant source, what is the minimum travel time to potential receptors, and what is the chemical concentration and toxicity in the receiving groundwater connected surface waters?</w:t>
      </w:r>
    </w:p>
    <w:p w14:paraId="6D3E5B39" w14:textId="7333F822" w:rsidR="004A1F3F" w:rsidRPr="00E6110F" w:rsidRDefault="004A1F3F" w:rsidP="00C117A3">
      <w:pPr>
        <w:pStyle w:val="Body"/>
        <w:numPr>
          <w:ilvl w:val="0"/>
          <w:numId w:val="10"/>
        </w:numPr>
      </w:pPr>
      <w:r w:rsidRPr="00E6110F">
        <w:t xml:space="preserve">What are the timescales within which significant microbiological and/or chemical transformation/degradation of hydraulic fracturing-related contaminants could occur? </w:t>
      </w:r>
    </w:p>
    <w:p w14:paraId="0C3E7CFE" w14:textId="77777777" w:rsidR="004A1F3F" w:rsidRPr="00E6110F" w:rsidRDefault="004A1F3F" w:rsidP="00C117A3">
      <w:pPr>
        <w:pStyle w:val="Body"/>
        <w:numPr>
          <w:ilvl w:val="0"/>
          <w:numId w:val="10"/>
        </w:numPr>
      </w:pPr>
      <w:r w:rsidRPr="00E6110F">
        <w:t xml:space="preserve">Does such degradation result in metabolism products that are sufficiently mobile, of significant concentration, or sufficiently toxic that they warrant further assessment?  </w:t>
      </w:r>
    </w:p>
    <w:p w14:paraId="544DC34F" w14:textId="77777777" w:rsidR="004A1F3F" w:rsidRPr="00E6110F" w:rsidRDefault="004A1F3F" w:rsidP="004A1F3F">
      <w:pPr>
        <w:pStyle w:val="Body"/>
      </w:pPr>
      <w:r w:rsidRPr="00E6110F">
        <w:t>Hypothesis driven research could be used to quantify potential risks to human and environmental health from drilling, cementing, and hydraulic fracturing chemicals, and could be used to develop tools to assist with communicating the risk to regulators, industry, and the community. Geochemical modelling approaches, when combined with laboratory-based solute and ecotoxicological investigations, could help answer the above research questions.</w:t>
      </w:r>
    </w:p>
    <w:p w14:paraId="464A9FE4" w14:textId="63F8B4C0" w:rsidR="004A1F3F" w:rsidRPr="00E6110F" w:rsidRDefault="004A1F3F" w:rsidP="004038FD">
      <w:pPr>
        <w:pStyle w:val="Body"/>
      </w:pPr>
      <w:r w:rsidRPr="00E6110F">
        <w:t xml:space="preserve">These questions </w:t>
      </w:r>
      <w:r w:rsidR="004038FD" w:rsidRPr="00E6110F">
        <w:t>have been addressed b</w:t>
      </w:r>
      <w:r w:rsidRPr="00E6110F">
        <w:t xml:space="preserve">y </w:t>
      </w:r>
      <w:r w:rsidR="004038FD" w:rsidRPr="00E6110F">
        <w:t xml:space="preserve">undertaking </w:t>
      </w:r>
      <w:r w:rsidRPr="00E6110F">
        <w:t xml:space="preserve">research in the following </w:t>
      </w:r>
      <w:r w:rsidR="004038FD" w:rsidRPr="00E6110F">
        <w:t>areas</w:t>
      </w:r>
      <w:r w:rsidRPr="00E6110F">
        <w:t>:</w:t>
      </w:r>
    </w:p>
    <w:p w14:paraId="37E4C0C6" w14:textId="77777777" w:rsidR="004A1F3F" w:rsidRPr="00E6110F" w:rsidRDefault="004A1F3F" w:rsidP="00C117A3">
      <w:pPr>
        <w:pStyle w:val="Body"/>
        <w:numPr>
          <w:ilvl w:val="0"/>
          <w:numId w:val="10"/>
        </w:numPr>
      </w:pPr>
      <w:r w:rsidRPr="00E6110F">
        <w:t>identifying the exposure pathways (i.e. likelihood and consequence of connectivity) between groundwater contamination sources and key receptors in the receiving environment that should be included in risk assessment processes;</w:t>
      </w:r>
    </w:p>
    <w:p w14:paraId="5DC448B0" w14:textId="77777777" w:rsidR="004A1F3F" w:rsidRPr="00E6110F" w:rsidRDefault="004A1F3F" w:rsidP="00C117A3">
      <w:pPr>
        <w:pStyle w:val="Body"/>
        <w:numPr>
          <w:ilvl w:val="0"/>
          <w:numId w:val="10"/>
        </w:numPr>
      </w:pPr>
      <w:r w:rsidRPr="00E6110F">
        <w:t>quantifying the potential for hydraulic fracturing chemicals to mobilise otherwise immobile geogenic contaminants in the coal seam, and assessing the potential human and environmental health risks arising from exposures to these geogenic contaminants via groundwater transport processes;</w:t>
      </w:r>
    </w:p>
    <w:p w14:paraId="4E258332" w14:textId="77777777" w:rsidR="004A1F3F" w:rsidRPr="00E6110F" w:rsidRDefault="004A1F3F" w:rsidP="00C117A3">
      <w:pPr>
        <w:pStyle w:val="Body"/>
        <w:numPr>
          <w:ilvl w:val="0"/>
          <w:numId w:val="10"/>
        </w:numPr>
      </w:pPr>
      <w:r w:rsidRPr="00E6110F">
        <w:t>determining the thresholds of test bed species to selected hydraulic fracturing chemicals, and of Australian aquatic flora and fauna more generally;</w:t>
      </w:r>
    </w:p>
    <w:p w14:paraId="1026E74A" w14:textId="14E0E7EE" w:rsidR="004A1F3F" w:rsidRPr="00E6110F" w:rsidRDefault="004A1F3F" w:rsidP="00C117A3">
      <w:pPr>
        <w:pStyle w:val="Body"/>
        <w:numPr>
          <w:ilvl w:val="0"/>
          <w:numId w:val="10"/>
        </w:numPr>
      </w:pPr>
      <w:r w:rsidRPr="00E6110F">
        <w:t>inclu</w:t>
      </w:r>
      <w:r w:rsidR="00A7419A">
        <w:t>ding</w:t>
      </w:r>
      <w:r w:rsidRPr="00E6110F">
        <w:t xml:space="preserve"> the effects of potential well integrity failures and misdirected hydraulic fracturing in a risk assessment process aimed at (i) evaluating enhanced transport of contaminants into aquifers adjacent to the coal seam(s), and (ii) predicting the extent </w:t>
      </w:r>
      <w:r w:rsidR="003A624E" w:rsidRPr="00E6110F">
        <w:t>of</w:t>
      </w:r>
      <w:r w:rsidRPr="00E6110F">
        <w:t xml:space="preserve"> downstream groundwater </w:t>
      </w:r>
      <w:r w:rsidR="003A624E" w:rsidRPr="00E6110F">
        <w:t>dilution if such</w:t>
      </w:r>
      <w:r w:rsidRPr="00E6110F">
        <w:t xml:space="preserve"> emissions</w:t>
      </w:r>
      <w:r w:rsidR="003A624E" w:rsidRPr="00E6110F">
        <w:t xml:space="preserve"> occur</w:t>
      </w:r>
      <w:r w:rsidRPr="00E6110F">
        <w:t>;</w:t>
      </w:r>
    </w:p>
    <w:p w14:paraId="3F83B85B" w14:textId="1E1DA067" w:rsidR="004A1F3F" w:rsidRPr="00E6110F" w:rsidRDefault="004A1F3F" w:rsidP="00C117A3">
      <w:pPr>
        <w:pStyle w:val="Body"/>
        <w:numPr>
          <w:ilvl w:val="0"/>
          <w:numId w:val="10"/>
        </w:numPr>
      </w:pPr>
      <w:r w:rsidRPr="00E6110F">
        <w:t xml:space="preserve">developing </w:t>
      </w:r>
      <w:r w:rsidR="00712143" w:rsidRPr="00E6110F">
        <w:t xml:space="preserve">an efficient methodology </w:t>
      </w:r>
      <w:r w:rsidRPr="00E6110F">
        <w:t>for predicting environmental concentrations at specified sites post fracturing, such that the risk to human health and environmental receptors can be assessed at these locations;</w:t>
      </w:r>
    </w:p>
    <w:p w14:paraId="14A353A9" w14:textId="2BC3216B" w:rsidR="005622C7" w:rsidRPr="00E6110F" w:rsidRDefault="004A1F3F" w:rsidP="00C117A3">
      <w:pPr>
        <w:pStyle w:val="Body"/>
        <w:numPr>
          <w:ilvl w:val="0"/>
          <w:numId w:val="10"/>
        </w:numPr>
      </w:pPr>
      <w:proofErr w:type="gramStart"/>
      <w:r w:rsidRPr="00E6110F">
        <w:t>developing</w:t>
      </w:r>
      <w:proofErr w:type="gramEnd"/>
      <w:r w:rsidRPr="00E6110F">
        <w:t xml:space="preserve"> a decision</w:t>
      </w:r>
      <w:r w:rsidR="003C76CE">
        <w:t>-</w:t>
      </w:r>
      <w:r w:rsidRPr="00E6110F">
        <w:t xml:space="preserve">making framework that can assist decision makers and industry to determine the risks to human health and the environment.  </w:t>
      </w:r>
    </w:p>
    <w:p w14:paraId="3B4DCD2D" w14:textId="4A5710F5" w:rsidR="00105F5B" w:rsidRPr="00E6110F" w:rsidRDefault="00105F5B" w:rsidP="003E3108">
      <w:pPr>
        <w:pStyle w:val="Heading2"/>
      </w:pPr>
      <w:bookmarkStart w:id="9" w:name="_Toc494444473"/>
      <w:bookmarkStart w:id="10" w:name="_Ref445986526"/>
      <w:r w:rsidRPr="00E6110F">
        <w:t>Recent risk assessments and current knowledge gaps</w:t>
      </w:r>
      <w:bookmarkEnd w:id="9"/>
    </w:p>
    <w:p w14:paraId="1C260CB5" w14:textId="34F802C6" w:rsidR="00105F5B" w:rsidRPr="00E6110F" w:rsidRDefault="00105F5B" w:rsidP="00105F5B">
      <w:pPr>
        <w:pStyle w:val="Body"/>
      </w:pPr>
      <w:r w:rsidRPr="00E6110F">
        <w:t>The National Assessment of Chemicals Associated with Coal Seam Gas Extraction in Australia (the National CSG Chemicals Assessment project) carried out a</w:t>
      </w:r>
      <w:r w:rsidR="00942FD5" w:rsidRPr="00E6110F">
        <w:t>n</w:t>
      </w:r>
      <w:r w:rsidRPr="00E6110F">
        <w:t xml:space="preserve"> assessment of potential risks to human health and the environment associated with surface-related exposure pathways of chemicals used in drilling and hydraulic fracturing</w:t>
      </w:r>
      <w:r w:rsidR="00F579FC">
        <w:rPr>
          <w:rFonts w:ascii="ZWAdobeF" w:hAnsi="ZWAdobeF" w:cs="ZWAdobeF"/>
          <w:color w:val="auto"/>
          <w:sz w:val="2"/>
          <w:szCs w:val="2"/>
        </w:rPr>
        <w:t>1F</w:t>
      </w:r>
      <w:r w:rsidRPr="00E6110F">
        <w:rPr>
          <w:vertAlign w:val="superscript"/>
        </w:rPr>
        <w:footnoteReference w:id="3"/>
      </w:r>
      <w:r w:rsidRPr="00E6110F">
        <w:t xml:space="preserve">. </w:t>
      </w:r>
      <w:r w:rsidR="003C76CE" w:rsidRPr="00E6110F">
        <w:t>Th</w:t>
      </w:r>
      <w:r w:rsidR="003C76CE">
        <w:t>ese</w:t>
      </w:r>
      <w:r w:rsidR="003C76CE" w:rsidRPr="00E6110F">
        <w:t xml:space="preserve"> </w:t>
      </w:r>
      <w:r w:rsidRPr="00E6110F">
        <w:t>include surface water, soils, and shallow unconfined groundwater systems. Consistent with previous US EPA assessments (US EPA 2004</w:t>
      </w:r>
      <w:r w:rsidR="002805A7" w:rsidRPr="00E6110F">
        <w:t>a</w:t>
      </w:r>
      <w:r w:rsidRPr="00E6110F">
        <w:t>, 2010, 2011), the National CSG Chemicals Assessment project did not examine the risks posed by chemicals to deeper groundwater systems such as confined aquifers</w:t>
      </w:r>
      <w:r w:rsidR="00F579FC">
        <w:rPr>
          <w:rFonts w:ascii="ZWAdobeF" w:hAnsi="ZWAdobeF" w:cs="ZWAdobeF"/>
          <w:color w:val="auto"/>
          <w:sz w:val="2"/>
          <w:szCs w:val="2"/>
        </w:rPr>
        <w:t>2F</w:t>
      </w:r>
      <w:r w:rsidRPr="00E6110F">
        <w:rPr>
          <w:vertAlign w:val="superscript"/>
        </w:rPr>
        <w:footnoteReference w:id="4"/>
      </w:r>
      <w:r w:rsidRPr="00E6110F">
        <w:t>.</w:t>
      </w:r>
    </w:p>
    <w:p w14:paraId="078BF72A" w14:textId="7F53850A" w:rsidR="00105F5B" w:rsidRPr="00E6110F" w:rsidRDefault="00105F5B" w:rsidP="00105F5B">
      <w:pPr>
        <w:pStyle w:val="Body"/>
      </w:pPr>
      <w:r w:rsidRPr="00E6110F">
        <w:t>At present, the interactions between deeper subsurface systems and processes, hydraulic fracturing processes, the long-term fate of anthropogenic and geogenic chemicals, and potential human and environmental risks from drilling, cementing, and hydraulic fracturing chemicals are all poorly understood</w:t>
      </w:r>
      <w:r w:rsidR="00942FD5" w:rsidRPr="00E6110F">
        <w:t>.</w:t>
      </w:r>
      <w:r w:rsidRPr="00E6110F">
        <w:t xml:space="preserve"> </w:t>
      </w:r>
    </w:p>
    <w:p w14:paraId="08F7B827" w14:textId="5B54D123" w:rsidR="00105F5B" w:rsidRPr="00E6110F" w:rsidRDefault="00105F5B" w:rsidP="00105F5B">
      <w:pPr>
        <w:pStyle w:val="Body"/>
      </w:pPr>
      <w:r w:rsidRPr="00E6110F">
        <w:t>As a result, our ability to predict the risk of deeper groundwater contamination from hydraulic fracturing is limited. Furthermore, the</w:t>
      </w:r>
      <w:r w:rsidR="00942FD5" w:rsidRPr="00E6110F">
        <w:t xml:space="preserve">re is a paucity of </w:t>
      </w:r>
      <w:r w:rsidRPr="00E6110F">
        <w:t xml:space="preserve">knowledge to assess if contamination </w:t>
      </w:r>
      <w:r w:rsidR="00942FD5" w:rsidRPr="00E6110F">
        <w:t xml:space="preserve">of shallow groundwater and connected surface waters would also present a possible </w:t>
      </w:r>
      <w:r w:rsidRPr="00E6110F">
        <w:t xml:space="preserve">risk through natural or enhanced connectivity between </w:t>
      </w:r>
      <w:r w:rsidR="00942FD5" w:rsidRPr="00E6110F">
        <w:t>deeper and shallow groundwater</w:t>
      </w:r>
      <w:r w:rsidRPr="00E6110F">
        <w:t xml:space="preserve">. </w:t>
      </w:r>
    </w:p>
    <w:p w14:paraId="22605ABB" w14:textId="71F8CDA0" w:rsidR="00105F5B" w:rsidRPr="00E6110F" w:rsidRDefault="00105F5B" w:rsidP="00105F5B">
      <w:pPr>
        <w:pStyle w:val="Body"/>
      </w:pPr>
      <w:r w:rsidRPr="00E6110F">
        <w:t>Several recent studies, including an OWS Background Review</w:t>
      </w:r>
      <w:r w:rsidR="009204B3" w:rsidRPr="00E6110F">
        <w:t xml:space="preserve"> on Hydraulic Fracturing (Commonwealth of Australia 2014a</w:t>
      </w:r>
      <w:r w:rsidR="009204B3" w:rsidRPr="00E6110F">
        <w:rPr>
          <w:rFonts w:asciiTheme="majorHAnsi" w:hAnsiTheme="majorHAnsi"/>
          <w:sz w:val="16"/>
          <w:szCs w:val="16"/>
        </w:rPr>
        <w:t>)</w:t>
      </w:r>
      <w:r w:rsidRPr="00E6110F">
        <w:t>, the National CSG Chemicals Assessment</w:t>
      </w:r>
      <w:r w:rsidR="009204B3" w:rsidRPr="00E6110F">
        <w:t xml:space="preserve"> (</w:t>
      </w:r>
      <w:r w:rsidR="00856607">
        <w:t>Apte</w:t>
      </w:r>
      <w:r w:rsidR="009204B3" w:rsidRPr="00E6110F">
        <w:t xml:space="preserve"> 201</w:t>
      </w:r>
      <w:r w:rsidR="00914462">
        <w:t>7</w:t>
      </w:r>
      <w:r w:rsidR="009204B3" w:rsidRPr="00E6110F">
        <w:t>a, 201</w:t>
      </w:r>
      <w:r w:rsidR="00914462">
        <w:t>7</w:t>
      </w:r>
      <w:r w:rsidR="009204B3" w:rsidRPr="00E6110F">
        <w:t xml:space="preserve">b, </w:t>
      </w:r>
      <w:r w:rsidR="00856607">
        <w:t>Jeffrey</w:t>
      </w:r>
      <w:r w:rsidR="009204B3" w:rsidRPr="00E6110F">
        <w:t xml:space="preserve"> 201</w:t>
      </w:r>
      <w:r w:rsidR="00914462">
        <w:t>7</w:t>
      </w:r>
      <w:r w:rsidR="00856607">
        <w:t>a</w:t>
      </w:r>
      <w:r w:rsidR="009204B3" w:rsidRPr="00E6110F">
        <w:t>, 201</w:t>
      </w:r>
      <w:r w:rsidR="00914462">
        <w:t>7</w:t>
      </w:r>
      <w:r w:rsidR="00856607">
        <w:t>b</w:t>
      </w:r>
      <w:r w:rsidR="009204B3" w:rsidRPr="00E6110F">
        <w:t xml:space="preserve"> )</w:t>
      </w:r>
      <w:r w:rsidRPr="00E6110F">
        <w:t>, an OWS workshop, and reviews by the NSW Chief Scientist and Engineer</w:t>
      </w:r>
      <w:r w:rsidR="00C97BAC" w:rsidRPr="00E6110F">
        <w:t xml:space="preserve"> (2014a, 2014b, 2014c</w:t>
      </w:r>
      <w:r w:rsidR="00462428">
        <w:t>, 2014d</w:t>
      </w:r>
      <w:r w:rsidR="00C97BAC" w:rsidRPr="00E6110F">
        <w:t>)</w:t>
      </w:r>
      <w:r w:rsidRPr="00E6110F">
        <w:t>, have all documented knowledge gaps that prevent a robust quantification of risks to deeper groundwater. According to these reports, current knowledge gaps include:</w:t>
      </w:r>
    </w:p>
    <w:p w14:paraId="65857200" w14:textId="77777777" w:rsidR="00105F5B" w:rsidRPr="00E6110F" w:rsidRDefault="00105F5B" w:rsidP="00C117A3">
      <w:pPr>
        <w:pStyle w:val="Body"/>
        <w:numPr>
          <w:ilvl w:val="0"/>
          <w:numId w:val="9"/>
        </w:numPr>
      </w:pPr>
      <w:r w:rsidRPr="00E6110F">
        <w:t>details of the drilling, cementing, and hydraulic fracturing chemicals used (such as concentrations, physico-chemical and ecotoxicological data); improved analytical methods for quantifying chemicals in flowback and produced water</w:t>
      </w:r>
    </w:p>
    <w:p w14:paraId="4B73616F" w14:textId="30053F4F" w:rsidR="00105F5B" w:rsidRPr="00E6110F" w:rsidRDefault="00105F5B" w:rsidP="00C117A3">
      <w:pPr>
        <w:pStyle w:val="Body"/>
        <w:numPr>
          <w:ilvl w:val="0"/>
          <w:numId w:val="9"/>
        </w:numPr>
      </w:pPr>
      <w:r w:rsidRPr="00E6110F">
        <w:t>the fraction, identity and concentration of fracturing chemicals that are recovered in flowback and produced water, and the persistence of those chemicals and their metabolites in the coal seam water, which is often under high pressure and temperature</w:t>
      </w:r>
    </w:p>
    <w:p w14:paraId="246DCDB2" w14:textId="77777777" w:rsidR="00105F5B" w:rsidRPr="00E6110F" w:rsidRDefault="00105F5B" w:rsidP="00C117A3">
      <w:pPr>
        <w:pStyle w:val="Body"/>
        <w:numPr>
          <w:ilvl w:val="0"/>
          <w:numId w:val="9"/>
        </w:numPr>
      </w:pPr>
      <w:r w:rsidRPr="00E6110F">
        <w:t>mobilisation and fate of geogenic contaminants and to what degree interactions with hydraulic fracturing fluids can enhance their mobility</w:t>
      </w:r>
    </w:p>
    <w:p w14:paraId="2378EE7F" w14:textId="77777777" w:rsidR="00105F5B" w:rsidRPr="00E6110F" w:rsidRDefault="00105F5B" w:rsidP="00C117A3">
      <w:pPr>
        <w:pStyle w:val="Body"/>
        <w:numPr>
          <w:ilvl w:val="0"/>
          <w:numId w:val="9"/>
        </w:numPr>
      </w:pPr>
      <w:r w:rsidRPr="00E6110F">
        <w:t>prediction and design of safe hydraulic fracture stimulation producing fractures that do not risk growth into an aquifer; leading practice guidelines for fracture growth modelling</w:t>
      </w:r>
    </w:p>
    <w:p w14:paraId="716246E4" w14:textId="77777777" w:rsidR="00105F5B" w:rsidRPr="00E6110F" w:rsidRDefault="00105F5B" w:rsidP="00C117A3">
      <w:pPr>
        <w:pStyle w:val="Body"/>
        <w:numPr>
          <w:ilvl w:val="0"/>
          <w:numId w:val="9"/>
        </w:numPr>
      </w:pPr>
      <w:r w:rsidRPr="00E6110F">
        <w:t>short- and long-term well integrity and the risk of additional pathways providing connectivity between coal seam formations and beneficial aquifers</w:t>
      </w:r>
    </w:p>
    <w:p w14:paraId="624680FA" w14:textId="77777777" w:rsidR="00105F5B" w:rsidRPr="00E6110F" w:rsidRDefault="00105F5B" w:rsidP="00C117A3">
      <w:pPr>
        <w:pStyle w:val="Body"/>
        <w:numPr>
          <w:ilvl w:val="0"/>
          <w:numId w:val="9"/>
        </w:numPr>
      </w:pPr>
      <w:r w:rsidRPr="00E6110F">
        <w:t>toxicological data against which to assess environmental exposure risk, and</w:t>
      </w:r>
    </w:p>
    <w:p w14:paraId="45CEE33E" w14:textId="04F7EEE0" w:rsidR="00105F5B" w:rsidRPr="00E6110F" w:rsidRDefault="00105F5B" w:rsidP="00C117A3">
      <w:pPr>
        <w:pStyle w:val="Body"/>
        <w:numPr>
          <w:ilvl w:val="0"/>
          <w:numId w:val="9"/>
        </w:numPr>
      </w:pPr>
      <w:proofErr w:type="gramStart"/>
      <w:r w:rsidRPr="00E6110F">
        <w:t>numerical</w:t>
      </w:r>
      <w:proofErr w:type="gramEnd"/>
      <w:r w:rsidRPr="00E6110F">
        <w:t xml:space="preserve"> modelling capabilities including reactive attenuation of chemicals, possibly via fracture-like pathways</w:t>
      </w:r>
      <w:r w:rsidR="001220BF" w:rsidRPr="00E6110F">
        <w:t>.</w:t>
      </w:r>
    </w:p>
    <w:p w14:paraId="2CF094FF" w14:textId="2F4EBC32" w:rsidR="00105F5B" w:rsidRPr="00E6110F" w:rsidRDefault="001220BF" w:rsidP="00105F5B">
      <w:pPr>
        <w:pStyle w:val="Body"/>
      </w:pPr>
      <w:r w:rsidRPr="00E6110F">
        <w:t xml:space="preserve">Based on the expert reviews summarised above, </w:t>
      </w:r>
      <w:r w:rsidR="00105F5B" w:rsidRPr="00E6110F">
        <w:t xml:space="preserve">additional outcome-driven research into deeper groundwater risk </w:t>
      </w:r>
      <w:r w:rsidRPr="00E6110F">
        <w:t>w</w:t>
      </w:r>
      <w:r w:rsidR="00105F5B" w:rsidRPr="00E6110F">
        <w:t xml:space="preserve">ould better define the potential for hydraulic fracturing to mobilise naturally occurring geogenic chemicals, and inform our understanding of the risk that anthropogenic and geogenic chemicals might pose for selected receptors. An improved evidence base </w:t>
      </w:r>
      <w:r w:rsidRPr="00E6110F">
        <w:t>c</w:t>
      </w:r>
      <w:r w:rsidR="00105F5B" w:rsidRPr="00E6110F">
        <w:t>ould be used to more directly inform regulators’ perceptions of risk, whilst industry would be better informed and better able to manage any associated risks.</w:t>
      </w:r>
    </w:p>
    <w:p w14:paraId="6B5E5034" w14:textId="25B90542" w:rsidR="00E8296A" w:rsidRPr="00E6110F" w:rsidRDefault="00E8296A" w:rsidP="003E3108">
      <w:pPr>
        <w:pStyle w:val="Heading2"/>
      </w:pPr>
      <w:bookmarkStart w:id="11" w:name="_Toc494444474"/>
      <w:r w:rsidRPr="00E6110F">
        <w:t>M</w:t>
      </w:r>
      <w:r w:rsidR="00836E84" w:rsidRPr="00E6110F">
        <w:t>ethodology</w:t>
      </w:r>
      <w:bookmarkEnd w:id="10"/>
      <w:bookmarkEnd w:id="11"/>
      <w:r w:rsidRPr="00E6110F">
        <w:t xml:space="preserve"> </w:t>
      </w:r>
    </w:p>
    <w:p w14:paraId="75D4B78A" w14:textId="32663A79" w:rsidR="0073009D" w:rsidRDefault="0073009D" w:rsidP="0073009D">
      <w:pPr>
        <w:pStyle w:val="Body"/>
      </w:pPr>
      <w:r>
        <w:t xml:space="preserve">The </w:t>
      </w:r>
      <w:r w:rsidRPr="00E6110F">
        <w:t>tiered hazard screening framework</w:t>
      </w:r>
      <w:r>
        <w:t xml:space="preserve"> </w:t>
      </w:r>
      <w:r w:rsidR="00AE4B7F">
        <w:t xml:space="preserve">used in this study </w:t>
      </w:r>
      <w:r>
        <w:t>involves</w:t>
      </w:r>
      <w:r w:rsidRPr="00E6110F">
        <w:t xml:space="preserve"> a two-level </w:t>
      </w:r>
      <w:r w:rsidR="008072BA">
        <w:t>analysis</w:t>
      </w:r>
      <w:r w:rsidRPr="00E6110F">
        <w:t xml:space="preserve">: Level 1 </w:t>
      </w:r>
      <w:r w:rsidR="008072BA">
        <w:t xml:space="preserve">involves </w:t>
      </w:r>
      <w:r w:rsidR="008226AA">
        <w:t xml:space="preserve">a high-throughput </w:t>
      </w:r>
      <w:r w:rsidRPr="00E6110F">
        <w:t xml:space="preserve">screening </w:t>
      </w:r>
      <w:r w:rsidR="008072BA">
        <w:t xml:space="preserve">of </w:t>
      </w:r>
      <w:r w:rsidRPr="00E6110F">
        <w:t xml:space="preserve">chemicals </w:t>
      </w:r>
      <w:r w:rsidR="00EA1675">
        <w:t xml:space="preserve">that have previously been rigorously assessed and found to be </w:t>
      </w:r>
      <w:r w:rsidR="00E573FF">
        <w:t>of low</w:t>
      </w:r>
      <w:r w:rsidRPr="00E6110F">
        <w:t xml:space="preserve"> concern to the environment </w:t>
      </w:r>
      <w:r w:rsidR="00EA1675">
        <w:t>and/</w:t>
      </w:r>
      <w:r w:rsidRPr="00E6110F">
        <w:t>or human health (</w:t>
      </w:r>
      <w:r w:rsidR="00EA1675">
        <w:t>that is, “</w:t>
      </w:r>
      <w:r w:rsidR="00E573FF">
        <w:t>chemicals of low</w:t>
      </w:r>
      <w:r w:rsidRPr="00E6110F">
        <w:t xml:space="preserve"> concern</w:t>
      </w:r>
      <w:r w:rsidR="00EA1675">
        <w:t>”</w:t>
      </w:r>
      <w:r w:rsidRPr="00E6110F">
        <w:t xml:space="preserve">), while at Level 2 chemicals not screened out at Level 1 are further </w:t>
      </w:r>
      <w:r w:rsidR="00B57215">
        <w:t>assessed</w:t>
      </w:r>
      <w:r w:rsidRPr="00E6110F">
        <w:t xml:space="preserve"> to </w:t>
      </w:r>
      <w:r w:rsidR="008226AA" w:rsidRPr="00E6110F">
        <w:t xml:space="preserve">allow ranking of the relative </w:t>
      </w:r>
      <w:r w:rsidR="008226AA">
        <w:t xml:space="preserve">chemical </w:t>
      </w:r>
      <w:r w:rsidR="008226AA" w:rsidRPr="00E6110F">
        <w:t xml:space="preserve">hazard </w:t>
      </w:r>
      <w:r w:rsidR="008226AA">
        <w:t>on the basis of a calculated</w:t>
      </w:r>
      <w:r w:rsidRPr="00E6110F">
        <w:t xml:space="preserve"> dilution attenuation factor (DAF) (</w:t>
      </w:r>
      <w:r w:rsidR="00AA23EA">
        <w:fldChar w:fldCharType="begin" w:fldLock="1"/>
      </w:r>
      <w:r w:rsidR="00AA23EA">
        <w:instrText xml:space="preserve"> REF _Ref458451267 \h </w:instrText>
      </w:r>
      <w:r w:rsidR="00AA23EA">
        <w:fldChar w:fldCharType="separate"/>
      </w:r>
      <w:r w:rsidR="00335E79" w:rsidRPr="00E6110F">
        <w:t xml:space="preserve">Figure </w:t>
      </w:r>
      <w:r w:rsidR="00335E79">
        <w:rPr>
          <w:noProof/>
        </w:rPr>
        <w:t>1</w:t>
      </w:r>
      <w:r w:rsidR="00335E79">
        <w:noBreakHyphen/>
      </w:r>
      <w:r w:rsidR="00335E79">
        <w:rPr>
          <w:noProof/>
        </w:rPr>
        <w:t>1</w:t>
      </w:r>
      <w:r w:rsidR="00AA23EA">
        <w:fldChar w:fldCharType="end"/>
      </w:r>
      <w:r w:rsidRPr="00E6110F">
        <w:t>).</w:t>
      </w:r>
      <w:r w:rsidR="00144C2A">
        <w:t xml:space="preserve"> </w:t>
      </w:r>
    </w:p>
    <w:p w14:paraId="67FEFCD5" w14:textId="77777777" w:rsidR="00AC04E6" w:rsidRDefault="009E74AE" w:rsidP="00836E84">
      <w:pPr>
        <w:pStyle w:val="Body"/>
      </w:pPr>
      <w:r>
        <w:t>Level 1</w:t>
      </w:r>
      <w:r w:rsidRPr="00E6110F">
        <w:t xml:space="preserve"> screening involves consideration of data on health effects and ecotoxicity and the intrinsic physico-chemical properties of the chemical that will affect potential exposure.</w:t>
      </w:r>
      <w:r>
        <w:t xml:space="preserve"> </w:t>
      </w:r>
      <w:r w:rsidRPr="00E6110F">
        <w:t xml:space="preserve">The Level-1 screening </w:t>
      </w:r>
      <w:r w:rsidR="009D0027">
        <w:t xml:space="preserve">is </w:t>
      </w:r>
      <w:r w:rsidRPr="00E6110F">
        <w:t>site-independent, as it does not include exposure assessments.</w:t>
      </w:r>
      <w:r>
        <w:t xml:space="preserve"> </w:t>
      </w:r>
      <w:r w:rsidR="00B57215" w:rsidRPr="00E6110F">
        <w:t>The Level</w:t>
      </w:r>
      <w:r w:rsidR="00030A50">
        <w:t>-</w:t>
      </w:r>
      <w:r w:rsidR="00B57215" w:rsidRPr="00E6110F">
        <w:t xml:space="preserve">2 </w:t>
      </w:r>
      <w:r w:rsidR="007A25F2">
        <w:t>analysis</w:t>
      </w:r>
      <w:r w:rsidR="00B57215" w:rsidRPr="00E6110F">
        <w:t xml:space="preserve"> combine</w:t>
      </w:r>
      <w:r w:rsidR="003C76CE">
        <w:t>s</w:t>
      </w:r>
      <w:r w:rsidR="00AC04E6">
        <w:t>:</w:t>
      </w:r>
    </w:p>
    <w:p w14:paraId="643AFA9C" w14:textId="77777777" w:rsidR="00AC04E6" w:rsidRDefault="00B57215" w:rsidP="00943534">
      <w:pPr>
        <w:pStyle w:val="Body"/>
        <w:numPr>
          <w:ilvl w:val="0"/>
          <w:numId w:val="78"/>
        </w:numPr>
      </w:pPr>
      <w:r w:rsidRPr="00E6110F">
        <w:t>spatial analyses of contaminant source-receptor</w:t>
      </w:r>
      <w:r w:rsidR="003C76CE">
        <w:t>,</w:t>
      </w:r>
      <w:r w:rsidRPr="00E6110F">
        <w:t xml:space="preserve"> distance-frequency relationships, </w:t>
      </w:r>
    </w:p>
    <w:p w14:paraId="116CD036" w14:textId="77415EB2" w:rsidR="00AC04E6" w:rsidRDefault="00B57215" w:rsidP="00943534">
      <w:pPr>
        <w:pStyle w:val="Body"/>
        <w:numPr>
          <w:ilvl w:val="0"/>
          <w:numId w:val="78"/>
        </w:numPr>
      </w:pPr>
      <w:r w:rsidRPr="00E6110F">
        <w:t xml:space="preserve">chemical, biological and geological attenuation information for characteristic chemicals,  </w:t>
      </w:r>
    </w:p>
    <w:p w14:paraId="0C502B66" w14:textId="77777777" w:rsidR="00AC04E6" w:rsidRDefault="00B57215" w:rsidP="00943534">
      <w:pPr>
        <w:pStyle w:val="Body"/>
        <w:numPr>
          <w:ilvl w:val="0"/>
          <w:numId w:val="78"/>
        </w:numPr>
      </w:pPr>
      <w:proofErr w:type="gramStart"/>
      <w:r w:rsidRPr="00E6110F">
        <w:t>the</w:t>
      </w:r>
      <w:proofErr w:type="gramEnd"/>
      <w:r w:rsidRPr="00E6110F">
        <w:t xml:space="preserve"> conceptual models, application protocols and calculation tools required to estimate the </w:t>
      </w:r>
      <w:r w:rsidR="00144C2A">
        <w:t xml:space="preserve">degree of attenuation </w:t>
      </w:r>
      <w:r w:rsidRPr="00E6110F">
        <w:t>that chemical</w:t>
      </w:r>
      <w:r w:rsidR="00144C2A">
        <w:t>s</w:t>
      </w:r>
      <w:r w:rsidRPr="00E6110F">
        <w:t xml:space="preserve"> </w:t>
      </w:r>
      <w:r w:rsidR="00144C2A">
        <w:t>would experience prior to potentially reaching receptors</w:t>
      </w:r>
      <w:r w:rsidRPr="00E6110F">
        <w:t>.</w:t>
      </w:r>
      <w:r w:rsidR="006B28AF">
        <w:t xml:space="preserve"> </w:t>
      </w:r>
    </w:p>
    <w:p w14:paraId="60FB4910" w14:textId="7A9DA545" w:rsidR="00836E84" w:rsidRPr="00E6110F" w:rsidRDefault="00030A50" w:rsidP="00AC04E6">
      <w:pPr>
        <w:pStyle w:val="Body"/>
      </w:pPr>
      <w:r>
        <w:t>T</w:t>
      </w:r>
      <w:r w:rsidR="00D764AA">
        <w:t xml:space="preserve">he Level-2 </w:t>
      </w:r>
      <w:r w:rsidR="007A25F2">
        <w:t>analysis</w:t>
      </w:r>
      <w:r>
        <w:t xml:space="preserve"> involves development of</w:t>
      </w:r>
      <w:r w:rsidR="00D764AA">
        <w:t xml:space="preserve"> c</w:t>
      </w:r>
      <w:r w:rsidR="00836E84" w:rsidRPr="00E6110F">
        <w:t xml:space="preserve">onceptual models and associated calculation tools </w:t>
      </w:r>
      <w:r>
        <w:t>f</w:t>
      </w:r>
      <w:r w:rsidR="00836E84" w:rsidRPr="00E6110F">
        <w:t xml:space="preserve">or hazard screening based on the possible fate pathways and geochemical and physicochemical property data as metrics to estimate the likelihood that the chemical could reach and impact on receptors such as drinking water resources. The conceptual models take into account the local hydrogeology of basins, based on best available hydrogeological information. Chemical fate and transport is influenced by environmental and site-specific conditions, therefore additional information for a hazard screening may include the likelihood for </w:t>
      </w:r>
      <w:r w:rsidR="009E74AE">
        <w:t xml:space="preserve">a fluid pathway to develop between the coal seams being subject to hydraulic fracturing </w:t>
      </w:r>
      <w:r w:rsidR="00836E84" w:rsidRPr="00E6110F">
        <w:t xml:space="preserve">as a potential pathway for contamination. </w:t>
      </w:r>
    </w:p>
    <w:p w14:paraId="5CB2459C" w14:textId="7B129936" w:rsidR="00AE4B7F" w:rsidRDefault="0031677E" w:rsidP="0031677E">
      <w:pPr>
        <w:pStyle w:val="Body"/>
      </w:pPr>
      <w:r w:rsidRPr="00E6110F">
        <w:t>The final hazard screening tool</w:t>
      </w:r>
      <w:r w:rsidR="00AE4B7F">
        <w:t>s</w:t>
      </w:r>
      <w:r w:rsidRPr="00E6110F">
        <w:t xml:space="preserve"> </w:t>
      </w:r>
      <w:r w:rsidR="00AE4B7F">
        <w:t xml:space="preserve">developed as part of this research project </w:t>
      </w:r>
      <w:r w:rsidRPr="00E6110F">
        <w:t>ha</w:t>
      </w:r>
      <w:r w:rsidR="009364D8">
        <w:t>ve</w:t>
      </w:r>
      <w:r w:rsidRPr="00E6110F">
        <w:t xml:space="preserve"> both site-</w:t>
      </w:r>
      <w:r w:rsidR="00A206AD">
        <w:t>in</w:t>
      </w:r>
      <w:r w:rsidRPr="00E6110F">
        <w:t xml:space="preserve">dependent </w:t>
      </w:r>
      <w:r w:rsidR="00A206AD">
        <w:t>(Level-1</w:t>
      </w:r>
      <w:r w:rsidR="001B06F0">
        <w:t xml:space="preserve"> screening</w:t>
      </w:r>
      <w:r w:rsidR="00A206AD">
        <w:t xml:space="preserve">) </w:t>
      </w:r>
      <w:r w:rsidRPr="00E6110F">
        <w:t xml:space="preserve">and site-dependent </w:t>
      </w:r>
      <w:r w:rsidR="00A206AD">
        <w:t>(Level-2</w:t>
      </w:r>
      <w:r w:rsidR="001B06F0">
        <w:t xml:space="preserve"> assessment</w:t>
      </w:r>
      <w:r w:rsidR="00A206AD">
        <w:t xml:space="preserve">) </w:t>
      </w:r>
      <w:r w:rsidR="009364D8">
        <w:t>componen</w:t>
      </w:r>
      <w:r w:rsidRPr="00E6110F">
        <w:t>ts</w:t>
      </w:r>
      <w:r w:rsidR="00AE4B7F">
        <w:t>. These hazard screening tools include the following</w:t>
      </w:r>
      <w:r w:rsidR="008072BA">
        <w:t xml:space="preserve"> research products </w:t>
      </w:r>
      <w:r w:rsidR="001B06F0">
        <w:t>(</w:t>
      </w:r>
      <w:r w:rsidR="00AE4B7F">
        <w:t xml:space="preserve">see </w:t>
      </w:r>
      <w:r w:rsidR="001B06F0">
        <w:fldChar w:fldCharType="begin" w:fldLock="1"/>
      </w:r>
      <w:r w:rsidR="001B06F0">
        <w:instrText xml:space="preserve"> REF _Ref458451267 \h </w:instrText>
      </w:r>
      <w:r w:rsidR="001B06F0">
        <w:fldChar w:fldCharType="separate"/>
      </w:r>
      <w:r w:rsidR="00335E79" w:rsidRPr="00E6110F">
        <w:t xml:space="preserve">Figure </w:t>
      </w:r>
      <w:r w:rsidR="00335E79">
        <w:rPr>
          <w:noProof/>
        </w:rPr>
        <w:t>1</w:t>
      </w:r>
      <w:r w:rsidR="00335E79">
        <w:noBreakHyphen/>
      </w:r>
      <w:r w:rsidR="00335E79">
        <w:rPr>
          <w:noProof/>
        </w:rPr>
        <w:t>1</w:t>
      </w:r>
      <w:r w:rsidR="001B06F0">
        <w:fldChar w:fldCharType="end"/>
      </w:r>
      <w:r w:rsidR="001B06F0">
        <w:t>)</w:t>
      </w:r>
      <w:r w:rsidR="00AE4B7F">
        <w:t>:</w:t>
      </w:r>
    </w:p>
    <w:p w14:paraId="26A0241C" w14:textId="09AE528D" w:rsidR="00AE4B7F" w:rsidRDefault="008072BA" w:rsidP="00943534">
      <w:pPr>
        <w:pStyle w:val="Body"/>
        <w:numPr>
          <w:ilvl w:val="0"/>
          <w:numId w:val="73"/>
        </w:numPr>
      </w:pPr>
      <w:r>
        <w:t>Reseach Product 1</w:t>
      </w:r>
      <w:r w:rsidR="00AE4B7F">
        <w:t>.</w:t>
      </w:r>
      <w:r>
        <w:t xml:space="preserve"> </w:t>
      </w:r>
      <w:r w:rsidR="00AE4B7F">
        <w:t>This</w:t>
      </w:r>
      <w:r>
        <w:t xml:space="preserve"> hazard screening tool </w:t>
      </w:r>
      <w:r w:rsidR="00AE4B7F">
        <w:t>can be used to</w:t>
      </w:r>
      <w:r>
        <w:t xml:space="preserve"> identif</w:t>
      </w:r>
      <w:r w:rsidR="00AE4B7F">
        <w:t>y:</w:t>
      </w:r>
    </w:p>
    <w:p w14:paraId="7ADD09D3" w14:textId="62C70F99" w:rsidR="00AE4B7F" w:rsidRDefault="008072BA" w:rsidP="00943534">
      <w:pPr>
        <w:pStyle w:val="Body"/>
        <w:numPr>
          <w:ilvl w:val="0"/>
          <w:numId w:val="74"/>
        </w:numPr>
      </w:pPr>
      <w:r>
        <w:t>chemicals of low concern to human health and the environment that do not need further assessments</w:t>
      </w:r>
      <w:r w:rsidR="00AE4B7F">
        <w:t>, and</w:t>
      </w:r>
    </w:p>
    <w:p w14:paraId="19CAE181" w14:textId="7FA1A942" w:rsidR="00AE4B7F" w:rsidRDefault="008072BA" w:rsidP="00943534">
      <w:pPr>
        <w:pStyle w:val="Body"/>
        <w:numPr>
          <w:ilvl w:val="0"/>
          <w:numId w:val="74"/>
        </w:numPr>
      </w:pPr>
      <w:proofErr w:type="gramStart"/>
      <w:r>
        <w:t>chemicals</w:t>
      </w:r>
      <w:proofErr w:type="gramEnd"/>
      <w:r>
        <w:t xml:space="preserve"> that cannot be classified as ‘of low concern’ and therefore require further assessments. </w:t>
      </w:r>
    </w:p>
    <w:p w14:paraId="4513E966" w14:textId="7C8EB5AC" w:rsidR="00F1532D" w:rsidRDefault="00AE4B7F" w:rsidP="00943534">
      <w:pPr>
        <w:pStyle w:val="Body"/>
        <w:numPr>
          <w:ilvl w:val="0"/>
          <w:numId w:val="73"/>
        </w:numPr>
      </w:pPr>
      <w:r>
        <w:t xml:space="preserve">Research Product 2. </w:t>
      </w:r>
      <w:r w:rsidR="0031677E" w:rsidRPr="00E6110F">
        <w:t>The chemical transpo</w:t>
      </w:r>
      <w:r w:rsidR="00A206AD">
        <w:t xml:space="preserve">rt pathway analysis </w:t>
      </w:r>
      <w:r>
        <w:t>tool</w:t>
      </w:r>
      <w:r w:rsidR="0031677E" w:rsidRPr="00E6110F">
        <w:t xml:space="preserve"> is site-dependent, but a broad set of flow conditions </w:t>
      </w:r>
      <w:r>
        <w:t>are</w:t>
      </w:r>
      <w:r w:rsidR="0031677E" w:rsidRPr="00E6110F">
        <w:t xml:space="preserve"> </w:t>
      </w:r>
      <w:r w:rsidR="00A206AD">
        <w:t>covered</w:t>
      </w:r>
      <w:r w:rsidR="0031677E" w:rsidRPr="00E6110F">
        <w:t xml:space="preserve"> giving the final analysis a high level of </w:t>
      </w:r>
      <w:r w:rsidR="00F1532D">
        <w:t>applicability</w:t>
      </w:r>
      <w:r w:rsidR="0031677E" w:rsidRPr="00E6110F">
        <w:t xml:space="preserve">. </w:t>
      </w:r>
    </w:p>
    <w:p w14:paraId="7E396FE7" w14:textId="60A03143" w:rsidR="00F1532D" w:rsidRDefault="00F1532D" w:rsidP="00943534">
      <w:pPr>
        <w:pStyle w:val="Body"/>
        <w:numPr>
          <w:ilvl w:val="0"/>
          <w:numId w:val="73"/>
        </w:numPr>
      </w:pPr>
      <w:r>
        <w:t xml:space="preserve">Research Product 3. </w:t>
      </w:r>
      <w:r w:rsidR="00E46C1D">
        <w:t xml:space="preserve">The spatial analysis </w:t>
      </w:r>
      <w:r>
        <w:t>is</w:t>
      </w:r>
      <w:r w:rsidR="0031677E" w:rsidRPr="00E6110F">
        <w:t xml:space="preserve"> site-dependent, but will again cover a wider range of proximity data which will allows making some general </w:t>
      </w:r>
      <w:r w:rsidR="00E46C1D">
        <w:t>inferences</w:t>
      </w:r>
      <w:r w:rsidR="0031677E" w:rsidRPr="00E6110F">
        <w:t xml:space="preserve"> about </w:t>
      </w:r>
      <w:r w:rsidR="00E46C1D">
        <w:t>likelihood of exposure</w:t>
      </w:r>
      <w:r w:rsidR="0031677E" w:rsidRPr="00E6110F">
        <w:t xml:space="preserve">. </w:t>
      </w:r>
    </w:p>
    <w:p w14:paraId="072BE253" w14:textId="09DC7BA0" w:rsidR="00F1532D" w:rsidRDefault="0031677E" w:rsidP="00943534">
      <w:pPr>
        <w:pStyle w:val="Body"/>
        <w:numPr>
          <w:ilvl w:val="0"/>
          <w:numId w:val="73"/>
        </w:numPr>
      </w:pPr>
      <w:r w:rsidRPr="00E6110F">
        <w:t xml:space="preserve">Research product </w:t>
      </w:r>
      <w:r w:rsidR="001F2232">
        <w:t>4</w:t>
      </w:r>
      <w:r w:rsidR="00F1532D">
        <w:t>.</w:t>
      </w:r>
      <w:r w:rsidRPr="00E6110F">
        <w:t xml:space="preserve"> </w:t>
      </w:r>
      <w:r w:rsidR="00F1532D">
        <w:t xml:space="preserve">This includes </w:t>
      </w:r>
      <w:r w:rsidR="00E46C1D">
        <w:t>a compilation of attenuation parameters</w:t>
      </w:r>
      <w:r w:rsidR="003D382E">
        <w:t xml:space="preserve"> that are </w:t>
      </w:r>
      <w:r w:rsidRPr="00E6110F">
        <w:t>in part site-independent (</w:t>
      </w:r>
      <w:r w:rsidR="00F1532D">
        <w:t xml:space="preserve">for example, </w:t>
      </w:r>
      <w:r w:rsidRPr="001F2232">
        <w:rPr>
          <w:i/>
        </w:rPr>
        <w:t>K</w:t>
      </w:r>
      <w:r w:rsidRPr="001F2232">
        <w:rPr>
          <w:vertAlign w:val="subscript"/>
        </w:rPr>
        <w:t>OC</w:t>
      </w:r>
      <w:r w:rsidR="00F1532D">
        <w:t xml:space="preserve"> and</w:t>
      </w:r>
      <w:r w:rsidRPr="00E6110F">
        <w:t xml:space="preserve"> </w:t>
      </w:r>
      <w:r w:rsidR="001F2232">
        <w:t>half-life</w:t>
      </w:r>
      <w:r w:rsidRPr="00E6110F">
        <w:t>), and in part site-dependent (</w:t>
      </w:r>
      <w:r w:rsidR="00F1532D">
        <w:t xml:space="preserve">for example, </w:t>
      </w:r>
      <w:proofErr w:type="gramStart"/>
      <w:r w:rsidRPr="001F2232">
        <w:rPr>
          <w:i/>
        </w:rPr>
        <w:t>K</w:t>
      </w:r>
      <w:r w:rsidRPr="001F2232">
        <w:rPr>
          <w:vertAlign w:val="subscript"/>
        </w:rPr>
        <w:t>d</w:t>
      </w:r>
      <w:proofErr w:type="gramEnd"/>
      <w:r w:rsidRPr="00E6110F">
        <w:t>, using rock-specific sorption data or using organic carbon</w:t>
      </w:r>
      <w:r w:rsidR="001F2232">
        <w:t xml:space="preserve"> content</w:t>
      </w:r>
      <w:r w:rsidRPr="00E6110F">
        <w:t xml:space="preserve">). </w:t>
      </w:r>
    </w:p>
    <w:p w14:paraId="1FBE8D7D" w14:textId="638A94C2" w:rsidR="0031677E" w:rsidRPr="00E6110F" w:rsidRDefault="00F1532D" w:rsidP="00943534">
      <w:pPr>
        <w:pStyle w:val="Body"/>
        <w:numPr>
          <w:ilvl w:val="0"/>
          <w:numId w:val="73"/>
        </w:numPr>
      </w:pPr>
      <w:r>
        <w:t>Research product 5. The</w:t>
      </w:r>
      <w:r w:rsidR="0031677E" w:rsidRPr="00E6110F">
        <w:t xml:space="preserve"> dilution attenuation factors</w:t>
      </w:r>
      <w:r w:rsidR="00207F0C">
        <w:t xml:space="preserve"> </w:t>
      </w:r>
      <w:r w:rsidR="003D382E">
        <w:t>–</w:t>
      </w:r>
      <w:r w:rsidR="00207F0C">
        <w:t xml:space="preserve"> DAF</w:t>
      </w:r>
      <w:r w:rsidR="003D382E">
        <w:t xml:space="preserve"> – </w:t>
      </w:r>
      <w:r>
        <w:t>developed as part of this research</w:t>
      </w:r>
      <w:r w:rsidR="00BC4EB5">
        <w:t xml:space="preserve"> have a </w:t>
      </w:r>
      <w:r w:rsidR="0031677E" w:rsidRPr="00E6110F">
        <w:t>site-specific</w:t>
      </w:r>
      <w:r w:rsidR="00BC4EB5">
        <w:t xml:space="preserve"> basis</w:t>
      </w:r>
      <w:r w:rsidR="0031677E" w:rsidRPr="00E6110F">
        <w:t xml:space="preserve">, although the approach taken will give it </w:t>
      </w:r>
      <w:r w:rsidR="00AA7979">
        <w:t>a broad</w:t>
      </w:r>
      <w:r w:rsidR="0031677E" w:rsidRPr="00E6110F">
        <w:t xml:space="preserve"> degree of </w:t>
      </w:r>
      <w:r>
        <w:t>applicability</w:t>
      </w:r>
      <w:r w:rsidR="0031677E" w:rsidRPr="00E6110F">
        <w:t>.</w:t>
      </w:r>
    </w:p>
    <w:p w14:paraId="12DC36FD" w14:textId="6FA49B16" w:rsidR="00FA368A" w:rsidRPr="00E6110F" w:rsidRDefault="00FA368A" w:rsidP="00FA368A">
      <w:pPr>
        <w:pStyle w:val="Body"/>
      </w:pPr>
      <w:r w:rsidRPr="00E6110F">
        <w:t xml:space="preserve">When selecting the </w:t>
      </w:r>
      <w:r>
        <w:t>test case areas as part of the Level-2 assessments</w:t>
      </w:r>
      <w:r w:rsidRPr="00E6110F">
        <w:t xml:space="preserve">, care </w:t>
      </w:r>
      <w:r>
        <w:t>has</w:t>
      </w:r>
      <w:r w:rsidRPr="00E6110F">
        <w:t xml:space="preserve"> be</w:t>
      </w:r>
      <w:r>
        <w:t>en</w:t>
      </w:r>
      <w:r w:rsidRPr="00E6110F">
        <w:t xml:space="preserve"> taken to have a sufficiently broad coverage of hydrogeological conditions and features that would give the analysis a sufficient level of generality, rather than being too site-specific. Nevertheless, this analysis cannot describe all possible conditions </w:t>
      </w:r>
      <w:r>
        <w:t>of groundwater flow and attenuation relevant to</w:t>
      </w:r>
      <w:r w:rsidRPr="00E6110F">
        <w:t xml:space="preserve"> all Australian CSG basins. The nuts and bolts of the hazard screening framework will be illustrated on the basis of the case studies, without claiming to provide a nation-wide coverage. The analysis undertaken with the screening framework should provide insights to address the questions regarding potential deep groundwater contaminati</w:t>
      </w:r>
      <w:r>
        <w:t xml:space="preserve">on </w:t>
      </w:r>
      <w:r w:rsidRPr="00E6110F">
        <w:t xml:space="preserve">and </w:t>
      </w:r>
      <w:r>
        <w:t>potential</w:t>
      </w:r>
      <w:r w:rsidRPr="00E6110F">
        <w:t xml:space="preserve"> transport pathway</w:t>
      </w:r>
      <w:r>
        <w:t>s</w:t>
      </w:r>
      <w:r w:rsidRPr="00E6110F">
        <w:t xml:space="preserve"> via deeper groundwater</w:t>
      </w:r>
      <w:r>
        <w:t xml:space="preserve"> to aquatic and terrestrial receptors</w:t>
      </w:r>
      <w:r w:rsidRPr="00E6110F">
        <w:t xml:space="preserve">.  </w:t>
      </w:r>
      <w:r w:rsidR="009C3C46">
        <w:t>After describing the method and applying it in two basins the report goes on to discuss how to apply these methods in other basins.</w:t>
      </w:r>
    </w:p>
    <w:p w14:paraId="6C46C807" w14:textId="010ED035" w:rsidR="0031677E" w:rsidRPr="00E6110F" w:rsidRDefault="0031677E" w:rsidP="0031677E">
      <w:pPr>
        <w:pStyle w:val="Body"/>
      </w:pPr>
    </w:p>
    <w:p w14:paraId="0D8F6089" w14:textId="0C3B48B0" w:rsidR="0073009D" w:rsidRPr="00E6110F" w:rsidRDefault="00AC67EE" w:rsidP="0073009D">
      <w:pPr>
        <w:pStyle w:val="Caption"/>
        <w:rPr>
          <w:u w:val="single"/>
        </w:rPr>
      </w:pPr>
      <w:r w:rsidRPr="00AC67EE">
        <w:rPr>
          <w:noProof/>
          <w:lang w:val="en-AU" w:eastAsia="en-AU"/>
        </w:rPr>
        <w:drawing>
          <wp:inline distT="0" distB="0" distL="0" distR="0" wp14:anchorId="009BE460" wp14:editId="57938667">
            <wp:extent cx="5727700" cy="3929491"/>
            <wp:effectExtent l="0" t="0" r="6350" b="0"/>
            <wp:docPr id="55" name="Picture 55" descr="Diagram of the workflow of the hazard screening framework."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727700" cy="3929491"/>
                    </a:xfrm>
                    <a:prstGeom prst="rect">
                      <a:avLst/>
                    </a:prstGeom>
                    <a:noFill/>
                    <a:ln>
                      <a:noFill/>
                    </a:ln>
                  </pic:spPr>
                </pic:pic>
              </a:graphicData>
            </a:graphic>
          </wp:inline>
        </w:drawing>
      </w:r>
    </w:p>
    <w:p w14:paraId="50772AA4" w14:textId="44C7A847" w:rsidR="0073009D" w:rsidRPr="00E6110F" w:rsidRDefault="0073009D" w:rsidP="0073009D">
      <w:pPr>
        <w:pStyle w:val="Imagecaption"/>
      </w:pPr>
      <w:bookmarkStart w:id="12" w:name="_Ref458451267"/>
      <w:bookmarkStart w:id="13" w:name="_Toc477347532"/>
      <w:r w:rsidRPr="00E6110F">
        <w:t xml:space="preserve">Figure </w:t>
      </w:r>
      <w:r w:rsidR="00254026">
        <w:fldChar w:fldCharType="begin" w:fldLock="1"/>
      </w:r>
      <w:r w:rsidR="00254026">
        <w:instrText xml:space="preserve"> STYLEREF 1 \s </w:instrText>
      </w:r>
      <w:r w:rsidR="00254026">
        <w:fldChar w:fldCharType="separate"/>
      </w:r>
      <w:r w:rsidR="00335E79">
        <w:rPr>
          <w:noProof/>
        </w:rPr>
        <w:t>1</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w:t>
      </w:r>
      <w:r w:rsidR="00254026">
        <w:fldChar w:fldCharType="end"/>
      </w:r>
      <w:bookmarkEnd w:id="12"/>
      <w:r w:rsidRPr="00E6110F">
        <w:t xml:space="preserve"> </w:t>
      </w:r>
      <w:r w:rsidR="001B06F0">
        <w:t>W</w:t>
      </w:r>
      <w:r w:rsidRPr="00E6110F">
        <w:t>orkflow of the hazard screening framework</w:t>
      </w:r>
      <w:r w:rsidR="001B06F0">
        <w:t>.</w:t>
      </w:r>
      <w:bookmarkEnd w:id="13"/>
      <w:r w:rsidRPr="00E6110F">
        <w:t xml:space="preserve"> </w:t>
      </w:r>
    </w:p>
    <w:p w14:paraId="75124889" w14:textId="77777777" w:rsidR="003D382E" w:rsidRDefault="003D382E" w:rsidP="0031677E">
      <w:pPr>
        <w:pStyle w:val="Body"/>
      </w:pPr>
    </w:p>
    <w:p w14:paraId="2EE2EC72" w14:textId="19EF6EB8" w:rsidR="007740AF" w:rsidRPr="00E6110F" w:rsidRDefault="0082708C" w:rsidP="007740AF">
      <w:pPr>
        <w:pStyle w:val="Heading2"/>
      </w:pPr>
      <w:bookmarkStart w:id="14" w:name="_Toc494444475"/>
      <w:r w:rsidRPr="00E6110F">
        <w:t>Report Structure</w:t>
      </w:r>
      <w:bookmarkEnd w:id="14"/>
    </w:p>
    <w:p w14:paraId="27388126" w14:textId="04D0CEB2" w:rsidR="005F22A3" w:rsidRPr="00E6110F" w:rsidRDefault="007740AF">
      <w:pPr>
        <w:pStyle w:val="Body"/>
      </w:pPr>
      <w:r w:rsidRPr="00E6110F">
        <w:t xml:space="preserve">The present report </w:t>
      </w:r>
      <w:r w:rsidR="003C76CE">
        <w:t>begins with</w:t>
      </w:r>
      <w:r w:rsidRPr="00E6110F">
        <w:t xml:space="preserve"> </w:t>
      </w:r>
      <w:r w:rsidR="00F561EF" w:rsidRPr="00E6110F">
        <w:t xml:space="preserve">conceptual models developed to </w:t>
      </w:r>
      <w:r w:rsidR="0094201E" w:rsidRPr="00E6110F">
        <w:t xml:space="preserve">inform the </w:t>
      </w:r>
      <w:r w:rsidR="00F561EF" w:rsidRPr="00E6110F">
        <w:t>screen</w:t>
      </w:r>
      <w:r w:rsidR="0094201E" w:rsidRPr="00E6110F">
        <w:t>ing of</w:t>
      </w:r>
      <w:r w:rsidR="00F561EF" w:rsidRPr="00E6110F">
        <w:t xml:space="preserve"> hazards associated with chemicals used in coal seam gas extraction and deeper groundwater</w:t>
      </w:r>
      <w:r w:rsidR="00016A72" w:rsidRPr="00E6110F">
        <w:t xml:space="preserve"> (Chapter 2)</w:t>
      </w:r>
      <w:r w:rsidR="0057477F" w:rsidRPr="00E6110F">
        <w:t>.</w:t>
      </w:r>
      <w:r w:rsidRPr="00E6110F">
        <w:t xml:space="preserve"> These </w:t>
      </w:r>
      <w:r w:rsidR="00F561EF" w:rsidRPr="00E6110F">
        <w:t xml:space="preserve">conceptual models include plausible fate and transport release pathways and description of biological receptors, chemical screening based on toxicity, and simplified exposure calculations for plausible pathways. In </w:t>
      </w:r>
      <w:r w:rsidR="00016A72" w:rsidRPr="00E6110F">
        <w:t>Chapter 3</w:t>
      </w:r>
      <w:r w:rsidR="004A7452">
        <w:t>,</w:t>
      </w:r>
      <w:r w:rsidR="00F561EF" w:rsidRPr="00E6110F">
        <w:t xml:space="preserve"> spatial analyses are undertaken of CSG extraction activities, hydraulic fracturing operations and relevant receptors</w:t>
      </w:r>
      <w:r w:rsidR="00E26801" w:rsidRPr="00E6110F">
        <w:t xml:space="preserve">. </w:t>
      </w:r>
      <w:r w:rsidR="004A7452" w:rsidRPr="00E6110F">
        <w:t>Th</w:t>
      </w:r>
      <w:r w:rsidR="004A7452">
        <w:t>ese</w:t>
      </w:r>
      <w:r w:rsidR="004A7452" w:rsidRPr="00E6110F">
        <w:t xml:space="preserve"> </w:t>
      </w:r>
      <w:r w:rsidR="004D3212" w:rsidRPr="00E6110F">
        <w:t>involve determination of contaminant source-receptor</w:t>
      </w:r>
      <w:r w:rsidR="004A7452">
        <w:t>,</w:t>
      </w:r>
      <w:r w:rsidR="004D3212" w:rsidRPr="00E6110F">
        <w:t xml:space="preserve"> frequency-distance relationships using geographical information systems </w:t>
      </w:r>
      <w:r w:rsidR="004A7452">
        <w:t xml:space="preserve">(GISs) </w:t>
      </w:r>
      <w:r w:rsidR="004D3212" w:rsidRPr="00E6110F">
        <w:t>and relevant databases with key receptors.</w:t>
      </w:r>
      <w:r w:rsidR="00E26801" w:rsidRPr="00E6110F">
        <w:t xml:space="preserve"> </w:t>
      </w:r>
      <w:r w:rsidR="004D3212" w:rsidRPr="00E6110F">
        <w:t xml:space="preserve">In </w:t>
      </w:r>
      <w:r w:rsidR="003D382E">
        <w:t>C</w:t>
      </w:r>
      <w:r w:rsidR="004D3212" w:rsidRPr="00E6110F">
        <w:t xml:space="preserve">hapter </w:t>
      </w:r>
      <w:r w:rsidR="003D382E">
        <w:t>4</w:t>
      </w:r>
      <w:r w:rsidR="004A7452">
        <w:t>,</w:t>
      </w:r>
      <w:r w:rsidR="003D382E">
        <w:t xml:space="preserve"> </w:t>
      </w:r>
      <w:r w:rsidR="004D3212" w:rsidRPr="00E6110F">
        <w:t>information will be collated on chemical persistence (half-life) and mobility (retardation) to improve understanding of attenuation processes in deeper groundwater</w:t>
      </w:r>
      <w:r w:rsidR="004A7452">
        <w:t>. S</w:t>
      </w:r>
      <w:r w:rsidR="004D3212" w:rsidRPr="00E6110F">
        <w:t>uch information is pivotal to estimat</w:t>
      </w:r>
      <w:r w:rsidR="004A7452">
        <w:t>ing</w:t>
      </w:r>
      <w:r w:rsidR="004D3212" w:rsidRPr="00E6110F">
        <w:t xml:space="preserve"> potential </w:t>
      </w:r>
      <w:r w:rsidR="004A7452">
        <w:t>for attenuation of indicator chemicals</w:t>
      </w:r>
      <w:r w:rsidR="004A7452" w:rsidRPr="00E6110F">
        <w:t xml:space="preserve"> </w:t>
      </w:r>
      <w:r w:rsidR="004D3212" w:rsidRPr="00E6110F">
        <w:t>at the r</w:t>
      </w:r>
      <w:r w:rsidR="003D382E">
        <w:t>eceptor</w:t>
      </w:r>
      <w:r w:rsidR="004D3212" w:rsidRPr="00E6110F">
        <w:t>. The integrated hazard screening framework that combines i) source-receptor distance-frequency relationships, ii) chemical, biological and geological attenuation information, iii) exposure assessment for plausible conceptual models and, iv) toxicity</w:t>
      </w:r>
      <w:r w:rsidR="004A7452">
        <w:t>,</w:t>
      </w:r>
      <w:r w:rsidR="004D3212" w:rsidRPr="00E6110F">
        <w:t xml:space="preserve"> is discussed in Chapter 5. </w:t>
      </w:r>
      <w:r w:rsidR="004B1BB4" w:rsidRPr="00E6110F">
        <w:t xml:space="preserve">A summary of </w:t>
      </w:r>
      <w:r w:rsidR="00813DD8">
        <w:t>outcomes and outputs</w:t>
      </w:r>
      <w:r w:rsidR="004B1BB4" w:rsidRPr="00E6110F">
        <w:t xml:space="preserve"> is provided in Chapter </w:t>
      </w:r>
      <w:r w:rsidR="004D3212" w:rsidRPr="00E6110F">
        <w:t>6</w:t>
      </w:r>
      <w:r w:rsidR="004B1BB4" w:rsidRPr="00E6110F">
        <w:t>.</w:t>
      </w:r>
      <w:r w:rsidR="005F22A3" w:rsidRPr="00E6110F">
        <w:br w:type="page"/>
      </w:r>
    </w:p>
    <w:p w14:paraId="6189A995" w14:textId="6B413DC5" w:rsidR="00E8296A" w:rsidRPr="00E6110F" w:rsidRDefault="00E02968">
      <w:pPr>
        <w:pStyle w:val="Heading1"/>
      </w:pPr>
      <w:bookmarkStart w:id="15" w:name="_Toc445832118"/>
      <w:bookmarkStart w:id="16" w:name="_Toc446256200"/>
      <w:bookmarkStart w:id="17" w:name="_Toc494444476"/>
      <w:bookmarkEnd w:id="15"/>
      <w:bookmarkEnd w:id="16"/>
      <w:r w:rsidRPr="00E6110F">
        <w:t>Development of conceptual models to help screen hazards associated with chemicals used in coal seam gas extraction and deeper groundwater</w:t>
      </w:r>
      <w:bookmarkEnd w:id="17"/>
      <w:r w:rsidRPr="00E6110F">
        <w:t xml:space="preserve"> </w:t>
      </w:r>
      <w:r w:rsidR="00E8296A" w:rsidRPr="00E6110F">
        <w:t xml:space="preserve"> </w:t>
      </w:r>
    </w:p>
    <w:p w14:paraId="5F055398" w14:textId="72969586" w:rsidR="008D01C3" w:rsidRPr="00E6110F" w:rsidRDefault="0095211D" w:rsidP="008D01C3">
      <w:pPr>
        <w:pStyle w:val="Body"/>
      </w:pPr>
      <w:r w:rsidRPr="00E6110F">
        <w:t>T</w:t>
      </w:r>
      <w:r w:rsidR="00E8296A" w:rsidRPr="00E6110F">
        <w:t xml:space="preserve">he focus of </w:t>
      </w:r>
      <w:r w:rsidR="006C4F88" w:rsidRPr="00E6110F">
        <w:t>th</w:t>
      </w:r>
      <w:r w:rsidR="008D01C3" w:rsidRPr="00E6110F">
        <w:t xml:space="preserve">is chapter is on </w:t>
      </w:r>
      <w:r w:rsidR="005D1F4C" w:rsidRPr="00E6110F">
        <w:t xml:space="preserve">i) </w:t>
      </w:r>
      <w:r w:rsidR="008D01C3" w:rsidRPr="00E6110F">
        <w:t>a national and international literature review with a focus on plausible pathways, hazard screening approaches, toxicity, exposure assessments (</w:t>
      </w:r>
      <w:r w:rsidR="004A7452">
        <w:t>S</w:t>
      </w:r>
      <w:r w:rsidR="008D01C3" w:rsidRPr="00E6110F">
        <w:t xml:space="preserve">ection </w:t>
      </w:r>
      <w:r w:rsidR="005D1F4C" w:rsidRPr="00E6110F">
        <w:fldChar w:fldCharType="begin" w:fldLock="1"/>
      </w:r>
      <w:r w:rsidR="005D1F4C" w:rsidRPr="00E6110F">
        <w:instrText xml:space="preserve"> REF _Ref446600418 \r \h </w:instrText>
      </w:r>
      <w:r w:rsidR="00E6110F">
        <w:instrText xml:space="preserve"> \* MERGEFORMAT </w:instrText>
      </w:r>
      <w:r w:rsidR="005D1F4C" w:rsidRPr="00E6110F">
        <w:fldChar w:fldCharType="separate"/>
      </w:r>
      <w:r w:rsidR="00335E79">
        <w:t>2.1</w:t>
      </w:r>
      <w:r w:rsidR="005D1F4C" w:rsidRPr="00E6110F">
        <w:fldChar w:fldCharType="end"/>
      </w:r>
      <w:r w:rsidR="008D01C3" w:rsidRPr="00E6110F">
        <w:t>)</w:t>
      </w:r>
      <w:r w:rsidR="005D1F4C" w:rsidRPr="00E6110F">
        <w:t>,</w:t>
      </w:r>
      <w:r w:rsidR="008D01C3" w:rsidRPr="00E6110F">
        <w:t xml:space="preserve"> </w:t>
      </w:r>
      <w:r w:rsidR="005D1F4C" w:rsidRPr="00E6110F">
        <w:t xml:space="preserve">ii) </w:t>
      </w:r>
      <w:r w:rsidR="00A67456" w:rsidRPr="00E6110F">
        <w:t>chemical screening based on toxicity, simplified exposure calculations for plausible pathways (</w:t>
      </w:r>
      <w:r w:rsidR="004A7452">
        <w:t>S</w:t>
      </w:r>
      <w:r w:rsidR="00A67456" w:rsidRPr="00E6110F">
        <w:t xml:space="preserve">ection </w:t>
      </w:r>
      <w:r w:rsidR="00A67456" w:rsidRPr="00E6110F">
        <w:fldChar w:fldCharType="begin" w:fldLock="1"/>
      </w:r>
      <w:r w:rsidR="00A67456" w:rsidRPr="00E6110F">
        <w:instrText xml:space="preserve"> REF _Ref448859974 \r \h </w:instrText>
      </w:r>
      <w:r w:rsidR="00E6110F">
        <w:instrText xml:space="preserve"> \* MERGEFORMAT </w:instrText>
      </w:r>
      <w:r w:rsidR="00A67456" w:rsidRPr="00E6110F">
        <w:fldChar w:fldCharType="separate"/>
      </w:r>
      <w:r w:rsidR="00335E79">
        <w:t>2.2</w:t>
      </w:r>
      <w:r w:rsidR="00A67456" w:rsidRPr="00E6110F">
        <w:fldChar w:fldCharType="end"/>
      </w:r>
      <w:r w:rsidR="00A67456" w:rsidRPr="00E6110F">
        <w:t xml:space="preserve">), iii) </w:t>
      </w:r>
      <w:r w:rsidR="005D1F4C" w:rsidRPr="00E6110F">
        <w:t>selection of chemicals for proof-of-concept-testing (section</w:t>
      </w:r>
      <w:r w:rsidR="00A67456" w:rsidRPr="00E6110F">
        <w:t xml:space="preserve"> </w:t>
      </w:r>
      <w:r w:rsidR="00A67456" w:rsidRPr="00E6110F">
        <w:fldChar w:fldCharType="begin" w:fldLock="1"/>
      </w:r>
      <w:r w:rsidR="00A67456" w:rsidRPr="00E6110F">
        <w:instrText xml:space="preserve"> REF _Ref446708098 \r \h </w:instrText>
      </w:r>
      <w:r w:rsidR="00E6110F">
        <w:instrText xml:space="preserve"> \* MERGEFORMAT </w:instrText>
      </w:r>
      <w:r w:rsidR="00A67456" w:rsidRPr="00E6110F">
        <w:fldChar w:fldCharType="separate"/>
      </w:r>
      <w:r w:rsidR="00335E79">
        <w:t>2.3</w:t>
      </w:r>
      <w:r w:rsidR="00A67456" w:rsidRPr="00E6110F">
        <w:fldChar w:fldCharType="end"/>
      </w:r>
      <w:r w:rsidR="005D1F4C" w:rsidRPr="00E6110F">
        <w:t>), i</w:t>
      </w:r>
      <w:r w:rsidR="00A67456" w:rsidRPr="00E6110F">
        <w:t>v</w:t>
      </w:r>
      <w:r w:rsidR="005D1F4C" w:rsidRPr="00E6110F">
        <w:t xml:space="preserve">) </w:t>
      </w:r>
      <w:r w:rsidR="008D01C3" w:rsidRPr="00E6110F">
        <w:t xml:space="preserve">developing conceptual models with plausible fate and transport release pathways </w:t>
      </w:r>
      <w:r w:rsidR="00A67456" w:rsidRPr="00E6110F">
        <w:t>(</w:t>
      </w:r>
      <w:r w:rsidR="004A7452">
        <w:t>S</w:t>
      </w:r>
      <w:r w:rsidR="00A67456" w:rsidRPr="00E6110F">
        <w:t xml:space="preserve">ection </w:t>
      </w:r>
      <w:r w:rsidR="00A67456" w:rsidRPr="00E6110F">
        <w:fldChar w:fldCharType="begin" w:fldLock="1"/>
      </w:r>
      <w:r w:rsidR="00A67456" w:rsidRPr="00E6110F">
        <w:instrText xml:space="preserve"> REF _Ref448859697 \r \h </w:instrText>
      </w:r>
      <w:r w:rsidR="00E6110F">
        <w:instrText xml:space="preserve"> \* MERGEFORMAT </w:instrText>
      </w:r>
      <w:r w:rsidR="00A67456" w:rsidRPr="00E6110F">
        <w:fldChar w:fldCharType="separate"/>
      </w:r>
      <w:r w:rsidR="00335E79">
        <w:t>2.6</w:t>
      </w:r>
      <w:r w:rsidR="00A67456" w:rsidRPr="00E6110F">
        <w:fldChar w:fldCharType="end"/>
      </w:r>
      <w:r w:rsidR="00A67456" w:rsidRPr="00E6110F">
        <w:t xml:space="preserve">), </w:t>
      </w:r>
      <w:r w:rsidR="008D01C3" w:rsidRPr="00E6110F">
        <w:t xml:space="preserve"> </w:t>
      </w:r>
      <w:r w:rsidR="00A67456" w:rsidRPr="00E6110F">
        <w:t xml:space="preserve">and </w:t>
      </w:r>
      <w:r w:rsidR="005D1F4C" w:rsidRPr="00E6110F">
        <w:t xml:space="preserve">v) identification of receptors </w:t>
      </w:r>
      <w:r w:rsidR="000E0D29" w:rsidRPr="00E6110F">
        <w:t xml:space="preserve">for use in the spatial analysis </w:t>
      </w:r>
      <w:r w:rsidR="005D1F4C" w:rsidRPr="00E6110F">
        <w:t>(</w:t>
      </w:r>
      <w:r w:rsidR="004A7452">
        <w:t>S</w:t>
      </w:r>
      <w:r w:rsidR="005D1F4C" w:rsidRPr="00E6110F">
        <w:t>ection</w:t>
      </w:r>
      <w:r w:rsidR="00A92D1D">
        <w:t xml:space="preserve"> </w:t>
      </w:r>
      <w:r w:rsidR="00A92D1D">
        <w:fldChar w:fldCharType="begin" w:fldLock="1"/>
      </w:r>
      <w:r w:rsidR="00A92D1D">
        <w:instrText xml:space="preserve"> REF _Ref476571948 \r \h </w:instrText>
      </w:r>
      <w:r w:rsidR="00A92D1D">
        <w:fldChar w:fldCharType="separate"/>
      </w:r>
      <w:r w:rsidR="00335E79">
        <w:t>3</w:t>
      </w:r>
      <w:r w:rsidR="00A92D1D">
        <w:fldChar w:fldCharType="end"/>
      </w:r>
      <w:r w:rsidR="005D1F4C" w:rsidRPr="00E6110F">
        <w:t>)</w:t>
      </w:r>
      <w:r w:rsidR="008D01C3" w:rsidRPr="00E6110F">
        <w:t>.</w:t>
      </w:r>
    </w:p>
    <w:p w14:paraId="09FD00EB" w14:textId="45E6F93A" w:rsidR="00E8296A" w:rsidRPr="00E6110F" w:rsidRDefault="00E02968" w:rsidP="003E3108">
      <w:pPr>
        <w:pStyle w:val="Heading2"/>
      </w:pPr>
      <w:bookmarkStart w:id="18" w:name="_Ref446600418"/>
      <w:bookmarkStart w:id="19" w:name="_Toc494444477"/>
      <w:r w:rsidRPr="00E6110F">
        <w:t>Literature review</w:t>
      </w:r>
      <w:bookmarkEnd w:id="18"/>
      <w:bookmarkEnd w:id="19"/>
      <w:r w:rsidR="00E8296A" w:rsidRPr="00E6110F">
        <w:t xml:space="preserve"> </w:t>
      </w:r>
    </w:p>
    <w:p w14:paraId="59B4E442" w14:textId="76BE2E46" w:rsidR="00A84870" w:rsidRDefault="006B33F3" w:rsidP="006B33F3">
      <w:pPr>
        <w:pStyle w:val="Body"/>
      </w:pPr>
      <w:r w:rsidRPr="00E6110F">
        <w:t>A national and international literature review has been undertaken which covers</w:t>
      </w:r>
      <w:r w:rsidR="004A7452">
        <w:t>:</w:t>
      </w:r>
      <w:r w:rsidRPr="00E6110F">
        <w:t xml:space="preserve"> </w:t>
      </w:r>
    </w:p>
    <w:p w14:paraId="62EB4463" w14:textId="708D12CB" w:rsidR="00A84870" w:rsidRDefault="00A84870" w:rsidP="00943534">
      <w:pPr>
        <w:pStyle w:val="Body"/>
        <w:numPr>
          <w:ilvl w:val="0"/>
          <w:numId w:val="53"/>
        </w:numPr>
      </w:pPr>
      <w:proofErr w:type="gramStart"/>
      <w:r w:rsidRPr="00E6110F">
        <w:t>investigations</w:t>
      </w:r>
      <w:proofErr w:type="gramEnd"/>
      <w:r w:rsidRPr="00E6110F">
        <w:t xml:space="preserve"> regarding possible chemical fate and transport pathways that affect potential exposure routes for sensitive receptors</w:t>
      </w:r>
      <w:r w:rsidR="00193005">
        <w:t xml:space="preserve"> (Section </w:t>
      </w:r>
      <w:r w:rsidR="00193005">
        <w:fldChar w:fldCharType="begin" w:fldLock="1"/>
      </w:r>
      <w:r w:rsidR="00193005">
        <w:instrText xml:space="preserve"> REF _Ref458871492 \r \h </w:instrText>
      </w:r>
      <w:r w:rsidR="00193005">
        <w:fldChar w:fldCharType="separate"/>
      </w:r>
      <w:r w:rsidR="00335E79">
        <w:t>2.1.1</w:t>
      </w:r>
      <w:r w:rsidR="00193005">
        <w:fldChar w:fldCharType="end"/>
      </w:r>
      <w:r w:rsidR="00193005">
        <w:t>)</w:t>
      </w:r>
      <w:r w:rsidR="00D8339F">
        <w:t xml:space="preserve">. This includes a </w:t>
      </w:r>
      <w:r w:rsidR="00D8339F" w:rsidRPr="00E6110F">
        <w:t>review of published compliance reporting in Queensland, Canada, and the USA.</w:t>
      </w:r>
    </w:p>
    <w:p w14:paraId="1D1AC1CA" w14:textId="3D9F064C" w:rsidR="00A84870" w:rsidRDefault="006B33F3" w:rsidP="00943534">
      <w:pPr>
        <w:pStyle w:val="Body"/>
        <w:numPr>
          <w:ilvl w:val="0"/>
          <w:numId w:val="53"/>
        </w:numPr>
      </w:pPr>
      <w:r w:rsidRPr="00E6110F">
        <w:t xml:space="preserve">existing approaches for hazard screening applicable to coal seam gas extraction and deeper groundwater (e.g. the Multi Criteria Decision Analysis Framework developed by US EPA </w:t>
      </w:r>
      <w:r w:rsidR="00991205" w:rsidRPr="00E6110F">
        <w:t>(</w:t>
      </w:r>
      <w:r w:rsidRPr="00E6110F">
        <w:t>201</w:t>
      </w:r>
      <w:r w:rsidR="000D3B81">
        <w:t>6a</w:t>
      </w:r>
      <w:r w:rsidR="00991205" w:rsidRPr="00E6110F">
        <w:t>)</w:t>
      </w:r>
      <w:r w:rsidRPr="00E6110F">
        <w:t xml:space="preserve"> and substitution regimes implemented in the North Sea)</w:t>
      </w:r>
      <w:r w:rsidR="00193005">
        <w:t xml:space="preserve"> (Section </w:t>
      </w:r>
      <w:r w:rsidR="00193005">
        <w:fldChar w:fldCharType="begin" w:fldLock="1"/>
      </w:r>
      <w:r w:rsidR="00193005">
        <w:instrText xml:space="preserve"> REF _Ref458871542 \r \h </w:instrText>
      </w:r>
      <w:r w:rsidR="00193005">
        <w:fldChar w:fldCharType="separate"/>
      </w:r>
      <w:r w:rsidR="00335E79">
        <w:t>2.1.2</w:t>
      </w:r>
      <w:r w:rsidR="00193005">
        <w:fldChar w:fldCharType="end"/>
      </w:r>
      <w:r w:rsidR="00193005">
        <w:t>)</w:t>
      </w:r>
      <w:r w:rsidR="00141471">
        <w:t>.</w:t>
      </w:r>
      <w:r w:rsidRPr="00E6110F">
        <w:t xml:space="preserve"> </w:t>
      </w:r>
    </w:p>
    <w:p w14:paraId="19292F9B" w14:textId="130EC6A1" w:rsidR="00035A11" w:rsidRDefault="004A7452" w:rsidP="00943534">
      <w:pPr>
        <w:pStyle w:val="Body"/>
        <w:numPr>
          <w:ilvl w:val="0"/>
          <w:numId w:val="53"/>
        </w:numPr>
      </w:pPr>
      <w:proofErr w:type="gramStart"/>
      <w:r>
        <w:t>a</w:t>
      </w:r>
      <w:proofErr w:type="gramEnd"/>
      <w:r>
        <w:t xml:space="preserve"> </w:t>
      </w:r>
      <w:r w:rsidR="00035A11">
        <w:t xml:space="preserve">summary of risk assessment approaches undertaken by industry and regulators (Section </w:t>
      </w:r>
      <w:r w:rsidR="00035A11">
        <w:fldChar w:fldCharType="begin" w:fldLock="1"/>
      </w:r>
      <w:r w:rsidR="00035A11">
        <w:instrText xml:space="preserve"> REF _Ref458871561 \r \h </w:instrText>
      </w:r>
      <w:r w:rsidR="00035A11">
        <w:fldChar w:fldCharType="separate"/>
      </w:r>
      <w:r w:rsidR="00335E79">
        <w:t>2.1.5</w:t>
      </w:r>
      <w:r w:rsidR="00035A11">
        <w:fldChar w:fldCharType="end"/>
      </w:r>
      <w:r w:rsidR="00141471">
        <w:t>).</w:t>
      </w:r>
    </w:p>
    <w:p w14:paraId="00DEFF9A" w14:textId="6FD906AC" w:rsidR="006B33F3" w:rsidRPr="00E6110F" w:rsidRDefault="009965ED" w:rsidP="00943534">
      <w:pPr>
        <w:pStyle w:val="Body"/>
        <w:numPr>
          <w:ilvl w:val="0"/>
          <w:numId w:val="53"/>
        </w:numPr>
      </w:pPr>
      <w:proofErr w:type="gramStart"/>
      <w:r>
        <w:t>a</w:t>
      </w:r>
      <w:proofErr w:type="gramEnd"/>
      <w:r w:rsidR="004A7452">
        <w:t xml:space="preserve"> </w:t>
      </w:r>
      <w:r w:rsidR="006B33F3" w:rsidRPr="00E6110F">
        <w:t xml:space="preserve">review of </w:t>
      </w:r>
      <w:r w:rsidR="007D07F1">
        <w:t xml:space="preserve">toxicity </w:t>
      </w:r>
      <w:r w:rsidR="006B33F3" w:rsidRPr="00E6110F">
        <w:t xml:space="preserve">data </w:t>
      </w:r>
      <w:r w:rsidR="007D07F1">
        <w:t>regarding</w:t>
      </w:r>
      <w:r w:rsidR="006B33F3" w:rsidRPr="00E6110F">
        <w:t xml:space="preserve"> </w:t>
      </w:r>
      <w:r w:rsidR="004A7452">
        <w:t xml:space="preserve">human </w:t>
      </w:r>
      <w:r w:rsidR="006B33F3" w:rsidRPr="00E6110F">
        <w:t xml:space="preserve">health effects and ecotoxicity, and </w:t>
      </w:r>
      <w:r w:rsidR="007D07F1">
        <w:t xml:space="preserve">estimation methods to predict toxicity values </w:t>
      </w:r>
      <w:r w:rsidR="006B33F3" w:rsidRPr="00E6110F">
        <w:t>(</w:t>
      </w:r>
      <w:r w:rsidR="00757BC6" w:rsidRPr="00E6110F">
        <w:t xml:space="preserve">see </w:t>
      </w:r>
      <w:r w:rsidR="00757BC6" w:rsidRPr="00E6110F">
        <w:fldChar w:fldCharType="begin" w:fldLock="1"/>
      </w:r>
      <w:r w:rsidR="00757BC6" w:rsidRPr="00E6110F">
        <w:instrText xml:space="preserve"> REF _Ref445911821 \h </w:instrText>
      </w:r>
      <w:r w:rsidR="00113D1F" w:rsidRPr="00E6110F">
        <w:instrText xml:space="preserve"> \* MERGEFORMAT </w:instrText>
      </w:r>
      <w:r w:rsidR="00757BC6" w:rsidRPr="00E6110F">
        <w:fldChar w:fldCharType="separate"/>
      </w:r>
      <w:r w:rsidR="00335E79" w:rsidRPr="00683E43">
        <w:t xml:space="preserve">Table </w:t>
      </w:r>
      <w:r w:rsidR="00335E79">
        <w:t>2</w:t>
      </w:r>
      <w:r w:rsidR="00335E79">
        <w:noBreakHyphen/>
        <w:t>1</w:t>
      </w:r>
      <w:r w:rsidR="00757BC6" w:rsidRPr="00E6110F">
        <w:fldChar w:fldCharType="end"/>
      </w:r>
      <w:r w:rsidR="00757BC6" w:rsidRPr="00E6110F">
        <w:t xml:space="preserve"> for an overview of literature sources used</w:t>
      </w:r>
      <w:r w:rsidR="001B5C78">
        <w:t>)</w:t>
      </w:r>
      <w:r w:rsidR="00193005">
        <w:t xml:space="preserve"> (Section</w:t>
      </w:r>
      <w:r w:rsidR="00035A11">
        <w:t xml:space="preserve"> </w:t>
      </w:r>
      <w:r w:rsidR="007D07F1">
        <w:fldChar w:fldCharType="begin" w:fldLock="1"/>
      </w:r>
      <w:r w:rsidR="007D07F1">
        <w:instrText xml:space="preserve"> REF _Ref458872574 \r \h </w:instrText>
      </w:r>
      <w:r w:rsidR="007D07F1">
        <w:fldChar w:fldCharType="separate"/>
      </w:r>
      <w:r w:rsidR="00335E79">
        <w:t>2.1.5</w:t>
      </w:r>
      <w:r w:rsidR="007D07F1">
        <w:fldChar w:fldCharType="end"/>
      </w:r>
      <w:r w:rsidR="00193005">
        <w:t>)</w:t>
      </w:r>
      <w:r w:rsidR="004729D2">
        <w:t>.</w:t>
      </w:r>
    </w:p>
    <w:p w14:paraId="354FCF29" w14:textId="77777777" w:rsidR="00196ED3" w:rsidRPr="00E6110F" w:rsidRDefault="00196ED3" w:rsidP="00196ED3">
      <w:pPr>
        <w:pStyle w:val="Body"/>
      </w:pPr>
    </w:p>
    <w:p w14:paraId="51CB2572" w14:textId="17390711" w:rsidR="00196ED3" w:rsidRPr="00E6110F" w:rsidRDefault="00196ED3" w:rsidP="00C4048E">
      <w:pPr>
        <w:pStyle w:val="Body"/>
      </w:pPr>
    </w:p>
    <w:p w14:paraId="5F10B317" w14:textId="77777777" w:rsidR="00196ED3" w:rsidRPr="00E6110F" w:rsidRDefault="00196ED3" w:rsidP="00196ED3">
      <w:pPr>
        <w:pStyle w:val="Body"/>
      </w:pPr>
    </w:p>
    <w:p w14:paraId="1EB3748A" w14:textId="77777777" w:rsidR="00196ED3" w:rsidRPr="00E6110F" w:rsidRDefault="00196ED3" w:rsidP="00196ED3">
      <w:pPr>
        <w:pStyle w:val="Body"/>
      </w:pPr>
    </w:p>
    <w:p w14:paraId="07DFAE92" w14:textId="77777777" w:rsidR="00447078" w:rsidRPr="00E6110F" w:rsidRDefault="00447078" w:rsidP="00447078">
      <w:pPr>
        <w:pStyle w:val="Body"/>
      </w:pPr>
    </w:p>
    <w:p w14:paraId="518EEF8A" w14:textId="77777777" w:rsidR="00447078" w:rsidRPr="00E6110F" w:rsidRDefault="00447078" w:rsidP="00447078">
      <w:pPr>
        <w:pStyle w:val="Body"/>
      </w:pPr>
    </w:p>
    <w:p w14:paraId="3AA4B427" w14:textId="77777777" w:rsidR="00447078" w:rsidRPr="00E6110F" w:rsidRDefault="00447078" w:rsidP="00447078">
      <w:pPr>
        <w:pStyle w:val="Body"/>
        <w:sectPr w:rsidR="00447078" w:rsidRPr="00E6110F" w:rsidSect="00BA6CFE">
          <w:pgSz w:w="11900" w:h="16840"/>
          <w:pgMar w:top="1440" w:right="1440" w:bottom="1440" w:left="1440" w:header="0" w:footer="0" w:gutter="0"/>
          <w:pgNumType w:start="1"/>
          <w:cols w:space="284"/>
          <w:noEndnote/>
          <w:docGrid w:linePitch="326"/>
        </w:sectPr>
      </w:pPr>
    </w:p>
    <w:tbl>
      <w:tblPr>
        <w:tblStyle w:val="TableGrid"/>
        <w:tblW w:w="5051" w:type="pct"/>
        <w:tblInd w:w="-14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2"/>
        <w:gridCol w:w="9640"/>
        <w:gridCol w:w="2620"/>
      </w:tblGrid>
      <w:tr w:rsidR="00447078" w:rsidRPr="00E6110F" w14:paraId="134ED846" w14:textId="77777777" w:rsidTr="00683E43">
        <w:trPr>
          <w:tblHeader/>
        </w:trPr>
        <w:tc>
          <w:tcPr>
            <w:tcW w:w="5000" w:type="pct"/>
            <w:gridSpan w:val="3"/>
            <w:tcBorders>
              <w:top w:val="nil"/>
              <w:bottom w:val="single" w:sz="4" w:space="0" w:color="auto"/>
            </w:tcBorders>
            <w:shd w:val="clear" w:color="auto" w:fill="auto"/>
            <w:vAlign w:val="bottom"/>
          </w:tcPr>
          <w:p w14:paraId="29BEAF11" w14:textId="283A8431" w:rsidR="00447078" w:rsidRPr="00E6110F" w:rsidRDefault="00E26359" w:rsidP="00683E43">
            <w:pPr>
              <w:pStyle w:val="Imagecaption"/>
              <w:keepNext/>
              <w:pBdr>
                <w:top w:val="none" w:sz="0" w:space="0" w:color="auto"/>
              </w:pBdr>
              <w:rPr>
                <w:i w:val="0"/>
              </w:rPr>
            </w:pPr>
            <w:bookmarkStart w:id="20" w:name="_Ref445911821"/>
            <w:bookmarkStart w:id="21" w:name="_Toc494444691"/>
            <w:r w:rsidRPr="00683E43">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w:t>
            </w:r>
            <w:r w:rsidR="00470577">
              <w:fldChar w:fldCharType="end"/>
            </w:r>
            <w:bookmarkEnd w:id="20"/>
            <w:r w:rsidRPr="00683E43">
              <w:t xml:space="preserve">. </w:t>
            </w:r>
            <w:r w:rsidR="004855EB" w:rsidRPr="00683E43">
              <w:t>Selection of s</w:t>
            </w:r>
            <w:r w:rsidR="00447078" w:rsidRPr="00683E43">
              <w:t>ources of information used in literature review</w:t>
            </w:r>
            <w:r w:rsidR="00683E43">
              <w:t>.</w:t>
            </w:r>
            <w:bookmarkEnd w:id="21"/>
          </w:p>
        </w:tc>
      </w:tr>
      <w:tr w:rsidR="00DE6228" w:rsidRPr="00E6110F" w14:paraId="0EC98B68" w14:textId="77777777" w:rsidTr="00683E43">
        <w:trPr>
          <w:tblHeader/>
        </w:trPr>
        <w:tc>
          <w:tcPr>
            <w:tcW w:w="653" w:type="pct"/>
            <w:tcBorders>
              <w:top w:val="single" w:sz="4" w:space="0" w:color="auto"/>
              <w:bottom w:val="single" w:sz="4" w:space="0" w:color="auto"/>
            </w:tcBorders>
            <w:shd w:val="clear" w:color="auto" w:fill="F2F2F2" w:themeFill="background1" w:themeFillShade="F2"/>
            <w:vAlign w:val="bottom"/>
          </w:tcPr>
          <w:p w14:paraId="23A51ED0" w14:textId="77777777" w:rsidR="00DE6228" w:rsidRPr="00E6110F" w:rsidRDefault="00DE6228" w:rsidP="006F038C">
            <w:pPr>
              <w:pStyle w:val="Body"/>
              <w:keepNext/>
              <w:spacing w:before="60" w:after="60" w:line="240" w:lineRule="auto"/>
            </w:pPr>
            <w:r w:rsidRPr="00E6110F">
              <w:t>Item</w:t>
            </w:r>
          </w:p>
        </w:tc>
        <w:tc>
          <w:tcPr>
            <w:tcW w:w="3418" w:type="pct"/>
            <w:tcBorders>
              <w:top w:val="single" w:sz="4" w:space="0" w:color="auto"/>
              <w:bottom w:val="single" w:sz="4" w:space="0" w:color="auto"/>
            </w:tcBorders>
            <w:shd w:val="clear" w:color="auto" w:fill="F2F2F2" w:themeFill="background1" w:themeFillShade="F2"/>
            <w:vAlign w:val="bottom"/>
          </w:tcPr>
          <w:p w14:paraId="030B080B" w14:textId="22C67143" w:rsidR="00DE6228" w:rsidRPr="00E6110F" w:rsidRDefault="008C32E0" w:rsidP="008C32E0">
            <w:pPr>
              <w:pStyle w:val="Body"/>
              <w:keepNext/>
              <w:spacing w:before="60" w:after="60" w:line="240" w:lineRule="auto"/>
            </w:pPr>
            <w:r w:rsidRPr="00E6110F">
              <w:t>Subject d</w:t>
            </w:r>
            <w:r w:rsidR="00DE6228" w:rsidRPr="00E6110F">
              <w:t>escription</w:t>
            </w:r>
          </w:p>
        </w:tc>
        <w:tc>
          <w:tcPr>
            <w:tcW w:w="929" w:type="pct"/>
            <w:tcBorders>
              <w:top w:val="single" w:sz="4" w:space="0" w:color="auto"/>
              <w:bottom w:val="single" w:sz="4" w:space="0" w:color="auto"/>
            </w:tcBorders>
            <w:shd w:val="clear" w:color="auto" w:fill="F2F2F2" w:themeFill="background1" w:themeFillShade="F2"/>
            <w:vAlign w:val="bottom"/>
          </w:tcPr>
          <w:p w14:paraId="594031F6" w14:textId="03508342" w:rsidR="00DE6228" w:rsidRPr="00E6110F" w:rsidRDefault="00DE6228" w:rsidP="006F038C">
            <w:pPr>
              <w:pStyle w:val="Body"/>
              <w:keepNext/>
              <w:spacing w:before="60" w:after="60" w:line="240" w:lineRule="auto"/>
            </w:pPr>
            <w:r w:rsidRPr="00E6110F">
              <w:t>Source</w:t>
            </w:r>
          </w:p>
        </w:tc>
      </w:tr>
      <w:tr w:rsidR="001A1A11" w:rsidRPr="00E6110F" w14:paraId="12B841C2" w14:textId="77777777" w:rsidTr="00683E43">
        <w:trPr>
          <w:trHeight w:val="388"/>
          <w:tblHeader/>
        </w:trPr>
        <w:tc>
          <w:tcPr>
            <w:tcW w:w="653" w:type="pct"/>
            <w:vMerge w:val="restart"/>
            <w:tcBorders>
              <w:top w:val="single" w:sz="4" w:space="0" w:color="auto"/>
            </w:tcBorders>
          </w:tcPr>
          <w:p w14:paraId="25F433C1" w14:textId="4EE2268A" w:rsidR="001A1A11" w:rsidRPr="00E6110F" w:rsidRDefault="001A1A11" w:rsidP="000F2E06">
            <w:pPr>
              <w:pStyle w:val="Body"/>
              <w:keepNext/>
              <w:spacing w:before="60"/>
            </w:pPr>
            <w:r w:rsidRPr="00E6110F">
              <w:t xml:space="preserve">Plausible pathways </w:t>
            </w:r>
          </w:p>
        </w:tc>
        <w:tc>
          <w:tcPr>
            <w:tcW w:w="3418" w:type="pct"/>
            <w:tcBorders>
              <w:top w:val="single" w:sz="4" w:space="0" w:color="auto"/>
              <w:bottom w:val="single" w:sz="4" w:space="0" w:color="auto"/>
            </w:tcBorders>
          </w:tcPr>
          <w:p w14:paraId="247238E0" w14:textId="66054B0A" w:rsidR="001A1A11" w:rsidRPr="00E6110F" w:rsidRDefault="001A1A11" w:rsidP="000F2E06">
            <w:pPr>
              <w:pStyle w:val="Body"/>
              <w:keepNext/>
              <w:spacing w:before="60"/>
            </w:pPr>
            <w:r w:rsidRPr="00E6110F">
              <w:t>Hydraulic fractures: How far can they go?</w:t>
            </w:r>
          </w:p>
        </w:tc>
        <w:tc>
          <w:tcPr>
            <w:tcW w:w="929" w:type="pct"/>
            <w:tcBorders>
              <w:top w:val="single" w:sz="4" w:space="0" w:color="auto"/>
              <w:bottom w:val="single" w:sz="4" w:space="0" w:color="auto"/>
            </w:tcBorders>
          </w:tcPr>
          <w:p w14:paraId="4CFCA0F9" w14:textId="741CBAC9" w:rsidR="001A1A11" w:rsidRPr="00E6110F" w:rsidRDefault="001A1A11" w:rsidP="000F2E06">
            <w:pPr>
              <w:pStyle w:val="Body"/>
              <w:keepNext/>
              <w:rPr>
                <w:lang w:val="en-US"/>
              </w:rPr>
            </w:pPr>
            <w:r w:rsidRPr="00E6110F">
              <w:rPr>
                <w:lang w:val="en-US"/>
              </w:rPr>
              <w:t>Davies et al. 2012</w:t>
            </w:r>
          </w:p>
        </w:tc>
      </w:tr>
      <w:tr w:rsidR="001A1A11" w:rsidRPr="00E6110F" w14:paraId="21B161A8" w14:textId="77777777" w:rsidTr="00683E43">
        <w:trPr>
          <w:trHeight w:val="388"/>
          <w:tblHeader/>
        </w:trPr>
        <w:tc>
          <w:tcPr>
            <w:tcW w:w="653" w:type="pct"/>
            <w:vMerge/>
          </w:tcPr>
          <w:p w14:paraId="1E8AE57B" w14:textId="3D53B20B" w:rsidR="001A1A11" w:rsidRPr="00E6110F" w:rsidRDefault="001A1A11" w:rsidP="000F2E06">
            <w:pPr>
              <w:pStyle w:val="Body"/>
              <w:keepNext/>
              <w:spacing w:before="60"/>
            </w:pPr>
          </w:p>
        </w:tc>
        <w:tc>
          <w:tcPr>
            <w:tcW w:w="3418" w:type="pct"/>
            <w:tcBorders>
              <w:top w:val="single" w:sz="4" w:space="0" w:color="auto"/>
              <w:bottom w:val="single" w:sz="4" w:space="0" w:color="auto"/>
            </w:tcBorders>
          </w:tcPr>
          <w:p w14:paraId="51926750" w14:textId="0D36B067" w:rsidR="001A1A11" w:rsidRPr="00E6110F" w:rsidRDefault="001A1A11" w:rsidP="000F2E06">
            <w:pPr>
              <w:pStyle w:val="Body"/>
              <w:keepNext/>
              <w:spacing w:before="60"/>
            </w:pPr>
            <w:r w:rsidRPr="00E6110F">
              <w:t>Hydraulic-fracture-height growth</w:t>
            </w:r>
          </w:p>
        </w:tc>
        <w:tc>
          <w:tcPr>
            <w:tcW w:w="929" w:type="pct"/>
            <w:tcBorders>
              <w:top w:val="single" w:sz="4" w:space="0" w:color="auto"/>
              <w:bottom w:val="single" w:sz="4" w:space="0" w:color="auto"/>
            </w:tcBorders>
          </w:tcPr>
          <w:p w14:paraId="78925AC6" w14:textId="061A0ACE" w:rsidR="001A1A11" w:rsidRPr="00E6110F" w:rsidRDefault="001A1A11" w:rsidP="000F2E06">
            <w:pPr>
              <w:pStyle w:val="Body"/>
              <w:keepNext/>
              <w:rPr>
                <w:lang w:val="en-US"/>
              </w:rPr>
            </w:pPr>
            <w:r w:rsidRPr="00E6110F">
              <w:rPr>
                <w:lang w:val="en-US"/>
              </w:rPr>
              <w:t>Fisher and Warpinski 2012</w:t>
            </w:r>
          </w:p>
        </w:tc>
      </w:tr>
      <w:tr w:rsidR="001A1A11" w:rsidRPr="00E6110F" w14:paraId="74B0B7A2" w14:textId="77777777" w:rsidTr="00683E43">
        <w:trPr>
          <w:trHeight w:val="388"/>
          <w:tblHeader/>
        </w:trPr>
        <w:tc>
          <w:tcPr>
            <w:tcW w:w="653" w:type="pct"/>
            <w:vMerge/>
          </w:tcPr>
          <w:p w14:paraId="2465F7F8" w14:textId="37121D06" w:rsidR="001A1A11" w:rsidRPr="00E6110F" w:rsidRDefault="001A1A11" w:rsidP="000F2E06">
            <w:pPr>
              <w:pStyle w:val="Body"/>
              <w:keepNext/>
              <w:spacing w:before="60"/>
            </w:pPr>
          </w:p>
        </w:tc>
        <w:tc>
          <w:tcPr>
            <w:tcW w:w="3418" w:type="pct"/>
            <w:tcBorders>
              <w:top w:val="single" w:sz="4" w:space="0" w:color="auto"/>
              <w:bottom w:val="single" w:sz="4" w:space="0" w:color="auto"/>
            </w:tcBorders>
          </w:tcPr>
          <w:p w14:paraId="76E6A8FA" w14:textId="28C27374" w:rsidR="001A1A11" w:rsidRPr="00E6110F" w:rsidRDefault="001A1A11" w:rsidP="000F2E06">
            <w:pPr>
              <w:pStyle w:val="Body"/>
              <w:keepNext/>
              <w:spacing w:before="60"/>
            </w:pPr>
            <w:r w:rsidRPr="00E6110F">
              <w:t>Geochemical evidence for possible migration of Marcellus formation brine to shallow aquifers in Pennsylvania</w:t>
            </w:r>
          </w:p>
        </w:tc>
        <w:tc>
          <w:tcPr>
            <w:tcW w:w="929" w:type="pct"/>
            <w:tcBorders>
              <w:top w:val="single" w:sz="4" w:space="0" w:color="auto"/>
              <w:bottom w:val="single" w:sz="4" w:space="0" w:color="auto"/>
            </w:tcBorders>
          </w:tcPr>
          <w:p w14:paraId="09ED6E64" w14:textId="2E94BBA7" w:rsidR="001A1A11" w:rsidRPr="00E6110F" w:rsidRDefault="001A1A11" w:rsidP="000F2E06">
            <w:pPr>
              <w:pStyle w:val="Body"/>
              <w:keepNext/>
              <w:rPr>
                <w:lang w:val="en-US"/>
              </w:rPr>
            </w:pPr>
            <w:r w:rsidRPr="00E6110F">
              <w:rPr>
                <w:lang w:val="en-US"/>
              </w:rPr>
              <w:t>Warner et al. 2012a</w:t>
            </w:r>
          </w:p>
        </w:tc>
      </w:tr>
      <w:tr w:rsidR="001A1A11" w:rsidRPr="00E6110F" w14:paraId="3E6D5703" w14:textId="77777777" w:rsidTr="00683E43">
        <w:trPr>
          <w:trHeight w:val="388"/>
          <w:tblHeader/>
        </w:trPr>
        <w:tc>
          <w:tcPr>
            <w:tcW w:w="653" w:type="pct"/>
            <w:vMerge/>
          </w:tcPr>
          <w:p w14:paraId="1AE58567" w14:textId="77777777" w:rsidR="001A1A11" w:rsidRPr="00E6110F" w:rsidRDefault="001A1A11" w:rsidP="000F2E06">
            <w:pPr>
              <w:pStyle w:val="Body"/>
              <w:keepNext/>
              <w:spacing w:before="60"/>
            </w:pPr>
          </w:p>
        </w:tc>
        <w:tc>
          <w:tcPr>
            <w:tcW w:w="3418" w:type="pct"/>
            <w:tcBorders>
              <w:top w:val="single" w:sz="4" w:space="0" w:color="auto"/>
              <w:bottom w:val="single" w:sz="4" w:space="0" w:color="auto"/>
            </w:tcBorders>
          </w:tcPr>
          <w:p w14:paraId="723B7264" w14:textId="3D1188B7" w:rsidR="001A1A11" w:rsidRPr="00E6110F" w:rsidRDefault="001A1A11" w:rsidP="000F2E06">
            <w:pPr>
              <w:pStyle w:val="Body"/>
              <w:keepNext/>
              <w:spacing w:before="60"/>
            </w:pPr>
            <w:r w:rsidRPr="00E6110F">
              <w:t>Increased stray gas abundance in a subset of drinking water wells near Marcellus shale gas extraction</w:t>
            </w:r>
          </w:p>
        </w:tc>
        <w:tc>
          <w:tcPr>
            <w:tcW w:w="929" w:type="pct"/>
            <w:tcBorders>
              <w:top w:val="single" w:sz="4" w:space="0" w:color="auto"/>
              <w:bottom w:val="single" w:sz="4" w:space="0" w:color="auto"/>
            </w:tcBorders>
          </w:tcPr>
          <w:p w14:paraId="6DA06C73" w14:textId="64B696DD" w:rsidR="001A1A11" w:rsidRPr="00E6110F" w:rsidRDefault="001A1A11" w:rsidP="000F2E06">
            <w:pPr>
              <w:pStyle w:val="Body"/>
              <w:keepNext/>
              <w:rPr>
                <w:lang w:val="en-US"/>
              </w:rPr>
            </w:pPr>
            <w:r w:rsidRPr="00E6110F">
              <w:rPr>
                <w:lang w:val="en-US"/>
              </w:rPr>
              <w:t>Jackson et al. 2013</w:t>
            </w:r>
          </w:p>
        </w:tc>
      </w:tr>
      <w:tr w:rsidR="001A1A11" w:rsidRPr="00E6110F" w14:paraId="0B4570AB" w14:textId="77777777" w:rsidTr="00683E43">
        <w:trPr>
          <w:trHeight w:val="388"/>
          <w:tblHeader/>
        </w:trPr>
        <w:tc>
          <w:tcPr>
            <w:tcW w:w="653" w:type="pct"/>
            <w:vMerge/>
          </w:tcPr>
          <w:p w14:paraId="2BEC23C0" w14:textId="6DA329BD" w:rsidR="001A1A11" w:rsidRPr="00E6110F" w:rsidRDefault="001A1A11" w:rsidP="000F2E06">
            <w:pPr>
              <w:pStyle w:val="Body"/>
              <w:keepNext/>
              <w:spacing w:before="60"/>
            </w:pPr>
          </w:p>
        </w:tc>
        <w:tc>
          <w:tcPr>
            <w:tcW w:w="3418" w:type="pct"/>
            <w:tcBorders>
              <w:top w:val="single" w:sz="4" w:space="0" w:color="auto"/>
              <w:bottom w:val="single" w:sz="4" w:space="0" w:color="auto"/>
            </w:tcBorders>
          </w:tcPr>
          <w:p w14:paraId="1D245252" w14:textId="47CD097C" w:rsidR="001A1A11" w:rsidRPr="00E6110F" w:rsidRDefault="001A1A11" w:rsidP="000F2E06">
            <w:pPr>
              <w:pStyle w:val="Body"/>
              <w:keepNext/>
              <w:spacing w:before="60"/>
            </w:pPr>
            <w:r w:rsidRPr="00E6110F">
              <w:t>Hydraulic fracture height limits and fault interactions in tight oil and gas formations</w:t>
            </w:r>
          </w:p>
        </w:tc>
        <w:tc>
          <w:tcPr>
            <w:tcW w:w="929" w:type="pct"/>
            <w:tcBorders>
              <w:top w:val="single" w:sz="4" w:space="0" w:color="auto"/>
              <w:bottom w:val="single" w:sz="4" w:space="0" w:color="auto"/>
            </w:tcBorders>
          </w:tcPr>
          <w:p w14:paraId="1576D7E7" w14:textId="3E646C7C" w:rsidR="001A1A11" w:rsidRPr="00E6110F" w:rsidRDefault="001A1A11" w:rsidP="000F2E06">
            <w:pPr>
              <w:pStyle w:val="Body"/>
              <w:keepNext/>
              <w:rPr>
                <w:lang w:val="en-US"/>
              </w:rPr>
            </w:pPr>
            <w:r w:rsidRPr="00E6110F">
              <w:rPr>
                <w:lang w:val="en-US"/>
              </w:rPr>
              <w:t>Flewelling et al. 2013</w:t>
            </w:r>
          </w:p>
        </w:tc>
      </w:tr>
      <w:tr w:rsidR="001A1A11" w:rsidRPr="00E6110F" w14:paraId="2D9EB1B2" w14:textId="77777777" w:rsidTr="00683E43">
        <w:trPr>
          <w:trHeight w:val="388"/>
          <w:tblHeader/>
        </w:trPr>
        <w:tc>
          <w:tcPr>
            <w:tcW w:w="653" w:type="pct"/>
            <w:vMerge/>
          </w:tcPr>
          <w:p w14:paraId="1194FC7C" w14:textId="77777777" w:rsidR="001A1A11" w:rsidRPr="00E6110F" w:rsidRDefault="001A1A11" w:rsidP="000F2E06">
            <w:pPr>
              <w:pStyle w:val="Body"/>
              <w:keepNext/>
              <w:spacing w:before="60"/>
            </w:pPr>
          </w:p>
        </w:tc>
        <w:tc>
          <w:tcPr>
            <w:tcW w:w="3418" w:type="pct"/>
            <w:tcBorders>
              <w:top w:val="single" w:sz="4" w:space="0" w:color="auto"/>
              <w:bottom w:val="single" w:sz="4" w:space="0" w:color="auto"/>
            </w:tcBorders>
          </w:tcPr>
          <w:p w14:paraId="1BA6D20D" w14:textId="0DE3DD5F" w:rsidR="001A1A11" w:rsidRPr="00E6110F" w:rsidRDefault="001A1A11" w:rsidP="000F2E06">
            <w:pPr>
              <w:pStyle w:val="Body"/>
              <w:keepNext/>
              <w:spacing w:before="60"/>
            </w:pPr>
            <w:r w:rsidRPr="00E6110F">
              <w:t>Modelling the transport of fracturing fluids, brine and methane</w:t>
            </w:r>
          </w:p>
        </w:tc>
        <w:tc>
          <w:tcPr>
            <w:tcW w:w="929" w:type="pct"/>
            <w:tcBorders>
              <w:top w:val="single" w:sz="4" w:space="0" w:color="auto"/>
              <w:bottom w:val="single" w:sz="4" w:space="0" w:color="auto"/>
            </w:tcBorders>
          </w:tcPr>
          <w:p w14:paraId="69D50E9E" w14:textId="3FBBE43C" w:rsidR="001A1A11" w:rsidRPr="00E6110F" w:rsidRDefault="001A1A11" w:rsidP="000F2E06">
            <w:pPr>
              <w:pStyle w:val="Body"/>
              <w:keepNext/>
              <w:rPr>
                <w:lang w:val="en-US"/>
              </w:rPr>
            </w:pPr>
            <w:r w:rsidRPr="00E6110F">
              <w:rPr>
                <w:lang w:val="en-US"/>
              </w:rPr>
              <w:t>Kissinger et al. 2013</w:t>
            </w:r>
          </w:p>
        </w:tc>
      </w:tr>
      <w:tr w:rsidR="001A1A11" w:rsidRPr="00E6110F" w14:paraId="63A20790" w14:textId="77777777" w:rsidTr="00683E43">
        <w:trPr>
          <w:trHeight w:val="388"/>
          <w:tblHeader/>
        </w:trPr>
        <w:tc>
          <w:tcPr>
            <w:tcW w:w="653" w:type="pct"/>
            <w:vMerge/>
          </w:tcPr>
          <w:p w14:paraId="375E39E4" w14:textId="77777777" w:rsidR="001A1A11" w:rsidRPr="00E6110F" w:rsidRDefault="001A1A11" w:rsidP="000F2E06">
            <w:pPr>
              <w:pStyle w:val="Body"/>
              <w:keepNext/>
              <w:spacing w:before="60"/>
            </w:pPr>
          </w:p>
        </w:tc>
        <w:tc>
          <w:tcPr>
            <w:tcW w:w="3418" w:type="pct"/>
            <w:tcBorders>
              <w:top w:val="single" w:sz="4" w:space="0" w:color="auto"/>
              <w:bottom w:val="single" w:sz="4" w:space="0" w:color="auto"/>
            </w:tcBorders>
          </w:tcPr>
          <w:p w14:paraId="34DFA630" w14:textId="0A9915D9" w:rsidR="001A1A11" w:rsidRPr="00E6110F" w:rsidRDefault="001A1A11" w:rsidP="006D3269">
            <w:pPr>
              <w:pStyle w:val="Body"/>
              <w:keepNext/>
              <w:spacing w:before="60"/>
            </w:pPr>
            <w:r w:rsidRPr="00E6110F">
              <w:t xml:space="preserve">Fugitive emissions from CSG equipment and well casings  </w:t>
            </w:r>
          </w:p>
        </w:tc>
        <w:tc>
          <w:tcPr>
            <w:tcW w:w="929" w:type="pct"/>
            <w:tcBorders>
              <w:top w:val="single" w:sz="4" w:space="0" w:color="auto"/>
              <w:bottom w:val="single" w:sz="4" w:space="0" w:color="auto"/>
            </w:tcBorders>
          </w:tcPr>
          <w:p w14:paraId="02F7486C" w14:textId="2BAEBBAD" w:rsidR="001A1A11" w:rsidRPr="00E6110F" w:rsidRDefault="001A1A11" w:rsidP="000F2E06">
            <w:pPr>
              <w:pStyle w:val="Body"/>
              <w:keepNext/>
              <w:rPr>
                <w:lang w:val="en-US"/>
              </w:rPr>
            </w:pPr>
            <w:r w:rsidRPr="00E6110F">
              <w:rPr>
                <w:lang w:val="en-US"/>
              </w:rPr>
              <w:t>Day et al. 2014</w:t>
            </w:r>
          </w:p>
        </w:tc>
      </w:tr>
      <w:tr w:rsidR="001A1A11" w:rsidRPr="00E6110F" w14:paraId="434DD391" w14:textId="77777777" w:rsidTr="00683E43">
        <w:trPr>
          <w:trHeight w:val="388"/>
          <w:tblHeader/>
        </w:trPr>
        <w:tc>
          <w:tcPr>
            <w:tcW w:w="653" w:type="pct"/>
            <w:vMerge/>
          </w:tcPr>
          <w:p w14:paraId="5F070281" w14:textId="77777777" w:rsidR="001A1A11" w:rsidRPr="00E6110F" w:rsidRDefault="001A1A11" w:rsidP="000F2E06">
            <w:pPr>
              <w:pStyle w:val="Body"/>
              <w:keepNext/>
              <w:spacing w:before="60"/>
            </w:pPr>
          </w:p>
        </w:tc>
        <w:tc>
          <w:tcPr>
            <w:tcW w:w="3418" w:type="pct"/>
            <w:tcBorders>
              <w:top w:val="single" w:sz="4" w:space="0" w:color="auto"/>
              <w:bottom w:val="single" w:sz="4" w:space="0" w:color="auto"/>
            </w:tcBorders>
          </w:tcPr>
          <w:p w14:paraId="2AF7EEA0" w14:textId="452973CA" w:rsidR="001A1A11" w:rsidRPr="00E6110F" w:rsidRDefault="001A1A11" w:rsidP="000F2E06">
            <w:pPr>
              <w:pStyle w:val="Body"/>
              <w:keepNext/>
              <w:spacing w:before="60"/>
            </w:pPr>
            <w:r w:rsidRPr="00E6110F">
              <w:t>Seepage pathway assessment for natural gas to shallow groundwater during well stimulation, in production, and after abandonment</w:t>
            </w:r>
          </w:p>
        </w:tc>
        <w:tc>
          <w:tcPr>
            <w:tcW w:w="929" w:type="pct"/>
            <w:tcBorders>
              <w:top w:val="single" w:sz="4" w:space="0" w:color="auto"/>
              <w:bottom w:val="single" w:sz="4" w:space="0" w:color="auto"/>
            </w:tcBorders>
          </w:tcPr>
          <w:p w14:paraId="048A28DA" w14:textId="2DCC4231" w:rsidR="001A1A11" w:rsidRPr="00E6110F" w:rsidRDefault="001A1A11" w:rsidP="000F2E06">
            <w:pPr>
              <w:pStyle w:val="Body"/>
              <w:keepNext/>
              <w:rPr>
                <w:lang w:val="en-US"/>
              </w:rPr>
            </w:pPr>
            <w:r w:rsidRPr="00E6110F">
              <w:rPr>
                <w:lang w:val="en-US"/>
              </w:rPr>
              <w:t>Dusseault and Jackson 2014</w:t>
            </w:r>
          </w:p>
        </w:tc>
      </w:tr>
      <w:tr w:rsidR="001A1A11" w:rsidRPr="00E6110F" w14:paraId="6D39B642" w14:textId="77777777" w:rsidTr="00683E43">
        <w:trPr>
          <w:trHeight w:val="388"/>
          <w:tblHeader/>
        </w:trPr>
        <w:tc>
          <w:tcPr>
            <w:tcW w:w="653" w:type="pct"/>
            <w:vMerge/>
          </w:tcPr>
          <w:p w14:paraId="7FC4D168" w14:textId="77777777" w:rsidR="001A1A11" w:rsidRPr="00E6110F" w:rsidRDefault="001A1A11" w:rsidP="000F2E06">
            <w:pPr>
              <w:pStyle w:val="Body"/>
              <w:keepNext/>
              <w:spacing w:before="60"/>
            </w:pPr>
          </w:p>
        </w:tc>
        <w:tc>
          <w:tcPr>
            <w:tcW w:w="3418" w:type="pct"/>
            <w:tcBorders>
              <w:top w:val="single" w:sz="4" w:space="0" w:color="auto"/>
              <w:bottom w:val="single" w:sz="4" w:space="0" w:color="auto"/>
            </w:tcBorders>
          </w:tcPr>
          <w:p w14:paraId="3CA26F64" w14:textId="6A263BD2" w:rsidR="001A1A11" w:rsidRPr="00E6110F" w:rsidRDefault="001A1A11" w:rsidP="000F2E06">
            <w:pPr>
              <w:pStyle w:val="Body"/>
              <w:keepNext/>
              <w:spacing w:before="60"/>
            </w:pPr>
            <w:r w:rsidRPr="00E6110F">
              <w:t>The fate of residual treatment water in gas shale</w:t>
            </w:r>
          </w:p>
        </w:tc>
        <w:tc>
          <w:tcPr>
            <w:tcW w:w="929" w:type="pct"/>
            <w:tcBorders>
              <w:top w:val="single" w:sz="4" w:space="0" w:color="auto"/>
              <w:bottom w:val="single" w:sz="4" w:space="0" w:color="auto"/>
            </w:tcBorders>
          </w:tcPr>
          <w:p w14:paraId="3E982113" w14:textId="57D1D5CF" w:rsidR="001A1A11" w:rsidRPr="00E6110F" w:rsidRDefault="001A1A11" w:rsidP="000F2E06">
            <w:pPr>
              <w:pStyle w:val="Body"/>
              <w:keepNext/>
              <w:rPr>
                <w:lang w:val="en-US"/>
              </w:rPr>
            </w:pPr>
            <w:r w:rsidRPr="00E6110F">
              <w:rPr>
                <w:lang w:val="en-US"/>
              </w:rPr>
              <w:t>Engelder et al. 2014</w:t>
            </w:r>
          </w:p>
        </w:tc>
      </w:tr>
      <w:tr w:rsidR="001A1A11" w:rsidRPr="00E6110F" w14:paraId="767681BA" w14:textId="77777777" w:rsidTr="00683E43">
        <w:trPr>
          <w:trHeight w:val="388"/>
          <w:tblHeader/>
        </w:trPr>
        <w:tc>
          <w:tcPr>
            <w:tcW w:w="653" w:type="pct"/>
            <w:vMerge/>
          </w:tcPr>
          <w:p w14:paraId="2FBC16A0" w14:textId="77777777" w:rsidR="001A1A11" w:rsidRPr="00E6110F" w:rsidRDefault="001A1A11" w:rsidP="000F2E06">
            <w:pPr>
              <w:pStyle w:val="Body"/>
              <w:keepNext/>
              <w:spacing w:before="60"/>
            </w:pPr>
          </w:p>
        </w:tc>
        <w:tc>
          <w:tcPr>
            <w:tcW w:w="3418" w:type="pct"/>
            <w:tcBorders>
              <w:top w:val="single" w:sz="4" w:space="0" w:color="auto"/>
              <w:bottom w:val="single" w:sz="4" w:space="0" w:color="auto"/>
            </w:tcBorders>
          </w:tcPr>
          <w:p w14:paraId="5DBCB74A" w14:textId="3A350A73" w:rsidR="001A1A11" w:rsidRPr="00E6110F" w:rsidRDefault="001A1A11" w:rsidP="000F2E06">
            <w:pPr>
              <w:pStyle w:val="Body"/>
              <w:keepNext/>
              <w:spacing w:before="60"/>
            </w:pPr>
            <w:r w:rsidRPr="00E6110F">
              <w:t>The integrity of oil and gas wells</w:t>
            </w:r>
          </w:p>
        </w:tc>
        <w:tc>
          <w:tcPr>
            <w:tcW w:w="929" w:type="pct"/>
            <w:tcBorders>
              <w:top w:val="single" w:sz="4" w:space="0" w:color="auto"/>
              <w:bottom w:val="single" w:sz="4" w:space="0" w:color="auto"/>
            </w:tcBorders>
          </w:tcPr>
          <w:p w14:paraId="2BD07072" w14:textId="078A31FF" w:rsidR="001A1A11" w:rsidRPr="00E6110F" w:rsidRDefault="001A1A11" w:rsidP="000F2E06">
            <w:pPr>
              <w:pStyle w:val="Body"/>
              <w:keepNext/>
              <w:rPr>
                <w:lang w:val="en-US"/>
              </w:rPr>
            </w:pPr>
            <w:r w:rsidRPr="00E6110F">
              <w:rPr>
                <w:lang w:val="en-US"/>
              </w:rPr>
              <w:t>Jackson 2014</w:t>
            </w:r>
          </w:p>
        </w:tc>
      </w:tr>
      <w:tr w:rsidR="001A1A11" w:rsidRPr="00E6110F" w14:paraId="796D8CB4" w14:textId="77777777" w:rsidTr="00683E43">
        <w:trPr>
          <w:trHeight w:val="388"/>
          <w:tblHeader/>
        </w:trPr>
        <w:tc>
          <w:tcPr>
            <w:tcW w:w="653" w:type="pct"/>
            <w:vMerge/>
          </w:tcPr>
          <w:p w14:paraId="56AB21D6" w14:textId="77777777" w:rsidR="001A1A11" w:rsidRPr="00E6110F" w:rsidRDefault="001A1A11" w:rsidP="000F2E06">
            <w:pPr>
              <w:pStyle w:val="Body"/>
              <w:keepNext/>
              <w:spacing w:before="60"/>
            </w:pPr>
          </w:p>
        </w:tc>
        <w:tc>
          <w:tcPr>
            <w:tcW w:w="3418" w:type="pct"/>
            <w:tcBorders>
              <w:top w:val="single" w:sz="4" w:space="0" w:color="auto"/>
              <w:bottom w:val="single" w:sz="4" w:space="0" w:color="auto"/>
            </w:tcBorders>
          </w:tcPr>
          <w:p w14:paraId="7E3DF7DD" w14:textId="063417A5" w:rsidR="001A1A11" w:rsidRPr="00E6110F" w:rsidRDefault="001A1A11" w:rsidP="00EA5B19">
            <w:pPr>
              <w:pStyle w:val="Body"/>
              <w:keepNext/>
              <w:spacing w:before="60"/>
            </w:pPr>
            <w:r w:rsidRPr="00E6110F">
              <w:t>Coal seam gas water: potential hazards and exposure pathways in Queensland</w:t>
            </w:r>
          </w:p>
        </w:tc>
        <w:tc>
          <w:tcPr>
            <w:tcW w:w="929" w:type="pct"/>
            <w:tcBorders>
              <w:top w:val="single" w:sz="4" w:space="0" w:color="auto"/>
              <w:bottom w:val="single" w:sz="4" w:space="0" w:color="auto"/>
            </w:tcBorders>
          </w:tcPr>
          <w:p w14:paraId="2A5AD36C" w14:textId="2B2298DA" w:rsidR="001A1A11" w:rsidRPr="00E6110F" w:rsidRDefault="001A1A11" w:rsidP="000F2E06">
            <w:pPr>
              <w:pStyle w:val="Body"/>
              <w:keepNext/>
              <w:rPr>
                <w:lang w:val="en-US"/>
              </w:rPr>
            </w:pPr>
            <w:r w:rsidRPr="00E6110F">
              <w:rPr>
                <w:lang w:val="en-US"/>
              </w:rPr>
              <w:t>Navi et al. 2015</w:t>
            </w:r>
          </w:p>
        </w:tc>
      </w:tr>
      <w:tr w:rsidR="001A1A11" w:rsidRPr="00E6110F" w14:paraId="3EE50C45" w14:textId="77777777" w:rsidTr="00683E43">
        <w:trPr>
          <w:trHeight w:val="388"/>
          <w:tblHeader/>
        </w:trPr>
        <w:tc>
          <w:tcPr>
            <w:tcW w:w="653" w:type="pct"/>
            <w:vMerge/>
          </w:tcPr>
          <w:p w14:paraId="2BB90999" w14:textId="68648E47" w:rsidR="001A1A11" w:rsidRPr="00E6110F" w:rsidRDefault="001A1A11" w:rsidP="000F2E06">
            <w:pPr>
              <w:pStyle w:val="Body"/>
              <w:keepNext/>
              <w:spacing w:before="60"/>
              <w:rPr>
                <w:i/>
              </w:rPr>
            </w:pPr>
          </w:p>
        </w:tc>
        <w:tc>
          <w:tcPr>
            <w:tcW w:w="3418" w:type="pct"/>
            <w:tcBorders>
              <w:top w:val="single" w:sz="4" w:space="0" w:color="auto"/>
              <w:bottom w:val="single" w:sz="4" w:space="0" w:color="auto"/>
            </w:tcBorders>
          </w:tcPr>
          <w:p w14:paraId="7E244888" w14:textId="47ADB222" w:rsidR="001A1A11" w:rsidRPr="00E6110F" w:rsidRDefault="001A1A11" w:rsidP="000F2E06">
            <w:pPr>
              <w:pStyle w:val="Body"/>
              <w:keepNext/>
              <w:spacing w:before="60"/>
            </w:pPr>
            <w:r w:rsidRPr="00E6110F">
              <w:t>Simulation of the environmental impact of hydraulic fracturing of tight/shale gas reservoirs on near-surface groundwater.</w:t>
            </w:r>
          </w:p>
        </w:tc>
        <w:tc>
          <w:tcPr>
            <w:tcW w:w="929" w:type="pct"/>
            <w:tcBorders>
              <w:top w:val="single" w:sz="4" w:space="0" w:color="auto"/>
              <w:bottom w:val="single" w:sz="4" w:space="0" w:color="auto"/>
            </w:tcBorders>
          </w:tcPr>
          <w:p w14:paraId="7543A385" w14:textId="1B023F29" w:rsidR="001A1A11" w:rsidRPr="00E6110F" w:rsidRDefault="001A1A11" w:rsidP="000F2E06">
            <w:pPr>
              <w:pStyle w:val="Body"/>
              <w:keepNext/>
            </w:pPr>
            <w:r w:rsidRPr="00E6110F">
              <w:rPr>
                <w:lang w:val="en-US"/>
              </w:rPr>
              <w:t>Reagan et al. 2015</w:t>
            </w:r>
            <w:r w:rsidRPr="00E6110F">
              <w:t xml:space="preserve"> </w:t>
            </w:r>
          </w:p>
        </w:tc>
      </w:tr>
      <w:tr w:rsidR="001A1A11" w:rsidRPr="00E6110F" w14:paraId="31123046" w14:textId="77777777" w:rsidTr="00683E43">
        <w:trPr>
          <w:trHeight w:val="387"/>
          <w:tblHeader/>
        </w:trPr>
        <w:tc>
          <w:tcPr>
            <w:tcW w:w="653" w:type="pct"/>
            <w:vMerge/>
          </w:tcPr>
          <w:p w14:paraId="795C0FD9" w14:textId="77777777" w:rsidR="001A1A11" w:rsidRPr="00E6110F" w:rsidRDefault="001A1A11" w:rsidP="000F2E06">
            <w:pPr>
              <w:pStyle w:val="Body"/>
              <w:keepNext/>
              <w:spacing w:before="60"/>
              <w:rPr>
                <w:lang w:val="en-US"/>
              </w:rPr>
            </w:pPr>
          </w:p>
        </w:tc>
        <w:tc>
          <w:tcPr>
            <w:tcW w:w="3418" w:type="pct"/>
            <w:tcBorders>
              <w:top w:val="single" w:sz="4" w:space="0" w:color="auto"/>
              <w:bottom w:val="single" w:sz="4" w:space="0" w:color="auto"/>
            </w:tcBorders>
          </w:tcPr>
          <w:p w14:paraId="5BD8EAB2" w14:textId="1F7B1A1F" w:rsidR="001A1A11" w:rsidRPr="00E6110F" w:rsidRDefault="001A1A11" w:rsidP="00BE3CB9">
            <w:pPr>
              <w:pStyle w:val="Body"/>
              <w:keepNext/>
              <w:spacing w:before="60"/>
            </w:pPr>
            <w:r w:rsidRPr="00E6110F">
              <w:t>Potential impacts of hydraulic fracturing on drinking water resources</w:t>
            </w:r>
            <w:r w:rsidR="00296B19">
              <w:t xml:space="preserve">. </w:t>
            </w:r>
          </w:p>
        </w:tc>
        <w:tc>
          <w:tcPr>
            <w:tcW w:w="929" w:type="pct"/>
            <w:tcBorders>
              <w:top w:val="single" w:sz="4" w:space="0" w:color="auto"/>
              <w:bottom w:val="single" w:sz="4" w:space="0" w:color="auto"/>
            </w:tcBorders>
          </w:tcPr>
          <w:p w14:paraId="2BB09A0A" w14:textId="36A4D969" w:rsidR="001A1A11" w:rsidRPr="00E6110F" w:rsidRDefault="001A1A11" w:rsidP="000F2E06">
            <w:pPr>
              <w:pStyle w:val="Body"/>
              <w:keepNext/>
              <w:rPr>
                <w:lang w:val="en-US"/>
              </w:rPr>
            </w:pPr>
            <w:r w:rsidRPr="00E6110F">
              <w:rPr>
                <w:lang w:val="en-US"/>
              </w:rPr>
              <w:t>US EPA 201</w:t>
            </w:r>
            <w:r w:rsidR="000D3B81">
              <w:rPr>
                <w:lang w:val="en-US"/>
              </w:rPr>
              <w:t>6a</w:t>
            </w:r>
          </w:p>
        </w:tc>
      </w:tr>
      <w:tr w:rsidR="001A1A11" w:rsidRPr="00E6110F" w14:paraId="578F1ABD" w14:textId="77777777" w:rsidTr="00683E43">
        <w:trPr>
          <w:trHeight w:val="387"/>
          <w:tblHeader/>
        </w:trPr>
        <w:tc>
          <w:tcPr>
            <w:tcW w:w="653" w:type="pct"/>
            <w:vMerge/>
          </w:tcPr>
          <w:p w14:paraId="43493DEB" w14:textId="77777777" w:rsidR="001A1A11" w:rsidRPr="00E6110F" w:rsidRDefault="001A1A11" w:rsidP="000F2E06">
            <w:pPr>
              <w:pStyle w:val="Body"/>
              <w:keepNext/>
              <w:spacing w:before="60"/>
              <w:rPr>
                <w:lang w:val="en-US"/>
              </w:rPr>
            </w:pPr>
          </w:p>
        </w:tc>
        <w:tc>
          <w:tcPr>
            <w:tcW w:w="3418" w:type="pct"/>
            <w:tcBorders>
              <w:top w:val="single" w:sz="4" w:space="0" w:color="auto"/>
              <w:bottom w:val="single" w:sz="4" w:space="0" w:color="auto"/>
            </w:tcBorders>
          </w:tcPr>
          <w:p w14:paraId="6BD942E6" w14:textId="33848202" w:rsidR="001A1A11" w:rsidRPr="00E6110F" w:rsidRDefault="001A1A11" w:rsidP="000F2E06">
            <w:pPr>
              <w:pStyle w:val="Body"/>
              <w:keepNext/>
              <w:spacing w:before="60"/>
            </w:pPr>
            <w:r w:rsidRPr="00E6110F">
              <w:t>Bore and well induced inter‐aquifer connectivity: a review of literature on failure mechanisms and conceptualisation of hydrocarbon reservoir‐aquifer failure pathways</w:t>
            </w:r>
          </w:p>
        </w:tc>
        <w:tc>
          <w:tcPr>
            <w:tcW w:w="929" w:type="pct"/>
            <w:tcBorders>
              <w:top w:val="single" w:sz="4" w:space="0" w:color="auto"/>
              <w:bottom w:val="single" w:sz="4" w:space="0" w:color="auto"/>
            </w:tcBorders>
          </w:tcPr>
          <w:p w14:paraId="08E86C4A" w14:textId="2801A5EB" w:rsidR="001A1A11" w:rsidRPr="00E6110F" w:rsidRDefault="001A1A11" w:rsidP="000F2E06">
            <w:pPr>
              <w:pStyle w:val="Body"/>
              <w:keepNext/>
              <w:rPr>
                <w:lang w:val="en-US"/>
              </w:rPr>
            </w:pPr>
            <w:r w:rsidRPr="00E6110F">
              <w:rPr>
                <w:lang w:val="en-US"/>
              </w:rPr>
              <w:t>Wu et al. 2016</w:t>
            </w:r>
          </w:p>
        </w:tc>
      </w:tr>
      <w:tr w:rsidR="001A1A11" w:rsidRPr="00E6110F" w14:paraId="38A2B0D2" w14:textId="77777777" w:rsidTr="00683E43">
        <w:trPr>
          <w:trHeight w:val="387"/>
          <w:tblHeader/>
        </w:trPr>
        <w:tc>
          <w:tcPr>
            <w:tcW w:w="653" w:type="pct"/>
            <w:vMerge/>
          </w:tcPr>
          <w:p w14:paraId="60D1FA4F" w14:textId="77777777" w:rsidR="001A1A11" w:rsidRPr="00E6110F" w:rsidRDefault="001A1A11" w:rsidP="000F2E06">
            <w:pPr>
              <w:pStyle w:val="Body"/>
              <w:keepNext/>
              <w:spacing w:before="60"/>
              <w:rPr>
                <w:lang w:val="en-US"/>
              </w:rPr>
            </w:pPr>
          </w:p>
        </w:tc>
        <w:tc>
          <w:tcPr>
            <w:tcW w:w="3418" w:type="pct"/>
            <w:tcBorders>
              <w:top w:val="single" w:sz="4" w:space="0" w:color="auto"/>
              <w:bottom w:val="single" w:sz="4" w:space="0" w:color="auto"/>
            </w:tcBorders>
          </w:tcPr>
          <w:p w14:paraId="727C909F" w14:textId="54663E28" w:rsidR="001A1A11" w:rsidRPr="00E6110F" w:rsidRDefault="001A1A11" w:rsidP="000F2E06">
            <w:pPr>
              <w:pStyle w:val="Body"/>
              <w:keepNext/>
              <w:spacing w:before="60"/>
            </w:pPr>
            <w:r w:rsidRPr="00E6110F">
              <w:t>Onshore gas well integrity in Queensland, Australia</w:t>
            </w:r>
          </w:p>
        </w:tc>
        <w:tc>
          <w:tcPr>
            <w:tcW w:w="929" w:type="pct"/>
            <w:tcBorders>
              <w:top w:val="single" w:sz="4" w:space="0" w:color="auto"/>
              <w:bottom w:val="single" w:sz="4" w:space="0" w:color="auto"/>
            </w:tcBorders>
          </w:tcPr>
          <w:p w14:paraId="2FC5217E" w14:textId="71B0DC23" w:rsidR="001A1A11" w:rsidRPr="00E6110F" w:rsidRDefault="001A1A11" w:rsidP="000F2E06">
            <w:pPr>
              <w:pStyle w:val="Body"/>
              <w:keepNext/>
              <w:rPr>
                <w:lang w:val="en-US"/>
              </w:rPr>
            </w:pPr>
            <w:r w:rsidRPr="00E6110F">
              <w:rPr>
                <w:lang w:val="en-US"/>
              </w:rPr>
              <w:t xml:space="preserve">GasFields Commission </w:t>
            </w:r>
            <w:r w:rsidR="00561467" w:rsidRPr="00E6110F">
              <w:rPr>
                <w:lang w:val="en-US"/>
              </w:rPr>
              <w:t xml:space="preserve">Queensland </w:t>
            </w:r>
            <w:r w:rsidRPr="00E6110F">
              <w:rPr>
                <w:lang w:val="en-US"/>
              </w:rPr>
              <w:t>2015</w:t>
            </w:r>
          </w:p>
        </w:tc>
      </w:tr>
      <w:tr w:rsidR="00397106" w:rsidRPr="00E6110F" w14:paraId="683AC7B2" w14:textId="77777777" w:rsidTr="00683E43">
        <w:trPr>
          <w:trHeight w:val="387"/>
          <w:tblHeader/>
        </w:trPr>
        <w:tc>
          <w:tcPr>
            <w:tcW w:w="653" w:type="pct"/>
            <w:vMerge/>
            <w:tcBorders>
              <w:bottom w:val="single" w:sz="4" w:space="0" w:color="auto"/>
            </w:tcBorders>
          </w:tcPr>
          <w:p w14:paraId="6802DF07" w14:textId="77777777" w:rsidR="00397106" w:rsidRPr="00E6110F" w:rsidRDefault="00397106" w:rsidP="000F2E06">
            <w:pPr>
              <w:pStyle w:val="Body"/>
              <w:keepNext/>
              <w:spacing w:before="60"/>
              <w:rPr>
                <w:lang w:val="en-US"/>
              </w:rPr>
            </w:pPr>
          </w:p>
        </w:tc>
        <w:tc>
          <w:tcPr>
            <w:tcW w:w="3418" w:type="pct"/>
            <w:tcBorders>
              <w:top w:val="single" w:sz="4" w:space="0" w:color="auto"/>
              <w:bottom w:val="single" w:sz="4" w:space="0" w:color="auto"/>
            </w:tcBorders>
          </w:tcPr>
          <w:p w14:paraId="5132F25F" w14:textId="5E1F4D8A" w:rsidR="00397106" w:rsidRPr="00E6110F" w:rsidRDefault="00397106" w:rsidP="004D4D9D">
            <w:pPr>
              <w:pStyle w:val="Body"/>
              <w:keepNext/>
              <w:spacing w:before="60"/>
            </w:pPr>
            <w:r w:rsidRPr="00E6110F">
              <w:t>Simulation of loss of fluid from a hydraulic fracture into an aquifer</w:t>
            </w:r>
          </w:p>
        </w:tc>
        <w:tc>
          <w:tcPr>
            <w:tcW w:w="929" w:type="pct"/>
            <w:tcBorders>
              <w:top w:val="single" w:sz="4" w:space="0" w:color="auto"/>
              <w:bottom w:val="single" w:sz="4" w:space="0" w:color="auto"/>
            </w:tcBorders>
          </w:tcPr>
          <w:p w14:paraId="2A8916C2" w14:textId="3938B047" w:rsidR="00397106" w:rsidRPr="00E6110F" w:rsidRDefault="00397106" w:rsidP="00914462">
            <w:pPr>
              <w:pStyle w:val="Body"/>
              <w:keepNext/>
              <w:rPr>
                <w:lang w:val="en-US"/>
              </w:rPr>
            </w:pPr>
            <w:r>
              <w:rPr>
                <w:lang w:val="en-US"/>
              </w:rPr>
              <w:t>Jeffrey et al. 201</w:t>
            </w:r>
            <w:r w:rsidR="00914462">
              <w:rPr>
                <w:lang w:val="en-US"/>
              </w:rPr>
              <w:t>7</w:t>
            </w:r>
            <w:r>
              <w:rPr>
                <w:lang w:val="en-US"/>
              </w:rPr>
              <w:t>a</w:t>
            </w:r>
          </w:p>
        </w:tc>
      </w:tr>
      <w:tr w:rsidR="00397106" w:rsidRPr="00E6110F" w14:paraId="1B5F99BE" w14:textId="77777777" w:rsidTr="00683E43">
        <w:trPr>
          <w:trHeight w:val="387"/>
          <w:tblHeader/>
        </w:trPr>
        <w:tc>
          <w:tcPr>
            <w:tcW w:w="653" w:type="pct"/>
            <w:vMerge/>
            <w:tcBorders>
              <w:bottom w:val="single" w:sz="4" w:space="0" w:color="auto"/>
            </w:tcBorders>
          </w:tcPr>
          <w:p w14:paraId="1CCE28F0" w14:textId="77777777" w:rsidR="00397106" w:rsidRPr="00E6110F" w:rsidRDefault="00397106" w:rsidP="000F2E06">
            <w:pPr>
              <w:pStyle w:val="Body"/>
              <w:keepNext/>
              <w:spacing w:before="60"/>
              <w:rPr>
                <w:lang w:val="en-US"/>
              </w:rPr>
            </w:pPr>
          </w:p>
        </w:tc>
        <w:tc>
          <w:tcPr>
            <w:tcW w:w="3418" w:type="pct"/>
            <w:tcBorders>
              <w:top w:val="single" w:sz="4" w:space="0" w:color="auto"/>
              <w:bottom w:val="single" w:sz="4" w:space="0" w:color="auto"/>
            </w:tcBorders>
          </w:tcPr>
          <w:p w14:paraId="2C05513C" w14:textId="6F8499B3" w:rsidR="00397106" w:rsidRPr="00E6110F" w:rsidRDefault="00397106" w:rsidP="004D4D9D">
            <w:pPr>
              <w:pStyle w:val="Body"/>
              <w:keepNext/>
              <w:spacing w:before="60"/>
            </w:pPr>
            <w:r w:rsidRPr="00E6110F">
              <w:t>Literature review for coal seam gas hydraulic fracture growth and well integrity</w:t>
            </w:r>
          </w:p>
        </w:tc>
        <w:tc>
          <w:tcPr>
            <w:tcW w:w="929" w:type="pct"/>
            <w:tcBorders>
              <w:top w:val="single" w:sz="4" w:space="0" w:color="auto"/>
              <w:bottom w:val="single" w:sz="4" w:space="0" w:color="auto"/>
            </w:tcBorders>
          </w:tcPr>
          <w:p w14:paraId="630A40AA" w14:textId="4ECF57FA" w:rsidR="00397106" w:rsidRDefault="00397106" w:rsidP="00914462">
            <w:pPr>
              <w:pStyle w:val="Body"/>
              <w:keepNext/>
              <w:rPr>
                <w:lang w:val="en-US"/>
              </w:rPr>
            </w:pPr>
            <w:r>
              <w:rPr>
                <w:lang w:val="en-US"/>
              </w:rPr>
              <w:t>Jeffrey et al. 201</w:t>
            </w:r>
            <w:r w:rsidR="00914462">
              <w:rPr>
                <w:lang w:val="en-US"/>
              </w:rPr>
              <w:t>7</w:t>
            </w:r>
            <w:r>
              <w:rPr>
                <w:lang w:val="en-US"/>
              </w:rPr>
              <w:t>b</w:t>
            </w:r>
          </w:p>
        </w:tc>
      </w:tr>
      <w:tr w:rsidR="006C3E1E" w:rsidRPr="00E6110F" w14:paraId="53BBB73E" w14:textId="77777777" w:rsidTr="00683E43">
        <w:trPr>
          <w:trHeight w:val="387"/>
          <w:tblHeader/>
        </w:trPr>
        <w:tc>
          <w:tcPr>
            <w:tcW w:w="653" w:type="pct"/>
            <w:vMerge/>
            <w:tcBorders>
              <w:bottom w:val="single" w:sz="4" w:space="0" w:color="auto"/>
            </w:tcBorders>
          </w:tcPr>
          <w:p w14:paraId="0E5A9451" w14:textId="77777777" w:rsidR="006C3E1E" w:rsidRPr="00E6110F" w:rsidRDefault="006C3E1E" w:rsidP="000F2E06">
            <w:pPr>
              <w:pStyle w:val="Body"/>
              <w:keepNext/>
              <w:spacing w:before="60"/>
              <w:rPr>
                <w:lang w:val="en-US"/>
              </w:rPr>
            </w:pPr>
          </w:p>
        </w:tc>
        <w:tc>
          <w:tcPr>
            <w:tcW w:w="3418" w:type="pct"/>
            <w:tcBorders>
              <w:top w:val="single" w:sz="4" w:space="0" w:color="auto"/>
              <w:bottom w:val="single" w:sz="4" w:space="0" w:color="auto"/>
            </w:tcBorders>
          </w:tcPr>
          <w:p w14:paraId="43F89AE7" w14:textId="4C4700DC" w:rsidR="006C3E1E" w:rsidRPr="00E6110F" w:rsidRDefault="006C3E1E" w:rsidP="004D4D9D">
            <w:pPr>
              <w:pStyle w:val="Body"/>
              <w:keepNext/>
              <w:spacing w:before="60"/>
            </w:pPr>
            <w:r w:rsidRPr="00E6110F">
              <w:t>The geometry of a hydraulic fracture growing along a wellbore annulus</w:t>
            </w:r>
          </w:p>
        </w:tc>
        <w:tc>
          <w:tcPr>
            <w:tcW w:w="929" w:type="pct"/>
            <w:tcBorders>
              <w:top w:val="single" w:sz="4" w:space="0" w:color="auto"/>
              <w:bottom w:val="single" w:sz="4" w:space="0" w:color="auto"/>
            </w:tcBorders>
          </w:tcPr>
          <w:p w14:paraId="335B6197" w14:textId="17A22B5C" w:rsidR="006C3E1E" w:rsidRDefault="006C3E1E" w:rsidP="000F2E06">
            <w:pPr>
              <w:pStyle w:val="Body"/>
              <w:keepNext/>
              <w:rPr>
                <w:lang w:val="en-US"/>
              </w:rPr>
            </w:pPr>
            <w:r>
              <w:rPr>
                <w:lang w:val="en-US"/>
              </w:rPr>
              <w:t>Bunger et al. (2010)</w:t>
            </w:r>
          </w:p>
        </w:tc>
      </w:tr>
      <w:tr w:rsidR="008D0787" w:rsidRPr="00E6110F" w14:paraId="66AC8F3C" w14:textId="77777777" w:rsidTr="00683E43">
        <w:trPr>
          <w:trHeight w:val="387"/>
          <w:tblHeader/>
        </w:trPr>
        <w:tc>
          <w:tcPr>
            <w:tcW w:w="653" w:type="pct"/>
            <w:vMerge/>
            <w:tcBorders>
              <w:bottom w:val="single" w:sz="4" w:space="0" w:color="auto"/>
            </w:tcBorders>
          </w:tcPr>
          <w:p w14:paraId="4EF704CE" w14:textId="77777777" w:rsidR="008D0787" w:rsidRPr="00E6110F" w:rsidRDefault="008D0787" w:rsidP="000F2E06">
            <w:pPr>
              <w:pStyle w:val="Body"/>
              <w:keepNext/>
              <w:spacing w:before="60"/>
              <w:rPr>
                <w:lang w:val="en-US"/>
              </w:rPr>
            </w:pPr>
          </w:p>
        </w:tc>
        <w:tc>
          <w:tcPr>
            <w:tcW w:w="3418" w:type="pct"/>
            <w:tcBorders>
              <w:top w:val="single" w:sz="4" w:space="0" w:color="auto"/>
              <w:bottom w:val="single" w:sz="4" w:space="0" w:color="auto"/>
            </w:tcBorders>
          </w:tcPr>
          <w:p w14:paraId="75802B9F" w14:textId="67469BC5" w:rsidR="008D0787" w:rsidRPr="00E6110F" w:rsidRDefault="008D0787" w:rsidP="004D4D9D">
            <w:pPr>
              <w:pStyle w:val="Body"/>
              <w:keepNext/>
              <w:spacing w:before="60"/>
            </w:pPr>
            <w:r w:rsidRPr="00BE5695">
              <w:t>Evaluating Hydraulic Fracture Effectiveness in a Coal Seam Gas Reservoir from Surface Tiltmeter and Microseismic Monitoring</w:t>
            </w:r>
          </w:p>
        </w:tc>
        <w:tc>
          <w:tcPr>
            <w:tcW w:w="929" w:type="pct"/>
            <w:tcBorders>
              <w:top w:val="single" w:sz="4" w:space="0" w:color="auto"/>
              <w:bottom w:val="single" w:sz="4" w:space="0" w:color="auto"/>
            </w:tcBorders>
          </w:tcPr>
          <w:p w14:paraId="51167C54" w14:textId="206272FB" w:rsidR="008D0787" w:rsidRDefault="008D0787" w:rsidP="000F2E06">
            <w:pPr>
              <w:pStyle w:val="Body"/>
              <w:keepNext/>
              <w:rPr>
                <w:lang w:val="en-US"/>
              </w:rPr>
            </w:pPr>
            <w:r>
              <w:rPr>
                <w:lang w:val="en-US"/>
              </w:rPr>
              <w:t>Johnson et al. (2010)</w:t>
            </w:r>
          </w:p>
        </w:tc>
      </w:tr>
      <w:tr w:rsidR="009B16E0" w:rsidRPr="00E6110F" w14:paraId="6690F21B" w14:textId="77777777" w:rsidTr="00683E43">
        <w:trPr>
          <w:trHeight w:val="387"/>
          <w:tblHeader/>
        </w:trPr>
        <w:tc>
          <w:tcPr>
            <w:tcW w:w="653" w:type="pct"/>
            <w:vMerge/>
            <w:tcBorders>
              <w:bottom w:val="single" w:sz="4" w:space="0" w:color="auto"/>
            </w:tcBorders>
          </w:tcPr>
          <w:p w14:paraId="1FC12CA9" w14:textId="77777777" w:rsidR="009B16E0" w:rsidRPr="00E6110F" w:rsidRDefault="009B16E0" w:rsidP="000F2E06">
            <w:pPr>
              <w:pStyle w:val="Body"/>
              <w:keepNext/>
              <w:spacing w:before="60"/>
              <w:rPr>
                <w:lang w:val="en-US"/>
              </w:rPr>
            </w:pPr>
          </w:p>
        </w:tc>
        <w:tc>
          <w:tcPr>
            <w:tcW w:w="3418" w:type="pct"/>
            <w:tcBorders>
              <w:top w:val="single" w:sz="4" w:space="0" w:color="auto"/>
              <w:bottom w:val="single" w:sz="4" w:space="0" w:color="auto"/>
            </w:tcBorders>
          </w:tcPr>
          <w:p w14:paraId="50DB08F0" w14:textId="61A4E287" w:rsidR="009B16E0" w:rsidRPr="00E6110F" w:rsidRDefault="009B16E0" w:rsidP="004D4D9D">
            <w:pPr>
              <w:pStyle w:val="Body"/>
              <w:keepNext/>
              <w:spacing w:before="60"/>
            </w:pPr>
            <w:r w:rsidRPr="00E6110F">
              <w:t>Hydraulic fracturing in faulted sedimentary basins: Numerical simulation of potential contamination of shallow aquifers over long time scales</w:t>
            </w:r>
          </w:p>
        </w:tc>
        <w:tc>
          <w:tcPr>
            <w:tcW w:w="929" w:type="pct"/>
            <w:tcBorders>
              <w:top w:val="single" w:sz="4" w:space="0" w:color="auto"/>
              <w:bottom w:val="single" w:sz="4" w:space="0" w:color="auto"/>
            </w:tcBorders>
          </w:tcPr>
          <w:p w14:paraId="7DF2CC34" w14:textId="0D934464" w:rsidR="009B16E0" w:rsidRPr="00E6110F" w:rsidRDefault="009B16E0" w:rsidP="000F2E06">
            <w:pPr>
              <w:pStyle w:val="Body"/>
              <w:keepNext/>
              <w:rPr>
                <w:lang w:val="en-US"/>
              </w:rPr>
            </w:pPr>
            <w:r>
              <w:rPr>
                <w:lang w:val="en-US"/>
              </w:rPr>
              <w:t>Gassiat et al. (2013)</w:t>
            </w:r>
          </w:p>
        </w:tc>
      </w:tr>
      <w:tr w:rsidR="001A1A11" w:rsidRPr="00E6110F" w14:paraId="2D67D298" w14:textId="77777777" w:rsidTr="00683E43">
        <w:trPr>
          <w:trHeight w:val="387"/>
          <w:tblHeader/>
        </w:trPr>
        <w:tc>
          <w:tcPr>
            <w:tcW w:w="653" w:type="pct"/>
            <w:vMerge/>
            <w:tcBorders>
              <w:bottom w:val="single" w:sz="4" w:space="0" w:color="auto"/>
            </w:tcBorders>
          </w:tcPr>
          <w:p w14:paraId="2140B304" w14:textId="77777777" w:rsidR="001A1A11" w:rsidRPr="00E6110F" w:rsidRDefault="001A1A11" w:rsidP="000F2E06">
            <w:pPr>
              <w:pStyle w:val="Body"/>
              <w:keepNext/>
              <w:spacing w:before="60"/>
              <w:rPr>
                <w:lang w:val="en-US"/>
              </w:rPr>
            </w:pPr>
          </w:p>
        </w:tc>
        <w:tc>
          <w:tcPr>
            <w:tcW w:w="3418" w:type="pct"/>
            <w:tcBorders>
              <w:top w:val="single" w:sz="4" w:space="0" w:color="auto"/>
              <w:bottom w:val="single" w:sz="4" w:space="0" w:color="auto"/>
            </w:tcBorders>
          </w:tcPr>
          <w:p w14:paraId="4A20605E" w14:textId="3F474B22" w:rsidR="001A1A11" w:rsidRPr="00E6110F" w:rsidRDefault="001A1A11" w:rsidP="004D4D9D">
            <w:pPr>
              <w:pStyle w:val="Body"/>
              <w:keepNext/>
              <w:spacing w:before="60"/>
            </w:pPr>
            <w:r w:rsidRPr="00E6110F">
              <w:t xml:space="preserve">Deep groundwater contamination risk from hydraulic fracturing considering current industry practice </w:t>
            </w:r>
          </w:p>
        </w:tc>
        <w:tc>
          <w:tcPr>
            <w:tcW w:w="929" w:type="pct"/>
            <w:tcBorders>
              <w:top w:val="single" w:sz="4" w:space="0" w:color="auto"/>
              <w:bottom w:val="single" w:sz="4" w:space="0" w:color="auto"/>
            </w:tcBorders>
          </w:tcPr>
          <w:p w14:paraId="571DCDAA" w14:textId="6A546F01" w:rsidR="001A1A11" w:rsidRPr="00E6110F" w:rsidRDefault="001A1A11" w:rsidP="0064625A">
            <w:pPr>
              <w:pStyle w:val="Body"/>
              <w:keepNext/>
              <w:rPr>
                <w:lang w:val="en-US"/>
              </w:rPr>
            </w:pPr>
            <w:r w:rsidRPr="00E6110F">
              <w:rPr>
                <w:lang w:val="en-US"/>
              </w:rPr>
              <w:t xml:space="preserve">This report, Appendix </w:t>
            </w:r>
            <w:r w:rsidR="0064625A">
              <w:rPr>
                <w:lang w:val="en-US"/>
              </w:rPr>
              <w:t>7</w:t>
            </w:r>
          </w:p>
        </w:tc>
      </w:tr>
      <w:tr w:rsidR="00D64C0F" w:rsidRPr="00E6110F" w14:paraId="3FA3CC2F" w14:textId="77777777" w:rsidTr="00683E43">
        <w:trPr>
          <w:trHeight w:val="245"/>
          <w:tblHeader/>
        </w:trPr>
        <w:tc>
          <w:tcPr>
            <w:tcW w:w="653" w:type="pct"/>
            <w:vMerge w:val="restart"/>
            <w:tcBorders>
              <w:top w:val="single" w:sz="4" w:space="0" w:color="auto"/>
            </w:tcBorders>
          </w:tcPr>
          <w:p w14:paraId="344323FC" w14:textId="77777777" w:rsidR="00D64C0F" w:rsidRPr="00E6110F" w:rsidRDefault="00D64C0F" w:rsidP="000F2E06">
            <w:pPr>
              <w:pStyle w:val="Body"/>
              <w:keepNext/>
              <w:rPr>
                <w:i/>
              </w:rPr>
            </w:pPr>
            <w:r w:rsidRPr="00E6110F">
              <w:rPr>
                <w:lang w:val="en-US"/>
              </w:rPr>
              <w:t>Exposure assessments</w:t>
            </w:r>
            <w:r w:rsidRPr="00E6110F">
              <w:t xml:space="preserve"> </w:t>
            </w:r>
          </w:p>
        </w:tc>
        <w:tc>
          <w:tcPr>
            <w:tcW w:w="3418" w:type="pct"/>
            <w:tcBorders>
              <w:top w:val="single" w:sz="4" w:space="0" w:color="auto"/>
              <w:bottom w:val="single" w:sz="4" w:space="0" w:color="auto"/>
            </w:tcBorders>
          </w:tcPr>
          <w:p w14:paraId="43AD1ECC" w14:textId="559208EB" w:rsidR="00D64C0F" w:rsidRPr="00E6110F" w:rsidRDefault="00D64C0F" w:rsidP="000F2E06">
            <w:pPr>
              <w:pStyle w:val="Body"/>
              <w:keepNext/>
            </w:pPr>
            <w:r w:rsidRPr="00E6110F">
              <w:t>Assessment of safe setback distances for the public in case of explosions, radiant heat, toxic gas clouds, and air pollution from hydraulic fracturing</w:t>
            </w:r>
          </w:p>
        </w:tc>
        <w:tc>
          <w:tcPr>
            <w:tcW w:w="929" w:type="pct"/>
            <w:tcBorders>
              <w:top w:val="single" w:sz="4" w:space="0" w:color="auto"/>
              <w:bottom w:val="single" w:sz="4" w:space="0" w:color="auto"/>
            </w:tcBorders>
          </w:tcPr>
          <w:p w14:paraId="63835013" w14:textId="2C3D9970" w:rsidR="00D64C0F" w:rsidRPr="00E6110F" w:rsidRDefault="00D64C0F" w:rsidP="000F2E06">
            <w:pPr>
              <w:pStyle w:val="Body"/>
              <w:keepNext/>
            </w:pPr>
            <w:r w:rsidRPr="00E6110F">
              <w:rPr>
                <w:lang w:val="en-US"/>
              </w:rPr>
              <w:t xml:space="preserve">Haley et al. 2016 </w:t>
            </w:r>
          </w:p>
        </w:tc>
      </w:tr>
      <w:tr w:rsidR="00D64C0F" w:rsidRPr="00E6110F" w14:paraId="1323A0C9" w14:textId="77777777" w:rsidTr="00683E43">
        <w:trPr>
          <w:trHeight w:val="245"/>
          <w:tblHeader/>
        </w:trPr>
        <w:tc>
          <w:tcPr>
            <w:tcW w:w="653" w:type="pct"/>
            <w:vMerge/>
          </w:tcPr>
          <w:p w14:paraId="083A56BF"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411E8E8A" w14:textId="38A5B253" w:rsidR="00D64C0F" w:rsidRPr="00E6110F" w:rsidRDefault="00D64C0F" w:rsidP="000F2E06">
            <w:pPr>
              <w:pStyle w:val="Body"/>
              <w:keepNext/>
            </w:pPr>
            <w:r w:rsidRPr="00E6110F">
              <w:t xml:space="preserve">Environmental risk assessment involving issues identification, hazard and exposure assessment, and risk characterisation </w:t>
            </w:r>
          </w:p>
        </w:tc>
        <w:tc>
          <w:tcPr>
            <w:tcW w:w="929" w:type="pct"/>
            <w:tcBorders>
              <w:top w:val="single" w:sz="4" w:space="0" w:color="auto"/>
              <w:bottom w:val="single" w:sz="4" w:space="0" w:color="auto"/>
            </w:tcBorders>
          </w:tcPr>
          <w:p w14:paraId="4C4F23F7" w14:textId="3063F4EA" w:rsidR="00D64C0F" w:rsidRPr="00E6110F" w:rsidRDefault="00D64C0F" w:rsidP="000F2E06">
            <w:pPr>
              <w:pStyle w:val="Body"/>
              <w:keepNext/>
              <w:rPr>
                <w:lang w:val="en-US"/>
              </w:rPr>
            </w:pPr>
            <w:r w:rsidRPr="00E6110F">
              <w:rPr>
                <w:lang w:val="en-US"/>
              </w:rPr>
              <w:t xml:space="preserve">QGC 2012 </w:t>
            </w:r>
          </w:p>
        </w:tc>
      </w:tr>
      <w:tr w:rsidR="00D64C0F" w:rsidRPr="00E6110F" w14:paraId="54D0790A" w14:textId="77777777" w:rsidTr="00683E43">
        <w:trPr>
          <w:trHeight w:val="245"/>
          <w:tblHeader/>
        </w:trPr>
        <w:tc>
          <w:tcPr>
            <w:tcW w:w="653" w:type="pct"/>
            <w:vMerge/>
          </w:tcPr>
          <w:p w14:paraId="58DC01A1"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0B3769B0" w14:textId="2BEB98C9" w:rsidR="00D64C0F" w:rsidRPr="00E6110F" w:rsidRDefault="00D64C0F" w:rsidP="000F2E06">
            <w:pPr>
              <w:pStyle w:val="Body"/>
              <w:keepNext/>
              <w:rPr>
                <w:i/>
              </w:rPr>
            </w:pPr>
            <w:r w:rsidRPr="00E6110F">
              <w:t>Qualitative hazard assessment and quantitative risk assessment of hydraulic fracturing fluids</w:t>
            </w:r>
          </w:p>
        </w:tc>
        <w:tc>
          <w:tcPr>
            <w:tcW w:w="929" w:type="pct"/>
            <w:tcBorders>
              <w:top w:val="single" w:sz="4" w:space="0" w:color="auto"/>
              <w:bottom w:val="single" w:sz="4" w:space="0" w:color="auto"/>
            </w:tcBorders>
          </w:tcPr>
          <w:p w14:paraId="67DE4380" w14:textId="5FE75462" w:rsidR="00D64C0F" w:rsidRPr="00E6110F" w:rsidRDefault="00D64C0F" w:rsidP="000F2E06">
            <w:pPr>
              <w:pStyle w:val="Body"/>
              <w:keepNext/>
              <w:rPr>
                <w:lang w:val="en-US"/>
              </w:rPr>
            </w:pPr>
            <w:r w:rsidRPr="00E6110F">
              <w:rPr>
                <w:lang w:val="en-US"/>
              </w:rPr>
              <w:t>Santos 2014</w:t>
            </w:r>
          </w:p>
        </w:tc>
      </w:tr>
      <w:tr w:rsidR="00D64C0F" w:rsidRPr="00E6110F" w14:paraId="78CAF00F" w14:textId="77777777" w:rsidTr="00683E43">
        <w:trPr>
          <w:trHeight w:val="245"/>
          <w:tblHeader/>
        </w:trPr>
        <w:tc>
          <w:tcPr>
            <w:tcW w:w="653" w:type="pct"/>
            <w:vMerge/>
          </w:tcPr>
          <w:p w14:paraId="28900F4E" w14:textId="77777777" w:rsidR="00D64C0F" w:rsidRPr="00E6110F" w:rsidRDefault="00D64C0F" w:rsidP="000F2E06">
            <w:pPr>
              <w:pStyle w:val="Body"/>
              <w:keepNext/>
              <w:rPr>
                <w:lang w:val="en-US"/>
              </w:rPr>
            </w:pPr>
          </w:p>
        </w:tc>
        <w:tc>
          <w:tcPr>
            <w:tcW w:w="3418" w:type="pct"/>
            <w:tcBorders>
              <w:bottom w:val="single" w:sz="4" w:space="0" w:color="auto"/>
            </w:tcBorders>
          </w:tcPr>
          <w:p w14:paraId="39A7DB02" w14:textId="348FB2D7" w:rsidR="00D64C0F" w:rsidRPr="00E6110F" w:rsidRDefault="00D64C0F" w:rsidP="000F2E06">
            <w:pPr>
              <w:pStyle w:val="Body"/>
              <w:keepNext/>
            </w:pPr>
            <w:r w:rsidRPr="00E6110F">
              <w:t>Synthesis of available scientific literature and data to assess the potential for hydraulic fracturing for oil and gas to change the quality or quantity of drinking water resources</w:t>
            </w:r>
          </w:p>
        </w:tc>
        <w:tc>
          <w:tcPr>
            <w:tcW w:w="929" w:type="pct"/>
            <w:tcBorders>
              <w:top w:val="single" w:sz="4" w:space="0" w:color="auto"/>
              <w:bottom w:val="single" w:sz="4" w:space="0" w:color="auto"/>
            </w:tcBorders>
          </w:tcPr>
          <w:p w14:paraId="7789B3FD" w14:textId="367B4A07" w:rsidR="00D64C0F" w:rsidRPr="00E6110F" w:rsidRDefault="00D64C0F" w:rsidP="000F2E06">
            <w:pPr>
              <w:pStyle w:val="Body"/>
              <w:keepNext/>
              <w:rPr>
                <w:lang w:val="en-US"/>
              </w:rPr>
            </w:pPr>
            <w:r w:rsidRPr="00E6110F">
              <w:rPr>
                <w:lang w:val="en-US"/>
              </w:rPr>
              <w:t>US EPA 201</w:t>
            </w:r>
            <w:r w:rsidR="000D3B81">
              <w:rPr>
                <w:lang w:val="en-US"/>
              </w:rPr>
              <w:t>6a</w:t>
            </w:r>
          </w:p>
        </w:tc>
      </w:tr>
      <w:tr w:rsidR="00D64C0F" w:rsidRPr="00E6110F" w14:paraId="3236E6C7" w14:textId="77777777" w:rsidTr="00683E43">
        <w:trPr>
          <w:trHeight w:val="245"/>
          <w:tblHeader/>
        </w:trPr>
        <w:tc>
          <w:tcPr>
            <w:tcW w:w="653" w:type="pct"/>
            <w:vMerge/>
          </w:tcPr>
          <w:p w14:paraId="3F4B6626" w14:textId="77777777" w:rsidR="00D64C0F" w:rsidRPr="00E6110F" w:rsidRDefault="00D64C0F" w:rsidP="000F2E06">
            <w:pPr>
              <w:pStyle w:val="Body"/>
              <w:keepNext/>
              <w:rPr>
                <w:lang w:val="en-US"/>
              </w:rPr>
            </w:pPr>
          </w:p>
        </w:tc>
        <w:tc>
          <w:tcPr>
            <w:tcW w:w="3418" w:type="pct"/>
            <w:tcBorders>
              <w:bottom w:val="single" w:sz="4" w:space="0" w:color="auto"/>
            </w:tcBorders>
          </w:tcPr>
          <w:p w14:paraId="4A9AA87B" w14:textId="7F402BF8" w:rsidR="00D64C0F" w:rsidRPr="00E6110F" w:rsidRDefault="00D64C0F" w:rsidP="000F2E06">
            <w:pPr>
              <w:pStyle w:val="Body"/>
              <w:keepNext/>
            </w:pPr>
            <w:r w:rsidRPr="00E6110F">
              <w:t>Hydraulic fracturing in unconventional gas reservoirs: Risks in the geological system</w:t>
            </w:r>
          </w:p>
        </w:tc>
        <w:tc>
          <w:tcPr>
            <w:tcW w:w="929" w:type="pct"/>
            <w:tcBorders>
              <w:top w:val="single" w:sz="4" w:space="0" w:color="auto"/>
              <w:bottom w:val="single" w:sz="4" w:space="0" w:color="auto"/>
            </w:tcBorders>
          </w:tcPr>
          <w:p w14:paraId="2A3E4702" w14:textId="498F1E4F" w:rsidR="00D64C0F" w:rsidRPr="00E6110F" w:rsidRDefault="00D64C0F" w:rsidP="000F2E06">
            <w:pPr>
              <w:pStyle w:val="Body"/>
              <w:keepNext/>
              <w:rPr>
                <w:lang w:val="en-US"/>
              </w:rPr>
            </w:pPr>
            <w:r>
              <w:rPr>
                <w:lang w:val="en-US"/>
              </w:rPr>
              <w:t>Kissinger et al. (2013)</w:t>
            </w:r>
          </w:p>
        </w:tc>
      </w:tr>
      <w:tr w:rsidR="00D64C0F" w:rsidRPr="00E6110F" w14:paraId="64B90A42" w14:textId="77777777" w:rsidTr="00683E43">
        <w:trPr>
          <w:trHeight w:val="245"/>
          <w:tblHeader/>
        </w:trPr>
        <w:tc>
          <w:tcPr>
            <w:tcW w:w="653" w:type="pct"/>
            <w:vMerge/>
          </w:tcPr>
          <w:p w14:paraId="0FCC7452" w14:textId="77777777" w:rsidR="00D64C0F" w:rsidRPr="00E6110F" w:rsidRDefault="00D64C0F" w:rsidP="000F2E06">
            <w:pPr>
              <w:pStyle w:val="Body"/>
              <w:keepNext/>
              <w:rPr>
                <w:lang w:val="en-US"/>
              </w:rPr>
            </w:pPr>
          </w:p>
        </w:tc>
        <w:tc>
          <w:tcPr>
            <w:tcW w:w="3418" w:type="pct"/>
            <w:tcBorders>
              <w:bottom w:val="single" w:sz="4" w:space="0" w:color="auto"/>
            </w:tcBorders>
          </w:tcPr>
          <w:p w14:paraId="319733C6" w14:textId="5347D632" w:rsidR="00D64C0F" w:rsidRPr="00E6110F" w:rsidRDefault="00D64C0F" w:rsidP="00C81D31">
            <w:pPr>
              <w:pStyle w:val="Body"/>
              <w:keepNext/>
            </w:pPr>
            <w:r w:rsidRPr="00E6110F">
              <w:t>Coal seam gas water: potential hazards and exposure pathways in Queensland </w:t>
            </w:r>
          </w:p>
        </w:tc>
        <w:tc>
          <w:tcPr>
            <w:tcW w:w="929" w:type="pct"/>
            <w:tcBorders>
              <w:top w:val="single" w:sz="4" w:space="0" w:color="auto"/>
              <w:bottom w:val="single" w:sz="4" w:space="0" w:color="auto"/>
            </w:tcBorders>
          </w:tcPr>
          <w:p w14:paraId="10A9FF6F" w14:textId="67803983" w:rsidR="00D64C0F" w:rsidRDefault="00D64C0F" w:rsidP="00C81D31">
            <w:pPr>
              <w:pStyle w:val="Body"/>
              <w:keepNext/>
              <w:rPr>
                <w:lang w:val="en-US"/>
              </w:rPr>
            </w:pPr>
            <w:r>
              <w:rPr>
                <w:lang w:val="en-US"/>
              </w:rPr>
              <w:t>Navi et al. (201</w:t>
            </w:r>
            <w:r w:rsidR="00C81D31">
              <w:rPr>
                <w:lang w:val="en-US"/>
              </w:rPr>
              <w:t>5</w:t>
            </w:r>
            <w:r>
              <w:rPr>
                <w:lang w:val="en-US"/>
              </w:rPr>
              <w:t>)</w:t>
            </w:r>
          </w:p>
        </w:tc>
      </w:tr>
      <w:tr w:rsidR="00D64C0F" w:rsidRPr="00E6110F" w14:paraId="5508260C" w14:textId="77777777" w:rsidTr="00683E43">
        <w:trPr>
          <w:trHeight w:val="245"/>
          <w:tblHeader/>
        </w:trPr>
        <w:tc>
          <w:tcPr>
            <w:tcW w:w="653" w:type="pct"/>
            <w:vMerge/>
            <w:tcBorders>
              <w:bottom w:val="single" w:sz="4" w:space="0" w:color="auto"/>
            </w:tcBorders>
          </w:tcPr>
          <w:p w14:paraId="686347D9" w14:textId="77777777" w:rsidR="00D64C0F" w:rsidRPr="00E6110F" w:rsidRDefault="00D64C0F" w:rsidP="000F2E06">
            <w:pPr>
              <w:pStyle w:val="Body"/>
              <w:keepNext/>
              <w:rPr>
                <w:lang w:val="en-US"/>
              </w:rPr>
            </w:pPr>
          </w:p>
        </w:tc>
        <w:tc>
          <w:tcPr>
            <w:tcW w:w="3418" w:type="pct"/>
            <w:tcBorders>
              <w:bottom w:val="single" w:sz="4" w:space="0" w:color="auto"/>
            </w:tcBorders>
          </w:tcPr>
          <w:p w14:paraId="43C84B2A" w14:textId="0F8192A6" w:rsidR="00D64C0F" w:rsidRPr="00E6110F" w:rsidRDefault="00D64C0F" w:rsidP="000F2E06">
            <w:pPr>
              <w:pStyle w:val="Body"/>
              <w:keepNext/>
            </w:pPr>
            <w:r w:rsidRPr="00E6110F">
              <w:t>Numerical simulation of the environmental impact of hydraulic fracturing of tight/shale gas reservoirs on near-surface groundwater: Background, base cases, shallow reservoirs, short-term gas, and water transport</w:t>
            </w:r>
          </w:p>
        </w:tc>
        <w:tc>
          <w:tcPr>
            <w:tcW w:w="929" w:type="pct"/>
            <w:tcBorders>
              <w:top w:val="single" w:sz="4" w:space="0" w:color="auto"/>
              <w:bottom w:val="single" w:sz="4" w:space="0" w:color="auto"/>
            </w:tcBorders>
          </w:tcPr>
          <w:p w14:paraId="75F86358" w14:textId="78E39B88" w:rsidR="00D64C0F" w:rsidRDefault="00D64C0F" w:rsidP="000F2E06">
            <w:pPr>
              <w:pStyle w:val="Body"/>
              <w:keepNext/>
              <w:rPr>
                <w:lang w:val="en-US"/>
              </w:rPr>
            </w:pPr>
            <w:r>
              <w:rPr>
                <w:lang w:val="en-US"/>
              </w:rPr>
              <w:t>Reagan et al. (2015)</w:t>
            </w:r>
          </w:p>
        </w:tc>
      </w:tr>
      <w:tr w:rsidR="00D64C0F" w:rsidRPr="00E6110F" w14:paraId="7684D40A" w14:textId="77777777" w:rsidTr="00683E43">
        <w:trPr>
          <w:trHeight w:val="376"/>
          <w:tblHeader/>
        </w:trPr>
        <w:tc>
          <w:tcPr>
            <w:tcW w:w="653" w:type="pct"/>
            <w:vMerge w:val="restart"/>
            <w:tcBorders>
              <w:top w:val="single" w:sz="4" w:space="0" w:color="auto"/>
            </w:tcBorders>
          </w:tcPr>
          <w:p w14:paraId="240152F1" w14:textId="77777777" w:rsidR="00D64C0F" w:rsidRPr="00E6110F" w:rsidRDefault="00D64C0F" w:rsidP="000F2E06">
            <w:pPr>
              <w:pStyle w:val="Body"/>
              <w:keepNext/>
            </w:pPr>
            <w:r w:rsidRPr="00E6110F">
              <w:rPr>
                <w:lang w:val="en-US"/>
              </w:rPr>
              <w:t>Hazard screening approaches</w:t>
            </w:r>
            <w:r w:rsidRPr="00E6110F">
              <w:t xml:space="preserve"> </w:t>
            </w:r>
          </w:p>
        </w:tc>
        <w:tc>
          <w:tcPr>
            <w:tcW w:w="3418" w:type="pct"/>
            <w:tcBorders>
              <w:top w:val="single" w:sz="4" w:space="0" w:color="auto"/>
              <w:bottom w:val="single" w:sz="4" w:space="0" w:color="auto"/>
            </w:tcBorders>
          </w:tcPr>
          <w:p w14:paraId="424ABE75" w14:textId="43E97D59" w:rsidR="00D64C0F" w:rsidRPr="00E6110F" w:rsidRDefault="00D64C0F" w:rsidP="000F2E06">
            <w:pPr>
              <w:pStyle w:val="Body"/>
              <w:keepNext/>
            </w:pPr>
            <w:r w:rsidRPr="00E6110F">
              <w:t>As above</w:t>
            </w:r>
          </w:p>
        </w:tc>
        <w:tc>
          <w:tcPr>
            <w:tcW w:w="929" w:type="pct"/>
            <w:tcBorders>
              <w:top w:val="single" w:sz="4" w:space="0" w:color="auto"/>
              <w:bottom w:val="single" w:sz="4" w:space="0" w:color="auto"/>
            </w:tcBorders>
          </w:tcPr>
          <w:p w14:paraId="487974DB" w14:textId="6891DA11" w:rsidR="00D64C0F" w:rsidRPr="00E6110F" w:rsidRDefault="00D64C0F" w:rsidP="000D3B81">
            <w:pPr>
              <w:pStyle w:val="Body"/>
              <w:keepNext/>
            </w:pPr>
            <w:r w:rsidRPr="00E6110F">
              <w:t xml:space="preserve">US EPA </w:t>
            </w:r>
            <w:r>
              <w:t>(</w:t>
            </w:r>
            <w:r w:rsidRPr="00E6110F">
              <w:t>201</w:t>
            </w:r>
            <w:r w:rsidR="000D3B81">
              <w:t>6a</w:t>
            </w:r>
            <w:r>
              <w:t>)</w:t>
            </w:r>
          </w:p>
        </w:tc>
      </w:tr>
      <w:tr w:rsidR="00D64C0F" w:rsidRPr="00E6110F" w14:paraId="385272D5" w14:textId="77777777" w:rsidTr="00683E43">
        <w:trPr>
          <w:trHeight w:val="375"/>
          <w:tblHeader/>
        </w:trPr>
        <w:tc>
          <w:tcPr>
            <w:tcW w:w="653" w:type="pct"/>
            <w:vMerge/>
          </w:tcPr>
          <w:p w14:paraId="4B5EDE57"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4E6F32F0" w14:textId="41FAED33" w:rsidR="00D64C0F" w:rsidRPr="00E6110F" w:rsidRDefault="00D64C0F" w:rsidP="004A7452">
            <w:pPr>
              <w:pStyle w:val="Body"/>
              <w:keepNext/>
              <w:rPr>
                <w:lang w:val="en-US"/>
              </w:rPr>
            </w:pPr>
            <w:r w:rsidRPr="00E6110F">
              <w:rPr>
                <w:lang w:val="en-US"/>
              </w:rPr>
              <w:t xml:space="preserve">Environmental risk assessment process with emphasis on hazard analysis and risk assessment for chemicals proposed for use in petroleum </w:t>
            </w:r>
            <w:r w:rsidR="004A7452">
              <w:rPr>
                <w:lang w:val="en-US"/>
              </w:rPr>
              <w:t>andand</w:t>
            </w:r>
            <w:r w:rsidR="004A7452" w:rsidRPr="00E6110F">
              <w:rPr>
                <w:lang w:val="en-US"/>
              </w:rPr>
              <w:t xml:space="preserve"> </w:t>
            </w:r>
            <w:r w:rsidRPr="00E6110F">
              <w:rPr>
                <w:lang w:val="en-US"/>
              </w:rPr>
              <w:t>geothermal activities</w:t>
            </w:r>
          </w:p>
        </w:tc>
        <w:tc>
          <w:tcPr>
            <w:tcW w:w="929" w:type="pct"/>
            <w:tcBorders>
              <w:top w:val="single" w:sz="4" w:space="0" w:color="auto"/>
              <w:bottom w:val="single" w:sz="4" w:space="0" w:color="auto"/>
            </w:tcBorders>
          </w:tcPr>
          <w:p w14:paraId="1B020A51" w14:textId="6F7AA77B" w:rsidR="00D64C0F" w:rsidRPr="00E6110F" w:rsidRDefault="00D64C0F" w:rsidP="000F2E06">
            <w:pPr>
              <w:pStyle w:val="Body"/>
              <w:keepNext/>
            </w:pPr>
            <w:r w:rsidRPr="00E6110F">
              <w:t>DMP 2013</w:t>
            </w:r>
          </w:p>
        </w:tc>
      </w:tr>
      <w:tr w:rsidR="00D64C0F" w:rsidRPr="00E6110F" w14:paraId="4D7DAFB0" w14:textId="77777777" w:rsidTr="00683E43">
        <w:trPr>
          <w:trHeight w:val="375"/>
          <w:tblHeader/>
        </w:trPr>
        <w:tc>
          <w:tcPr>
            <w:tcW w:w="653" w:type="pct"/>
            <w:vMerge/>
          </w:tcPr>
          <w:p w14:paraId="6D10A16B"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4E0C3211" w14:textId="1C5320BD" w:rsidR="00D64C0F" w:rsidRPr="00E6110F" w:rsidRDefault="00D64C0F" w:rsidP="000F2E06">
            <w:pPr>
              <w:pStyle w:val="Body"/>
              <w:keepNext/>
              <w:rPr>
                <w:lang w:val="en-US"/>
              </w:rPr>
            </w:pPr>
            <w:r w:rsidRPr="00E6110F">
              <w:rPr>
                <w:lang w:val="en-US"/>
              </w:rPr>
              <w:t xml:space="preserve">Criteria for classifying substances hazardous to health </w:t>
            </w:r>
          </w:p>
        </w:tc>
        <w:tc>
          <w:tcPr>
            <w:tcW w:w="929" w:type="pct"/>
            <w:tcBorders>
              <w:top w:val="single" w:sz="4" w:space="0" w:color="auto"/>
              <w:bottom w:val="single" w:sz="4" w:space="0" w:color="auto"/>
            </w:tcBorders>
          </w:tcPr>
          <w:p w14:paraId="44E9841A" w14:textId="681352D5" w:rsidR="00D64C0F" w:rsidRPr="00E6110F" w:rsidRDefault="00D64C0F" w:rsidP="000F2E06">
            <w:pPr>
              <w:pStyle w:val="Body"/>
              <w:keepNext/>
            </w:pPr>
            <w:r w:rsidRPr="00E6110F">
              <w:t>Commonwealth of Australia 2004</w:t>
            </w:r>
          </w:p>
        </w:tc>
      </w:tr>
      <w:tr w:rsidR="00D64C0F" w:rsidRPr="00E6110F" w14:paraId="5EB03CAE" w14:textId="77777777" w:rsidTr="00683E43">
        <w:trPr>
          <w:trHeight w:val="375"/>
          <w:tblHeader/>
        </w:trPr>
        <w:tc>
          <w:tcPr>
            <w:tcW w:w="653" w:type="pct"/>
            <w:vMerge/>
            <w:tcBorders>
              <w:bottom w:val="single" w:sz="4" w:space="0" w:color="auto"/>
            </w:tcBorders>
          </w:tcPr>
          <w:p w14:paraId="303AF667"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610B8F47" w14:textId="3502A30C" w:rsidR="00D64C0F" w:rsidRPr="00E6110F" w:rsidRDefault="00D64C0F" w:rsidP="000F2E06">
            <w:pPr>
              <w:pStyle w:val="Body"/>
              <w:keepNext/>
              <w:rPr>
                <w:lang w:val="en-US"/>
              </w:rPr>
            </w:pPr>
            <w:r w:rsidRPr="009966FF">
              <w:t>Identification of chemicals of low concern to human health, Inventory Multi-tiered Assessment and Prioritisation Framework</w:t>
            </w:r>
          </w:p>
        </w:tc>
        <w:tc>
          <w:tcPr>
            <w:tcW w:w="929" w:type="pct"/>
            <w:tcBorders>
              <w:top w:val="single" w:sz="4" w:space="0" w:color="auto"/>
              <w:bottom w:val="single" w:sz="4" w:space="0" w:color="auto"/>
            </w:tcBorders>
          </w:tcPr>
          <w:p w14:paraId="13848A09" w14:textId="4135CC6A" w:rsidR="00D64C0F" w:rsidRPr="00E6110F" w:rsidRDefault="00D64C0F" w:rsidP="000F2E06">
            <w:pPr>
              <w:pStyle w:val="Body"/>
              <w:keepNext/>
            </w:pPr>
            <w:r>
              <w:t>NICNAS (2015)</w:t>
            </w:r>
          </w:p>
        </w:tc>
      </w:tr>
      <w:tr w:rsidR="00D64C0F" w:rsidRPr="00E6110F" w14:paraId="4D5EAF00" w14:textId="77777777" w:rsidTr="00683E43">
        <w:trPr>
          <w:trHeight w:val="517"/>
          <w:tblHeader/>
        </w:trPr>
        <w:tc>
          <w:tcPr>
            <w:tcW w:w="653" w:type="pct"/>
            <w:vMerge w:val="restart"/>
            <w:tcBorders>
              <w:top w:val="single" w:sz="4" w:space="0" w:color="auto"/>
            </w:tcBorders>
          </w:tcPr>
          <w:p w14:paraId="17D8FFAC" w14:textId="6C234C50" w:rsidR="00D64C0F" w:rsidRPr="00E6110F" w:rsidRDefault="00D64C0F" w:rsidP="000F2E06">
            <w:pPr>
              <w:pStyle w:val="Body"/>
              <w:keepNext/>
              <w:rPr>
                <w:lang w:val="en-US"/>
              </w:rPr>
            </w:pPr>
            <w:r w:rsidRPr="00E6110F">
              <w:rPr>
                <w:lang w:val="en-US"/>
              </w:rPr>
              <w:t>Chemical and biological attenuation</w:t>
            </w:r>
          </w:p>
        </w:tc>
        <w:tc>
          <w:tcPr>
            <w:tcW w:w="3418" w:type="pct"/>
            <w:tcBorders>
              <w:top w:val="single" w:sz="4" w:space="0" w:color="auto"/>
              <w:bottom w:val="single" w:sz="4" w:space="0" w:color="auto"/>
            </w:tcBorders>
          </w:tcPr>
          <w:p w14:paraId="7AD53502" w14:textId="26C82812" w:rsidR="00D64C0F" w:rsidRPr="00E6110F" w:rsidRDefault="00D64C0F" w:rsidP="000F2E06">
            <w:pPr>
              <w:pStyle w:val="Body"/>
              <w:keepNext/>
            </w:pPr>
            <w:r w:rsidRPr="00E6110F">
              <w:t>Development of the partition coefficient (Kd) test method for use in environmental risk assessments</w:t>
            </w:r>
          </w:p>
        </w:tc>
        <w:tc>
          <w:tcPr>
            <w:tcW w:w="929" w:type="pct"/>
            <w:tcBorders>
              <w:top w:val="single" w:sz="4" w:space="0" w:color="auto"/>
              <w:bottom w:val="single" w:sz="4" w:space="0" w:color="auto"/>
            </w:tcBorders>
          </w:tcPr>
          <w:p w14:paraId="605F9186" w14:textId="28056709" w:rsidR="00D64C0F" w:rsidRPr="00E6110F" w:rsidRDefault="0037368B" w:rsidP="000F2E06">
            <w:pPr>
              <w:pStyle w:val="Body"/>
              <w:keepNext/>
            </w:pPr>
            <w:r>
              <w:t>Adey</w:t>
            </w:r>
            <w:r w:rsidR="00D64C0F" w:rsidRPr="00E6110F">
              <w:t xml:space="preserve"> (2005)</w:t>
            </w:r>
          </w:p>
        </w:tc>
      </w:tr>
      <w:tr w:rsidR="00D64C0F" w:rsidRPr="00E6110F" w14:paraId="3ACE28D7" w14:textId="77777777" w:rsidTr="00683E43">
        <w:trPr>
          <w:trHeight w:val="517"/>
          <w:tblHeader/>
        </w:trPr>
        <w:tc>
          <w:tcPr>
            <w:tcW w:w="653" w:type="pct"/>
            <w:vMerge/>
          </w:tcPr>
          <w:p w14:paraId="31D78DC2"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356618BB" w14:textId="098E9BDA" w:rsidR="00D64C0F" w:rsidRPr="00E6110F" w:rsidRDefault="00D64C0F" w:rsidP="000F2E06">
            <w:pPr>
              <w:pStyle w:val="Body"/>
              <w:keepNext/>
            </w:pPr>
            <w:r w:rsidRPr="00E6110F">
              <w:t>Sorption of trace constituents from aqueous solutions onto secondary minerals</w:t>
            </w:r>
          </w:p>
        </w:tc>
        <w:tc>
          <w:tcPr>
            <w:tcW w:w="929" w:type="pct"/>
            <w:tcBorders>
              <w:top w:val="single" w:sz="4" w:space="0" w:color="auto"/>
              <w:bottom w:val="single" w:sz="4" w:space="0" w:color="auto"/>
            </w:tcBorders>
          </w:tcPr>
          <w:p w14:paraId="28CF7BD3" w14:textId="3EFDA907" w:rsidR="00D64C0F" w:rsidRPr="00E6110F" w:rsidRDefault="00D64C0F" w:rsidP="000F2E06">
            <w:pPr>
              <w:pStyle w:val="Body"/>
              <w:keepNext/>
            </w:pPr>
            <w:r>
              <w:t>Ames et al. (1983)</w:t>
            </w:r>
          </w:p>
        </w:tc>
      </w:tr>
      <w:tr w:rsidR="00D64C0F" w:rsidRPr="00E6110F" w14:paraId="66736287" w14:textId="77777777" w:rsidTr="00683E43">
        <w:trPr>
          <w:trHeight w:val="517"/>
          <w:tblHeader/>
        </w:trPr>
        <w:tc>
          <w:tcPr>
            <w:tcW w:w="653" w:type="pct"/>
            <w:vMerge/>
          </w:tcPr>
          <w:p w14:paraId="1F49E207"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7070FBE2" w14:textId="7FF2AD83" w:rsidR="00D64C0F" w:rsidRPr="00E6110F" w:rsidRDefault="00D64C0F" w:rsidP="0042076C">
            <w:pPr>
              <w:pStyle w:val="Body"/>
              <w:keepNext/>
            </w:pPr>
            <w:r w:rsidRPr="00E6110F">
              <w:rPr>
                <w:lang w:val="en-AU"/>
              </w:rPr>
              <w:t xml:space="preserve">Comprehensive </w:t>
            </w:r>
            <w:r w:rsidR="0042076C">
              <w:rPr>
                <w:lang w:val="en-AU"/>
              </w:rPr>
              <w:t>s</w:t>
            </w:r>
            <w:r w:rsidRPr="00E6110F">
              <w:rPr>
                <w:lang w:val="en-AU"/>
              </w:rPr>
              <w:t xml:space="preserve">tudy of </w:t>
            </w:r>
            <w:r w:rsidR="0042076C">
              <w:rPr>
                <w:lang w:val="en-AU"/>
              </w:rPr>
              <w:t>o</w:t>
            </w:r>
            <w:r w:rsidRPr="00E6110F">
              <w:rPr>
                <w:lang w:val="en-AU"/>
              </w:rPr>
              <w:t xml:space="preserve">rganic </w:t>
            </w:r>
            <w:r w:rsidR="0042076C">
              <w:rPr>
                <w:lang w:val="en-AU"/>
              </w:rPr>
              <w:t>c</w:t>
            </w:r>
            <w:r w:rsidRPr="00E6110F">
              <w:rPr>
                <w:lang w:val="en-AU"/>
              </w:rPr>
              <w:t xml:space="preserve">ontaminant </w:t>
            </w:r>
            <w:r w:rsidR="0042076C">
              <w:rPr>
                <w:lang w:val="en-AU"/>
              </w:rPr>
              <w:t>a</w:t>
            </w:r>
            <w:r w:rsidRPr="00E6110F">
              <w:rPr>
                <w:lang w:val="en-AU"/>
              </w:rPr>
              <w:t xml:space="preserve">dsorption by </w:t>
            </w:r>
            <w:r w:rsidR="0042076C">
              <w:rPr>
                <w:lang w:val="en-AU"/>
              </w:rPr>
              <w:t>c</w:t>
            </w:r>
            <w:r w:rsidRPr="00E6110F">
              <w:rPr>
                <w:lang w:val="en-AU"/>
              </w:rPr>
              <w:t xml:space="preserve">lays: Methodologies, </w:t>
            </w:r>
            <w:r w:rsidR="0042076C">
              <w:rPr>
                <w:lang w:val="en-AU"/>
              </w:rPr>
              <w:t>mechanisms, and e</w:t>
            </w:r>
            <w:r w:rsidRPr="00E6110F">
              <w:rPr>
                <w:lang w:val="en-AU"/>
              </w:rPr>
              <w:t xml:space="preserve">nvironmental </w:t>
            </w:r>
            <w:r w:rsidR="0042076C">
              <w:rPr>
                <w:lang w:val="en-AU"/>
              </w:rPr>
              <w:t>i</w:t>
            </w:r>
            <w:r w:rsidRPr="00E6110F">
              <w:rPr>
                <w:lang w:val="en-AU"/>
              </w:rPr>
              <w:t>mplications</w:t>
            </w:r>
          </w:p>
        </w:tc>
        <w:tc>
          <w:tcPr>
            <w:tcW w:w="929" w:type="pct"/>
            <w:tcBorders>
              <w:top w:val="single" w:sz="4" w:space="0" w:color="auto"/>
              <w:bottom w:val="single" w:sz="4" w:space="0" w:color="auto"/>
            </w:tcBorders>
          </w:tcPr>
          <w:p w14:paraId="397C0909" w14:textId="2EDB233E" w:rsidR="00D64C0F" w:rsidRPr="00E6110F" w:rsidRDefault="00D64C0F" w:rsidP="000F2E06">
            <w:pPr>
              <w:pStyle w:val="Body"/>
              <w:keepNext/>
            </w:pPr>
            <w:r>
              <w:t>Boyd et al. (2011)</w:t>
            </w:r>
          </w:p>
        </w:tc>
      </w:tr>
      <w:tr w:rsidR="00D64C0F" w:rsidRPr="00E6110F" w14:paraId="027AD918" w14:textId="77777777" w:rsidTr="00683E43">
        <w:trPr>
          <w:trHeight w:val="517"/>
          <w:tblHeader/>
        </w:trPr>
        <w:tc>
          <w:tcPr>
            <w:tcW w:w="653" w:type="pct"/>
            <w:vMerge/>
          </w:tcPr>
          <w:p w14:paraId="767D3727"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3CB9DBC3" w14:textId="59C3A575" w:rsidR="00D64C0F" w:rsidRPr="00E6110F" w:rsidRDefault="00D64C0F" w:rsidP="000F2E06">
            <w:pPr>
              <w:pStyle w:val="Body"/>
              <w:keepNext/>
            </w:pPr>
            <w:r w:rsidRPr="00E6110F">
              <w:t>Some aspects of the properties and degradation of polyacrylamides</w:t>
            </w:r>
          </w:p>
        </w:tc>
        <w:tc>
          <w:tcPr>
            <w:tcW w:w="929" w:type="pct"/>
            <w:tcBorders>
              <w:top w:val="single" w:sz="4" w:space="0" w:color="auto"/>
              <w:bottom w:val="single" w:sz="4" w:space="0" w:color="auto"/>
            </w:tcBorders>
          </w:tcPr>
          <w:p w14:paraId="4130A6C6" w14:textId="21CF57D6" w:rsidR="00D64C0F" w:rsidRPr="00E6110F" w:rsidRDefault="00D64C0F" w:rsidP="000F2E06">
            <w:pPr>
              <w:pStyle w:val="Body"/>
              <w:keepNext/>
            </w:pPr>
            <w:r>
              <w:t>Caulfield et al. (2002)</w:t>
            </w:r>
          </w:p>
        </w:tc>
      </w:tr>
      <w:tr w:rsidR="00D64C0F" w:rsidRPr="00E6110F" w14:paraId="676D2C28" w14:textId="77777777" w:rsidTr="00683E43">
        <w:trPr>
          <w:trHeight w:val="517"/>
          <w:tblHeader/>
        </w:trPr>
        <w:tc>
          <w:tcPr>
            <w:tcW w:w="653" w:type="pct"/>
            <w:vMerge/>
          </w:tcPr>
          <w:p w14:paraId="646A7647"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63487BED" w14:textId="55C6FC46" w:rsidR="00D64C0F" w:rsidRPr="00E6110F" w:rsidRDefault="00D64C0F" w:rsidP="000F2E06">
            <w:pPr>
              <w:pStyle w:val="Body"/>
              <w:keepNext/>
            </w:pPr>
            <w:r w:rsidRPr="00E6110F">
              <w:t>Toxicity profile of labile preservative bronopol in water: The role of more persistent and toxic transformation products</w:t>
            </w:r>
          </w:p>
        </w:tc>
        <w:tc>
          <w:tcPr>
            <w:tcW w:w="929" w:type="pct"/>
            <w:tcBorders>
              <w:top w:val="single" w:sz="4" w:space="0" w:color="auto"/>
              <w:bottom w:val="single" w:sz="4" w:space="0" w:color="auto"/>
            </w:tcBorders>
          </w:tcPr>
          <w:p w14:paraId="6EC71B3F" w14:textId="329213E6" w:rsidR="00D64C0F" w:rsidRPr="00E6110F" w:rsidRDefault="00D64C0F" w:rsidP="000F2E06">
            <w:pPr>
              <w:pStyle w:val="Body"/>
              <w:keepNext/>
            </w:pPr>
            <w:r>
              <w:t>Cui et al. (2011)</w:t>
            </w:r>
          </w:p>
        </w:tc>
      </w:tr>
      <w:tr w:rsidR="00D64C0F" w:rsidRPr="00E6110F" w14:paraId="20B9DE4C" w14:textId="77777777" w:rsidTr="00683E43">
        <w:trPr>
          <w:trHeight w:val="517"/>
          <w:tblHeader/>
        </w:trPr>
        <w:tc>
          <w:tcPr>
            <w:tcW w:w="653" w:type="pct"/>
            <w:vMerge/>
          </w:tcPr>
          <w:p w14:paraId="4ECF19FF"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7A253848" w14:textId="21E19089" w:rsidR="00D64C0F" w:rsidRPr="00E6110F" w:rsidRDefault="00D64C0F" w:rsidP="000F2E06">
            <w:pPr>
              <w:pStyle w:val="Body"/>
              <w:keepNext/>
            </w:pPr>
            <w:r w:rsidRPr="00E6110F">
              <w:t>Adsorption of substituted nitrobenzenes and nitrophenols to mineral surfac</w:t>
            </w:r>
            <w:r>
              <w:t>es</w:t>
            </w:r>
          </w:p>
        </w:tc>
        <w:tc>
          <w:tcPr>
            <w:tcW w:w="929" w:type="pct"/>
            <w:tcBorders>
              <w:top w:val="single" w:sz="4" w:space="0" w:color="auto"/>
              <w:bottom w:val="single" w:sz="4" w:space="0" w:color="auto"/>
            </w:tcBorders>
          </w:tcPr>
          <w:p w14:paraId="00ED0A89" w14:textId="70D72A11" w:rsidR="00D64C0F" w:rsidRDefault="00D64C0F" w:rsidP="000F2E06">
            <w:pPr>
              <w:pStyle w:val="Body"/>
              <w:keepNext/>
            </w:pPr>
            <w:r>
              <w:t>Haderlein et al. (1993)</w:t>
            </w:r>
          </w:p>
        </w:tc>
      </w:tr>
      <w:tr w:rsidR="00D64C0F" w:rsidRPr="00E6110F" w14:paraId="15D2D5F4" w14:textId="77777777" w:rsidTr="00683E43">
        <w:trPr>
          <w:trHeight w:val="517"/>
          <w:tblHeader/>
        </w:trPr>
        <w:tc>
          <w:tcPr>
            <w:tcW w:w="653" w:type="pct"/>
            <w:vMerge/>
          </w:tcPr>
          <w:p w14:paraId="4D5D7386"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1525AB7B" w14:textId="5466B407" w:rsidR="00D64C0F" w:rsidRPr="00E6110F" w:rsidRDefault="00D64C0F" w:rsidP="000F2E06">
            <w:pPr>
              <w:pStyle w:val="Body"/>
              <w:keepNext/>
            </w:pPr>
            <w:r w:rsidRPr="00E6110F">
              <w:rPr>
                <w:lang w:val="en-AU"/>
              </w:rPr>
              <w:t>Biocides in Hydraulic Fracturing Fluids: A Critical Review of Their Usage, Mobility, Degradation, and Toxicity</w:t>
            </w:r>
          </w:p>
        </w:tc>
        <w:tc>
          <w:tcPr>
            <w:tcW w:w="929" w:type="pct"/>
            <w:tcBorders>
              <w:top w:val="single" w:sz="4" w:space="0" w:color="auto"/>
              <w:bottom w:val="single" w:sz="4" w:space="0" w:color="auto"/>
            </w:tcBorders>
          </w:tcPr>
          <w:p w14:paraId="61305251" w14:textId="031547D7" w:rsidR="00D64C0F" w:rsidRDefault="00D64C0F" w:rsidP="000F2E06">
            <w:pPr>
              <w:pStyle w:val="Body"/>
              <w:keepNext/>
            </w:pPr>
            <w:r>
              <w:t>Kahrilas et al. (2014)</w:t>
            </w:r>
          </w:p>
        </w:tc>
      </w:tr>
      <w:tr w:rsidR="00D64C0F" w:rsidRPr="00E6110F" w14:paraId="0A70D47F" w14:textId="77777777" w:rsidTr="00683E43">
        <w:trPr>
          <w:trHeight w:val="517"/>
          <w:tblHeader/>
        </w:trPr>
        <w:tc>
          <w:tcPr>
            <w:tcW w:w="653" w:type="pct"/>
            <w:vMerge/>
          </w:tcPr>
          <w:p w14:paraId="04F95476"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6C29E358" w14:textId="034D382E" w:rsidR="00D64C0F" w:rsidRPr="00E6110F" w:rsidRDefault="00D64C0F" w:rsidP="000F2E06">
            <w:pPr>
              <w:pStyle w:val="Body"/>
              <w:keepNext/>
              <w:rPr>
                <w:lang w:val="en-AU"/>
              </w:rPr>
            </w:pPr>
            <w:r w:rsidRPr="00E6110F">
              <w:rPr>
                <w:lang w:val="en-AU"/>
              </w:rPr>
              <w:t>Temperature-dependent sorption of naphthalene, phenanthrene and pyrene to low organic carbon aquifer sediments</w:t>
            </w:r>
          </w:p>
        </w:tc>
        <w:tc>
          <w:tcPr>
            <w:tcW w:w="929" w:type="pct"/>
            <w:tcBorders>
              <w:top w:val="single" w:sz="4" w:space="0" w:color="auto"/>
              <w:bottom w:val="single" w:sz="4" w:space="0" w:color="auto"/>
            </w:tcBorders>
          </w:tcPr>
          <w:p w14:paraId="1E0394D1" w14:textId="3CDAA62E" w:rsidR="00D64C0F" w:rsidRDefault="00D64C0F" w:rsidP="000F2E06">
            <w:pPr>
              <w:pStyle w:val="Body"/>
              <w:keepNext/>
            </w:pPr>
            <w:r>
              <w:t>Piatt et al. (1996)</w:t>
            </w:r>
          </w:p>
        </w:tc>
      </w:tr>
      <w:tr w:rsidR="00D64C0F" w:rsidRPr="00E6110F" w14:paraId="392F2638" w14:textId="77777777" w:rsidTr="00683E43">
        <w:trPr>
          <w:trHeight w:val="517"/>
          <w:tblHeader/>
        </w:trPr>
        <w:tc>
          <w:tcPr>
            <w:tcW w:w="653" w:type="pct"/>
            <w:vMerge/>
          </w:tcPr>
          <w:p w14:paraId="5763E27C"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2DF49267" w14:textId="79EDCFB5" w:rsidR="00D64C0F" w:rsidRPr="00E6110F" w:rsidRDefault="00D64C0F" w:rsidP="000F2E06">
            <w:pPr>
              <w:pStyle w:val="Body"/>
              <w:keepNext/>
              <w:rPr>
                <w:lang w:val="en-AU"/>
              </w:rPr>
            </w:pPr>
            <w:r w:rsidRPr="00E6110F">
              <w:t>Sorption of trace elements on natural particles in oxic environments</w:t>
            </w:r>
          </w:p>
        </w:tc>
        <w:tc>
          <w:tcPr>
            <w:tcW w:w="929" w:type="pct"/>
            <w:tcBorders>
              <w:top w:val="single" w:sz="4" w:space="0" w:color="auto"/>
              <w:bottom w:val="single" w:sz="4" w:space="0" w:color="auto"/>
            </w:tcBorders>
          </w:tcPr>
          <w:p w14:paraId="1AA14DB7" w14:textId="33464013" w:rsidR="00D64C0F" w:rsidRDefault="00D64C0F" w:rsidP="000F2E06">
            <w:pPr>
              <w:pStyle w:val="Body"/>
              <w:keepNext/>
            </w:pPr>
            <w:r>
              <w:t>Tessier (1992)</w:t>
            </w:r>
          </w:p>
        </w:tc>
      </w:tr>
      <w:tr w:rsidR="00D64C0F" w:rsidRPr="00E6110F" w14:paraId="19FCEC4D" w14:textId="77777777" w:rsidTr="00683E43">
        <w:trPr>
          <w:trHeight w:val="517"/>
          <w:tblHeader/>
        </w:trPr>
        <w:tc>
          <w:tcPr>
            <w:tcW w:w="653" w:type="pct"/>
            <w:vMerge/>
          </w:tcPr>
          <w:p w14:paraId="465A4E28"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11751E0A" w14:textId="17020F41" w:rsidR="00D64C0F" w:rsidRPr="00E6110F" w:rsidRDefault="00D64C0F" w:rsidP="000F2E06">
            <w:pPr>
              <w:pStyle w:val="Body"/>
              <w:keepNext/>
            </w:pPr>
            <w:r w:rsidRPr="00E6110F">
              <w:t>Understanding variation in partition coefficient, Kd values. Volume II: Review of geochemistry and available Kd Values for cadmium, caesium, chromium, lead, plutonium, radon, strontium, thorium, tritium (3H), and uranium</w:t>
            </w:r>
          </w:p>
        </w:tc>
        <w:tc>
          <w:tcPr>
            <w:tcW w:w="929" w:type="pct"/>
            <w:tcBorders>
              <w:top w:val="single" w:sz="4" w:space="0" w:color="auto"/>
              <w:bottom w:val="single" w:sz="4" w:space="0" w:color="auto"/>
            </w:tcBorders>
          </w:tcPr>
          <w:p w14:paraId="550E2060" w14:textId="6726A206" w:rsidR="00D64C0F" w:rsidRDefault="00D64C0F" w:rsidP="000F2E06">
            <w:pPr>
              <w:pStyle w:val="Body"/>
              <w:keepNext/>
            </w:pPr>
            <w:r>
              <w:t>US EPA (1999</w:t>
            </w:r>
            <w:r w:rsidR="00BC7BCE">
              <w:t>a</w:t>
            </w:r>
            <w:r>
              <w:t>)</w:t>
            </w:r>
          </w:p>
        </w:tc>
      </w:tr>
      <w:tr w:rsidR="00D64C0F" w:rsidRPr="00E6110F" w14:paraId="0EB51BF3" w14:textId="77777777" w:rsidTr="00683E43">
        <w:trPr>
          <w:trHeight w:val="517"/>
          <w:tblHeader/>
        </w:trPr>
        <w:tc>
          <w:tcPr>
            <w:tcW w:w="653" w:type="pct"/>
            <w:vMerge/>
          </w:tcPr>
          <w:p w14:paraId="74E8AC33" w14:textId="77777777" w:rsidR="00D64C0F" w:rsidRPr="00E6110F" w:rsidRDefault="00D64C0F" w:rsidP="000F2E06">
            <w:pPr>
              <w:pStyle w:val="Body"/>
              <w:keepNext/>
              <w:rPr>
                <w:lang w:val="en-US"/>
              </w:rPr>
            </w:pPr>
          </w:p>
        </w:tc>
        <w:tc>
          <w:tcPr>
            <w:tcW w:w="3418" w:type="pct"/>
            <w:tcBorders>
              <w:top w:val="single" w:sz="4" w:space="0" w:color="auto"/>
              <w:bottom w:val="single" w:sz="4" w:space="0" w:color="auto"/>
            </w:tcBorders>
          </w:tcPr>
          <w:p w14:paraId="1D232288" w14:textId="54FDE602" w:rsidR="00D64C0F" w:rsidRPr="00E6110F" w:rsidRDefault="00D64C0F" w:rsidP="000F2E06">
            <w:pPr>
              <w:pStyle w:val="Body"/>
              <w:keepNext/>
            </w:pPr>
            <w:r w:rsidRPr="00E6110F">
              <w:rPr>
                <w:lang w:val="en-AU"/>
              </w:rPr>
              <w:t>In situ spectroscopic investigation of adsorption mechanisms of nitroaromatic compounds at clay minerals</w:t>
            </w:r>
          </w:p>
        </w:tc>
        <w:tc>
          <w:tcPr>
            <w:tcW w:w="929" w:type="pct"/>
            <w:tcBorders>
              <w:top w:val="single" w:sz="4" w:space="0" w:color="auto"/>
              <w:bottom w:val="single" w:sz="4" w:space="0" w:color="auto"/>
            </w:tcBorders>
          </w:tcPr>
          <w:p w14:paraId="67F07493" w14:textId="2B6DC56D" w:rsidR="00D64C0F" w:rsidRDefault="00D64C0F" w:rsidP="000F2E06">
            <w:pPr>
              <w:pStyle w:val="Body"/>
              <w:keepNext/>
            </w:pPr>
            <w:r>
              <w:t>Weissmahr et al. (1997)</w:t>
            </w:r>
          </w:p>
        </w:tc>
      </w:tr>
      <w:tr w:rsidR="00087BF5" w:rsidRPr="00E6110F" w14:paraId="7E5592A6" w14:textId="77777777" w:rsidTr="00683E43">
        <w:trPr>
          <w:trHeight w:val="517"/>
          <w:tblHeader/>
        </w:trPr>
        <w:tc>
          <w:tcPr>
            <w:tcW w:w="653" w:type="pct"/>
            <w:vMerge w:val="restart"/>
            <w:tcBorders>
              <w:top w:val="single" w:sz="4" w:space="0" w:color="auto"/>
            </w:tcBorders>
          </w:tcPr>
          <w:p w14:paraId="0C10BCC2" w14:textId="07FEE4D4" w:rsidR="00087BF5" w:rsidRPr="00E6110F" w:rsidRDefault="00087BF5" w:rsidP="000F2E06">
            <w:pPr>
              <w:pStyle w:val="Body"/>
              <w:keepNext/>
            </w:pPr>
            <w:r w:rsidRPr="00E6110F">
              <w:rPr>
                <w:lang w:val="en-US"/>
              </w:rPr>
              <w:t>Toxicity</w:t>
            </w:r>
            <w:r w:rsidRPr="00E6110F">
              <w:t xml:space="preserve"> data and estimation methods</w:t>
            </w:r>
          </w:p>
        </w:tc>
        <w:tc>
          <w:tcPr>
            <w:tcW w:w="3418" w:type="pct"/>
            <w:tcBorders>
              <w:top w:val="single" w:sz="4" w:space="0" w:color="auto"/>
              <w:bottom w:val="single" w:sz="4" w:space="0" w:color="auto"/>
            </w:tcBorders>
          </w:tcPr>
          <w:p w14:paraId="1CE7D3DA" w14:textId="2B595162" w:rsidR="00087BF5" w:rsidRPr="00E6110F" w:rsidRDefault="00087BF5" w:rsidP="000F2E06">
            <w:pPr>
              <w:pStyle w:val="Body"/>
              <w:keepNext/>
            </w:pPr>
            <w:r w:rsidRPr="00E6110F">
              <w:t>ECOSAR: Estimating toxicity of industrial chemicals to aquatic organisms using the ECOSAR (ECOlogical Structure-Activity Relationship) class program</w:t>
            </w:r>
          </w:p>
        </w:tc>
        <w:tc>
          <w:tcPr>
            <w:tcW w:w="929" w:type="pct"/>
            <w:tcBorders>
              <w:top w:val="single" w:sz="4" w:space="0" w:color="auto"/>
              <w:bottom w:val="single" w:sz="4" w:space="0" w:color="auto"/>
            </w:tcBorders>
          </w:tcPr>
          <w:p w14:paraId="04B712B6" w14:textId="6F34CED4" w:rsidR="00087BF5" w:rsidRPr="00E6110F" w:rsidRDefault="00087BF5" w:rsidP="000F2E06">
            <w:pPr>
              <w:pStyle w:val="Body"/>
              <w:keepNext/>
            </w:pPr>
            <w:r w:rsidRPr="00E6110F">
              <w:t>US EPA 2012b</w:t>
            </w:r>
          </w:p>
        </w:tc>
      </w:tr>
      <w:tr w:rsidR="00194447" w:rsidRPr="00E6110F" w14:paraId="49C5EBF8" w14:textId="77777777" w:rsidTr="00683E43">
        <w:trPr>
          <w:trHeight w:val="517"/>
          <w:tblHeader/>
        </w:trPr>
        <w:tc>
          <w:tcPr>
            <w:tcW w:w="653" w:type="pct"/>
            <w:vMerge/>
          </w:tcPr>
          <w:p w14:paraId="4EA47D4F" w14:textId="77777777" w:rsidR="00194447" w:rsidRPr="00E6110F" w:rsidRDefault="00194447" w:rsidP="000F2E06">
            <w:pPr>
              <w:pStyle w:val="Body"/>
              <w:keepNext/>
              <w:rPr>
                <w:lang w:val="en-US"/>
              </w:rPr>
            </w:pPr>
          </w:p>
        </w:tc>
        <w:tc>
          <w:tcPr>
            <w:tcW w:w="3418" w:type="pct"/>
            <w:tcBorders>
              <w:top w:val="single" w:sz="4" w:space="0" w:color="auto"/>
              <w:bottom w:val="single" w:sz="4" w:space="0" w:color="auto"/>
            </w:tcBorders>
          </w:tcPr>
          <w:p w14:paraId="17680EC0" w14:textId="76AE930A" w:rsidR="00194447" w:rsidRPr="00E6110F" w:rsidRDefault="00194447" w:rsidP="002A5C66">
            <w:pPr>
              <w:pStyle w:val="Body"/>
              <w:keepNext/>
            </w:pPr>
            <w:r>
              <w:t xml:space="preserve">Toxicological Profile for </w:t>
            </w:r>
            <w:r w:rsidR="00067280" w:rsidRPr="00E6110F">
              <w:t>2-butoxyethanol</w:t>
            </w:r>
            <w:r w:rsidR="002A5C66">
              <w:t>,</w:t>
            </w:r>
            <w:r w:rsidR="00067280" w:rsidRPr="00E6110F">
              <w:t xml:space="preserve"> 2-butoxyethanol acetate</w:t>
            </w:r>
            <w:r w:rsidR="002A5C66">
              <w:t>,</w:t>
            </w:r>
            <w:r w:rsidR="00067280">
              <w:t xml:space="preserve"> </w:t>
            </w:r>
            <w:r w:rsidR="002A5C66">
              <w:t>Naphthalene, 1-methylnaphthalene, 2-methylnaphthalene, a</w:t>
            </w:r>
            <w:r w:rsidR="00067280">
              <w:t xml:space="preserve">rsenic, </w:t>
            </w:r>
            <w:r w:rsidR="002A5C66">
              <w:t>barium, c</w:t>
            </w:r>
            <w:r>
              <w:t>resols</w:t>
            </w:r>
            <w:r w:rsidR="00067280">
              <w:t>, HMX</w:t>
            </w:r>
          </w:p>
        </w:tc>
        <w:tc>
          <w:tcPr>
            <w:tcW w:w="929" w:type="pct"/>
            <w:tcBorders>
              <w:top w:val="single" w:sz="4" w:space="0" w:color="auto"/>
              <w:bottom w:val="single" w:sz="4" w:space="0" w:color="auto"/>
            </w:tcBorders>
          </w:tcPr>
          <w:p w14:paraId="0E0AA76E" w14:textId="540F8608" w:rsidR="00194447" w:rsidRPr="00E6110F" w:rsidRDefault="00194447" w:rsidP="000F2E06">
            <w:pPr>
              <w:pStyle w:val="Body"/>
              <w:keepNext/>
            </w:pPr>
            <w:r w:rsidRPr="00027987">
              <w:t>ATSDR (</w:t>
            </w:r>
            <w:r w:rsidR="00067280">
              <w:t xml:space="preserve">1997, 1998, 2005, </w:t>
            </w:r>
            <w:r w:rsidRPr="00027987">
              <w:t>200</w:t>
            </w:r>
            <w:r w:rsidR="00067280">
              <w:t>7</w:t>
            </w:r>
            <w:r w:rsidR="00CD1F00">
              <w:t>a, 2007b</w:t>
            </w:r>
            <w:r w:rsidR="00067280">
              <w:t>, 200</w:t>
            </w:r>
            <w:r w:rsidRPr="00027987">
              <w:t>8)</w:t>
            </w:r>
          </w:p>
        </w:tc>
      </w:tr>
      <w:tr w:rsidR="00087BF5" w:rsidRPr="00E6110F" w14:paraId="6DFB31E9" w14:textId="77777777" w:rsidTr="00683E43">
        <w:trPr>
          <w:trHeight w:val="517"/>
          <w:tblHeader/>
        </w:trPr>
        <w:tc>
          <w:tcPr>
            <w:tcW w:w="653" w:type="pct"/>
            <w:vMerge/>
          </w:tcPr>
          <w:p w14:paraId="7F701EEF" w14:textId="77777777" w:rsidR="00087BF5" w:rsidRPr="00E6110F" w:rsidRDefault="00087BF5" w:rsidP="000F2E06">
            <w:pPr>
              <w:pStyle w:val="Body"/>
              <w:keepNext/>
              <w:rPr>
                <w:lang w:val="en-US"/>
              </w:rPr>
            </w:pPr>
          </w:p>
        </w:tc>
        <w:tc>
          <w:tcPr>
            <w:tcW w:w="3418" w:type="pct"/>
            <w:tcBorders>
              <w:top w:val="single" w:sz="4" w:space="0" w:color="auto"/>
              <w:bottom w:val="single" w:sz="4" w:space="0" w:color="auto"/>
            </w:tcBorders>
          </w:tcPr>
          <w:p w14:paraId="0B5FBCA6" w14:textId="5AEE26ED" w:rsidR="00087BF5" w:rsidRPr="00E6110F" w:rsidRDefault="00087BF5" w:rsidP="000F2E06">
            <w:pPr>
              <w:pStyle w:val="Body"/>
              <w:keepNext/>
            </w:pPr>
            <w:r w:rsidRPr="00E6110F">
              <w:t>Approved Criteria for Classifying Hazardous Substances</w:t>
            </w:r>
          </w:p>
        </w:tc>
        <w:tc>
          <w:tcPr>
            <w:tcW w:w="929" w:type="pct"/>
            <w:tcBorders>
              <w:top w:val="single" w:sz="4" w:space="0" w:color="auto"/>
              <w:bottom w:val="single" w:sz="4" w:space="0" w:color="auto"/>
            </w:tcBorders>
          </w:tcPr>
          <w:p w14:paraId="72D4EFAA" w14:textId="4632FC52" w:rsidR="00087BF5" w:rsidRPr="00E6110F" w:rsidRDefault="00087BF5" w:rsidP="000F2E06">
            <w:pPr>
              <w:pStyle w:val="Body"/>
              <w:keepNext/>
            </w:pPr>
            <w:r w:rsidRPr="00E6110F">
              <w:t>Commonwealth of Australia (2004)</w:t>
            </w:r>
          </w:p>
        </w:tc>
      </w:tr>
    </w:tbl>
    <w:p w14:paraId="0EF44658" w14:textId="77777777" w:rsidR="00447078" w:rsidRPr="00E6110F" w:rsidRDefault="00447078" w:rsidP="00447078">
      <w:pPr>
        <w:pStyle w:val="Body"/>
      </w:pPr>
      <w:bookmarkStart w:id="22" w:name="_Ref433479917"/>
    </w:p>
    <w:p w14:paraId="4C3B5A6F" w14:textId="77777777" w:rsidR="00447078" w:rsidRPr="00E6110F" w:rsidRDefault="00447078" w:rsidP="00004C70">
      <w:pPr>
        <w:autoSpaceDE w:val="0"/>
        <w:autoSpaceDN w:val="0"/>
        <w:adjustRightInd w:val="0"/>
        <w:spacing w:after="0"/>
        <w:rPr>
          <w:rFonts w:ascii="AdvOT46dcae81" w:hAnsi="AdvOT46dcae81" w:cs="AdvOT46dcae81"/>
          <w:color w:val="231F20"/>
          <w:sz w:val="18"/>
          <w:szCs w:val="18"/>
          <w:lang w:val="en-AU"/>
        </w:rPr>
      </w:pPr>
    </w:p>
    <w:p w14:paraId="282E3441" w14:textId="77777777" w:rsidR="00447078" w:rsidRPr="00E6110F" w:rsidRDefault="00447078" w:rsidP="00004C70">
      <w:pPr>
        <w:pStyle w:val="Body"/>
        <w:sectPr w:rsidR="00447078" w:rsidRPr="00E6110F" w:rsidSect="000C6D85">
          <w:pgSz w:w="16840" w:h="11900" w:orient="landscape"/>
          <w:pgMar w:top="1440" w:right="1440" w:bottom="1440" w:left="1440" w:header="0" w:footer="0" w:gutter="0"/>
          <w:cols w:space="284"/>
          <w:noEndnote/>
          <w:docGrid w:linePitch="326"/>
        </w:sectPr>
      </w:pPr>
    </w:p>
    <w:p w14:paraId="4400250A" w14:textId="77777777" w:rsidR="00644478" w:rsidRPr="00E6110F" w:rsidRDefault="00644478" w:rsidP="00644478">
      <w:pPr>
        <w:pStyle w:val="Heading3"/>
      </w:pPr>
      <w:bookmarkStart w:id="23" w:name="_Ref458871492"/>
      <w:bookmarkStart w:id="24" w:name="_Ref458945852"/>
      <w:bookmarkStart w:id="25" w:name="_Toc494444478"/>
      <w:r w:rsidRPr="00E6110F">
        <w:t>Plausible pathways</w:t>
      </w:r>
      <w:bookmarkEnd w:id="23"/>
      <w:bookmarkEnd w:id="24"/>
      <w:bookmarkEnd w:id="25"/>
    </w:p>
    <w:p w14:paraId="7A9464D5" w14:textId="460943C5" w:rsidR="00D220EC" w:rsidRPr="00E6110F" w:rsidRDefault="00B44540" w:rsidP="00644478">
      <w:pPr>
        <w:pStyle w:val="Heading3"/>
        <w:numPr>
          <w:ilvl w:val="3"/>
          <w:numId w:val="1"/>
        </w:numPr>
      </w:pPr>
      <w:bookmarkStart w:id="26" w:name="_Ref448850191"/>
      <w:bookmarkStart w:id="27" w:name="_Toc494444479"/>
      <w:r w:rsidRPr="00E6110F">
        <w:t>Summa</w:t>
      </w:r>
      <w:r w:rsidRPr="00E6110F">
        <w:rPr>
          <w:rStyle w:val="Heading3Char"/>
        </w:rPr>
        <w:t>r</w:t>
      </w:r>
      <w:r w:rsidRPr="00E6110F">
        <w:t>y of review findings</w:t>
      </w:r>
      <w:r w:rsidR="00D511A0" w:rsidRPr="00E6110F">
        <w:t xml:space="preserve"> from international studies</w:t>
      </w:r>
      <w:bookmarkEnd w:id="26"/>
      <w:bookmarkEnd w:id="27"/>
    </w:p>
    <w:p w14:paraId="44C13A65" w14:textId="4140A80E" w:rsidR="00D511A0" w:rsidRPr="00E6110F" w:rsidRDefault="00D511A0" w:rsidP="00D511A0">
      <w:pPr>
        <w:pStyle w:val="Body"/>
      </w:pPr>
      <w:r w:rsidRPr="00E6110F">
        <w:t>Hydraulic fracturing for coal seam gas production has a 40</w:t>
      </w:r>
      <w:r w:rsidR="004A7452">
        <w:t>-</w:t>
      </w:r>
      <w:r w:rsidRPr="00E6110F">
        <w:t xml:space="preserve">year history, with more than 20 years of commercial experience in North America prior to the recent development of the Australian CSG industry. There has been a commensurate development of modelling approaches and relevant experimental and field data to understand and predict hydraulic fracture growth. In CSG hydraulic fracturing design, one of the most important considerations for the effectiveness of the treatment is preventing unwanted vertical hydraulic fracture growth out of the CSG production interval into the overburden geological layer. Such height growth is ineffective and inefficient from a production viewpoint and therefore the topic has received much attention. </w:t>
      </w:r>
    </w:p>
    <w:p w14:paraId="43EA1FFE" w14:textId="77777777" w:rsidR="00D511A0" w:rsidRPr="00E6110F" w:rsidRDefault="00D511A0" w:rsidP="00D511A0">
      <w:pPr>
        <w:pStyle w:val="Body"/>
      </w:pPr>
      <w:r w:rsidRPr="00E6110F">
        <w:t xml:space="preserve">This topic is also pertinent from a groundwater contamination viewpoint as vertical hydraulic fracture growth is often highlighted as a potential contaminant transport pathway to water bearing aquifers. </w:t>
      </w:r>
    </w:p>
    <w:p w14:paraId="01D0DD2A" w14:textId="7BA65B10" w:rsidR="00D511A0" w:rsidRPr="00E6110F" w:rsidRDefault="00D511A0" w:rsidP="00D511A0">
      <w:pPr>
        <w:pStyle w:val="Body"/>
      </w:pPr>
      <w:r w:rsidRPr="00E6110F">
        <w:t xml:space="preserve">This </w:t>
      </w:r>
      <w:r w:rsidR="00236BF8" w:rsidRPr="00E6110F">
        <w:t xml:space="preserve">review of </w:t>
      </w:r>
      <w:r w:rsidR="00476630">
        <w:t xml:space="preserve">national and </w:t>
      </w:r>
      <w:r w:rsidR="00236BF8" w:rsidRPr="00E6110F">
        <w:t xml:space="preserve">international studies </w:t>
      </w:r>
      <w:r w:rsidRPr="00E6110F">
        <w:t>concentrate</w:t>
      </w:r>
      <w:r w:rsidR="00236BF8" w:rsidRPr="00E6110F">
        <w:t>s</w:t>
      </w:r>
      <w:r w:rsidRPr="00E6110F">
        <w:t xml:space="preserve"> on estimating the vertical extent of a hydraulic fracture and any other plausible pathways that may be stimulated or reactivated during a CSG hydraulic fracturing treatment.</w:t>
      </w:r>
    </w:p>
    <w:p w14:paraId="56FD281C" w14:textId="77777777" w:rsidR="006345F0" w:rsidRDefault="00F9637F" w:rsidP="00F9637F">
      <w:pPr>
        <w:pStyle w:val="Body"/>
      </w:pPr>
      <w:r w:rsidRPr="00E6110F">
        <w:t xml:space="preserve">Contamination of groundwater resources as a result of hydraulic fracturing for gas production requires </w:t>
      </w:r>
      <w:r w:rsidR="004A7452">
        <w:t xml:space="preserve">the </w:t>
      </w:r>
      <w:r w:rsidRPr="00E6110F">
        <w:t>presence of a pathway and a driving force. For contaminant migration to occur, a natural or induced pathway is required. This could include</w:t>
      </w:r>
      <w:r w:rsidR="006345F0">
        <w:t>:</w:t>
      </w:r>
    </w:p>
    <w:p w14:paraId="43FB6994" w14:textId="0A3AD8ED" w:rsidR="006345F0" w:rsidRDefault="00F9637F" w:rsidP="00943534">
      <w:pPr>
        <w:pStyle w:val="Body"/>
        <w:numPr>
          <w:ilvl w:val="0"/>
          <w:numId w:val="81"/>
        </w:numPr>
      </w:pPr>
      <w:r w:rsidRPr="00E6110F">
        <w:t xml:space="preserve">pathways created during hydraulic fracturing, </w:t>
      </w:r>
    </w:p>
    <w:p w14:paraId="7A84675F" w14:textId="0EA0BC77" w:rsidR="006345F0" w:rsidRDefault="00F9637F" w:rsidP="00943534">
      <w:pPr>
        <w:pStyle w:val="Body"/>
        <w:numPr>
          <w:ilvl w:val="0"/>
          <w:numId w:val="81"/>
        </w:numPr>
      </w:pPr>
      <w:r w:rsidRPr="00E6110F">
        <w:t xml:space="preserve">fracturing processes that connect the reservoir to pre-existing pathways (e.g. faults), </w:t>
      </w:r>
    </w:p>
    <w:p w14:paraId="27D3B7EE" w14:textId="36AD6814" w:rsidR="006345F0" w:rsidRDefault="00F9637F" w:rsidP="00943534">
      <w:pPr>
        <w:pStyle w:val="Body"/>
        <w:numPr>
          <w:ilvl w:val="0"/>
          <w:numId w:val="81"/>
        </w:numPr>
      </w:pPr>
      <w:r w:rsidRPr="00E6110F">
        <w:t>pathways created during well drilling and casing operations</w:t>
      </w:r>
      <w:r w:rsidR="002E3B30" w:rsidRPr="00E6110F">
        <w:t xml:space="preserve"> (Wu et al. 2016)</w:t>
      </w:r>
      <w:r w:rsidRPr="00E6110F">
        <w:t xml:space="preserve">,  </w:t>
      </w:r>
    </w:p>
    <w:p w14:paraId="3558BE92" w14:textId="689A137C" w:rsidR="006345F0" w:rsidRDefault="00F9637F" w:rsidP="00943534">
      <w:pPr>
        <w:pStyle w:val="Body"/>
        <w:numPr>
          <w:ilvl w:val="0"/>
          <w:numId w:val="81"/>
        </w:numPr>
      </w:pPr>
      <w:proofErr w:type="gramStart"/>
      <w:r w:rsidRPr="00E6110F">
        <w:t>drilling</w:t>
      </w:r>
      <w:proofErr w:type="gramEnd"/>
      <w:r w:rsidRPr="00E6110F">
        <w:t xml:space="preserve"> and casing operations providing connections to pre-existing pathways (Reagan et al. 2015). </w:t>
      </w:r>
    </w:p>
    <w:p w14:paraId="03C46CF3" w14:textId="2893B378" w:rsidR="00F9637F" w:rsidRPr="00E6110F" w:rsidRDefault="00F9637F" w:rsidP="00F9637F">
      <w:pPr>
        <w:pStyle w:val="Body"/>
      </w:pPr>
      <w:r w:rsidRPr="00E6110F">
        <w:t xml:space="preserve">In addition to a pathway such as fractures and faults, a driving force is required for flow and transport of hydraulic fracturing fluids and reservoir fluids, and gas. Subsurface processes that may drive flow and transport include propagation of injected pressurised fluids, natural hydraulic gradients in case of overpressurised reservoirs, or depressurisation causing release of natural gas.   </w:t>
      </w:r>
    </w:p>
    <w:p w14:paraId="692E2B93" w14:textId="687C0470" w:rsidR="00F9637F" w:rsidRPr="00E6110F" w:rsidRDefault="00F9637F" w:rsidP="00F9637F">
      <w:pPr>
        <w:pStyle w:val="Body"/>
      </w:pPr>
      <w:r w:rsidRPr="00E6110F">
        <w:t xml:space="preserve">The question whether pathways can be created or whether pre-existing pathways are transmissive has been addressed in the literature in broadly two ways: </w:t>
      </w:r>
      <w:r w:rsidR="004A7452">
        <w:t xml:space="preserve">i) </w:t>
      </w:r>
      <w:r w:rsidRPr="00E6110F">
        <w:t>conceptual studies based on monitoring data (e.g. micro-seismic</w:t>
      </w:r>
      <w:r w:rsidR="005B24D8" w:rsidRPr="00E6110F">
        <w:t>ity</w:t>
      </w:r>
      <w:r w:rsidRPr="00E6110F">
        <w:t xml:space="preserve"> during fracturing) and </w:t>
      </w:r>
      <w:r w:rsidR="004A7452">
        <w:t xml:space="preserve">ii) </w:t>
      </w:r>
      <w:r w:rsidRPr="00E6110F">
        <w:t xml:space="preserve">simulation studies. The latter typically involves identifying the parametric space under which fluid release may occur.   </w:t>
      </w:r>
      <w:r w:rsidR="00F853C4" w:rsidRPr="00E6110F">
        <w:t>Most of the published studies are from US shale gas areas where h</w:t>
      </w:r>
      <w:r w:rsidR="005A0C29" w:rsidRPr="00E6110F">
        <w:t xml:space="preserve">orizontal drilling </w:t>
      </w:r>
      <w:r w:rsidR="00F853C4" w:rsidRPr="00E6110F">
        <w:t xml:space="preserve">is </w:t>
      </w:r>
      <w:r w:rsidR="005A0C29" w:rsidRPr="00E6110F">
        <w:t xml:space="preserve">combined with </w:t>
      </w:r>
      <w:r w:rsidR="00F853C4" w:rsidRPr="00E6110F">
        <w:t xml:space="preserve">creating </w:t>
      </w:r>
      <w:r w:rsidR="005A0C29" w:rsidRPr="00E6110F">
        <w:t>vertical fractur</w:t>
      </w:r>
      <w:r w:rsidR="00F853C4" w:rsidRPr="00E6110F">
        <w:t>es</w:t>
      </w:r>
      <w:r w:rsidR="00A84DA6">
        <w:t xml:space="preserve"> (Brantley et al. 2014)</w:t>
      </w:r>
      <w:r w:rsidR="00F853C4" w:rsidRPr="00E6110F">
        <w:t xml:space="preserve">. Because in Australian CSG coal formations </w:t>
      </w:r>
      <w:r w:rsidR="005A0C29" w:rsidRPr="00E6110F">
        <w:t xml:space="preserve">vertical drilling </w:t>
      </w:r>
      <w:r w:rsidR="00F853C4" w:rsidRPr="00E6110F">
        <w:t>is the rule (certainly in Queensland</w:t>
      </w:r>
      <w:r w:rsidR="00915D3D" w:rsidRPr="00E6110F">
        <w:t>, some horizontal wells have been drilled in the Gunnedah basin in NSW</w:t>
      </w:r>
      <w:r w:rsidR="00B23BF8">
        <w:t xml:space="preserve"> - Rutovitz et al. 2011</w:t>
      </w:r>
      <w:r w:rsidR="0015459C">
        <w:t xml:space="preserve">; NSW Chief Scientist </w:t>
      </w:r>
      <w:r w:rsidR="004A7452">
        <w:t>and</w:t>
      </w:r>
      <w:r w:rsidR="0015459C">
        <w:t xml:space="preserve"> Engineer 2014</w:t>
      </w:r>
      <w:r w:rsidR="00462428">
        <w:t>b</w:t>
      </w:r>
      <w:r w:rsidR="00F853C4" w:rsidRPr="00E6110F">
        <w:t>)</w:t>
      </w:r>
      <w:r w:rsidR="00915D3D" w:rsidRPr="00E6110F">
        <w:t>,</w:t>
      </w:r>
      <w:r w:rsidR="00F853C4" w:rsidRPr="00E6110F">
        <w:t xml:space="preserve"> </w:t>
      </w:r>
      <w:r w:rsidR="005A0C29" w:rsidRPr="00E6110F">
        <w:t>with fracturing</w:t>
      </w:r>
      <w:r w:rsidR="00F16D3B" w:rsidRPr="00E6110F">
        <w:t xml:space="preserve"> </w:t>
      </w:r>
      <w:r w:rsidR="00B53A9A" w:rsidRPr="00E6110F">
        <w:t xml:space="preserve">operations aimed at producing mainly horizontal </w:t>
      </w:r>
      <w:r w:rsidR="00F16D3B" w:rsidRPr="00E6110F">
        <w:t>fractures</w:t>
      </w:r>
      <w:r w:rsidR="00B53A9A" w:rsidRPr="00E6110F">
        <w:t xml:space="preserve">, </w:t>
      </w:r>
      <w:r w:rsidR="00241924" w:rsidRPr="00E6110F">
        <w:t xml:space="preserve">extrapolation of </w:t>
      </w:r>
      <w:r w:rsidR="00B53A9A" w:rsidRPr="00E6110F">
        <w:t xml:space="preserve">results from the US </w:t>
      </w:r>
      <w:r w:rsidR="00241924" w:rsidRPr="00E6110F">
        <w:t xml:space="preserve">shale-based </w:t>
      </w:r>
      <w:r w:rsidR="00B53A9A" w:rsidRPr="00E6110F">
        <w:t xml:space="preserve">studies </w:t>
      </w:r>
      <w:r w:rsidR="00241924" w:rsidRPr="00E6110F">
        <w:t xml:space="preserve">to Australian conditions </w:t>
      </w:r>
      <w:r w:rsidR="00B53A9A" w:rsidRPr="00E6110F">
        <w:t xml:space="preserve">have to be </w:t>
      </w:r>
      <w:r w:rsidR="00241924" w:rsidRPr="00E6110F">
        <w:t>done with great care</w:t>
      </w:r>
      <w:r w:rsidR="00B53A9A" w:rsidRPr="00E6110F">
        <w:t>.</w:t>
      </w:r>
      <w:r w:rsidR="00F16D3B" w:rsidRPr="00E6110F">
        <w:t xml:space="preserve"> </w:t>
      </w:r>
      <w:r w:rsidR="00F43FCD" w:rsidRPr="00E6110F">
        <w:t xml:space="preserve">Another difference between many of the US shale-gas and Australian CSG gas fields is the much greater depth of the hydrocarbon resource in the US. </w:t>
      </w:r>
    </w:p>
    <w:p w14:paraId="3640CF1F" w14:textId="3C76F909" w:rsidR="00E06FF0" w:rsidRPr="00E6110F" w:rsidRDefault="00415E09" w:rsidP="00E06FF0">
      <w:pPr>
        <w:pStyle w:val="Body"/>
      </w:pPr>
      <w:r w:rsidRPr="00E6110F">
        <w:t xml:space="preserve">The possibility for pathway formation due to hydraulic fracturing has been </w:t>
      </w:r>
      <w:r w:rsidR="00DF176F">
        <w:t xml:space="preserve">well </w:t>
      </w:r>
      <w:r w:rsidRPr="00E6110F">
        <w:t>studied</w:t>
      </w:r>
      <w:r w:rsidR="00DF176F">
        <w:t xml:space="preserve"> (e.g.</w:t>
      </w:r>
      <w:r w:rsidR="009965ED">
        <w:t xml:space="preserve"> F</w:t>
      </w:r>
      <w:r w:rsidRPr="00E6110F">
        <w:t>lewelling et al.</w:t>
      </w:r>
      <w:r w:rsidR="00DF176F">
        <w:t xml:space="preserve"> </w:t>
      </w:r>
      <w:r w:rsidRPr="00E6110F">
        <w:t>2013</w:t>
      </w:r>
      <w:r w:rsidR="00DF176F">
        <w:t xml:space="preserve">; </w:t>
      </w:r>
      <w:r w:rsidRPr="00E6110F">
        <w:t>Fisher and Warpinski</w:t>
      </w:r>
      <w:r w:rsidR="009965ED">
        <w:t xml:space="preserve"> </w:t>
      </w:r>
      <w:r w:rsidRPr="00E6110F">
        <w:t>2012</w:t>
      </w:r>
      <w:r w:rsidR="00DF176F">
        <w:t>;</w:t>
      </w:r>
      <w:r w:rsidRPr="00E6110F">
        <w:t xml:space="preserve"> Davies et al.</w:t>
      </w:r>
      <w:r w:rsidR="00DF176F">
        <w:t xml:space="preserve"> </w:t>
      </w:r>
      <w:r w:rsidRPr="00E6110F">
        <w:t>2012</w:t>
      </w:r>
      <w:r w:rsidR="00DF176F">
        <w:t>;</w:t>
      </w:r>
      <w:r w:rsidRPr="00E6110F">
        <w:t xml:space="preserve"> Jackson et al.</w:t>
      </w:r>
      <w:r w:rsidR="00DF176F">
        <w:t xml:space="preserve"> </w:t>
      </w:r>
      <w:r w:rsidRPr="00E6110F">
        <w:t xml:space="preserve">2013). These studies have all been undertaken for </w:t>
      </w:r>
      <w:r w:rsidR="005B24D8" w:rsidRPr="00E6110F">
        <w:t xml:space="preserve">tight gas conditions in </w:t>
      </w:r>
      <w:r w:rsidR="00710544" w:rsidRPr="00E6110F">
        <w:t xml:space="preserve">sedimentary basins in </w:t>
      </w:r>
      <w:r w:rsidR="005B24D8" w:rsidRPr="00E6110F">
        <w:t>the US.</w:t>
      </w:r>
      <w:r w:rsidR="00710544" w:rsidRPr="00E6110F">
        <w:t xml:space="preserve"> Such </w:t>
      </w:r>
      <w:r w:rsidR="00DF176F">
        <w:t>s</w:t>
      </w:r>
      <w:r w:rsidR="00DF176F" w:rsidRPr="00E6110F">
        <w:t xml:space="preserve">edimentary </w:t>
      </w:r>
      <w:r w:rsidR="00710544" w:rsidRPr="00E6110F">
        <w:t>basins are typically dominated by low-permeability rocks such as shale, siltstone, and mudstone. As a result, upward fluid movement will be minimal in the absence of conductive fractures or faults.</w:t>
      </w:r>
      <w:r w:rsidR="00E207CE" w:rsidRPr="00E6110F">
        <w:t xml:space="preserve"> Furthermore, the low degree of water saturation in shale formations causes any introduced water to be tightly bound by capillary forces. </w:t>
      </w:r>
      <w:r w:rsidR="00E06FF0" w:rsidRPr="00E6110F">
        <w:t>In th</w:t>
      </w:r>
      <w:r w:rsidR="00E207CE" w:rsidRPr="00E6110F">
        <w:t>ese</w:t>
      </w:r>
      <w:r w:rsidR="00E06FF0" w:rsidRPr="00E6110F">
        <w:t xml:space="preserve"> restrictive environment</w:t>
      </w:r>
      <w:r w:rsidR="00E207CE" w:rsidRPr="00E6110F">
        <w:t>s</w:t>
      </w:r>
      <w:r w:rsidR="00E06FF0" w:rsidRPr="00E6110F">
        <w:t>, the potential for upward fluid migration will depend primarily on the extent of upward fracture growth and fault movement</w:t>
      </w:r>
      <w:r w:rsidR="00E207CE" w:rsidRPr="00E6110F">
        <w:t xml:space="preserve"> (Flewelling et al. 2013)</w:t>
      </w:r>
      <w:r w:rsidR="00E06FF0" w:rsidRPr="00E6110F">
        <w:t xml:space="preserve">. </w:t>
      </w:r>
    </w:p>
    <w:p w14:paraId="39723D12" w14:textId="3B3C93F4" w:rsidR="00CA7497" w:rsidRPr="00E6110F" w:rsidRDefault="00423090" w:rsidP="00423090">
      <w:pPr>
        <w:pStyle w:val="Body"/>
      </w:pPr>
      <w:r w:rsidRPr="00E6110F">
        <w:t xml:space="preserve">Flewelling et al. (2013) evaluated the physical limits on hydraulic fracture growth or fault movement and how such limits might factor into an analysis of potential fluid migration to shallow aquifers. They analysed over 12,000 hydraulic fracturing stimulations whose fracture networks were mapped with micro-seismic sensors. A simple physical relationship was derived that describes the upper limit on fracture height growth as a function of hydraulic fracturing fluid volume. The analysis assumed that naturally occurring joints and faults are sealed and that upward fluid migration can only occur along these features when they are opened or induced to slip. </w:t>
      </w:r>
      <w:r w:rsidR="00D14C72">
        <w:t>They</w:t>
      </w:r>
      <w:r w:rsidRPr="00E6110F">
        <w:t xml:space="preserve"> conclude</w:t>
      </w:r>
      <w:r w:rsidR="00D14C72">
        <w:t>d</w:t>
      </w:r>
      <w:r w:rsidRPr="00E6110F">
        <w:t xml:space="preserve"> that</w:t>
      </w:r>
      <w:r w:rsidR="00CA7497" w:rsidRPr="00E6110F">
        <w:t>:</w:t>
      </w:r>
    </w:p>
    <w:p w14:paraId="6F7C8206" w14:textId="68D9FB56" w:rsidR="00423090" w:rsidRPr="00E6110F" w:rsidRDefault="00423090" w:rsidP="00C117A3">
      <w:pPr>
        <w:pStyle w:val="Body"/>
        <w:numPr>
          <w:ilvl w:val="0"/>
          <w:numId w:val="19"/>
        </w:numPr>
      </w:pPr>
      <w:r w:rsidRPr="00E6110F">
        <w:t>maximum fracture heights and the overall vertical extent of seismic displacements during hydraulic fracturing stimulations are ultimately limited by hydraulic fracturing fl</w:t>
      </w:r>
      <w:r w:rsidR="00CA7497" w:rsidRPr="00E6110F">
        <w:t>uid volume</w:t>
      </w:r>
    </w:p>
    <w:p w14:paraId="03E0F9C0" w14:textId="1C2E9A96" w:rsidR="00CA7497" w:rsidRPr="00E6110F" w:rsidRDefault="00CA7497" w:rsidP="00C117A3">
      <w:pPr>
        <w:pStyle w:val="Body"/>
        <w:numPr>
          <w:ilvl w:val="0"/>
          <w:numId w:val="19"/>
        </w:numPr>
      </w:pPr>
      <w:proofErr w:type="gramStart"/>
      <w:r w:rsidRPr="00E6110F">
        <w:t>it</w:t>
      </w:r>
      <w:proofErr w:type="gramEnd"/>
      <w:r w:rsidRPr="00E6110F">
        <w:t xml:space="preserve"> is not physically plausible for induced fractures to create a hydraulic connection between deep black shale and other tight formations to overlying potable aquifers, based on the limited amount of height growth at depth and the rotation of the least principal stress to the vertical direction at shallow depths.</w:t>
      </w:r>
    </w:p>
    <w:p w14:paraId="0B0CD4D0" w14:textId="591D3D47" w:rsidR="00423090" w:rsidRPr="00E6110F" w:rsidRDefault="009A644D" w:rsidP="00DF08CE">
      <w:pPr>
        <w:pStyle w:val="Body"/>
      </w:pPr>
      <w:r w:rsidRPr="00E6110F">
        <w:t xml:space="preserve">Using real data collected from micro-seismic and micro-deformation mapping on thousands of hydraulic fracturing jobs carried out in the </w:t>
      </w:r>
      <w:r w:rsidR="001016AD" w:rsidRPr="00E6110F">
        <w:t xml:space="preserve">most active shale plays in the </w:t>
      </w:r>
      <w:r w:rsidRPr="00E6110F">
        <w:t>US, Fisher and Warpinski (2012) concluded that hydraulic fracture heights are relatively well contained</w:t>
      </w:r>
      <w:r w:rsidR="00FA3710" w:rsidRPr="00E6110F">
        <w:t xml:space="preserve"> owing to a number of containment mechanisms</w:t>
      </w:r>
      <w:r w:rsidRPr="00E6110F">
        <w:t>.</w:t>
      </w:r>
      <w:r w:rsidR="00FA3710" w:rsidRPr="00E6110F">
        <w:t xml:space="preserve"> Based on an analysis of mineback experiments involving real hydraulic fractures, containment mechanism</w:t>
      </w:r>
      <w:r w:rsidR="00D14C72">
        <w:t>s</w:t>
      </w:r>
      <w:r w:rsidR="00FA3710" w:rsidRPr="00E6110F">
        <w:t xml:space="preserve"> were found to include complex geologic layering, changing material properties, </w:t>
      </w:r>
      <w:r w:rsidR="00C9272B" w:rsidRPr="00E6110F">
        <w:t xml:space="preserve">formation of hydraulic fracture networks, </w:t>
      </w:r>
      <w:r w:rsidR="00DF08CE" w:rsidRPr="00E6110F">
        <w:t>and natural barriers to propagation owing to higher confining stress or high permeability which allows the fluid to bleed off</w:t>
      </w:r>
      <w:r w:rsidR="00C9272B" w:rsidRPr="00E6110F">
        <w:t>.</w:t>
      </w:r>
      <w:r w:rsidR="000538FA" w:rsidRPr="00E6110F">
        <w:t xml:space="preserve"> As an example,</w:t>
      </w:r>
      <w:r w:rsidR="009E14EA">
        <w:t xml:space="preserve"> </w:t>
      </w:r>
      <w:r w:rsidR="009E14EA">
        <w:fldChar w:fldCharType="begin" w:fldLock="1"/>
      </w:r>
      <w:r w:rsidR="009E14EA">
        <w:instrText xml:space="preserve"> REF _Ref458013205 \h </w:instrText>
      </w:r>
      <w:r w:rsidR="009E14EA">
        <w:fldChar w:fldCharType="separate"/>
      </w:r>
      <w:r w:rsidR="00335E79" w:rsidRPr="00E6110F">
        <w:t xml:space="preserve">Figure </w:t>
      </w:r>
      <w:r w:rsidR="00335E79">
        <w:rPr>
          <w:noProof/>
        </w:rPr>
        <w:t>2</w:t>
      </w:r>
      <w:r w:rsidR="00335E79">
        <w:noBreakHyphen/>
      </w:r>
      <w:r w:rsidR="00335E79">
        <w:rPr>
          <w:noProof/>
        </w:rPr>
        <w:t>1</w:t>
      </w:r>
      <w:r w:rsidR="009E14EA">
        <w:fldChar w:fldCharType="end"/>
      </w:r>
      <w:r w:rsidR="000538FA" w:rsidRPr="00E6110F">
        <w:t xml:space="preserve"> presents a hierarchy of fracture complexity. Rather than the simpler planar fracture shown in the upper left, </w:t>
      </w:r>
      <w:r w:rsidR="00814290" w:rsidRPr="00E6110F">
        <w:t>fractures in common geologic environments display varying degrees of complexity. Owing to th</w:t>
      </w:r>
      <w:r w:rsidR="006B4F38">
        <w:t>i</w:t>
      </w:r>
      <w:r w:rsidR="00814290" w:rsidRPr="00E6110F">
        <w:t>s complexity, fractures are believed to grow shorter than they would if they were simple planar features.</w:t>
      </w:r>
    </w:p>
    <w:p w14:paraId="306662B9" w14:textId="77777777" w:rsidR="00291BC6" w:rsidRPr="00E6110F" w:rsidRDefault="00291BC6" w:rsidP="00423090">
      <w:pPr>
        <w:pStyle w:val="Body"/>
      </w:pPr>
    </w:p>
    <w:p w14:paraId="7EA5157D" w14:textId="583E5376" w:rsidR="00BD5FEB" w:rsidRPr="00E6110F" w:rsidRDefault="00BD5FEB" w:rsidP="00BD5FEB">
      <w:pPr>
        <w:pStyle w:val="Body"/>
        <w:jc w:val="center"/>
      </w:pPr>
      <w:r w:rsidRPr="00E6110F">
        <w:rPr>
          <w:noProof/>
          <w:lang w:val="en-AU" w:eastAsia="en-AU"/>
        </w:rPr>
        <w:drawing>
          <wp:inline distT="0" distB="0" distL="0" distR="0" wp14:anchorId="6A14CC1A" wp14:editId="5197F370">
            <wp:extent cx="3700752" cy="2830286"/>
            <wp:effectExtent l="0" t="0" r="0" b="8255"/>
            <wp:docPr id="526" name="Picture 526" descr="Schematics of levels of hydraulic fracture networks:&#10;-Simple Fractures&#10;-Complex Fractures&#10;-Complex Fracture with fissure open&#10;-Complex Fracture network"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3709338" cy="2836853"/>
                    </a:xfrm>
                    <a:prstGeom prst="rect">
                      <a:avLst/>
                    </a:prstGeom>
                  </pic:spPr>
                </pic:pic>
              </a:graphicData>
            </a:graphic>
          </wp:inline>
        </w:drawing>
      </w:r>
    </w:p>
    <w:p w14:paraId="03FFCCA1" w14:textId="53E49A90" w:rsidR="00BD5FEB" w:rsidRPr="00E6110F" w:rsidRDefault="00BD5FEB" w:rsidP="00BD5FEB">
      <w:pPr>
        <w:pStyle w:val="Imagecaption"/>
      </w:pPr>
      <w:bookmarkStart w:id="28" w:name="_Ref458013205"/>
      <w:bookmarkStart w:id="29" w:name="_Toc477347533"/>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w:t>
      </w:r>
      <w:r w:rsidR="00254026">
        <w:fldChar w:fldCharType="end"/>
      </w:r>
      <w:bookmarkEnd w:id="28"/>
      <w:r w:rsidRPr="00E6110F">
        <w:t xml:space="preserve"> Schematics of levels of hydraulic fracture networks (Fisher and Warpinski 2012).</w:t>
      </w:r>
      <w:bookmarkEnd w:id="29"/>
    </w:p>
    <w:p w14:paraId="45940D34" w14:textId="77777777" w:rsidR="00822AE5" w:rsidRPr="00E6110F" w:rsidRDefault="00822AE5" w:rsidP="00BD5FEB">
      <w:pPr>
        <w:pStyle w:val="Imagecaption"/>
      </w:pPr>
    </w:p>
    <w:p w14:paraId="0A857763" w14:textId="3F63009E" w:rsidR="00160BC6" w:rsidRPr="00E6110F" w:rsidRDefault="00492D64" w:rsidP="00160BC6">
      <w:pPr>
        <w:pStyle w:val="Body"/>
      </w:pPr>
      <w:r w:rsidRPr="00E6110F">
        <w:t xml:space="preserve">Davies et al. (2012) undertook </w:t>
      </w:r>
      <w:r w:rsidR="00822AE5" w:rsidRPr="00E6110F">
        <w:t>a</w:t>
      </w:r>
      <w:r w:rsidRPr="00E6110F">
        <w:t xml:space="preserve"> c</w:t>
      </w:r>
      <w:r w:rsidR="00822AE5" w:rsidRPr="00E6110F">
        <w:t xml:space="preserve">omprehensive compilation of </w:t>
      </w:r>
      <w:r w:rsidR="00902C67" w:rsidRPr="00E6110F">
        <w:t xml:space="preserve">micro-seismic </w:t>
      </w:r>
      <w:r w:rsidR="00822AE5" w:rsidRPr="00E6110F">
        <w:t>data</w:t>
      </w:r>
      <w:r w:rsidR="00902C67" w:rsidRPr="00E6110F">
        <w:t xml:space="preserve"> from hydraulic fracturing </w:t>
      </w:r>
      <w:r w:rsidR="007D4FC1" w:rsidRPr="00E6110F">
        <w:t xml:space="preserve">events </w:t>
      </w:r>
      <w:r w:rsidR="00902C67" w:rsidRPr="00E6110F">
        <w:t>in US shales.</w:t>
      </w:r>
      <w:r w:rsidR="00822AE5" w:rsidRPr="00E6110F">
        <w:t xml:space="preserve"> </w:t>
      </w:r>
      <w:r w:rsidRPr="00E6110F">
        <w:t>The</w:t>
      </w:r>
      <w:r w:rsidR="00D14C72">
        <w:t>y</w:t>
      </w:r>
      <w:r w:rsidRPr="00E6110F">
        <w:t xml:space="preserve"> concluded </w:t>
      </w:r>
      <w:r w:rsidR="00822AE5" w:rsidRPr="00E6110F">
        <w:t xml:space="preserve">the probability that stimulated hydraulic fractures extend vertically beyond 350 m is </w:t>
      </w:r>
      <w:r w:rsidR="00902C67" w:rsidRPr="00E6110F">
        <w:t xml:space="preserve">approximately </w:t>
      </w:r>
      <w:r w:rsidR="00822AE5" w:rsidRPr="00E6110F">
        <w:t>1%</w:t>
      </w:r>
      <w:r w:rsidR="00AE07C7" w:rsidRPr="00E6110F">
        <w:t xml:space="preserve"> (</w:t>
      </w:r>
      <w:r w:rsidR="00AE07C7" w:rsidRPr="00E6110F">
        <w:fldChar w:fldCharType="begin" w:fldLock="1"/>
      </w:r>
      <w:r w:rsidR="00AE07C7" w:rsidRPr="00E6110F">
        <w:instrText xml:space="preserve"> REF _Ref448439757 \h </w:instrText>
      </w:r>
      <w:r w:rsidR="00E6110F">
        <w:instrText xml:space="preserve"> \* MERGEFORMAT </w:instrText>
      </w:r>
      <w:r w:rsidR="00AE07C7" w:rsidRPr="00E6110F">
        <w:fldChar w:fldCharType="separate"/>
      </w:r>
      <w:r w:rsidR="00335E79" w:rsidRPr="00E6110F">
        <w:t xml:space="preserve">Figure </w:t>
      </w:r>
      <w:r w:rsidR="00335E79">
        <w:rPr>
          <w:noProof/>
        </w:rPr>
        <w:t>2</w:t>
      </w:r>
      <w:r w:rsidR="00335E79">
        <w:rPr>
          <w:noProof/>
        </w:rPr>
        <w:noBreakHyphen/>
        <w:t>2</w:t>
      </w:r>
      <w:r w:rsidR="00AE07C7" w:rsidRPr="00E6110F">
        <w:fldChar w:fldCharType="end"/>
      </w:r>
      <w:r w:rsidR="00AE07C7" w:rsidRPr="00E6110F">
        <w:t>)</w:t>
      </w:r>
      <w:r w:rsidR="00822AE5" w:rsidRPr="00E6110F">
        <w:t>.</w:t>
      </w:r>
      <w:r w:rsidR="00160BC6" w:rsidRPr="00E6110F">
        <w:t xml:space="preserve"> </w:t>
      </w:r>
      <w:r w:rsidR="00D14C72">
        <w:t>They</w:t>
      </w:r>
      <w:r w:rsidR="00160BC6" w:rsidRPr="00E6110F">
        <w:t xml:space="preserve"> argued there are certain geological scenarios where there could be connectivity between a hydrocarbon reservoirs and aquifers through a significant thickness of overburden. The example discussed by Davies et al. </w:t>
      </w:r>
      <w:r w:rsidR="00896522" w:rsidRPr="00E6110F">
        <w:t xml:space="preserve">(2012) </w:t>
      </w:r>
      <w:r w:rsidR="00D14C72">
        <w:t>wa</w:t>
      </w:r>
      <w:r w:rsidR="00160BC6" w:rsidRPr="00E6110F">
        <w:t xml:space="preserve">s </w:t>
      </w:r>
      <w:r w:rsidR="00896522" w:rsidRPr="00E6110F">
        <w:t xml:space="preserve">when </w:t>
      </w:r>
      <w:r w:rsidR="00160BC6" w:rsidRPr="00E6110F">
        <w:t xml:space="preserve">sand </w:t>
      </w:r>
      <w:r w:rsidR="00E62E94" w:rsidRPr="00E6110F">
        <w:t>proppants</w:t>
      </w:r>
      <w:r w:rsidR="00160BC6" w:rsidRPr="00E6110F">
        <w:t xml:space="preserve"> </w:t>
      </w:r>
      <w:r w:rsidR="00896522" w:rsidRPr="00E6110F">
        <w:t xml:space="preserve">are used </w:t>
      </w:r>
      <w:r w:rsidR="00160BC6" w:rsidRPr="00E6110F">
        <w:t xml:space="preserve">that can cut through 1000 m of shale (Hurst et al. 2011). </w:t>
      </w:r>
      <w:r w:rsidR="00B5370E" w:rsidRPr="00E6110F">
        <w:t xml:space="preserve">When combined with </w:t>
      </w:r>
      <w:r w:rsidR="00160BC6" w:rsidRPr="00E6110F">
        <w:t>long enough pumping time</w:t>
      </w:r>
      <w:r w:rsidR="00B5370E" w:rsidRPr="00E6110F">
        <w:t>,</w:t>
      </w:r>
      <w:r w:rsidR="00160BC6" w:rsidRPr="00E6110F">
        <w:t xml:space="preserve"> </w:t>
      </w:r>
      <w:r w:rsidR="00B5370E" w:rsidRPr="00E6110F">
        <w:t xml:space="preserve">this could </w:t>
      </w:r>
      <w:r w:rsidR="00160BC6" w:rsidRPr="00E6110F">
        <w:t>cause critical pressurisation of shallower strata and therefore shallower fractures. These and other geological scenarios should be considered and modelled.</w:t>
      </w:r>
    </w:p>
    <w:p w14:paraId="31F30BBC" w14:textId="43F6E5E2" w:rsidR="00B30F72" w:rsidRPr="00E6110F" w:rsidRDefault="00E81BB9" w:rsidP="005A0C29">
      <w:pPr>
        <w:pStyle w:val="Body"/>
      </w:pPr>
      <w:r w:rsidRPr="00E6110F">
        <w:rPr>
          <w:noProof/>
          <w:lang w:val="en-AU" w:eastAsia="en-AU"/>
        </w:rPr>
        <w:drawing>
          <wp:inline distT="0" distB="0" distL="0" distR="0" wp14:anchorId="71DDF334" wp14:editId="756E7241">
            <wp:extent cx="5727700" cy="3284220"/>
            <wp:effectExtent l="0" t="0" r="6350" b="0"/>
            <wp:docPr id="527" name="Picture 527" descr="Four graphs of frequency of hydraulic fracture height for five regions:  Eagle Ford, Woodford, Barnett, Marcellus, Niobara."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727700" cy="3284220"/>
                    </a:xfrm>
                    <a:prstGeom prst="rect">
                      <a:avLst/>
                    </a:prstGeom>
                  </pic:spPr>
                </pic:pic>
              </a:graphicData>
            </a:graphic>
          </wp:inline>
        </w:drawing>
      </w:r>
    </w:p>
    <w:p w14:paraId="73F8208A" w14:textId="71B97C0E" w:rsidR="00E81BB9" w:rsidRPr="00E6110F" w:rsidRDefault="00E81BB9" w:rsidP="00DB7402">
      <w:pPr>
        <w:pStyle w:val="Imagecaption"/>
      </w:pPr>
      <w:bookmarkStart w:id="30" w:name="_Ref448439757"/>
      <w:bookmarkStart w:id="31" w:name="_Toc477347534"/>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w:t>
      </w:r>
      <w:r w:rsidR="00254026">
        <w:fldChar w:fldCharType="end"/>
      </w:r>
      <w:bookmarkEnd w:id="30"/>
      <w:r w:rsidRPr="00E6110F">
        <w:t xml:space="preserve"> </w:t>
      </w:r>
      <w:r w:rsidR="00DB7402" w:rsidRPr="00E6110F">
        <w:t>Frequency of hydraulic fracture height for (a) upward and (b) downward propagating fractures in the Marcellus, Barnett, Woodford, Eagle Ford and Niobrara shales. Probability of exceedance of height of (c) upward propagating fractures and (d) downward propagating fractures (Davies et al. 2012).</w:t>
      </w:r>
      <w:bookmarkEnd w:id="31"/>
    </w:p>
    <w:p w14:paraId="54160B0E" w14:textId="77777777" w:rsidR="00B30F72" w:rsidRPr="00E6110F" w:rsidRDefault="00B30F72" w:rsidP="00B30F72">
      <w:pPr>
        <w:pStyle w:val="Body"/>
      </w:pPr>
    </w:p>
    <w:p w14:paraId="70D2BCB6" w14:textId="6FF887B1" w:rsidR="00DF0100" w:rsidRPr="00E6110F" w:rsidRDefault="004542C7" w:rsidP="0062753C">
      <w:pPr>
        <w:pStyle w:val="Body"/>
      </w:pPr>
      <w:r w:rsidRPr="00E6110F">
        <w:t>In a geochemical study of potential connectivity between Marcellus shale and shallow groundwater</w:t>
      </w:r>
      <w:r w:rsidR="00D14C72">
        <w:t>,</w:t>
      </w:r>
      <w:r w:rsidRPr="00E6110F">
        <w:t xml:space="preserve"> Warner et al. (2012</w:t>
      </w:r>
      <w:r w:rsidR="002F068E" w:rsidRPr="00E6110F">
        <w:t>a</w:t>
      </w:r>
      <w:r w:rsidRPr="00E6110F">
        <w:t>) classified 426 water samples from shallow groundwater in an 80 × 160 km area of northeastern Pennsylvania currently experiencing hydraulic fracturing of the Marcellus gas shale. The classification consist</w:t>
      </w:r>
      <w:r w:rsidR="00D14C72">
        <w:t>ed</w:t>
      </w:r>
      <w:r w:rsidRPr="00E6110F">
        <w:t xml:space="preserve"> of 4 groups based on Br, Cl, Na, Ba, Sr, Li concentration and the isotopic ratios of </w:t>
      </w:r>
      <w:r w:rsidRPr="00E6110F">
        <w:rPr>
          <w:vertAlign w:val="superscript"/>
        </w:rPr>
        <w:t>87</w:t>
      </w:r>
      <w:r w:rsidRPr="00E6110F">
        <w:t>Sr/</w:t>
      </w:r>
      <w:r w:rsidRPr="00E6110F">
        <w:rPr>
          <w:vertAlign w:val="superscript"/>
        </w:rPr>
        <w:t>86</w:t>
      </w:r>
      <w:r w:rsidRPr="00E6110F">
        <w:t xml:space="preserve">Sr, </w:t>
      </w:r>
      <w:r w:rsidRPr="00E6110F">
        <w:rPr>
          <w:vertAlign w:val="superscript"/>
        </w:rPr>
        <w:t>2</w:t>
      </w:r>
      <w:r w:rsidRPr="00E6110F">
        <w:t xml:space="preserve">H/H, </w:t>
      </w:r>
      <w:r w:rsidRPr="00E6110F">
        <w:rPr>
          <w:vertAlign w:val="superscript"/>
        </w:rPr>
        <w:t>18</w:t>
      </w:r>
      <w:r w:rsidRPr="00E6110F">
        <w:t>O/</w:t>
      </w:r>
      <w:r w:rsidRPr="00E6110F">
        <w:rPr>
          <w:vertAlign w:val="superscript"/>
        </w:rPr>
        <w:t>16</w:t>
      </w:r>
      <w:r w:rsidRPr="00E6110F">
        <w:t xml:space="preserve">O, and </w:t>
      </w:r>
      <w:r w:rsidRPr="00E6110F">
        <w:rPr>
          <w:vertAlign w:val="superscript"/>
        </w:rPr>
        <w:t>228</w:t>
      </w:r>
      <w:r w:rsidRPr="00E6110F">
        <w:t>Ra/</w:t>
      </w:r>
      <w:r w:rsidRPr="00E6110F">
        <w:rPr>
          <w:vertAlign w:val="superscript"/>
        </w:rPr>
        <w:t>226</w:t>
      </w:r>
      <w:r w:rsidRPr="00E6110F">
        <w:t xml:space="preserve">Ra. </w:t>
      </w:r>
      <w:r w:rsidR="00D373DB" w:rsidRPr="00E6110F">
        <w:t>Evidence that diluted residual brine had migrated from deep formations along cross formational pathways</w:t>
      </w:r>
      <w:r w:rsidR="00D14C72">
        <w:t xml:space="preserve"> wa</w:t>
      </w:r>
      <w:r w:rsidR="00D373DB" w:rsidRPr="00E6110F">
        <w:t>s found in the chemistry of o</w:t>
      </w:r>
      <w:r w:rsidRPr="00E6110F">
        <w:t xml:space="preserve">ne group with high Br/Cl and Sr/Ca but low </w:t>
      </w:r>
      <w:r w:rsidRPr="00E6110F">
        <w:rPr>
          <w:vertAlign w:val="superscript"/>
        </w:rPr>
        <w:t>87</w:t>
      </w:r>
      <w:r w:rsidRPr="00E6110F">
        <w:t>Sr/</w:t>
      </w:r>
      <w:r w:rsidRPr="00E6110F">
        <w:rPr>
          <w:vertAlign w:val="superscript"/>
        </w:rPr>
        <w:t>86</w:t>
      </w:r>
      <w:r w:rsidRPr="00E6110F">
        <w:t xml:space="preserve">Sr. By referring to the source as the ‘‘Marcellus’’, </w:t>
      </w:r>
      <w:r w:rsidR="00D373DB" w:rsidRPr="00E6110F">
        <w:t>Warner et al. (2012</w:t>
      </w:r>
      <w:r w:rsidR="002F068E" w:rsidRPr="00E6110F">
        <w:t>a</w:t>
      </w:r>
      <w:r w:rsidR="00D373DB" w:rsidRPr="00E6110F">
        <w:t xml:space="preserve">) </w:t>
      </w:r>
      <w:r w:rsidRPr="00E6110F">
        <w:t>impl</w:t>
      </w:r>
      <w:r w:rsidR="004734C7">
        <w:t>i</w:t>
      </w:r>
      <w:r w:rsidR="00D14C72">
        <w:t>ed</w:t>
      </w:r>
      <w:r w:rsidRPr="00E6110F">
        <w:t xml:space="preserve"> that leakage </w:t>
      </w:r>
      <w:r w:rsidR="00D14C72">
        <w:t>wa</w:t>
      </w:r>
      <w:r w:rsidRPr="00E6110F">
        <w:t>s from the Marcellus and they suggest</w:t>
      </w:r>
      <w:r w:rsidR="00D14C72">
        <w:t>ed that</w:t>
      </w:r>
      <w:r w:rsidRPr="00E6110F">
        <w:t xml:space="preserve"> the pathways of natural gas leakage might be areas of higher risk for leakage of </w:t>
      </w:r>
      <w:r w:rsidR="00D373DB" w:rsidRPr="00E6110F">
        <w:t>residual hydraulic fracturing fluid (the fluid left in place beyond the control of engineers)</w:t>
      </w:r>
      <w:r w:rsidRPr="00E6110F">
        <w:t xml:space="preserve">. The Marcellus </w:t>
      </w:r>
      <w:r w:rsidR="00D14C72">
        <w:t>wa</w:t>
      </w:r>
      <w:r w:rsidRPr="00E6110F">
        <w:t xml:space="preserve">s portrayed as leaking now without any human assistance through cross-formational pathways and the concern </w:t>
      </w:r>
      <w:r w:rsidR="00D14C72">
        <w:t>wa</w:t>
      </w:r>
      <w:r w:rsidRPr="00E6110F">
        <w:t xml:space="preserve">s raised that hydraulic fracturing in the Marcellus could make this leakage worse. </w:t>
      </w:r>
      <w:r w:rsidR="00DF0100" w:rsidRPr="00E6110F">
        <w:t xml:space="preserve">According to Engelder et al. </w:t>
      </w:r>
      <w:r w:rsidR="00FB11BA" w:rsidRPr="00E6110F">
        <w:t xml:space="preserve">(2014) </w:t>
      </w:r>
      <w:r w:rsidR="00DF0100" w:rsidRPr="00E6110F">
        <w:t>the possibilities raised by Warner et al. (</w:t>
      </w:r>
      <w:r w:rsidR="00FB11BA" w:rsidRPr="00E6110F">
        <w:t>2012</w:t>
      </w:r>
      <w:r w:rsidR="002F068E" w:rsidRPr="00E6110F">
        <w:t>a</w:t>
      </w:r>
      <w:r w:rsidR="00DF0100" w:rsidRPr="00E6110F">
        <w:t xml:space="preserve">) are extremely unlikely </w:t>
      </w:r>
      <w:r w:rsidR="00FB11BA" w:rsidRPr="00E6110F">
        <w:t>(see further)</w:t>
      </w:r>
      <w:r w:rsidR="00DF0100" w:rsidRPr="00E6110F">
        <w:t>.</w:t>
      </w:r>
      <w:r w:rsidR="0062753C" w:rsidRPr="00E6110F">
        <w:t xml:space="preserve"> In a reply to earlier criticism of Engelder (2012)</w:t>
      </w:r>
      <w:r w:rsidR="00125968" w:rsidRPr="00E6110F">
        <w:t>,</w:t>
      </w:r>
      <w:r w:rsidR="0062753C" w:rsidRPr="00E6110F">
        <w:t xml:space="preserve"> Warner et al. (2012b) argue</w:t>
      </w:r>
      <w:r w:rsidR="00D14C72">
        <w:t>d</w:t>
      </w:r>
      <w:r w:rsidR="0062753C" w:rsidRPr="00E6110F">
        <w:t xml:space="preserve"> that (i) there is evidence for natural migration of brine and subsequent dilution in shallow drinking water aquifers, and (ii) if hydraulic fracturing intercepts natural pathways (i.e., faults/fractures) that connect the Marcellus to overlying units, the migration of fluids, including gases, remains possible. </w:t>
      </w:r>
    </w:p>
    <w:p w14:paraId="1791C397" w14:textId="484EF107" w:rsidR="00822E8B" w:rsidRPr="00E6110F" w:rsidRDefault="00A4660C" w:rsidP="00822E8B">
      <w:pPr>
        <w:pStyle w:val="Body"/>
      </w:pPr>
      <w:r w:rsidRPr="00E6110F">
        <w:t xml:space="preserve">Jackson et al. </w:t>
      </w:r>
      <w:r w:rsidR="002E1A9E" w:rsidRPr="00E6110F">
        <w:t>(</w:t>
      </w:r>
      <w:r w:rsidRPr="00E6110F">
        <w:t>2013</w:t>
      </w:r>
      <w:r w:rsidR="002E1A9E" w:rsidRPr="00E6110F">
        <w:t>)</w:t>
      </w:r>
      <w:r w:rsidRPr="00E6110F">
        <w:t xml:space="preserve"> </w:t>
      </w:r>
      <w:r w:rsidR="002E1A9E" w:rsidRPr="00E6110F">
        <w:t xml:space="preserve">analysed 141 drinking water bores across the Appalachian Plateaus (northeastern Pennsylvania, US) examining natural gas concentrations and their isotopic signatures with proximity to </w:t>
      </w:r>
      <w:r w:rsidR="0008632D" w:rsidRPr="00E6110F">
        <w:t>natural</w:t>
      </w:r>
      <w:r w:rsidR="002E1A9E" w:rsidRPr="00E6110F">
        <w:t xml:space="preserve"> gas wells. </w:t>
      </w:r>
      <w:r w:rsidR="005E7111" w:rsidRPr="00E6110F">
        <w:t>Analytes included m</w:t>
      </w:r>
      <w:r w:rsidR="002E1A9E" w:rsidRPr="00E6110F">
        <w:t>ethane</w:t>
      </w:r>
      <w:r w:rsidR="005E7111" w:rsidRPr="00E6110F">
        <w:t xml:space="preserve"> (CH</w:t>
      </w:r>
      <w:r w:rsidR="005E7111" w:rsidRPr="00E6110F">
        <w:rPr>
          <w:vertAlign w:val="subscript"/>
        </w:rPr>
        <w:t>4</w:t>
      </w:r>
      <w:r w:rsidR="005E7111" w:rsidRPr="00E6110F">
        <w:t>), ethane (C</w:t>
      </w:r>
      <w:r w:rsidR="005E7111" w:rsidRPr="00E6110F">
        <w:rPr>
          <w:vertAlign w:val="subscript"/>
        </w:rPr>
        <w:t>2</w:t>
      </w:r>
      <w:r w:rsidR="005E7111" w:rsidRPr="00E6110F">
        <w:t>H</w:t>
      </w:r>
      <w:r w:rsidR="005E7111" w:rsidRPr="00E6110F">
        <w:rPr>
          <w:vertAlign w:val="subscript"/>
        </w:rPr>
        <w:t>6</w:t>
      </w:r>
      <w:r w:rsidR="005E7111" w:rsidRPr="00E6110F">
        <w:t>) and propane (C</w:t>
      </w:r>
      <w:r w:rsidR="005E7111" w:rsidRPr="00E6110F">
        <w:rPr>
          <w:vertAlign w:val="subscript"/>
        </w:rPr>
        <w:t>3</w:t>
      </w:r>
      <w:r w:rsidR="005E7111" w:rsidRPr="00E6110F">
        <w:t>H</w:t>
      </w:r>
      <w:r w:rsidR="005E7111" w:rsidRPr="00E6110F">
        <w:rPr>
          <w:vertAlign w:val="subscript"/>
        </w:rPr>
        <w:t>8</w:t>
      </w:r>
      <w:r w:rsidR="005E7111" w:rsidRPr="00E6110F">
        <w:t>), their isotopic signatures (</w:t>
      </w:r>
      <w:r w:rsidR="005E7111" w:rsidRPr="00E6110F">
        <w:sym w:font="Symbol" w:char="F064"/>
      </w:r>
      <w:r w:rsidR="005E7111" w:rsidRPr="00E6110F">
        <w:rPr>
          <w:vertAlign w:val="superscript"/>
        </w:rPr>
        <w:t>13</w:t>
      </w:r>
      <w:r w:rsidR="005E7111" w:rsidRPr="00E6110F">
        <w:t xml:space="preserve">C and </w:t>
      </w:r>
      <w:r w:rsidR="005E7111" w:rsidRPr="00E6110F">
        <w:sym w:font="Symbol" w:char="F064"/>
      </w:r>
      <w:r w:rsidR="005E7111" w:rsidRPr="00E6110F">
        <w:rPr>
          <w:vertAlign w:val="superscript"/>
        </w:rPr>
        <w:t>2</w:t>
      </w:r>
      <w:r w:rsidR="005E7111" w:rsidRPr="00E6110F">
        <w:t xml:space="preserve">H for methane and </w:t>
      </w:r>
      <w:r w:rsidR="005E7111" w:rsidRPr="00E6110F">
        <w:sym w:font="Symbol" w:char="F064"/>
      </w:r>
      <w:r w:rsidR="005E7111" w:rsidRPr="00E6110F">
        <w:rPr>
          <w:vertAlign w:val="superscript"/>
        </w:rPr>
        <w:t>13</w:t>
      </w:r>
      <w:r w:rsidR="005E7111" w:rsidRPr="00E6110F">
        <w:t>C for ethane)</w:t>
      </w:r>
      <w:r w:rsidR="00253E82" w:rsidRPr="00E6110F">
        <w:t xml:space="preserve">, hydrocarbon ratios, and the ratio of the noble gas </w:t>
      </w:r>
      <w:r w:rsidR="00253E82" w:rsidRPr="00E6110F">
        <w:rPr>
          <w:vertAlign w:val="superscript"/>
        </w:rPr>
        <w:t>4</w:t>
      </w:r>
      <w:r w:rsidR="00253E82" w:rsidRPr="00E6110F">
        <w:t>He to methane in groundwater.</w:t>
      </w:r>
      <w:r w:rsidR="00614F33" w:rsidRPr="00E6110F">
        <w:t xml:space="preserve"> For two out of three hydrocarbons the average concentrations in drinking water samples </w:t>
      </w:r>
      <w:r w:rsidR="0008632D" w:rsidRPr="00E6110F">
        <w:t xml:space="preserve">from relatively shallow bores (60-90 m depth) </w:t>
      </w:r>
      <w:r w:rsidR="00614F33" w:rsidRPr="00E6110F">
        <w:t>were significantly higher (six times for methane, 23 times for ethane) at distances &lt; 1 km from gas wells</w:t>
      </w:r>
      <w:r w:rsidR="00763842" w:rsidRPr="00E6110F">
        <w:t xml:space="preserve"> (</w:t>
      </w:r>
      <w:r w:rsidR="00763842" w:rsidRPr="00E6110F">
        <w:fldChar w:fldCharType="begin" w:fldLock="1"/>
      </w:r>
      <w:r w:rsidR="00763842" w:rsidRPr="00E6110F">
        <w:instrText xml:space="preserve"> REF _Ref448578160 \h </w:instrText>
      </w:r>
      <w:r w:rsidR="00E6110F">
        <w:instrText xml:space="preserve"> \* MERGEFORMAT </w:instrText>
      </w:r>
      <w:r w:rsidR="00763842" w:rsidRPr="00E6110F">
        <w:fldChar w:fldCharType="separate"/>
      </w:r>
      <w:r w:rsidR="00335E79" w:rsidRPr="00E6110F">
        <w:t xml:space="preserve">Figure </w:t>
      </w:r>
      <w:r w:rsidR="00335E79">
        <w:rPr>
          <w:noProof/>
        </w:rPr>
        <w:t>2</w:t>
      </w:r>
      <w:r w:rsidR="00335E79">
        <w:rPr>
          <w:noProof/>
        </w:rPr>
        <w:noBreakHyphen/>
        <w:t>3</w:t>
      </w:r>
      <w:r w:rsidR="00763842" w:rsidRPr="00E6110F">
        <w:fldChar w:fldCharType="end"/>
      </w:r>
      <w:r w:rsidR="00763842" w:rsidRPr="00E6110F">
        <w:t>)</w:t>
      </w:r>
      <w:r w:rsidR="00614F33" w:rsidRPr="00E6110F">
        <w:t xml:space="preserve">. Based on the isotopic </w:t>
      </w:r>
      <w:r w:rsidR="00C37ACD" w:rsidRPr="00E6110F">
        <w:t xml:space="preserve">and hydrocarbon </w:t>
      </w:r>
      <w:r w:rsidR="00614F33" w:rsidRPr="00E6110F">
        <w:t>ratios</w:t>
      </w:r>
      <w:r w:rsidR="00C37ACD" w:rsidRPr="00E6110F">
        <w:t xml:space="preserve">, </w:t>
      </w:r>
      <w:r w:rsidR="00614F33" w:rsidRPr="00E6110F">
        <w:t>groundwater w</w:t>
      </w:r>
      <w:r w:rsidR="00C37ACD" w:rsidRPr="00E6110F">
        <w:t>as found to be</w:t>
      </w:r>
      <w:r w:rsidR="00614F33" w:rsidRPr="00E6110F">
        <w:t xml:space="preserve"> characteristic of a thermally postmature</w:t>
      </w:r>
      <w:r w:rsidR="00C37ACD" w:rsidRPr="00E6110F">
        <w:t xml:space="preserve"> </w:t>
      </w:r>
      <w:r w:rsidR="00614F33" w:rsidRPr="00E6110F">
        <w:t xml:space="preserve">Marcellus-like source </w:t>
      </w:r>
      <w:r w:rsidR="00C37ACD" w:rsidRPr="00E6110F">
        <w:t>(the Marcellus Formation is the primary hydrocarbon resource</w:t>
      </w:r>
      <w:r w:rsidR="00CF0364" w:rsidRPr="00E6110F">
        <w:t xml:space="preserve"> ranging in depth from 1200-2500 m</w:t>
      </w:r>
      <w:r w:rsidR="00C37ACD" w:rsidRPr="00E6110F">
        <w:t xml:space="preserve">) </w:t>
      </w:r>
      <w:r w:rsidR="00614F33" w:rsidRPr="00E6110F">
        <w:t>in some cases</w:t>
      </w:r>
      <w:r w:rsidR="00763842" w:rsidRPr="00E6110F">
        <w:t xml:space="preserve"> (</w:t>
      </w:r>
      <w:r w:rsidR="00763842" w:rsidRPr="00E6110F">
        <w:fldChar w:fldCharType="begin" w:fldLock="1"/>
      </w:r>
      <w:r w:rsidR="00763842" w:rsidRPr="00E6110F">
        <w:instrText xml:space="preserve"> REF _Ref448578160 \h </w:instrText>
      </w:r>
      <w:r w:rsidR="00E6110F">
        <w:instrText xml:space="preserve"> \* MERGEFORMAT </w:instrText>
      </w:r>
      <w:r w:rsidR="00763842" w:rsidRPr="00E6110F">
        <w:fldChar w:fldCharType="separate"/>
      </w:r>
      <w:r w:rsidR="00335E79" w:rsidRPr="00E6110F">
        <w:t xml:space="preserve">Figure </w:t>
      </w:r>
      <w:r w:rsidR="00335E79">
        <w:rPr>
          <w:noProof/>
        </w:rPr>
        <w:t>2</w:t>
      </w:r>
      <w:r w:rsidR="00335E79">
        <w:rPr>
          <w:noProof/>
        </w:rPr>
        <w:noBreakHyphen/>
        <w:t>3</w:t>
      </w:r>
      <w:r w:rsidR="00763842" w:rsidRPr="00E6110F">
        <w:fldChar w:fldCharType="end"/>
      </w:r>
      <w:r w:rsidR="00763842" w:rsidRPr="00E6110F">
        <w:t>)</w:t>
      </w:r>
      <w:r w:rsidR="00614F33" w:rsidRPr="00E6110F">
        <w:t xml:space="preserve">. </w:t>
      </w:r>
      <w:r w:rsidR="002F0AAF" w:rsidRPr="00E6110F">
        <w:t>Jackson et al. (2013</w:t>
      </w:r>
      <w:r w:rsidR="00125968" w:rsidRPr="00E6110F">
        <w:t>) hypothesis</w:t>
      </w:r>
      <w:r w:rsidR="002F0AAF" w:rsidRPr="00E6110F">
        <w:t>e that the higher dissolved gas concentrations observed in drinking water are the result of (i) faulty or inadequate steel gas well casings and (ii) imperfections in the cement sealing of the annulus or gaps between casings and rock that keep fluids from moving up the outside of the gas well.</w:t>
      </w:r>
      <w:r w:rsidR="00822E8B" w:rsidRPr="00E6110F">
        <w:t xml:space="preserve"> </w:t>
      </w:r>
      <w:r w:rsidR="00AE0E02" w:rsidRPr="00E6110F">
        <w:t xml:space="preserve">Casing leaks can </w:t>
      </w:r>
      <w:r w:rsidR="001B2CA4" w:rsidRPr="00E6110F">
        <w:t>result</w:t>
      </w:r>
      <w:r w:rsidR="00AE0E02" w:rsidRPr="00E6110F">
        <w:t xml:space="preserve"> from poor thread connections, </w:t>
      </w:r>
      <w:r w:rsidR="001B2CA4" w:rsidRPr="00E6110F">
        <w:t xml:space="preserve">steel </w:t>
      </w:r>
      <w:r w:rsidR="00AE0E02" w:rsidRPr="00E6110F">
        <w:t xml:space="preserve">corrosion, thermal stress cracking, and other causes </w:t>
      </w:r>
      <w:r w:rsidR="001B2CA4" w:rsidRPr="00E6110F">
        <w:t>(Wu et al. 2016). Once</w:t>
      </w:r>
      <w:r w:rsidR="00AE0E02" w:rsidRPr="00E6110F">
        <w:t xml:space="preserve"> the protective </w:t>
      </w:r>
      <w:r w:rsidR="001B2CA4" w:rsidRPr="00E6110F">
        <w:t xml:space="preserve">steel </w:t>
      </w:r>
      <w:r w:rsidR="00AE0E02" w:rsidRPr="00E6110F">
        <w:t xml:space="preserve">casing breaks or leaks, stray gases could be the first </w:t>
      </w:r>
      <w:r w:rsidR="001B2CA4" w:rsidRPr="00E6110F">
        <w:t>indication</w:t>
      </w:r>
      <w:r w:rsidR="00AE0E02" w:rsidRPr="00E6110F">
        <w:t xml:space="preserve"> of </w:t>
      </w:r>
      <w:r w:rsidR="001B2CA4" w:rsidRPr="00E6110F">
        <w:t xml:space="preserve">groundwater </w:t>
      </w:r>
      <w:r w:rsidR="00AE0E02" w:rsidRPr="00E6110F">
        <w:t>contamination</w:t>
      </w:r>
      <w:r w:rsidR="001B2CA4" w:rsidRPr="00E6110F">
        <w:t>;</w:t>
      </w:r>
      <w:r w:rsidR="00AE0E02" w:rsidRPr="00E6110F">
        <w:t xml:space="preserve"> less mobile salts and metals from formation waters or chemicals from </w:t>
      </w:r>
      <w:r w:rsidR="001B2CA4" w:rsidRPr="00E6110F">
        <w:t xml:space="preserve">hydraulic </w:t>
      </w:r>
      <w:r w:rsidR="00AE0E02" w:rsidRPr="00E6110F">
        <w:t xml:space="preserve">fracturing fluids </w:t>
      </w:r>
      <w:r w:rsidR="001B2CA4" w:rsidRPr="00E6110F">
        <w:t xml:space="preserve">can </w:t>
      </w:r>
      <w:r w:rsidR="00AE0E02" w:rsidRPr="00E6110F">
        <w:t xml:space="preserve">potentially </w:t>
      </w:r>
      <w:r w:rsidR="001B2CA4" w:rsidRPr="00E6110F">
        <w:t>arrive</w:t>
      </w:r>
      <w:r w:rsidR="00AE0E02" w:rsidRPr="00E6110F">
        <w:t xml:space="preserve"> later.</w:t>
      </w:r>
      <w:r w:rsidR="00636014" w:rsidRPr="00E6110F">
        <w:t xml:space="preserve"> </w:t>
      </w:r>
      <w:r w:rsidR="000059E3" w:rsidRPr="00E6110F">
        <w:t xml:space="preserve">Cement seal failure may occur when cement shrinks, develops cracks or channels, or is lost in the surrounding rock formation during application (Jackson 2014). </w:t>
      </w:r>
      <w:r w:rsidR="00822E8B" w:rsidRPr="00E6110F">
        <w:t>In case cement seal failure</w:t>
      </w:r>
      <w:r w:rsidR="00636014" w:rsidRPr="00E6110F">
        <w:t xml:space="preserve"> occurs in intermediate layers</w:t>
      </w:r>
      <w:r w:rsidR="00822E8B" w:rsidRPr="00E6110F">
        <w:t xml:space="preserve">, the geochemical and isotopic compositions of stray gas contamination </w:t>
      </w:r>
      <w:r w:rsidR="00636014" w:rsidRPr="00E6110F">
        <w:t>does</w:t>
      </w:r>
      <w:r w:rsidR="00822E8B" w:rsidRPr="00E6110F">
        <w:t xml:space="preserve"> not necessarily match </w:t>
      </w:r>
      <w:r w:rsidR="00636014" w:rsidRPr="00E6110F">
        <w:t xml:space="preserve">that of </w:t>
      </w:r>
      <w:r w:rsidR="00822E8B" w:rsidRPr="00E6110F">
        <w:t xml:space="preserve">the target gas, </w:t>
      </w:r>
      <w:r w:rsidR="00636014" w:rsidRPr="00E6110F">
        <w:t>in which case</w:t>
      </w:r>
      <w:r w:rsidR="00822E8B" w:rsidRPr="00E6110F">
        <w:t xml:space="preserve"> no </w:t>
      </w:r>
      <w:r w:rsidR="00636014" w:rsidRPr="00E6110F">
        <w:t xml:space="preserve">hydraulic </w:t>
      </w:r>
      <w:r w:rsidR="00822E8B" w:rsidRPr="00E6110F">
        <w:t xml:space="preserve">fracturing chemicals or deep formation waters would </w:t>
      </w:r>
      <w:r w:rsidR="00636014" w:rsidRPr="00E6110F">
        <w:t>arrive in shallow groundwater. Indeed</w:t>
      </w:r>
      <w:r w:rsidR="00822E8B" w:rsidRPr="00E6110F">
        <w:t xml:space="preserve">, </w:t>
      </w:r>
      <w:r w:rsidR="00636014" w:rsidRPr="00E6110F">
        <w:t xml:space="preserve">in such scenario </w:t>
      </w:r>
      <w:r w:rsidR="00822E8B" w:rsidRPr="00E6110F">
        <w:t xml:space="preserve">a direct connection </w:t>
      </w:r>
      <w:r w:rsidR="00636014" w:rsidRPr="00E6110F">
        <w:t xml:space="preserve">between </w:t>
      </w:r>
      <w:r w:rsidR="00822E8B" w:rsidRPr="00E6110F">
        <w:t xml:space="preserve">the deepest </w:t>
      </w:r>
      <w:r w:rsidR="00636014" w:rsidRPr="00E6110F">
        <w:t xml:space="preserve">formation </w:t>
      </w:r>
      <w:r w:rsidR="00822E8B" w:rsidRPr="00E6110F">
        <w:t>layers</w:t>
      </w:r>
      <w:r w:rsidR="00636014" w:rsidRPr="00E6110F">
        <w:t xml:space="preserve"> and shallow aquifers</w:t>
      </w:r>
      <w:r w:rsidR="00822E8B" w:rsidRPr="00E6110F">
        <w:t xml:space="preserve"> does not exist</w:t>
      </w:r>
      <w:r w:rsidR="00636014" w:rsidRPr="00E6110F">
        <w:t>.</w:t>
      </w:r>
      <w:r w:rsidR="00822E8B" w:rsidRPr="00E6110F">
        <w:t xml:space="preserve"> </w:t>
      </w:r>
    </w:p>
    <w:p w14:paraId="17AE7E3E" w14:textId="716F5FBC" w:rsidR="00AE0E02" w:rsidRPr="00E6110F" w:rsidRDefault="00E32821" w:rsidP="00E32821">
      <w:pPr>
        <w:pStyle w:val="Body"/>
      </w:pPr>
      <w:r w:rsidRPr="00E6110F">
        <w:t xml:space="preserve">While well integrity failure may be one plausible cause of groundwater contamination, there are </w:t>
      </w:r>
      <w:r w:rsidR="00636014" w:rsidRPr="00E6110F">
        <w:t xml:space="preserve">two other potential mechanisms for contamination </w:t>
      </w:r>
      <w:r w:rsidRPr="00E6110F">
        <w:t xml:space="preserve">caused </w:t>
      </w:r>
      <w:r w:rsidR="00636014" w:rsidRPr="00E6110F">
        <w:t>by hydraulic fracturing/horizontal drilling</w:t>
      </w:r>
      <w:r w:rsidRPr="00E6110F">
        <w:t xml:space="preserve">. These </w:t>
      </w:r>
      <w:r w:rsidR="00636014" w:rsidRPr="00E6110F">
        <w:t>include enhancing deep-to</w:t>
      </w:r>
      <w:r w:rsidRPr="00E6110F">
        <w:t>-</w:t>
      </w:r>
      <w:r w:rsidR="00636014" w:rsidRPr="00E6110F">
        <w:t>shallow hydraulic connecti</w:t>
      </w:r>
      <w:r w:rsidRPr="00E6110F">
        <w:t>vity</w:t>
      </w:r>
      <w:r w:rsidR="00D14C72">
        <w:t>,</w:t>
      </w:r>
      <w:r w:rsidR="00636014" w:rsidRPr="00E6110F">
        <w:t xml:space="preserve"> and intersecting abandoned oil and gas wells</w:t>
      </w:r>
      <w:r w:rsidRPr="00E6110F">
        <w:t xml:space="preserve"> (Jackson et al. 2013). Horizontal drilling and subsequent hydraulic fracturing can stimulate fractures or mineralized veins, increasing secondary hydraulic connectivity. The upward transport of gases is theoretically possible, including pressure-driven flow through open, dry fractures and pressure-driven buoyancy of gas bubbles in aquifers and water-filled fractures (Jackson et al. 2013 and references therein). Reduced </w:t>
      </w:r>
      <w:r w:rsidR="003B423C" w:rsidRPr="00E6110F">
        <w:t xml:space="preserve">water </w:t>
      </w:r>
      <w:r w:rsidRPr="00E6110F">
        <w:t>pressures after the fracturing activities could also lead to methane exsolving rapidly from solution</w:t>
      </w:r>
      <w:r w:rsidR="003B423C" w:rsidRPr="00E6110F">
        <w:t xml:space="preserve"> and forming free a gas phase</w:t>
      </w:r>
      <w:r w:rsidRPr="00E6110F">
        <w:t>. If such free gas methane reaches an open fracture pathway, the gas should redissolve into capillary-bound water and/or formation water, especially at the lithostatic and hydrostatic pressures present at Marcellus Formation depths. Legacy or abandoned oil and gas wells (and even abandoned water wells) are another potential</w:t>
      </w:r>
      <w:r w:rsidR="003B423C" w:rsidRPr="00E6110F">
        <w:t xml:space="preserve"> </w:t>
      </w:r>
      <w:r w:rsidRPr="00E6110F">
        <w:t>path</w:t>
      </w:r>
      <w:r w:rsidR="003B423C" w:rsidRPr="00E6110F">
        <w:t>way</w:t>
      </w:r>
      <w:r w:rsidRPr="00E6110F">
        <w:t xml:space="preserve"> for rapid fluid transport</w:t>
      </w:r>
      <w:r w:rsidR="003B423C" w:rsidRPr="00E6110F">
        <w:t xml:space="preserve"> (Jackson et al. 2013)</w:t>
      </w:r>
      <w:r w:rsidRPr="00E6110F">
        <w:t xml:space="preserve">. </w:t>
      </w:r>
    </w:p>
    <w:p w14:paraId="0264C6C4" w14:textId="5F8FE44D" w:rsidR="00417EBA" w:rsidRPr="00E6110F" w:rsidRDefault="00417EBA" w:rsidP="00E32821">
      <w:pPr>
        <w:pStyle w:val="Body"/>
      </w:pPr>
      <w:r w:rsidRPr="00E6110F">
        <w:rPr>
          <w:noProof/>
          <w:lang w:val="en-AU" w:eastAsia="en-AU"/>
        </w:rPr>
        <w:drawing>
          <wp:inline distT="0" distB="0" distL="0" distR="0" wp14:anchorId="4FE382A4" wp14:editId="152D0580">
            <wp:extent cx="5727700" cy="3756161"/>
            <wp:effectExtent l="0" t="0" r="6350" b="0"/>
            <wp:docPr id="530" name="Picture 530" descr="Four graphs of gas concentration compared with distance to nearest gas well.&#10;(A) and (B) Concentrations of methane (A), ethane and propane (B) in drinking water wells vs. distance to natural gas wells. (C) Methane concentration plotted against δ13C-CH4, The grayscale shading refers to distance to nearest gas wells. (D) The ratio of 4He:CH4 concentrations in drinking water wells vs. distance to gas wells (kilometres). "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727700" cy="3756161"/>
                    </a:xfrm>
                    <a:prstGeom prst="rect">
                      <a:avLst/>
                    </a:prstGeom>
                    <a:noFill/>
                    <a:ln>
                      <a:noFill/>
                    </a:ln>
                  </pic:spPr>
                </pic:pic>
              </a:graphicData>
            </a:graphic>
          </wp:inline>
        </w:drawing>
      </w:r>
    </w:p>
    <w:p w14:paraId="27ADAE7E" w14:textId="7EAC2EE1" w:rsidR="00417EBA" w:rsidRPr="00E6110F" w:rsidRDefault="00417EBA" w:rsidP="00F34809">
      <w:pPr>
        <w:pStyle w:val="Imagecaption"/>
      </w:pPr>
      <w:bookmarkStart w:id="32" w:name="_Ref448578160"/>
      <w:bookmarkStart w:id="33" w:name="_Toc477347535"/>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w:t>
      </w:r>
      <w:r w:rsidR="00254026">
        <w:fldChar w:fldCharType="end"/>
      </w:r>
      <w:bookmarkEnd w:id="32"/>
      <w:r w:rsidRPr="00E6110F">
        <w:t xml:space="preserve"> (A) </w:t>
      </w:r>
      <w:r w:rsidR="004A7452">
        <w:t>and</w:t>
      </w:r>
      <w:r w:rsidR="00F34809" w:rsidRPr="00E6110F">
        <w:t xml:space="preserve"> </w:t>
      </w:r>
      <w:r w:rsidRPr="00E6110F">
        <w:t xml:space="preserve">(B) </w:t>
      </w:r>
      <w:r w:rsidR="00F34809" w:rsidRPr="00E6110F">
        <w:t xml:space="preserve">Concentrations of methane (A), ethane and propane (B) in drinking water wells vs. distance to natural gas wells. </w:t>
      </w:r>
      <w:r w:rsidRPr="00E6110F">
        <w:t xml:space="preserve">(C) </w:t>
      </w:r>
      <w:r w:rsidR="00300E9A" w:rsidRPr="00E6110F">
        <w:t>Methane concentration plotted against δ</w:t>
      </w:r>
      <w:r w:rsidR="00300E9A" w:rsidRPr="00E6110F">
        <w:rPr>
          <w:vertAlign w:val="superscript"/>
        </w:rPr>
        <w:t>13</w:t>
      </w:r>
      <w:r w:rsidR="00300E9A" w:rsidRPr="00E6110F">
        <w:t>C-CH</w:t>
      </w:r>
      <w:r w:rsidR="00300E9A" w:rsidRPr="00E6110F">
        <w:rPr>
          <w:vertAlign w:val="subscript"/>
        </w:rPr>
        <w:t>4</w:t>
      </w:r>
      <w:r w:rsidR="00300E9A" w:rsidRPr="00E6110F">
        <w:t xml:space="preserve">, The grayscale shading refers to distance to nearest gas wells. </w:t>
      </w:r>
      <w:r w:rsidRPr="00E6110F">
        <w:t>(D)</w:t>
      </w:r>
      <w:r w:rsidR="009C7F7B" w:rsidRPr="00E6110F">
        <w:t xml:space="preserve"> The ratio of </w:t>
      </w:r>
      <w:r w:rsidR="009C7F7B" w:rsidRPr="00B05736">
        <w:rPr>
          <w:vertAlign w:val="superscript"/>
        </w:rPr>
        <w:t>4</w:t>
      </w:r>
      <w:r w:rsidR="009C7F7B" w:rsidRPr="00E6110F">
        <w:t>He:CH</w:t>
      </w:r>
      <w:r w:rsidR="009C7F7B" w:rsidRPr="00E6110F">
        <w:rPr>
          <w:vertAlign w:val="subscript"/>
        </w:rPr>
        <w:t>4</w:t>
      </w:r>
      <w:r w:rsidR="009C7F7B" w:rsidRPr="00E6110F">
        <w:t xml:space="preserve"> concentrations in drinking water wells vs. distance to gas wells (kilometres). The values are compared with water samples (mean ± SE) from the salt spring at Salt Springs State Park (n = 3) and Marcellus (n = 4) and Upper Devonian (n = 5) production gases (Jackson et al. 2013)</w:t>
      </w:r>
      <w:r w:rsidR="0058148B" w:rsidRPr="00E6110F">
        <w:t>.</w:t>
      </w:r>
      <w:r w:rsidR="00B05736">
        <w:t xml:space="preserve"> Grey-shaded scale bars refer to (C) and (D) only.</w:t>
      </w:r>
      <w:bookmarkEnd w:id="33"/>
    </w:p>
    <w:p w14:paraId="010BFB52" w14:textId="77777777" w:rsidR="0058148B" w:rsidRPr="00E6110F" w:rsidRDefault="0058148B" w:rsidP="00F34809">
      <w:pPr>
        <w:pStyle w:val="Imagecaption"/>
      </w:pPr>
    </w:p>
    <w:p w14:paraId="072EAC10" w14:textId="3419D0AF" w:rsidR="009C0D22" w:rsidRPr="00E6110F" w:rsidRDefault="0058148B" w:rsidP="0058148B">
      <w:pPr>
        <w:pStyle w:val="Body"/>
      </w:pPr>
      <w:r w:rsidRPr="00E6110F">
        <w:t>Using numerical simulation models</w:t>
      </w:r>
      <w:r w:rsidR="00D14C72">
        <w:t>,</w:t>
      </w:r>
      <w:r w:rsidRPr="00E6110F">
        <w:t xml:space="preserve"> Kissinger et al. (2013) tested under what circumstances several hypothesi</w:t>
      </w:r>
      <w:r w:rsidR="00D14C72">
        <w:t>s</w:t>
      </w:r>
      <w:r w:rsidRPr="00E6110F">
        <w:t>ed flow paths for fracturing fluid, brine and methane would result into leakage of such fluids into shallower layers. The simulations used literature-based paramet</w:t>
      </w:r>
      <w:r w:rsidR="00440E4C">
        <w:t>e</w:t>
      </w:r>
      <w:r w:rsidRPr="00E6110F">
        <w:t>risation (upper and lower bounds of hydraulic parameters) for potential hydraulic fracturing sites in Germany (North Rhine-Westphalia and Lower Saxony).</w:t>
      </w:r>
      <w:r w:rsidR="009C0D22" w:rsidRPr="00E6110F">
        <w:t xml:space="preserve"> Kissinger et al. (2013) consider</w:t>
      </w:r>
      <w:r w:rsidR="00D14C72">
        <w:t>ed</w:t>
      </w:r>
      <w:r w:rsidR="009C0D22" w:rsidRPr="00E6110F">
        <w:t xml:space="preserve"> three flow paths for hydraulic fracturing fluid and/or brine:</w:t>
      </w:r>
    </w:p>
    <w:p w14:paraId="55329B94" w14:textId="1C2783A7" w:rsidR="002D1B0F" w:rsidRPr="00E6110F" w:rsidRDefault="009C0D22" w:rsidP="00C117A3">
      <w:pPr>
        <w:pStyle w:val="Body"/>
        <w:numPr>
          <w:ilvl w:val="0"/>
          <w:numId w:val="20"/>
        </w:numPr>
      </w:pPr>
      <w:r w:rsidRPr="00E6110F">
        <w:t>Flow through natural fault zones</w:t>
      </w:r>
      <w:r w:rsidR="000B4CB5" w:rsidRPr="00E6110F">
        <w:t xml:space="preserve"> (F1 in </w:t>
      </w:r>
      <w:r w:rsidR="003E1F54" w:rsidRPr="00E6110F">
        <w:fldChar w:fldCharType="begin" w:fldLock="1"/>
      </w:r>
      <w:r w:rsidR="003E1F54" w:rsidRPr="00E6110F">
        <w:instrText xml:space="preserve"> REF _Ref448580330 \h </w:instrText>
      </w:r>
      <w:r w:rsidR="00E6110F">
        <w:instrText xml:space="preserve"> \* MERGEFORMAT </w:instrText>
      </w:r>
      <w:r w:rsidR="003E1F54" w:rsidRPr="00E6110F">
        <w:fldChar w:fldCharType="separate"/>
      </w:r>
      <w:r w:rsidR="00335E79" w:rsidRPr="00E6110F">
        <w:t xml:space="preserve">Figure </w:t>
      </w:r>
      <w:r w:rsidR="00335E79">
        <w:rPr>
          <w:noProof/>
        </w:rPr>
        <w:t>2</w:t>
      </w:r>
      <w:r w:rsidR="00335E79">
        <w:rPr>
          <w:noProof/>
        </w:rPr>
        <w:noBreakHyphen/>
        <w:t>4</w:t>
      </w:r>
      <w:r w:rsidR="003E1F54" w:rsidRPr="00E6110F">
        <w:fldChar w:fldCharType="end"/>
      </w:r>
      <w:r w:rsidR="000B4CB5" w:rsidRPr="00E6110F">
        <w:t>)</w:t>
      </w:r>
      <w:r w:rsidRPr="00E6110F">
        <w:t>:</w:t>
      </w:r>
      <w:r w:rsidR="002D1B0F" w:rsidRPr="00E6110F">
        <w:t xml:space="preserve"> this involves fractures created during the stimulation period that could connect with a natural fault zone. As a result, the hydraulic fracturing fluid could be forced through this fault zone as a result of the strong pressure build-up in the system during hydraulic fracturing operations (considered to last for about 2 h in the study of Kissinger et al. 2013),</w:t>
      </w:r>
    </w:p>
    <w:p w14:paraId="1C3B9380" w14:textId="374790CF" w:rsidR="006C2499" w:rsidRPr="00E6110F" w:rsidRDefault="009C0D22" w:rsidP="00C117A3">
      <w:pPr>
        <w:pStyle w:val="Body"/>
        <w:numPr>
          <w:ilvl w:val="0"/>
          <w:numId w:val="20"/>
        </w:numPr>
      </w:pPr>
      <w:r w:rsidRPr="00E6110F">
        <w:t>Flow through leaky boreholes</w:t>
      </w:r>
      <w:r w:rsidR="000B4CB5" w:rsidRPr="00E6110F">
        <w:t xml:space="preserve"> (F2 in </w:t>
      </w:r>
      <w:r w:rsidR="003E1F54" w:rsidRPr="00E6110F">
        <w:fldChar w:fldCharType="begin" w:fldLock="1"/>
      </w:r>
      <w:r w:rsidR="003E1F54" w:rsidRPr="00E6110F">
        <w:instrText xml:space="preserve"> REF _Ref448580330 \h </w:instrText>
      </w:r>
      <w:r w:rsidR="00E6110F">
        <w:instrText xml:space="preserve"> \* MERGEFORMAT </w:instrText>
      </w:r>
      <w:r w:rsidR="003E1F54" w:rsidRPr="00E6110F">
        <w:fldChar w:fldCharType="separate"/>
      </w:r>
      <w:r w:rsidR="00335E79" w:rsidRPr="00E6110F">
        <w:t xml:space="preserve">Figure </w:t>
      </w:r>
      <w:r w:rsidR="00335E79">
        <w:rPr>
          <w:noProof/>
        </w:rPr>
        <w:t>2</w:t>
      </w:r>
      <w:r w:rsidR="00335E79">
        <w:rPr>
          <w:noProof/>
        </w:rPr>
        <w:noBreakHyphen/>
        <w:t>4</w:t>
      </w:r>
      <w:r w:rsidR="003E1F54" w:rsidRPr="00E6110F">
        <w:fldChar w:fldCharType="end"/>
      </w:r>
      <w:r w:rsidR="000B4CB5" w:rsidRPr="00E6110F">
        <w:t>)</w:t>
      </w:r>
      <w:r w:rsidRPr="00E6110F">
        <w:t>:</w:t>
      </w:r>
      <w:r w:rsidR="006C2499" w:rsidRPr="00E6110F">
        <w:t xml:space="preserve"> fluids may leak into the freshwater aquifer through a borehole that experiences casing failure or cement seal failure</w:t>
      </w:r>
      <w:r w:rsidR="00755561" w:rsidRPr="00E6110F">
        <w:t>,</w:t>
      </w:r>
    </w:p>
    <w:p w14:paraId="7724ADDA" w14:textId="7DC8E1AB" w:rsidR="00755561" w:rsidRPr="00E6110F" w:rsidRDefault="009C0D22" w:rsidP="00C117A3">
      <w:pPr>
        <w:pStyle w:val="Body"/>
        <w:numPr>
          <w:ilvl w:val="0"/>
          <w:numId w:val="20"/>
        </w:numPr>
      </w:pPr>
      <w:r w:rsidRPr="00E6110F">
        <w:t>Spill at the ground surface</w:t>
      </w:r>
      <w:r w:rsidR="000B4CB5" w:rsidRPr="00E6110F">
        <w:t xml:space="preserve"> (F3 in </w:t>
      </w:r>
      <w:r w:rsidR="003E1F54" w:rsidRPr="00E6110F">
        <w:fldChar w:fldCharType="begin" w:fldLock="1"/>
      </w:r>
      <w:r w:rsidR="003E1F54" w:rsidRPr="00E6110F">
        <w:instrText xml:space="preserve"> REF _Ref448580330 \h </w:instrText>
      </w:r>
      <w:r w:rsidR="00E6110F">
        <w:instrText xml:space="preserve"> \* MERGEFORMAT </w:instrText>
      </w:r>
      <w:r w:rsidR="003E1F54" w:rsidRPr="00E6110F">
        <w:fldChar w:fldCharType="separate"/>
      </w:r>
      <w:r w:rsidR="00335E79" w:rsidRPr="00E6110F">
        <w:t xml:space="preserve">Figure </w:t>
      </w:r>
      <w:r w:rsidR="00335E79">
        <w:rPr>
          <w:noProof/>
        </w:rPr>
        <w:t>2</w:t>
      </w:r>
      <w:r w:rsidR="00335E79">
        <w:rPr>
          <w:noProof/>
        </w:rPr>
        <w:noBreakHyphen/>
        <w:t>4</w:t>
      </w:r>
      <w:r w:rsidR="003E1F54" w:rsidRPr="00E6110F">
        <w:fldChar w:fldCharType="end"/>
      </w:r>
      <w:r w:rsidR="000B4CB5" w:rsidRPr="00E6110F">
        <w:t>)</w:t>
      </w:r>
      <w:r w:rsidRPr="00E6110F">
        <w:t>:</w:t>
      </w:r>
      <w:r w:rsidR="00755561" w:rsidRPr="00E6110F">
        <w:t xml:space="preserve"> large amounts of contaminants may infiltrate into the aquifer in the case of an accident. A continuous contamination of the aquifer is also possible if a leak remains undetected.</w:t>
      </w:r>
    </w:p>
    <w:p w14:paraId="35AA3D3A" w14:textId="15B32FAC" w:rsidR="00592BB9" w:rsidRPr="00E6110F" w:rsidRDefault="00592BB9" w:rsidP="0058148B">
      <w:pPr>
        <w:pStyle w:val="Body"/>
      </w:pPr>
      <w:r w:rsidRPr="00E6110F">
        <w:t>Flow paths F1 and F2 are also relevant in case of methane (</w:t>
      </w:r>
      <w:r w:rsidR="003E1F54" w:rsidRPr="00E6110F">
        <w:fldChar w:fldCharType="begin" w:fldLock="1"/>
      </w:r>
      <w:r w:rsidR="003E1F54" w:rsidRPr="00E6110F">
        <w:instrText xml:space="preserve"> REF _Ref448580330 \h </w:instrText>
      </w:r>
      <w:r w:rsidR="00E6110F">
        <w:instrText xml:space="preserve"> \* MERGEFORMAT </w:instrText>
      </w:r>
      <w:r w:rsidR="003E1F54" w:rsidRPr="00E6110F">
        <w:fldChar w:fldCharType="separate"/>
      </w:r>
      <w:r w:rsidR="00335E79" w:rsidRPr="00E6110F">
        <w:t xml:space="preserve">Figure </w:t>
      </w:r>
      <w:r w:rsidR="00335E79">
        <w:rPr>
          <w:noProof/>
        </w:rPr>
        <w:t>2</w:t>
      </w:r>
      <w:r w:rsidR="00335E79">
        <w:rPr>
          <w:noProof/>
        </w:rPr>
        <w:noBreakHyphen/>
        <w:t>4</w:t>
      </w:r>
      <w:r w:rsidR="003E1F54" w:rsidRPr="00E6110F">
        <w:fldChar w:fldCharType="end"/>
      </w:r>
      <w:r w:rsidRPr="00E6110F">
        <w:t>); one additional flow path considers gas flow through rocks following gas mobilisation transport due to buoyancy.</w:t>
      </w:r>
      <w:r w:rsidR="003F552F" w:rsidRPr="00E6110F">
        <w:t xml:space="preserve"> Flow path F3 has been previously been investigated as part of the Australian National Chemicals Assessment project (e.g. Mallants et al. 201</w:t>
      </w:r>
      <w:r w:rsidR="00914462">
        <w:t>7</w:t>
      </w:r>
      <w:r w:rsidR="00D40A3F" w:rsidRPr="00E6110F">
        <w:t>a</w:t>
      </w:r>
      <w:r w:rsidR="003F552F" w:rsidRPr="00E6110F">
        <w:t>)</w:t>
      </w:r>
      <w:r w:rsidR="006E2135" w:rsidRPr="00E6110F">
        <w:t>, and will not be discussed any further here</w:t>
      </w:r>
      <w:r w:rsidR="003F552F" w:rsidRPr="00E6110F">
        <w:t xml:space="preserve">. </w:t>
      </w:r>
    </w:p>
    <w:p w14:paraId="1056077C" w14:textId="77777777" w:rsidR="003E1F54" w:rsidRPr="00E6110F" w:rsidRDefault="003E1F54" w:rsidP="0058148B">
      <w:pPr>
        <w:pStyle w:val="Body"/>
      </w:pPr>
    </w:p>
    <w:p w14:paraId="4F69D638" w14:textId="77777777" w:rsidR="003E1F54" w:rsidRPr="00E6110F" w:rsidRDefault="003E1F54" w:rsidP="0058148B">
      <w:pPr>
        <w:pStyle w:val="Body"/>
      </w:pPr>
    </w:p>
    <w:p w14:paraId="41F67326" w14:textId="27A29F21" w:rsidR="003E1F54" w:rsidRPr="00E6110F" w:rsidRDefault="003E1F54" w:rsidP="00AF4EE6">
      <w:pPr>
        <w:pStyle w:val="Body"/>
        <w:jc w:val="center"/>
      </w:pPr>
      <w:r w:rsidRPr="00E6110F">
        <w:rPr>
          <w:noProof/>
          <w:lang w:val="en-AU" w:eastAsia="en-AU"/>
        </w:rPr>
        <w:drawing>
          <wp:inline distT="0" distB="0" distL="0" distR="0" wp14:anchorId="24BF80AB" wp14:editId="215DF68D">
            <wp:extent cx="3957279" cy="2664802"/>
            <wp:effectExtent l="0" t="0" r="5715" b="2540"/>
            <wp:docPr id="531" name="Picture 531" descr="Diagram of possible flow paths of fracturing fluid, brine and methane into aquifers."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3979817" cy="2679979"/>
                    </a:xfrm>
                    <a:prstGeom prst="rect">
                      <a:avLst/>
                    </a:prstGeom>
                  </pic:spPr>
                </pic:pic>
              </a:graphicData>
            </a:graphic>
          </wp:inline>
        </w:drawing>
      </w:r>
    </w:p>
    <w:p w14:paraId="14FFA7F8" w14:textId="271AF7FA" w:rsidR="003E1F54" w:rsidRPr="00E6110F" w:rsidRDefault="003E1F54" w:rsidP="003E1F54">
      <w:pPr>
        <w:pStyle w:val="Imagecaption"/>
      </w:pPr>
      <w:bookmarkStart w:id="34" w:name="_Ref448580330"/>
      <w:bookmarkStart w:id="35" w:name="_Toc477347536"/>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w:t>
      </w:r>
      <w:r w:rsidR="00254026">
        <w:fldChar w:fldCharType="end"/>
      </w:r>
      <w:bookmarkEnd w:id="34"/>
      <w:r w:rsidRPr="00E6110F">
        <w:t xml:space="preserve"> Possible flow paths of fracturing fluid, brine and methane into aquifers; see main text for definition of flow paths F1/M1, F2/M2, and F3/M3</w:t>
      </w:r>
      <w:r w:rsidR="002D6D95">
        <w:t>; F3 represents spill from a truck accident</w:t>
      </w:r>
      <w:r w:rsidRPr="00E6110F">
        <w:t xml:space="preserve"> (Kissinger et al. 2013).</w:t>
      </w:r>
      <w:r w:rsidR="00F7780A">
        <w:t xml:space="preserve"> Light grey coloures layers are low-permeable formations (aquitards); dark grey coloured layers are gas reservoirs</w:t>
      </w:r>
      <w:r w:rsidR="00423AAF">
        <w:t xml:space="preserve"> or aquifers.</w:t>
      </w:r>
      <w:bookmarkEnd w:id="35"/>
      <w:r w:rsidR="00F7780A">
        <w:t xml:space="preserve"> </w:t>
      </w:r>
    </w:p>
    <w:p w14:paraId="5904FE27" w14:textId="77777777" w:rsidR="00333491" w:rsidRPr="00E6110F" w:rsidRDefault="00333491" w:rsidP="00333491">
      <w:pPr>
        <w:pStyle w:val="Body"/>
      </w:pPr>
      <w:r w:rsidRPr="00E6110F">
        <w:t xml:space="preserve">Three scenarios were numerically evaluated: </w:t>
      </w:r>
    </w:p>
    <w:p w14:paraId="26AC5485" w14:textId="578B1EAC" w:rsidR="003E1F54" w:rsidRPr="00E6110F" w:rsidRDefault="009E4983" w:rsidP="00C117A3">
      <w:pPr>
        <w:pStyle w:val="Body"/>
        <w:numPr>
          <w:ilvl w:val="0"/>
          <w:numId w:val="21"/>
        </w:numPr>
      </w:pPr>
      <w:r w:rsidRPr="00E6110F">
        <w:t xml:space="preserve">Scenario 1: </w:t>
      </w:r>
      <w:r w:rsidR="00B865F0" w:rsidRPr="00E6110F">
        <w:t xml:space="preserve">the short-term movement of </w:t>
      </w:r>
      <w:r w:rsidR="00333491" w:rsidRPr="00E6110F">
        <w:t xml:space="preserve">hydraulic </w:t>
      </w:r>
      <w:r w:rsidR="00B865F0" w:rsidRPr="00E6110F">
        <w:t xml:space="preserve">fracturing fluid or brine into the overburden </w:t>
      </w:r>
      <w:r w:rsidR="00125DEC" w:rsidRPr="00E6110F">
        <w:t xml:space="preserve">(applied at the fault zone or intact overburden) </w:t>
      </w:r>
      <w:r w:rsidR="00B865F0" w:rsidRPr="00E6110F">
        <w:t xml:space="preserve">induced by high pressures </w:t>
      </w:r>
      <w:r w:rsidR="00107C28" w:rsidRPr="00E6110F">
        <w:t xml:space="preserve">(50-700 bar overpressure) </w:t>
      </w:r>
      <w:r w:rsidR="00B865F0" w:rsidRPr="00E6110F">
        <w:t>from hydraulic fracturing activities</w:t>
      </w:r>
      <w:r w:rsidR="00333491" w:rsidRPr="00E6110F">
        <w:t xml:space="preserve"> (a short-term high-pressure gradient is the driving force</w:t>
      </w:r>
      <w:r w:rsidR="00125DEC" w:rsidRPr="00E6110F">
        <w:t xml:space="preserve">, while the pathway is a </w:t>
      </w:r>
      <w:r w:rsidR="003E2F2B" w:rsidRPr="00E6110F">
        <w:t xml:space="preserve">30-m wide </w:t>
      </w:r>
      <w:r w:rsidR="00125DEC" w:rsidRPr="00E6110F">
        <w:t>fault zone</w:t>
      </w:r>
      <w:r w:rsidR="00333491" w:rsidRPr="00E6110F">
        <w:t>)</w:t>
      </w:r>
      <w:r w:rsidR="00C51827" w:rsidRPr="00E6110F">
        <w:t xml:space="preserve"> (</w:t>
      </w:r>
      <w:r w:rsidR="00C51827" w:rsidRPr="00E6110F">
        <w:fldChar w:fldCharType="begin" w:fldLock="1"/>
      </w:r>
      <w:r w:rsidR="00C51827" w:rsidRPr="00E6110F">
        <w:instrText xml:space="preserve"> REF _Ref448596567 \h </w:instrText>
      </w:r>
      <w:r w:rsidR="00E6110F">
        <w:instrText xml:space="preserve"> \* MERGEFORMAT </w:instrText>
      </w:r>
      <w:r w:rsidR="00C51827" w:rsidRPr="00E6110F">
        <w:fldChar w:fldCharType="separate"/>
      </w:r>
      <w:r w:rsidR="00335E79" w:rsidRPr="00E6110F">
        <w:t xml:space="preserve">Figure </w:t>
      </w:r>
      <w:r w:rsidR="00335E79">
        <w:rPr>
          <w:noProof/>
        </w:rPr>
        <w:t>2</w:t>
      </w:r>
      <w:r w:rsidR="00335E79">
        <w:rPr>
          <w:noProof/>
        </w:rPr>
        <w:noBreakHyphen/>
        <w:t>5</w:t>
      </w:r>
      <w:r w:rsidR="00C51827" w:rsidRPr="00E6110F">
        <w:fldChar w:fldCharType="end"/>
      </w:r>
      <w:r w:rsidR="00C51827" w:rsidRPr="00E6110F">
        <w:t>)</w:t>
      </w:r>
      <w:r w:rsidR="00333491" w:rsidRPr="00E6110F">
        <w:t>,</w:t>
      </w:r>
    </w:p>
    <w:p w14:paraId="3BF28CF6" w14:textId="4948C98B" w:rsidR="00B865F0" w:rsidRPr="00E6110F" w:rsidRDefault="009E4983" w:rsidP="00C117A3">
      <w:pPr>
        <w:pStyle w:val="Body"/>
        <w:numPr>
          <w:ilvl w:val="0"/>
          <w:numId w:val="21"/>
        </w:numPr>
      </w:pPr>
      <w:r w:rsidRPr="00E6110F">
        <w:t xml:space="preserve">Scenario 2: </w:t>
      </w:r>
      <w:r w:rsidR="00B865F0" w:rsidRPr="00E6110F">
        <w:t xml:space="preserve">the long-term </w:t>
      </w:r>
      <w:r w:rsidR="00170B05">
        <w:t xml:space="preserve">(tens of years) </w:t>
      </w:r>
      <w:r w:rsidR="00B865F0" w:rsidRPr="00E6110F">
        <w:t xml:space="preserve">horizontal and vertical movement of </w:t>
      </w:r>
      <w:r w:rsidR="00333491" w:rsidRPr="00E6110F">
        <w:t xml:space="preserve">hydraulic </w:t>
      </w:r>
      <w:r w:rsidR="00B865F0" w:rsidRPr="00E6110F">
        <w:t>fracturing fluid and brine along vertical fault zones</w:t>
      </w:r>
      <w:r w:rsidR="00A65317" w:rsidRPr="00E6110F">
        <w:t xml:space="preserve"> connecting deeper </w:t>
      </w:r>
      <w:r w:rsidR="00AF4EE6" w:rsidRPr="00E6110F">
        <w:t xml:space="preserve">aquifers (the contaminant source is assumed to be within in the groundwater after it escaped from the hydrocarbon reservoir, which in itself is an unlikely event) </w:t>
      </w:r>
      <w:r w:rsidR="00A65317" w:rsidRPr="00E6110F">
        <w:t>with shallower aquifers</w:t>
      </w:r>
      <w:r w:rsidR="00333491" w:rsidRPr="00E6110F">
        <w:t xml:space="preserve"> (a long-term natural hydraulic gradient is the driving force)</w:t>
      </w:r>
      <w:r w:rsidR="00A65317" w:rsidRPr="00E6110F">
        <w:t>.</w:t>
      </w:r>
    </w:p>
    <w:p w14:paraId="11E18F86" w14:textId="5C47CB22" w:rsidR="00034330" w:rsidRPr="00E6110F" w:rsidRDefault="009E4983" w:rsidP="00C117A3">
      <w:pPr>
        <w:pStyle w:val="Body"/>
        <w:numPr>
          <w:ilvl w:val="0"/>
          <w:numId w:val="21"/>
        </w:numPr>
      </w:pPr>
      <w:r w:rsidRPr="00E6110F">
        <w:t xml:space="preserve">Scenario 3: </w:t>
      </w:r>
      <w:r w:rsidR="00D14C72">
        <w:t>l</w:t>
      </w:r>
      <w:r w:rsidR="00034330" w:rsidRPr="00E6110F">
        <w:t xml:space="preserve">ong-term </w:t>
      </w:r>
      <w:r w:rsidR="00170B05">
        <w:t xml:space="preserve">(tens of years) </w:t>
      </w:r>
      <w:r w:rsidR="00034330" w:rsidRPr="00E6110F">
        <w:t>methane</w:t>
      </w:r>
      <w:r w:rsidRPr="00E6110F">
        <w:t xml:space="preserve"> gas migration from gas reservoir into </w:t>
      </w:r>
      <w:r w:rsidR="003350A6" w:rsidRPr="00E6110F">
        <w:t xml:space="preserve">fault zone </w:t>
      </w:r>
      <w:r w:rsidRPr="00E6110F">
        <w:t xml:space="preserve">owing to buoyancy </w:t>
      </w:r>
      <w:r w:rsidR="00034330" w:rsidRPr="00E6110F">
        <w:t xml:space="preserve">and capillary forces. </w:t>
      </w:r>
    </w:p>
    <w:p w14:paraId="1A321D4A" w14:textId="18F5DE4E" w:rsidR="004E132E" w:rsidRPr="00E6110F" w:rsidRDefault="004E132E" w:rsidP="004E132E">
      <w:pPr>
        <w:pStyle w:val="Body"/>
      </w:pPr>
      <w:r w:rsidRPr="00E6110F">
        <w:t xml:space="preserve">Results for </w:t>
      </w:r>
      <w:r w:rsidR="00D14C72">
        <w:t>S</w:t>
      </w:r>
      <w:r w:rsidR="00D14C72" w:rsidRPr="00E6110F">
        <w:t xml:space="preserve">cenario </w:t>
      </w:r>
      <w:r w:rsidRPr="00E6110F">
        <w:t xml:space="preserve">1 show that </w:t>
      </w:r>
      <w:r w:rsidR="004804DA" w:rsidRPr="00E6110F">
        <w:t xml:space="preserve">the maximum </w:t>
      </w:r>
      <w:r w:rsidRPr="00E6110F">
        <w:t>vertical transport distance is limited to 50 m, and this is possible only if the permeability of the fault zone is 10</w:t>
      </w:r>
      <w:r w:rsidR="006B117A" w:rsidRPr="00E6110F">
        <w:rPr>
          <w:vertAlign w:val="superscript"/>
        </w:rPr>
        <w:t>-</w:t>
      </w:r>
      <w:r w:rsidRPr="00E6110F">
        <w:rPr>
          <w:vertAlign w:val="superscript"/>
        </w:rPr>
        <w:t>13</w:t>
      </w:r>
      <w:r w:rsidRPr="00E6110F">
        <w:t xml:space="preserve"> m</w:t>
      </w:r>
      <w:r w:rsidRPr="00E6110F">
        <w:rPr>
          <w:vertAlign w:val="superscript"/>
        </w:rPr>
        <w:t>2</w:t>
      </w:r>
      <w:r w:rsidRPr="00E6110F">
        <w:t xml:space="preserve"> (</w:t>
      </w:r>
      <w:r w:rsidR="00E91352" w:rsidRPr="00E6110F">
        <w:t>about 10</w:t>
      </w:r>
      <w:r w:rsidR="00E91352" w:rsidRPr="00E6110F">
        <w:rPr>
          <w:vertAlign w:val="superscript"/>
        </w:rPr>
        <w:t>-6</w:t>
      </w:r>
      <w:r w:rsidR="00E91352" w:rsidRPr="00E6110F">
        <w:t xml:space="preserve"> m/s</w:t>
      </w:r>
      <w:r w:rsidR="00F252A4" w:rsidRPr="00E6110F">
        <w:t xml:space="preserve"> or 0.1 m/d</w:t>
      </w:r>
      <w:r w:rsidR="006A3B61" w:rsidRPr="00E6110F">
        <w:t>) and an overpressure of 300 bar is applied continuously for 2 hours (i.e. very conservative assumptions).</w:t>
      </w:r>
      <w:r w:rsidR="004804DA" w:rsidRPr="00E6110F">
        <w:t xml:space="preserve"> For eight other parameter combinations</w:t>
      </w:r>
      <w:r w:rsidR="00D14C72">
        <w:t>,</w:t>
      </w:r>
      <w:r w:rsidR="004804DA" w:rsidRPr="00E6110F">
        <w:t xml:space="preserve"> the vertical transport distance is much shorter or completely zero.</w:t>
      </w:r>
      <w:r w:rsidR="00F252A4" w:rsidRPr="00E6110F">
        <w:t xml:space="preserve"> </w:t>
      </w:r>
    </w:p>
    <w:p w14:paraId="73640D38" w14:textId="1CB0CA19" w:rsidR="006A3B61" w:rsidRPr="00E6110F" w:rsidRDefault="006A3B61" w:rsidP="006E2135">
      <w:pPr>
        <w:pStyle w:val="Body"/>
        <w:jc w:val="center"/>
      </w:pPr>
      <w:r w:rsidRPr="00E6110F">
        <w:rPr>
          <w:noProof/>
          <w:lang w:val="en-AU" w:eastAsia="en-AU"/>
        </w:rPr>
        <w:drawing>
          <wp:inline distT="0" distB="0" distL="0" distR="0" wp14:anchorId="4545EF28" wp14:editId="494AC54E">
            <wp:extent cx="5089647" cy="2469777"/>
            <wp:effectExtent l="0" t="0" r="0" b="6985"/>
            <wp:docPr id="532" name="Picture 532" descr="Diagram and schematic of assumptions made in scenario 1."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103276" cy="2476391"/>
                    </a:xfrm>
                    <a:prstGeom prst="rect">
                      <a:avLst/>
                    </a:prstGeom>
                  </pic:spPr>
                </pic:pic>
              </a:graphicData>
            </a:graphic>
          </wp:inline>
        </w:drawing>
      </w:r>
    </w:p>
    <w:p w14:paraId="5C2D9EB1" w14:textId="55022F7B" w:rsidR="006A3B61" w:rsidRPr="00E6110F" w:rsidRDefault="006A3B61" w:rsidP="006A3B61">
      <w:pPr>
        <w:pStyle w:val="Imagecaption"/>
      </w:pPr>
      <w:bookmarkStart w:id="36" w:name="_Ref448596567"/>
      <w:bookmarkStart w:id="37" w:name="_Toc477347537"/>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w:t>
      </w:r>
      <w:r w:rsidR="00254026">
        <w:fldChar w:fldCharType="end"/>
      </w:r>
      <w:bookmarkEnd w:id="36"/>
      <w:r w:rsidRPr="00E6110F">
        <w:t xml:space="preserve"> Schematic representation of the conservative assumptions made in Scenario 1 (Kissinger et al. 2013).</w:t>
      </w:r>
      <w:bookmarkEnd w:id="37"/>
    </w:p>
    <w:p w14:paraId="222E204E" w14:textId="5D67A549" w:rsidR="00F252A4" w:rsidRPr="00E6110F" w:rsidRDefault="00AF4EE6" w:rsidP="00F252A4">
      <w:pPr>
        <w:pStyle w:val="Body"/>
      </w:pPr>
      <w:r w:rsidRPr="00E6110F">
        <w:t xml:space="preserve">Simulations for </w:t>
      </w:r>
      <w:r w:rsidR="00D14C72">
        <w:t>S</w:t>
      </w:r>
      <w:r w:rsidR="00D14C72" w:rsidRPr="00E6110F">
        <w:t xml:space="preserve">cenario </w:t>
      </w:r>
      <w:r w:rsidRPr="00E6110F">
        <w:t>2 demonstrate that only under very conservative assumptions (hydraulic head difference between lower and upper aquifer is 60 m and fault hydraulic conductivity 10</w:t>
      </w:r>
      <w:r w:rsidR="006B117A" w:rsidRPr="00E6110F">
        <w:rPr>
          <w:vertAlign w:val="superscript"/>
        </w:rPr>
        <w:t>-</w:t>
      </w:r>
      <w:r w:rsidRPr="00E6110F">
        <w:rPr>
          <w:vertAlign w:val="superscript"/>
        </w:rPr>
        <w:t>13</w:t>
      </w:r>
      <w:r w:rsidRPr="00E6110F">
        <w:t xml:space="preserve"> m</w:t>
      </w:r>
      <w:r w:rsidRPr="00E6110F">
        <w:rPr>
          <w:vertAlign w:val="superscript"/>
        </w:rPr>
        <w:t>2</w:t>
      </w:r>
      <w:r w:rsidRPr="00E6110F">
        <w:t>) contaminants migrate up the fault and into the shallow aquifer, though concentrations are reduced by a factor 4</w:t>
      </w:r>
      <w:r w:rsidR="00170B05">
        <w:t>,</w:t>
      </w:r>
      <w:r w:rsidRPr="00E6110F">
        <w:t xml:space="preserve">000 compared to the source concentration (discounting attenuation processes including degradation, sorption, hydrodynamic dispersion). </w:t>
      </w:r>
      <w:r w:rsidR="001B5F9B" w:rsidRPr="00E6110F">
        <w:t>Transport through the fault zone is effectively zero when its hydraulic conductivity decreased to 10</w:t>
      </w:r>
      <w:r w:rsidR="00440E4C" w:rsidRPr="008E4121">
        <w:rPr>
          <w:vertAlign w:val="superscript"/>
        </w:rPr>
        <w:t>-</w:t>
      </w:r>
      <w:r w:rsidR="001B5F9B" w:rsidRPr="00E6110F">
        <w:rPr>
          <w:vertAlign w:val="superscript"/>
        </w:rPr>
        <w:t>15</w:t>
      </w:r>
      <w:r w:rsidR="001B5F9B" w:rsidRPr="00E6110F">
        <w:t xml:space="preserve"> m</w:t>
      </w:r>
      <w:r w:rsidR="001B5F9B" w:rsidRPr="00E6110F">
        <w:rPr>
          <w:vertAlign w:val="superscript"/>
        </w:rPr>
        <w:t xml:space="preserve">2 </w:t>
      </w:r>
      <w:r w:rsidR="001B5F9B" w:rsidRPr="00E6110F">
        <w:t>(about 10</w:t>
      </w:r>
      <w:r w:rsidR="001B5F9B" w:rsidRPr="00E6110F">
        <w:rPr>
          <w:vertAlign w:val="superscript"/>
        </w:rPr>
        <w:t>-8</w:t>
      </w:r>
      <w:r w:rsidR="001B5F9B" w:rsidRPr="00E6110F">
        <w:t xml:space="preserve"> m/s or 0.001 m/d). </w:t>
      </w:r>
      <w:r w:rsidRPr="00E6110F">
        <w:t xml:space="preserve">Kissinger et al. </w:t>
      </w:r>
      <w:r w:rsidR="00EE1C80" w:rsidRPr="00E6110F">
        <w:t xml:space="preserve">(2013) </w:t>
      </w:r>
      <w:r w:rsidRPr="00E6110F">
        <w:t>conclude</w:t>
      </w:r>
      <w:r w:rsidR="00D14C72">
        <w:t>d</w:t>
      </w:r>
      <w:r w:rsidRPr="00E6110F">
        <w:t xml:space="preserve"> that the conservative assumptions </w:t>
      </w:r>
      <w:r w:rsidR="00D14C72">
        <w:t>we</w:t>
      </w:r>
      <w:r w:rsidR="00D14C72" w:rsidRPr="00E6110F">
        <w:t xml:space="preserve">re </w:t>
      </w:r>
      <w:r w:rsidRPr="00E6110F">
        <w:t>still plausible for at least one of their study sites.</w:t>
      </w:r>
    </w:p>
    <w:p w14:paraId="0A0DA818" w14:textId="6D1F4D2F" w:rsidR="007C1615" w:rsidRPr="00E6110F" w:rsidRDefault="007C1615" w:rsidP="007C1615">
      <w:pPr>
        <w:pStyle w:val="Body"/>
      </w:pPr>
      <w:r w:rsidRPr="00E6110F">
        <w:t xml:space="preserve">Results from </w:t>
      </w:r>
      <w:r w:rsidR="00D14C72">
        <w:t>S</w:t>
      </w:r>
      <w:r w:rsidR="00D14C72" w:rsidRPr="00E6110F">
        <w:t xml:space="preserve">cenario </w:t>
      </w:r>
      <w:r w:rsidR="003F02D5" w:rsidRPr="00E6110F">
        <w:t xml:space="preserve">3 </w:t>
      </w:r>
      <w:r w:rsidR="003350A6" w:rsidRPr="00E6110F">
        <w:t xml:space="preserve">show that the leakage of methane into the shallow </w:t>
      </w:r>
      <w:r w:rsidRPr="00E6110F">
        <w:t>aquifer</w:t>
      </w:r>
      <w:r w:rsidR="003350A6" w:rsidRPr="00E6110F">
        <w:t xml:space="preserve"> through the </w:t>
      </w:r>
      <w:r w:rsidRPr="00E6110F">
        <w:t>fault zone</w:t>
      </w:r>
      <w:r w:rsidR="003350A6" w:rsidRPr="00E6110F">
        <w:t xml:space="preserve"> is only</w:t>
      </w:r>
      <w:r w:rsidRPr="00E6110F">
        <w:t xml:space="preserve"> </w:t>
      </w:r>
      <w:r w:rsidR="003350A6" w:rsidRPr="00E6110F">
        <w:t xml:space="preserve">possible if </w:t>
      </w:r>
      <w:r w:rsidRPr="00E6110F">
        <w:t xml:space="preserve">all of the following conservative </w:t>
      </w:r>
      <w:r w:rsidR="003350A6" w:rsidRPr="00E6110F">
        <w:t>assumptions</w:t>
      </w:r>
      <w:r w:rsidRPr="00E6110F">
        <w:t xml:space="preserve"> are met: (i) a permeable fault zone connecting gas reservoir with shallow aquifer, (ii) low residual </w:t>
      </w:r>
      <w:r w:rsidR="00532199" w:rsidRPr="00E6110F">
        <w:t xml:space="preserve">gas </w:t>
      </w:r>
      <w:r w:rsidRPr="00E6110F">
        <w:t xml:space="preserve">saturation and low porosity, (iii) large volumes of methane mobilised from the gas reservoir, </w:t>
      </w:r>
      <w:r w:rsidR="00532199" w:rsidRPr="00E6110F">
        <w:t xml:space="preserve">and (iv) a </w:t>
      </w:r>
      <w:r w:rsidRPr="00E6110F">
        <w:t>shallow gas reservoir</w:t>
      </w:r>
      <w:r w:rsidR="00532199" w:rsidRPr="00E6110F">
        <w:t xml:space="preserve"> (about 1</w:t>
      </w:r>
      <w:r w:rsidR="00170B05">
        <w:t>,</w:t>
      </w:r>
      <w:r w:rsidR="00532199" w:rsidRPr="00E6110F">
        <w:t>200 m).</w:t>
      </w:r>
      <w:r w:rsidR="00272135" w:rsidRPr="00E6110F">
        <w:t xml:space="preserve"> Kissinger et al. (2013) consider this a highly unlikely scenario.</w:t>
      </w:r>
    </w:p>
    <w:p w14:paraId="51D4E38A" w14:textId="77E6EB03" w:rsidR="00EE332A" w:rsidRPr="00E6110F" w:rsidRDefault="00DF6CA8" w:rsidP="007C1615">
      <w:pPr>
        <w:pStyle w:val="Body"/>
      </w:pPr>
      <w:r w:rsidRPr="00E6110F">
        <w:t xml:space="preserve">Dusseault and Jackson (2014) </w:t>
      </w:r>
      <w:r w:rsidR="005411AF" w:rsidRPr="00E6110F">
        <w:t>investigated the possibility of hydraulic fracturing fluids moving upwards to shallow groundwater.</w:t>
      </w:r>
      <w:r w:rsidR="00DF0100" w:rsidRPr="00E6110F">
        <w:t xml:space="preserve"> They first d</w:t>
      </w:r>
      <w:r w:rsidR="00EE332A" w:rsidRPr="00E6110F">
        <w:t>iscuss several factors that inhibit uncontrolled upward migration of induced fractures</w:t>
      </w:r>
      <w:r w:rsidR="00F46986" w:rsidRPr="00E6110F">
        <w:t xml:space="preserve"> (based on horizontally drilled wells in shale gas reservoir)</w:t>
      </w:r>
      <w:r w:rsidR="00EE332A" w:rsidRPr="00E6110F">
        <w:t>:</w:t>
      </w:r>
    </w:p>
    <w:p w14:paraId="0466CAEE" w14:textId="0742994E" w:rsidR="009028F8" w:rsidRPr="00E6110F" w:rsidRDefault="00F46986" w:rsidP="00C117A3">
      <w:pPr>
        <w:pStyle w:val="Body"/>
        <w:numPr>
          <w:ilvl w:val="0"/>
          <w:numId w:val="22"/>
        </w:numPr>
      </w:pPr>
      <w:r w:rsidRPr="00E6110F">
        <w:rPr>
          <w:i/>
        </w:rPr>
        <w:t>Production well construction</w:t>
      </w:r>
      <w:r w:rsidRPr="00E6110F">
        <w:t>:</w:t>
      </w:r>
      <w:r w:rsidR="00A210C4" w:rsidRPr="00E6110F">
        <w:t xml:space="preserve"> </w:t>
      </w:r>
      <w:r w:rsidR="00DF52D8" w:rsidRPr="00E6110F">
        <w:t xml:space="preserve">There is little chance </w:t>
      </w:r>
      <w:r w:rsidR="00D14C72">
        <w:t>of</w:t>
      </w:r>
      <w:r w:rsidR="00D14C72" w:rsidRPr="00E6110F">
        <w:t xml:space="preserve"> </w:t>
      </w:r>
      <w:r w:rsidR="00A210C4" w:rsidRPr="00E6110F">
        <w:t>hydraulic fracture</w:t>
      </w:r>
      <w:r w:rsidR="00DF52D8" w:rsidRPr="00E6110F">
        <w:t>s</w:t>
      </w:r>
      <w:r w:rsidR="00A210C4" w:rsidRPr="00E6110F">
        <w:t xml:space="preserve"> in the horizontal well section moving laterally</w:t>
      </w:r>
      <w:r w:rsidR="00DF52D8" w:rsidRPr="00E6110F">
        <w:t xml:space="preserve"> and </w:t>
      </w:r>
      <w:r w:rsidR="00A210C4" w:rsidRPr="00E6110F">
        <w:t xml:space="preserve">intersecting the vertical section of the wellbore a considerable distance away, and </w:t>
      </w:r>
      <w:r w:rsidR="00DF52D8" w:rsidRPr="00E6110F">
        <w:t>subsequently moving</w:t>
      </w:r>
      <w:r w:rsidR="00A210C4" w:rsidRPr="00E6110F">
        <w:t xml:space="preserve"> up along the wellbore </w:t>
      </w:r>
      <w:r w:rsidR="00DF52D8" w:rsidRPr="00E6110F">
        <w:t>(</w:t>
      </w:r>
      <w:r w:rsidR="003F3B09" w:rsidRPr="00E6110F">
        <w:t>through</w:t>
      </w:r>
      <w:r w:rsidR="00DF52D8" w:rsidRPr="00E6110F">
        <w:t xml:space="preserve"> the cement between casing and </w:t>
      </w:r>
      <w:r w:rsidR="003F3B09" w:rsidRPr="00E6110F">
        <w:t>rock formation</w:t>
      </w:r>
      <w:r w:rsidR="00DF52D8" w:rsidRPr="00E6110F">
        <w:t xml:space="preserve">) </w:t>
      </w:r>
      <w:r w:rsidR="00A210C4" w:rsidRPr="00E6110F">
        <w:t>during injection</w:t>
      </w:r>
      <w:r w:rsidR="00DF52D8" w:rsidRPr="00E6110F">
        <w:t xml:space="preserve"> mainly because</w:t>
      </w:r>
      <w:r w:rsidR="003F3B09" w:rsidRPr="00E6110F">
        <w:t xml:space="preserve"> (i) the bottom part of the vertical production casing usually has a proper cement seal, (ii) </w:t>
      </w:r>
      <w:r w:rsidR="00A66A15" w:rsidRPr="00E6110F">
        <w:t xml:space="preserve">the </w:t>
      </w:r>
      <w:r w:rsidR="003F3B09" w:rsidRPr="00E6110F">
        <w:t xml:space="preserve">horizontal section </w:t>
      </w:r>
      <w:r w:rsidR="00A66A15" w:rsidRPr="00E6110F">
        <w:t xml:space="preserve">of the well </w:t>
      </w:r>
      <w:r w:rsidR="003F3B09" w:rsidRPr="00E6110F">
        <w:t xml:space="preserve">is drilled approximately parallel to the </w:t>
      </w:r>
      <w:r w:rsidR="00A66A15" w:rsidRPr="00E6110F">
        <w:t xml:space="preserve">in situ </w:t>
      </w:r>
      <w:r w:rsidR="003F3B09" w:rsidRPr="00E6110F">
        <w:t>minimum principal</w:t>
      </w:r>
      <w:r w:rsidR="00A66A15" w:rsidRPr="00E6110F">
        <w:t xml:space="preserve"> </w:t>
      </w:r>
      <w:r w:rsidR="003F3B09" w:rsidRPr="00E6110F">
        <w:t xml:space="preserve">stress, </w:t>
      </w:r>
      <w:r w:rsidR="00A66A15" w:rsidRPr="00E6110F">
        <w:t>therefore</w:t>
      </w:r>
      <w:r w:rsidR="003F3B09" w:rsidRPr="00E6110F">
        <w:t xml:space="preserve"> induced fractures propagat</w:t>
      </w:r>
      <w:r w:rsidR="00A66A15" w:rsidRPr="00E6110F">
        <w:t>e predominantly</w:t>
      </w:r>
      <w:r w:rsidR="003F3B09" w:rsidRPr="00E6110F">
        <w:t xml:space="preserve"> at 90° to the horizontal section</w:t>
      </w:r>
      <w:r w:rsidR="009028F8" w:rsidRPr="00E6110F">
        <w:t>, and (iii) the annular pressure on the production casing is monitored thus any breach in the production becomes manageable.</w:t>
      </w:r>
    </w:p>
    <w:p w14:paraId="5B4C0BAB" w14:textId="0E6CCF98" w:rsidR="00A348F6" w:rsidRPr="00E6110F" w:rsidRDefault="00F46986" w:rsidP="00C117A3">
      <w:pPr>
        <w:pStyle w:val="Body"/>
        <w:numPr>
          <w:ilvl w:val="0"/>
          <w:numId w:val="22"/>
        </w:numPr>
      </w:pPr>
      <w:r w:rsidRPr="00E6110F">
        <w:rPr>
          <w:i/>
        </w:rPr>
        <w:t>Orientation of induced fractures</w:t>
      </w:r>
      <w:r w:rsidRPr="00E6110F">
        <w:t>:</w:t>
      </w:r>
      <w:r w:rsidR="007A1C51" w:rsidRPr="00E6110F">
        <w:t xml:space="preserve"> Hydraulic fracturing in zones where the minimum principal stress is horizontal will lead to induced fractures that will grow preferentially upwards, rather than being vertically symmetrical around the fracture point (</w:t>
      </w:r>
      <w:r w:rsidR="00354919" w:rsidRPr="00E6110F">
        <w:fldChar w:fldCharType="begin" w:fldLock="1"/>
      </w:r>
      <w:r w:rsidR="00354919" w:rsidRPr="00E6110F">
        <w:instrText xml:space="preserve"> REF _Ref448660212 \h </w:instrText>
      </w:r>
      <w:r w:rsidR="00E6110F">
        <w:instrText xml:space="preserve"> \* MERGEFORMAT </w:instrText>
      </w:r>
      <w:r w:rsidR="00354919" w:rsidRPr="00E6110F">
        <w:fldChar w:fldCharType="separate"/>
      </w:r>
      <w:r w:rsidR="00335E79" w:rsidRPr="00E6110F">
        <w:t xml:space="preserve">Figure </w:t>
      </w:r>
      <w:r w:rsidR="00335E79">
        <w:rPr>
          <w:noProof/>
        </w:rPr>
        <w:t>2</w:t>
      </w:r>
      <w:r w:rsidR="00335E79">
        <w:rPr>
          <w:noProof/>
        </w:rPr>
        <w:noBreakHyphen/>
        <w:t>6</w:t>
      </w:r>
      <w:r w:rsidR="00354919" w:rsidRPr="00E6110F">
        <w:fldChar w:fldCharType="end"/>
      </w:r>
      <w:r w:rsidR="007A1C51" w:rsidRPr="00E6110F">
        <w:t>). Under such stress conditions, various US shales (e.g. Marcellus and Barnett shales) show maximum fracture growth height on the order of 600 m; b</w:t>
      </w:r>
      <w:r w:rsidR="00A348F6" w:rsidRPr="00E6110F">
        <w:t xml:space="preserve">eyond such vertical heights, natural fractures in the form of joints, faults, and bedding-plane partings </w:t>
      </w:r>
      <w:r w:rsidR="007A1C51" w:rsidRPr="00E6110F">
        <w:t>stop</w:t>
      </w:r>
      <w:r w:rsidR="00A348F6" w:rsidRPr="00E6110F">
        <w:t xml:space="preserve"> vertical growth by allowing leakoff (i.e., fluid diversion) into multiple</w:t>
      </w:r>
      <w:r w:rsidR="00F65ABD" w:rsidRPr="00E6110F">
        <w:t xml:space="preserve"> </w:t>
      </w:r>
      <w:r w:rsidR="00A348F6" w:rsidRPr="00E6110F">
        <w:t>fractures</w:t>
      </w:r>
      <w:r w:rsidR="007A1C51" w:rsidRPr="00E6110F">
        <w:t>.</w:t>
      </w:r>
    </w:p>
    <w:p w14:paraId="0DAF4865" w14:textId="5FF46D04" w:rsidR="00F46986" w:rsidRPr="00E6110F" w:rsidRDefault="00F46986" w:rsidP="00C117A3">
      <w:pPr>
        <w:pStyle w:val="Body"/>
        <w:numPr>
          <w:ilvl w:val="0"/>
          <w:numId w:val="22"/>
        </w:numPr>
        <w:spacing w:after="0"/>
      </w:pPr>
      <w:r w:rsidRPr="00E6110F">
        <w:rPr>
          <w:i/>
        </w:rPr>
        <w:t>Imbibition of injected fluids and associated strain</w:t>
      </w:r>
      <w:r w:rsidRPr="00E6110F">
        <w:t>:</w:t>
      </w:r>
      <w:r w:rsidR="00DD6399" w:rsidRPr="00E6110F">
        <w:t xml:space="preserve"> </w:t>
      </w:r>
      <w:r w:rsidR="00762260" w:rsidRPr="00E6110F">
        <w:t>Injected hydraulic fracturing fluids that do not return to the surface as flowback water or that are not trapped in open or half-open fractures in the shale gas reservoir will be absorbed by the shale rock owing to strong capillary forces. F</w:t>
      </w:r>
      <w:r w:rsidR="00817BF7" w:rsidRPr="00E6110F">
        <w:t>urthermore</w:t>
      </w:r>
      <w:r w:rsidR="00762260" w:rsidRPr="00E6110F">
        <w:t xml:space="preserve">, hydraulic fracturing results in permanent volumetric strain of up to 30 to 50% of the volumes injected. </w:t>
      </w:r>
    </w:p>
    <w:p w14:paraId="33B9EE6A" w14:textId="7E3D199A" w:rsidR="00795B06" w:rsidRPr="00E6110F" w:rsidRDefault="006E62A3" w:rsidP="00C117A3">
      <w:pPr>
        <w:pStyle w:val="Body"/>
        <w:numPr>
          <w:ilvl w:val="0"/>
          <w:numId w:val="22"/>
        </w:numPr>
      </w:pPr>
      <w:r w:rsidRPr="00E6110F">
        <w:rPr>
          <w:i/>
        </w:rPr>
        <w:t>Effect of uplift and surface erosion</w:t>
      </w:r>
      <w:r w:rsidRPr="00E6110F">
        <w:t>:</w:t>
      </w:r>
      <w:r w:rsidR="00795B06" w:rsidRPr="00E6110F">
        <w:t xml:space="preserve"> </w:t>
      </w:r>
      <w:r w:rsidR="00B74660" w:rsidRPr="00E6110F">
        <w:t>In most parts of the world where sedimentary basins have been uplifted and subsequently eroded (all shale-gas basins identified to date are in uplifted, eroded basins), the stresses in the earth become redistributed. A typical situation is that where</w:t>
      </w:r>
      <w:r w:rsidR="00D14C72">
        <w:t>,</w:t>
      </w:r>
      <w:r w:rsidR="00B74660" w:rsidRPr="00E6110F">
        <w:t xml:space="preserve"> at shallow depths</w:t>
      </w:r>
      <w:r w:rsidR="00D14C72">
        <w:t>,</w:t>
      </w:r>
      <w:r w:rsidR="00B74660" w:rsidRPr="00E6110F">
        <w:t xml:space="preserve"> the vertical stress is the smallest of principal stresses</w:t>
      </w:r>
      <w:r w:rsidR="00D14C72">
        <w:t>,</w:t>
      </w:r>
      <w:r w:rsidR="00B74660" w:rsidRPr="00E6110F">
        <w:t xml:space="preserve"> as a result, fractures will propagate horizontally. At greater depths, the stress condition becomes reversed, w</w:t>
      </w:r>
      <w:r w:rsidR="00700628" w:rsidRPr="00E6110F">
        <w:t>ith the horizontal stress becoming</w:t>
      </w:r>
      <w:r w:rsidR="00B74660" w:rsidRPr="00E6110F">
        <w:t xml:space="preserve"> the smallest, thus </w:t>
      </w:r>
      <w:r w:rsidR="00700628" w:rsidRPr="00E6110F">
        <w:t>promoting</w:t>
      </w:r>
      <w:r w:rsidR="00B74660" w:rsidRPr="00E6110F">
        <w:t xml:space="preserve"> vertical fracture propagation (</w:t>
      </w:r>
      <w:r w:rsidR="00B74660" w:rsidRPr="00E6110F">
        <w:fldChar w:fldCharType="begin" w:fldLock="1"/>
      </w:r>
      <w:r w:rsidR="00B74660" w:rsidRPr="00E6110F">
        <w:instrText xml:space="preserve"> REF _Ref448662569 \h </w:instrText>
      </w:r>
      <w:r w:rsidR="00E6110F">
        <w:instrText xml:space="preserve"> \* MERGEFORMAT </w:instrText>
      </w:r>
      <w:r w:rsidR="00B74660" w:rsidRPr="00E6110F">
        <w:fldChar w:fldCharType="separate"/>
      </w:r>
      <w:r w:rsidR="00335E79" w:rsidRPr="00E6110F">
        <w:t xml:space="preserve">Figure </w:t>
      </w:r>
      <w:r w:rsidR="00335E79">
        <w:rPr>
          <w:noProof/>
        </w:rPr>
        <w:t>2</w:t>
      </w:r>
      <w:r w:rsidR="00335E79">
        <w:rPr>
          <w:noProof/>
        </w:rPr>
        <w:noBreakHyphen/>
        <w:t>7</w:t>
      </w:r>
      <w:r w:rsidR="00B74660" w:rsidRPr="00E6110F">
        <w:fldChar w:fldCharType="end"/>
      </w:r>
      <w:r w:rsidR="00B74660" w:rsidRPr="00E6110F">
        <w:t xml:space="preserve">). </w:t>
      </w:r>
      <w:r w:rsidR="00F86962" w:rsidRPr="00E6110F">
        <w:t>For example, i</w:t>
      </w:r>
      <w:r w:rsidR="00B74660" w:rsidRPr="00E6110F">
        <w:t>f a fracture is initiated in a horizontal well at a depth of 425 m (</w:t>
      </w:r>
      <w:r w:rsidR="00B74660" w:rsidRPr="00E6110F">
        <w:fldChar w:fldCharType="begin" w:fldLock="1"/>
      </w:r>
      <w:r w:rsidR="00B74660" w:rsidRPr="00E6110F">
        <w:instrText xml:space="preserve"> REF _Ref448662569 \h </w:instrText>
      </w:r>
      <w:r w:rsidR="00E6110F">
        <w:instrText xml:space="preserve"> \* MERGEFORMAT </w:instrText>
      </w:r>
      <w:r w:rsidR="00B74660" w:rsidRPr="00E6110F">
        <w:fldChar w:fldCharType="separate"/>
      </w:r>
      <w:r w:rsidR="00335E79" w:rsidRPr="00E6110F">
        <w:t xml:space="preserve">Figure </w:t>
      </w:r>
      <w:r w:rsidR="00335E79">
        <w:rPr>
          <w:noProof/>
        </w:rPr>
        <w:t>2</w:t>
      </w:r>
      <w:r w:rsidR="00335E79">
        <w:rPr>
          <w:noProof/>
        </w:rPr>
        <w:noBreakHyphen/>
        <w:t>7</w:t>
      </w:r>
      <w:r w:rsidR="00B74660" w:rsidRPr="00E6110F">
        <w:fldChar w:fldCharType="end"/>
      </w:r>
      <w:r w:rsidR="00B74660" w:rsidRPr="00E6110F">
        <w:t>), it will likely rise until it encounters the stress transition (stress turnover) zone where it will start to propagate horizontally and be more influenced by bedding. This stress condition provides a further barrier to the upward migration of fracturing fluids in most geological environments.</w:t>
      </w:r>
    </w:p>
    <w:p w14:paraId="4676CD5F" w14:textId="58231353" w:rsidR="006E62A3" w:rsidRPr="00E6110F" w:rsidRDefault="006E62A3" w:rsidP="00C117A3">
      <w:pPr>
        <w:pStyle w:val="Body"/>
        <w:numPr>
          <w:ilvl w:val="0"/>
          <w:numId w:val="22"/>
        </w:numPr>
      </w:pPr>
      <w:r w:rsidRPr="00E6110F">
        <w:rPr>
          <w:i/>
        </w:rPr>
        <w:t>Nature of the overlying strata</w:t>
      </w:r>
      <w:r w:rsidRPr="00E6110F">
        <w:t>:</w:t>
      </w:r>
      <w:r w:rsidR="001273A2" w:rsidRPr="00E6110F">
        <w:t xml:space="preserve"> </w:t>
      </w:r>
      <w:r w:rsidR="00C320F3" w:rsidRPr="00E6110F">
        <w:t xml:space="preserve">Low-permeability strata overlying shale gas reservoirs range from stiff naturally-fracture sediments to ductile fine-grained strata void of fractures. </w:t>
      </w:r>
      <w:r w:rsidR="00CC4CD3" w:rsidRPr="00E6110F">
        <w:t xml:space="preserve">The former strata may have acted as a partial seal to upward fluid movement because the shale-gas reservoir is still intact. </w:t>
      </w:r>
      <w:r w:rsidR="00C320F3" w:rsidRPr="00E6110F">
        <w:t xml:space="preserve">The latter formations are effective seals against fluid movement and insensitive to hydraulic fracturing occurring at much greater depths, i.e. they can experience a much larger strain before any fracture opening occurs. Furthermore, it is argued that it is </w:t>
      </w:r>
      <w:r w:rsidR="00CC4CD3" w:rsidRPr="00E6110F">
        <w:t>extremely</w:t>
      </w:r>
      <w:r w:rsidR="00C320F3" w:rsidRPr="00E6110F">
        <w:t xml:space="preserve"> improbable that injection of large volumes of hydraulic fracturing fluid will cause any distortion of overlying strata that would lead to new pathways.     </w:t>
      </w:r>
    </w:p>
    <w:p w14:paraId="1673764A" w14:textId="5153075F" w:rsidR="00C53B48" w:rsidRPr="00E6110F" w:rsidRDefault="006E62A3" w:rsidP="00C117A3">
      <w:pPr>
        <w:pStyle w:val="Body"/>
        <w:numPr>
          <w:ilvl w:val="0"/>
          <w:numId w:val="22"/>
        </w:numPr>
      </w:pPr>
      <w:r w:rsidRPr="00E6110F">
        <w:rPr>
          <w:i/>
        </w:rPr>
        <w:t>Hydraulics of upward fracturing fluids migration to shallow groundwater</w:t>
      </w:r>
      <w:r w:rsidRPr="00E6110F">
        <w:t>:</w:t>
      </w:r>
      <w:r w:rsidR="00460426" w:rsidRPr="00E6110F">
        <w:t xml:space="preserve"> </w:t>
      </w:r>
      <w:r w:rsidR="00C53B48" w:rsidRPr="00E6110F">
        <w:t>The scenario of upward fluid flow from a shale gas reservoir to shallow groundwater via pre-existing fractures as previously simulated by Myers (201</w:t>
      </w:r>
      <w:r w:rsidR="00A92016">
        <w:t>2</w:t>
      </w:r>
      <w:r w:rsidR="00C53B48" w:rsidRPr="00E6110F">
        <w:t xml:space="preserve">), was critically evaluated by Dusseault and Jackson (2014). The latter authors demonstrate the improbability of this scenario occurring because of hydraulic fracturing. On the basis of ‘back-of-the-envelop’ calculations they show that the additional pressure increment </w:t>
      </w:r>
      <w:r w:rsidR="002E5FE0" w:rsidRPr="00E6110F">
        <w:t xml:space="preserve">of 50 MPa </w:t>
      </w:r>
      <w:r w:rsidR="00C53B48" w:rsidRPr="00E6110F">
        <w:t xml:space="preserve">applied at the ground surface by a fleet of fracking trucks is insufficient to lift fracking fluid to the </w:t>
      </w:r>
      <w:r w:rsidR="00BD4C92" w:rsidRPr="00E6110F">
        <w:t>shallow aquifer</w:t>
      </w:r>
      <w:r w:rsidR="00C53B48" w:rsidRPr="00E6110F">
        <w:t xml:space="preserve"> (a height </w:t>
      </w:r>
      <w:r w:rsidR="00BD4C92" w:rsidRPr="00E6110F">
        <w:t xml:space="preserve">difference </w:t>
      </w:r>
      <w:r w:rsidR="00C53B48" w:rsidRPr="00E6110F">
        <w:t xml:space="preserve">of 1500 m was considered) in the </w:t>
      </w:r>
      <w:r w:rsidR="00BD4C92" w:rsidRPr="00E6110F">
        <w:t xml:space="preserve">short </w:t>
      </w:r>
      <w:r w:rsidR="00C53B48" w:rsidRPr="00E6110F">
        <w:t>time provided. This conclusion is consistent with the observations that measured fracture-height growths never exceeded 600 m.</w:t>
      </w:r>
    </w:p>
    <w:p w14:paraId="26FCF208" w14:textId="2399C2BF" w:rsidR="00BD4C92" w:rsidRPr="00E6110F" w:rsidRDefault="006E62A3" w:rsidP="00C117A3">
      <w:pPr>
        <w:pStyle w:val="Body"/>
        <w:numPr>
          <w:ilvl w:val="0"/>
          <w:numId w:val="22"/>
        </w:numPr>
      </w:pPr>
      <w:r w:rsidRPr="00E6110F">
        <w:rPr>
          <w:i/>
        </w:rPr>
        <w:t>Design of hydraulic fracturing stimulation</w:t>
      </w:r>
      <w:r w:rsidRPr="00E6110F">
        <w:t>:</w:t>
      </w:r>
      <w:r w:rsidR="00185F70" w:rsidRPr="00E6110F">
        <w:t xml:space="preserve"> The large costs associated with hydraulic fracturing operations have resulted in highly optimised designs based on mathematical models and monitoring data. As a result, </w:t>
      </w:r>
      <w:r w:rsidR="00BD4C92" w:rsidRPr="00E6110F">
        <w:t>the actual fracturing zone, including the region of beneficial perturbation of</w:t>
      </w:r>
      <w:r w:rsidR="00185F70" w:rsidRPr="00E6110F">
        <w:t xml:space="preserve"> </w:t>
      </w:r>
      <w:r w:rsidR="00BD4C92" w:rsidRPr="00E6110F">
        <w:t>the natural fractures</w:t>
      </w:r>
      <w:r w:rsidR="00185F70" w:rsidRPr="00E6110F">
        <w:t>,</w:t>
      </w:r>
      <w:r w:rsidR="00BD4C92" w:rsidRPr="00E6110F">
        <w:t xml:space="preserve"> does not extend significantly beyond the top of the shale-gas target</w:t>
      </w:r>
      <w:r w:rsidR="00185F70" w:rsidRPr="00E6110F">
        <w:t xml:space="preserve"> </w:t>
      </w:r>
      <w:r w:rsidR="00BD4C92" w:rsidRPr="00E6110F">
        <w:t xml:space="preserve">zone. </w:t>
      </w:r>
    </w:p>
    <w:p w14:paraId="1BBAE296" w14:textId="3442C19A" w:rsidR="003337D8" w:rsidRPr="00E6110F" w:rsidRDefault="003F552F" w:rsidP="00C117A3">
      <w:pPr>
        <w:pStyle w:val="Body"/>
        <w:numPr>
          <w:ilvl w:val="0"/>
          <w:numId w:val="22"/>
        </w:numPr>
      </w:pPr>
      <w:r w:rsidRPr="00E6110F">
        <w:rPr>
          <w:i/>
        </w:rPr>
        <w:t>Volumetric strain and fracture rise</w:t>
      </w:r>
      <w:r w:rsidRPr="00E6110F">
        <w:t>:</w:t>
      </w:r>
      <w:r w:rsidR="00EB23EF" w:rsidRPr="00E6110F">
        <w:t xml:space="preserve">  Dusseault and Jackson (2014) argue</w:t>
      </w:r>
      <w:r w:rsidR="00D14C72">
        <w:t>d</w:t>
      </w:r>
      <w:r w:rsidR="00EB23EF" w:rsidRPr="00E6110F">
        <w:t xml:space="preserve"> that the concept of hydraulic fractures propagating in an uncontrolled manner toward potable water layers is not realistic. Their main argument is that to rise the fracturing fluid 1-2 km into a shallow aquifer, would require (i) injected fluid volumes orders of magnitude larger than what is being used, (ii) pumping for many days or weeks or even months, and (3) virtually zero leakoff to permeable zones. </w:t>
      </w:r>
      <w:r w:rsidR="003337D8" w:rsidRPr="00E6110F">
        <w:t>Furthermore, calculations suggest that the very small volumetric strains associated with depletion of pressure in the gas reservoir will generate only small strains in the overlying rock, insufficient to affect the natural fractures in those rocks.</w:t>
      </w:r>
    </w:p>
    <w:p w14:paraId="453CF939" w14:textId="6A11EAD4" w:rsidR="002A2306" w:rsidRPr="00E6110F" w:rsidRDefault="003F552F" w:rsidP="00C117A3">
      <w:pPr>
        <w:pStyle w:val="Body"/>
        <w:numPr>
          <w:ilvl w:val="0"/>
          <w:numId w:val="22"/>
        </w:numPr>
      </w:pPr>
      <w:r w:rsidRPr="00E6110F">
        <w:rPr>
          <w:i/>
        </w:rPr>
        <w:t>Production from shale-gas reservoir</w:t>
      </w:r>
      <w:r w:rsidRPr="00E6110F">
        <w:t>:</w:t>
      </w:r>
      <w:r w:rsidR="002A2306" w:rsidRPr="00E6110F">
        <w:t xml:space="preserve"> Depleted shale-gas reservoirs become a zone of low regional pressure and are more likely to induce brine flow into it than to allow gas flow to escape. This physical reality was used by Dusseault and Jackson (2014) to conclude that the model assumptions </w:t>
      </w:r>
      <w:r w:rsidR="00315F2B" w:rsidRPr="00E6110F">
        <w:t xml:space="preserve">(of sustained overpressuring during fracturing) </w:t>
      </w:r>
      <w:r w:rsidR="002A2306" w:rsidRPr="00E6110F">
        <w:t xml:space="preserve">used by Gassiat et al. (2013) in their simulations of leakage of fracturing fluids to a shallow aquifer were extremely unlikely in practice. </w:t>
      </w:r>
    </w:p>
    <w:p w14:paraId="0278F3A5" w14:textId="5C10E138" w:rsidR="001F249B" w:rsidRPr="00E6110F" w:rsidRDefault="001F249B" w:rsidP="001F249B">
      <w:pPr>
        <w:pStyle w:val="Body"/>
      </w:pPr>
      <w:r w:rsidRPr="00E6110F">
        <w:t>Based on the above arguments, Dusseault and Jackson (2014) conclude that the risk of hydraulic fracturing fluids or gas from the injection zone rising up into the intermediate zone during or after fracturing is remote. Furthermore, there is a strong economic incentive for operators to reduce the loss of injected fluids into non-productive overlying zones. As a result, the chances of dramatic fracture rise toward shallower depth and intersection with potable water aquifers, remote as they are, will become even lower as the companies perfect their techniques.</w:t>
      </w:r>
      <w:r w:rsidR="00705ADB" w:rsidRPr="00E6110F">
        <w:t xml:space="preserve"> </w:t>
      </w:r>
      <w:r w:rsidR="00474555" w:rsidRPr="00E6110F">
        <w:t xml:space="preserve">Rare exceptions of contamination do exist, unfortunately, such as that where hydraulic fracturing fluid was injected by mistake into a sandstone aquifer at shallow depth (136 m) whereas it should have been injected into the gas reservoir at 1500 m depth (Dusseault and Jackson 2014). </w:t>
      </w:r>
      <w:r w:rsidRPr="00E6110F">
        <w:t xml:space="preserve"> </w:t>
      </w:r>
    </w:p>
    <w:p w14:paraId="75E0DD9C" w14:textId="109B0341" w:rsidR="00F35523" w:rsidRPr="00E6110F" w:rsidRDefault="008C2664" w:rsidP="00AC7FF0">
      <w:pPr>
        <w:pStyle w:val="Body"/>
      </w:pPr>
      <w:r w:rsidRPr="00E6110F">
        <w:t>Dusseault and Jackson (2014) recognise</w:t>
      </w:r>
      <w:r w:rsidR="00106C07">
        <w:t>d</w:t>
      </w:r>
      <w:r w:rsidRPr="00E6110F">
        <w:t xml:space="preserve"> that the seepage pathway of greatest risk for hydraulic fracture fluids are the</w:t>
      </w:r>
      <w:r w:rsidR="00DC7512" w:rsidRPr="00E6110F">
        <w:t xml:space="preserve"> decommissioned wells intersect</w:t>
      </w:r>
      <w:r w:rsidRPr="00E6110F">
        <w:t>ing</w:t>
      </w:r>
      <w:r w:rsidR="00DC7512" w:rsidRPr="00E6110F">
        <w:t xml:space="preserve"> the hydraulic fracturing volume. </w:t>
      </w:r>
      <w:r w:rsidR="008C084B" w:rsidRPr="00E6110F">
        <w:t>Indeed, t</w:t>
      </w:r>
      <w:r w:rsidR="00DC7512" w:rsidRPr="00E6110F">
        <w:t xml:space="preserve">he most serious fluid communication risk during hydraulic fracturing is the possible intersection of the fractured zone with offset wellbores </w:t>
      </w:r>
      <w:r w:rsidR="00015B2D" w:rsidRPr="00E6110F">
        <w:t xml:space="preserve">(e.g. old production gas wells) </w:t>
      </w:r>
      <w:r w:rsidR="00DC7512" w:rsidRPr="00E6110F">
        <w:t xml:space="preserve">that pass through the </w:t>
      </w:r>
      <w:r w:rsidR="008C084B" w:rsidRPr="00E6110F">
        <w:t>stimulated rock volume</w:t>
      </w:r>
      <w:r w:rsidR="00DC7512" w:rsidRPr="00E6110F">
        <w:t xml:space="preserve"> created by the hydraulic fractures. If the quality of the cement and completion </w:t>
      </w:r>
      <w:r w:rsidR="008C084B" w:rsidRPr="00E6110F">
        <w:t>of such</w:t>
      </w:r>
      <w:r w:rsidR="00DC7512" w:rsidRPr="00E6110F">
        <w:t xml:space="preserve"> offset well</w:t>
      </w:r>
      <w:r w:rsidR="008C084B" w:rsidRPr="00E6110F">
        <w:t>s</w:t>
      </w:r>
      <w:r w:rsidR="00DC7512" w:rsidRPr="00E6110F">
        <w:t xml:space="preserve"> is poor, fracturing fluids </w:t>
      </w:r>
      <w:r w:rsidR="009A7BF1" w:rsidRPr="00E6110F">
        <w:t xml:space="preserve">that moved </w:t>
      </w:r>
      <w:r w:rsidR="00DC7512" w:rsidRPr="00E6110F">
        <w:t xml:space="preserve">laterally to the offset vertical cased wells </w:t>
      </w:r>
      <w:r w:rsidR="009A7BF1" w:rsidRPr="00E6110F">
        <w:t xml:space="preserve">could then feasibly move </w:t>
      </w:r>
      <w:r w:rsidR="00DC7512" w:rsidRPr="00E6110F">
        <w:t>upward along the annulus between the casing and the rock.</w:t>
      </w:r>
      <w:r w:rsidR="00015B2D" w:rsidRPr="00E6110F">
        <w:t xml:space="preserve"> Examples from inter-wellbore communication have been reported for the Barnett Shale of Texas (approximately 200 m distance between </w:t>
      </w:r>
      <w:r w:rsidR="00A836C9" w:rsidRPr="00E6110F">
        <w:t>wells</w:t>
      </w:r>
      <w:r w:rsidR="00015B2D" w:rsidRPr="00E6110F">
        <w:t>), Alberta</w:t>
      </w:r>
      <w:r w:rsidR="00A836C9" w:rsidRPr="00E6110F">
        <w:t xml:space="preserve"> (maximum distance up to 2400 m)</w:t>
      </w:r>
      <w:r w:rsidR="00015B2D" w:rsidRPr="00E6110F">
        <w:t>, and British Columbia</w:t>
      </w:r>
      <w:r w:rsidR="00A836C9" w:rsidRPr="00E6110F">
        <w:t xml:space="preserve"> (communication reported up to 4100 m distance)</w:t>
      </w:r>
      <w:r w:rsidR="00015B2D" w:rsidRPr="00E6110F">
        <w:t>.</w:t>
      </w:r>
      <w:r w:rsidR="00A836C9" w:rsidRPr="00E6110F">
        <w:t xml:space="preserve"> Dusseault and Jackson (2014) argue</w:t>
      </w:r>
      <w:r w:rsidR="00106C07">
        <w:t>d</w:t>
      </w:r>
      <w:r w:rsidR="00A836C9" w:rsidRPr="00E6110F">
        <w:t xml:space="preserve"> that the vast majority of communications involve pore-pressure pulses, not fluid breakthroughs. One exception involves </w:t>
      </w:r>
      <w:proofErr w:type="gramStart"/>
      <w:r w:rsidR="00A836C9" w:rsidRPr="00E6110F">
        <w:t>a</w:t>
      </w:r>
      <w:proofErr w:type="gramEnd"/>
      <w:r w:rsidR="00A836C9" w:rsidRPr="00E6110F">
        <w:t xml:space="preserve"> 80 m</w:t>
      </w:r>
      <w:r w:rsidR="00A836C9" w:rsidRPr="00E6110F">
        <w:rPr>
          <w:vertAlign w:val="superscript"/>
        </w:rPr>
        <w:t>3</w:t>
      </w:r>
      <w:r w:rsidR="00A836C9" w:rsidRPr="00E6110F">
        <w:t xml:space="preserve"> discharge of hydraulic fracturing fluid and formation fluid at the surface when a new well was fractured in Alberta, with 129 m between the offset well and the new well. </w:t>
      </w:r>
    </w:p>
    <w:p w14:paraId="7F019828" w14:textId="2B50C5D7" w:rsidR="00F135D2" w:rsidRPr="00E6110F" w:rsidRDefault="00A836C9" w:rsidP="00AC7FF0">
      <w:pPr>
        <w:pStyle w:val="Body"/>
      </w:pPr>
      <w:r w:rsidRPr="00E6110F">
        <w:t>Dusseault and Jackson (2014) conclude</w:t>
      </w:r>
      <w:r w:rsidR="00106C07">
        <w:t>d</w:t>
      </w:r>
      <w:r w:rsidRPr="00E6110F">
        <w:t xml:space="preserve"> that the migration of hydraulic fracturing or formation fluids (including natural gas) to the surface as a result of deep hydraulic fracturing of typical shale-gas reservoirs appear</w:t>
      </w:r>
      <w:r w:rsidR="00106C07">
        <w:t>ed</w:t>
      </w:r>
      <w:r w:rsidRPr="00E6110F">
        <w:t xml:space="preserve"> most unlikely. They </w:t>
      </w:r>
      <w:r w:rsidR="00106C07" w:rsidRPr="00E6110F">
        <w:t>d</w:t>
      </w:r>
      <w:r w:rsidR="00106C07">
        <w:t>id</w:t>
      </w:r>
      <w:r w:rsidR="00106C07" w:rsidRPr="00E6110F">
        <w:t xml:space="preserve"> </w:t>
      </w:r>
      <w:r w:rsidRPr="00E6110F">
        <w:t xml:space="preserve">recognise, however, that the real subsurface threat to shallow groundwater contamination </w:t>
      </w:r>
      <w:r w:rsidR="00106C07">
        <w:t>wa</w:t>
      </w:r>
      <w:r w:rsidR="00106C07" w:rsidRPr="00E6110F">
        <w:t xml:space="preserve">s </w:t>
      </w:r>
      <w:r w:rsidRPr="00E6110F">
        <w:t xml:space="preserve">likely </w:t>
      </w:r>
      <w:r w:rsidR="00207476" w:rsidRPr="00E6110F">
        <w:t xml:space="preserve">related </w:t>
      </w:r>
      <w:r w:rsidRPr="00E6110F">
        <w:t xml:space="preserve">to </w:t>
      </w:r>
      <w:r w:rsidR="00207476" w:rsidRPr="00E6110F">
        <w:t>a</w:t>
      </w:r>
      <w:r w:rsidRPr="00E6110F">
        <w:t xml:space="preserve"> combination of factors involving the characteristics of annular cement seals of production wells and the presence of natural gas in intermediate zones between shallow aquifers and the </w:t>
      </w:r>
      <w:r w:rsidR="00207476" w:rsidRPr="00E6110F">
        <w:t xml:space="preserve">target </w:t>
      </w:r>
      <w:r w:rsidRPr="00E6110F">
        <w:t>shale-gas formations.</w:t>
      </w:r>
      <w:r w:rsidR="00D05C68" w:rsidRPr="00E6110F">
        <w:t xml:space="preserve"> </w:t>
      </w:r>
    </w:p>
    <w:p w14:paraId="3101E21B" w14:textId="5F0C6973" w:rsidR="003F552F" w:rsidRPr="00E6110F" w:rsidRDefault="00CB7C8F" w:rsidP="00795B06">
      <w:pPr>
        <w:pStyle w:val="Body"/>
        <w:ind w:left="720"/>
        <w:jc w:val="center"/>
      </w:pPr>
      <w:r w:rsidRPr="00CB7C8F">
        <w:rPr>
          <w:noProof/>
          <w:lang w:val="en-AU" w:eastAsia="en-AU"/>
        </w:rPr>
        <w:drawing>
          <wp:inline distT="0" distB="0" distL="0" distR="0" wp14:anchorId="38B229B9" wp14:editId="2BDECCAB">
            <wp:extent cx="4119085" cy="4946073"/>
            <wp:effectExtent l="0" t="0" r="0" b="0"/>
            <wp:docPr id="63" name="Picture 63" descr="Diagram demonstrating that hydraulic fractures tend to rise due to differential gradients through a conceptual graph showing depth below surface against pressure (stress)."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132878" cy="4962635"/>
                    </a:xfrm>
                    <a:prstGeom prst="rect">
                      <a:avLst/>
                    </a:prstGeom>
                    <a:noFill/>
                    <a:ln>
                      <a:noFill/>
                    </a:ln>
                  </pic:spPr>
                </pic:pic>
              </a:graphicData>
            </a:graphic>
          </wp:inline>
        </w:drawing>
      </w:r>
    </w:p>
    <w:p w14:paraId="3D411CB6" w14:textId="2BD071A9" w:rsidR="00DA0B1C" w:rsidRPr="00E6110F" w:rsidRDefault="00DA0B1C" w:rsidP="00DA0B1C">
      <w:pPr>
        <w:pStyle w:val="Imagecaption"/>
      </w:pPr>
      <w:bookmarkStart w:id="38" w:name="_Ref448660212"/>
      <w:bookmarkStart w:id="39" w:name="_Toc477347538"/>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w:t>
      </w:r>
      <w:r w:rsidR="00254026">
        <w:fldChar w:fldCharType="end"/>
      </w:r>
      <w:bookmarkEnd w:id="38"/>
      <w:r w:rsidRPr="00E6110F">
        <w:t xml:space="preserve"> Hydraulic fractures tend to rise because of differential gradients</w:t>
      </w:r>
      <w:r w:rsidR="00E610D7">
        <w:t>;</w:t>
      </w:r>
      <w:r w:rsidRPr="00E6110F">
        <w:t xml:space="preserve"> </w:t>
      </w:r>
      <w:r w:rsidR="00E610D7">
        <w:t xml:space="preserve">above the injection point, a positive driving force exists because the rock mass stress gradient (17-23 kPa/m) is larger than the </w:t>
      </w:r>
      <w:r w:rsidR="004B0800">
        <w:t xml:space="preserve">fracturing </w:t>
      </w:r>
      <w:r w:rsidR="00E610D7">
        <w:t>fluid stress gradient (10-13 kPa/m)</w:t>
      </w:r>
      <w:r w:rsidR="004B0800">
        <w:t>. Below the injection point a pressure deficiency exists resulting in limited downward fracture growth</w:t>
      </w:r>
      <w:r w:rsidR="00E610D7">
        <w:t xml:space="preserve"> </w:t>
      </w:r>
      <w:r w:rsidRPr="00E6110F">
        <w:t>(</w:t>
      </w:r>
      <w:r w:rsidR="00FA7B30">
        <w:t xml:space="preserve">modified from </w:t>
      </w:r>
      <w:r w:rsidRPr="00E6110F">
        <w:t>Dusseault and Jackson 2014).</w:t>
      </w:r>
      <w:bookmarkEnd w:id="39"/>
    </w:p>
    <w:p w14:paraId="3D59E4BC" w14:textId="77777777" w:rsidR="00795B06" w:rsidRPr="00E6110F" w:rsidRDefault="00795B06" w:rsidP="00541F89">
      <w:pPr>
        <w:pStyle w:val="Body"/>
      </w:pPr>
    </w:p>
    <w:p w14:paraId="6219CCA8" w14:textId="27D7C559" w:rsidR="009D101D" w:rsidRPr="00E6110F" w:rsidRDefault="009D101D" w:rsidP="009D101D">
      <w:pPr>
        <w:pStyle w:val="Body"/>
        <w:jc w:val="center"/>
      </w:pPr>
      <w:r w:rsidRPr="00E6110F">
        <w:rPr>
          <w:noProof/>
          <w:lang w:val="en-AU" w:eastAsia="en-AU"/>
        </w:rPr>
        <w:drawing>
          <wp:inline distT="0" distB="0" distL="0" distR="0" wp14:anchorId="1BBABDE0" wp14:editId="58922982">
            <wp:extent cx="5167313" cy="3689301"/>
            <wp:effectExtent l="0" t="0" r="0" b="6985"/>
            <wp:docPr id="529" name="Picture 529" descr="Idealised graph of depth to stress in Alberta, Canada. Shows relation between stresses and fracture orientiation."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5170958" cy="3691903"/>
                    </a:xfrm>
                    <a:prstGeom prst="rect">
                      <a:avLst/>
                    </a:prstGeom>
                  </pic:spPr>
                </pic:pic>
              </a:graphicData>
            </a:graphic>
          </wp:inline>
        </w:drawing>
      </w:r>
    </w:p>
    <w:p w14:paraId="50F596C1" w14:textId="33DBF7EF" w:rsidR="009D101D" w:rsidRPr="00E6110F" w:rsidRDefault="009D101D" w:rsidP="009D101D">
      <w:pPr>
        <w:pStyle w:val="Imagecaption"/>
      </w:pPr>
      <w:bookmarkStart w:id="40" w:name="_Ref448662569"/>
      <w:bookmarkStart w:id="41" w:name="_Toc477347539"/>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w:t>
      </w:r>
      <w:r w:rsidR="00254026">
        <w:fldChar w:fldCharType="end"/>
      </w:r>
      <w:bookmarkEnd w:id="40"/>
      <w:r w:rsidRPr="00E6110F">
        <w:t xml:space="preserve"> Relation between stresses and fracture orientation, north of Medicine Hat, Alberta, Western Canada sedimentary basin</w:t>
      </w:r>
      <w:r w:rsidR="00CA6D49">
        <w:t>. At shallow depths (from 200 to approximately 380 m) the vertical stress is smaller than the minimum horizontal stress</w:t>
      </w:r>
      <w:r w:rsidR="00D03D47">
        <w:t xml:space="preserve"> (referred to as reverse fault regime)</w:t>
      </w:r>
      <w:r w:rsidR="00CA6D49">
        <w:t>; as a result, fractures develop preferentially in horizontal direction.</w:t>
      </w:r>
      <w:r w:rsidRPr="00E6110F">
        <w:t xml:space="preserve"> </w:t>
      </w:r>
      <w:r w:rsidR="00D03D47">
        <w:t xml:space="preserve">At depths below 380 m, a strike-slip fault regime exists (vertical stress is larger than minimum horizontal stress) </w:t>
      </w:r>
      <w:r w:rsidR="00A15245">
        <w:t>promoting vertical fracture propagation</w:t>
      </w:r>
      <w:r w:rsidR="00D03D47">
        <w:t xml:space="preserve"> </w:t>
      </w:r>
      <w:r w:rsidRPr="00E6110F">
        <w:t>(Dusseault and Jackson 2014).</w:t>
      </w:r>
      <w:bookmarkEnd w:id="41"/>
    </w:p>
    <w:p w14:paraId="66008F9D" w14:textId="77777777" w:rsidR="001273A2" w:rsidRPr="00E6110F" w:rsidRDefault="001273A2" w:rsidP="009D101D">
      <w:pPr>
        <w:pStyle w:val="Imagecaption"/>
      </w:pPr>
    </w:p>
    <w:p w14:paraId="39C38082" w14:textId="3224A485" w:rsidR="005C11E9" w:rsidRPr="00E6110F" w:rsidRDefault="00F35523" w:rsidP="005C11E9">
      <w:pPr>
        <w:pStyle w:val="Body"/>
      </w:pPr>
      <w:r w:rsidRPr="00E6110F">
        <w:t xml:space="preserve">The wellbore is identified as the most likely pathway of fluid leakage from depth to shallow aquifers, with methane gas as the principal fluid and buoyancy the main driving force. The principal pathways include the micro-annulus between the outermost casing and the debonded cement sheath and/or between the debonded cement sheath and borehole rock wall (Mueller and Eid 2006). Such gas seepage may become evident as surface-casing vent flow (SCVF) or as gas migration that occurs outside the casing strings. </w:t>
      </w:r>
      <w:r w:rsidR="00AA217B" w:rsidRPr="00E6110F">
        <w:t xml:space="preserve">In Canada, surface-casing vents are left open to the atmosphere </w:t>
      </w:r>
      <w:r w:rsidR="00DA427F" w:rsidRPr="00E6110F">
        <w:t>allowing the</w:t>
      </w:r>
      <w:r w:rsidR="00AA217B" w:rsidRPr="00E6110F">
        <w:t xml:space="preserve"> gas </w:t>
      </w:r>
      <w:r w:rsidR="00DA427F" w:rsidRPr="00E6110F">
        <w:t>to</w:t>
      </w:r>
      <w:r w:rsidR="00AA217B" w:rsidRPr="00E6110F">
        <w:t xml:space="preserve"> vent freely. </w:t>
      </w:r>
      <w:r w:rsidR="005C11E9" w:rsidRPr="00E6110F">
        <w:t xml:space="preserve">In the US, however, shutting-in surface and other casing-head valves is common practice. </w:t>
      </w:r>
      <w:r w:rsidRPr="00E6110F">
        <w:t>Gas migration may emit at ground surface or it may penetrate shallow aquifers leading to gassy water wells or groundwater contamination.</w:t>
      </w:r>
      <w:r w:rsidR="005C11E9" w:rsidRPr="00E6110F">
        <w:t xml:space="preserve"> Dusseault and Jackson (2014) argue that the potential for gas migration and subsequent groundwater contamination is exacerbated if surface-casing vent valves and casing-head valves are shut-in</w:t>
      </w:r>
      <w:r w:rsidR="00365CA6" w:rsidRPr="00E6110F">
        <w:t xml:space="preserve"> (see the case study on groundwater contamination triggered by casing-head valve closure following gas release via the wellbore annulus after fracturing as reported by Bair et al. 2010)</w:t>
      </w:r>
      <w:r w:rsidR="005C11E9" w:rsidRPr="00E6110F">
        <w:t>.</w:t>
      </w:r>
    </w:p>
    <w:p w14:paraId="514ADC63" w14:textId="143C0770" w:rsidR="00B0108A" w:rsidRPr="00E6110F" w:rsidRDefault="00B0108A" w:rsidP="005C11E9">
      <w:pPr>
        <w:pStyle w:val="Body"/>
      </w:pPr>
      <w:r w:rsidRPr="00E6110F">
        <w:t>Dusseault and Jackson</w:t>
      </w:r>
      <w:r w:rsidR="00DA52EF" w:rsidRPr="00E6110F">
        <w:t>’s</w:t>
      </w:r>
      <w:r w:rsidRPr="00E6110F">
        <w:t xml:space="preserve"> (2014)</w:t>
      </w:r>
      <w:r w:rsidR="00DA52EF" w:rsidRPr="00E6110F">
        <w:t xml:space="preserve"> final conclusion on hydraulic fracturing risks </w:t>
      </w:r>
      <w:r w:rsidR="00106C07">
        <w:t>wa</w:t>
      </w:r>
      <w:r w:rsidR="00DA52EF" w:rsidRPr="00E6110F">
        <w:t>s as follows:</w:t>
      </w:r>
    </w:p>
    <w:p w14:paraId="6D04F5F2" w14:textId="2B6BB98E" w:rsidR="00DA52EF" w:rsidRPr="00E6110F" w:rsidRDefault="00DA52EF" w:rsidP="00C117A3">
      <w:pPr>
        <w:pStyle w:val="Body"/>
        <w:numPr>
          <w:ilvl w:val="0"/>
          <w:numId w:val="23"/>
        </w:numPr>
      </w:pPr>
      <w:proofErr w:type="gramStart"/>
      <w:r w:rsidRPr="00E6110F">
        <w:t>hydraulic</w:t>
      </w:r>
      <w:proofErr w:type="gramEnd"/>
      <w:r w:rsidRPr="00E6110F">
        <w:t xml:space="preserve"> fracturing itself appears not to present a significant environmental risk, except when abandoned or suspended well casings are intersected by fracturing fluids during the high-pressure stage of fluid injection. Likewise, producing wells situated in the same target formation as new wells involved with fracture stimulation may be affected by hydraulic fracturing fluids when the inter-wellbore distance is within approximately 250 m,</w:t>
      </w:r>
    </w:p>
    <w:p w14:paraId="191DE876" w14:textId="44EA9529" w:rsidR="00DA52EF" w:rsidRPr="00E6110F" w:rsidRDefault="00D2689E" w:rsidP="00C117A3">
      <w:pPr>
        <w:pStyle w:val="Body"/>
        <w:numPr>
          <w:ilvl w:val="0"/>
          <w:numId w:val="23"/>
        </w:numPr>
      </w:pPr>
      <w:proofErr w:type="gramStart"/>
      <w:r w:rsidRPr="00E6110F">
        <w:t>the</w:t>
      </w:r>
      <w:proofErr w:type="gramEnd"/>
      <w:r w:rsidRPr="00E6110F">
        <w:t xml:space="preserve"> quality of cement completions of casing installations is a concern with regard to future gas migration. Indeed, gas migration outside the casing is typically a result of incomplete cementing (in the case of older conventional wells) or the formation of micro-annuli within or on the periphery of the cement sheath because of cement shrinkage. Gas-pressure gradients will promote the vertical ascent of gas slugs that will appear at the surface as pulsed gas flow.</w:t>
      </w:r>
      <w:r w:rsidR="005316D1" w:rsidRPr="00E6110F">
        <w:t xml:space="preserve"> If such gas flows are </w:t>
      </w:r>
      <w:r w:rsidR="00C45E97" w:rsidRPr="00E6110F">
        <w:t>not allowed to discharge to the atmosphere by shutting-in surface valves, potential for gas migration and subsequent groundwater contamination is exacerbated.</w:t>
      </w:r>
      <w:r w:rsidRPr="00E6110F">
        <w:t xml:space="preserve"> </w:t>
      </w:r>
    </w:p>
    <w:p w14:paraId="7964B06D" w14:textId="14CC1E47" w:rsidR="00E11374" w:rsidRPr="00E6110F" w:rsidRDefault="00E11374" w:rsidP="00E11374">
      <w:pPr>
        <w:pStyle w:val="Body"/>
      </w:pPr>
      <w:r w:rsidRPr="00E6110F">
        <w:t xml:space="preserve">Engelder et al. (2014) </w:t>
      </w:r>
      <w:r w:rsidR="00F92C46" w:rsidRPr="00E6110F">
        <w:t>analysed the hypothes</w:t>
      </w:r>
      <w:r w:rsidR="00743A7E" w:rsidRPr="00E6110F">
        <w:t>e</w:t>
      </w:r>
      <w:r w:rsidR="00F92C46" w:rsidRPr="00E6110F">
        <w:t>s developed by Warner et al. (2012</w:t>
      </w:r>
      <w:r w:rsidR="002F068E" w:rsidRPr="00E6110F">
        <w:t>a</w:t>
      </w:r>
      <w:r w:rsidR="00F92C46" w:rsidRPr="00E6110F">
        <w:t xml:space="preserve">) and concluded that these hypotheses </w:t>
      </w:r>
      <w:r w:rsidR="00810F0C" w:rsidRPr="00E6110F">
        <w:t xml:space="preserve">(i.e. that hydraulic fracturing fluid migrates out of gas shale to contaminate groundwater) </w:t>
      </w:r>
      <w:r w:rsidR="00F92C46" w:rsidRPr="00E6110F">
        <w:t>are highly unlikely for the following reasons:</w:t>
      </w:r>
    </w:p>
    <w:p w14:paraId="01F69251" w14:textId="75B23805" w:rsidR="00B81011" w:rsidRPr="00E6110F" w:rsidRDefault="00F374DC" w:rsidP="00C117A3">
      <w:pPr>
        <w:pStyle w:val="Body"/>
        <w:numPr>
          <w:ilvl w:val="0"/>
          <w:numId w:val="23"/>
        </w:numPr>
      </w:pPr>
      <w:r w:rsidRPr="00E6110F">
        <w:t>T</w:t>
      </w:r>
      <w:r w:rsidR="00F92C46" w:rsidRPr="00E6110F">
        <w:t>he near-total lack of free water in gas shale means that shale formations cannot feed a steady upward leakage of the kind proposed by Warner et al. (2012</w:t>
      </w:r>
      <w:r w:rsidR="002F068E" w:rsidRPr="00E6110F">
        <w:t>a</w:t>
      </w:r>
      <w:r w:rsidR="00F92C46" w:rsidRPr="00E6110F">
        <w:t>)</w:t>
      </w:r>
      <w:r w:rsidRPr="00E6110F">
        <w:t xml:space="preserve">. The highly water-unsaturated shales will function as a dehydrated sponge that sucks in any free water that comes in contact with the shales. </w:t>
      </w:r>
      <w:r w:rsidR="00B81011" w:rsidRPr="00E6110F">
        <w:t>Furthermore, the permeability of these water-unsaturated shale is orders of magnitude lower compared to that of a water-saturated shale</w:t>
      </w:r>
      <w:r w:rsidR="00B4714B" w:rsidRPr="00E6110F">
        <w:t>, therefore it cannot sustain any appreciable water flow</w:t>
      </w:r>
      <w:r w:rsidR="00B81011" w:rsidRPr="00E6110F">
        <w:t xml:space="preserve">. Indeed, </w:t>
      </w:r>
      <w:r w:rsidR="00876406" w:rsidRPr="00E6110F">
        <w:t xml:space="preserve">the permeability of </w:t>
      </w:r>
      <w:r w:rsidR="00B81011" w:rsidRPr="00E6110F">
        <w:t>any rock decreases by orders of magnitude as the water saturation decreases from unity.</w:t>
      </w:r>
    </w:p>
    <w:p w14:paraId="2C093911" w14:textId="53094C01" w:rsidR="00F92C46" w:rsidRPr="00E6110F" w:rsidRDefault="00F374DC" w:rsidP="00C117A3">
      <w:pPr>
        <w:pStyle w:val="Body"/>
        <w:numPr>
          <w:ilvl w:val="0"/>
          <w:numId w:val="23"/>
        </w:numPr>
      </w:pPr>
      <w:r w:rsidRPr="00E6110F">
        <w:t>Because</w:t>
      </w:r>
      <w:r w:rsidR="00F92C46" w:rsidRPr="00E6110F">
        <w:t xml:space="preserve"> gas shale readily imbibes </w:t>
      </w:r>
      <w:r w:rsidRPr="00E6110F">
        <w:t xml:space="preserve">or takes up </w:t>
      </w:r>
      <w:r w:rsidR="00F92C46" w:rsidRPr="00E6110F">
        <w:t xml:space="preserve">water, only a fraction of the </w:t>
      </w:r>
      <w:r w:rsidRPr="00E6110F">
        <w:t xml:space="preserve">injected hydraulic </w:t>
      </w:r>
      <w:r w:rsidR="00F92C46" w:rsidRPr="00E6110F">
        <w:t xml:space="preserve">fracturing </w:t>
      </w:r>
      <w:r w:rsidRPr="00E6110F">
        <w:t>fluid</w:t>
      </w:r>
      <w:r w:rsidR="00F92C46" w:rsidRPr="00E6110F">
        <w:t xml:space="preserve"> is returned</w:t>
      </w:r>
      <w:r w:rsidRPr="00E6110F">
        <w:t xml:space="preserve">. The majority is </w:t>
      </w:r>
      <w:r w:rsidR="00B81011" w:rsidRPr="00E6110F">
        <w:t>retained within the shale due to processes of imbibition and diffusion-osmosis.</w:t>
      </w:r>
      <w:r w:rsidR="00E23522" w:rsidRPr="00E6110F">
        <w:t xml:space="preserve"> Imbibition occurs within the silicate fraction of the shale which is water-wet; the kerogen fraction of shale is oil-wet and hydrophobic and will not imbibe water.</w:t>
      </w:r>
    </w:p>
    <w:p w14:paraId="2854CF0A" w14:textId="05ADE0D7" w:rsidR="004B6D5A" w:rsidRPr="00E6110F" w:rsidRDefault="00810F0C" w:rsidP="00C117A3">
      <w:pPr>
        <w:pStyle w:val="Body"/>
        <w:numPr>
          <w:ilvl w:val="0"/>
          <w:numId w:val="23"/>
        </w:numPr>
      </w:pPr>
      <w:r w:rsidRPr="00E6110F">
        <w:t xml:space="preserve">Coupled diffusion–osmosis processes and the forces associated with surface tension and adhesion (capillary forces) propel water into the matrix of gas shale and generate the high salinities observed in the recovered </w:t>
      </w:r>
      <w:r w:rsidR="009229BB" w:rsidRPr="00E6110F">
        <w:t>fracturing fluid</w:t>
      </w:r>
      <w:r w:rsidR="00422468" w:rsidRPr="00E6110F">
        <w:t xml:space="preserve"> (</w:t>
      </w:r>
      <w:r w:rsidR="007B2E99" w:rsidRPr="00E6110F">
        <w:fldChar w:fldCharType="begin" w:fldLock="1"/>
      </w:r>
      <w:r w:rsidR="007B2E99" w:rsidRPr="00E6110F">
        <w:instrText xml:space="preserve"> REF _Ref448776026 \h </w:instrText>
      </w:r>
      <w:r w:rsidR="00E6110F">
        <w:instrText xml:space="preserve"> \* MERGEFORMAT </w:instrText>
      </w:r>
      <w:r w:rsidR="007B2E99" w:rsidRPr="00E6110F">
        <w:fldChar w:fldCharType="separate"/>
      </w:r>
      <w:r w:rsidR="00335E79" w:rsidRPr="00E6110F">
        <w:t xml:space="preserve">Figure </w:t>
      </w:r>
      <w:r w:rsidR="00335E79">
        <w:rPr>
          <w:noProof/>
        </w:rPr>
        <w:t>2</w:t>
      </w:r>
      <w:r w:rsidR="00335E79">
        <w:rPr>
          <w:noProof/>
        </w:rPr>
        <w:noBreakHyphen/>
        <w:t>8</w:t>
      </w:r>
      <w:r w:rsidR="007B2E99" w:rsidRPr="00E6110F">
        <w:fldChar w:fldCharType="end"/>
      </w:r>
      <w:r w:rsidR="00422468" w:rsidRPr="00E6110F">
        <w:t>)</w:t>
      </w:r>
      <w:r w:rsidR="009229BB" w:rsidRPr="00E6110F">
        <w:t>.</w:t>
      </w:r>
      <w:r w:rsidR="004B6D5A" w:rsidRPr="00E6110F">
        <w:t xml:space="preserve"> The contrast in water activity between brine and fresh water generates very substantial osmotic pressure differences that will drive hydraulic fracturing fluids into the shale matrix.</w:t>
      </w:r>
    </w:p>
    <w:p w14:paraId="18A9FF25" w14:textId="37C23E0F" w:rsidR="00810F0C" w:rsidRPr="00E6110F" w:rsidRDefault="00743A7E" w:rsidP="00C117A3">
      <w:pPr>
        <w:pStyle w:val="Body"/>
        <w:numPr>
          <w:ilvl w:val="0"/>
          <w:numId w:val="23"/>
        </w:numPr>
      </w:pPr>
      <w:r w:rsidRPr="00E6110F">
        <w:t>The analysis of Warner et al. (2012</w:t>
      </w:r>
      <w:r w:rsidR="002F068E" w:rsidRPr="00E6110F">
        <w:t>a</w:t>
      </w:r>
      <w:r w:rsidRPr="00E6110F">
        <w:t xml:space="preserve">) </w:t>
      </w:r>
      <w:r w:rsidR="00106C07">
        <w:t>wa</w:t>
      </w:r>
      <w:r w:rsidRPr="00E6110F">
        <w:t xml:space="preserve">s based on a single phase perspective, i.e. the interactions between the water phase and gas phase is not taken into account, while the analysis of Engelder et al. (2014) </w:t>
      </w:r>
      <w:r w:rsidR="00106C07" w:rsidRPr="00E6110F">
        <w:t>consider</w:t>
      </w:r>
      <w:r w:rsidR="00106C07">
        <w:t>ed</w:t>
      </w:r>
      <w:r w:rsidR="00106C07" w:rsidRPr="00E6110F">
        <w:t xml:space="preserve"> </w:t>
      </w:r>
      <w:r w:rsidRPr="00E6110F">
        <w:t>multiphase, capillary, and osmotic phenomena. Engelder et al. (2014) argue</w:t>
      </w:r>
      <w:r w:rsidR="00106C07">
        <w:t>d</w:t>
      </w:r>
      <w:r w:rsidRPr="00E6110F">
        <w:t xml:space="preserve"> that </w:t>
      </w:r>
      <w:r w:rsidR="00810F0C" w:rsidRPr="00E6110F">
        <w:t xml:space="preserve">leakage of water and gas along natural pathways from gas-filled shales like both the Marcellus and Haynesville </w:t>
      </w:r>
      <w:r w:rsidR="00106C07">
        <w:t>wa</w:t>
      </w:r>
      <w:r w:rsidR="00106C07" w:rsidRPr="00E6110F">
        <w:t xml:space="preserve">s </w:t>
      </w:r>
      <w:r w:rsidRPr="00E6110F">
        <w:t>basically</w:t>
      </w:r>
      <w:r w:rsidR="00810F0C" w:rsidRPr="00E6110F">
        <w:t xml:space="preserve"> eliminated by capillary forces which </w:t>
      </w:r>
      <w:r w:rsidRPr="00E6110F">
        <w:t xml:space="preserve">act (and have been acting for over 200 My) as capillary seals. </w:t>
      </w:r>
      <w:r w:rsidR="00F374DC" w:rsidRPr="00E6110F">
        <w:t xml:space="preserve">Importantly, hydraulic fracturing </w:t>
      </w:r>
      <w:r w:rsidR="00106C07">
        <w:t>wa</w:t>
      </w:r>
      <w:r w:rsidR="00106C07" w:rsidRPr="00E6110F">
        <w:t xml:space="preserve">s </w:t>
      </w:r>
      <w:r w:rsidR="00F374DC" w:rsidRPr="00E6110F">
        <w:t>believed not to change the capillary blockage.</w:t>
      </w:r>
    </w:p>
    <w:p w14:paraId="50C8A7F5" w14:textId="44F0B69C" w:rsidR="00241A29" w:rsidRPr="00E6110F" w:rsidRDefault="007B2E99" w:rsidP="000E2922">
      <w:pPr>
        <w:pStyle w:val="Body"/>
        <w:jc w:val="center"/>
      </w:pPr>
      <w:r w:rsidRPr="00E6110F">
        <w:rPr>
          <w:noProof/>
          <w:lang w:val="en-AU" w:eastAsia="en-AU"/>
        </w:rPr>
        <w:drawing>
          <wp:inline distT="0" distB="0" distL="0" distR="0" wp14:anchorId="619A5F2E" wp14:editId="2A964F63">
            <wp:extent cx="4136571" cy="2523675"/>
            <wp:effectExtent l="0" t="0" r="0" b="0"/>
            <wp:docPr id="533" name="Picture 533" descr="Diagram of chemical and diffusion osmosis."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4142443" cy="2527257"/>
                    </a:xfrm>
                    <a:prstGeom prst="rect">
                      <a:avLst/>
                    </a:prstGeom>
                  </pic:spPr>
                </pic:pic>
              </a:graphicData>
            </a:graphic>
          </wp:inline>
        </w:drawing>
      </w:r>
    </w:p>
    <w:p w14:paraId="494C738B" w14:textId="60AD6E44" w:rsidR="007B2E99" w:rsidRPr="00E6110F" w:rsidRDefault="007B2E99" w:rsidP="007B2E99">
      <w:pPr>
        <w:pStyle w:val="Imagecaption"/>
      </w:pPr>
      <w:bookmarkStart w:id="42" w:name="_Ref448776026"/>
      <w:bookmarkStart w:id="43" w:name="_Toc477347540"/>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8</w:t>
      </w:r>
      <w:r w:rsidR="00254026">
        <w:fldChar w:fldCharType="end"/>
      </w:r>
      <w:bookmarkEnd w:id="42"/>
      <w:r w:rsidRPr="00E6110F">
        <w:t xml:space="preserve"> Chemical and diffusion osmosis: transfer of water and inorganic ions between drilling fluid and formation when the drilling fluid is equal to the far-field formation pressure (Engelder et al. 2014).</w:t>
      </w:r>
      <w:bookmarkEnd w:id="43"/>
    </w:p>
    <w:p w14:paraId="2E9E568C" w14:textId="1BD54B1D" w:rsidR="007D4D87" w:rsidRPr="00E6110F" w:rsidRDefault="000E2922" w:rsidP="00F47F96">
      <w:pPr>
        <w:pStyle w:val="Body"/>
      </w:pPr>
      <w:r w:rsidRPr="00E6110F">
        <w:t xml:space="preserve">In a review of well integrity across </w:t>
      </w:r>
      <w:r w:rsidR="007D4D87" w:rsidRPr="00E6110F">
        <w:t xml:space="preserve">the </w:t>
      </w:r>
      <w:r w:rsidRPr="00E6110F">
        <w:t>conventional and unconventional gas industry in the US, Jackson (2014) illustrate</w:t>
      </w:r>
      <w:r w:rsidR="00106C07">
        <w:t>d</w:t>
      </w:r>
      <w:r w:rsidRPr="00E6110F">
        <w:t xml:space="preserve"> the severity of well integrity failure, especially in Pennsylvania where</w:t>
      </w:r>
      <w:r w:rsidR="00106C07">
        <w:t>,</w:t>
      </w:r>
      <w:r w:rsidRPr="00E6110F">
        <w:t xml:space="preserve"> since 2005</w:t>
      </w:r>
      <w:r w:rsidR="00106C07">
        <w:t>,</w:t>
      </w:r>
      <w:r w:rsidRPr="00E6110F">
        <w:t xml:space="preserve"> the Department of Environmental Protection has confirmed more than 100 cases of well-related groundwater contamination. </w:t>
      </w:r>
      <w:r w:rsidR="007D4D87" w:rsidRPr="00E6110F">
        <w:t>According to Jackson (2014), well integrity is the key to minimi</w:t>
      </w:r>
      <w:r w:rsidR="00106C07">
        <w:t>s</w:t>
      </w:r>
      <w:r w:rsidR="007D4D87" w:rsidRPr="00E6110F">
        <w:t xml:space="preserve">ing many of the risks associated with hydraulic fracturing and unconventional resource extraction. </w:t>
      </w:r>
      <w:r w:rsidR="00F47F96" w:rsidRPr="00E6110F">
        <w:t xml:space="preserve">Finally, Jackson (2014) identifies the need for </w:t>
      </w:r>
      <w:r w:rsidR="007D4D87" w:rsidRPr="00E6110F">
        <w:t>much more information on the structural integrity of</w:t>
      </w:r>
      <w:r w:rsidR="00F47F96" w:rsidRPr="00E6110F">
        <w:t xml:space="preserve"> </w:t>
      </w:r>
      <w:r w:rsidR="007D4D87" w:rsidRPr="00E6110F">
        <w:t>older producing</w:t>
      </w:r>
      <w:r w:rsidR="00F47F96" w:rsidRPr="00E6110F">
        <w:t xml:space="preserve"> </w:t>
      </w:r>
      <w:r w:rsidR="007D4D87" w:rsidRPr="00E6110F">
        <w:t xml:space="preserve">wells and </w:t>
      </w:r>
      <w:r w:rsidR="00F47F96" w:rsidRPr="00E6110F">
        <w:t>abandoned wells.</w:t>
      </w:r>
    </w:p>
    <w:p w14:paraId="2804B957" w14:textId="59915214" w:rsidR="00815DFB" w:rsidRPr="00E6110F" w:rsidRDefault="001E64D5" w:rsidP="00815DFB">
      <w:pPr>
        <w:pStyle w:val="Body"/>
      </w:pPr>
      <w:r w:rsidRPr="00E6110F">
        <w:t>As part of a broader US EPA study (US EPA 201</w:t>
      </w:r>
      <w:r w:rsidR="000D3B81">
        <w:t>6a</w:t>
      </w:r>
      <w:r w:rsidRPr="00E6110F">
        <w:t xml:space="preserve">) on the relationship between hydraulic fracturing and drinking water, </w:t>
      </w:r>
      <w:r w:rsidR="00BE0E42" w:rsidRPr="00E6110F">
        <w:t xml:space="preserve">Reagan et al. (2015) carried out numerical simulations of water and gas transport between a shallow tight-gas reservoir </w:t>
      </w:r>
      <w:r w:rsidR="00EA4881" w:rsidRPr="00E6110F">
        <w:t>(characterised by an ultralow permeability</w:t>
      </w:r>
      <w:r w:rsidR="00C06DE6" w:rsidRPr="00E6110F">
        <w:t xml:space="preserve"> in the range of a nano-Darcy</w:t>
      </w:r>
      <w:r w:rsidR="00EA4881" w:rsidRPr="00E6110F">
        <w:t xml:space="preserve">) </w:t>
      </w:r>
      <w:r w:rsidR="00BE0E42" w:rsidRPr="00E6110F">
        <w:t>and a shallower freshwater aquifer following hydraulic fracturing operations. Two general failure scenarios were considered</w:t>
      </w:r>
      <w:r w:rsidR="00C9074D" w:rsidRPr="00E6110F">
        <w:t xml:space="preserve"> in the simulations</w:t>
      </w:r>
      <w:r w:rsidR="00BE0E42" w:rsidRPr="00E6110F">
        <w:t xml:space="preserve">: connection between the reservoir and aquifer is assumed to occur </w:t>
      </w:r>
      <w:r w:rsidR="005A09B3" w:rsidRPr="00E6110F">
        <w:t xml:space="preserve">(i) </w:t>
      </w:r>
      <w:r w:rsidR="00BE0E42" w:rsidRPr="00E6110F">
        <w:t>via a fracture or fault and (ii) via a deteriorated, pre-existing nearby well.</w:t>
      </w:r>
      <w:r w:rsidR="003244C0" w:rsidRPr="00E6110F">
        <w:t xml:space="preserve"> The study uses generalized representations of single-well, single-pathway tight and shale-gas systems to identify the processes and parameters that could lead to rapid gas transport from such formations to groundwater resources</w:t>
      </w:r>
      <w:r w:rsidR="00882C0E" w:rsidRPr="00E6110F">
        <w:t>.</w:t>
      </w:r>
      <w:r w:rsidR="00C9074D" w:rsidRPr="00E6110F">
        <w:t xml:space="preserve"> While Reagan et al. (2015) highlight</w:t>
      </w:r>
      <w:r w:rsidR="00106C07">
        <w:t>ed</w:t>
      </w:r>
      <w:r w:rsidR="00C9074D" w:rsidRPr="00E6110F">
        <w:t xml:space="preserve"> the need for additional research to better understand the risk from hydraulic fracturing, they argue</w:t>
      </w:r>
      <w:r w:rsidR="00106C07">
        <w:t>d</w:t>
      </w:r>
      <w:r w:rsidR="00C9074D" w:rsidRPr="00E6110F">
        <w:t xml:space="preserve"> that pathways created by hydraulic fracturing into pre-existing pathways cannot be discounted. Examples of the latter include naturally formed pathways (permeable fractures or faults) or artificial pathways (abandoned, degraded, poorly constructed, or failing wells). Reagan et al. (2015) also acknowledge</w:t>
      </w:r>
      <w:r w:rsidR="00106C07">
        <w:t>d</w:t>
      </w:r>
      <w:r w:rsidR="00C9074D" w:rsidRPr="00E6110F">
        <w:t xml:space="preserve"> that the possibility of human error in the construction and operation of wells cannot be ignored.</w:t>
      </w:r>
      <w:r w:rsidR="00723D63" w:rsidRPr="00E6110F">
        <w:t xml:space="preserve"> </w:t>
      </w:r>
      <w:r w:rsidR="003223D1" w:rsidRPr="00E6110F">
        <w:t>Evidence for the existence, and their impact on groundwater, of such artificial pathways was provided by Dusseault and Jackson (2014), Jackson et al. (2013) and Jackson (2014).</w:t>
      </w:r>
      <w:r w:rsidR="00A57371" w:rsidRPr="00E6110F">
        <w:t xml:space="preserve"> </w:t>
      </w:r>
      <w:r w:rsidR="00412A9F" w:rsidRPr="00E6110F">
        <w:t xml:space="preserve">There is much less uncontested evidence that hydraulic fractures would connect into pre-existing natural pathways (faults, fractures); there is the recognition that strong upward gradients (considered unlikely) are necessary, along with permeable pathways, to drive upward migration. </w:t>
      </w:r>
      <w:r w:rsidR="005B01F9" w:rsidRPr="00E6110F">
        <w:t>From their literature review</w:t>
      </w:r>
      <w:r w:rsidR="00106C07">
        <w:t>,</w:t>
      </w:r>
      <w:r w:rsidR="005B01F9" w:rsidRPr="00E6110F">
        <w:t xml:space="preserve"> Reagan et al. (2015) conclude</w:t>
      </w:r>
      <w:r w:rsidR="00106C07">
        <w:t>d</w:t>
      </w:r>
      <w:r w:rsidR="003F7869">
        <w:t xml:space="preserve"> </w:t>
      </w:r>
      <w:r w:rsidR="005B01F9" w:rsidRPr="00E6110F">
        <w:t>that few conclusions can yet be made about the parametric space under which fluids (gas and/or contaminated water) release can occur.</w:t>
      </w:r>
      <w:r w:rsidR="00815DFB" w:rsidRPr="00E6110F">
        <w:t xml:space="preserve"> Meaningful attempts to explore the parametric space that controls fluid release were reported by Kissinger et al. (2013) and Gassiat et al. (2013). The latter authors found that transport on thousand-year timescales may be possible under reasonable hydrologic conditions. Their conclusion was based on the simplified assumption of using a single-phase aqueous system to represent a shale system that is undersaturated. This analysis therefore ignores important capillary effects that would reduce the ability of the reservoir overpressure to drive aqueous flow.</w:t>
      </w:r>
    </w:p>
    <w:p w14:paraId="34159DC7" w14:textId="0A45FC59" w:rsidR="00046D8E" w:rsidRPr="00E6110F" w:rsidRDefault="00046D8E" w:rsidP="00815DFB">
      <w:pPr>
        <w:pStyle w:val="Body"/>
      </w:pPr>
      <w:r w:rsidRPr="00E6110F">
        <w:t xml:space="preserve">Reagan et al. (2015) identified </w:t>
      </w:r>
      <w:r w:rsidR="007A3231" w:rsidRPr="00E6110F">
        <w:t xml:space="preserve">the following </w:t>
      </w:r>
      <w:r w:rsidR="00002D3A" w:rsidRPr="00E6110F">
        <w:t xml:space="preserve">broad classes of </w:t>
      </w:r>
      <w:r w:rsidR="007A3231" w:rsidRPr="00E6110F">
        <w:t>plausible failure scenarios</w:t>
      </w:r>
      <w:r w:rsidR="00540A5E" w:rsidRPr="00E6110F">
        <w:t xml:space="preserve"> for upward migration of contaminants</w:t>
      </w:r>
      <w:r w:rsidR="008B7817" w:rsidRPr="00E6110F">
        <w:t xml:space="preserve"> associated with hydraulic fracturing</w:t>
      </w:r>
      <w:r w:rsidR="001E64D5" w:rsidRPr="00E6110F">
        <w:t>:</w:t>
      </w:r>
    </w:p>
    <w:p w14:paraId="4CC7A857" w14:textId="2675DC51" w:rsidR="001E64D5" w:rsidRPr="00E6110F" w:rsidRDefault="002E1C47" w:rsidP="00C117A3">
      <w:pPr>
        <w:pStyle w:val="Body"/>
        <w:numPr>
          <w:ilvl w:val="0"/>
          <w:numId w:val="24"/>
        </w:numPr>
      </w:pPr>
      <w:r w:rsidRPr="00E6110F">
        <w:t xml:space="preserve">Failure </w:t>
      </w:r>
      <w:r w:rsidR="00106C07">
        <w:t>S</w:t>
      </w:r>
      <w:r w:rsidR="00106C07" w:rsidRPr="00E6110F">
        <w:t xml:space="preserve">cenario </w:t>
      </w:r>
      <w:r w:rsidRPr="00E6110F">
        <w:t xml:space="preserve">1: </w:t>
      </w:r>
      <w:r w:rsidR="008B7817" w:rsidRPr="00E6110F">
        <w:t xml:space="preserve">Vertically extensive fracturing of the overburden/caprock/aquitard separating the hydrocarbon reservoir from </w:t>
      </w:r>
      <w:r w:rsidR="00663521" w:rsidRPr="00E6110F">
        <w:t>overlying groundwater owing to inadequate design and/or operation of the fracturing operation (</w:t>
      </w:r>
      <w:r w:rsidRPr="00E6110F">
        <w:fldChar w:fldCharType="begin" w:fldLock="1"/>
      </w:r>
      <w:r w:rsidRPr="00E6110F">
        <w:instrText xml:space="preserve"> REF _Ref448825107 \h </w:instrText>
      </w:r>
      <w:r w:rsidR="00E6110F">
        <w:instrText xml:space="preserve"> \* MERGEFORMAT </w:instrText>
      </w:r>
      <w:r w:rsidRPr="00E6110F">
        <w:fldChar w:fldCharType="separate"/>
      </w:r>
      <w:r w:rsidR="00335E79" w:rsidRPr="00E6110F">
        <w:t xml:space="preserve">Figure </w:t>
      </w:r>
      <w:r w:rsidR="00335E79">
        <w:rPr>
          <w:noProof/>
        </w:rPr>
        <w:t>2</w:t>
      </w:r>
      <w:r w:rsidR="00335E79">
        <w:rPr>
          <w:noProof/>
        </w:rPr>
        <w:noBreakHyphen/>
        <w:t>9</w:t>
      </w:r>
      <w:r w:rsidRPr="00E6110F">
        <w:fldChar w:fldCharType="end"/>
      </w:r>
      <w:r w:rsidRPr="00E6110F">
        <w:t>a</w:t>
      </w:r>
      <w:r w:rsidR="00663521" w:rsidRPr="00E6110F">
        <w:t>),</w:t>
      </w:r>
    </w:p>
    <w:p w14:paraId="58E83C9D" w14:textId="58D34E63" w:rsidR="00663521" w:rsidRPr="00E6110F" w:rsidRDefault="002E1C47" w:rsidP="00C117A3">
      <w:pPr>
        <w:pStyle w:val="Body"/>
        <w:numPr>
          <w:ilvl w:val="0"/>
          <w:numId w:val="24"/>
        </w:numPr>
      </w:pPr>
      <w:r w:rsidRPr="00E6110F">
        <w:t xml:space="preserve">Failure </w:t>
      </w:r>
      <w:r w:rsidR="00106C07">
        <w:t>S</w:t>
      </w:r>
      <w:r w:rsidR="00106C07" w:rsidRPr="00E6110F">
        <w:t xml:space="preserve">cenario </w:t>
      </w:r>
      <w:r w:rsidRPr="00E6110F">
        <w:t xml:space="preserve">2: </w:t>
      </w:r>
      <w:r w:rsidR="007329ED" w:rsidRPr="00E6110F">
        <w:t>Reactivation of dormant fractures/faults due to hydraulic fracturing creating pathways for contaminant leakage (</w:t>
      </w:r>
      <w:r w:rsidRPr="00E6110F">
        <w:fldChar w:fldCharType="begin" w:fldLock="1"/>
      </w:r>
      <w:r w:rsidRPr="00E6110F">
        <w:instrText xml:space="preserve"> REF _Ref448825107 \h </w:instrText>
      </w:r>
      <w:r w:rsidR="00E6110F">
        <w:instrText xml:space="preserve"> \* MERGEFORMAT </w:instrText>
      </w:r>
      <w:r w:rsidRPr="00E6110F">
        <w:fldChar w:fldCharType="separate"/>
      </w:r>
      <w:r w:rsidR="00335E79" w:rsidRPr="00E6110F">
        <w:t xml:space="preserve">Figure </w:t>
      </w:r>
      <w:r w:rsidR="00335E79">
        <w:rPr>
          <w:noProof/>
        </w:rPr>
        <w:t>2</w:t>
      </w:r>
      <w:r w:rsidR="00335E79">
        <w:rPr>
          <w:noProof/>
        </w:rPr>
        <w:noBreakHyphen/>
        <w:t>9</w:t>
      </w:r>
      <w:r w:rsidRPr="00E6110F">
        <w:fldChar w:fldCharType="end"/>
      </w:r>
      <w:r w:rsidRPr="00E6110F">
        <w:t>b</w:t>
      </w:r>
      <w:r w:rsidR="007329ED" w:rsidRPr="00E6110F">
        <w:t>),</w:t>
      </w:r>
    </w:p>
    <w:p w14:paraId="525F0275" w14:textId="56BF48A0" w:rsidR="007329ED" w:rsidRPr="00E6110F" w:rsidRDefault="002E1C47" w:rsidP="00C117A3">
      <w:pPr>
        <w:pStyle w:val="Body"/>
        <w:numPr>
          <w:ilvl w:val="0"/>
          <w:numId w:val="24"/>
        </w:numPr>
      </w:pPr>
      <w:r w:rsidRPr="00E6110F">
        <w:t xml:space="preserve">Failure </w:t>
      </w:r>
      <w:r w:rsidR="00106C07">
        <w:t>S</w:t>
      </w:r>
      <w:r w:rsidR="00106C07" w:rsidRPr="00E6110F">
        <w:t xml:space="preserve">cenario </w:t>
      </w:r>
      <w:r w:rsidRPr="00E6110F">
        <w:t xml:space="preserve">3: </w:t>
      </w:r>
      <w:r w:rsidR="007329ED" w:rsidRPr="00E6110F">
        <w:t>Fractures from the stimulation operation intercept older abandoned unplugged wells (e.g. conventional oil and gas wells) (</w:t>
      </w:r>
      <w:r w:rsidRPr="00E6110F">
        <w:fldChar w:fldCharType="begin" w:fldLock="1"/>
      </w:r>
      <w:r w:rsidRPr="00E6110F">
        <w:instrText xml:space="preserve"> REF _Ref448825117 \h </w:instrText>
      </w:r>
      <w:r w:rsidR="00E6110F">
        <w:instrText xml:space="preserve"> \* MERGEFORMAT </w:instrText>
      </w:r>
      <w:r w:rsidRPr="00E6110F">
        <w:fldChar w:fldCharType="separate"/>
      </w:r>
      <w:r w:rsidR="00335E79" w:rsidRPr="00E6110F">
        <w:t xml:space="preserve">Figure </w:t>
      </w:r>
      <w:r w:rsidR="00335E79">
        <w:rPr>
          <w:noProof/>
        </w:rPr>
        <w:t>2</w:t>
      </w:r>
      <w:r w:rsidR="00335E79">
        <w:rPr>
          <w:noProof/>
        </w:rPr>
        <w:noBreakHyphen/>
        <w:t>10</w:t>
      </w:r>
      <w:r w:rsidRPr="00E6110F">
        <w:fldChar w:fldCharType="end"/>
      </w:r>
      <w:r w:rsidRPr="00E6110F">
        <w:t>a</w:t>
      </w:r>
      <w:r w:rsidR="007329ED" w:rsidRPr="00E6110F">
        <w:t>),</w:t>
      </w:r>
    </w:p>
    <w:p w14:paraId="2C55F44B" w14:textId="40C63F68" w:rsidR="007329ED" w:rsidRPr="00E6110F" w:rsidRDefault="002E1C47" w:rsidP="00C117A3">
      <w:pPr>
        <w:pStyle w:val="Body"/>
        <w:numPr>
          <w:ilvl w:val="0"/>
          <w:numId w:val="24"/>
        </w:numPr>
      </w:pPr>
      <w:r w:rsidRPr="00E6110F">
        <w:t xml:space="preserve">Failure </w:t>
      </w:r>
      <w:r w:rsidR="00106C07">
        <w:t>Sc</w:t>
      </w:r>
      <w:r w:rsidR="00106C07" w:rsidRPr="00E6110F">
        <w:t xml:space="preserve">enario </w:t>
      </w:r>
      <w:r w:rsidRPr="00E6110F">
        <w:t xml:space="preserve">4: </w:t>
      </w:r>
      <w:r w:rsidR="007329ED" w:rsidRPr="00E6110F">
        <w:t>Continuous and highly permeable pathways via poorly completed wells due to inadequate design, installation or weak cement (</w:t>
      </w:r>
      <w:r w:rsidRPr="00E6110F">
        <w:fldChar w:fldCharType="begin" w:fldLock="1"/>
      </w:r>
      <w:r w:rsidRPr="00E6110F">
        <w:instrText xml:space="preserve"> REF _Ref448825117 \h </w:instrText>
      </w:r>
      <w:r w:rsidR="00E6110F">
        <w:instrText xml:space="preserve"> \* MERGEFORMAT </w:instrText>
      </w:r>
      <w:r w:rsidRPr="00E6110F">
        <w:fldChar w:fldCharType="separate"/>
      </w:r>
      <w:r w:rsidR="00335E79" w:rsidRPr="00E6110F">
        <w:t xml:space="preserve">Figure </w:t>
      </w:r>
      <w:r w:rsidR="00335E79">
        <w:rPr>
          <w:noProof/>
        </w:rPr>
        <w:t>2</w:t>
      </w:r>
      <w:r w:rsidR="00335E79">
        <w:rPr>
          <w:noProof/>
        </w:rPr>
        <w:noBreakHyphen/>
        <w:t>10</w:t>
      </w:r>
      <w:r w:rsidRPr="00E6110F">
        <w:fldChar w:fldCharType="end"/>
      </w:r>
      <w:r w:rsidRPr="00E6110F">
        <w:t>b</w:t>
      </w:r>
      <w:r w:rsidR="007329ED" w:rsidRPr="00E6110F">
        <w:t xml:space="preserve">). </w:t>
      </w:r>
    </w:p>
    <w:p w14:paraId="34118124" w14:textId="164F85AD" w:rsidR="002C0C9E" w:rsidRPr="00E6110F" w:rsidRDefault="00002D3A" w:rsidP="00002D3A">
      <w:pPr>
        <w:pStyle w:val="Body"/>
      </w:pPr>
      <w:r w:rsidRPr="00E6110F">
        <w:t xml:space="preserve">By combining </w:t>
      </w:r>
      <w:r w:rsidR="00106C07">
        <w:t>S</w:t>
      </w:r>
      <w:r w:rsidR="00106C07" w:rsidRPr="00E6110F">
        <w:t xml:space="preserve">cenarios </w:t>
      </w:r>
      <w:r w:rsidRPr="00E6110F">
        <w:t xml:space="preserve">1 and 2 and 3 and 4 two general sets of failure pathways were considered in the simulations: </w:t>
      </w:r>
      <w:r w:rsidR="00312220" w:rsidRPr="00E6110F">
        <w:t>faults/fractures and degraded wells (annular or tubular pathways).</w:t>
      </w:r>
      <w:r w:rsidR="008275C4" w:rsidRPr="00E6110F">
        <w:t xml:space="preserve"> </w:t>
      </w:r>
      <w:r w:rsidR="00E806B9" w:rsidRPr="00E6110F">
        <w:t>A separate study was carried out to explore the geomechanical reality of these scenarios and to determine if they are physically possible (constrained by the laws of physics and the operational quantities and limitations involved in hydraulic fracturing operations)</w:t>
      </w:r>
      <w:r w:rsidR="002C0C9E" w:rsidRPr="00E6110F">
        <w:t xml:space="preserve"> (</w:t>
      </w:r>
      <w:r w:rsidR="00DE52BB" w:rsidRPr="00E6110F">
        <w:t>Kim and Moridis 201</w:t>
      </w:r>
      <w:r w:rsidR="003A7950" w:rsidRPr="00E6110F">
        <w:t>3</w:t>
      </w:r>
      <w:r w:rsidR="002C0C9E" w:rsidRPr="00E6110F">
        <w:t>)</w:t>
      </w:r>
      <w:r w:rsidR="00E806B9" w:rsidRPr="00E6110F">
        <w:t xml:space="preserve">. </w:t>
      </w:r>
      <w:r w:rsidR="00347007" w:rsidRPr="00E6110F">
        <w:t>Geomechanical m</w:t>
      </w:r>
      <w:r w:rsidR="00256DD6" w:rsidRPr="00E6110F">
        <w:t xml:space="preserve">odelling and experimental studies generally agree that </w:t>
      </w:r>
      <w:r w:rsidR="00347007" w:rsidRPr="00E6110F">
        <w:t>physical constraints on hydraulic fracture propagation will prevent induced fractures from extending from deep zones into drinking water resources (US EPA 201</w:t>
      </w:r>
      <w:r w:rsidR="000D3B81">
        <w:t>6a</w:t>
      </w:r>
      <w:r w:rsidR="00347007" w:rsidRPr="00E6110F">
        <w:t xml:space="preserve">). </w:t>
      </w:r>
    </w:p>
    <w:p w14:paraId="4D60811C" w14:textId="4CEE58F7" w:rsidR="00002D3A" w:rsidRPr="00E6110F" w:rsidRDefault="008275C4" w:rsidP="00002D3A">
      <w:pPr>
        <w:pStyle w:val="Body"/>
      </w:pPr>
      <w:r w:rsidRPr="00E6110F">
        <w:t xml:space="preserve">Key conclusions from the numerical simulations </w:t>
      </w:r>
      <w:r w:rsidR="00347007" w:rsidRPr="00E6110F">
        <w:t xml:space="preserve">of failure </w:t>
      </w:r>
      <w:r w:rsidR="00106C07">
        <w:t>S</w:t>
      </w:r>
      <w:r w:rsidR="00106C07" w:rsidRPr="00E6110F">
        <w:t xml:space="preserve">cenarios </w:t>
      </w:r>
      <w:r w:rsidR="00347007" w:rsidRPr="00E6110F">
        <w:t xml:space="preserve">1 – 4 </w:t>
      </w:r>
      <w:r w:rsidRPr="00E6110F">
        <w:t>are</w:t>
      </w:r>
      <w:r w:rsidR="00347007" w:rsidRPr="00E6110F">
        <w:t xml:space="preserve"> (Reagan et al. 2015)</w:t>
      </w:r>
      <w:r w:rsidRPr="00E6110F">
        <w:t>:</w:t>
      </w:r>
    </w:p>
    <w:p w14:paraId="6FAE7629" w14:textId="01EE2544" w:rsidR="008275C4" w:rsidRPr="00E6110F" w:rsidRDefault="007349F1" w:rsidP="00C117A3">
      <w:pPr>
        <w:pStyle w:val="Body"/>
        <w:numPr>
          <w:ilvl w:val="0"/>
          <w:numId w:val="25"/>
        </w:numPr>
      </w:pPr>
      <w:r w:rsidRPr="00E6110F">
        <w:t>For the faults/fractures failure pathways</w:t>
      </w:r>
      <w:r w:rsidR="00106C07">
        <w:t>,</w:t>
      </w:r>
      <w:r w:rsidRPr="00E6110F">
        <w:t xml:space="preserve"> the most important parameter</w:t>
      </w:r>
      <w:r w:rsidR="00106C07">
        <w:t>s</w:t>
      </w:r>
      <w:r w:rsidRPr="00E6110F">
        <w:t xml:space="preserve"> affecting gas transport towards a shallow aquifer (hydrocarbon reservoir-aquifer separation distances considered are 200 and 800 m) are the production regime (an active gas well mitigates gas release</w:t>
      </w:r>
      <w:r w:rsidR="00352ABF" w:rsidRPr="00E6110F">
        <w:t xml:space="preserve"> because rapid depressurisation of the small fracture volume counters the driving force for gas buoyancy and drives a downward flow of water from the aquifer via the connecting fracture</w:t>
      </w:r>
      <w:r w:rsidR="009B0B07" w:rsidRPr="00E6110F">
        <w:t xml:space="preserve"> which dissolved much of the gas that has escaped</w:t>
      </w:r>
      <w:r w:rsidRPr="00E6110F">
        <w:t>), fracture/faults hydraulic conductivity</w:t>
      </w:r>
      <w:r w:rsidR="009B0B07" w:rsidRPr="00E6110F">
        <w:t xml:space="preserve"> (which regulates the possibility of gas breakthrough)</w:t>
      </w:r>
      <w:r w:rsidRPr="00E6110F">
        <w:t>, and separation distance</w:t>
      </w:r>
      <w:r w:rsidR="009B0B07" w:rsidRPr="00E6110F">
        <w:t xml:space="preserve"> (the greater the distance, the later the gas breakthrough time)</w:t>
      </w:r>
      <w:r w:rsidRPr="00E6110F">
        <w:t>.</w:t>
      </w:r>
    </w:p>
    <w:p w14:paraId="2F890305" w14:textId="3F18C83F" w:rsidR="009B0B07" w:rsidRPr="00E6110F" w:rsidRDefault="009B0B07" w:rsidP="00C117A3">
      <w:pPr>
        <w:pStyle w:val="Body"/>
        <w:numPr>
          <w:ilvl w:val="0"/>
          <w:numId w:val="25"/>
        </w:numPr>
      </w:pPr>
      <w:r w:rsidRPr="00E6110F">
        <w:t>For the degraded well failure pathways, most critical parameters are well conductivity and production regime. Well permeabilities smaller than 10</w:t>
      </w:r>
      <w:r w:rsidRPr="00E6110F">
        <w:rPr>
          <w:vertAlign w:val="superscript"/>
        </w:rPr>
        <w:t>-15</w:t>
      </w:r>
      <w:r w:rsidRPr="00E6110F">
        <w:t xml:space="preserve"> m</w:t>
      </w:r>
      <w:r w:rsidRPr="00E6110F">
        <w:rPr>
          <w:vertAlign w:val="superscript"/>
        </w:rPr>
        <w:t>2</w:t>
      </w:r>
      <w:r w:rsidRPr="00E6110F">
        <w:t xml:space="preserve"> </w:t>
      </w:r>
      <w:r w:rsidR="00F02C7B" w:rsidRPr="00E6110F">
        <w:t>(</w:t>
      </w:r>
      <w:r w:rsidR="004C0041" w:rsidRPr="00E6110F">
        <w:t>about 10</w:t>
      </w:r>
      <w:r w:rsidR="004C0041" w:rsidRPr="00E6110F">
        <w:rPr>
          <w:vertAlign w:val="superscript"/>
        </w:rPr>
        <w:t>-8</w:t>
      </w:r>
      <w:r w:rsidR="004C0041" w:rsidRPr="00E6110F">
        <w:t xml:space="preserve"> m/s or 0.001 m/d</w:t>
      </w:r>
      <w:r w:rsidR="00ED7C75" w:rsidRPr="00E6110F">
        <w:t>)</w:t>
      </w:r>
      <w:r w:rsidR="00DE40CA" w:rsidRPr="00E6110F">
        <w:t>, or a high-quality competent cement</w:t>
      </w:r>
      <w:r w:rsidR="00F02C7B" w:rsidRPr="00E6110F">
        <w:t xml:space="preserve">) </w:t>
      </w:r>
      <w:r w:rsidRPr="00E6110F">
        <w:t xml:space="preserve">do not result in any gas release </w:t>
      </w:r>
      <w:r w:rsidR="00F02C7B" w:rsidRPr="00E6110F">
        <w:t>when the</w:t>
      </w:r>
      <w:r w:rsidRPr="00E6110F">
        <w:t xml:space="preserve"> separation distance </w:t>
      </w:r>
      <w:r w:rsidR="00F02C7B" w:rsidRPr="00E6110F">
        <w:t>is</w:t>
      </w:r>
      <w:r w:rsidRPr="00E6110F">
        <w:t xml:space="preserve"> 200 m</w:t>
      </w:r>
      <w:r w:rsidR="00F02C7B" w:rsidRPr="00E6110F">
        <w:t xml:space="preserve"> or larger</w:t>
      </w:r>
      <w:r w:rsidRPr="00E6110F">
        <w:t>.</w:t>
      </w:r>
      <w:r w:rsidR="004B4A28" w:rsidRPr="00E6110F">
        <w:t xml:space="preserve"> For separation distances of 800 </w:t>
      </w:r>
      <w:r w:rsidR="00ED7C75" w:rsidRPr="00E6110F">
        <w:t xml:space="preserve">m </w:t>
      </w:r>
      <w:r w:rsidR="004B4A28" w:rsidRPr="00E6110F">
        <w:t>a producing gas well can mitigate gas migration</w:t>
      </w:r>
      <w:r w:rsidR="00ED7C75" w:rsidRPr="00E6110F">
        <w:t xml:space="preserve"> for well permeabilities up to 10</w:t>
      </w:r>
      <w:r w:rsidR="00ED7C75" w:rsidRPr="00E6110F">
        <w:rPr>
          <w:vertAlign w:val="superscript"/>
        </w:rPr>
        <w:t>-9</w:t>
      </w:r>
      <w:r w:rsidR="00ED7C75" w:rsidRPr="00E6110F">
        <w:t xml:space="preserve"> m</w:t>
      </w:r>
      <w:r w:rsidR="00ED7C75" w:rsidRPr="00E6110F">
        <w:rPr>
          <w:vertAlign w:val="superscript"/>
        </w:rPr>
        <w:t>2</w:t>
      </w:r>
      <w:r w:rsidR="00ED7C75" w:rsidRPr="00E6110F">
        <w:t xml:space="preserve"> (</w:t>
      </w:r>
      <w:r w:rsidR="00EA090C" w:rsidRPr="00E6110F">
        <w:t>about 10</w:t>
      </w:r>
      <w:r w:rsidR="00EA090C" w:rsidRPr="00E6110F">
        <w:rPr>
          <w:vertAlign w:val="superscript"/>
        </w:rPr>
        <w:t>-2</w:t>
      </w:r>
      <w:r w:rsidR="00EA090C" w:rsidRPr="00E6110F">
        <w:t xml:space="preserve"> m/s or 1000 m/d</w:t>
      </w:r>
      <w:r w:rsidR="00ED7C75" w:rsidRPr="00E6110F">
        <w:t>)</w:t>
      </w:r>
      <w:r w:rsidR="004B4A28" w:rsidRPr="00E6110F">
        <w:t xml:space="preserve">. Gas transport via well failure pathways allows for more amounts of gas release than via faults/fracture pathways. </w:t>
      </w:r>
    </w:p>
    <w:p w14:paraId="59ED731E" w14:textId="5175E7EB" w:rsidR="00ED7C75" w:rsidRPr="00E6110F" w:rsidRDefault="00ED7C75" w:rsidP="00C117A3">
      <w:pPr>
        <w:pStyle w:val="Body"/>
        <w:numPr>
          <w:ilvl w:val="0"/>
          <w:numId w:val="25"/>
        </w:numPr>
      </w:pPr>
      <w:r w:rsidRPr="00E6110F">
        <w:t>The amount of gas available for immediate migration toward the shallower aquifer is limited to that initially stored in the hydraulically induced fractures immediately after the conclusion of the stimulation process and prior to the beginning of gas production</w:t>
      </w:r>
      <w:r w:rsidR="009D36AB" w:rsidRPr="00E6110F">
        <w:t>. In other words, any gas presence in the aquifer will be of limited duration.</w:t>
      </w:r>
    </w:p>
    <w:p w14:paraId="45282769" w14:textId="22A8F020" w:rsidR="009D36AB" w:rsidRPr="00E6110F" w:rsidRDefault="00115065" w:rsidP="00C117A3">
      <w:pPr>
        <w:pStyle w:val="Body"/>
        <w:numPr>
          <w:ilvl w:val="0"/>
          <w:numId w:val="25"/>
        </w:numPr>
      </w:pPr>
      <w:r w:rsidRPr="00E6110F">
        <w:t>After the initial gas breakthrough has occurred, w</w:t>
      </w:r>
      <w:r w:rsidR="009D36AB" w:rsidRPr="00E6110F">
        <w:t>ater flow is downward in nearly all parameter combinations considered.</w:t>
      </w:r>
      <w:r w:rsidRPr="00E6110F">
        <w:t xml:space="preserve"> </w:t>
      </w:r>
      <w:r w:rsidR="002F38E7" w:rsidRPr="00E6110F">
        <w:t xml:space="preserve">Note that the flow model assumes a hydrostatic initial pressure distribution; this is thus not an overpressurised hydrocarbon reservoir. </w:t>
      </w:r>
      <w:r w:rsidRPr="00E6110F">
        <w:t xml:space="preserve">A consistent downward trend in water flow was observed even when the gas well and water well were not in operation. </w:t>
      </w:r>
      <w:r w:rsidR="00430BC4" w:rsidRPr="00E6110F">
        <w:t>Reagan et al. (2015) postulated that one mechanism responsible for a downward flow is the imbibition (i.e. absorption) of water into the undersaturated shale rock.</w:t>
      </w:r>
    </w:p>
    <w:p w14:paraId="1723800B" w14:textId="1805474F" w:rsidR="00053279" w:rsidRPr="00E6110F" w:rsidRDefault="00053279" w:rsidP="00053279">
      <w:pPr>
        <w:pStyle w:val="Body"/>
        <w:ind w:left="360"/>
      </w:pPr>
      <w:r w:rsidRPr="00E6110F">
        <w:t>Reagan et al. list</w:t>
      </w:r>
      <w:r w:rsidR="00106C07">
        <w:t>ed</w:t>
      </w:r>
      <w:r w:rsidRPr="00E6110F">
        <w:t xml:space="preserve"> the following assumptions and limitations for their numerical study:</w:t>
      </w:r>
    </w:p>
    <w:p w14:paraId="358188B7" w14:textId="2AF079E9" w:rsidR="00053279" w:rsidRPr="00E6110F" w:rsidRDefault="00590F32" w:rsidP="00C117A3">
      <w:pPr>
        <w:pStyle w:val="Body"/>
        <w:numPr>
          <w:ilvl w:val="0"/>
          <w:numId w:val="26"/>
        </w:numPr>
      </w:pPr>
      <w:r w:rsidRPr="00E6110F">
        <w:t>Neither the possibility nor the probability of occurrence of the failure scenarios are addressed, as there is yet insufficient data for such analysis.</w:t>
      </w:r>
    </w:p>
    <w:p w14:paraId="27E3C85A" w14:textId="77777777" w:rsidR="00265B9F" w:rsidRPr="00E6110F" w:rsidRDefault="00590F32" w:rsidP="00C117A3">
      <w:pPr>
        <w:pStyle w:val="Body"/>
        <w:numPr>
          <w:ilvl w:val="0"/>
          <w:numId w:val="26"/>
        </w:numPr>
      </w:pPr>
      <w:r w:rsidRPr="00E6110F">
        <w:t xml:space="preserve">The identified hazards can only </w:t>
      </w:r>
      <w:r w:rsidR="00265B9F" w:rsidRPr="00E6110F">
        <w:t xml:space="preserve">be </w:t>
      </w:r>
      <w:r w:rsidRPr="00E6110F">
        <w:t>put in the proper context once there is understanding about the relative probability of out-of-zone fracturing or fault activation versus interception of highly degraded, abandoned wells</w:t>
      </w:r>
      <w:r w:rsidR="00265B9F" w:rsidRPr="00E6110F">
        <w:t>.</w:t>
      </w:r>
    </w:p>
    <w:p w14:paraId="3F4D57B8" w14:textId="3E576724" w:rsidR="00590F32" w:rsidRPr="00E6110F" w:rsidRDefault="00265B9F" w:rsidP="00C117A3">
      <w:pPr>
        <w:pStyle w:val="Body"/>
        <w:numPr>
          <w:ilvl w:val="0"/>
          <w:numId w:val="26"/>
        </w:numPr>
      </w:pPr>
      <w:r w:rsidRPr="00E6110F">
        <w:t>Overpressurised hydrocarbon systems have not been studied and will likely result in different behaviour.</w:t>
      </w:r>
      <w:r w:rsidR="00590F32" w:rsidRPr="00E6110F">
        <w:t xml:space="preserve"> </w:t>
      </w:r>
    </w:p>
    <w:p w14:paraId="3A1C9EE7" w14:textId="2BF1B137" w:rsidR="00265B9F" w:rsidRPr="00E6110F" w:rsidRDefault="00265B9F" w:rsidP="00C117A3">
      <w:pPr>
        <w:pStyle w:val="Body"/>
        <w:numPr>
          <w:ilvl w:val="0"/>
          <w:numId w:val="26"/>
        </w:numPr>
      </w:pPr>
      <w:r w:rsidRPr="00E6110F">
        <w:t>The possibility or probability of continuous permeable fractures/faults has not been considered as it cannot be ascertained on current evidence.</w:t>
      </w:r>
    </w:p>
    <w:p w14:paraId="64D7179E" w14:textId="77777777" w:rsidR="00735526" w:rsidRPr="00E6110F" w:rsidRDefault="00735526" w:rsidP="00735526">
      <w:pPr>
        <w:pStyle w:val="Body"/>
        <w:ind w:left="720"/>
      </w:pPr>
    </w:p>
    <w:p w14:paraId="43FD73F2" w14:textId="4C483A54" w:rsidR="000C0014" w:rsidRPr="00E6110F" w:rsidRDefault="000C0014" w:rsidP="000C0014">
      <w:pPr>
        <w:pStyle w:val="Body"/>
        <w:ind w:left="360"/>
      </w:pPr>
      <w:r w:rsidRPr="00E6110F">
        <w:rPr>
          <w:noProof/>
          <w:lang w:val="en-AU" w:eastAsia="en-AU"/>
        </w:rPr>
        <w:drawing>
          <wp:inline distT="0" distB="0" distL="0" distR="0" wp14:anchorId="09F29697" wp14:editId="758E43F1">
            <wp:extent cx="5727700" cy="4050030"/>
            <wp:effectExtent l="0" t="0" r="6350" b="7620"/>
            <wp:docPr id="536" name="Picture 536" descr="Diagram of failure scenarios 1 and 2."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727700" cy="4050030"/>
                    </a:xfrm>
                    <a:prstGeom prst="rect">
                      <a:avLst/>
                    </a:prstGeom>
                  </pic:spPr>
                </pic:pic>
              </a:graphicData>
            </a:graphic>
          </wp:inline>
        </w:drawing>
      </w:r>
    </w:p>
    <w:p w14:paraId="123DD713" w14:textId="069829EC" w:rsidR="00F802D5" w:rsidRPr="00E6110F" w:rsidRDefault="00F802D5" w:rsidP="00F802D5">
      <w:pPr>
        <w:pStyle w:val="Imagecaption"/>
      </w:pPr>
      <w:bookmarkStart w:id="44" w:name="_Ref448825107"/>
      <w:bookmarkStart w:id="45" w:name="_Toc477347541"/>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9</w:t>
      </w:r>
      <w:r w:rsidR="00254026">
        <w:fldChar w:fldCharType="end"/>
      </w:r>
      <w:bookmarkEnd w:id="44"/>
      <w:r w:rsidRPr="00E6110F">
        <w:t xml:space="preserve"> Failure scenario 1 (a) and 2 (b) (Reagan et al. 2015).</w:t>
      </w:r>
      <w:bookmarkEnd w:id="45"/>
    </w:p>
    <w:p w14:paraId="4184294E" w14:textId="6DD681F7" w:rsidR="00F802D5" w:rsidRPr="00E6110F" w:rsidRDefault="00F802D5" w:rsidP="000C0014">
      <w:pPr>
        <w:pStyle w:val="Body"/>
        <w:ind w:left="360"/>
      </w:pPr>
      <w:r w:rsidRPr="00E6110F">
        <w:rPr>
          <w:noProof/>
          <w:lang w:val="en-AU" w:eastAsia="en-AU"/>
        </w:rPr>
        <w:drawing>
          <wp:inline distT="0" distB="0" distL="0" distR="0" wp14:anchorId="5944CF66" wp14:editId="1EEB96AC">
            <wp:extent cx="5727700" cy="4229100"/>
            <wp:effectExtent l="0" t="0" r="6350" b="0"/>
            <wp:docPr id="537" name="Picture 537" descr="Diagram of failure scenarios 3 and 4." title="Fig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5727700" cy="4229100"/>
                    </a:xfrm>
                    <a:prstGeom prst="rect">
                      <a:avLst/>
                    </a:prstGeom>
                  </pic:spPr>
                </pic:pic>
              </a:graphicData>
            </a:graphic>
          </wp:inline>
        </w:drawing>
      </w:r>
    </w:p>
    <w:p w14:paraId="01EC4567" w14:textId="42506E05" w:rsidR="00F802D5" w:rsidRPr="00E6110F" w:rsidRDefault="00F802D5" w:rsidP="00F802D5">
      <w:pPr>
        <w:pStyle w:val="Imagecaption"/>
      </w:pPr>
      <w:bookmarkStart w:id="46" w:name="_Ref448825117"/>
      <w:bookmarkStart w:id="47" w:name="_Toc477347542"/>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10</w:t>
      </w:r>
      <w:r w:rsidR="00254026">
        <w:fldChar w:fldCharType="end"/>
      </w:r>
      <w:bookmarkEnd w:id="46"/>
      <w:r w:rsidRPr="00E6110F">
        <w:t xml:space="preserve"> Failure scenario 3 (a) and 4 (b) (Reagan et al. 2015).</w:t>
      </w:r>
      <w:bookmarkEnd w:id="47"/>
    </w:p>
    <w:p w14:paraId="46440EF8" w14:textId="03C808C8" w:rsidR="006667D4" w:rsidRPr="00E6110F" w:rsidRDefault="006667D4" w:rsidP="006667D4">
      <w:pPr>
        <w:pStyle w:val="Body"/>
      </w:pPr>
      <w:r w:rsidRPr="00E6110F">
        <w:t>US EPA (201</w:t>
      </w:r>
      <w:r w:rsidR="000D3B81">
        <w:t>6a</w:t>
      </w:r>
      <w:r w:rsidRPr="00E6110F">
        <w:t>) consider</w:t>
      </w:r>
      <w:r w:rsidR="00106C07">
        <w:t>ed</w:t>
      </w:r>
      <w:r w:rsidRPr="00E6110F">
        <w:t xml:space="preserve"> two major subsurface mechanisms by which the injection of hydraulic fracturing fluid and the creation and propagation of fractures can lead to contamination of drinking water resources, i.e. unintentional migration of fluids and gases (i) up the production well into groundwater owing to poor casing or cementing, and (ii) through subsurface geologic formations into a drinking water resource. Two main research questions were studied by US EPA to improve understanding of the possibility/probability and hazards associated with these mechanisms: </w:t>
      </w:r>
    </w:p>
    <w:p w14:paraId="52F1EC3F" w14:textId="6CDB35FA" w:rsidR="006667D4" w:rsidRPr="00E6110F" w:rsidRDefault="006667D4" w:rsidP="00C117A3">
      <w:pPr>
        <w:pStyle w:val="Body"/>
        <w:numPr>
          <w:ilvl w:val="0"/>
          <w:numId w:val="27"/>
        </w:numPr>
      </w:pPr>
      <w:r w:rsidRPr="00E6110F">
        <w:t>‘How effective are current well construction practices at containing fluids—both liquids and</w:t>
      </w:r>
      <w:r w:rsidR="0001546C" w:rsidRPr="00E6110F">
        <w:t xml:space="preserve"> </w:t>
      </w:r>
      <w:r w:rsidRPr="00E6110F">
        <w:t>gases—before, during, and after fracturing?’</w:t>
      </w:r>
    </w:p>
    <w:p w14:paraId="5AE62640" w14:textId="17AD3702" w:rsidR="006667D4" w:rsidRPr="00E6110F" w:rsidRDefault="006667D4" w:rsidP="00C117A3">
      <w:pPr>
        <w:pStyle w:val="Body"/>
        <w:numPr>
          <w:ilvl w:val="0"/>
          <w:numId w:val="27"/>
        </w:numPr>
      </w:pPr>
      <w:r w:rsidRPr="00E6110F">
        <w:t>‘Can subsurface migration of fluids—both liquids and gases—to drinking water resources occur, and what local geologic or artificial features might allow this?</w:t>
      </w:r>
      <w:r w:rsidR="00B804EC" w:rsidRPr="00E6110F">
        <w:t>’</w:t>
      </w:r>
    </w:p>
    <w:p w14:paraId="0DB103DA" w14:textId="6ED7ECDF" w:rsidR="00B804EC" w:rsidRPr="00E6110F" w:rsidRDefault="00BC3C45" w:rsidP="00BC3C45">
      <w:pPr>
        <w:pStyle w:val="Body"/>
      </w:pPr>
      <w:r w:rsidRPr="00E6110F">
        <w:t>In addressing the first question, US EPA report</w:t>
      </w:r>
      <w:r w:rsidR="00A55EC4">
        <w:t>ed</w:t>
      </w:r>
      <w:r w:rsidRPr="00E6110F">
        <w:t xml:space="preserve"> that there are several examples where hydraulically fractured wells have or may have resulted in impacts to drinking water resources. Typical examples include</w:t>
      </w:r>
      <w:r w:rsidR="00A55EC4">
        <w:t>d:</w:t>
      </w:r>
      <w:r w:rsidRPr="00E6110F">
        <w:t xml:space="preserve"> (i) an inner string of casing had burst during hydraulic fracturing, which resulted in a release of fluids on the land surface and possibly into the aquifer</w:t>
      </w:r>
      <w:r w:rsidR="00715CF1" w:rsidRPr="00E6110F">
        <w:t xml:space="preserve">, and (ii) inadequately cemented casings that </w:t>
      </w:r>
      <w:r w:rsidR="00397858" w:rsidRPr="00E6110F">
        <w:t xml:space="preserve">allowed methane migration through natural fractures and faults and </w:t>
      </w:r>
      <w:r w:rsidR="00715CF1" w:rsidRPr="00E6110F">
        <w:t>contributed to impacts to drinking water resources (gas and other contaminants). US EPA further discussed the risks associated with fracturing older wells: they may not have been built or tested to the same specifications while exposure to aggressive conditions (high salinity, corrosive gases such as CO</w:t>
      </w:r>
      <w:r w:rsidR="00715CF1" w:rsidRPr="00E6110F">
        <w:rPr>
          <w:vertAlign w:val="subscript"/>
        </w:rPr>
        <w:t>2</w:t>
      </w:r>
      <w:r w:rsidR="00715CF1" w:rsidRPr="00E6110F">
        <w:t xml:space="preserve"> and H</w:t>
      </w:r>
      <w:r w:rsidR="00715CF1" w:rsidRPr="00E6110F">
        <w:rPr>
          <w:vertAlign w:val="subscript"/>
        </w:rPr>
        <w:t>2</w:t>
      </w:r>
      <w:r w:rsidR="00715CF1" w:rsidRPr="00E6110F">
        <w:t>S) will have contributed to casing degradation.</w:t>
      </w:r>
    </w:p>
    <w:p w14:paraId="25092BDC" w14:textId="2C058659" w:rsidR="00483BD0" w:rsidRPr="00E6110F" w:rsidRDefault="00B804EC" w:rsidP="00BC3C45">
      <w:pPr>
        <w:pStyle w:val="Body"/>
      </w:pPr>
      <w:r w:rsidRPr="00E6110F">
        <w:t>Answers to the second question included findings from both numerical modelling and microseismic studies, mostly based on a Marcellus-like environment. Results showed that fractures created during hydraulic fracturing are unlikely to extend upward from these deep formations into shallow drinking water aquifers</w:t>
      </w:r>
      <w:r w:rsidR="00A55EC4">
        <w:t xml:space="preserve"> (</w:t>
      </w:r>
      <w:r w:rsidRPr="00E6110F">
        <w:t>note the very large separation distances of up to a mile or more between hydrocarbon reservoir and aquifer</w:t>
      </w:r>
      <w:r w:rsidR="00A55EC4">
        <w:t>)</w:t>
      </w:r>
      <w:r w:rsidRPr="00E6110F">
        <w:t>.</w:t>
      </w:r>
      <w:r w:rsidR="00715CF1" w:rsidRPr="00E6110F">
        <w:t xml:space="preserve"> </w:t>
      </w:r>
      <w:r w:rsidRPr="00E6110F">
        <w:t>In other regions with much shallower shale</w:t>
      </w:r>
      <w:r w:rsidR="00A55EC4">
        <w:t>,</w:t>
      </w:r>
      <w:r w:rsidRPr="00E6110F">
        <w:t xml:space="preserve"> the depth of hydraulic fracturing would be between 30 – 579 m below </w:t>
      </w:r>
      <w:r w:rsidR="00A55EC4">
        <w:t xml:space="preserve">the </w:t>
      </w:r>
      <w:r w:rsidRPr="00E6110F">
        <w:t xml:space="preserve">surface. </w:t>
      </w:r>
      <w:r w:rsidR="00BA248B" w:rsidRPr="00E6110F">
        <w:t xml:space="preserve">A more likely scenario where migration of fluids to drinking water resources may occur is where oil and gas resources co-exist with </w:t>
      </w:r>
      <w:r w:rsidR="007C0241" w:rsidRPr="00E6110F">
        <w:t>drinking w</w:t>
      </w:r>
      <w:r w:rsidR="00BA248B" w:rsidRPr="00E6110F">
        <w:t>ater resources. Currently the overall frequency of occurrence of this practice appears to be low</w:t>
      </w:r>
      <w:r w:rsidR="007C0241" w:rsidRPr="00E6110F">
        <w:t xml:space="preserve">. An even more likely scenario is that where liquid and gas movement from the hydrocarbon production zone to drinking water resources occurs via other production wells or injection wells near hydraulic fracturing operations. In Oklahoma, the likelihood of such well communication </w:t>
      </w:r>
      <w:r w:rsidR="00483BD0" w:rsidRPr="00E6110F">
        <w:t xml:space="preserve">(‘frac hits’) </w:t>
      </w:r>
      <w:r w:rsidR="007C0241" w:rsidRPr="00E6110F">
        <w:t>was less than 10% between wells separated by more than 1,219 m, but increased to nearly 50% between wells less than 305 m apart.</w:t>
      </w:r>
      <w:r w:rsidR="00483BD0" w:rsidRPr="00E6110F">
        <w:t xml:space="preserve"> Surface spills from well communication incidents have been documented in the literature, which provides evidence for occurrence of frac hits (US EPA 201</w:t>
      </w:r>
      <w:r w:rsidR="000D3B81">
        <w:t>6a</w:t>
      </w:r>
      <w:r w:rsidR="00483BD0" w:rsidRPr="00E6110F">
        <w:t>).</w:t>
      </w:r>
    </w:p>
    <w:p w14:paraId="18A0EED0" w14:textId="6AFFC5D1" w:rsidR="007C0FC1" w:rsidRPr="00E6110F" w:rsidRDefault="006C1368" w:rsidP="00BC3C45">
      <w:pPr>
        <w:pStyle w:val="Body"/>
      </w:pPr>
      <w:r w:rsidRPr="00E6110F">
        <w:t>If offset wells are not able to withstand the stresses applied during the hydraulic fracturing of a neighbouring well, certain well components may fail (typically the cement components), which could result in a release of fluids at the surface. The US EPA has identified incidents in which surface spills of hydraulic fracturing-related fluids were attributed to such well communication events.</w:t>
      </w:r>
      <w:r w:rsidR="007C0FC1" w:rsidRPr="00E6110F">
        <w:t xml:space="preserve"> Finally, the greatest potential for impacts is likely to be due to older or inactive wells—including oil and gas wells, injection wells, or drinking water wells—near a hydraulic fracturing operation</w:t>
      </w:r>
      <w:r w:rsidR="00C81D31">
        <w:t xml:space="preserve"> (</w:t>
      </w:r>
      <w:r w:rsidR="00C81D31" w:rsidRPr="00E6110F">
        <w:t>US EPA 201</w:t>
      </w:r>
      <w:r w:rsidR="000D3B81">
        <w:t>6a</w:t>
      </w:r>
      <w:r w:rsidR="00C81D31">
        <w:t>)</w:t>
      </w:r>
      <w:r w:rsidR="007C0FC1" w:rsidRPr="00E6110F">
        <w:t>.</w:t>
      </w:r>
    </w:p>
    <w:p w14:paraId="21C6FB35" w14:textId="7154D9AF" w:rsidR="00347007" w:rsidRPr="00E6110F" w:rsidRDefault="00347007" w:rsidP="00BC3C45">
      <w:pPr>
        <w:pStyle w:val="Body"/>
      </w:pPr>
      <w:r w:rsidRPr="00E6110F">
        <w:t>The US EPA (201</w:t>
      </w:r>
      <w:r w:rsidR="000D3B81">
        <w:t>6a</w:t>
      </w:r>
      <w:r w:rsidRPr="00E6110F">
        <w:t>) study conclude</w:t>
      </w:r>
      <w:r w:rsidR="00A55EC4">
        <w:t>d</w:t>
      </w:r>
      <w:r w:rsidRPr="00E6110F">
        <w:t xml:space="preserve"> that it is important to note that the development of one pathway within </w:t>
      </w:r>
      <w:r w:rsidR="00E23D2C" w:rsidRPr="00E6110F">
        <w:t>a</w:t>
      </w:r>
      <w:r w:rsidRPr="00E6110F">
        <w:t xml:space="preserve"> </w:t>
      </w:r>
      <w:r w:rsidR="00E23D2C" w:rsidRPr="00E6110F">
        <w:t xml:space="preserve">typical reservoir/caprock/aquifer </w:t>
      </w:r>
      <w:r w:rsidRPr="00E6110F">
        <w:t xml:space="preserve">system does not necessarily result in an impact to a drinking water resource. For instance, if an undetected fault would be intercepted by a gas production well, intact cement within the production well could keep fluids from migrating up along the well to the fault and </w:t>
      </w:r>
      <w:r w:rsidR="00E23D2C" w:rsidRPr="00E6110F">
        <w:t xml:space="preserve">still </w:t>
      </w:r>
      <w:r w:rsidRPr="00E6110F">
        <w:t>protect drinking water resources.</w:t>
      </w:r>
    </w:p>
    <w:p w14:paraId="386BB432" w14:textId="77777777" w:rsidR="00644478" w:rsidRPr="00E6110F" w:rsidRDefault="00644478" w:rsidP="009F76A4">
      <w:pPr>
        <w:pStyle w:val="Heading3"/>
        <w:numPr>
          <w:ilvl w:val="3"/>
          <w:numId w:val="1"/>
        </w:numPr>
      </w:pPr>
      <w:bookmarkStart w:id="48" w:name="_Toc494444480"/>
      <w:r w:rsidRPr="00E6110F">
        <w:t>Summa</w:t>
      </w:r>
      <w:r w:rsidRPr="00E6110F">
        <w:rPr>
          <w:bCs w:val="0"/>
        </w:rPr>
        <w:t>r</w:t>
      </w:r>
      <w:r w:rsidRPr="00E6110F">
        <w:t>y of review findings from Australian studies</w:t>
      </w:r>
      <w:bookmarkEnd w:id="48"/>
    </w:p>
    <w:p w14:paraId="36C32CE4" w14:textId="51240081" w:rsidR="002D3EF4" w:rsidRPr="00E6110F" w:rsidRDefault="009F76A4" w:rsidP="004A31D0">
      <w:pPr>
        <w:pStyle w:val="Body"/>
      </w:pPr>
      <w:r w:rsidRPr="00E6110F">
        <w:t>The US EPA (201</w:t>
      </w:r>
      <w:r w:rsidR="000D3B81">
        <w:t>6a</w:t>
      </w:r>
      <w:r w:rsidRPr="00E6110F">
        <w:t>) study</w:t>
      </w:r>
      <w:r w:rsidR="00146CF1">
        <w:t>,</w:t>
      </w:r>
      <w:r w:rsidRPr="00E6110F">
        <w:t xml:space="preserve"> discussed in </w:t>
      </w:r>
      <w:r w:rsidR="00146CF1">
        <w:t>S</w:t>
      </w:r>
      <w:r w:rsidR="00146CF1" w:rsidRPr="00E6110F">
        <w:t xml:space="preserve">ection </w:t>
      </w:r>
      <w:r w:rsidRPr="00E6110F">
        <w:fldChar w:fldCharType="begin" w:fldLock="1"/>
      </w:r>
      <w:r w:rsidRPr="00E6110F">
        <w:instrText xml:space="preserve"> REF _Ref448850191 \r \h </w:instrText>
      </w:r>
      <w:r w:rsidR="00E6110F">
        <w:instrText xml:space="preserve"> \* MERGEFORMAT </w:instrText>
      </w:r>
      <w:r w:rsidRPr="00E6110F">
        <w:fldChar w:fldCharType="separate"/>
      </w:r>
      <w:r w:rsidR="00335E79">
        <w:t>2.1.1.1</w:t>
      </w:r>
      <w:r w:rsidRPr="00E6110F">
        <w:fldChar w:fldCharType="end"/>
      </w:r>
      <w:r w:rsidR="00146CF1">
        <w:t>,</w:t>
      </w:r>
      <w:r w:rsidRPr="00E6110F">
        <w:t xml:space="preserve"> provided a systematic analysis of likely failure pathways with a focus on unintentional migration of fluids and gases (i) up the production well into groundwater owing to poor casing or cementing, and (ii) through subsurface geologic formations into a drinking water resource. These are considered to be the two major subsurface mechanisms by which the injection of hydraulic fracturing fluid and the creation and propagation of fractures can lead to contamination of drinking water resources (US EPA 201</w:t>
      </w:r>
      <w:r w:rsidR="000D3B81">
        <w:t>6a</w:t>
      </w:r>
      <w:r w:rsidRPr="00E6110F">
        <w:t xml:space="preserve">). </w:t>
      </w:r>
      <w:r w:rsidR="002D3EF4" w:rsidRPr="00E6110F">
        <w:t xml:space="preserve">To date, a similar study has not been undertaken in Australia. </w:t>
      </w:r>
    </w:p>
    <w:p w14:paraId="460A280C" w14:textId="65C02715" w:rsidR="00EC53CB" w:rsidRDefault="00EC53CB" w:rsidP="00C824C8">
      <w:pPr>
        <w:pStyle w:val="Body"/>
      </w:pPr>
      <w:r>
        <w:t xml:space="preserve">The next section provides a summary of literature on </w:t>
      </w:r>
      <w:r w:rsidRPr="00EC53CB">
        <w:t>defective bores of any kind, including coal exploration bores, older conventional oil and gas wells</w:t>
      </w:r>
      <w:r>
        <w:t xml:space="preserve"> (some of which are converted to water bores), </w:t>
      </w:r>
      <w:r w:rsidRPr="00EC53CB">
        <w:t xml:space="preserve">or older water bores, </w:t>
      </w:r>
      <w:r>
        <w:t xml:space="preserve">that </w:t>
      </w:r>
      <w:r w:rsidRPr="00EC53CB">
        <w:t xml:space="preserve">can potentially provide pathways for contaminants to reach </w:t>
      </w:r>
      <w:r>
        <w:t xml:space="preserve">groundwater receptors and/or receptors at </w:t>
      </w:r>
      <w:r w:rsidRPr="00EC53CB">
        <w:t>the surface.</w:t>
      </w:r>
      <w:r>
        <w:t xml:space="preserve"> The summary starts with a discussion on connectivity between coal seams and aquifers provided by the hydraulic fracturing process itself.</w:t>
      </w:r>
    </w:p>
    <w:p w14:paraId="458C5E77" w14:textId="77777777" w:rsidR="00EC53CB" w:rsidRDefault="00EC53CB" w:rsidP="00C824C8">
      <w:pPr>
        <w:pStyle w:val="Body"/>
      </w:pPr>
    </w:p>
    <w:p w14:paraId="17A84200" w14:textId="5A262F9C" w:rsidR="00EC53CB" w:rsidRPr="00EC53CB" w:rsidRDefault="00EC53CB" w:rsidP="00C824C8">
      <w:pPr>
        <w:pStyle w:val="Body"/>
        <w:rPr>
          <w:b/>
          <w:i/>
        </w:rPr>
      </w:pPr>
      <w:r w:rsidRPr="00EC53CB">
        <w:rPr>
          <w:b/>
          <w:i/>
        </w:rPr>
        <w:t>Hydraulic fracture growth</w:t>
      </w:r>
    </w:p>
    <w:p w14:paraId="2F6B3A28" w14:textId="48C4AFFE" w:rsidR="00C824C8" w:rsidRDefault="00C20951" w:rsidP="00C824C8">
      <w:pPr>
        <w:pStyle w:val="Body"/>
      </w:pPr>
      <w:r>
        <w:t>H</w:t>
      </w:r>
      <w:r w:rsidR="00C824C8" w:rsidRPr="00B82863">
        <w:t>ydraulic fractures can grow vertically from coal seams into the overlying and underlying rock layers. For such inter-layer fracture growth to occur, the minimum horizontal in</w:t>
      </w:r>
      <w:r w:rsidR="00C824C8">
        <w:t>-</w:t>
      </w:r>
      <w:r w:rsidR="00C824C8" w:rsidRPr="00B82863">
        <w:t xml:space="preserve">situ stress must be less than the vertical stress, and rock modulus and </w:t>
      </w:r>
      <w:r w:rsidR="00C824C8">
        <w:t>in-situ</w:t>
      </w:r>
      <w:r w:rsidR="00C824C8" w:rsidRPr="00B82863">
        <w:t xml:space="preserve"> stress contrasts must be low enough to allow fracture height growth. Current understanding suggests that height growth will be retarded by the interactions that occur as the fracture grows into such a layered sequence.</w:t>
      </w:r>
      <w:r>
        <w:t xml:space="preserve"> Jeffrey et al. (201</w:t>
      </w:r>
      <w:r w:rsidR="00914462">
        <w:t>7</w:t>
      </w:r>
      <w:r w:rsidR="00F93A10">
        <w:t>a</w:t>
      </w:r>
      <w:r>
        <w:t>) studied h</w:t>
      </w:r>
      <w:r w:rsidRPr="00B82863">
        <w:t xml:space="preserve">ydraulic fracture height growth </w:t>
      </w:r>
      <w:r>
        <w:t>into</w:t>
      </w:r>
      <w:r w:rsidRPr="00B82863">
        <w:t xml:space="preserve"> multiple </w:t>
      </w:r>
      <w:r>
        <w:t xml:space="preserve">rock </w:t>
      </w:r>
      <w:r w:rsidRPr="00B82863">
        <w:t>layers of different in</w:t>
      </w:r>
      <w:r>
        <w:t>-</w:t>
      </w:r>
      <w:r w:rsidRPr="00B82863">
        <w:t>situ stress</w:t>
      </w:r>
      <w:r>
        <w:t xml:space="preserve"> </w:t>
      </w:r>
      <w:r w:rsidR="00C824C8" w:rsidRPr="00B82863">
        <w:t xml:space="preserve">using a 2D hydraulic fracture model </w:t>
      </w:r>
      <w:r>
        <w:t>that</w:t>
      </w:r>
      <w:r w:rsidR="00C824C8" w:rsidRPr="00B82863">
        <w:t xml:space="preserve"> prescrib</w:t>
      </w:r>
      <w:r>
        <w:t>ed</w:t>
      </w:r>
      <w:r w:rsidR="00C824C8" w:rsidRPr="00B82863">
        <w:t xml:space="preserve"> a constant pressure condition at the injection point. Th</w:t>
      </w:r>
      <w:r>
        <w:t>is</w:t>
      </w:r>
      <w:r w:rsidR="00C824C8" w:rsidRPr="00B82863">
        <w:t xml:space="preserve"> pressure condition allows rapid height growth to occur when the stress and modulus conditions in the layers favour vertical growth. When vertical growth is favoured, the 2D model may predict rapid growth</w:t>
      </w:r>
      <w:r w:rsidR="002D4D74">
        <w:t>,</w:t>
      </w:r>
      <w:r w:rsidR="00C824C8" w:rsidRPr="00B82863">
        <w:t xml:space="preserve"> which can lead to very large fluid flow rates.</w:t>
      </w:r>
      <w:r w:rsidR="00C824C8">
        <w:t xml:space="preserve"> </w:t>
      </w:r>
      <w:r w:rsidR="00C824C8" w:rsidRPr="00B82863">
        <w:t>These flow rates or fluid fluxes can exceed physically possible limits.</w:t>
      </w:r>
      <w:r w:rsidR="00C824C8">
        <w:t xml:space="preserve"> </w:t>
      </w:r>
      <w:r w:rsidR="0096581B">
        <w:t>By including a</w:t>
      </w:r>
      <w:r w:rsidR="00C824C8" w:rsidRPr="00B82863">
        <w:t xml:space="preserve"> fluid flux limit in the model</w:t>
      </w:r>
      <w:r w:rsidR="0096581B">
        <w:t>,</w:t>
      </w:r>
      <w:r w:rsidR="00C824C8" w:rsidRPr="00B82863">
        <w:t xml:space="preserve"> </w:t>
      </w:r>
      <w:r w:rsidR="0096581B">
        <w:t>Jeffrey et al. (201</w:t>
      </w:r>
      <w:r w:rsidR="00914462">
        <w:t>7</w:t>
      </w:r>
      <w:r w:rsidR="00F93A10">
        <w:t>a</w:t>
      </w:r>
      <w:r w:rsidR="0096581B">
        <w:t xml:space="preserve">) </w:t>
      </w:r>
      <w:r w:rsidR="00C824C8" w:rsidRPr="00B82863">
        <w:t>avoid</w:t>
      </w:r>
      <w:r w:rsidR="0096581B">
        <w:t>ed</w:t>
      </w:r>
      <w:r w:rsidR="00C824C8" w:rsidRPr="00B82863">
        <w:t xml:space="preserve"> unrealistic rates of fracture height growth. The results of the 2D model study demonstrated that sufficiently thick high</w:t>
      </w:r>
      <w:r w:rsidR="00E55528">
        <w:t>-</w:t>
      </w:r>
      <w:r w:rsidR="00C824C8" w:rsidRPr="00B82863">
        <w:t xml:space="preserve">stress layers lead to </w:t>
      </w:r>
      <w:r w:rsidR="00E55528">
        <w:t>halt</w:t>
      </w:r>
      <w:r w:rsidR="00C824C8" w:rsidRPr="00B82863">
        <w:t xml:space="preserve"> the fracture growth. Growth can occur through thin high stress layers, especially when the fracture length is relatively large when encountering the high stress layer. Because no lateral growth is allowed, the 2D model results represent the upper limit for vertical (height) growth, for both final extent and rate of growth. </w:t>
      </w:r>
      <w:r w:rsidR="00714E87">
        <w:t xml:space="preserve">When </w:t>
      </w:r>
      <w:r w:rsidR="00C824C8" w:rsidRPr="00B82863">
        <w:t xml:space="preserve">lateral growth </w:t>
      </w:r>
      <w:r w:rsidR="00714E87">
        <w:t xml:space="preserve">was included </w:t>
      </w:r>
      <w:r w:rsidR="00C824C8" w:rsidRPr="00B82863">
        <w:t>into the calculation</w:t>
      </w:r>
      <w:r w:rsidR="00714E87">
        <w:t xml:space="preserve"> using</w:t>
      </w:r>
      <w:r w:rsidR="00C824C8" w:rsidRPr="00B82863">
        <w:t xml:space="preserve"> a </w:t>
      </w:r>
      <w:r w:rsidR="00C824C8">
        <w:t>P</w:t>
      </w:r>
      <w:r w:rsidR="00C824C8" w:rsidRPr="00B82863">
        <w:t>3D hydraulic fracture design model</w:t>
      </w:r>
      <w:r w:rsidR="00581841">
        <w:t xml:space="preserve">, </w:t>
      </w:r>
      <w:r w:rsidR="00C824C8" w:rsidRPr="00B82863">
        <w:t xml:space="preserve">the height growth was significantly reduced compared to the 2D </w:t>
      </w:r>
      <w:r w:rsidR="00133174">
        <w:t xml:space="preserve">model </w:t>
      </w:r>
      <w:r w:rsidR="00C824C8" w:rsidRPr="00B82863">
        <w:t xml:space="preserve">results. </w:t>
      </w:r>
      <w:r w:rsidR="001459C6">
        <w:t>Jeffrey et al. (201</w:t>
      </w:r>
      <w:r w:rsidR="00914462">
        <w:t>7</w:t>
      </w:r>
      <w:r w:rsidR="00F93A10">
        <w:t>a</w:t>
      </w:r>
      <w:r w:rsidR="001459C6">
        <w:t>) attributed t</w:t>
      </w:r>
      <w:r w:rsidR="00C824C8" w:rsidRPr="00B82863">
        <w:t>his smaller height growth to the P3D model allowing the fracture to grow in length (lateral growth) as well as in height (vertical growth).</w:t>
      </w:r>
    </w:p>
    <w:p w14:paraId="6E9BA61D" w14:textId="3CA06D27" w:rsidR="00D866C6" w:rsidRPr="008C6F37" w:rsidRDefault="00D866C6" w:rsidP="0037368B">
      <w:pPr>
        <w:pStyle w:val="Body"/>
      </w:pPr>
      <w:r>
        <w:t>Findings</w:t>
      </w:r>
      <w:r w:rsidRPr="008C6F37">
        <w:t xml:space="preserve"> from </w:t>
      </w:r>
      <w:r>
        <w:t>a recent</w:t>
      </w:r>
      <w:r w:rsidRPr="008C6F37">
        <w:t xml:space="preserve"> review of fracture growth and well integrity </w:t>
      </w:r>
      <w:r>
        <w:t>by Jeffrey et al. (201</w:t>
      </w:r>
      <w:r w:rsidR="00914462">
        <w:t>7</w:t>
      </w:r>
      <w:r>
        <w:t>b) include:</w:t>
      </w:r>
    </w:p>
    <w:p w14:paraId="64408697" w14:textId="5BD2736B" w:rsidR="00D866C6" w:rsidRPr="00B97EE6" w:rsidRDefault="00D866C6" w:rsidP="00943534">
      <w:pPr>
        <w:pStyle w:val="Body"/>
        <w:numPr>
          <w:ilvl w:val="0"/>
          <w:numId w:val="54"/>
        </w:numPr>
      </w:pPr>
      <w:r w:rsidRPr="00B97EE6">
        <w:t xml:space="preserve">Hydraulic fracture growth in coal and growth in height into layers above and below a </w:t>
      </w:r>
      <w:r w:rsidRPr="008C1909">
        <w:t>coal</w:t>
      </w:r>
      <w:r w:rsidRPr="00B97EE6">
        <w:t xml:space="preserve"> seam are affected by the rock properties and in</w:t>
      </w:r>
      <w:r>
        <w:noBreakHyphen/>
      </w:r>
      <w:r w:rsidRPr="00B97EE6">
        <w:t>situ stresses. Interactions with bedding planes, faults and natural fractures often strongly affect the fracture growth.</w:t>
      </w:r>
    </w:p>
    <w:p w14:paraId="1A7849F7" w14:textId="37FE7BC8" w:rsidR="00D866C6" w:rsidRPr="00B97EE6" w:rsidRDefault="00D866C6" w:rsidP="00943534">
      <w:pPr>
        <w:pStyle w:val="Body"/>
        <w:numPr>
          <w:ilvl w:val="0"/>
          <w:numId w:val="54"/>
        </w:numPr>
      </w:pPr>
      <w:r w:rsidRPr="00B97EE6">
        <w:t xml:space="preserve">The nature and size of the fractures formed by </w:t>
      </w:r>
      <w:r>
        <w:t>coal seam gas stimulations are fairly well characteris</w:t>
      </w:r>
      <w:r w:rsidRPr="00B97EE6">
        <w:t xml:space="preserve">ed because many have been mapped after mining, both in Australia and in the US. The fractures contain branches and offsets and sometimes form as </w:t>
      </w:r>
      <w:r>
        <w:t>T-shaped</w:t>
      </w:r>
      <w:r w:rsidRPr="00B97EE6">
        <w:t xml:space="preserve"> geometries with a large horizontal fracture overlying a vertical one.  </w:t>
      </w:r>
    </w:p>
    <w:p w14:paraId="6D259215" w14:textId="3F322F64" w:rsidR="00D866C6" w:rsidRPr="00B97EE6" w:rsidRDefault="00D866C6" w:rsidP="00943534">
      <w:pPr>
        <w:pStyle w:val="Body"/>
        <w:numPr>
          <w:ilvl w:val="0"/>
          <w:numId w:val="54"/>
        </w:numPr>
      </w:pPr>
      <w:r w:rsidRPr="00B97EE6">
        <w:t>Monitoring of fracture growth by microseismic and tiltmeter instrumentation</w:t>
      </w:r>
      <w:r>
        <w:t>,</w:t>
      </w:r>
      <w:r w:rsidRPr="00B97EE6">
        <w:t xml:space="preserve"> and by </w:t>
      </w:r>
      <w:r w:rsidR="007E3F6A">
        <w:t xml:space="preserve">using </w:t>
      </w:r>
      <w:r w:rsidRPr="00B97EE6">
        <w:t xml:space="preserve">tracers, is important during early phases of development of new areas. This monitoring serves to calibrate </w:t>
      </w:r>
      <w:r>
        <w:t>modell</w:t>
      </w:r>
      <w:r w:rsidRPr="00B97EE6">
        <w:t xml:space="preserve">ing and verify </w:t>
      </w:r>
      <w:r>
        <w:t xml:space="preserve">that </w:t>
      </w:r>
      <w:r w:rsidRPr="00B97EE6">
        <w:t>designs are producing the fractures intended.</w:t>
      </w:r>
      <w:r>
        <w:t xml:space="preserve"> There is a gap in monitoring which would be filled by development of lower cost but reliable fracture monitoring methods.</w:t>
      </w:r>
    </w:p>
    <w:p w14:paraId="5562311B" w14:textId="77777777" w:rsidR="00D866C6" w:rsidRPr="00B97EE6" w:rsidRDefault="00D866C6" w:rsidP="00943534">
      <w:pPr>
        <w:pStyle w:val="Body"/>
        <w:numPr>
          <w:ilvl w:val="0"/>
          <w:numId w:val="54"/>
        </w:numPr>
      </w:pPr>
      <w:r w:rsidRPr="00B97EE6">
        <w:t xml:space="preserve">The wellbore provides a possible pathway along which fluids can move between zones in a </w:t>
      </w:r>
      <w:r>
        <w:t xml:space="preserve">coal seam gas </w:t>
      </w:r>
      <w:r w:rsidRPr="00B97EE6">
        <w:t>well or from the subsurface to the surface. Application of correct drilling and completion practice effectively limits the risk of such fluid movement.</w:t>
      </w:r>
      <w:r>
        <w:t xml:space="preserve"> Overseas studies indicate that well integrity may be a general problem, reinforcing the idea that the wellbore is the main risk of a leakage pathway developing between the reservoir and aquifers and the surface. Statistical data describing historical Australian coal seam gas well integrity experience were </w:t>
      </w:r>
      <w:r w:rsidRPr="00786AC4">
        <w:t>not found</w:t>
      </w:r>
      <w:r>
        <w:t xml:space="preserve">. </w:t>
      </w:r>
    </w:p>
    <w:p w14:paraId="5716E635" w14:textId="77777777" w:rsidR="00D866C6" w:rsidRDefault="00D866C6" w:rsidP="00943534">
      <w:pPr>
        <w:pStyle w:val="Body"/>
        <w:numPr>
          <w:ilvl w:val="0"/>
          <w:numId w:val="54"/>
        </w:numPr>
      </w:pPr>
      <w:r w:rsidRPr="00B97EE6">
        <w:t>Plugging and abandonment procedures must be designed and carried out using good engineering practice. Pre</w:t>
      </w:r>
      <w:r>
        <w:t>-</w:t>
      </w:r>
      <w:r w:rsidRPr="00B97EE6">
        <w:t xml:space="preserve">existing wells and boreholes that have not been plugged correctly pose a risk for vertical fluid movement and gas </w:t>
      </w:r>
      <w:r>
        <w:t xml:space="preserve">entering aquifers or </w:t>
      </w:r>
      <w:r w:rsidRPr="00B97EE6">
        <w:t>venting at the surface.</w:t>
      </w:r>
    </w:p>
    <w:p w14:paraId="4A8B5706" w14:textId="7782BAC1" w:rsidR="002D3EF4" w:rsidRPr="00E6110F" w:rsidRDefault="002D3EF4" w:rsidP="002D3EF4">
      <w:pPr>
        <w:pStyle w:val="Body"/>
      </w:pPr>
      <w:r w:rsidRPr="00E6110F">
        <w:t>The National Assessment of Chemicals Associated with Coal Seam Gas Extraction in Australia (the National CSG Chemicals Assessment project) has carried out a screening level assessment of potential risks to human health and the environment associated with surface-related exposure pathways of chemicals used in drilling and hydraulic fracturing</w:t>
      </w:r>
      <w:r w:rsidR="00F579FC">
        <w:rPr>
          <w:rFonts w:ascii="ZWAdobeF" w:hAnsi="ZWAdobeF" w:cs="ZWAdobeF"/>
          <w:color w:val="auto"/>
          <w:sz w:val="2"/>
          <w:szCs w:val="2"/>
        </w:rPr>
        <w:t>3F</w:t>
      </w:r>
      <w:r w:rsidRPr="00E6110F">
        <w:rPr>
          <w:vertAlign w:val="superscript"/>
        </w:rPr>
        <w:footnoteReference w:id="5"/>
      </w:r>
      <w:r w:rsidRPr="00E6110F">
        <w:t>. This includes surface water, soils, and shallow unconfined groundwater systems. While the approach is consistent with prev</w:t>
      </w:r>
      <w:r w:rsidR="008B0082" w:rsidRPr="00E6110F">
        <w:t>ious US EPA assessments (US EPA</w:t>
      </w:r>
      <w:r w:rsidRPr="00E6110F">
        <w:t xml:space="preserve"> 2004</w:t>
      </w:r>
      <w:r w:rsidR="008B0082" w:rsidRPr="00E6110F">
        <w:t>a</w:t>
      </w:r>
      <w:r w:rsidRPr="00E6110F">
        <w:t>, 2010, 2011), the National CSG Chemicals Assessment project did not examine the risks posed by chemicals to deeper groundwater systems such as confined aquifers</w:t>
      </w:r>
      <w:r w:rsidR="00F579FC">
        <w:rPr>
          <w:rFonts w:ascii="ZWAdobeF" w:hAnsi="ZWAdobeF" w:cs="ZWAdobeF"/>
          <w:color w:val="auto"/>
          <w:sz w:val="2"/>
          <w:szCs w:val="2"/>
        </w:rPr>
        <w:t>4F</w:t>
      </w:r>
      <w:r w:rsidRPr="00E6110F">
        <w:rPr>
          <w:vertAlign w:val="superscript"/>
        </w:rPr>
        <w:footnoteReference w:id="6"/>
      </w:r>
      <w:r w:rsidRPr="00E6110F">
        <w:t>.</w:t>
      </w:r>
    </w:p>
    <w:p w14:paraId="0187558B" w14:textId="154216EF" w:rsidR="00A9327E" w:rsidRPr="00E6110F" w:rsidRDefault="00A9327E" w:rsidP="004A31D0">
      <w:pPr>
        <w:pStyle w:val="Body"/>
      </w:pPr>
      <w:r w:rsidRPr="00E6110F">
        <w:t xml:space="preserve">Therefore, the current review will focus on </w:t>
      </w:r>
      <w:r w:rsidR="002A348C" w:rsidRPr="00E6110F">
        <w:t>the</w:t>
      </w:r>
      <w:r w:rsidRPr="00E6110F">
        <w:t xml:space="preserve"> limited number of studies that address bore and well integrity</w:t>
      </w:r>
      <w:r w:rsidR="004A5350" w:rsidRPr="00E6110F">
        <w:t xml:space="preserve"> in Australia</w:t>
      </w:r>
      <w:r w:rsidRPr="00E6110F">
        <w:t>. In this way</w:t>
      </w:r>
      <w:r w:rsidR="00146CF1">
        <w:t>,</w:t>
      </w:r>
      <w:r w:rsidRPr="00E6110F">
        <w:t xml:space="preserve"> </w:t>
      </w:r>
      <w:r w:rsidR="004A5350" w:rsidRPr="00E6110F">
        <w:t xml:space="preserve">evidence is collated regarding at least one of the </w:t>
      </w:r>
      <w:r w:rsidRPr="00E6110F">
        <w:t xml:space="preserve">likely failure pathways </w:t>
      </w:r>
      <w:r w:rsidR="004A5350" w:rsidRPr="00E6110F">
        <w:t>identified by US EPA (201</w:t>
      </w:r>
      <w:r w:rsidR="000D3B81">
        <w:t>6a</w:t>
      </w:r>
      <w:r w:rsidR="004A5350" w:rsidRPr="00E6110F">
        <w:t xml:space="preserve">), i.e. </w:t>
      </w:r>
      <w:r w:rsidRPr="00E6110F">
        <w:t>unintentional migration of fluids and gases up the production well into groundwater owing to poor casing or cementing</w:t>
      </w:r>
      <w:r w:rsidR="004A5350" w:rsidRPr="00E6110F">
        <w:t>. Whether or not the second failure pathway identified by US EPA (201</w:t>
      </w:r>
      <w:r w:rsidR="000D3B81">
        <w:t>6a</w:t>
      </w:r>
      <w:r w:rsidR="004A5350" w:rsidRPr="00E6110F">
        <w:t>) – unintentional migration of fluids and gases through subsurface geologic formations into a drinking water resource – is physically possible under typical Australian CSG operations will be addressed in the current study (</w:t>
      </w:r>
      <w:r w:rsidR="00146CF1">
        <w:t>S</w:t>
      </w:r>
      <w:r w:rsidR="00146CF1" w:rsidRPr="00E6110F">
        <w:t xml:space="preserve">ection </w:t>
      </w:r>
      <w:r w:rsidR="009F05BD" w:rsidRPr="00E6110F">
        <w:fldChar w:fldCharType="begin" w:fldLock="1"/>
      </w:r>
      <w:r w:rsidR="009F05BD" w:rsidRPr="00E6110F">
        <w:instrText xml:space="preserve"> REF _Ref448851440 \r \h </w:instrText>
      </w:r>
      <w:r w:rsidR="00E6110F">
        <w:instrText xml:space="preserve"> \* MERGEFORMAT </w:instrText>
      </w:r>
      <w:r w:rsidR="009F05BD" w:rsidRPr="00E6110F">
        <w:fldChar w:fldCharType="separate"/>
      </w:r>
      <w:r w:rsidR="00335E79">
        <w:t>2.6</w:t>
      </w:r>
      <w:r w:rsidR="009F05BD" w:rsidRPr="00E6110F">
        <w:fldChar w:fldCharType="end"/>
      </w:r>
      <w:r w:rsidR="004A5350" w:rsidRPr="00E6110F">
        <w:t xml:space="preserve">). </w:t>
      </w:r>
    </w:p>
    <w:p w14:paraId="5CC2D843" w14:textId="237C1F36" w:rsidR="007C3A2D" w:rsidRPr="00E6110F" w:rsidRDefault="007C3A2D" w:rsidP="004A31D0">
      <w:pPr>
        <w:pStyle w:val="Body"/>
      </w:pPr>
    </w:p>
    <w:p w14:paraId="1A8F69AB" w14:textId="5F0E8CDA" w:rsidR="008070C0" w:rsidRPr="00E6110F" w:rsidRDefault="002E3FBE" w:rsidP="008070C0">
      <w:pPr>
        <w:pStyle w:val="Body"/>
        <w:rPr>
          <w:b/>
          <w:i/>
        </w:rPr>
      </w:pPr>
      <w:r>
        <w:rPr>
          <w:b/>
          <w:i/>
        </w:rPr>
        <w:t>Oil and gas w</w:t>
      </w:r>
      <w:r w:rsidR="008070C0" w:rsidRPr="00E6110F">
        <w:rPr>
          <w:b/>
          <w:i/>
        </w:rPr>
        <w:t>ell integrity failure</w:t>
      </w:r>
    </w:p>
    <w:p w14:paraId="65705B3D" w14:textId="529586C7" w:rsidR="008070C0" w:rsidRPr="00E6110F" w:rsidRDefault="008070C0" w:rsidP="008070C0">
      <w:pPr>
        <w:pStyle w:val="Body"/>
      </w:pPr>
      <w:r w:rsidRPr="00E6110F">
        <w:t>Poor well integrity is a considerable issue in oil and gas production operations</w:t>
      </w:r>
      <w:r w:rsidR="00222937">
        <w:t xml:space="preserve"> (We et al. 2016)</w:t>
      </w:r>
      <w:r w:rsidRPr="00E6110F">
        <w:t>. A number of studies have been carried out which indicate that there is not full integrity in a significant percentage of all wells. Since the CSG industry in Australia is relatively young (from middle 1990s), publications on CSG well failure have been quite scarce. Wu et al. (2016) have carried out a review of well failure rates reported in open international literature for conventional onshore oil and gas wells and some of CSG wells in North America and Scandinavia. One study on onshore gas well integrity in Queensland is included in the</w:t>
      </w:r>
      <w:r w:rsidR="002E3FBE">
        <w:t>ir</w:t>
      </w:r>
      <w:r w:rsidRPr="00E6110F">
        <w:t xml:space="preserve"> review (see further).</w:t>
      </w:r>
    </w:p>
    <w:p w14:paraId="22691ACA" w14:textId="5F0DE0F6" w:rsidR="008070C0" w:rsidRPr="00E6110F" w:rsidRDefault="008070C0" w:rsidP="008070C0">
      <w:pPr>
        <w:pStyle w:val="Body"/>
      </w:pPr>
      <w:r w:rsidRPr="00E6110F">
        <w:t xml:space="preserve">Because conventional oil and gas and shale gas wells are drilled </w:t>
      </w:r>
      <w:proofErr w:type="gramStart"/>
      <w:r w:rsidRPr="00E6110F">
        <w:t>to</w:t>
      </w:r>
      <w:proofErr w:type="gramEnd"/>
      <w:r w:rsidRPr="00E6110F">
        <w:t xml:space="preserve"> much greater depth</w:t>
      </w:r>
      <w:r w:rsidR="00146CF1">
        <w:t>s</w:t>
      </w:r>
      <w:r w:rsidRPr="00E6110F">
        <w:t xml:space="preserve"> than CSG wells, they are subject to higher temperatures and pressures and have more casing layers. As a result, their failure rates are expected to be higher than for CSG wells. Therefore, extrapolation of findings from overseas studies to Australian conditions with generally relatively shallow wells (typically 350 – 1</w:t>
      </w:r>
      <w:r w:rsidR="002E3FBE">
        <w:t>,</w:t>
      </w:r>
      <w:r w:rsidRPr="00E6110F">
        <w:t xml:space="preserve">000 m) has to be done with great care. Nevertheless, the findings from conventional oil and gas and shale gas wells are useful in gaining understanding of possible failure mechanisms potentially relevant to CSG wells, and for obtaining upper bound failure rates.  </w:t>
      </w:r>
    </w:p>
    <w:p w14:paraId="2396A623" w14:textId="77777777" w:rsidR="008070C0" w:rsidRPr="00E6110F" w:rsidRDefault="008070C0" w:rsidP="004A31D0">
      <w:pPr>
        <w:pStyle w:val="Body"/>
      </w:pPr>
    </w:p>
    <w:p w14:paraId="1AEEB825" w14:textId="73487F34" w:rsidR="008070C0" w:rsidRPr="00E6110F" w:rsidRDefault="00222937" w:rsidP="004A31D0">
      <w:pPr>
        <w:pStyle w:val="Body"/>
        <w:rPr>
          <w:b/>
          <w:i/>
        </w:rPr>
      </w:pPr>
      <w:r>
        <w:rPr>
          <w:b/>
          <w:i/>
        </w:rPr>
        <w:t>CSG w</w:t>
      </w:r>
      <w:r w:rsidR="008070C0" w:rsidRPr="00E6110F">
        <w:rPr>
          <w:b/>
          <w:i/>
        </w:rPr>
        <w:t>ell integrity failures in Queensland</w:t>
      </w:r>
    </w:p>
    <w:p w14:paraId="4D885B55" w14:textId="6A6DA8D5" w:rsidR="00BB0FFF" w:rsidRPr="00E6110F" w:rsidRDefault="004A31D0" w:rsidP="00BB0FFF">
      <w:pPr>
        <w:pStyle w:val="Body"/>
      </w:pPr>
      <w:r w:rsidRPr="00E6110F">
        <w:t xml:space="preserve">To date, there have been few estimates made of failure rates for CSG wells in Australia. </w:t>
      </w:r>
      <w:r w:rsidR="00084B08">
        <w:t>F</w:t>
      </w:r>
      <w:r w:rsidR="00084B08" w:rsidRPr="00E6110F">
        <w:t>rom 2010 to March 2015</w:t>
      </w:r>
      <w:r w:rsidR="00084B08">
        <w:t xml:space="preserve">, </w:t>
      </w:r>
      <w:r w:rsidR="00084B08" w:rsidRPr="00E6110F">
        <w:t>6</w:t>
      </w:r>
      <w:r w:rsidR="00084B08">
        <w:t>,</w:t>
      </w:r>
      <w:r w:rsidR="00084B08" w:rsidRPr="00E6110F">
        <w:t>734 CSG exploration, appraisal and production wells had been drilled in Queensland</w:t>
      </w:r>
      <w:r w:rsidR="00084B08">
        <w:t>.</w:t>
      </w:r>
      <w:r w:rsidR="00084B08" w:rsidRPr="00E6110F">
        <w:t xml:space="preserve"> </w:t>
      </w:r>
      <w:r w:rsidRPr="00E6110F">
        <w:t>The GasFields Commission Queensland (2015) reports statistics from well integrity compliance auditing undertaken</w:t>
      </w:r>
      <w:r w:rsidR="00084B08">
        <w:t xml:space="preserve"> d</w:t>
      </w:r>
      <w:r w:rsidRPr="00E6110F">
        <w:t xml:space="preserve">uring this period. </w:t>
      </w:r>
      <w:r w:rsidRPr="00084B08">
        <w:t>This involved both subsurface gas well compliance and surface well head compliance testing</w:t>
      </w:r>
      <w:r w:rsidR="00084B08">
        <w:t xml:space="preserve"> on a subset of the wells drilled</w:t>
      </w:r>
      <w:r w:rsidRPr="00E6110F">
        <w:t xml:space="preserve">. For the subsurface equipment, no leaks were reported while there have been 21 statutory notifications (a rate of 0.3%) concerning suspect downhole cement quality during construction. After remediation, the cement failure rate was determined to be 0%. For subsurface equipment, the conclusion is that the risk of a subsurface breach of well integrity is assessed to be very low to near zero. In regards to the surface well head leaks, 199 leaks have been reported and have been subsequently fixed. </w:t>
      </w:r>
      <w:r w:rsidR="00BB0FFF" w:rsidRPr="00E6110F">
        <w:t>This reporting is consistent with recent research which found that small ‘equipment leaks’ were relatively common (and o</w:t>
      </w:r>
      <w:r w:rsidR="008B0082" w:rsidRPr="00E6110F">
        <w:t>ften easy to repair) (Day et al.</w:t>
      </w:r>
      <w:r w:rsidR="00BB0FFF" w:rsidRPr="00E6110F">
        <w:t xml:space="preserve"> 2014).</w:t>
      </w:r>
    </w:p>
    <w:p w14:paraId="75AD8EC9" w14:textId="2979937F" w:rsidR="004A31D0" w:rsidRDefault="008070C0" w:rsidP="004A31D0">
      <w:pPr>
        <w:pStyle w:val="Body"/>
      </w:pPr>
      <w:r w:rsidRPr="00E6110F">
        <w:t xml:space="preserve">Due to lack of comprehensive estimates of well integrity failure rates in Australia, one might be tempted to extrapolate estimates from other studies involving well failure rates for CSG wells or conventional oil and gas wells. </w:t>
      </w:r>
      <w:r w:rsidR="004A31D0" w:rsidRPr="00E6110F">
        <w:t xml:space="preserve">Estimating CSG well failure rates from failure rates reported for conventional onshore/offshore oil and gas wells or from shale gas wells has to be done with care. Because offshore oil and gas wells are drilled in a different and more difficult environment than onshore CSG wells, their failure rates are expected to be much higher than for CSG wells. Furthermore, CSG wells are shallower than conventional oil and gas and shale gas wells, and therefore subject to lower temperatures and pressures. Also, operating pressures for CSG wells are lower and they have less casing layers (GasFields Commission Queensland 2015). </w:t>
      </w:r>
    </w:p>
    <w:p w14:paraId="224B79AE" w14:textId="77777777" w:rsidR="00222937" w:rsidRPr="00E6110F" w:rsidRDefault="00222937" w:rsidP="004A31D0">
      <w:pPr>
        <w:pStyle w:val="Body"/>
      </w:pPr>
    </w:p>
    <w:p w14:paraId="1DF21B20" w14:textId="519A2A09" w:rsidR="00222937" w:rsidRDefault="00222937" w:rsidP="004A31D0">
      <w:pPr>
        <w:pStyle w:val="Body"/>
      </w:pPr>
      <w:r w:rsidRPr="002E4627">
        <w:rPr>
          <w:b/>
          <w:i/>
        </w:rPr>
        <w:t>Water bore</w:t>
      </w:r>
      <w:r>
        <w:rPr>
          <w:b/>
          <w:i/>
        </w:rPr>
        <w:t xml:space="preserve"> integrity</w:t>
      </w:r>
    </w:p>
    <w:p w14:paraId="7AADB3E4" w14:textId="17FDECC8" w:rsidR="008655F0" w:rsidRPr="00E6110F" w:rsidRDefault="008655F0" w:rsidP="004A31D0">
      <w:pPr>
        <w:pStyle w:val="Body"/>
      </w:pPr>
      <w:r w:rsidRPr="00E6110F">
        <w:t>In establishing field monitoring methods and guidelines to determine water bore and CSG well integrity, SKM conducted an evaluation of the integrity of 10,318 water bores in the Surat Basin in Queensland using the NGIS (National Groundwater Information System) database (Commonwealth of Australia</w:t>
      </w:r>
      <w:r w:rsidR="00E5723B">
        <w:t>, unpublished report</w:t>
      </w:r>
      <w:r w:rsidRPr="00E6110F">
        <w:t xml:space="preserve">). Based on the optimistic life time of steel in water bores (i.e. 45 years), it was assumed in the </w:t>
      </w:r>
      <w:r w:rsidR="00E5723B">
        <w:t>unpublished report</w:t>
      </w:r>
      <w:r w:rsidRPr="00E6110F">
        <w:t xml:space="preserve"> that the water bores constructed prior to 1955 will now have poor integrity (1</w:t>
      </w:r>
      <w:r w:rsidR="00222937">
        <w:t>,</w:t>
      </w:r>
      <w:r w:rsidRPr="00E6110F">
        <w:t>893 bores), i.e., they have experienced well failure. This means that hydrological breach and production breach could occur in the old water bores allowing fluid movement between different geological units (if the bore penetrates multiple aquifers) and/or between the bore and surrounding geological units. This assumption is based on the fact that prior to 1955 nearly all of the water bores would have been constructed using steel casing. The water bores constructed between 1955 and 1967 were also considered to have poor integrity (1</w:t>
      </w:r>
      <w:r w:rsidR="00222937">
        <w:t>,</w:t>
      </w:r>
      <w:r w:rsidRPr="00E6110F">
        <w:t>668 bores), i.e. well failure is implied on the basis that the steel casing from prior to 1968 would be significantly corroded by now. It was further assumed that the bores using PVC or plastic were considered to have an increased likelihood of good (casing) integrity at present time since PVC does not corrode (but can degrade slowly over time), although good casing integrity does not necessarily lead to good bore integrity since fluid can still migrate behind the casing if the casing external annulus was not cemented or the cement sheath had poor integrity.</w:t>
      </w:r>
    </w:p>
    <w:p w14:paraId="235458B1" w14:textId="396A2980" w:rsidR="007C3A2D" w:rsidRDefault="009F7800" w:rsidP="004A31D0">
      <w:pPr>
        <w:pStyle w:val="Body"/>
      </w:pPr>
      <w:r w:rsidRPr="00EA54E6">
        <w:t>Estimated water bore integrity failure rates should not be extrapolated to coal seam gas wells. For example, the cement an</w:t>
      </w:r>
      <w:r w:rsidR="00EA54E6" w:rsidRPr="00EA54E6">
        <w:t>d casings may be different</w:t>
      </w:r>
      <w:r w:rsidR="004A31D0" w:rsidRPr="00E6110F">
        <w:t xml:space="preserve"> for water bores and CSG wells (NUDLC 2012</w:t>
      </w:r>
      <w:r w:rsidR="00146CF1">
        <w:t>;</w:t>
      </w:r>
      <w:r w:rsidR="004A31D0" w:rsidRPr="00E6110F">
        <w:t xml:space="preserve"> DNRM 2013a)</w:t>
      </w:r>
      <w:r w:rsidR="00EA54E6">
        <w:t>;</w:t>
      </w:r>
      <w:r w:rsidR="004A31D0" w:rsidRPr="00E6110F">
        <w:t xml:space="preserve"> a</w:t>
      </w:r>
      <w:r w:rsidR="00EA54E6">
        <w:t>lso,</w:t>
      </w:r>
      <w:r w:rsidR="004A31D0" w:rsidRPr="00E6110F">
        <w:t xml:space="preserve"> prior to the late sixties cementing was not a requirement for water bores. </w:t>
      </w:r>
      <w:r w:rsidR="008655F0" w:rsidRPr="00E6110F">
        <w:t>Because</w:t>
      </w:r>
      <w:r w:rsidR="004A31D0" w:rsidRPr="00E6110F">
        <w:t xml:space="preserve"> cement plays a critical role in protecting steel casing from corroding, </w:t>
      </w:r>
      <w:r w:rsidR="008655F0" w:rsidRPr="00E6110F">
        <w:t>it has</w:t>
      </w:r>
      <w:r w:rsidR="004A31D0" w:rsidRPr="00E6110F">
        <w:t xml:space="preserve"> a signi</w:t>
      </w:r>
      <w:r w:rsidR="007C3A2D" w:rsidRPr="00E6110F">
        <w:t>fi</w:t>
      </w:r>
      <w:r w:rsidR="004A31D0" w:rsidRPr="00E6110F">
        <w:t>cant impact on well life expectancy.</w:t>
      </w:r>
    </w:p>
    <w:p w14:paraId="7834BD19" w14:textId="77777777" w:rsidR="00222937" w:rsidRPr="00E6110F" w:rsidRDefault="00222937" w:rsidP="004A31D0">
      <w:pPr>
        <w:pStyle w:val="Body"/>
      </w:pPr>
    </w:p>
    <w:p w14:paraId="14678185" w14:textId="6000A129" w:rsidR="00222937" w:rsidRPr="00222937" w:rsidRDefault="00222937" w:rsidP="00222937">
      <w:pPr>
        <w:pStyle w:val="Body"/>
        <w:rPr>
          <w:b/>
          <w:i/>
        </w:rPr>
      </w:pPr>
      <w:r w:rsidRPr="00222937">
        <w:rPr>
          <w:b/>
          <w:i/>
        </w:rPr>
        <w:t>Coal exploration bores</w:t>
      </w:r>
      <w:r>
        <w:rPr>
          <w:b/>
          <w:i/>
        </w:rPr>
        <w:t xml:space="preserve"> in Surat and Bowen Basins, Queensland</w:t>
      </w:r>
    </w:p>
    <w:p w14:paraId="230F530F" w14:textId="1D069073" w:rsidR="00222937" w:rsidRPr="00A710A5" w:rsidRDefault="00222937" w:rsidP="00222937">
      <w:pPr>
        <w:pStyle w:val="Body"/>
      </w:pPr>
      <w:r w:rsidRPr="00A710A5">
        <w:t xml:space="preserve">In Queensland, coal exploration </w:t>
      </w:r>
      <w:r>
        <w:t>bores</w:t>
      </w:r>
      <w:r w:rsidRPr="00A710A5">
        <w:t xml:space="preserve"> </w:t>
      </w:r>
      <w:r>
        <w:t xml:space="preserve">probably represent the highest risk in providing </w:t>
      </w:r>
      <w:r w:rsidRPr="00A710A5">
        <w:t xml:space="preserve">significant </w:t>
      </w:r>
      <w:r>
        <w:t>pathways for interconnectivity between coal seam formations and aquifers</w:t>
      </w:r>
      <w:r w:rsidRPr="00A710A5">
        <w:t xml:space="preserve">, </w:t>
      </w:r>
      <w:r>
        <w:t>mainly</w:t>
      </w:r>
      <w:r w:rsidRPr="00A710A5">
        <w:t xml:space="preserve"> due to their abundance and possible lack of appropriate decommissioning, both of which </w:t>
      </w:r>
      <w:r w:rsidR="002D4D74">
        <w:t>are</w:t>
      </w:r>
      <w:r w:rsidRPr="00A710A5">
        <w:t xml:space="preserve"> at this stage unquantified</w:t>
      </w:r>
      <w:r w:rsidR="00691301">
        <w:t xml:space="preserve"> (Wu et al. 2016)</w:t>
      </w:r>
      <w:r w:rsidRPr="00A710A5">
        <w:t>. It has been estimated some 30</w:t>
      </w:r>
      <w:r>
        <w:t>,</w:t>
      </w:r>
      <w:r w:rsidRPr="00A710A5">
        <w:t xml:space="preserve">000 coal exploration </w:t>
      </w:r>
      <w:r>
        <w:t>bores</w:t>
      </w:r>
      <w:r w:rsidRPr="00A710A5">
        <w:t xml:space="preserve"> have been drilled in the Surat Basin, with a</w:t>
      </w:r>
      <w:r>
        <w:t>nother</w:t>
      </w:r>
      <w:r w:rsidRPr="00A710A5">
        <w:t xml:space="preserve"> 100</w:t>
      </w:r>
      <w:r>
        <w:t>,</w:t>
      </w:r>
      <w:r w:rsidRPr="00A710A5">
        <w:t>000 in the Bowen Basin (Free 2013, pers. comm., 28 February</w:t>
      </w:r>
      <w:r>
        <w:t xml:space="preserve"> 2014</w:t>
      </w:r>
      <w:r w:rsidRPr="00A710A5">
        <w:t>). It is unknown however how many of the</w:t>
      </w:r>
      <w:r>
        <w:t>se</w:t>
      </w:r>
      <w:r w:rsidRPr="00A710A5">
        <w:t xml:space="preserve"> bores were decommissioned or, if they were decommissioned, the standard of the decommissioning work</w:t>
      </w:r>
      <w:r>
        <w:t xml:space="preserve"> (</w:t>
      </w:r>
      <w:r w:rsidRPr="00525B44">
        <w:t>Commonwealth of Australia 2014a</w:t>
      </w:r>
      <w:r>
        <w:t>)</w:t>
      </w:r>
      <w:r w:rsidRPr="00A710A5">
        <w:t>.</w:t>
      </w:r>
    </w:p>
    <w:p w14:paraId="767BADDF" w14:textId="77777777" w:rsidR="00534F68" w:rsidRPr="00E6110F" w:rsidRDefault="00534F68" w:rsidP="004A31D0">
      <w:pPr>
        <w:pStyle w:val="Body"/>
      </w:pPr>
    </w:p>
    <w:p w14:paraId="0A66FB53" w14:textId="3B9FB021" w:rsidR="007C3A2D" w:rsidRPr="00E6110F" w:rsidRDefault="007C3A2D" w:rsidP="007C3A2D">
      <w:pPr>
        <w:pStyle w:val="Body"/>
      </w:pPr>
      <w:r w:rsidRPr="00E6110F">
        <w:rPr>
          <w:b/>
          <w:i/>
        </w:rPr>
        <w:t>G</w:t>
      </w:r>
      <w:r w:rsidR="00222937">
        <w:rPr>
          <w:b/>
          <w:i/>
        </w:rPr>
        <w:t>as blowouts in Surat and Bowen B</w:t>
      </w:r>
      <w:r w:rsidRPr="00E6110F">
        <w:rPr>
          <w:b/>
          <w:i/>
        </w:rPr>
        <w:t>asins, Queensland</w:t>
      </w:r>
    </w:p>
    <w:p w14:paraId="74714E88" w14:textId="56B585DB" w:rsidR="007C3A2D" w:rsidRPr="00E6110F" w:rsidRDefault="00534F68" w:rsidP="007C3A2D">
      <w:pPr>
        <w:pStyle w:val="Body"/>
      </w:pPr>
      <w:r w:rsidRPr="00E6110F">
        <w:t xml:space="preserve">A review of gas blowouts in the Surat and Bowen basins, Queensland, has been provided by Wu et al. (2016). </w:t>
      </w:r>
      <w:r w:rsidR="007C3A2D" w:rsidRPr="00E6110F">
        <w:t>The blowout from a CSG well in the Daandine field (Surat Basin, South West Queensland) is a recent example of gas blowout widely reported in the media and well documented by DNRM (2011). This time</w:t>
      </w:r>
      <w:r w:rsidR="00146CF1">
        <w:t>,</w:t>
      </w:r>
      <w:r w:rsidR="007C3A2D" w:rsidRPr="00E6110F">
        <w:t xml:space="preserve"> the blowout was from a CSG well that had been drilled (but suspended) in 2009 with well completion being undertaken in 2011. The well was capped after drilling and the blowout occurred when the well was being prepared for installation of a pump for production. After initial checks, the well was uncapped in order to install the pump. Before this could occur, water and gas began to flow to surface with increasing intensity. The blowout lasted for more than a day and spew methane and water up to 15 metres high before the well was secured by using heavy drilling mud. It appeared that the water level in the well had dropped to a point such that the pressure in the coal seam allowed the gas to desorb and flew into the well. It was reported that the owner of the well actually pumped some water into the well prior to uncapping it. It was not known if a blowout preventer was installed on the well, as this is a mandatory requirement by the Code of Practice for Constructing and Abandoning</w:t>
      </w:r>
      <w:r w:rsidR="003D0A77">
        <w:t xml:space="preserve"> Coal Seam Gas Wells (DNRM 2013</w:t>
      </w:r>
      <w:r w:rsidR="007C3A2D" w:rsidRPr="00E6110F">
        <w:t>). This scenario is similar to a gas kick in conventional oil and gas well drilling. The gas in the well would need to be circulated out of the well under a controlled way.</w:t>
      </w:r>
    </w:p>
    <w:p w14:paraId="39DEA82D" w14:textId="4C3E800E" w:rsidR="007C3A2D" w:rsidRPr="00E6110F" w:rsidRDefault="007C3A2D" w:rsidP="007C3A2D">
      <w:pPr>
        <w:pStyle w:val="Body"/>
      </w:pPr>
      <w:r w:rsidRPr="00E6110F">
        <w:t>While gas blowouts are some of the more spectacular examples of CSG well failure, they are very rare. While there have been 6</w:t>
      </w:r>
      <w:r w:rsidR="002E3FBE">
        <w:t>,</w:t>
      </w:r>
      <w:r w:rsidRPr="00E6110F">
        <w:t>734 CSG exploration, appraisal and production wells drilled in Queensland from 2010 to March 2015, the blowout in the Daandine field is the only reported case in Queensland for the same period. In New South Wales, one blowout was recorded in 2011 (Parliament of New South Wales 2011). Finally, CSG operators are required to install blowout preventers to CSG well heads to prevent the uncontrolled release of water and gas from a well (NSW Petroleu</w:t>
      </w:r>
      <w:r w:rsidR="003D0A77">
        <w:t>m (onshore) Act 1991; DNRM 2013</w:t>
      </w:r>
      <w:r w:rsidRPr="00E6110F">
        <w:t>).</w:t>
      </w:r>
    </w:p>
    <w:p w14:paraId="7A535F34" w14:textId="77777777" w:rsidR="00B7204D" w:rsidRPr="00E6110F" w:rsidRDefault="00B7204D" w:rsidP="007C3A2D">
      <w:pPr>
        <w:pStyle w:val="Body"/>
      </w:pPr>
    </w:p>
    <w:p w14:paraId="7D09BD0B" w14:textId="79A64288" w:rsidR="00B7204D" w:rsidRPr="00E6110F" w:rsidRDefault="00B7204D" w:rsidP="007C3A2D">
      <w:pPr>
        <w:pStyle w:val="Body"/>
      </w:pPr>
      <w:r w:rsidRPr="00E6110F">
        <w:rPr>
          <w:b/>
          <w:i/>
        </w:rPr>
        <w:t>Casing failure induced by hydraulic fracturing</w:t>
      </w:r>
    </w:p>
    <w:p w14:paraId="57C8B5CC" w14:textId="49897B92" w:rsidR="00FA5DB9" w:rsidRPr="00E6110F" w:rsidRDefault="00FA5DB9" w:rsidP="00FA5DB9">
      <w:pPr>
        <w:pStyle w:val="Body"/>
      </w:pPr>
      <w:r w:rsidRPr="00E6110F">
        <w:t>High pressures associated with hydraulic fracturing operations can damage the casing and lead to breach of the inter-aquifer seal. The casing string through which fracturing fluids are pumped is subject to higher pressures during fracturing operations than during other phases in the life of a production well. To withstand the stresses created by the high pressure of hydraulic fracturing, the well and its components must have adequate strength and elasticity. If the casing is not strong enough to withstand these stresses, a casing failure may result. If undetected or not repaired, casing failures will serve as pathways for fracturing fluids to leak out of the casing</w:t>
      </w:r>
      <w:r w:rsidR="00691301">
        <w:t xml:space="preserve"> (Wu et al. 2016)</w:t>
      </w:r>
      <w:r w:rsidRPr="00E6110F">
        <w:t xml:space="preserve">. </w:t>
      </w:r>
    </w:p>
    <w:p w14:paraId="5A759B36" w14:textId="49821193" w:rsidR="007C3A2D" w:rsidRPr="00E6110F" w:rsidRDefault="007C3A2D" w:rsidP="007C3A2D">
      <w:pPr>
        <w:pStyle w:val="Body"/>
      </w:pPr>
      <w:r w:rsidRPr="00E6110F">
        <w:t xml:space="preserve">A casing collapse was experienced when a rapid depressurisation of a wellbore occurred while completing a CSG well in Scotia field, Queensland (Johnson et al. 2002). This was immediately following a hydraulic fracturing operation to stimulate the coal seams. The field is known to have a highly deviatoric in-situ stress field, i.e., the difference is large between the maximum and minimum principal in-situ stress magnitudes. It was observed the BHTP (bottom hole treating pressure) was high, indicating the fractures created in the coal seam was complex. It was believed that during the treatment, any shear and conjugate shear sets of fractures within the coal seams were dilated and propped open by the treatment inducing quite large deformation in the coal. The rapid reduction in wellbore pressure resulted in parting of the casing and downhole assembly. </w:t>
      </w:r>
    </w:p>
    <w:p w14:paraId="50DF2EC8" w14:textId="77777777" w:rsidR="00BB0FFF" w:rsidRPr="00E6110F" w:rsidRDefault="00BB0FFF" w:rsidP="007C3A2D">
      <w:pPr>
        <w:pStyle w:val="Body"/>
      </w:pPr>
    </w:p>
    <w:p w14:paraId="78E81CB8" w14:textId="54C5CB5B" w:rsidR="00565EF6" w:rsidRPr="00E6110F" w:rsidRDefault="00565EF6" w:rsidP="004A31D0">
      <w:pPr>
        <w:pStyle w:val="Body"/>
        <w:rPr>
          <w:b/>
          <w:i/>
        </w:rPr>
      </w:pPr>
      <w:r w:rsidRPr="00E6110F">
        <w:rPr>
          <w:b/>
          <w:i/>
        </w:rPr>
        <w:t xml:space="preserve">Fugitive </w:t>
      </w:r>
      <w:r w:rsidR="004D6DDB" w:rsidRPr="00E6110F">
        <w:rPr>
          <w:b/>
          <w:i/>
        </w:rPr>
        <w:t xml:space="preserve">emissions from CSG equipment and well casings  </w:t>
      </w:r>
    </w:p>
    <w:p w14:paraId="2C28B1E4" w14:textId="077EF540" w:rsidR="004D6DDB" w:rsidRPr="00E6110F" w:rsidRDefault="004D6DDB" w:rsidP="004D6DDB">
      <w:pPr>
        <w:pStyle w:val="Body"/>
      </w:pPr>
      <w:r w:rsidRPr="00E6110F">
        <w:t>Recent reports from the US have suggested that fugitive emissions from unconventional gas production, especially shale and tight gas, are much higher than previously estimated. However, because of significant differences in production methods and other factors, it is unlikely that emission estimates from US shale and tight gas production are indicative of emissions from Australian CSG operations. To provide quantitative information on emissions from CSG operations, CSIRO and the federal Department of the Environment initiated a project to measure emissions from a range of production wells in Queensland and NSW</w:t>
      </w:r>
      <w:r w:rsidR="00CE5927" w:rsidRPr="00E6110F">
        <w:t xml:space="preserve"> (Day et al. 2014)</w:t>
      </w:r>
      <w:r w:rsidRPr="00E6110F">
        <w:t>.</w:t>
      </w:r>
    </w:p>
    <w:p w14:paraId="3EB5CFB9" w14:textId="6419FBF4" w:rsidR="0030007F" w:rsidRPr="00E6110F" w:rsidRDefault="004D6DDB" w:rsidP="0030007F">
      <w:pPr>
        <w:pStyle w:val="Body"/>
      </w:pPr>
      <w:r w:rsidRPr="00E6110F">
        <w:t xml:space="preserve">Methane emissions were measured at 43 CSG wells – six in NSW and 37 in Queensland (Day et al. 2014). Measurements were made by downwind traverses of well pads using a vehicle fitted with a methane analyser to determine total emissions from each pad. In addition, a series of measurements were made on each pad to locate sources and quantify emission rates. Of the 43 wells examined, only three showed no emissions. The remainder had some level of emission but generally the emission rates were very low, </w:t>
      </w:r>
      <w:r w:rsidR="00E15672" w:rsidRPr="00E6110F">
        <w:t>and much lower than those reported for US unconventional gas production</w:t>
      </w:r>
      <w:r w:rsidR="002D4D74">
        <w:t xml:space="preserve"> (</w:t>
      </w:r>
      <w:r w:rsidR="00FB0F0F">
        <w:t>Allen et al. 2013</w:t>
      </w:r>
      <w:r w:rsidR="002D4D74">
        <w:t>)</w:t>
      </w:r>
      <w:r w:rsidRPr="00E6110F">
        <w:t>. The principal methane emission sources were found to be venting and operation of gas-powered pneumatic devices, equipment leaks and exhaust from gas-fuelled engines used to power water pumps.</w:t>
      </w:r>
      <w:r w:rsidR="00EC3DD6" w:rsidRPr="00E6110F">
        <w:t xml:space="preserve"> Several of the larger equipment leaks were found at seals on water pump shafts on some wells. Once identified, well maintenance staff were able to repair some of these leaks on site, which effectively eliminated methane emissions.</w:t>
      </w:r>
      <w:r w:rsidR="0030007F" w:rsidRPr="00E6110F">
        <w:t xml:space="preserve"> During the field measurements, no evidence of leakage of methane around the outside of well casings was found at any of the sampled wells.</w:t>
      </w:r>
      <w:r w:rsidR="00EA71A0">
        <w:t xml:space="preserve"> </w:t>
      </w:r>
      <w:r w:rsidR="00EA71A0">
        <w:rPr>
          <w:lang w:val="en-AU"/>
        </w:rPr>
        <w:t>This reporting is consistent with surface well head leaks reported</w:t>
      </w:r>
      <w:r w:rsidR="00D3251E">
        <w:rPr>
          <w:lang w:val="en-AU"/>
        </w:rPr>
        <w:t xml:space="preserve"> </w:t>
      </w:r>
      <w:r w:rsidR="00EA71A0">
        <w:rPr>
          <w:lang w:val="en-AU"/>
        </w:rPr>
        <w:t>by</w:t>
      </w:r>
      <w:r w:rsidR="002D4D74">
        <w:rPr>
          <w:lang w:val="en-AU"/>
        </w:rPr>
        <w:t xml:space="preserve"> </w:t>
      </w:r>
      <w:r w:rsidR="00FB0F0F">
        <w:rPr>
          <w:lang w:val="en-AU"/>
        </w:rPr>
        <w:t xml:space="preserve">the GasFields Commission </w:t>
      </w:r>
      <w:r w:rsidR="00B070A0">
        <w:rPr>
          <w:lang w:val="en-AU"/>
        </w:rPr>
        <w:t xml:space="preserve">Queensland </w:t>
      </w:r>
      <w:r w:rsidR="00FB0F0F">
        <w:rPr>
          <w:lang w:val="en-AU"/>
        </w:rPr>
        <w:t>(2015)</w:t>
      </w:r>
      <w:r w:rsidR="00EA71A0">
        <w:rPr>
          <w:lang w:val="en-AU"/>
        </w:rPr>
        <w:t xml:space="preserve">. </w:t>
      </w:r>
    </w:p>
    <w:p w14:paraId="1480B0ED" w14:textId="6BC5F5F1" w:rsidR="004F4E93" w:rsidRPr="00E6110F" w:rsidRDefault="004F4E93" w:rsidP="004F4E93">
      <w:pPr>
        <w:pStyle w:val="Body"/>
      </w:pPr>
      <w:r w:rsidRPr="00E6110F">
        <w:t>Day et al. (2014) emphasi</w:t>
      </w:r>
      <w:r w:rsidR="00146CF1">
        <w:t>s</w:t>
      </w:r>
      <w:r w:rsidRPr="00E6110F">
        <w:t xml:space="preserve">e the small sample examined during their study; therefore </w:t>
      </w:r>
      <w:r w:rsidR="0005717A">
        <w:t>the failure rate of 93%</w:t>
      </w:r>
      <w:r w:rsidRPr="00E6110F">
        <w:t xml:space="preserve"> </w:t>
      </w:r>
      <w:r w:rsidR="005351D1">
        <w:t xml:space="preserve">(based on well pad gas emissions) </w:t>
      </w:r>
      <w:r w:rsidRPr="00E6110F">
        <w:t>may not be truly representative of the total well population. They further highlight that emissions may vary over time, for instance due to repair and maintenance activities. To fully characterise emissions, a larger sample size would be required and measurements would need to be made over an extended period to determine temporal variation.</w:t>
      </w:r>
      <w:r w:rsidR="00D3251E">
        <w:t xml:space="preserve"> </w:t>
      </w:r>
      <w:r w:rsidR="005402ED">
        <w:t>Based on a much larger well population of 6</w:t>
      </w:r>
      <w:r w:rsidR="00222937">
        <w:t>,</w:t>
      </w:r>
      <w:r w:rsidR="005402ED">
        <w:t xml:space="preserve">734 CSG wells (exploration, appraisal and production), </w:t>
      </w:r>
      <w:r w:rsidR="002223A0">
        <w:rPr>
          <w:lang w:val="en-AU"/>
        </w:rPr>
        <w:t xml:space="preserve">the GasFields Commission </w:t>
      </w:r>
      <w:r w:rsidR="002223A0" w:rsidRPr="00E6110F">
        <w:t xml:space="preserve">Queensland </w:t>
      </w:r>
      <w:r w:rsidR="002223A0">
        <w:t>(</w:t>
      </w:r>
      <w:r w:rsidR="002223A0" w:rsidRPr="00E6110F">
        <w:t>2015</w:t>
      </w:r>
      <w:r w:rsidR="002223A0">
        <w:rPr>
          <w:lang w:val="en-AU"/>
        </w:rPr>
        <w:t xml:space="preserve">) identified 199 surface well head leaks, or a rate of </w:t>
      </w:r>
      <w:r w:rsidR="0005717A">
        <w:rPr>
          <w:lang w:val="en-AU"/>
        </w:rPr>
        <w:t xml:space="preserve">2.9 </w:t>
      </w:r>
      <w:r w:rsidR="002223A0">
        <w:rPr>
          <w:lang w:val="en-AU"/>
        </w:rPr>
        <w:t>%.</w:t>
      </w:r>
      <w:r w:rsidR="005402ED">
        <w:t xml:space="preserve"> </w:t>
      </w:r>
    </w:p>
    <w:p w14:paraId="43CA7B7D" w14:textId="77777777" w:rsidR="00EA5B19" w:rsidRPr="00E6110F" w:rsidRDefault="00EA5B19" w:rsidP="004F4E93">
      <w:pPr>
        <w:pStyle w:val="Body"/>
      </w:pPr>
    </w:p>
    <w:p w14:paraId="09AD2F37" w14:textId="77777777" w:rsidR="00EA5B19" w:rsidRPr="00E6110F" w:rsidRDefault="00EA5B19" w:rsidP="00E15672">
      <w:pPr>
        <w:pStyle w:val="Body"/>
        <w:rPr>
          <w:b/>
          <w:i/>
        </w:rPr>
      </w:pPr>
      <w:r w:rsidRPr="00E6110F">
        <w:rPr>
          <w:b/>
          <w:i/>
        </w:rPr>
        <w:t xml:space="preserve">Migration of fluids and gases through subsurface geologic formations into a drinking water resource </w:t>
      </w:r>
    </w:p>
    <w:p w14:paraId="44918CC4" w14:textId="4BAA8652" w:rsidR="00C65F91" w:rsidRPr="00E6110F" w:rsidRDefault="00EA5B19" w:rsidP="00EA5B19">
      <w:pPr>
        <w:pStyle w:val="Body"/>
      </w:pPr>
      <w:r w:rsidRPr="00E6110F">
        <w:t xml:space="preserve">While many of the US based studies focus on potential pathways through faults and fractures, there is much less focus on pathways created by hydraulic fracturing that could allow contaminated fluids to migrate into water bores co-located in the same formation as the gas well. This is not a surprise as the shale gas formations have much higher salinity than the Australian CSG coal target formations, and are therefore not readily suitable for </w:t>
      </w:r>
      <w:r w:rsidR="005170B4">
        <w:t xml:space="preserve">stock, irrigation or </w:t>
      </w:r>
      <w:r w:rsidRPr="00E6110F">
        <w:t>drinking water production. In Australia, however, the Walloon Coal Measured in the Surat Basin and the Banda</w:t>
      </w:r>
      <w:r w:rsidR="002B6A2D">
        <w:t>n</w:t>
      </w:r>
      <w:r w:rsidRPr="00E6110F">
        <w:t>na formation in the Bowen Basin ha</w:t>
      </w:r>
      <w:r w:rsidR="00B070A0">
        <w:t>ve</w:t>
      </w:r>
      <w:r w:rsidRPr="00E6110F">
        <w:t xml:space="preserve"> a significant number of water bores co-located with CSG wells</w:t>
      </w:r>
      <w:r w:rsidR="00644E69" w:rsidRPr="00E6110F">
        <w:t xml:space="preserve"> (N</w:t>
      </w:r>
      <w:r w:rsidR="00D51C27" w:rsidRPr="00E6110F">
        <w:t>avi et al. 2015)</w:t>
      </w:r>
      <w:r w:rsidRPr="00E6110F">
        <w:t xml:space="preserve">. For example, </w:t>
      </w:r>
      <w:r w:rsidR="00691301">
        <w:t xml:space="preserve">with </w:t>
      </w:r>
      <w:r w:rsidR="00691301" w:rsidRPr="00691301">
        <w:t>1</w:t>
      </w:r>
      <w:r w:rsidR="00691301">
        <w:t>,</w:t>
      </w:r>
      <w:r w:rsidR="00691301" w:rsidRPr="00691301">
        <w:t>647 groundwater bores</w:t>
      </w:r>
      <w:r w:rsidR="00691301">
        <w:t>,</w:t>
      </w:r>
      <w:r w:rsidR="00691301" w:rsidRPr="00E6110F">
        <w:t xml:space="preserve"> </w:t>
      </w:r>
      <w:r w:rsidRPr="00E6110F">
        <w:t xml:space="preserve">the Walloon Coal Measures is the source of water </w:t>
      </w:r>
      <w:r w:rsidR="00691301" w:rsidRPr="00691301">
        <w:t>for stock, domestic, industrial and urban purposes (OGIA 2016)</w:t>
      </w:r>
      <w:r w:rsidRPr="00E6110F">
        <w:t>. Likewise,</w:t>
      </w:r>
      <w:r w:rsidR="005170B4">
        <w:t xml:space="preserve"> </w:t>
      </w:r>
      <w:r w:rsidR="00691301">
        <w:t>in t</w:t>
      </w:r>
      <w:r w:rsidRPr="00E6110F">
        <w:t xml:space="preserve">he Bandanna Formation </w:t>
      </w:r>
      <w:r w:rsidR="00691301" w:rsidRPr="00691301">
        <w:t>there a further 103 groundwater bores (OGIA 2013)</w:t>
      </w:r>
      <w:r w:rsidRPr="00E6110F">
        <w:t xml:space="preserve">. </w:t>
      </w:r>
      <w:r w:rsidR="002D63A5" w:rsidRPr="00E6110F">
        <w:t xml:space="preserve">As can be seen in </w:t>
      </w:r>
      <w:r w:rsidR="002D63A5" w:rsidRPr="00E6110F">
        <w:fldChar w:fldCharType="begin" w:fldLock="1"/>
      </w:r>
      <w:r w:rsidR="002D63A5" w:rsidRPr="00E6110F">
        <w:instrText xml:space="preserve"> REF _Ref448249821 \h </w:instrText>
      </w:r>
      <w:r w:rsidR="00E6110F">
        <w:instrText xml:space="preserve"> \* MERGEFORMAT </w:instrText>
      </w:r>
      <w:r w:rsidR="002D63A5" w:rsidRPr="00E6110F">
        <w:fldChar w:fldCharType="separate"/>
      </w:r>
      <w:r w:rsidR="00335E79" w:rsidRPr="00E6110F">
        <w:t xml:space="preserve">Figure </w:t>
      </w:r>
      <w:r w:rsidR="00335E79">
        <w:rPr>
          <w:noProof/>
        </w:rPr>
        <w:t>2</w:t>
      </w:r>
      <w:r w:rsidR="00335E79">
        <w:rPr>
          <w:noProof/>
        </w:rPr>
        <w:noBreakHyphen/>
        <w:t>11</w:t>
      </w:r>
      <w:r w:rsidR="002D63A5" w:rsidRPr="00E6110F">
        <w:fldChar w:fldCharType="end"/>
      </w:r>
      <w:r w:rsidR="002D63A5" w:rsidRPr="00E6110F">
        <w:t xml:space="preserve">, several of such water bores are in </w:t>
      </w:r>
      <w:r w:rsidR="00C65F91" w:rsidRPr="00E6110F">
        <w:t xml:space="preserve">relatively </w:t>
      </w:r>
      <w:r w:rsidR="002D63A5" w:rsidRPr="00E6110F">
        <w:t>close proximity to CSG wells</w:t>
      </w:r>
      <w:r w:rsidR="00C65F91" w:rsidRPr="00E6110F">
        <w:t xml:space="preserve">. </w:t>
      </w:r>
    </w:p>
    <w:p w14:paraId="2187D0F1" w14:textId="7B023590" w:rsidR="00EA5B19" w:rsidRDefault="00D51C27" w:rsidP="00EA5B19">
      <w:pPr>
        <w:pStyle w:val="Body"/>
      </w:pPr>
      <w:r w:rsidRPr="00E6110F">
        <w:t xml:space="preserve">Other </w:t>
      </w:r>
      <w:r w:rsidR="002C382B" w:rsidRPr="00E6110F">
        <w:t xml:space="preserve">– natural – </w:t>
      </w:r>
      <w:r w:rsidRPr="00E6110F">
        <w:t xml:space="preserve">pathways for fluid migration may exist where the coal target formation discharges into springs or alluvial aquifers. For instance, the Condamine Alluvium is hydraulically </w:t>
      </w:r>
      <w:r w:rsidR="002D63A5" w:rsidRPr="00E6110F">
        <w:t>connect</w:t>
      </w:r>
      <w:r w:rsidRPr="00E6110F">
        <w:t>ed to the Walloon Coal Measures with hydraulic gradients pointing from the coal f</w:t>
      </w:r>
      <w:r w:rsidR="00644E69" w:rsidRPr="00E6110F">
        <w:t>ormation towards the alluvium (N</w:t>
      </w:r>
      <w:r w:rsidRPr="00E6110F">
        <w:t xml:space="preserve">avi et al. 2015). </w:t>
      </w:r>
    </w:p>
    <w:p w14:paraId="67EFDA9E" w14:textId="77777777" w:rsidR="00AC04E6" w:rsidRDefault="00691301" w:rsidP="00EA5B19">
      <w:pPr>
        <w:pStyle w:val="Body"/>
      </w:pPr>
      <w:r>
        <w:t xml:space="preserve">Wu et al. (2016) developed several </w:t>
      </w:r>
      <w:r w:rsidRPr="000811A9">
        <w:t>conceptualisation</w:t>
      </w:r>
      <w:r>
        <w:t>s</w:t>
      </w:r>
      <w:r w:rsidRPr="000811A9">
        <w:t xml:space="preserve"> of preferential flow pathways for use in local-scale and regional-scale groundwater modelling. Major pathways for movement of groundwater between strata have been identified and have been linked to failure of:</w:t>
      </w:r>
    </w:p>
    <w:p w14:paraId="163CB3B5" w14:textId="235098E2" w:rsidR="00AC04E6" w:rsidRDefault="00691301" w:rsidP="00943534">
      <w:pPr>
        <w:pStyle w:val="Body"/>
        <w:numPr>
          <w:ilvl w:val="0"/>
          <w:numId w:val="79"/>
        </w:numPr>
      </w:pPr>
      <w:r w:rsidRPr="000811A9">
        <w:t xml:space="preserve">uncased exploration bores backfilled with rock material upon decommissioning, </w:t>
      </w:r>
    </w:p>
    <w:p w14:paraId="78065C51" w14:textId="6605E909" w:rsidR="00AC04E6" w:rsidRDefault="00691301" w:rsidP="00943534">
      <w:pPr>
        <w:pStyle w:val="Body"/>
        <w:numPr>
          <w:ilvl w:val="0"/>
          <w:numId w:val="79"/>
        </w:numPr>
      </w:pPr>
      <w:r w:rsidRPr="000811A9">
        <w:t xml:space="preserve">cemented production wells plugged with cement cores upon decommissioning, </w:t>
      </w:r>
    </w:p>
    <w:p w14:paraId="68307F95" w14:textId="229A8DA7" w:rsidR="00AC04E6" w:rsidRDefault="00691301" w:rsidP="00943534">
      <w:pPr>
        <w:pStyle w:val="Body"/>
        <w:numPr>
          <w:ilvl w:val="0"/>
          <w:numId w:val="79"/>
        </w:numPr>
      </w:pPr>
      <w:r w:rsidRPr="000811A9">
        <w:t xml:space="preserve">wellbores during hydraulic fracturing,  </w:t>
      </w:r>
    </w:p>
    <w:p w14:paraId="111E567D" w14:textId="5D5B5EF0" w:rsidR="00AC04E6" w:rsidRDefault="00691301" w:rsidP="00943534">
      <w:pPr>
        <w:pStyle w:val="Body"/>
        <w:numPr>
          <w:ilvl w:val="0"/>
          <w:numId w:val="79"/>
        </w:numPr>
      </w:pPr>
      <w:proofErr w:type="gramStart"/>
      <w:r w:rsidRPr="000811A9">
        <w:t>oil</w:t>
      </w:r>
      <w:proofErr w:type="gramEnd"/>
      <w:r w:rsidRPr="000811A9">
        <w:t xml:space="preserve"> and gas wells repurposed for water extraction and water bores in which casing has corroded and/or there is no cementing of the annulus. </w:t>
      </w:r>
    </w:p>
    <w:p w14:paraId="38E342EB" w14:textId="53E8A28B" w:rsidR="00B97982" w:rsidRPr="00E6110F" w:rsidRDefault="00691301" w:rsidP="00AC04E6">
      <w:pPr>
        <w:pStyle w:val="Body"/>
      </w:pPr>
      <w:r>
        <w:t>These conceptualisation</w:t>
      </w:r>
      <w:r w:rsidR="00B070A0">
        <w:t>s</w:t>
      </w:r>
      <w:r>
        <w:t xml:space="preserve"> were subsequently used in a simulation study </w:t>
      </w:r>
      <w:r w:rsidR="00B070A0">
        <w:t xml:space="preserve">to </w:t>
      </w:r>
      <w:r>
        <w:t>explor</w:t>
      </w:r>
      <w:r w:rsidR="00B070A0">
        <w:t>e</w:t>
      </w:r>
      <w:r>
        <w:t xml:space="preserve"> under which circumstances, if any, such preferential flow </w:t>
      </w:r>
      <w:r w:rsidR="00B070A0">
        <w:t xml:space="preserve">would </w:t>
      </w:r>
      <w:r>
        <w:t>cause significant impact on the groundwater water balance (Doble et al. 2016).</w:t>
      </w:r>
    </w:p>
    <w:p w14:paraId="5F32E49C" w14:textId="77777777" w:rsidR="002D63A5" w:rsidRPr="00E6110F" w:rsidRDefault="002D63A5" w:rsidP="002D63A5">
      <w:pPr>
        <w:adjustRightInd w:val="0"/>
        <w:spacing w:after="0"/>
        <w:rPr>
          <w:rFonts w:eastAsia="ArialMT" w:cs="Arial"/>
          <w:lang w:val="en-AU"/>
        </w:rPr>
      </w:pPr>
      <w:r w:rsidRPr="00E6110F">
        <w:rPr>
          <w:noProof/>
          <w:lang w:val="en-AU" w:eastAsia="en-AU"/>
        </w:rPr>
        <w:drawing>
          <wp:inline distT="0" distB="0" distL="0" distR="0" wp14:anchorId="5E6E504A" wp14:editId="6EF279DC">
            <wp:extent cx="5755640" cy="5704205"/>
            <wp:effectExtent l="0" t="0" r="0" b="0"/>
            <wp:docPr id="539" name="Picture 539" descr="Map of CSG wells and groundwater bores in an area near Roma, Queensland." title="Fig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5755640" cy="5704205"/>
                    </a:xfrm>
                    <a:prstGeom prst="rect">
                      <a:avLst/>
                    </a:prstGeom>
                  </pic:spPr>
                </pic:pic>
              </a:graphicData>
            </a:graphic>
          </wp:inline>
        </w:drawing>
      </w:r>
    </w:p>
    <w:p w14:paraId="3E790ED0" w14:textId="77777777" w:rsidR="002D63A5" w:rsidRPr="00E6110F" w:rsidRDefault="002D63A5" w:rsidP="002D63A5">
      <w:pPr>
        <w:adjustRightInd w:val="0"/>
        <w:spacing w:after="0"/>
        <w:rPr>
          <w:rFonts w:eastAsia="ArialMT" w:cs="Arial"/>
          <w:lang w:val="en-AU"/>
        </w:rPr>
      </w:pPr>
    </w:p>
    <w:p w14:paraId="453A08BF" w14:textId="65E938EE" w:rsidR="002D63A5" w:rsidRPr="00E6110F" w:rsidRDefault="002D63A5" w:rsidP="002D63A5">
      <w:pPr>
        <w:pStyle w:val="Imagecaption"/>
      </w:pPr>
      <w:bookmarkStart w:id="49" w:name="_Ref448249821"/>
      <w:bookmarkStart w:id="50" w:name="_Ref428024557"/>
      <w:bookmarkStart w:id="51" w:name="_Toc433992863"/>
      <w:bookmarkStart w:id="52" w:name="_Toc448486833"/>
      <w:bookmarkStart w:id="53" w:name="_Toc477347543"/>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11</w:t>
      </w:r>
      <w:r w:rsidR="00254026">
        <w:fldChar w:fldCharType="end"/>
      </w:r>
      <w:bookmarkEnd w:id="49"/>
      <w:bookmarkEnd w:id="50"/>
      <w:r w:rsidRPr="00E6110F">
        <w:t>. Locations of CSG wells (blue dots), groundwater bores not screened in the Walloon Coal Measures (white dots) and water bores screened in the Walloon Coal Measures (red dots) in a CSG field, North East Roma, Queensland. The width of the image is approximately 86 KM. Data obtained from Queensland Government database (</w:t>
      </w:r>
      <w:hyperlink r:id="rId38" w:history="1">
        <w:r w:rsidRPr="00E6110F">
          <w:t>http://qldspatial.information.qld.gov.au/catalogue/custom/search.page?q=%22Coal%20seam%20gas%20well%20locations%20-%20Queensland%22</w:t>
        </w:r>
      </w:hyperlink>
      <w:r w:rsidRPr="00E6110F">
        <w:t>). Accessed in August 2015.</w:t>
      </w:r>
      <w:bookmarkEnd w:id="51"/>
      <w:bookmarkEnd w:id="52"/>
      <w:bookmarkEnd w:id="53"/>
    </w:p>
    <w:p w14:paraId="50AC9D12" w14:textId="330DE82E" w:rsidR="000C3A73" w:rsidRPr="00E6110F" w:rsidRDefault="000C3A73" w:rsidP="00EA5B19">
      <w:pPr>
        <w:pStyle w:val="Body"/>
      </w:pPr>
      <w:r w:rsidRPr="00E6110F">
        <w:br w:type="page"/>
      </w:r>
    </w:p>
    <w:p w14:paraId="0D41EEC9" w14:textId="77777777" w:rsidR="00307CE9" w:rsidRPr="00E6110F" w:rsidRDefault="00307CE9" w:rsidP="00307CE9">
      <w:pPr>
        <w:pStyle w:val="Heading3"/>
      </w:pPr>
      <w:bookmarkStart w:id="54" w:name="_Ref458871542"/>
      <w:bookmarkStart w:id="55" w:name="_Toc494444481"/>
      <w:r w:rsidRPr="00E6110F">
        <w:t>Hazard screening approaches</w:t>
      </w:r>
      <w:bookmarkEnd w:id="54"/>
      <w:bookmarkEnd w:id="55"/>
    </w:p>
    <w:p w14:paraId="35724101" w14:textId="77777777" w:rsidR="00307CE9" w:rsidRPr="00E6110F" w:rsidRDefault="00307CE9" w:rsidP="00307CE9">
      <w:pPr>
        <w:pStyle w:val="Body"/>
        <w:rPr>
          <w:b/>
          <w:i/>
        </w:rPr>
      </w:pPr>
      <w:r w:rsidRPr="00E6110F">
        <w:rPr>
          <w:b/>
          <w:i/>
        </w:rPr>
        <w:t>DMP 2013</w:t>
      </w:r>
    </w:p>
    <w:p w14:paraId="7B348EBD" w14:textId="77777777" w:rsidR="00307CE9" w:rsidRPr="00E6110F" w:rsidRDefault="00307CE9" w:rsidP="00307CE9">
      <w:pPr>
        <w:pStyle w:val="Body"/>
        <w:rPr>
          <w:rFonts w:cs="HelveticaNeue Condensed"/>
        </w:rPr>
      </w:pPr>
      <w:r w:rsidRPr="00E6110F">
        <w:rPr>
          <w:rFonts w:cs="HelveticaNeue Condensed"/>
        </w:rPr>
        <w:t>Hazard identification of products and chemicals is the first step in the risk identification process. The Department of Mines and Petroleum of Western Australia (DMP 2013) considers a product, chemical or substance to be a hazard if:</w:t>
      </w:r>
    </w:p>
    <w:p w14:paraId="2A54DE86" w14:textId="77777777" w:rsidR="00307CE9" w:rsidRPr="00E6110F" w:rsidRDefault="00307CE9" w:rsidP="00C117A3">
      <w:pPr>
        <w:pStyle w:val="Body"/>
        <w:numPr>
          <w:ilvl w:val="0"/>
          <w:numId w:val="32"/>
        </w:numPr>
        <w:rPr>
          <w:rFonts w:cs="HelveticaNeue Condensed"/>
        </w:rPr>
      </w:pPr>
      <w:r w:rsidRPr="00E6110F">
        <w:rPr>
          <w:rFonts w:cs="HelveticaNeue Condensed"/>
        </w:rPr>
        <w:t xml:space="preserve">it meets health hazard criteria; </w:t>
      </w:r>
    </w:p>
    <w:p w14:paraId="14E989E2" w14:textId="77777777" w:rsidR="00307CE9" w:rsidRPr="00E6110F" w:rsidRDefault="00307CE9" w:rsidP="00C117A3">
      <w:pPr>
        <w:pStyle w:val="Body"/>
        <w:numPr>
          <w:ilvl w:val="0"/>
          <w:numId w:val="32"/>
        </w:numPr>
        <w:rPr>
          <w:rFonts w:cs="HelveticaNeue Condensed"/>
        </w:rPr>
      </w:pPr>
      <w:r w:rsidRPr="00E6110F">
        <w:rPr>
          <w:rFonts w:cs="HelveticaNeue Condensed"/>
        </w:rPr>
        <w:t xml:space="preserve">it meets environment health hazard criteria; </w:t>
      </w:r>
    </w:p>
    <w:p w14:paraId="5E5B565A" w14:textId="77777777" w:rsidR="00307CE9" w:rsidRPr="00E6110F" w:rsidRDefault="00307CE9" w:rsidP="00C117A3">
      <w:pPr>
        <w:pStyle w:val="Body"/>
        <w:numPr>
          <w:ilvl w:val="0"/>
          <w:numId w:val="32"/>
        </w:numPr>
        <w:rPr>
          <w:rFonts w:cs="HelveticaNeue Condensed"/>
        </w:rPr>
      </w:pPr>
      <w:proofErr w:type="gramStart"/>
      <w:r w:rsidRPr="00E6110F">
        <w:rPr>
          <w:rFonts w:cs="HelveticaNeue Condensed"/>
        </w:rPr>
        <w:t>it</w:t>
      </w:r>
      <w:proofErr w:type="gramEnd"/>
      <w:r w:rsidRPr="00E6110F">
        <w:rPr>
          <w:rFonts w:cs="HelveticaNeue Condensed"/>
        </w:rPr>
        <w:t xml:space="preserve"> has specifically been identified as a pollutant, contaminant or a hazardous good under Western Australian or Australian legislation or regulations. </w:t>
      </w:r>
    </w:p>
    <w:p w14:paraId="710C9DD3" w14:textId="77777777" w:rsidR="00307CE9" w:rsidRPr="00E6110F" w:rsidRDefault="00307CE9" w:rsidP="00307CE9">
      <w:pPr>
        <w:pStyle w:val="Body"/>
        <w:rPr>
          <w:rFonts w:cs="HelveticaNeue Condensed"/>
          <w:sz w:val="20"/>
          <w:szCs w:val="20"/>
        </w:rPr>
      </w:pPr>
    </w:p>
    <w:p w14:paraId="0C0F8D69" w14:textId="77777777" w:rsidR="00307CE9" w:rsidRPr="00E6110F" w:rsidRDefault="00307CE9" w:rsidP="00307CE9">
      <w:pPr>
        <w:pStyle w:val="Body"/>
        <w:rPr>
          <w:rFonts w:cs="HelveticaNeue Condensed"/>
          <w:u w:val="single"/>
        </w:rPr>
      </w:pPr>
      <w:r w:rsidRPr="00E6110F">
        <w:rPr>
          <w:rFonts w:cs="HelveticaNeue Condensed"/>
          <w:u w:val="single"/>
        </w:rPr>
        <w:t>Health hazards:</w:t>
      </w:r>
    </w:p>
    <w:p w14:paraId="4BB09C08" w14:textId="77777777" w:rsidR="00307CE9" w:rsidRPr="00E6110F" w:rsidRDefault="00307CE9" w:rsidP="00307CE9">
      <w:pPr>
        <w:pStyle w:val="Body"/>
        <w:rPr>
          <w:rFonts w:cs="HelveticaNeue Condensed"/>
        </w:rPr>
      </w:pPr>
      <w:r w:rsidRPr="00E6110F">
        <w:rPr>
          <w:rFonts w:cs="HelveticaNeue Condensed"/>
        </w:rPr>
        <w:t xml:space="preserve">Health hazards related to chemicals include: </w:t>
      </w:r>
    </w:p>
    <w:p w14:paraId="515EC329" w14:textId="3EE2DE70" w:rsidR="00307CE9" w:rsidRPr="00E6110F" w:rsidRDefault="00307CE9" w:rsidP="00C117A3">
      <w:pPr>
        <w:pStyle w:val="Body"/>
        <w:numPr>
          <w:ilvl w:val="0"/>
          <w:numId w:val="33"/>
        </w:numPr>
        <w:rPr>
          <w:rFonts w:cs="HelveticaNeue Condensed"/>
        </w:rPr>
      </w:pPr>
      <w:r w:rsidRPr="00E6110F">
        <w:rPr>
          <w:rFonts w:cs="HelveticaNeue Condensed"/>
        </w:rPr>
        <w:t>acute toxicity: adverse health effects to humans following short</w:t>
      </w:r>
      <w:r w:rsidR="00146CF1">
        <w:rPr>
          <w:rFonts w:cs="HelveticaNeue Condensed"/>
        </w:rPr>
        <w:t>-</w:t>
      </w:r>
      <w:r w:rsidRPr="00E6110F">
        <w:rPr>
          <w:rFonts w:cs="HelveticaNeue Condensed"/>
        </w:rPr>
        <w:t xml:space="preserve">term exposure to a chemical or substance;  </w:t>
      </w:r>
    </w:p>
    <w:p w14:paraId="3B71D715" w14:textId="207C48D4" w:rsidR="00307CE9" w:rsidRPr="00E6110F" w:rsidRDefault="00307CE9" w:rsidP="00C117A3">
      <w:pPr>
        <w:pStyle w:val="Body"/>
        <w:numPr>
          <w:ilvl w:val="0"/>
          <w:numId w:val="33"/>
        </w:numPr>
        <w:rPr>
          <w:rFonts w:cs="HelveticaNeue Condensed"/>
        </w:rPr>
      </w:pPr>
      <w:proofErr w:type="gramStart"/>
      <w:r w:rsidRPr="00E6110F">
        <w:rPr>
          <w:rFonts w:cs="HelveticaNeue Condensed"/>
        </w:rPr>
        <w:t>chronic</w:t>
      </w:r>
      <w:proofErr w:type="gramEnd"/>
      <w:r w:rsidRPr="00E6110F">
        <w:rPr>
          <w:rFonts w:cs="HelveticaNeue Condensed"/>
        </w:rPr>
        <w:t xml:space="preserve"> toxicity: adverse health effects to humans following long</w:t>
      </w:r>
      <w:r w:rsidR="00146CF1">
        <w:rPr>
          <w:rFonts w:cs="HelveticaNeue Condensed"/>
        </w:rPr>
        <w:t>-</w:t>
      </w:r>
      <w:r w:rsidRPr="00E6110F">
        <w:rPr>
          <w:rFonts w:cs="HelveticaNeue Condensed"/>
        </w:rPr>
        <w:t xml:space="preserve">term exposure to a chemical or substance. </w:t>
      </w:r>
    </w:p>
    <w:p w14:paraId="19551CA5" w14:textId="77777777" w:rsidR="00307CE9" w:rsidRPr="00E6110F" w:rsidRDefault="00307CE9" w:rsidP="00307CE9">
      <w:pPr>
        <w:pStyle w:val="Body"/>
        <w:rPr>
          <w:rFonts w:cs="HelveticaNeue Condensed"/>
        </w:rPr>
      </w:pPr>
      <w:r w:rsidRPr="00E6110F">
        <w:rPr>
          <w:rFonts w:cs="HelveticaNeue Condensed"/>
        </w:rPr>
        <w:t>Acute toxicity refers to the adverse effects of exposure to a product or chemical over a short period of time (usually less than 24 hours). Acute toxicity effects can result in lethal or sub-lethal effects (e.g. irritation) to humans. As a minimum requirement in chemical disclosure, DMP requires human health acute toxicity data for all products using LC</w:t>
      </w:r>
      <w:r w:rsidRPr="00E6110F">
        <w:rPr>
          <w:rStyle w:val="A7"/>
          <w:sz w:val="18"/>
          <w:szCs w:val="18"/>
        </w:rPr>
        <w:t xml:space="preserve">50 </w:t>
      </w:r>
      <w:r w:rsidRPr="00E6110F">
        <w:rPr>
          <w:rFonts w:cs="HelveticaNeue Condensed"/>
        </w:rPr>
        <w:t>or LD</w:t>
      </w:r>
      <w:r w:rsidRPr="00E6110F">
        <w:rPr>
          <w:rStyle w:val="A7"/>
          <w:sz w:val="18"/>
          <w:szCs w:val="18"/>
        </w:rPr>
        <w:t xml:space="preserve">50 </w:t>
      </w:r>
      <w:r w:rsidRPr="00E6110F">
        <w:rPr>
          <w:rFonts w:cs="HelveticaNeue Condensed"/>
        </w:rPr>
        <w:t>data (as appropriate). LD</w:t>
      </w:r>
      <w:r w:rsidRPr="00E6110F">
        <w:rPr>
          <w:rStyle w:val="A7"/>
          <w:sz w:val="18"/>
          <w:szCs w:val="18"/>
        </w:rPr>
        <w:t xml:space="preserve">50 </w:t>
      </w:r>
      <w:r w:rsidRPr="00E6110F">
        <w:rPr>
          <w:rFonts w:cs="HelveticaNeue Condensed"/>
        </w:rPr>
        <w:t>or LC</w:t>
      </w:r>
      <w:r w:rsidRPr="00E6110F">
        <w:rPr>
          <w:rStyle w:val="A7"/>
          <w:sz w:val="18"/>
          <w:szCs w:val="18"/>
        </w:rPr>
        <w:t xml:space="preserve">50 </w:t>
      </w:r>
      <w:r w:rsidRPr="00E6110F">
        <w:rPr>
          <w:rFonts w:cs="HelveticaNeue Condensed"/>
        </w:rPr>
        <w:t>data for each product or chemical should be compared to the criteria for determining whether it is ‘harmful’, ‘toxic’ or ‘very toxic’ (examples provided in DMP 2013).</w:t>
      </w:r>
    </w:p>
    <w:p w14:paraId="71389B83" w14:textId="6D427D2C" w:rsidR="00307CE9" w:rsidRPr="00E6110F" w:rsidRDefault="00307CE9" w:rsidP="00307CE9">
      <w:pPr>
        <w:pStyle w:val="Body"/>
        <w:rPr>
          <w:rFonts w:cs="HelveticaNeue Condensed"/>
        </w:rPr>
      </w:pPr>
      <w:r w:rsidRPr="00E6110F">
        <w:rPr>
          <w:rFonts w:cs="HelveticaNeue Condensed"/>
        </w:rPr>
        <w:t xml:space="preserve">Chronic toxicity refers to the adverse health effects caused by repeated exposures to chemicals, often at low doses, over prolonged periods (i.e. months to years). The chemical does not necessarily have to exhibit acute toxicity to cause chronic toxic effects to human health or the environment. Chronic toxicity methods are based on guidelines from the Organisation for Economic Cooperation and Development (OECD) which mostly use toxicological studies on proxy species, such as rats and mice over their lifespan, to give an indication of potential carcinogenic, mutagenic, reproductive or developmental effects. The most widely used classification system for carcinogens and examples has 4 classes of carcinogen classification: </w:t>
      </w:r>
      <w:r w:rsidR="00146CF1">
        <w:rPr>
          <w:rFonts w:cs="HelveticaNeue Condensed"/>
        </w:rPr>
        <w:t>G</w:t>
      </w:r>
      <w:r w:rsidR="00146CF1" w:rsidRPr="00E6110F">
        <w:rPr>
          <w:rFonts w:cs="HelveticaNeue Condensed"/>
        </w:rPr>
        <w:t xml:space="preserve">roup </w:t>
      </w:r>
      <w:r w:rsidRPr="00E6110F">
        <w:rPr>
          <w:rFonts w:cs="HelveticaNeue Condensed"/>
        </w:rPr>
        <w:t xml:space="preserve">1 (known carcinogen to humans, </w:t>
      </w:r>
      <w:r w:rsidR="00146CF1">
        <w:rPr>
          <w:rFonts w:cs="HelveticaNeue Condensed"/>
        </w:rPr>
        <w:t>G</w:t>
      </w:r>
      <w:r w:rsidR="00146CF1" w:rsidRPr="00E6110F">
        <w:rPr>
          <w:rFonts w:cs="HelveticaNeue Condensed"/>
        </w:rPr>
        <w:t xml:space="preserve">roup </w:t>
      </w:r>
      <w:r w:rsidRPr="00E6110F">
        <w:rPr>
          <w:rFonts w:cs="HelveticaNeue Condensed"/>
        </w:rPr>
        <w:t>2a (</w:t>
      </w:r>
      <w:r w:rsidR="00146CF1">
        <w:rPr>
          <w:rFonts w:cs="HelveticaNeue Condensed"/>
        </w:rPr>
        <w:t>p</w:t>
      </w:r>
      <w:r w:rsidRPr="00E6110F">
        <w:rPr>
          <w:rFonts w:cs="HelveticaNeue Condensed"/>
        </w:rPr>
        <w:t xml:space="preserve">robably carcinogenic to humans), </w:t>
      </w:r>
      <w:r w:rsidR="00146CF1">
        <w:rPr>
          <w:rFonts w:cs="HelveticaNeue Condensed"/>
        </w:rPr>
        <w:t>G</w:t>
      </w:r>
      <w:r w:rsidR="00146CF1" w:rsidRPr="00E6110F">
        <w:rPr>
          <w:rFonts w:cs="HelveticaNeue Condensed"/>
        </w:rPr>
        <w:t xml:space="preserve">roup </w:t>
      </w:r>
      <w:r w:rsidRPr="00E6110F">
        <w:rPr>
          <w:rFonts w:cs="HelveticaNeue Condensed"/>
        </w:rPr>
        <w:t>2b (</w:t>
      </w:r>
      <w:r w:rsidR="00146CF1">
        <w:rPr>
          <w:rFonts w:cs="HelveticaNeue Condensed"/>
        </w:rPr>
        <w:t>p</w:t>
      </w:r>
      <w:r w:rsidR="00146CF1" w:rsidRPr="00E6110F">
        <w:rPr>
          <w:rFonts w:cs="HelveticaNeue Condensed"/>
        </w:rPr>
        <w:t xml:space="preserve">ossibly </w:t>
      </w:r>
      <w:r w:rsidRPr="00E6110F">
        <w:rPr>
          <w:rFonts w:cs="HelveticaNeue Condensed"/>
        </w:rPr>
        <w:t xml:space="preserve">carcinogenic to humans (suggestive evidence), and </w:t>
      </w:r>
      <w:r w:rsidR="00146CF1">
        <w:rPr>
          <w:rFonts w:cs="HelveticaNeue Condensed"/>
        </w:rPr>
        <w:t>G</w:t>
      </w:r>
      <w:r w:rsidR="00146CF1" w:rsidRPr="00E6110F">
        <w:rPr>
          <w:rFonts w:cs="HelveticaNeue Condensed"/>
        </w:rPr>
        <w:t xml:space="preserve">roup </w:t>
      </w:r>
      <w:r w:rsidRPr="00E6110F">
        <w:rPr>
          <w:rFonts w:cs="HelveticaNeue Condensed"/>
        </w:rPr>
        <w:t>3 (</w:t>
      </w:r>
      <w:r w:rsidR="00146CF1">
        <w:rPr>
          <w:rFonts w:cs="HelveticaNeue Condensed"/>
        </w:rPr>
        <w:t>u</w:t>
      </w:r>
      <w:r w:rsidRPr="00E6110F">
        <w:rPr>
          <w:rFonts w:cs="HelveticaNeue Condensed"/>
        </w:rPr>
        <w:t xml:space="preserve">nclassifiable as to carcinogenicity in humans (inadequate information)). </w:t>
      </w:r>
    </w:p>
    <w:p w14:paraId="23B2EBED" w14:textId="77777777" w:rsidR="00307CE9" w:rsidRPr="00E6110F" w:rsidRDefault="00307CE9" w:rsidP="00307CE9">
      <w:pPr>
        <w:pStyle w:val="Body"/>
        <w:rPr>
          <w:rFonts w:cs="HelveticaNeue Condensed"/>
          <w:sz w:val="20"/>
          <w:szCs w:val="20"/>
        </w:rPr>
      </w:pPr>
    </w:p>
    <w:p w14:paraId="221195FA" w14:textId="77777777" w:rsidR="00307CE9" w:rsidRPr="00E6110F" w:rsidRDefault="00307CE9" w:rsidP="00307CE9">
      <w:pPr>
        <w:pStyle w:val="Pa8"/>
        <w:spacing w:after="100"/>
        <w:rPr>
          <w:rFonts w:ascii="Calibri" w:hAnsi="Calibri" w:cs="HelveticaNeue Condensed"/>
          <w:color w:val="000000"/>
          <w:sz w:val="18"/>
          <w:szCs w:val="18"/>
          <w:lang w:val="en-GB"/>
        </w:rPr>
      </w:pPr>
      <w:r w:rsidRPr="00E6110F">
        <w:rPr>
          <w:rFonts w:ascii="Calibri" w:hAnsi="Calibri" w:cs="HelveticaNeue Condensed"/>
          <w:color w:val="000000"/>
          <w:sz w:val="18"/>
          <w:szCs w:val="18"/>
          <w:u w:val="single"/>
          <w:lang w:val="en-GB"/>
        </w:rPr>
        <w:t>Environmental hazards</w:t>
      </w:r>
      <w:r w:rsidRPr="00E6110F">
        <w:rPr>
          <w:rFonts w:ascii="Calibri" w:hAnsi="Calibri" w:cs="HelveticaNeue Condensed"/>
          <w:color w:val="000000"/>
          <w:sz w:val="18"/>
          <w:szCs w:val="18"/>
          <w:lang w:val="en-GB"/>
        </w:rPr>
        <w:t xml:space="preserve">: environmental hazards in relation to chemical use include: </w:t>
      </w:r>
    </w:p>
    <w:p w14:paraId="17B3581D" w14:textId="77777777" w:rsidR="00307CE9" w:rsidRPr="00E6110F" w:rsidRDefault="00307CE9" w:rsidP="00C117A3">
      <w:pPr>
        <w:pStyle w:val="Body"/>
        <w:numPr>
          <w:ilvl w:val="0"/>
          <w:numId w:val="33"/>
        </w:numPr>
        <w:rPr>
          <w:rFonts w:cs="HelveticaNeue Condensed"/>
        </w:rPr>
      </w:pPr>
      <w:r w:rsidRPr="00E6110F">
        <w:rPr>
          <w:rFonts w:cs="HelveticaNeue Condensed"/>
        </w:rPr>
        <w:t xml:space="preserve">acute aquatic toxicity: adverse effects to marine or freshwater flora or fauna health following exposure to a chemical or substance; </w:t>
      </w:r>
    </w:p>
    <w:p w14:paraId="5647FE2A" w14:textId="77777777" w:rsidR="00307CE9" w:rsidRPr="00E6110F" w:rsidRDefault="00307CE9" w:rsidP="00C117A3">
      <w:pPr>
        <w:pStyle w:val="Body"/>
        <w:numPr>
          <w:ilvl w:val="0"/>
          <w:numId w:val="33"/>
        </w:numPr>
        <w:rPr>
          <w:rFonts w:cs="HelveticaNeue Condensed"/>
        </w:rPr>
      </w:pPr>
      <w:r w:rsidRPr="00E6110F">
        <w:rPr>
          <w:rFonts w:cs="HelveticaNeue Condensed"/>
        </w:rPr>
        <w:t xml:space="preserve">chronic aquatic toxicity: adverse effects to marine or freshwater flora or fauna health following exposure to a chemical or substance; </w:t>
      </w:r>
    </w:p>
    <w:p w14:paraId="22EE82DA" w14:textId="77777777" w:rsidR="00307CE9" w:rsidRPr="00E6110F" w:rsidRDefault="00307CE9" w:rsidP="00C117A3">
      <w:pPr>
        <w:pStyle w:val="Body"/>
        <w:numPr>
          <w:ilvl w:val="0"/>
          <w:numId w:val="33"/>
        </w:numPr>
        <w:rPr>
          <w:rFonts w:cs="HelveticaNeue Condensed"/>
        </w:rPr>
      </w:pPr>
      <w:r w:rsidRPr="00E6110F">
        <w:rPr>
          <w:rFonts w:cs="HelveticaNeue Condensed"/>
        </w:rPr>
        <w:t xml:space="preserve">bioaccumulation; </w:t>
      </w:r>
    </w:p>
    <w:p w14:paraId="331EA6C2" w14:textId="77777777" w:rsidR="00307CE9" w:rsidRPr="00E6110F" w:rsidRDefault="00307CE9" w:rsidP="00C117A3">
      <w:pPr>
        <w:pStyle w:val="Body"/>
        <w:numPr>
          <w:ilvl w:val="0"/>
          <w:numId w:val="33"/>
        </w:numPr>
        <w:rPr>
          <w:rFonts w:cs="HelveticaNeue Condensed"/>
        </w:rPr>
      </w:pPr>
      <w:proofErr w:type="gramStart"/>
      <w:r w:rsidRPr="00E6110F">
        <w:rPr>
          <w:rFonts w:cs="HelveticaNeue Condensed"/>
        </w:rPr>
        <w:t>persistence</w:t>
      </w:r>
      <w:proofErr w:type="gramEnd"/>
      <w:r w:rsidRPr="00E6110F">
        <w:rPr>
          <w:rFonts w:cs="HelveticaNeue Condensed"/>
        </w:rPr>
        <w:t xml:space="preserve">. </w:t>
      </w:r>
    </w:p>
    <w:p w14:paraId="39F037D8" w14:textId="77777777" w:rsidR="00307CE9" w:rsidRPr="00E6110F" w:rsidRDefault="00307CE9" w:rsidP="00307CE9">
      <w:pPr>
        <w:pStyle w:val="Body"/>
        <w:rPr>
          <w:rFonts w:cs="HelveticaNeue Condensed"/>
          <w:sz w:val="20"/>
          <w:szCs w:val="20"/>
        </w:rPr>
      </w:pPr>
    </w:p>
    <w:p w14:paraId="4F9B2B5D" w14:textId="4EE20ECC" w:rsidR="00307CE9" w:rsidRPr="00E6110F" w:rsidRDefault="00307CE9" w:rsidP="00307CE9">
      <w:pPr>
        <w:pStyle w:val="Body"/>
        <w:rPr>
          <w:rFonts w:cs="HelveticaNeue Condensed"/>
        </w:rPr>
      </w:pPr>
      <w:r w:rsidRPr="00E6110F">
        <w:rPr>
          <w:rFonts w:cs="HelveticaNeue Condensed"/>
        </w:rPr>
        <w:t>Acute aquatic ecotoxicity methods are based on guidelines from the Organisation for Economic Cooperation and Development (OECD)</w:t>
      </w:r>
      <w:r w:rsidR="002D1B69">
        <w:rPr>
          <w:rFonts w:cs="HelveticaNeue Condensed"/>
        </w:rPr>
        <w:t>,</w:t>
      </w:r>
      <w:r w:rsidRPr="00E6110F">
        <w:rPr>
          <w:rFonts w:cs="HelveticaNeue Condensed"/>
        </w:rPr>
        <w:t xml:space="preserve"> which mostly use toxicological testing on indicator aquatic species, such as fish, crustacea and macroalgae, to give an indication of relative toxicity to the aquatic environment. LC</w:t>
      </w:r>
      <w:r w:rsidRPr="00D65EE2">
        <w:rPr>
          <w:rStyle w:val="A7"/>
          <w:sz w:val="18"/>
          <w:szCs w:val="18"/>
        </w:rPr>
        <w:t>50</w:t>
      </w:r>
      <w:r w:rsidRPr="00E6110F">
        <w:rPr>
          <w:rStyle w:val="A7"/>
          <w:sz w:val="18"/>
          <w:szCs w:val="18"/>
        </w:rPr>
        <w:t xml:space="preserve"> </w:t>
      </w:r>
      <w:r w:rsidRPr="00E6110F">
        <w:rPr>
          <w:rFonts w:cs="HelveticaNeue Condensed"/>
        </w:rPr>
        <w:t>or EC</w:t>
      </w:r>
      <w:r w:rsidRPr="00E6110F">
        <w:rPr>
          <w:rStyle w:val="A7"/>
          <w:sz w:val="18"/>
          <w:szCs w:val="18"/>
        </w:rPr>
        <w:t xml:space="preserve">50 </w:t>
      </w:r>
      <w:r w:rsidRPr="00E6110F">
        <w:rPr>
          <w:rFonts w:cs="HelveticaNeue Condensed"/>
        </w:rPr>
        <w:t>data for each product or chemical should be compared to the criteria for determining whether it is ‘harmful’, ‘toxic’ or ‘very toxic’ (examples provided in DMP 2013).</w:t>
      </w:r>
    </w:p>
    <w:p w14:paraId="0EDB7D15" w14:textId="775A241B" w:rsidR="00307CE9" w:rsidRPr="00E6110F" w:rsidRDefault="00307CE9" w:rsidP="00307CE9">
      <w:pPr>
        <w:pStyle w:val="Body"/>
        <w:rPr>
          <w:rFonts w:cs="HelveticaNeue Condensed"/>
        </w:rPr>
      </w:pPr>
      <w:r w:rsidRPr="00E6110F">
        <w:rPr>
          <w:rFonts w:cs="HelveticaNeue Condensed"/>
        </w:rPr>
        <w:t>Chronic aquatic toxicity data for aquatic organisms are generally less available than acute toxicity data and the range of testing procedures are less standardised (United Nations 2011). Common measures of chronic toxicity to aquatic organisms include the NOE</w:t>
      </w:r>
      <w:r w:rsidR="00146CF1">
        <w:rPr>
          <w:rFonts w:cs="HelveticaNeue Condensed"/>
        </w:rPr>
        <w:t>C</w:t>
      </w:r>
      <w:r w:rsidRPr="00E6110F">
        <w:rPr>
          <w:rFonts w:cs="HelveticaNeue Condensed"/>
        </w:rPr>
        <w:t xml:space="preserve"> and EC</w:t>
      </w:r>
      <w:r w:rsidRPr="00E6110F">
        <w:rPr>
          <w:rStyle w:val="A7"/>
          <w:sz w:val="18"/>
          <w:szCs w:val="18"/>
          <w:vertAlign w:val="subscript"/>
        </w:rPr>
        <w:t>50</w:t>
      </w:r>
      <w:r w:rsidRPr="00E6110F">
        <w:rPr>
          <w:rStyle w:val="A7"/>
          <w:sz w:val="18"/>
          <w:szCs w:val="18"/>
        </w:rPr>
        <w:t xml:space="preserve"> </w:t>
      </w:r>
      <w:r w:rsidRPr="00E6110F">
        <w:rPr>
          <w:rFonts w:cs="HelveticaNeue Condensed"/>
        </w:rPr>
        <w:t>measures in accordance with OECD guidelines. NOE</w:t>
      </w:r>
      <w:r w:rsidR="00146CF1">
        <w:rPr>
          <w:rFonts w:cs="HelveticaNeue Condensed"/>
        </w:rPr>
        <w:t>C</w:t>
      </w:r>
      <w:r w:rsidRPr="00E6110F">
        <w:rPr>
          <w:rFonts w:cs="HelveticaNeue Condensed"/>
        </w:rPr>
        <w:t xml:space="preserve"> or ECx data for each product or chemical should be compared to the criteria for determining whether it is ‘harmful’, ‘toxic’ or ‘very toxic’ (examples provided in DMP 2013).</w:t>
      </w:r>
    </w:p>
    <w:p w14:paraId="155A507E" w14:textId="58281F2F" w:rsidR="00307CE9" w:rsidRPr="00E6110F" w:rsidRDefault="00307CE9" w:rsidP="00307CE9">
      <w:pPr>
        <w:pStyle w:val="Body"/>
        <w:rPr>
          <w:iCs/>
        </w:rPr>
      </w:pPr>
      <w:r w:rsidRPr="00E6110F">
        <w:rPr>
          <w:rFonts w:cs="HelveticaNeue Condensed"/>
        </w:rPr>
        <w:t xml:space="preserve">Bioaccumulation refers to chemicals that remain in the environment for long periods of time and are capable of long range movement through the landscape (e.g. groundwater plumes, atmospheric dispersion, </w:t>
      </w:r>
      <w:r w:rsidR="00F17862">
        <w:rPr>
          <w:rFonts w:cs="HelveticaNeue Condensed"/>
        </w:rPr>
        <w:t xml:space="preserve">in </w:t>
      </w:r>
      <w:r w:rsidRPr="00E6110F">
        <w:rPr>
          <w:rFonts w:cs="HelveticaNeue Condensed"/>
        </w:rPr>
        <w:t>organisms), building up in food chains and causing toxic effects. Bioaccumulation is best measured using intact organisms in the laboratory or in the field. It is usually expressed as the Bioconcentration Factor (BCF) or Bioaccumulation Factor (BAF), which represents the ratio of a chemical in an organism (e.g. tissue sample) to the concentration in the organism’s environment (e.g. water).</w:t>
      </w:r>
      <w:r w:rsidRPr="00E6110F">
        <w:rPr>
          <w:i/>
          <w:iCs/>
        </w:rPr>
        <w:t xml:space="preserve"> </w:t>
      </w:r>
      <w:r w:rsidRPr="00E6110F">
        <w:rPr>
          <w:iCs/>
        </w:rPr>
        <w:t>Bioconcentration factors show a correlation to the log of the octanol-water partition coefficient. The partition coefficient measures how hydrophilic or hydrophobic a chemical is and may be used to indicate those substances having significant potential to bioaccumulate. Hydrophobic chemicals with high octanol-water partition coefficients are preferentially distributed to lipids (fat cells) in animals, which tends to then bioaccumulate over time.</w:t>
      </w:r>
    </w:p>
    <w:p w14:paraId="44CEBEA6" w14:textId="015C1E63" w:rsidR="00307CE9" w:rsidRPr="00E6110F" w:rsidRDefault="00307CE9" w:rsidP="00307CE9">
      <w:pPr>
        <w:pStyle w:val="Body"/>
        <w:rPr>
          <w:rFonts w:cs="HelveticaNeue Condensed"/>
        </w:rPr>
      </w:pPr>
      <w:r w:rsidRPr="00E6110F">
        <w:rPr>
          <w:rFonts w:cs="HelveticaNeue Condensed"/>
        </w:rPr>
        <w:t>While BAF/BCF measures are preferred (BAF/BCF values ≥ 1000 indicate the chemical is bioaccumulative</w:t>
      </w:r>
      <w:r w:rsidRPr="00E6110F">
        <w:rPr>
          <w:rFonts w:ascii="Times New Roman" w:hAnsi="Times New Roman" w:cs="Times New Roman"/>
        </w:rPr>
        <w:t xml:space="preserve">; </w:t>
      </w:r>
      <w:r w:rsidRPr="00E6110F">
        <w:rPr>
          <w:rFonts w:cs="HelveticaNeue Condensed"/>
        </w:rPr>
        <w:t>BAF/BCF values ≥ 5000 indicate the chemical is highly bioaccumulative), the log octanol-water partition coefficient (</w:t>
      </w:r>
      <w:r w:rsidR="008A42DE">
        <w:rPr>
          <w:rFonts w:cs="HelveticaNeue Condensed"/>
        </w:rPr>
        <w:t>l</w:t>
      </w:r>
      <w:r w:rsidRPr="00E6110F">
        <w:rPr>
          <w:rFonts w:cs="HelveticaNeue Condensed"/>
        </w:rPr>
        <w:t xml:space="preserve">og </w:t>
      </w:r>
      <w:r w:rsidR="008A42DE" w:rsidRPr="00A63DFB">
        <w:rPr>
          <w:rFonts w:cs="HelveticaNeue Condensed"/>
          <w:i/>
        </w:rPr>
        <w:t>K</w:t>
      </w:r>
      <w:r w:rsidR="008A42DE" w:rsidRPr="00A63DFB">
        <w:rPr>
          <w:rFonts w:cs="HelveticaNeue Condensed"/>
          <w:vertAlign w:val="subscript"/>
        </w:rPr>
        <w:t>ow</w:t>
      </w:r>
      <w:r w:rsidRPr="00E6110F">
        <w:rPr>
          <w:rFonts w:cs="HelveticaNeue Condensed"/>
        </w:rPr>
        <w:t>) can also be used to indicate bioaccumulation (</w:t>
      </w:r>
      <w:r w:rsidR="008A42DE">
        <w:rPr>
          <w:rFonts w:cs="HelveticaNeue Condensed"/>
        </w:rPr>
        <w:t>l</w:t>
      </w:r>
      <w:r w:rsidR="00865C7E">
        <w:rPr>
          <w:rFonts w:cs="HelveticaNeue Condensed"/>
        </w:rPr>
        <w:t>o</w:t>
      </w:r>
      <w:r w:rsidRPr="00E6110F">
        <w:rPr>
          <w:rFonts w:cs="HelveticaNeue Condensed"/>
        </w:rPr>
        <w:t xml:space="preserve">g </w:t>
      </w:r>
      <w:r w:rsidR="008A42DE" w:rsidRPr="00A63DFB">
        <w:rPr>
          <w:rFonts w:cs="HelveticaNeue Condensed"/>
          <w:i/>
        </w:rPr>
        <w:t>K</w:t>
      </w:r>
      <w:r w:rsidRPr="00A63DFB">
        <w:rPr>
          <w:rFonts w:cs="HelveticaNeue Condensed"/>
          <w:vertAlign w:val="subscript"/>
        </w:rPr>
        <w:t>ow</w:t>
      </w:r>
      <w:r w:rsidRPr="00E6110F">
        <w:rPr>
          <w:rFonts w:cs="HelveticaNeue Condensed"/>
        </w:rPr>
        <w:t xml:space="preserve"> values </w:t>
      </w:r>
      <w:r w:rsidRPr="00E6110F">
        <w:rPr>
          <w:rFonts w:ascii="Times New Roman" w:hAnsi="Times New Roman" w:cs="Times New Roman"/>
        </w:rPr>
        <w:t>≥</w:t>
      </w:r>
      <w:r w:rsidRPr="00E6110F">
        <w:rPr>
          <w:rFonts w:cs="HelveticaNeue Condensed"/>
        </w:rPr>
        <w:t xml:space="preserve"> 4 indicate confirmed chemical bioaccumulation in aquatic environments). BAF, BCF and/or </w:t>
      </w:r>
      <w:r w:rsidR="00865C7E">
        <w:rPr>
          <w:rFonts w:cs="HelveticaNeue Condensed"/>
        </w:rPr>
        <w:t>l</w:t>
      </w:r>
      <w:r w:rsidRPr="00E6110F">
        <w:rPr>
          <w:rFonts w:cs="HelveticaNeue Condensed"/>
        </w:rPr>
        <w:t xml:space="preserve">og </w:t>
      </w:r>
      <w:r w:rsidR="008A42DE" w:rsidRPr="00A63DFB">
        <w:rPr>
          <w:rFonts w:cs="HelveticaNeue Condensed"/>
          <w:i/>
        </w:rPr>
        <w:t>K</w:t>
      </w:r>
      <w:r w:rsidRPr="00A63DFB">
        <w:rPr>
          <w:rFonts w:cs="HelveticaNeue Condensed"/>
          <w:vertAlign w:val="subscript"/>
        </w:rPr>
        <w:t>ow</w:t>
      </w:r>
      <w:r w:rsidRPr="00E6110F">
        <w:rPr>
          <w:rFonts w:cs="HelveticaNeue Condensed"/>
        </w:rPr>
        <w:t xml:space="preserve"> data for each product or chemical should be compared to the </w:t>
      </w:r>
      <w:r w:rsidR="008A42DE">
        <w:rPr>
          <w:rFonts w:cs="HelveticaNeue Condensed"/>
        </w:rPr>
        <w:t xml:space="preserve">respective </w:t>
      </w:r>
      <w:r w:rsidRPr="00E6110F">
        <w:rPr>
          <w:rFonts w:cs="HelveticaNeue Condensed"/>
        </w:rPr>
        <w:t xml:space="preserve">criteria </w:t>
      </w:r>
      <w:r w:rsidR="008A42DE">
        <w:rPr>
          <w:rFonts w:cs="HelveticaNeue Condensed"/>
        </w:rPr>
        <w:t xml:space="preserve">to </w:t>
      </w:r>
      <w:r w:rsidRPr="00E6110F">
        <w:rPr>
          <w:rFonts w:cs="HelveticaNeue Condensed"/>
        </w:rPr>
        <w:t xml:space="preserve">confirm </w:t>
      </w:r>
      <w:r w:rsidR="008A42DE">
        <w:rPr>
          <w:rFonts w:cs="HelveticaNeue Condensed"/>
        </w:rPr>
        <w:t xml:space="preserve">possible </w:t>
      </w:r>
      <w:r w:rsidRPr="00E6110F">
        <w:rPr>
          <w:rFonts w:cs="HelveticaNeue Condensed"/>
        </w:rPr>
        <w:t xml:space="preserve">bioaccumulation. </w:t>
      </w:r>
    </w:p>
    <w:p w14:paraId="4A74CE14" w14:textId="204E2B59" w:rsidR="00307CE9" w:rsidRPr="00E6110F" w:rsidRDefault="00307CE9" w:rsidP="00307CE9">
      <w:pPr>
        <w:pStyle w:val="Body"/>
        <w:rPr>
          <w:rFonts w:cs="HelveticaNeue Condensed"/>
        </w:rPr>
      </w:pPr>
      <w:r w:rsidRPr="00E6110F">
        <w:rPr>
          <w:rFonts w:cs="HelveticaNeue Condensed"/>
        </w:rPr>
        <w:t>Persistence refers to a substance</w:t>
      </w:r>
      <w:r w:rsidR="002D1B69">
        <w:rPr>
          <w:rFonts w:cs="HelveticaNeue Condensed"/>
        </w:rPr>
        <w:t>’</w:t>
      </w:r>
      <w:r w:rsidRPr="00E6110F">
        <w:rPr>
          <w:rFonts w:cs="HelveticaNeue Condensed"/>
        </w:rPr>
        <w:t>s inability to degrade in the environment over time. Degradation often infers that the hazardous nature of chemicals will become less toxic over time compared to the parent chemical</w:t>
      </w:r>
      <w:r w:rsidR="008A42DE">
        <w:rPr>
          <w:rFonts w:cs="HelveticaNeue Condensed"/>
        </w:rPr>
        <w:t>,</w:t>
      </w:r>
      <w:r w:rsidRPr="00E6110F">
        <w:rPr>
          <w:rFonts w:cs="HelveticaNeue Condensed"/>
        </w:rPr>
        <w:t xml:space="preserve"> but this is not always the case (e.g. polycyclic aromatic hydrocarbons</w:t>
      </w:r>
      <w:r w:rsidR="008A42DE">
        <w:rPr>
          <w:rFonts w:cs="HelveticaNeue Condensed"/>
        </w:rPr>
        <w:t xml:space="preserve"> (PAHs)</w:t>
      </w:r>
      <w:r w:rsidRPr="00E6110F">
        <w:rPr>
          <w:rFonts w:cs="HelveticaNeue Condensed"/>
        </w:rPr>
        <w:t xml:space="preserve">). The absence of degradation processes results in chemical sinks in the environment and/or bioaccumulation (the gradual build-up of chemicals in plants and animals over time). Persistent chemicals in the environment may cause chronic health problems, particularly in higher order food chain animals and humans. </w:t>
      </w:r>
    </w:p>
    <w:p w14:paraId="54FFACFE" w14:textId="77777777" w:rsidR="00D22329" w:rsidRDefault="00D22329" w:rsidP="00307CE9">
      <w:pPr>
        <w:pStyle w:val="Body"/>
        <w:rPr>
          <w:b/>
          <w:i/>
        </w:rPr>
      </w:pPr>
    </w:p>
    <w:p w14:paraId="6869B97A" w14:textId="6D8E30BC" w:rsidR="00307CE9" w:rsidRPr="00E6110F" w:rsidRDefault="00307CE9" w:rsidP="00307CE9">
      <w:pPr>
        <w:pStyle w:val="Body"/>
        <w:rPr>
          <w:b/>
          <w:i/>
        </w:rPr>
      </w:pPr>
      <w:r w:rsidRPr="00E6110F">
        <w:rPr>
          <w:b/>
          <w:i/>
        </w:rPr>
        <w:t>Commonwealth of Australia</w:t>
      </w:r>
    </w:p>
    <w:p w14:paraId="0FE88B10" w14:textId="18474A3E" w:rsidR="00307CE9" w:rsidRDefault="00D65EE2" w:rsidP="00307CE9">
      <w:pPr>
        <w:pStyle w:val="Body"/>
      </w:pPr>
      <w:r>
        <w:t>In Australia several guidance documents are available on methods for assessing risks from use of industrial, agricultural and veterinary chemicals (EP</w:t>
      </w:r>
      <w:r w:rsidR="00BA603B">
        <w:t>H</w:t>
      </w:r>
      <w:r>
        <w:t xml:space="preserve">C 2009a, b; DoEE 2016a, b). </w:t>
      </w:r>
      <w:r w:rsidR="00307CE9" w:rsidRPr="00E6110F">
        <w:t xml:space="preserve">The Approved Criteria for Classifying Hazardous Substances (Commonwealth of Australia 2004) provides the mandatory criteria for determining whether a substance is hazardous based on its </w:t>
      </w:r>
      <w:r w:rsidR="0008032C">
        <w:t xml:space="preserve">human </w:t>
      </w:r>
      <w:r w:rsidR="00307CE9" w:rsidRPr="00E6110F">
        <w:t>health effects, and optional criteria for determining whether a substance is hazardous based on its ecotoxicological and physicochemical properties. These criteria are taken from Annex VI of EC Council Directive 67/548/EEC (as amended by Commission Directive 2001/59/EC of 6 August 2001).</w:t>
      </w:r>
    </w:p>
    <w:p w14:paraId="61BDAD66" w14:textId="77777777" w:rsidR="00D22329" w:rsidRPr="00E6110F" w:rsidRDefault="00D22329" w:rsidP="00D22329">
      <w:pPr>
        <w:pStyle w:val="Body"/>
        <w:rPr>
          <w:rFonts w:cs="HelveticaNeue Condensed"/>
        </w:rPr>
      </w:pPr>
      <w:r w:rsidRPr="00E6110F">
        <w:rPr>
          <w:rFonts w:cs="HelveticaNeue Condensed"/>
        </w:rPr>
        <w:t>Degradation threshold (half-life) data for each product or chemical should be compared to the criteria for determining chemical persistence (</w:t>
      </w:r>
      <w:r w:rsidRPr="00E6110F">
        <w:rPr>
          <w:rFonts w:cs="HelveticaNeue Condensed"/>
        </w:rPr>
        <w:fldChar w:fldCharType="begin" w:fldLock="1"/>
      </w:r>
      <w:r w:rsidRPr="00E6110F">
        <w:rPr>
          <w:rFonts w:cs="HelveticaNeue Condensed"/>
        </w:rPr>
        <w:instrText xml:space="preserve"> REF _Ref448932567 \h  \* MERGEFORMAT </w:instrText>
      </w:r>
      <w:r w:rsidRPr="00E6110F">
        <w:rPr>
          <w:rFonts w:cs="HelveticaNeue Condensed"/>
        </w:rPr>
      </w:r>
      <w:r w:rsidRPr="00E6110F">
        <w:rPr>
          <w:rFonts w:cs="HelveticaNeue Condensed"/>
        </w:rPr>
        <w:fldChar w:fldCharType="separate"/>
      </w:r>
      <w:r w:rsidRPr="00E6110F">
        <w:t xml:space="preserve">Table </w:t>
      </w:r>
      <w:r>
        <w:rPr>
          <w:noProof/>
        </w:rPr>
        <w:t>2</w:t>
      </w:r>
      <w:r>
        <w:rPr>
          <w:noProof/>
        </w:rPr>
        <w:noBreakHyphen/>
        <w:t>2</w:t>
      </w:r>
      <w:r w:rsidRPr="00E6110F">
        <w:rPr>
          <w:rFonts w:cs="HelveticaNeue Condensed"/>
        </w:rPr>
        <w:fldChar w:fldCharType="end"/>
      </w:r>
      <w:r w:rsidRPr="00E6110F">
        <w:rPr>
          <w:rFonts w:cs="HelveticaNeue Condensed"/>
        </w:rPr>
        <w:t>).</w:t>
      </w:r>
    </w:p>
    <w:p w14:paraId="44B20C87" w14:textId="77777777" w:rsidR="00D22329" w:rsidRPr="00E6110F" w:rsidRDefault="00D22329" w:rsidP="00D22329">
      <w:pPr>
        <w:pStyle w:val="Body"/>
        <w:rPr>
          <w:rFonts w:cs="HelveticaNeue Condensed"/>
        </w:rPr>
      </w:pPr>
    </w:p>
    <w:p w14:paraId="7D977526" w14:textId="009E5CAA" w:rsidR="00D22329" w:rsidRPr="00E6110F" w:rsidRDefault="00D22329" w:rsidP="00D22329">
      <w:pPr>
        <w:pStyle w:val="Imagecaption"/>
        <w:keepNext/>
        <w:pBdr>
          <w:top w:val="none" w:sz="0" w:space="0" w:color="auto"/>
        </w:pBdr>
      </w:pPr>
      <w:bookmarkStart w:id="56" w:name="_Toc494444692"/>
      <w:r w:rsidRPr="00E6110F">
        <w:t xml:space="preserve">Table </w:t>
      </w:r>
      <w:r>
        <w:fldChar w:fldCharType="begin" w:fldLock="1"/>
      </w:r>
      <w:r>
        <w:instrText xml:space="preserve"> STYLEREF 1 \s </w:instrText>
      </w:r>
      <w:r>
        <w:fldChar w:fldCharType="separate"/>
      </w:r>
      <w:r>
        <w:rPr>
          <w:noProof/>
        </w:rPr>
        <w:t>2</w:t>
      </w:r>
      <w:r>
        <w:fldChar w:fldCharType="end"/>
      </w:r>
      <w:r>
        <w:noBreakHyphen/>
      </w:r>
      <w:r>
        <w:fldChar w:fldCharType="begin"/>
      </w:r>
      <w:r>
        <w:instrText xml:space="preserve"> SEQ Table \* ARABIC \s 1 </w:instrText>
      </w:r>
      <w:r>
        <w:fldChar w:fldCharType="separate"/>
      </w:r>
      <w:r w:rsidR="00951AFC">
        <w:rPr>
          <w:noProof/>
        </w:rPr>
        <w:t>2</w:t>
      </w:r>
      <w:r>
        <w:fldChar w:fldCharType="end"/>
      </w:r>
      <w:r w:rsidRPr="00E6110F">
        <w:t xml:space="preserve"> Criteria for degradation threshold (half-life) for determining chemical persistence (</w:t>
      </w:r>
      <w:r>
        <w:t>EPHC 2009a, b; DoEE 2016a, b</w:t>
      </w:r>
      <w:r w:rsidRPr="00E6110F">
        <w:t>).</w:t>
      </w:r>
      <w:bookmarkEnd w:id="56"/>
    </w:p>
    <w:tbl>
      <w:tblPr>
        <w:tblStyle w:val="TableGrid"/>
        <w:tblW w:w="0" w:type="auto"/>
        <w:tblLook w:val="04A0" w:firstRow="1" w:lastRow="0" w:firstColumn="1" w:lastColumn="0" w:noHBand="0" w:noVBand="1"/>
      </w:tblPr>
      <w:tblGrid>
        <w:gridCol w:w="1555"/>
        <w:gridCol w:w="3685"/>
        <w:gridCol w:w="3770"/>
      </w:tblGrid>
      <w:tr w:rsidR="00D22329" w:rsidRPr="00E6110F" w14:paraId="3CB8C348" w14:textId="77777777" w:rsidTr="00865428">
        <w:tc>
          <w:tcPr>
            <w:tcW w:w="1555" w:type="dxa"/>
            <w:shd w:val="clear" w:color="auto" w:fill="F2F2F2" w:themeFill="background1" w:themeFillShade="F2"/>
          </w:tcPr>
          <w:p w14:paraId="36763867" w14:textId="77777777" w:rsidR="00D22329" w:rsidRPr="00E6110F" w:rsidRDefault="00D22329" w:rsidP="00865428">
            <w:pPr>
              <w:pStyle w:val="Body"/>
              <w:rPr>
                <w:rFonts w:cs="HelveticaNeue Condensed"/>
              </w:rPr>
            </w:pPr>
            <w:r w:rsidRPr="00E6110F">
              <w:rPr>
                <w:rFonts w:cs="HelveticaNeue Condensed"/>
              </w:rPr>
              <w:t>Medium</w:t>
            </w:r>
          </w:p>
        </w:tc>
        <w:tc>
          <w:tcPr>
            <w:tcW w:w="3685" w:type="dxa"/>
            <w:shd w:val="clear" w:color="auto" w:fill="F2F2F2" w:themeFill="background1" w:themeFillShade="F2"/>
          </w:tcPr>
          <w:p w14:paraId="705E9C29" w14:textId="77777777" w:rsidR="00D22329" w:rsidRPr="00E6110F" w:rsidRDefault="00D22329" w:rsidP="00865428">
            <w:pPr>
              <w:pStyle w:val="Body"/>
              <w:rPr>
                <w:rFonts w:cs="HelveticaNeue Condensed"/>
              </w:rPr>
            </w:pPr>
            <w:r w:rsidRPr="00E6110F">
              <w:rPr>
                <w:rFonts w:cs="HelveticaNeue Condensed"/>
              </w:rPr>
              <w:t>Degradation threshold criteria (half-life)</w:t>
            </w:r>
          </w:p>
        </w:tc>
        <w:tc>
          <w:tcPr>
            <w:tcW w:w="3770" w:type="dxa"/>
            <w:shd w:val="clear" w:color="auto" w:fill="F2F2F2" w:themeFill="background1" w:themeFillShade="F2"/>
          </w:tcPr>
          <w:p w14:paraId="7899BB70" w14:textId="77777777" w:rsidR="00D22329" w:rsidRPr="00E6110F" w:rsidRDefault="00D22329" w:rsidP="00865428">
            <w:pPr>
              <w:pStyle w:val="Body"/>
              <w:rPr>
                <w:rFonts w:cs="HelveticaNeue Condensed"/>
              </w:rPr>
            </w:pPr>
            <w:r w:rsidRPr="00E6110F">
              <w:rPr>
                <w:rFonts w:cs="HelveticaNeue Condensed"/>
              </w:rPr>
              <w:t>Method</w:t>
            </w:r>
          </w:p>
        </w:tc>
      </w:tr>
      <w:tr w:rsidR="00D22329" w:rsidRPr="00E6110F" w14:paraId="466B5C21" w14:textId="77777777" w:rsidTr="00865428">
        <w:tc>
          <w:tcPr>
            <w:tcW w:w="1555" w:type="dxa"/>
          </w:tcPr>
          <w:p w14:paraId="172863EC" w14:textId="77777777" w:rsidR="00D22329" w:rsidRPr="00E6110F" w:rsidRDefault="00D22329" w:rsidP="00865428">
            <w:pPr>
              <w:pStyle w:val="Body"/>
              <w:rPr>
                <w:rFonts w:cs="HelveticaNeue Condensed"/>
              </w:rPr>
            </w:pPr>
            <w:r w:rsidRPr="00E6110F">
              <w:rPr>
                <w:rFonts w:cs="HelveticaNeue Condensed"/>
              </w:rPr>
              <w:t>Air</w:t>
            </w:r>
          </w:p>
        </w:tc>
        <w:tc>
          <w:tcPr>
            <w:tcW w:w="3685" w:type="dxa"/>
          </w:tcPr>
          <w:p w14:paraId="038E0225" w14:textId="77777777" w:rsidR="00D22329" w:rsidRPr="00E6110F" w:rsidRDefault="00D22329" w:rsidP="00865428">
            <w:pPr>
              <w:pStyle w:val="Body"/>
              <w:rPr>
                <w:rFonts w:cs="HelveticaNeue Condensed"/>
              </w:rPr>
            </w:pPr>
            <w:r w:rsidRPr="00E6110F">
              <w:rPr>
                <w:rFonts w:ascii="Times New Roman" w:hAnsi="Times New Roman" w:cs="Times New Roman"/>
              </w:rPr>
              <w:t>≥</w:t>
            </w:r>
            <w:r w:rsidRPr="00E6110F">
              <w:rPr>
                <w:rFonts w:cs="HelveticaNeue Condensed"/>
              </w:rPr>
              <w:t xml:space="preserve"> 2 days </w:t>
            </w:r>
          </w:p>
        </w:tc>
        <w:tc>
          <w:tcPr>
            <w:tcW w:w="3770" w:type="dxa"/>
          </w:tcPr>
          <w:p w14:paraId="79F4FBC3" w14:textId="77777777" w:rsidR="00D22329" w:rsidRPr="00E6110F" w:rsidRDefault="00D22329" w:rsidP="00865428">
            <w:pPr>
              <w:pStyle w:val="Body"/>
              <w:rPr>
                <w:rFonts w:cs="HelveticaNeue Condensed"/>
              </w:rPr>
            </w:pPr>
          </w:p>
        </w:tc>
      </w:tr>
      <w:tr w:rsidR="00D22329" w:rsidRPr="00E6110F" w14:paraId="7A29CD10" w14:textId="77777777" w:rsidTr="00865428">
        <w:tc>
          <w:tcPr>
            <w:tcW w:w="1555" w:type="dxa"/>
          </w:tcPr>
          <w:p w14:paraId="1FBA343C" w14:textId="77777777" w:rsidR="00D22329" w:rsidRPr="00E6110F" w:rsidRDefault="00D22329" w:rsidP="00865428">
            <w:pPr>
              <w:pStyle w:val="Body"/>
              <w:rPr>
                <w:rFonts w:cs="HelveticaNeue Condensed"/>
              </w:rPr>
            </w:pPr>
            <w:r w:rsidRPr="00E6110F">
              <w:rPr>
                <w:rFonts w:cs="HelveticaNeue Condensed"/>
              </w:rPr>
              <w:t>Water</w:t>
            </w:r>
          </w:p>
        </w:tc>
        <w:tc>
          <w:tcPr>
            <w:tcW w:w="3685" w:type="dxa"/>
          </w:tcPr>
          <w:p w14:paraId="457297E5" w14:textId="77777777" w:rsidR="00D22329" w:rsidRPr="00E6110F" w:rsidRDefault="00D22329" w:rsidP="00865428">
            <w:pPr>
              <w:pStyle w:val="Body"/>
              <w:rPr>
                <w:rFonts w:cs="HelveticaNeue Condensed"/>
              </w:rPr>
            </w:pPr>
            <w:r w:rsidRPr="00E6110F">
              <w:rPr>
                <w:rFonts w:ascii="Times New Roman" w:hAnsi="Times New Roman" w:cs="Times New Roman"/>
              </w:rPr>
              <w:t>≥</w:t>
            </w:r>
            <w:r w:rsidRPr="00E6110F">
              <w:rPr>
                <w:rFonts w:cs="HelveticaNeue Condensed"/>
              </w:rPr>
              <w:t xml:space="preserve"> </w:t>
            </w:r>
            <w:r>
              <w:rPr>
                <w:rFonts w:cs="HelveticaNeue Condensed"/>
              </w:rPr>
              <w:t>2 months</w:t>
            </w:r>
          </w:p>
        </w:tc>
        <w:tc>
          <w:tcPr>
            <w:tcW w:w="3770" w:type="dxa"/>
          </w:tcPr>
          <w:p w14:paraId="583A0B93" w14:textId="77777777" w:rsidR="00D22329" w:rsidRPr="00E6110F" w:rsidRDefault="00D22329" w:rsidP="00865428">
            <w:pPr>
              <w:pStyle w:val="Body"/>
              <w:rPr>
                <w:rFonts w:cs="HelveticaNeue Condensed"/>
              </w:rPr>
            </w:pPr>
            <w:r w:rsidRPr="00E6110F">
              <w:rPr>
                <w:rFonts w:cs="HelveticaNeue Condensed"/>
              </w:rPr>
              <w:t>OECD Test Guideline 301 (freshwater)</w:t>
            </w:r>
          </w:p>
          <w:p w14:paraId="45DAE902" w14:textId="77777777" w:rsidR="00D22329" w:rsidRPr="00E6110F" w:rsidRDefault="00D22329" w:rsidP="00865428">
            <w:pPr>
              <w:pStyle w:val="Body"/>
              <w:rPr>
                <w:rFonts w:cs="HelveticaNeue Condensed"/>
              </w:rPr>
            </w:pPr>
            <w:r w:rsidRPr="00E6110F">
              <w:rPr>
                <w:rFonts w:cs="HelveticaNeue Condensed"/>
              </w:rPr>
              <w:t>OECD Test Guideline 306 (marine)</w:t>
            </w:r>
          </w:p>
        </w:tc>
      </w:tr>
      <w:tr w:rsidR="00D22329" w:rsidRPr="00E6110F" w14:paraId="61187E63" w14:textId="77777777" w:rsidTr="00865428">
        <w:tc>
          <w:tcPr>
            <w:tcW w:w="1555" w:type="dxa"/>
          </w:tcPr>
          <w:p w14:paraId="30ACC8C3" w14:textId="77777777" w:rsidR="00D22329" w:rsidRPr="00E6110F" w:rsidRDefault="00D22329" w:rsidP="00865428">
            <w:pPr>
              <w:pStyle w:val="Body"/>
              <w:rPr>
                <w:rFonts w:cs="HelveticaNeue Condensed"/>
              </w:rPr>
            </w:pPr>
            <w:r w:rsidRPr="00E6110F">
              <w:rPr>
                <w:rFonts w:cs="HelveticaNeue Condensed"/>
              </w:rPr>
              <w:t>Sediment</w:t>
            </w:r>
          </w:p>
        </w:tc>
        <w:tc>
          <w:tcPr>
            <w:tcW w:w="3685" w:type="dxa"/>
          </w:tcPr>
          <w:p w14:paraId="6F9EB4AF" w14:textId="77777777" w:rsidR="00D22329" w:rsidRPr="00E6110F" w:rsidRDefault="00D22329" w:rsidP="00865428">
            <w:pPr>
              <w:pStyle w:val="Body"/>
              <w:rPr>
                <w:rFonts w:cs="HelveticaNeue Condensed"/>
              </w:rPr>
            </w:pPr>
            <w:r w:rsidRPr="00E6110F">
              <w:rPr>
                <w:rFonts w:ascii="Times New Roman" w:hAnsi="Times New Roman" w:cs="Times New Roman"/>
              </w:rPr>
              <w:t>≥</w:t>
            </w:r>
            <w:r w:rsidRPr="00E6110F">
              <w:rPr>
                <w:rFonts w:cs="HelveticaNeue Condensed"/>
              </w:rPr>
              <w:t xml:space="preserve"> </w:t>
            </w:r>
            <w:r>
              <w:rPr>
                <w:rFonts w:cs="HelveticaNeue Condensed"/>
              </w:rPr>
              <w:t>6 months</w:t>
            </w:r>
          </w:p>
        </w:tc>
        <w:tc>
          <w:tcPr>
            <w:tcW w:w="3770" w:type="dxa"/>
          </w:tcPr>
          <w:p w14:paraId="3686813B" w14:textId="77777777" w:rsidR="00D22329" w:rsidRPr="00E6110F" w:rsidRDefault="00D22329" w:rsidP="00865428">
            <w:pPr>
              <w:pStyle w:val="Body"/>
              <w:rPr>
                <w:rFonts w:cs="HelveticaNeue Condensed"/>
              </w:rPr>
            </w:pPr>
          </w:p>
        </w:tc>
      </w:tr>
      <w:tr w:rsidR="00D22329" w:rsidRPr="00E6110F" w14:paraId="452C459F" w14:textId="77777777" w:rsidTr="00865428">
        <w:tc>
          <w:tcPr>
            <w:tcW w:w="1555" w:type="dxa"/>
          </w:tcPr>
          <w:p w14:paraId="03B58086" w14:textId="77777777" w:rsidR="00D22329" w:rsidRPr="00E6110F" w:rsidRDefault="00D22329" w:rsidP="00865428">
            <w:pPr>
              <w:pStyle w:val="Body"/>
              <w:rPr>
                <w:rFonts w:cs="HelveticaNeue Condensed"/>
              </w:rPr>
            </w:pPr>
            <w:r w:rsidRPr="00E6110F">
              <w:rPr>
                <w:rFonts w:cs="HelveticaNeue Condensed"/>
              </w:rPr>
              <w:t>Soil</w:t>
            </w:r>
          </w:p>
        </w:tc>
        <w:tc>
          <w:tcPr>
            <w:tcW w:w="3685" w:type="dxa"/>
          </w:tcPr>
          <w:p w14:paraId="65103F03" w14:textId="77777777" w:rsidR="00D22329" w:rsidRPr="00E6110F" w:rsidRDefault="00D22329" w:rsidP="00865428">
            <w:pPr>
              <w:pStyle w:val="Body"/>
              <w:rPr>
                <w:rFonts w:cs="HelveticaNeue Condensed"/>
              </w:rPr>
            </w:pPr>
            <w:r w:rsidRPr="00E6110F">
              <w:rPr>
                <w:rFonts w:ascii="Times New Roman" w:hAnsi="Times New Roman" w:cs="Times New Roman"/>
              </w:rPr>
              <w:t>≥</w:t>
            </w:r>
            <w:r w:rsidRPr="00E6110F">
              <w:rPr>
                <w:rFonts w:cs="HelveticaNeue Condensed"/>
              </w:rPr>
              <w:t xml:space="preserve"> </w:t>
            </w:r>
            <w:r>
              <w:rPr>
                <w:rFonts w:cs="HelveticaNeue Condensed"/>
              </w:rPr>
              <w:t>6 months</w:t>
            </w:r>
          </w:p>
        </w:tc>
        <w:tc>
          <w:tcPr>
            <w:tcW w:w="3770" w:type="dxa"/>
          </w:tcPr>
          <w:p w14:paraId="3B4E47FB" w14:textId="77777777" w:rsidR="00D22329" w:rsidRPr="00E6110F" w:rsidRDefault="00D22329" w:rsidP="00865428">
            <w:pPr>
              <w:pStyle w:val="Body"/>
              <w:rPr>
                <w:rFonts w:cs="HelveticaNeue Condensed"/>
              </w:rPr>
            </w:pPr>
          </w:p>
        </w:tc>
      </w:tr>
    </w:tbl>
    <w:p w14:paraId="78800C70" w14:textId="39373E3C" w:rsidR="008C7689" w:rsidRPr="00E6110F" w:rsidRDefault="00307CE9" w:rsidP="00307CE9">
      <w:pPr>
        <w:pStyle w:val="Heading3"/>
      </w:pPr>
      <w:bookmarkStart w:id="57" w:name="_Toc494444482"/>
      <w:r>
        <w:t>Risk</w:t>
      </w:r>
      <w:r w:rsidR="008C7689" w:rsidRPr="00E6110F">
        <w:t xml:space="preserve"> assessments</w:t>
      </w:r>
      <w:bookmarkEnd w:id="57"/>
    </w:p>
    <w:p w14:paraId="2D8A1548" w14:textId="63DB135E" w:rsidR="00E34397" w:rsidRDefault="004B23AB" w:rsidP="00E34397">
      <w:pPr>
        <w:pStyle w:val="Body"/>
      </w:pPr>
      <w:r w:rsidRPr="00E6110F">
        <w:t xml:space="preserve">There is an increasing awareness of the multiple potential pathways leading to human health risks from hydraulic fracturing. Setback distances are a legislative method to mitigate potential risks. </w:t>
      </w:r>
      <w:r w:rsidR="00BD53F7" w:rsidRPr="00E6110F">
        <w:t xml:space="preserve">Haley et al. (2016) </w:t>
      </w:r>
      <w:r w:rsidRPr="00E6110F">
        <w:t>attempted to determine whether legal setback distances between well pad sites and the public are adequate in three shale plays</w:t>
      </w:r>
      <w:r w:rsidR="0032655E" w:rsidRPr="00E6110F">
        <w:t xml:space="preserve"> in the US</w:t>
      </w:r>
      <w:r w:rsidRPr="00E6110F">
        <w:t xml:space="preserve">. </w:t>
      </w:r>
      <w:r w:rsidR="0032655E" w:rsidRPr="00E6110F">
        <w:t>The authors</w:t>
      </w:r>
      <w:r w:rsidRPr="00E6110F">
        <w:t xml:space="preserve"> reviewed geography, current statutes and regulations, evacuations, thermal model</w:t>
      </w:r>
      <w:r w:rsidR="0032655E" w:rsidRPr="00E6110F">
        <w:t>l</w:t>
      </w:r>
      <w:r w:rsidRPr="00E6110F">
        <w:t>ing, air pollution studies, and vapo</w:t>
      </w:r>
      <w:r w:rsidR="0032655E" w:rsidRPr="00E6110F">
        <w:t>u</w:t>
      </w:r>
      <w:r w:rsidRPr="00E6110F">
        <w:t>r cloud model</w:t>
      </w:r>
      <w:r w:rsidR="0032655E" w:rsidRPr="00E6110F">
        <w:t>l</w:t>
      </w:r>
      <w:r w:rsidRPr="00E6110F">
        <w:t>ing within the Marcellus, Barnett, and Niobrara Shale Plays.</w:t>
      </w:r>
      <w:r w:rsidR="0032655E" w:rsidRPr="00E6110F">
        <w:t xml:space="preserve"> E</w:t>
      </w:r>
      <w:r w:rsidRPr="00E6110F">
        <w:t>vidence suggests that presently utili</w:t>
      </w:r>
      <w:r w:rsidR="0008032C">
        <w:t>s</w:t>
      </w:r>
      <w:r w:rsidRPr="00E6110F">
        <w:t>ed setbacks may leave the public vulnerable to explosions, radiant heat, toxic gas clouds, and air pollution from hydraulic fracturing activities.</w:t>
      </w:r>
      <w:r w:rsidR="0032655E" w:rsidRPr="00E6110F">
        <w:t xml:space="preserve"> </w:t>
      </w:r>
      <w:r w:rsidR="00602D23" w:rsidRPr="00E6110F">
        <w:t>Minimum setback distances range from 200 (Texas) to 500 (Colorado and Pennsylvania) feet</w:t>
      </w:r>
      <w:r w:rsidR="00F1141C">
        <w:t xml:space="preserve"> (or </w:t>
      </w:r>
      <w:r w:rsidR="0088514D">
        <w:t xml:space="preserve">61 to </w:t>
      </w:r>
      <w:r w:rsidR="007513A4">
        <w:t xml:space="preserve">152 </w:t>
      </w:r>
      <w:r w:rsidR="0088514D">
        <w:t>m</w:t>
      </w:r>
      <w:r w:rsidR="00F1141C">
        <w:t>)</w:t>
      </w:r>
      <w:r w:rsidR="00602D23" w:rsidRPr="00E6110F">
        <w:t xml:space="preserve">. </w:t>
      </w:r>
      <w:r w:rsidR="0032655E" w:rsidRPr="00E6110F">
        <w:t xml:space="preserve">Their </w:t>
      </w:r>
      <w:r w:rsidRPr="00E6110F">
        <w:t>results suggest that setback</w:t>
      </w:r>
      <w:r w:rsidR="00E57FEA">
        <w:t xml:space="preserve"> distances in the USA</w:t>
      </w:r>
      <w:r w:rsidRPr="00E6110F">
        <w:t xml:space="preserve"> may not be sufficient to reduce potential threats</w:t>
      </w:r>
      <w:r w:rsidR="0032655E" w:rsidRPr="00E6110F">
        <w:t xml:space="preserve"> </w:t>
      </w:r>
      <w:r w:rsidRPr="00E6110F">
        <w:t>to human health in areas where hydraulic fracturing occurs.</w:t>
      </w:r>
      <w:r w:rsidR="00E34397" w:rsidRPr="00E6110F">
        <w:t xml:space="preserve"> </w:t>
      </w:r>
      <w:r w:rsidR="005E5FD3">
        <w:t>T</w:t>
      </w:r>
      <w:r w:rsidR="00E34397" w:rsidRPr="00E6110F">
        <w:t>he study did not address drinking well, aquifer, and natural water contamination by formation fluids and hydraulic fracturing fluid.</w:t>
      </w:r>
    </w:p>
    <w:p w14:paraId="6F98C692" w14:textId="345235C2" w:rsidR="00577035" w:rsidRPr="00E6110F" w:rsidRDefault="006C1D80" w:rsidP="00E34397">
      <w:pPr>
        <w:pStyle w:val="Body"/>
      </w:pPr>
      <w:r>
        <w:t>In NSW</w:t>
      </w:r>
      <w:r w:rsidR="0008032C">
        <w:t>,</w:t>
      </w:r>
      <w:r>
        <w:t xml:space="preserve"> CSG exclusion zones are defined that prohibit CSG development in residential areas and future residential growth areas (DP</w:t>
      </w:r>
      <w:r w:rsidR="004A7452">
        <w:t>and</w:t>
      </w:r>
      <w:r>
        <w:t xml:space="preserve">E 2014). Around such exclusion zones, CSG development is prohibited within a 2 km buffer zone. </w:t>
      </w:r>
      <w:r w:rsidR="00577035">
        <w:t>In Queensland a 200 m vertical depth setback has been defined for fracture stimulation within 2000 m of a water well (DEHP 2013). These restrictions prevent potential groundwater contamination or interference linked to fracture stimulation. A 2</w:t>
      </w:r>
      <w:r w:rsidR="0008032C">
        <w:t>-</w:t>
      </w:r>
      <w:r w:rsidR="00577035">
        <w:t>km exclusion zone around towns with more than 1000 people was stipulated in Queensland’s Resources Amendment Bill 2011, but lapsed in 2012 and was never en</w:t>
      </w:r>
      <w:r w:rsidR="000E0415">
        <w:t>acted</w:t>
      </w:r>
      <w:r w:rsidR="00577035">
        <w:t xml:space="preserve"> (Queensland Government 2014).</w:t>
      </w:r>
      <w:r w:rsidR="004B52E2">
        <w:t xml:space="preserve"> Further details about </w:t>
      </w:r>
      <w:r w:rsidR="00DD25E2">
        <w:t xml:space="preserve">CSG </w:t>
      </w:r>
      <w:r w:rsidR="004B52E2">
        <w:t>exclusion and buffer zones in other jurisdictions are available from NSW Chief Scientist and Engineer (</w:t>
      </w:r>
      <w:r w:rsidR="00DD25E2">
        <w:t>2014d</w:t>
      </w:r>
      <w:r w:rsidR="004B52E2">
        <w:t>).</w:t>
      </w:r>
    </w:p>
    <w:p w14:paraId="4268DD41" w14:textId="7C1327AA" w:rsidR="004407DC" w:rsidRPr="00E6110F" w:rsidRDefault="004407DC" w:rsidP="00307CE9">
      <w:pPr>
        <w:pStyle w:val="Heading3"/>
        <w:numPr>
          <w:ilvl w:val="3"/>
          <w:numId w:val="1"/>
        </w:numPr>
      </w:pPr>
      <w:bookmarkStart w:id="58" w:name="_Toc494444483"/>
      <w:r w:rsidRPr="00E6110F">
        <w:t>QGC 2</w:t>
      </w:r>
      <w:r w:rsidR="004F29FC" w:rsidRPr="00E6110F">
        <w:t>012</w:t>
      </w:r>
      <w:bookmarkEnd w:id="58"/>
    </w:p>
    <w:p w14:paraId="2C669B53" w14:textId="51E93C78" w:rsidR="00564EEB" w:rsidRPr="00E6110F" w:rsidRDefault="006018DC" w:rsidP="004F29FC">
      <w:pPr>
        <w:pStyle w:val="Body"/>
        <w:rPr>
          <w:b/>
          <w:i/>
        </w:rPr>
      </w:pPr>
      <w:r w:rsidRPr="00E6110F">
        <w:rPr>
          <w:b/>
          <w:i/>
        </w:rPr>
        <w:t>Environmental</w:t>
      </w:r>
      <w:r w:rsidR="00306A06" w:rsidRPr="00E6110F">
        <w:rPr>
          <w:b/>
          <w:i/>
        </w:rPr>
        <w:t xml:space="preserve"> r</w:t>
      </w:r>
      <w:r w:rsidR="00564EEB" w:rsidRPr="00E6110F">
        <w:rPr>
          <w:b/>
          <w:i/>
        </w:rPr>
        <w:t>isk assessment</w:t>
      </w:r>
    </w:p>
    <w:p w14:paraId="593736AD" w14:textId="3BFF0BFB" w:rsidR="00564EEB" w:rsidRPr="00E6110F" w:rsidRDefault="00564EEB" w:rsidP="00865C7E">
      <w:pPr>
        <w:pStyle w:val="Body"/>
      </w:pPr>
      <w:r w:rsidRPr="00E6110F">
        <w:t xml:space="preserve">As part of QGC’s environmental risk assessment for its </w:t>
      </w:r>
      <w:r w:rsidR="00306A06" w:rsidRPr="00E6110F">
        <w:t>Southern, Central and Northern CSF fields in the Surat Basin</w:t>
      </w:r>
      <w:r w:rsidRPr="00E6110F">
        <w:t xml:space="preserve">, a </w:t>
      </w:r>
      <w:r w:rsidR="0008032C">
        <w:t>c</w:t>
      </w:r>
      <w:r w:rsidR="0008032C" w:rsidRPr="00E6110F">
        <w:t xml:space="preserve">onceptual </w:t>
      </w:r>
      <w:r w:rsidR="0008032C">
        <w:t>s</w:t>
      </w:r>
      <w:r w:rsidR="0008032C" w:rsidRPr="00E6110F">
        <w:t xml:space="preserve">ite </w:t>
      </w:r>
      <w:r w:rsidR="0008032C">
        <w:t>m</w:t>
      </w:r>
      <w:r w:rsidR="0008032C" w:rsidRPr="00E6110F">
        <w:t xml:space="preserve">odel </w:t>
      </w:r>
      <w:r w:rsidRPr="00E6110F">
        <w:t>was developed that provides the qualitative description of the plausible mechanisms by which receptors may be exposed to potential hazards</w:t>
      </w:r>
      <w:r w:rsidR="006018DC" w:rsidRPr="00E6110F">
        <w:t xml:space="preserve"> (QGC 2012)</w:t>
      </w:r>
      <w:r w:rsidR="0008032C">
        <w:t xml:space="preserve">. </w:t>
      </w:r>
      <w:r w:rsidRPr="00E6110F">
        <w:t>Source-pathway-exposure mechanisms were evaluated for completeness by assessing</w:t>
      </w:r>
      <w:r w:rsidR="0008032C">
        <w:t>:</w:t>
      </w:r>
    </w:p>
    <w:p w14:paraId="36397852" w14:textId="73D0B1C7" w:rsidR="00564EEB" w:rsidRPr="00E6110F" w:rsidRDefault="00564EEB" w:rsidP="00C117A3">
      <w:pPr>
        <w:pStyle w:val="Body"/>
        <w:numPr>
          <w:ilvl w:val="0"/>
          <w:numId w:val="29"/>
        </w:numPr>
      </w:pPr>
      <w:r w:rsidRPr="00E6110F">
        <w:t>A potential hazardous chemical source</w:t>
      </w:r>
      <w:r w:rsidR="005233BF">
        <w:t>.</w:t>
      </w:r>
    </w:p>
    <w:p w14:paraId="55C9AF30" w14:textId="2841118F" w:rsidR="00564EEB" w:rsidRPr="00E6110F" w:rsidRDefault="00564EEB" w:rsidP="00C117A3">
      <w:pPr>
        <w:pStyle w:val="Body"/>
        <w:numPr>
          <w:ilvl w:val="0"/>
          <w:numId w:val="29"/>
        </w:numPr>
      </w:pPr>
      <w:r w:rsidRPr="00E6110F">
        <w:t>A mechanism for release of the chemical or hazard from the source</w:t>
      </w:r>
      <w:r w:rsidR="005233BF">
        <w:t>.</w:t>
      </w:r>
    </w:p>
    <w:p w14:paraId="3552B6A1" w14:textId="634B74F0" w:rsidR="00564EEB" w:rsidRPr="00E6110F" w:rsidRDefault="00564EEB" w:rsidP="00C117A3">
      <w:pPr>
        <w:pStyle w:val="Body"/>
        <w:numPr>
          <w:ilvl w:val="0"/>
          <w:numId w:val="29"/>
        </w:numPr>
      </w:pPr>
      <w:r w:rsidRPr="00E6110F">
        <w:t>A pathway for the chemical or hazard to migrate to a potential receptor</w:t>
      </w:r>
      <w:r w:rsidR="005233BF">
        <w:t>.</w:t>
      </w:r>
    </w:p>
    <w:p w14:paraId="4135116F" w14:textId="60D1FACB" w:rsidR="00564EEB" w:rsidRPr="00E6110F" w:rsidRDefault="00564EEB" w:rsidP="00C117A3">
      <w:pPr>
        <w:pStyle w:val="Body"/>
        <w:numPr>
          <w:ilvl w:val="0"/>
          <w:numId w:val="29"/>
        </w:numPr>
      </w:pPr>
      <w:r w:rsidRPr="00E6110F">
        <w:t>Potential receptors of hazard</w:t>
      </w:r>
      <w:r w:rsidR="005233BF">
        <w:t>.</w:t>
      </w:r>
    </w:p>
    <w:p w14:paraId="3DB94A90" w14:textId="77777777" w:rsidR="00306A06" w:rsidRPr="00E6110F" w:rsidRDefault="00564EEB" w:rsidP="00C117A3">
      <w:pPr>
        <w:pStyle w:val="Body"/>
        <w:numPr>
          <w:ilvl w:val="0"/>
          <w:numId w:val="29"/>
        </w:numPr>
        <w:rPr>
          <w:b/>
          <w:i/>
        </w:rPr>
      </w:pPr>
      <w:r w:rsidRPr="00E6110F">
        <w:t>A mechanism for chemical or hazard exposure by receptors.</w:t>
      </w:r>
    </w:p>
    <w:p w14:paraId="11B91F62" w14:textId="086E4E6F" w:rsidR="00564EEB" w:rsidRPr="00E6110F" w:rsidRDefault="00564EEB" w:rsidP="00306A06">
      <w:pPr>
        <w:pStyle w:val="Body"/>
        <w:ind w:left="720"/>
        <w:rPr>
          <w:b/>
          <w:i/>
        </w:rPr>
      </w:pPr>
      <w:r w:rsidRPr="00E6110F">
        <w:rPr>
          <w:b/>
          <w:i/>
        </w:rPr>
        <w:t xml:space="preserve"> </w:t>
      </w:r>
    </w:p>
    <w:p w14:paraId="128642F8" w14:textId="05F59A64" w:rsidR="009459A0" w:rsidRPr="00E6110F" w:rsidRDefault="003B42AA" w:rsidP="00564EEB">
      <w:pPr>
        <w:pStyle w:val="Body"/>
        <w:rPr>
          <w:b/>
          <w:i/>
        </w:rPr>
      </w:pPr>
      <w:r w:rsidRPr="00E6110F">
        <w:rPr>
          <w:b/>
          <w:i/>
        </w:rPr>
        <w:t>Hydraulic f</w:t>
      </w:r>
      <w:r w:rsidR="009459A0" w:rsidRPr="00E6110F">
        <w:rPr>
          <w:b/>
          <w:i/>
        </w:rPr>
        <w:t>racture design</w:t>
      </w:r>
    </w:p>
    <w:p w14:paraId="51E3C75C" w14:textId="1E4C621F" w:rsidR="004F29FC" w:rsidRPr="00E6110F" w:rsidRDefault="004F29FC" w:rsidP="004F29FC">
      <w:pPr>
        <w:pStyle w:val="Body"/>
      </w:pPr>
      <w:r w:rsidRPr="00E6110F">
        <w:t>QGC uses industry-wide acknowledged hydraulic fracture modelling software to predict fracture spread. Fracture</w:t>
      </w:r>
      <w:r w:rsidR="00CA5217" w:rsidRPr="00E6110F">
        <w:t xml:space="preserve"> </w:t>
      </w:r>
      <w:r w:rsidRPr="00E6110F">
        <w:t>geometries are modelled for all proposed activities to provide a high degree of confidence the fractures will</w:t>
      </w:r>
      <w:r w:rsidR="00CA5217" w:rsidRPr="00E6110F">
        <w:t xml:space="preserve"> </w:t>
      </w:r>
      <w:r w:rsidRPr="00E6110F">
        <w:t xml:space="preserve">remain within the </w:t>
      </w:r>
      <w:r w:rsidR="0008032C" w:rsidRPr="00E6110F">
        <w:t xml:space="preserve">Walloon Coal Measures </w:t>
      </w:r>
      <w:r w:rsidR="0008032C">
        <w:t>(</w:t>
      </w:r>
      <w:r w:rsidRPr="00E6110F">
        <w:t>WCM</w:t>
      </w:r>
      <w:r w:rsidR="0008032C">
        <w:t>)</w:t>
      </w:r>
      <w:r w:rsidRPr="00E6110F">
        <w:t xml:space="preserve">. Typically fracturing of the </w:t>
      </w:r>
      <w:r w:rsidR="0008032C">
        <w:t xml:space="preserve">WCM </w:t>
      </w:r>
      <w:r w:rsidRPr="00E6110F">
        <w:t>has an estimated fracture height range of between 0 to 40 m and an estimated average lateral extent of approximately 100 m.</w:t>
      </w:r>
    </w:p>
    <w:p w14:paraId="5C7CCF85" w14:textId="75D19EE7" w:rsidR="004F29FC" w:rsidRPr="00E6110F" w:rsidRDefault="004F29FC" w:rsidP="004F29FC">
      <w:pPr>
        <w:pStyle w:val="Body"/>
        <w:rPr>
          <w:b/>
          <w:i/>
        </w:rPr>
      </w:pPr>
      <w:r w:rsidRPr="00E6110F">
        <w:rPr>
          <w:b/>
          <w:i/>
        </w:rPr>
        <w:t>Exposure pathways</w:t>
      </w:r>
    </w:p>
    <w:p w14:paraId="22D987AA" w14:textId="4A772C06" w:rsidR="004F29FC" w:rsidRPr="00E6110F" w:rsidRDefault="004F29FC" w:rsidP="004F29FC">
      <w:pPr>
        <w:pStyle w:val="Body"/>
      </w:pPr>
      <w:r w:rsidRPr="00E6110F">
        <w:t xml:space="preserve">QGC (2012) identified a number of potential surface and sub-surface exposure pathways for stimulation fluids to reach the receiving environment. </w:t>
      </w:r>
      <w:r w:rsidR="00CD528E" w:rsidRPr="00E6110F">
        <w:t>Sub-surface pathways considered m</w:t>
      </w:r>
      <w:r w:rsidRPr="00E6110F">
        <w:t xml:space="preserve">igration of </w:t>
      </w:r>
      <w:r w:rsidR="00CD528E" w:rsidRPr="00E6110F">
        <w:t>hydraulic fracturing fluids</w:t>
      </w:r>
      <w:r w:rsidRPr="00E6110F">
        <w:t xml:space="preserve"> or water with co</w:t>
      </w:r>
      <w:r w:rsidR="00CD528E" w:rsidRPr="00E6110F">
        <w:t>mpounds derived from coal layers</w:t>
      </w:r>
      <w:r w:rsidRPr="00E6110F">
        <w:t xml:space="preserve"> during the stimulation process into aquifers in the vicinity of the stimulation well:</w:t>
      </w:r>
    </w:p>
    <w:p w14:paraId="680F0DC4" w14:textId="735CEF5D" w:rsidR="004F29FC" w:rsidRPr="00E6110F" w:rsidRDefault="0008032C" w:rsidP="00C117A3">
      <w:pPr>
        <w:pStyle w:val="Body"/>
        <w:numPr>
          <w:ilvl w:val="0"/>
          <w:numId w:val="28"/>
        </w:numPr>
      </w:pPr>
      <w:r>
        <w:t>v</w:t>
      </w:r>
      <w:r w:rsidRPr="00E6110F">
        <w:t xml:space="preserve">ia </w:t>
      </w:r>
      <w:r w:rsidR="004F29FC" w:rsidRPr="00E6110F">
        <w:t>new fractures developed during stimulation, leading to connection with the overlying Springbok Sandstone or</w:t>
      </w:r>
      <w:r w:rsidR="00CD528E" w:rsidRPr="00E6110F">
        <w:t xml:space="preserve"> </w:t>
      </w:r>
      <w:r w:rsidR="004F29FC" w:rsidRPr="00E6110F">
        <w:t>underlying Hutton Sandstone</w:t>
      </w:r>
      <w:r>
        <w:t>;</w:t>
      </w:r>
      <w:r w:rsidR="004F29FC" w:rsidRPr="00E6110F">
        <w:t xml:space="preserve"> </w:t>
      </w:r>
    </w:p>
    <w:p w14:paraId="7AFE3749" w14:textId="4F57B427" w:rsidR="004F29FC" w:rsidRPr="00E6110F" w:rsidRDefault="0008032C" w:rsidP="00C117A3">
      <w:pPr>
        <w:pStyle w:val="Body"/>
        <w:numPr>
          <w:ilvl w:val="0"/>
          <w:numId w:val="28"/>
        </w:numPr>
      </w:pPr>
      <w:r>
        <w:t>v</w:t>
      </w:r>
      <w:r w:rsidRPr="00E6110F">
        <w:t xml:space="preserve">ia </w:t>
      </w:r>
      <w:r w:rsidR="004F29FC" w:rsidRPr="00E6110F">
        <w:t>pre-existing hydraulic continuity with the Springbok or Hutton Sandstone</w:t>
      </w:r>
      <w:r>
        <w:t>; and</w:t>
      </w:r>
    </w:p>
    <w:p w14:paraId="406D3182" w14:textId="72A70F43" w:rsidR="004F29FC" w:rsidRPr="00E6110F" w:rsidRDefault="0008032C" w:rsidP="00C117A3">
      <w:pPr>
        <w:pStyle w:val="Body"/>
        <w:numPr>
          <w:ilvl w:val="0"/>
          <w:numId w:val="28"/>
        </w:numPr>
      </w:pPr>
      <w:proofErr w:type="gramStart"/>
      <w:r>
        <w:t>v</w:t>
      </w:r>
      <w:r w:rsidRPr="00E6110F">
        <w:t>ia</w:t>
      </w:r>
      <w:proofErr w:type="gramEnd"/>
      <w:r w:rsidRPr="00E6110F">
        <w:t xml:space="preserve"> </w:t>
      </w:r>
      <w:r w:rsidR="004F29FC" w:rsidRPr="00E6110F">
        <w:t>leakage around the casing of the drilled well itself, into overlying aquifers, including near surface alluvial aquifers.</w:t>
      </w:r>
    </w:p>
    <w:p w14:paraId="722C4FCC" w14:textId="72EBE599" w:rsidR="004F29FC" w:rsidRPr="00E6110F" w:rsidRDefault="00CD528E" w:rsidP="004F29FC">
      <w:pPr>
        <w:pStyle w:val="Body"/>
      </w:pPr>
      <w:r w:rsidRPr="00E6110F">
        <w:t xml:space="preserve">An </w:t>
      </w:r>
      <w:r w:rsidR="004F29FC" w:rsidRPr="00E6110F">
        <w:t>assess</w:t>
      </w:r>
      <w:r w:rsidRPr="00E6110F">
        <w:t xml:space="preserve">ment of these pathways </w:t>
      </w:r>
      <w:r w:rsidR="004F29FC" w:rsidRPr="00E6110F">
        <w:t>concluded that</w:t>
      </w:r>
      <w:r w:rsidR="0008032C">
        <w:t>,</w:t>
      </w:r>
      <w:r w:rsidR="004F29FC" w:rsidRPr="00E6110F">
        <w:t xml:space="preserve"> under most circumstances,</w:t>
      </w:r>
      <w:r w:rsidRPr="00E6110F">
        <w:t xml:space="preserve"> such</w:t>
      </w:r>
      <w:r w:rsidR="004F29FC" w:rsidRPr="00E6110F">
        <w:t xml:space="preserve"> pathways will not exist. This is due to the standard procedure of developing the well </w:t>
      </w:r>
      <w:r w:rsidR="00695B11" w:rsidRPr="00E6110F">
        <w:t xml:space="preserve">soon </w:t>
      </w:r>
      <w:r w:rsidR="004F29FC" w:rsidRPr="00E6110F">
        <w:t>after</w:t>
      </w:r>
      <w:r w:rsidRPr="00E6110F">
        <w:t xml:space="preserve"> hydraulic fracture operation</w:t>
      </w:r>
      <w:r w:rsidR="004F29FC" w:rsidRPr="00E6110F">
        <w:t xml:space="preserve">, </w:t>
      </w:r>
      <w:r w:rsidR="00695B11" w:rsidRPr="00E6110F">
        <w:t xml:space="preserve">thus </w:t>
      </w:r>
      <w:r w:rsidR="004F29FC" w:rsidRPr="00E6110F">
        <w:t xml:space="preserve">causing groundwater and any </w:t>
      </w:r>
      <w:r w:rsidR="00695B11" w:rsidRPr="00E6110F">
        <w:t xml:space="preserve">hydraulic fracturing </w:t>
      </w:r>
      <w:r w:rsidR="004F29FC" w:rsidRPr="00E6110F">
        <w:t>chemicals that have migrated away to flow back towards</w:t>
      </w:r>
      <w:r w:rsidRPr="00E6110F">
        <w:t xml:space="preserve"> </w:t>
      </w:r>
      <w:r w:rsidR="004F29FC" w:rsidRPr="00E6110F">
        <w:t xml:space="preserve">the </w:t>
      </w:r>
      <w:r w:rsidR="00695B11" w:rsidRPr="00E6110F">
        <w:t xml:space="preserve">CSG </w:t>
      </w:r>
      <w:r w:rsidR="004F29FC" w:rsidRPr="00E6110F">
        <w:t>well and be captured at the surface.</w:t>
      </w:r>
    </w:p>
    <w:p w14:paraId="40D8B71F" w14:textId="35ECCF46" w:rsidR="004F29FC" w:rsidRPr="00E6110F" w:rsidRDefault="00330036" w:rsidP="004F29FC">
      <w:pPr>
        <w:pStyle w:val="Body"/>
        <w:rPr>
          <w:b/>
          <w:i/>
        </w:rPr>
      </w:pPr>
      <w:r w:rsidRPr="00E6110F">
        <w:rPr>
          <w:b/>
          <w:i/>
        </w:rPr>
        <w:t>Risk assessment findings</w:t>
      </w:r>
    </w:p>
    <w:p w14:paraId="5C77905C" w14:textId="399D4747" w:rsidR="00844467" w:rsidRPr="00E6110F" w:rsidRDefault="00844467" w:rsidP="00844467">
      <w:pPr>
        <w:pStyle w:val="Body"/>
      </w:pPr>
      <w:r w:rsidRPr="00E6110F">
        <w:t>For the sub-surface pathway, t</w:t>
      </w:r>
      <w:r w:rsidR="00FE6F3D" w:rsidRPr="00E6110F">
        <w:t xml:space="preserve">he risk assessment has indicated low risk to health and environment for </w:t>
      </w:r>
      <w:r w:rsidRPr="00E6110F">
        <w:t xml:space="preserve">hydraulic fracturing </w:t>
      </w:r>
      <w:r w:rsidR="00FE6F3D" w:rsidRPr="00E6110F">
        <w:t>chemicals used</w:t>
      </w:r>
      <w:r w:rsidRPr="00E6110F">
        <w:t xml:space="preserve">. Monitoring of water quality in the WCM aquifer was undertaken both pre- and post-fracturing as part of the risk assessment of hydraulic fracturing fluids. Ambient water quality in the WCM typically has salinity and metal </w:t>
      </w:r>
      <w:r w:rsidR="0008032C">
        <w:t>concentrations</w:t>
      </w:r>
      <w:r w:rsidR="0008032C" w:rsidRPr="00E6110F">
        <w:t xml:space="preserve"> </w:t>
      </w:r>
      <w:r w:rsidRPr="00E6110F">
        <w:t>in excess of ecological screening criteria. Following hydraulic fracturing, monitoring of wells targeting the WCM indicate</w:t>
      </w:r>
      <w:r w:rsidR="00342ACE">
        <w:t>d</w:t>
      </w:r>
      <w:r w:rsidRPr="00E6110F">
        <w:t xml:space="preserve"> increases in TDS, chloride, sodium, calcium, boron, </w:t>
      </w:r>
      <w:r w:rsidR="00342ACE">
        <w:t>sulfate</w:t>
      </w:r>
      <w:r w:rsidRPr="00E6110F">
        <w:t>, magnesium, manganese, zinc and phenol</w:t>
      </w:r>
      <w:r w:rsidR="00342ACE">
        <w:t xml:space="preserve"> concentrations</w:t>
      </w:r>
      <w:r w:rsidRPr="00E6110F">
        <w:t>. The assessment concluded that the long-term changes in these parameters will not result in a change in classification of the water relative to the selected human health and ecological threshold criteria.</w:t>
      </w:r>
    </w:p>
    <w:p w14:paraId="464D6BC8" w14:textId="61C4408A" w:rsidR="00844467" w:rsidRPr="00E6110F" w:rsidRDefault="00640050" w:rsidP="00640050">
      <w:pPr>
        <w:pStyle w:val="Body"/>
      </w:pPr>
      <w:r w:rsidRPr="00E6110F">
        <w:t>Due to the depth of stimulation activities in the WCM (greater than 400 m), limited coal thickness and extent, the estimated fracture height range of between 0 and 40 m and an estimated average lateral extent of about 100 m, and the stimulation fluid water quality, there is considered to be little risk of contamination of other formations and negligible risk of contamination of surface waters.</w:t>
      </w:r>
    </w:p>
    <w:p w14:paraId="3B803839" w14:textId="1A16745D" w:rsidR="004407DC" w:rsidRPr="00E6110F" w:rsidRDefault="004407DC" w:rsidP="00307CE9">
      <w:pPr>
        <w:pStyle w:val="Heading3"/>
        <w:numPr>
          <w:ilvl w:val="3"/>
          <w:numId w:val="1"/>
        </w:numPr>
      </w:pPr>
      <w:bookmarkStart w:id="59" w:name="_Toc494444484"/>
      <w:r w:rsidRPr="00E6110F">
        <w:t>Santos</w:t>
      </w:r>
      <w:r w:rsidR="00C84BD5">
        <w:t xml:space="preserve"> 2014</w:t>
      </w:r>
      <w:bookmarkEnd w:id="59"/>
    </w:p>
    <w:p w14:paraId="04C667A1" w14:textId="549E6260" w:rsidR="00B76E25" w:rsidRPr="00E6110F" w:rsidRDefault="00B76E25" w:rsidP="00E34397">
      <w:pPr>
        <w:pStyle w:val="Body"/>
        <w:rPr>
          <w:b/>
          <w:i/>
        </w:rPr>
      </w:pPr>
      <w:r w:rsidRPr="00E6110F">
        <w:rPr>
          <w:b/>
          <w:i/>
        </w:rPr>
        <w:t>Risk assessment process</w:t>
      </w:r>
    </w:p>
    <w:p w14:paraId="01C5927C" w14:textId="356783B6" w:rsidR="00884914" w:rsidRPr="00E6110F" w:rsidRDefault="00037B9C" w:rsidP="00884914">
      <w:pPr>
        <w:pStyle w:val="Body"/>
      </w:pPr>
      <w:r w:rsidRPr="00E6110F">
        <w:t>Santos (2014) used a</w:t>
      </w:r>
      <w:r w:rsidR="00884914" w:rsidRPr="00E6110F">
        <w:t xml:space="preserve"> weight-of-evidence approach to evaluate the potential for human health and environmental risks as a result of </w:t>
      </w:r>
      <w:r w:rsidRPr="00E6110F">
        <w:t>its</w:t>
      </w:r>
      <w:r w:rsidR="00884914" w:rsidRPr="00E6110F">
        <w:t xml:space="preserve"> hydraulic fracturing processes</w:t>
      </w:r>
      <w:r w:rsidRPr="00E6110F">
        <w:t xml:space="preserve"> for its GLNG project in the Surat and Bowen Basins, Queensland</w:t>
      </w:r>
      <w:r w:rsidR="00884914" w:rsidRPr="00E6110F">
        <w:t>. In development of the risk assessment, the site setting, land</w:t>
      </w:r>
      <w:r w:rsidRPr="00E6110F">
        <w:t xml:space="preserve"> </w:t>
      </w:r>
      <w:r w:rsidR="00884914" w:rsidRPr="00E6110F">
        <w:t xml:space="preserve">use, hydrogeological conditions and beneficial uses of groundwater </w:t>
      </w:r>
      <w:r w:rsidRPr="00E6110F">
        <w:t>have been</w:t>
      </w:r>
      <w:r w:rsidR="00884914" w:rsidRPr="00E6110F">
        <w:t xml:space="preserve"> considered.</w:t>
      </w:r>
    </w:p>
    <w:p w14:paraId="738CF755" w14:textId="57BA81E0" w:rsidR="007520E7" w:rsidRPr="00E6110F" w:rsidRDefault="00884914" w:rsidP="00884914">
      <w:pPr>
        <w:pStyle w:val="Body"/>
      </w:pPr>
      <w:r w:rsidRPr="00E6110F">
        <w:t>The risk assessment involve</w:t>
      </w:r>
      <w:r w:rsidR="00342ACE">
        <w:t>d</w:t>
      </w:r>
      <w:r w:rsidRPr="00E6110F">
        <w:t xml:space="preserve"> a systematic assessment of the toxicity of the chemicals used in hydraulic fracturing and the potential for exposures to humans and ecological receptors. During this process, key constituents of potential concern </w:t>
      </w:r>
      <w:r w:rsidR="00342ACE">
        <w:t>we</w:t>
      </w:r>
      <w:r w:rsidR="00342ACE" w:rsidRPr="00E6110F">
        <w:t xml:space="preserve">re </w:t>
      </w:r>
      <w:r w:rsidRPr="00E6110F">
        <w:t>identified and the effectiveness of exposure controls are considered. Through the process of evaluating potential exposure pathways, fate and transport modelling was also conducted to assess the mobility of chemicals within the coal seams. These components of work make up the qualitative component of the risk assessment.</w:t>
      </w:r>
    </w:p>
    <w:p w14:paraId="5F34BA40" w14:textId="291560DE" w:rsidR="00037B9C" w:rsidRPr="00E6110F" w:rsidRDefault="00037B9C" w:rsidP="00037B9C">
      <w:pPr>
        <w:pStyle w:val="Body"/>
      </w:pPr>
      <w:r w:rsidRPr="00E6110F">
        <w:t>On the basis of potential hazards identified in the qualitative risk assessment, and the potential for exposure to receptors identified in the exposure assessment, a quantitative risk assessment was conducted for human and ecological receptors (both terrestrial and aquatic). This quantitative risk assessment utilised methodologies outlined in the National Water Quality Management Strategy, National Environment Protection (Site Assessment) Measure (NEPM) and enHealth methodologies</w:t>
      </w:r>
      <w:r w:rsidR="0000301F" w:rsidRPr="00E6110F">
        <w:t xml:space="preserve"> (enHealth 2012)</w:t>
      </w:r>
      <w:r w:rsidRPr="00E6110F">
        <w:t>. This risk assessment methodology evaluated the potential risks posed by the combined mixture of chemicals and where flowback data was available, the combined risks posed by hydraulic fracturing chemicals and naturally occurring geogenic constituents.</w:t>
      </w:r>
    </w:p>
    <w:p w14:paraId="44903C21" w14:textId="4B57DD02" w:rsidR="00A77B55" w:rsidRPr="00E6110F" w:rsidRDefault="00B76E25" w:rsidP="00E34397">
      <w:pPr>
        <w:pStyle w:val="Body"/>
        <w:rPr>
          <w:b/>
          <w:i/>
        </w:rPr>
      </w:pPr>
      <w:r w:rsidRPr="00E6110F">
        <w:rPr>
          <w:b/>
          <w:i/>
        </w:rPr>
        <w:t>Risk assessment findings</w:t>
      </w:r>
    </w:p>
    <w:p w14:paraId="741DC354" w14:textId="22D792C4" w:rsidR="00B76E25" w:rsidRPr="00E6110F" w:rsidRDefault="00703D00" w:rsidP="00703D00">
      <w:pPr>
        <w:pStyle w:val="Body"/>
      </w:pPr>
      <w:r w:rsidRPr="00E6110F">
        <w:t>The weight</w:t>
      </w:r>
      <w:r w:rsidR="00342ACE">
        <w:t>-</w:t>
      </w:r>
      <w:r w:rsidRPr="00E6110F">
        <w:t>o</w:t>
      </w:r>
      <w:r w:rsidR="00EF488A">
        <w:t>f</w:t>
      </w:r>
      <w:r w:rsidR="00342ACE">
        <w:t>-</w:t>
      </w:r>
      <w:r w:rsidRPr="00E6110F">
        <w:t>evidence approach used was based on a combination of methodologies and models to assess the fate and transport of chemicals and their associated risks.</w:t>
      </w:r>
    </w:p>
    <w:p w14:paraId="03D95559" w14:textId="2EE99ED3" w:rsidR="00703D00" w:rsidRPr="00E6110F" w:rsidRDefault="00703D00" w:rsidP="00703D00">
      <w:pPr>
        <w:pStyle w:val="Body"/>
      </w:pPr>
      <w:r w:rsidRPr="00E6110F">
        <w:t xml:space="preserve">The toxicity of the chemicals used in the hydraulic fracturing process </w:t>
      </w:r>
      <w:r w:rsidR="00342ACE">
        <w:t>were</w:t>
      </w:r>
      <w:r w:rsidRPr="00E6110F">
        <w:t xml:space="preserve"> assessed for persistence, bioaccumulation and aquatic toxicity, terrestrial toxicity and human health toxicity. The assessment methodology determined that the chemicals used in hydraulic fracturing fluid operations can be generally characteri</w:t>
      </w:r>
      <w:r w:rsidR="00342ACE">
        <w:t>s</w:t>
      </w:r>
      <w:r w:rsidRPr="00E6110F">
        <w:t xml:space="preserve">ed as non-hazardous with no high hazard chemicals identified in the semi-quantitative assessments. Overall the health concerns from these chemicals </w:t>
      </w:r>
      <w:r w:rsidR="00342ACE">
        <w:t>we</w:t>
      </w:r>
      <w:r w:rsidR="00342ACE" w:rsidRPr="00E6110F">
        <w:t xml:space="preserve">re </w:t>
      </w:r>
      <w:r w:rsidRPr="00E6110F">
        <w:t>limited with the primary concerns identified associated with potential risks to aquatic receptors.</w:t>
      </w:r>
    </w:p>
    <w:p w14:paraId="45C26030" w14:textId="1B912B20" w:rsidR="00200E26" w:rsidRPr="00E6110F" w:rsidRDefault="00200E26" w:rsidP="00200E26">
      <w:pPr>
        <w:pStyle w:val="Body"/>
      </w:pPr>
      <w:r w:rsidRPr="00E6110F">
        <w:t>The methodology incorporated an assessment of potential exposures to human and ecological receptors, with the following identified as the only potentially complete exposure pathways:</w:t>
      </w:r>
    </w:p>
    <w:p w14:paraId="4CF0F790" w14:textId="2B3033AF" w:rsidR="00200E26" w:rsidRPr="00E6110F" w:rsidRDefault="00200E26" w:rsidP="00C117A3">
      <w:pPr>
        <w:pStyle w:val="Body"/>
        <w:numPr>
          <w:ilvl w:val="0"/>
          <w:numId w:val="30"/>
        </w:numPr>
      </w:pPr>
      <w:r w:rsidRPr="00E6110F">
        <w:t>Incidental ingestion and dermal contact by trespassers at well pads</w:t>
      </w:r>
    </w:p>
    <w:p w14:paraId="53563F41" w14:textId="70E2850E" w:rsidR="00200E26" w:rsidRPr="00E6110F" w:rsidRDefault="00200E26" w:rsidP="00C117A3">
      <w:pPr>
        <w:pStyle w:val="Body"/>
        <w:numPr>
          <w:ilvl w:val="0"/>
          <w:numId w:val="30"/>
        </w:numPr>
      </w:pPr>
      <w:r w:rsidRPr="00E6110F">
        <w:t>Livestock and native fauna exposure to flowback water (ingestion only) at the well pads</w:t>
      </w:r>
    </w:p>
    <w:p w14:paraId="2EC588B1" w14:textId="4B7281CC" w:rsidR="00200E26" w:rsidRPr="00E6110F" w:rsidRDefault="00200E26" w:rsidP="00C117A3">
      <w:pPr>
        <w:pStyle w:val="Body"/>
        <w:numPr>
          <w:ilvl w:val="0"/>
          <w:numId w:val="30"/>
        </w:numPr>
      </w:pPr>
      <w:r w:rsidRPr="00E6110F">
        <w:t>Potential releases of water to aquatic environments.</w:t>
      </w:r>
    </w:p>
    <w:p w14:paraId="10DC7A5A" w14:textId="2A9F8F85" w:rsidR="00134F0D" w:rsidRPr="00E6110F" w:rsidRDefault="00200E26" w:rsidP="00134F0D">
      <w:pPr>
        <w:pStyle w:val="Body"/>
      </w:pPr>
      <w:r w:rsidRPr="00E6110F">
        <w:t>Based on groundwater fate and transport modelling, no potentially complete exposure pathways were identified for groundwater.</w:t>
      </w:r>
      <w:r w:rsidR="00134F0D" w:rsidRPr="00E6110F">
        <w:t xml:space="preserve"> The solute transport modelling results suggest that organic chemicals of potential concern in the hydraulic fracturing fluid will be strongly attenuated within the coal seam, predominantly by adsorption. The extent of sorption of organic chemicals in aquifers depends on the content as well as nature of the organic carbon. The natural attenuation potential for organic chemicals within </w:t>
      </w:r>
      <w:r w:rsidR="00342ACE">
        <w:t xml:space="preserve">a </w:t>
      </w:r>
      <w:r w:rsidR="00134F0D" w:rsidRPr="00E6110F">
        <w:t>coal seam is significantly higher than that of natural soils due to the high content of organic carbon (50-70%).</w:t>
      </w:r>
    </w:p>
    <w:p w14:paraId="50AD37F8" w14:textId="537EC205" w:rsidR="007324EF" w:rsidRPr="00E6110F" w:rsidRDefault="007324EF" w:rsidP="007324EF">
      <w:pPr>
        <w:pStyle w:val="Body"/>
      </w:pPr>
      <w:r w:rsidRPr="00E6110F">
        <w:t>Furthermore, pathways to water bores co-located in the coal seam targets do not exist, since Santos GLNG’s procedures for selecting locations for gas production wells would preclude installation of a production well in close proximity to an identified water supply bore. Also, Santos (2014) report</w:t>
      </w:r>
      <w:r w:rsidR="00342ACE">
        <w:t>ed</w:t>
      </w:r>
      <w:r w:rsidRPr="00E6110F">
        <w:t xml:space="preserve"> that there </w:t>
      </w:r>
      <w:r w:rsidR="00342ACE">
        <w:t>was</w:t>
      </w:r>
      <w:r w:rsidRPr="00E6110F">
        <w:t xml:space="preserve"> no record of water supply wells screened within coal seams or in close proximity to Santos GLNG’s petroleum lease areas.</w:t>
      </w:r>
    </w:p>
    <w:p w14:paraId="0D1B4659" w14:textId="40E60A97" w:rsidR="00200E26" w:rsidRDefault="00200E26" w:rsidP="00200E26">
      <w:pPr>
        <w:pStyle w:val="Body"/>
      </w:pPr>
      <w:r w:rsidRPr="00E6110F">
        <w:t xml:space="preserve">Considering the hazard and exposure assessment and controls implemented by Santos GLNG, the overall risk to human health and environment associated with the chemicals involved in hydraulic fracturing </w:t>
      </w:r>
      <w:r w:rsidR="00342ACE">
        <w:t>wa</w:t>
      </w:r>
      <w:r w:rsidRPr="00E6110F">
        <w:t>s considered to be low.</w:t>
      </w:r>
    </w:p>
    <w:p w14:paraId="6A7AC563" w14:textId="02F34A40" w:rsidR="00C84BD5" w:rsidRDefault="00C84BD5" w:rsidP="00C84BD5">
      <w:pPr>
        <w:pStyle w:val="Heading3"/>
        <w:numPr>
          <w:ilvl w:val="3"/>
          <w:numId w:val="1"/>
        </w:numPr>
      </w:pPr>
      <w:bookmarkStart w:id="60" w:name="_Toc494444485"/>
      <w:r>
        <w:t>Santos 2016</w:t>
      </w:r>
      <w:bookmarkEnd w:id="60"/>
    </w:p>
    <w:p w14:paraId="75FC7E25" w14:textId="67FECFD9" w:rsidR="00C84BD5" w:rsidRPr="00930A46" w:rsidRDefault="00930A46" w:rsidP="00930A46">
      <w:pPr>
        <w:pStyle w:val="Body"/>
        <w:rPr>
          <w:b/>
          <w:i/>
        </w:rPr>
      </w:pPr>
      <w:r w:rsidRPr="00930A46">
        <w:rPr>
          <w:b/>
          <w:i/>
        </w:rPr>
        <w:t>Risk assessment process</w:t>
      </w:r>
    </w:p>
    <w:p w14:paraId="483AC82A" w14:textId="00471DB4" w:rsidR="00147F80" w:rsidRPr="00147F80" w:rsidRDefault="00147F80" w:rsidP="00147F80">
      <w:pPr>
        <w:pStyle w:val="Body"/>
      </w:pPr>
      <w:r w:rsidRPr="00147F80">
        <w:t xml:space="preserve">Santos GLNG has prepared a risk assessment of the chemicals </w:t>
      </w:r>
      <w:r w:rsidR="007F2641">
        <w:t xml:space="preserve">proposed to be used in </w:t>
      </w:r>
      <w:r>
        <w:t>d</w:t>
      </w:r>
      <w:r w:rsidRPr="00147F80">
        <w:t>rilling fluid</w:t>
      </w:r>
      <w:r w:rsidR="007F2641">
        <w:t>s</w:t>
      </w:r>
      <w:r>
        <w:t xml:space="preserve"> </w:t>
      </w:r>
      <w:r w:rsidR="00926169">
        <w:t xml:space="preserve">for </w:t>
      </w:r>
      <w:r w:rsidRPr="00147F80">
        <w:t xml:space="preserve">natural gas extraction </w:t>
      </w:r>
      <w:r w:rsidR="007F2641">
        <w:t xml:space="preserve">activities </w:t>
      </w:r>
      <w:r w:rsidRPr="00147F80">
        <w:t>for its GLNG GFD Project Area located in south central Queensland, across the Bowen and Surat Basins</w:t>
      </w:r>
      <w:r w:rsidR="007F2641">
        <w:t xml:space="preserve"> (Santos 2016)</w:t>
      </w:r>
      <w:r w:rsidRPr="00147F80">
        <w:t>.</w:t>
      </w:r>
    </w:p>
    <w:p w14:paraId="364DFF6C" w14:textId="674BF808" w:rsidR="00930A46" w:rsidRDefault="007F2641" w:rsidP="00147F80">
      <w:pPr>
        <w:pStyle w:val="Body"/>
      </w:pPr>
      <w:r>
        <w:t xml:space="preserve">The risk assessment is based on </w:t>
      </w:r>
      <w:r w:rsidR="00930A46">
        <w:t xml:space="preserve">the EPA-Expo-Box </w:t>
      </w:r>
      <w:r>
        <w:t>(</w:t>
      </w:r>
      <w:r w:rsidR="00F1531B">
        <w:t>US EPA 2016</w:t>
      </w:r>
      <w:r w:rsidR="00675C73">
        <w:t>b</w:t>
      </w:r>
      <w:r>
        <w:t xml:space="preserve">) </w:t>
      </w:r>
      <w:r w:rsidR="00930A46">
        <w:t xml:space="preserve">and the OECD Environmental Risk Assessment Toolkit </w:t>
      </w:r>
      <w:r>
        <w:t>(</w:t>
      </w:r>
      <w:r w:rsidR="009D6C31">
        <w:t>2014</w:t>
      </w:r>
      <w:r>
        <w:t xml:space="preserve">) which </w:t>
      </w:r>
      <w:r w:rsidR="00930A46">
        <w:t>provide a compendium of</w:t>
      </w:r>
      <w:r>
        <w:t xml:space="preserve"> </w:t>
      </w:r>
      <w:r w:rsidR="00930A46">
        <w:t>risk assess</w:t>
      </w:r>
      <w:r>
        <w:t>ment tools</w:t>
      </w:r>
      <w:r w:rsidR="00930A46">
        <w:t xml:space="preserve">. </w:t>
      </w:r>
      <w:r>
        <w:t>T</w:t>
      </w:r>
      <w:r w:rsidR="00930A46">
        <w:t>hese tools were used in the hazard assessment</w:t>
      </w:r>
      <w:r>
        <w:t xml:space="preserve"> </w:t>
      </w:r>
      <w:r w:rsidR="00930A46">
        <w:t>including preparation of the risk assessment dossiers (e.g., physico-chemical properties, environmental</w:t>
      </w:r>
      <w:r>
        <w:t xml:space="preserve"> </w:t>
      </w:r>
      <w:r w:rsidR="00930A46">
        <w:t>fate and transport parameters, ecological toxicological data, and mammalian toxicology data from</w:t>
      </w:r>
      <w:r>
        <w:t xml:space="preserve"> </w:t>
      </w:r>
      <w:r w:rsidR="00930A46">
        <w:t>databases linked to the OECD eChemPortal) and in the exposure assessment to define default exposure</w:t>
      </w:r>
      <w:r>
        <w:t xml:space="preserve"> </w:t>
      </w:r>
      <w:r w:rsidR="00930A46">
        <w:t>parameters.</w:t>
      </w:r>
    </w:p>
    <w:p w14:paraId="136615D4" w14:textId="36F2FEB4" w:rsidR="00E32649" w:rsidRDefault="007F2641" w:rsidP="00E32649">
      <w:pPr>
        <w:pStyle w:val="Body"/>
      </w:pPr>
      <w:r>
        <w:t>The risk assessment involved h</w:t>
      </w:r>
      <w:r w:rsidR="00930A46">
        <w:t xml:space="preserve">azard characterisation, exposure assessement, </w:t>
      </w:r>
      <w:r>
        <w:t xml:space="preserve">and </w:t>
      </w:r>
      <w:r w:rsidR="00930A46">
        <w:t>risk characterisation</w:t>
      </w:r>
      <w:r>
        <w:t xml:space="preserve"> during different phases of the lifecycle </w:t>
      </w:r>
      <w:r w:rsidRPr="00171BDB">
        <w:t>cycle of products utilised in well construction and completion</w:t>
      </w:r>
      <w:r>
        <w:t>.</w:t>
      </w:r>
      <w:r w:rsidR="00E32649">
        <w:t xml:space="preserve"> The scope of the assessment was:</w:t>
      </w:r>
    </w:p>
    <w:p w14:paraId="10408868" w14:textId="4E602CAC" w:rsidR="00E32649" w:rsidRDefault="00E32649" w:rsidP="00943534">
      <w:pPr>
        <w:pStyle w:val="Body"/>
        <w:numPr>
          <w:ilvl w:val="0"/>
          <w:numId w:val="65"/>
        </w:numPr>
      </w:pPr>
      <w:r w:rsidRPr="00E32649">
        <w:t>The transportation of chemicals from t</w:t>
      </w:r>
      <w:r>
        <w:t>he warehouse to the well lease;</w:t>
      </w:r>
    </w:p>
    <w:p w14:paraId="61AEFA10" w14:textId="77777777" w:rsidR="00E32649" w:rsidRDefault="00E32649" w:rsidP="00943534">
      <w:pPr>
        <w:pStyle w:val="Body"/>
        <w:numPr>
          <w:ilvl w:val="0"/>
          <w:numId w:val="65"/>
        </w:numPr>
      </w:pPr>
      <w:r w:rsidRPr="00E32649">
        <w:t>Activities associated with drilling fluid mixing</w:t>
      </w:r>
      <w:r>
        <w:t xml:space="preserve"> and use at the well lease; </w:t>
      </w:r>
    </w:p>
    <w:p w14:paraId="600A2E57" w14:textId="427EAD7D" w:rsidR="00171BDB" w:rsidRDefault="00E32649" w:rsidP="00943534">
      <w:pPr>
        <w:pStyle w:val="Body"/>
        <w:numPr>
          <w:ilvl w:val="0"/>
          <w:numId w:val="65"/>
        </w:numPr>
      </w:pPr>
      <w:r w:rsidRPr="00E32649">
        <w:t>Management, treatment and beneficial reuse during or after the completion of drilling activities</w:t>
      </w:r>
      <w:r>
        <w:t xml:space="preserve"> </w:t>
      </w:r>
      <w:r w:rsidRPr="00E32649">
        <w:t>at the well lease.</w:t>
      </w:r>
    </w:p>
    <w:p w14:paraId="6542923A" w14:textId="76A84322" w:rsidR="00171BDB" w:rsidRPr="00171BDB" w:rsidRDefault="00171BDB" w:rsidP="00171BDB">
      <w:pPr>
        <w:pStyle w:val="Body"/>
      </w:pPr>
      <w:r w:rsidRPr="00171BDB">
        <w:t>The steps in the hazard assessment combine the hazard identification and the hazard assessment process:</w:t>
      </w:r>
    </w:p>
    <w:p w14:paraId="3EF83501" w14:textId="10D263D6" w:rsidR="00171BDB" w:rsidRPr="00171BDB" w:rsidRDefault="00171BDB" w:rsidP="00943534">
      <w:pPr>
        <w:pStyle w:val="Body"/>
        <w:numPr>
          <w:ilvl w:val="0"/>
          <w:numId w:val="64"/>
        </w:numPr>
      </w:pPr>
      <w:r w:rsidRPr="00171BDB">
        <w:t>Human health and environmental hazards</w:t>
      </w:r>
      <w:r w:rsidR="00E32649">
        <w:t>.</w:t>
      </w:r>
    </w:p>
    <w:p w14:paraId="4614BEAA" w14:textId="724CD0E5" w:rsidR="00171BDB" w:rsidRPr="00171BDB" w:rsidRDefault="00171BDB" w:rsidP="00943534">
      <w:pPr>
        <w:pStyle w:val="Body"/>
        <w:numPr>
          <w:ilvl w:val="0"/>
          <w:numId w:val="64"/>
        </w:numPr>
      </w:pPr>
      <w:r w:rsidRPr="00171BDB">
        <w:t>Persistent, Bioaccumlative and Toxic (PBT) assessment</w:t>
      </w:r>
      <w:r w:rsidR="00E32649">
        <w:t>.</w:t>
      </w:r>
    </w:p>
    <w:p w14:paraId="5BDE59CE" w14:textId="07F6DE53" w:rsidR="00171BDB" w:rsidRDefault="00171BDB" w:rsidP="00943534">
      <w:pPr>
        <w:pStyle w:val="Body"/>
        <w:numPr>
          <w:ilvl w:val="0"/>
          <w:numId w:val="64"/>
        </w:numPr>
      </w:pPr>
      <w:r w:rsidRPr="00171BDB">
        <w:t>Qualitative and quantitative assessment</w:t>
      </w:r>
      <w:r w:rsidR="00E32649">
        <w:t>.</w:t>
      </w:r>
    </w:p>
    <w:p w14:paraId="1362D949" w14:textId="1011CC31" w:rsidR="00E32649" w:rsidRDefault="00067264" w:rsidP="00E32649">
      <w:pPr>
        <w:pStyle w:val="Body"/>
      </w:pPr>
      <w:r w:rsidRPr="00E32649">
        <w:t>The exposure assessment comprise</w:t>
      </w:r>
      <w:r w:rsidR="00E32649">
        <w:t>d</w:t>
      </w:r>
      <w:r w:rsidRPr="00E32649">
        <w:t xml:space="preserve"> an evaluation of surface and subsurface exposure pathways and</w:t>
      </w:r>
      <w:r w:rsidR="00E32649">
        <w:t xml:space="preserve"> </w:t>
      </w:r>
      <w:r w:rsidRPr="00E32649">
        <w:t>mass balance calculation to identify the amount of each chemical used in the process, and the estimated</w:t>
      </w:r>
      <w:r w:rsidR="00E32649">
        <w:t xml:space="preserve"> </w:t>
      </w:r>
      <w:r w:rsidRPr="00E32649">
        <w:t>or actual potential exposure point concentration in the affected media (e.g., soil, groundwater, air). For</w:t>
      </w:r>
      <w:r w:rsidR="00E32649">
        <w:t xml:space="preserve"> </w:t>
      </w:r>
      <w:r w:rsidRPr="00E32649">
        <w:t xml:space="preserve">the chemicals selected as </w:t>
      </w:r>
      <w:r w:rsidR="00926169" w:rsidRPr="00926169">
        <w:t>constituents of potential concern</w:t>
      </w:r>
      <w:r w:rsidR="00926169">
        <w:t xml:space="preserve"> (</w:t>
      </w:r>
      <w:r w:rsidRPr="00E32649">
        <w:t>COPC</w:t>
      </w:r>
      <w:r w:rsidR="00926169">
        <w:t>)</w:t>
      </w:r>
      <w:r w:rsidRPr="00E32649">
        <w:t>, fate and transport modelling was used to characterise the degradation</w:t>
      </w:r>
      <w:r w:rsidR="00E32649">
        <w:t xml:space="preserve"> </w:t>
      </w:r>
      <w:r w:rsidRPr="00E32649">
        <w:t>of chemicals over time and their potential transport (e.g., in groundwater) or partitioning into other</w:t>
      </w:r>
      <w:r w:rsidR="00E32649">
        <w:t xml:space="preserve"> </w:t>
      </w:r>
      <w:r w:rsidRPr="00E32649">
        <w:t xml:space="preserve">phases. </w:t>
      </w:r>
      <w:r w:rsidR="00E32649">
        <w:t>A</w:t>
      </w:r>
      <w:r w:rsidR="00E32649" w:rsidRPr="00E32649">
        <w:t xml:space="preserve"> highly conservative model of the fate and transport of key </w:t>
      </w:r>
      <w:r w:rsidR="00926169">
        <w:t>COPC</w:t>
      </w:r>
      <w:r w:rsidR="00E32649" w:rsidRPr="00E32649">
        <w:t xml:space="preserve"> with</w:t>
      </w:r>
      <w:r w:rsidR="00E32649">
        <w:t xml:space="preserve"> </w:t>
      </w:r>
      <w:r w:rsidR="00E32649" w:rsidRPr="00E32649">
        <w:t xml:space="preserve">drilling fluid has been </w:t>
      </w:r>
      <w:r w:rsidR="00926169">
        <w:t>undertaken</w:t>
      </w:r>
      <w:r w:rsidR="00E32649" w:rsidRPr="00E32649">
        <w:t>. Key constituents were identified based on their solubility mobility</w:t>
      </w:r>
      <w:r w:rsidR="00E32649">
        <w:t xml:space="preserve"> </w:t>
      </w:r>
      <w:r w:rsidR="00E32649" w:rsidRPr="00E32649">
        <w:t>and toxicity to provide a broad spectrum of understanding of the potential area of groundwater impacts</w:t>
      </w:r>
      <w:r w:rsidR="00E32649">
        <w:t xml:space="preserve"> </w:t>
      </w:r>
      <w:r w:rsidR="00E32649" w:rsidRPr="00E32649">
        <w:t>around a recently drilled well.</w:t>
      </w:r>
    </w:p>
    <w:p w14:paraId="3767933E" w14:textId="337322DB" w:rsidR="00E32649" w:rsidRDefault="00E32649" w:rsidP="00E32649">
      <w:pPr>
        <w:pStyle w:val="Body"/>
      </w:pPr>
      <w:r w:rsidRPr="00E32649">
        <w:t>The final r</w:t>
      </w:r>
      <w:r w:rsidR="00067264" w:rsidRPr="00E32649">
        <w:t>isk characterisation</w:t>
      </w:r>
      <w:r w:rsidRPr="00E32649">
        <w:t xml:space="preserve"> step included</w:t>
      </w:r>
      <w:r w:rsidR="00067264" w:rsidRPr="00E32649">
        <w:t xml:space="preserve"> characterising environmental and human health risk</w:t>
      </w:r>
      <w:r>
        <w:t xml:space="preserve">, </w:t>
      </w:r>
      <w:r w:rsidR="00067264" w:rsidRPr="00E32649">
        <w:t>based on the</w:t>
      </w:r>
      <w:r w:rsidRPr="00E32649">
        <w:t xml:space="preserve"> </w:t>
      </w:r>
      <w:r w:rsidR="00067264" w:rsidRPr="00E32649">
        <w:t>identification of:</w:t>
      </w:r>
    </w:p>
    <w:p w14:paraId="66AB99A6" w14:textId="1B887CD4" w:rsidR="00E32649" w:rsidRDefault="00067264" w:rsidP="00943534">
      <w:pPr>
        <w:pStyle w:val="Body"/>
        <w:numPr>
          <w:ilvl w:val="0"/>
          <w:numId w:val="66"/>
        </w:numPr>
      </w:pPr>
      <w:r w:rsidRPr="00E32649">
        <w:t>Complete exposure pathways and hazard identification for each of the processes involving</w:t>
      </w:r>
      <w:r w:rsidR="00E32649">
        <w:t xml:space="preserve"> </w:t>
      </w:r>
      <w:r w:rsidRPr="00E32649">
        <w:t>chemicals and exposure assessment;</w:t>
      </w:r>
      <w:r w:rsidR="00E32649">
        <w:t xml:space="preserve"> </w:t>
      </w:r>
    </w:p>
    <w:p w14:paraId="2D8F4AAD" w14:textId="77777777" w:rsidR="00E32649" w:rsidRDefault="00067264" w:rsidP="00943534">
      <w:pPr>
        <w:pStyle w:val="Body"/>
        <w:numPr>
          <w:ilvl w:val="0"/>
          <w:numId w:val="66"/>
        </w:numPr>
      </w:pPr>
      <w:r w:rsidRPr="00E32649">
        <w:t>The level of risk for COPCs by exposure pat</w:t>
      </w:r>
      <w:r w:rsidR="00E32649">
        <w:t xml:space="preserve">hway, route, and cumulative; </w:t>
      </w:r>
    </w:p>
    <w:p w14:paraId="10AC61AE" w14:textId="6D309F05" w:rsidR="00067264" w:rsidRDefault="00067264" w:rsidP="00943534">
      <w:pPr>
        <w:pStyle w:val="Body"/>
        <w:numPr>
          <w:ilvl w:val="0"/>
          <w:numId w:val="66"/>
        </w:numPr>
      </w:pPr>
      <w:r w:rsidRPr="00E32649">
        <w:t>Uncertainty in quality and estimates of risk are included in the step.</w:t>
      </w:r>
    </w:p>
    <w:p w14:paraId="097FA0C3" w14:textId="77777777" w:rsidR="00926169" w:rsidRPr="00171BDB" w:rsidRDefault="00926169" w:rsidP="00926169">
      <w:pPr>
        <w:pStyle w:val="Body"/>
        <w:ind w:left="720"/>
      </w:pPr>
    </w:p>
    <w:p w14:paraId="717CED7E" w14:textId="60AFF5BB" w:rsidR="00930A46" w:rsidRDefault="00930A46" w:rsidP="00930A46">
      <w:pPr>
        <w:pStyle w:val="Body"/>
        <w:rPr>
          <w:b/>
          <w:i/>
        </w:rPr>
      </w:pPr>
      <w:r w:rsidRPr="00930A46">
        <w:rPr>
          <w:b/>
          <w:i/>
        </w:rPr>
        <w:t>Risk assessment findings</w:t>
      </w:r>
    </w:p>
    <w:p w14:paraId="3271C964" w14:textId="1F15A11C" w:rsidR="00171BDB" w:rsidRPr="00DB251D" w:rsidRDefault="00171BDB" w:rsidP="00DB251D">
      <w:pPr>
        <w:pStyle w:val="Body"/>
      </w:pPr>
      <w:r w:rsidRPr="00DB251D">
        <w:t>Based on an evaluation of the lifecycle of products and chemicals, environmental conditions in the areas</w:t>
      </w:r>
      <w:r w:rsidR="00DB251D" w:rsidRPr="00DB251D">
        <w:t xml:space="preserve"> </w:t>
      </w:r>
      <w:r w:rsidRPr="00DB251D">
        <w:t>of development, anticipated populations, and location, the following potentially complete</w:t>
      </w:r>
      <w:r w:rsidR="00DB251D" w:rsidRPr="00DB251D">
        <w:t xml:space="preserve"> </w:t>
      </w:r>
      <w:r w:rsidRPr="00DB251D">
        <w:t>exposure pathways were identified</w:t>
      </w:r>
      <w:r w:rsidR="00067264" w:rsidRPr="00DB251D">
        <w:t>:</w:t>
      </w:r>
    </w:p>
    <w:p w14:paraId="52BCE2F3" w14:textId="1BD26A98" w:rsidR="00067264" w:rsidRPr="00DB251D" w:rsidRDefault="00067264" w:rsidP="00943534">
      <w:pPr>
        <w:pStyle w:val="Body"/>
        <w:numPr>
          <w:ilvl w:val="0"/>
          <w:numId w:val="67"/>
        </w:numPr>
      </w:pPr>
      <w:r w:rsidRPr="00DB251D">
        <w:t>Transportation of chemicals</w:t>
      </w:r>
      <w:r w:rsidR="00DB251D">
        <w:t>:</w:t>
      </w:r>
    </w:p>
    <w:p w14:paraId="3C054ACD" w14:textId="74134365" w:rsidR="00067264" w:rsidRPr="00DB251D" w:rsidRDefault="00067264" w:rsidP="00943534">
      <w:pPr>
        <w:pStyle w:val="Body"/>
        <w:numPr>
          <w:ilvl w:val="1"/>
          <w:numId w:val="67"/>
        </w:numPr>
      </w:pPr>
      <w:r w:rsidRPr="00DB251D">
        <w:t>Human and ecological receptor exposure to chemicals as a result of accidental release</w:t>
      </w:r>
      <w:r w:rsidR="00DB251D">
        <w:t xml:space="preserve"> </w:t>
      </w:r>
      <w:r w:rsidRPr="00DB251D">
        <w:t>during transport from supplier warehouse to well lease or within well lease and between</w:t>
      </w:r>
      <w:r w:rsidR="00DB251D">
        <w:t xml:space="preserve"> </w:t>
      </w:r>
      <w:r w:rsidRPr="00DB251D">
        <w:t>well leases.</w:t>
      </w:r>
    </w:p>
    <w:p w14:paraId="306560BA" w14:textId="724FFE44" w:rsidR="00067264" w:rsidRPr="00DB251D" w:rsidRDefault="00067264" w:rsidP="00943534">
      <w:pPr>
        <w:pStyle w:val="Body"/>
        <w:numPr>
          <w:ilvl w:val="0"/>
          <w:numId w:val="67"/>
        </w:numPr>
      </w:pPr>
      <w:r w:rsidRPr="00DB251D">
        <w:t>Drilling and completion operations</w:t>
      </w:r>
      <w:r w:rsidR="00DB251D">
        <w:t>:</w:t>
      </w:r>
    </w:p>
    <w:p w14:paraId="7B1B4B38" w14:textId="07B916D4" w:rsidR="00067264" w:rsidRPr="00DB251D" w:rsidRDefault="00067264" w:rsidP="00943534">
      <w:pPr>
        <w:pStyle w:val="Body"/>
        <w:numPr>
          <w:ilvl w:val="1"/>
          <w:numId w:val="67"/>
        </w:numPr>
      </w:pPr>
      <w:r w:rsidRPr="00DB251D">
        <w:t>Human and ecological receptor exposure to chemicals as a result of accidental release</w:t>
      </w:r>
      <w:r w:rsidR="00DB251D">
        <w:t xml:space="preserve"> </w:t>
      </w:r>
      <w:r w:rsidRPr="00DB251D">
        <w:t>during the storage and preparation of products on the well lease for drilling operations.</w:t>
      </w:r>
    </w:p>
    <w:p w14:paraId="3A501D70" w14:textId="62AD869A" w:rsidR="00067264" w:rsidRPr="00DB251D" w:rsidRDefault="00067264" w:rsidP="00943534">
      <w:pPr>
        <w:pStyle w:val="Body"/>
        <w:numPr>
          <w:ilvl w:val="1"/>
          <w:numId w:val="67"/>
        </w:numPr>
      </w:pPr>
      <w:r w:rsidRPr="00DB251D">
        <w:t>Human and ecological receptor exposure to residual chemicals (vendor chemicals and</w:t>
      </w:r>
      <w:r w:rsidR="00DB251D">
        <w:t xml:space="preserve"> </w:t>
      </w:r>
      <w:r w:rsidRPr="00DB251D">
        <w:t>geogenic chemicals) in recovered materials as a result of an accidental release from storages</w:t>
      </w:r>
      <w:r w:rsidR="00DB251D">
        <w:t xml:space="preserve"> </w:t>
      </w:r>
      <w:r w:rsidRPr="00DB251D">
        <w:t>(pits, storage tanks) on the well lease.</w:t>
      </w:r>
    </w:p>
    <w:p w14:paraId="69AB8975" w14:textId="3611A34C" w:rsidR="00067264" w:rsidRPr="00DB251D" w:rsidRDefault="00067264" w:rsidP="00943534">
      <w:pPr>
        <w:pStyle w:val="Body"/>
        <w:numPr>
          <w:ilvl w:val="1"/>
          <w:numId w:val="67"/>
        </w:numPr>
      </w:pPr>
      <w:r w:rsidRPr="00DB251D">
        <w:t>Human and ecological (terrestrial) receptor exposure to stored chemical products or</w:t>
      </w:r>
      <w:r w:rsidR="00DB251D">
        <w:t xml:space="preserve"> </w:t>
      </w:r>
      <w:r w:rsidRPr="00DB251D">
        <w:t>residual material (including geogenic chemicals) in storages within the well lease.</w:t>
      </w:r>
    </w:p>
    <w:p w14:paraId="74C54204" w14:textId="5B282D9B" w:rsidR="00067264" w:rsidRPr="00DB251D" w:rsidRDefault="00067264" w:rsidP="00943534">
      <w:pPr>
        <w:pStyle w:val="Body"/>
        <w:numPr>
          <w:ilvl w:val="0"/>
          <w:numId w:val="67"/>
        </w:numPr>
      </w:pPr>
      <w:r w:rsidRPr="00DB251D">
        <w:t>Treatment, recycling, disposal and beneficial reuse</w:t>
      </w:r>
      <w:r w:rsidR="00DB251D">
        <w:t>:</w:t>
      </w:r>
    </w:p>
    <w:p w14:paraId="63E4C4A8" w14:textId="758CA5BC" w:rsidR="00067264" w:rsidRPr="00DB251D" w:rsidRDefault="00067264" w:rsidP="00943534">
      <w:pPr>
        <w:pStyle w:val="Body"/>
        <w:numPr>
          <w:ilvl w:val="1"/>
          <w:numId w:val="67"/>
        </w:numPr>
      </w:pPr>
      <w:r w:rsidRPr="00DB251D">
        <w:t>Human and ecological receptor exposure to residual chemicals in treated and reused waste</w:t>
      </w:r>
      <w:r w:rsidR="00DB251D">
        <w:t xml:space="preserve"> </w:t>
      </w:r>
      <w:r w:rsidRPr="00DB251D">
        <w:t>materials during application as produced waters through irrigation techniques, or exposure</w:t>
      </w:r>
      <w:r w:rsidR="00DB251D">
        <w:t xml:space="preserve"> </w:t>
      </w:r>
      <w:r w:rsidRPr="00DB251D">
        <w:t>to residual drilling material during land application or MBC activities.</w:t>
      </w:r>
    </w:p>
    <w:p w14:paraId="7524714E" w14:textId="505C524E" w:rsidR="00171BDB" w:rsidRPr="00DB251D" w:rsidRDefault="00DB251D" w:rsidP="00F1531B">
      <w:pPr>
        <w:pStyle w:val="Body"/>
      </w:pPr>
      <w:r w:rsidRPr="00DB251D">
        <w:t>The assessment showed</w:t>
      </w:r>
      <w:r w:rsidR="00171BDB" w:rsidRPr="00DB251D">
        <w:t xml:space="preserve"> there is no potentially complete exposure pathway to sources of drinking</w:t>
      </w:r>
      <w:r w:rsidRPr="00DB251D">
        <w:t xml:space="preserve"> </w:t>
      </w:r>
      <w:r w:rsidR="00171BDB" w:rsidRPr="00DB251D">
        <w:t>water; however, as a conservative measure, the theoretical concentrations for three exposure</w:t>
      </w:r>
      <w:r w:rsidRPr="00F1531B">
        <w:t xml:space="preserve"> </w:t>
      </w:r>
      <w:r w:rsidR="00171BDB" w:rsidRPr="00DB251D">
        <w:t>scenarios were compared to human health toxicity-based screening levels to screen</w:t>
      </w:r>
      <w:r w:rsidR="00D4707A" w:rsidRPr="00F1531B">
        <w:t xml:space="preserve"> </w:t>
      </w:r>
      <w:r w:rsidR="00171BDB" w:rsidRPr="00DB251D">
        <w:t>for potential effects as a result of a release from the well lease that may migrate to groundwater used as</w:t>
      </w:r>
      <w:r w:rsidRPr="00DB251D">
        <w:t xml:space="preserve"> </w:t>
      </w:r>
      <w:r w:rsidR="00171BDB" w:rsidRPr="00DB251D">
        <w:t>a drinking water source.</w:t>
      </w:r>
      <w:r w:rsidR="00760F35" w:rsidRPr="00F1531B">
        <w:t xml:space="preserve"> </w:t>
      </w:r>
      <w:r w:rsidR="00F1531B" w:rsidRPr="00F1531B">
        <w:t>For five chemicals that exceeded the screening levels, the potential for these chemicals to migrate from the well lease to a landowner bore was evaluated using detailed fate and transport modeling.</w:t>
      </w:r>
    </w:p>
    <w:p w14:paraId="7262E8C5" w14:textId="349830E3" w:rsidR="00D4707A" w:rsidRPr="00D4707A" w:rsidRDefault="00067264" w:rsidP="00D4707A">
      <w:pPr>
        <w:pStyle w:val="Body"/>
      </w:pPr>
      <w:r w:rsidRPr="00D4707A">
        <w:t>A conservative groundwater modelling approach was conducted to assess the fate and transport of key</w:t>
      </w:r>
      <w:r w:rsidR="00D4707A">
        <w:t xml:space="preserve"> </w:t>
      </w:r>
      <w:r w:rsidRPr="00D4707A">
        <w:t>chemical constituents in groundwater during the loss of drilling fluids, and the maximum lateral extent</w:t>
      </w:r>
      <w:r w:rsidR="00DB251D" w:rsidRPr="00D4707A">
        <w:t xml:space="preserve"> </w:t>
      </w:r>
      <w:r w:rsidRPr="00D4707A">
        <w:t xml:space="preserve">at which exceedances of risk-based criteria could potentially occur. </w:t>
      </w:r>
      <w:r w:rsidR="00D4707A" w:rsidRPr="00D4707A">
        <w:t xml:space="preserve">Based on the chemicals present within the drilling fluids, </w:t>
      </w:r>
      <w:r w:rsidR="00D43E2B">
        <w:t>five</w:t>
      </w:r>
      <w:r w:rsidR="00D4707A" w:rsidRPr="00D4707A">
        <w:t xml:space="preserve"> C</w:t>
      </w:r>
      <w:r w:rsidR="00D4707A">
        <w:t>O</w:t>
      </w:r>
      <w:r w:rsidR="00D4707A" w:rsidRPr="00D4707A">
        <w:t>PCs ha</w:t>
      </w:r>
      <w:r w:rsidR="00D43E2B">
        <w:t>d</w:t>
      </w:r>
      <w:r w:rsidR="00D4707A" w:rsidRPr="00D4707A">
        <w:t xml:space="preserve"> been identified for further evaluation via fate and transport modelling. These constituents were selected to represent the most mobile constituents (sodium and methanol) and other key constituents such as biocides used in the drilling fluid. The</w:t>
      </w:r>
      <w:r w:rsidR="00D43E2B">
        <w:t>y</w:t>
      </w:r>
      <w:r w:rsidR="00D4707A" w:rsidRPr="00D4707A">
        <w:t xml:space="preserve"> provide a broad spectrum of constituent physical properties that cover the range of potential mobilities associated with chemicals used in drilling fluids. The constituents considered include:</w:t>
      </w:r>
    </w:p>
    <w:p w14:paraId="5788B963" w14:textId="338F7C7B" w:rsidR="00D4707A" w:rsidRPr="00D4707A" w:rsidRDefault="00760F35" w:rsidP="00943534">
      <w:pPr>
        <w:pStyle w:val="Body"/>
        <w:numPr>
          <w:ilvl w:val="0"/>
          <w:numId w:val="68"/>
        </w:numPr>
      </w:pPr>
      <w:r>
        <w:t>Sodium or p</w:t>
      </w:r>
      <w:r w:rsidR="00D4707A" w:rsidRPr="00D4707A">
        <w:t>otassium (monovalent ions in salts)</w:t>
      </w:r>
    </w:p>
    <w:p w14:paraId="333CF37E" w14:textId="62941D51" w:rsidR="00D4707A" w:rsidRPr="00D4707A" w:rsidRDefault="00D4707A" w:rsidP="00943534">
      <w:pPr>
        <w:pStyle w:val="Body"/>
        <w:numPr>
          <w:ilvl w:val="0"/>
          <w:numId w:val="68"/>
        </w:numPr>
      </w:pPr>
      <w:r w:rsidRPr="00D4707A">
        <w:t xml:space="preserve">Methyl isothiocyanate (breakdown product of </w:t>
      </w:r>
      <w:r w:rsidR="00760F35">
        <w:t>t</w:t>
      </w:r>
      <w:r w:rsidR="00760F35" w:rsidRPr="00760F35">
        <w:t>etrahydro-3,5-dimethyl-1,3,5-thiadiazine-2-thione</w:t>
      </w:r>
      <w:r w:rsidRPr="00D4707A">
        <w:t>)</w:t>
      </w:r>
    </w:p>
    <w:p w14:paraId="4455EB29" w14:textId="77777777" w:rsidR="00D4707A" w:rsidRPr="00D4707A" w:rsidRDefault="00D4707A" w:rsidP="00943534">
      <w:pPr>
        <w:pStyle w:val="Body"/>
        <w:numPr>
          <w:ilvl w:val="0"/>
          <w:numId w:val="68"/>
        </w:numPr>
      </w:pPr>
      <w:r w:rsidRPr="00D4707A">
        <w:t>Methanol</w:t>
      </w:r>
    </w:p>
    <w:p w14:paraId="2F2B5B30" w14:textId="77777777" w:rsidR="00D4707A" w:rsidRPr="00D4707A" w:rsidRDefault="00D4707A" w:rsidP="00943534">
      <w:pPr>
        <w:pStyle w:val="Body"/>
        <w:numPr>
          <w:ilvl w:val="0"/>
          <w:numId w:val="68"/>
        </w:numPr>
      </w:pPr>
      <w:r w:rsidRPr="00D4707A">
        <w:t>Glyoxal</w:t>
      </w:r>
    </w:p>
    <w:p w14:paraId="2D560B5E" w14:textId="77777777" w:rsidR="00D4707A" w:rsidRPr="00D4707A" w:rsidRDefault="00D4707A" w:rsidP="00943534">
      <w:pPr>
        <w:pStyle w:val="Body"/>
        <w:numPr>
          <w:ilvl w:val="0"/>
          <w:numId w:val="68"/>
        </w:numPr>
      </w:pPr>
      <w:r w:rsidRPr="00D4707A">
        <w:t>Glutaraldehyde.</w:t>
      </w:r>
    </w:p>
    <w:p w14:paraId="56A04CCB" w14:textId="56B57017" w:rsidR="007F2641" w:rsidRDefault="00D43E2B" w:rsidP="00D4707A">
      <w:pPr>
        <w:pStyle w:val="Body"/>
      </w:pPr>
      <w:r w:rsidRPr="00D43E2B">
        <w:t>Th</w:t>
      </w:r>
      <w:r>
        <w:t>e</w:t>
      </w:r>
      <w:r w:rsidRPr="00D43E2B">
        <w:t xml:space="preserve"> conceptualisation </w:t>
      </w:r>
      <w:r>
        <w:t xml:space="preserve">for groundwater flow and solute transport simulations </w:t>
      </w:r>
      <w:r w:rsidRPr="00D43E2B">
        <w:t>was based on a scenario where the drilling fluid was retained in the formation during drilling, and then dissolution occurred under natural groundwater flow conditions.</w:t>
      </w:r>
      <w:r>
        <w:t xml:space="preserve"> A constant source of chemicals was released over the entire </w:t>
      </w:r>
      <w:r w:rsidR="00760F35">
        <w:t>width</w:t>
      </w:r>
      <w:r>
        <w:t xml:space="preserve"> of the receiving formation. </w:t>
      </w:r>
      <w:r w:rsidR="00067264" w:rsidRPr="00D4707A">
        <w:t xml:space="preserve">The </w:t>
      </w:r>
      <w:r>
        <w:t xml:space="preserve">groundwater solute transport </w:t>
      </w:r>
      <w:r w:rsidR="00067264" w:rsidRPr="00D4707A">
        <w:t>modelling indicates that under</w:t>
      </w:r>
      <w:r w:rsidR="00DB251D" w:rsidRPr="00D4707A">
        <w:t xml:space="preserve"> </w:t>
      </w:r>
      <w:r>
        <w:t>this</w:t>
      </w:r>
      <w:r w:rsidR="00067264" w:rsidRPr="00D4707A">
        <w:t xml:space="preserve"> highly conservative scenario the maximum lateral migration of constituent concentrations that may</w:t>
      </w:r>
      <w:r w:rsidR="00DB251D" w:rsidRPr="00D4707A">
        <w:t xml:space="preserve"> </w:t>
      </w:r>
      <w:r w:rsidR="00067264" w:rsidRPr="00D4707A">
        <w:t>pose an unacceptable change in water quality is &lt; 90 m in the Walloon Coals and the Sandstone Units.</w:t>
      </w:r>
      <w:r w:rsidR="00D4707A">
        <w:t xml:space="preserve"> </w:t>
      </w:r>
      <w:r w:rsidR="007F2641" w:rsidRPr="00D4707A">
        <w:t>However, the modelled scenarios are based on large</w:t>
      </w:r>
      <w:r w:rsidR="00D4707A">
        <w:t xml:space="preserve"> </w:t>
      </w:r>
      <w:r w:rsidR="007F2641" w:rsidRPr="00D4707A">
        <w:t>scale</w:t>
      </w:r>
      <w:r w:rsidR="00D4707A" w:rsidRPr="00D4707A">
        <w:t xml:space="preserve"> </w:t>
      </w:r>
      <w:r w:rsidR="007F2641" w:rsidRPr="00D4707A">
        <w:t>losses of drilling fluids to the formation (which rarely occurs).</w:t>
      </w:r>
    </w:p>
    <w:p w14:paraId="04A56500" w14:textId="0DC8A871" w:rsidR="004407DC" w:rsidRPr="00E6110F" w:rsidRDefault="004D5B9B" w:rsidP="00307CE9">
      <w:pPr>
        <w:pStyle w:val="Heading3"/>
        <w:numPr>
          <w:ilvl w:val="3"/>
          <w:numId w:val="1"/>
        </w:numPr>
      </w:pPr>
      <w:bookmarkStart w:id="61" w:name="_Toc494444486"/>
      <w:r>
        <w:t xml:space="preserve">US </w:t>
      </w:r>
      <w:r w:rsidR="004407DC" w:rsidRPr="00E6110F">
        <w:t>EPA 201</w:t>
      </w:r>
      <w:r>
        <w:t>6</w:t>
      </w:r>
      <w:bookmarkEnd w:id="61"/>
    </w:p>
    <w:p w14:paraId="1562664B" w14:textId="77F8BF71" w:rsidR="0057237C" w:rsidRPr="00E6110F" w:rsidRDefault="000439CC" w:rsidP="000439CC">
      <w:pPr>
        <w:pStyle w:val="Body"/>
        <w:rPr>
          <w:b/>
          <w:i/>
        </w:rPr>
      </w:pPr>
      <w:r w:rsidRPr="00E6110F">
        <w:rPr>
          <w:b/>
          <w:i/>
        </w:rPr>
        <w:t>Multi Criteria Decision Analysis (MCDA) Framework for Hazard Evaluation</w:t>
      </w:r>
    </w:p>
    <w:p w14:paraId="2026848A" w14:textId="77B8146B" w:rsidR="00605F66" w:rsidRPr="00E6110F" w:rsidRDefault="00B40DB8" w:rsidP="00946324">
      <w:pPr>
        <w:pStyle w:val="Body"/>
      </w:pPr>
      <w:r w:rsidRPr="00E6110F">
        <w:t>US EPA (201</w:t>
      </w:r>
      <w:r w:rsidR="000D3B81">
        <w:t>6a</w:t>
      </w:r>
      <w:r w:rsidRPr="00E6110F">
        <w:t xml:space="preserve">) developed a Multi Criteria Decision Analysis (MCDA) Framework to combine various types of data </w:t>
      </w:r>
      <w:r w:rsidR="002D1B69">
        <w:t xml:space="preserve">that </w:t>
      </w:r>
      <w:r w:rsidRPr="00E6110F">
        <w:t>may provide insights on those chemicals that may be of greater concern than other chemicals to drinking water resources. The MCDA approach integrates factors related to hydraulic fracturing such as chemical toxicity, occurrence, and physicochemical data.</w:t>
      </w:r>
      <w:r w:rsidR="00605F66" w:rsidRPr="00E6110F">
        <w:t xml:space="preserve"> The MCDA places the toxicity of hydraulic fracturing chemicals in the context of factors that may increase the likelihood of impacting drinking water resources.</w:t>
      </w:r>
      <w:r w:rsidR="002714E0" w:rsidRPr="00E6110F">
        <w:t xml:space="preserve"> Each chemical was assigned three scores:</w:t>
      </w:r>
    </w:p>
    <w:p w14:paraId="2EF3667E" w14:textId="44322535" w:rsidR="002714E0" w:rsidRPr="00E6110F" w:rsidRDefault="002714E0" w:rsidP="00C117A3">
      <w:pPr>
        <w:pStyle w:val="Body"/>
        <w:numPr>
          <w:ilvl w:val="0"/>
          <w:numId w:val="31"/>
        </w:numPr>
      </w:pPr>
      <w:r w:rsidRPr="00E6110F">
        <w:t>a toxicity score;</w:t>
      </w:r>
    </w:p>
    <w:p w14:paraId="4AAFADBD" w14:textId="50AE2034" w:rsidR="002714E0" w:rsidRPr="00E6110F" w:rsidRDefault="002714E0" w:rsidP="00C117A3">
      <w:pPr>
        <w:pStyle w:val="Body"/>
        <w:numPr>
          <w:ilvl w:val="0"/>
          <w:numId w:val="31"/>
        </w:numPr>
      </w:pPr>
      <w:r w:rsidRPr="00E6110F">
        <w:t>an occurrence score;</w:t>
      </w:r>
    </w:p>
    <w:p w14:paraId="50A90DD1" w14:textId="5E3D149A" w:rsidR="002714E0" w:rsidRPr="00E6110F" w:rsidRDefault="002714E0" w:rsidP="00C117A3">
      <w:pPr>
        <w:pStyle w:val="Body"/>
        <w:numPr>
          <w:ilvl w:val="0"/>
          <w:numId w:val="31"/>
        </w:numPr>
      </w:pPr>
      <w:proofErr w:type="gramStart"/>
      <w:r w:rsidRPr="00E6110F">
        <w:t>a</w:t>
      </w:r>
      <w:proofErr w:type="gramEnd"/>
      <w:r w:rsidRPr="00E6110F">
        <w:t xml:space="preserve"> physicochemical properties score. </w:t>
      </w:r>
    </w:p>
    <w:p w14:paraId="0083E2D2" w14:textId="4722C08D" w:rsidR="002714E0" w:rsidRPr="00E6110F" w:rsidRDefault="002714E0" w:rsidP="00946324">
      <w:pPr>
        <w:pStyle w:val="Body"/>
      </w:pPr>
      <w:r w:rsidRPr="00E6110F">
        <w:t>The three normali</w:t>
      </w:r>
      <w:r w:rsidR="00342ACE">
        <w:t>s</w:t>
      </w:r>
      <w:r w:rsidRPr="00E6110F">
        <w:t xml:space="preserve">ed scores (on a scale from 0 to 1) were summed </w:t>
      </w:r>
      <w:r w:rsidR="00097084" w:rsidRPr="00E6110F">
        <w:t xml:space="preserve">(using equal weights) </w:t>
      </w:r>
      <w:r w:rsidRPr="00E6110F">
        <w:t>to develop a total composite hazard potential score for each chemical (on a scale from 0 to 3). These scores serve</w:t>
      </w:r>
      <w:r w:rsidR="00342ACE">
        <w:t>d</w:t>
      </w:r>
      <w:r w:rsidRPr="00E6110F">
        <w:t xml:space="preserve"> as a relative ranking and a means of maki</w:t>
      </w:r>
      <w:r w:rsidR="00DF7AD2" w:rsidRPr="00E6110F">
        <w:t>ng comparisons across chemicals: scores mean chemicals that are predicted to have a higher likelihood to affect drinking water.</w:t>
      </w:r>
      <w:r w:rsidRPr="00E6110F">
        <w:t xml:space="preserve"> These scores </w:t>
      </w:r>
      <w:r w:rsidR="00342ACE">
        <w:t>we</w:t>
      </w:r>
      <w:r w:rsidR="00342ACE" w:rsidRPr="00E6110F">
        <w:t xml:space="preserve">re </w:t>
      </w:r>
      <w:r w:rsidRPr="00E6110F">
        <w:t>not intended to define whether or not a chemical will present a human health hazard, or indicate that one chemical is safer than another. Rather, the scores serve</w:t>
      </w:r>
      <w:r w:rsidR="00342ACE">
        <w:t>d</w:t>
      </w:r>
      <w:r w:rsidRPr="00E6110F">
        <w:t xml:space="preserve"> as a qualitative metric to identify chemicals that may be more likely to present an impact to drinking water resources, given available data on chemical properties and occurrence.</w:t>
      </w:r>
    </w:p>
    <w:p w14:paraId="0E3237C1" w14:textId="77777777" w:rsidR="003B0744" w:rsidRPr="00E6110F" w:rsidRDefault="003B0744" w:rsidP="00946324">
      <w:pPr>
        <w:pStyle w:val="Body"/>
      </w:pPr>
    </w:p>
    <w:p w14:paraId="14D36E11" w14:textId="77777777" w:rsidR="003B0744" w:rsidRPr="00E6110F" w:rsidRDefault="003B0744" w:rsidP="003B0744">
      <w:pPr>
        <w:pStyle w:val="Body"/>
        <w:rPr>
          <w:b/>
          <w:i/>
        </w:rPr>
      </w:pPr>
      <w:r w:rsidRPr="00E6110F">
        <w:rPr>
          <w:b/>
          <w:i/>
        </w:rPr>
        <w:t>MCDA Results: Chemicals Used in Hydraulic Fracturing Fluid</w:t>
      </w:r>
    </w:p>
    <w:p w14:paraId="0B8BFF72" w14:textId="3C8402E1" w:rsidR="003B0744" w:rsidRPr="00E6110F" w:rsidRDefault="003B0744" w:rsidP="00946324">
      <w:pPr>
        <w:pStyle w:val="Body"/>
      </w:pPr>
      <w:r w:rsidRPr="00E6110F">
        <w:t xml:space="preserve">The framework was applied to </w:t>
      </w:r>
      <w:r w:rsidR="00FA6BD9">
        <w:t>42</w:t>
      </w:r>
      <w:r w:rsidRPr="00E6110F">
        <w:t xml:space="preserve"> chemicals used in hydraulic fracturing fluids and 2</w:t>
      </w:r>
      <w:r w:rsidR="00FA6BD9">
        <w:t>9</w:t>
      </w:r>
      <w:r w:rsidRPr="00E6110F">
        <w:t xml:space="preserve"> chemicals detected in flowback and produced water</w:t>
      </w:r>
      <w:r w:rsidR="00FA6BD9">
        <w:t xml:space="preserve"> that </w:t>
      </w:r>
      <w:r w:rsidR="00FA6BD9" w:rsidRPr="00423AAF">
        <w:t>had sufficient information available for inclusion in noncancer MCDAs</w:t>
      </w:r>
      <w:r w:rsidRPr="00E6110F">
        <w:t xml:space="preserve">. </w:t>
      </w:r>
      <w:r w:rsidR="00020066" w:rsidRPr="00E6110F">
        <w:t xml:space="preserve">Out of the first set of </w:t>
      </w:r>
      <w:r w:rsidR="00FA6BD9">
        <w:t>42</w:t>
      </w:r>
      <w:r w:rsidR="00020066" w:rsidRPr="00E6110F">
        <w:t xml:space="preserve"> chemicals, two (methanol and ethylene glycol) had previously been identified to be used in Australian hydraulic fracturing fluids (NICNAS 201</w:t>
      </w:r>
      <w:r w:rsidR="00914462">
        <w:t>7</w:t>
      </w:r>
      <w:r w:rsidR="001C5F70">
        <w:t>a</w:t>
      </w:r>
      <w:r w:rsidR="00020066" w:rsidRPr="00E6110F">
        <w:t>). Two further chemicals (naphthalene and 2-methylphenol) have been selected from the second set of 2</w:t>
      </w:r>
      <w:r w:rsidR="00FA6BD9">
        <w:t>9</w:t>
      </w:r>
      <w:r w:rsidR="00020066" w:rsidRPr="00E6110F">
        <w:t xml:space="preserve">, as they are considered in the current project (see </w:t>
      </w:r>
      <w:r w:rsidR="00342ACE">
        <w:t>S</w:t>
      </w:r>
      <w:r w:rsidR="00342ACE" w:rsidRPr="00E6110F">
        <w:t xml:space="preserve">ection </w:t>
      </w:r>
      <w:r w:rsidR="003F2285" w:rsidRPr="00E6110F">
        <w:fldChar w:fldCharType="begin" w:fldLock="1"/>
      </w:r>
      <w:r w:rsidR="003F2285" w:rsidRPr="00E6110F">
        <w:instrText xml:space="preserve"> REF _Ref446708098 \r \h </w:instrText>
      </w:r>
      <w:r w:rsidR="00E6110F">
        <w:instrText xml:space="preserve"> \* MERGEFORMAT </w:instrText>
      </w:r>
      <w:r w:rsidR="003F2285" w:rsidRPr="00E6110F">
        <w:fldChar w:fldCharType="separate"/>
      </w:r>
      <w:r w:rsidR="00335E79">
        <w:t>2.3</w:t>
      </w:r>
      <w:r w:rsidR="003F2285" w:rsidRPr="00E6110F">
        <w:fldChar w:fldCharType="end"/>
      </w:r>
      <w:r w:rsidR="00020066" w:rsidRPr="00E6110F">
        <w:t>)</w:t>
      </w:r>
      <w:r w:rsidR="003F2285" w:rsidRPr="00E6110F">
        <w:t xml:space="preserve"> for proof-of-concept-testing</w:t>
      </w:r>
      <w:r w:rsidR="00020066" w:rsidRPr="00E6110F">
        <w:t xml:space="preserve">.  </w:t>
      </w:r>
      <w:r w:rsidR="003F2285" w:rsidRPr="00E6110F">
        <w:t>For these four chemicals the MCDA methodology is illustrated (</w:t>
      </w:r>
      <w:r w:rsidR="003C5DB2" w:rsidRPr="00E6110F">
        <w:fldChar w:fldCharType="begin" w:fldLock="1"/>
      </w:r>
      <w:r w:rsidR="003C5DB2" w:rsidRPr="00E6110F">
        <w:instrText xml:space="preserve"> REF _Ref448929953 \h </w:instrText>
      </w:r>
      <w:r w:rsidR="00E6110F">
        <w:instrText xml:space="preserve"> \* MERGEFORMAT </w:instrText>
      </w:r>
      <w:r w:rsidR="003C5DB2" w:rsidRPr="00E6110F">
        <w:fldChar w:fldCharType="separate"/>
      </w:r>
      <w:r w:rsidR="00335E79" w:rsidRPr="00E6110F">
        <w:t xml:space="preserve">Table </w:t>
      </w:r>
      <w:r w:rsidR="00335E79">
        <w:rPr>
          <w:noProof/>
        </w:rPr>
        <w:t>2</w:t>
      </w:r>
      <w:r w:rsidR="00335E79">
        <w:rPr>
          <w:noProof/>
        </w:rPr>
        <w:noBreakHyphen/>
        <w:t>3</w:t>
      </w:r>
      <w:r w:rsidR="003C5DB2" w:rsidRPr="00E6110F">
        <w:fldChar w:fldCharType="end"/>
      </w:r>
      <w:r w:rsidR="003F2285" w:rsidRPr="00E6110F">
        <w:t>).</w:t>
      </w:r>
      <w:r w:rsidR="003C5DB2" w:rsidRPr="00E6110F">
        <w:t xml:space="preserve"> </w:t>
      </w:r>
    </w:p>
    <w:p w14:paraId="6BA5B57B" w14:textId="13B3366A" w:rsidR="002714E0" w:rsidRPr="00E6110F" w:rsidRDefault="002714E0" w:rsidP="00946324">
      <w:pPr>
        <w:pStyle w:val="Body"/>
      </w:pPr>
      <w:r w:rsidRPr="00E6110F">
        <w:rPr>
          <w:noProof/>
          <w:lang w:val="en-AU" w:eastAsia="en-AU"/>
        </w:rPr>
        <w:drawing>
          <wp:inline distT="0" distB="0" distL="0" distR="0" wp14:anchorId="5D3B4810" wp14:editId="1166353C">
            <wp:extent cx="4505960" cy="2314924"/>
            <wp:effectExtent l="0" t="0" r="0" b="9525"/>
            <wp:docPr id="2" name="Picture 2" descr="Diagram of the MCDA framework." title="Fig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4509178" cy="2316577"/>
                    </a:xfrm>
                    <a:prstGeom prst="rect">
                      <a:avLst/>
                    </a:prstGeom>
                  </pic:spPr>
                </pic:pic>
              </a:graphicData>
            </a:graphic>
          </wp:inline>
        </w:drawing>
      </w:r>
    </w:p>
    <w:p w14:paraId="058646D8" w14:textId="24D389E0" w:rsidR="002714E0" w:rsidRPr="00E6110F" w:rsidRDefault="002714E0" w:rsidP="002714E0">
      <w:pPr>
        <w:pStyle w:val="Imagecaption"/>
      </w:pPr>
      <w:bookmarkStart w:id="62" w:name="_Toc477347544"/>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12</w:t>
      </w:r>
      <w:r w:rsidR="00254026">
        <w:fldChar w:fldCharType="end"/>
      </w:r>
      <w:r w:rsidRPr="00E6110F">
        <w:t xml:space="preserve"> Overview of the MCDA framework applied to the hazard evaluations (US EPA 201</w:t>
      </w:r>
      <w:r w:rsidR="000D3B81">
        <w:t>6a</w:t>
      </w:r>
      <w:r w:rsidRPr="00E6110F">
        <w:t>).</w:t>
      </w:r>
      <w:bookmarkEnd w:id="62"/>
    </w:p>
    <w:p w14:paraId="1E3E462F" w14:textId="77777777" w:rsidR="003F2285" w:rsidRPr="00E6110F" w:rsidRDefault="003F2285" w:rsidP="002714E0">
      <w:pPr>
        <w:pStyle w:val="Imagecaption"/>
        <w:rPr>
          <w:i w:val="0"/>
        </w:rPr>
      </w:pPr>
    </w:p>
    <w:p w14:paraId="217B6809" w14:textId="625D2FC3" w:rsidR="003C1136" w:rsidRPr="00E6110F" w:rsidRDefault="003C1136" w:rsidP="003C1136">
      <w:pPr>
        <w:pStyle w:val="Imagecaption"/>
        <w:keepNext/>
        <w:pBdr>
          <w:top w:val="none" w:sz="0" w:space="0" w:color="auto"/>
        </w:pBdr>
      </w:pPr>
      <w:bookmarkStart w:id="63" w:name="_Ref448929953"/>
      <w:bookmarkStart w:id="64" w:name="_Toc494444693"/>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3</w:t>
      </w:r>
      <w:r w:rsidR="00470577">
        <w:fldChar w:fldCharType="end"/>
      </w:r>
      <w:bookmarkEnd w:id="63"/>
      <w:r w:rsidRPr="00E6110F">
        <w:t xml:space="preserve"> MCDA results for selected chemicals used in hydraulic fracturing fluid </w:t>
      </w:r>
      <w:r w:rsidR="00E130FC">
        <w:t xml:space="preserve">(HFF) </w:t>
      </w:r>
      <w:r w:rsidRPr="00E6110F">
        <w:t xml:space="preserve">and detected in flowback and produced water </w:t>
      </w:r>
      <w:r w:rsidR="00E130FC">
        <w:t>(</w:t>
      </w:r>
      <w:r w:rsidR="00736B52">
        <w:t>F</w:t>
      </w:r>
      <w:r w:rsidR="00E130FC">
        <w:t xml:space="preserve">PW) </w:t>
      </w:r>
      <w:r w:rsidRPr="00E6110F">
        <w:t>(US EPA 201</w:t>
      </w:r>
      <w:r w:rsidR="000D3B81">
        <w:t>6a</w:t>
      </w:r>
      <w:r w:rsidRPr="00E6110F">
        <w:t>)</w:t>
      </w:r>
      <w:r w:rsidR="009546EE" w:rsidRPr="00E6110F">
        <w:t>.</w:t>
      </w:r>
      <w:bookmarkEnd w:id="64"/>
    </w:p>
    <w:tbl>
      <w:tblPr>
        <w:tblStyle w:val="TableGrid"/>
        <w:tblW w:w="0" w:type="auto"/>
        <w:tblLook w:val="04A0" w:firstRow="1" w:lastRow="0" w:firstColumn="1" w:lastColumn="0" w:noHBand="0" w:noVBand="1"/>
      </w:tblPr>
      <w:tblGrid>
        <w:gridCol w:w="2263"/>
        <w:gridCol w:w="993"/>
        <w:gridCol w:w="1559"/>
        <w:gridCol w:w="1417"/>
        <w:gridCol w:w="1276"/>
        <w:gridCol w:w="1502"/>
      </w:tblGrid>
      <w:tr w:rsidR="003C1136" w:rsidRPr="00E6110F" w14:paraId="3A70B38A" w14:textId="77777777" w:rsidTr="00736B52">
        <w:tc>
          <w:tcPr>
            <w:tcW w:w="2263" w:type="dxa"/>
            <w:shd w:val="clear" w:color="auto" w:fill="F2F2F2" w:themeFill="background1" w:themeFillShade="F2"/>
          </w:tcPr>
          <w:p w14:paraId="61F94D03" w14:textId="27DC974E" w:rsidR="003C1136" w:rsidRPr="00E6110F" w:rsidRDefault="003C1136" w:rsidP="002714E0">
            <w:pPr>
              <w:pStyle w:val="Imagecaption"/>
              <w:pBdr>
                <w:top w:val="none" w:sz="0" w:space="0" w:color="auto"/>
              </w:pBdr>
              <w:rPr>
                <w:i w:val="0"/>
              </w:rPr>
            </w:pPr>
            <w:r w:rsidRPr="00E6110F">
              <w:rPr>
                <w:i w:val="0"/>
              </w:rPr>
              <w:t>Chemical</w:t>
            </w:r>
          </w:p>
        </w:tc>
        <w:tc>
          <w:tcPr>
            <w:tcW w:w="993" w:type="dxa"/>
            <w:shd w:val="clear" w:color="auto" w:fill="F2F2F2" w:themeFill="background1" w:themeFillShade="F2"/>
          </w:tcPr>
          <w:p w14:paraId="340C61CE" w14:textId="1F78B60F" w:rsidR="003C1136" w:rsidRPr="00E6110F" w:rsidRDefault="003C1136" w:rsidP="003F74BF">
            <w:pPr>
              <w:pStyle w:val="Imagecaption"/>
              <w:pBdr>
                <w:top w:val="none" w:sz="0" w:space="0" w:color="auto"/>
              </w:pBdr>
              <w:jc w:val="center"/>
              <w:rPr>
                <w:i w:val="0"/>
              </w:rPr>
            </w:pPr>
            <w:r w:rsidRPr="00E6110F">
              <w:rPr>
                <w:i w:val="0"/>
              </w:rPr>
              <w:t>CASRN</w:t>
            </w:r>
          </w:p>
        </w:tc>
        <w:tc>
          <w:tcPr>
            <w:tcW w:w="1559" w:type="dxa"/>
            <w:shd w:val="clear" w:color="auto" w:fill="F2F2F2" w:themeFill="background1" w:themeFillShade="F2"/>
          </w:tcPr>
          <w:p w14:paraId="5A10DD06" w14:textId="46501E50" w:rsidR="003C1136" w:rsidRPr="00E6110F" w:rsidRDefault="003C1136" w:rsidP="003F74BF">
            <w:pPr>
              <w:pStyle w:val="Imagecaption"/>
              <w:pBdr>
                <w:top w:val="none" w:sz="0" w:space="0" w:color="auto"/>
              </w:pBdr>
              <w:jc w:val="center"/>
              <w:rPr>
                <w:i w:val="0"/>
              </w:rPr>
            </w:pPr>
            <w:r w:rsidRPr="00E6110F">
              <w:rPr>
                <w:i w:val="0"/>
              </w:rPr>
              <w:t>Physicochemical properties score</w:t>
            </w:r>
          </w:p>
        </w:tc>
        <w:tc>
          <w:tcPr>
            <w:tcW w:w="1417" w:type="dxa"/>
            <w:shd w:val="clear" w:color="auto" w:fill="F2F2F2" w:themeFill="background1" w:themeFillShade="F2"/>
          </w:tcPr>
          <w:p w14:paraId="53FC0A11" w14:textId="0AA7B842" w:rsidR="003C1136" w:rsidRPr="00E6110F" w:rsidRDefault="003C1136" w:rsidP="003F74BF">
            <w:pPr>
              <w:pStyle w:val="Imagecaption"/>
              <w:pBdr>
                <w:top w:val="none" w:sz="0" w:space="0" w:color="auto"/>
              </w:pBdr>
              <w:jc w:val="center"/>
              <w:rPr>
                <w:i w:val="0"/>
              </w:rPr>
            </w:pPr>
            <w:r w:rsidRPr="00E6110F">
              <w:rPr>
                <w:i w:val="0"/>
              </w:rPr>
              <w:t>Occurrence score</w:t>
            </w:r>
          </w:p>
        </w:tc>
        <w:tc>
          <w:tcPr>
            <w:tcW w:w="1276" w:type="dxa"/>
            <w:shd w:val="clear" w:color="auto" w:fill="F2F2F2" w:themeFill="background1" w:themeFillShade="F2"/>
          </w:tcPr>
          <w:p w14:paraId="071B14AE" w14:textId="5F54839B" w:rsidR="003C1136" w:rsidRPr="00E6110F" w:rsidRDefault="003C1136" w:rsidP="003F74BF">
            <w:pPr>
              <w:pStyle w:val="Imagecaption"/>
              <w:pBdr>
                <w:top w:val="none" w:sz="0" w:space="0" w:color="auto"/>
              </w:pBdr>
              <w:jc w:val="center"/>
              <w:rPr>
                <w:i w:val="0"/>
              </w:rPr>
            </w:pPr>
            <w:r w:rsidRPr="00E6110F">
              <w:rPr>
                <w:i w:val="0"/>
              </w:rPr>
              <w:t>Toxicity score</w:t>
            </w:r>
          </w:p>
        </w:tc>
        <w:tc>
          <w:tcPr>
            <w:tcW w:w="1502" w:type="dxa"/>
            <w:shd w:val="clear" w:color="auto" w:fill="F2F2F2" w:themeFill="background1" w:themeFillShade="F2"/>
          </w:tcPr>
          <w:p w14:paraId="34F51D45" w14:textId="4849C406" w:rsidR="003C1136" w:rsidRPr="00E6110F" w:rsidRDefault="003C1136" w:rsidP="003F74BF">
            <w:pPr>
              <w:pStyle w:val="Imagecaption"/>
              <w:pBdr>
                <w:top w:val="none" w:sz="0" w:space="0" w:color="auto"/>
              </w:pBdr>
              <w:jc w:val="center"/>
              <w:rPr>
                <w:i w:val="0"/>
              </w:rPr>
            </w:pPr>
            <w:r w:rsidRPr="00E6110F">
              <w:rPr>
                <w:i w:val="0"/>
              </w:rPr>
              <w:t>Total hazard potential score</w:t>
            </w:r>
          </w:p>
        </w:tc>
      </w:tr>
      <w:tr w:rsidR="003C1136" w:rsidRPr="00E6110F" w14:paraId="1E5C7AEC" w14:textId="77777777" w:rsidTr="00736B52">
        <w:tc>
          <w:tcPr>
            <w:tcW w:w="2263" w:type="dxa"/>
          </w:tcPr>
          <w:p w14:paraId="10A475F3" w14:textId="1C530E19" w:rsidR="003C1136" w:rsidRPr="00E6110F" w:rsidRDefault="003C1136" w:rsidP="003C1136">
            <w:pPr>
              <w:pStyle w:val="Imagecaption"/>
              <w:pBdr>
                <w:top w:val="none" w:sz="0" w:space="0" w:color="auto"/>
              </w:pBdr>
              <w:rPr>
                <w:i w:val="0"/>
              </w:rPr>
            </w:pPr>
            <w:r w:rsidRPr="00E6110F">
              <w:rPr>
                <w:i w:val="0"/>
              </w:rPr>
              <w:t>Naphthalene</w:t>
            </w:r>
            <w:r w:rsidR="00E130FC">
              <w:rPr>
                <w:i w:val="0"/>
              </w:rPr>
              <w:t xml:space="preserve"> (</w:t>
            </w:r>
            <w:r w:rsidR="00736B52">
              <w:rPr>
                <w:i w:val="0"/>
              </w:rPr>
              <w:t>F</w:t>
            </w:r>
            <w:r w:rsidR="00E130FC">
              <w:rPr>
                <w:i w:val="0"/>
              </w:rPr>
              <w:t>PW)</w:t>
            </w:r>
          </w:p>
        </w:tc>
        <w:tc>
          <w:tcPr>
            <w:tcW w:w="993" w:type="dxa"/>
          </w:tcPr>
          <w:p w14:paraId="104DA354" w14:textId="49EE9437" w:rsidR="003C1136" w:rsidRPr="00E6110F" w:rsidRDefault="003C1136" w:rsidP="003F74BF">
            <w:pPr>
              <w:pStyle w:val="Imagecaption"/>
              <w:pBdr>
                <w:top w:val="none" w:sz="0" w:space="0" w:color="auto"/>
              </w:pBdr>
              <w:jc w:val="center"/>
              <w:rPr>
                <w:i w:val="0"/>
              </w:rPr>
            </w:pPr>
            <w:r w:rsidRPr="00E6110F">
              <w:rPr>
                <w:i w:val="0"/>
              </w:rPr>
              <w:t>91-20-3</w:t>
            </w:r>
          </w:p>
        </w:tc>
        <w:tc>
          <w:tcPr>
            <w:tcW w:w="1559" w:type="dxa"/>
          </w:tcPr>
          <w:p w14:paraId="0D7F7BE6" w14:textId="218F6631" w:rsidR="003C1136" w:rsidRPr="00E6110F" w:rsidRDefault="003C1136" w:rsidP="003F74BF">
            <w:pPr>
              <w:pStyle w:val="Imagecaption"/>
              <w:pBdr>
                <w:top w:val="none" w:sz="0" w:space="0" w:color="auto"/>
              </w:pBdr>
              <w:jc w:val="center"/>
              <w:rPr>
                <w:i w:val="0"/>
              </w:rPr>
            </w:pPr>
            <w:r w:rsidRPr="00E6110F">
              <w:rPr>
                <w:i w:val="0"/>
              </w:rPr>
              <w:t>0.</w:t>
            </w:r>
            <w:r w:rsidR="0079694C">
              <w:rPr>
                <w:i w:val="0"/>
              </w:rPr>
              <w:t>42</w:t>
            </w:r>
          </w:p>
        </w:tc>
        <w:tc>
          <w:tcPr>
            <w:tcW w:w="1417" w:type="dxa"/>
          </w:tcPr>
          <w:p w14:paraId="6EC0EABD" w14:textId="6F5400CF" w:rsidR="003C1136" w:rsidRPr="00E6110F" w:rsidRDefault="0079694C" w:rsidP="003F74BF">
            <w:pPr>
              <w:pStyle w:val="Imagecaption"/>
              <w:pBdr>
                <w:top w:val="none" w:sz="0" w:space="0" w:color="auto"/>
              </w:pBdr>
              <w:jc w:val="center"/>
              <w:rPr>
                <w:i w:val="0"/>
              </w:rPr>
            </w:pPr>
            <w:r>
              <w:rPr>
                <w:i w:val="0"/>
              </w:rPr>
              <w:t>1.00</w:t>
            </w:r>
          </w:p>
        </w:tc>
        <w:tc>
          <w:tcPr>
            <w:tcW w:w="1276" w:type="dxa"/>
          </w:tcPr>
          <w:p w14:paraId="79FA39BC" w14:textId="2BEF8BE1" w:rsidR="003C1136" w:rsidRPr="00E6110F" w:rsidRDefault="003C1136" w:rsidP="003F74BF">
            <w:pPr>
              <w:pStyle w:val="Imagecaption"/>
              <w:pBdr>
                <w:top w:val="none" w:sz="0" w:space="0" w:color="auto"/>
              </w:pBdr>
              <w:jc w:val="center"/>
              <w:rPr>
                <w:i w:val="0"/>
              </w:rPr>
            </w:pPr>
            <w:r w:rsidRPr="00E6110F">
              <w:rPr>
                <w:i w:val="0"/>
              </w:rPr>
              <w:t>1.00</w:t>
            </w:r>
          </w:p>
        </w:tc>
        <w:tc>
          <w:tcPr>
            <w:tcW w:w="1502" w:type="dxa"/>
          </w:tcPr>
          <w:p w14:paraId="0F85E2DA" w14:textId="4064823F" w:rsidR="003C1136" w:rsidRPr="00E6110F" w:rsidRDefault="003C1136" w:rsidP="003F74BF">
            <w:pPr>
              <w:pStyle w:val="Imagecaption"/>
              <w:pBdr>
                <w:top w:val="none" w:sz="0" w:space="0" w:color="auto"/>
              </w:pBdr>
              <w:jc w:val="center"/>
              <w:rPr>
                <w:i w:val="0"/>
              </w:rPr>
            </w:pPr>
            <w:r w:rsidRPr="00E6110F">
              <w:rPr>
                <w:i w:val="0"/>
              </w:rPr>
              <w:t>2.</w:t>
            </w:r>
            <w:r w:rsidR="0079694C">
              <w:rPr>
                <w:i w:val="0"/>
              </w:rPr>
              <w:t>42</w:t>
            </w:r>
          </w:p>
        </w:tc>
      </w:tr>
      <w:tr w:rsidR="003C1136" w:rsidRPr="00E6110F" w14:paraId="0E996B36" w14:textId="77777777" w:rsidTr="00736B52">
        <w:tc>
          <w:tcPr>
            <w:tcW w:w="2263" w:type="dxa"/>
          </w:tcPr>
          <w:p w14:paraId="5CE46C46" w14:textId="395090A7" w:rsidR="003C1136" w:rsidRPr="00E6110F" w:rsidRDefault="003C1136" w:rsidP="003F74BF">
            <w:pPr>
              <w:pStyle w:val="Imagecaption"/>
              <w:pBdr>
                <w:top w:val="none" w:sz="0" w:space="0" w:color="auto"/>
              </w:pBdr>
              <w:rPr>
                <w:i w:val="0"/>
              </w:rPr>
            </w:pPr>
            <w:r w:rsidRPr="00E6110F">
              <w:rPr>
                <w:i w:val="0"/>
              </w:rPr>
              <w:t>2-methylphenol</w:t>
            </w:r>
            <w:r w:rsidR="0079694C">
              <w:rPr>
                <w:i w:val="0"/>
              </w:rPr>
              <w:t xml:space="preserve"> (o-chresol)</w:t>
            </w:r>
            <w:r w:rsidR="00E130FC">
              <w:rPr>
                <w:i w:val="0"/>
              </w:rPr>
              <w:t xml:space="preserve"> (</w:t>
            </w:r>
            <w:r w:rsidR="00736B52">
              <w:rPr>
                <w:i w:val="0"/>
              </w:rPr>
              <w:t>F</w:t>
            </w:r>
            <w:r w:rsidR="00E130FC">
              <w:rPr>
                <w:i w:val="0"/>
              </w:rPr>
              <w:t>PW)</w:t>
            </w:r>
          </w:p>
        </w:tc>
        <w:tc>
          <w:tcPr>
            <w:tcW w:w="993" w:type="dxa"/>
          </w:tcPr>
          <w:p w14:paraId="421AB0A4" w14:textId="74BA51A5" w:rsidR="003C1136" w:rsidRPr="00E6110F" w:rsidRDefault="003C1136" w:rsidP="003F74BF">
            <w:pPr>
              <w:pStyle w:val="Imagecaption"/>
              <w:pBdr>
                <w:top w:val="none" w:sz="0" w:space="0" w:color="auto"/>
              </w:pBdr>
              <w:jc w:val="center"/>
              <w:rPr>
                <w:i w:val="0"/>
              </w:rPr>
            </w:pPr>
            <w:r w:rsidRPr="00E6110F">
              <w:rPr>
                <w:i w:val="0"/>
              </w:rPr>
              <w:t>95-48-7</w:t>
            </w:r>
          </w:p>
        </w:tc>
        <w:tc>
          <w:tcPr>
            <w:tcW w:w="1559" w:type="dxa"/>
          </w:tcPr>
          <w:p w14:paraId="14F75D0C" w14:textId="6DF463EB" w:rsidR="003C1136" w:rsidRPr="00E6110F" w:rsidRDefault="00E130FC" w:rsidP="003F74BF">
            <w:pPr>
              <w:pStyle w:val="Imagecaption"/>
              <w:pBdr>
                <w:top w:val="none" w:sz="0" w:space="0" w:color="auto"/>
              </w:pBdr>
              <w:jc w:val="center"/>
              <w:rPr>
                <w:i w:val="0"/>
              </w:rPr>
            </w:pPr>
            <w:r>
              <w:rPr>
                <w:i w:val="0"/>
              </w:rPr>
              <w:t>0.55</w:t>
            </w:r>
          </w:p>
        </w:tc>
        <w:tc>
          <w:tcPr>
            <w:tcW w:w="1417" w:type="dxa"/>
          </w:tcPr>
          <w:p w14:paraId="70B94430" w14:textId="54A54B06" w:rsidR="003C1136" w:rsidRPr="00E6110F" w:rsidRDefault="003C1136" w:rsidP="003F74BF">
            <w:pPr>
              <w:pStyle w:val="Imagecaption"/>
              <w:pBdr>
                <w:top w:val="none" w:sz="0" w:space="0" w:color="auto"/>
              </w:pBdr>
              <w:jc w:val="center"/>
              <w:rPr>
                <w:i w:val="0"/>
              </w:rPr>
            </w:pPr>
            <w:r w:rsidRPr="00E6110F">
              <w:rPr>
                <w:i w:val="0"/>
              </w:rPr>
              <w:t>0.</w:t>
            </w:r>
            <w:r w:rsidR="00E130FC">
              <w:rPr>
                <w:i w:val="0"/>
              </w:rPr>
              <w:t>31</w:t>
            </w:r>
          </w:p>
        </w:tc>
        <w:tc>
          <w:tcPr>
            <w:tcW w:w="1276" w:type="dxa"/>
          </w:tcPr>
          <w:p w14:paraId="0E79D370" w14:textId="643C0E27" w:rsidR="003C1136" w:rsidRPr="00E6110F" w:rsidRDefault="003C1136" w:rsidP="003F74BF">
            <w:pPr>
              <w:pStyle w:val="Imagecaption"/>
              <w:pBdr>
                <w:top w:val="none" w:sz="0" w:space="0" w:color="auto"/>
              </w:pBdr>
              <w:jc w:val="center"/>
              <w:rPr>
                <w:i w:val="0"/>
              </w:rPr>
            </w:pPr>
            <w:r w:rsidRPr="00E6110F">
              <w:rPr>
                <w:i w:val="0"/>
              </w:rPr>
              <w:t>0.</w:t>
            </w:r>
            <w:r w:rsidR="00E130FC">
              <w:rPr>
                <w:i w:val="0"/>
              </w:rPr>
              <w:t>31</w:t>
            </w:r>
          </w:p>
        </w:tc>
        <w:tc>
          <w:tcPr>
            <w:tcW w:w="1502" w:type="dxa"/>
          </w:tcPr>
          <w:p w14:paraId="72B115AC" w14:textId="2AB8A7AF" w:rsidR="003C1136" w:rsidRPr="00E6110F" w:rsidRDefault="00E130FC" w:rsidP="003F74BF">
            <w:pPr>
              <w:pStyle w:val="Imagecaption"/>
              <w:pBdr>
                <w:top w:val="none" w:sz="0" w:space="0" w:color="auto"/>
              </w:pBdr>
              <w:jc w:val="center"/>
              <w:rPr>
                <w:i w:val="0"/>
              </w:rPr>
            </w:pPr>
            <w:r>
              <w:rPr>
                <w:i w:val="0"/>
              </w:rPr>
              <w:t>1.17</w:t>
            </w:r>
          </w:p>
        </w:tc>
      </w:tr>
      <w:tr w:rsidR="003C1136" w:rsidRPr="00E6110F" w14:paraId="298F3E8A" w14:textId="77777777" w:rsidTr="00736B52">
        <w:tc>
          <w:tcPr>
            <w:tcW w:w="2263" w:type="dxa"/>
          </w:tcPr>
          <w:p w14:paraId="2EB2B6AF" w14:textId="4ACEE6B5" w:rsidR="003C1136" w:rsidRPr="00E6110F" w:rsidRDefault="003C1136" w:rsidP="003C1136">
            <w:pPr>
              <w:pStyle w:val="Imagecaption"/>
              <w:pBdr>
                <w:top w:val="none" w:sz="0" w:space="0" w:color="auto"/>
              </w:pBdr>
              <w:rPr>
                <w:i w:val="0"/>
              </w:rPr>
            </w:pPr>
            <w:r w:rsidRPr="00E6110F">
              <w:rPr>
                <w:i w:val="0"/>
              </w:rPr>
              <w:t>Methanol</w:t>
            </w:r>
            <w:r w:rsidR="00E130FC">
              <w:rPr>
                <w:i w:val="0"/>
              </w:rPr>
              <w:t xml:space="preserve"> (HFF)</w:t>
            </w:r>
          </w:p>
        </w:tc>
        <w:tc>
          <w:tcPr>
            <w:tcW w:w="993" w:type="dxa"/>
          </w:tcPr>
          <w:p w14:paraId="191716AB" w14:textId="0BB021FB" w:rsidR="003C1136" w:rsidRPr="00E6110F" w:rsidRDefault="003C1136" w:rsidP="003F74BF">
            <w:pPr>
              <w:pStyle w:val="Imagecaption"/>
              <w:pBdr>
                <w:top w:val="none" w:sz="0" w:space="0" w:color="auto"/>
              </w:pBdr>
              <w:jc w:val="center"/>
              <w:rPr>
                <w:i w:val="0"/>
              </w:rPr>
            </w:pPr>
            <w:r w:rsidRPr="00E6110F">
              <w:rPr>
                <w:i w:val="0"/>
              </w:rPr>
              <w:t>67-56-1</w:t>
            </w:r>
          </w:p>
        </w:tc>
        <w:tc>
          <w:tcPr>
            <w:tcW w:w="1559" w:type="dxa"/>
          </w:tcPr>
          <w:p w14:paraId="25CD4F5A" w14:textId="4C527745" w:rsidR="003C1136" w:rsidRPr="00E6110F" w:rsidRDefault="003C1136" w:rsidP="003F74BF">
            <w:pPr>
              <w:pStyle w:val="Imagecaption"/>
              <w:pBdr>
                <w:top w:val="none" w:sz="0" w:space="0" w:color="auto"/>
              </w:pBdr>
              <w:jc w:val="center"/>
              <w:rPr>
                <w:i w:val="0"/>
              </w:rPr>
            </w:pPr>
            <w:r w:rsidRPr="00E6110F">
              <w:rPr>
                <w:i w:val="0"/>
              </w:rPr>
              <w:t>1.00</w:t>
            </w:r>
          </w:p>
        </w:tc>
        <w:tc>
          <w:tcPr>
            <w:tcW w:w="1417" w:type="dxa"/>
          </w:tcPr>
          <w:p w14:paraId="5069F022" w14:textId="12B662EB" w:rsidR="003C1136" w:rsidRPr="00E6110F" w:rsidRDefault="003C1136" w:rsidP="003F74BF">
            <w:pPr>
              <w:pStyle w:val="Imagecaption"/>
              <w:pBdr>
                <w:top w:val="none" w:sz="0" w:space="0" w:color="auto"/>
              </w:pBdr>
              <w:jc w:val="center"/>
              <w:rPr>
                <w:i w:val="0"/>
              </w:rPr>
            </w:pPr>
            <w:r w:rsidRPr="00E6110F">
              <w:rPr>
                <w:i w:val="0"/>
              </w:rPr>
              <w:t>1.00</w:t>
            </w:r>
          </w:p>
        </w:tc>
        <w:tc>
          <w:tcPr>
            <w:tcW w:w="1276" w:type="dxa"/>
          </w:tcPr>
          <w:p w14:paraId="0B2E2A49" w14:textId="79FD8478" w:rsidR="003C1136" w:rsidRPr="00E6110F" w:rsidRDefault="003C1136" w:rsidP="003F74BF">
            <w:pPr>
              <w:pStyle w:val="Imagecaption"/>
              <w:pBdr>
                <w:top w:val="none" w:sz="0" w:space="0" w:color="auto"/>
              </w:pBdr>
              <w:jc w:val="center"/>
              <w:rPr>
                <w:i w:val="0"/>
              </w:rPr>
            </w:pPr>
            <w:r w:rsidRPr="00E6110F">
              <w:rPr>
                <w:i w:val="0"/>
              </w:rPr>
              <w:t>0.00</w:t>
            </w:r>
          </w:p>
        </w:tc>
        <w:tc>
          <w:tcPr>
            <w:tcW w:w="1502" w:type="dxa"/>
          </w:tcPr>
          <w:p w14:paraId="0518F582" w14:textId="0DCFEB27" w:rsidR="003C1136" w:rsidRPr="00E6110F" w:rsidRDefault="003C1136" w:rsidP="003F74BF">
            <w:pPr>
              <w:pStyle w:val="Imagecaption"/>
              <w:pBdr>
                <w:top w:val="none" w:sz="0" w:space="0" w:color="auto"/>
              </w:pBdr>
              <w:jc w:val="center"/>
              <w:rPr>
                <w:i w:val="0"/>
              </w:rPr>
            </w:pPr>
            <w:r w:rsidRPr="00E6110F">
              <w:rPr>
                <w:i w:val="0"/>
              </w:rPr>
              <w:t>2.00</w:t>
            </w:r>
          </w:p>
        </w:tc>
      </w:tr>
      <w:tr w:rsidR="003C1136" w:rsidRPr="00E6110F" w14:paraId="352B1930" w14:textId="77777777" w:rsidTr="00736B52">
        <w:tc>
          <w:tcPr>
            <w:tcW w:w="2263" w:type="dxa"/>
          </w:tcPr>
          <w:p w14:paraId="775F0474" w14:textId="7E7591F8" w:rsidR="003C1136" w:rsidRPr="00E6110F" w:rsidRDefault="003C1136" w:rsidP="003C1136">
            <w:pPr>
              <w:pStyle w:val="Imagecaption"/>
              <w:pBdr>
                <w:top w:val="none" w:sz="0" w:space="0" w:color="auto"/>
              </w:pBdr>
              <w:rPr>
                <w:i w:val="0"/>
              </w:rPr>
            </w:pPr>
            <w:r w:rsidRPr="00E6110F">
              <w:rPr>
                <w:i w:val="0"/>
              </w:rPr>
              <w:t>Ethyl</w:t>
            </w:r>
            <w:r w:rsidR="003B36C5">
              <w:rPr>
                <w:i w:val="0"/>
              </w:rPr>
              <w:t>ene</w:t>
            </w:r>
            <w:r w:rsidRPr="00E6110F">
              <w:rPr>
                <w:i w:val="0"/>
              </w:rPr>
              <w:t xml:space="preserve"> glycol</w:t>
            </w:r>
            <w:r w:rsidR="00E130FC">
              <w:rPr>
                <w:i w:val="0"/>
              </w:rPr>
              <w:t xml:space="preserve"> (HFF)</w:t>
            </w:r>
          </w:p>
        </w:tc>
        <w:tc>
          <w:tcPr>
            <w:tcW w:w="993" w:type="dxa"/>
          </w:tcPr>
          <w:p w14:paraId="133ACB8E" w14:textId="7F146422" w:rsidR="003C1136" w:rsidRPr="00E6110F" w:rsidRDefault="003C1136" w:rsidP="003F74BF">
            <w:pPr>
              <w:pStyle w:val="Imagecaption"/>
              <w:pBdr>
                <w:top w:val="none" w:sz="0" w:space="0" w:color="auto"/>
              </w:pBdr>
              <w:jc w:val="center"/>
              <w:rPr>
                <w:i w:val="0"/>
              </w:rPr>
            </w:pPr>
            <w:r w:rsidRPr="00E6110F">
              <w:rPr>
                <w:i w:val="0"/>
              </w:rPr>
              <w:t>107-21-1</w:t>
            </w:r>
          </w:p>
        </w:tc>
        <w:tc>
          <w:tcPr>
            <w:tcW w:w="1559" w:type="dxa"/>
          </w:tcPr>
          <w:p w14:paraId="519FD256" w14:textId="7C7CFEDF" w:rsidR="003C1136" w:rsidRPr="00E6110F" w:rsidRDefault="003C1136" w:rsidP="003F74BF">
            <w:pPr>
              <w:pStyle w:val="Imagecaption"/>
              <w:pBdr>
                <w:top w:val="none" w:sz="0" w:space="0" w:color="auto"/>
              </w:pBdr>
              <w:jc w:val="center"/>
              <w:rPr>
                <w:i w:val="0"/>
              </w:rPr>
            </w:pPr>
            <w:r w:rsidRPr="00E6110F">
              <w:rPr>
                <w:i w:val="0"/>
              </w:rPr>
              <w:t>1.00</w:t>
            </w:r>
          </w:p>
        </w:tc>
        <w:tc>
          <w:tcPr>
            <w:tcW w:w="1417" w:type="dxa"/>
          </w:tcPr>
          <w:p w14:paraId="7B551F94" w14:textId="624AAAB2" w:rsidR="003C1136" w:rsidRPr="00E6110F" w:rsidRDefault="003C1136" w:rsidP="003F74BF">
            <w:pPr>
              <w:pStyle w:val="Imagecaption"/>
              <w:pBdr>
                <w:top w:val="none" w:sz="0" w:space="0" w:color="auto"/>
              </w:pBdr>
              <w:jc w:val="center"/>
              <w:rPr>
                <w:i w:val="0"/>
              </w:rPr>
            </w:pPr>
            <w:r w:rsidRPr="00E6110F">
              <w:rPr>
                <w:i w:val="0"/>
              </w:rPr>
              <w:t>1.00</w:t>
            </w:r>
          </w:p>
        </w:tc>
        <w:tc>
          <w:tcPr>
            <w:tcW w:w="1276" w:type="dxa"/>
          </w:tcPr>
          <w:p w14:paraId="0BA97804" w14:textId="658347E7" w:rsidR="003C1136" w:rsidRPr="00E6110F" w:rsidRDefault="003C1136" w:rsidP="003F74BF">
            <w:pPr>
              <w:pStyle w:val="Imagecaption"/>
              <w:pBdr>
                <w:top w:val="none" w:sz="0" w:space="0" w:color="auto"/>
              </w:pBdr>
              <w:jc w:val="center"/>
              <w:rPr>
                <w:i w:val="0"/>
              </w:rPr>
            </w:pPr>
            <w:r w:rsidRPr="00E6110F">
              <w:rPr>
                <w:i w:val="0"/>
              </w:rPr>
              <w:t>0.00</w:t>
            </w:r>
          </w:p>
        </w:tc>
        <w:tc>
          <w:tcPr>
            <w:tcW w:w="1502" w:type="dxa"/>
          </w:tcPr>
          <w:p w14:paraId="7F6DDFAE" w14:textId="786A4F91" w:rsidR="003C1136" w:rsidRPr="00E6110F" w:rsidRDefault="003C1136" w:rsidP="003F74BF">
            <w:pPr>
              <w:pStyle w:val="Imagecaption"/>
              <w:pBdr>
                <w:top w:val="none" w:sz="0" w:space="0" w:color="auto"/>
              </w:pBdr>
              <w:jc w:val="center"/>
              <w:rPr>
                <w:i w:val="0"/>
              </w:rPr>
            </w:pPr>
            <w:r w:rsidRPr="00E6110F">
              <w:rPr>
                <w:i w:val="0"/>
              </w:rPr>
              <w:t>2.00</w:t>
            </w:r>
          </w:p>
        </w:tc>
      </w:tr>
    </w:tbl>
    <w:p w14:paraId="3C871995" w14:textId="459ED949" w:rsidR="00DD7C01" w:rsidRDefault="00E661DC" w:rsidP="00C7328A">
      <w:pPr>
        <w:pStyle w:val="Heading3"/>
      </w:pPr>
      <w:r w:rsidRPr="00E6110F">
        <w:rPr>
          <w:rFonts w:cs="HelveticaNeue Condensed"/>
        </w:rPr>
        <w:t xml:space="preserve"> </w:t>
      </w:r>
      <w:bookmarkStart w:id="65" w:name="_Toc494444487"/>
      <w:r w:rsidR="00DD7C01">
        <w:t>Chemical</w:t>
      </w:r>
      <w:r w:rsidR="005605E8">
        <w:t>,</w:t>
      </w:r>
      <w:r w:rsidR="00DD7C01">
        <w:t xml:space="preserve"> biological</w:t>
      </w:r>
      <w:r w:rsidR="005605E8">
        <w:t>, and geological</w:t>
      </w:r>
      <w:r w:rsidR="00DD7C01">
        <w:t xml:space="preserve"> attenuation</w:t>
      </w:r>
      <w:bookmarkEnd w:id="65"/>
    </w:p>
    <w:p w14:paraId="254F946B" w14:textId="4D3D675C" w:rsidR="00C7328A" w:rsidRDefault="00F74EA7" w:rsidP="00D226D1">
      <w:pPr>
        <w:pStyle w:val="Body"/>
      </w:pPr>
      <w:r>
        <w:t>A detailed review about c</w:t>
      </w:r>
      <w:r w:rsidRPr="00E6110F">
        <w:t>hemical</w:t>
      </w:r>
      <w:r>
        <w:t xml:space="preserve">, </w:t>
      </w:r>
      <w:r w:rsidRPr="00E6110F">
        <w:t xml:space="preserve">biological, and geological </w:t>
      </w:r>
      <w:r>
        <w:t xml:space="preserve">(adsorption) </w:t>
      </w:r>
      <w:r w:rsidRPr="00E6110F">
        <w:t xml:space="preserve">attenuation processes relevant for deeper groundwater pathways </w:t>
      </w:r>
      <w:r>
        <w:t xml:space="preserve">is available in </w:t>
      </w:r>
      <w:r w:rsidR="00342ACE">
        <w:t>S</w:t>
      </w:r>
      <w:r w:rsidR="00342ACE" w:rsidRPr="00E6110F">
        <w:t>ection</w:t>
      </w:r>
      <w:r w:rsidR="00342ACE">
        <w:t>s</w:t>
      </w:r>
      <w:r w:rsidR="00342ACE" w:rsidRPr="00E6110F">
        <w:t xml:space="preserve"> </w:t>
      </w:r>
      <w:r w:rsidRPr="00E6110F">
        <w:fldChar w:fldCharType="begin" w:fldLock="1"/>
      </w:r>
      <w:r w:rsidRPr="00E6110F">
        <w:instrText xml:space="preserve"> REF _Ref452823556 \r \h  \* MERGEFORMAT </w:instrText>
      </w:r>
      <w:r w:rsidRPr="00E6110F">
        <w:fldChar w:fldCharType="separate"/>
      </w:r>
      <w:r w:rsidR="00335E79">
        <w:t>4.2</w:t>
      </w:r>
      <w:r w:rsidRPr="00E6110F">
        <w:fldChar w:fldCharType="end"/>
      </w:r>
      <w:r w:rsidR="005605E8">
        <w:t xml:space="preserve">, </w:t>
      </w:r>
      <w:r w:rsidR="005605E8">
        <w:fldChar w:fldCharType="begin" w:fldLock="1"/>
      </w:r>
      <w:r w:rsidR="005605E8">
        <w:instrText xml:space="preserve"> REF _Ref452902751 \r \h </w:instrText>
      </w:r>
      <w:r w:rsidR="005605E8">
        <w:fldChar w:fldCharType="separate"/>
      </w:r>
      <w:r w:rsidR="00335E79">
        <w:t>4.3</w:t>
      </w:r>
      <w:r w:rsidR="005605E8">
        <w:fldChar w:fldCharType="end"/>
      </w:r>
      <w:r w:rsidR="005605E8">
        <w:t xml:space="preserve">, and </w:t>
      </w:r>
      <w:r w:rsidR="005605E8">
        <w:fldChar w:fldCharType="begin" w:fldLock="1"/>
      </w:r>
      <w:r w:rsidR="005605E8">
        <w:instrText xml:space="preserve"> REF _Ref452822681 \r \h </w:instrText>
      </w:r>
      <w:r w:rsidR="005605E8">
        <w:fldChar w:fldCharType="separate"/>
      </w:r>
      <w:r w:rsidR="00335E79">
        <w:t>4.4</w:t>
      </w:r>
      <w:r w:rsidR="005605E8">
        <w:fldChar w:fldCharType="end"/>
      </w:r>
      <w:r w:rsidRPr="00E6110F">
        <w:t>.</w:t>
      </w:r>
      <w:r w:rsidR="005605E8">
        <w:t xml:space="preserve"> </w:t>
      </w:r>
    </w:p>
    <w:p w14:paraId="78FD9EEA" w14:textId="63D75FBB" w:rsidR="00C7328A" w:rsidRPr="00E6110F" w:rsidRDefault="00C7328A" w:rsidP="00C7328A">
      <w:pPr>
        <w:pStyle w:val="Heading3"/>
      </w:pPr>
      <w:bookmarkStart w:id="66" w:name="_Ref458871561"/>
      <w:bookmarkStart w:id="67" w:name="_Ref458872574"/>
      <w:bookmarkStart w:id="68" w:name="_Toc494444488"/>
      <w:r w:rsidRPr="00E6110F">
        <w:t>Toxicity data and estimation methods</w:t>
      </w:r>
      <w:bookmarkEnd w:id="66"/>
      <w:bookmarkEnd w:id="67"/>
      <w:bookmarkEnd w:id="68"/>
    </w:p>
    <w:p w14:paraId="34C6733D" w14:textId="5E86C51A" w:rsidR="00C7328A" w:rsidRPr="00E6110F" w:rsidRDefault="00C7328A" w:rsidP="00C7328A">
      <w:pPr>
        <w:pStyle w:val="Body"/>
        <w:rPr>
          <w:rFonts w:cs="HelveticaNeue Condensed"/>
        </w:rPr>
      </w:pPr>
      <w:r w:rsidRPr="00E6110F">
        <w:rPr>
          <w:rFonts w:cs="HelveticaNeue Condensed"/>
        </w:rPr>
        <w:t>US EPA developed “estimation methods” such as the ECOSAR Class Program to predict toxicity values that can be used for hazard and risk assessment of new chemicals, i.e. to indicate which chemicals may need further testing or characteri</w:t>
      </w:r>
      <w:r w:rsidR="00FC13CB">
        <w:rPr>
          <w:rFonts w:cs="HelveticaNeue Condensed"/>
        </w:rPr>
        <w:t>s</w:t>
      </w:r>
      <w:r w:rsidRPr="00E6110F">
        <w:rPr>
          <w:rFonts w:cs="HelveticaNeue Condensed"/>
        </w:rPr>
        <w:t>ation (Mayo-Bean et al. 2012). Such estimation methods are used to fill data gaps where little or no experimental measured data exists. The ECOSAR (ECOlogical Structure Activity Relationship) model and underlying methodology have been developed to screen chemicals in the absence of data. ECOSAR contains a library of class-based QSARs (quantitative structure activity relationship models) for predicting aquatic toxicity, overlaid with an expert decision tree for selecting the appropriate chemical class.</w:t>
      </w:r>
    </w:p>
    <w:p w14:paraId="3C3FCB4B" w14:textId="31ACD838" w:rsidR="00C7328A" w:rsidRPr="00E6110F" w:rsidRDefault="00C7328A" w:rsidP="00C7328A">
      <w:pPr>
        <w:pStyle w:val="Body"/>
        <w:rPr>
          <w:rFonts w:cs="HelveticaNeue Condensed"/>
        </w:rPr>
      </w:pPr>
      <w:r w:rsidRPr="00E6110F">
        <w:rPr>
          <w:rFonts w:cs="HelveticaNeue Condensed"/>
        </w:rPr>
        <w:t xml:space="preserve">These approaches include nearest analogue analysis, chemical class analogy, mechanisms of toxicity, QSARs, and </w:t>
      </w:r>
      <w:r w:rsidR="00FC13CB">
        <w:rPr>
          <w:rFonts w:cs="HelveticaNeue Condensed"/>
        </w:rPr>
        <w:t xml:space="preserve">best </w:t>
      </w:r>
      <w:r w:rsidRPr="00E6110F">
        <w:rPr>
          <w:rFonts w:cs="HelveticaNeue Condensed"/>
        </w:rPr>
        <w:t>professional judgment. In order to quickly complete an assessment for each new chemical, the US EPA now uses computeri</w:t>
      </w:r>
      <w:r w:rsidR="00FC13CB">
        <w:rPr>
          <w:rFonts w:cs="HelveticaNeue Condensed"/>
        </w:rPr>
        <w:t>s</w:t>
      </w:r>
      <w:r w:rsidRPr="00E6110F">
        <w:rPr>
          <w:rFonts w:cs="HelveticaNeue Condensed"/>
        </w:rPr>
        <w:t>ed QSAR models and expert systems to make estimates for physical/chemical properties, environmental fate, environmental toxicity, human health toxicity, and chemical releases and exposures in an effort to fill data gaps.</w:t>
      </w:r>
    </w:p>
    <w:p w14:paraId="7666D7CE" w14:textId="77777777" w:rsidR="00C7328A" w:rsidRPr="00E6110F" w:rsidRDefault="00C7328A" w:rsidP="00C7328A">
      <w:pPr>
        <w:pStyle w:val="Body"/>
        <w:rPr>
          <w:rFonts w:cs="HelveticaNeue Condensed"/>
        </w:rPr>
      </w:pPr>
      <w:r w:rsidRPr="00E6110F">
        <w:rPr>
          <w:rFonts w:cs="HelveticaNeue Condensed"/>
        </w:rPr>
        <w:t>In the latest version of ECOSAR, the log Kow (octanol-water partition coefficient) values for each training set chemical is predicted using the KOWWIN program from U.S. EPA’s EPISuite model (Meylan and Howard 1995).</w:t>
      </w:r>
    </w:p>
    <w:p w14:paraId="6271F8B0" w14:textId="77777777" w:rsidR="00C7328A" w:rsidRPr="00E6110F" w:rsidRDefault="00C7328A" w:rsidP="00C7328A">
      <w:pPr>
        <w:pStyle w:val="Body"/>
      </w:pPr>
      <w:r w:rsidRPr="00E6110F">
        <w:t>ECOSAR derives toxicity values for three general types of chemicals:</w:t>
      </w:r>
    </w:p>
    <w:p w14:paraId="495E65B5" w14:textId="77777777" w:rsidR="00C7328A" w:rsidRPr="00E6110F" w:rsidRDefault="00C7328A" w:rsidP="00C117A3">
      <w:pPr>
        <w:pStyle w:val="Body"/>
        <w:numPr>
          <w:ilvl w:val="0"/>
          <w:numId w:val="34"/>
        </w:numPr>
      </w:pPr>
      <w:r w:rsidRPr="00E6110F">
        <w:t>Neutral organics: alcohols, ketones, ethers, alkyl halides, aryl halides, aromatic hydrocarbons, aliphatic hydrocarbons, cyanates, sulfides, and disulfides</w:t>
      </w:r>
    </w:p>
    <w:p w14:paraId="4570AE90" w14:textId="109245D3" w:rsidR="00C7328A" w:rsidRPr="00E6110F" w:rsidRDefault="00C7328A" w:rsidP="00C117A3">
      <w:pPr>
        <w:pStyle w:val="Body"/>
        <w:numPr>
          <w:ilvl w:val="0"/>
          <w:numId w:val="34"/>
        </w:numPr>
      </w:pPr>
      <w:r w:rsidRPr="00E6110F">
        <w:t xml:space="preserve">Organic </w:t>
      </w:r>
      <w:r w:rsidR="00FC13CB" w:rsidRPr="00E6110F">
        <w:t>chemicals with excess toxicity</w:t>
      </w:r>
      <w:r w:rsidRPr="00E6110F">
        <w:t>: Some types of organic chemicals present a more specific mode of toxicity based on the presence of reactive functional groups acrylates, methacrylates, aldehydes, anilines, beta-diketones (linear forms), benzotriazoles, esters, phenols, aziridines, and epoxides.</w:t>
      </w:r>
    </w:p>
    <w:p w14:paraId="0EE5B40A" w14:textId="554C206F" w:rsidR="00C7328A" w:rsidRDefault="00C7328A" w:rsidP="00C117A3">
      <w:pPr>
        <w:pStyle w:val="Body"/>
        <w:numPr>
          <w:ilvl w:val="0"/>
          <w:numId w:val="34"/>
        </w:numPr>
      </w:pPr>
      <w:r w:rsidRPr="00E6110F">
        <w:t>Surfactant (</w:t>
      </w:r>
      <w:r w:rsidR="00FC13CB">
        <w:t>s</w:t>
      </w:r>
      <w:r w:rsidR="00FC13CB" w:rsidRPr="00E6110F">
        <w:t>urface</w:t>
      </w:r>
      <w:r w:rsidRPr="00E6110F">
        <w:t>-</w:t>
      </w:r>
      <w:r w:rsidR="00FC13CB">
        <w:t>a</w:t>
      </w:r>
      <w:r w:rsidR="00FC13CB" w:rsidRPr="00E6110F">
        <w:t>ctive</w:t>
      </w:r>
      <w:r w:rsidRPr="00E6110F">
        <w:t xml:space="preserve">) </w:t>
      </w:r>
      <w:r w:rsidR="00FC13CB">
        <w:t>o</w:t>
      </w:r>
      <w:r w:rsidR="00FC13CB" w:rsidRPr="00E6110F">
        <w:t xml:space="preserve">rganic </w:t>
      </w:r>
      <w:r w:rsidR="00FC13CB">
        <w:t>c</w:t>
      </w:r>
      <w:r w:rsidR="00FC13CB" w:rsidRPr="00E6110F">
        <w:t>hemicals</w:t>
      </w:r>
      <w:r w:rsidRPr="00E6110F">
        <w:t>:</w:t>
      </w:r>
      <w:r w:rsidRPr="00E6110F">
        <w:rPr>
          <w:b/>
          <w:bCs/>
        </w:rPr>
        <w:t xml:space="preserve"> </w:t>
      </w:r>
      <w:r w:rsidRPr="00E6110F">
        <w:t>A surfactant is defined as a material that can greatly reduce the surface tension of water when used in very low concentrations.</w:t>
      </w:r>
    </w:p>
    <w:p w14:paraId="71AA175F" w14:textId="77777777" w:rsidR="00C7328A" w:rsidRDefault="00C7328A" w:rsidP="00C7328A">
      <w:pPr>
        <w:rPr>
          <w:lang w:val="en-GB"/>
        </w:rPr>
      </w:pPr>
    </w:p>
    <w:p w14:paraId="642FEDEF" w14:textId="77777777" w:rsidR="00C7328A" w:rsidRDefault="00C7328A" w:rsidP="00C7328A">
      <w:pPr>
        <w:rPr>
          <w:lang w:val="en-GB"/>
        </w:rPr>
      </w:pPr>
    </w:p>
    <w:p w14:paraId="36582293" w14:textId="77777777" w:rsidR="00076387" w:rsidRPr="00C7328A" w:rsidRDefault="00076387" w:rsidP="00C7328A">
      <w:pPr>
        <w:rPr>
          <w:lang w:val="en-GB"/>
        </w:rPr>
      </w:pPr>
    </w:p>
    <w:p w14:paraId="4AC8F836" w14:textId="77777777" w:rsidR="000C6D85" w:rsidRDefault="000C6D85" w:rsidP="00DD7C01">
      <w:pPr>
        <w:pStyle w:val="Body"/>
      </w:pPr>
      <w:bookmarkStart w:id="69" w:name="_Ref446600645"/>
      <w:bookmarkEnd w:id="22"/>
      <w:r w:rsidRPr="00E6110F">
        <w:br w:type="page"/>
      </w:r>
    </w:p>
    <w:p w14:paraId="06F3B8E3" w14:textId="095C08A4" w:rsidR="00C36DE0" w:rsidRPr="00E6110F" w:rsidRDefault="00C36DE0" w:rsidP="003E3108">
      <w:pPr>
        <w:pStyle w:val="Heading2"/>
      </w:pPr>
      <w:bookmarkStart w:id="70" w:name="_Ref448859974"/>
      <w:bookmarkStart w:id="71" w:name="_Ref470859258"/>
      <w:bookmarkStart w:id="72" w:name="_Toc494444489"/>
      <w:r w:rsidRPr="00E6110F">
        <w:t xml:space="preserve">Level-1 </w:t>
      </w:r>
      <w:r w:rsidR="000B5859">
        <w:t>analysis:</w:t>
      </w:r>
      <w:bookmarkEnd w:id="70"/>
      <w:r w:rsidR="000B5859">
        <w:t xml:space="preserve"> identifying chemicals of low concern</w:t>
      </w:r>
      <w:bookmarkEnd w:id="71"/>
      <w:bookmarkEnd w:id="72"/>
    </w:p>
    <w:p w14:paraId="68D2ED78" w14:textId="3ADC5C9E" w:rsidR="00C311A2" w:rsidRPr="00C311A2" w:rsidRDefault="00C311A2" w:rsidP="00C311A2">
      <w:pPr>
        <w:pStyle w:val="Body"/>
      </w:pPr>
      <w:r w:rsidRPr="00C311A2">
        <w:t>For the hazard screening framework to be cost-effective (‘high-throughput’), a first step in the analysis must allow for chemicals with low hazard level to be excluded from more detailed analysis (which here include</w:t>
      </w:r>
      <w:r>
        <w:t>s</w:t>
      </w:r>
      <w:r w:rsidRPr="00C311A2">
        <w:t xml:space="preserve"> pathway analysis and attenuation assessments).</w:t>
      </w:r>
    </w:p>
    <w:p w14:paraId="7314AA50" w14:textId="4DF921B6" w:rsidR="00C36DE0" w:rsidRPr="00E6110F" w:rsidRDefault="00C36DE0" w:rsidP="00C36DE0">
      <w:pPr>
        <w:pStyle w:val="Body"/>
      </w:pPr>
      <w:r w:rsidRPr="00E6110F">
        <w:t xml:space="preserve">The purpose of the Level-1 </w:t>
      </w:r>
      <w:r w:rsidR="002303A7">
        <w:t>analysis</w:t>
      </w:r>
      <w:r w:rsidRPr="00E6110F">
        <w:t xml:space="preserve"> is to efficiently identify i) chemicals of low concern not requiring any further detailed </w:t>
      </w:r>
      <w:r w:rsidR="000B5859">
        <w:t>analysis</w:t>
      </w:r>
      <w:r w:rsidRPr="00E6110F">
        <w:t xml:space="preserve">, and ii) those chemicals that </w:t>
      </w:r>
      <w:r w:rsidR="000B5859">
        <w:t>are not considered</w:t>
      </w:r>
      <w:r w:rsidR="00050419">
        <w:t xml:space="preserve"> of low concern and thus</w:t>
      </w:r>
      <w:r w:rsidRPr="00E6110F">
        <w:t xml:space="preserve"> require further </w:t>
      </w:r>
      <w:r w:rsidR="00050419">
        <w:t>a</w:t>
      </w:r>
      <w:r w:rsidR="000B5859">
        <w:t>nalysis</w:t>
      </w:r>
      <w:r w:rsidR="00C536B1" w:rsidRPr="00E6110F">
        <w:t xml:space="preserve"> (at Level 2)</w:t>
      </w:r>
      <w:r w:rsidRPr="00E6110F">
        <w:t>.</w:t>
      </w:r>
      <w:r w:rsidR="00C311A2">
        <w:t xml:space="preserve"> </w:t>
      </w:r>
      <w:r w:rsidRPr="00E6110F">
        <w:t xml:space="preserve">The Level-1 </w:t>
      </w:r>
      <w:r w:rsidR="002E4464">
        <w:t>analysis</w:t>
      </w:r>
      <w:r w:rsidRPr="00E6110F">
        <w:t xml:space="preserve"> will consider </w:t>
      </w:r>
      <w:r w:rsidR="005E6C17">
        <w:t xml:space="preserve">existing </w:t>
      </w:r>
      <w:r w:rsidR="00C311A2">
        <w:t xml:space="preserve">lists and </w:t>
      </w:r>
      <w:r w:rsidR="005E6C17">
        <w:t xml:space="preserve">rules for screening chemicals and lists of chemicals previously screened to identify chemicals of low concern </w:t>
      </w:r>
      <w:r w:rsidR="00050419">
        <w:t>to human health</w:t>
      </w:r>
      <w:r w:rsidR="00F579FC">
        <w:rPr>
          <w:rFonts w:ascii="ZWAdobeF" w:hAnsi="ZWAdobeF" w:cs="ZWAdobeF"/>
          <w:color w:val="auto"/>
          <w:sz w:val="2"/>
          <w:szCs w:val="2"/>
        </w:rPr>
        <w:t>5F</w:t>
      </w:r>
      <w:r w:rsidR="004D56CC">
        <w:rPr>
          <w:rStyle w:val="FootnoteReference"/>
        </w:rPr>
        <w:footnoteReference w:id="7"/>
      </w:r>
      <w:r w:rsidR="00050419">
        <w:t xml:space="preserve"> and the environment</w:t>
      </w:r>
      <w:r w:rsidR="00F579FC">
        <w:rPr>
          <w:rFonts w:ascii="ZWAdobeF" w:hAnsi="ZWAdobeF" w:cs="ZWAdobeF"/>
          <w:color w:val="auto"/>
          <w:sz w:val="2"/>
          <w:szCs w:val="2"/>
        </w:rPr>
        <w:t>6F</w:t>
      </w:r>
      <w:r w:rsidR="003F4BF1">
        <w:rPr>
          <w:rStyle w:val="FootnoteReference"/>
        </w:rPr>
        <w:footnoteReference w:id="8"/>
      </w:r>
      <w:r w:rsidR="00050419">
        <w:t xml:space="preserve"> </w:t>
      </w:r>
      <w:r w:rsidRPr="00E6110F">
        <w:t>(</w:t>
      </w:r>
      <w:r w:rsidR="00C536B1" w:rsidRPr="00E6110F">
        <w:fldChar w:fldCharType="begin" w:fldLock="1"/>
      </w:r>
      <w:r w:rsidR="00C536B1" w:rsidRPr="00E6110F">
        <w:instrText xml:space="preserve"> REF _Ref446683085 \h </w:instrText>
      </w:r>
      <w:r w:rsidR="00E6110F">
        <w:instrText xml:space="preserve"> \* MERGEFORMAT </w:instrText>
      </w:r>
      <w:r w:rsidR="00C536B1" w:rsidRPr="00E6110F">
        <w:fldChar w:fldCharType="separate"/>
      </w:r>
      <w:r w:rsidR="00335E79" w:rsidRPr="00E6110F">
        <w:t xml:space="preserve">Table </w:t>
      </w:r>
      <w:r w:rsidR="00335E79">
        <w:rPr>
          <w:noProof/>
        </w:rPr>
        <w:t>2</w:t>
      </w:r>
      <w:r w:rsidR="00335E79">
        <w:rPr>
          <w:noProof/>
        </w:rPr>
        <w:noBreakHyphen/>
        <w:t>4</w:t>
      </w:r>
      <w:r w:rsidR="00C536B1" w:rsidRPr="00E6110F">
        <w:fldChar w:fldCharType="end"/>
      </w:r>
      <w:r w:rsidR="00C536B1" w:rsidRPr="00E6110F">
        <w:t xml:space="preserve"> </w:t>
      </w:r>
      <w:r w:rsidRPr="00E6110F">
        <w:t>and</w:t>
      </w:r>
      <w:r w:rsidR="00C536B1" w:rsidRPr="00E6110F">
        <w:t xml:space="preserve"> </w:t>
      </w:r>
      <w:r w:rsidR="00C536B1" w:rsidRPr="00E6110F">
        <w:fldChar w:fldCharType="begin" w:fldLock="1"/>
      </w:r>
      <w:r w:rsidR="00C536B1" w:rsidRPr="00E6110F">
        <w:instrText xml:space="preserve"> REF _Ref446683094 \h </w:instrText>
      </w:r>
      <w:r w:rsidR="00E6110F">
        <w:instrText xml:space="preserve"> \* MERGEFORMAT </w:instrText>
      </w:r>
      <w:r w:rsidR="00C536B1" w:rsidRPr="00E6110F">
        <w:fldChar w:fldCharType="separate"/>
      </w:r>
      <w:r w:rsidR="00335E79" w:rsidRPr="00E6110F">
        <w:t xml:space="preserve">Figure </w:t>
      </w:r>
      <w:r w:rsidR="00335E79">
        <w:rPr>
          <w:noProof/>
        </w:rPr>
        <w:t>2</w:t>
      </w:r>
      <w:r w:rsidR="00335E79">
        <w:rPr>
          <w:noProof/>
        </w:rPr>
        <w:noBreakHyphen/>
        <w:t>13</w:t>
      </w:r>
      <w:r w:rsidR="00C536B1" w:rsidRPr="00E6110F">
        <w:fldChar w:fldCharType="end"/>
      </w:r>
      <w:r w:rsidRPr="00E6110F">
        <w:t>):</w:t>
      </w:r>
    </w:p>
    <w:p w14:paraId="7AD6B2E6" w14:textId="41790F96" w:rsidR="00C36DE0" w:rsidRPr="00E6110F" w:rsidRDefault="00C36DE0" w:rsidP="00C117A3">
      <w:pPr>
        <w:pStyle w:val="Body"/>
        <w:numPr>
          <w:ilvl w:val="0"/>
          <w:numId w:val="4"/>
        </w:numPr>
      </w:pPr>
      <w:r w:rsidRPr="00E6110F">
        <w:t xml:space="preserve">Chemicals previously identified by the National </w:t>
      </w:r>
      <w:r w:rsidR="004B53EC" w:rsidRPr="00E6110F">
        <w:t xml:space="preserve">Assessment </w:t>
      </w:r>
      <w:r w:rsidR="004B53EC">
        <w:t xml:space="preserve">of </w:t>
      </w:r>
      <w:r w:rsidRPr="00E6110F">
        <w:t xml:space="preserve">Chemicals </w:t>
      </w:r>
      <w:r w:rsidR="0092455F" w:rsidRPr="00654E0E">
        <w:t>Associated with Coal Seam Gas Extraction in Australia</w:t>
      </w:r>
      <w:r w:rsidR="0092455F" w:rsidRPr="00E6110F">
        <w:t xml:space="preserve"> </w:t>
      </w:r>
      <w:r w:rsidR="004A440F">
        <w:t>as “</w:t>
      </w:r>
      <w:r w:rsidR="004A440F" w:rsidRPr="00E6110F">
        <w:t>of low concern</w:t>
      </w:r>
      <w:r w:rsidR="004A440F">
        <w:t>”</w:t>
      </w:r>
      <w:r w:rsidR="004A440F" w:rsidRPr="00E6110F">
        <w:t xml:space="preserve"> for human health </w:t>
      </w:r>
      <w:r w:rsidR="00893F87">
        <w:t>(NICNAS 201</w:t>
      </w:r>
      <w:r w:rsidR="00914462">
        <w:t>7</w:t>
      </w:r>
      <w:r w:rsidR="00893F87">
        <w:t xml:space="preserve">b) </w:t>
      </w:r>
      <w:r w:rsidR="004A440F" w:rsidRPr="00893F87">
        <w:rPr>
          <w:i/>
        </w:rPr>
        <w:t>and</w:t>
      </w:r>
      <w:r w:rsidR="004A440F" w:rsidRPr="00E6110F">
        <w:t xml:space="preserve"> </w:t>
      </w:r>
      <w:r w:rsidR="00893F87">
        <w:t xml:space="preserve">shown to have a Tier 1 Risk Quotient &lt; 1 for </w:t>
      </w:r>
      <w:r w:rsidR="004A440F" w:rsidRPr="00E6110F">
        <w:t>environment</w:t>
      </w:r>
      <w:r w:rsidR="00893F87">
        <w:t>al risk assessment</w:t>
      </w:r>
      <w:r w:rsidR="004A440F">
        <w:t xml:space="preserve"> </w:t>
      </w:r>
      <w:r w:rsidR="00893F87">
        <w:t>(DoE</w:t>
      </w:r>
      <w:r w:rsidR="00527149">
        <w:t>E</w:t>
      </w:r>
      <w:r w:rsidR="00893F87">
        <w:t xml:space="preserve"> 201</w:t>
      </w:r>
      <w:r w:rsidR="00914462">
        <w:t>7</w:t>
      </w:r>
      <w:r w:rsidR="00893F87">
        <w:t>b</w:t>
      </w:r>
      <w:r w:rsidR="00893F87" w:rsidRPr="00E6110F">
        <w:t>)</w:t>
      </w:r>
      <w:r w:rsidR="00893F87">
        <w:t xml:space="preserve">, </w:t>
      </w:r>
      <w:r w:rsidRPr="00E6110F">
        <w:t xml:space="preserve">will be treated </w:t>
      </w:r>
      <w:r w:rsidR="004A440F">
        <w:t xml:space="preserve">here </w:t>
      </w:r>
      <w:r w:rsidR="002C69D1">
        <w:t xml:space="preserve">also </w:t>
      </w:r>
      <w:r w:rsidRPr="00E6110F">
        <w:t xml:space="preserve">as “of low concern” </w:t>
      </w:r>
      <w:r w:rsidR="00B833E3">
        <w:t xml:space="preserve">for both human health and environment </w:t>
      </w:r>
      <w:r w:rsidRPr="00E6110F">
        <w:t>(</w:t>
      </w:r>
      <w:r w:rsidR="004A440F">
        <w:t>and therefore not requiring the Level</w:t>
      </w:r>
      <w:r w:rsidR="00F57BD7">
        <w:t>-</w:t>
      </w:r>
      <w:r w:rsidR="004A440F">
        <w:t xml:space="preserve">2 analysis). </w:t>
      </w:r>
      <w:r w:rsidR="00674390">
        <w:t xml:space="preserve">Because exposure scenarios considered for deeper groundwater provide a higher degree of attenuation (i.e. lower predicted environmental concentrations) compared to the scenarios for surface handling, the latter scenarios are considered sufficiently conservative to not underestimate the impact in case of deeper groundwater scenarios. </w:t>
      </w:r>
      <w:r w:rsidR="00E14131">
        <w:t>For c</w:t>
      </w:r>
      <w:r w:rsidR="004A440F">
        <w:t xml:space="preserve">hemicals previously identified as </w:t>
      </w:r>
      <w:r w:rsidR="002C69D1">
        <w:t>“</w:t>
      </w:r>
      <w:r w:rsidR="004A440F">
        <w:t>of low concern</w:t>
      </w:r>
      <w:r w:rsidR="002C69D1">
        <w:t>”</w:t>
      </w:r>
      <w:r w:rsidR="004A440F">
        <w:t xml:space="preserve"> for </w:t>
      </w:r>
      <w:r w:rsidR="002C69D1" w:rsidRPr="009B74E9">
        <w:rPr>
          <w:i/>
        </w:rPr>
        <w:t>either</w:t>
      </w:r>
      <w:r w:rsidR="002C69D1">
        <w:t xml:space="preserve"> </w:t>
      </w:r>
      <w:r w:rsidR="004A440F">
        <w:t xml:space="preserve">human health </w:t>
      </w:r>
      <w:r w:rsidR="004A440F" w:rsidRPr="009B74E9">
        <w:rPr>
          <w:i/>
        </w:rPr>
        <w:t>or</w:t>
      </w:r>
      <w:r w:rsidR="004A440F">
        <w:t xml:space="preserve"> the environment</w:t>
      </w:r>
      <w:r w:rsidR="00E14131">
        <w:t>,</w:t>
      </w:r>
      <w:r w:rsidR="002C69D1">
        <w:t xml:space="preserve"> </w:t>
      </w:r>
      <w:r w:rsidR="00E14131">
        <w:t>the Level-2 analysis is</w:t>
      </w:r>
      <w:r w:rsidR="002C69D1">
        <w:t xml:space="preserve"> required here;</w:t>
      </w:r>
      <w:r w:rsidR="004A440F">
        <w:t xml:space="preserve"> </w:t>
      </w:r>
    </w:p>
    <w:p w14:paraId="49121A14" w14:textId="47F6754A" w:rsidR="00C536B1" w:rsidRPr="0008450C" w:rsidRDefault="00C36DE0" w:rsidP="00C117A3">
      <w:pPr>
        <w:pStyle w:val="Body"/>
        <w:numPr>
          <w:ilvl w:val="0"/>
          <w:numId w:val="4"/>
        </w:numPr>
        <w:rPr>
          <w:strike/>
        </w:rPr>
      </w:pPr>
      <w:r w:rsidRPr="00E6110F">
        <w:t xml:space="preserve">For any chemical not previously </w:t>
      </w:r>
      <w:r w:rsidR="002E4464">
        <w:t xml:space="preserve">tested (i.e. not listed by NICNAS </w:t>
      </w:r>
      <w:r w:rsidR="00F57BD7">
        <w:t>(201</w:t>
      </w:r>
      <w:r w:rsidR="00914462">
        <w:t>7</w:t>
      </w:r>
      <w:r w:rsidR="00F57BD7">
        <w:t>b)</w:t>
      </w:r>
      <w:r w:rsidR="002E4464">
        <w:t>)</w:t>
      </w:r>
      <w:r w:rsidRPr="00E6110F">
        <w:t xml:space="preserve">, </w:t>
      </w:r>
      <w:r w:rsidR="002303A7" w:rsidRPr="002303A7">
        <w:t>t</w:t>
      </w:r>
      <w:r w:rsidR="002303A7">
        <w:t>he ‘Level-</w:t>
      </w:r>
      <w:r w:rsidR="002303A7" w:rsidRPr="002303A7">
        <w:t>1</w:t>
      </w:r>
      <w:r w:rsidR="002303A7">
        <w:t xml:space="preserve"> analysis</w:t>
      </w:r>
      <w:r w:rsidR="002303A7" w:rsidRPr="002303A7">
        <w:t>: Identification of chemicals of low concern’ provides the means to carry out a simplified hazard screening and identify if such chemicals are of low concern or require further analysis. The ‘further analysis’ then involves consideration of exposure pathways and their likelihood, the expected travel times (indication of whether there is an immediate exposure or a potential delayed exposure) and the extent of attenuation processes that will reduce impacts</w:t>
      </w:r>
      <w:r w:rsidR="00794F2C">
        <w:t xml:space="preserve"> (see further)</w:t>
      </w:r>
      <w:r w:rsidR="002303A7" w:rsidRPr="002303A7">
        <w:t>.</w:t>
      </w:r>
      <w:r w:rsidR="00794F2C">
        <w:t xml:space="preserve"> T</w:t>
      </w:r>
      <w:r w:rsidRPr="00E6110F">
        <w:t xml:space="preserve">he </w:t>
      </w:r>
      <w:r w:rsidR="00794F2C">
        <w:t xml:space="preserve">hazard </w:t>
      </w:r>
      <w:r w:rsidRPr="00E6110F">
        <w:t xml:space="preserve">screening methodology used within </w:t>
      </w:r>
      <w:r w:rsidR="000F5990" w:rsidRPr="00E6110F">
        <w:t xml:space="preserve">the National Assessment </w:t>
      </w:r>
      <w:r w:rsidR="000F5990">
        <w:t xml:space="preserve">of </w:t>
      </w:r>
      <w:r w:rsidR="000F5990" w:rsidRPr="00E6110F">
        <w:t xml:space="preserve">Chemicals </w:t>
      </w:r>
      <w:r w:rsidR="000F5990" w:rsidRPr="00654E0E">
        <w:t>Associated with Coal Seam Gas Extraction in Australia</w:t>
      </w:r>
      <w:r w:rsidRPr="00E6110F">
        <w:t xml:space="preserve"> (</w:t>
      </w:r>
      <w:r w:rsidR="00794F2C">
        <w:t xml:space="preserve">for </w:t>
      </w:r>
      <w:r w:rsidRPr="00E6110F">
        <w:t>human health and environment, see</w:t>
      </w:r>
      <w:r w:rsidR="00C536B1" w:rsidRPr="00E6110F">
        <w:t xml:space="preserve"> </w:t>
      </w:r>
      <w:r w:rsidR="00C536B1" w:rsidRPr="00E6110F">
        <w:fldChar w:fldCharType="begin" w:fldLock="1"/>
      </w:r>
      <w:r w:rsidR="00C536B1" w:rsidRPr="00E6110F">
        <w:instrText xml:space="preserve"> REF _Ref446683085 \h </w:instrText>
      </w:r>
      <w:r w:rsidR="00E6110F">
        <w:instrText xml:space="preserve"> \* MERGEFORMAT </w:instrText>
      </w:r>
      <w:r w:rsidR="00C536B1" w:rsidRPr="00E6110F">
        <w:fldChar w:fldCharType="separate"/>
      </w:r>
      <w:r w:rsidR="00335E79" w:rsidRPr="00E6110F">
        <w:t xml:space="preserve">Table </w:t>
      </w:r>
      <w:r w:rsidR="00335E79">
        <w:rPr>
          <w:noProof/>
        </w:rPr>
        <w:t>2</w:t>
      </w:r>
      <w:r w:rsidR="00335E79">
        <w:rPr>
          <w:noProof/>
        </w:rPr>
        <w:noBreakHyphen/>
        <w:t>4</w:t>
      </w:r>
      <w:r w:rsidR="00C536B1" w:rsidRPr="00E6110F">
        <w:fldChar w:fldCharType="end"/>
      </w:r>
      <w:r w:rsidRPr="00E6110F">
        <w:t xml:space="preserve">) </w:t>
      </w:r>
      <w:r w:rsidR="00012023">
        <w:t>is</w:t>
      </w:r>
      <w:r w:rsidRPr="00E6110F">
        <w:t xml:space="preserve"> adopted </w:t>
      </w:r>
      <w:r w:rsidR="00012023">
        <w:t xml:space="preserve">here </w:t>
      </w:r>
      <w:r w:rsidR="00794F2C">
        <w:t>for the Level-1 analysis.</w:t>
      </w:r>
      <w:r w:rsidRPr="0008450C">
        <w:rPr>
          <w:strike/>
        </w:rPr>
        <w:t xml:space="preserve"> </w:t>
      </w:r>
    </w:p>
    <w:p w14:paraId="49E1017E" w14:textId="77777777" w:rsidR="0016426A" w:rsidRDefault="0016426A" w:rsidP="0016426A">
      <w:pPr>
        <w:pStyle w:val="Body"/>
        <w:ind w:left="360"/>
      </w:pPr>
    </w:p>
    <w:p w14:paraId="6F0BEB4B" w14:textId="5A02B9A2" w:rsidR="0016426A" w:rsidRPr="00E6110F" w:rsidRDefault="0016426A" w:rsidP="0016426A">
      <w:pPr>
        <w:pStyle w:val="Imagecaption"/>
        <w:keepNext/>
        <w:pBdr>
          <w:top w:val="none" w:sz="0" w:space="0" w:color="auto"/>
        </w:pBdr>
      </w:pPr>
      <w:bookmarkStart w:id="73" w:name="_Ref446683085"/>
      <w:bookmarkStart w:id="74" w:name="_Toc494444694"/>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4</w:t>
      </w:r>
      <w:r w:rsidR="00470577">
        <w:fldChar w:fldCharType="end"/>
      </w:r>
      <w:bookmarkEnd w:id="73"/>
      <w:r w:rsidRPr="00E6110F">
        <w:t>. Summary o</w:t>
      </w:r>
      <w:r>
        <w:t>f existing screening methodologies</w:t>
      </w:r>
      <w:r w:rsidRPr="00E6110F">
        <w:t xml:space="preserve"> to identify chemicals of low concern for human health and environment</w:t>
      </w:r>
      <w:bookmarkEnd w:id="74"/>
    </w:p>
    <w:tbl>
      <w:tblPr>
        <w:tblStyle w:val="TableGrid"/>
        <w:tblW w:w="0" w:type="auto"/>
        <w:tblLook w:val="04A0" w:firstRow="1" w:lastRow="0" w:firstColumn="1" w:lastColumn="0" w:noHBand="0" w:noVBand="1"/>
      </w:tblPr>
      <w:tblGrid>
        <w:gridCol w:w="762"/>
        <w:gridCol w:w="3344"/>
        <w:gridCol w:w="709"/>
        <w:gridCol w:w="4195"/>
      </w:tblGrid>
      <w:tr w:rsidR="0016426A" w:rsidRPr="00E6110F" w14:paraId="0EEE638D" w14:textId="77777777" w:rsidTr="0016426A">
        <w:tc>
          <w:tcPr>
            <w:tcW w:w="762" w:type="dxa"/>
            <w:shd w:val="clear" w:color="auto" w:fill="F2F2F2" w:themeFill="background1" w:themeFillShade="F2"/>
          </w:tcPr>
          <w:p w14:paraId="374E812D" w14:textId="77777777" w:rsidR="0016426A" w:rsidRPr="00E6110F" w:rsidRDefault="0016426A" w:rsidP="00CC4935">
            <w:pPr>
              <w:pStyle w:val="Body"/>
              <w:keepNext/>
              <w:rPr>
                <w:lang w:val="en-US"/>
              </w:rPr>
            </w:pPr>
            <w:r w:rsidRPr="00E6110F">
              <w:rPr>
                <w:lang w:val="en-US"/>
              </w:rPr>
              <w:t>Step #</w:t>
            </w:r>
          </w:p>
        </w:tc>
        <w:tc>
          <w:tcPr>
            <w:tcW w:w="3344" w:type="dxa"/>
            <w:shd w:val="clear" w:color="auto" w:fill="F2F2F2" w:themeFill="background1" w:themeFillShade="F2"/>
          </w:tcPr>
          <w:p w14:paraId="59BE6899" w14:textId="6AE0A480" w:rsidR="0016426A" w:rsidRPr="00E6110F" w:rsidRDefault="0016426A" w:rsidP="00914462">
            <w:pPr>
              <w:pStyle w:val="Body"/>
              <w:keepNext/>
              <w:rPr>
                <w:lang w:val="en-US"/>
              </w:rPr>
            </w:pPr>
            <w:r w:rsidRPr="00E6110F">
              <w:rPr>
                <w:lang w:val="en-US"/>
              </w:rPr>
              <w:t>Screening process to identify chemicals of low concern for human health</w:t>
            </w:r>
            <w:r>
              <w:rPr>
                <w:lang w:val="en-US"/>
              </w:rPr>
              <w:t xml:space="preserve"> (NICNAS 201</w:t>
            </w:r>
            <w:r w:rsidR="00914462">
              <w:rPr>
                <w:lang w:val="en-US"/>
              </w:rPr>
              <w:t>7</w:t>
            </w:r>
            <w:r>
              <w:rPr>
                <w:lang w:val="en-US"/>
              </w:rPr>
              <w:t>b)</w:t>
            </w:r>
          </w:p>
        </w:tc>
        <w:tc>
          <w:tcPr>
            <w:tcW w:w="709" w:type="dxa"/>
            <w:shd w:val="clear" w:color="auto" w:fill="F2F2F2" w:themeFill="background1" w:themeFillShade="F2"/>
          </w:tcPr>
          <w:p w14:paraId="78BF99D5" w14:textId="77777777" w:rsidR="0016426A" w:rsidRPr="00E6110F" w:rsidRDefault="0016426A" w:rsidP="00CC4935">
            <w:pPr>
              <w:pStyle w:val="Body"/>
              <w:keepNext/>
              <w:rPr>
                <w:lang w:val="en-US"/>
              </w:rPr>
            </w:pPr>
            <w:r w:rsidRPr="00E6110F">
              <w:rPr>
                <w:lang w:val="en-US"/>
              </w:rPr>
              <w:t>Step #</w:t>
            </w:r>
          </w:p>
        </w:tc>
        <w:tc>
          <w:tcPr>
            <w:tcW w:w="4195" w:type="dxa"/>
            <w:shd w:val="clear" w:color="auto" w:fill="F2F2F2" w:themeFill="background1" w:themeFillShade="F2"/>
          </w:tcPr>
          <w:p w14:paraId="697D81ED" w14:textId="1828A8CE" w:rsidR="0016426A" w:rsidRPr="00E6110F" w:rsidRDefault="0016426A" w:rsidP="00914462">
            <w:pPr>
              <w:pStyle w:val="Body"/>
              <w:keepNext/>
              <w:rPr>
                <w:lang w:val="en-US"/>
              </w:rPr>
            </w:pPr>
            <w:r w:rsidRPr="00E6110F">
              <w:rPr>
                <w:lang w:val="en-US"/>
              </w:rPr>
              <w:t>Screening process to identify chemicals of low concern for the environment</w:t>
            </w:r>
            <w:r>
              <w:rPr>
                <w:lang w:val="en-US"/>
              </w:rPr>
              <w:t xml:space="preserve"> (</w:t>
            </w:r>
            <w:r>
              <w:t>DoE</w:t>
            </w:r>
            <w:r w:rsidR="00527149">
              <w:t>E</w:t>
            </w:r>
            <w:r>
              <w:t xml:space="preserve"> 201</w:t>
            </w:r>
            <w:r w:rsidR="00914462">
              <w:t>7</w:t>
            </w:r>
            <w:r>
              <w:t>b)</w:t>
            </w:r>
          </w:p>
        </w:tc>
      </w:tr>
      <w:tr w:rsidR="0016426A" w:rsidRPr="00E6110F" w14:paraId="6AD26C7B" w14:textId="77777777" w:rsidTr="0016426A">
        <w:trPr>
          <w:trHeight w:val="667"/>
        </w:trPr>
        <w:tc>
          <w:tcPr>
            <w:tcW w:w="762" w:type="dxa"/>
            <w:tcBorders>
              <w:bottom w:val="single" w:sz="4" w:space="0" w:color="auto"/>
            </w:tcBorders>
          </w:tcPr>
          <w:p w14:paraId="6A6DD4C3" w14:textId="77777777" w:rsidR="0016426A" w:rsidRPr="00E6110F" w:rsidRDefault="0016426A" w:rsidP="00CC4935">
            <w:pPr>
              <w:pStyle w:val="Body"/>
              <w:keepNext/>
              <w:rPr>
                <w:lang w:val="en-US"/>
              </w:rPr>
            </w:pPr>
            <w:r w:rsidRPr="00E6110F">
              <w:rPr>
                <w:lang w:val="en-US"/>
              </w:rPr>
              <w:t>1</w:t>
            </w:r>
          </w:p>
        </w:tc>
        <w:tc>
          <w:tcPr>
            <w:tcW w:w="3344" w:type="dxa"/>
            <w:tcBorders>
              <w:bottom w:val="single" w:sz="4" w:space="0" w:color="auto"/>
            </w:tcBorders>
          </w:tcPr>
          <w:p w14:paraId="1288340E" w14:textId="019094B8" w:rsidR="0016426A" w:rsidRPr="00E6110F" w:rsidRDefault="0016426A" w:rsidP="00CC4935">
            <w:pPr>
              <w:pStyle w:val="Body"/>
              <w:keepNext/>
              <w:rPr>
                <w:lang w:val="en-US"/>
              </w:rPr>
            </w:pPr>
            <w:r w:rsidRPr="00E6110F">
              <w:rPr>
                <w:lang w:val="en-US"/>
              </w:rPr>
              <w:t>Comparison of coal seam gas</w:t>
            </w:r>
            <w:r w:rsidRPr="00E6110F" w:rsidDel="0010482D">
              <w:rPr>
                <w:lang w:val="en-US"/>
              </w:rPr>
              <w:t xml:space="preserve"> </w:t>
            </w:r>
            <w:r w:rsidRPr="00E6110F">
              <w:rPr>
                <w:lang w:val="en-US"/>
              </w:rPr>
              <w:t xml:space="preserve">chemicals with the existing national or international lists of substances considered to be of low concern </w:t>
            </w:r>
            <w:r w:rsidR="00E01114">
              <w:rPr>
                <w:lang w:val="en-US"/>
              </w:rPr>
              <w:t xml:space="preserve">(see Section </w:t>
            </w:r>
            <w:r w:rsidR="00E01114">
              <w:rPr>
                <w:lang w:val="en-US"/>
              </w:rPr>
              <w:fldChar w:fldCharType="begin" w:fldLock="1"/>
            </w:r>
            <w:r w:rsidR="00E01114">
              <w:rPr>
                <w:lang w:val="en-US"/>
              </w:rPr>
              <w:instrText xml:space="preserve"> REF _Ref477019465 \r \h </w:instrText>
            </w:r>
            <w:r w:rsidR="00E01114">
              <w:rPr>
                <w:lang w:val="en-US"/>
              </w:rPr>
            </w:r>
            <w:r w:rsidR="00E01114">
              <w:rPr>
                <w:lang w:val="en-US"/>
              </w:rPr>
              <w:fldChar w:fldCharType="separate"/>
            </w:r>
            <w:r w:rsidR="00335E79">
              <w:rPr>
                <w:lang w:val="en-US"/>
              </w:rPr>
              <w:t>2.2.1</w:t>
            </w:r>
            <w:r w:rsidR="00E01114">
              <w:rPr>
                <w:lang w:val="en-US"/>
              </w:rPr>
              <w:fldChar w:fldCharType="end"/>
            </w:r>
            <w:r w:rsidR="00E01114">
              <w:rPr>
                <w:lang w:val="en-US"/>
              </w:rPr>
              <w:t xml:space="preserve"> for further details)</w:t>
            </w:r>
          </w:p>
        </w:tc>
        <w:tc>
          <w:tcPr>
            <w:tcW w:w="709" w:type="dxa"/>
            <w:vMerge w:val="restart"/>
          </w:tcPr>
          <w:p w14:paraId="0E41B031" w14:textId="77777777" w:rsidR="0016426A" w:rsidRPr="00E6110F" w:rsidRDefault="0016426A" w:rsidP="00CC4935">
            <w:pPr>
              <w:pStyle w:val="Body"/>
              <w:keepNext/>
              <w:rPr>
                <w:lang w:val="en-US"/>
              </w:rPr>
            </w:pPr>
            <w:r w:rsidRPr="00E6110F">
              <w:rPr>
                <w:lang w:val="en-US"/>
              </w:rPr>
              <w:t>1</w:t>
            </w:r>
          </w:p>
        </w:tc>
        <w:tc>
          <w:tcPr>
            <w:tcW w:w="4195" w:type="dxa"/>
            <w:vMerge w:val="restart"/>
          </w:tcPr>
          <w:p w14:paraId="47E99521" w14:textId="7ABF5386" w:rsidR="007E42BB" w:rsidRDefault="007E42BB" w:rsidP="00CC4935">
            <w:pPr>
              <w:pStyle w:val="Body"/>
              <w:keepNext/>
              <w:rPr>
                <w:lang w:val="en-US"/>
              </w:rPr>
            </w:pPr>
            <w:r>
              <w:rPr>
                <w:lang w:val="en-US"/>
              </w:rPr>
              <w:t xml:space="preserve">Quantitative assessment when </w:t>
            </w:r>
            <w:r>
              <w:t xml:space="preserve">sufficient physico-chemical data is available to allow for modelling and calculations of the predicted environmental concentrations </w:t>
            </w:r>
            <w:r>
              <w:rPr>
                <w:lang w:val="en-US"/>
              </w:rPr>
              <w:t xml:space="preserve">(see Section </w:t>
            </w:r>
            <w:r>
              <w:rPr>
                <w:lang w:val="en-US"/>
              </w:rPr>
              <w:fldChar w:fldCharType="begin" w:fldLock="1"/>
            </w:r>
            <w:r>
              <w:rPr>
                <w:lang w:val="en-US"/>
              </w:rPr>
              <w:instrText xml:space="preserve"> REF _Ref477019702 \r \h </w:instrText>
            </w:r>
            <w:r>
              <w:rPr>
                <w:lang w:val="en-US"/>
              </w:rPr>
            </w:r>
            <w:r>
              <w:rPr>
                <w:lang w:val="en-US"/>
              </w:rPr>
              <w:fldChar w:fldCharType="separate"/>
            </w:r>
            <w:r>
              <w:rPr>
                <w:lang w:val="en-US"/>
              </w:rPr>
              <w:t>2.2.2</w:t>
            </w:r>
            <w:r>
              <w:rPr>
                <w:lang w:val="en-US"/>
              </w:rPr>
              <w:fldChar w:fldCharType="end"/>
            </w:r>
            <w:r>
              <w:rPr>
                <w:lang w:val="en-US"/>
              </w:rPr>
              <w:t xml:space="preserve"> for further details)</w:t>
            </w:r>
          </w:p>
          <w:p w14:paraId="0910F6A2" w14:textId="0DFAB22C" w:rsidR="0016426A" w:rsidRPr="00E6110F" w:rsidRDefault="007E42BB" w:rsidP="007E42BB">
            <w:pPr>
              <w:pStyle w:val="Body"/>
              <w:keepNext/>
              <w:rPr>
                <w:lang w:val="en-US"/>
              </w:rPr>
            </w:pPr>
            <w:r>
              <w:rPr>
                <w:lang w:val="en-US"/>
              </w:rPr>
              <w:t>Qualitative assessment,</w:t>
            </w:r>
            <w:r w:rsidRPr="008F48F4">
              <w:rPr>
                <w:rFonts w:asciiTheme="majorHAnsi" w:hAnsiTheme="majorHAnsi"/>
              </w:rPr>
              <w:t xml:space="preserve"> based on expert judgement and weight of evidence, </w:t>
            </w:r>
            <w:r>
              <w:rPr>
                <w:rFonts w:asciiTheme="majorHAnsi" w:hAnsiTheme="majorHAnsi"/>
              </w:rPr>
              <w:t>may be</w:t>
            </w:r>
            <w:r w:rsidRPr="008F48F4">
              <w:rPr>
                <w:rFonts w:asciiTheme="majorHAnsi" w:hAnsiTheme="majorHAnsi"/>
              </w:rPr>
              <w:t xml:space="preserve"> used for the risk assessment of </w:t>
            </w:r>
            <w:r>
              <w:rPr>
                <w:rFonts w:asciiTheme="majorHAnsi" w:hAnsiTheme="majorHAnsi"/>
              </w:rPr>
              <w:t>those</w:t>
            </w:r>
            <w:r w:rsidRPr="008F48F4">
              <w:rPr>
                <w:rFonts w:asciiTheme="majorHAnsi" w:hAnsiTheme="majorHAnsi"/>
              </w:rPr>
              <w:t xml:space="preserve"> chemicals for which insufficient data </w:t>
            </w:r>
            <w:r>
              <w:rPr>
                <w:rFonts w:asciiTheme="majorHAnsi" w:hAnsiTheme="majorHAnsi"/>
              </w:rPr>
              <w:t>i</w:t>
            </w:r>
            <w:r w:rsidRPr="008F48F4">
              <w:rPr>
                <w:rFonts w:asciiTheme="majorHAnsi" w:hAnsiTheme="majorHAnsi"/>
              </w:rPr>
              <w:t>s available for quantitative calculations</w:t>
            </w:r>
            <w:r>
              <w:rPr>
                <w:lang w:val="en-US"/>
              </w:rPr>
              <w:t xml:space="preserve"> </w:t>
            </w:r>
            <w:r w:rsidR="00D20C5A">
              <w:rPr>
                <w:lang w:val="en-US"/>
              </w:rPr>
              <w:t xml:space="preserve">(see Section </w:t>
            </w:r>
            <w:r w:rsidR="00D20C5A">
              <w:rPr>
                <w:lang w:val="en-US"/>
              </w:rPr>
              <w:fldChar w:fldCharType="begin" w:fldLock="1"/>
            </w:r>
            <w:r w:rsidR="00D20C5A">
              <w:rPr>
                <w:lang w:val="en-US"/>
              </w:rPr>
              <w:instrText xml:space="preserve"> REF _Ref477019702 \r \h </w:instrText>
            </w:r>
            <w:r w:rsidR="00D20C5A">
              <w:rPr>
                <w:lang w:val="en-US"/>
              </w:rPr>
            </w:r>
            <w:r w:rsidR="00D20C5A">
              <w:rPr>
                <w:lang w:val="en-US"/>
              </w:rPr>
              <w:fldChar w:fldCharType="separate"/>
            </w:r>
            <w:r w:rsidR="00335E79">
              <w:rPr>
                <w:lang w:val="en-US"/>
              </w:rPr>
              <w:t>2.2.2</w:t>
            </w:r>
            <w:r w:rsidR="00D20C5A">
              <w:rPr>
                <w:lang w:val="en-US"/>
              </w:rPr>
              <w:fldChar w:fldCharType="end"/>
            </w:r>
            <w:r w:rsidR="00D20C5A">
              <w:rPr>
                <w:lang w:val="en-US"/>
              </w:rPr>
              <w:t xml:space="preserve"> for further details)</w:t>
            </w:r>
          </w:p>
        </w:tc>
      </w:tr>
      <w:tr w:rsidR="0016426A" w:rsidRPr="00E6110F" w14:paraId="2ED3C8A0" w14:textId="77777777" w:rsidTr="0016426A">
        <w:trPr>
          <w:trHeight w:val="934"/>
        </w:trPr>
        <w:tc>
          <w:tcPr>
            <w:tcW w:w="762" w:type="dxa"/>
          </w:tcPr>
          <w:p w14:paraId="25989D67" w14:textId="670AF49E" w:rsidR="0016426A" w:rsidRPr="00E6110F" w:rsidRDefault="0016426A" w:rsidP="00CC4935">
            <w:pPr>
              <w:pStyle w:val="Body"/>
              <w:keepNext/>
              <w:rPr>
                <w:lang w:val="en-US"/>
              </w:rPr>
            </w:pPr>
            <w:r w:rsidRPr="00E6110F">
              <w:rPr>
                <w:lang w:val="en-US"/>
              </w:rPr>
              <w:t>2</w:t>
            </w:r>
          </w:p>
        </w:tc>
        <w:tc>
          <w:tcPr>
            <w:tcW w:w="3344" w:type="dxa"/>
          </w:tcPr>
          <w:p w14:paraId="6ADB2F7D" w14:textId="4F5BF07D" w:rsidR="0016426A" w:rsidRPr="00E6110F" w:rsidRDefault="0016426A" w:rsidP="00CC4935">
            <w:pPr>
              <w:pStyle w:val="Body"/>
              <w:keepNext/>
              <w:rPr>
                <w:lang w:val="en-US"/>
              </w:rPr>
            </w:pPr>
            <w:r w:rsidRPr="00E6110F">
              <w:rPr>
                <w:lang w:val="en-US"/>
              </w:rPr>
              <w:t xml:space="preserve">Series of validation rules to identify additional chemicals (including polymers) of low concern for human health </w:t>
            </w:r>
            <w:r w:rsidR="00E01114">
              <w:rPr>
                <w:lang w:val="en-US"/>
              </w:rPr>
              <w:t xml:space="preserve">(See Section </w:t>
            </w:r>
            <w:r w:rsidR="00E01114">
              <w:rPr>
                <w:lang w:val="en-US"/>
              </w:rPr>
              <w:fldChar w:fldCharType="begin" w:fldLock="1"/>
            </w:r>
            <w:r w:rsidR="00E01114">
              <w:rPr>
                <w:lang w:val="en-US"/>
              </w:rPr>
              <w:instrText xml:space="preserve"> REF _Ref477019523 \r \h </w:instrText>
            </w:r>
            <w:r w:rsidR="00E01114">
              <w:rPr>
                <w:lang w:val="en-US"/>
              </w:rPr>
            </w:r>
            <w:r w:rsidR="00E01114">
              <w:rPr>
                <w:lang w:val="en-US"/>
              </w:rPr>
              <w:fldChar w:fldCharType="separate"/>
            </w:r>
            <w:r w:rsidR="00335E79">
              <w:rPr>
                <w:lang w:val="en-US"/>
              </w:rPr>
              <w:t>2.2.1.3</w:t>
            </w:r>
            <w:r w:rsidR="00E01114">
              <w:rPr>
                <w:lang w:val="en-US"/>
              </w:rPr>
              <w:fldChar w:fldCharType="end"/>
            </w:r>
            <w:r w:rsidR="00E01114">
              <w:rPr>
                <w:lang w:val="en-US"/>
              </w:rPr>
              <w:t xml:space="preserve">, </w:t>
            </w:r>
            <w:r w:rsidR="00E01114">
              <w:rPr>
                <w:lang w:val="en-US"/>
              </w:rPr>
              <w:fldChar w:fldCharType="begin" w:fldLock="1"/>
            </w:r>
            <w:r w:rsidR="00E01114">
              <w:rPr>
                <w:lang w:val="en-US"/>
              </w:rPr>
              <w:instrText xml:space="preserve"> REF _Ref477019524 \r \h </w:instrText>
            </w:r>
            <w:r w:rsidR="00E01114">
              <w:rPr>
                <w:lang w:val="en-US"/>
              </w:rPr>
            </w:r>
            <w:r w:rsidR="00E01114">
              <w:rPr>
                <w:lang w:val="en-US"/>
              </w:rPr>
              <w:fldChar w:fldCharType="separate"/>
            </w:r>
            <w:r w:rsidR="00335E79">
              <w:rPr>
                <w:lang w:val="en-US"/>
              </w:rPr>
              <w:t>2.2.1.4</w:t>
            </w:r>
            <w:r w:rsidR="00E01114">
              <w:rPr>
                <w:lang w:val="en-US"/>
              </w:rPr>
              <w:fldChar w:fldCharType="end"/>
            </w:r>
            <w:r w:rsidR="00E01114">
              <w:rPr>
                <w:lang w:val="en-US"/>
              </w:rPr>
              <w:t xml:space="preserve">, and </w:t>
            </w:r>
            <w:r w:rsidR="00E01114">
              <w:rPr>
                <w:lang w:val="en-US"/>
              </w:rPr>
              <w:fldChar w:fldCharType="begin" w:fldLock="1"/>
            </w:r>
            <w:r w:rsidR="00E01114">
              <w:rPr>
                <w:lang w:val="en-US"/>
              </w:rPr>
              <w:instrText xml:space="preserve"> REF _Ref477019525 \r \h </w:instrText>
            </w:r>
            <w:r w:rsidR="00E01114">
              <w:rPr>
                <w:lang w:val="en-US"/>
              </w:rPr>
            </w:r>
            <w:r w:rsidR="00E01114">
              <w:rPr>
                <w:lang w:val="en-US"/>
              </w:rPr>
              <w:fldChar w:fldCharType="separate"/>
            </w:r>
            <w:r w:rsidR="00335E79">
              <w:rPr>
                <w:lang w:val="en-US"/>
              </w:rPr>
              <w:t>2.2.1.5</w:t>
            </w:r>
            <w:r w:rsidR="00E01114">
              <w:rPr>
                <w:lang w:val="en-US"/>
              </w:rPr>
              <w:fldChar w:fldCharType="end"/>
            </w:r>
            <w:r w:rsidR="00E01114">
              <w:rPr>
                <w:lang w:val="en-US"/>
              </w:rPr>
              <w:t xml:space="preserve"> for further details)</w:t>
            </w:r>
          </w:p>
        </w:tc>
        <w:tc>
          <w:tcPr>
            <w:tcW w:w="709" w:type="dxa"/>
            <w:vMerge/>
          </w:tcPr>
          <w:p w14:paraId="75B9BBA7" w14:textId="77777777" w:rsidR="0016426A" w:rsidRPr="00E6110F" w:rsidRDefault="0016426A" w:rsidP="00CC4935">
            <w:pPr>
              <w:pStyle w:val="Body"/>
              <w:keepNext/>
              <w:rPr>
                <w:lang w:val="en-US"/>
              </w:rPr>
            </w:pPr>
          </w:p>
        </w:tc>
        <w:tc>
          <w:tcPr>
            <w:tcW w:w="4195" w:type="dxa"/>
            <w:vMerge/>
          </w:tcPr>
          <w:p w14:paraId="7160EF93" w14:textId="77777777" w:rsidR="0016426A" w:rsidRPr="00E6110F" w:rsidRDefault="0016426A" w:rsidP="00CC4935">
            <w:pPr>
              <w:pStyle w:val="Body"/>
              <w:keepNext/>
              <w:rPr>
                <w:lang w:val="en-US"/>
              </w:rPr>
            </w:pPr>
          </w:p>
        </w:tc>
      </w:tr>
    </w:tbl>
    <w:p w14:paraId="553BB7ED" w14:textId="77777777" w:rsidR="0016426A" w:rsidRDefault="0016426A" w:rsidP="006A4687">
      <w:pPr>
        <w:pStyle w:val="Body"/>
      </w:pPr>
    </w:p>
    <w:p w14:paraId="69723075" w14:textId="77777777" w:rsidR="000A1FF4" w:rsidRDefault="000A1FF4" w:rsidP="000A1FF4">
      <w:pPr>
        <w:pStyle w:val="Body"/>
      </w:pPr>
      <w:r>
        <w:t xml:space="preserve">When a site-specific assessment has to be undertaken, the DAF values can be used to derive predicted environmental concentrations for specific receptors provided an estimate of the chemical concentration at the source (the coal seams affected by the stimulation activity) is available. </w:t>
      </w:r>
    </w:p>
    <w:p w14:paraId="3FA2B288" w14:textId="77777777" w:rsidR="00CE4EE9" w:rsidRDefault="00CE4EE9" w:rsidP="00CE4EE9"/>
    <w:p w14:paraId="5FA7DA74" w14:textId="77777777" w:rsidR="00CE4EE9" w:rsidRDefault="00CE4EE9" w:rsidP="00CE4EE9">
      <w:pPr>
        <w:pStyle w:val="Heading3"/>
        <w:spacing w:line="240" w:lineRule="auto"/>
        <w:ind w:left="1072" w:hanging="505"/>
        <w:rPr>
          <w:rFonts w:eastAsia="Times New Roman"/>
          <w:lang w:eastAsia="en-AU"/>
        </w:rPr>
      </w:pPr>
      <w:r>
        <w:rPr>
          <w:rFonts w:eastAsia="Times New Roman"/>
          <w:lang w:eastAsia="en-AU"/>
        </w:rPr>
        <w:t xml:space="preserve"> </w:t>
      </w:r>
      <w:bookmarkStart w:id="75" w:name="_Ref477019465"/>
      <w:bookmarkStart w:id="76" w:name="_Toc494444490"/>
      <w:r>
        <w:rPr>
          <w:rFonts w:eastAsia="Times New Roman"/>
          <w:lang w:eastAsia="en-AU"/>
        </w:rPr>
        <w:t>Chemicals of low concern for human health per the National Chemicals Assessment</w:t>
      </w:r>
      <w:bookmarkEnd w:id="75"/>
      <w:bookmarkEnd w:id="76"/>
    </w:p>
    <w:p w14:paraId="4574862E" w14:textId="77777777" w:rsidR="00CE4EE9" w:rsidRDefault="00CE4EE9" w:rsidP="00CE4EE9">
      <w:pPr>
        <w:pStyle w:val="Body"/>
        <w:rPr>
          <w:rFonts w:asciiTheme="majorHAnsi" w:hAnsiTheme="majorHAnsi" w:cstheme="majorHAnsi"/>
          <w:color w:val="auto"/>
        </w:rPr>
      </w:pPr>
      <w:r>
        <w:t xml:space="preserve">As part of the </w:t>
      </w:r>
      <w:r w:rsidRPr="00EC7442">
        <w:rPr>
          <w:i/>
        </w:rPr>
        <w:t>National Assessment of Chemicals Associated with Coal Seam Gas Extraction in Australia</w:t>
      </w:r>
      <w:r>
        <w:t xml:space="preserve"> (the Assessment), NICNAS developed a</w:t>
      </w:r>
      <w:r w:rsidRPr="007D2783">
        <w:t xml:space="preserve"> </w:t>
      </w:r>
      <w:r>
        <w:t xml:space="preserve">method to screen the 113 </w:t>
      </w:r>
      <w:r w:rsidRPr="007D2783">
        <w:t>drilling and hydraulic fracturing chemicals</w:t>
      </w:r>
      <w:r>
        <w:t xml:space="preserve"> to identify those of low concern for human health (NICNAS 2017b).</w:t>
      </w:r>
      <w:r w:rsidRPr="007D2783">
        <w:t xml:space="preserve"> </w:t>
      </w:r>
      <w:r>
        <w:t>This method was</w:t>
      </w:r>
      <w:r w:rsidRPr="007D2783">
        <w:t xml:space="preserve"> based on that developed by NICNAS for the Inventory Multi-</w:t>
      </w:r>
      <w:r>
        <w:t>t</w:t>
      </w:r>
      <w:r w:rsidRPr="007D2783">
        <w:t>iered Assessment and Prioritisation (IMAP) Framework</w:t>
      </w:r>
      <w:r>
        <w:t xml:space="preserve"> (</w:t>
      </w:r>
      <w:r w:rsidRPr="009966FF">
        <w:t>NICNAS 2015</w:t>
      </w:r>
      <w:r>
        <w:t>)</w:t>
      </w:r>
      <w:r w:rsidRPr="0061647E">
        <w:t xml:space="preserve"> </w:t>
      </w:r>
      <w:r>
        <w:t xml:space="preserve">independently of the </w:t>
      </w:r>
      <w:r w:rsidRPr="00EC7442">
        <w:rPr>
          <w:i/>
        </w:rPr>
        <w:t>National Assessment of Chemicals Associated with Coal Seam Gas Extraction in Australia</w:t>
      </w:r>
      <w:r>
        <w:t>.</w:t>
      </w:r>
    </w:p>
    <w:p w14:paraId="224C7E16" w14:textId="77777777" w:rsidR="00CE4EE9" w:rsidRDefault="00CE4EE9" w:rsidP="00CE4EE9">
      <w:pPr>
        <w:pStyle w:val="Body"/>
      </w:pPr>
      <w:r w:rsidRPr="00D0317C">
        <w:t xml:space="preserve">A single approach was utilised </w:t>
      </w:r>
      <w:r>
        <w:t xml:space="preserve">to screen </w:t>
      </w:r>
      <w:r w:rsidRPr="00D0317C">
        <w:t xml:space="preserve">both discrete chemicals and polymers to identify those chemicals and polymers used in coal seam gas </w:t>
      </w:r>
      <w:r>
        <w:t xml:space="preserve">extraction </w:t>
      </w:r>
      <w:r w:rsidRPr="00D0317C">
        <w:t xml:space="preserve">that are of low concern for human health. </w:t>
      </w:r>
      <w:r>
        <w:t>H</w:t>
      </w:r>
      <w:r w:rsidRPr="00D0317C">
        <w:t xml:space="preserve">owever, different validation rules were </w:t>
      </w:r>
      <w:r>
        <w:t>subsequently applied for each of these categories.</w:t>
      </w:r>
    </w:p>
    <w:p w14:paraId="7A426F04" w14:textId="77777777" w:rsidR="00CE4EE9" w:rsidRDefault="00CE4EE9" w:rsidP="00CE4EE9">
      <w:pPr>
        <w:pStyle w:val="Body"/>
      </w:pPr>
      <w:r w:rsidRPr="00A84B61">
        <w:t>According to NICNAS (201</w:t>
      </w:r>
      <w:r>
        <w:t>7b</w:t>
      </w:r>
      <w:r w:rsidRPr="00A84B61">
        <w:t>), chemicals of low concern for human health are those considered to be of low likelihood of causing adverse effects upon exposure. The</w:t>
      </w:r>
      <w:r>
        <w:t xml:space="preserve"> screening process</w:t>
      </w:r>
      <w:r w:rsidRPr="005234FD">
        <w:t xml:space="preserve"> to identify chemicals of low concern </w:t>
      </w:r>
      <w:r>
        <w:t>for</w:t>
      </w:r>
      <w:r w:rsidRPr="005234FD">
        <w:t xml:space="preserve"> human health</w:t>
      </w:r>
      <w:r>
        <w:t xml:space="preserve"> involved six steps:</w:t>
      </w:r>
    </w:p>
    <w:p w14:paraId="61A9D799" w14:textId="77777777" w:rsidR="00CE4EE9" w:rsidRDefault="00CE4EE9" w:rsidP="00CE4EE9">
      <w:pPr>
        <w:pStyle w:val="Body"/>
        <w:numPr>
          <w:ilvl w:val="0"/>
          <w:numId w:val="49"/>
        </w:numPr>
      </w:pPr>
      <w:r>
        <w:t xml:space="preserve">Step 1: review of </w:t>
      </w:r>
      <w:r w:rsidRPr="00AA7EBE">
        <w:t>e</w:t>
      </w:r>
      <w:r w:rsidRPr="00C12CF1">
        <w:t>xisting</w:t>
      </w:r>
      <w:r w:rsidRPr="00563CC4">
        <w:t xml:space="preserve"> national or international lists of substances considered to be of low </w:t>
      </w:r>
      <w:r>
        <w:t>concern identified in the IMAP Framework;</w:t>
      </w:r>
    </w:p>
    <w:p w14:paraId="4BC0FF31" w14:textId="77777777" w:rsidR="00CE4EE9" w:rsidRDefault="00CE4EE9" w:rsidP="00CE4EE9">
      <w:pPr>
        <w:pStyle w:val="Body"/>
        <w:numPr>
          <w:ilvl w:val="0"/>
          <w:numId w:val="49"/>
        </w:numPr>
      </w:pPr>
      <w:r>
        <w:t>Step 2: a</w:t>
      </w:r>
      <w:r w:rsidRPr="00563CC4">
        <w:t xml:space="preserve">nalysis of these lists for their applicability for </w:t>
      </w:r>
      <w:r>
        <w:t>i</w:t>
      </w:r>
      <w:r w:rsidRPr="00563CC4">
        <w:t xml:space="preserve">dentifying </w:t>
      </w:r>
      <w:r>
        <w:t>coal seam gas</w:t>
      </w:r>
      <w:r w:rsidDel="0010482D">
        <w:t xml:space="preserve"> </w:t>
      </w:r>
      <w:r w:rsidRPr="00563CC4">
        <w:t xml:space="preserve">chemicals of low concern </w:t>
      </w:r>
      <w:r>
        <w:t>for</w:t>
      </w:r>
      <w:r w:rsidRPr="00563CC4">
        <w:t xml:space="preserve"> human health</w:t>
      </w:r>
      <w:r>
        <w:t>;</w:t>
      </w:r>
      <w:r w:rsidRPr="00563CC4">
        <w:t xml:space="preserve"> </w:t>
      </w:r>
    </w:p>
    <w:p w14:paraId="460AE93F" w14:textId="77777777" w:rsidR="00CE4EE9" w:rsidRDefault="00CE4EE9" w:rsidP="00CE4EE9">
      <w:pPr>
        <w:pStyle w:val="Body"/>
        <w:numPr>
          <w:ilvl w:val="0"/>
          <w:numId w:val="49"/>
        </w:numPr>
      </w:pPr>
      <w:r>
        <w:t>Step 3: comparison of coal seam gas</w:t>
      </w:r>
      <w:r w:rsidDel="0010482D">
        <w:t xml:space="preserve"> </w:t>
      </w:r>
      <w:r>
        <w:t xml:space="preserve">chemicals with the lists; </w:t>
      </w:r>
    </w:p>
    <w:p w14:paraId="2BA2E5B0" w14:textId="77777777" w:rsidR="00CE4EE9" w:rsidRDefault="00CE4EE9" w:rsidP="00CE4EE9">
      <w:pPr>
        <w:pStyle w:val="Body"/>
        <w:numPr>
          <w:ilvl w:val="0"/>
          <w:numId w:val="49"/>
        </w:numPr>
      </w:pPr>
      <w:r>
        <w:t xml:space="preserve">Step 4: validation rules developed by NICNAS;  </w:t>
      </w:r>
    </w:p>
    <w:p w14:paraId="23525593" w14:textId="77777777" w:rsidR="00CE4EE9" w:rsidRDefault="00CE4EE9" w:rsidP="00CE4EE9">
      <w:pPr>
        <w:pStyle w:val="Body"/>
        <w:numPr>
          <w:ilvl w:val="0"/>
          <w:numId w:val="49"/>
        </w:numPr>
      </w:pPr>
      <w:r>
        <w:t>Step 5: further validation</w:t>
      </w:r>
      <w:r w:rsidRPr="00563CC4">
        <w:t xml:space="preserve"> rules</w:t>
      </w:r>
      <w:r>
        <w:t>, developed by NICNAS,</w:t>
      </w:r>
      <w:r w:rsidRPr="00563CC4">
        <w:t xml:space="preserve"> </w:t>
      </w:r>
      <w:r>
        <w:t xml:space="preserve">based on </w:t>
      </w:r>
      <w:r w:rsidRPr="00563CC4">
        <w:t>expert judg</w:t>
      </w:r>
      <w:r>
        <w:t>e</w:t>
      </w:r>
      <w:r w:rsidRPr="00563CC4">
        <w:t>ment to identify additional</w:t>
      </w:r>
      <w:r>
        <w:t xml:space="preserve"> coal seam gas</w:t>
      </w:r>
      <w:r w:rsidDel="0010482D">
        <w:t xml:space="preserve"> </w:t>
      </w:r>
      <w:r w:rsidRPr="00563CC4">
        <w:t xml:space="preserve">chemicals of </w:t>
      </w:r>
      <w:r>
        <w:t>low concern for human health; and</w:t>
      </w:r>
    </w:p>
    <w:p w14:paraId="28A9AA91" w14:textId="77777777" w:rsidR="00CE4EE9" w:rsidRDefault="00CE4EE9" w:rsidP="00CE4EE9">
      <w:pPr>
        <w:pStyle w:val="Body"/>
        <w:numPr>
          <w:ilvl w:val="0"/>
          <w:numId w:val="49"/>
        </w:numPr>
      </w:pPr>
      <w:r>
        <w:t xml:space="preserve">Step 6: validation rules to identify polymers of low concern for human health. </w:t>
      </w:r>
    </w:p>
    <w:p w14:paraId="10013F11" w14:textId="77777777" w:rsidR="00CE4EE9" w:rsidRDefault="00CE4EE9" w:rsidP="00CE4EE9">
      <w:pPr>
        <w:pStyle w:val="Body"/>
      </w:pPr>
      <w:r>
        <w:t>Each of the six steps is briefly discussed further in the subsequent sections.</w:t>
      </w:r>
    </w:p>
    <w:p w14:paraId="2E9BBF43" w14:textId="77777777" w:rsidR="000A1FF4" w:rsidRDefault="000A1FF4" w:rsidP="006A4687">
      <w:pPr>
        <w:pStyle w:val="Body"/>
      </w:pPr>
    </w:p>
    <w:p w14:paraId="064540F0" w14:textId="3F02E82E" w:rsidR="0016426A" w:rsidRPr="00E6110F" w:rsidRDefault="001A58DC" w:rsidP="0016426A">
      <w:pPr>
        <w:jc w:val="center"/>
        <w:rPr>
          <w:lang w:val="en-GB"/>
        </w:rPr>
      </w:pPr>
      <w:r w:rsidRPr="001A58DC">
        <w:rPr>
          <w:noProof/>
          <w:lang w:val="en-AU" w:eastAsia="en-AU"/>
        </w:rPr>
        <w:drawing>
          <wp:inline distT="0" distB="0" distL="0" distR="0" wp14:anchorId="19257629" wp14:editId="63C9EBF7">
            <wp:extent cx="5727700" cy="6732292"/>
            <wp:effectExtent l="0" t="0" r="6350" b="0"/>
            <wp:docPr id="34" name="Picture 34" descr="Flow chart of proposed Level-1 analysis to identify chemicals of low concern." title="Fig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727700" cy="6732292"/>
                    </a:xfrm>
                    <a:prstGeom prst="rect">
                      <a:avLst/>
                    </a:prstGeom>
                    <a:noFill/>
                    <a:ln>
                      <a:noFill/>
                    </a:ln>
                  </pic:spPr>
                </pic:pic>
              </a:graphicData>
            </a:graphic>
          </wp:inline>
        </w:drawing>
      </w:r>
    </w:p>
    <w:p w14:paraId="29D8E7E4" w14:textId="61025910" w:rsidR="0016426A" w:rsidRDefault="0016426A" w:rsidP="0016426A">
      <w:pPr>
        <w:pStyle w:val="Imagecaption"/>
      </w:pPr>
      <w:bookmarkStart w:id="77" w:name="_Ref446683094"/>
      <w:bookmarkStart w:id="78" w:name="_Toc477347545"/>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13</w:t>
      </w:r>
      <w:r w:rsidR="00254026">
        <w:fldChar w:fldCharType="end"/>
      </w:r>
      <w:bookmarkEnd w:id="77"/>
      <w:r>
        <w:t>. Proposed Level-1 analysis</w:t>
      </w:r>
      <w:r w:rsidRPr="00E6110F">
        <w:t xml:space="preserve"> to identify chemicals of low concern.</w:t>
      </w:r>
      <w:bookmarkEnd w:id="78"/>
      <w:r w:rsidR="00AD7464">
        <w:t xml:space="preserve"> RQ = risk quotient.</w:t>
      </w:r>
    </w:p>
    <w:p w14:paraId="6CBFC5F7" w14:textId="77777777" w:rsidR="00CE4EE9" w:rsidRDefault="00CE4EE9" w:rsidP="0016426A">
      <w:pPr>
        <w:pStyle w:val="Imagecaption"/>
      </w:pPr>
    </w:p>
    <w:p w14:paraId="141A77F0" w14:textId="77777777" w:rsidR="00CE4EE9" w:rsidRDefault="00CE4EE9" w:rsidP="008D7B72">
      <w:pPr>
        <w:pStyle w:val="Body"/>
      </w:pPr>
    </w:p>
    <w:p w14:paraId="623309DB" w14:textId="77777777" w:rsidR="00951AFC" w:rsidRDefault="00951AFC" w:rsidP="008D7B72">
      <w:pPr>
        <w:pStyle w:val="Body"/>
      </w:pPr>
    </w:p>
    <w:p w14:paraId="5B0DF62A" w14:textId="77777777" w:rsidR="00951AFC" w:rsidRDefault="00951AFC" w:rsidP="008D7B72">
      <w:pPr>
        <w:pStyle w:val="Body"/>
      </w:pPr>
    </w:p>
    <w:p w14:paraId="41A9A0C5" w14:textId="77777777" w:rsidR="00951AFC" w:rsidRDefault="00951AFC" w:rsidP="008D7B72">
      <w:pPr>
        <w:pStyle w:val="Body"/>
      </w:pPr>
    </w:p>
    <w:p w14:paraId="2389748B" w14:textId="77777777" w:rsidR="00951AFC" w:rsidRDefault="00951AFC" w:rsidP="008D7B72">
      <w:pPr>
        <w:pStyle w:val="Body"/>
      </w:pPr>
    </w:p>
    <w:p w14:paraId="0F247E0E" w14:textId="7EA79CAE" w:rsidR="00A84B61" w:rsidRPr="00DA11AF" w:rsidRDefault="00A84B61" w:rsidP="00F666F1">
      <w:pPr>
        <w:pStyle w:val="Heading3"/>
        <w:numPr>
          <w:ilvl w:val="3"/>
          <w:numId w:val="1"/>
        </w:numPr>
        <w:spacing w:line="240" w:lineRule="auto"/>
        <w:ind w:left="1723" w:hanging="646"/>
        <w:rPr>
          <w:rFonts w:eastAsia="Times New Roman"/>
          <w:lang w:eastAsia="en-AU"/>
        </w:rPr>
      </w:pPr>
      <w:bookmarkStart w:id="79" w:name="_Ref433885329"/>
      <w:bookmarkStart w:id="80" w:name="_Toc494444491"/>
      <w:r w:rsidRPr="00DA11AF">
        <w:rPr>
          <w:rFonts w:eastAsia="Times New Roman"/>
          <w:lang w:eastAsia="en-AU"/>
        </w:rPr>
        <w:t xml:space="preserve">Step 1 </w:t>
      </w:r>
      <w:r w:rsidR="004A7452">
        <w:rPr>
          <w:rFonts w:eastAsia="Times New Roman"/>
          <w:lang w:eastAsia="en-AU"/>
        </w:rPr>
        <w:t>and</w:t>
      </w:r>
      <w:r w:rsidRPr="00DA11AF">
        <w:rPr>
          <w:rFonts w:eastAsia="Times New Roman"/>
          <w:lang w:eastAsia="en-AU"/>
        </w:rPr>
        <w:t xml:space="preserve"> 2: Review of existing national or international lists of substances</w:t>
      </w:r>
      <w:r w:rsidR="00DA11AF">
        <w:rPr>
          <w:rFonts w:eastAsia="Times New Roman"/>
          <w:lang w:eastAsia="en-AU"/>
        </w:rPr>
        <w:t xml:space="preserve"> </w:t>
      </w:r>
      <w:r w:rsidRPr="00DA11AF">
        <w:rPr>
          <w:rFonts w:eastAsia="Times New Roman"/>
          <w:lang w:eastAsia="en-AU"/>
        </w:rPr>
        <w:t>considered to be of low concern</w:t>
      </w:r>
      <w:bookmarkEnd w:id="79"/>
      <w:r w:rsidRPr="00DA11AF">
        <w:rPr>
          <w:rFonts w:eastAsia="Times New Roman"/>
          <w:lang w:eastAsia="en-AU"/>
        </w:rPr>
        <w:t xml:space="preserve"> and analysis of lists for applicability for identifying coal seam gas</w:t>
      </w:r>
      <w:r w:rsidRPr="00DA11AF" w:rsidDel="0010482D">
        <w:rPr>
          <w:rFonts w:eastAsia="Times New Roman"/>
          <w:lang w:eastAsia="en-AU"/>
        </w:rPr>
        <w:t xml:space="preserve"> </w:t>
      </w:r>
      <w:r w:rsidRPr="00DA11AF">
        <w:rPr>
          <w:rFonts w:eastAsia="Times New Roman"/>
          <w:lang w:eastAsia="en-AU"/>
        </w:rPr>
        <w:t>chemicals of low concern for human health</w:t>
      </w:r>
      <w:bookmarkEnd w:id="80"/>
    </w:p>
    <w:p w14:paraId="06048767" w14:textId="74FADDCD" w:rsidR="00A84B61" w:rsidRDefault="00A84B61" w:rsidP="00DA11AF">
      <w:pPr>
        <w:pStyle w:val="Body"/>
      </w:pPr>
      <w:r>
        <w:t>NICNAS (201</w:t>
      </w:r>
      <w:r w:rsidR="00914462">
        <w:t>7</w:t>
      </w:r>
      <w:r w:rsidR="001C5F70">
        <w:t>b</w:t>
      </w:r>
      <w:r>
        <w:t>) reviewed six existing s</w:t>
      </w:r>
      <w:r w:rsidRPr="00162F09">
        <w:t>chemes</w:t>
      </w:r>
      <w:r>
        <w:t xml:space="preserve"> used in Australia and overseas to </w:t>
      </w:r>
      <w:r w:rsidRPr="00162F09">
        <w:t>qualif</w:t>
      </w:r>
      <w:r>
        <w:t>y substances</w:t>
      </w:r>
      <w:r w:rsidRPr="00162F09">
        <w:t xml:space="preserve"> </w:t>
      </w:r>
      <w:r>
        <w:t xml:space="preserve">as </w:t>
      </w:r>
      <w:r w:rsidRPr="00162F09">
        <w:t xml:space="preserve">of </w:t>
      </w:r>
      <w:r>
        <w:t xml:space="preserve">low concern for human health. From the six tools considered as being relevant, five were deemed </w:t>
      </w:r>
      <w:r w:rsidRPr="00D52AB8">
        <w:t>applicab</w:t>
      </w:r>
      <w:r>
        <w:t>le</w:t>
      </w:r>
      <w:r w:rsidRPr="00D52AB8">
        <w:t xml:space="preserve"> for identifying </w:t>
      </w:r>
      <w:r>
        <w:t>coal seam gas</w:t>
      </w:r>
      <w:r w:rsidDel="0010482D">
        <w:t xml:space="preserve"> </w:t>
      </w:r>
      <w:r w:rsidRPr="00D52AB8">
        <w:t>chemicals of low concern</w:t>
      </w:r>
      <w:r>
        <w:t xml:space="preserve"> (</w:t>
      </w:r>
      <w:r w:rsidR="00577FB3">
        <w:fldChar w:fldCharType="begin" w:fldLock="1"/>
      </w:r>
      <w:r w:rsidR="00577FB3">
        <w:instrText xml:space="preserve"> REF _Ref456343331 \h </w:instrText>
      </w:r>
      <w:r w:rsidR="00577FB3">
        <w:fldChar w:fldCharType="separate"/>
      </w:r>
      <w:r w:rsidR="00335E79">
        <w:t xml:space="preserve">Table </w:t>
      </w:r>
      <w:r w:rsidR="00335E79">
        <w:rPr>
          <w:noProof/>
        </w:rPr>
        <w:t>2</w:t>
      </w:r>
      <w:r w:rsidR="00335E79">
        <w:noBreakHyphen/>
      </w:r>
      <w:r w:rsidR="00335E79">
        <w:rPr>
          <w:noProof/>
        </w:rPr>
        <w:t>5</w:t>
      </w:r>
      <w:r w:rsidR="00577FB3">
        <w:fldChar w:fldCharType="end"/>
      </w:r>
      <w:r>
        <w:t>)</w:t>
      </w:r>
      <w:r w:rsidRPr="00D52AB8">
        <w:t>.</w:t>
      </w:r>
      <w:r w:rsidRPr="00162F09">
        <w:t xml:space="preserve"> </w:t>
      </w:r>
    </w:p>
    <w:p w14:paraId="7F91D6BC" w14:textId="77777777" w:rsidR="00CE4EE9" w:rsidRDefault="00CE4EE9" w:rsidP="00DA11AF">
      <w:pPr>
        <w:pStyle w:val="Body"/>
      </w:pPr>
    </w:p>
    <w:p w14:paraId="76CB2340" w14:textId="35535282" w:rsidR="00A84B61" w:rsidRPr="0015611A" w:rsidRDefault="00CB48E8" w:rsidP="00CB48E8">
      <w:pPr>
        <w:pStyle w:val="Imagecaption"/>
        <w:keepNext/>
        <w:pBdr>
          <w:top w:val="none" w:sz="0" w:space="0" w:color="auto"/>
        </w:pBdr>
      </w:pPr>
      <w:bookmarkStart w:id="81" w:name="_Ref456343331"/>
      <w:bookmarkStart w:id="82" w:name="_Ref433882301"/>
      <w:bookmarkStart w:id="83" w:name="_Toc401066280"/>
      <w:bookmarkStart w:id="84" w:name="_Toc410990771"/>
      <w:bookmarkStart w:id="85" w:name="_Toc452474423"/>
      <w:bookmarkStart w:id="86" w:name="_Toc494444695"/>
      <w:r>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5</w:t>
      </w:r>
      <w:r w:rsidR="00470577">
        <w:fldChar w:fldCharType="end"/>
      </w:r>
      <w:bookmarkEnd w:id="81"/>
      <w:r>
        <w:t xml:space="preserve"> </w:t>
      </w:r>
      <w:bookmarkEnd w:id="82"/>
      <w:r w:rsidR="00A84B61" w:rsidRPr="00696882">
        <w:t>Identified lists/groups for determining chemicals of low concern</w:t>
      </w:r>
      <w:bookmarkEnd w:id="83"/>
      <w:bookmarkEnd w:id="84"/>
      <w:bookmarkEnd w:id="85"/>
      <w:r w:rsidR="00683E43">
        <w:t>.</w:t>
      </w:r>
      <w:bookmarkEnd w:id="86"/>
    </w:p>
    <w:tbl>
      <w:tblPr>
        <w:tblStyle w:val="TableGrid"/>
        <w:tblW w:w="8931" w:type="dxa"/>
        <w:tblInd w:w="-5" w:type="dxa"/>
        <w:tblLook w:val="04A0" w:firstRow="1" w:lastRow="0" w:firstColumn="1" w:lastColumn="0" w:noHBand="0" w:noVBand="1"/>
      </w:tblPr>
      <w:tblGrid>
        <w:gridCol w:w="2948"/>
        <w:gridCol w:w="3402"/>
        <w:gridCol w:w="2581"/>
      </w:tblGrid>
      <w:tr w:rsidR="00A84B61" w14:paraId="55947342" w14:textId="77777777" w:rsidTr="00683E43">
        <w:trPr>
          <w:tblHeader/>
        </w:trPr>
        <w:tc>
          <w:tcPr>
            <w:tcW w:w="2948" w:type="dxa"/>
            <w:tcBorders>
              <w:bottom w:val="single" w:sz="4" w:space="0" w:color="auto"/>
            </w:tcBorders>
            <w:shd w:val="clear" w:color="auto" w:fill="F2F2F2" w:themeFill="background1" w:themeFillShade="F2"/>
          </w:tcPr>
          <w:p w14:paraId="6A144E3A" w14:textId="77777777" w:rsidR="00A84B61" w:rsidRDefault="00A84B61" w:rsidP="00CB48E8">
            <w:pPr>
              <w:pStyle w:val="Body"/>
              <w:rPr>
                <w:lang w:eastAsia="en-AU"/>
              </w:rPr>
            </w:pPr>
            <w:r w:rsidRPr="00696882">
              <w:t>Category</w:t>
            </w:r>
          </w:p>
        </w:tc>
        <w:tc>
          <w:tcPr>
            <w:tcW w:w="3402" w:type="dxa"/>
            <w:shd w:val="clear" w:color="auto" w:fill="F2F2F2" w:themeFill="background1" w:themeFillShade="F2"/>
          </w:tcPr>
          <w:p w14:paraId="2809EA34" w14:textId="77777777" w:rsidR="00A84B61" w:rsidRDefault="00A84B61" w:rsidP="00CB48E8">
            <w:pPr>
              <w:pStyle w:val="Body"/>
              <w:rPr>
                <w:lang w:eastAsia="en-AU"/>
              </w:rPr>
            </w:pPr>
            <w:r w:rsidRPr="00696882">
              <w:t xml:space="preserve">Identified </w:t>
            </w:r>
            <w:r>
              <w:t>s</w:t>
            </w:r>
            <w:r w:rsidRPr="00696882">
              <w:t>chemes/</w:t>
            </w:r>
            <w:r>
              <w:t>l</w:t>
            </w:r>
            <w:r w:rsidRPr="00696882">
              <w:t>ists</w:t>
            </w:r>
          </w:p>
        </w:tc>
        <w:tc>
          <w:tcPr>
            <w:tcW w:w="2581" w:type="dxa"/>
            <w:shd w:val="clear" w:color="auto" w:fill="F2F2F2" w:themeFill="background1" w:themeFillShade="F2"/>
          </w:tcPr>
          <w:p w14:paraId="1F6A8C48" w14:textId="571BE966" w:rsidR="00A84B61" w:rsidRDefault="00A84B61" w:rsidP="00914462">
            <w:pPr>
              <w:pStyle w:val="Body"/>
              <w:rPr>
                <w:lang w:eastAsia="en-AU"/>
              </w:rPr>
            </w:pPr>
            <w:r w:rsidRPr="00696882">
              <w:t xml:space="preserve">Used </w:t>
            </w:r>
            <w:r>
              <w:t>by NICNAS (201</w:t>
            </w:r>
            <w:r w:rsidR="00914462">
              <w:t>7</w:t>
            </w:r>
            <w:r w:rsidR="001C5F70">
              <w:t>b</w:t>
            </w:r>
            <w:r>
              <w:t xml:space="preserve">) </w:t>
            </w:r>
            <w:r w:rsidRPr="00696882">
              <w:t xml:space="preserve">to identify </w:t>
            </w:r>
            <w:r>
              <w:t xml:space="preserve">coal seam gas </w:t>
            </w:r>
            <w:r w:rsidRPr="00696882">
              <w:t>chemicals</w:t>
            </w:r>
            <w:r>
              <w:t xml:space="preserve"> of </w:t>
            </w:r>
            <w:r w:rsidRPr="00696882">
              <w:t>low concern</w:t>
            </w:r>
            <w:r w:rsidR="00CE756E">
              <w:t xml:space="preserve"> for human health</w:t>
            </w:r>
          </w:p>
        </w:tc>
      </w:tr>
      <w:tr w:rsidR="00A84B61" w14:paraId="3EA16227" w14:textId="77777777" w:rsidTr="00683E43">
        <w:tc>
          <w:tcPr>
            <w:tcW w:w="2948" w:type="dxa"/>
            <w:tcBorders>
              <w:bottom w:val="single" w:sz="4" w:space="0" w:color="auto"/>
            </w:tcBorders>
          </w:tcPr>
          <w:p w14:paraId="3B16814B" w14:textId="77777777" w:rsidR="00A84B61" w:rsidRDefault="00A84B61" w:rsidP="00CB48E8">
            <w:pPr>
              <w:pStyle w:val="Body"/>
              <w:rPr>
                <w:lang w:eastAsia="en-AU"/>
              </w:rPr>
            </w:pPr>
            <w:r w:rsidRPr="006915A1">
              <w:t xml:space="preserve">Lists of chemicals identified as safe with no condition of use </w:t>
            </w:r>
          </w:p>
        </w:tc>
        <w:tc>
          <w:tcPr>
            <w:tcW w:w="3402" w:type="dxa"/>
          </w:tcPr>
          <w:p w14:paraId="696AFDAC" w14:textId="31FA2202" w:rsidR="00A84B61" w:rsidRPr="00CB48E8" w:rsidRDefault="00A84B61" w:rsidP="004C0372">
            <w:pPr>
              <w:pStyle w:val="Body"/>
            </w:pPr>
            <w:r w:rsidRPr="00CB48E8">
              <w:t xml:space="preserve">US EPA </w:t>
            </w:r>
            <w:r w:rsidR="004C0372" w:rsidRPr="008A30BC">
              <w:rPr>
                <w:lang w:eastAsia="en-AU"/>
              </w:rPr>
              <w:t>High Production</w:t>
            </w:r>
            <w:r w:rsidR="004C0372">
              <w:rPr>
                <w:lang w:eastAsia="en-AU"/>
              </w:rPr>
              <w:t xml:space="preserve"> Volume (HPV) Challenge Program</w:t>
            </w:r>
            <w:r w:rsidR="004C0372" w:rsidRPr="00CB48E8">
              <w:t xml:space="preserve"> </w:t>
            </w:r>
            <w:r w:rsidRPr="00CB48E8">
              <w:t>Indicator 1</w:t>
            </w:r>
          </w:p>
        </w:tc>
        <w:tc>
          <w:tcPr>
            <w:tcW w:w="2581" w:type="dxa"/>
          </w:tcPr>
          <w:p w14:paraId="4892B11C" w14:textId="77777777" w:rsidR="00A84B61" w:rsidRPr="00CB48E8" w:rsidRDefault="00A84B61" w:rsidP="00CB48E8">
            <w:pPr>
              <w:pStyle w:val="Body"/>
            </w:pPr>
            <w:r w:rsidRPr="00CB48E8">
              <w:t>Yes</w:t>
            </w:r>
          </w:p>
        </w:tc>
      </w:tr>
      <w:tr w:rsidR="00A84B61" w14:paraId="3F64D22A" w14:textId="77777777" w:rsidTr="00683E43">
        <w:tc>
          <w:tcPr>
            <w:tcW w:w="2948" w:type="dxa"/>
            <w:tcBorders>
              <w:top w:val="single" w:sz="4" w:space="0" w:color="auto"/>
              <w:bottom w:val="single" w:sz="4" w:space="0" w:color="auto"/>
            </w:tcBorders>
          </w:tcPr>
          <w:p w14:paraId="503F49FC" w14:textId="77777777" w:rsidR="00A84B61" w:rsidRPr="006915A1" w:rsidRDefault="00A84B61" w:rsidP="00CB48E8">
            <w:pPr>
              <w:pStyle w:val="Body"/>
            </w:pPr>
          </w:p>
        </w:tc>
        <w:tc>
          <w:tcPr>
            <w:tcW w:w="3402" w:type="dxa"/>
          </w:tcPr>
          <w:p w14:paraId="27061DE4" w14:textId="236FB9A7" w:rsidR="00A84B61" w:rsidRPr="00C94CEA" w:rsidRDefault="004C0372" w:rsidP="00CB48E8">
            <w:pPr>
              <w:pStyle w:val="Body"/>
            </w:pPr>
            <w:r w:rsidRPr="00C94CEA">
              <w:rPr>
                <w:lang w:eastAsia="en-AU"/>
              </w:rPr>
              <w:t>European Union (EU) Regulation that deals with Registration, Evaluation, Authorisation and Restriction of Chemical substances (</w:t>
            </w:r>
            <w:r w:rsidR="00A84B61" w:rsidRPr="00C94CEA">
              <w:t>REACH</w:t>
            </w:r>
            <w:r w:rsidRPr="00C94CEA">
              <w:t>)</w:t>
            </w:r>
            <w:r w:rsidR="00A84B61" w:rsidRPr="00C94CEA">
              <w:t xml:space="preserve"> Annex IV</w:t>
            </w:r>
          </w:p>
        </w:tc>
        <w:tc>
          <w:tcPr>
            <w:tcW w:w="2581" w:type="dxa"/>
          </w:tcPr>
          <w:p w14:paraId="30B58966" w14:textId="77777777" w:rsidR="00A84B61" w:rsidRPr="00CB48E8" w:rsidRDefault="00A84B61" w:rsidP="00CB48E8">
            <w:pPr>
              <w:pStyle w:val="Body"/>
            </w:pPr>
            <w:r w:rsidRPr="00CB48E8">
              <w:t>Yes</w:t>
            </w:r>
          </w:p>
        </w:tc>
      </w:tr>
      <w:tr w:rsidR="00A84B61" w14:paraId="5FEECAA5" w14:textId="77777777" w:rsidTr="00683E43">
        <w:tc>
          <w:tcPr>
            <w:tcW w:w="2948" w:type="dxa"/>
            <w:tcBorders>
              <w:bottom w:val="nil"/>
            </w:tcBorders>
          </w:tcPr>
          <w:p w14:paraId="19DF735F" w14:textId="77777777" w:rsidR="00A84B61" w:rsidRDefault="00A84B61" w:rsidP="00CB48E8">
            <w:pPr>
              <w:pStyle w:val="Body"/>
              <w:rPr>
                <w:lang w:eastAsia="en-AU"/>
              </w:rPr>
            </w:pPr>
            <w:r w:rsidRPr="006915A1">
              <w:t xml:space="preserve">Lists of chemicals identified as low risk under conditions used </w:t>
            </w:r>
          </w:p>
        </w:tc>
        <w:tc>
          <w:tcPr>
            <w:tcW w:w="3402" w:type="dxa"/>
          </w:tcPr>
          <w:p w14:paraId="2C59BC62" w14:textId="01666798" w:rsidR="00A84B61" w:rsidRPr="00C94CEA" w:rsidRDefault="004C0372" w:rsidP="00CB48E8">
            <w:pPr>
              <w:pStyle w:val="Body"/>
            </w:pPr>
            <w:r w:rsidRPr="00C94CEA">
              <w:rPr>
                <w:lang w:eastAsia="en-AU"/>
              </w:rPr>
              <w:t>Inert Ingredients Eligible for US Federal Insecticide, Fungicide, and Rodenticide Act (</w:t>
            </w:r>
            <w:r w:rsidR="00A84B61" w:rsidRPr="00C94CEA">
              <w:t>FIFRA</w:t>
            </w:r>
            <w:r w:rsidRPr="00C94CEA">
              <w:t>)</w:t>
            </w:r>
          </w:p>
        </w:tc>
        <w:tc>
          <w:tcPr>
            <w:tcW w:w="2581" w:type="dxa"/>
          </w:tcPr>
          <w:p w14:paraId="099CD046" w14:textId="77777777" w:rsidR="00A84B61" w:rsidRPr="00CB48E8" w:rsidRDefault="00A84B61" w:rsidP="00CB48E8">
            <w:pPr>
              <w:pStyle w:val="Body"/>
            </w:pPr>
            <w:r w:rsidRPr="00CB48E8">
              <w:t>Yes with validation (see below)</w:t>
            </w:r>
          </w:p>
        </w:tc>
      </w:tr>
      <w:tr w:rsidR="00A84B61" w14:paraId="308A8213" w14:textId="77777777" w:rsidTr="00683E43">
        <w:tc>
          <w:tcPr>
            <w:tcW w:w="2948" w:type="dxa"/>
            <w:tcBorders>
              <w:top w:val="nil"/>
            </w:tcBorders>
          </w:tcPr>
          <w:p w14:paraId="66E10524" w14:textId="77777777" w:rsidR="00A84B61" w:rsidRPr="006915A1" w:rsidRDefault="00A84B61" w:rsidP="00CB48E8">
            <w:pPr>
              <w:pStyle w:val="Body"/>
            </w:pPr>
          </w:p>
        </w:tc>
        <w:tc>
          <w:tcPr>
            <w:tcW w:w="3402" w:type="dxa"/>
          </w:tcPr>
          <w:p w14:paraId="618F10D1" w14:textId="19227747" w:rsidR="00A84B61" w:rsidRPr="00C94CEA" w:rsidRDefault="00A84B61" w:rsidP="004C0372">
            <w:pPr>
              <w:pStyle w:val="Body"/>
            </w:pPr>
            <w:r w:rsidRPr="00C94CEA">
              <w:t xml:space="preserve">US </w:t>
            </w:r>
            <w:r w:rsidR="004C0372" w:rsidRPr="00C94CEA">
              <w:rPr>
                <w:lang w:eastAsia="en-AU"/>
              </w:rPr>
              <w:t xml:space="preserve">Food </w:t>
            </w:r>
            <w:r w:rsidR="004C0372" w:rsidRPr="00C94CEA">
              <w:t>and</w:t>
            </w:r>
            <w:r w:rsidR="004C0372" w:rsidRPr="00C94CEA">
              <w:rPr>
                <w:lang w:eastAsia="en-AU"/>
              </w:rPr>
              <w:t xml:space="preserve"> Drug Administration (FDA) Generally Recognized as Safe</w:t>
            </w:r>
            <w:r w:rsidR="004C0372" w:rsidRPr="00C94CEA">
              <w:t xml:space="preserve"> (</w:t>
            </w:r>
            <w:r w:rsidRPr="00C94CEA">
              <w:t>GRAS</w:t>
            </w:r>
            <w:r w:rsidR="004C0372" w:rsidRPr="00C94CEA">
              <w:t>)</w:t>
            </w:r>
          </w:p>
        </w:tc>
        <w:tc>
          <w:tcPr>
            <w:tcW w:w="2581" w:type="dxa"/>
          </w:tcPr>
          <w:p w14:paraId="4884FA7E" w14:textId="77777777" w:rsidR="00A84B61" w:rsidRPr="00CB48E8" w:rsidRDefault="00A84B61" w:rsidP="00CB48E8">
            <w:pPr>
              <w:pStyle w:val="Body"/>
            </w:pPr>
            <w:r w:rsidRPr="00CB48E8">
              <w:t>Yes</w:t>
            </w:r>
          </w:p>
        </w:tc>
      </w:tr>
      <w:tr w:rsidR="00A84B61" w14:paraId="3DCA880C" w14:textId="77777777" w:rsidTr="00683E43">
        <w:tc>
          <w:tcPr>
            <w:tcW w:w="2948" w:type="dxa"/>
          </w:tcPr>
          <w:p w14:paraId="4CACE59F" w14:textId="77777777" w:rsidR="00A84B61" w:rsidRDefault="00A84B61" w:rsidP="00CB48E8">
            <w:pPr>
              <w:pStyle w:val="Body"/>
              <w:rPr>
                <w:lang w:eastAsia="en-AU"/>
              </w:rPr>
            </w:pPr>
            <w:r w:rsidRPr="006915A1">
              <w:t xml:space="preserve">Lists of chemicals with reduced regulatory requirements based on their origin </w:t>
            </w:r>
          </w:p>
        </w:tc>
        <w:tc>
          <w:tcPr>
            <w:tcW w:w="3402" w:type="dxa"/>
          </w:tcPr>
          <w:p w14:paraId="1FF1F2FC" w14:textId="77777777" w:rsidR="00A84B61" w:rsidRPr="00C94CEA" w:rsidRDefault="00A84B61" w:rsidP="00CB48E8">
            <w:pPr>
              <w:pStyle w:val="Body"/>
            </w:pPr>
            <w:r w:rsidRPr="00C94CEA">
              <w:t xml:space="preserve">REACH Annex V </w:t>
            </w:r>
          </w:p>
        </w:tc>
        <w:tc>
          <w:tcPr>
            <w:tcW w:w="2581" w:type="dxa"/>
          </w:tcPr>
          <w:p w14:paraId="20036871" w14:textId="77777777" w:rsidR="00A84B61" w:rsidRPr="00CB48E8" w:rsidRDefault="00A84B61" w:rsidP="00CB48E8">
            <w:pPr>
              <w:pStyle w:val="Body"/>
            </w:pPr>
            <w:r w:rsidRPr="00CB48E8">
              <w:t>Yes with validation (see below)</w:t>
            </w:r>
          </w:p>
        </w:tc>
      </w:tr>
    </w:tbl>
    <w:p w14:paraId="1DD21BC3" w14:textId="77777777" w:rsidR="00A84B61" w:rsidRDefault="00A84B61" w:rsidP="00A84B61">
      <w:pPr>
        <w:pStyle w:val="Body"/>
        <w:rPr>
          <w:lang w:eastAsia="en-AU"/>
        </w:rPr>
      </w:pPr>
    </w:p>
    <w:p w14:paraId="207FD4CB" w14:textId="77777777" w:rsidR="00A84B61" w:rsidRPr="00577FB3" w:rsidRDefault="00A84B61" w:rsidP="00F666F1">
      <w:pPr>
        <w:pStyle w:val="Heading3"/>
        <w:numPr>
          <w:ilvl w:val="3"/>
          <w:numId w:val="1"/>
        </w:numPr>
        <w:spacing w:line="240" w:lineRule="auto"/>
        <w:ind w:left="1723" w:hanging="646"/>
        <w:rPr>
          <w:rFonts w:eastAsia="Times New Roman"/>
          <w:lang w:eastAsia="en-AU"/>
        </w:rPr>
      </w:pPr>
      <w:bookmarkStart w:id="87" w:name="_Toc350869450"/>
      <w:bookmarkStart w:id="88" w:name="_Toc494444492"/>
      <w:r w:rsidRPr="00577FB3">
        <w:rPr>
          <w:rFonts w:eastAsia="Times New Roman"/>
          <w:lang w:eastAsia="en-AU"/>
        </w:rPr>
        <w:t>Step 3: Comparison of coal seam gas</w:t>
      </w:r>
      <w:r w:rsidRPr="00577FB3" w:rsidDel="0010482D">
        <w:rPr>
          <w:rFonts w:eastAsia="Times New Roman"/>
          <w:lang w:eastAsia="en-AU"/>
        </w:rPr>
        <w:t xml:space="preserve"> </w:t>
      </w:r>
      <w:r w:rsidRPr="00577FB3">
        <w:rPr>
          <w:rFonts w:eastAsia="Times New Roman"/>
          <w:lang w:eastAsia="en-AU"/>
        </w:rPr>
        <w:t>chemicals with the low concern chemical lists</w:t>
      </w:r>
      <w:bookmarkEnd w:id="87"/>
      <w:bookmarkEnd w:id="88"/>
    </w:p>
    <w:p w14:paraId="63133820" w14:textId="64D5C57E" w:rsidR="00A84B61" w:rsidRDefault="00A84B61" w:rsidP="00577FB3">
      <w:pPr>
        <w:pStyle w:val="Body"/>
      </w:pPr>
      <w:r w:rsidRPr="001A05AA">
        <w:t>The</w:t>
      </w:r>
      <w:r>
        <w:t xml:space="preserve"> 113</w:t>
      </w:r>
      <w:r w:rsidRPr="001A05AA">
        <w:t xml:space="preserve"> chemicals reported to be used </w:t>
      </w:r>
      <w:r>
        <w:t>in</w:t>
      </w:r>
      <w:r w:rsidRPr="001A05AA">
        <w:t xml:space="preserve"> </w:t>
      </w:r>
      <w:r>
        <w:t xml:space="preserve">drilling and </w:t>
      </w:r>
      <w:r w:rsidRPr="001A05AA">
        <w:t xml:space="preserve">hydraulic fracturing </w:t>
      </w:r>
      <w:r>
        <w:t>for coal seam gas</w:t>
      </w:r>
      <w:r w:rsidDel="0010482D">
        <w:t xml:space="preserve"> </w:t>
      </w:r>
      <w:r w:rsidR="009C64E7">
        <w:t xml:space="preserve">extraction in Australia </w:t>
      </w:r>
      <w:r w:rsidRPr="001A05AA">
        <w:t xml:space="preserve">were compared with </w:t>
      </w:r>
      <w:r w:rsidRPr="00577FB3">
        <w:t>five</w:t>
      </w:r>
      <w:r>
        <w:t xml:space="preserve"> of </w:t>
      </w:r>
      <w:r w:rsidRPr="001A05AA">
        <w:t xml:space="preserve">the lists </w:t>
      </w:r>
      <w:r>
        <w:t xml:space="preserve">identified in </w:t>
      </w:r>
      <w:r w:rsidRPr="002176DE">
        <w:fldChar w:fldCharType="begin" w:fldLock="1"/>
      </w:r>
      <w:r w:rsidRPr="002176DE">
        <w:instrText xml:space="preserve"> REF _Ref433882301 \h </w:instrText>
      </w:r>
      <w:r w:rsidR="00577FB3" w:rsidRPr="002176DE">
        <w:instrText xml:space="preserve"> \* MERGEFORMAT </w:instrText>
      </w:r>
      <w:r w:rsidRPr="002176DE">
        <w:fldChar w:fldCharType="separate"/>
      </w:r>
      <w:r w:rsidR="00335E79">
        <w:t>Table 2</w:t>
      </w:r>
      <w:r w:rsidR="00335E79">
        <w:noBreakHyphen/>
        <w:t xml:space="preserve">5 </w:t>
      </w:r>
      <w:r w:rsidRPr="002176DE">
        <w:fldChar w:fldCharType="end"/>
      </w:r>
      <w:r>
        <w:t xml:space="preserve"> Of the 113 chemicals, 38 were identified as potentially of low concern for human health based on their entries in these lists</w:t>
      </w:r>
      <w:r w:rsidR="002176DE">
        <w:t xml:space="preserve"> (</w:t>
      </w:r>
      <w:r w:rsidR="009C64E7">
        <w:t>NICNAS 201</w:t>
      </w:r>
      <w:r w:rsidR="00914462">
        <w:t>7</w:t>
      </w:r>
      <w:r w:rsidR="009C64E7">
        <w:t xml:space="preserve">b and </w:t>
      </w:r>
      <w:r w:rsidR="002176DE">
        <w:t>Appendix 1)</w:t>
      </w:r>
      <w:r>
        <w:t>.</w:t>
      </w:r>
    </w:p>
    <w:p w14:paraId="735D0F4B" w14:textId="78067200" w:rsidR="00A84B61" w:rsidRDefault="001376F9" w:rsidP="00577FB3">
      <w:pPr>
        <w:pStyle w:val="Body"/>
      </w:pPr>
      <w:r>
        <w:t>NICNAS (201</w:t>
      </w:r>
      <w:r w:rsidR="00914462">
        <w:t>7</w:t>
      </w:r>
      <w:r>
        <w:t xml:space="preserve">b) </w:t>
      </w:r>
      <w:r w:rsidR="00A84B61">
        <w:t xml:space="preserve">considered that </w:t>
      </w:r>
      <w:r w:rsidR="00A84B61" w:rsidRPr="00162F09">
        <w:t xml:space="preserve">the uses of </w:t>
      </w:r>
      <w:r w:rsidR="00A84B61">
        <w:t>chemicals for extraction of coal seam gas</w:t>
      </w:r>
      <w:r w:rsidR="00A84B61" w:rsidRPr="00162F09">
        <w:t xml:space="preserve"> </w:t>
      </w:r>
      <w:r w:rsidR="00A84B61">
        <w:t xml:space="preserve">in Australia may </w:t>
      </w:r>
      <w:r w:rsidR="00A84B61" w:rsidRPr="00162F09">
        <w:t>be different from those under which they have been considered low risk in other jurisdictions</w:t>
      </w:r>
      <w:r w:rsidR="00A84B61">
        <w:t>. Therefore</w:t>
      </w:r>
      <w:r w:rsidR="00A84B61" w:rsidRPr="00162F09">
        <w:t xml:space="preserve">, additional validation rules on chemicals identified by the FIFRA and US </w:t>
      </w:r>
      <w:r w:rsidR="00B1210D" w:rsidRPr="008A30BC">
        <w:rPr>
          <w:lang w:eastAsia="en-AU"/>
        </w:rPr>
        <w:t xml:space="preserve">FDA GRAS </w:t>
      </w:r>
      <w:r w:rsidR="00A84B61" w:rsidRPr="00162F09">
        <w:t>list</w:t>
      </w:r>
      <w:r w:rsidR="00A84B61">
        <w:t>s</w:t>
      </w:r>
      <w:r w:rsidR="00A84B61" w:rsidRPr="00162F09">
        <w:t xml:space="preserve"> </w:t>
      </w:r>
      <w:r w:rsidR="00A84B61">
        <w:t xml:space="preserve">were applied </w:t>
      </w:r>
      <w:r w:rsidR="00A84B61" w:rsidRPr="00162F09">
        <w:t xml:space="preserve">to ensure that </w:t>
      </w:r>
      <w:r w:rsidR="00A84B61">
        <w:t>coal seam gas</w:t>
      </w:r>
      <w:r w:rsidR="00A84B61" w:rsidDel="0010482D">
        <w:t xml:space="preserve"> </w:t>
      </w:r>
      <w:r w:rsidR="00A84B61" w:rsidRPr="00162F09">
        <w:t xml:space="preserve">chemicals that </w:t>
      </w:r>
      <w:r w:rsidR="00A84B61">
        <w:t>warranted</w:t>
      </w:r>
      <w:r w:rsidR="00A84B61" w:rsidRPr="00162F09">
        <w:t xml:space="preserve"> </w:t>
      </w:r>
      <w:r w:rsidR="00A84B61">
        <w:t xml:space="preserve">more detailed </w:t>
      </w:r>
      <w:r w:rsidR="00A84B61" w:rsidRPr="00162F09">
        <w:t xml:space="preserve">assessment </w:t>
      </w:r>
      <w:r w:rsidR="00A84B61">
        <w:t>would</w:t>
      </w:r>
      <w:r w:rsidR="00A84B61" w:rsidRPr="00162F09">
        <w:t xml:space="preserve"> not </w:t>
      </w:r>
      <w:r w:rsidR="00A84B61">
        <w:t>be simply classified</w:t>
      </w:r>
      <w:r w:rsidR="00A84B61" w:rsidRPr="00162F09">
        <w:t xml:space="preserve"> </w:t>
      </w:r>
      <w:r w:rsidR="00A84B61">
        <w:t>as</w:t>
      </w:r>
      <w:r w:rsidR="00A84B61" w:rsidRPr="00162F09">
        <w:t xml:space="preserve"> chemicals of low co</w:t>
      </w:r>
      <w:r w:rsidR="00A84B61">
        <w:t>ncern for human health (described below).</w:t>
      </w:r>
    </w:p>
    <w:p w14:paraId="5420B11F" w14:textId="77777777" w:rsidR="00A84B61" w:rsidRPr="000532C5" w:rsidRDefault="00A84B61" w:rsidP="000532C5">
      <w:pPr>
        <w:pStyle w:val="Heading3"/>
        <w:numPr>
          <w:ilvl w:val="3"/>
          <w:numId w:val="1"/>
        </w:numPr>
        <w:rPr>
          <w:rFonts w:eastAsia="Times New Roman"/>
          <w:lang w:eastAsia="en-AU"/>
        </w:rPr>
      </w:pPr>
      <w:bookmarkStart w:id="89" w:name="_Toc351108351"/>
      <w:bookmarkStart w:id="90" w:name="_Ref477019523"/>
      <w:bookmarkStart w:id="91" w:name="_Toc494444493"/>
      <w:r w:rsidRPr="000532C5">
        <w:rPr>
          <w:rFonts w:eastAsia="Times New Roman"/>
          <w:lang w:eastAsia="en-AU"/>
        </w:rPr>
        <w:t>Step 4: Validation rules developed by NICNAS</w:t>
      </w:r>
      <w:bookmarkEnd w:id="89"/>
      <w:bookmarkEnd w:id="90"/>
      <w:bookmarkEnd w:id="91"/>
    </w:p>
    <w:p w14:paraId="0537DC4A" w14:textId="062A4E75" w:rsidR="00A84B61" w:rsidRDefault="00A84B61" w:rsidP="000532C5">
      <w:pPr>
        <w:pStyle w:val="Body"/>
      </w:pPr>
      <w:r>
        <w:t xml:space="preserve">The 38 chemicals </w:t>
      </w:r>
      <w:r w:rsidR="00C02908">
        <w:t xml:space="preserve">identified as potentially of low concern for human health (see step 3) </w:t>
      </w:r>
      <w:r>
        <w:t xml:space="preserve">were evaluated against a </w:t>
      </w:r>
      <w:r w:rsidRPr="00162F09">
        <w:t xml:space="preserve">set of </w:t>
      </w:r>
      <w:r>
        <w:t>validation</w:t>
      </w:r>
      <w:r w:rsidRPr="00162F09">
        <w:t xml:space="preserve"> rules</w:t>
      </w:r>
      <w:r>
        <w:t xml:space="preserve"> previously </w:t>
      </w:r>
      <w:r w:rsidRPr="00162F09">
        <w:t>developed</w:t>
      </w:r>
      <w:r>
        <w:t xml:space="preserve"> by NICNAS for the IMAP Framework</w:t>
      </w:r>
      <w:r w:rsidR="00C02908">
        <w:t xml:space="preserve"> (NICNAS 2015)</w:t>
      </w:r>
      <w:r>
        <w:t>.</w:t>
      </w:r>
      <w:r w:rsidRPr="00162F09">
        <w:t xml:space="preserve"> </w:t>
      </w:r>
      <w:r>
        <w:t>C</w:t>
      </w:r>
      <w:r w:rsidRPr="00162F09">
        <w:t xml:space="preserve">hemicals meeting the following criteria </w:t>
      </w:r>
      <w:r>
        <w:t>were considered as requiring further assessment:</w:t>
      </w:r>
    </w:p>
    <w:p w14:paraId="4B0AB72F" w14:textId="77777777" w:rsidR="00A84B61" w:rsidRDefault="00A84B61" w:rsidP="00943534">
      <w:pPr>
        <w:pStyle w:val="Body"/>
        <w:numPr>
          <w:ilvl w:val="0"/>
          <w:numId w:val="50"/>
        </w:numPr>
      </w:pPr>
      <w:r>
        <w:t>c</w:t>
      </w:r>
      <w:r w:rsidRPr="003204C6">
        <w:t>hemicals identified as a concern or for which regulatory action has been taken overseas</w:t>
      </w:r>
    </w:p>
    <w:p w14:paraId="752257AB" w14:textId="77777777" w:rsidR="00A84B61" w:rsidRDefault="00A84B61" w:rsidP="00943534">
      <w:pPr>
        <w:pStyle w:val="Body"/>
        <w:numPr>
          <w:ilvl w:val="0"/>
          <w:numId w:val="50"/>
        </w:numPr>
      </w:pPr>
      <w:r>
        <w:t>c</w:t>
      </w:r>
      <w:r w:rsidRPr="003204C6">
        <w:t>hemicals identified in international studies analysing blood in babies</w:t>
      </w:r>
      <w:r>
        <w:t>'</w:t>
      </w:r>
      <w:r w:rsidRPr="003204C6">
        <w:t xml:space="preserve"> umbilical cords</w:t>
      </w:r>
    </w:p>
    <w:p w14:paraId="418A33E8" w14:textId="77777777" w:rsidR="00A84B61" w:rsidRDefault="00A84B61" w:rsidP="00943534">
      <w:pPr>
        <w:pStyle w:val="Body"/>
        <w:numPr>
          <w:ilvl w:val="0"/>
          <w:numId w:val="50"/>
        </w:numPr>
        <w:rPr>
          <w:lang w:eastAsia="en-AU"/>
        </w:rPr>
      </w:pPr>
      <w:r>
        <w:rPr>
          <w:lang w:eastAsia="en-AU"/>
        </w:rPr>
        <w:t>c</w:t>
      </w:r>
      <w:r w:rsidRPr="003204C6">
        <w:rPr>
          <w:lang w:eastAsia="en-AU"/>
        </w:rPr>
        <w:t xml:space="preserve">hemicals meeting hazard </w:t>
      </w:r>
      <w:r w:rsidRPr="003204C6">
        <w:t>criteria</w:t>
      </w:r>
      <w:r w:rsidRPr="003204C6">
        <w:rPr>
          <w:lang w:eastAsia="en-AU"/>
        </w:rPr>
        <w:t xml:space="preserve"> developed by NICNAS for use in the IMAP Framework based on any of the following sources: </w:t>
      </w:r>
    </w:p>
    <w:p w14:paraId="6DF61DA0" w14:textId="77777777" w:rsidR="00A84B61" w:rsidRDefault="00A84B61" w:rsidP="00943534">
      <w:pPr>
        <w:pStyle w:val="Body"/>
        <w:numPr>
          <w:ilvl w:val="1"/>
          <w:numId w:val="50"/>
        </w:numPr>
        <w:rPr>
          <w:lang w:eastAsia="en-AU"/>
        </w:rPr>
      </w:pPr>
      <w:r w:rsidRPr="00837868">
        <w:rPr>
          <w:lang w:eastAsia="en-AU"/>
        </w:rPr>
        <w:t xml:space="preserve">Safework Australia's Hazardous Substances Information System (HSIS) </w:t>
      </w:r>
    </w:p>
    <w:p w14:paraId="15DB74DE" w14:textId="77777777" w:rsidR="00A84B61" w:rsidRDefault="00A84B61" w:rsidP="00943534">
      <w:pPr>
        <w:pStyle w:val="Body"/>
        <w:numPr>
          <w:ilvl w:val="1"/>
          <w:numId w:val="50"/>
        </w:numPr>
        <w:rPr>
          <w:lang w:eastAsia="en-AU"/>
        </w:rPr>
      </w:pPr>
      <w:r w:rsidRPr="00837868">
        <w:rPr>
          <w:lang w:eastAsia="en-AU"/>
        </w:rPr>
        <w:t>European Union (EU) Regulation on Classification, Labelling and Packaging (EU</w:t>
      </w:r>
      <w:r>
        <w:rPr>
          <w:lang w:eastAsia="en-AU"/>
        </w:rPr>
        <w:t> </w:t>
      </w:r>
      <w:r w:rsidRPr="00837868">
        <w:rPr>
          <w:lang w:eastAsia="en-AU"/>
        </w:rPr>
        <w:t xml:space="preserve">CLP; conversion of old EU classifications to adopted </w:t>
      </w:r>
      <w:r>
        <w:rPr>
          <w:lang w:eastAsia="en-AU"/>
        </w:rPr>
        <w:t>Globally Harmonised System of Classification (</w:t>
      </w:r>
      <w:r w:rsidRPr="00837868">
        <w:rPr>
          <w:lang w:eastAsia="en-AU"/>
        </w:rPr>
        <w:t>GHS</w:t>
      </w:r>
      <w:r>
        <w:rPr>
          <w:lang w:eastAsia="en-AU"/>
        </w:rPr>
        <w:t>)</w:t>
      </w:r>
      <w:r w:rsidRPr="00837868">
        <w:rPr>
          <w:lang w:eastAsia="en-AU"/>
        </w:rPr>
        <w:t xml:space="preserve"> </w:t>
      </w:r>
    </w:p>
    <w:p w14:paraId="1F1F384D" w14:textId="77777777" w:rsidR="00A84B61" w:rsidRDefault="00A84B61" w:rsidP="00943534">
      <w:pPr>
        <w:pStyle w:val="Body"/>
        <w:numPr>
          <w:ilvl w:val="1"/>
          <w:numId w:val="50"/>
        </w:numPr>
        <w:rPr>
          <w:lang w:eastAsia="en-AU"/>
        </w:rPr>
      </w:pPr>
      <w:r w:rsidRPr="00837868">
        <w:rPr>
          <w:lang w:eastAsia="en-AU"/>
        </w:rPr>
        <w:t xml:space="preserve">International Agency for Research on Cancer (IARC) </w:t>
      </w:r>
    </w:p>
    <w:p w14:paraId="0BBF98AD" w14:textId="77777777" w:rsidR="00A84B61" w:rsidRDefault="00A84B61" w:rsidP="00943534">
      <w:pPr>
        <w:pStyle w:val="Body"/>
        <w:numPr>
          <w:ilvl w:val="1"/>
          <w:numId w:val="50"/>
        </w:numPr>
        <w:rPr>
          <w:lang w:eastAsia="en-AU"/>
        </w:rPr>
      </w:pPr>
      <w:r w:rsidRPr="00837868">
        <w:rPr>
          <w:lang w:eastAsia="en-AU"/>
        </w:rPr>
        <w:t xml:space="preserve">National Toxicology Program - Report on Carcinogens (NTP ROC) </w:t>
      </w:r>
    </w:p>
    <w:p w14:paraId="5050C8E3" w14:textId="77777777" w:rsidR="00A84B61" w:rsidRDefault="00A84B61" w:rsidP="00943534">
      <w:pPr>
        <w:pStyle w:val="Body"/>
        <w:numPr>
          <w:ilvl w:val="1"/>
          <w:numId w:val="50"/>
        </w:numPr>
        <w:rPr>
          <w:lang w:eastAsia="en-AU"/>
        </w:rPr>
      </w:pPr>
      <w:r w:rsidRPr="00837868">
        <w:rPr>
          <w:lang w:eastAsia="en-AU"/>
        </w:rPr>
        <w:t xml:space="preserve">US EPA Cancer Guidelines </w:t>
      </w:r>
    </w:p>
    <w:p w14:paraId="46379477" w14:textId="77777777" w:rsidR="00A84B61" w:rsidRDefault="00A84B61" w:rsidP="00943534">
      <w:pPr>
        <w:pStyle w:val="Body"/>
        <w:numPr>
          <w:ilvl w:val="1"/>
          <w:numId w:val="50"/>
        </w:numPr>
        <w:rPr>
          <w:lang w:eastAsia="en-AU"/>
        </w:rPr>
      </w:pPr>
      <w:r w:rsidRPr="00837868">
        <w:rPr>
          <w:lang w:eastAsia="en-AU"/>
        </w:rPr>
        <w:t xml:space="preserve">American Conference of Industrial Hygienists (ACGIH) Categories </w:t>
      </w:r>
    </w:p>
    <w:p w14:paraId="5D477790" w14:textId="77777777" w:rsidR="00A84B61" w:rsidRDefault="00A84B61" w:rsidP="00943534">
      <w:pPr>
        <w:pStyle w:val="Body"/>
        <w:numPr>
          <w:ilvl w:val="1"/>
          <w:numId w:val="50"/>
        </w:numPr>
        <w:rPr>
          <w:lang w:eastAsia="en-AU"/>
        </w:rPr>
      </w:pPr>
      <w:r w:rsidRPr="00837868">
        <w:rPr>
          <w:lang w:eastAsia="en-AU"/>
        </w:rPr>
        <w:t>EU list of endocrine disrupters</w:t>
      </w:r>
    </w:p>
    <w:p w14:paraId="19C2C374" w14:textId="77777777" w:rsidR="00A84B61" w:rsidRDefault="00A84B61" w:rsidP="00943534">
      <w:pPr>
        <w:pStyle w:val="Body"/>
        <w:numPr>
          <w:ilvl w:val="1"/>
          <w:numId w:val="50"/>
        </w:numPr>
      </w:pPr>
      <w:r w:rsidRPr="00837868">
        <w:rPr>
          <w:lang w:eastAsia="en-AU"/>
        </w:rPr>
        <w:t xml:space="preserve">List of neurotoxic chemicals from </w:t>
      </w:r>
      <w:r>
        <w:rPr>
          <w:lang w:eastAsia="en-AU"/>
        </w:rPr>
        <w:t xml:space="preserve">the </w:t>
      </w:r>
      <w:r w:rsidRPr="00324B94">
        <w:rPr>
          <w:lang w:eastAsia="en-AU"/>
        </w:rPr>
        <w:t>Agency for Toxic Substances and Disease Registry</w:t>
      </w:r>
      <w:r w:rsidRPr="00837868">
        <w:t xml:space="preserve"> </w:t>
      </w:r>
      <w:r>
        <w:t>(</w:t>
      </w:r>
      <w:r w:rsidRPr="00837868">
        <w:t>ATSDR</w:t>
      </w:r>
      <w:r>
        <w:t>).</w:t>
      </w:r>
    </w:p>
    <w:p w14:paraId="5FD10172" w14:textId="7B7E02BF" w:rsidR="00A84B61" w:rsidRPr="004707B6" w:rsidRDefault="00A84B61" w:rsidP="00943534">
      <w:pPr>
        <w:pStyle w:val="Body"/>
        <w:numPr>
          <w:ilvl w:val="0"/>
          <w:numId w:val="50"/>
        </w:numPr>
        <w:rPr>
          <w:lang w:eastAsia="en-AU"/>
        </w:rPr>
      </w:pPr>
      <w:r w:rsidRPr="004707B6">
        <w:rPr>
          <w:lang w:eastAsia="en-AU"/>
        </w:rPr>
        <w:t>chemicals included in the Poisons Standard (the Schedule for Uniform Scheduling of Medicines and Poisons [SUSMP]) (TGA 2012) (except where the listing is in Appendix B</w:t>
      </w:r>
      <w:r w:rsidR="00026E62">
        <w:rPr>
          <w:lang w:eastAsia="en-AU"/>
        </w:rPr>
        <w:t xml:space="preserve"> of TGA 2012</w:t>
      </w:r>
      <w:r w:rsidRPr="004707B6">
        <w:rPr>
          <w:lang w:eastAsia="en-AU"/>
        </w:rPr>
        <w:t xml:space="preserve">) </w:t>
      </w:r>
    </w:p>
    <w:p w14:paraId="7031571D" w14:textId="77777777" w:rsidR="00A84B61" w:rsidRDefault="00A84B61" w:rsidP="00943534">
      <w:pPr>
        <w:pStyle w:val="Body"/>
        <w:numPr>
          <w:ilvl w:val="0"/>
          <w:numId w:val="50"/>
        </w:numPr>
        <w:rPr>
          <w:lang w:eastAsia="en-AU"/>
        </w:rPr>
      </w:pPr>
      <w:r>
        <w:rPr>
          <w:lang w:eastAsia="en-AU"/>
        </w:rPr>
        <w:t>c</w:t>
      </w:r>
      <w:r w:rsidRPr="000F1299">
        <w:rPr>
          <w:lang w:eastAsia="en-AU"/>
        </w:rPr>
        <w:t xml:space="preserve">hemicals removed from Annex IV of REACH as part of the review process </w:t>
      </w:r>
    </w:p>
    <w:p w14:paraId="2FE7F889" w14:textId="77777777" w:rsidR="00A84B61" w:rsidRDefault="00A84B61" w:rsidP="00943534">
      <w:pPr>
        <w:pStyle w:val="Body"/>
        <w:numPr>
          <w:ilvl w:val="0"/>
          <w:numId w:val="50"/>
        </w:numPr>
        <w:rPr>
          <w:lang w:eastAsia="en-AU"/>
        </w:rPr>
      </w:pPr>
      <w:proofErr w:type="gramStart"/>
      <w:r>
        <w:rPr>
          <w:lang w:eastAsia="en-AU"/>
        </w:rPr>
        <w:t>s</w:t>
      </w:r>
      <w:r w:rsidRPr="000F1299">
        <w:rPr>
          <w:lang w:eastAsia="en-AU"/>
        </w:rPr>
        <w:t>trong</w:t>
      </w:r>
      <w:proofErr w:type="gramEnd"/>
      <w:r w:rsidRPr="000F1299">
        <w:rPr>
          <w:lang w:eastAsia="en-AU"/>
        </w:rPr>
        <w:t xml:space="preserve"> or moderate acids and bases, quaternary ammonium salts, and anhydrous deliquescent materials.</w:t>
      </w:r>
    </w:p>
    <w:p w14:paraId="71366321" w14:textId="5323BDBD" w:rsidR="00A84B61" w:rsidRDefault="00A84B61" w:rsidP="000532C5">
      <w:pPr>
        <w:pStyle w:val="Body"/>
      </w:pPr>
    </w:p>
    <w:p w14:paraId="4E85CE24" w14:textId="77777777" w:rsidR="00A84B61" w:rsidRPr="000532C5" w:rsidRDefault="00A84B61" w:rsidP="00F666F1">
      <w:pPr>
        <w:pStyle w:val="Heading3"/>
        <w:numPr>
          <w:ilvl w:val="3"/>
          <w:numId w:val="1"/>
        </w:numPr>
        <w:spacing w:line="240" w:lineRule="auto"/>
        <w:ind w:left="1723" w:hanging="646"/>
        <w:rPr>
          <w:rFonts w:eastAsia="Times New Roman"/>
          <w:lang w:eastAsia="en-AU"/>
        </w:rPr>
      </w:pPr>
      <w:bookmarkStart w:id="92" w:name="_Toc351108352"/>
      <w:bookmarkStart w:id="93" w:name="_Ref477019524"/>
      <w:bookmarkStart w:id="94" w:name="_Toc494444494"/>
      <w:r w:rsidRPr="000532C5">
        <w:rPr>
          <w:rFonts w:eastAsia="Times New Roman"/>
          <w:lang w:eastAsia="en-AU"/>
        </w:rPr>
        <w:t>Step 5: Further validation rules developed by NICNAS to identify additional chemicals of low concern for human health</w:t>
      </w:r>
      <w:bookmarkEnd w:id="92"/>
      <w:bookmarkEnd w:id="93"/>
      <w:bookmarkEnd w:id="94"/>
    </w:p>
    <w:p w14:paraId="7E421D4E" w14:textId="77777777" w:rsidR="00A84B61" w:rsidRDefault="00A84B61" w:rsidP="000532C5">
      <w:pPr>
        <w:pStyle w:val="Body"/>
      </w:pPr>
      <w:r w:rsidRPr="00D52AB8">
        <w:t xml:space="preserve">An </w:t>
      </w:r>
      <w:r>
        <w:t xml:space="preserve">assessment </w:t>
      </w:r>
      <w:r w:rsidRPr="00D52AB8">
        <w:t>of the chemicals internationally recognised as safe and/or of low risk</w:t>
      </w:r>
      <w:r>
        <w:t xml:space="preserve"> (Step 2)</w:t>
      </w:r>
      <w:r w:rsidRPr="00D52AB8">
        <w:t xml:space="preserve"> </w:t>
      </w:r>
      <w:r>
        <w:t>enabled</w:t>
      </w:r>
      <w:r w:rsidRPr="00D52AB8">
        <w:t xml:space="preserve"> NICNAS to develop </w:t>
      </w:r>
      <w:r>
        <w:t>further validation rules (based on expert judgement)</w:t>
      </w:r>
      <w:r w:rsidRPr="00D52AB8">
        <w:t xml:space="preserve"> for identifying additional chemicals that may be considered </w:t>
      </w:r>
      <w:r>
        <w:t>of low concern for</w:t>
      </w:r>
      <w:r w:rsidRPr="00D52AB8">
        <w:t xml:space="preserve"> human health.</w:t>
      </w:r>
      <w:r>
        <w:t xml:space="preserve"> These rules are described below.</w:t>
      </w:r>
    </w:p>
    <w:p w14:paraId="496B3E8F" w14:textId="77777777" w:rsidR="00A84B61" w:rsidRDefault="00A84B61" w:rsidP="00A64510">
      <w:pPr>
        <w:pStyle w:val="Heading5"/>
      </w:pPr>
      <w:r>
        <w:t>B</w:t>
      </w:r>
      <w:r w:rsidRPr="002650F0">
        <w:t xml:space="preserve">inary </w:t>
      </w:r>
      <w:r w:rsidRPr="00396B36">
        <w:t>inorganics</w:t>
      </w:r>
      <w:r>
        <w:t xml:space="preserve"> and organic acid salts</w:t>
      </w:r>
    </w:p>
    <w:p w14:paraId="324BCC4A" w14:textId="77777777" w:rsidR="00A84B61" w:rsidRDefault="00A84B61" w:rsidP="00A64510">
      <w:pPr>
        <w:pStyle w:val="Body"/>
      </w:pPr>
      <w:r w:rsidRPr="00D52AB8">
        <w:t xml:space="preserve">The hazard profiles of binary inorganics and </w:t>
      </w:r>
      <w:r>
        <w:t xml:space="preserve">salts of </w:t>
      </w:r>
      <w:r w:rsidRPr="00D52AB8">
        <w:t>organic acid</w:t>
      </w:r>
      <w:r>
        <w:t>s</w:t>
      </w:r>
      <w:r w:rsidRPr="00D52AB8">
        <w:t xml:space="preserve"> were characterised taking into consideration the </w:t>
      </w:r>
      <w:r>
        <w:t xml:space="preserve">separate </w:t>
      </w:r>
      <w:r w:rsidRPr="00D52AB8">
        <w:t>toxici</w:t>
      </w:r>
      <w:r>
        <w:t>ties</w:t>
      </w:r>
      <w:r w:rsidRPr="00D52AB8">
        <w:t xml:space="preserve"> of the anion and </w:t>
      </w:r>
      <w:r>
        <w:t xml:space="preserve">the </w:t>
      </w:r>
      <w:r w:rsidRPr="00D52AB8">
        <w:t xml:space="preserve">cation </w:t>
      </w:r>
      <w:r>
        <w:t>components</w:t>
      </w:r>
      <w:r w:rsidRPr="00D52AB8">
        <w:t xml:space="preserve">. The following anions, cations and organic acids were identified for </w:t>
      </w:r>
      <w:r w:rsidRPr="008879BF">
        <w:t>potential in</w:t>
      </w:r>
      <w:r w:rsidRPr="00D52AB8">
        <w:t xml:space="preserve">clusion in the list of chemicals generally considered </w:t>
      </w:r>
      <w:r>
        <w:t>of low concern</w:t>
      </w:r>
      <w:r w:rsidRPr="00D52AB8">
        <w:t xml:space="preserve">: </w:t>
      </w:r>
    </w:p>
    <w:p w14:paraId="20E912A5" w14:textId="598A39F6" w:rsidR="00A84B61" w:rsidRDefault="00A84B61" w:rsidP="00943534">
      <w:pPr>
        <w:pStyle w:val="Body"/>
        <w:numPr>
          <w:ilvl w:val="0"/>
          <w:numId w:val="51"/>
        </w:numPr>
      </w:pPr>
      <w:r w:rsidRPr="00D52AB8">
        <w:t>Na</w:t>
      </w:r>
      <w:r w:rsidRPr="00EC0B47">
        <w:rPr>
          <w:vertAlign w:val="superscript"/>
        </w:rPr>
        <w:t>+</w:t>
      </w:r>
      <w:r w:rsidRPr="00D52AB8">
        <w:t>, K</w:t>
      </w:r>
      <w:r w:rsidRPr="00EC0B47">
        <w:rPr>
          <w:vertAlign w:val="superscript"/>
        </w:rPr>
        <w:t>+</w:t>
      </w:r>
      <w:r w:rsidRPr="00D52AB8">
        <w:t>, Mg</w:t>
      </w:r>
      <w:r w:rsidR="00EC0B47" w:rsidRPr="00EC0B47">
        <w:rPr>
          <w:vertAlign w:val="superscript"/>
        </w:rPr>
        <w:t>2</w:t>
      </w:r>
      <w:r w:rsidRPr="00EC0B47">
        <w:rPr>
          <w:vertAlign w:val="superscript"/>
        </w:rPr>
        <w:t>+</w:t>
      </w:r>
      <w:r w:rsidRPr="00D52AB8">
        <w:t>, Ca</w:t>
      </w:r>
      <w:r w:rsidRPr="00EC0B47">
        <w:rPr>
          <w:vertAlign w:val="superscript"/>
        </w:rPr>
        <w:t>2+</w:t>
      </w:r>
      <w:r w:rsidRPr="00D52AB8">
        <w:t>, Cl</w:t>
      </w:r>
      <w:r w:rsidRPr="00EC0B47">
        <w:rPr>
          <w:vertAlign w:val="superscript"/>
        </w:rPr>
        <w:t>-</w:t>
      </w:r>
      <w:r w:rsidRPr="00D52AB8">
        <w:t>, CO</w:t>
      </w:r>
      <w:r w:rsidRPr="00EC0B47">
        <w:rPr>
          <w:vertAlign w:val="subscript"/>
        </w:rPr>
        <w:t>3</w:t>
      </w:r>
      <w:r w:rsidRPr="00EC0B47">
        <w:rPr>
          <w:vertAlign w:val="superscript"/>
        </w:rPr>
        <w:t>2</w:t>
      </w:r>
      <w:r w:rsidR="00EC0B47" w:rsidRPr="00EC0B47">
        <w:rPr>
          <w:vertAlign w:val="superscript"/>
        </w:rPr>
        <w:t>-</w:t>
      </w:r>
      <w:r w:rsidRPr="00D52AB8">
        <w:t>, PO</w:t>
      </w:r>
      <w:r w:rsidRPr="00EC0B47">
        <w:rPr>
          <w:vertAlign w:val="subscript"/>
        </w:rPr>
        <w:t>4</w:t>
      </w:r>
      <w:r w:rsidRPr="00EC0B47">
        <w:rPr>
          <w:vertAlign w:val="superscript"/>
        </w:rPr>
        <w:t>3</w:t>
      </w:r>
      <w:r w:rsidR="00EC0B47" w:rsidRPr="00EC0B47">
        <w:rPr>
          <w:vertAlign w:val="superscript"/>
        </w:rPr>
        <w:t>-</w:t>
      </w:r>
      <w:r w:rsidRPr="00D52AB8">
        <w:t>, NO</w:t>
      </w:r>
      <w:r w:rsidRPr="00EC0B47">
        <w:rPr>
          <w:vertAlign w:val="subscript"/>
        </w:rPr>
        <w:t>3</w:t>
      </w:r>
      <w:r w:rsidR="00EC0B47" w:rsidRPr="00EC0B47">
        <w:rPr>
          <w:vertAlign w:val="superscript"/>
        </w:rPr>
        <w:t>-</w:t>
      </w:r>
      <w:r w:rsidRPr="00D52AB8">
        <w:t>, OH</w:t>
      </w:r>
      <w:r w:rsidRPr="00EC0B47">
        <w:rPr>
          <w:vertAlign w:val="superscript"/>
        </w:rPr>
        <w:t>-</w:t>
      </w:r>
      <w:r w:rsidRPr="00D52AB8">
        <w:t>, O</w:t>
      </w:r>
      <w:r w:rsidRPr="00EC0B47">
        <w:rPr>
          <w:vertAlign w:val="superscript"/>
        </w:rPr>
        <w:t>2</w:t>
      </w:r>
      <w:r w:rsidR="00EC0B47" w:rsidRPr="00EC0B47">
        <w:rPr>
          <w:vertAlign w:val="superscript"/>
        </w:rPr>
        <w:t>-</w:t>
      </w:r>
      <w:r w:rsidRPr="00D52AB8">
        <w:t xml:space="preserve"> and SO</w:t>
      </w:r>
      <w:r w:rsidRPr="00EC0B47">
        <w:rPr>
          <w:vertAlign w:val="subscript"/>
        </w:rPr>
        <w:t>4</w:t>
      </w:r>
      <w:r w:rsidRPr="00EC0B47">
        <w:rPr>
          <w:vertAlign w:val="superscript"/>
        </w:rPr>
        <w:t>2</w:t>
      </w:r>
      <w:r w:rsidR="00EC0B47" w:rsidRPr="00EC0B47">
        <w:rPr>
          <w:vertAlign w:val="superscript"/>
        </w:rPr>
        <w:t>-</w:t>
      </w:r>
      <w:r>
        <w:t xml:space="preserve">, </w:t>
      </w:r>
      <w:r w:rsidRPr="00D52AB8">
        <w:t xml:space="preserve">and simple salts of acetate, citrates, lactates, tartrates, malates and di- and tri- phosphates. </w:t>
      </w:r>
    </w:p>
    <w:p w14:paraId="287CFCAA" w14:textId="54F68A82" w:rsidR="00A84B61" w:rsidRDefault="00A84B61" w:rsidP="00A64510">
      <w:pPr>
        <w:pStyle w:val="Body"/>
      </w:pPr>
      <w:r w:rsidRPr="00D52AB8">
        <w:t xml:space="preserve">This </w:t>
      </w:r>
      <w:r>
        <w:t xml:space="preserve">judgement </w:t>
      </w:r>
      <w:r w:rsidRPr="00D52AB8">
        <w:t xml:space="preserve">was based on the occurrence of a number of such simple salts on the lists </w:t>
      </w:r>
      <w:r>
        <w:t>in</w:t>
      </w:r>
      <w:r w:rsidR="00E5745F">
        <w:t xml:space="preserve"> </w:t>
      </w:r>
      <w:r w:rsidR="00E5745F">
        <w:fldChar w:fldCharType="begin" w:fldLock="1"/>
      </w:r>
      <w:r w:rsidR="00E5745F">
        <w:instrText xml:space="preserve"> REF _Ref456343331 \h </w:instrText>
      </w:r>
      <w:r w:rsidR="00E5745F">
        <w:fldChar w:fldCharType="separate"/>
      </w:r>
      <w:r w:rsidR="00335E79">
        <w:t xml:space="preserve">Table </w:t>
      </w:r>
      <w:r w:rsidR="00335E79">
        <w:rPr>
          <w:noProof/>
        </w:rPr>
        <w:t>2</w:t>
      </w:r>
      <w:r w:rsidR="00335E79">
        <w:noBreakHyphen/>
      </w:r>
      <w:r w:rsidR="00335E79">
        <w:rPr>
          <w:noProof/>
        </w:rPr>
        <w:t>5</w:t>
      </w:r>
      <w:r w:rsidR="00E5745F">
        <w:fldChar w:fldCharType="end"/>
      </w:r>
      <w:r w:rsidRPr="00A64510">
        <w:t>,</w:t>
      </w:r>
      <w:r w:rsidRPr="00D52AB8">
        <w:t xml:space="preserve"> and the absence of classifications under </w:t>
      </w:r>
      <w:r w:rsidR="003C47A4" w:rsidRPr="00837868">
        <w:t xml:space="preserve">Safework Australia's Hazardous Substances Information System </w:t>
      </w:r>
      <w:r w:rsidR="003C47A4">
        <w:t>(</w:t>
      </w:r>
      <w:r w:rsidRPr="00D52AB8">
        <w:t>HSIS</w:t>
      </w:r>
      <w:r w:rsidR="003C47A4">
        <w:t>)</w:t>
      </w:r>
      <w:r w:rsidRPr="00D52AB8">
        <w:t xml:space="preserve"> for simple salts</w:t>
      </w:r>
      <w:r>
        <w:t>,</w:t>
      </w:r>
      <w:r w:rsidRPr="00D52AB8">
        <w:t xml:space="preserve"> except where these </w:t>
      </w:r>
      <w:r>
        <w:t>were</w:t>
      </w:r>
      <w:r w:rsidRPr="00D52AB8">
        <w:t xml:space="preserve"> classified for local irritant properties relating to acidity, basicity or desiccation.</w:t>
      </w:r>
    </w:p>
    <w:p w14:paraId="5DF5CC7D" w14:textId="77777777" w:rsidR="00A84B61" w:rsidRDefault="00A84B61" w:rsidP="00A64510">
      <w:pPr>
        <w:pStyle w:val="Heading5"/>
      </w:pPr>
      <w:r w:rsidRPr="00396B36">
        <w:t>Hydrates</w:t>
      </w:r>
    </w:p>
    <w:p w14:paraId="39B2C33C" w14:textId="77777777" w:rsidR="00A84B61" w:rsidRDefault="00A84B61" w:rsidP="00A64510">
      <w:pPr>
        <w:pStyle w:val="Body"/>
      </w:pPr>
      <w:r w:rsidRPr="00D52AB8">
        <w:t xml:space="preserve">As hydrates of a substance or hydrated ions are formed by association of a substance with water, the hydrates of chemicals considered as </w:t>
      </w:r>
      <w:r>
        <w:t xml:space="preserve">being of </w:t>
      </w:r>
      <w:r w:rsidRPr="00D52AB8">
        <w:t xml:space="preserve">low concern </w:t>
      </w:r>
      <w:r>
        <w:t>for</w:t>
      </w:r>
      <w:r w:rsidRPr="00D52AB8">
        <w:t xml:space="preserve"> human health are </w:t>
      </w:r>
      <w:r>
        <w:t xml:space="preserve">themselves </w:t>
      </w:r>
      <w:r w:rsidRPr="00D52AB8">
        <w:t xml:space="preserve">also considered as low concern </w:t>
      </w:r>
      <w:r>
        <w:t>for</w:t>
      </w:r>
      <w:r w:rsidRPr="00D52AB8">
        <w:t xml:space="preserve"> human health, as will hydrates where the anhydrous form is ruled out due to desiccation effects.</w:t>
      </w:r>
    </w:p>
    <w:p w14:paraId="19F896E3" w14:textId="77777777" w:rsidR="00A84B61" w:rsidRDefault="00A84B61" w:rsidP="00A64510">
      <w:pPr>
        <w:pStyle w:val="Heading5"/>
      </w:pPr>
      <w:r w:rsidRPr="00396B36">
        <w:t>Naturally</w:t>
      </w:r>
      <w:r>
        <w:t xml:space="preserve"> occurring substances</w:t>
      </w:r>
    </w:p>
    <w:p w14:paraId="70C13DE1" w14:textId="77777777" w:rsidR="00A84B61" w:rsidRPr="00A64510" w:rsidRDefault="00A84B61" w:rsidP="00A64510">
      <w:pPr>
        <w:pStyle w:val="Body"/>
        <w:rPr>
          <w:b/>
          <w:bCs/>
        </w:rPr>
      </w:pPr>
      <w:r>
        <w:t xml:space="preserve">Naturally occurring substances ‒ that is, unprocessed chemicals occurring in the natural environment – for which there are no known toxicological effects, such as nut hulls or wood dust, were also considered as substances or chemicals of low concern for human health. </w:t>
      </w:r>
      <w:r w:rsidRPr="00A64510">
        <w:rPr>
          <w:b/>
          <w:bCs/>
        </w:rPr>
        <w:t xml:space="preserve"> </w:t>
      </w:r>
    </w:p>
    <w:p w14:paraId="406FE284" w14:textId="77777777" w:rsidR="00A84B61" w:rsidRDefault="00A84B61" w:rsidP="00A64510">
      <w:pPr>
        <w:pStyle w:val="Body"/>
      </w:pPr>
      <w:r w:rsidRPr="009C5C8C">
        <w:t xml:space="preserve">However, it should not be assumed that dusts from these substances do not present a hazard to </w:t>
      </w:r>
      <w:r>
        <w:t xml:space="preserve">human </w:t>
      </w:r>
      <w:r w:rsidRPr="009C5C8C">
        <w:t>health. High concentrations of dust in the workplace may cause unpleasant deposition of dust in the ears, eyes and upper respiratory tract. An exposure standard of 10</w:t>
      </w:r>
      <w:r>
        <w:t> </w:t>
      </w:r>
      <w:r w:rsidRPr="009C5C8C">
        <w:t>mg/m</w:t>
      </w:r>
      <w:r w:rsidRPr="002176DE">
        <w:rPr>
          <w:vertAlign w:val="superscript"/>
        </w:rPr>
        <w:t>3</w:t>
      </w:r>
      <w:r w:rsidRPr="009C5C8C">
        <w:t xml:space="preserve">, measured as inhalable dust (8 h time weighted average) has been assigned for such ‘nuisance’ dusts. </w:t>
      </w:r>
      <w:r>
        <w:t>T</w:t>
      </w:r>
      <w:r w:rsidRPr="009C5C8C">
        <w:t xml:space="preserve">his exposure standard for dusts not otherwise classified </w:t>
      </w:r>
      <w:r>
        <w:t xml:space="preserve">is only applicable when </w:t>
      </w:r>
      <w:r w:rsidRPr="009C5C8C">
        <w:t xml:space="preserve">the particulate material </w:t>
      </w:r>
      <w:r>
        <w:t xml:space="preserve">does not </w:t>
      </w:r>
      <w:r w:rsidRPr="009C5C8C">
        <w:t xml:space="preserve">contain other substances </w:t>
      </w:r>
      <w:r>
        <w:t>that</w:t>
      </w:r>
      <w:r w:rsidRPr="009C5C8C">
        <w:t xml:space="preserve"> may be toxic or cause physiological impairment at lower concentrations. In these circumstances, the exposure standard for the more toxic substance should be applied. For example, where a dust contains asbestos or crystalline silica, exposure to the materials should not exceed the appropriate value for these substances</w:t>
      </w:r>
      <w:r>
        <w:t xml:space="preserve"> (</w:t>
      </w:r>
      <w:r w:rsidRPr="009966FF">
        <w:t>Safe Work Australia 2012</w:t>
      </w:r>
      <w:r>
        <w:t>)</w:t>
      </w:r>
      <w:r w:rsidRPr="009C5C8C">
        <w:t xml:space="preserve">. </w:t>
      </w:r>
    </w:p>
    <w:p w14:paraId="1F51AC82" w14:textId="77777777" w:rsidR="00A84B61" w:rsidRPr="00A64510" w:rsidRDefault="00A84B61" w:rsidP="00A64510">
      <w:pPr>
        <w:pStyle w:val="Heading3"/>
        <w:numPr>
          <w:ilvl w:val="3"/>
          <w:numId w:val="1"/>
        </w:numPr>
        <w:rPr>
          <w:rFonts w:eastAsia="Times New Roman"/>
          <w:lang w:eastAsia="en-AU"/>
        </w:rPr>
      </w:pPr>
      <w:bookmarkStart w:id="95" w:name="_Toc351108353"/>
      <w:bookmarkStart w:id="96" w:name="_Toc351554932"/>
      <w:bookmarkStart w:id="97" w:name="_Ref477019525"/>
      <w:bookmarkStart w:id="98" w:name="_Toc494444495"/>
      <w:r w:rsidRPr="00A64510">
        <w:rPr>
          <w:rFonts w:eastAsia="Times New Roman"/>
          <w:lang w:eastAsia="en-AU"/>
        </w:rPr>
        <w:t>Step 6: Validation rules to identify polymers of low concern</w:t>
      </w:r>
      <w:bookmarkEnd w:id="95"/>
      <w:bookmarkEnd w:id="96"/>
      <w:bookmarkEnd w:id="97"/>
      <w:bookmarkEnd w:id="98"/>
    </w:p>
    <w:p w14:paraId="1B53C6CE" w14:textId="77777777" w:rsidR="00A84B61" w:rsidRDefault="00A84B61" w:rsidP="00A64510">
      <w:pPr>
        <w:pStyle w:val="Body"/>
      </w:pPr>
      <w:r>
        <w:t xml:space="preserve">Validation rules developed for discrete chemicals were considered inappropriate to be used for polymers. Therefore, an additional set of validation rules was developed to identify polymers of low concern. Validation for polymers involves a comparison of the polymers to the NICNAS’ New Chemicals Program Polymer of Low Concern (PLC) criteria. </w:t>
      </w:r>
    </w:p>
    <w:p w14:paraId="77FE7C90" w14:textId="77777777" w:rsidR="00A84B61" w:rsidRPr="00A64510" w:rsidRDefault="00A84B61" w:rsidP="00A64510">
      <w:pPr>
        <w:pStyle w:val="Body"/>
      </w:pPr>
      <w:r>
        <w:t xml:space="preserve">The </w:t>
      </w:r>
      <w:r w:rsidRPr="00316E55">
        <w:t xml:space="preserve">PLC criteria used in the NICNAS New Chemicals </w:t>
      </w:r>
      <w:r>
        <w:t>P</w:t>
      </w:r>
      <w:r w:rsidRPr="00316E55">
        <w:t>rogram are based on certain characteristics such as Number Average Molecular Weight (NAMW)</w:t>
      </w:r>
      <w:r>
        <w:t>, proportion of</w:t>
      </w:r>
      <w:r w:rsidRPr="00316E55">
        <w:t xml:space="preserve"> low molecular weight species</w:t>
      </w:r>
      <w:r>
        <w:t>,</w:t>
      </w:r>
      <w:r w:rsidRPr="00316E55">
        <w:t xml:space="preserve"> Functional Group Equivalent Weight (FGEW) for reactive functional groups </w:t>
      </w:r>
      <w:r w:rsidRPr="008879BF">
        <w:t>and the stability of the polymers</w:t>
      </w:r>
      <w:r>
        <w:t xml:space="preserve"> (</w:t>
      </w:r>
      <w:r w:rsidRPr="00761AE7">
        <w:t>NICNAS 2013</w:t>
      </w:r>
      <w:r>
        <w:t>)</w:t>
      </w:r>
      <w:r w:rsidRPr="00316E55">
        <w:t>.</w:t>
      </w:r>
    </w:p>
    <w:p w14:paraId="78FD9533" w14:textId="2A50542D" w:rsidR="00A84B61" w:rsidRDefault="00A84B61" w:rsidP="00A64510">
      <w:pPr>
        <w:pStyle w:val="Body"/>
        <w:rPr>
          <w:rFonts w:asciiTheme="majorHAnsi" w:hAnsiTheme="majorHAnsi"/>
        </w:rPr>
      </w:pPr>
      <w:r w:rsidRPr="00B67648">
        <w:rPr>
          <w:rFonts w:asciiTheme="majorHAnsi" w:hAnsiTheme="majorHAnsi"/>
        </w:rPr>
        <w:t>To apply this validation rule, reactive functional groups (RFGs) are identified in the polymers under consideration. These RFGs are then screened against the RFGs considered to be of low concern as described in the NICNAS Polymer of Low Concern (PLC) criteria. Polymers with RFGs other than those considered of low concern in the PLC criteria were assigned for further assessment by NICNAS (201</w:t>
      </w:r>
      <w:r w:rsidR="00914462">
        <w:rPr>
          <w:rFonts w:asciiTheme="majorHAnsi" w:hAnsiTheme="majorHAnsi"/>
        </w:rPr>
        <w:t>7</w:t>
      </w:r>
      <w:r w:rsidR="001C5F70" w:rsidRPr="00B67648">
        <w:rPr>
          <w:rFonts w:asciiTheme="majorHAnsi" w:hAnsiTheme="majorHAnsi"/>
        </w:rPr>
        <w:t>b</w:t>
      </w:r>
      <w:r w:rsidRPr="00B67648">
        <w:rPr>
          <w:rFonts w:asciiTheme="majorHAnsi" w:hAnsiTheme="majorHAnsi"/>
        </w:rPr>
        <w:t>). The following polymers were identified as being of low concern based on this additional set of validation rules: i) 2-</w:t>
      </w:r>
      <w:r w:rsidR="00C81A13" w:rsidRPr="00B67648">
        <w:rPr>
          <w:rFonts w:asciiTheme="majorHAnsi" w:hAnsiTheme="majorHAnsi"/>
        </w:rPr>
        <w:t xml:space="preserve">propenoic </w:t>
      </w:r>
      <w:r w:rsidRPr="00B67648">
        <w:rPr>
          <w:rFonts w:asciiTheme="majorHAnsi" w:hAnsiTheme="majorHAnsi"/>
        </w:rPr>
        <w:t>acid, methyl ester, polymer with 1,1-dichloroethene, ii) Guar gum, carboxymethyl 2-hydroxypropyl ether, sodium salt, iii) 2-</w:t>
      </w:r>
      <w:r w:rsidR="00C81A13" w:rsidRPr="00B67648">
        <w:rPr>
          <w:rFonts w:asciiTheme="majorHAnsi" w:hAnsiTheme="majorHAnsi"/>
        </w:rPr>
        <w:t>propenamide</w:t>
      </w:r>
      <w:r w:rsidRPr="00B67648">
        <w:rPr>
          <w:rFonts w:asciiTheme="majorHAnsi" w:hAnsiTheme="majorHAnsi"/>
        </w:rPr>
        <w:t>, homopolymer, iv) 2-</w:t>
      </w:r>
      <w:r w:rsidR="00C81A13" w:rsidRPr="00B67648">
        <w:rPr>
          <w:rFonts w:asciiTheme="majorHAnsi" w:hAnsiTheme="majorHAnsi"/>
        </w:rPr>
        <w:t xml:space="preserve">propenoic </w:t>
      </w:r>
      <w:r w:rsidRPr="00B67648">
        <w:rPr>
          <w:rFonts w:asciiTheme="majorHAnsi" w:hAnsiTheme="majorHAnsi"/>
        </w:rPr>
        <w:t xml:space="preserve">acid, polymer with 2-propenamide, v) </w:t>
      </w:r>
      <w:r w:rsidR="00C81A13" w:rsidRPr="00B67648">
        <w:rPr>
          <w:rFonts w:asciiTheme="majorHAnsi" w:hAnsiTheme="majorHAnsi"/>
        </w:rPr>
        <w:t>polyacrylamide</w:t>
      </w:r>
      <w:r w:rsidRPr="00B67648">
        <w:rPr>
          <w:rFonts w:asciiTheme="majorHAnsi" w:hAnsiTheme="majorHAnsi"/>
        </w:rPr>
        <w:t>/polyacrylate copolymer, vi) Polymer I (CBI), and vii) Polymer II (CBI).</w:t>
      </w:r>
    </w:p>
    <w:p w14:paraId="53F0FC28" w14:textId="49795F39" w:rsidR="005C6EC7" w:rsidRDefault="005C6EC7" w:rsidP="009436F6">
      <w:pPr>
        <w:pStyle w:val="Heading3"/>
        <w:spacing w:line="240" w:lineRule="auto"/>
        <w:ind w:left="1072" w:hanging="505"/>
        <w:rPr>
          <w:rFonts w:eastAsia="Times New Roman"/>
          <w:lang w:eastAsia="en-AU"/>
        </w:rPr>
      </w:pPr>
      <w:bookmarkStart w:id="99" w:name="_Toc400981217"/>
      <w:bookmarkStart w:id="100" w:name="_Toc400987106"/>
      <w:bookmarkEnd w:id="99"/>
      <w:bookmarkEnd w:id="100"/>
      <w:r>
        <w:rPr>
          <w:rFonts w:eastAsia="Times New Roman"/>
          <w:lang w:eastAsia="en-AU"/>
        </w:rPr>
        <w:t xml:space="preserve"> </w:t>
      </w:r>
      <w:bookmarkStart w:id="101" w:name="_Ref477019702"/>
      <w:bookmarkStart w:id="102" w:name="_Toc494444496"/>
      <w:r>
        <w:rPr>
          <w:rFonts w:eastAsia="Times New Roman"/>
          <w:lang w:eastAsia="en-AU"/>
        </w:rPr>
        <w:t xml:space="preserve">Chemicals </w:t>
      </w:r>
      <w:r w:rsidR="00D20C5A">
        <w:rPr>
          <w:rFonts w:eastAsia="Times New Roman"/>
          <w:lang w:eastAsia="en-AU"/>
        </w:rPr>
        <w:t xml:space="preserve">of low concern for the environment </w:t>
      </w:r>
      <w:r>
        <w:rPr>
          <w:rFonts w:eastAsia="Times New Roman"/>
          <w:lang w:eastAsia="en-AU"/>
        </w:rPr>
        <w:t>per the National Chemicals Assessment</w:t>
      </w:r>
      <w:bookmarkEnd w:id="101"/>
      <w:bookmarkEnd w:id="102"/>
      <w:r w:rsidR="00A84B61" w:rsidRPr="00B7030F">
        <w:rPr>
          <w:rFonts w:eastAsia="Times New Roman"/>
          <w:lang w:eastAsia="en-AU"/>
        </w:rPr>
        <w:t xml:space="preserve"> </w:t>
      </w:r>
    </w:p>
    <w:p w14:paraId="733DA65C" w14:textId="6050A621" w:rsidR="008F48F4" w:rsidRPr="008F48F4" w:rsidRDefault="008F48F4" w:rsidP="008F48F4">
      <w:pPr>
        <w:pStyle w:val="Body"/>
        <w:rPr>
          <w:rFonts w:asciiTheme="majorHAnsi" w:hAnsiTheme="majorHAnsi"/>
        </w:rPr>
      </w:pPr>
      <w:r w:rsidRPr="008F48F4">
        <w:rPr>
          <w:rFonts w:asciiTheme="majorHAnsi" w:hAnsiTheme="majorHAnsi"/>
        </w:rPr>
        <w:t>The approaches used for the</w:t>
      </w:r>
      <w:r>
        <w:rPr>
          <w:rFonts w:asciiTheme="majorHAnsi" w:hAnsiTheme="majorHAnsi"/>
        </w:rPr>
        <w:t xml:space="preserve"> environmental</w:t>
      </w:r>
      <w:r w:rsidRPr="008F48F4">
        <w:rPr>
          <w:rFonts w:asciiTheme="majorHAnsi" w:hAnsiTheme="majorHAnsi"/>
        </w:rPr>
        <w:t xml:space="preserve"> assessments </w:t>
      </w:r>
      <w:r>
        <w:rPr>
          <w:rFonts w:asciiTheme="majorHAnsi" w:hAnsiTheme="majorHAnsi"/>
        </w:rPr>
        <w:t>include a quantitative (deterministic) and qualitative approach</w:t>
      </w:r>
      <w:r w:rsidR="00061522">
        <w:rPr>
          <w:rFonts w:asciiTheme="majorHAnsi" w:hAnsiTheme="majorHAnsi"/>
        </w:rPr>
        <w:t xml:space="preserve"> (DoEE, 2017b)</w:t>
      </w:r>
      <w:r>
        <w:rPr>
          <w:rFonts w:asciiTheme="majorHAnsi" w:hAnsiTheme="majorHAnsi"/>
        </w:rPr>
        <w:t>:</w:t>
      </w:r>
    </w:p>
    <w:p w14:paraId="1F23FBC1" w14:textId="51EECF0F" w:rsidR="008F48F4" w:rsidRPr="008F48F4" w:rsidRDefault="008F48F4" w:rsidP="008F48F4">
      <w:pPr>
        <w:pStyle w:val="Body"/>
        <w:numPr>
          <w:ilvl w:val="0"/>
          <w:numId w:val="51"/>
        </w:numPr>
        <w:rPr>
          <w:rFonts w:asciiTheme="majorHAnsi" w:hAnsiTheme="majorHAnsi"/>
        </w:rPr>
      </w:pPr>
      <w:r w:rsidRPr="008F48F4">
        <w:rPr>
          <w:rFonts w:asciiTheme="majorHAnsi" w:hAnsiTheme="majorHAnsi"/>
        </w:rPr>
        <w:t xml:space="preserve">A </w:t>
      </w:r>
      <w:r w:rsidR="00EE01FD" w:rsidRPr="008F48F4">
        <w:rPr>
          <w:rFonts w:asciiTheme="majorHAnsi" w:hAnsiTheme="majorHAnsi"/>
        </w:rPr>
        <w:t xml:space="preserve">quantitative </w:t>
      </w:r>
      <w:r w:rsidR="00EE01FD">
        <w:rPr>
          <w:rFonts w:asciiTheme="majorHAnsi" w:hAnsiTheme="majorHAnsi"/>
        </w:rPr>
        <w:t>(</w:t>
      </w:r>
      <w:r w:rsidRPr="008F48F4">
        <w:rPr>
          <w:rFonts w:asciiTheme="majorHAnsi" w:hAnsiTheme="majorHAnsi"/>
        </w:rPr>
        <w:t xml:space="preserve">deterministic) approach was developed to assess chemicals for which sufficient physico-chemical data </w:t>
      </w:r>
      <w:r w:rsidR="00456710">
        <w:rPr>
          <w:rFonts w:asciiTheme="majorHAnsi" w:hAnsiTheme="majorHAnsi"/>
        </w:rPr>
        <w:t>is</w:t>
      </w:r>
      <w:r w:rsidRPr="008F48F4">
        <w:rPr>
          <w:rFonts w:asciiTheme="majorHAnsi" w:hAnsiTheme="majorHAnsi"/>
        </w:rPr>
        <w:t xml:space="preserve"> available to allow for modelling and calculations of the predicted environmental concentrations that might occur as a result of release of the chemical under a variety of scenarios.</w:t>
      </w:r>
    </w:p>
    <w:p w14:paraId="427DD6FB" w14:textId="72516324" w:rsidR="008F48F4" w:rsidRPr="008F48F4" w:rsidRDefault="008F48F4" w:rsidP="008F48F4">
      <w:pPr>
        <w:pStyle w:val="Body"/>
        <w:numPr>
          <w:ilvl w:val="0"/>
          <w:numId w:val="51"/>
        </w:numPr>
        <w:rPr>
          <w:rFonts w:asciiTheme="majorHAnsi" w:hAnsiTheme="majorHAnsi"/>
        </w:rPr>
      </w:pPr>
      <w:r w:rsidRPr="008F48F4">
        <w:rPr>
          <w:rFonts w:asciiTheme="majorHAnsi" w:hAnsiTheme="majorHAnsi"/>
        </w:rPr>
        <w:t xml:space="preserve">A qualitative assessment approach, based on expert judgement and weight of evidence, </w:t>
      </w:r>
      <w:r w:rsidR="00456710">
        <w:rPr>
          <w:rFonts w:asciiTheme="majorHAnsi" w:hAnsiTheme="majorHAnsi"/>
        </w:rPr>
        <w:t>may be</w:t>
      </w:r>
      <w:r w:rsidRPr="008F48F4">
        <w:rPr>
          <w:rFonts w:asciiTheme="majorHAnsi" w:hAnsiTheme="majorHAnsi"/>
        </w:rPr>
        <w:t xml:space="preserve"> used for the risk assessment of </w:t>
      </w:r>
      <w:r w:rsidR="00456710">
        <w:rPr>
          <w:rFonts w:asciiTheme="majorHAnsi" w:hAnsiTheme="majorHAnsi"/>
        </w:rPr>
        <w:t>those</w:t>
      </w:r>
      <w:r w:rsidRPr="008F48F4">
        <w:rPr>
          <w:rFonts w:asciiTheme="majorHAnsi" w:hAnsiTheme="majorHAnsi"/>
        </w:rPr>
        <w:t xml:space="preserve"> chemicals for which insufficient data </w:t>
      </w:r>
      <w:r w:rsidR="00456710">
        <w:rPr>
          <w:rFonts w:asciiTheme="majorHAnsi" w:hAnsiTheme="majorHAnsi"/>
        </w:rPr>
        <w:t>i</w:t>
      </w:r>
      <w:r w:rsidRPr="008F48F4">
        <w:rPr>
          <w:rFonts w:asciiTheme="majorHAnsi" w:hAnsiTheme="majorHAnsi"/>
        </w:rPr>
        <w:t>s available for quantitative calculations.</w:t>
      </w:r>
    </w:p>
    <w:p w14:paraId="4C876C7C" w14:textId="2B438F58" w:rsidR="00DB707E" w:rsidRDefault="00DB707E" w:rsidP="00DB707E">
      <w:pPr>
        <w:pStyle w:val="Body"/>
      </w:pPr>
      <w:r w:rsidRPr="00104807">
        <w:t xml:space="preserve">The </w:t>
      </w:r>
      <w:r w:rsidR="007E42BB">
        <w:t>quantitative</w:t>
      </w:r>
      <w:r>
        <w:t xml:space="preserve"> and qualitative </w:t>
      </w:r>
      <w:r w:rsidRPr="00104807">
        <w:t xml:space="preserve">methods </w:t>
      </w:r>
      <w:r>
        <w:t>conform</w:t>
      </w:r>
      <w:r w:rsidRPr="00104807">
        <w:t xml:space="preserve"> to Australia’s national environmental risk assessment guidance manual (</w:t>
      </w:r>
      <w:r>
        <w:t>EPHC 2009a</w:t>
      </w:r>
      <w:r w:rsidRPr="00104807">
        <w:t>) and were informed by the principles outlined in O</w:t>
      </w:r>
      <w:r>
        <w:t xml:space="preserve">rganisation for </w:t>
      </w:r>
      <w:r w:rsidRPr="00104807">
        <w:t>E</w:t>
      </w:r>
      <w:r>
        <w:t xml:space="preserve">conomic </w:t>
      </w:r>
      <w:r w:rsidRPr="00104807">
        <w:t>C</w:t>
      </w:r>
      <w:r>
        <w:t xml:space="preserve">o-operation and </w:t>
      </w:r>
      <w:r w:rsidRPr="00104807">
        <w:t>D</w:t>
      </w:r>
      <w:r>
        <w:t>evelopment [OECD </w:t>
      </w:r>
      <w:r w:rsidRPr="00104807">
        <w:t>(2014)</w:t>
      </w:r>
      <w:r>
        <w:t>]</w:t>
      </w:r>
      <w:r w:rsidRPr="00104807">
        <w:t xml:space="preserve"> and the US Environmental Protection Agency’s </w:t>
      </w:r>
      <w:r w:rsidRPr="00F300BA">
        <w:rPr>
          <w:i/>
        </w:rPr>
        <w:t>Framework for ecological risk assessment</w:t>
      </w:r>
      <w:r w:rsidRPr="00104807">
        <w:t xml:space="preserve"> (US</w:t>
      </w:r>
      <w:r>
        <w:t> </w:t>
      </w:r>
      <w:r w:rsidRPr="00104807">
        <w:t>EPA</w:t>
      </w:r>
      <w:r>
        <w:t> </w:t>
      </w:r>
      <w:r w:rsidRPr="00104807">
        <w:t>2014b). The US EPA Framework is based on principles described in a series of publications from the US National Research Council on scientific risk assessment methods (US</w:t>
      </w:r>
      <w:r>
        <w:t> </w:t>
      </w:r>
      <w:r w:rsidRPr="00104807">
        <w:t>NRC</w:t>
      </w:r>
      <w:r>
        <w:t> </w:t>
      </w:r>
      <w:r w:rsidRPr="00104807">
        <w:t>1983</w:t>
      </w:r>
      <w:r>
        <w:t xml:space="preserve">; </w:t>
      </w:r>
      <w:r w:rsidRPr="00104807">
        <w:t>US</w:t>
      </w:r>
      <w:r>
        <w:t> </w:t>
      </w:r>
      <w:r w:rsidRPr="00104807">
        <w:t>NRC</w:t>
      </w:r>
      <w:r>
        <w:t> </w:t>
      </w:r>
      <w:r w:rsidRPr="00104807">
        <w:t>1994</w:t>
      </w:r>
      <w:r>
        <w:t>;</w:t>
      </w:r>
      <w:r w:rsidRPr="00104807">
        <w:t xml:space="preserve"> </w:t>
      </w:r>
      <w:r w:rsidRPr="00F300BA">
        <w:t>US</w:t>
      </w:r>
      <w:r>
        <w:t> </w:t>
      </w:r>
      <w:r w:rsidRPr="00F300BA">
        <w:t>NRC</w:t>
      </w:r>
      <w:r>
        <w:t> </w:t>
      </w:r>
      <w:r w:rsidRPr="00104807">
        <w:t>2009).</w:t>
      </w:r>
    </w:p>
    <w:p w14:paraId="54DDA072" w14:textId="7B3B9CCA" w:rsidR="008F48F4" w:rsidRPr="008F48F4" w:rsidRDefault="00061522" w:rsidP="008F48F4">
      <w:pPr>
        <w:pStyle w:val="Heading3"/>
        <w:numPr>
          <w:ilvl w:val="3"/>
          <w:numId w:val="1"/>
        </w:numPr>
        <w:spacing w:line="240" w:lineRule="auto"/>
        <w:rPr>
          <w:rFonts w:eastAsia="Times New Roman"/>
          <w:lang w:eastAsia="en-AU"/>
        </w:rPr>
      </w:pPr>
      <w:bookmarkStart w:id="103" w:name="_Toc494444497"/>
      <w:r>
        <w:rPr>
          <w:rFonts w:eastAsia="Times New Roman"/>
          <w:lang w:eastAsia="en-AU"/>
        </w:rPr>
        <w:t>Quantitative a</w:t>
      </w:r>
      <w:r w:rsidR="008F48F4">
        <w:rPr>
          <w:rFonts w:eastAsia="Times New Roman"/>
          <w:lang w:eastAsia="en-AU"/>
        </w:rPr>
        <w:t xml:space="preserve">ssessment </w:t>
      </w:r>
      <w:r w:rsidR="008F48F4" w:rsidRPr="008F48F4">
        <w:rPr>
          <w:rFonts w:eastAsia="Times New Roman"/>
          <w:lang w:eastAsia="en-AU"/>
        </w:rPr>
        <w:t>approach</w:t>
      </w:r>
      <w:bookmarkEnd w:id="103"/>
    </w:p>
    <w:p w14:paraId="52C3A39A" w14:textId="77777777" w:rsidR="00DB707E" w:rsidRDefault="000F353D" w:rsidP="009B0BD2">
      <w:pPr>
        <w:pStyle w:val="Body"/>
        <w:rPr>
          <w:rFonts w:asciiTheme="majorHAnsi" w:hAnsiTheme="majorHAnsi"/>
          <w:lang w:val="en-US"/>
        </w:rPr>
      </w:pPr>
      <w:r>
        <w:t xml:space="preserve">When sufficient physico-chemical data is available to allow for modelling and calculations of the predicted environmental concentrations that might occur as a result of release of the chemical, </w:t>
      </w:r>
      <w:r w:rsidR="00857148">
        <w:t xml:space="preserve">and </w:t>
      </w:r>
      <w:r w:rsidR="009E79D3">
        <w:t xml:space="preserve">suitable </w:t>
      </w:r>
      <w:r w:rsidR="00857148">
        <w:t xml:space="preserve">ecotoxicological data is also available, </w:t>
      </w:r>
      <w:r>
        <w:t>a quantitative environmental risk assessment can be undertaken.</w:t>
      </w:r>
      <w:r w:rsidR="003D3787">
        <w:t xml:space="preserve"> </w:t>
      </w:r>
      <w:r w:rsidR="001128EE">
        <w:rPr>
          <w:rFonts w:asciiTheme="majorHAnsi" w:hAnsiTheme="majorHAnsi"/>
        </w:rPr>
        <w:t xml:space="preserve">The </w:t>
      </w:r>
      <w:r w:rsidR="003D3787">
        <w:rPr>
          <w:rFonts w:asciiTheme="majorHAnsi" w:hAnsiTheme="majorHAnsi"/>
        </w:rPr>
        <w:t xml:space="preserve">quantitative </w:t>
      </w:r>
      <w:r w:rsidR="001128EE">
        <w:rPr>
          <w:rFonts w:asciiTheme="majorHAnsi" w:hAnsiTheme="majorHAnsi"/>
        </w:rPr>
        <w:t>environmental risk assessment undertaken as part of the</w:t>
      </w:r>
      <w:r w:rsidR="001128EE" w:rsidRPr="001128EE">
        <w:rPr>
          <w:rFonts w:asciiTheme="majorHAnsi" w:hAnsiTheme="majorHAnsi"/>
        </w:rPr>
        <w:t xml:space="preserve"> </w:t>
      </w:r>
      <w:r w:rsidR="001128EE">
        <w:rPr>
          <w:rFonts w:asciiTheme="majorHAnsi" w:hAnsiTheme="majorHAnsi"/>
        </w:rPr>
        <w:t>National Chemicals Assessment uses</w:t>
      </w:r>
      <w:r w:rsidR="001128EE" w:rsidRPr="001128EE">
        <w:rPr>
          <w:rFonts w:asciiTheme="majorHAnsi" w:hAnsiTheme="majorHAnsi"/>
        </w:rPr>
        <w:t xml:space="preserve"> the risk classification (i.e. the characterisation of the RQ) for each chemical in accordance with the principle outlined by</w:t>
      </w:r>
      <w:r w:rsidR="001128EE" w:rsidRPr="001128EE">
        <w:rPr>
          <w:rFonts w:asciiTheme="majorHAnsi" w:hAnsiTheme="majorHAnsi"/>
          <w:lang w:val="en-US"/>
        </w:rPr>
        <w:t xml:space="preserve"> EPHC (2009</w:t>
      </w:r>
      <w:r w:rsidR="00BA603B">
        <w:rPr>
          <w:rFonts w:asciiTheme="majorHAnsi" w:hAnsiTheme="majorHAnsi"/>
          <w:lang w:val="en-US"/>
        </w:rPr>
        <w:t>a</w:t>
      </w:r>
      <w:r w:rsidR="001128EE" w:rsidRPr="001128EE">
        <w:rPr>
          <w:rFonts w:asciiTheme="majorHAnsi" w:hAnsiTheme="majorHAnsi"/>
          <w:lang w:val="en-US"/>
        </w:rPr>
        <w:t>) and A</w:t>
      </w:r>
      <w:r w:rsidR="00C81A13">
        <w:rPr>
          <w:rFonts w:asciiTheme="majorHAnsi" w:hAnsiTheme="majorHAnsi"/>
          <w:lang w:val="en-US"/>
        </w:rPr>
        <w:t>NZECC/ARMCANZ</w:t>
      </w:r>
      <w:r w:rsidR="001128EE" w:rsidRPr="001128EE">
        <w:rPr>
          <w:rFonts w:asciiTheme="majorHAnsi" w:hAnsiTheme="majorHAnsi"/>
          <w:lang w:val="en-US"/>
        </w:rPr>
        <w:t xml:space="preserve"> (2000) guidelines</w:t>
      </w:r>
      <w:r w:rsidR="00DB707E">
        <w:rPr>
          <w:rFonts w:asciiTheme="majorHAnsi" w:hAnsiTheme="majorHAnsi"/>
          <w:lang w:val="en-US"/>
        </w:rPr>
        <w:t>.</w:t>
      </w:r>
    </w:p>
    <w:p w14:paraId="7E198CE8" w14:textId="1B410BAE" w:rsidR="00DB707E" w:rsidRDefault="00DB707E" w:rsidP="00DB707E">
      <w:pPr>
        <w:pStyle w:val="Body"/>
      </w:pPr>
      <w:r>
        <w:t>The deterministic assessment approach includes four main stages (DoEE 2017b):</w:t>
      </w:r>
    </w:p>
    <w:p w14:paraId="353F89EE" w14:textId="77777777" w:rsidR="00DB707E" w:rsidRDefault="00DB707E" w:rsidP="00DB707E">
      <w:pPr>
        <w:pStyle w:val="Body"/>
        <w:numPr>
          <w:ilvl w:val="0"/>
          <w:numId w:val="96"/>
        </w:numPr>
      </w:pPr>
      <w:r>
        <w:t xml:space="preserve">Stage 1: problem formulation ‒ identification of appropriate environmental compartments </w:t>
      </w:r>
    </w:p>
    <w:p w14:paraId="619B4DCB" w14:textId="77777777" w:rsidR="00DB707E" w:rsidRDefault="00DB707E" w:rsidP="00DB707E">
      <w:pPr>
        <w:pStyle w:val="Body"/>
        <w:numPr>
          <w:ilvl w:val="0"/>
          <w:numId w:val="96"/>
        </w:numPr>
      </w:pPr>
      <w:r>
        <w:t>Stage 2: hazard and effects characterisation ‒ characterises the ecotoxicity of chemicals based on available data;</w:t>
      </w:r>
      <w:r w:rsidRPr="00DB707E">
        <w:t xml:space="preserve"> </w:t>
      </w:r>
      <w:r>
        <w:t>calculate a predicted no effect concentration (PNEC) for the organism most sensitive to the chemical under consideration.</w:t>
      </w:r>
    </w:p>
    <w:p w14:paraId="1E0458E3" w14:textId="77777777" w:rsidR="00DB707E" w:rsidRDefault="00DB707E" w:rsidP="00DB707E">
      <w:pPr>
        <w:pStyle w:val="Body"/>
        <w:numPr>
          <w:ilvl w:val="0"/>
          <w:numId w:val="96"/>
        </w:numPr>
      </w:pPr>
      <w:r>
        <w:t>Stage 3: exposure characterisation ‒ characterises the potential exposure of environmental receptors (such as an aquatic ecosystem) to a chemical if it is released into the environment.</w:t>
      </w:r>
      <w:r w:rsidRPr="00DB707E">
        <w:t xml:space="preserve"> </w:t>
      </w:r>
      <w:r>
        <w:t>Use mathematical models are used to calculate the predicted environmental concentration (PEC) of the chemical in the relevant compartment. The scenarios under which chemicals may be released to surface environments by coal seam gas activities in Australia were investigated using a tiered process</w:t>
      </w:r>
      <w:r w:rsidRPr="000C0490">
        <w:t xml:space="preserve"> whereby the values used for modelling evolve from standard conservative values to more </w:t>
      </w:r>
      <w:r>
        <w:t>realistic</w:t>
      </w:r>
      <w:r w:rsidRPr="000C0490">
        <w:t xml:space="preserve"> values</w:t>
      </w:r>
      <w:r>
        <w:t>.</w:t>
      </w:r>
    </w:p>
    <w:p w14:paraId="27D2C4C6" w14:textId="77777777" w:rsidR="00DB707E" w:rsidRDefault="00DB707E" w:rsidP="00DB707E">
      <w:pPr>
        <w:pStyle w:val="Body"/>
        <w:numPr>
          <w:ilvl w:val="0"/>
          <w:numId w:val="96"/>
        </w:numPr>
      </w:pPr>
      <w:r>
        <w:t>Stage 4: risk characterisation ‒ quantifies and describes the environmental risk of a chemical used under specified scenarios. The PEC is compared with the PNEC to calculate a risk quotient RQ.</w:t>
      </w:r>
    </w:p>
    <w:p w14:paraId="5A787B1B" w14:textId="77777777" w:rsidR="00DB707E" w:rsidRDefault="00DB707E" w:rsidP="00DB707E">
      <w:pPr>
        <w:pStyle w:val="Body"/>
      </w:pPr>
      <w:r>
        <w:t xml:space="preserve">The classifications of risk for each chemical or chemical group assessed are: </w:t>
      </w:r>
    </w:p>
    <w:p w14:paraId="0FA322B4" w14:textId="0BAD4228" w:rsidR="001128EE" w:rsidRPr="001128EE" w:rsidRDefault="001128EE" w:rsidP="00943534">
      <w:pPr>
        <w:pStyle w:val="OWSbulletL1"/>
        <w:numPr>
          <w:ilvl w:val="0"/>
          <w:numId w:val="59"/>
        </w:numPr>
        <w:rPr>
          <w:rFonts w:asciiTheme="majorHAnsi" w:hAnsiTheme="majorHAnsi"/>
          <w:sz w:val="18"/>
          <w:szCs w:val="18"/>
        </w:rPr>
      </w:pPr>
      <w:r w:rsidRPr="001128EE">
        <w:rPr>
          <w:rFonts w:asciiTheme="majorHAnsi" w:hAnsiTheme="majorHAnsi"/>
          <w:sz w:val="18"/>
          <w:szCs w:val="18"/>
        </w:rPr>
        <w:t>Chemicals with RQ &lt; 1</w:t>
      </w:r>
      <w:r w:rsidR="00C71C74">
        <w:rPr>
          <w:rFonts w:asciiTheme="majorHAnsi" w:hAnsiTheme="majorHAnsi"/>
          <w:sz w:val="18"/>
          <w:szCs w:val="18"/>
        </w:rPr>
        <w:t xml:space="preserve"> are</w:t>
      </w:r>
      <w:r w:rsidRPr="001128EE">
        <w:rPr>
          <w:rFonts w:asciiTheme="majorHAnsi" w:hAnsiTheme="majorHAnsi"/>
          <w:sz w:val="18"/>
          <w:szCs w:val="18"/>
        </w:rPr>
        <w:t> </w:t>
      </w:r>
      <w:r w:rsidR="00C71C74">
        <w:rPr>
          <w:rFonts w:asciiTheme="majorHAnsi" w:hAnsiTheme="majorHAnsi"/>
          <w:sz w:val="18"/>
          <w:szCs w:val="18"/>
        </w:rPr>
        <w:t>of “low concern”, i.e. they are</w:t>
      </w:r>
      <w:r w:rsidRPr="001128EE">
        <w:rPr>
          <w:rFonts w:asciiTheme="majorHAnsi" w:hAnsiTheme="majorHAnsi"/>
          <w:sz w:val="18"/>
          <w:szCs w:val="18"/>
        </w:rPr>
        <w:t xml:space="preserve"> unlikely to have adverse environmental impacts if used in accordance with the assessment scenarios</w:t>
      </w:r>
      <w:r w:rsidR="00C71C74">
        <w:rPr>
          <w:rFonts w:asciiTheme="majorHAnsi" w:hAnsiTheme="majorHAnsi"/>
          <w:sz w:val="18"/>
          <w:szCs w:val="18"/>
        </w:rPr>
        <w:t>,</w:t>
      </w:r>
    </w:p>
    <w:p w14:paraId="007702D3" w14:textId="31085FC3" w:rsidR="001128EE" w:rsidRPr="001128EE" w:rsidRDefault="001128EE" w:rsidP="00943534">
      <w:pPr>
        <w:pStyle w:val="OWSbulletL1"/>
        <w:numPr>
          <w:ilvl w:val="0"/>
          <w:numId w:val="59"/>
        </w:numPr>
        <w:rPr>
          <w:rFonts w:asciiTheme="majorHAnsi" w:hAnsiTheme="majorHAnsi"/>
          <w:sz w:val="18"/>
          <w:szCs w:val="18"/>
        </w:rPr>
      </w:pPr>
      <w:r w:rsidRPr="001128EE">
        <w:rPr>
          <w:rFonts w:asciiTheme="majorHAnsi" w:hAnsiTheme="majorHAnsi"/>
          <w:sz w:val="18"/>
          <w:szCs w:val="18"/>
        </w:rPr>
        <w:t xml:space="preserve">Chemicals with ≥ 1 </w:t>
      </w:r>
      <w:r w:rsidR="00C71C74" w:rsidRPr="001128EE">
        <w:rPr>
          <w:rFonts w:asciiTheme="majorHAnsi" w:hAnsiTheme="majorHAnsi"/>
          <w:sz w:val="18"/>
          <w:szCs w:val="18"/>
        </w:rPr>
        <w:t xml:space="preserve">RQ </w:t>
      </w:r>
      <w:r w:rsidRPr="001128EE">
        <w:rPr>
          <w:rFonts w:asciiTheme="majorHAnsi" w:hAnsiTheme="majorHAnsi"/>
          <w:sz w:val="18"/>
          <w:szCs w:val="18"/>
        </w:rPr>
        <w:t>&lt; 10</w:t>
      </w:r>
      <w:r w:rsidR="00C71C74">
        <w:rPr>
          <w:rFonts w:asciiTheme="majorHAnsi" w:hAnsiTheme="majorHAnsi"/>
          <w:sz w:val="18"/>
          <w:szCs w:val="18"/>
        </w:rPr>
        <w:t xml:space="preserve"> are of “potential concern”, i.e. </w:t>
      </w:r>
      <w:r w:rsidRPr="001128EE">
        <w:rPr>
          <w:rFonts w:asciiTheme="majorHAnsi" w:hAnsiTheme="majorHAnsi"/>
          <w:sz w:val="18"/>
          <w:szCs w:val="18"/>
        </w:rPr>
        <w:t>further risk mitigation measures may be required if the chemical is used</w:t>
      </w:r>
      <w:r w:rsidR="00C71C74">
        <w:rPr>
          <w:rFonts w:asciiTheme="majorHAnsi" w:hAnsiTheme="majorHAnsi"/>
          <w:sz w:val="18"/>
          <w:szCs w:val="18"/>
        </w:rPr>
        <w:t>,</w:t>
      </w:r>
      <w:r w:rsidRPr="001128EE">
        <w:rPr>
          <w:rFonts w:asciiTheme="majorHAnsi" w:hAnsiTheme="majorHAnsi"/>
          <w:sz w:val="18"/>
          <w:szCs w:val="18"/>
        </w:rPr>
        <w:t xml:space="preserve"> </w:t>
      </w:r>
    </w:p>
    <w:p w14:paraId="70B40B4D" w14:textId="224A9E4C" w:rsidR="001128EE" w:rsidRPr="001128EE" w:rsidRDefault="001128EE" w:rsidP="00943534">
      <w:pPr>
        <w:pStyle w:val="OWSbulletL1"/>
        <w:numPr>
          <w:ilvl w:val="0"/>
          <w:numId w:val="59"/>
        </w:numPr>
        <w:rPr>
          <w:rFonts w:asciiTheme="majorHAnsi" w:hAnsiTheme="majorHAnsi"/>
          <w:sz w:val="18"/>
          <w:szCs w:val="18"/>
        </w:rPr>
      </w:pPr>
      <w:r w:rsidRPr="001128EE">
        <w:rPr>
          <w:rFonts w:asciiTheme="majorHAnsi" w:hAnsiTheme="majorHAnsi"/>
          <w:sz w:val="18"/>
          <w:szCs w:val="18"/>
        </w:rPr>
        <w:t>Chemicals with RQ ≥ 10</w:t>
      </w:r>
      <w:r w:rsidR="00C71C74">
        <w:rPr>
          <w:rFonts w:asciiTheme="majorHAnsi" w:hAnsiTheme="majorHAnsi"/>
          <w:sz w:val="18"/>
          <w:szCs w:val="18"/>
        </w:rPr>
        <w:t xml:space="preserve"> are</w:t>
      </w:r>
      <w:r w:rsidRPr="001128EE">
        <w:rPr>
          <w:rFonts w:asciiTheme="majorHAnsi" w:hAnsiTheme="majorHAnsi"/>
          <w:sz w:val="18"/>
          <w:szCs w:val="18"/>
        </w:rPr>
        <w:t xml:space="preserve"> of ‘potentially high concern’</w:t>
      </w:r>
      <w:r w:rsidR="00C71C74">
        <w:rPr>
          <w:rFonts w:asciiTheme="majorHAnsi" w:hAnsiTheme="majorHAnsi"/>
          <w:sz w:val="18"/>
          <w:szCs w:val="18"/>
        </w:rPr>
        <w:t>, i.e.</w:t>
      </w:r>
      <w:r w:rsidRPr="001128EE">
        <w:rPr>
          <w:rFonts w:asciiTheme="majorHAnsi" w:hAnsiTheme="majorHAnsi"/>
          <w:sz w:val="18"/>
          <w:szCs w:val="18"/>
        </w:rPr>
        <w:t xml:space="preserve"> further risk mitigation measures are likely to be required if the chemical is used.</w:t>
      </w:r>
    </w:p>
    <w:p w14:paraId="0C0EAFBC" w14:textId="66BA04A8" w:rsidR="005C6EC7" w:rsidRPr="00CD3A2C" w:rsidRDefault="001128EE" w:rsidP="009B0BD2">
      <w:pPr>
        <w:pStyle w:val="Body"/>
        <w:rPr>
          <w:rFonts w:asciiTheme="majorHAnsi" w:hAnsiTheme="majorHAnsi"/>
        </w:rPr>
      </w:pPr>
      <w:r w:rsidRPr="001128EE">
        <w:rPr>
          <w:rFonts w:asciiTheme="majorHAnsi" w:hAnsiTheme="majorHAnsi"/>
        </w:rPr>
        <w:t xml:space="preserve">Where </w:t>
      </w:r>
      <w:r w:rsidR="00C71C74">
        <w:rPr>
          <w:rFonts w:asciiTheme="majorHAnsi" w:hAnsiTheme="majorHAnsi"/>
        </w:rPr>
        <w:t xml:space="preserve">the National Chemicals Assessment </w:t>
      </w:r>
      <w:r w:rsidRPr="001128EE">
        <w:rPr>
          <w:rFonts w:asciiTheme="majorHAnsi" w:hAnsiTheme="majorHAnsi"/>
        </w:rPr>
        <w:t xml:space="preserve">screened out </w:t>
      </w:r>
      <w:r w:rsidR="00C71C74">
        <w:rPr>
          <w:rFonts w:asciiTheme="majorHAnsi" w:hAnsiTheme="majorHAnsi"/>
        </w:rPr>
        <w:t xml:space="preserve">chemicals </w:t>
      </w:r>
      <w:r w:rsidRPr="001128EE">
        <w:rPr>
          <w:rFonts w:asciiTheme="majorHAnsi" w:hAnsiTheme="majorHAnsi"/>
        </w:rPr>
        <w:t xml:space="preserve">at Tier 1 (RQ &lt; 1), </w:t>
      </w:r>
      <w:r w:rsidR="00C71C74">
        <w:rPr>
          <w:rFonts w:asciiTheme="majorHAnsi" w:hAnsiTheme="majorHAnsi"/>
        </w:rPr>
        <w:t>the chemical</w:t>
      </w:r>
      <w:r w:rsidRPr="001128EE">
        <w:rPr>
          <w:rFonts w:asciiTheme="majorHAnsi" w:hAnsiTheme="majorHAnsi"/>
        </w:rPr>
        <w:t xml:space="preserve"> is considered to be of low concern for the particular scenario assessed and not requiring further assessment. The Tier 1 assessment is conservative by design (e.g. </w:t>
      </w:r>
      <w:r w:rsidRPr="00C71C74">
        <w:rPr>
          <w:rFonts w:asciiTheme="majorHAnsi" w:hAnsiTheme="majorHAnsi"/>
        </w:rPr>
        <w:t>uses bounding estimate values,</w:t>
      </w:r>
      <w:r w:rsidRPr="001128EE">
        <w:rPr>
          <w:rFonts w:asciiTheme="majorHAnsi" w:hAnsiTheme="majorHAnsi"/>
        </w:rPr>
        <w:t xml:space="preserve"> and assumes that the coal seam gas working site is anywhere in Australia). Chemicals presenting a potential concern (RQ ≥ 1) proceed to </w:t>
      </w:r>
      <w:r w:rsidR="0072049E">
        <w:rPr>
          <w:rFonts w:asciiTheme="majorHAnsi" w:hAnsiTheme="majorHAnsi"/>
        </w:rPr>
        <w:t xml:space="preserve">a </w:t>
      </w:r>
      <w:r w:rsidRPr="001128EE">
        <w:rPr>
          <w:rFonts w:asciiTheme="majorHAnsi" w:hAnsiTheme="majorHAnsi"/>
        </w:rPr>
        <w:t xml:space="preserve">Tier </w:t>
      </w:r>
      <w:r w:rsidRPr="004F28A8">
        <w:rPr>
          <w:rFonts w:asciiTheme="majorHAnsi" w:hAnsiTheme="majorHAnsi"/>
          <w:color w:val="000000" w:themeColor="text1"/>
        </w:rPr>
        <w:t>2 assessment</w:t>
      </w:r>
      <w:r w:rsidR="0072049E" w:rsidRPr="004F28A8">
        <w:rPr>
          <w:rFonts w:asciiTheme="majorHAnsi" w:hAnsiTheme="majorHAnsi"/>
          <w:color w:val="000000" w:themeColor="text1"/>
        </w:rPr>
        <w:t xml:space="preserve"> (DoE</w:t>
      </w:r>
      <w:r w:rsidR="00527149" w:rsidRPr="004F28A8">
        <w:rPr>
          <w:rFonts w:asciiTheme="majorHAnsi" w:hAnsiTheme="majorHAnsi"/>
          <w:color w:val="000000" w:themeColor="text1"/>
        </w:rPr>
        <w:t>E</w:t>
      </w:r>
      <w:r w:rsidR="0072049E" w:rsidRPr="004F28A8">
        <w:rPr>
          <w:rFonts w:asciiTheme="majorHAnsi" w:hAnsiTheme="majorHAnsi"/>
          <w:color w:val="000000" w:themeColor="text1"/>
        </w:rPr>
        <w:t xml:space="preserve"> 201</w:t>
      </w:r>
      <w:r w:rsidR="00914462">
        <w:rPr>
          <w:rFonts w:asciiTheme="majorHAnsi" w:hAnsiTheme="majorHAnsi"/>
          <w:color w:val="000000" w:themeColor="text1"/>
        </w:rPr>
        <w:t>7</w:t>
      </w:r>
      <w:r w:rsidR="005D5567" w:rsidRPr="004F28A8">
        <w:rPr>
          <w:rFonts w:asciiTheme="majorHAnsi" w:hAnsiTheme="majorHAnsi"/>
          <w:color w:val="000000" w:themeColor="text1"/>
        </w:rPr>
        <w:t>b</w:t>
      </w:r>
      <w:r w:rsidR="0072049E" w:rsidRPr="004F28A8">
        <w:rPr>
          <w:rFonts w:asciiTheme="majorHAnsi" w:hAnsiTheme="majorHAnsi"/>
          <w:color w:val="000000" w:themeColor="text1"/>
        </w:rPr>
        <w:t>)</w:t>
      </w:r>
      <w:r w:rsidRPr="004F28A8">
        <w:rPr>
          <w:rFonts w:asciiTheme="majorHAnsi" w:hAnsiTheme="majorHAnsi"/>
          <w:color w:val="000000" w:themeColor="text1"/>
        </w:rPr>
        <w:t>.</w:t>
      </w:r>
    </w:p>
    <w:p w14:paraId="24A4EC1F" w14:textId="77777777" w:rsidR="00F06A73" w:rsidRDefault="0072049E" w:rsidP="00CD3A2C">
      <w:pPr>
        <w:pStyle w:val="Body"/>
        <w:rPr>
          <w:rFonts w:asciiTheme="majorHAnsi" w:hAnsiTheme="majorHAnsi"/>
        </w:rPr>
      </w:pPr>
      <w:r w:rsidRPr="0072049E">
        <w:rPr>
          <w:rFonts w:asciiTheme="majorHAnsi" w:hAnsiTheme="majorHAnsi"/>
        </w:rPr>
        <w:t>T</w:t>
      </w:r>
      <w:r w:rsidR="001128EE" w:rsidRPr="0072049E">
        <w:rPr>
          <w:rFonts w:asciiTheme="majorHAnsi" w:hAnsiTheme="majorHAnsi"/>
        </w:rPr>
        <w:t xml:space="preserve">he </w:t>
      </w:r>
      <w:r>
        <w:rPr>
          <w:rFonts w:asciiTheme="majorHAnsi" w:hAnsiTheme="majorHAnsi"/>
        </w:rPr>
        <w:t>T</w:t>
      </w:r>
      <w:r w:rsidR="001128EE" w:rsidRPr="0072049E">
        <w:rPr>
          <w:rFonts w:asciiTheme="majorHAnsi" w:hAnsiTheme="majorHAnsi"/>
        </w:rPr>
        <w:t xml:space="preserve">ier 1 environmental risk assessment </w:t>
      </w:r>
      <w:r>
        <w:rPr>
          <w:rFonts w:asciiTheme="majorHAnsi" w:hAnsiTheme="majorHAnsi"/>
        </w:rPr>
        <w:t xml:space="preserve">revealed </w:t>
      </w:r>
      <w:r w:rsidR="001128EE" w:rsidRPr="0072049E">
        <w:rPr>
          <w:rFonts w:asciiTheme="majorHAnsi" w:hAnsiTheme="majorHAnsi"/>
        </w:rPr>
        <w:t>that</w:t>
      </w:r>
      <w:r>
        <w:rPr>
          <w:rFonts w:asciiTheme="majorHAnsi" w:hAnsiTheme="majorHAnsi"/>
        </w:rPr>
        <w:t xml:space="preserve"> </w:t>
      </w:r>
      <w:r w:rsidR="001128EE" w:rsidRPr="0072049E">
        <w:rPr>
          <w:rFonts w:asciiTheme="majorHAnsi" w:hAnsiTheme="majorHAnsi"/>
        </w:rPr>
        <w:t>3 chemicals showed RQs &lt; 1</w:t>
      </w:r>
      <w:r>
        <w:rPr>
          <w:rFonts w:asciiTheme="majorHAnsi" w:hAnsiTheme="majorHAnsi"/>
        </w:rPr>
        <w:t>:</w:t>
      </w:r>
      <w:r w:rsidR="001128EE" w:rsidRPr="0072049E">
        <w:rPr>
          <w:rFonts w:asciiTheme="majorHAnsi" w:hAnsiTheme="majorHAnsi"/>
        </w:rPr>
        <w:t xml:space="preserve"> </w:t>
      </w:r>
      <w:r w:rsidR="00866065">
        <w:rPr>
          <w:rFonts w:asciiTheme="majorHAnsi" w:hAnsiTheme="majorHAnsi"/>
        </w:rPr>
        <w:t>calcium chloride (CaCl</w:t>
      </w:r>
      <w:r w:rsidR="00866065" w:rsidRPr="00CD3A2C">
        <w:rPr>
          <w:rFonts w:asciiTheme="majorHAnsi" w:hAnsiTheme="majorHAnsi"/>
        </w:rPr>
        <w:t>2</w:t>
      </w:r>
      <w:r w:rsidR="00866065">
        <w:rPr>
          <w:rFonts w:asciiTheme="majorHAnsi" w:hAnsiTheme="majorHAnsi"/>
        </w:rPr>
        <w:t>), e</w:t>
      </w:r>
      <w:r w:rsidR="00866065" w:rsidRPr="00866065">
        <w:rPr>
          <w:rFonts w:asciiTheme="majorHAnsi" w:hAnsiTheme="majorHAnsi"/>
        </w:rPr>
        <w:t xml:space="preserve">thanedial, and </w:t>
      </w:r>
      <w:r w:rsidR="00866065" w:rsidRPr="00CD3A2C">
        <w:rPr>
          <w:rFonts w:asciiTheme="majorHAnsi" w:hAnsiTheme="majorHAnsi"/>
        </w:rPr>
        <w:t>methanol</w:t>
      </w:r>
      <w:r w:rsidR="00866065">
        <w:rPr>
          <w:rFonts w:asciiTheme="majorHAnsi" w:hAnsiTheme="majorHAnsi"/>
        </w:rPr>
        <w:t xml:space="preserve"> (DoE</w:t>
      </w:r>
      <w:r w:rsidR="00527149">
        <w:rPr>
          <w:rFonts w:asciiTheme="majorHAnsi" w:hAnsiTheme="majorHAnsi"/>
        </w:rPr>
        <w:t>E</w:t>
      </w:r>
      <w:r w:rsidR="00866065">
        <w:rPr>
          <w:rFonts w:asciiTheme="majorHAnsi" w:hAnsiTheme="majorHAnsi"/>
        </w:rPr>
        <w:t xml:space="preserve"> 201</w:t>
      </w:r>
      <w:r w:rsidR="00914462">
        <w:rPr>
          <w:rFonts w:asciiTheme="majorHAnsi" w:hAnsiTheme="majorHAnsi"/>
        </w:rPr>
        <w:t>7</w:t>
      </w:r>
      <w:r w:rsidR="009B0BD2">
        <w:rPr>
          <w:rFonts w:asciiTheme="majorHAnsi" w:hAnsiTheme="majorHAnsi"/>
        </w:rPr>
        <w:t>b</w:t>
      </w:r>
      <w:r w:rsidR="00866065">
        <w:rPr>
          <w:rFonts w:asciiTheme="majorHAnsi" w:hAnsiTheme="majorHAnsi"/>
        </w:rPr>
        <w:t>)</w:t>
      </w:r>
      <w:r w:rsidR="00866065" w:rsidRPr="00866065">
        <w:rPr>
          <w:rFonts w:asciiTheme="majorHAnsi" w:hAnsiTheme="majorHAnsi"/>
        </w:rPr>
        <w:t>.</w:t>
      </w:r>
    </w:p>
    <w:p w14:paraId="6BE3B040" w14:textId="54E8787C" w:rsidR="00572FA0" w:rsidRDefault="00572FA0" w:rsidP="00CD3A2C">
      <w:pPr>
        <w:pStyle w:val="Body"/>
        <w:rPr>
          <w:rFonts w:asciiTheme="majorHAnsi" w:hAnsiTheme="majorHAnsi"/>
        </w:rPr>
      </w:pPr>
      <w:r>
        <w:t xml:space="preserve">Note again that exposure scenarios considered for deeper groundwater provide a higher degree of attenuation (i.e. lower predicted environmental concentrations) compared to the scenarios for surface handling (considered in the </w:t>
      </w:r>
      <w:r>
        <w:rPr>
          <w:rFonts w:asciiTheme="majorHAnsi" w:hAnsiTheme="majorHAnsi"/>
        </w:rPr>
        <w:t>National Chemicals Assessment</w:t>
      </w:r>
      <w:r>
        <w:t>). Therefore, the latter scenarios are considered sufficiently conservative to not underestimate the impact in case of deeper groundwater scenarios.</w:t>
      </w:r>
    </w:p>
    <w:p w14:paraId="56F26940" w14:textId="77777777" w:rsidR="008F48F4" w:rsidRPr="008F48F4" w:rsidRDefault="008F48F4" w:rsidP="008F48F4">
      <w:pPr>
        <w:pStyle w:val="Heading3"/>
        <w:numPr>
          <w:ilvl w:val="3"/>
          <w:numId w:val="1"/>
        </w:numPr>
        <w:spacing w:line="240" w:lineRule="auto"/>
        <w:rPr>
          <w:rFonts w:eastAsia="Times New Roman"/>
          <w:lang w:eastAsia="en-AU"/>
        </w:rPr>
      </w:pPr>
      <w:bookmarkStart w:id="104" w:name="_Toc494444498"/>
      <w:r w:rsidRPr="008F48F4">
        <w:rPr>
          <w:rFonts w:eastAsia="Times New Roman"/>
          <w:lang w:eastAsia="en-AU"/>
        </w:rPr>
        <w:t>Qualitative assessment approach</w:t>
      </w:r>
      <w:bookmarkEnd w:id="104"/>
    </w:p>
    <w:p w14:paraId="64FA687B" w14:textId="77777777" w:rsidR="007E42BB" w:rsidRDefault="007E42BB" w:rsidP="007E42BB">
      <w:pPr>
        <w:pStyle w:val="Body"/>
        <w:rPr>
          <w:rFonts w:eastAsia="Times New Roman"/>
          <w:strike/>
          <w:lang w:eastAsia="en-AU"/>
        </w:rPr>
      </w:pPr>
      <w:r>
        <w:t>When</w:t>
      </w:r>
      <w:r w:rsidRPr="00CD3A2C">
        <w:t xml:space="preserve"> no </w:t>
      </w:r>
      <w:r>
        <w:t xml:space="preserve">suitable </w:t>
      </w:r>
      <w:r w:rsidRPr="00CD3A2C">
        <w:t xml:space="preserve">ecotoxicity data </w:t>
      </w:r>
      <w:r>
        <w:t>are available for quantitative</w:t>
      </w:r>
      <w:r w:rsidRPr="00CD3A2C">
        <w:t xml:space="preserve"> risk assessment purposes</w:t>
      </w:r>
      <w:r>
        <w:t xml:space="preserve">, </w:t>
      </w:r>
      <w:r w:rsidRPr="00CD3A2C">
        <w:t>qualitative risk assessments</w:t>
      </w:r>
      <w:r>
        <w:t xml:space="preserve"> may be used</w:t>
      </w:r>
      <w:r w:rsidRPr="00CD3A2C">
        <w:t>. Qualitative environmental risk assessment</w:t>
      </w:r>
      <w:r>
        <w:t>s</w:t>
      </w:r>
      <w:r w:rsidRPr="00CD3A2C">
        <w:t xml:space="preserve"> </w:t>
      </w:r>
      <w:r>
        <w:t xml:space="preserve">can be undertaken </w:t>
      </w:r>
      <w:r w:rsidRPr="00CD3A2C">
        <w:t>in accordance with the I</w:t>
      </w:r>
      <w:r>
        <w:t>MAP approach</w:t>
      </w:r>
      <w:r w:rsidRPr="00CD3A2C">
        <w:t xml:space="preserve"> (NICNAS 2015) and the approach developed by Environment Canada (Environment Canada 2003).</w:t>
      </w:r>
      <w:r>
        <w:t xml:space="preserve"> </w:t>
      </w:r>
      <w:r w:rsidRPr="00CD3A2C">
        <w:t>This approach is informed by intensive compilation, analysis and interpretation of the available scientific literature on each chemical.</w:t>
      </w:r>
      <w:r w:rsidRPr="0008450C">
        <w:rPr>
          <w:rFonts w:eastAsia="Times New Roman"/>
          <w:strike/>
          <w:lang w:eastAsia="en-AU"/>
        </w:rPr>
        <w:t xml:space="preserve"> </w:t>
      </w:r>
      <w:bookmarkStart w:id="105" w:name="_Ref477020096"/>
    </w:p>
    <w:bookmarkEnd w:id="105"/>
    <w:p w14:paraId="406AA816" w14:textId="77777777" w:rsidR="008F48F4" w:rsidRDefault="008F48F4" w:rsidP="007E42BB">
      <w:pPr>
        <w:pStyle w:val="Body"/>
      </w:pPr>
      <w:r>
        <w:t xml:space="preserve">The </w:t>
      </w:r>
      <w:r w:rsidRPr="007E42BB">
        <w:t>Environmental Risk Assessment Guidance Manual for Industrial Chemicals</w:t>
      </w:r>
      <w:r>
        <w:t xml:space="preserve"> (EPHC 2009a) recommends the approach developed by Environment Canada (2003) for applying expert judgement to matters including:</w:t>
      </w:r>
    </w:p>
    <w:p w14:paraId="56BF3A58" w14:textId="77777777" w:rsidR="008F48F4" w:rsidRDefault="008F48F4" w:rsidP="007E42BB">
      <w:pPr>
        <w:pStyle w:val="Body"/>
        <w:numPr>
          <w:ilvl w:val="0"/>
          <w:numId w:val="98"/>
        </w:numPr>
      </w:pPr>
      <w:r>
        <w:t>Creating a weight of evidence to support the selection of pivotal information.</w:t>
      </w:r>
    </w:p>
    <w:p w14:paraId="012E2075" w14:textId="77777777" w:rsidR="008F48F4" w:rsidRDefault="008F48F4" w:rsidP="007E42BB">
      <w:pPr>
        <w:pStyle w:val="Body"/>
        <w:numPr>
          <w:ilvl w:val="0"/>
          <w:numId w:val="98"/>
        </w:numPr>
      </w:pPr>
      <w:r>
        <w:t>Qualitative analysis of degradation and persistence of chemicals.</w:t>
      </w:r>
    </w:p>
    <w:p w14:paraId="619FDDDA" w14:textId="77777777" w:rsidR="008F48F4" w:rsidRDefault="008F48F4" w:rsidP="007E42BB">
      <w:pPr>
        <w:pStyle w:val="Body"/>
        <w:numPr>
          <w:ilvl w:val="0"/>
          <w:numId w:val="98"/>
        </w:numPr>
      </w:pPr>
      <w:r>
        <w:t>Qualitative analysis of bioaccumulation.</w:t>
      </w:r>
    </w:p>
    <w:p w14:paraId="4D0EDA9F" w14:textId="77777777" w:rsidR="008F48F4" w:rsidRDefault="008F48F4" w:rsidP="007E42BB">
      <w:pPr>
        <w:pStyle w:val="Body"/>
        <w:numPr>
          <w:ilvl w:val="0"/>
          <w:numId w:val="98"/>
        </w:numPr>
      </w:pPr>
      <w:r>
        <w:t>Qualitative analysis of inherent ecotoxicity.</w:t>
      </w:r>
    </w:p>
    <w:p w14:paraId="4DE5F6AE" w14:textId="77777777" w:rsidR="008F48F4" w:rsidRDefault="008F48F4" w:rsidP="007E42BB">
      <w:pPr>
        <w:pStyle w:val="Body"/>
      </w:pPr>
      <w:r>
        <w:t xml:space="preserve">The Canadian approach to qualitative assessment of chemicals with limited data informed the methodology used in Australia to assess industrial chemicals under the </w:t>
      </w:r>
      <w:r w:rsidRPr="00462130">
        <w:t xml:space="preserve">Inventory Multi-tiered Assessment and Prioritisation Framework </w:t>
      </w:r>
      <w:r>
        <w:t xml:space="preserve">(IMAP). This Framework operates under the </w:t>
      </w:r>
      <w:r w:rsidRPr="00E90F2B">
        <w:t>National Industrial Chemicals Notification and Assessment Scheme</w:t>
      </w:r>
      <w:r>
        <w:t xml:space="preserve"> (NICNAS 2015f).</w:t>
      </w:r>
    </w:p>
    <w:p w14:paraId="0A3540CA" w14:textId="77777777" w:rsidR="008F48F4" w:rsidRDefault="008F48F4" w:rsidP="007E42BB">
      <w:pPr>
        <w:pStyle w:val="Body"/>
      </w:pPr>
      <w:r>
        <w:t xml:space="preserve">Consistent with the deterministic approach, the risk classification for each chemical evaluated is determined in accordance with the principles outlined by EPHC (2009a) and the Australia and New Zealand Conservation Council Agriculture and Resources Management Council of Australia and New Zealand (ANZECC and ARMCANZ 2000a) guidelines. The classifications of risk for each chemical or chemical group assessed are: </w:t>
      </w:r>
    </w:p>
    <w:p w14:paraId="3803351D" w14:textId="77777777" w:rsidR="008F48F4" w:rsidRDefault="008F48F4" w:rsidP="007E42BB">
      <w:pPr>
        <w:pStyle w:val="Body"/>
        <w:numPr>
          <w:ilvl w:val="0"/>
          <w:numId w:val="98"/>
        </w:numPr>
      </w:pPr>
      <w:r w:rsidRPr="007E42BB">
        <w:t>Chemicals of ‘low concern’</w:t>
      </w:r>
      <w:r>
        <w:t xml:space="preserve">: </w:t>
      </w:r>
      <w:r w:rsidRPr="002D18A3">
        <w:t>These chemicals are assessed to be unlikely to have adverse environmental effects if they are released to the environment from coal seam gas operations.  Chemicals of low concern do not require specific risk management measures</w:t>
      </w:r>
      <w:r>
        <w:t>.</w:t>
      </w:r>
    </w:p>
    <w:p w14:paraId="6E19680F" w14:textId="77777777" w:rsidR="008F48F4" w:rsidRDefault="008F48F4" w:rsidP="007E42BB">
      <w:pPr>
        <w:pStyle w:val="Body"/>
        <w:numPr>
          <w:ilvl w:val="0"/>
          <w:numId w:val="98"/>
        </w:numPr>
      </w:pPr>
      <w:r w:rsidRPr="007E42BB">
        <w:t>Chemicals of ‘potential concern’</w:t>
      </w:r>
      <w:r w:rsidRPr="002D54F4">
        <w:t>:</w:t>
      </w:r>
      <w:r>
        <w:t xml:space="preserve"> </w:t>
      </w:r>
      <w:r w:rsidRPr="002D18A3">
        <w:t>These chemicals have the potential to cause adverse environmental effects if they are released to the environment from coal seam gas operations. Specific risk management measures may be necessary to ensure that chemicals of potential concern do not harm the environment</w:t>
      </w:r>
      <w:r>
        <w:t>.</w:t>
      </w:r>
    </w:p>
    <w:p w14:paraId="5FB9EF13" w14:textId="77777777" w:rsidR="008F48F4" w:rsidRPr="002D18A3" w:rsidRDefault="008F48F4" w:rsidP="007E42BB">
      <w:pPr>
        <w:pStyle w:val="Body"/>
        <w:numPr>
          <w:ilvl w:val="0"/>
          <w:numId w:val="98"/>
        </w:numPr>
      </w:pPr>
      <w:r w:rsidRPr="007E42BB">
        <w:t>Chemicals of ‘potentially high concern’</w:t>
      </w:r>
      <w:r w:rsidRPr="002D54F4">
        <w:t>:</w:t>
      </w:r>
      <w:r w:rsidRPr="002D18A3">
        <w:t xml:space="preserve"> These chemicals are likely to cause adverse environmental effects if they are released to the environment from coal seam gas operations. Specific risk management measures </w:t>
      </w:r>
      <w:r>
        <w:t>are likely to be required</w:t>
      </w:r>
      <w:r w:rsidRPr="002D18A3">
        <w:t xml:space="preserve"> to ensure that chemicals of potentially high concern do not harm the environment.</w:t>
      </w:r>
    </w:p>
    <w:p w14:paraId="36E90F5B" w14:textId="34C84310" w:rsidR="00C424BA" w:rsidRDefault="00C424BA" w:rsidP="007E42BB">
      <w:pPr>
        <w:pStyle w:val="Body"/>
        <w:numPr>
          <w:ilvl w:val="0"/>
          <w:numId w:val="98"/>
        </w:numPr>
      </w:pPr>
      <w:r>
        <w:br w:type="page"/>
      </w:r>
    </w:p>
    <w:p w14:paraId="2C5AF6CE" w14:textId="7D1DDD91" w:rsidR="00E8296A" w:rsidRPr="00E6110F" w:rsidRDefault="00E02968" w:rsidP="003E3108">
      <w:pPr>
        <w:pStyle w:val="Heading2"/>
      </w:pPr>
      <w:bookmarkStart w:id="106" w:name="_Ref446708098"/>
      <w:bookmarkStart w:id="107" w:name="_Toc494444499"/>
      <w:r w:rsidRPr="00E6110F">
        <w:t>Selection of chemicals for proof-of-concept testing</w:t>
      </w:r>
      <w:bookmarkEnd w:id="69"/>
      <w:bookmarkEnd w:id="106"/>
      <w:bookmarkEnd w:id="107"/>
    </w:p>
    <w:p w14:paraId="00CAB187" w14:textId="7B094568" w:rsidR="00942ED1" w:rsidRPr="00E6110F" w:rsidRDefault="00942ED1" w:rsidP="00942ED1">
      <w:pPr>
        <w:pStyle w:val="Heading3"/>
      </w:pPr>
      <w:bookmarkStart w:id="108" w:name="_Toc494444500"/>
      <w:r w:rsidRPr="00E6110F">
        <w:t>Methodology</w:t>
      </w:r>
      <w:bookmarkEnd w:id="108"/>
    </w:p>
    <w:p w14:paraId="7193F114" w14:textId="41D941F4" w:rsidR="00BE33A6" w:rsidRPr="00E6110F" w:rsidRDefault="00836AC2" w:rsidP="00BE33A6">
      <w:pPr>
        <w:pStyle w:val="Body"/>
      </w:pPr>
      <w:r w:rsidRPr="00E6110F">
        <w:t xml:space="preserve">Representative chemicals </w:t>
      </w:r>
      <w:r w:rsidR="0083131E">
        <w:t>were</w:t>
      </w:r>
      <w:r w:rsidRPr="00E6110F">
        <w:t xml:space="preserve"> selected for assessment of attenuation and dilution from typical chemical groups (chemical indicators) if reliable data (or QSAR data) </w:t>
      </w:r>
      <w:r w:rsidR="0083131E">
        <w:t>we</w:t>
      </w:r>
      <w:r w:rsidR="00C81A13">
        <w:t>re</w:t>
      </w:r>
      <w:r w:rsidR="00C81A13" w:rsidRPr="00E6110F">
        <w:t xml:space="preserve"> </w:t>
      </w:r>
      <w:r w:rsidRPr="00E6110F">
        <w:t xml:space="preserve">available on i) physicochemical properties mobility (geological attenuation) and persistence (biological </w:t>
      </w:r>
      <w:r w:rsidR="00F74EA7">
        <w:t xml:space="preserve">and chemical </w:t>
      </w:r>
      <w:r w:rsidRPr="00E6110F">
        <w:t xml:space="preserve">attenuation), ii) health effects and ecotoxicity, and iii) </w:t>
      </w:r>
      <w:r w:rsidR="00CA157A">
        <w:t xml:space="preserve">chemical use </w:t>
      </w:r>
      <w:r w:rsidRPr="00E6110F">
        <w:t>for CSG extraction in Australia.</w:t>
      </w:r>
      <w:r w:rsidR="0039385E">
        <w:t xml:space="preserve"> </w:t>
      </w:r>
      <w:r w:rsidR="001A571B">
        <w:t>S</w:t>
      </w:r>
      <w:r w:rsidR="00BE33A6" w:rsidRPr="00C24006">
        <w:t>ublethal toxicity effects of contaminants such as endocrine disruption are not considered in this study. Similarly, the effects of mixtures of contaminants are not considered as the ecotoxicological data to develop the required concentration additive models of mixture toxicity are not available.</w:t>
      </w:r>
    </w:p>
    <w:p w14:paraId="4F0D7573" w14:textId="6D996468" w:rsidR="00836AC2" w:rsidRPr="00E6110F" w:rsidRDefault="00836AC2" w:rsidP="006C23CA">
      <w:pPr>
        <w:pStyle w:val="Body"/>
      </w:pPr>
      <w:r w:rsidRPr="00E6110F">
        <w:t>The chemicals tested include</w:t>
      </w:r>
      <w:r w:rsidR="0083131E">
        <w:t>d</w:t>
      </w:r>
      <w:r w:rsidRPr="00E6110F">
        <w:t xml:space="preserve"> the following</w:t>
      </w:r>
      <w:r w:rsidR="000B117F" w:rsidRPr="00E6110F">
        <w:t xml:space="preserve"> (</w:t>
      </w:r>
      <w:r w:rsidR="000B117F" w:rsidRPr="00E6110F">
        <w:fldChar w:fldCharType="begin" w:fldLock="1"/>
      </w:r>
      <w:r w:rsidR="000B117F" w:rsidRPr="00E6110F">
        <w:instrText xml:space="preserve"> REF _Ref446683392 \h </w:instrText>
      </w:r>
      <w:r w:rsidR="00E6110F">
        <w:instrText xml:space="preserve"> \* MERGEFORMAT </w:instrText>
      </w:r>
      <w:r w:rsidR="000B117F" w:rsidRPr="00E6110F">
        <w:fldChar w:fldCharType="separate"/>
      </w:r>
      <w:r w:rsidR="00335E79" w:rsidRPr="00E6110F">
        <w:t xml:space="preserve">Table </w:t>
      </w:r>
      <w:r w:rsidR="00335E79">
        <w:rPr>
          <w:noProof/>
        </w:rPr>
        <w:t>2</w:t>
      </w:r>
      <w:r w:rsidR="00335E79">
        <w:rPr>
          <w:noProof/>
        </w:rPr>
        <w:noBreakHyphen/>
        <w:t>6</w:t>
      </w:r>
      <w:r w:rsidR="000B117F" w:rsidRPr="00E6110F">
        <w:fldChar w:fldCharType="end"/>
      </w:r>
      <w:r w:rsidR="000B117F" w:rsidRPr="00E6110F">
        <w:t>)</w:t>
      </w:r>
      <w:r w:rsidRPr="00E6110F">
        <w:t>:</w:t>
      </w:r>
    </w:p>
    <w:p w14:paraId="46787DAE" w14:textId="37E924BD" w:rsidR="00F65B0E" w:rsidRPr="00E6110F" w:rsidRDefault="00CA157A" w:rsidP="00C117A3">
      <w:pPr>
        <w:pStyle w:val="Body"/>
        <w:numPr>
          <w:ilvl w:val="0"/>
          <w:numId w:val="5"/>
        </w:numPr>
      </w:pPr>
      <w:r>
        <w:t>T</w:t>
      </w:r>
      <w:r w:rsidR="00836AC2" w:rsidRPr="00E6110F">
        <w:t>ypical hydraulic fracturing and drilling chemicals</w:t>
      </w:r>
      <w:r w:rsidR="00F65B0E" w:rsidRPr="00E6110F">
        <w:t>:</w:t>
      </w:r>
    </w:p>
    <w:p w14:paraId="65F0D094" w14:textId="5C547805" w:rsidR="00381346" w:rsidRDefault="00381346" w:rsidP="00C117A3">
      <w:pPr>
        <w:pStyle w:val="Body"/>
        <w:numPr>
          <w:ilvl w:val="1"/>
          <w:numId w:val="5"/>
        </w:numPr>
      </w:pPr>
      <w:r>
        <w:t>chemical</w:t>
      </w:r>
      <w:r w:rsidR="00A61E0A">
        <w:t>s</w:t>
      </w:r>
      <w:r>
        <w:t xml:space="preserve"> </w:t>
      </w:r>
      <w:r w:rsidR="00A61E0A">
        <w:t>that are</w:t>
      </w:r>
      <w:r>
        <w:t xml:space="preserve"> unlikely to pose a risk of adverse health effects </w:t>
      </w:r>
      <w:r w:rsidR="00FE3BB1">
        <w:t xml:space="preserve">(long-term public exposure) </w:t>
      </w:r>
      <w:r>
        <w:t>based on NICNAS (201</w:t>
      </w:r>
      <w:r w:rsidR="00914462">
        <w:t>7</w:t>
      </w:r>
      <w:r>
        <w:t xml:space="preserve">b): </w:t>
      </w:r>
      <w:r w:rsidRPr="00E6110F">
        <w:rPr>
          <w:i/>
        </w:rPr>
        <w:t>bronopol</w:t>
      </w:r>
      <w:r w:rsidR="00FE3BB1">
        <w:rPr>
          <w:i/>
        </w:rPr>
        <w:t xml:space="preserve">, </w:t>
      </w:r>
      <w:r w:rsidR="00FE3BB1" w:rsidRPr="00E6110F">
        <w:rPr>
          <w:i/>
        </w:rPr>
        <w:t>methyl-chloro-isothiazolinone</w:t>
      </w:r>
    </w:p>
    <w:p w14:paraId="369DEE88" w14:textId="2F8D3CD2" w:rsidR="00836AC2" w:rsidRPr="00E6110F" w:rsidRDefault="00836AC2" w:rsidP="00C117A3">
      <w:pPr>
        <w:pStyle w:val="Body"/>
        <w:numPr>
          <w:ilvl w:val="1"/>
          <w:numId w:val="5"/>
        </w:numPr>
      </w:pPr>
      <w:r w:rsidRPr="00E6110F">
        <w:t xml:space="preserve">chemicals </w:t>
      </w:r>
      <w:r w:rsidR="007C1E7A">
        <w:t>of potential concern</w:t>
      </w:r>
      <w:r w:rsidR="00A61E0A">
        <w:t xml:space="preserve"> (a potential</w:t>
      </w:r>
      <w:r w:rsidR="00C94CEA">
        <w:t xml:space="preserve"> </w:t>
      </w:r>
      <w:r w:rsidR="00A61E0A">
        <w:t>risk of adverse health effects</w:t>
      </w:r>
      <w:r w:rsidR="00BB11C4">
        <w:t xml:space="preserve"> in case of long-term public exposure</w:t>
      </w:r>
      <w:r w:rsidR="00A61E0A">
        <w:t>, NICNAS 201</w:t>
      </w:r>
      <w:r w:rsidR="00914462">
        <w:t>7</w:t>
      </w:r>
      <w:r w:rsidR="00A61E0A">
        <w:t>b)</w:t>
      </w:r>
      <w:r w:rsidR="00F65B0E" w:rsidRPr="00E6110F">
        <w:t xml:space="preserve">: </w:t>
      </w:r>
      <w:r w:rsidR="00F65B0E" w:rsidRPr="00E6110F">
        <w:rPr>
          <w:i/>
        </w:rPr>
        <w:t>boron</w:t>
      </w:r>
      <w:r w:rsidR="00F65B0E" w:rsidRPr="00E6110F">
        <w:t xml:space="preserve"> (</w:t>
      </w:r>
      <w:r w:rsidR="00F65B0E" w:rsidRPr="00E6110F">
        <w:rPr>
          <w:i/>
        </w:rPr>
        <w:t>boric acid, borax</w:t>
      </w:r>
      <w:r w:rsidR="00F65B0E" w:rsidRPr="00E6110F">
        <w:t>)</w:t>
      </w:r>
    </w:p>
    <w:p w14:paraId="7B9D649F" w14:textId="7AEBBB83" w:rsidR="00F65B0E" w:rsidRPr="00E6110F" w:rsidRDefault="007C1E7A" w:rsidP="00C117A3">
      <w:pPr>
        <w:pStyle w:val="Body"/>
        <w:numPr>
          <w:ilvl w:val="1"/>
          <w:numId w:val="5"/>
        </w:numPr>
      </w:pPr>
      <w:r>
        <w:t>c</w:t>
      </w:r>
      <w:r w:rsidR="00F65B0E" w:rsidRPr="00E6110F">
        <w:t>hemicals that could not be assessed based on the Inventory Multi-tiered Assessment and Prioritisation Framework</w:t>
      </w:r>
      <w:r w:rsidR="004733D8">
        <w:t xml:space="preserve"> (NICNAS 2015)</w:t>
      </w:r>
      <w:r w:rsidR="00F65B0E" w:rsidRPr="00E6110F">
        <w:t xml:space="preserve">: </w:t>
      </w:r>
      <w:r w:rsidR="00F65B0E" w:rsidRPr="00E6110F">
        <w:rPr>
          <w:i/>
        </w:rPr>
        <w:t>limonene</w:t>
      </w:r>
    </w:p>
    <w:p w14:paraId="396EDAE6" w14:textId="6CAD337D" w:rsidR="00773E0A" w:rsidRPr="00E6110F" w:rsidRDefault="007C1E7A" w:rsidP="00C117A3">
      <w:pPr>
        <w:pStyle w:val="Body"/>
        <w:numPr>
          <w:ilvl w:val="1"/>
          <w:numId w:val="5"/>
        </w:numPr>
      </w:pPr>
      <w:r>
        <w:t>chemicals that represent an important group of polymers used in hydraulic fracturing</w:t>
      </w:r>
      <w:r w:rsidR="00805B2D">
        <w:t xml:space="preserve"> and that are of low concern for human health</w:t>
      </w:r>
      <w:r w:rsidR="004733D8">
        <w:t xml:space="preserve"> (</w:t>
      </w:r>
      <w:r w:rsidR="00C94CEA">
        <w:t>NICNAS 201</w:t>
      </w:r>
      <w:r w:rsidR="00914462">
        <w:t>7</w:t>
      </w:r>
      <w:r w:rsidR="00C94CEA">
        <w:t>b</w:t>
      </w:r>
      <w:r w:rsidR="004733D8">
        <w:t>)</w:t>
      </w:r>
      <w:r w:rsidR="00805B2D">
        <w:t xml:space="preserve"> and the environment (</w:t>
      </w:r>
      <w:r w:rsidR="005D5567">
        <w:t>DoE</w:t>
      </w:r>
      <w:r w:rsidR="00527149">
        <w:t>E</w:t>
      </w:r>
      <w:r w:rsidR="005D5567">
        <w:t xml:space="preserve"> 201</w:t>
      </w:r>
      <w:r w:rsidR="00914462">
        <w:t>7</w:t>
      </w:r>
      <w:r w:rsidR="005D5567">
        <w:t>b</w:t>
      </w:r>
      <w:r w:rsidR="00805B2D">
        <w:t>)</w:t>
      </w:r>
      <w:r>
        <w:t xml:space="preserve">: </w:t>
      </w:r>
      <w:r w:rsidRPr="007C1E7A">
        <w:rPr>
          <w:i/>
        </w:rPr>
        <w:t>a</w:t>
      </w:r>
      <w:r w:rsidR="00773E0A" w:rsidRPr="007C1E7A">
        <w:rPr>
          <w:i/>
        </w:rPr>
        <w:t>crylamide polymer</w:t>
      </w:r>
    </w:p>
    <w:p w14:paraId="49E644E0" w14:textId="4DAC7952" w:rsidR="00836AC2" w:rsidRPr="00E6110F" w:rsidRDefault="00836AC2" w:rsidP="00C117A3">
      <w:pPr>
        <w:pStyle w:val="Body"/>
        <w:numPr>
          <w:ilvl w:val="0"/>
          <w:numId w:val="5"/>
        </w:numPr>
      </w:pPr>
      <w:r w:rsidRPr="00E6110F">
        <w:t>Explosives</w:t>
      </w:r>
      <w:r w:rsidR="002B07BE" w:rsidRPr="00E6110F">
        <w:t xml:space="preserve"> </w:t>
      </w:r>
      <w:r w:rsidR="00647C5C" w:rsidRPr="00E6110F">
        <w:t xml:space="preserve">are </w:t>
      </w:r>
      <w:r w:rsidR="002B07BE" w:rsidRPr="00E6110F">
        <w:t>used to obtain a pattern of perforations through the casing and cement sheath and into the productive formation to provide effective flow communication between a cased wellbore and a productive reservoir</w:t>
      </w:r>
      <w:r w:rsidR="00A374FD" w:rsidRPr="00E6110F">
        <w:t>:</w:t>
      </w:r>
      <w:r w:rsidRPr="00E6110F">
        <w:t xml:space="preserve"> </w:t>
      </w:r>
      <w:r w:rsidR="00A374FD" w:rsidRPr="00E6110F">
        <w:t>HMX</w:t>
      </w:r>
      <w:r w:rsidR="002B07BE" w:rsidRPr="00E6110F">
        <w:t xml:space="preserve"> (</w:t>
      </w:r>
      <w:r w:rsidR="006772E5">
        <w:rPr>
          <w:i/>
        </w:rPr>
        <w:t>c</w:t>
      </w:r>
      <w:r w:rsidR="006772E5" w:rsidRPr="00E6110F">
        <w:rPr>
          <w:i/>
        </w:rPr>
        <w:t xml:space="preserve">yclotetramethylene </w:t>
      </w:r>
      <w:r w:rsidR="006772E5">
        <w:rPr>
          <w:i/>
        </w:rPr>
        <w:t>t</w:t>
      </w:r>
      <w:r w:rsidR="006772E5" w:rsidRPr="00E6110F">
        <w:rPr>
          <w:i/>
        </w:rPr>
        <w:t>rinitramine</w:t>
      </w:r>
      <w:r w:rsidR="002B07BE" w:rsidRPr="00E6110F">
        <w:t>)</w:t>
      </w:r>
      <w:r w:rsidR="00647C5C" w:rsidRPr="00E6110F">
        <w:t xml:space="preserve"> </w:t>
      </w:r>
      <w:r w:rsidR="00E43565">
        <w:t xml:space="preserve">is commonly used for casing perforation </w:t>
      </w:r>
      <w:r w:rsidR="00647C5C" w:rsidRPr="00E6110F">
        <w:t>(Hansen 2011)</w:t>
      </w:r>
      <w:r w:rsidR="00F65B0E" w:rsidRPr="00E6110F">
        <w:t>.</w:t>
      </w:r>
    </w:p>
    <w:p w14:paraId="21ED24E9" w14:textId="35C6B527" w:rsidR="00836AC2" w:rsidRPr="00E6110F" w:rsidRDefault="00836AC2" w:rsidP="00C117A3">
      <w:pPr>
        <w:pStyle w:val="Body"/>
        <w:numPr>
          <w:ilvl w:val="0"/>
          <w:numId w:val="5"/>
        </w:numPr>
      </w:pPr>
      <w:r w:rsidRPr="00E6110F">
        <w:t xml:space="preserve">Geogenics: a small number of geogenics </w:t>
      </w:r>
      <w:r w:rsidR="00381346">
        <w:t>have been</w:t>
      </w:r>
      <w:r w:rsidRPr="00E6110F">
        <w:t xml:space="preserve"> included to demonstrate the framework is sufficiently generic to include i) effects of anthropogenic chemicals on geogenic chemicals (mobilisation due to changes in redox, pH, EC); </w:t>
      </w:r>
      <w:r w:rsidR="00E43565">
        <w:t xml:space="preserve">and </w:t>
      </w:r>
      <w:r w:rsidRPr="00E6110F">
        <w:t xml:space="preserve">ii) changes in solubility and mobility of geogenics due to interaction between degradation/transformation products and geogenics. </w:t>
      </w:r>
      <w:r w:rsidR="00F65B0E" w:rsidRPr="00E6110F">
        <w:t xml:space="preserve">Selected chemicals are: </w:t>
      </w:r>
      <w:r w:rsidR="00F65B0E" w:rsidRPr="00E6110F">
        <w:rPr>
          <w:i/>
        </w:rPr>
        <w:t>2-methylphenol</w:t>
      </w:r>
      <w:r w:rsidR="00F65B0E" w:rsidRPr="00E6110F">
        <w:t xml:space="preserve">, </w:t>
      </w:r>
      <w:r w:rsidR="00F65B0E" w:rsidRPr="00E6110F">
        <w:rPr>
          <w:i/>
        </w:rPr>
        <w:t>naphthalene</w:t>
      </w:r>
      <w:r w:rsidR="00F65B0E" w:rsidRPr="00E6110F">
        <w:t xml:space="preserve">, </w:t>
      </w:r>
      <w:r w:rsidR="00F65B0E" w:rsidRPr="00E6110F">
        <w:rPr>
          <w:i/>
        </w:rPr>
        <w:t>uranium</w:t>
      </w:r>
      <w:r w:rsidR="00F65B0E" w:rsidRPr="00E6110F">
        <w:t xml:space="preserve">, </w:t>
      </w:r>
      <w:r w:rsidR="00F65B0E" w:rsidRPr="00E6110F">
        <w:rPr>
          <w:i/>
        </w:rPr>
        <w:t>arsenic</w:t>
      </w:r>
      <w:r w:rsidR="00F65B0E" w:rsidRPr="00E6110F">
        <w:t xml:space="preserve">, </w:t>
      </w:r>
      <w:r w:rsidR="00E43565">
        <w:t xml:space="preserve">and </w:t>
      </w:r>
      <w:r w:rsidR="00F65B0E" w:rsidRPr="00E6110F">
        <w:rPr>
          <w:i/>
        </w:rPr>
        <w:t>barium</w:t>
      </w:r>
      <w:r w:rsidR="00F65B0E" w:rsidRPr="00E6110F">
        <w:t>.</w:t>
      </w:r>
    </w:p>
    <w:p w14:paraId="084F39FC" w14:textId="6F3EDF38" w:rsidR="00EB7D5B" w:rsidRPr="00EB7D5B" w:rsidRDefault="00A630C8" w:rsidP="00EB7D5B">
      <w:pPr>
        <w:pStyle w:val="Body"/>
      </w:pPr>
      <w:r w:rsidRPr="00E6110F">
        <w:t>Although a large number of c</w:t>
      </w:r>
      <w:r w:rsidR="00F65B0E" w:rsidRPr="00E6110F">
        <w:t>ement chemicals/additives (typically set accelerators, set retarders, extenders, weighting agents, dispersants, fluid-loss control agents, lost circulation control agents, and other specialty additives are used for wellbore cement slurries)</w:t>
      </w:r>
      <w:r w:rsidRPr="00E6110F">
        <w:t xml:space="preserve"> are used in preparing grout for the borehole cement sheath</w:t>
      </w:r>
      <w:r w:rsidR="00937276" w:rsidRPr="00E6110F">
        <w:t xml:space="preserve"> (Michau</w:t>
      </w:r>
      <w:r w:rsidR="00A228DE">
        <w:t>x</w:t>
      </w:r>
      <w:r w:rsidR="00937276" w:rsidRPr="00E6110F">
        <w:t xml:space="preserve"> et al. 1989),</w:t>
      </w:r>
      <w:r w:rsidRPr="00E6110F">
        <w:t xml:space="preserve"> they would </w:t>
      </w:r>
      <w:r w:rsidR="00937276" w:rsidRPr="00E6110F">
        <w:t xml:space="preserve">all </w:t>
      </w:r>
      <w:r w:rsidRPr="00E6110F">
        <w:t>have a very low mobility as they are incorporated in the cement minerals and thus part of a solid matrix. For this reason they were excluded from the hazard screening.</w:t>
      </w:r>
      <w:r w:rsidR="0039385E">
        <w:t xml:space="preserve"> </w:t>
      </w:r>
      <w:r w:rsidR="00EB7D5B" w:rsidRPr="00EB7D5B">
        <w:t>Consideration has been given to the fact that the conditions of use of CSG chemicals in Australia may be different from those under which they have been considered low risk in other assessments</w:t>
      </w:r>
      <w:r w:rsidR="00562AAA">
        <w:t>, typically surface environments</w:t>
      </w:r>
      <w:r w:rsidR="00EB7D5B" w:rsidRPr="00EB7D5B">
        <w:t>. Especially the conditions within deep groundwater, i.e. higher temperature, pressure, and salinity, anoxic, etc., are likely different from conditions considered to determine if chemicals are of low concern. Therefore, this study has tested chemical behaviour in deep groundwater as a means to identify if they are of low concern or warrant more detailed assessment.</w:t>
      </w:r>
    </w:p>
    <w:p w14:paraId="05338E65" w14:textId="52663490" w:rsidR="004709BE" w:rsidRDefault="00562AAA" w:rsidP="00D220EC">
      <w:pPr>
        <w:pStyle w:val="Body"/>
      </w:pPr>
      <w:r>
        <w:t>T</w:t>
      </w:r>
      <w:r w:rsidR="004D2EA0">
        <w:t>he Level-2 analysis provides understanding about chemicals that is complementary</w:t>
      </w:r>
      <w:r w:rsidR="004D2EA0" w:rsidRPr="00AE34CC">
        <w:t xml:space="preserve"> </w:t>
      </w:r>
      <w:r w:rsidR="004D2EA0">
        <w:t xml:space="preserve">to </w:t>
      </w:r>
      <w:r>
        <w:t xml:space="preserve">the </w:t>
      </w:r>
      <w:r w:rsidR="004D2EA0" w:rsidRPr="00AE34CC">
        <w:t xml:space="preserve">“lists-and-rules” based </w:t>
      </w:r>
      <w:r>
        <w:t>analysis</w:t>
      </w:r>
      <w:r w:rsidR="004D2EA0">
        <w:t>. This allows to ver</w:t>
      </w:r>
      <w:r w:rsidR="008C6864">
        <w:t>if</w:t>
      </w:r>
      <w:r w:rsidR="004D2EA0">
        <w:t>y one does not</w:t>
      </w:r>
      <w:r w:rsidR="00794E12" w:rsidRPr="00AE34CC">
        <w:t xml:space="preserve"> end up with false negatives or false positives as a result of</w:t>
      </w:r>
      <w:r w:rsidR="004D2EA0">
        <w:t xml:space="preserve"> the Level-1 </w:t>
      </w:r>
      <w:r w:rsidR="008C6864">
        <w:t>analysis</w:t>
      </w:r>
      <w:r w:rsidR="00794E12" w:rsidRPr="00AE34CC">
        <w:t xml:space="preserve">.  However, this testing should be to check that the proposed process works as anticipated and should not be for hazard or risk assessment purposes. </w:t>
      </w:r>
    </w:p>
    <w:p w14:paraId="12C4C8DA" w14:textId="339B438F" w:rsidR="00951AFC" w:rsidRPr="00023E15" w:rsidRDefault="00023E15" w:rsidP="00951AFC">
      <w:pPr>
        <w:pStyle w:val="Body"/>
      </w:pPr>
      <w:r>
        <w:t>C</w:t>
      </w:r>
      <w:r w:rsidR="00951AFC" w:rsidRPr="00023E15">
        <w:t>hemicals have been selected to mainly demonstrate the operability of the Level-2 analysis; some of these chemicals have been part of the National Assessment of Chemicals Associated with Coal Seam Gas Extraction in Australia or IMAP assessments, others have not been assessed previously. This study will not run any of the chemicals through the Level-1 “identification of chemicals of low concern” step, mainly because this study is not an assessment of the hazard or risk associated with specific chemicals. Demonstrating the Level-2 analysis, which involves pathway conceptualisation and analysis including travel time estimations and attenuation, is the focus of this study.</w:t>
      </w:r>
    </w:p>
    <w:p w14:paraId="2259FFEE" w14:textId="77777777" w:rsidR="00951AFC" w:rsidRPr="00023E15" w:rsidRDefault="00951AFC" w:rsidP="00951AFC">
      <w:pPr>
        <w:pStyle w:val="Body"/>
      </w:pPr>
      <w:r w:rsidRPr="00023E15">
        <w:t>The Level-2 analysis may be used to confirm or validate chemicals identified as “of low concern”, based on considering different pathways and exposure scenarios (typical of deep groundwater) than what would be considered under the Level-1 “identification of chemicals of low concern”. This validation is appropriate because previous coal seam gas related assessments (DoEE 2017b, NICNAS 2017b) only considered surface environments (soil and surface water) and shallow groundwater, whereas deep groundwater conditions pose different biogeochemical conditions that may result in different attenuation, and possibly different pathways. Inclusion of these chemicals also allows for testing and validation of the deeper groundwater methods as, based on the conceptual model, it is considered unlikely that risk quotients will increase in deeper groundwater environments when compared to the shallow environments tested previously (NICNAS 2017b).</w:t>
      </w:r>
    </w:p>
    <w:p w14:paraId="71BC11CB" w14:textId="77777777" w:rsidR="00951AFC" w:rsidRDefault="00951AFC" w:rsidP="00951AFC">
      <w:pPr>
        <w:pStyle w:val="Body"/>
      </w:pPr>
      <w:r w:rsidRPr="00023E15">
        <w:t>Note that the output of the Level-2 analysis is a Dilution Attenuation Factor – DAF (i.e. the reciprocal of concentration at the receptor for a hypothetical unit chemical concentration at the source), which allows ranking of the chemicals in terms of their potential for exposure and attenuation. Typically, chemicals with a high potential for exposure will have a low potential for attenuation; conversely, chemicals displaying a low potential for exposure likely have a high potential for attenuation.</w:t>
      </w:r>
      <w:r>
        <w:t xml:space="preserve"> </w:t>
      </w:r>
    </w:p>
    <w:p w14:paraId="33AC201D" w14:textId="77777777" w:rsidR="00E61C5D" w:rsidRPr="00E6110F" w:rsidRDefault="00E61C5D" w:rsidP="00DD7BD5">
      <w:pPr>
        <w:pStyle w:val="Heading3"/>
      </w:pPr>
      <w:bookmarkStart w:id="109" w:name="_Toc494444501"/>
      <w:r w:rsidRPr="00E6110F">
        <w:t>Description of selected chemicals</w:t>
      </w:r>
      <w:bookmarkEnd w:id="109"/>
    </w:p>
    <w:p w14:paraId="6D58C9AE" w14:textId="77777777" w:rsidR="00E61C5D" w:rsidRPr="00E6110F" w:rsidRDefault="00E61C5D" w:rsidP="00E61C5D">
      <w:pPr>
        <w:pStyle w:val="Heading3"/>
        <w:numPr>
          <w:ilvl w:val="3"/>
          <w:numId w:val="1"/>
        </w:numPr>
      </w:pPr>
      <w:bookmarkStart w:id="110" w:name="_Toc494444502"/>
      <w:r w:rsidRPr="00E6110F">
        <w:t>2-</w:t>
      </w:r>
      <w:r>
        <w:t>M</w:t>
      </w:r>
      <w:r w:rsidRPr="00E6110F">
        <w:t>ethylphenol</w:t>
      </w:r>
      <w:bookmarkEnd w:id="110"/>
    </w:p>
    <w:p w14:paraId="023E0D8E" w14:textId="77777777" w:rsidR="00E61C5D" w:rsidRPr="00E6110F" w:rsidRDefault="00E61C5D" w:rsidP="00E61C5D">
      <w:pPr>
        <w:pStyle w:val="Body"/>
      </w:pPr>
      <w:r w:rsidRPr="00E6110F">
        <w:t>Phenolic compounds such as phenol and 2-methylphenol have been observed in both low-rank and bituminous coals (Siskin and Aczel 1983) and these are likely to be derived from cleavage of aromatic compounds as well as transformation of plant cell walls under high pressure and temperature during coal formation. In the US phenolic compounds such as dimethylphenol have been detected in coal seam gas produced water in concentrations up to 5.89 mg/L (Orem et al. 2007). Phenol was detected at a level of 0.3 μg/L in Australian coal seam gas water holding ponds of the Walloon production area (Stearman et al. 2014). Specific drinking water guidelines for phenols currently do not exist (Orem et al. 2007; NHMRC and NHMMC 2011; WHO 2011). Therefore, the effect of chronic, long-term exposure to phenolic compounds is not well established. For the protection of aquatic life in freshwater ecosystems a threshold of 4.0 µg/L was recommend</w:t>
      </w:r>
      <w:r>
        <w:t>ed</w:t>
      </w:r>
      <w:r w:rsidRPr="00E6110F">
        <w:t xml:space="preserve"> by the Canadian Council of Ministers of the Environment (CCME 1999</w:t>
      </w:r>
      <w:r>
        <w:t>a</w:t>
      </w:r>
      <w:r w:rsidRPr="00E6110F">
        <w:t xml:space="preserve">). For aquatic ecosystem protection (95% protection level) the Australia </w:t>
      </w:r>
      <w:r>
        <w:t>and</w:t>
      </w:r>
      <w:r w:rsidRPr="00E6110F">
        <w:t xml:space="preserve"> New Zealand water quality guideline for phenol is 320 µg/L (ANZECC</w:t>
      </w:r>
      <w:r>
        <w:t>/</w:t>
      </w:r>
      <w:r w:rsidRPr="00E6110F">
        <w:t>ARMCANZ 2000).</w:t>
      </w:r>
    </w:p>
    <w:p w14:paraId="219A9F15" w14:textId="77777777" w:rsidR="00E61C5D" w:rsidRPr="00E6110F" w:rsidRDefault="00E61C5D" w:rsidP="00E61C5D">
      <w:pPr>
        <w:pStyle w:val="Heading3"/>
        <w:numPr>
          <w:ilvl w:val="3"/>
          <w:numId w:val="1"/>
        </w:numPr>
      </w:pPr>
      <w:bookmarkStart w:id="111" w:name="_Toc494444503"/>
      <w:r w:rsidRPr="00E6110F">
        <w:t>Naphthalene</w:t>
      </w:r>
      <w:bookmarkEnd w:id="111"/>
    </w:p>
    <w:p w14:paraId="43D5BFB3" w14:textId="77777777" w:rsidR="00E61C5D" w:rsidRPr="00E6110F" w:rsidRDefault="00E61C5D" w:rsidP="00E61C5D">
      <w:pPr>
        <w:pStyle w:val="Body"/>
      </w:pPr>
      <w:r w:rsidRPr="00E6110F">
        <w:t>PAHs such as naphthalene belong to the naturally occurring compounds also known as geogenic compounds. Owing to their low water solubility (d</w:t>
      </w:r>
      <w:r w:rsidRPr="00E6110F">
        <w:rPr>
          <w:rFonts w:cs="AdvOT863180fb"/>
        </w:rPr>
        <w:t xml:space="preserve">e Maagd et al. 1998), </w:t>
      </w:r>
      <w:r w:rsidRPr="00E6110F">
        <w:t xml:space="preserve">PAH contamination of water is generally considered to be of lesser concern. Nevertheless, they are of significance due to the known hazards, such as carcinogenicity, that they can present for human and environmental health (EC 2003). For aquatic ecosystem protection (95% protection level) the Australia </w:t>
      </w:r>
      <w:r>
        <w:t>and</w:t>
      </w:r>
      <w:r w:rsidRPr="00E6110F">
        <w:t xml:space="preserve"> New Zealand water quality guideline for naphthalene is 16 µg/L (ANZECC</w:t>
      </w:r>
      <w:r>
        <w:t>/</w:t>
      </w:r>
      <w:r w:rsidRPr="00E6110F">
        <w:t>ARMCANZ 2000). Analysis of coal seam gas produced waters from the Powder River Basin (WY, USA) indicated PAHs were the most commonly observed group of organic compounds; total PAH concentrations ranged up to 23 μg/L (Orem et al. 2007). In a more recent study total PAH concentrations in coal seam gas produced water from the US were shown to exceed 50 -100 μg/L (Orem et al. 2014). Based on 47 sampled wells of the Walloon coal seam gas production area, Stearman et al. (2014) reported only seven wells with detectable levels of PAHs, including naphthalene and phenanthrene. The maximum naphthalene and phenanthrene concentrations from a single well were 0.046 μg/L and 0.02 μg/L, respectively. Of all detected PAHs, naphthalene was detected at the highest concentration. Naphthalene was detected at a level of 0.06 μg/L in Australian coal seam gas water holding ponds of the Walloon production area (Stearman et al. 2014).</w:t>
      </w:r>
    </w:p>
    <w:p w14:paraId="44A20970" w14:textId="77777777" w:rsidR="00E61C5D" w:rsidRDefault="00E61C5D" w:rsidP="00D220EC">
      <w:pPr>
        <w:pStyle w:val="Body"/>
      </w:pPr>
    </w:p>
    <w:p w14:paraId="1750E222" w14:textId="77777777" w:rsidR="00E61C5D" w:rsidRDefault="00E61C5D" w:rsidP="00D220EC">
      <w:pPr>
        <w:pStyle w:val="Body"/>
      </w:pPr>
    </w:p>
    <w:p w14:paraId="35AC1259" w14:textId="77777777" w:rsidR="00E61C5D" w:rsidRDefault="00E61C5D" w:rsidP="00D220EC">
      <w:pPr>
        <w:pStyle w:val="Body"/>
      </w:pPr>
    </w:p>
    <w:p w14:paraId="5814A6E2" w14:textId="77777777" w:rsidR="00E61C5D" w:rsidRDefault="00E61C5D" w:rsidP="00D220EC">
      <w:pPr>
        <w:pStyle w:val="Body"/>
      </w:pPr>
    </w:p>
    <w:p w14:paraId="63D2DE6E" w14:textId="77777777" w:rsidR="00E61C5D" w:rsidRPr="00E6110F" w:rsidRDefault="00E61C5D" w:rsidP="00D220EC">
      <w:pPr>
        <w:pStyle w:val="Body"/>
        <w:sectPr w:rsidR="00E61C5D" w:rsidRPr="00E6110F" w:rsidSect="000C6D85">
          <w:pgSz w:w="11900" w:h="16840"/>
          <w:pgMar w:top="1440" w:right="1440" w:bottom="1440" w:left="1440" w:header="0" w:footer="0" w:gutter="0"/>
          <w:cols w:space="284"/>
          <w:noEndnote/>
          <w:docGrid w:linePitch="326"/>
        </w:sectPr>
      </w:pPr>
    </w:p>
    <w:p w14:paraId="5C6138FF" w14:textId="27AF6158" w:rsidR="004709BE" w:rsidRPr="00E6110F" w:rsidRDefault="002A4828" w:rsidP="002A4828">
      <w:pPr>
        <w:pStyle w:val="Imagecaption"/>
        <w:keepNext/>
        <w:pBdr>
          <w:top w:val="none" w:sz="0" w:space="0" w:color="auto"/>
        </w:pBdr>
      </w:pPr>
      <w:bookmarkStart w:id="112" w:name="_Ref446683392"/>
      <w:bookmarkStart w:id="113" w:name="_Toc494444696"/>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6</w:t>
      </w:r>
      <w:r w:rsidR="00470577">
        <w:fldChar w:fldCharType="end"/>
      </w:r>
      <w:bookmarkEnd w:id="112"/>
      <w:r w:rsidRPr="00E6110F">
        <w:t xml:space="preserve">. </w:t>
      </w:r>
      <w:r w:rsidR="004709BE" w:rsidRPr="00E6110F">
        <w:t>Chemicals selected for screening and attenuation analysis</w:t>
      </w:r>
      <w:r w:rsidR="00284576" w:rsidRPr="00E6110F">
        <w:t>.</w:t>
      </w:r>
      <w:r w:rsidR="00F734A2">
        <w:t xml:space="preserve"> NCA = </w:t>
      </w:r>
      <w:r w:rsidR="00F734A2" w:rsidRPr="00F734A2">
        <w:t>National Assessment of Chemicals Associated with Coal Seam Gas Extraction in Australia</w:t>
      </w:r>
      <w:bookmarkEnd w:id="113"/>
    </w:p>
    <w:tbl>
      <w:tblPr>
        <w:tblStyle w:val="TableGrid"/>
        <w:tblW w:w="13036" w:type="dxa"/>
        <w:tblLayout w:type="fixed"/>
        <w:tblLook w:val="04A0" w:firstRow="1" w:lastRow="0" w:firstColumn="1" w:lastColumn="0" w:noHBand="0" w:noVBand="1"/>
      </w:tblPr>
      <w:tblGrid>
        <w:gridCol w:w="694"/>
        <w:gridCol w:w="2238"/>
        <w:gridCol w:w="1174"/>
        <w:gridCol w:w="2268"/>
        <w:gridCol w:w="6662"/>
      </w:tblGrid>
      <w:tr w:rsidR="004709BE" w:rsidRPr="00E6110F" w14:paraId="37BEFBCF" w14:textId="77777777" w:rsidTr="00FA368A">
        <w:tc>
          <w:tcPr>
            <w:tcW w:w="694" w:type="dxa"/>
            <w:shd w:val="clear" w:color="auto" w:fill="F2F2F2" w:themeFill="background1" w:themeFillShade="F2"/>
          </w:tcPr>
          <w:p w14:paraId="20FA2B0E" w14:textId="77777777" w:rsidR="004709BE" w:rsidRPr="00E6110F" w:rsidRDefault="004709BE" w:rsidP="002A4828">
            <w:pPr>
              <w:pStyle w:val="Body"/>
            </w:pPr>
            <w:r w:rsidRPr="00E6110F">
              <w:t>No</w:t>
            </w:r>
          </w:p>
        </w:tc>
        <w:tc>
          <w:tcPr>
            <w:tcW w:w="2238" w:type="dxa"/>
            <w:shd w:val="clear" w:color="auto" w:fill="F2F2F2" w:themeFill="background1" w:themeFillShade="F2"/>
          </w:tcPr>
          <w:p w14:paraId="38527C1F" w14:textId="77777777" w:rsidR="004709BE" w:rsidRPr="00E6110F" w:rsidRDefault="004709BE" w:rsidP="002A4828">
            <w:pPr>
              <w:pStyle w:val="Body"/>
            </w:pPr>
            <w:r w:rsidRPr="00E6110F">
              <w:t>Name</w:t>
            </w:r>
          </w:p>
        </w:tc>
        <w:tc>
          <w:tcPr>
            <w:tcW w:w="1174" w:type="dxa"/>
            <w:shd w:val="clear" w:color="auto" w:fill="F2F2F2" w:themeFill="background1" w:themeFillShade="F2"/>
          </w:tcPr>
          <w:p w14:paraId="4F708867" w14:textId="77777777" w:rsidR="004709BE" w:rsidRPr="00E6110F" w:rsidRDefault="004709BE" w:rsidP="002A4828">
            <w:pPr>
              <w:pStyle w:val="Body"/>
            </w:pPr>
            <w:r w:rsidRPr="00E6110F">
              <w:t>CAS Number</w:t>
            </w:r>
          </w:p>
        </w:tc>
        <w:tc>
          <w:tcPr>
            <w:tcW w:w="2268" w:type="dxa"/>
            <w:shd w:val="clear" w:color="auto" w:fill="F2F2F2" w:themeFill="background1" w:themeFillShade="F2"/>
          </w:tcPr>
          <w:p w14:paraId="2B2DBAC6" w14:textId="77777777" w:rsidR="004709BE" w:rsidRPr="00E6110F" w:rsidRDefault="004709BE" w:rsidP="002A4828">
            <w:pPr>
              <w:pStyle w:val="Body"/>
            </w:pPr>
            <w:r w:rsidRPr="00E6110F">
              <w:t>Group (class)</w:t>
            </w:r>
          </w:p>
        </w:tc>
        <w:tc>
          <w:tcPr>
            <w:tcW w:w="6662" w:type="dxa"/>
            <w:shd w:val="clear" w:color="auto" w:fill="F2F2F2" w:themeFill="background1" w:themeFillShade="F2"/>
          </w:tcPr>
          <w:p w14:paraId="1463123A" w14:textId="77777777" w:rsidR="004709BE" w:rsidRPr="00E6110F" w:rsidRDefault="004709BE" w:rsidP="002A4828">
            <w:pPr>
              <w:pStyle w:val="Body"/>
            </w:pPr>
            <w:r w:rsidRPr="00E6110F">
              <w:t>Reasons for selection</w:t>
            </w:r>
          </w:p>
        </w:tc>
      </w:tr>
      <w:tr w:rsidR="004709BE" w:rsidRPr="00E6110F" w14:paraId="4EA0F07E" w14:textId="77777777" w:rsidTr="00FA368A">
        <w:tc>
          <w:tcPr>
            <w:tcW w:w="694" w:type="dxa"/>
          </w:tcPr>
          <w:p w14:paraId="34CF0BA4" w14:textId="77777777" w:rsidR="004709BE" w:rsidRPr="00E6110F" w:rsidRDefault="004709BE" w:rsidP="002A4828">
            <w:pPr>
              <w:pStyle w:val="Body"/>
            </w:pPr>
            <w:r w:rsidRPr="00E6110F">
              <w:t>1</w:t>
            </w:r>
          </w:p>
        </w:tc>
        <w:tc>
          <w:tcPr>
            <w:tcW w:w="2238" w:type="dxa"/>
          </w:tcPr>
          <w:p w14:paraId="05FE6B72" w14:textId="77777777" w:rsidR="004709BE" w:rsidRPr="00E6110F" w:rsidRDefault="004709BE" w:rsidP="002A4828">
            <w:pPr>
              <w:pStyle w:val="Body"/>
            </w:pPr>
            <w:r w:rsidRPr="00E6110F">
              <w:t>2-methylphenol (o-cresol)</w:t>
            </w:r>
          </w:p>
        </w:tc>
        <w:tc>
          <w:tcPr>
            <w:tcW w:w="1174" w:type="dxa"/>
          </w:tcPr>
          <w:p w14:paraId="0C6CB83A" w14:textId="77777777" w:rsidR="004709BE" w:rsidRPr="00E6110F" w:rsidRDefault="004709BE" w:rsidP="002A4828">
            <w:pPr>
              <w:pStyle w:val="Body"/>
            </w:pPr>
            <w:r w:rsidRPr="00E6110F">
              <w:t>95-48-7</w:t>
            </w:r>
          </w:p>
        </w:tc>
        <w:tc>
          <w:tcPr>
            <w:tcW w:w="2268" w:type="dxa"/>
          </w:tcPr>
          <w:p w14:paraId="41E44B4F" w14:textId="58710EED" w:rsidR="004709BE" w:rsidRPr="00E6110F" w:rsidRDefault="004709BE" w:rsidP="006772E5">
            <w:pPr>
              <w:pStyle w:val="Body"/>
            </w:pPr>
            <w:r w:rsidRPr="00E6110F">
              <w:t>Phenol/</w:t>
            </w:r>
            <w:r w:rsidR="006772E5">
              <w:t>c</w:t>
            </w:r>
            <w:r w:rsidR="006772E5" w:rsidRPr="00E6110F">
              <w:t xml:space="preserve">resols </w:t>
            </w:r>
            <w:r w:rsidRPr="00E6110F">
              <w:t>(Geogenic)</w:t>
            </w:r>
          </w:p>
        </w:tc>
        <w:tc>
          <w:tcPr>
            <w:tcW w:w="6662" w:type="dxa"/>
          </w:tcPr>
          <w:p w14:paraId="6E29DF0D" w14:textId="77777777" w:rsidR="004709BE" w:rsidRPr="00E6110F" w:rsidRDefault="004709BE" w:rsidP="002A4828">
            <w:pPr>
              <w:pStyle w:val="Body"/>
            </w:pPr>
            <w:r w:rsidRPr="00E6110F">
              <w:t>Identified based on previous work on Australian coal seams</w:t>
            </w:r>
          </w:p>
          <w:p w14:paraId="575EEF41" w14:textId="77777777" w:rsidR="004709BE" w:rsidRPr="00E6110F" w:rsidRDefault="004709BE" w:rsidP="002A4828">
            <w:pPr>
              <w:pStyle w:val="Body"/>
            </w:pPr>
            <w:r w:rsidRPr="00E6110F">
              <w:t>Greater likelihood of detection</w:t>
            </w:r>
          </w:p>
          <w:p w14:paraId="700D826D" w14:textId="77777777" w:rsidR="004709BE" w:rsidRPr="00E6110F" w:rsidRDefault="004709BE" w:rsidP="002A4828">
            <w:pPr>
              <w:pStyle w:val="Body"/>
            </w:pPr>
            <w:r w:rsidRPr="00E6110F">
              <w:t xml:space="preserve">A toxic compound but no local water quality guidelines </w:t>
            </w:r>
          </w:p>
          <w:p w14:paraId="51518C6D" w14:textId="77777777" w:rsidR="004709BE" w:rsidRPr="00E6110F" w:rsidRDefault="004709BE" w:rsidP="002A4828">
            <w:pPr>
              <w:pStyle w:val="Body"/>
            </w:pPr>
            <w:r w:rsidRPr="00E6110F">
              <w:t>Medium mobility and low persistence</w:t>
            </w:r>
          </w:p>
          <w:p w14:paraId="4085231D" w14:textId="77777777" w:rsidR="004709BE" w:rsidRPr="00E6110F" w:rsidRDefault="004709BE" w:rsidP="002A4828">
            <w:pPr>
              <w:pStyle w:val="Body"/>
            </w:pPr>
            <w:r w:rsidRPr="00E6110F">
              <w:t>Good data availability</w:t>
            </w:r>
          </w:p>
        </w:tc>
      </w:tr>
      <w:tr w:rsidR="004709BE" w:rsidRPr="00E6110F" w14:paraId="72FFD098" w14:textId="77777777" w:rsidTr="00FA368A">
        <w:tc>
          <w:tcPr>
            <w:tcW w:w="694" w:type="dxa"/>
          </w:tcPr>
          <w:p w14:paraId="0F36ED44" w14:textId="77777777" w:rsidR="004709BE" w:rsidRPr="00E6110F" w:rsidRDefault="004709BE" w:rsidP="002A4828">
            <w:pPr>
              <w:pStyle w:val="Body"/>
            </w:pPr>
            <w:r w:rsidRPr="00E6110F">
              <w:t>2</w:t>
            </w:r>
          </w:p>
        </w:tc>
        <w:tc>
          <w:tcPr>
            <w:tcW w:w="2238" w:type="dxa"/>
          </w:tcPr>
          <w:p w14:paraId="4938F4DD" w14:textId="77777777" w:rsidR="004709BE" w:rsidRPr="00E6110F" w:rsidRDefault="004709BE" w:rsidP="002A4828">
            <w:pPr>
              <w:pStyle w:val="Body"/>
            </w:pPr>
            <w:r w:rsidRPr="00E6110F">
              <w:t>Naphthalene</w:t>
            </w:r>
          </w:p>
        </w:tc>
        <w:tc>
          <w:tcPr>
            <w:tcW w:w="1174" w:type="dxa"/>
          </w:tcPr>
          <w:p w14:paraId="29168DBD" w14:textId="77777777" w:rsidR="004709BE" w:rsidRPr="00E6110F" w:rsidRDefault="004709BE" w:rsidP="002A4828">
            <w:pPr>
              <w:pStyle w:val="Body"/>
            </w:pPr>
            <w:r w:rsidRPr="00E6110F">
              <w:t>91-20-3</w:t>
            </w:r>
          </w:p>
        </w:tc>
        <w:tc>
          <w:tcPr>
            <w:tcW w:w="2268" w:type="dxa"/>
          </w:tcPr>
          <w:p w14:paraId="61486220" w14:textId="77777777" w:rsidR="004709BE" w:rsidRPr="00E6110F" w:rsidRDefault="004709BE" w:rsidP="002A4828">
            <w:pPr>
              <w:pStyle w:val="Body"/>
            </w:pPr>
            <w:r w:rsidRPr="00E6110F">
              <w:t>PAH (Geogenic)</w:t>
            </w:r>
          </w:p>
        </w:tc>
        <w:tc>
          <w:tcPr>
            <w:tcW w:w="6662" w:type="dxa"/>
          </w:tcPr>
          <w:p w14:paraId="30E956FE" w14:textId="1818CADC" w:rsidR="004709BE" w:rsidRPr="00E6110F" w:rsidRDefault="0076265F" w:rsidP="002A4828">
            <w:pPr>
              <w:pStyle w:val="Body"/>
            </w:pPr>
            <w:r>
              <w:t>Naphthalene r</w:t>
            </w:r>
            <w:r w:rsidR="004709BE" w:rsidRPr="00E6110F">
              <w:t>epresent</w:t>
            </w:r>
            <w:r>
              <w:t xml:space="preserve">s a broader class of polycyclic aromatic hydrocarbons which are an important </w:t>
            </w:r>
            <w:r w:rsidR="004709BE" w:rsidRPr="00E6110F">
              <w:t xml:space="preserve">class </w:t>
            </w:r>
            <w:r>
              <w:t>of g</w:t>
            </w:r>
            <w:r w:rsidR="004709BE" w:rsidRPr="00E6110F">
              <w:t>eogenic compounds</w:t>
            </w:r>
          </w:p>
          <w:p w14:paraId="02BB214C" w14:textId="77777777" w:rsidR="004709BE" w:rsidRPr="00E6110F" w:rsidRDefault="004709BE" w:rsidP="002A4828">
            <w:pPr>
              <w:pStyle w:val="Body"/>
            </w:pPr>
            <w:r w:rsidRPr="00E6110F">
              <w:t>Low mobility and moderate persistence</w:t>
            </w:r>
          </w:p>
          <w:p w14:paraId="5FF91DF9" w14:textId="77777777" w:rsidR="004709BE" w:rsidRPr="00E6110F" w:rsidRDefault="004709BE" w:rsidP="002A4828">
            <w:pPr>
              <w:pStyle w:val="Body"/>
            </w:pPr>
            <w:r w:rsidRPr="00E6110F">
              <w:t xml:space="preserve">Good data available in literature  </w:t>
            </w:r>
          </w:p>
        </w:tc>
      </w:tr>
      <w:tr w:rsidR="004709BE" w:rsidRPr="00E6110F" w14:paraId="303E6345" w14:textId="77777777" w:rsidTr="00FA368A">
        <w:tc>
          <w:tcPr>
            <w:tcW w:w="694" w:type="dxa"/>
          </w:tcPr>
          <w:p w14:paraId="5AF240B7" w14:textId="308FFAD4" w:rsidR="004709BE" w:rsidRPr="00E6110F" w:rsidRDefault="004709BE" w:rsidP="00821F3B">
            <w:pPr>
              <w:pStyle w:val="Body"/>
            </w:pPr>
            <w:r w:rsidRPr="00E6110F">
              <w:t>3-</w:t>
            </w:r>
            <w:r w:rsidR="00821F3B">
              <w:t>5</w:t>
            </w:r>
          </w:p>
        </w:tc>
        <w:tc>
          <w:tcPr>
            <w:tcW w:w="2238" w:type="dxa"/>
          </w:tcPr>
          <w:p w14:paraId="1AA9A318" w14:textId="4A707CD0" w:rsidR="004709BE" w:rsidRPr="00E6110F" w:rsidRDefault="004709BE" w:rsidP="006772E5">
            <w:pPr>
              <w:pStyle w:val="Body"/>
            </w:pPr>
            <w:r w:rsidRPr="00E6110F">
              <w:t xml:space="preserve">Uranium, </w:t>
            </w:r>
            <w:r w:rsidR="006772E5">
              <w:t>b</w:t>
            </w:r>
            <w:r w:rsidR="006772E5" w:rsidRPr="00E6110F">
              <w:t>arium</w:t>
            </w:r>
            <w:r w:rsidRPr="00E6110F">
              <w:t xml:space="preserve">, </w:t>
            </w:r>
            <w:r w:rsidR="006772E5">
              <w:t>a</w:t>
            </w:r>
            <w:r w:rsidR="006772E5" w:rsidRPr="00E6110F">
              <w:t xml:space="preserve">rsenic </w:t>
            </w:r>
          </w:p>
        </w:tc>
        <w:tc>
          <w:tcPr>
            <w:tcW w:w="1174" w:type="dxa"/>
          </w:tcPr>
          <w:p w14:paraId="78E297CC" w14:textId="77777777" w:rsidR="004709BE" w:rsidRPr="00E6110F" w:rsidRDefault="00900E5C" w:rsidP="002A4828">
            <w:pPr>
              <w:pStyle w:val="Body"/>
            </w:pPr>
            <w:hyperlink r:id="rId41" w:tooltip="7440-61-1" w:history="1">
              <w:r w:rsidR="004709BE" w:rsidRPr="00E6110F">
                <w:t>7440-61-1</w:t>
              </w:r>
            </w:hyperlink>
            <w:r w:rsidR="004709BE" w:rsidRPr="00E6110F">
              <w:t>,</w:t>
            </w:r>
          </w:p>
          <w:p w14:paraId="27E66346" w14:textId="77777777" w:rsidR="004709BE" w:rsidRPr="00E6110F" w:rsidRDefault="00900E5C" w:rsidP="002A4828">
            <w:pPr>
              <w:pStyle w:val="Body"/>
            </w:pPr>
            <w:hyperlink r:id="rId42" w:tooltip="7440-39-3" w:history="1">
              <w:r w:rsidR="004709BE" w:rsidRPr="00E6110F">
                <w:t>7440-39-3</w:t>
              </w:r>
            </w:hyperlink>
            <w:r w:rsidR="004709BE" w:rsidRPr="00E6110F">
              <w:t>,</w:t>
            </w:r>
          </w:p>
          <w:p w14:paraId="4C7B3923" w14:textId="77777777" w:rsidR="004709BE" w:rsidRPr="00E6110F" w:rsidRDefault="00900E5C" w:rsidP="002A4828">
            <w:pPr>
              <w:pStyle w:val="Body"/>
            </w:pPr>
            <w:hyperlink r:id="rId43" w:tooltip="7440-38-2" w:history="1">
              <w:r w:rsidR="004709BE" w:rsidRPr="00E6110F">
                <w:t>7440-38-2</w:t>
              </w:r>
            </w:hyperlink>
          </w:p>
          <w:p w14:paraId="2E4BE336" w14:textId="77777777" w:rsidR="004709BE" w:rsidRPr="00E6110F" w:rsidRDefault="004709BE" w:rsidP="002A4828">
            <w:pPr>
              <w:pStyle w:val="Body"/>
            </w:pPr>
          </w:p>
          <w:p w14:paraId="30584CE2" w14:textId="77777777" w:rsidR="004709BE" w:rsidRPr="00E6110F" w:rsidRDefault="004709BE" w:rsidP="002A4828">
            <w:pPr>
              <w:pStyle w:val="Body"/>
            </w:pPr>
          </w:p>
        </w:tc>
        <w:tc>
          <w:tcPr>
            <w:tcW w:w="2268" w:type="dxa"/>
          </w:tcPr>
          <w:p w14:paraId="468A51C5" w14:textId="77777777" w:rsidR="004709BE" w:rsidRPr="00E6110F" w:rsidRDefault="004709BE" w:rsidP="002A4828">
            <w:pPr>
              <w:pStyle w:val="Body"/>
            </w:pPr>
            <w:r w:rsidRPr="00E6110F">
              <w:t>Inorganics/ radionuclides (Geogenic)</w:t>
            </w:r>
          </w:p>
        </w:tc>
        <w:tc>
          <w:tcPr>
            <w:tcW w:w="6662" w:type="dxa"/>
          </w:tcPr>
          <w:p w14:paraId="436FB9F9" w14:textId="22E2B5B8" w:rsidR="004709BE" w:rsidRPr="00E6110F" w:rsidRDefault="004709BE" w:rsidP="0076265F">
            <w:pPr>
              <w:pStyle w:val="Body"/>
            </w:pPr>
            <w:r w:rsidRPr="00E6110F">
              <w:t>Identified based on our previous work on geogenic contaminants release from Australian coal seams. Arsenic is a contaminant of general of concern in groundwater systems. U</w:t>
            </w:r>
            <w:r w:rsidR="0076265F">
              <w:t>ranium</w:t>
            </w:r>
            <w:r w:rsidRPr="00E6110F">
              <w:t xml:space="preserve"> represents a common coal-derived radionuclide. Boron and Barium were detected at relatively high concentrations in the geogenic contaminants work.</w:t>
            </w:r>
          </w:p>
        </w:tc>
      </w:tr>
      <w:tr w:rsidR="004709BE" w:rsidRPr="00E6110F" w14:paraId="394104B4" w14:textId="77777777" w:rsidTr="00FA368A">
        <w:tc>
          <w:tcPr>
            <w:tcW w:w="694" w:type="dxa"/>
          </w:tcPr>
          <w:p w14:paraId="6473116D" w14:textId="0BD35A7A" w:rsidR="004709BE" w:rsidRPr="00E6110F" w:rsidRDefault="00821F3B" w:rsidP="002A4828">
            <w:pPr>
              <w:pStyle w:val="Body"/>
            </w:pPr>
            <w:r>
              <w:t>6</w:t>
            </w:r>
          </w:p>
        </w:tc>
        <w:tc>
          <w:tcPr>
            <w:tcW w:w="2238" w:type="dxa"/>
          </w:tcPr>
          <w:p w14:paraId="2D7067C1" w14:textId="77777777" w:rsidR="004709BE" w:rsidRPr="00E6110F" w:rsidRDefault="004709BE" w:rsidP="002A4828">
            <w:pPr>
              <w:pStyle w:val="Body"/>
            </w:pPr>
            <w:r w:rsidRPr="00E6110F">
              <w:t>HMX</w:t>
            </w:r>
          </w:p>
        </w:tc>
        <w:tc>
          <w:tcPr>
            <w:tcW w:w="1174" w:type="dxa"/>
          </w:tcPr>
          <w:p w14:paraId="4C4912D5" w14:textId="594E006D" w:rsidR="004709BE" w:rsidRPr="00E6110F" w:rsidRDefault="00900E5C" w:rsidP="002A4828">
            <w:pPr>
              <w:pStyle w:val="Body"/>
            </w:pPr>
            <w:hyperlink r:id="rId44" w:history="1">
              <w:r w:rsidR="004709BE" w:rsidRPr="00E6110F">
                <w:t>2691-41-0</w:t>
              </w:r>
            </w:hyperlink>
          </w:p>
          <w:p w14:paraId="2A64464E" w14:textId="77777777" w:rsidR="004709BE" w:rsidRPr="00E6110F" w:rsidRDefault="004709BE" w:rsidP="002A4828">
            <w:pPr>
              <w:pStyle w:val="Body"/>
            </w:pPr>
          </w:p>
          <w:p w14:paraId="63E9D867" w14:textId="77777777" w:rsidR="004709BE" w:rsidRPr="00E6110F" w:rsidRDefault="004709BE" w:rsidP="002A4828">
            <w:pPr>
              <w:pStyle w:val="Body"/>
            </w:pPr>
          </w:p>
        </w:tc>
        <w:tc>
          <w:tcPr>
            <w:tcW w:w="2268" w:type="dxa"/>
          </w:tcPr>
          <w:p w14:paraId="1D1FDEDB" w14:textId="77777777" w:rsidR="004709BE" w:rsidRPr="00E6110F" w:rsidRDefault="004709BE" w:rsidP="002A4828">
            <w:pPr>
              <w:pStyle w:val="Body"/>
            </w:pPr>
            <w:r w:rsidRPr="00E6110F">
              <w:t xml:space="preserve">Explosives </w:t>
            </w:r>
          </w:p>
          <w:p w14:paraId="6AB53F90" w14:textId="45B2A231" w:rsidR="004709BE" w:rsidRPr="00E6110F" w:rsidRDefault="004709BE" w:rsidP="008C6864">
            <w:pPr>
              <w:pStyle w:val="Body"/>
            </w:pPr>
            <w:r w:rsidRPr="00E6110F">
              <w:t>(</w:t>
            </w:r>
            <w:r w:rsidR="008C6864">
              <w:t>D</w:t>
            </w:r>
            <w:r w:rsidRPr="00E6110F">
              <w:t>rilling chemical)</w:t>
            </w:r>
          </w:p>
        </w:tc>
        <w:tc>
          <w:tcPr>
            <w:tcW w:w="6662" w:type="dxa"/>
          </w:tcPr>
          <w:p w14:paraId="46546682" w14:textId="77777777" w:rsidR="004709BE" w:rsidRPr="00E6110F" w:rsidRDefault="004709BE" w:rsidP="002A4828">
            <w:pPr>
              <w:pStyle w:val="Body"/>
            </w:pPr>
            <w:r w:rsidRPr="00E6110F">
              <w:t xml:space="preserve">A nitroamine compound with interesting chemistry </w:t>
            </w:r>
          </w:p>
          <w:p w14:paraId="2EED51FC" w14:textId="77777777" w:rsidR="004709BE" w:rsidRPr="00E6110F" w:rsidRDefault="004709BE" w:rsidP="002A4828">
            <w:pPr>
              <w:pStyle w:val="Body"/>
            </w:pPr>
            <w:r w:rsidRPr="00E6110F">
              <w:t>Minerals may play a role in its mobility</w:t>
            </w:r>
          </w:p>
          <w:p w14:paraId="616EF255" w14:textId="77777777" w:rsidR="004709BE" w:rsidRPr="00E6110F" w:rsidRDefault="004709BE" w:rsidP="002A4828">
            <w:pPr>
              <w:pStyle w:val="Body"/>
            </w:pPr>
            <w:r w:rsidRPr="00E6110F">
              <w:t>Moderate mobility, high persistence</w:t>
            </w:r>
          </w:p>
          <w:p w14:paraId="78539326" w14:textId="77777777" w:rsidR="004709BE" w:rsidRPr="00E6110F" w:rsidRDefault="004709BE" w:rsidP="002A4828">
            <w:pPr>
              <w:pStyle w:val="Body"/>
            </w:pPr>
          </w:p>
        </w:tc>
      </w:tr>
      <w:tr w:rsidR="004709BE" w:rsidRPr="00E6110F" w14:paraId="1F4D019A" w14:textId="77777777" w:rsidTr="00FA368A">
        <w:tc>
          <w:tcPr>
            <w:tcW w:w="694" w:type="dxa"/>
          </w:tcPr>
          <w:p w14:paraId="0E5E3673" w14:textId="0717FC87" w:rsidR="004709BE" w:rsidRPr="00E6110F" w:rsidRDefault="00821F3B" w:rsidP="002A4828">
            <w:pPr>
              <w:pStyle w:val="Body"/>
            </w:pPr>
            <w:r>
              <w:t>7</w:t>
            </w:r>
            <w:r w:rsidR="004709BE" w:rsidRPr="00E6110F">
              <w:t xml:space="preserve"> </w:t>
            </w:r>
          </w:p>
        </w:tc>
        <w:tc>
          <w:tcPr>
            <w:tcW w:w="2238" w:type="dxa"/>
          </w:tcPr>
          <w:p w14:paraId="4F5B9113" w14:textId="77777777" w:rsidR="004709BE" w:rsidRPr="00E6110F" w:rsidRDefault="004709BE" w:rsidP="002A4828">
            <w:pPr>
              <w:pStyle w:val="Body"/>
            </w:pPr>
            <w:r w:rsidRPr="00E6110F">
              <w:t>2-butoxyethanol</w:t>
            </w:r>
          </w:p>
        </w:tc>
        <w:tc>
          <w:tcPr>
            <w:tcW w:w="1174" w:type="dxa"/>
          </w:tcPr>
          <w:p w14:paraId="06D961B1" w14:textId="77777777" w:rsidR="004709BE" w:rsidRPr="00E6110F" w:rsidRDefault="004709BE" w:rsidP="002A4828">
            <w:pPr>
              <w:pStyle w:val="Body"/>
            </w:pPr>
            <w:r w:rsidRPr="00E6110F">
              <w:t>111-76-2</w:t>
            </w:r>
          </w:p>
        </w:tc>
        <w:tc>
          <w:tcPr>
            <w:tcW w:w="2268" w:type="dxa"/>
          </w:tcPr>
          <w:p w14:paraId="5C858A55" w14:textId="77777777" w:rsidR="004709BE" w:rsidRPr="00E6110F" w:rsidRDefault="004709BE" w:rsidP="002A4828">
            <w:pPr>
              <w:pStyle w:val="Body"/>
            </w:pPr>
            <w:r w:rsidRPr="00E6110F">
              <w:t>Surfactant</w:t>
            </w:r>
          </w:p>
          <w:p w14:paraId="793B04A4" w14:textId="77777777" w:rsidR="00CA7036" w:rsidRDefault="004709BE" w:rsidP="002A4828">
            <w:pPr>
              <w:pStyle w:val="Body"/>
            </w:pPr>
            <w:r w:rsidRPr="00E6110F">
              <w:t xml:space="preserve">(HF chemical) </w:t>
            </w:r>
          </w:p>
          <w:p w14:paraId="3BECF009" w14:textId="7145BABC" w:rsidR="00870052" w:rsidRDefault="004709BE" w:rsidP="002A4828">
            <w:pPr>
              <w:pStyle w:val="Body"/>
            </w:pPr>
            <w:r w:rsidRPr="00E6110F">
              <w:t xml:space="preserve">NCA </w:t>
            </w:r>
            <w:r w:rsidR="00E1727D">
              <w:t>(</w:t>
            </w:r>
            <w:r w:rsidR="00F734A2">
              <w:t xml:space="preserve">human health </w:t>
            </w:r>
            <w:r w:rsidR="00E1727D">
              <w:t>hazard screening)</w:t>
            </w:r>
            <w:r w:rsidR="001B2358">
              <w:t>:</w:t>
            </w:r>
            <w:r w:rsidR="00E1727D">
              <w:t xml:space="preserve"> </w:t>
            </w:r>
            <w:r w:rsidRPr="00E6110F">
              <w:t xml:space="preserve"> </w:t>
            </w:r>
            <w:r w:rsidR="00CA7036">
              <w:t>requiring further human health hazard assessment</w:t>
            </w:r>
            <w:r w:rsidR="00511866">
              <w:t>;</w:t>
            </w:r>
            <w:r w:rsidR="00870052">
              <w:t xml:space="preserve"> </w:t>
            </w:r>
          </w:p>
          <w:p w14:paraId="3A24EED7" w14:textId="5B55555F" w:rsidR="004709BE" w:rsidRDefault="00870052" w:rsidP="005D5567">
            <w:pPr>
              <w:pStyle w:val="Body"/>
            </w:pPr>
            <w:r>
              <w:t>NCA (</w:t>
            </w:r>
            <w:r w:rsidR="00F734A2">
              <w:t xml:space="preserve">human health </w:t>
            </w:r>
            <w:r>
              <w:t>hazard risk assessment)</w:t>
            </w:r>
            <w:r w:rsidR="00230855">
              <w:t xml:space="preserve">: </w:t>
            </w:r>
            <w:r w:rsidR="001B2358">
              <w:t xml:space="preserve">MOE indicates the chemical is unlikely to pose a risk of adverse health effects to workers (long-term occupational exposure); </w:t>
            </w:r>
            <w:r w:rsidR="00230855">
              <w:t>MOE suggest</w:t>
            </w:r>
            <w:r w:rsidR="001B2358">
              <w:t>s</w:t>
            </w:r>
            <w:r w:rsidR="00230855">
              <w:t xml:space="preserve"> a potential risk of adverse health effects for </w:t>
            </w:r>
            <w:r w:rsidR="00A52616">
              <w:t>long-term public exposures</w:t>
            </w:r>
            <w:r w:rsidR="0076265F">
              <w:t xml:space="preserve"> in the absence of standard risk managemetn measures</w:t>
            </w:r>
            <w:r w:rsidR="005D5567">
              <w:t>;</w:t>
            </w:r>
          </w:p>
          <w:p w14:paraId="0A18C037" w14:textId="0B6311D8" w:rsidR="005D5567" w:rsidRPr="00E6110F" w:rsidRDefault="00C003E5" w:rsidP="005D5567">
            <w:pPr>
              <w:pStyle w:val="Body"/>
            </w:pPr>
            <w:r>
              <w:t>NCA</w:t>
            </w:r>
            <w:r w:rsidR="00F734A2">
              <w:t xml:space="preserve"> (environment)</w:t>
            </w:r>
            <w:r>
              <w:t>:</w:t>
            </w:r>
            <w:r>
              <w:rPr>
                <w:rFonts w:cs="Arial"/>
              </w:rPr>
              <w:t xml:space="preserve"> </w:t>
            </w:r>
            <w:r w:rsidR="005D5567">
              <w:rPr>
                <w:rFonts w:cs="Arial"/>
              </w:rPr>
              <w:t>Assessed to be of low concern for the environment</w:t>
            </w:r>
          </w:p>
        </w:tc>
        <w:tc>
          <w:tcPr>
            <w:tcW w:w="6662" w:type="dxa"/>
          </w:tcPr>
          <w:p w14:paraId="7292AF95" w14:textId="77777777" w:rsidR="004709BE" w:rsidRPr="00E6110F" w:rsidRDefault="004709BE" w:rsidP="002A4828">
            <w:pPr>
              <w:pStyle w:val="Body"/>
            </w:pPr>
            <w:r w:rsidRPr="00E6110F">
              <w:t>Surfactant used as pre-flush hydraulic fracturing additive</w:t>
            </w:r>
          </w:p>
          <w:p w14:paraId="0066CA6A" w14:textId="0E1BCB5D" w:rsidR="004709BE" w:rsidRPr="00E6110F" w:rsidRDefault="004709BE" w:rsidP="002A4828">
            <w:pPr>
              <w:pStyle w:val="Body"/>
            </w:pPr>
            <w:r w:rsidRPr="00E6110F">
              <w:t xml:space="preserve">Can be of concern in </w:t>
            </w:r>
            <w:r w:rsidR="0076265F">
              <w:t xml:space="preserve">large, uncontrolled </w:t>
            </w:r>
            <w:r w:rsidRPr="00E6110F">
              <w:t>spill</w:t>
            </w:r>
            <w:r w:rsidR="0076265F">
              <w:t>s</w:t>
            </w:r>
          </w:p>
          <w:p w14:paraId="026FEB8D" w14:textId="2509B3EC" w:rsidR="004709BE" w:rsidRPr="00E6110F" w:rsidRDefault="004709BE" w:rsidP="002A4828">
            <w:pPr>
              <w:pStyle w:val="Body"/>
            </w:pPr>
            <w:r w:rsidRPr="00E6110F">
              <w:t>Very similar properties to 1</w:t>
            </w:r>
            <w:proofErr w:type="gramStart"/>
            <w:r w:rsidRPr="00E6110F">
              <w:t>,2</w:t>
            </w:r>
            <w:proofErr w:type="gramEnd"/>
            <w:r w:rsidRPr="00E6110F">
              <w:t xml:space="preserve"> </w:t>
            </w:r>
            <w:r w:rsidR="006772E5">
              <w:t>e</w:t>
            </w:r>
            <w:r w:rsidR="006772E5" w:rsidRPr="00E6110F">
              <w:t xml:space="preserve">thanediol </w:t>
            </w:r>
            <w:r w:rsidRPr="00E6110F">
              <w:t>(</w:t>
            </w:r>
            <w:r w:rsidR="006772E5">
              <w:t>e</w:t>
            </w:r>
            <w:r w:rsidR="006772E5" w:rsidRPr="00E6110F">
              <w:t xml:space="preserve">thylene </w:t>
            </w:r>
            <w:r w:rsidR="006772E5">
              <w:t>g</w:t>
            </w:r>
            <w:r w:rsidR="006772E5" w:rsidRPr="00E6110F">
              <w:t>lycol</w:t>
            </w:r>
            <w:r w:rsidRPr="00E6110F">
              <w:t>), CAS RN 107-21-1.</w:t>
            </w:r>
          </w:p>
          <w:p w14:paraId="1AAC25B1" w14:textId="77777777" w:rsidR="004709BE" w:rsidRPr="00E6110F" w:rsidRDefault="004709BE" w:rsidP="002A4828">
            <w:pPr>
              <w:pStyle w:val="Body"/>
            </w:pPr>
            <w:r w:rsidRPr="00E6110F">
              <w:t>High mobility and low persistence</w:t>
            </w:r>
          </w:p>
          <w:p w14:paraId="592EB242" w14:textId="77777777" w:rsidR="004709BE" w:rsidRPr="00E6110F" w:rsidRDefault="004709BE" w:rsidP="002A4828">
            <w:pPr>
              <w:pStyle w:val="Body"/>
            </w:pPr>
            <w:r w:rsidRPr="00E6110F">
              <w:t xml:space="preserve">Anaerobic pathway probable </w:t>
            </w:r>
          </w:p>
          <w:p w14:paraId="6F79660D" w14:textId="77777777" w:rsidR="004709BE" w:rsidRPr="00E6110F" w:rsidRDefault="004709BE" w:rsidP="002A4828">
            <w:pPr>
              <w:pStyle w:val="Body"/>
            </w:pPr>
            <w:r w:rsidRPr="00E6110F">
              <w:t>Some data available</w:t>
            </w:r>
          </w:p>
        </w:tc>
      </w:tr>
      <w:tr w:rsidR="004709BE" w:rsidRPr="00E6110F" w14:paraId="6FE33470" w14:textId="77777777" w:rsidTr="00FA368A">
        <w:tc>
          <w:tcPr>
            <w:tcW w:w="694" w:type="dxa"/>
          </w:tcPr>
          <w:p w14:paraId="6843349A" w14:textId="35EB8CE4" w:rsidR="004709BE" w:rsidRPr="00E6110F" w:rsidRDefault="00821F3B" w:rsidP="002A4828">
            <w:pPr>
              <w:pStyle w:val="Body"/>
            </w:pPr>
            <w:r>
              <w:t>8</w:t>
            </w:r>
          </w:p>
        </w:tc>
        <w:tc>
          <w:tcPr>
            <w:tcW w:w="2238" w:type="dxa"/>
          </w:tcPr>
          <w:p w14:paraId="7545F8F8" w14:textId="64518D12" w:rsidR="004709BE" w:rsidRPr="00E6110F" w:rsidRDefault="00821F3B" w:rsidP="002A4828">
            <w:pPr>
              <w:pStyle w:val="Body"/>
            </w:pPr>
            <w:r>
              <w:t>Bronopol</w:t>
            </w:r>
          </w:p>
        </w:tc>
        <w:tc>
          <w:tcPr>
            <w:tcW w:w="1174" w:type="dxa"/>
          </w:tcPr>
          <w:p w14:paraId="3158FD95" w14:textId="0C89DFDF" w:rsidR="004709BE" w:rsidRPr="00E6110F" w:rsidRDefault="004709BE" w:rsidP="002A4828">
            <w:pPr>
              <w:pStyle w:val="Body"/>
            </w:pPr>
            <w:r w:rsidRPr="00E6110F">
              <w:t xml:space="preserve">52-51-7 </w:t>
            </w:r>
          </w:p>
          <w:p w14:paraId="3E051672" w14:textId="77777777" w:rsidR="004709BE" w:rsidRPr="00E6110F" w:rsidRDefault="004709BE" w:rsidP="002A4828">
            <w:pPr>
              <w:pStyle w:val="Body"/>
            </w:pPr>
          </w:p>
        </w:tc>
        <w:tc>
          <w:tcPr>
            <w:tcW w:w="2268" w:type="dxa"/>
          </w:tcPr>
          <w:p w14:paraId="643ADAAB" w14:textId="58317352" w:rsidR="004709BE" w:rsidRPr="00E6110F" w:rsidRDefault="00821F3B" w:rsidP="002A4828">
            <w:pPr>
              <w:pStyle w:val="Body"/>
            </w:pPr>
            <w:r>
              <w:t>Biocide</w:t>
            </w:r>
          </w:p>
          <w:p w14:paraId="40E3C85C" w14:textId="7E3AD524" w:rsidR="004709BE" w:rsidRPr="00E6110F" w:rsidRDefault="004709BE" w:rsidP="002A4828">
            <w:pPr>
              <w:pStyle w:val="Body"/>
            </w:pPr>
            <w:r w:rsidRPr="00E6110F">
              <w:t>(HF chemical)</w:t>
            </w:r>
          </w:p>
          <w:p w14:paraId="162300EF" w14:textId="1B19B31D" w:rsidR="00870052" w:rsidRDefault="004709BE" w:rsidP="002A4828">
            <w:pPr>
              <w:pStyle w:val="Body"/>
            </w:pPr>
            <w:r w:rsidRPr="00E6110F">
              <w:t xml:space="preserve">NCA </w:t>
            </w:r>
            <w:r w:rsidR="00E1727D">
              <w:t>(</w:t>
            </w:r>
            <w:r w:rsidR="00F734A2">
              <w:t xml:space="preserve">human health </w:t>
            </w:r>
            <w:r w:rsidR="00E1727D">
              <w:t>hazard screening)</w:t>
            </w:r>
            <w:r w:rsidR="001B2358">
              <w:t>:</w:t>
            </w:r>
            <w:r w:rsidRPr="00E6110F">
              <w:t xml:space="preserve"> </w:t>
            </w:r>
            <w:r w:rsidR="00511866">
              <w:t>requiring further human health hazard assessment;</w:t>
            </w:r>
            <w:r w:rsidR="00511866" w:rsidRPr="00E6110F">
              <w:t xml:space="preserve"> </w:t>
            </w:r>
          </w:p>
          <w:p w14:paraId="68CE0401" w14:textId="73B90C41" w:rsidR="00870052" w:rsidRDefault="00870052" w:rsidP="002A4828">
            <w:pPr>
              <w:pStyle w:val="Body"/>
            </w:pPr>
            <w:r>
              <w:t>NCA (</w:t>
            </w:r>
            <w:r w:rsidR="00F734A2">
              <w:t xml:space="preserve">human health </w:t>
            </w:r>
            <w:r>
              <w:t>hazard risk assessment):</w:t>
            </w:r>
            <w:r w:rsidR="00230855">
              <w:t xml:space="preserve"> MOE suggest</w:t>
            </w:r>
            <w:r w:rsidR="001B2358">
              <w:t>s</w:t>
            </w:r>
            <w:r w:rsidR="00230855">
              <w:t xml:space="preserve"> a potential risk of adverse health effects for workers</w:t>
            </w:r>
            <w:r w:rsidR="0076265F">
              <w:t xml:space="preserve"> in the absence of standard risk management measures</w:t>
            </w:r>
            <w:r w:rsidR="001B2358">
              <w:t>; MOE indicates the chemical is unlikely to pose a risk of adverse health effects for</w:t>
            </w:r>
            <w:r w:rsidR="001B2358" w:rsidRPr="00A21590">
              <w:t xml:space="preserve"> </w:t>
            </w:r>
            <w:r w:rsidR="001B2358">
              <w:t>long-term public exposures</w:t>
            </w:r>
          </w:p>
          <w:p w14:paraId="7D8A3D05" w14:textId="05543ADE" w:rsidR="004709BE" w:rsidRPr="00E6110F" w:rsidRDefault="00C003E5" w:rsidP="00F734A2">
            <w:pPr>
              <w:pStyle w:val="Body"/>
            </w:pPr>
            <w:r>
              <w:t>NCA</w:t>
            </w:r>
            <w:r w:rsidR="00F734A2">
              <w:t xml:space="preserve"> (environment)</w:t>
            </w:r>
            <w:r>
              <w:t>:</w:t>
            </w:r>
            <w:r>
              <w:rPr>
                <w:rFonts w:cs="Arial"/>
              </w:rPr>
              <w:t xml:space="preserve"> </w:t>
            </w:r>
            <w:r w:rsidR="00F734A2" w:rsidRPr="003B5041">
              <w:t>no</w:t>
            </w:r>
            <w:r w:rsidR="00F734A2">
              <w:t xml:space="preserve"> longer</w:t>
            </w:r>
            <w:r w:rsidR="00F734A2" w:rsidRPr="003B5041">
              <w:t xml:space="preserve"> in use as of July 2015</w:t>
            </w:r>
          </w:p>
        </w:tc>
        <w:tc>
          <w:tcPr>
            <w:tcW w:w="6662" w:type="dxa"/>
          </w:tcPr>
          <w:p w14:paraId="3B53F396" w14:textId="77777777" w:rsidR="004709BE" w:rsidRPr="00E6110F" w:rsidRDefault="004709BE" w:rsidP="002A4828">
            <w:pPr>
              <w:pStyle w:val="Body"/>
            </w:pPr>
            <w:r w:rsidRPr="00E6110F">
              <w:t>Biocides – toxic by design – environment concern</w:t>
            </w:r>
          </w:p>
          <w:p w14:paraId="1EB48441" w14:textId="77777777" w:rsidR="004709BE" w:rsidRPr="00E6110F" w:rsidRDefault="004709BE" w:rsidP="002A4828">
            <w:pPr>
              <w:pStyle w:val="Body"/>
            </w:pPr>
            <w:r w:rsidRPr="00E6110F">
              <w:t>Of concerns to workers (if safeguards not in place)</w:t>
            </w:r>
          </w:p>
          <w:p w14:paraId="0E428563" w14:textId="77777777" w:rsidR="004709BE" w:rsidRPr="00E6110F" w:rsidRDefault="004709BE" w:rsidP="002A4828">
            <w:pPr>
              <w:pStyle w:val="Body"/>
            </w:pPr>
            <w:r w:rsidRPr="00E6110F">
              <w:t>Very high mobility, moderate persistence</w:t>
            </w:r>
          </w:p>
          <w:p w14:paraId="2903DD4A" w14:textId="77777777" w:rsidR="004709BE" w:rsidRPr="00E6110F" w:rsidRDefault="004709BE" w:rsidP="002A4828">
            <w:pPr>
              <w:pStyle w:val="Body"/>
            </w:pPr>
            <w:r w:rsidRPr="00E6110F">
              <w:t>Bronopol transformation products (halonitromethanes) are more toxic</w:t>
            </w:r>
          </w:p>
          <w:p w14:paraId="144D2DD0" w14:textId="77777777" w:rsidR="004709BE" w:rsidRPr="00E6110F" w:rsidRDefault="004709BE" w:rsidP="002A4828">
            <w:pPr>
              <w:pStyle w:val="Body"/>
            </w:pPr>
            <w:r w:rsidRPr="00E6110F">
              <w:t>Some data available</w:t>
            </w:r>
          </w:p>
        </w:tc>
      </w:tr>
      <w:tr w:rsidR="004709BE" w:rsidRPr="00E6110F" w14:paraId="461F5D4A" w14:textId="77777777" w:rsidTr="00FA368A">
        <w:tc>
          <w:tcPr>
            <w:tcW w:w="694" w:type="dxa"/>
          </w:tcPr>
          <w:p w14:paraId="7A5FAF82" w14:textId="427C807E" w:rsidR="004709BE" w:rsidRPr="00E6110F" w:rsidRDefault="00821F3B" w:rsidP="002A4828">
            <w:pPr>
              <w:pStyle w:val="Body"/>
            </w:pPr>
            <w:r>
              <w:t>9</w:t>
            </w:r>
          </w:p>
        </w:tc>
        <w:tc>
          <w:tcPr>
            <w:tcW w:w="2238" w:type="dxa"/>
          </w:tcPr>
          <w:p w14:paraId="43DD1420" w14:textId="77777777" w:rsidR="004709BE" w:rsidRPr="00E6110F" w:rsidRDefault="004709BE" w:rsidP="002A4828">
            <w:pPr>
              <w:pStyle w:val="Body"/>
            </w:pPr>
            <w:r w:rsidRPr="00E6110F">
              <w:t>Methyl-chloro-isothiazolinone</w:t>
            </w:r>
          </w:p>
        </w:tc>
        <w:tc>
          <w:tcPr>
            <w:tcW w:w="1174" w:type="dxa"/>
          </w:tcPr>
          <w:p w14:paraId="1359D9E2" w14:textId="77777777" w:rsidR="004709BE" w:rsidRPr="00E6110F" w:rsidRDefault="004709BE" w:rsidP="002A4828">
            <w:pPr>
              <w:pStyle w:val="Body"/>
            </w:pPr>
            <w:r w:rsidRPr="00E6110F">
              <w:t>26172-55-4</w:t>
            </w:r>
          </w:p>
          <w:p w14:paraId="790866CD" w14:textId="77777777" w:rsidR="004709BE" w:rsidRPr="00E6110F" w:rsidRDefault="004709BE" w:rsidP="002A4828">
            <w:pPr>
              <w:pStyle w:val="Body"/>
            </w:pPr>
          </w:p>
        </w:tc>
        <w:tc>
          <w:tcPr>
            <w:tcW w:w="2268" w:type="dxa"/>
          </w:tcPr>
          <w:p w14:paraId="525CAD0C" w14:textId="77777777" w:rsidR="004709BE" w:rsidRPr="00E6110F" w:rsidRDefault="004709BE" w:rsidP="002A4828">
            <w:pPr>
              <w:pStyle w:val="Body"/>
            </w:pPr>
            <w:r w:rsidRPr="00E6110F">
              <w:t xml:space="preserve">Biocide </w:t>
            </w:r>
          </w:p>
          <w:p w14:paraId="486798D3" w14:textId="77777777" w:rsidR="004709BE" w:rsidRPr="00E6110F" w:rsidRDefault="004709BE" w:rsidP="002A4828">
            <w:pPr>
              <w:pStyle w:val="Body"/>
            </w:pPr>
            <w:r w:rsidRPr="00E6110F">
              <w:t>(HF chemical)</w:t>
            </w:r>
          </w:p>
          <w:p w14:paraId="312381DF" w14:textId="46639FDD" w:rsidR="004709BE" w:rsidRDefault="004709BE" w:rsidP="00CA7036">
            <w:pPr>
              <w:pStyle w:val="Body"/>
            </w:pPr>
            <w:r w:rsidRPr="00E6110F">
              <w:t>NCA</w:t>
            </w:r>
            <w:r w:rsidR="00CA7036">
              <w:t xml:space="preserve"> </w:t>
            </w:r>
            <w:r w:rsidR="00E1727D">
              <w:t>(</w:t>
            </w:r>
            <w:r w:rsidR="00F734A2">
              <w:t xml:space="preserve">human health </w:t>
            </w:r>
            <w:r w:rsidR="00E1727D">
              <w:t>hazard screening)</w:t>
            </w:r>
            <w:r w:rsidR="00432F53">
              <w:t>:</w:t>
            </w:r>
            <w:r w:rsidR="00CA7036">
              <w:t xml:space="preserve"> requiring further human health hazard assessment</w:t>
            </w:r>
          </w:p>
          <w:p w14:paraId="495EACF8" w14:textId="76F8BF2B" w:rsidR="00870052" w:rsidRPr="00E6110F" w:rsidRDefault="00870052" w:rsidP="00432F53">
            <w:pPr>
              <w:pStyle w:val="Body"/>
            </w:pPr>
            <w:r>
              <w:t>NCA (</w:t>
            </w:r>
            <w:r w:rsidR="00F734A2">
              <w:t xml:space="preserve">human health </w:t>
            </w:r>
            <w:r>
              <w:t>hazard risk assessment):</w:t>
            </w:r>
            <w:r w:rsidR="00230855">
              <w:t xml:space="preserve"> </w:t>
            </w:r>
            <w:r w:rsidR="00C06F06">
              <w:t>MOE indicate</w:t>
            </w:r>
            <w:r w:rsidR="00432F53">
              <w:t>s</w:t>
            </w:r>
            <w:r w:rsidR="00C06F06">
              <w:t xml:space="preserve"> the chemical is unlikely to pose a risk of adverse health effects</w:t>
            </w:r>
            <w:r w:rsidR="00432F53">
              <w:t xml:space="preserve"> for</w:t>
            </w:r>
            <w:r w:rsidR="00432F53" w:rsidRPr="00A21590">
              <w:t xml:space="preserve"> </w:t>
            </w:r>
            <w:r w:rsidR="00432F53">
              <w:t>long-term public exposures and to workers (long-term occupational exposure)</w:t>
            </w:r>
          </w:p>
        </w:tc>
        <w:tc>
          <w:tcPr>
            <w:tcW w:w="6662" w:type="dxa"/>
          </w:tcPr>
          <w:p w14:paraId="501E8986" w14:textId="77777777" w:rsidR="004709BE" w:rsidRPr="00E6110F" w:rsidRDefault="004709BE" w:rsidP="002A4828">
            <w:pPr>
              <w:pStyle w:val="Body"/>
            </w:pPr>
            <w:r w:rsidRPr="00E6110F">
              <w:t>Represent thiazole biocides</w:t>
            </w:r>
          </w:p>
          <w:p w14:paraId="3E8EB4F1" w14:textId="77777777" w:rsidR="004709BE" w:rsidRPr="00E6110F" w:rsidRDefault="004709BE" w:rsidP="002A4828">
            <w:pPr>
              <w:pStyle w:val="Body"/>
            </w:pPr>
            <w:r w:rsidRPr="00E6110F">
              <w:t>Used as a HF chemical for microbial control</w:t>
            </w:r>
          </w:p>
          <w:p w14:paraId="03C06489" w14:textId="77777777" w:rsidR="004709BE" w:rsidRPr="00E6110F" w:rsidRDefault="004709BE" w:rsidP="002A4828">
            <w:pPr>
              <w:pStyle w:val="Body"/>
            </w:pPr>
            <w:r w:rsidRPr="00E6110F">
              <w:t>High mobility, high persistence in water</w:t>
            </w:r>
          </w:p>
          <w:p w14:paraId="06DD8D3A" w14:textId="77777777" w:rsidR="004709BE" w:rsidRPr="00E6110F" w:rsidRDefault="004709BE" w:rsidP="002A4828">
            <w:pPr>
              <w:pStyle w:val="Body"/>
            </w:pPr>
            <w:r w:rsidRPr="00E6110F">
              <w:t>Anaerobic degradation possible</w:t>
            </w:r>
          </w:p>
          <w:p w14:paraId="7C7F990C" w14:textId="77777777" w:rsidR="004709BE" w:rsidRPr="00E6110F" w:rsidRDefault="004709BE" w:rsidP="002A4828">
            <w:pPr>
              <w:pStyle w:val="Body"/>
            </w:pPr>
            <w:r w:rsidRPr="00E6110F">
              <w:t>Model data available.</w:t>
            </w:r>
          </w:p>
        </w:tc>
      </w:tr>
      <w:tr w:rsidR="004709BE" w:rsidRPr="00E6110F" w14:paraId="2AA04DFC" w14:textId="77777777" w:rsidTr="00FA368A">
        <w:tc>
          <w:tcPr>
            <w:tcW w:w="694" w:type="dxa"/>
          </w:tcPr>
          <w:p w14:paraId="3C4ACA82" w14:textId="1859EA3D" w:rsidR="004709BE" w:rsidRPr="00E6110F" w:rsidRDefault="00821F3B" w:rsidP="00821F3B">
            <w:pPr>
              <w:pStyle w:val="Body"/>
            </w:pPr>
            <w:r>
              <w:t>10</w:t>
            </w:r>
            <w:r w:rsidR="004709BE" w:rsidRPr="00E6110F">
              <w:t>-1</w:t>
            </w:r>
            <w:r>
              <w:t>1</w:t>
            </w:r>
          </w:p>
        </w:tc>
        <w:tc>
          <w:tcPr>
            <w:tcW w:w="2238" w:type="dxa"/>
          </w:tcPr>
          <w:p w14:paraId="1C47A2EA" w14:textId="6CA41572" w:rsidR="004709BE" w:rsidRPr="00E6110F" w:rsidRDefault="004709BE" w:rsidP="006772E5">
            <w:pPr>
              <w:pStyle w:val="Body"/>
            </w:pPr>
            <w:r w:rsidRPr="00E6110F">
              <w:t>Boron (</w:t>
            </w:r>
            <w:r w:rsidR="006772E5">
              <w:t>b</w:t>
            </w:r>
            <w:r w:rsidR="006772E5" w:rsidRPr="00E6110F">
              <w:t xml:space="preserve">oric </w:t>
            </w:r>
            <w:r w:rsidRPr="00E6110F">
              <w:t xml:space="preserve">acid, </w:t>
            </w:r>
            <w:r w:rsidR="006772E5">
              <w:t>b</w:t>
            </w:r>
            <w:r w:rsidR="006772E5" w:rsidRPr="00E6110F">
              <w:t>orax</w:t>
            </w:r>
            <w:r w:rsidRPr="00E6110F">
              <w:t>)</w:t>
            </w:r>
          </w:p>
        </w:tc>
        <w:tc>
          <w:tcPr>
            <w:tcW w:w="1174" w:type="dxa"/>
          </w:tcPr>
          <w:p w14:paraId="03419BA4" w14:textId="77777777" w:rsidR="004709BE" w:rsidRPr="00E6110F" w:rsidRDefault="004709BE" w:rsidP="002A4828">
            <w:pPr>
              <w:pStyle w:val="Body"/>
            </w:pPr>
            <w:r w:rsidRPr="00E6110F">
              <w:t xml:space="preserve">10043-35-3, </w:t>
            </w:r>
            <w:hyperlink r:id="rId45" w:tooltip="1330-43-4" w:history="1">
              <w:r w:rsidRPr="00E6110F">
                <w:t>1303-96-4</w:t>
              </w:r>
            </w:hyperlink>
          </w:p>
          <w:p w14:paraId="06FC91A3" w14:textId="77777777" w:rsidR="004709BE" w:rsidRPr="00E6110F" w:rsidRDefault="004709BE" w:rsidP="002A4828">
            <w:pPr>
              <w:pStyle w:val="Body"/>
            </w:pPr>
          </w:p>
        </w:tc>
        <w:tc>
          <w:tcPr>
            <w:tcW w:w="2268" w:type="dxa"/>
          </w:tcPr>
          <w:p w14:paraId="226BD064" w14:textId="77777777" w:rsidR="004709BE" w:rsidRPr="00E6110F" w:rsidRDefault="004709BE" w:rsidP="002A4828">
            <w:pPr>
              <w:pStyle w:val="Body"/>
            </w:pPr>
            <w:r w:rsidRPr="00E6110F">
              <w:t>Gel management</w:t>
            </w:r>
          </w:p>
          <w:p w14:paraId="1D266350" w14:textId="77777777" w:rsidR="004709BE" w:rsidRPr="00E6110F" w:rsidRDefault="004709BE" w:rsidP="002A4828">
            <w:pPr>
              <w:pStyle w:val="Body"/>
            </w:pPr>
            <w:r w:rsidRPr="00E6110F">
              <w:t xml:space="preserve">(HF chemicals) </w:t>
            </w:r>
          </w:p>
          <w:p w14:paraId="0CAC129C" w14:textId="3FCAC550" w:rsidR="006068B9" w:rsidRDefault="00087B86" w:rsidP="002A4828">
            <w:pPr>
              <w:pStyle w:val="Body"/>
            </w:pPr>
            <w:r>
              <w:t xml:space="preserve">Boric acid, borax: </w:t>
            </w:r>
            <w:r w:rsidR="006068B9">
              <w:t xml:space="preserve">NCA </w:t>
            </w:r>
            <w:r w:rsidR="00E1727D">
              <w:t xml:space="preserve"> (</w:t>
            </w:r>
            <w:r w:rsidR="00F734A2">
              <w:t xml:space="preserve">human health </w:t>
            </w:r>
            <w:r w:rsidR="00E1727D">
              <w:t>hazard screening)</w:t>
            </w:r>
            <w:r w:rsidR="00AF7969">
              <w:t xml:space="preserve">: </w:t>
            </w:r>
            <w:r w:rsidR="006068B9">
              <w:t>requiring further human health hazard assessment</w:t>
            </w:r>
          </w:p>
          <w:p w14:paraId="0DF2EFFA" w14:textId="1D18054A" w:rsidR="00870052" w:rsidRDefault="00C06F06" w:rsidP="00870052">
            <w:pPr>
              <w:pStyle w:val="Body"/>
            </w:pPr>
            <w:r>
              <w:t xml:space="preserve">Boric acid, borax: </w:t>
            </w:r>
            <w:r w:rsidR="00870052">
              <w:t>NCA (</w:t>
            </w:r>
            <w:r w:rsidR="00F734A2">
              <w:t xml:space="preserve">human health </w:t>
            </w:r>
            <w:r w:rsidR="00870052">
              <w:t>hazard risk assessment):</w:t>
            </w:r>
            <w:r>
              <w:t xml:space="preserve"> </w:t>
            </w:r>
            <w:r w:rsidR="00BB11C4">
              <w:t xml:space="preserve">MOE indicates the chemical is unlikely to pose a risk of adverse health effects to workers (long-term occupational exposure); </w:t>
            </w:r>
            <w:r>
              <w:t>MOE suggest</w:t>
            </w:r>
            <w:r w:rsidR="00BB11C4">
              <w:t>s</w:t>
            </w:r>
            <w:r>
              <w:t xml:space="preserve"> a potential risk of adverse health effects </w:t>
            </w:r>
            <w:r w:rsidR="00AF7969">
              <w:t>for</w:t>
            </w:r>
            <w:r w:rsidR="00AF7969" w:rsidRPr="00A21590">
              <w:t xml:space="preserve"> </w:t>
            </w:r>
            <w:r w:rsidR="00AF7969">
              <w:t>long-term public exposures</w:t>
            </w:r>
            <w:r w:rsidR="0076265F">
              <w:t xml:space="preserve"> in the absence of standard risk management measures</w:t>
            </w:r>
          </w:p>
          <w:p w14:paraId="64BCBA3B" w14:textId="77777777" w:rsidR="004709BE" w:rsidRPr="00E6110F" w:rsidRDefault="004709BE" w:rsidP="002A4828">
            <w:pPr>
              <w:pStyle w:val="Body"/>
            </w:pPr>
            <w:r w:rsidRPr="00E6110F">
              <w:t>IMAP- low/high concern</w:t>
            </w:r>
          </w:p>
        </w:tc>
        <w:tc>
          <w:tcPr>
            <w:tcW w:w="6662" w:type="dxa"/>
          </w:tcPr>
          <w:p w14:paraId="37415A8A" w14:textId="6DD7A635" w:rsidR="004709BE" w:rsidRPr="00E6110F" w:rsidRDefault="004709BE" w:rsidP="002A4828">
            <w:pPr>
              <w:pStyle w:val="Body"/>
            </w:pPr>
            <w:r w:rsidRPr="00E6110F">
              <w:t xml:space="preserve">Of broader interest as HF and </w:t>
            </w:r>
            <w:r w:rsidR="0083131E">
              <w:t>g</w:t>
            </w:r>
            <w:r w:rsidR="0083131E" w:rsidRPr="00E6110F">
              <w:t xml:space="preserve">eogenic </w:t>
            </w:r>
            <w:r w:rsidRPr="00E6110F">
              <w:t>category</w:t>
            </w:r>
          </w:p>
          <w:p w14:paraId="613B2DE8" w14:textId="4AA23758" w:rsidR="004709BE" w:rsidRPr="00E6110F" w:rsidRDefault="004709BE" w:rsidP="002A4828">
            <w:pPr>
              <w:pStyle w:val="Body"/>
            </w:pPr>
            <w:r w:rsidRPr="00E6110F">
              <w:t>Recommended for further assessment (environment assessment – N</w:t>
            </w:r>
            <w:r w:rsidR="006068B9">
              <w:t>CA</w:t>
            </w:r>
            <w:r w:rsidRPr="00E6110F">
              <w:t>)</w:t>
            </w:r>
          </w:p>
          <w:p w14:paraId="365D0BF4" w14:textId="77777777" w:rsidR="004709BE" w:rsidRPr="00E6110F" w:rsidRDefault="004709BE" w:rsidP="002A4828">
            <w:pPr>
              <w:pStyle w:val="Body"/>
            </w:pPr>
            <w:r w:rsidRPr="00E6110F">
              <w:t xml:space="preserve">Boric acid high environmental concern in case of spill  (NCA) </w:t>
            </w:r>
          </w:p>
        </w:tc>
      </w:tr>
      <w:tr w:rsidR="004709BE" w:rsidRPr="00E6110F" w14:paraId="0A2F729A" w14:textId="77777777" w:rsidTr="00FA368A">
        <w:tc>
          <w:tcPr>
            <w:tcW w:w="694" w:type="dxa"/>
          </w:tcPr>
          <w:p w14:paraId="62DC74D1" w14:textId="48BA7878" w:rsidR="004709BE" w:rsidRPr="00E6110F" w:rsidRDefault="00821F3B" w:rsidP="002A4828">
            <w:pPr>
              <w:pStyle w:val="Body"/>
            </w:pPr>
            <w:r>
              <w:t>12</w:t>
            </w:r>
          </w:p>
        </w:tc>
        <w:tc>
          <w:tcPr>
            <w:tcW w:w="2238" w:type="dxa"/>
          </w:tcPr>
          <w:p w14:paraId="3E7A5F93" w14:textId="77777777" w:rsidR="004709BE" w:rsidRPr="00E6110F" w:rsidRDefault="004709BE" w:rsidP="002A4828">
            <w:pPr>
              <w:pStyle w:val="Body"/>
            </w:pPr>
            <w:r w:rsidRPr="00E6110F">
              <w:t>Limonene</w:t>
            </w:r>
          </w:p>
        </w:tc>
        <w:tc>
          <w:tcPr>
            <w:tcW w:w="1174" w:type="dxa"/>
          </w:tcPr>
          <w:p w14:paraId="77B16896" w14:textId="77777777" w:rsidR="004709BE" w:rsidRPr="00E6110F" w:rsidRDefault="004709BE" w:rsidP="002A4828">
            <w:pPr>
              <w:pStyle w:val="Body"/>
            </w:pPr>
            <w:r w:rsidRPr="00E6110F">
              <w:t>138-86-3</w:t>
            </w:r>
          </w:p>
        </w:tc>
        <w:tc>
          <w:tcPr>
            <w:tcW w:w="2268" w:type="dxa"/>
          </w:tcPr>
          <w:p w14:paraId="6C0628B1" w14:textId="77777777" w:rsidR="004709BE" w:rsidRPr="00E6110F" w:rsidRDefault="004709BE" w:rsidP="002A4828">
            <w:pPr>
              <w:pStyle w:val="Body"/>
            </w:pPr>
            <w:r w:rsidRPr="00E6110F">
              <w:t>Terpene hydrocarbon</w:t>
            </w:r>
          </w:p>
          <w:p w14:paraId="43540536" w14:textId="77777777" w:rsidR="004709BE" w:rsidRPr="00E6110F" w:rsidRDefault="004709BE" w:rsidP="002A4828">
            <w:pPr>
              <w:pStyle w:val="Body"/>
            </w:pPr>
            <w:r w:rsidRPr="00E6110F">
              <w:t>(HF chemical)</w:t>
            </w:r>
          </w:p>
          <w:p w14:paraId="23364124" w14:textId="05B57C9D" w:rsidR="0027486C" w:rsidRDefault="0027486C" w:rsidP="002A4828">
            <w:pPr>
              <w:pStyle w:val="Body"/>
            </w:pPr>
            <w:r>
              <w:t>NCA – not assessed</w:t>
            </w:r>
          </w:p>
          <w:p w14:paraId="0958CCA6" w14:textId="77777777" w:rsidR="004709BE" w:rsidRPr="00E6110F" w:rsidRDefault="004709BE" w:rsidP="002A4828">
            <w:pPr>
              <w:pStyle w:val="Body"/>
            </w:pPr>
            <w:r w:rsidRPr="00E6110F">
              <w:t>IMAP – could not assess</w:t>
            </w:r>
          </w:p>
        </w:tc>
        <w:tc>
          <w:tcPr>
            <w:tcW w:w="6662" w:type="dxa"/>
          </w:tcPr>
          <w:p w14:paraId="2EAFC297" w14:textId="77777777" w:rsidR="004709BE" w:rsidRPr="00E6110F" w:rsidRDefault="004709BE" w:rsidP="002A4828">
            <w:pPr>
              <w:pStyle w:val="Body"/>
            </w:pPr>
            <w:r w:rsidRPr="00E6110F">
              <w:t>Represent important class of terpene solvents</w:t>
            </w:r>
          </w:p>
          <w:p w14:paraId="27C8DCDE" w14:textId="77777777" w:rsidR="004709BE" w:rsidRPr="00E6110F" w:rsidRDefault="004709BE" w:rsidP="002A4828">
            <w:pPr>
              <w:pStyle w:val="Body"/>
            </w:pPr>
            <w:r w:rsidRPr="00E6110F">
              <w:t>Replacement of xylene- and toluene- based solvents</w:t>
            </w:r>
          </w:p>
          <w:p w14:paraId="5FCE0B76" w14:textId="051027C8" w:rsidR="004709BE" w:rsidRPr="00E6110F" w:rsidRDefault="004709BE" w:rsidP="002A4828">
            <w:pPr>
              <w:pStyle w:val="Body"/>
            </w:pPr>
            <w:r w:rsidRPr="00E6110F">
              <w:t xml:space="preserve">Soluble and </w:t>
            </w:r>
            <w:r w:rsidR="0083131E">
              <w:t>b</w:t>
            </w:r>
            <w:r w:rsidR="0083131E" w:rsidRPr="00E6110F">
              <w:t>iodegradable</w:t>
            </w:r>
          </w:p>
          <w:p w14:paraId="7E9A8D66" w14:textId="77777777" w:rsidR="004709BE" w:rsidRPr="00E6110F" w:rsidRDefault="004709BE" w:rsidP="002A4828">
            <w:pPr>
              <w:pStyle w:val="Body"/>
            </w:pPr>
            <w:r w:rsidRPr="00E6110F">
              <w:t>Some data available</w:t>
            </w:r>
          </w:p>
        </w:tc>
      </w:tr>
      <w:tr w:rsidR="004709BE" w:rsidRPr="00E6110F" w14:paraId="6F882A54" w14:textId="77777777" w:rsidTr="00FA368A">
        <w:tc>
          <w:tcPr>
            <w:tcW w:w="694" w:type="dxa"/>
          </w:tcPr>
          <w:p w14:paraId="594C2AD3" w14:textId="572B3EC5" w:rsidR="004709BE" w:rsidRPr="00E6110F" w:rsidRDefault="00821F3B" w:rsidP="002A4828">
            <w:pPr>
              <w:pStyle w:val="Body"/>
            </w:pPr>
            <w:r>
              <w:t>13</w:t>
            </w:r>
          </w:p>
        </w:tc>
        <w:tc>
          <w:tcPr>
            <w:tcW w:w="2238" w:type="dxa"/>
          </w:tcPr>
          <w:p w14:paraId="5A13D949" w14:textId="77777777" w:rsidR="004709BE" w:rsidRPr="00E6110F" w:rsidRDefault="004709BE" w:rsidP="002A4828">
            <w:pPr>
              <w:pStyle w:val="Body"/>
            </w:pPr>
            <w:r w:rsidRPr="00E6110F">
              <w:t>Acrylamide polymer</w:t>
            </w:r>
          </w:p>
        </w:tc>
        <w:tc>
          <w:tcPr>
            <w:tcW w:w="1174" w:type="dxa"/>
          </w:tcPr>
          <w:p w14:paraId="4683B04B" w14:textId="77777777" w:rsidR="004709BE" w:rsidRPr="00E6110F" w:rsidRDefault="004709BE" w:rsidP="002A4828">
            <w:pPr>
              <w:pStyle w:val="Body"/>
            </w:pPr>
            <w:r w:rsidRPr="00E6110F">
              <w:t>9003-05-8</w:t>
            </w:r>
          </w:p>
          <w:p w14:paraId="450F00DE" w14:textId="77777777" w:rsidR="004709BE" w:rsidRPr="00E6110F" w:rsidRDefault="004709BE" w:rsidP="002A4828">
            <w:pPr>
              <w:pStyle w:val="Body"/>
            </w:pPr>
          </w:p>
        </w:tc>
        <w:tc>
          <w:tcPr>
            <w:tcW w:w="2268" w:type="dxa"/>
          </w:tcPr>
          <w:p w14:paraId="6BA11365" w14:textId="77777777" w:rsidR="004709BE" w:rsidRPr="00E6110F" w:rsidRDefault="004709BE" w:rsidP="002A4828">
            <w:pPr>
              <w:pStyle w:val="Body"/>
            </w:pPr>
            <w:r w:rsidRPr="00E6110F">
              <w:t xml:space="preserve">Anionic polymer </w:t>
            </w:r>
          </w:p>
          <w:p w14:paraId="1D72063A" w14:textId="77777777" w:rsidR="004709BE" w:rsidRPr="00E6110F" w:rsidRDefault="004709BE" w:rsidP="002A4828">
            <w:pPr>
              <w:pStyle w:val="Body"/>
            </w:pPr>
            <w:r w:rsidRPr="00E6110F">
              <w:t>(HF chemical)</w:t>
            </w:r>
          </w:p>
          <w:p w14:paraId="3A658E5A" w14:textId="34708DE0" w:rsidR="004709BE" w:rsidRPr="00E6110F" w:rsidRDefault="002B2E72" w:rsidP="00BB11C4">
            <w:pPr>
              <w:pStyle w:val="Body"/>
            </w:pPr>
            <w:r>
              <w:t xml:space="preserve">NCA </w:t>
            </w:r>
            <w:r w:rsidR="00E1727D">
              <w:t>(hazard screening)</w:t>
            </w:r>
            <w:r w:rsidR="00BB11C4">
              <w:t>:</w:t>
            </w:r>
            <w:r>
              <w:t xml:space="preserve"> </w:t>
            </w:r>
            <w:r w:rsidR="004709BE" w:rsidRPr="00E6110F">
              <w:t xml:space="preserve">Low concern </w:t>
            </w:r>
            <w:r w:rsidR="00511866">
              <w:t xml:space="preserve">for human health and </w:t>
            </w:r>
            <w:r w:rsidR="004709BE" w:rsidRPr="00E6110F">
              <w:t>environment</w:t>
            </w:r>
            <w:r w:rsidR="00CA7036">
              <w:t xml:space="preserve"> </w:t>
            </w:r>
          </w:p>
        </w:tc>
        <w:tc>
          <w:tcPr>
            <w:tcW w:w="6662" w:type="dxa"/>
          </w:tcPr>
          <w:p w14:paraId="6512DDC6" w14:textId="4D0F8B22" w:rsidR="004709BE" w:rsidRPr="00E6110F" w:rsidRDefault="004709BE" w:rsidP="002A4828">
            <w:pPr>
              <w:pStyle w:val="Body"/>
            </w:pPr>
            <w:r w:rsidRPr="00E6110F">
              <w:t>Represent importa</w:t>
            </w:r>
            <w:r w:rsidR="007C1E7A">
              <w:t>nt group of polymers used in hydraulic fracturing</w:t>
            </w:r>
          </w:p>
          <w:p w14:paraId="1FD2CEEC" w14:textId="77777777" w:rsidR="004709BE" w:rsidRPr="00E6110F" w:rsidRDefault="004709BE" w:rsidP="002A4828">
            <w:pPr>
              <w:pStyle w:val="Body"/>
            </w:pPr>
            <w:r w:rsidRPr="00E6110F">
              <w:t>Being anionic likely to be mobile in geologic formations</w:t>
            </w:r>
          </w:p>
          <w:p w14:paraId="7558ECFA" w14:textId="77777777" w:rsidR="004709BE" w:rsidRPr="00E6110F" w:rsidRDefault="004709BE" w:rsidP="002A4828">
            <w:pPr>
              <w:pStyle w:val="Body"/>
            </w:pPr>
            <w:r w:rsidRPr="00E6110F">
              <w:t xml:space="preserve">Significant literature available due to possibility of acrylamide impurity (carcinogenicity controversy) </w:t>
            </w:r>
          </w:p>
        </w:tc>
      </w:tr>
    </w:tbl>
    <w:p w14:paraId="5B94A77D" w14:textId="77777777" w:rsidR="004709BE" w:rsidRPr="00E6110F" w:rsidRDefault="004709BE" w:rsidP="00D220EC">
      <w:pPr>
        <w:pStyle w:val="Body"/>
        <w:sectPr w:rsidR="004709BE" w:rsidRPr="00E6110F" w:rsidSect="002B135F">
          <w:pgSz w:w="16840" w:h="11900" w:orient="landscape"/>
          <w:pgMar w:top="1440" w:right="1440" w:bottom="1440" w:left="1440" w:header="0" w:footer="0" w:gutter="0"/>
          <w:cols w:space="284"/>
          <w:noEndnote/>
          <w:docGrid w:linePitch="326"/>
        </w:sectPr>
      </w:pPr>
    </w:p>
    <w:p w14:paraId="42BD3441" w14:textId="77777777" w:rsidR="00C6170D" w:rsidRPr="00E6110F" w:rsidRDefault="00C6170D" w:rsidP="00E54F3F">
      <w:pPr>
        <w:pStyle w:val="Heading3"/>
        <w:numPr>
          <w:ilvl w:val="3"/>
          <w:numId w:val="1"/>
        </w:numPr>
      </w:pPr>
      <w:bookmarkStart w:id="114" w:name="_Toc494444504"/>
      <w:bookmarkStart w:id="115" w:name="_Ref446600632"/>
      <w:r w:rsidRPr="00E6110F">
        <w:t>Boron</w:t>
      </w:r>
      <w:bookmarkEnd w:id="114"/>
    </w:p>
    <w:p w14:paraId="70B4086A" w14:textId="236F1D86" w:rsidR="00E2784C" w:rsidRDefault="00C6170D" w:rsidP="00E2784C">
      <w:pPr>
        <w:pStyle w:val="Body"/>
        <w:rPr>
          <w:rFonts w:asciiTheme="majorHAnsi" w:hAnsiTheme="majorHAnsi"/>
        </w:rPr>
      </w:pPr>
      <w:r w:rsidRPr="00E6110F">
        <w:t xml:space="preserve">Boron is naturally present in </w:t>
      </w:r>
      <w:r w:rsidR="00EA62BC" w:rsidRPr="00E6110F">
        <w:t xml:space="preserve">Australian </w:t>
      </w:r>
      <w:r w:rsidRPr="00E6110F">
        <w:t>coal seams as a geogenic constituent</w:t>
      </w:r>
      <w:r w:rsidR="00EA62BC" w:rsidRPr="00E6110F">
        <w:t xml:space="preserve"> (Apte et al. 201</w:t>
      </w:r>
      <w:r w:rsidR="00914462">
        <w:t>7</w:t>
      </w:r>
      <w:r w:rsidR="00705F44">
        <w:t>b</w:t>
      </w:r>
      <w:r w:rsidR="00977791" w:rsidRPr="00E6110F">
        <w:t xml:space="preserve">; </w:t>
      </w:r>
      <w:r w:rsidR="00125E41" w:rsidRPr="00E6110F">
        <w:t>Ransley et al. 2015</w:t>
      </w:r>
      <w:r w:rsidR="00EA62BC" w:rsidRPr="00E6110F">
        <w:t>)</w:t>
      </w:r>
      <w:r w:rsidRPr="00E6110F">
        <w:t>. It may also be introduced into the coal seam during hydraulic fracturing as boron compounds are commonly used constituents of hydraulic fracturing fluids (e.g. as a gel cross-linker)</w:t>
      </w:r>
      <w:r w:rsidR="00977791" w:rsidRPr="00E6110F">
        <w:t xml:space="preserve"> (Campin 2015)</w:t>
      </w:r>
      <w:r w:rsidRPr="00E6110F">
        <w:t>. At pH ranges typical of groundwater systems boron is present as a mixture of the negatively charged borate anion B(OH)</w:t>
      </w:r>
      <w:r w:rsidRPr="00E6110F">
        <w:rPr>
          <w:vertAlign w:val="subscript"/>
        </w:rPr>
        <w:t>4</w:t>
      </w:r>
      <w:r w:rsidRPr="00E6110F">
        <w:rPr>
          <w:vertAlign w:val="superscript"/>
        </w:rPr>
        <w:t>-</w:t>
      </w:r>
      <w:r w:rsidRPr="00E6110F">
        <w:t xml:space="preserve"> and also a neutral species: B(OH)</w:t>
      </w:r>
      <w:r w:rsidRPr="00E6110F">
        <w:rPr>
          <w:vertAlign w:val="subscript"/>
        </w:rPr>
        <w:t>3</w:t>
      </w:r>
      <w:r w:rsidRPr="00E6110F">
        <w:t xml:space="preserve"> (WHO 1998</w:t>
      </w:r>
      <w:r w:rsidR="002805A7" w:rsidRPr="00E6110F">
        <w:t>a</w:t>
      </w:r>
      <w:r w:rsidRPr="00E6110F">
        <w:t>).  Neither species are known to have a strong sorptive affinity to solid phases. Boron concentrations in groundwater depend on local geology and can typically vary from 0.3 to 100 mg/L (WHO 1998</w:t>
      </w:r>
      <w:r w:rsidR="002805A7" w:rsidRPr="00E6110F">
        <w:t>a</w:t>
      </w:r>
      <w:r w:rsidRPr="00E6110F">
        <w:t xml:space="preserve">). </w:t>
      </w:r>
      <w:r w:rsidR="00D04357" w:rsidRPr="00E6110F">
        <w:t xml:space="preserve">Campin (2015) reports boron concentrations in flowback water from coal seams in the Surat range from 0.05 to 56 mg/L (median value of 18 mg/L). </w:t>
      </w:r>
      <w:r w:rsidR="00447A19" w:rsidRPr="00E6110F">
        <w:t xml:space="preserve">Background boron concentrations in key aquifers of the Surat Basin are reported by Ransley et al. (2015) and summarised in </w:t>
      </w:r>
      <w:r w:rsidR="00447A19" w:rsidRPr="00E6110F">
        <w:fldChar w:fldCharType="begin" w:fldLock="1"/>
      </w:r>
      <w:r w:rsidR="00447A19" w:rsidRPr="00E6110F">
        <w:instrText xml:space="preserve"> REF _Ref452648692 \h </w:instrText>
      </w:r>
      <w:r w:rsidR="00E6110F">
        <w:instrText xml:space="preserve"> \* MERGEFORMAT </w:instrText>
      </w:r>
      <w:r w:rsidR="00447A19" w:rsidRPr="00E6110F">
        <w:fldChar w:fldCharType="separate"/>
      </w:r>
      <w:r w:rsidR="00335E79" w:rsidRPr="00E6110F">
        <w:t xml:space="preserve">Table </w:t>
      </w:r>
      <w:r w:rsidR="00335E79">
        <w:rPr>
          <w:noProof/>
        </w:rPr>
        <w:t>2</w:t>
      </w:r>
      <w:r w:rsidR="00335E79">
        <w:rPr>
          <w:noProof/>
        </w:rPr>
        <w:noBreakHyphen/>
        <w:t>7</w:t>
      </w:r>
      <w:r w:rsidR="00447A19" w:rsidRPr="00E6110F">
        <w:fldChar w:fldCharType="end"/>
      </w:r>
      <w:r w:rsidR="00447A19" w:rsidRPr="00E6110F">
        <w:t xml:space="preserve">. </w:t>
      </w:r>
      <w:r w:rsidR="005D5FE9" w:rsidRPr="00E6110F">
        <w:t>The ANZECC</w:t>
      </w:r>
      <w:r w:rsidR="002E072C">
        <w:t xml:space="preserve"> and </w:t>
      </w:r>
      <w:r w:rsidRPr="00E6110F">
        <w:t xml:space="preserve">ARMCANZ (2000) water quality guideline for ecosystem protection for boron in surface waters is 370 µg/L (95% protection level). </w:t>
      </w:r>
      <w:r w:rsidR="002E072C">
        <w:t xml:space="preserve">Subsequent European analysis (Schoderbroeck et al. 2011) yielded a guideline value of 180 µg/L </w:t>
      </w:r>
      <w:r w:rsidR="002E072C" w:rsidRPr="00E6110F">
        <w:t>(95% protection level)</w:t>
      </w:r>
      <w:r w:rsidR="002E072C">
        <w:t xml:space="preserve">. </w:t>
      </w:r>
      <w:r w:rsidR="006839ED">
        <w:t xml:space="preserve">A recent revision of this value increased </w:t>
      </w:r>
      <w:r w:rsidR="0083131E">
        <w:t>it</w:t>
      </w:r>
      <w:r w:rsidR="006839ED">
        <w:t xml:space="preserve"> to 830 µg/L (Binet et al. 2016).</w:t>
      </w:r>
      <w:r w:rsidR="00E2784C">
        <w:t xml:space="preserve"> </w:t>
      </w:r>
      <w:r w:rsidR="00E2784C" w:rsidRPr="00E2784C">
        <w:t>For the protection of human health, the concentration of boron in drinking water should not exceed 4 mg/L</w:t>
      </w:r>
      <w:r w:rsidR="00E2784C">
        <w:t xml:space="preserve"> (</w:t>
      </w:r>
      <w:r w:rsidR="00E2784C" w:rsidRPr="00D850DF">
        <w:rPr>
          <w:rFonts w:asciiTheme="majorHAnsi" w:hAnsiTheme="majorHAnsi"/>
        </w:rPr>
        <w:t>NHMRC and NHMMC (2011).</w:t>
      </w:r>
      <w:r w:rsidR="00E2784C">
        <w:rPr>
          <w:rFonts w:asciiTheme="majorHAnsi" w:hAnsiTheme="majorHAnsi"/>
        </w:rPr>
        <w:t xml:space="preserve"> </w:t>
      </w:r>
    </w:p>
    <w:p w14:paraId="3DC740F7" w14:textId="77777777" w:rsidR="00E61C5D" w:rsidRDefault="00E61C5D" w:rsidP="00E2784C">
      <w:pPr>
        <w:pStyle w:val="Body"/>
        <w:rPr>
          <w:rFonts w:asciiTheme="majorHAnsi" w:hAnsiTheme="majorHAnsi"/>
        </w:rPr>
      </w:pPr>
    </w:p>
    <w:p w14:paraId="1CC5DC03" w14:textId="0E319E70" w:rsidR="00E00213" w:rsidRPr="00E6110F" w:rsidRDefault="00E00213" w:rsidP="00E00213">
      <w:pPr>
        <w:pStyle w:val="Imagecaption"/>
        <w:keepNext/>
        <w:pBdr>
          <w:top w:val="none" w:sz="0" w:space="0" w:color="auto"/>
        </w:pBdr>
      </w:pPr>
      <w:bookmarkStart w:id="116" w:name="_Ref452648692"/>
      <w:bookmarkStart w:id="117" w:name="_Toc494444697"/>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7</w:t>
      </w:r>
      <w:r w:rsidR="00470577">
        <w:fldChar w:fldCharType="end"/>
      </w:r>
      <w:bookmarkEnd w:id="116"/>
      <w:r w:rsidRPr="00E6110F">
        <w:t xml:space="preserve">. </w:t>
      </w:r>
      <w:r w:rsidR="00F3575E" w:rsidRPr="00E6110F">
        <w:t xml:space="preserve">Background boron concentrations </w:t>
      </w:r>
      <w:r w:rsidR="00463869" w:rsidRPr="00E6110F">
        <w:t xml:space="preserve">(mg/L) </w:t>
      </w:r>
      <w:r w:rsidR="00F3575E" w:rsidRPr="00E6110F">
        <w:t>in Surat Basin formations</w:t>
      </w:r>
      <w:r w:rsidR="00447A19" w:rsidRPr="00E6110F">
        <w:t xml:space="preserve"> (Ransley et al. 2015)</w:t>
      </w:r>
      <w:r w:rsidRPr="00E6110F">
        <w:t>.</w:t>
      </w:r>
      <w:bookmarkEnd w:id="117"/>
    </w:p>
    <w:tbl>
      <w:tblPr>
        <w:tblStyle w:val="TableGrid"/>
        <w:tblW w:w="0" w:type="auto"/>
        <w:tblLook w:val="04A0" w:firstRow="1" w:lastRow="0" w:firstColumn="1" w:lastColumn="0" w:noHBand="0" w:noVBand="1"/>
      </w:tblPr>
      <w:tblGrid>
        <w:gridCol w:w="2252"/>
        <w:gridCol w:w="2252"/>
        <w:gridCol w:w="2253"/>
        <w:gridCol w:w="2253"/>
      </w:tblGrid>
      <w:tr w:rsidR="00E00213" w:rsidRPr="00E6110F" w14:paraId="4E103211" w14:textId="77777777" w:rsidTr="00286D0B">
        <w:tc>
          <w:tcPr>
            <w:tcW w:w="2252" w:type="dxa"/>
            <w:shd w:val="clear" w:color="auto" w:fill="F2F2F2" w:themeFill="background1" w:themeFillShade="F2"/>
          </w:tcPr>
          <w:p w14:paraId="5035EF7C" w14:textId="03733C3B" w:rsidR="00E00213" w:rsidRPr="00E6110F" w:rsidRDefault="00E00213" w:rsidP="00C6170D">
            <w:pPr>
              <w:pStyle w:val="Body"/>
            </w:pPr>
            <w:r w:rsidRPr="00E6110F">
              <w:t>Formation</w:t>
            </w:r>
          </w:p>
        </w:tc>
        <w:tc>
          <w:tcPr>
            <w:tcW w:w="2252" w:type="dxa"/>
            <w:shd w:val="clear" w:color="auto" w:fill="F2F2F2" w:themeFill="background1" w:themeFillShade="F2"/>
          </w:tcPr>
          <w:p w14:paraId="403137EC" w14:textId="02B5FEDB" w:rsidR="00E00213" w:rsidRPr="00E6110F" w:rsidRDefault="00E00213" w:rsidP="00973E76">
            <w:pPr>
              <w:pStyle w:val="Body"/>
              <w:jc w:val="center"/>
            </w:pPr>
            <w:r w:rsidRPr="00E6110F">
              <w:t>Number of samples</w:t>
            </w:r>
          </w:p>
        </w:tc>
        <w:tc>
          <w:tcPr>
            <w:tcW w:w="2253" w:type="dxa"/>
            <w:shd w:val="clear" w:color="auto" w:fill="F2F2F2" w:themeFill="background1" w:themeFillShade="F2"/>
          </w:tcPr>
          <w:p w14:paraId="3B3B2456" w14:textId="1AFED261" w:rsidR="00E00213" w:rsidRPr="00E6110F" w:rsidRDefault="00E00213" w:rsidP="00973E76">
            <w:pPr>
              <w:pStyle w:val="Body"/>
              <w:jc w:val="center"/>
            </w:pPr>
            <w:r w:rsidRPr="00E6110F">
              <w:t>Range</w:t>
            </w:r>
          </w:p>
        </w:tc>
        <w:tc>
          <w:tcPr>
            <w:tcW w:w="2253" w:type="dxa"/>
            <w:shd w:val="clear" w:color="auto" w:fill="F2F2F2" w:themeFill="background1" w:themeFillShade="F2"/>
          </w:tcPr>
          <w:p w14:paraId="66EDDBA5" w14:textId="69749D82" w:rsidR="00E00213" w:rsidRPr="00E6110F" w:rsidRDefault="002F7AEF" w:rsidP="00973E76">
            <w:pPr>
              <w:pStyle w:val="Body"/>
              <w:jc w:val="center"/>
            </w:pPr>
            <w:r>
              <w:t>M</w:t>
            </w:r>
            <w:r w:rsidR="00E00213" w:rsidRPr="00E6110F">
              <w:t>edian</w:t>
            </w:r>
          </w:p>
        </w:tc>
      </w:tr>
      <w:tr w:rsidR="00E00213" w:rsidRPr="00E6110F" w14:paraId="19445914" w14:textId="77777777" w:rsidTr="00E00213">
        <w:tc>
          <w:tcPr>
            <w:tcW w:w="2252" w:type="dxa"/>
          </w:tcPr>
          <w:p w14:paraId="5E5D89F2" w14:textId="76DA66F1" w:rsidR="00E00213" w:rsidRPr="00E6110F" w:rsidRDefault="00E00213" w:rsidP="00C6170D">
            <w:pPr>
              <w:pStyle w:val="Body"/>
            </w:pPr>
            <w:r w:rsidRPr="00E6110F">
              <w:t>Condamine alluvium</w:t>
            </w:r>
          </w:p>
        </w:tc>
        <w:tc>
          <w:tcPr>
            <w:tcW w:w="2252" w:type="dxa"/>
          </w:tcPr>
          <w:p w14:paraId="4581E59A" w14:textId="6B235CC9" w:rsidR="00E00213" w:rsidRPr="00E6110F" w:rsidRDefault="00463869" w:rsidP="00973E76">
            <w:pPr>
              <w:pStyle w:val="Body"/>
              <w:jc w:val="center"/>
            </w:pPr>
            <w:r w:rsidRPr="00E6110F">
              <w:t>18</w:t>
            </w:r>
          </w:p>
        </w:tc>
        <w:tc>
          <w:tcPr>
            <w:tcW w:w="2253" w:type="dxa"/>
          </w:tcPr>
          <w:p w14:paraId="235212DF" w14:textId="46AB7A37" w:rsidR="00E00213" w:rsidRPr="00E6110F" w:rsidRDefault="00463869" w:rsidP="00973E76">
            <w:pPr>
              <w:pStyle w:val="Body"/>
              <w:jc w:val="center"/>
            </w:pPr>
            <w:r w:rsidRPr="00E6110F">
              <w:t>0.05-0.3</w:t>
            </w:r>
          </w:p>
        </w:tc>
        <w:tc>
          <w:tcPr>
            <w:tcW w:w="2253" w:type="dxa"/>
          </w:tcPr>
          <w:p w14:paraId="1EAACB42" w14:textId="3B7C58BD" w:rsidR="00E00213" w:rsidRPr="00E6110F" w:rsidRDefault="00463869" w:rsidP="00973E76">
            <w:pPr>
              <w:pStyle w:val="Body"/>
              <w:jc w:val="center"/>
            </w:pPr>
            <w:r w:rsidRPr="00E6110F">
              <w:t>0.1</w:t>
            </w:r>
          </w:p>
        </w:tc>
      </w:tr>
      <w:tr w:rsidR="00E00213" w:rsidRPr="00E6110F" w14:paraId="0DF333FF" w14:textId="77777777" w:rsidTr="00E00213">
        <w:tc>
          <w:tcPr>
            <w:tcW w:w="2252" w:type="dxa"/>
          </w:tcPr>
          <w:p w14:paraId="6E1A0D49" w14:textId="6D20536A" w:rsidR="00E00213" w:rsidRPr="00E6110F" w:rsidRDefault="00E00213" w:rsidP="00C6170D">
            <w:pPr>
              <w:pStyle w:val="Body"/>
            </w:pPr>
            <w:r w:rsidRPr="00E6110F">
              <w:t>Gubberamunda Sandstone</w:t>
            </w:r>
          </w:p>
        </w:tc>
        <w:tc>
          <w:tcPr>
            <w:tcW w:w="2252" w:type="dxa"/>
          </w:tcPr>
          <w:p w14:paraId="787C8C1F" w14:textId="2C650C73" w:rsidR="00E00213" w:rsidRPr="00E6110F" w:rsidRDefault="00463869" w:rsidP="00973E76">
            <w:pPr>
              <w:pStyle w:val="Body"/>
              <w:jc w:val="center"/>
            </w:pPr>
            <w:r w:rsidRPr="00E6110F">
              <w:t>667</w:t>
            </w:r>
          </w:p>
        </w:tc>
        <w:tc>
          <w:tcPr>
            <w:tcW w:w="2253" w:type="dxa"/>
          </w:tcPr>
          <w:p w14:paraId="5D1882F6" w14:textId="3B9B5DB0" w:rsidR="00E00213" w:rsidRPr="00E6110F" w:rsidRDefault="00463869" w:rsidP="00973E76">
            <w:pPr>
              <w:pStyle w:val="Body"/>
              <w:jc w:val="center"/>
            </w:pPr>
            <w:r w:rsidRPr="00E6110F">
              <w:t>0.05-6</w:t>
            </w:r>
          </w:p>
        </w:tc>
        <w:tc>
          <w:tcPr>
            <w:tcW w:w="2253" w:type="dxa"/>
          </w:tcPr>
          <w:p w14:paraId="10650165" w14:textId="5265EE78" w:rsidR="00E00213" w:rsidRPr="00E6110F" w:rsidRDefault="00463869" w:rsidP="00973E76">
            <w:pPr>
              <w:pStyle w:val="Body"/>
              <w:jc w:val="center"/>
            </w:pPr>
            <w:r w:rsidRPr="00E6110F">
              <w:t>0.1</w:t>
            </w:r>
          </w:p>
        </w:tc>
      </w:tr>
      <w:tr w:rsidR="00E00213" w:rsidRPr="00E6110F" w14:paraId="2FB4C7EF" w14:textId="77777777" w:rsidTr="00E00213">
        <w:tc>
          <w:tcPr>
            <w:tcW w:w="2252" w:type="dxa"/>
          </w:tcPr>
          <w:p w14:paraId="461E68DF" w14:textId="4F5C64DE" w:rsidR="00E00213" w:rsidRPr="00E6110F" w:rsidRDefault="002F7AEF" w:rsidP="00C6170D">
            <w:pPr>
              <w:pStyle w:val="Body"/>
            </w:pPr>
            <w:r>
              <w:t>Springbok Sandstone</w:t>
            </w:r>
          </w:p>
        </w:tc>
        <w:tc>
          <w:tcPr>
            <w:tcW w:w="2252" w:type="dxa"/>
          </w:tcPr>
          <w:p w14:paraId="17AA0570" w14:textId="2B7A6104" w:rsidR="00E00213" w:rsidRPr="00E6110F" w:rsidRDefault="00463869" w:rsidP="00973E76">
            <w:pPr>
              <w:pStyle w:val="Body"/>
              <w:jc w:val="center"/>
            </w:pPr>
            <w:r w:rsidRPr="00E6110F">
              <w:t>148</w:t>
            </w:r>
          </w:p>
        </w:tc>
        <w:tc>
          <w:tcPr>
            <w:tcW w:w="2253" w:type="dxa"/>
          </w:tcPr>
          <w:p w14:paraId="709F45AB" w14:textId="10E88DC1" w:rsidR="00E00213" w:rsidRPr="00E6110F" w:rsidRDefault="00463869" w:rsidP="00973E76">
            <w:pPr>
              <w:pStyle w:val="Body"/>
              <w:jc w:val="center"/>
            </w:pPr>
            <w:r w:rsidRPr="00E6110F">
              <w:t>0.01-4</w:t>
            </w:r>
          </w:p>
        </w:tc>
        <w:tc>
          <w:tcPr>
            <w:tcW w:w="2253" w:type="dxa"/>
          </w:tcPr>
          <w:p w14:paraId="2940A2DD" w14:textId="4492DA8A" w:rsidR="00E00213" w:rsidRPr="00E6110F" w:rsidRDefault="00463869" w:rsidP="00973E76">
            <w:pPr>
              <w:pStyle w:val="Body"/>
              <w:jc w:val="center"/>
            </w:pPr>
            <w:r w:rsidRPr="00E6110F">
              <w:t>0.3</w:t>
            </w:r>
          </w:p>
        </w:tc>
      </w:tr>
      <w:tr w:rsidR="00E00213" w:rsidRPr="00E6110F" w14:paraId="4D7E716E" w14:textId="77777777" w:rsidTr="00E00213">
        <w:tc>
          <w:tcPr>
            <w:tcW w:w="2252" w:type="dxa"/>
          </w:tcPr>
          <w:p w14:paraId="4566F8E3" w14:textId="40B549D6" w:rsidR="00E00213" w:rsidRPr="00E6110F" w:rsidRDefault="00E00213" w:rsidP="00C6170D">
            <w:pPr>
              <w:pStyle w:val="Body"/>
            </w:pPr>
            <w:r w:rsidRPr="00E6110F">
              <w:t>Walloon Coal Measures</w:t>
            </w:r>
          </w:p>
        </w:tc>
        <w:tc>
          <w:tcPr>
            <w:tcW w:w="2252" w:type="dxa"/>
          </w:tcPr>
          <w:p w14:paraId="1A66E6DF" w14:textId="50D6A72A" w:rsidR="00E00213" w:rsidRPr="00E6110F" w:rsidRDefault="00463869" w:rsidP="00973E76">
            <w:pPr>
              <w:pStyle w:val="Body"/>
              <w:jc w:val="center"/>
            </w:pPr>
            <w:r w:rsidRPr="00E6110F">
              <w:t>645</w:t>
            </w:r>
          </w:p>
        </w:tc>
        <w:tc>
          <w:tcPr>
            <w:tcW w:w="2253" w:type="dxa"/>
          </w:tcPr>
          <w:p w14:paraId="78B3BAA5" w14:textId="55D7D797" w:rsidR="00E00213" w:rsidRPr="00E6110F" w:rsidRDefault="00463869" w:rsidP="00973E76">
            <w:pPr>
              <w:pStyle w:val="Body"/>
              <w:jc w:val="center"/>
            </w:pPr>
            <w:r w:rsidRPr="00E6110F">
              <w:t>0.05-1.7</w:t>
            </w:r>
          </w:p>
        </w:tc>
        <w:tc>
          <w:tcPr>
            <w:tcW w:w="2253" w:type="dxa"/>
          </w:tcPr>
          <w:p w14:paraId="220C50A4" w14:textId="547693D2" w:rsidR="00E00213" w:rsidRPr="00E6110F" w:rsidRDefault="00463869" w:rsidP="00973E76">
            <w:pPr>
              <w:pStyle w:val="Body"/>
              <w:jc w:val="center"/>
            </w:pPr>
            <w:r w:rsidRPr="00E6110F">
              <w:t>0.56</w:t>
            </w:r>
          </w:p>
        </w:tc>
      </w:tr>
      <w:tr w:rsidR="00E00213" w:rsidRPr="00E6110F" w14:paraId="2960D41C" w14:textId="77777777" w:rsidTr="00E00213">
        <w:tc>
          <w:tcPr>
            <w:tcW w:w="2252" w:type="dxa"/>
          </w:tcPr>
          <w:p w14:paraId="06D2583D" w14:textId="3F9DAC4E" w:rsidR="00E00213" w:rsidRPr="00E6110F" w:rsidRDefault="00E00213" w:rsidP="00C6170D">
            <w:pPr>
              <w:pStyle w:val="Body"/>
            </w:pPr>
            <w:r w:rsidRPr="00E6110F">
              <w:t>Hutton Sandstone-Marburg Subgroup</w:t>
            </w:r>
          </w:p>
        </w:tc>
        <w:tc>
          <w:tcPr>
            <w:tcW w:w="2252" w:type="dxa"/>
          </w:tcPr>
          <w:p w14:paraId="4E8FD661" w14:textId="08B36303" w:rsidR="00E00213" w:rsidRPr="00E6110F" w:rsidRDefault="00101861" w:rsidP="00973E76">
            <w:pPr>
              <w:pStyle w:val="Body"/>
              <w:jc w:val="center"/>
            </w:pPr>
            <w:r w:rsidRPr="00E6110F">
              <w:t>211</w:t>
            </w:r>
          </w:p>
        </w:tc>
        <w:tc>
          <w:tcPr>
            <w:tcW w:w="2253" w:type="dxa"/>
          </w:tcPr>
          <w:p w14:paraId="7F20263E" w14:textId="64EA1ACB" w:rsidR="00E00213" w:rsidRPr="00E6110F" w:rsidRDefault="00101861" w:rsidP="00973E76">
            <w:pPr>
              <w:pStyle w:val="Body"/>
              <w:jc w:val="center"/>
            </w:pPr>
            <w:r w:rsidRPr="00E6110F">
              <w:t>0.02-1.02</w:t>
            </w:r>
          </w:p>
        </w:tc>
        <w:tc>
          <w:tcPr>
            <w:tcW w:w="2253" w:type="dxa"/>
          </w:tcPr>
          <w:p w14:paraId="0F682504" w14:textId="0412BA23" w:rsidR="00E00213" w:rsidRPr="00E6110F" w:rsidRDefault="00101861" w:rsidP="00973E76">
            <w:pPr>
              <w:pStyle w:val="Body"/>
              <w:jc w:val="center"/>
            </w:pPr>
            <w:r w:rsidRPr="00E6110F">
              <w:t>0.05</w:t>
            </w:r>
          </w:p>
        </w:tc>
      </w:tr>
    </w:tbl>
    <w:p w14:paraId="51EAE041" w14:textId="77777777" w:rsidR="00E00213" w:rsidRPr="00E6110F" w:rsidRDefault="00E00213" w:rsidP="00C6170D">
      <w:pPr>
        <w:pStyle w:val="Body"/>
      </w:pPr>
    </w:p>
    <w:p w14:paraId="1B09EACE" w14:textId="789ABE76" w:rsidR="00E54F3F" w:rsidRPr="00E6110F" w:rsidRDefault="00E54F3F" w:rsidP="00E54F3F">
      <w:pPr>
        <w:pStyle w:val="Heading3"/>
        <w:numPr>
          <w:ilvl w:val="3"/>
          <w:numId w:val="1"/>
        </w:numPr>
      </w:pPr>
      <w:bookmarkStart w:id="118" w:name="_Toc494444505"/>
      <w:r w:rsidRPr="00E6110F">
        <w:t>Arsenic</w:t>
      </w:r>
      <w:bookmarkEnd w:id="118"/>
    </w:p>
    <w:p w14:paraId="2FF2459E" w14:textId="62F67DD2" w:rsidR="004B4361" w:rsidRPr="00E6110F" w:rsidRDefault="00F15A39" w:rsidP="00F15A39">
      <w:pPr>
        <w:pStyle w:val="Body"/>
      </w:pPr>
      <w:r w:rsidRPr="00E6110F">
        <w:t xml:space="preserve">Dissolved arsenic is present in two oxidation states of arsenic in natural waters: </w:t>
      </w:r>
      <w:proofErr w:type="gramStart"/>
      <w:r w:rsidRPr="00E6110F">
        <w:t>As(</w:t>
      </w:r>
      <w:proofErr w:type="gramEnd"/>
      <w:r w:rsidRPr="00E6110F">
        <w:t>V) and As(III) (US EPA 2004</w:t>
      </w:r>
      <w:r w:rsidR="005D5FE9" w:rsidRPr="00E6110F">
        <w:t>b</w:t>
      </w:r>
      <w:r w:rsidRPr="00E6110F">
        <w:t>).  Arsenate is the thermodynamically stable form of arsenic in oxygenated waters (</w:t>
      </w:r>
      <w:r w:rsidR="005C53A5" w:rsidRPr="00E6110F">
        <w:fldChar w:fldCharType="begin" w:fldLock="1"/>
      </w:r>
      <w:r w:rsidR="005C53A5" w:rsidRPr="00E6110F">
        <w:instrText xml:space="preserve"> REF _Ref452648981 \h </w:instrText>
      </w:r>
      <w:r w:rsidR="00E6110F">
        <w:instrText xml:space="preserve"> \* MERGEFORMAT </w:instrText>
      </w:r>
      <w:r w:rsidR="005C53A5" w:rsidRPr="00E6110F">
        <w:fldChar w:fldCharType="separate"/>
      </w:r>
      <w:r w:rsidR="00335E79" w:rsidRPr="00E6110F">
        <w:t xml:space="preserve">Figure </w:t>
      </w:r>
      <w:r w:rsidR="00335E79">
        <w:rPr>
          <w:noProof/>
        </w:rPr>
        <w:t>2</w:t>
      </w:r>
      <w:r w:rsidR="00335E79">
        <w:rPr>
          <w:noProof/>
        </w:rPr>
        <w:noBreakHyphen/>
        <w:t>14</w:t>
      </w:r>
      <w:r w:rsidR="005C53A5" w:rsidRPr="00E6110F">
        <w:fldChar w:fldCharType="end"/>
      </w:r>
      <w:r w:rsidRPr="00E6110F">
        <w:t xml:space="preserve">), however, significant concentrations of </w:t>
      </w:r>
      <w:proofErr w:type="gramStart"/>
      <w:r w:rsidRPr="00E6110F">
        <w:t>As(</w:t>
      </w:r>
      <w:proofErr w:type="gramEnd"/>
      <w:r w:rsidRPr="00E6110F">
        <w:t>III) may be found in such waters owing to the slow kinetics of oxidation of As(III) to As(V) (US EPA 2004</w:t>
      </w:r>
      <w:r w:rsidR="005D5FE9" w:rsidRPr="00E6110F">
        <w:t>b</w:t>
      </w:r>
      <w:r w:rsidRPr="00E6110F">
        <w:t xml:space="preserve">). </w:t>
      </w:r>
      <w:proofErr w:type="gramStart"/>
      <w:r w:rsidRPr="00E6110F">
        <w:t>Arsenic(</w:t>
      </w:r>
      <w:proofErr w:type="gramEnd"/>
      <w:r w:rsidRPr="00E6110F">
        <w:t xml:space="preserve">III) may be the major dissolved arsenic species in deep groundwater systems because of the </w:t>
      </w:r>
      <w:r w:rsidR="005C53A5" w:rsidRPr="00E6110F">
        <w:t xml:space="preserve">expected </w:t>
      </w:r>
      <w:r w:rsidRPr="00E6110F">
        <w:t>redox potential and low oxygen concentrations (</w:t>
      </w:r>
      <w:r w:rsidR="005C53A5" w:rsidRPr="00E6110F">
        <w:fldChar w:fldCharType="begin" w:fldLock="1"/>
      </w:r>
      <w:r w:rsidR="005C53A5" w:rsidRPr="00E6110F">
        <w:instrText xml:space="preserve"> REF _Ref452648981 \h </w:instrText>
      </w:r>
      <w:r w:rsidR="00E6110F">
        <w:instrText xml:space="preserve"> \* MERGEFORMAT </w:instrText>
      </w:r>
      <w:r w:rsidR="005C53A5" w:rsidRPr="00E6110F">
        <w:fldChar w:fldCharType="separate"/>
      </w:r>
      <w:r w:rsidR="00335E79" w:rsidRPr="00E6110F">
        <w:t xml:space="preserve">Figure </w:t>
      </w:r>
      <w:r w:rsidR="00335E79">
        <w:rPr>
          <w:noProof/>
        </w:rPr>
        <w:t>2</w:t>
      </w:r>
      <w:r w:rsidR="00335E79">
        <w:rPr>
          <w:noProof/>
        </w:rPr>
        <w:noBreakHyphen/>
        <w:t>14</w:t>
      </w:r>
      <w:r w:rsidR="005C53A5" w:rsidRPr="00E6110F">
        <w:fldChar w:fldCharType="end"/>
      </w:r>
      <w:r w:rsidRPr="00E6110F">
        <w:t>, US EPA 2004</w:t>
      </w:r>
      <w:r w:rsidR="005D5FE9" w:rsidRPr="00E6110F">
        <w:t>b</w:t>
      </w:r>
      <w:r w:rsidRPr="00E6110F">
        <w:t>). The sorption of both As(III) and As(V) onto iron hydroxide solid phases is significant and varies with pH (Dixit and Hering 2003)</w:t>
      </w:r>
      <w:r w:rsidR="00777691" w:rsidRPr="00E6110F">
        <w:t xml:space="preserve"> and redox potential (Mallants et al. 2001)</w:t>
      </w:r>
      <w:r w:rsidRPr="00E6110F">
        <w:t>. Over the pH range 7 to 8, As(III) has a slightly higher affinity for hydrous iron oxide and goethite than As(V) resulting in</w:t>
      </w:r>
      <w:r w:rsidR="00052A49" w:rsidRPr="00E6110F">
        <w:t xml:space="preserve"> solid-liquid partition coefficient,</w:t>
      </w:r>
      <w:r w:rsidRPr="00E6110F">
        <w:t xml:space="preserve"> </w:t>
      </w:r>
      <w:r w:rsidRPr="00E6110F">
        <w:rPr>
          <w:i/>
        </w:rPr>
        <w:t>K</w:t>
      </w:r>
      <w:r w:rsidRPr="00E6110F">
        <w:rPr>
          <w:vertAlign w:val="subscript"/>
        </w:rPr>
        <w:t>d</w:t>
      </w:r>
      <w:r w:rsidR="00052A49" w:rsidRPr="00E6110F">
        <w:t xml:space="preserve">, </w:t>
      </w:r>
      <w:r w:rsidRPr="00E6110F">
        <w:t xml:space="preserve">values between a factor of 2 to 2.5 time higher for As(III) than As(V)  (Dixit and Hering 2003). </w:t>
      </w:r>
      <w:r w:rsidR="00777691" w:rsidRPr="00E6110F">
        <w:t xml:space="preserve">Under reducing conditions, the reduction of Fe(III)-oxides to Fe(II) makes the sediment less effective in adsorption of As, while </w:t>
      </w:r>
      <w:r w:rsidR="009F3C39" w:rsidRPr="00E6110F">
        <w:t>A(III) appears as uncharged As(OH)</w:t>
      </w:r>
      <w:r w:rsidR="009F3C39" w:rsidRPr="00E6110F">
        <w:rPr>
          <w:vertAlign w:val="subscript"/>
        </w:rPr>
        <w:t>3</w:t>
      </w:r>
      <w:r w:rsidR="009F3C39" w:rsidRPr="00E6110F">
        <w:t xml:space="preserve"> which has a lower affinity for sorption than As(V) which appears as monocharged H</w:t>
      </w:r>
      <w:r w:rsidR="009F3C39" w:rsidRPr="00E6110F">
        <w:rPr>
          <w:vertAlign w:val="subscript"/>
        </w:rPr>
        <w:t>2</w:t>
      </w:r>
      <w:r w:rsidR="009F3C39" w:rsidRPr="00E6110F">
        <w:t>As</w:t>
      </w:r>
      <w:r w:rsidR="00F73A54" w:rsidRPr="00E6110F">
        <w:t>O</w:t>
      </w:r>
      <w:r w:rsidR="009F3C39" w:rsidRPr="00E6110F">
        <w:rPr>
          <w:vertAlign w:val="subscript"/>
        </w:rPr>
        <w:t>4</w:t>
      </w:r>
      <w:r w:rsidR="009F3C39" w:rsidRPr="00E6110F">
        <w:rPr>
          <w:vertAlign w:val="superscript"/>
        </w:rPr>
        <w:t>-</w:t>
      </w:r>
      <w:r w:rsidR="00F73A54" w:rsidRPr="00E6110F">
        <w:t xml:space="preserve"> (Mallants et al. 2001).</w:t>
      </w:r>
      <w:r w:rsidR="00C40B50" w:rsidRPr="00E6110F">
        <w:t xml:space="preserve"> </w:t>
      </w:r>
    </w:p>
    <w:p w14:paraId="5F94BDAA" w14:textId="29EF4056" w:rsidR="00F15A39" w:rsidRPr="00E6110F" w:rsidRDefault="004B4361" w:rsidP="00F15A39">
      <w:pPr>
        <w:pStyle w:val="Body"/>
      </w:pPr>
      <w:r w:rsidRPr="00E6110F">
        <w:t>T</w:t>
      </w:r>
      <w:r w:rsidR="005D5FE9" w:rsidRPr="00E6110F">
        <w:t>he ANZECC</w:t>
      </w:r>
      <w:r w:rsidR="00F054EA">
        <w:t>/</w:t>
      </w:r>
      <w:r w:rsidR="00F15A39" w:rsidRPr="00E6110F">
        <w:t xml:space="preserve">ARMCANZ (2000) water quality guideline for ecosystem protection for </w:t>
      </w:r>
      <w:proofErr w:type="gramStart"/>
      <w:r w:rsidR="00F15A39" w:rsidRPr="00E6110F">
        <w:t>As(</w:t>
      </w:r>
      <w:proofErr w:type="gramEnd"/>
      <w:r w:rsidR="00F15A39" w:rsidRPr="00E6110F">
        <w:t xml:space="preserve">V) and As(III) in </w:t>
      </w:r>
      <w:r w:rsidR="006839ED">
        <w:t>fresh</w:t>
      </w:r>
      <w:r w:rsidR="006839ED" w:rsidRPr="00E6110F">
        <w:t xml:space="preserve"> </w:t>
      </w:r>
      <w:r w:rsidR="00F15A39" w:rsidRPr="00E6110F">
        <w:t>waters are 13 µg/L and 24 µg/L respectively (both 95% protection level).  Over the last 20 years there has been an increasing international focus understanding the mobility and behaviour of arsenic in groundwater systems because of its occurrence at high concentrations in drinking water supplies sourced from shallow aquifers in countries such as Bangladesh (Smedley and Kinniburgh 200</w:t>
      </w:r>
      <w:r w:rsidR="00705F44">
        <w:t>2</w:t>
      </w:r>
      <w:r w:rsidR="00F15A39" w:rsidRPr="00E6110F">
        <w:t>).  Arsenic in drinking water is a problem because of its high toxicity and carcinogenicity (Hughes et al</w:t>
      </w:r>
      <w:r w:rsidR="00052A49" w:rsidRPr="00E6110F">
        <w:t>.</w:t>
      </w:r>
      <w:r w:rsidR="00F15A39" w:rsidRPr="00E6110F">
        <w:t xml:space="preserve"> 2011). </w:t>
      </w:r>
      <w:r w:rsidR="00B15469" w:rsidRPr="00E6110F">
        <w:t>Based on a global data set, the t</w:t>
      </w:r>
      <w:r w:rsidR="00F15A39" w:rsidRPr="00E6110F">
        <w:t xml:space="preserve">ypical arsenic concentrations in groundwater </w:t>
      </w:r>
      <w:r w:rsidR="00B15469" w:rsidRPr="00E6110F">
        <w:t>was found to be</w:t>
      </w:r>
      <w:r w:rsidR="00F15A39" w:rsidRPr="00E6110F">
        <w:t xml:space="preserve"> less than 10 µg/L</w:t>
      </w:r>
      <w:r w:rsidR="00B15469" w:rsidRPr="00E6110F">
        <w:t>,</w:t>
      </w:r>
      <w:r w:rsidR="00F15A39" w:rsidRPr="00E6110F">
        <w:t xml:space="preserve"> however groundwater concentrations up to 5000 µg/L may occur in contaminated regions (Smedley and Kinniburgh 200</w:t>
      </w:r>
      <w:r w:rsidR="00705F44">
        <w:t>2</w:t>
      </w:r>
      <w:r w:rsidR="00F15A39" w:rsidRPr="00E6110F">
        <w:t>).</w:t>
      </w:r>
      <w:r w:rsidR="00052A49" w:rsidRPr="00E6110F">
        <w:t xml:space="preserve"> </w:t>
      </w:r>
      <w:r w:rsidR="00B15469" w:rsidRPr="00E6110F">
        <w:t>Background arsenic concentrations in key aquifers of the Surat Basin are reported by Ransley et al. (2015) and summarised in</w:t>
      </w:r>
      <w:r w:rsidR="007B3BC5" w:rsidRPr="00E6110F">
        <w:t xml:space="preserve"> </w:t>
      </w:r>
      <w:r w:rsidR="007B3BC5" w:rsidRPr="00E6110F">
        <w:fldChar w:fldCharType="begin" w:fldLock="1"/>
      </w:r>
      <w:r w:rsidR="007B3BC5" w:rsidRPr="00E6110F">
        <w:instrText xml:space="preserve"> REF _Ref452650355 \h </w:instrText>
      </w:r>
      <w:r w:rsidR="00E6110F">
        <w:instrText xml:space="preserve"> \* MERGEFORMAT </w:instrText>
      </w:r>
      <w:r w:rsidR="007B3BC5" w:rsidRPr="00E6110F">
        <w:fldChar w:fldCharType="separate"/>
      </w:r>
      <w:r w:rsidR="00335E79" w:rsidRPr="00E6110F">
        <w:t xml:space="preserve">Table </w:t>
      </w:r>
      <w:r w:rsidR="00335E79">
        <w:rPr>
          <w:noProof/>
        </w:rPr>
        <w:t>2</w:t>
      </w:r>
      <w:r w:rsidR="00335E79">
        <w:rPr>
          <w:noProof/>
        </w:rPr>
        <w:noBreakHyphen/>
        <w:t>8</w:t>
      </w:r>
      <w:r w:rsidR="007B3BC5" w:rsidRPr="00E6110F">
        <w:fldChar w:fldCharType="end"/>
      </w:r>
      <w:r w:rsidR="00B15469" w:rsidRPr="00E6110F">
        <w:t>.</w:t>
      </w:r>
      <w:r w:rsidR="00A00DEF">
        <w:t xml:space="preserve"> </w:t>
      </w:r>
      <w:r w:rsidR="00467C5A">
        <w:t xml:space="preserve"> Reported values for </w:t>
      </w:r>
      <w:proofErr w:type="gramStart"/>
      <w:r w:rsidR="00467C5A">
        <w:t>arsenic</w:t>
      </w:r>
      <w:r w:rsidR="000B488B">
        <w:t>(</w:t>
      </w:r>
      <w:proofErr w:type="gramEnd"/>
      <w:r w:rsidR="00965257">
        <w:t>III</w:t>
      </w:r>
      <w:r w:rsidR="000B488B">
        <w:t>)</w:t>
      </w:r>
      <w:r w:rsidR="00467C5A">
        <w:t xml:space="preserve"> in the Precipice Sandstone aquifer at Reedy Creek and Condabri </w:t>
      </w:r>
      <w:r w:rsidR="000B488B">
        <w:t xml:space="preserve">(Surat Basin) </w:t>
      </w:r>
      <w:r w:rsidR="00467C5A">
        <w:t xml:space="preserve">are  </w:t>
      </w:r>
      <w:r w:rsidR="006F133E">
        <w:t>0.0012</w:t>
      </w:r>
      <w:r w:rsidR="000B488B">
        <w:t xml:space="preserve"> and </w:t>
      </w:r>
      <w:r w:rsidR="006F133E">
        <w:t>0.0005</w:t>
      </w:r>
      <w:r w:rsidR="000B488B">
        <w:t xml:space="preserve"> m</w:t>
      </w:r>
      <w:r w:rsidR="006F133E">
        <w:t>g</w:t>
      </w:r>
      <w:r w:rsidR="000B488B">
        <w:t>/l, respectively</w:t>
      </w:r>
      <w:r w:rsidR="004F1998">
        <w:t xml:space="preserve"> (Prommer et al. 2016)</w:t>
      </w:r>
      <w:r w:rsidR="000B488B">
        <w:t>.</w:t>
      </w:r>
    </w:p>
    <w:p w14:paraId="683D0390" w14:textId="77777777" w:rsidR="00F15A39" w:rsidRPr="00E6110F" w:rsidRDefault="00F15A39" w:rsidP="00F15A39">
      <w:pPr>
        <w:pStyle w:val="Body"/>
      </w:pPr>
    </w:p>
    <w:p w14:paraId="790D4A15" w14:textId="6FC2DF1F" w:rsidR="00B15469" w:rsidRPr="00E6110F" w:rsidRDefault="00B15469" w:rsidP="00B15469">
      <w:pPr>
        <w:pStyle w:val="Imagecaption"/>
        <w:keepNext/>
        <w:pBdr>
          <w:top w:val="none" w:sz="0" w:space="0" w:color="auto"/>
        </w:pBdr>
      </w:pPr>
      <w:bookmarkStart w:id="119" w:name="_Ref452650355"/>
      <w:bookmarkStart w:id="120" w:name="_Toc494444698"/>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8</w:t>
      </w:r>
      <w:r w:rsidR="00470577">
        <w:fldChar w:fldCharType="end"/>
      </w:r>
      <w:bookmarkEnd w:id="119"/>
      <w:r w:rsidRPr="00E6110F">
        <w:t>. Background arsenic concentrations (mg/L) in Surat Basin formations (Ransley et al. 2015).</w:t>
      </w:r>
      <w:bookmarkEnd w:id="120"/>
    </w:p>
    <w:tbl>
      <w:tblPr>
        <w:tblStyle w:val="TableGrid"/>
        <w:tblW w:w="0" w:type="auto"/>
        <w:tblLook w:val="04A0" w:firstRow="1" w:lastRow="0" w:firstColumn="1" w:lastColumn="0" w:noHBand="0" w:noVBand="1"/>
      </w:tblPr>
      <w:tblGrid>
        <w:gridCol w:w="2252"/>
        <w:gridCol w:w="2252"/>
        <w:gridCol w:w="2253"/>
        <w:gridCol w:w="2253"/>
      </w:tblGrid>
      <w:tr w:rsidR="00B15469" w:rsidRPr="00E6110F" w14:paraId="4F2713C7" w14:textId="77777777" w:rsidTr="00286D0B">
        <w:tc>
          <w:tcPr>
            <w:tcW w:w="2252" w:type="dxa"/>
            <w:shd w:val="clear" w:color="auto" w:fill="F2F2F2" w:themeFill="background1" w:themeFillShade="F2"/>
          </w:tcPr>
          <w:p w14:paraId="0DDFFEB1" w14:textId="77777777" w:rsidR="00B15469" w:rsidRPr="00E6110F" w:rsidRDefault="00B15469" w:rsidP="0033338C">
            <w:pPr>
              <w:pStyle w:val="Body"/>
            </w:pPr>
            <w:r w:rsidRPr="00E6110F">
              <w:t>Formation</w:t>
            </w:r>
          </w:p>
        </w:tc>
        <w:tc>
          <w:tcPr>
            <w:tcW w:w="2252" w:type="dxa"/>
            <w:shd w:val="clear" w:color="auto" w:fill="F2F2F2" w:themeFill="background1" w:themeFillShade="F2"/>
          </w:tcPr>
          <w:p w14:paraId="653A97E7" w14:textId="77777777" w:rsidR="00B15469" w:rsidRPr="00E6110F" w:rsidRDefault="00B15469" w:rsidP="00973E76">
            <w:pPr>
              <w:pStyle w:val="Body"/>
              <w:jc w:val="center"/>
            </w:pPr>
            <w:r w:rsidRPr="00E6110F">
              <w:t>Number of samples</w:t>
            </w:r>
          </w:p>
        </w:tc>
        <w:tc>
          <w:tcPr>
            <w:tcW w:w="2253" w:type="dxa"/>
            <w:shd w:val="clear" w:color="auto" w:fill="F2F2F2" w:themeFill="background1" w:themeFillShade="F2"/>
          </w:tcPr>
          <w:p w14:paraId="13E25D53" w14:textId="77777777" w:rsidR="00B15469" w:rsidRPr="00E6110F" w:rsidRDefault="00B15469" w:rsidP="00973E76">
            <w:pPr>
              <w:pStyle w:val="Body"/>
              <w:jc w:val="center"/>
            </w:pPr>
            <w:r w:rsidRPr="00E6110F">
              <w:t>Range</w:t>
            </w:r>
          </w:p>
        </w:tc>
        <w:tc>
          <w:tcPr>
            <w:tcW w:w="2253" w:type="dxa"/>
            <w:shd w:val="clear" w:color="auto" w:fill="F2F2F2" w:themeFill="background1" w:themeFillShade="F2"/>
          </w:tcPr>
          <w:p w14:paraId="6E22FBE9" w14:textId="439DB9E4" w:rsidR="00B15469" w:rsidRPr="00E6110F" w:rsidRDefault="00286D0B" w:rsidP="00973E76">
            <w:pPr>
              <w:pStyle w:val="Body"/>
              <w:jc w:val="center"/>
            </w:pPr>
            <w:r>
              <w:t>M</w:t>
            </w:r>
            <w:r w:rsidR="00B15469" w:rsidRPr="00E6110F">
              <w:t>edian</w:t>
            </w:r>
          </w:p>
        </w:tc>
      </w:tr>
      <w:tr w:rsidR="00B15469" w:rsidRPr="00E6110F" w14:paraId="2AF1A216" w14:textId="77777777" w:rsidTr="0033338C">
        <w:tc>
          <w:tcPr>
            <w:tcW w:w="2252" w:type="dxa"/>
          </w:tcPr>
          <w:p w14:paraId="292E9621" w14:textId="77777777" w:rsidR="00B15469" w:rsidRPr="00E6110F" w:rsidRDefault="00B15469" w:rsidP="0033338C">
            <w:pPr>
              <w:pStyle w:val="Body"/>
            </w:pPr>
            <w:r w:rsidRPr="00E6110F">
              <w:t>Condamine alluvium</w:t>
            </w:r>
          </w:p>
        </w:tc>
        <w:tc>
          <w:tcPr>
            <w:tcW w:w="2252" w:type="dxa"/>
          </w:tcPr>
          <w:p w14:paraId="7B424BD9" w14:textId="77777777" w:rsidR="00B15469" w:rsidRPr="00E6110F" w:rsidRDefault="00B15469" w:rsidP="00973E76">
            <w:pPr>
              <w:pStyle w:val="Body"/>
              <w:jc w:val="center"/>
            </w:pPr>
            <w:r w:rsidRPr="00E6110F">
              <w:t>18</w:t>
            </w:r>
          </w:p>
        </w:tc>
        <w:tc>
          <w:tcPr>
            <w:tcW w:w="2253" w:type="dxa"/>
          </w:tcPr>
          <w:p w14:paraId="3964B832" w14:textId="7E9A8AE9" w:rsidR="00B15469" w:rsidRPr="00E6110F" w:rsidRDefault="007B3BC5" w:rsidP="00973E76">
            <w:pPr>
              <w:pStyle w:val="Body"/>
              <w:jc w:val="center"/>
            </w:pPr>
            <w:r w:rsidRPr="00E6110F">
              <w:t>0.0005-0.01</w:t>
            </w:r>
          </w:p>
        </w:tc>
        <w:tc>
          <w:tcPr>
            <w:tcW w:w="2253" w:type="dxa"/>
          </w:tcPr>
          <w:p w14:paraId="67FB3373" w14:textId="09CFF805" w:rsidR="00B15469" w:rsidRPr="00E6110F" w:rsidRDefault="007B3BC5" w:rsidP="00973E76">
            <w:pPr>
              <w:pStyle w:val="Body"/>
              <w:jc w:val="center"/>
            </w:pPr>
            <w:r w:rsidRPr="00E6110F">
              <w:t>0.003</w:t>
            </w:r>
          </w:p>
        </w:tc>
      </w:tr>
      <w:tr w:rsidR="00B15469" w:rsidRPr="00E6110F" w14:paraId="449B0F73" w14:textId="77777777" w:rsidTr="0033338C">
        <w:tc>
          <w:tcPr>
            <w:tcW w:w="2252" w:type="dxa"/>
          </w:tcPr>
          <w:p w14:paraId="12E401A2" w14:textId="77777777" w:rsidR="00B15469" w:rsidRPr="00E6110F" w:rsidRDefault="00B15469" w:rsidP="0033338C">
            <w:pPr>
              <w:pStyle w:val="Body"/>
            </w:pPr>
            <w:r w:rsidRPr="00E6110F">
              <w:t>Gubberamunda Sandstone</w:t>
            </w:r>
          </w:p>
        </w:tc>
        <w:tc>
          <w:tcPr>
            <w:tcW w:w="2252" w:type="dxa"/>
          </w:tcPr>
          <w:p w14:paraId="501F5CF2" w14:textId="2D89555D" w:rsidR="00B15469" w:rsidRPr="00E6110F" w:rsidRDefault="007B3BC5" w:rsidP="00973E76">
            <w:pPr>
              <w:pStyle w:val="Body"/>
              <w:jc w:val="center"/>
            </w:pPr>
            <w:r w:rsidRPr="00E6110F">
              <w:t>81</w:t>
            </w:r>
          </w:p>
        </w:tc>
        <w:tc>
          <w:tcPr>
            <w:tcW w:w="2253" w:type="dxa"/>
          </w:tcPr>
          <w:p w14:paraId="5E3D997D" w14:textId="39591206" w:rsidR="00B15469" w:rsidRPr="00E6110F" w:rsidRDefault="007B3BC5" w:rsidP="00973E76">
            <w:pPr>
              <w:pStyle w:val="Body"/>
              <w:jc w:val="center"/>
            </w:pPr>
            <w:r w:rsidRPr="00E6110F">
              <w:t>0.0005-0.003</w:t>
            </w:r>
          </w:p>
        </w:tc>
        <w:tc>
          <w:tcPr>
            <w:tcW w:w="2253" w:type="dxa"/>
          </w:tcPr>
          <w:p w14:paraId="7C3627A0" w14:textId="29154C45" w:rsidR="00B15469" w:rsidRPr="00E6110F" w:rsidRDefault="007B3BC5" w:rsidP="00973E76">
            <w:pPr>
              <w:pStyle w:val="Body"/>
              <w:jc w:val="center"/>
            </w:pPr>
            <w:r w:rsidRPr="00E6110F">
              <w:t>0.001</w:t>
            </w:r>
          </w:p>
        </w:tc>
      </w:tr>
      <w:tr w:rsidR="00B15469" w:rsidRPr="00E6110F" w14:paraId="757E9A54" w14:textId="77777777" w:rsidTr="0033338C">
        <w:tc>
          <w:tcPr>
            <w:tcW w:w="2252" w:type="dxa"/>
          </w:tcPr>
          <w:p w14:paraId="0BAC7F07" w14:textId="77777777" w:rsidR="00B15469" w:rsidRPr="00E6110F" w:rsidRDefault="00B15469" w:rsidP="0033338C">
            <w:pPr>
              <w:pStyle w:val="Body"/>
            </w:pPr>
            <w:r w:rsidRPr="00E6110F">
              <w:t>Springbok Sandstone)</w:t>
            </w:r>
          </w:p>
        </w:tc>
        <w:tc>
          <w:tcPr>
            <w:tcW w:w="2252" w:type="dxa"/>
          </w:tcPr>
          <w:p w14:paraId="7391F79F" w14:textId="4DD6E506" w:rsidR="00B15469" w:rsidRPr="00E6110F" w:rsidRDefault="00296DD7" w:rsidP="00973E76">
            <w:pPr>
              <w:pStyle w:val="Body"/>
              <w:jc w:val="center"/>
            </w:pPr>
            <w:r w:rsidRPr="00E6110F">
              <w:t>N</w:t>
            </w:r>
            <w:r w:rsidR="007B3BC5" w:rsidRPr="00E6110F">
              <w:t>d</w:t>
            </w:r>
          </w:p>
        </w:tc>
        <w:tc>
          <w:tcPr>
            <w:tcW w:w="2253" w:type="dxa"/>
          </w:tcPr>
          <w:p w14:paraId="41D584ED" w14:textId="511AA276" w:rsidR="00B15469" w:rsidRPr="00E6110F" w:rsidRDefault="007B3BC5" w:rsidP="00973E76">
            <w:pPr>
              <w:pStyle w:val="Body"/>
              <w:jc w:val="center"/>
            </w:pPr>
            <w:r w:rsidRPr="00E6110F">
              <w:t>nd</w:t>
            </w:r>
          </w:p>
        </w:tc>
        <w:tc>
          <w:tcPr>
            <w:tcW w:w="2253" w:type="dxa"/>
          </w:tcPr>
          <w:p w14:paraId="37593CCF" w14:textId="05D76F99" w:rsidR="00B15469" w:rsidRPr="00E6110F" w:rsidRDefault="007B3BC5" w:rsidP="00973E76">
            <w:pPr>
              <w:pStyle w:val="Body"/>
              <w:jc w:val="center"/>
            </w:pPr>
            <w:r w:rsidRPr="00E6110F">
              <w:t>nd</w:t>
            </w:r>
          </w:p>
        </w:tc>
      </w:tr>
      <w:tr w:rsidR="00B15469" w:rsidRPr="00E6110F" w14:paraId="663FAD54" w14:textId="77777777" w:rsidTr="0033338C">
        <w:tc>
          <w:tcPr>
            <w:tcW w:w="2252" w:type="dxa"/>
          </w:tcPr>
          <w:p w14:paraId="14F36D26" w14:textId="77777777" w:rsidR="00B15469" w:rsidRPr="00E6110F" w:rsidRDefault="00B15469" w:rsidP="0033338C">
            <w:pPr>
              <w:pStyle w:val="Body"/>
            </w:pPr>
            <w:r w:rsidRPr="00E6110F">
              <w:t>Walloon Coal Measures</w:t>
            </w:r>
          </w:p>
        </w:tc>
        <w:tc>
          <w:tcPr>
            <w:tcW w:w="2252" w:type="dxa"/>
          </w:tcPr>
          <w:p w14:paraId="59AEFC2E" w14:textId="3612EBE0" w:rsidR="00B15469" w:rsidRPr="00E6110F" w:rsidRDefault="007B3BC5" w:rsidP="00973E76">
            <w:pPr>
              <w:pStyle w:val="Body"/>
              <w:jc w:val="center"/>
            </w:pPr>
            <w:r w:rsidRPr="00E6110F">
              <w:t>148</w:t>
            </w:r>
          </w:p>
        </w:tc>
        <w:tc>
          <w:tcPr>
            <w:tcW w:w="2253" w:type="dxa"/>
          </w:tcPr>
          <w:p w14:paraId="290D6573" w14:textId="0EEFB649" w:rsidR="00B15469" w:rsidRPr="00E6110F" w:rsidRDefault="007B3BC5" w:rsidP="00973E76">
            <w:pPr>
              <w:pStyle w:val="Body"/>
              <w:jc w:val="center"/>
            </w:pPr>
            <w:r w:rsidRPr="00E6110F">
              <w:t>0.0003-0.022</w:t>
            </w:r>
          </w:p>
        </w:tc>
        <w:tc>
          <w:tcPr>
            <w:tcW w:w="2253" w:type="dxa"/>
          </w:tcPr>
          <w:p w14:paraId="01F9C678" w14:textId="1D30D40E" w:rsidR="00B15469" w:rsidRPr="00E6110F" w:rsidRDefault="007B3BC5" w:rsidP="00973E76">
            <w:pPr>
              <w:pStyle w:val="Body"/>
              <w:jc w:val="center"/>
            </w:pPr>
            <w:r w:rsidRPr="00E6110F">
              <w:t>0.001</w:t>
            </w:r>
          </w:p>
        </w:tc>
      </w:tr>
      <w:tr w:rsidR="00B15469" w:rsidRPr="00E6110F" w14:paraId="65087B9D" w14:textId="77777777" w:rsidTr="0033338C">
        <w:tc>
          <w:tcPr>
            <w:tcW w:w="2252" w:type="dxa"/>
          </w:tcPr>
          <w:p w14:paraId="33E95127" w14:textId="77777777" w:rsidR="00B15469" w:rsidRPr="00E6110F" w:rsidRDefault="00B15469" w:rsidP="0033338C">
            <w:pPr>
              <w:pStyle w:val="Body"/>
            </w:pPr>
            <w:r w:rsidRPr="00E6110F">
              <w:t>Hutton Sandstone-Marburg Subgroup</w:t>
            </w:r>
          </w:p>
        </w:tc>
        <w:tc>
          <w:tcPr>
            <w:tcW w:w="2252" w:type="dxa"/>
          </w:tcPr>
          <w:p w14:paraId="18DB0349" w14:textId="48E0D0BD" w:rsidR="00B15469" w:rsidRPr="00E6110F" w:rsidRDefault="007B3BC5" w:rsidP="00973E76">
            <w:pPr>
              <w:pStyle w:val="Body"/>
              <w:jc w:val="center"/>
            </w:pPr>
            <w:r w:rsidRPr="00E6110F">
              <w:t>145</w:t>
            </w:r>
          </w:p>
        </w:tc>
        <w:tc>
          <w:tcPr>
            <w:tcW w:w="2253" w:type="dxa"/>
          </w:tcPr>
          <w:p w14:paraId="2519D140" w14:textId="73B4BE98" w:rsidR="00B15469" w:rsidRPr="00E6110F" w:rsidRDefault="007B3BC5" w:rsidP="00973E76">
            <w:pPr>
              <w:pStyle w:val="Body"/>
              <w:jc w:val="center"/>
            </w:pPr>
            <w:r w:rsidRPr="00E6110F">
              <w:t>0.0005-0.0031</w:t>
            </w:r>
          </w:p>
        </w:tc>
        <w:tc>
          <w:tcPr>
            <w:tcW w:w="2253" w:type="dxa"/>
          </w:tcPr>
          <w:p w14:paraId="6A7D53E6" w14:textId="7800C88C" w:rsidR="00B15469" w:rsidRPr="00E6110F" w:rsidRDefault="007B3BC5" w:rsidP="00973E76">
            <w:pPr>
              <w:pStyle w:val="Body"/>
              <w:jc w:val="center"/>
            </w:pPr>
            <w:r w:rsidRPr="00E6110F">
              <w:t>0.001</w:t>
            </w:r>
          </w:p>
        </w:tc>
      </w:tr>
    </w:tbl>
    <w:p w14:paraId="07BE9F3B" w14:textId="77777777" w:rsidR="00F15A39" w:rsidRDefault="00F15A39" w:rsidP="00F15A39">
      <w:pPr>
        <w:pStyle w:val="Body"/>
      </w:pPr>
    </w:p>
    <w:p w14:paraId="25B12813" w14:textId="77777777" w:rsidR="00E61C5D" w:rsidRPr="00E6110F" w:rsidRDefault="00E61C5D" w:rsidP="00F15A39">
      <w:pPr>
        <w:pStyle w:val="Body"/>
      </w:pPr>
    </w:p>
    <w:p w14:paraId="36EF4DD6" w14:textId="77777777" w:rsidR="00F15A39" w:rsidRPr="00E6110F" w:rsidRDefault="00F15A39" w:rsidP="00F15A39">
      <w:pPr>
        <w:pStyle w:val="Body"/>
      </w:pPr>
      <w:r w:rsidRPr="00E6110F">
        <w:rPr>
          <w:noProof/>
          <w:lang w:val="en-AU" w:eastAsia="en-AU"/>
        </w:rPr>
        <w:drawing>
          <wp:inline distT="0" distB="0" distL="0" distR="0" wp14:anchorId="63CE53EC" wp14:editId="1C9BBAD8">
            <wp:extent cx="5731510" cy="4135437"/>
            <wp:effectExtent l="0" t="0" r="2540" b="0"/>
            <wp:docPr id="10" name="Picture 10" descr="Eh to pH stability diagram for dominant arsenic compounds." title="Fig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31510" cy="4135437"/>
                    </a:xfrm>
                    <a:prstGeom prst="rect">
                      <a:avLst/>
                    </a:prstGeom>
                    <a:noFill/>
                    <a:ln>
                      <a:noFill/>
                    </a:ln>
                  </pic:spPr>
                </pic:pic>
              </a:graphicData>
            </a:graphic>
          </wp:inline>
        </w:drawing>
      </w:r>
    </w:p>
    <w:p w14:paraId="1589D573" w14:textId="432C4C25" w:rsidR="00F15A39" w:rsidRPr="00E6110F" w:rsidRDefault="00B3690C" w:rsidP="00F15A39">
      <w:pPr>
        <w:pStyle w:val="Imagecaption"/>
      </w:pPr>
      <w:bookmarkStart w:id="121" w:name="_Ref452648981"/>
      <w:bookmarkStart w:id="122" w:name="_Toc477347546"/>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14</w:t>
      </w:r>
      <w:r w:rsidR="00254026">
        <w:fldChar w:fldCharType="end"/>
      </w:r>
      <w:bookmarkEnd w:id="121"/>
      <w:r w:rsidRPr="00E6110F">
        <w:t xml:space="preserve">. </w:t>
      </w:r>
      <w:r w:rsidR="00F15A39" w:rsidRPr="00E6110F">
        <w:t>Eh-pH stability diagram for the dominant arsenic aqueous species at 25°C, total dissolved arsenic concentration:</w:t>
      </w:r>
      <w:r w:rsidR="005C53A5" w:rsidRPr="00E6110F">
        <w:t xml:space="preserve"> 10</w:t>
      </w:r>
      <w:r w:rsidR="005C53A5" w:rsidRPr="00E6110F">
        <w:rPr>
          <w:vertAlign w:val="superscript"/>
        </w:rPr>
        <w:t>-6</w:t>
      </w:r>
      <w:r w:rsidR="005C53A5" w:rsidRPr="00E6110F">
        <w:t xml:space="preserve"> mol/L</w:t>
      </w:r>
      <w:r w:rsidR="00F15A39" w:rsidRPr="00E6110F">
        <w:t xml:space="preserve"> (US</w:t>
      </w:r>
      <w:r w:rsidR="00886139" w:rsidRPr="00E6110F">
        <w:t xml:space="preserve"> </w:t>
      </w:r>
      <w:r w:rsidR="00F15A39" w:rsidRPr="00E6110F">
        <w:t>EPA 2004</w:t>
      </w:r>
      <w:r w:rsidR="005D5FE9" w:rsidRPr="00E6110F">
        <w:t>b</w:t>
      </w:r>
      <w:r w:rsidR="00F15A39" w:rsidRPr="00E6110F">
        <w:t>).</w:t>
      </w:r>
      <w:bookmarkEnd w:id="122"/>
      <w:r w:rsidR="00F15A39" w:rsidRPr="00E6110F">
        <w:t xml:space="preserve"> </w:t>
      </w:r>
    </w:p>
    <w:p w14:paraId="2B5EF0BE" w14:textId="77777777" w:rsidR="00E54F3F" w:rsidRPr="00E6110F" w:rsidRDefault="00E54F3F" w:rsidP="00E54F3F">
      <w:pPr>
        <w:pStyle w:val="Body"/>
      </w:pPr>
    </w:p>
    <w:p w14:paraId="73B80632" w14:textId="1C584931" w:rsidR="00F15A39" w:rsidRPr="00E6110F" w:rsidRDefault="00F15A39" w:rsidP="009F4245">
      <w:pPr>
        <w:pStyle w:val="Heading3"/>
        <w:numPr>
          <w:ilvl w:val="3"/>
          <w:numId w:val="1"/>
        </w:numPr>
      </w:pPr>
      <w:bookmarkStart w:id="123" w:name="_Toc494444506"/>
      <w:r w:rsidRPr="00E6110F">
        <w:t>Uranium</w:t>
      </w:r>
      <w:bookmarkEnd w:id="123"/>
    </w:p>
    <w:p w14:paraId="1E8E70F9" w14:textId="1383948A" w:rsidR="000B2DAD" w:rsidRPr="00E6110F" w:rsidRDefault="000B2DAD" w:rsidP="000B2DAD">
      <w:pPr>
        <w:pStyle w:val="Body"/>
      </w:pPr>
      <w:r w:rsidRPr="00E6110F">
        <w:t xml:space="preserve">Uranium (U) has sixteen isotopes; all are radioactive. Several isotopes of uranium are naturally occurring radionuclides, including </w:t>
      </w:r>
      <w:r w:rsidRPr="00E6110F">
        <w:rPr>
          <w:vertAlign w:val="superscript"/>
        </w:rPr>
        <w:t>238</w:t>
      </w:r>
      <w:r w:rsidRPr="00E6110F">
        <w:t>U (half-life 4.47 × 10</w:t>
      </w:r>
      <w:r w:rsidRPr="00E6110F">
        <w:rPr>
          <w:vertAlign w:val="superscript"/>
        </w:rPr>
        <w:t>9</w:t>
      </w:r>
      <w:r w:rsidRPr="00E6110F">
        <w:t xml:space="preserve"> years), </w:t>
      </w:r>
      <w:r w:rsidRPr="00E6110F">
        <w:rPr>
          <w:vertAlign w:val="superscript"/>
        </w:rPr>
        <w:t>235</w:t>
      </w:r>
      <w:r w:rsidRPr="00E6110F">
        <w:t>U (half-life 7.04 × 10</w:t>
      </w:r>
      <w:r w:rsidRPr="00E6110F">
        <w:rPr>
          <w:vertAlign w:val="superscript"/>
        </w:rPr>
        <w:t>8</w:t>
      </w:r>
      <w:r w:rsidRPr="00E6110F">
        <w:t xml:space="preserve"> years), and </w:t>
      </w:r>
      <w:r w:rsidRPr="00E6110F">
        <w:rPr>
          <w:vertAlign w:val="superscript"/>
        </w:rPr>
        <w:t>234</w:t>
      </w:r>
      <w:r w:rsidRPr="00E6110F">
        <w:t>U (half-life 2.46 × 10</w:t>
      </w:r>
      <w:r w:rsidRPr="00E6110F">
        <w:rPr>
          <w:vertAlign w:val="superscript"/>
        </w:rPr>
        <w:t>5</w:t>
      </w:r>
      <w:r w:rsidRPr="00E6110F">
        <w:t xml:space="preserve"> years). Naturally occurring uranium typically contains 99.274 % </w:t>
      </w:r>
      <w:r w:rsidRPr="00E6110F">
        <w:rPr>
          <w:vertAlign w:val="superscript"/>
        </w:rPr>
        <w:t>238</w:t>
      </w:r>
      <w:r w:rsidRPr="00E6110F">
        <w:t xml:space="preserve">U, 0.720 % </w:t>
      </w:r>
      <w:r w:rsidRPr="00E6110F">
        <w:rPr>
          <w:vertAlign w:val="superscript"/>
        </w:rPr>
        <w:t>235</w:t>
      </w:r>
      <w:r w:rsidRPr="00E6110F">
        <w:t xml:space="preserve">U, and 0.0057 % </w:t>
      </w:r>
      <w:r w:rsidRPr="00E6110F">
        <w:rPr>
          <w:vertAlign w:val="superscript"/>
        </w:rPr>
        <w:t>234</w:t>
      </w:r>
      <w:r w:rsidRPr="00E6110F">
        <w:t>U by weight (IAEA</w:t>
      </w:r>
      <w:r w:rsidR="00492EE9" w:rsidRPr="00E6110F">
        <w:t>,</w:t>
      </w:r>
      <w:r w:rsidRPr="00E6110F">
        <w:t xml:space="preserve"> 2001). Uranium can exist in the +3, +4, +5, and +6 oxidation states, of which the +4 and +6 states are the most common states found in the environment (Ochs et al. 2015).</w:t>
      </w:r>
    </w:p>
    <w:p w14:paraId="01FCA0FD" w14:textId="3E821D0C" w:rsidR="00F15A39" w:rsidRDefault="00F15A39" w:rsidP="00F15A39">
      <w:pPr>
        <w:pStyle w:val="Body"/>
      </w:pPr>
      <w:r w:rsidRPr="00E6110F">
        <w:t>Uranium is a geogenic constituent found naturally both in coal seams and geological formations</w:t>
      </w:r>
      <w:r w:rsidR="001D45BA" w:rsidRPr="00E6110F">
        <w:t xml:space="preserve"> (Apte et al. 201</w:t>
      </w:r>
      <w:r w:rsidR="00914462">
        <w:t>7</w:t>
      </w:r>
      <w:r w:rsidR="00E55044" w:rsidRPr="00E6110F">
        <w:t>a</w:t>
      </w:r>
      <w:r w:rsidR="001D45BA" w:rsidRPr="00E6110F">
        <w:t>)</w:t>
      </w:r>
      <w:r w:rsidRPr="00E6110F">
        <w:t xml:space="preserve">. The highest concentrations of uranium are found in igneous rocks such as granite (Taylor 1964). The solution speciation of uranium in natural waters is dominated by two oxidation states: </w:t>
      </w:r>
      <w:proofErr w:type="gramStart"/>
      <w:r w:rsidRPr="00E6110F">
        <w:t>U(</w:t>
      </w:r>
      <w:proofErr w:type="gramEnd"/>
      <w:r w:rsidRPr="00E6110F">
        <w:t xml:space="preserve">VI) and U(IV). </w:t>
      </w:r>
      <w:proofErr w:type="gramStart"/>
      <w:r w:rsidRPr="00E6110F">
        <w:t>U(</w:t>
      </w:r>
      <w:proofErr w:type="gramEnd"/>
      <w:r w:rsidRPr="00E6110F">
        <w:t xml:space="preserve">VI) is more soluble and hence more mobile than U(IV).  Most studies have focussed on the </w:t>
      </w:r>
      <w:proofErr w:type="gramStart"/>
      <w:r w:rsidRPr="00E6110F">
        <w:t>U(</w:t>
      </w:r>
      <w:proofErr w:type="gramEnd"/>
      <w:r w:rsidRPr="00E6110F">
        <w:t>VI) oxidation state as it is assumed this oxidation state is predominant in groundwater (US EPA 1999</w:t>
      </w:r>
      <w:r w:rsidR="00E55044" w:rsidRPr="00E6110F">
        <w:t>a</w:t>
      </w:r>
      <w:r w:rsidRPr="00E6110F">
        <w:t>). The solution speciation of uranium is complex (</w:t>
      </w:r>
      <w:r w:rsidR="007C1C36" w:rsidRPr="00E6110F">
        <w:fldChar w:fldCharType="begin" w:fldLock="1"/>
      </w:r>
      <w:r w:rsidR="007C1C36" w:rsidRPr="00E6110F">
        <w:instrText xml:space="preserve"> REF _Ref452651588 \h </w:instrText>
      </w:r>
      <w:r w:rsidR="00E6110F">
        <w:instrText xml:space="preserve"> \* MERGEFORMAT </w:instrText>
      </w:r>
      <w:r w:rsidR="007C1C36" w:rsidRPr="00E6110F">
        <w:fldChar w:fldCharType="separate"/>
      </w:r>
      <w:r w:rsidR="00335E79" w:rsidRPr="00E6110F">
        <w:t xml:space="preserve">Figure </w:t>
      </w:r>
      <w:r w:rsidR="00335E79">
        <w:rPr>
          <w:noProof/>
        </w:rPr>
        <w:t>2</w:t>
      </w:r>
      <w:r w:rsidR="00335E79">
        <w:rPr>
          <w:noProof/>
        </w:rPr>
        <w:noBreakHyphen/>
        <w:t>15</w:t>
      </w:r>
      <w:r w:rsidR="007C1C36" w:rsidRPr="00E6110F">
        <w:fldChar w:fldCharType="end"/>
      </w:r>
      <w:r w:rsidRPr="00E6110F">
        <w:t xml:space="preserve">) with complexation of </w:t>
      </w:r>
      <w:proofErr w:type="gramStart"/>
      <w:r w:rsidRPr="00E6110F">
        <w:t>U(</w:t>
      </w:r>
      <w:proofErr w:type="gramEnd"/>
      <w:r w:rsidRPr="00E6110F">
        <w:t>VI) by carbonate (affected by carbonate concentration and pH) and natural organic matter being significant factors influencing the solubility and mobility of uranium (US</w:t>
      </w:r>
      <w:r w:rsidR="007C1C36" w:rsidRPr="00E6110F">
        <w:t xml:space="preserve"> </w:t>
      </w:r>
      <w:r w:rsidRPr="00E6110F">
        <w:t>EPA 1999</w:t>
      </w:r>
      <w:r w:rsidR="00E55044" w:rsidRPr="00E6110F">
        <w:t>a</w:t>
      </w:r>
      <w:r w:rsidRPr="00E6110F">
        <w:t xml:space="preserve">). Exposure of </w:t>
      </w:r>
      <w:proofErr w:type="gramStart"/>
      <w:r w:rsidRPr="00E6110F">
        <w:t>U(</w:t>
      </w:r>
      <w:proofErr w:type="gramEnd"/>
      <w:r w:rsidRPr="00E6110F">
        <w:t>IV) containing rocks to oxygenated groundwater leads to the oxidation and mobilisat</w:t>
      </w:r>
      <w:r w:rsidR="007C1C36" w:rsidRPr="00E6110F">
        <w:t>i</w:t>
      </w:r>
      <w:r w:rsidRPr="00E6110F">
        <w:t>on of uranium as U(VI) carbonate complex</w:t>
      </w:r>
      <w:r w:rsidR="00E55044" w:rsidRPr="00E6110F">
        <w:t>es (Langmuir 1978). The ANZECC</w:t>
      </w:r>
      <w:r w:rsidR="00F054EA">
        <w:t>/</w:t>
      </w:r>
      <w:r w:rsidRPr="00E6110F">
        <w:t xml:space="preserve">ARMCANZ (2000) water quality guideline for ecosystem protection (low reliability) for uranium in surface waters is 0.5 µg/L. </w:t>
      </w:r>
      <w:r w:rsidR="00FB3DDF" w:rsidRPr="00E6110F">
        <w:t xml:space="preserve">Shaw (2010) reported </w:t>
      </w:r>
      <w:r w:rsidR="00FB3DDF" w:rsidRPr="00E6110F">
        <w:rPr>
          <w:vertAlign w:val="superscript"/>
        </w:rPr>
        <w:t>238</w:t>
      </w:r>
      <w:r w:rsidR="00FB3DDF" w:rsidRPr="00E6110F">
        <w:t xml:space="preserve">U concentrations in raw produced </w:t>
      </w:r>
      <w:r w:rsidR="00B56BEF" w:rsidRPr="00E6110F">
        <w:t xml:space="preserve">Australian </w:t>
      </w:r>
      <w:r w:rsidR="00FB3DDF" w:rsidRPr="00E6110F">
        <w:t>CSG water up to 1.45 µg/L.</w:t>
      </w:r>
    </w:p>
    <w:p w14:paraId="55A90CD1" w14:textId="77777777" w:rsidR="00E61C5D" w:rsidRPr="00E6110F" w:rsidRDefault="00E61C5D" w:rsidP="00F15A39">
      <w:pPr>
        <w:pStyle w:val="Body"/>
      </w:pPr>
    </w:p>
    <w:p w14:paraId="53B8C8A0" w14:textId="77777777" w:rsidR="00F15A39" w:rsidRPr="00E6110F" w:rsidRDefault="00F15A39" w:rsidP="00F15A39">
      <w:pPr>
        <w:pStyle w:val="Body"/>
      </w:pPr>
      <w:r w:rsidRPr="00E6110F">
        <w:rPr>
          <w:noProof/>
          <w:lang w:val="en-AU" w:eastAsia="en-AU"/>
        </w:rPr>
        <w:drawing>
          <wp:inline distT="0" distB="0" distL="0" distR="0" wp14:anchorId="4ED27935" wp14:editId="12EB0E84">
            <wp:extent cx="5767754" cy="4336684"/>
            <wp:effectExtent l="0" t="0" r="4445" b="6985"/>
            <wp:docPr id="56" name="Picture 56" descr="Chart of calculated distribution of U(VI) aqueous species as a function of pH for typical river water." title="Fig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777989" cy="4344379"/>
                    </a:xfrm>
                    <a:prstGeom prst="rect">
                      <a:avLst/>
                    </a:prstGeom>
                    <a:noFill/>
                    <a:ln>
                      <a:noFill/>
                    </a:ln>
                  </pic:spPr>
                </pic:pic>
              </a:graphicData>
            </a:graphic>
          </wp:inline>
        </w:drawing>
      </w:r>
    </w:p>
    <w:p w14:paraId="72F57D3D" w14:textId="163FE77A" w:rsidR="00F15A39" w:rsidRPr="00E6110F" w:rsidRDefault="00172857" w:rsidP="00F15A39">
      <w:pPr>
        <w:pStyle w:val="Imagecaption"/>
      </w:pPr>
      <w:bookmarkStart w:id="124" w:name="_Ref452651588"/>
      <w:bookmarkStart w:id="125" w:name="_Toc477347547"/>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15</w:t>
      </w:r>
      <w:r w:rsidR="00254026">
        <w:fldChar w:fldCharType="end"/>
      </w:r>
      <w:bookmarkEnd w:id="124"/>
      <w:r w:rsidRPr="00E6110F">
        <w:t xml:space="preserve">. </w:t>
      </w:r>
      <w:r w:rsidR="00F15A39" w:rsidRPr="00E6110F">
        <w:t xml:space="preserve">Calculated distribution of </w:t>
      </w:r>
      <w:proofErr w:type="gramStart"/>
      <w:r w:rsidR="00F15A39" w:rsidRPr="00E6110F">
        <w:t>U(</w:t>
      </w:r>
      <w:proofErr w:type="gramEnd"/>
      <w:r w:rsidR="00F15A39" w:rsidRPr="00E6110F">
        <w:t>VI) aqueous species as a function of pH for typical river water (US</w:t>
      </w:r>
      <w:r w:rsidR="007C1C36" w:rsidRPr="00E6110F">
        <w:t xml:space="preserve"> </w:t>
      </w:r>
      <w:r w:rsidR="00F15A39" w:rsidRPr="00E6110F">
        <w:t>EPA 1999</w:t>
      </w:r>
      <w:r w:rsidR="00B56BEF" w:rsidRPr="00E6110F">
        <w:t>b</w:t>
      </w:r>
      <w:r w:rsidR="00F15A39" w:rsidRPr="00E6110F">
        <w:t>) [The species distribution is based on a concentration of 1,000 µ</w:t>
      </w:r>
      <w:r w:rsidR="007C1C36" w:rsidRPr="00E6110F">
        <w:t>g/L</w:t>
      </w:r>
      <w:r w:rsidR="00F15A39" w:rsidRPr="00E6110F">
        <w:t xml:space="preserve"> total dissolved U(VI)].</w:t>
      </w:r>
      <w:bookmarkEnd w:id="125"/>
    </w:p>
    <w:p w14:paraId="2EEEDB1A" w14:textId="77777777" w:rsidR="00F15A39" w:rsidRPr="00E6110F" w:rsidRDefault="00F15A39" w:rsidP="00F15A39">
      <w:pPr>
        <w:rPr>
          <w:lang w:val="en-GB"/>
        </w:rPr>
      </w:pPr>
    </w:p>
    <w:p w14:paraId="138F6821" w14:textId="7F9A721B" w:rsidR="009F4245" w:rsidRPr="00E6110F" w:rsidRDefault="009F4245" w:rsidP="009F4245">
      <w:pPr>
        <w:pStyle w:val="Heading3"/>
        <w:numPr>
          <w:ilvl w:val="3"/>
          <w:numId w:val="1"/>
        </w:numPr>
      </w:pPr>
      <w:bookmarkStart w:id="126" w:name="_Toc494444507"/>
      <w:r w:rsidRPr="00E6110F">
        <w:t>HMX</w:t>
      </w:r>
      <w:bookmarkEnd w:id="126"/>
    </w:p>
    <w:p w14:paraId="46ABFE6D" w14:textId="260CD6B6" w:rsidR="0073408D" w:rsidRPr="00E6110F" w:rsidRDefault="0073408D" w:rsidP="0073408D">
      <w:pPr>
        <w:pStyle w:val="Body"/>
      </w:pPr>
      <w:r w:rsidRPr="00E6110F">
        <w:t xml:space="preserve">HMX (octahydro-1,3,5,7-tetranitro-1,3,5,7-tetrazocine) is a widely used nitroaromatic </w:t>
      </w:r>
      <w:r w:rsidR="00A026FB">
        <w:t xml:space="preserve">high melting </w:t>
      </w:r>
      <w:r w:rsidRPr="00E6110F">
        <w:t>explosive and has applications, along with other explosives, during the hydraulic fracturing process to perforate the well casing prior to allow flow of groundwater and gas into the well and to inject hydraulic fracturing fluids</w:t>
      </w:r>
      <w:r w:rsidR="00400375" w:rsidRPr="00E6110F">
        <w:t xml:space="preserve"> (Savostianov 1991)</w:t>
      </w:r>
      <w:r w:rsidRPr="00E6110F">
        <w:t xml:space="preserve">. </w:t>
      </w:r>
      <w:r w:rsidR="007C1E42" w:rsidRPr="00E6110F">
        <w:t>Unreacted explosives (duds</w:t>
      </w:r>
      <w:r w:rsidR="000E4B11" w:rsidRPr="00E6110F">
        <w:t xml:space="preserve"> or detonation residues</w:t>
      </w:r>
      <w:r w:rsidR="007C1E42" w:rsidRPr="00E6110F">
        <w:t xml:space="preserve">) could end up in the coal seam waters from where could become available for dissolution and subsequent migration. </w:t>
      </w:r>
      <w:r w:rsidR="006B02CF" w:rsidRPr="00E6110F">
        <w:t xml:space="preserve">Lewis </w:t>
      </w:r>
      <w:r w:rsidR="004A7C12">
        <w:t xml:space="preserve">et al. </w:t>
      </w:r>
      <w:r w:rsidR="006B02CF" w:rsidRPr="00E6110F">
        <w:t>(200</w:t>
      </w:r>
      <w:r w:rsidR="004A7C12">
        <w:t>9</w:t>
      </w:r>
      <w:r w:rsidR="006B02CF" w:rsidRPr="00E6110F">
        <w:t xml:space="preserve">) discusses several ways why explosives fail to detonate. </w:t>
      </w:r>
      <w:r w:rsidRPr="00E6110F">
        <w:t xml:space="preserve">Most reports of HMX in the environment relate to its discharge from HMX manufacture (TOXNET). The sorption of nitro-containing explosives, including the chemically related TNT and RDX, increases as clay content increases, although HMX still has a relatively low affinity for sorption, even in the case of clay enrichment </w:t>
      </w:r>
      <w:r w:rsidRPr="00E6110F">
        <w:fldChar w:fldCharType="begin"/>
      </w:r>
      <w:r w:rsidRPr="00E6110F">
        <w:instrText xml:space="preserve"> ADDIN EN.CITE &lt;EndNote&gt;&lt;Cite&gt;&lt;Author&gt;Sharma&lt;/Author&gt;&lt;Year&gt;2013&lt;/Year&gt;&lt;RecNum&gt;3311&lt;/RecNum&gt;&lt;DisplayText&gt;(Sharma&lt;style face="italic"&gt; et al.&lt;/style&gt; 2013)&lt;/DisplayText&gt;&lt;record&gt;&lt;rec-number&gt;3311&lt;/rec-number&gt;&lt;foreign-keys&gt;&lt;key app="EN" db-id="d09sasz0sd22enex2rk5xrr7a5zsf0rvfsa5" timestamp="1464776464"&gt;3311&lt;/key&gt;&lt;/foreign-keys&gt;&lt;ref-type name="Journal Article"&gt;17&lt;/ref-type&gt;&lt;contributors&gt;&lt;authors&gt;&lt;author&gt;Sharma, P.&lt;/author&gt;&lt;author&gt;Mayes, M. A.&lt;/author&gt;&lt;author&gt;Tang, G.&lt;/author&gt;&lt;/authors&gt;&lt;/contributors&gt;&lt;auth-address&gt;Oak Ridge National Laboratory, Environmental Sciences Division, Oak Ridge, TN, United States&lt;/auth-address&gt;&lt;titles&gt;&lt;title&gt;Role of soil organic carbon and colloids in sorption and transport of TNT, RDX and HMX in training range soils&lt;/title&gt;&lt;secondary-title&gt;Chemosphere&lt;/secondary-title&gt;&lt;/titles&gt;&lt;periodical&gt;&lt;full-title&gt;Chemosphere&lt;/full-title&gt;&lt;abbr-1&gt;Chemosphere&lt;/abbr-1&gt;&lt;/periodical&gt;&lt;pages&gt;993-1000&lt;/pages&gt;&lt;volume&gt;92&lt;/volume&gt;&lt;number&gt;8&lt;/number&gt;&lt;keywords&gt;&lt;keyword&gt;Colloids&lt;/keyword&gt;&lt;keyword&gt;Column experiments&lt;/keyword&gt;&lt;keyword&gt;Explosives&lt;/keyword&gt;&lt;keyword&gt;Operational training range&lt;/keyword&gt;&lt;keyword&gt;Organic carbon&lt;/keyword&gt;&lt;/keywords&gt;&lt;dates&gt;&lt;year&gt;2013&lt;/year&gt;&lt;/dates&gt;&lt;work-type&gt;Article&lt;/work-type&gt;&lt;urls&gt;&lt;related-urls&gt;&lt;url&gt;https://www.scopus.com/inward/record.uri?eid=2-s2.0-84880037817&amp;amp;partnerID=40&amp;amp;md5=e3255443158ce85be1da9693b81c7723&lt;/url&gt;&lt;/related-urls&gt;&lt;/urls&gt;&lt;electronic-resource-num&gt;10.1016/j.chemosphere.2013.03.028&lt;/electronic-resource-num&gt;&lt;remote-database-name&gt;Scopus&lt;/remote-database-name&gt;&lt;/record&gt;&lt;/Cite&gt;&lt;/EndNote&gt;</w:instrText>
      </w:r>
      <w:r w:rsidRPr="00E6110F">
        <w:fldChar w:fldCharType="separate"/>
      </w:r>
      <w:r w:rsidRPr="00E6110F">
        <w:rPr>
          <w:noProof/>
        </w:rPr>
        <w:t>(Sharma</w:t>
      </w:r>
      <w:r w:rsidRPr="00E6110F">
        <w:rPr>
          <w:i/>
          <w:noProof/>
        </w:rPr>
        <w:t xml:space="preserve"> </w:t>
      </w:r>
      <w:r w:rsidRPr="00E6110F">
        <w:rPr>
          <w:noProof/>
        </w:rPr>
        <w:t>et al. 2013)</w:t>
      </w:r>
      <w:r w:rsidRPr="00E6110F">
        <w:fldChar w:fldCharType="end"/>
      </w:r>
      <w:r w:rsidRPr="00E6110F">
        <w:t xml:space="preserve">. HMX is therefore considered to be relatively mobile within soil environments (TOXNET). HMX is also relatively stable under and resistant to degradation a range of environmental conditions (aerobic and anaerobic) </w:t>
      </w:r>
      <w:r w:rsidRPr="00E6110F">
        <w:fldChar w:fldCharType="begin">
          <w:fldData xml:space="preserve">PEVuZE5vdGU+PENpdGU+PEF1dGhvcj5CcmFubm9uPC9BdXRob3I+PFllYXI+MjAwNTwvWWVhcj48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</w:fldData>
        </w:fldChar>
      </w:r>
      <w:r w:rsidRPr="00E6110F">
        <w:instrText xml:space="preserve"> ADDIN EN.CITE </w:instrText>
      </w:r>
      <w:r w:rsidRPr="00E6110F">
        <w:fldChar w:fldCharType="begin">
          <w:fldData xml:space="preserve">PEVuZE5vdGU+PENpdGU+PEF1dGhvcj5CcmFubm9uPC9BdXRob3I+PFllYXI+MjAwNTwvWWVhcj48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</w:fldData>
        </w:fldChar>
      </w:r>
      <w:r w:rsidRPr="00E6110F">
        <w:instrText xml:space="preserve"> ADDIN EN.CITE.DATA </w:instrText>
      </w:r>
      <w:r w:rsidRPr="00E6110F">
        <w:fldChar w:fldCharType="end"/>
      </w:r>
      <w:r w:rsidRPr="00E6110F">
        <w:fldChar w:fldCharType="separate"/>
      </w:r>
      <w:r w:rsidRPr="00E6110F">
        <w:rPr>
          <w:noProof/>
        </w:rPr>
        <w:t>(Walker and Kaplan 1992, Brannon et al. 2005)</w:t>
      </w:r>
      <w:r w:rsidRPr="00E6110F">
        <w:fldChar w:fldCharType="end"/>
      </w:r>
      <w:r w:rsidRPr="00E6110F">
        <w:t xml:space="preserve"> and has been detected in groundwater near munitions manufacturing facilities </w:t>
      </w:r>
      <w:r w:rsidRPr="00E6110F">
        <w:fldChar w:fldCharType="begin"/>
      </w:r>
      <w:r w:rsidRPr="00E6110F">
        <w:instrText xml:space="preserve"> ADDIN EN.CITE &lt;EndNote&gt;&lt;Cite&gt;&lt;Author&gt;Lewin&lt;/Author&gt;&lt;Year&gt;1997&lt;/Year&gt;&lt;RecNum&gt;3314&lt;/RecNum&gt;&lt;DisplayText&gt;(Lewin&lt;style face="italic"&gt; et al.&lt;/style&gt; 1997)&lt;/DisplayText&gt;&lt;record&gt;&lt;rec-number&gt;3314&lt;/rec-number&gt;&lt;foreign-keys&gt;&lt;key app="EN" db-id="d09sasz0sd22enex2rk5xrr7a5zsf0rvfsa5" timestamp="1464776724"&gt;3314&lt;/key&gt;&lt;/foreign-keys&gt;&lt;ref-type name="Journal Article"&gt;17&lt;/ref-type&gt;&lt;contributors&gt;&lt;authors&gt;&lt;author&gt;Lewin, U.&lt;/author&gt;&lt;author&gt;Wennrich, L.&lt;/author&gt;&lt;author&gt;Efer, J.&lt;/author&gt;&lt;author&gt;Engewald, W.&lt;/author&gt;&lt;/authors&gt;&lt;/contributors&gt;&lt;auth-address&gt;University of Leipzig, Institute of Analytical Chemistry, Linnéstr. 3, 04103 Leipzig, Germany&lt;/auth-address&gt;&lt;titles&gt;&lt;title&gt;Determination of highly polar compounds in water samples around former ammunition plants&lt;/title&gt;&lt;secondary-title&gt;Chromatographia&lt;/secondary-title&gt;&lt;/titles&gt;&lt;periodical&gt;&lt;full-title&gt;Chromatographia&lt;/full-title&gt;&lt;abbr-1&gt;Chromatographia&lt;/abbr-1&gt;&lt;/periodical&gt;&lt;pages&gt;91-98&lt;/pages&gt;&lt;volume&gt;45&lt;/volume&gt;&lt;keywords&gt;&lt;keyword&gt;Amino and nitro-aromatics&lt;/keyword&gt;&lt;keyword&gt;Ammunition plant&lt;/keyword&gt;&lt;keyword&gt;Column liquid chromatography&lt;/keyword&gt;&lt;keyword&gt;Surface water samples&lt;/keyword&gt;&lt;keyword&gt;UV and EC detection&lt;/keyword&gt;&lt;/keywords&gt;&lt;dates&gt;&lt;year&gt;1997&lt;/year&gt;&lt;/dates&gt;&lt;work-type&gt;Conference Paper&lt;/work-type&gt;&lt;urls&gt;&lt;related-urls&gt;&lt;url&gt;https://www.scopus.com/inward/record.uri?eid=2-s2.0-0030918981&amp;amp;partnerID=40&amp;amp;md5=3a33fe41813973d8962154e13a0d3a43&lt;/url&gt;&lt;/related-urls&gt;&lt;/urls&gt;&lt;electronic-resource-num&gt;10.1007/BF02505543&lt;/electronic-resource-num&gt;&lt;remote-database-name&gt;Scopus&lt;/remote-database-name&gt;&lt;/record&gt;&lt;/Cite&gt;&lt;/EndNote&gt;</w:instrText>
      </w:r>
      <w:r w:rsidRPr="00E6110F">
        <w:fldChar w:fldCharType="separate"/>
      </w:r>
      <w:r w:rsidRPr="00E6110F">
        <w:rPr>
          <w:noProof/>
        </w:rPr>
        <w:t>(Lewin</w:t>
      </w:r>
      <w:r w:rsidRPr="00E6110F">
        <w:rPr>
          <w:i/>
          <w:noProof/>
        </w:rPr>
        <w:t xml:space="preserve"> </w:t>
      </w:r>
      <w:r w:rsidRPr="00E6110F">
        <w:rPr>
          <w:noProof/>
        </w:rPr>
        <w:t>et al</w:t>
      </w:r>
      <w:r w:rsidRPr="00E6110F">
        <w:rPr>
          <w:i/>
          <w:noProof/>
        </w:rPr>
        <w:t>.</w:t>
      </w:r>
      <w:r w:rsidRPr="00E6110F">
        <w:rPr>
          <w:noProof/>
        </w:rPr>
        <w:t xml:space="preserve"> 1997)</w:t>
      </w:r>
      <w:r w:rsidRPr="00E6110F">
        <w:fldChar w:fldCharType="end"/>
      </w:r>
      <w:r w:rsidRPr="00E6110F">
        <w:t>.</w:t>
      </w:r>
    </w:p>
    <w:p w14:paraId="1CB1F272" w14:textId="4DE363AF" w:rsidR="009F4245" w:rsidRPr="00E6110F" w:rsidRDefault="009F4245" w:rsidP="009F4245">
      <w:pPr>
        <w:pStyle w:val="Heading3"/>
        <w:numPr>
          <w:ilvl w:val="3"/>
          <w:numId w:val="1"/>
        </w:numPr>
      </w:pPr>
      <w:bookmarkStart w:id="127" w:name="_Toc494444508"/>
      <w:r w:rsidRPr="00E6110F">
        <w:t>2-</w:t>
      </w:r>
      <w:r w:rsidR="006839ED">
        <w:t>B</w:t>
      </w:r>
      <w:r w:rsidR="006839ED" w:rsidRPr="00E6110F">
        <w:t>utoxyethanol</w:t>
      </w:r>
      <w:bookmarkEnd w:id="127"/>
    </w:p>
    <w:p w14:paraId="6417F7DA" w14:textId="277416C7" w:rsidR="009F4245" w:rsidRPr="00E6110F" w:rsidRDefault="009F4245" w:rsidP="009F4245">
      <w:pPr>
        <w:pStyle w:val="Body"/>
      </w:pPr>
      <w:r w:rsidRPr="00E6110F">
        <w:t>2-</w:t>
      </w:r>
      <w:r w:rsidR="006839ED">
        <w:t>B</w:t>
      </w:r>
      <w:r w:rsidRPr="00E6110F">
        <w:t xml:space="preserve">utoxyethanol or 2BE is a surfactant used as pre-flush hydraulic fracturing additive and acid additive. Large quantities have been used in the US and Canada (US Congress Report 2011; Wylde and O’Neil 2011). It is also one of the hydraulic fracturing chemicals used in Australian coal seam gas operations (APPEA 2014). The role of the pre-flush additive is to preferentially wet the formation to allow for better propagation of the fracture through the production zone and post-fracture production of the load water, and ultimately, hydrocarbons (Wylde and O’Neil 2011). Despite being readily degradable, 2BE is also known to bioaccumulate and is generally toxic (Harris et al. 1998). 2BE was declared a Priority Existing Chemical under Australia’s National Industrial Chemicals Notification and Assessment Scheme. The assessment of 2BE demonstrated it is highly mobile in soil and water and has been detected in groundwaters underlying municipal landfills and hazardous waste sites in the US. </w:t>
      </w:r>
    </w:p>
    <w:p w14:paraId="431F13BB" w14:textId="1A44B850" w:rsidR="0002590B" w:rsidRPr="00E6110F" w:rsidRDefault="0002590B" w:rsidP="0002590B">
      <w:pPr>
        <w:pStyle w:val="Heading3"/>
        <w:numPr>
          <w:ilvl w:val="3"/>
          <w:numId w:val="1"/>
        </w:numPr>
      </w:pPr>
      <w:bookmarkStart w:id="128" w:name="_Toc494444509"/>
      <w:r w:rsidRPr="00E6110F">
        <w:t>Bronopol</w:t>
      </w:r>
      <w:bookmarkEnd w:id="128"/>
    </w:p>
    <w:p w14:paraId="4E288289" w14:textId="0699A112" w:rsidR="00942ED1" w:rsidRPr="00E6110F" w:rsidRDefault="00942ED1" w:rsidP="00942ED1">
      <w:pPr>
        <w:pStyle w:val="Body"/>
      </w:pPr>
      <w:r w:rsidRPr="00E6110F">
        <w:t>Bronopol is a biocide used in hydraulic fracturing wells in the US (US Congress Report 2011; Kahrilas et al. 2014</w:t>
      </w:r>
      <w:r w:rsidR="004D5BF9" w:rsidRPr="00E6110F">
        <w:t>) and Australia (QGC</w:t>
      </w:r>
      <w:r w:rsidRPr="00E6110F">
        <w:t xml:space="preserve"> 2012). Bronopol is also used as preservative in cosmetic products, liquid soaps, and cleaning agents (Madsen </w:t>
      </w:r>
      <w:r w:rsidR="004D5BF9" w:rsidRPr="00E6110F">
        <w:t>et al.</w:t>
      </w:r>
      <w:r w:rsidRPr="00E6110F">
        <w:t xml:space="preserve"> 2001). It is very toxic to aquatic organisms such as algae and oysters; the observed LC50 is 1.6 mg/L for </w:t>
      </w:r>
      <w:r w:rsidRPr="00E6110F">
        <w:rPr>
          <w:i/>
        </w:rPr>
        <w:t>Daphnia magna</w:t>
      </w:r>
      <w:r w:rsidRPr="00E6110F">
        <w:t xml:space="preserve"> (Sigma-Aldrich 2014) and 0.77 mg/L</w:t>
      </w:r>
      <w:r w:rsidR="004D5BF9" w:rsidRPr="00E6110F">
        <w:t xml:space="preserve"> for the Eastern Oyster (US EPA</w:t>
      </w:r>
      <w:r w:rsidRPr="00E6110F">
        <w:t xml:space="preserve"> 1995</w:t>
      </w:r>
      <w:r w:rsidR="004D5BF9" w:rsidRPr="00E6110F">
        <w:t>b</w:t>
      </w:r>
      <w:r w:rsidRPr="00E6110F">
        <w:t>). Substantial spills into surface waters or streams may therefore have noticeable ecotoxicological effects on aquatic species. Upon degradation in alkaline solutions, bronopol will release formaldehyde, bromide and nitrite (Madsen et al. 2001). Bronopol was shown to produce 2-hydroxymethyl-2-nitropropane-1</w:t>
      </w:r>
      <w:proofErr w:type="gramStart"/>
      <w:r w:rsidRPr="00E6110F">
        <w:t>,3</w:t>
      </w:r>
      <w:proofErr w:type="gramEnd"/>
      <w:r w:rsidRPr="00E6110F">
        <w:t>-diol (tris) and 2-bromo-2-nitroethanol (US EPA 1995</w:t>
      </w:r>
      <w:r w:rsidR="004D5BF9" w:rsidRPr="00E6110F">
        <w:t>b</w:t>
      </w:r>
      <w:r w:rsidRPr="00E6110F">
        <w:t>). Bronopol has been reported to hydrolyze within 3 h at 60 °C and pH 8, producing formaldehyde, nitrosamines, and other molecules (</w:t>
      </w:r>
      <w:r w:rsidRPr="00E6110F">
        <w:rPr>
          <w:rFonts w:cs="Arial"/>
          <w:color w:val="auto"/>
        </w:rPr>
        <w:t>Swenberg et al. 1980; Dunnett and Telling 1984</w:t>
      </w:r>
      <w:r w:rsidR="00EC32EE" w:rsidRPr="00E6110F">
        <w:rPr>
          <w:rFonts w:cs="Arial"/>
          <w:color w:val="auto"/>
        </w:rPr>
        <w:t>; Challis and Yousaf</w:t>
      </w:r>
      <w:r w:rsidRPr="00E6110F">
        <w:rPr>
          <w:rFonts w:cs="Arial"/>
          <w:color w:val="auto"/>
        </w:rPr>
        <w:t xml:space="preserve"> 1990; Loeppky 1994; US EPA 1995</w:t>
      </w:r>
      <w:r w:rsidR="00EC32EE" w:rsidRPr="00E6110F">
        <w:rPr>
          <w:rFonts w:cs="Arial"/>
          <w:color w:val="auto"/>
        </w:rPr>
        <w:t>b</w:t>
      </w:r>
      <w:r w:rsidRPr="00E6110F">
        <w:rPr>
          <w:rFonts w:cs="Arial"/>
          <w:color w:val="auto"/>
        </w:rPr>
        <w:t>).</w:t>
      </w:r>
      <w:r w:rsidRPr="00E6110F">
        <w:t xml:space="preserve"> Although, the parent compound (bronopol) is rather short-lived in the environment, its degradation products are toxic (e.g. formaldehyde) and more persistent (e.g. bromonitromethane) (Douglass et al. 1978; </w:t>
      </w:r>
      <w:r w:rsidRPr="00E6110F">
        <w:rPr>
          <w:rFonts w:cs="Arial"/>
          <w:color w:val="auto"/>
        </w:rPr>
        <w:t>Swenberg et al. 1980; Cui et al. 2011</w:t>
      </w:r>
      <w:r w:rsidRPr="00E6110F">
        <w:t>).</w:t>
      </w:r>
    </w:p>
    <w:p w14:paraId="2DA94A66" w14:textId="2D71F87C" w:rsidR="00942ED1" w:rsidRPr="00E6110F" w:rsidRDefault="00D2239B" w:rsidP="00D2239B">
      <w:pPr>
        <w:pStyle w:val="Heading3"/>
        <w:numPr>
          <w:ilvl w:val="3"/>
          <w:numId w:val="1"/>
        </w:numPr>
      </w:pPr>
      <w:bookmarkStart w:id="129" w:name="_Toc494444510"/>
      <w:r w:rsidRPr="00E6110F">
        <w:t>Methyl-chloro-isothiazolinone</w:t>
      </w:r>
      <w:bookmarkEnd w:id="129"/>
    </w:p>
    <w:p w14:paraId="6F1D78C7" w14:textId="283F7E67" w:rsidR="00D651FB" w:rsidRPr="00E6110F" w:rsidRDefault="00D651FB" w:rsidP="00D651FB">
      <w:pPr>
        <w:pStyle w:val="Body"/>
      </w:pPr>
      <w:r w:rsidRPr="00E6110F">
        <w:t>Methyl-chloro-isothiazolinone (5-chloro-2-methyl-4-isothiazolin-3-one), also known as MCI, belongs to the thiazole class of biocides and is used as a microbial inhibitor during hydraulic fracturing (</w:t>
      </w:r>
      <w:r w:rsidR="006136DE" w:rsidRPr="00E6110F">
        <w:t>APPEA 2014</w:t>
      </w:r>
      <w:r w:rsidRPr="00E6110F">
        <w:t>), along with wider antimicrobial applications, such as in personal care products. MCI has a very high water solubility, a high degree of mobility in the environment and is reasonably stable. However, MCI is prone to chemical hydrolysis under alkaline conditions (US</w:t>
      </w:r>
      <w:r w:rsidR="007655AD" w:rsidRPr="00E6110F">
        <w:t xml:space="preserve"> </w:t>
      </w:r>
      <w:r w:rsidRPr="00E6110F">
        <w:t>EPA 1998</w:t>
      </w:r>
      <w:r w:rsidR="007655AD" w:rsidRPr="00E6110F">
        <w:t>b</w:t>
      </w:r>
      <w:r w:rsidRPr="00E6110F">
        <w:t xml:space="preserve">). However, we could not find any measured sorption data on this compound. Toxicity of MCI to aquatic organisms, especially bacteria, is relatively high </w:t>
      </w:r>
      <w:r w:rsidRPr="00E6110F">
        <w:fldChar w:fldCharType="begin"/>
      </w:r>
      <w:r w:rsidRPr="00E6110F">
        <w:instrText xml:space="preserve"> ADDIN EN.CITE &lt;EndNote&gt;&lt;Cite&gt;&lt;Author&gt;Carbajo&lt;/Author&gt;&lt;Year&gt;2014&lt;/Year&gt;&lt;RecNum&gt;3304&lt;/RecNum&gt;&lt;DisplayText&gt;(Carbajo&lt;style face="italic"&gt; et al.&lt;/style&gt; 2014)&lt;/DisplayText&gt;&lt;record&gt;&lt;rec-number&gt;3304&lt;/rec-number&gt;&lt;foreign-keys&gt;&lt;key app="EN" db-id="d09sasz0sd22enex2rk5xrr7a5zsf0rvfsa5" timestamp="1464062781"&gt;3304&lt;/key&gt;&lt;/foreign-keys&gt;&lt;ref-type name="Journal Article"&gt;17&lt;/ref-type&gt;&lt;contributors&gt;&lt;authors&gt;&lt;author&gt;Carbajo, J. B.&lt;/author&gt;&lt;author&gt;Perdigón-Melón, J. A.&lt;/author&gt;&lt;author&gt;Petre, A. L.&lt;/author&gt;&lt;author&gt;Rosal, R.&lt;/author&gt;&lt;author&gt;Letón, P.&lt;/author&gt;&lt;author&gt;García-Calvo, E.&lt;/author&gt;&lt;/authors&gt;&lt;/contributors&gt;&lt;auth-address&gt;Department of Analytical Chemistry, Physical Chemistry and Chemical Engineering, University of Alcalá, Alcalá de Henares, Madrid, Spain&amp;#xD;Advanced Study Institute of Madrid, IMDEA-Agua, Parque Científico Tecnológico, Alcalá de Henares, Madrid, Spain&lt;/auth-address&gt;&lt;titles&gt;&lt;title&gt;Personal care product preservatives: Risk assessment and mixture toxicities with an industrial wastewater&lt;/title&gt;&lt;secondary-title&gt;Water Research&lt;/secondary-title&gt;&lt;/titles&gt;&lt;periodical&gt;&lt;full-title&gt;Water Research&lt;/full-title&gt;&lt;abbr-1&gt;Water Res.&lt;/abbr-1&gt;&lt;/periodical&gt;&lt;pages&gt;174-185&lt;/pages&gt;&lt;volume&gt;72&lt;/volume&gt;&lt;keywords&gt;&lt;keyword&gt;Activated sludge&lt;/keyword&gt;&lt;keyword&gt;Concentration addition&lt;/keyword&gt;&lt;keyword&gt;Independent action&lt;/keyword&gt;&lt;keyword&gt;Median-effect principle&lt;/keyword&gt;&lt;keyword&gt;Sewage treatment plant&lt;/keyword&gt;&lt;keyword&gt;Single species tests&lt;/keyword&gt;&lt;/keywords&gt;&lt;dates&gt;&lt;year&gt;2014&lt;/year&gt;&lt;/dates&gt;&lt;work-type&gt;Article&lt;/work-type&gt;&lt;urls&gt;&lt;related-urls&gt;&lt;url&gt;https://www.scopus.com/inward/record.uri?eid=2-s2.0-84939783702&amp;amp;partnerID=40&amp;amp;md5=d7492ba04048317e2f79ff194150b6ef&lt;/url&gt;&lt;/related-urls&gt;&lt;/urls&gt;&lt;electronic-resource-num&gt;10.1016/j.watres.2014.12.040&lt;/electronic-resource-num&gt;&lt;remote-database-name&gt;Scopus&lt;/remote-database-name&gt;&lt;/record&gt;&lt;/Cite&gt;&lt;/EndNote&gt;</w:instrText>
      </w:r>
      <w:r w:rsidRPr="00E6110F">
        <w:fldChar w:fldCharType="separate"/>
      </w:r>
      <w:r w:rsidRPr="00E6110F">
        <w:rPr>
          <w:noProof/>
        </w:rPr>
        <w:t>(Carbajo</w:t>
      </w:r>
      <w:r w:rsidRPr="00E6110F">
        <w:rPr>
          <w:i/>
          <w:noProof/>
        </w:rPr>
        <w:t xml:space="preserve"> </w:t>
      </w:r>
      <w:r w:rsidRPr="00E6110F">
        <w:rPr>
          <w:noProof/>
        </w:rPr>
        <w:t>et al. 201</w:t>
      </w:r>
      <w:r w:rsidR="003164D0">
        <w:rPr>
          <w:noProof/>
        </w:rPr>
        <w:t>5</w:t>
      </w:r>
      <w:r w:rsidRPr="00E6110F">
        <w:rPr>
          <w:noProof/>
        </w:rPr>
        <w:t>)</w:t>
      </w:r>
      <w:r w:rsidRPr="00E6110F">
        <w:fldChar w:fldCharType="end"/>
      </w:r>
      <w:r w:rsidRPr="00E6110F">
        <w:t>.</w:t>
      </w:r>
    </w:p>
    <w:p w14:paraId="13CCA8BC" w14:textId="4B597482" w:rsidR="00D2239B" w:rsidRPr="00E6110F" w:rsidRDefault="00D2239B" w:rsidP="00D2239B">
      <w:pPr>
        <w:pStyle w:val="Heading3"/>
        <w:numPr>
          <w:ilvl w:val="3"/>
          <w:numId w:val="1"/>
        </w:numPr>
      </w:pPr>
      <w:bookmarkStart w:id="130" w:name="_Toc494444511"/>
      <w:r w:rsidRPr="00E6110F">
        <w:t>B</w:t>
      </w:r>
      <w:r w:rsidR="00EE7411" w:rsidRPr="00E6110F">
        <w:t>arium</w:t>
      </w:r>
      <w:bookmarkEnd w:id="130"/>
    </w:p>
    <w:p w14:paraId="57719B3F" w14:textId="7C76FC59" w:rsidR="004F3441" w:rsidRPr="00E6110F" w:rsidRDefault="00EE7411" w:rsidP="004F3441">
      <w:pPr>
        <w:pStyle w:val="Body"/>
      </w:pPr>
      <w:r w:rsidRPr="00E6110F">
        <w:t>Barium is naturally present in coals seams as a geogenic constituent</w:t>
      </w:r>
      <w:r w:rsidR="00F445DE" w:rsidRPr="00E6110F">
        <w:t xml:space="preserve"> (Apte et al. 201</w:t>
      </w:r>
      <w:r w:rsidR="00914462">
        <w:t>7</w:t>
      </w:r>
      <w:r w:rsidR="006B0FD2" w:rsidRPr="00E6110F">
        <w:t>a</w:t>
      </w:r>
      <w:r w:rsidR="00F445DE" w:rsidRPr="00E6110F">
        <w:t xml:space="preserve">; </w:t>
      </w:r>
      <w:r w:rsidR="00125E41" w:rsidRPr="00E6110F">
        <w:t>Ransley et al. 2015</w:t>
      </w:r>
      <w:r w:rsidR="00F445DE" w:rsidRPr="00E6110F">
        <w:t>)</w:t>
      </w:r>
      <w:r w:rsidRPr="00E6110F">
        <w:t xml:space="preserve">. It may also be introduced into the coal seams during drilling as barium sulfate </w:t>
      </w:r>
      <w:r w:rsidR="00246530" w:rsidRPr="00E6110F">
        <w:t xml:space="preserve">(CAS 7727-43-7) </w:t>
      </w:r>
      <w:r w:rsidRPr="00E6110F">
        <w:t>which is used extensively in drilling fluids to increase fluid density</w:t>
      </w:r>
      <w:r w:rsidR="007819ED" w:rsidRPr="00E6110F">
        <w:t xml:space="preserve"> (Campin 2015</w:t>
      </w:r>
      <w:r w:rsidR="00246530" w:rsidRPr="00E6110F">
        <w:t>; NSW Chief Scientist and Engineer 2012</w:t>
      </w:r>
      <w:r w:rsidR="007819ED" w:rsidRPr="00E6110F">
        <w:t>)</w:t>
      </w:r>
      <w:r w:rsidRPr="00E6110F">
        <w:t xml:space="preserve">.  </w:t>
      </w:r>
      <w:r w:rsidR="009065FC" w:rsidRPr="00E6110F">
        <w:t xml:space="preserve">Campin (2015) reports barium concentrations in Australian CSG flowback water from 0.049 to 16 mg/L (median value 5.9 mg/L). </w:t>
      </w:r>
      <w:r w:rsidR="004F3441" w:rsidRPr="00E6110F">
        <w:t>The mean dissolved barium concentration of produced waters from the Powder River Basin coal bed methane area was 670 µg/L (Rice et al. 2000).</w:t>
      </w:r>
      <w:r w:rsidR="002724EC">
        <w:t xml:space="preserve"> </w:t>
      </w:r>
      <w:r w:rsidRPr="00E6110F">
        <w:t>Under typical groundwater conditions there are no redox reactions of significance</w:t>
      </w:r>
      <w:r w:rsidR="00332377" w:rsidRPr="00E6110F">
        <w:t>, therefore</w:t>
      </w:r>
      <w:r w:rsidRPr="00E6110F">
        <w:t xml:space="preserve"> barium will be present as </w:t>
      </w:r>
      <w:proofErr w:type="gramStart"/>
      <w:r w:rsidRPr="00E6110F">
        <w:t>Ba(</w:t>
      </w:r>
      <w:proofErr w:type="gramEnd"/>
      <w:r w:rsidRPr="00E6110F">
        <w:t xml:space="preserve">II) (WHO 1990). Barium forms an insoluble precipitate with sulfate and when high enough, the ambient concentration of sulfate can control barium concentrations. Sorption onto solids phases is likely to be dominated by electrostatic interactions. Ionic strength, pH, cation exchange capacity and the surface area of the sorbing phases are likely to be controlling factors influencing adsorptive affinity (WHO 1990). </w:t>
      </w:r>
      <w:r w:rsidR="009065FC" w:rsidRPr="00E6110F">
        <w:t xml:space="preserve">The barium guideline value for drinking water is 2 mg/L (NHMRC and NRMMC 2011). </w:t>
      </w:r>
      <w:r w:rsidRPr="00E6110F">
        <w:t xml:space="preserve">The mean crustal abundance of barium is 425 mg/kg (Taylor 1964), however the element is enriched in coal and is present at concentrations up to 3000 mg/kg (Bowen 1966). Typical barium concentrations in surface waters are quite variable and typically range between 7 to 15,000 µg/L (WHO 1990). </w:t>
      </w:r>
      <w:r w:rsidR="004F3441" w:rsidRPr="00E6110F">
        <w:t xml:space="preserve">In key aquifers of the Surat Basin background barium concentrations are reported by Ransley et al. (2015) and summarised in </w:t>
      </w:r>
      <w:r w:rsidR="004F3441" w:rsidRPr="00E6110F">
        <w:fldChar w:fldCharType="begin" w:fldLock="1"/>
      </w:r>
      <w:r w:rsidR="004F3441" w:rsidRPr="00E6110F">
        <w:instrText xml:space="preserve"> REF _Ref452715199 \h </w:instrText>
      </w:r>
      <w:r w:rsidR="00E6110F">
        <w:instrText xml:space="preserve"> \* MERGEFORMAT </w:instrText>
      </w:r>
      <w:r w:rsidR="004F3441" w:rsidRPr="00E6110F">
        <w:fldChar w:fldCharType="separate"/>
      </w:r>
      <w:r w:rsidR="00335E79" w:rsidRPr="00E6110F">
        <w:t xml:space="preserve">Table </w:t>
      </w:r>
      <w:r w:rsidR="00335E79">
        <w:rPr>
          <w:noProof/>
        </w:rPr>
        <w:t>2</w:t>
      </w:r>
      <w:r w:rsidR="00335E79">
        <w:rPr>
          <w:noProof/>
        </w:rPr>
        <w:noBreakHyphen/>
        <w:t>9</w:t>
      </w:r>
      <w:r w:rsidR="004F3441" w:rsidRPr="00E6110F">
        <w:fldChar w:fldCharType="end"/>
      </w:r>
      <w:r w:rsidR="004F3441" w:rsidRPr="00E6110F">
        <w:t>.</w:t>
      </w:r>
      <w:r w:rsidR="00296DD7">
        <w:t xml:space="preserve"> Reported values for barium in the Precipice Sandstone aquifer at Reedy Creek and Condabri (Surat Basin) are   </w:t>
      </w:r>
      <w:r w:rsidR="00D210AC">
        <w:t xml:space="preserve">0.028 and 2.15 </w:t>
      </w:r>
      <w:r w:rsidR="00296DD7">
        <w:t>mg/l, respectively (Prommer et al. 2016).</w:t>
      </w:r>
    </w:p>
    <w:p w14:paraId="005DE919" w14:textId="73CC26DE" w:rsidR="00EE7411" w:rsidRPr="00E6110F" w:rsidRDefault="00EE7411" w:rsidP="00EE7411">
      <w:pPr>
        <w:pStyle w:val="Body"/>
      </w:pPr>
    </w:p>
    <w:p w14:paraId="6ED564BA" w14:textId="161F1EC2" w:rsidR="0079535A" w:rsidRPr="00E6110F" w:rsidRDefault="0079535A" w:rsidP="0079535A">
      <w:pPr>
        <w:pStyle w:val="Imagecaption"/>
        <w:keepNext/>
        <w:pBdr>
          <w:top w:val="none" w:sz="0" w:space="0" w:color="auto"/>
        </w:pBdr>
      </w:pPr>
      <w:bookmarkStart w:id="131" w:name="_Ref452715199"/>
      <w:bookmarkStart w:id="132" w:name="_Toc494444699"/>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9</w:t>
      </w:r>
      <w:r w:rsidR="00470577">
        <w:fldChar w:fldCharType="end"/>
      </w:r>
      <w:bookmarkEnd w:id="131"/>
      <w:r w:rsidRPr="00E6110F">
        <w:t>. Background barium concentrations (mg/L) in Surat Basin formations (Ransley et al. 2015).</w:t>
      </w:r>
      <w:r w:rsidR="00A52AC8" w:rsidRPr="00E6110F">
        <w:t xml:space="preserve"> n.d. = no data</w:t>
      </w:r>
      <w:bookmarkEnd w:id="132"/>
    </w:p>
    <w:tbl>
      <w:tblPr>
        <w:tblStyle w:val="TableGrid"/>
        <w:tblW w:w="0" w:type="auto"/>
        <w:tblLook w:val="04A0" w:firstRow="1" w:lastRow="0" w:firstColumn="1" w:lastColumn="0" w:noHBand="0" w:noVBand="1"/>
      </w:tblPr>
      <w:tblGrid>
        <w:gridCol w:w="2252"/>
        <w:gridCol w:w="2252"/>
        <w:gridCol w:w="2253"/>
        <w:gridCol w:w="2253"/>
      </w:tblGrid>
      <w:tr w:rsidR="0079535A" w:rsidRPr="00E6110F" w14:paraId="70CC41F8" w14:textId="77777777" w:rsidTr="00286D0B">
        <w:tc>
          <w:tcPr>
            <w:tcW w:w="2252" w:type="dxa"/>
            <w:shd w:val="clear" w:color="auto" w:fill="F2F2F2" w:themeFill="background1" w:themeFillShade="F2"/>
          </w:tcPr>
          <w:p w14:paraId="0B8619A0" w14:textId="77777777" w:rsidR="0079535A" w:rsidRPr="00E6110F" w:rsidRDefault="0079535A" w:rsidP="00CE15FD">
            <w:pPr>
              <w:pStyle w:val="Body"/>
            </w:pPr>
            <w:r w:rsidRPr="00E6110F">
              <w:t>Formation</w:t>
            </w:r>
          </w:p>
        </w:tc>
        <w:tc>
          <w:tcPr>
            <w:tcW w:w="2252" w:type="dxa"/>
            <w:shd w:val="clear" w:color="auto" w:fill="F2F2F2" w:themeFill="background1" w:themeFillShade="F2"/>
          </w:tcPr>
          <w:p w14:paraId="3291D1E3" w14:textId="77777777" w:rsidR="0079535A" w:rsidRPr="00E6110F" w:rsidRDefault="0079535A" w:rsidP="00973E76">
            <w:pPr>
              <w:pStyle w:val="Body"/>
              <w:jc w:val="center"/>
            </w:pPr>
            <w:r w:rsidRPr="00E6110F">
              <w:t>Number of samples</w:t>
            </w:r>
          </w:p>
        </w:tc>
        <w:tc>
          <w:tcPr>
            <w:tcW w:w="2253" w:type="dxa"/>
            <w:shd w:val="clear" w:color="auto" w:fill="F2F2F2" w:themeFill="background1" w:themeFillShade="F2"/>
          </w:tcPr>
          <w:p w14:paraId="1F2DC53D" w14:textId="77777777" w:rsidR="0079535A" w:rsidRPr="00E6110F" w:rsidRDefault="0079535A" w:rsidP="00973E76">
            <w:pPr>
              <w:pStyle w:val="Body"/>
              <w:jc w:val="center"/>
            </w:pPr>
            <w:r w:rsidRPr="00E6110F">
              <w:t>Range</w:t>
            </w:r>
          </w:p>
        </w:tc>
        <w:tc>
          <w:tcPr>
            <w:tcW w:w="2253" w:type="dxa"/>
            <w:shd w:val="clear" w:color="auto" w:fill="F2F2F2" w:themeFill="background1" w:themeFillShade="F2"/>
          </w:tcPr>
          <w:p w14:paraId="39F46B7C" w14:textId="0682F82F" w:rsidR="0079535A" w:rsidRPr="00E6110F" w:rsidRDefault="00286D0B" w:rsidP="00973E76">
            <w:pPr>
              <w:pStyle w:val="Body"/>
              <w:jc w:val="center"/>
            </w:pPr>
            <w:r>
              <w:t>M</w:t>
            </w:r>
            <w:r w:rsidR="0079535A" w:rsidRPr="00E6110F">
              <w:t>edian</w:t>
            </w:r>
          </w:p>
        </w:tc>
      </w:tr>
      <w:tr w:rsidR="0079535A" w:rsidRPr="00E6110F" w14:paraId="72C5864F" w14:textId="77777777" w:rsidTr="00CE15FD">
        <w:tc>
          <w:tcPr>
            <w:tcW w:w="2252" w:type="dxa"/>
          </w:tcPr>
          <w:p w14:paraId="670BC3B3" w14:textId="77777777" w:rsidR="0079535A" w:rsidRPr="00E6110F" w:rsidRDefault="0079535A" w:rsidP="00CE15FD">
            <w:pPr>
              <w:pStyle w:val="Body"/>
            </w:pPr>
            <w:r w:rsidRPr="00E6110F">
              <w:t>Condamine alluvium</w:t>
            </w:r>
          </w:p>
        </w:tc>
        <w:tc>
          <w:tcPr>
            <w:tcW w:w="2252" w:type="dxa"/>
          </w:tcPr>
          <w:p w14:paraId="495F8690" w14:textId="7427D04A" w:rsidR="0079535A" w:rsidRPr="00E6110F" w:rsidRDefault="0079535A" w:rsidP="00973E76">
            <w:pPr>
              <w:pStyle w:val="Body"/>
              <w:jc w:val="center"/>
            </w:pPr>
            <w:r w:rsidRPr="00E6110F">
              <w:t>2</w:t>
            </w:r>
          </w:p>
        </w:tc>
        <w:tc>
          <w:tcPr>
            <w:tcW w:w="2253" w:type="dxa"/>
          </w:tcPr>
          <w:p w14:paraId="70BA28A9" w14:textId="014659A9" w:rsidR="0079535A" w:rsidRPr="00E6110F" w:rsidRDefault="0079535A" w:rsidP="00973E76">
            <w:pPr>
              <w:pStyle w:val="Body"/>
              <w:jc w:val="center"/>
            </w:pPr>
            <w:r w:rsidRPr="00E6110F">
              <w:t>0.151 - 0.4</w:t>
            </w:r>
          </w:p>
        </w:tc>
        <w:tc>
          <w:tcPr>
            <w:tcW w:w="2253" w:type="dxa"/>
          </w:tcPr>
          <w:p w14:paraId="30B6E03E" w14:textId="4A8BF117" w:rsidR="0079535A" w:rsidRPr="00E6110F" w:rsidRDefault="0079535A" w:rsidP="00973E76">
            <w:pPr>
              <w:pStyle w:val="Body"/>
              <w:jc w:val="center"/>
            </w:pPr>
            <w:r w:rsidRPr="00E6110F">
              <w:t>0.3</w:t>
            </w:r>
          </w:p>
        </w:tc>
      </w:tr>
      <w:tr w:rsidR="0079535A" w:rsidRPr="00E6110F" w14:paraId="1A0496AC" w14:textId="77777777" w:rsidTr="00CE15FD">
        <w:tc>
          <w:tcPr>
            <w:tcW w:w="2252" w:type="dxa"/>
          </w:tcPr>
          <w:p w14:paraId="1EBE7219" w14:textId="77777777" w:rsidR="0079535A" w:rsidRPr="00E6110F" w:rsidRDefault="0079535A" w:rsidP="00CE15FD">
            <w:pPr>
              <w:pStyle w:val="Body"/>
            </w:pPr>
            <w:r w:rsidRPr="00E6110F">
              <w:t>Gubberamunda Sandstone</w:t>
            </w:r>
          </w:p>
        </w:tc>
        <w:tc>
          <w:tcPr>
            <w:tcW w:w="2252" w:type="dxa"/>
          </w:tcPr>
          <w:p w14:paraId="0B2BE40E" w14:textId="235E14A4" w:rsidR="0079535A" w:rsidRPr="00E6110F" w:rsidRDefault="0079535A" w:rsidP="00973E76">
            <w:pPr>
              <w:pStyle w:val="Body"/>
              <w:jc w:val="center"/>
            </w:pPr>
            <w:r w:rsidRPr="00E6110F">
              <w:t>n</w:t>
            </w:r>
            <w:r w:rsidR="00A52AC8" w:rsidRPr="00E6110F">
              <w:t>.</w:t>
            </w:r>
            <w:r w:rsidRPr="00E6110F">
              <w:t>d</w:t>
            </w:r>
            <w:r w:rsidR="00A52AC8" w:rsidRPr="00E6110F">
              <w:t>.</w:t>
            </w:r>
          </w:p>
        </w:tc>
        <w:tc>
          <w:tcPr>
            <w:tcW w:w="2253" w:type="dxa"/>
          </w:tcPr>
          <w:p w14:paraId="2DD89EB1" w14:textId="0190BDCC" w:rsidR="0079535A" w:rsidRPr="00E6110F" w:rsidRDefault="00A52AC8" w:rsidP="00973E76">
            <w:pPr>
              <w:pStyle w:val="Body"/>
              <w:jc w:val="center"/>
            </w:pPr>
            <w:r w:rsidRPr="00E6110F">
              <w:t>n.</w:t>
            </w:r>
            <w:r w:rsidR="0079535A" w:rsidRPr="00E6110F">
              <w:t>d</w:t>
            </w:r>
            <w:r w:rsidRPr="00E6110F">
              <w:t>.</w:t>
            </w:r>
          </w:p>
        </w:tc>
        <w:tc>
          <w:tcPr>
            <w:tcW w:w="2253" w:type="dxa"/>
          </w:tcPr>
          <w:p w14:paraId="6A4CA937" w14:textId="33AFEB11" w:rsidR="0079535A" w:rsidRPr="00E6110F" w:rsidRDefault="00A52AC8" w:rsidP="00973E76">
            <w:pPr>
              <w:pStyle w:val="Body"/>
              <w:jc w:val="center"/>
            </w:pPr>
            <w:r w:rsidRPr="00E6110F">
              <w:t>n.</w:t>
            </w:r>
            <w:r w:rsidR="0079535A" w:rsidRPr="00E6110F">
              <w:t>d</w:t>
            </w:r>
            <w:r w:rsidRPr="00E6110F">
              <w:t>.</w:t>
            </w:r>
          </w:p>
        </w:tc>
      </w:tr>
      <w:tr w:rsidR="0079535A" w:rsidRPr="00E6110F" w14:paraId="79BCC602" w14:textId="77777777" w:rsidTr="00CE15FD">
        <w:tc>
          <w:tcPr>
            <w:tcW w:w="2252" w:type="dxa"/>
          </w:tcPr>
          <w:p w14:paraId="3D150958" w14:textId="77777777" w:rsidR="0079535A" w:rsidRPr="00E6110F" w:rsidRDefault="0079535A" w:rsidP="00CE15FD">
            <w:pPr>
              <w:pStyle w:val="Body"/>
            </w:pPr>
            <w:r w:rsidRPr="00E6110F">
              <w:t>Springbok Sandstone)</w:t>
            </w:r>
          </w:p>
        </w:tc>
        <w:tc>
          <w:tcPr>
            <w:tcW w:w="2252" w:type="dxa"/>
          </w:tcPr>
          <w:p w14:paraId="6B144C08" w14:textId="2A82732F" w:rsidR="0079535A" w:rsidRPr="00E6110F" w:rsidRDefault="00A52AC8" w:rsidP="00973E76">
            <w:pPr>
              <w:pStyle w:val="Body"/>
              <w:jc w:val="center"/>
            </w:pPr>
            <w:r w:rsidRPr="00E6110F">
              <w:t>n.</w:t>
            </w:r>
            <w:r w:rsidR="0079535A" w:rsidRPr="00E6110F">
              <w:t>d</w:t>
            </w:r>
            <w:r w:rsidRPr="00E6110F">
              <w:t>.</w:t>
            </w:r>
          </w:p>
        </w:tc>
        <w:tc>
          <w:tcPr>
            <w:tcW w:w="2253" w:type="dxa"/>
          </w:tcPr>
          <w:p w14:paraId="04B5D1A9" w14:textId="5281A6A3" w:rsidR="0079535A" w:rsidRPr="00E6110F" w:rsidRDefault="00A52AC8" w:rsidP="00973E76">
            <w:pPr>
              <w:pStyle w:val="Body"/>
              <w:jc w:val="center"/>
            </w:pPr>
            <w:r w:rsidRPr="00E6110F">
              <w:t>n.</w:t>
            </w:r>
            <w:r w:rsidR="0079535A" w:rsidRPr="00E6110F">
              <w:t>d</w:t>
            </w:r>
            <w:r w:rsidRPr="00E6110F">
              <w:t>.</w:t>
            </w:r>
          </w:p>
        </w:tc>
        <w:tc>
          <w:tcPr>
            <w:tcW w:w="2253" w:type="dxa"/>
          </w:tcPr>
          <w:p w14:paraId="4E38F285" w14:textId="12B23830" w:rsidR="0079535A" w:rsidRPr="00E6110F" w:rsidRDefault="00A52AC8" w:rsidP="00973E76">
            <w:pPr>
              <w:pStyle w:val="Body"/>
              <w:jc w:val="center"/>
            </w:pPr>
            <w:r w:rsidRPr="00E6110F">
              <w:t>n.</w:t>
            </w:r>
            <w:r w:rsidR="0079535A" w:rsidRPr="00E6110F">
              <w:t>d</w:t>
            </w:r>
            <w:r w:rsidRPr="00E6110F">
              <w:t>.</w:t>
            </w:r>
          </w:p>
        </w:tc>
      </w:tr>
      <w:tr w:rsidR="0079535A" w:rsidRPr="00E6110F" w14:paraId="5839D672" w14:textId="77777777" w:rsidTr="00CE15FD">
        <w:tc>
          <w:tcPr>
            <w:tcW w:w="2252" w:type="dxa"/>
          </w:tcPr>
          <w:p w14:paraId="5A0537EE" w14:textId="77777777" w:rsidR="0079535A" w:rsidRPr="00E6110F" w:rsidRDefault="0079535A" w:rsidP="00CE15FD">
            <w:pPr>
              <w:pStyle w:val="Body"/>
            </w:pPr>
            <w:r w:rsidRPr="00E6110F">
              <w:t>Walloon Coal Measures</w:t>
            </w:r>
          </w:p>
        </w:tc>
        <w:tc>
          <w:tcPr>
            <w:tcW w:w="2252" w:type="dxa"/>
          </w:tcPr>
          <w:p w14:paraId="153F9362" w14:textId="7576F8CD" w:rsidR="0079535A" w:rsidRPr="00E6110F" w:rsidRDefault="0079535A" w:rsidP="00973E76">
            <w:pPr>
              <w:pStyle w:val="Body"/>
              <w:jc w:val="center"/>
            </w:pPr>
            <w:r w:rsidRPr="00E6110F">
              <w:t>634</w:t>
            </w:r>
          </w:p>
        </w:tc>
        <w:tc>
          <w:tcPr>
            <w:tcW w:w="2253" w:type="dxa"/>
          </w:tcPr>
          <w:p w14:paraId="4305DBFC" w14:textId="34E54E75" w:rsidR="0079535A" w:rsidRPr="00E6110F" w:rsidRDefault="0079535A" w:rsidP="00973E76">
            <w:pPr>
              <w:pStyle w:val="Body"/>
              <w:jc w:val="center"/>
            </w:pPr>
            <w:r w:rsidRPr="00E6110F">
              <w:t>0.016 - 5.3</w:t>
            </w:r>
          </w:p>
        </w:tc>
        <w:tc>
          <w:tcPr>
            <w:tcW w:w="2253" w:type="dxa"/>
          </w:tcPr>
          <w:p w14:paraId="52D53407" w14:textId="03825290" w:rsidR="0079535A" w:rsidRPr="00E6110F" w:rsidRDefault="0079535A" w:rsidP="00973E76">
            <w:pPr>
              <w:pStyle w:val="Body"/>
              <w:jc w:val="center"/>
            </w:pPr>
            <w:r w:rsidRPr="00E6110F">
              <w:t>0.6</w:t>
            </w:r>
          </w:p>
        </w:tc>
      </w:tr>
      <w:tr w:rsidR="0079535A" w:rsidRPr="00E6110F" w14:paraId="74685DAA" w14:textId="77777777" w:rsidTr="00CE15FD">
        <w:tc>
          <w:tcPr>
            <w:tcW w:w="2252" w:type="dxa"/>
          </w:tcPr>
          <w:p w14:paraId="3DE4AE74" w14:textId="77777777" w:rsidR="0079535A" w:rsidRPr="00E6110F" w:rsidRDefault="0079535A" w:rsidP="00CE15FD">
            <w:pPr>
              <w:pStyle w:val="Body"/>
            </w:pPr>
            <w:r w:rsidRPr="00E6110F">
              <w:t>Hutton Sandstone-Marburg Subgroup</w:t>
            </w:r>
          </w:p>
        </w:tc>
        <w:tc>
          <w:tcPr>
            <w:tcW w:w="2252" w:type="dxa"/>
          </w:tcPr>
          <w:p w14:paraId="09056638" w14:textId="5F9B1870" w:rsidR="0079535A" w:rsidRPr="00E6110F" w:rsidRDefault="0079535A" w:rsidP="00973E76">
            <w:pPr>
              <w:pStyle w:val="Body"/>
              <w:jc w:val="center"/>
            </w:pPr>
            <w:r w:rsidRPr="00E6110F">
              <w:t>n</w:t>
            </w:r>
            <w:r w:rsidR="00A52AC8" w:rsidRPr="00E6110F">
              <w:t>.</w:t>
            </w:r>
            <w:r w:rsidRPr="00E6110F">
              <w:t>d</w:t>
            </w:r>
            <w:r w:rsidR="00A52AC8" w:rsidRPr="00E6110F">
              <w:t>.</w:t>
            </w:r>
          </w:p>
        </w:tc>
        <w:tc>
          <w:tcPr>
            <w:tcW w:w="2253" w:type="dxa"/>
          </w:tcPr>
          <w:p w14:paraId="2F2F3029" w14:textId="59142ED3" w:rsidR="0079535A" w:rsidRPr="00E6110F" w:rsidRDefault="0079535A" w:rsidP="00973E76">
            <w:pPr>
              <w:pStyle w:val="Body"/>
              <w:jc w:val="center"/>
            </w:pPr>
            <w:r w:rsidRPr="00E6110F">
              <w:t>n</w:t>
            </w:r>
            <w:r w:rsidR="00A52AC8" w:rsidRPr="00E6110F">
              <w:t>.</w:t>
            </w:r>
            <w:r w:rsidRPr="00E6110F">
              <w:t>d</w:t>
            </w:r>
            <w:r w:rsidR="00A52AC8" w:rsidRPr="00E6110F">
              <w:t>.</w:t>
            </w:r>
          </w:p>
        </w:tc>
        <w:tc>
          <w:tcPr>
            <w:tcW w:w="2253" w:type="dxa"/>
          </w:tcPr>
          <w:p w14:paraId="4057691D" w14:textId="7FA50772" w:rsidR="0079535A" w:rsidRPr="00E6110F" w:rsidRDefault="0079535A" w:rsidP="00973E76">
            <w:pPr>
              <w:pStyle w:val="Body"/>
              <w:jc w:val="center"/>
            </w:pPr>
            <w:r w:rsidRPr="00E6110F">
              <w:t>n</w:t>
            </w:r>
            <w:r w:rsidR="00A52AC8" w:rsidRPr="00E6110F">
              <w:t>.</w:t>
            </w:r>
            <w:r w:rsidRPr="00E6110F">
              <w:t>d</w:t>
            </w:r>
            <w:r w:rsidR="00A52AC8" w:rsidRPr="00E6110F">
              <w:t>.</w:t>
            </w:r>
          </w:p>
        </w:tc>
      </w:tr>
    </w:tbl>
    <w:p w14:paraId="4063FD16" w14:textId="77777777" w:rsidR="00D2239B" w:rsidRPr="00E6110F" w:rsidRDefault="00D2239B" w:rsidP="00D2239B">
      <w:pPr>
        <w:pStyle w:val="Body"/>
      </w:pPr>
    </w:p>
    <w:p w14:paraId="56F0FC53" w14:textId="3751D2C7" w:rsidR="00D2239B" w:rsidRPr="00E6110F" w:rsidRDefault="00B94F08" w:rsidP="00B94F08">
      <w:pPr>
        <w:pStyle w:val="Heading3"/>
        <w:numPr>
          <w:ilvl w:val="3"/>
          <w:numId w:val="1"/>
        </w:numPr>
      </w:pPr>
      <w:bookmarkStart w:id="133" w:name="_Toc494444512"/>
      <w:r w:rsidRPr="00E6110F">
        <w:t>Limonene</w:t>
      </w:r>
      <w:bookmarkEnd w:id="133"/>
    </w:p>
    <w:p w14:paraId="053B52B0" w14:textId="008CB150" w:rsidR="00B94F08" w:rsidRDefault="00697687" w:rsidP="00B94F08">
      <w:pPr>
        <w:pStyle w:val="Body"/>
      </w:pPr>
      <w:r w:rsidRPr="00697687">
        <w:t>Limonene occurs naturally in certain trees and bushes</w:t>
      </w:r>
      <w:r>
        <w:t>,</w:t>
      </w:r>
      <w:r w:rsidRPr="00697687">
        <w:t xml:space="preserve"> </w:t>
      </w:r>
      <w:r w:rsidRPr="00E6110F">
        <w:t>orange peels and pine sap</w:t>
      </w:r>
      <w:r w:rsidRPr="00697687">
        <w:t xml:space="preserve">. Limonene and other </w:t>
      </w:r>
      <w:r>
        <w:t xml:space="preserve">so-called </w:t>
      </w:r>
      <w:r w:rsidRPr="00697687">
        <w:t xml:space="preserve">monoterpenes </w:t>
      </w:r>
      <w:r>
        <w:t>(</w:t>
      </w:r>
      <w:r w:rsidRPr="00E6110F">
        <w:t>terpene hydrocarbon</w:t>
      </w:r>
      <w:r>
        <w:t xml:space="preserve">s) </w:t>
      </w:r>
      <w:r w:rsidRPr="00697687">
        <w:t>are released</w:t>
      </w:r>
      <w:r>
        <w:t xml:space="preserve"> </w:t>
      </w:r>
      <w:r w:rsidRPr="00697687">
        <w:t>in large amounts mainly to the atmosphere, from both biogenic and anthropogenic sources. Limonene is used as a flavour and fragrance additive in food, household cleaning products, and perfumes.</w:t>
      </w:r>
      <w:r>
        <w:t xml:space="preserve"> </w:t>
      </w:r>
      <w:r w:rsidRPr="00697687">
        <w:t>Limonene is also used</w:t>
      </w:r>
      <w:r>
        <w:t xml:space="preserve"> </w:t>
      </w:r>
      <w:r w:rsidRPr="00697687">
        <w:t>as a solvent in degreasing metals prior to industrial painting, for cleaning in the electronic and printing</w:t>
      </w:r>
      <w:r>
        <w:t xml:space="preserve"> </w:t>
      </w:r>
      <w:r w:rsidRPr="00697687">
        <w:t xml:space="preserve">industries, and in paint as a solvent. </w:t>
      </w:r>
      <w:r w:rsidR="00B94F08" w:rsidRPr="00E6110F">
        <w:t>Terpenes such as limonene are replacements for xylene- and toluene-based solvents. Compared with aromatic solvents, terpenes have good solvency, and are biodegradable, less toxic, and less flammable.</w:t>
      </w:r>
      <w:r w:rsidRPr="00697687">
        <w:t xml:space="preserve"> </w:t>
      </w:r>
      <w:r w:rsidRPr="00E6110F">
        <w:t>Limonene is a chemical additive of water and guar based hydraulic fracturing fluid systems; its use has been reported for the US (US Congress Report 2011) and Australia (Santos 2013).</w:t>
      </w:r>
    </w:p>
    <w:p w14:paraId="7E94A1F1" w14:textId="27159D61" w:rsidR="00B94F08" w:rsidRPr="00E6110F" w:rsidRDefault="00B94F08" w:rsidP="00B94F08">
      <w:pPr>
        <w:pStyle w:val="Heading3"/>
        <w:numPr>
          <w:ilvl w:val="3"/>
          <w:numId w:val="1"/>
        </w:numPr>
      </w:pPr>
      <w:bookmarkStart w:id="134" w:name="_Toc494444513"/>
      <w:r w:rsidRPr="00E6110F">
        <w:t>Acrylamide polymer</w:t>
      </w:r>
      <w:bookmarkEnd w:id="134"/>
    </w:p>
    <w:p w14:paraId="2EEB532B" w14:textId="71CAFFB2" w:rsidR="0010477C" w:rsidRDefault="00512002" w:rsidP="0010477C">
      <w:pPr>
        <w:pStyle w:val="Body"/>
      </w:pPr>
      <w:r w:rsidRPr="00E6110F">
        <w:t xml:space="preserve">Polyacrylamide is polymeric material used as friction reducer and scale inhibitor within fracturing fluids </w:t>
      </w:r>
      <w:r w:rsidR="00CD1F00">
        <w:t xml:space="preserve">in Australia </w:t>
      </w:r>
      <w:r w:rsidRPr="00E6110F">
        <w:t>(</w:t>
      </w:r>
      <w:r w:rsidR="00CD1F00">
        <w:t>Commonwealth of Australia, 2014b</w:t>
      </w:r>
      <w:r w:rsidRPr="00E6110F">
        <w:t>) but is also widely used as a flocculant in water treatment, as a soil conditioner in agriculture and for oil recovery applications (US</w:t>
      </w:r>
      <w:r w:rsidR="0097622F" w:rsidRPr="00E6110F">
        <w:t xml:space="preserve"> </w:t>
      </w:r>
      <w:r w:rsidRPr="00E6110F">
        <w:t>EPA 1995a, Caulfield et al</w:t>
      </w:r>
      <w:r w:rsidRPr="00E6110F">
        <w:rPr>
          <w:i/>
        </w:rPr>
        <w:t xml:space="preserve">. </w:t>
      </w:r>
      <w:r w:rsidRPr="00E6110F">
        <w:t>2002). The degree of acrylic acid residues within the polymer leads to polyacrylamide generally being of an anionic nature (Caulfield et al</w:t>
      </w:r>
      <w:r w:rsidRPr="00E6110F">
        <w:rPr>
          <w:i/>
        </w:rPr>
        <w:t xml:space="preserve">. </w:t>
      </w:r>
      <w:r w:rsidRPr="00E6110F">
        <w:t>2002). It has a very high water solubility, is reasonably resistant to degradation in the environment and are generally of low environmental concern (Caulfield et al</w:t>
      </w:r>
      <w:r w:rsidRPr="00E6110F">
        <w:rPr>
          <w:i/>
        </w:rPr>
        <w:t xml:space="preserve">. </w:t>
      </w:r>
      <w:r w:rsidRPr="00E6110F">
        <w:t>2002). There is concern, however, relating to the presence of the relatively toxic acrylamide monomer as an impurity or degradation product of the polymer (US</w:t>
      </w:r>
      <w:r w:rsidR="0097622F" w:rsidRPr="00E6110F">
        <w:t xml:space="preserve"> </w:t>
      </w:r>
      <w:r w:rsidRPr="00E6110F">
        <w:t>EPA 1995a). Depolymerisation of polyacrylamide or hydrolysis of the polymer leads to it having an anionic nature due to the presence of acrylic acid and this, along with its high water solubility, mean that polyacrylamide is expected to be highly mobile in a soil environment (Caulfield et al</w:t>
      </w:r>
      <w:r w:rsidRPr="00E6110F">
        <w:rPr>
          <w:i/>
        </w:rPr>
        <w:t xml:space="preserve">. </w:t>
      </w:r>
      <w:r w:rsidRPr="00E6110F">
        <w:t>2002).</w:t>
      </w:r>
    </w:p>
    <w:p w14:paraId="084C2E4A" w14:textId="77777777" w:rsidR="00D67B50" w:rsidRDefault="00D67B50"/>
    <w:p w14:paraId="6D987DF5" w14:textId="77777777" w:rsidR="00D67B50" w:rsidRDefault="00D67B50"/>
    <w:p w14:paraId="412C04C2" w14:textId="77777777" w:rsidR="00D67B50" w:rsidRDefault="00D67B50"/>
    <w:p w14:paraId="50BF56A6" w14:textId="77777777" w:rsidR="00D67B50" w:rsidRDefault="00D67B50"/>
    <w:p w14:paraId="576C05C8" w14:textId="77777777" w:rsidR="00D67B50" w:rsidRDefault="00D67B50"/>
    <w:p w14:paraId="2BC3D477" w14:textId="77777777" w:rsidR="00E76C93" w:rsidRDefault="0010477C" w:rsidP="00E76C93">
      <w:pPr>
        <w:rPr>
          <w:lang w:val="en-GB"/>
        </w:rPr>
      </w:pPr>
      <w:r>
        <w:br w:type="page"/>
      </w:r>
    </w:p>
    <w:p w14:paraId="1DC83E7C" w14:textId="3E07A7ED" w:rsidR="00E76C93" w:rsidRPr="00E6110F" w:rsidRDefault="00683E43" w:rsidP="00E76C93">
      <w:pPr>
        <w:pStyle w:val="Heading2"/>
        <w:ind w:left="1134" w:hanging="1134"/>
      </w:pPr>
      <w:bookmarkStart w:id="135" w:name="_Ref476585575"/>
      <w:bookmarkStart w:id="136" w:name="_Toc494444514"/>
      <w:r>
        <w:t>Identification of assets within</w:t>
      </w:r>
      <w:r w:rsidR="00E76C93" w:rsidRPr="00E6110F">
        <w:t xml:space="preserve"> the Gunnedah Basin</w:t>
      </w:r>
      <w:bookmarkEnd w:id="135"/>
      <w:bookmarkEnd w:id="136"/>
    </w:p>
    <w:p w14:paraId="2611CE4D" w14:textId="3A0FE3F2" w:rsidR="00E76C93" w:rsidRPr="00E6110F" w:rsidRDefault="00E76C93" w:rsidP="00E76C93">
      <w:pPr>
        <w:pStyle w:val="Body"/>
      </w:pPr>
      <w:r w:rsidRPr="00E6110F">
        <w:t xml:space="preserve">Potential assets for use in the spatial analysis and particle tracking analysis are based on the asset registers developed within the Bioregional Assessment Program (O’Grady et al. 2015). For the Namoi subregion, the three asset groups (ecological, economic and socio-cultural assets) and their subgroups and classes are summarised in </w:t>
      </w:r>
      <w:r w:rsidRPr="00E6110F">
        <w:fldChar w:fldCharType="begin" w:fldLock="1"/>
      </w:r>
      <w:r w:rsidRPr="00E6110F">
        <w:instrText xml:space="preserve"> REF _Ref446090393 \h </w:instrText>
      </w:r>
      <w:r>
        <w:instrText xml:space="preserve"> \* MERGEFORMAT </w:instrText>
      </w:r>
      <w:r w:rsidRPr="00E6110F">
        <w:fldChar w:fldCharType="separate"/>
      </w:r>
      <w:r w:rsidR="00335E79" w:rsidRPr="00E6110F">
        <w:t xml:space="preserve">Table </w:t>
      </w:r>
      <w:r w:rsidR="00335E79">
        <w:rPr>
          <w:noProof/>
        </w:rPr>
        <w:t>2</w:t>
      </w:r>
      <w:r w:rsidR="00335E79">
        <w:rPr>
          <w:noProof/>
        </w:rPr>
        <w:noBreakHyphen/>
        <w:t>10</w:t>
      </w:r>
      <w:r w:rsidRPr="00E6110F">
        <w:fldChar w:fldCharType="end"/>
      </w:r>
      <w:r w:rsidRPr="00E6110F">
        <w:t xml:space="preserve">.  Only a subset of the complete asset register was used in the current spatial analysis. The subset was defined on the basis of a buffer zone of approximately 30 km around the </w:t>
      </w:r>
      <w:r w:rsidR="00B75F01">
        <w:t>study area;</w:t>
      </w:r>
      <w:r w:rsidRPr="00E6110F">
        <w:t xml:space="preserve"> this buffer zone was previously defined by CDM Smith (2014) to select water bores in the immediate vicinity of the potentially impacted area. The same buffer zone was used here to focus the spatial analysis on those assets closest to the potentially impacted area. To verify this area was large enough and would encompass all possible groundwater pathways, preliminary particle tracking analysis was undertaken which confirmed that solute particles released at the boundary of the </w:t>
      </w:r>
      <w:r w:rsidR="00B75F01">
        <w:t>study area</w:t>
      </w:r>
      <w:r w:rsidRPr="00E6110F">
        <w:t xml:space="preserve"> would not travel beyond the buffer zone (for details see section </w:t>
      </w:r>
      <w:r w:rsidRPr="00E6110F">
        <w:fldChar w:fldCharType="begin" w:fldLock="1"/>
      </w:r>
      <w:r w:rsidRPr="00E6110F">
        <w:instrText xml:space="preserve"> REF _Ref446779370 \r \h </w:instrText>
      </w:r>
      <w:r>
        <w:instrText xml:space="preserve"> \* MERGEFORMAT </w:instrText>
      </w:r>
      <w:r w:rsidRPr="00E6110F">
        <w:fldChar w:fldCharType="separate"/>
      </w:r>
      <w:r w:rsidR="00335E79">
        <w:t>2.6.4.3.1</w:t>
      </w:r>
      <w:r w:rsidRPr="00E6110F">
        <w:fldChar w:fldCharType="end"/>
      </w:r>
      <w:r w:rsidRPr="00E6110F">
        <w:t>).  Particle tracking also indicated contaminants were unlikely to move south from any CSG well (</w:t>
      </w:r>
      <w:r w:rsidRPr="00E6110F">
        <w:fldChar w:fldCharType="begin" w:fldLock="1"/>
      </w:r>
      <w:r w:rsidRPr="00E6110F">
        <w:instrText xml:space="preserve"> REF _Ref446092785 \h </w:instrText>
      </w:r>
      <w:r>
        <w:instrText xml:space="preserve"> \* MERGEFORMAT </w:instrText>
      </w:r>
      <w:r w:rsidRPr="00E6110F">
        <w:fldChar w:fldCharType="separate"/>
      </w:r>
      <w:r w:rsidR="00335E79" w:rsidRPr="00E6110F">
        <w:t xml:space="preserve">Figure </w:t>
      </w:r>
      <w:r w:rsidR="00335E79">
        <w:rPr>
          <w:noProof/>
        </w:rPr>
        <w:t>2</w:t>
      </w:r>
      <w:r w:rsidR="00335E79">
        <w:rPr>
          <w:noProof/>
        </w:rPr>
        <w:noBreakHyphen/>
        <w:t>54</w:t>
      </w:r>
      <w:r w:rsidRPr="00E6110F">
        <w:fldChar w:fldCharType="end"/>
      </w:r>
      <w:r w:rsidRPr="00E6110F">
        <w:t>), therefore spatial analyses of frequency-proximity focused on the area from due west (270°) to due east (90°) of CSG wells (explained in section 3.1).</w:t>
      </w:r>
    </w:p>
    <w:p w14:paraId="14241CBE" w14:textId="77777777" w:rsidR="00E76C93" w:rsidRPr="00E6110F" w:rsidRDefault="00E76C93" w:rsidP="00E76C93">
      <w:pPr>
        <w:pStyle w:val="Heading3"/>
      </w:pPr>
      <w:bookmarkStart w:id="137" w:name="_Ref446929574"/>
      <w:bookmarkStart w:id="138" w:name="_Toc494444515"/>
      <w:r w:rsidRPr="00E6110F">
        <w:t xml:space="preserve">Ecological </w:t>
      </w:r>
      <w:bookmarkEnd w:id="137"/>
      <w:r w:rsidRPr="00E6110F">
        <w:t>assets</w:t>
      </w:r>
      <w:bookmarkEnd w:id="138"/>
    </w:p>
    <w:p w14:paraId="486F646A" w14:textId="264314C7" w:rsidR="00E76C93" w:rsidRPr="00E6110F" w:rsidRDefault="00E76C93" w:rsidP="00E76C93">
      <w:pPr>
        <w:pStyle w:val="Body"/>
      </w:pPr>
      <w:r w:rsidRPr="00E6110F">
        <w:t>The ecological assets group has three subgroups: subsurface features (groundwater), surface water features, and vegetation (</w:t>
      </w:r>
      <w:r w:rsidRPr="00E6110F">
        <w:fldChar w:fldCharType="begin" w:fldLock="1"/>
      </w:r>
      <w:r w:rsidRPr="00E6110F">
        <w:instrText xml:space="preserve"> REF _Ref446090393 \h </w:instrText>
      </w:r>
      <w:r>
        <w:instrText xml:space="preserve"> \* MERGEFORMAT </w:instrText>
      </w:r>
      <w:r w:rsidRPr="00E6110F">
        <w:fldChar w:fldCharType="separate"/>
      </w:r>
      <w:r w:rsidR="00335E79" w:rsidRPr="00E6110F">
        <w:t xml:space="preserve">Table </w:t>
      </w:r>
      <w:r w:rsidR="00335E79">
        <w:rPr>
          <w:noProof/>
        </w:rPr>
        <w:t>2</w:t>
      </w:r>
      <w:r w:rsidR="00335E79">
        <w:rPr>
          <w:noProof/>
        </w:rPr>
        <w:noBreakHyphen/>
        <w:t>10</w:t>
      </w:r>
      <w:r w:rsidRPr="00E6110F">
        <w:fldChar w:fldCharType="end"/>
      </w:r>
      <w:r w:rsidRPr="00E6110F">
        <w:t>). Groundwater features include (</w:t>
      </w:r>
      <w:r w:rsidRPr="00E6110F">
        <w:fldChar w:fldCharType="begin" w:fldLock="1"/>
      </w:r>
      <w:r w:rsidRPr="00E6110F">
        <w:instrText xml:space="preserve"> REF _Ref446089470 \h </w:instrText>
      </w:r>
      <w:r>
        <w:instrText xml:space="preserve"> \* MERGEFORMAT </w:instrText>
      </w:r>
      <w:r w:rsidRPr="00E6110F">
        <w:fldChar w:fldCharType="separate"/>
      </w:r>
      <w:r w:rsidR="00335E79" w:rsidRPr="00E6110F">
        <w:t xml:space="preserve">Figure </w:t>
      </w:r>
      <w:r w:rsidR="00335E79">
        <w:rPr>
          <w:noProof/>
        </w:rPr>
        <w:t>2</w:t>
      </w:r>
      <w:r w:rsidR="00335E79">
        <w:rPr>
          <w:noProof/>
        </w:rPr>
        <w:noBreakHyphen/>
        <w:t>16</w:t>
      </w:r>
      <w:r w:rsidRPr="00E6110F">
        <w:fldChar w:fldCharType="end"/>
      </w:r>
      <w:r w:rsidRPr="00E6110F">
        <w:t>):</w:t>
      </w:r>
    </w:p>
    <w:p w14:paraId="746C039B" w14:textId="77777777" w:rsidR="00E76C93" w:rsidRPr="00E6110F" w:rsidRDefault="00E76C93" w:rsidP="00E76C93">
      <w:pPr>
        <w:pStyle w:val="Body"/>
        <w:numPr>
          <w:ilvl w:val="0"/>
          <w:numId w:val="7"/>
        </w:numPr>
      </w:pPr>
      <w:r w:rsidRPr="00E6110F">
        <w:t xml:space="preserve">33 groundwater-dependent assets (groundwater flow systems (aquifers) and groundwater management zones (alluvium or stratum)) and 8 non-water-dependent assets (geological features, i.e. eight geological formations). </w:t>
      </w:r>
    </w:p>
    <w:p w14:paraId="6ED34DFD" w14:textId="09B0802D" w:rsidR="00E76C93" w:rsidRPr="00E6110F" w:rsidRDefault="00E76C93" w:rsidP="00E76C93">
      <w:pPr>
        <w:pStyle w:val="Body"/>
      </w:pPr>
      <w:r w:rsidRPr="00E6110F">
        <w:t>Surface water features account for 1142 groundwater-dependent assets, including (</w:t>
      </w:r>
      <w:r w:rsidRPr="00E6110F">
        <w:fldChar w:fldCharType="begin" w:fldLock="1"/>
      </w:r>
      <w:r w:rsidRPr="00E6110F">
        <w:instrText xml:space="preserve"> REF _Ref446089469 \h </w:instrText>
      </w:r>
      <w:r>
        <w:instrText xml:space="preserve"> \* MERGEFORMAT </w:instrText>
      </w:r>
      <w:r w:rsidRPr="00E6110F">
        <w:fldChar w:fldCharType="separate"/>
      </w:r>
      <w:r w:rsidR="00335E79" w:rsidRPr="00E6110F">
        <w:t xml:space="preserve">Figure </w:t>
      </w:r>
      <w:r w:rsidR="00335E79">
        <w:rPr>
          <w:noProof/>
        </w:rPr>
        <w:t>2</w:t>
      </w:r>
      <w:r w:rsidR="00335E79">
        <w:rPr>
          <w:noProof/>
        </w:rPr>
        <w:noBreakHyphen/>
        <w:t>17</w:t>
      </w:r>
      <w:r w:rsidRPr="00E6110F">
        <w:fldChar w:fldCharType="end"/>
      </w:r>
      <w:r w:rsidRPr="00E6110F">
        <w:t>):</w:t>
      </w:r>
    </w:p>
    <w:p w14:paraId="3B63C657" w14:textId="77777777" w:rsidR="00E76C93" w:rsidRPr="00E6110F" w:rsidRDefault="00E76C93" w:rsidP="00E76C93">
      <w:pPr>
        <w:pStyle w:val="Body"/>
        <w:numPr>
          <w:ilvl w:val="0"/>
          <w:numId w:val="7"/>
        </w:numPr>
      </w:pPr>
      <w:r w:rsidRPr="00E6110F">
        <w:t>Rivers or stream reaches, tributaries, anabranches or bends,</w:t>
      </w:r>
    </w:p>
    <w:p w14:paraId="7DBCD2F1" w14:textId="77777777" w:rsidR="00E76C93" w:rsidRPr="00E6110F" w:rsidRDefault="00E76C93" w:rsidP="00E76C93">
      <w:pPr>
        <w:pStyle w:val="Body"/>
        <w:numPr>
          <w:ilvl w:val="0"/>
          <w:numId w:val="7"/>
        </w:numPr>
      </w:pPr>
      <w:r w:rsidRPr="00E6110F">
        <w:t>Lakes, reservoirs, lagoons or estuaries,</w:t>
      </w:r>
    </w:p>
    <w:p w14:paraId="4FF55180" w14:textId="77777777" w:rsidR="00E76C93" w:rsidRPr="00E6110F" w:rsidRDefault="00E76C93" w:rsidP="00E76C93">
      <w:pPr>
        <w:pStyle w:val="Body"/>
        <w:numPr>
          <w:ilvl w:val="0"/>
          <w:numId w:val="7"/>
        </w:numPr>
      </w:pPr>
      <w:r w:rsidRPr="00E6110F">
        <w:t>Waterholes, pools, rock pools or billabongs,</w:t>
      </w:r>
    </w:p>
    <w:p w14:paraId="11446F59" w14:textId="77777777" w:rsidR="00E76C93" w:rsidRPr="00E6110F" w:rsidRDefault="00E76C93" w:rsidP="00E76C93">
      <w:pPr>
        <w:pStyle w:val="Body"/>
        <w:numPr>
          <w:ilvl w:val="0"/>
          <w:numId w:val="7"/>
        </w:numPr>
      </w:pPr>
      <w:r w:rsidRPr="00E6110F">
        <w:t xml:space="preserve">Wetlands, wetland complexes or swamps, </w:t>
      </w:r>
    </w:p>
    <w:p w14:paraId="097066A1" w14:textId="77777777" w:rsidR="00E76C93" w:rsidRPr="00E6110F" w:rsidRDefault="00E76C93" w:rsidP="00E76C93">
      <w:pPr>
        <w:pStyle w:val="Body"/>
        <w:numPr>
          <w:ilvl w:val="0"/>
          <w:numId w:val="7"/>
        </w:numPr>
      </w:pPr>
      <w:r w:rsidRPr="00E6110F">
        <w:t>Groundwater fed springs (marsh, sedgeland, bog, spring or soak), and</w:t>
      </w:r>
    </w:p>
    <w:p w14:paraId="381DD1EE" w14:textId="77777777" w:rsidR="00E76C93" w:rsidRPr="00E6110F" w:rsidRDefault="00E76C93" w:rsidP="00E76C93">
      <w:pPr>
        <w:pStyle w:val="Body"/>
        <w:numPr>
          <w:ilvl w:val="0"/>
          <w:numId w:val="7"/>
        </w:numPr>
      </w:pPr>
      <w:r w:rsidRPr="00E6110F">
        <w:t>Floodplains.</w:t>
      </w:r>
    </w:p>
    <w:p w14:paraId="6B0B6E13" w14:textId="77777777" w:rsidR="00E76C93" w:rsidRPr="00E6110F" w:rsidRDefault="00E76C93" w:rsidP="00E76C93">
      <w:pPr>
        <w:pStyle w:val="Body"/>
      </w:pPr>
      <w:r w:rsidRPr="00E6110F">
        <w:t xml:space="preserve">The vegetation subgroup has two classes: </w:t>
      </w:r>
    </w:p>
    <w:p w14:paraId="308ACE35" w14:textId="4F476987" w:rsidR="00E76C93" w:rsidRPr="00E6110F" w:rsidRDefault="00E76C93" w:rsidP="00E76C93">
      <w:pPr>
        <w:pStyle w:val="Body"/>
        <w:numPr>
          <w:ilvl w:val="0"/>
          <w:numId w:val="14"/>
        </w:numPr>
      </w:pPr>
      <w:r w:rsidRPr="00E6110F">
        <w:t>groundwater depend</w:t>
      </w:r>
      <w:r w:rsidR="00736347">
        <w:t>e</w:t>
      </w:r>
      <w:r w:rsidRPr="00E6110F">
        <w:t xml:space="preserve">nt ecosystems, of which 442 are water-dependent and 246 are non-water-dependent  </w:t>
      </w:r>
    </w:p>
    <w:p w14:paraId="5815921B" w14:textId="77777777" w:rsidR="00E76C93" w:rsidRPr="00E6110F" w:rsidRDefault="00E76C93" w:rsidP="00E76C93">
      <w:pPr>
        <w:pStyle w:val="Body"/>
        <w:numPr>
          <w:ilvl w:val="0"/>
          <w:numId w:val="14"/>
        </w:numPr>
      </w:pPr>
      <w:proofErr w:type="gramStart"/>
      <w:r w:rsidRPr="00E6110F">
        <w:t>habitats</w:t>
      </w:r>
      <w:proofErr w:type="gramEnd"/>
      <w:r w:rsidRPr="00E6110F">
        <w:t xml:space="preserve"> of iconic species (67 are water-dependent). </w:t>
      </w:r>
    </w:p>
    <w:p w14:paraId="4E930141" w14:textId="448CA772" w:rsidR="00E76C93" w:rsidRPr="00E6110F" w:rsidRDefault="00E76C93" w:rsidP="00E76C93">
      <w:pPr>
        <w:pStyle w:val="Body"/>
      </w:pPr>
      <w:r w:rsidRPr="00E6110F">
        <w:t>It is important to emphasise that Bioregional Assessments consider the potential impact to the habitat of species, not the individual species per se.  All assets in the ‘Surface water feature’ and ‘Groundwater feature (subsurface)’ classes of the asset database were assumed to be water-dependent assets and attributed as ‘likely’. Assets listed as ‘likely’ are those with a clear and demonstrated link to aquatic ecosystems, (e.g. aquatic species) (O’Grady et al. 2015). In the current spatial analysis only the water-dependent assets that occur within the 30 km buffer zone</w:t>
      </w:r>
      <w:r w:rsidR="00F579FC">
        <w:rPr>
          <w:rFonts w:ascii="ZWAdobeF" w:hAnsi="ZWAdobeF" w:cs="ZWAdobeF"/>
          <w:color w:val="auto"/>
          <w:sz w:val="2"/>
          <w:szCs w:val="2"/>
        </w:rPr>
        <w:t>10F</w:t>
      </w:r>
      <w:r>
        <w:rPr>
          <w:rStyle w:val="FootnoteReference"/>
        </w:rPr>
        <w:footnoteReference w:id="9"/>
      </w:r>
      <w:r w:rsidRPr="00E6110F">
        <w:t xml:space="preserve"> and are located between 270° and 90° north from CSG wells are taken into account. </w:t>
      </w:r>
    </w:p>
    <w:p w14:paraId="78A40695" w14:textId="122EA145" w:rsidR="00E76C93" w:rsidRPr="00E6110F" w:rsidRDefault="00E76C93" w:rsidP="00E76C93">
      <w:pPr>
        <w:pStyle w:val="Body"/>
      </w:pPr>
      <w:r w:rsidRPr="00E6110F">
        <w:t xml:space="preserve">As can be observed from </w:t>
      </w:r>
      <w:r w:rsidRPr="00E6110F">
        <w:fldChar w:fldCharType="begin" w:fldLock="1"/>
      </w:r>
      <w:r w:rsidRPr="00E6110F">
        <w:instrText xml:space="preserve"> REF _Ref446089469 \h </w:instrText>
      </w:r>
      <w:r>
        <w:instrText xml:space="preserve"> \* MERGEFORMAT </w:instrText>
      </w:r>
      <w:r w:rsidRPr="00E6110F">
        <w:fldChar w:fldCharType="separate"/>
      </w:r>
      <w:r w:rsidR="00335E79" w:rsidRPr="00E6110F">
        <w:t xml:space="preserve">Figure </w:t>
      </w:r>
      <w:r w:rsidR="00335E79">
        <w:rPr>
          <w:noProof/>
        </w:rPr>
        <w:t>2</w:t>
      </w:r>
      <w:r w:rsidR="00335E79">
        <w:rPr>
          <w:noProof/>
        </w:rPr>
        <w:noBreakHyphen/>
        <w:t>17</w:t>
      </w:r>
      <w:r w:rsidRPr="00E6110F">
        <w:fldChar w:fldCharType="end"/>
      </w:r>
      <w:r w:rsidRPr="00E6110F">
        <w:t xml:space="preserve"> and </w:t>
      </w:r>
      <w:r w:rsidRPr="00E6110F">
        <w:fldChar w:fldCharType="begin" w:fldLock="1"/>
      </w:r>
      <w:r w:rsidRPr="00E6110F">
        <w:instrText xml:space="preserve"> REF _Ref449112169 \h </w:instrText>
      </w:r>
      <w:r>
        <w:instrText xml:space="preserve"> \* MERGEFORMAT </w:instrText>
      </w:r>
      <w:r w:rsidRPr="00E6110F">
        <w:fldChar w:fldCharType="separate"/>
      </w:r>
      <w:r w:rsidR="00335E79" w:rsidRPr="00E6110F">
        <w:t>Figure</w:t>
      </w:r>
      <w:r w:rsidR="00335E79" w:rsidRPr="00E6110F">
        <w:rPr>
          <w:noProof/>
        </w:rPr>
        <w:t xml:space="preserve"> </w:t>
      </w:r>
      <w:r w:rsidR="00335E79">
        <w:rPr>
          <w:noProof/>
        </w:rPr>
        <w:t>2</w:t>
      </w:r>
      <w:r w:rsidR="00335E79">
        <w:rPr>
          <w:noProof/>
        </w:rPr>
        <w:noBreakHyphen/>
        <w:t>18</w:t>
      </w:r>
      <w:r w:rsidRPr="00E6110F">
        <w:fldChar w:fldCharType="end"/>
      </w:r>
      <w:r w:rsidRPr="00E6110F">
        <w:t xml:space="preserve">, many of the surface water features are either line elements or large polygons. In the spatial analysis, these multipart features have been converted to many single part features to allow calculation of distance between CSG wells and geographically separate parts of elements (see further section </w:t>
      </w:r>
      <w:r w:rsidRPr="00E6110F">
        <w:fldChar w:fldCharType="begin" w:fldLock="1"/>
      </w:r>
      <w:r w:rsidRPr="00E6110F">
        <w:instrText xml:space="preserve"> REF _Ref449112478 \r \h </w:instrText>
      </w:r>
      <w:r>
        <w:instrText xml:space="preserve"> \* MERGEFORMAT </w:instrText>
      </w:r>
      <w:r w:rsidRPr="00E6110F">
        <w:fldChar w:fldCharType="separate"/>
      </w:r>
      <w:r w:rsidR="00335E79">
        <w:t>3.1</w:t>
      </w:r>
      <w:r w:rsidRPr="00E6110F">
        <w:fldChar w:fldCharType="end"/>
      </w:r>
      <w:r w:rsidRPr="00E6110F">
        <w:t xml:space="preserve">).   </w:t>
      </w:r>
    </w:p>
    <w:p w14:paraId="521B72EF" w14:textId="4AD5E167" w:rsidR="00E76C93" w:rsidRPr="00E6110F" w:rsidRDefault="00E76C93" w:rsidP="00E76C93">
      <w:pPr>
        <w:pStyle w:val="Imagecaption"/>
        <w:keepNext/>
        <w:pBdr>
          <w:top w:val="none" w:sz="0" w:space="0" w:color="auto"/>
        </w:pBdr>
      </w:pPr>
      <w:bookmarkStart w:id="139" w:name="_Ref446090393"/>
      <w:bookmarkStart w:id="140" w:name="_Toc494444700"/>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10</w:t>
      </w:r>
      <w:r w:rsidR="00470577">
        <w:fldChar w:fldCharType="end"/>
      </w:r>
      <w:bookmarkEnd w:id="139"/>
      <w:r w:rsidRPr="00E6110F">
        <w:t xml:space="preserve"> Summary of ecological assets within the preliminary assessment extent of the Namoi subregion (O’Grady et al. 2015). Only the water-dependent assets within the 30-km buffer area are considered in the current study.</w:t>
      </w:r>
      <w:bookmarkEnd w:id="140"/>
    </w:p>
    <w:tbl>
      <w:tblPr>
        <w:tblStyle w:val="TableGrid"/>
        <w:tblW w:w="0" w:type="auto"/>
        <w:tblLook w:val="04A0" w:firstRow="1" w:lastRow="0" w:firstColumn="1" w:lastColumn="0" w:noHBand="0" w:noVBand="1"/>
      </w:tblPr>
      <w:tblGrid>
        <w:gridCol w:w="1510"/>
        <w:gridCol w:w="1646"/>
        <w:gridCol w:w="1628"/>
        <w:gridCol w:w="1633"/>
        <w:gridCol w:w="1324"/>
        <w:gridCol w:w="1269"/>
      </w:tblGrid>
      <w:tr w:rsidR="00E76C93" w:rsidRPr="00E6110F" w14:paraId="7C80F22A" w14:textId="77777777" w:rsidTr="002A6599">
        <w:tc>
          <w:tcPr>
            <w:tcW w:w="1510" w:type="dxa"/>
            <w:shd w:val="clear" w:color="auto" w:fill="F2F2F2" w:themeFill="background1" w:themeFillShade="F2"/>
          </w:tcPr>
          <w:p w14:paraId="021524DA" w14:textId="77777777" w:rsidR="00E76C93" w:rsidRPr="00E6110F" w:rsidRDefault="00E76C93" w:rsidP="002A6599">
            <w:pPr>
              <w:pStyle w:val="Body"/>
              <w:jc w:val="center"/>
            </w:pPr>
            <w:r w:rsidRPr="00E6110F">
              <w:t>Subgroup</w:t>
            </w:r>
          </w:p>
        </w:tc>
        <w:tc>
          <w:tcPr>
            <w:tcW w:w="1646" w:type="dxa"/>
            <w:shd w:val="clear" w:color="auto" w:fill="F2F2F2" w:themeFill="background1" w:themeFillShade="F2"/>
          </w:tcPr>
          <w:p w14:paraId="00337380" w14:textId="77777777" w:rsidR="00E76C93" w:rsidRPr="00E6110F" w:rsidRDefault="00E76C93" w:rsidP="002A6599">
            <w:pPr>
              <w:pStyle w:val="Body"/>
              <w:jc w:val="center"/>
            </w:pPr>
            <w:r w:rsidRPr="00E6110F">
              <w:t>Class</w:t>
            </w:r>
          </w:p>
        </w:tc>
        <w:tc>
          <w:tcPr>
            <w:tcW w:w="1628" w:type="dxa"/>
            <w:shd w:val="clear" w:color="auto" w:fill="F2F2F2" w:themeFill="background1" w:themeFillShade="F2"/>
          </w:tcPr>
          <w:p w14:paraId="50E2A0BC" w14:textId="77777777" w:rsidR="00E76C93" w:rsidRPr="00E6110F" w:rsidRDefault="00E76C93" w:rsidP="002A6599">
            <w:pPr>
              <w:pStyle w:val="Body"/>
              <w:jc w:val="center"/>
            </w:pPr>
            <w:r w:rsidRPr="00E6110F">
              <w:t>Not in water-dependent asset register</w:t>
            </w:r>
          </w:p>
        </w:tc>
        <w:tc>
          <w:tcPr>
            <w:tcW w:w="1633" w:type="dxa"/>
            <w:shd w:val="clear" w:color="auto" w:fill="F2F2F2" w:themeFill="background1" w:themeFillShade="F2"/>
          </w:tcPr>
          <w:p w14:paraId="213D35B8" w14:textId="77777777" w:rsidR="00E76C93" w:rsidRPr="00E6110F" w:rsidRDefault="00E76C93" w:rsidP="002A6599">
            <w:pPr>
              <w:pStyle w:val="Body"/>
              <w:jc w:val="center"/>
            </w:pPr>
            <w:r w:rsidRPr="00E6110F">
              <w:t>In water-dependent asset register</w:t>
            </w:r>
          </w:p>
        </w:tc>
        <w:tc>
          <w:tcPr>
            <w:tcW w:w="1324" w:type="dxa"/>
            <w:shd w:val="clear" w:color="auto" w:fill="F2F2F2" w:themeFill="background1" w:themeFillShade="F2"/>
          </w:tcPr>
          <w:p w14:paraId="44428CDD" w14:textId="77777777" w:rsidR="00E76C93" w:rsidRPr="00E6110F" w:rsidRDefault="00E76C93" w:rsidP="002A6599">
            <w:pPr>
              <w:pStyle w:val="Body"/>
              <w:jc w:val="center"/>
            </w:pPr>
            <w:r w:rsidRPr="00E6110F">
              <w:t>Total assets (asset list)</w:t>
            </w:r>
          </w:p>
        </w:tc>
        <w:tc>
          <w:tcPr>
            <w:tcW w:w="1269" w:type="dxa"/>
            <w:shd w:val="clear" w:color="auto" w:fill="F2F2F2" w:themeFill="background1" w:themeFillShade="F2"/>
          </w:tcPr>
          <w:p w14:paraId="4822DCE4" w14:textId="77777777" w:rsidR="00E76C93" w:rsidRPr="00E6110F" w:rsidRDefault="00E76C93" w:rsidP="002A6599">
            <w:pPr>
              <w:pStyle w:val="Body"/>
              <w:jc w:val="center"/>
            </w:pPr>
            <w:r w:rsidRPr="00E6110F">
              <w:t>Assets within 30 km buffer between 270° and 90° from CSG wells</w:t>
            </w:r>
          </w:p>
        </w:tc>
      </w:tr>
      <w:tr w:rsidR="00E76C93" w:rsidRPr="00E6110F" w14:paraId="07F27007" w14:textId="77777777" w:rsidTr="002A6599">
        <w:tc>
          <w:tcPr>
            <w:tcW w:w="1510" w:type="dxa"/>
            <w:vMerge w:val="restart"/>
          </w:tcPr>
          <w:p w14:paraId="79D71F34" w14:textId="77777777" w:rsidR="00E76C93" w:rsidRPr="00E6110F" w:rsidRDefault="00E76C93" w:rsidP="002A6599">
            <w:pPr>
              <w:pStyle w:val="Body"/>
              <w:jc w:val="center"/>
            </w:pPr>
            <w:r w:rsidRPr="00E6110F">
              <w:t>Groundwater feature (subsurface)</w:t>
            </w:r>
          </w:p>
        </w:tc>
        <w:tc>
          <w:tcPr>
            <w:tcW w:w="1646" w:type="dxa"/>
          </w:tcPr>
          <w:p w14:paraId="4CD50819" w14:textId="77777777" w:rsidR="00E76C93" w:rsidRPr="00E6110F" w:rsidRDefault="00E76C93" w:rsidP="002A6599">
            <w:pPr>
              <w:pStyle w:val="Body"/>
              <w:jc w:val="center"/>
            </w:pPr>
            <w:r w:rsidRPr="00E6110F">
              <w:t>Aquifer, geological feature, alluvium or stratum</w:t>
            </w:r>
          </w:p>
        </w:tc>
        <w:tc>
          <w:tcPr>
            <w:tcW w:w="1628" w:type="dxa"/>
          </w:tcPr>
          <w:p w14:paraId="23A48AD0" w14:textId="77777777" w:rsidR="00E76C93" w:rsidRPr="00E6110F" w:rsidRDefault="00E76C93" w:rsidP="00991F60">
            <w:pPr>
              <w:pStyle w:val="Body"/>
              <w:jc w:val="center"/>
            </w:pPr>
            <w:r w:rsidRPr="00E6110F">
              <w:t>8</w:t>
            </w:r>
          </w:p>
        </w:tc>
        <w:tc>
          <w:tcPr>
            <w:tcW w:w="1633" w:type="dxa"/>
          </w:tcPr>
          <w:p w14:paraId="7A6E1E55" w14:textId="77777777" w:rsidR="00E76C93" w:rsidRPr="00E6110F" w:rsidRDefault="00E76C93" w:rsidP="00991F60">
            <w:pPr>
              <w:pStyle w:val="Body"/>
              <w:jc w:val="center"/>
            </w:pPr>
            <w:r w:rsidRPr="00E6110F">
              <w:t>33</w:t>
            </w:r>
          </w:p>
        </w:tc>
        <w:tc>
          <w:tcPr>
            <w:tcW w:w="1324" w:type="dxa"/>
          </w:tcPr>
          <w:p w14:paraId="6D8E9BBC" w14:textId="77777777" w:rsidR="00E76C93" w:rsidRPr="00E6110F" w:rsidRDefault="00E76C93" w:rsidP="00991F60">
            <w:pPr>
              <w:pStyle w:val="Body"/>
              <w:jc w:val="center"/>
            </w:pPr>
            <w:r w:rsidRPr="00E6110F">
              <w:t>41</w:t>
            </w:r>
          </w:p>
        </w:tc>
        <w:tc>
          <w:tcPr>
            <w:tcW w:w="1269" w:type="dxa"/>
          </w:tcPr>
          <w:p w14:paraId="12F97B0D" w14:textId="77777777" w:rsidR="00E76C93" w:rsidRPr="00E6110F" w:rsidRDefault="00E76C93" w:rsidP="00991F60">
            <w:pPr>
              <w:pStyle w:val="Body"/>
              <w:jc w:val="center"/>
            </w:pPr>
            <w:r w:rsidRPr="00E6110F">
              <w:t>10</w:t>
            </w:r>
          </w:p>
        </w:tc>
      </w:tr>
      <w:tr w:rsidR="00E76C93" w:rsidRPr="00E6110F" w14:paraId="0C28916F" w14:textId="77777777" w:rsidTr="002A6599">
        <w:tc>
          <w:tcPr>
            <w:tcW w:w="1510" w:type="dxa"/>
            <w:vMerge/>
          </w:tcPr>
          <w:p w14:paraId="7AC068E6" w14:textId="77777777" w:rsidR="00E76C93" w:rsidRPr="00E6110F" w:rsidRDefault="00E76C93" w:rsidP="002A6599">
            <w:pPr>
              <w:pStyle w:val="Body"/>
              <w:jc w:val="center"/>
            </w:pPr>
          </w:p>
        </w:tc>
        <w:tc>
          <w:tcPr>
            <w:tcW w:w="1646" w:type="dxa"/>
          </w:tcPr>
          <w:p w14:paraId="42852DC6" w14:textId="77777777" w:rsidR="00E76C93" w:rsidRPr="00E6110F" w:rsidRDefault="00E76C93" w:rsidP="002A6599">
            <w:pPr>
              <w:pStyle w:val="Body"/>
              <w:jc w:val="center"/>
            </w:pPr>
            <w:r w:rsidRPr="00E6110F">
              <w:t>Groundwater total</w:t>
            </w:r>
          </w:p>
        </w:tc>
        <w:tc>
          <w:tcPr>
            <w:tcW w:w="1628" w:type="dxa"/>
          </w:tcPr>
          <w:p w14:paraId="0A39E644" w14:textId="77777777" w:rsidR="00E76C93" w:rsidRPr="00E6110F" w:rsidRDefault="00E76C93" w:rsidP="00991F60">
            <w:pPr>
              <w:pStyle w:val="Body"/>
              <w:jc w:val="center"/>
              <w:rPr>
                <w:b/>
              </w:rPr>
            </w:pPr>
            <w:r w:rsidRPr="00E6110F">
              <w:rPr>
                <w:b/>
              </w:rPr>
              <w:t>8</w:t>
            </w:r>
          </w:p>
        </w:tc>
        <w:tc>
          <w:tcPr>
            <w:tcW w:w="1633" w:type="dxa"/>
          </w:tcPr>
          <w:p w14:paraId="6A43704E" w14:textId="77777777" w:rsidR="00E76C93" w:rsidRPr="00E6110F" w:rsidRDefault="00E76C93" w:rsidP="00991F60">
            <w:pPr>
              <w:pStyle w:val="Body"/>
              <w:jc w:val="center"/>
              <w:rPr>
                <w:b/>
              </w:rPr>
            </w:pPr>
            <w:r w:rsidRPr="00E6110F">
              <w:rPr>
                <w:b/>
              </w:rPr>
              <w:t>33</w:t>
            </w:r>
          </w:p>
        </w:tc>
        <w:tc>
          <w:tcPr>
            <w:tcW w:w="1324" w:type="dxa"/>
          </w:tcPr>
          <w:p w14:paraId="3838439E" w14:textId="77777777" w:rsidR="00E76C93" w:rsidRPr="00E6110F" w:rsidRDefault="00E76C93" w:rsidP="00991F60">
            <w:pPr>
              <w:pStyle w:val="Body"/>
              <w:jc w:val="center"/>
              <w:rPr>
                <w:b/>
              </w:rPr>
            </w:pPr>
            <w:r w:rsidRPr="00E6110F">
              <w:rPr>
                <w:b/>
              </w:rPr>
              <w:t>41</w:t>
            </w:r>
          </w:p>
        </w:tc>
        <w:tc>
          <w:tcPr>
            <w:tcW w:w="1269" w:type="dxa"/>
          </w:tcPr>
          <w:p w14:paraId="6186D1B9" w14:textId="77777777" w:rsidR="00E76C93" w:rsidRPr="00E6110F" w:rsidRDefault="00E76C93" w:rsidP="00991F60">
            <w:pPr>
              <w:pStyle w:val="Body"/>
              <w:jc w:val="center"/>
              <w:rPr>
                <w:b/>
              </w:rPr>
            </w:pPr>
            <w:r w:rsidRPr="00E6110F">
              <w:rPr>
                <w:b/>
              </w:rPr>
              <w:t>10</w:t>
            </w:r>
          </w:p>
        </w:tc>
      </w:tr>
      <w:tr w:rsidR="00E76C93" w:rsidRPr="00E6110F" w14:paraId="50FB2F8D" w14:textId="77777777" w:rsidTr="002A6599">
        <w:tc>
          <w:tcPr>
            <w:tcW w:w="1510" w:type="dxa"/>
            <w:vMerge w:val="restart"/>
          </w:tcPr>
          <w:p w14:paraId="0B600008" w14:textId="77777777" w:rsidR="00E76C93" w:rsidRPr="00E6110F" w:rsidRDefault="00E76C93" w:rsidP="002A6599">
            <w:pPr>
              <w:pStyle w:val="Body"/>
              <w:jc w:val="center"/>
            </w:pPr>
            <w:r w:rsidRPr="00E6110F">
              <w:t>Surface water feature</w:t>
            </w:r>
          </w:p>
        </w:tc>
        <w:tc>
          <w:tcPr>
            <w:tcW w:w="1646" w:type="dxa"/>
          </w:tcPr>
          <w:p w14:paraId="7CEDE8ED" w14:textId="77777777" w:rsidR="00E76C93" w:rsidRPr="00E6110F" w:rsidRDefault="00E76C93" w:rsidP="002A6599">
            <w:pPr>
              <w:pStyle w:val="Body"/>
              <w:jc w:val="center"/>
            </w:pPr>
            <w:r w:rsidRPr="00E6110F">
              <w:t>River or stream reach, tributary, anabranch or bend</w:t>
            </w:r>
          </w:p>
        </w:tc>
        <w:tc>
          <w:tcPr>
            <w:tcW w:w="1628" w:type="dxa"/>
          </w:tcPr>
          <w:p w14:paraId="4E0DCAE0" w14:textId="77777777" w:rsidR="00E76C93" w:rsidRPr="00E6110F" w:rsidRDefault="00E76C93" w:rsidP="00991F60">
            <w:pPr>
              <w:pStyle w:val="Body"/>
              <w:jc w:val="center"/>
            </w:pPr>
            <w:r w:rsidRPr="00E6110F">
              <w:t>0</w:t>
            </w:r>
          </w:p>
        </w:tc>
        <w:tc>
          <w:tcPr>
            <w:tcW w:w="1633" w:type="dxa"/>
          </w:tcPr>
          <w:p w14:paraId="022CDA1B" w14:textId="77777777" w:rsidR="00E76C93" w:rsidRPr="00E6110F" w:rsidRDefault="00E76C93" w:rsidP="00991F60">
            <w:pPr>
              <w:pStyle w:val="Body"/>
              <w:jc w:val="center"/>
            </w:pPr>
            <w:r w:rsidRPr="00E6110F">
              <w:t>767</w:t>
            </w:r>
          </w:p>
        </w:tc>
        <w:tc>
          <w:tcPr>
            <w:tcW w:w="1324" w:type="dxa"/>
          </w:tcPr>
          <w:p w14:paraId="0DB7F269" w14:textId="77777777" w:rsidR="00E76C93" w:rsidRPr="00E6110F" w:rsidRDefault="00E76C93" w:rsidP="00991F60">
            <w:pPr>
              <w:pStyle w:val="Body"/>
              <w:jc w:val="center"/>
            </w:pPr>
            <w:r w:rsidRPr="00E6110F">
              <w:t>767</w:t>
            </w:r>
          </w:p>
        </w:tc>
        <w:tc>
          <w:tcPr>
            <w:tcW w:w="1269" w:type="dxa"/>
          </w:tcPr>
          <w:p w14:paraId="64DB6D40" w14:textId="77777777" w:rsidR="00E76C93" w:rsidRPr="00E6110F" w:rsidRDefault="00E76C93" w:rsidP="00991F60">
            <w:pPr>
              <w:pStyle w:val="Body"/>
              <w:jc w:val="center"/>
            </w:pPr>
            <w:r w:rsidRPr="00E6110F">
              <w:t>109</w:t>
            </w:r>
          </w:p>
        </w:tc>
      </w:tr>
      <w:tr w:rsidR="00E76C93" w:rsidRPr="00E6110F" w14:paraId="4BC2D7D8" w14:textId="77777777" w:rsidTr="002A6599">
        <w:tc>
          <w:tcPr>
            <w:tcW w:w="1510" w:type="dxa"/>
            <w:vMerge/>
          </w:tcPr>
          <w:p w14:paraId="4F5C255D" w14:textId="77777777" w:rsidR="00E76C93" w:rsidRPr="00E6110F" w:rsidRDefault="00E76C93" w:rsidP="002A6599">
            <w:pPr>
              <w:pStyle w:val="Body"/>
              <w:jc w:val="center"/>
            </w:pPr>
          </w:p>
        </w:tc>
        <w:tc>
          <w:tcPr>
            <w:tcW w:w="1646" w:type="dxa"/>
          </w:tcPr>
          <w:p w14:paraId="1D124544" w14:textId="77777777" w:rsidR="00E76C93" w:rsidRPr="00E6110F" w:rsidRDefault="00E76C93" w:rsidP="002A6599">
            <w:pPr>
              <w:pStyle w:val="Body"/>
              <w:jc w:val="center"/>
            </w:pPr>
            <w:r w:rsidRPr="00E6110F">
              <w:t>Lake, reservoir, lagoon or estuary</w:t>
            </w:r>
          </w:p>
        </w:tc>
        <w:tc>
          <w:tcPr>
            <w:tcW w:w="1628" w:type="dxa"/>
          </w:tcPr>
          <w:p w14:paraId="60F80B6E" w14:textId="77777777" w:rsidR="00E76C93" w:rsidRPr="00E6110F" w:rsidRDefault="00E76C93" w:rsidP="00991F60">
            <w:pPr>
              <w:pStyle w:val="Body"/>
              <w:jc w:val="center"/>
            </w:pPr>
            <w:r w:rsidRPr="00E6110F">
              <w:t>0</w:t>
            </w:r>
          </w:p>
        </w:tc>
        <w:tc>
          <w:tcPr>
            <w:tcW w:w="1633" w:type="dxa"/>
          </w:tcPr>
          <w:p w14:paraId="26DB70FA" w14:textId="77777777" w:rsidR="00E76C93" w:rsidRPr="00E6110F" w:rsidRDefault="00E76C93" w:rsidP="00991F60">
            <w:pPr>
              <w:pStyle w:val="Body"/>
              <w:jc w:val="center"/>
            </w:pPr>
            <w:r w:rsidRPr="00E6110F">
              <w:t>31</w:t>
            </w:r>
          </w:p>
        </w:tc>
        <w:tc>
          <w:tcPr>
            <w:tcW w:w="1324" w:type="dxa"/>
          </w:tcPr>
          <w:p w14:paraId="4B89DD85" w14:textId="77777777" w:rsidR="00E76C93" w:rsidRPr="00E6110F" w:rsidRDefault="00E76C93" w:rsidP="00991F60">
            <w:pPr>
              <w:pStyle w:val="Body"/>
              <w:jc w:val="center"/>
            </w:pPr>
            <w:r w:rsidRPr="00E6110F">
              <w:t>31</w:t>
            </w:r>
          </w:p>
        </w:tc>
        <w:tc>
          <w:tcPr>
            <w:tcW w:w="1269" w:type="dxa"/>
          </w:tcPr>
          <w:p w14:paraId="030401B9" w14:textId="77777777" w:rsidR="00E76C93" w:rsidRPr="00E6110F" w:rsidRDefault="00E76C93" w:rsidP="00991F60">
            <w:pPr>
              <w:pStyle w:val="Body"/>
              <w:jc w:val="center"/>
            </w:pPr>
            <w:r w:rsidRPr="00E6110F">
              <w:t>6</w:t>
            </w:r>
          </w:p>
        </w:tc>
      </w:tr>
      <w:tr w:rsidR="00E76C93" w:rsidRPr="00E6110F" w14:paraId="48E26052" w14:textId="77777777" w:rsidTr="002A6599">
        <w:tc>
          <w:tcPr>
            <w:tcW w:w="1510" w:type="dxa"/>
            <w:vMerge/>
          </w:tcPr>
          <w:p w14:paraId="0CDF57CF" w14:textId="77777777" w:rsidR="00E76C93" w:rsidRPr="00E6110F" w:rsidRDefault="00E76C93" w:rsidP="002A6599">
            <w:pPr>
              <w:pStyle w:val="Body"/>
              <w:jc w:val="center"/>
            </w:pPr>
          </w:p>
        </w:tc>
        <w:tc>
          <w:tcPr>
            <w:tcW w:w="1646" w:type="dxa"/>
          </w:tcPr>
          <w:p w14:paraId="6F385E9D" w14:textId="77777777" w:rsidR="00E76C93" w:rsidRPr="00E6110F" w:rsidRDefault="00E76C93" w:rsidP="002A6599">
            <w:pPr>
              <w:pStyle w:val="Body"/>
              <w:jc w:val="center"/>
            </w:pPr>
            <w:r w:rsidRPr="00E6110F">
              <w:t>Waterhole, pool, rock pool or billabong</w:t>
            </w:r>
          </w:p>
        </w:tc>
        <w:tc>
          <w:tcPr>
            <w:tcW w:w="1628" w:type="dxa"/>
          </w:tcPr>
          <w:p w14:paraId="609292A3" w14:textId="77777777" w:rsidR="00E76C93" w:rsidRPr="00E6110F" w:rsidRDefault="00E76C93" w:rsidP="00991F60">
            <w:pPr>
              <w:pStyle w:val="Body"/>
              <w:jc w:val="center"/>
            </w:pPr>
            <w:r w:rsidRPr="00E6110F">
              <w:t>0</w:t>
            </w:r>
          </w:p>
        </w:tc>
        <w:tc>
          <w:tcPr>
            <w:tcW w:w="1633" w:type="dxa"/>
          </w:tcPr>
          <w:p w14:paraId="72105CBD" w14:textId="77777777" w:rsidR="00E76C93" w:rsidRPr="00E6110F" w:rsidRDefault="00E76C93" w:rsidP="00991F60">
            <w:pPr>
              <w:pStyle w:val="Body"/>
              <w:jc w:val="center"/>
            </w:pPr>
            <w:r w:rsidRPr="00E6110F">
              <w:t>10</w:t>
            </w:r>
          </w:p>
        </w:tc>
        <w:tc>
          <w:tcPr>
            <w:tcW w:w="1324" w:type="dxa"/>
          </w:tcPr>
          <w:p w14:paraId="78C2C394" w14:textId="77777777" w:rsidR="00E76C93" w:rsidRPr="00E6110F" w:rsidRDefault="00E76C93" w:rsidP="00991F60">
            <w:pPr>
              <w:pStyle w:val="Body"/>
              <w:jc w:val="center"/>
            </w:pPr>
            <w:r w:rsidRPr="00E6110F">
              <w:t>10</w:t>
            </w:r>
          </w:p>
        </w:tc>
        <w:tc>
          <w:tcPr>
            <w:tcW w:w="1269" w:type="dxa"/>
          </w:tcPr>
          <w:p w14:paraId="62D60DF5" w14:textId="77777777" w:rsidR="00E76C93" w:rsidRPr="00E6110F" w:rsidRDefault="00E76C93" w:rsidP="00991F60">
            <w:pPr>
              <w:pStyle w:val="Body"/>
              <w:jc w:val="center"/>
            </w:pPr>
            <w:r w:rsidRPr="00E6110F">
              <w:t>0</w:t>
            </w:r>
          </w:p>
        </w:tc>
      </w:tr>
      <w:tr w:rsidR="00E76C93" w:rsidRPr="00E6110F" w14:paraId="23A8890F" w14:textId="77777777" w:rsidTr="002A6599">
        <w:tc>
          <w:tcPr>
            <w:tcW w:w="1510" w:type="dxa"/>
            <w:vMerge/>
          </w:tcPr>
          <w:p w14:paraId="2F960E58" w14:textId="77777777" w:rsidR="00E76C93" w:rsidRPr="00E6110F" w:rsidRDefault="00E76C93" w:rsidP="002A6599">
            <w:pPr>
              <w:pStyle w:val="Body"/>
              <w:jc w:val="center"/>
            </w:pPr>
          </w:p>
        </w:tc>
        <w:tc>
          <w:tcPr>
            <w:tcW w:w="1646" w:type="dxa"/>
          </w:tcPr>
          <w:p w14:paraId="2AB116AB" w14:textId="77777777" w:rsidR="00E76C93" w:rsidRPr="00E6110F" w:rsidRDefault="00E76C93" w:rsidP="002A6599">
            <w:pPr>
              <w:pStyle w:val="Body"/>
              <w:jc w:val="center"/>
            </w:pPr>
            <w:r w:rsidRPr="00E6110F">
              <w:t>Wetland, wetland complex or swamp</w:t>
            </w:r>
          </w:p>
        </w:tc>
        <w:tc>
          <w:tcPr>
            <w:tcW w:w="1628" w:type="dxa"/>
          </w:tcPr>
          <w:p w14:paraId="66BF69A6" w14:textId="77777777" w:rsidR="00E76C93" w:rsidRPr="00E6110F" w:rsidRDefault="00E76C93" w:rsidP="00991F60">
            <w:pPr>
              <w:pStyle w:val="Body"/>
              <w:jc w:val="center"/>
            </w:pPr>
            <w:r w:rsidRPr="00E6110F">
              <w:t>0</w:t>
            </w:r>
          </w:p>
        </w:tc>
        <w:tc>
          <w:tcPr>
            <w:tcW w:w="1633" w:type="dxa"/>
          </w:tcPr>
          <w:p w14:paraId="5844E2BD" w14:textId="77777777" w:rsidR="00E76C93" w:rsidRPr="00E6110F" w:rsidRDefault="00E76C93" w:rsidP="00991F60">
            <w:pPr>
              <w:pStyle w:val="Body"/>
              <w:jc w:val="center"/>
            </w:pPr>
            <w:r w:rsidRPr="00E6110F">
              <w:t>279</w:t>
            </w:r>
          </w:p>
        </w:tc>
        <w:tc>
          <w:tcPr>
            <w:tcW w:w="1324" w:type="dxa"/>
          </w:tcPr>
          <w:p w14:paraId="65BB59E7" w14:textId="77777777" w:rsidR="00E76C93" w:rsidRPr="00E6110F" w:rsidRDefault="00E76C93" w:rsidP="00991F60">
            <w:pPr>
              <w:pStyle w:val="Body"/>
              <w:jc w:val="center"/>
            </w:pPr>
            <w:r w:rsidRPr="00E6110F">
              <w:t>279</w:t>
            </w:r>
          </w:p>
        </w:tc>
        <w:tc>
          <w:tcPr>
            <w:tcW w:w="1269" w:type="dxa"/>
          </w:tcPr>
          <w:p w14:paraId="5F74ECAD" w14:textId="77777777" w:rsidR="00E76C93" w:rsidRPr="00E6110F" w:rsidRDefault="00E76C93" w:rsidP="00991F60">
            <w:pPr>
              <w:pStyle w:val="Body"/>
              <w:jc w:val="center"/>
            </w:pPr>
            <w:r w:rsidRPr="00E6110F">
              <w:t>105</w:t>
            </w:r>
          </w:p>
        </w:tc>
      </w:tr>
      <w:tr w:rsidR="00E76C93" w:rsidRPr="00E6110F" w14:paraId="3B4E802E" w14:textId="77777777" w:rsidTr="002A6599">
        <w:tc>
          <w:tcPr>
            <w:tcW w:w="1510" w:type="dxa"/>
            <w:vMerge/>
          </w:tcPr>
          <w:p w14:paraId="139EC09F" w14:textId="77777777" w:rsidR="00E76C93" w:rsidRPr="00E6110F" w:rsidRDefault="00E76C93" w:rsidP="002A6599">
            <w:pPr>
              <w:pStyle w:val="Body"/>
              <w:jc w:val="center"/>
            </w:pPr>
          </w:p>
        </w:tc>
        <w:tc>
          <w:tcPr>
            <w:tcW w:w="1646" w:type="dxa"/>
          </w:tcPr>
          <w:p w14:paraId="4C5041C4" w14:textId="77777777" w:rsidR="00E76C93" w:rsidRPr="00E6110F" w:rsidRDefault="00E76C93" w:rsidP="002A6599">
            <w:pPr>
              <w:pStyle w:val="Body"/>
              <w:jc w:val="center"/>
            </w:pPr>
            <w:r w:rsidRPr="00E6110F">
              <w:t>Marsh, sedgeland, bog, spring or soak</w:t>
            </w:r>
          </w:p>
        </w:tc>
        <w:tc>
          <w:tcPr>
            <w:tcW w:w="1628" w:type="dxa"/>
          </w:tcPr>
          <w:p w14:paraId="3DF7EA46" w14:textId="77777777" w:rsidR="00E76C93" w:rsidRPr="00E6110F" w:rsidRDefault="00E76C93" w:rsidP="00991F60">
            <w:pPr>
              <w:pStyle w:val="Body"/>
              <w:jc w:val="center"/>
            </w:pPr>
            <w:r w:rsidRPr="00E6110F">
              <w:t>0</w:t>
            </w:r>
          </w:p>
        </w:tc>
        <w:tc>
          <w:tcPr>
            <w:tcW w:w="1633" w:type="dxa"/>
          </w:tcPr>
          <w:p w14:paraId="6AE352BF" w14:textId="77777777" w:rsidR="00E76C93" w:rsidRPr="00E6110F" w:rsidRDefault="00E76C93" w:rsidP="00991F60">
            <w:pPr>
              <w:pStyle w:val="Body"/>
              <w:jc w:val="center"/>
            </w:pPr>
            <w:r w:rsidRPr="00E6110F">
              <w:t>21</w:t>
            </w:r>
          </w:p>
        </w:tc>
        <w:tc>
          <w:tcPr>
            <w:tcW w:w="1324" w:type="dxa"/>
          </w:tcPr>
          <w:p w14:paraId="2DEA68FE" w14:textId="77777777" w:rsidR="00E76C93" w:rsidRPr="00E6110F" w:rsidRDefault="00E76C93" w:rsidP="00991F60">
            <w:pPr>
              <w:pStyle w:val="Body"/>
              <w:jc w:val="center"/>
            </w:pPr>
            <w:r w:rsidRPr="00E6110F">
              <w:t>21</w:t>
            </w:r>
          </w:p>
        </w:tc>
        <w:tc>
          <w:tcPr>
            <w:tcW w:w="1269" w:type="dxa"/>
          </w:tcPr>
          <w:p w14:paraId="14CA98A4" w14:textId="77777777" w:rsidR="00E76C93" w:rsidRPr="00E6110F" w:rsidRDefault="00E76C93" w:rsidP="00991F60">
            <w:pPr>
              <w:pStyle w:val="Body"/>
              <w:jc w:val="center"/>
            </w:pPr>
            <w:r w:rsidRPr="00E6110F">
              <w:t>1</w:t>
            </w:r>
          </w:p>
        </w:tc>
      </w:tr>
      <w:tr w:rsidR="00E76C93" w:rsidRPr="00E6110F" w14:paraId="1B810D67" w14:textId="77777777" w:rsidTr="002A6599">
        <w:tc>
          <w:tcPr>
            <w:tcW w:w="1510" w:type="dxa"/>
            <w:vMerge/>
          </w:tcPr>
          <w:p w14:paraId="4D982BD1" w14:textId="77777777" w:rsidR="00E76C93" w:rsidRPr="00E6110F" w:rsidRDefault="00E76C93" w:rsidP="002A6599">
            <w:pPr>
              <w:pStyle w:val="Body"/>
              <w:jc w:val="center"/>
            </w:pPr>
          </w:p>
        </w:tc>
        <w:tc>
          <w:tcPr>
            <w:tcW w:w="1646" w:type="dxa"/>
          </w:tcPr>
          <w:p w14:paraId="61D5D939" w14:textId="77777777" w:rsidR="00E76C93" w:rsidRPr="00E6110F" w:rsidRDefault="00E76C93" w:rsidP="002A6599">
            <w:pPr>
              <w:pStyle w:val="Body"/>
              <w:jc w:val="center"/>
            </w:pPr>
            <w:r w:rsidRPr="00E6110F">
              <w:t>Floodplain</w:t>
            </w:r>
          </w:p>
        </w:tc>
        <w:tc>
          <w:tcPr>
            <w:tcW w:w="1628" w:type="dxa"/>
          </w:tcPr>
          <w:p w14:paraId="63FB59EA" w14:textId="77777777" w:rsidR="00E76C93" w:rsidRPr="00E6110F" w:rsidRDefault="00E76C93" w:rsidP="00991F60">
            <w:pPr>
              <w:pStyle w:val="Body"/>
              <w:jc w:val="center"/>
            </w:pPr>
            <w:r w:rsidRPr="00E6110F">
              <w:t>0</w:t>
            </w:r>
          </w:p>
        </w:tc>
        <w:tc>
          <w:tcPr>
            <w:tcW w:w="1633" w:type="dxa"/>
          </w:tcPr>
          <w:p w14:paraId="3CB549AA" w14:textId="77777777" w:rsidR="00E76C93" w:rsidRPr="00E6110F" w:rsidRDefault="00E76C93" w:rsidP="00991F60">
            <w:pPr>
              <w:pStyle w:val="Body"/>
              <w:jc w:val="center"/>
            </w:pPr>
            <w:r w:rsidRPr="00E6110F">
              <w:t>34</w:t>
            </w:r>
          </w:p>
        </w:tc>
        <w:tc>
          <w:tcPr>
            <w:tcW w:w="1324" w:type="dxa"/>
          </w:tcPr>
          <w:p w14:paraId="11D7C891" w14:textId="77777777" w:rsidR="00E76C93" w:rsidRPr="00E6110F" w:rsidRDefault="00E76C93" w:rsidP="00991F60">
            <w:pPr>
              <w:pStyle w:val="Body"/>
              <w:jc w:val="center"/>
            </w:pPr>
            <w:r w:rsidRPr="00E6110F">
              <w:t>34</w:t>
            </w:r>
          </w:p>
        </w:tc>
        <w:tc>
          <w:tcPr>
            <w:tcW w:w="1269" w:type="dxa"/>
          </w:tcPr>
          <w:p w14:paraId="1E3612EF" w14:textId="77777777" w:rsidR="00E76C93" w:rsidRPr="00E6110F" w:rsidRDefault="00E76C93" w:rsidP="00991F60">
            <w:pPr>
              <w:pStyle w:val="Body"/>
              <w:jc w:val="center"/>
            </w:pPr>
            <w:r w:rsidRPr="00E6110F">
              <w:t>8</w:t>
            </w:r>
          </w:p>
        </w:tc>
      </w:tr>
      <w:tr w:rsidR="00E76C93" w:rsidRPr="00E6110F" w14:paraId="53FA6BAF" w14:textId="77777777" w:rsidTr="002A6599">
        <w:tc>
          <w:tcPr>
            <w:tcW w:w="1510" w:type="dxa"/>
            <w:vMerge/>
          </w:tcPr>
          <w:p w14:paraId="40EBF332" w14:textId="77777777" w:rsidR="00E76C93" w:rsidRPr="00E6110F" w:rsidRDefault="00E76C93" w:rsidP="002A6599">
            <w:pPr>
              <w:pStyle w:val="Body"/>
              <w:jc w:val="center"/>
            </w:pPr>
          </w:p>
        </w:tc>
        <w:tc>
          <w:tcPr>
            <w:tcW w:w="1646" w:type="dxa"/>
          </w:tcPr>
          <w:p w14:paraId="36DDA9A5" w14:textId="77777777" w:rsidR="00E76C93" w:rsidRPr="00E6110F" w:rsidRDefault="00E76C93" w:rsidP="002A6599">
            <w:pPr>
              <w:pStyle w:val="Body"/>
              <w:jc w:val="center"/>
            </w:pPr>
            <w:r w:rsidRPr="00E6110F">
              <w:t>Surface water total</w:t>
            </w:r>
          </w:p>
        </w:tc>
        <w:tc>
          <w:tcPr>
            <w:tcW w:w="1628" w:type="dxa"/>
          </w:tcPr>
          <w:p w14:paraId="70C1E8AB" w14:textId="77777777" w:rsidR="00E76C93" w:rsidRPr="00E6110F" w:rsidRDefault="00E76C93" w:rsidP="00991F60">
            <w:pPr>
              <w:pStyle w:val="Body"/>
              <w:jc w:val="center"/>
              <w:rPr>
                <w:b/>
              </w:rPr>
            </w:pPr>
            <w:r w:rsidRPr="00E6110F">
              <w:rPr>
                <w:b/>
              </w:rPr>
              <w:t>0</w:t>
            </w:r>
          </w:p>
        </w:tc>
        <w:tc>
          <w:tcPr>
            <w:tcW w:w="1633" w:type="dxa"/>
          </w:tcPr>
          <w:p w14:paraId="5A07DE22" w14:textId="77777777" w:rsidR="00E76C93" w:rsidRPr="00E6110F" w:rsidRDefault="00E76C93" w:rsidP="00991F60">
            <w:pPr>
              <w:pStyle w:val="Body"/>
              <w:jc w:val="center"/>
              <w:rPr>
                <w:b/>
              </w:rPr>
            </w:pPr>
            <w:r w:rsidRPr="00E6110F">
              <w:rPr>
                <w:b/>
              </w:rPr>
              <w:t>1142</w:t>
            </w:r>
          </w:p>
        </w:tc>
        <w:tc>
          <w:tcPr>
            <w:tcW w:w="1324" w:type="dxa"/>
          </w:tcPr>
          <w:p w14:paraId="7AE19B7C" w14:textId="77777777" w:rsidR="00E76C93" w:rsidRPr="00E6110F" w:rsidRDefault="00E76C93" w:rsidP="00991F60">
            <w:pPr>
              <w:pStyle w:val="Body"/>
              <w:jc w:val="center"/>
              <w:rPr>
                <w:b/>
              </w:rPr>
            </w:pPr>
            <w:r w:rsidRPr="00E6110F">
              <w:rPr>
                <w:b/>
              </w:rPr>
              <w:t>1142</w:t>
            </w:r>
          </w:p>
        </w:tc>
        <w:tc>
          <w:tcPr>
            <w:tcW w:w="1269" w:type="dxa"/>
          </w:tcPr>
          <w:p w14:paraId="3C16DBC8" w14:textId="77777777" w:rsidR="00E76C93" w:rsidRPr="00E6110F" w:rsidRDefault="00E76C93" w:rsidP="00991F60">
            <w:pPr>
              <w:pStyle w:val="Body"/>
              <w:jc w:val="center"/>
              <w:rPr>
                <w:b/>
              </w:rPr>
            </w:pPr>
            <w:r w:rsidRPr="00E6110F">
              <w:rPr>
                <w:b/>
              </w:rPr>
              <w:t>229</w:t>
            </w:r>
          </w:p>
        </w:tc>
      </w:tr>
      <w:tr w:rsidR="00E76C93" w:rsidRPr="00E6110F" w14:paraId="78643B70" w14:textId="77777777" w:rsidTr="002A6599">
        <w:tc>
          <w:tcPr>
            <w:tcW w:w="1510" w:type="dxa"/>
            <w:vMerge w:val="restart"/>
          </w:tcPr>
          <w:p w14:paraId="49020538" w14:textId="77777777" w:rsidR="00E76C93" w:rsidRPr="00E6110F" w:rsidRDefault="00E76C93" w:rsidP="002A6599">
            <w:pPr>
              <w:pStyle w:val="Body"/>
              <w:jc w:val="center"/>
            </w:pPr>
            <w:r w:rsidRPr="00E6110F">
              <w:t>Vegetation</w:t>
            </w:r>
          </w:p>
        </w:tc>
        <w:tc>
          <w:tcPr>
            <w:tcW w:w="1646" w:type="dxa"/>
          </w:tcPr>
          <w:p w14:paraId="6D8F1DB7" w14:textId="77777777" w:rsidR="00E76C93" w:rsidRPr="00E6110F" w:rsidRDefault="00E76C93" w:rsidP="002A6599">
            <w:pPr>
              <w:pStyle w:val="Body"/>
              <w:jc w:val="center"/>
            </w:pPr>
            <w:r w:rsidRPr="00E6110F">
              <w:t>Groundwater-dependent ecosystem</w:t>
            </w:r>
          </w:p>
        </w:tc>
        <w:tc>
          <w:tcPr>
            <w:tcW w:w="1628" w:type="dxa"/>
          </w:tcPr>
          <w:p w14:paraId="2673F6A9" w14:textId="77777777" w:rsidR="00E76C93" w:rsidRPr="00E6110F" w:rsidRDefault="00E76C93" w:rsidP="00991F60">
            <w:pPr>
              <w:pStyle w:val="Body"/>
              <w:jc w:val="center"/>
            </w:pPr>
            <w:r w:rsidRPr="00E6110F">
              <w:t>246</w:t>
            </w:r>
          </w:p>
        </w:tc>
        <w:tc>
          <w:tcPr>
            <w:tcW w:w="1633" w:type="dxa"/>
          </w:tcPr>
          <w:p w14:paraId="49CA6A91" w14:textId="77777777" w:rsidR="00E76C93" w:rsidRPr="00E6110F" w:rsidRDefault="00E76C93" w:rsidP="00991F60">
            <w:pPr>
              <w:pStyle w:val="Body"/>
              <w:jc w:val="center"/>
            </w:pPr>
            <w:r w:rsidRPr="00E6110F">
              <w:t>442</w:t>
            </w:r>
          </w:p>
        </w:tc>
        <w:tc>
          <w:tcPr>
            <w:tcW w:w="1324" w:type="dxa"/>
          </w:tcPr>
          <w:p w14:paraId="756706DA" w14:textId="77777777" w:rsidR="00E76C93" w:rsidRPr="00E6110F" w:rsidRDefault="00E76C93" w:rsidP="00991F60">
            <w:pPr>
              <w:pStyle w:val="Body"/>
              <w:jc w:val="center"/>
            </w:pPr>
            <w:r w:rsidRPr="00E6110F">
              <w:t>688</w:t>
            </w:r>
          </w:p>
        </w:tc>
        <w:tc>
          <w:tcPr>
            <w:tcW w:w="1269" w:type="dxa"/>
          </w:tcPr>
          <w:p w14:paraId="0C7ED2A8" w14:textId="77777777" w:rsidR="00E76C93" w:rsidRPr="00E6110F" w:rsidRDefault="00E76C93" w:rsidP="00991F60">
            <w:pPr>
              <w:pStyle w:val="Body"/>
              <w:jc w:val="center"/>
            </w:pPr>
            <w:r w:rsidRPr="00E6110F">
              <w:t>43</w:t>
            </w:r>
          </w:p>
        </w:tc>
      </w:tr>
      <w:tr w:rsidR="00E76C93" w:rsidRPr="00E6110F" w14:paraId="6EFB7AFC" w14:textId="77777777" w:rsidTr="002A6599">
        <w:tc>
          <w:tcPr>
            <w:tcW w:w="1510" w:type="dxa"/>
            <w:vMerge/>
          </w:tcPr>
          <w:p w14:paraId="384931AC" w14:textId="77777777" w:rsidR="00E76C93" w:rsidRPr="00E6110F" w:rsidRDefault="00E76C93" w:rsidP="002A6599">
            <w:pPr>
              <w:pStyle w:val="Body"/>
              <w:jc w:val="center"/>
            </w:pPr>
          </w:p>
        </w:tc>
        <w:tc>
          <w:tcPr>
            <w:tcW w:w="1646" w:type="dxa"/>
          </w:tcPr>
          <w:p w14:paraId="6B03623B" w14:textId="77777777" w:rsidR="00E76C93" w:rsidRPr="00E6110F" w:rsidRDefault="00E76C93" w:rsidP="002A6599">
            <w:pPr>
              <w:pStyle w:val="Body"/>
              <w:jc w:val="center"/>
            </w:pPr>
            <w:r w:rsidRPr="00E6110F">
              <w:t>Habitat (potential species distribution)</w:t>
            </w:r>
          </w:p>
        </w:tc>
        <w:tc>
          <w:tcPr>
            <w:tcW w:w="1628" w:type="dxa"/>
          </w:tcPr>
          <w:p w14:paraId="7BDC6DF6" w14:textId="77777777" w:rsidR="00E76C93" w:rsidRPr="00E6110F" w:rsidRDefault="00E76C93" w:rsidP="00991F60">
            <w:pPr>
              <w:pStyle w:val="Body"/>
              <w:jc w:val="center"/>
            </w:pPr>
            <w:r w:rsidRPr="00E6110F">
              <w:t>26</w:t>
            </w:r>
          </w:p>
        </w:tc>
        <w:tc>
          <w:tcPr>
            <w:tcW w:w="1633" w:type="dxa"/>
          </w:tcPr>
          <w:p w14:paraId="5273725F" w14:textId="77777777" w:rsidR="00E76C93" w:rsidRPr="00E6110F" w:rsidRDefault="00E76C93" w:rsidP="00991F60">
            <w:pPr>
              <w:pStyle w:val="Body"/>
              <w:jc w:val="center"/>
            </w:pPr>
            <w:r w:rsidRPr="00E6110F">
              <w:t>67</w:t>
            </w:r>
          </w:p>
        </w:tc>
        <w:tc>
          <w:tcPr>
            <w:tcW w:w="1324" w:type="dxa"/>
          </w:tcPr>
          <w:p w14:paraId="31F79807" w14:textId="77777777" w:rsidR="00E76C93" w:rsidRPr="00E6110F" w:rsidRDefault="00E76C93" w:rsidP="00991F60">
            <w:pPr>
              <w:pStyle w:val="Body"/>
              <w:jc w:val="center"/>
            </w:pPr>
            <w:r w:rsidRPr="00E6110F">
              <w:t>93</w:t>
            </w:r>
          </w:p>
        </w:tc>
        <w:tc>
          <w:tcPr>
            <w:tcW w:w="1269" w:type="dxa"/>
          </w:tcPr>
          <w:p w14:paraId="02902581" w14:textId="77777777" w:rsidR="00E76C93" w:rsidRPr="00E6110F" w:rsidRDefault="00E76C93" w:rsidP="00991F60">
            <w:pPr>
              <w:pStyle w:val="Body"/>
              <w:jc w:val="center"/>
            </w:pPr>
            <w:r w:rsidRPr="00E6110F">
              <w:t>19</w:t>
            </w:r>
          </w:p>
        </w:tc>
      </w:tr>
      <w:tr w:rsidR="00E76C93" w:rsidRPr="00E6110F" w14:paraId="37E45609" w14:textId="77777777" w:rsidTr="002A6599">
        <w:tc>
          <w:tcPr>
            <w:tcW w:w="1510" w:type="dxa"/>
            <w:vMerge/>
          </w:tcPr>
          <w:p w14:paraId="40AA0D6F" w14:textId="77777777" w:rsidR="00E76C93" w:rsidRPr="00E6110F" w:rsidRDefault="00E76C93" w:rsidP="002A6599">
            <w:pPr>
              <w:pStyle w:val="Body"/>
            </w:pPr>
          </w:p>
        </w:tc>
        <w:tc>
          <w:tcPr>
            <w:tcW w:w="1646" w:type="dxa"/>
          </w:tcPr>
          <w:p w14:paraId="56D23DDB" w14:textId="77777777" w:rsidR="00E76C93" w:rsidRPr="00E6110F" w:rsidRDefault="00E76C93" w:rsidP="002A6599">
            <w:pPr>
              <w:pStyle w:val="Body"/>
            </w:pPr>
            <w:r w:rsidRPr="00E6110F">
              <w:t>Vegetation total</w:t>
            </w:r>
          </w:p>
        </w:tc>
        <w:tc>
          <w:tcPr>
            <w:tcW w:w="1628" w:type="dxa"/>
          </w:tcPr>
          <w:p w14:paraId="5A9BCEED" w14:textId="77777777" w:rsidR="00E76C93" w:rsidRPr="00E6110F" w:rsidRDefault="00E76C93" w:rsidP="00991F60">
            <w:pPr>
              <w:pStyle w:val="Body"/>
              <w:jc w:val="center"/>
              <w:rPr>
                <w:b/>
              </w:rPr>
            </w:pPr>
            <w:r w:rsidRPr="00E6110F">
              <w:rPr>
                <w:b/>
              </w:rPr>
              <w:t>272</w:t>
            </w:r>
          </w:p>
        </w:tc>
        <w:tc>
          <w:tcPr>
            <w:tcW w:w="1633" w:type="dxa"/>
          </w:tcPr>
          <w:p w14:paraId="265E482B" w14:textId="77777777" w:rsidR="00E76C93" w:rsidRPr="00E6110F" w:rsidRDefault="00E76C93" w:rsidP="00991F60">
            <w:pPr>
              <w:pStyle w:val="Body"/>
              <w:jc w:val="center"/>
              <w:rPr>
                <w:b/>
              </w:rPr>
            </w:pPr>
            <w:r w:rsidRPr="00E6110F">
              <w:rPr>
                <w:b/>
              </w:rPr>
              <w:t>509</w:t>
            </w:r>
          </w:p>
        </w:tc>
        <w:tc>
          <w:tcPr>
            <w:tcW w:w="1324" w:type="dxa"/>
          </w:tcPr>
          <w:p w14:paraId="0A036CF2" w14:textId="77777777" w:rsidR="00E76C93" w:rsidRPr="00E6110F" w:rsidRDefault="00E76C93" w:rsidP="00991F60">
            <w:pPr>
              <w:pStyle w:val="Body"/>
              <w:jc w:val="center"/>
              <w:rPr>
                <w:b/>
              </w:rPr>
            </w:pPr>
            <w:r w:rsidRPr="00E6110F">
              <w:rPr>
                <w:b/>
              </w:rPr>
              <w:t>781</w:t>
            </w:r>
          </w:p>
        </w:tc>
        <w:tc>
          <w:tcPr>
            <w:tcW w:w="1269" w:type="dxa"/>
          </w:tcPr>
          <w:p w14:paraId="407732CA" w14:textId="77777777" w:rsidR="00E76C93" w:rsidRPr="00E6110F" w:rsidRDefault="00E76C93" w:rsidP="00991F60">
            <w:pPr>
              <w:pStyle w:val="Body"/>
              <w:jc w:val="center"/>
              <w:rPr>
                <w:b/>
              </w:rPr>
            </w:pPr>
            <w:r w:rsidRPr="00E6110F">
              <w:rPr>
                <w:b/>
              </w:rPr>
              <w:t>62</w:t>
            </w:r>
          </w:p>
        </w:tc>
      </w:tr>
      <w:tr w:rsidR="00E76C93" w:rsidRPr="00E6110F" w14:paraId="44F4840B" w14:textId="77777777" w:rsidTr="002A6599">
        <w:tc>
          <w:tcPr>
            <w:tcW w:w="1510" w:type="dxa"/>
          </w:tcPr>
          <w:p w14:paraId="4DC56B43" w14:textId="77777777" w:rsidR="00E76C93" w:rsidRPr="00E6110F" w:rsidRDefault="00E76C93" w:rsidP="002A6599">
            <w:pPr>
              <w:pStyle w:val="Body"/>
              <w:jc w:val="center"/>
            </w:pPr>
            <w:r w:rsidRPr="00E6110F">
              <w:t>Total</w:t>
            </w:r>
          </w:p>
        </w:tc>
        <w:tc>
          <w:tcPr>
            <w:tcW w:w="1646" w:type="dxa"/>
          </w:tcPr>
          <w:p w14:paraId="29B0DAEF" w14:textId="77777777" w:rsidR="00E76C93" w:rsidRPr="00E6110F" w:rsidRDefault="00E76C93" w:rsidP="002A6599">
            <w:pPr>
              <w:pStyle w:val="Body"/>
            </w:pPr>
          </w:p>
        </w:tc>
        <w:tc>
          <w:tcPr>
            <w:tcW w:w="1628" w:type="dxa"/>
          </w:tcPr>
          <w:p w14:paraId="00CBC464" w14:textId="77777777" w:rsidR="00E76C93" w:rsidRPr="00E6110F" w:rsidRDefault="00E76C93" w:rsidP="00991F60">
            <w:pPr>
              <w:pStyle w:val="Body"/>
              <w:jc w:val="center"/>
              <w:rPr>
                <w:b/>
              </w:rPr>
            </w:pPr>
            <w:r w:rsidRPr="00E6110F">
              <w:rPr>
                <w:b/>
              </w:rPr>
              <w:t>280</w:t>
            </w:r>
          </w:p>
        </w:tc>
        <w:tc>
          <w:tcPr>
            <w:tcW w:w="1633" w:type="dxa"/>
          </w:tcPr>
          <w:p w14:paraId="2439E155" w14:textId="77777777" w:rsidR="00E76C93" w:rsidRPr="00E6110F" w:rsidRDefault="00E76C93" w:rsidP="00991F60">
            <w:pPr>
              <w:pStyle w:val="Body"/>
              <w:jc w:val="center"/>
              <w:rPr>
                <w:b/>
              </w:rPr>
            </w:pPr>
            <w:r w:rsidRPr="00E6110F">
              <w:rPr>
                <w:b/>
              </w:rPr>
              <w:t>1684</w:t>
            </w:r>
          </w:p>
        </w:tc>
        <w:tc>
          <w:tcPr>
            <w:tcW w:w="1324" w:type="dxa"/>
          </w:tcPr>
          <w:p w14:paraId="5B864BC6" w14:textId="77777777" w:rsidR="00E76C93" w:rsidRPr="00E6110F" w:rsidRDefault="00E76C93" w:rsidP="00991F60">
            <w:pPr>
              <w:pStyle w:val="Body"/>
              <w:jc w:val="center"/>
              <w:rPr>
                <w:b/>
              </w:rPr>
            </w:pPr>
            <w:r w:rsidRPr="00E6110F">
              <w:rPr>
                <w:b/>
              </w:rPr>
              <w:t>1964</w:t>
            </w:r>
          </w:p>
        </w:tc>
        <w:tc>
          <w:tcPr>
            <w:tcW w:w="1269" w:type="dxa"/>
          </w:tcPr>
          <w:p w14:paraId="4A15E4BA" w14:textId="77777777" w:rsidR="00E76C93" w:rsidRPr="00E6110F" w:rsidRDefault="00E76C93" w:rsidP="00991F60">
            <w:pPr>
              <w:pStyle w:val="Body"/>
              <w:jc w:val="center"/>
              <w:rPr>
                <w:b/>
              </w:rPr>
            </w:pPr>
            <w:r w:rsidRPr="00E6110F">
              <w:rPr>
                <w:b/>
              </w:rPr>
              <w:t>301</w:t>
            </w:r>
          </w:p>
        </w:tc>
      </w:tr>
    </w:tbl>
    <w:p w14:paraId="737A76FB" w14:textId="55EE37EC" w:rsidR="00E76C93" w:rsidRPr="00E6110F" w:rsidRDefault="006D6C59" w:rsidP="00E76C93">
      <w:pPr>
        <w:rPr>
          <w:i/>
        </w:rPr>
      </w:pPr>
      <w:r>
        <w:rPr>
          <w:i/>
          <w:noProof/>
          <w:lang w:val="en-AU" w:eastAsia="en-AU"/>
        </w:rPr>
        <w:drawing>
          <wp:inline distT="0" distB="0" distL="0" distR="0" wp14:anchorId="34D038CF" wp14:editId="258FD2D0">
            <wp:extent cx="5727700" cy="8094345"/>
            <wp:effectExtent l="0" t="0" r="6350" b="1905"/>
            <wp:docPr id="133" name="Picture 133" descr="Map of ecological assets subgroup “groundwater feature/subsurface” within the Gunnedah basin subregion." title="Fig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UN_EcologicalGroundwaterFeature_20170314.png"/>
                    <pic:cNvPicPr/>
                  </pic:nvPicPr>
                  <pic:blipFill>
                    <a:blip r:embed="rId48"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3C3364FC" w14:textId="37A05CC7" w:rsidR="00E76C93" w:rsidRPr="00E6110F" w:rsidRDefault="00E76C93" w:rsidP="00E76C93">
      <w:pPr>
        <w:pStyle w:val="Imagecaption"/>
      </w:pPr>
      <w:bookmarkStart w:id="141" w:name="_Ref446089470"/>
      <w:bookmarkStart w:id="142" w:name="_Toc477347548"/>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16</w:t>
      </w:r>
      <w:r w:rsidR="00254026">
        <w:fldChar w:fldCharType="end"/>
      </w:r>
      <w:bookmarkEnd w:id="141"/>
      <w:r w:rsidRPr="00E6110F">
        <w:t xml:space="preserve"> Ecological assets subgroup “groundwater feature/subsurface” within the Gunnedah basin subregion. 30 km buffer area based on groundwater impact assessments from projected CSG extraction.</w:t>
      </w:r>
      <w:r w:rsidR="006450AC">
        <w:t xml:space="preserve"> Labels are linked to large polygons.</w:t>
      </w:r>
      <w:bookmarkEnd w:id="142"/>
    </w:p>
    <w:p w14:paraId="1AB5DD4F" w14:textId="77777777" w:rsidR="00E76C93" w:rsidRPr="00E6110F" w:rsidRDefault="00E76C93" w:rsidP="00E76C93">
      <w:pPr>
        <w:pStyle w:val="Imagecaption"/>
        <w:keepNext/>
        <w:pBdr>
          <w:top w:val="none" w:sz="0" w:space="0" w:color="auto"/>
        </w:pBdr>
      </w:pPr>
    </w:p>
    <w:p w14:paraId="4DF7D74C" w14:textId="1865BB98" w:rsidR="00E76C93" w:rsidRPr="00E6110F" w:rsidRDefault="00E76C93" w:rsidP="00E76C93">
      <w:pPr>
        <w:rPr>
          <w:i/>
        </w:rPr>
      </w:pPr>
      <w:r w:rsidRPr="00E6110F">
        <w:t xml:space="preserve"> </w:t>
      </w:r>
      <w:r w:rsidR="006D6C59">
        <w:rPr>
          <w:i/>
          <w:noProof/>
          <w:lang w:val="en-AU" w:eastAsia="en-AU"/>
        </w:rPr>
        <w:drawing>
          <wp:inline distT="0" distB="0" distL="0" distR="0" wp14:anchorId="11DA72D7" wp14:editId="0784FD12">
            <wp:extent cx="5727700" cy="8094345"/>
            <wp:effectExtent l="0" t="0" r="6350" b="1905"/>
            <wp:docPr id="575" name="Picture 575" descr="Map of ecological assets subgroup “surface water feature” within the Gunnedah basin subregion" title="Fig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GUN_EcologicalSurfaceWaterFeature_20170314.png"/>
                    <pic:cNvPicPr/>
                  </pic:nvPicPr>
                  <pic:blipFill>
                    <a:blip r:embed="rId49"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380B4FE8" w14:textId="2896AE10" w:rsidR="00E76C93" w:rsidRPr="00E6110F" w:rsidRDefault="00E76C93" w:rsidP="00E76C93">
      <w:pPr>
        <w:pStyle w:val="Imagecaption"/>
      </w:pPr>
      <w:bookmarkStart w:id="143" w:name="_Ref446089469"/>
      <w:bookmarkStart w:id="144" w:name="_Toc477347549"/>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17</w:t>
      </w:r>
      <w:r w:rsidR="00254026">
        <w:fldChar w:fldCharType="end"/>
      </w:r>
      <w:bookmarkEnd w:id="143"/>
      <w:r w:rsidRPr="00E6110F">
        <w:t xml:space="preserve"> Ecological assets subgroup “surface water feature” within the Gunnedah basin subregion. 30 km buffer area based on groundwater impact assessments from projected CSG extraction.</w:t>
      </w:r>
      <w:r w:rsidR="006450AC">
        <w:t xml:space="preserve"> Floodplain polygon is a multipart feature that was split into individual features for spatial analysis.</w:t>
      </w:r>
      <w:bookmarkEnd w:id="144"/>
    </w:p>
    <w:p w14:paraId="25055432" w14:textId="103B9491" w:rsidR="00E76C93" w:rsidRPr="00E6110F" w:rsidRDefault="006D6C59" w:rsidP="00E76C93">
      <w:pPr>
        <w:keepNext/>
      </w:pPr>
      <w:r>
        <w:rPr>
          <w:noProof/>
          <w:lang w:val="en-AU" w:eastAsia="en-AU"/>
        </w:rPr>
        <w:drawing>
          <wp:inline distT="0" distB="0" distL="0" distR="0" wp14:anchorId="4CC66A4E" wp14:editId="44237F43">
            <wp:extent cx="5727700" cy="8094345"/>
            <wp:effectExtent l="0" t="0" r="6350" b="1905"/>
            <wp:docPr id="573" name="Picture 573" descr="Ecological assets subgroup “Vegetation” within the Gunnedah basin subregion." title="Fig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GUN_EcologicalVegetation_20170314.png"/>
                    <pic:cNvPicPr/>
                  </pic:nvPicPr>
                  <pic:blipFill>
                    <a:blip r:embed="rId50"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587BBEA1" w14:textId="4A5D1BFC" w:rsidR="00E76C93" w:rsidRPr="00E6110F" w:rsidRDefault="00E76C93" w:rsidP="00E76C93">
      <w:pPr>
        <w:pStyle w:val="Imagecaption"/>
      </w:pPr>
      <w:bookmarkStart w:id="145" w:name="_Ref449112169"/>
      <w:bookmarkStart w:id="146" w:name="_Toc477347550"/>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18</w:t>
      </w:r>
      <w:r w:rsidR="00254026">
        <w:fldChar w:fldCharType="end"/>
      </w:r>
      <w:bookmarkEnd w:id="145"/>
      <w:r w:rsidRPr="00E6110F">
        <w:t xml:space="preserve"> Ecological </w:t>
      </w:r>
      <w:r>
        <w:t>a</w:t>
      </w:r>
      <w:r w:rsidRPr="00E6110F">
        <w:t>ssets subgroup “Vegetation” within the Gunnedah basin subregion. 30 km buffer area based on groundwater impact assessments from projected CSG extraction.</w:t>
      </w:r>
      <w:r w:rsidR="006450AC">
        <w:t xml:space="preserve"> Groundwater depend</w:t>
      </w:r>
      <w:r w:rsidR="00736347">
        <w:t>e</w:t>
      </w:r>
      <w:r w:rsidR="006450AC">
        <w:t>nt ecosystem polygon is a multipart feature that was split into individual features for spatial analysis.</w:t>
      </w:r>
      <w:bookmarkEnd w:id="146"/>
    </w:p>
    <w:p w14:paraId="1E4D16BC" w14:textId="77777777" w:rsidR="00E76C93" w:rsidRPr="00E6110F" w:rsidRDefault="00E76C93" w:rsidP="00E76C93">
      <w:pPr>
        <w:pStyle w:val="Body"/>
      </w:pPr>
    </w:p>
    <w:p w14:paraId="0E6DE186" w14:textId="77777777" w:rsidR="00E76C93" w:rsidRPr="00E6110F" w:rsidRDefault="00E76C93" w:rsidP="00E76C93">
      <w:pPr>
        <w:pStyle w:val="Heading3"/>
      </w:pPr>
      <w:bookmarkStart w:id="147" w:name="_Ref470019908"/>
      <w:bookmarkStart w:id="148" w:name="_Toc494444516"/>
      <w:r w:rsidRPr="00E6110F">
        <w:t>Economic assets</w:t>
      </w:r>
      <w:bookmarkEnd w:id="147"/>
      <w:bookmarkEnd w:id="148"/>
    </w:p>
    <w:p w14:paraId="28718023" w14:textId="020D7EC3" w:rsidR="00E76C93" w:rsidRPr="00E6110F" w:rsidRDefault="00E76C93" w:rsidP="00E76C93">
      <w:pPr>
        <w:pStyle w:val="Body"/>
      </w:pPr>
      <w:r w:rsidRPr="00E6110F">
        <w:t>Economic assets for the Namoi subregion are divided into groundwater and surface management zones (</w:t>
      </w:r>
      <w:r w:rsidRPr="00E6110F">
        <w:fldChar w:fldCharType="begin" w:fldLock="1"/>
      </w:r>
      <w:r w:rsidRPr="00E6110F">
        <w:instrText xml:space="preserve"> REF _Ref446770382 \h </w:instrText>
      </w:r>
      <w:r>
        <w:instrText xml:space="preserve"> \* MERGEFORMAT </w:instrText>
      </w:r>
      <w:r w:rsidRPr="00E6110F">
        <w:fldChar w:fldCharType="separate"/>
      </w:r>
      <w:r w:rsidR="00335E79" w:rsidRPr="00E6110F">
        <w:t xml:space="preserve">Table </w:t>
      </w:r>
      <w:r w:rsidR="00335E79">
        <w:rPr>
          <w:noProof/>
        </w:rPr>
        <w:t>2</w:t>
      </w:r>
      <w:r w:rsidR="00335E79">
        <w:rPr>
          <w:noProof/>
        </w:rPr>
        <w:noBreakHyphen/>
        <w:t>11</w:t>
      </w:r>
      <w:r w:rsidRPr="00E6110F">
        <w:fldChar w:fldCharType="end"/>
      </w:r>
      <w:r w:rsidRPr="00E6110F">
        <w:t>). The groundwater management zones subgroup has four classes (for details, see O’Grady et al. 2015):</w:t>
      </w:r>
    </w:p>
    <w:p w14:paraId="254D89DF" w14:textId="77777777" w:rsidR="00E76C93" w:rsidRPr="00E6110F" w:rsidRDefault="00E76C93" w:rsidP="00E76C93">
      <w:pPr>
        <w:pStyle w:val="Body"/>
        <w:numPr>
          <w:ilvl w:val="0"/>
          <w:numId w:val="7"/>
        </w:numPr>
      </w:pPr>
      <w:r w:rsidRPr="00E6110F">
        <w:t>Groundwater features used for water supply (currently zero elements),</w:t>
      </w:r>
    </w:p>
    <w:p w14:paraId="2AAEEA9B" w14:textId="77777777" w:rsidR="00E76C93" w:rsidRPr="00E6110F" w:rsidRDefault="00E76C93" w:rsidP="00E76C93">
      <w:pPr>
        <w:pStyle w:val="Body"/>
        <w:numPr>
          <w:ilvl w:val="0"/>
          <w:numId w:val="7"/>
        </w:numPr>
      </w:pPr>
      <w:r w:rsidRPr="00E6110F">
        <w:t>Water supply and monitoring structure (currently zero elements),</w:t>
      </w:r>
    </w:p>
    <w:p w14:paraId="136B17CD" w14:textId="77777777" w:rsidR="00E76C93" w:rsidRPr="00E6110F" w:rsidRDefault="00E76C93" w:rsidP="00E76C93">
      <w:pPr>
        <w:pStyle w:val="Body"/>
        <w:numPr>
          <w:ilvl w:val="0"/>
          <w:numId w:val="7"/>
        </w:numPr>
      </w:pPr>
      <w:r w:rsidRPr="00E6110F">
        <w:t xml:space="preserve">Water access right: has 1936 elements (groundwater bores). Each water access right licence can have one or multiple works associated with it, where the works is the location where the water is extracted through a bore or pump, </w:t>
      </w:r>
    </w:p>
    <w:p w14:paraId="0E7CBEA2" w14:textId="77777777" w:rsidR="00E76C93" w:rsidRPr="00E6110F" w:rsidRDefault="00E76C93" w:rsidP="00E76C93">
      <w:pPr>
        <w:pStyle w:val="Body"/>
        <w:numPr>
          <w:ilvl w:val="0"/>
          <w:numId w:val="7"/>
        </w:numPr>
      </w:pPr>
      <w:r w:rsidRPr="00E6110F">
        <w:t>Basic water right (stock and domestic): the right of those adjacent to aquifers underlying the land to extract water for domestic and stock use without a water access licence. A total of 7017 elements are included in the database (groundwater bores).</w:t>
      </w:r>
    </w:p>
    <w:p w14:paraId="62AA184D" w14:textId="48528F95" w:rsidR="00E76C93" w:rsidRPr="00E6110F" w:rsidRDefault="00E76C93" w:rsidP="00E76C93">
      <w:pPr>
        <w:pStyle w:val="Body"/>
      </w:pPr>
      <w:r w:rsidRPr="00E6110F">
        <w:t xml:space="preserve">For the entire Namoi subbioregion, the median bore depth is 36 m, with a maximum of 1200 m, so most water bores tap shallow alluvial groundwater systems (less than 150 m) (O’Grady et al. 2015). An analysis of water bores located within the 30 km buffer area of the </w:t>
      </w:r>
      <w:r w:rsidR="00067876">
        <w:t>study area</w:t>
      </w:r>
      <w:r w:rsidRPr="00E6110F">
        <w:t xml:space="preserve"> indicated groundwater abstraction in close proximity to the </w:t>
      </w:r>
      <w:r w:rsidR="00067876">
        <w:t xml:space="preserve">study area </w:t>
      </w:r>
      <w:r w:rsidRPr="00E6110F">
        <w:t xml:space="preserve">is limited by land use constraints within the Pilliga Forest and smaller groundwater yields. </w:t>
      </w:r>
    </w:p>
    <w:p w14:paraId="32733ECE" w14:textId="0DD1F2D2" w:rsidR="00E76C93" w:rsidRPr="00E6110F" w:rsidRDefault="00E76C93" w:rsidP="00E76C93">
      <w:pPr>
        <w:pStyle w:val="Body"/>
      </w:pPr>
      <w:r w:rsidRPr="00E6110F">
        <w:fldChar w:fldCharType="begin" w:fldLock="1"/>
      </w:r>
      <w:r w:rsidRPr="00E6110F">
        <w:instrText xml:space="preserve"> REF _Ref446852794 \h </w:instrText>
      </w:r>
      <w:r>
        <w:instrText xml:space="preserve"> \* MERGEFORMAT </w:instrText>
      </w:r>
      <w:r w:rsidRPr="00E6110F">
        <w:fldChar w:fldCharType="separate"/>
      </w:r>
      <w:r w:rsidR="00335E79" w:rsidRPr="00E6110F">
        <w:t xml:space="preserve">Figure </w:t>
      </w:r>
      <w:r w:rsidR="00335E79">
        <w:rPr>
          <w:noProof/>
        </w:rPr>
        <w:t>2</w:t>
      </w:r>
      <w:r w:rsidR="00335E79">
        <w:rPr>
          <w:noProof/>
        </w:rPr>
        <w:noBreakHyphen/>
        <w:t>19</w:t>
      </w:r>
      <w:r w:rsidRPr="00E6110F">
        <w:fldChar w:fldCharType="end"/>
      </w:r>
      <w:r w:rsidRPr="00E6110F">
        <w:t xml:space="preserve"> shows registered bores in the vicinity of the </w:t>
      </w:r>
      <w:r w:rsidR="00067876">
        <w:t>study area</w:t>
      </w:r>
      <w:r w:rsidRPr="00E6110F">
        <w:t>. Within the National Groundwater Information System (BOM) for NSW there are a total of 141,297 bore records. Within 30km of the proposed CSG wells in the Namoi subregion (and records filtered where drilled/bore depth was zero or NULL), there were a total of 3,318 bore records. The majority of these bore</w:t>
      </w:r>
      <w:r w:rsidR="007D0D83">
        <w:t>s</w:t>
      </w:r>
      <w:r w:rsidRPr="00E6110F">
        <w:t xml:space="preserve"> (96%) have a depth &lt;150m and most of the bores deeper than 150 m are likely to be screened within the Pilliga Sandstone, which is typically 150 to 300 m thick in the Project area. Bores 150-300 m deep and identified as being within the Gunnedah Basin GMA to the south and southeast of the Project area, are possibly screened within the Garrawilla Volcanics (CDM Smith 2014).</w:t>
      </w:r>
    </w:p>
    <w:p w14:paraId="0A3D2FD8" w14:textId="77777777" w:rsidR="00E76C93" w:rsidRPr="00E6110F" w:rsidRDefault="00E76C93" w:rsidP="00E76C93">
      <w:pPr>
        <w:pStyle w:val="Body"/>
      </w:pPr>
      <w:r w:rsidRPr="00E6110F">
        <w:t>The targets for coal seam gas extraction are the coal seams of the Maules Creek Formation (primary targets) and the Hoskissons Coal in the Black Jack Group (secondary targets). A GIS analysis of bore records intersecting the Maules and Hoskinssons formations was conducted. Maules and Hoskinssons formations were isolated from the Namoi groundwater model grid layers. Bore records (from the NGIS) were extracted from within the groundwater model area and filtered where drilled/bore depth was zero or NULL. Bore elevations (mAHD) were calculated by substracting the bore/drilled depth (m) from the reference (land) elevation (mAHD). No information on open/screened section depths were contained within the NGIS; an assumption was made that the bores were open at the maximum bore/drilled depth. Bore records were then queried for those intersecting (on x, y and z coordinates) with the Maules and Hoskinssons formation groundwater model grid layers.</w:t>
      </w:r>
    </w:p>
    <w:p w14:paraId="68611E20" w14:textId="77777777" w:rsidR="00E76C93" w:rsidRPr="00E6110F" w:rsidRDefault="00E76C93" w:rsidP="00E76C93">
      <w:pPr>
        <w:pStyle w:val="Body"/>
      </w:pPr>
      <w:r w:rsidRPr="00E6110F">
        <w:t xml:space="preserve">No bore records intersected the Maules Creek Formation. A total of 28 bore records (with status of either ‘functional’ or ‘unknown’) intersected the Hoskissons Coal layer. Uses of these bores included: household water supply for household needs e.g. washing, toilet; community water supply; water supply for livestock; and water supply for irrigated agriculture. All 28 bores were located south of the Project area and proposed CSG wells and according to the particle tracking analysis were unlikely to be in the path of any contaminants release from the CSG wells. </w:t>
      </w:r>
    </w:p>
    <w:p w14:paraId="70CD955A" w14:textId="77777777" w:rsidR="00E76C93" w:rsidRPr="00E6110F" w:rsidRDefault="00E76C93" w:rsidP="00E76C93">
      <w:pPr>
        <w:pStyle w:val="Body"/>
      </w:pPr>
    </w:p>
    <w:p w14:paraId="19E794D5" w14:textId="77777777" w:rsidR="00E76C93" w:rsidRPr="00E6110F" w:rsidRDefault="00E76C93" w:rsidP="00E76C93">
      <w:pPr>
        <w:pStyle w:val="Body"/>
      </w:pPr>
    </w:p>
    <w:p w14:paraId="64458206" w14:textId="77777777" w:rsidR="00E76C93" w:rsidRPr="00E6110F" w:rsidRDefault="00E76C93" w:rsidP="00E76C93">
      <w:pPr>
        <w:pStyle w:val="Body"/>
      </w:pPr>
      <w:r w:rsidRPr="00E6110F">
        <w:rPr>
          <w:noProof/>
          <w:lang w:val="en-AU" w:eastAsia="en-AU"/>
        </w:rPr>
        <w:drawing>
          <wp:inline distT="0" distB="0" distL="0" distR="0" wp14:anchorId="76858648" wp14:editId="2A8F20F7">
            <wp:extent cx="5727700" cy="4161033"/>
            <wp:effectExtent l="0" t="0" r="6350" b="0"/>
            <wp:docPr id="43" name="Picture 43" descr="Map of licensed groundwater bores less than or greater than the 150m deep in the Gunnedah study area." title="Fig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727700" cy="4161033"/>
                    </a:xfrm>
                    <a:prstGeom prst="rect">
                      <a:avLst/>
                    </a:prstGeom>
                    <a:noFill/>
                    <a:ln>
                      <a:noFill/>
                    </a:ln>
                  </pic:spPr>
                </pic:pic>
              </a:graphicData>
            </a:graphic>
          </wp:inline>
        </w:drawing>
      </w:r>
    </w:p>
    <w:p w14:paraId="599A076E" w14:textId="71076723" w:rsidR="00E76C93" w:rsidRPr="00E6110F" w:rsidRDefault="00E76C93" w:rsidP="00E76C93">
      <w:pPr>
        <w:pStyle w:val="Imagecaption"/>
      </w:pPr>
      <w:bookmarkStart w:id="149" w:name="_Ref446852794"/>
      <w:bookmarkStart w:id="150" w:name="_Toc477347551"/>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19</w:t>
      </w:r>
      <w:r w:rsidR="00254026">
        <w:fldChar w:fldCharType="end"/>
      </w:r>
      <w:bookmarkEnd w:id="149"/>
      <w:r w:rsidRPr="00E6110F">
        <w:t xml:space="preserve">  Licensed groundwater bores less than (left) and greater than (right) 150 m deep (modified from CDM Smith 2014).</w:t>
      </w:r>
      <w:r>
        <w:t xml:space="preserve"> The black cross-hatching shows</w:t>
      </w:r>
      <w:r w:rsidRPr="005641A9">
        <w:t xml:space="preserve"> </w:t>
      </w:r>
      <w:r>
        <w:t>licensed bores with unspecified groundwater management area (GMA).</w:t>
      </w:r>
      <w:r w:rsidR="007D0D83">
        <w:t xml:space="preserve"> Red polygon is the </w:t>
      </w:r>
      <w:r w:rsidR="00335E79">
        <w:t>study area</w:t>
      </w:r>
      <w:r w:rsidR="007D0D83">
        <w:t xml:space="preserve"> (encloses the proposed CSG wells as shown in Figure 2-16 through 2-18).</w:t>
      </w:r>
      <w:bookmarkEnd w:id="150"/>
    </w:p>
    <w:p w14:paraId="051BEC58" w14:textId="77777777" w:rsidR="00E76C93" w:rsidRPr="00E6110F" w:rsidRDefault="00E76C93" w:rsidP="00E76C93">
      <w:pPr>
        <w:pStyle w:val="Body"/>
      </w:pPr>
    </w:p>
    <w:p w14:paraId="1B46963B" w14:textId="77777777" w:rsidR="00E76C93" w:rsidRPr="00E6110F" w:rsidRDefault="00E76C93" w:rsidP="00E76C93">
      <w:pPr>
        <w:pStyle w:val="Body"/>
      </w:pPr>
      <w:r w:rsidRPr="00E6110F">
        <w:t>The surface water management subgroup has the following classes (for details, see O’Grady et al. 2015):</w:t>
      </w:r>
    </w:p>
    <w:p w14:paraId="7DFE19FD" w14:textId="77777777" w:rsidR="00E76C93" w:rsidRPr="00E6110F" w:rsidRDefault="00E76C93" w:rsidP="00E76C93">
      <w:pPr>
        <w:pStyle w:val="Body"/>
        <w:numPr>
          <w:ilvl w:val="0"/>
          <w:numId w:val="7"/>
        </w:numPr>
      </w:pPr>
      <w:r w:rsidRPr="00E6110F">
        <w:t>Surface water feature used for water supply (currently zero elements),</w:t>
      </w:r>
    </w:p>
    <w:p w14:paraId="183806D5" w14:textId="77777777" w:rsidR="00E76C93" w:rsidRPr="00E6110F" w:rsidRDefault="00E76C93" w:rsidP="00E76C93">
      <w:pPr>
        <w:pStyle w:val="Body"/>
        <w:numPr>
          <w:ilvl w:val="0"/>
          <w:numId w:val="7"/>
        </w:numPr>
      </w:pPr>
      <w:r w:rsidRPr="00E6110F">
        <w:t>Water supply and monitoring infrastructure (currently zero elements),</w:t>
      </w:r>
    </w:p>
    <w:p w14:paraId="386AE009" w14:textId="77777777" w:rsidR="00E76C93" w:rsidRPr="00E6110F" w:rsidRDefault="00E76C93" w:rsidP="00E76C93">
      <w:pPr>
        <w:pStyle w:val="Body"/>
        <w:numPr>
          <w:ilvl w:val="0"/>
          <w:numId w:val="7"/>
        </w:numPr>
      </w:pPr>
      <w:r w:rsidRPr="00E6110F">
        <w:t xml:space="preserve">Water access right (this requires a licence both for the works and the extraction of the water). The extraction of the water can be for a range of purposes including irrigation, commercial, industrial, farming, dewatering, mining, intensive agriculture etc., </w:t>
      </w:r>
    </w:p>
    <w:p w14:paraId="77219E1F" w14:textId="77777777" w:rsidR="00E76C93" w:rsidRPr="00E6110F" w:rsidRDefault="00E76C93" w:rsidP="00E76C93">
      <w:pPr>
        <w:pStyle w:val="Body"/>
        <w:numPr>
          <w:ilvl w:val="0"/>
          <w:numId w:val="7"/>
        </w:numPr>
      </w:pPr>
      <w:r w:rsidRPr="00E6110F">
        <w:t>Basic water right (stock and domestic): the right of those adjacent to rivers, estuaries, or lakes extract water for domestic and stock use without a water access licence.</w:t>
      </w:r>
    </w:p>
    <w:p w14:paraId="5FBBF7D5" w14:textId="04FBB1A1" w:rsidR="00E76C93" w:rsidRPr="00E6110F" w:rsidRDefault="00E76C93" w:rsidP="00E76C93">
      <w:pPr>
        <w:pStyle w:val="Body"/>
      </w:pPr>
      <w:r w:rsidRPr="00E6110F">
        <w:t xml:space="preserve">Occurrence of </w:t>
      </w:r>
      <w:r w:rsidR="00D567F0">
        <w:t>further</w:t>
      </w:r>
      <w:r w:rsidRPr="00E6110F">
        <w:t xml:space="preserve"> economic assets have been depicted in </w:t>
      </w:r>
      <w:r w:rsidR="002A6599" w:rsidRPr="002A6599">
        <w:fldChar w:fldCharType="begin" w:fldLock="1"/>
      </w:r>
      <w:r w:rsidR="002A6599" w:rsidRPr="002A6599">
        <w:instrText xml:space="preserve"> REF _Ref470274449 \h </w:instrText>
      </w:r>
      <w:r w:rsidR="002A6599">
        <w:instrText xml:space="preserve"> \* MERGEFORMAT </w:instrText>
      </w:r>
      <w:r w:rsidR="002A6599" w:rsidRPr="002A6599">
        <w:fldChar w:fldCharType="separate"/>
      </w:r>
      <w:r w:rsidR="00335E79" w:rsidRPr="00E6110F">
        <w:t xml:space="preserve">Figure </w:t>
      </w:r>
      <w:r w:rsidR="00335E79">
        <w:rPr>
          <w:noProof/>
        </w:rPr>
        <w:t>2</w:t>
      </w:r>
      <w:r w:rsidR="00335E79">
        <w:rPr>
          <w:noProof/>
        </w:rPr>
        <w:noBreakHyphen/>
        <w:t>20</w:t>
      </w:r>
      <w:r w:rsidR="002A6599" w:rsidRPr="002A6599">
        <w:fldChar w:fldCharType="end"/>
      </w:r>
      <w:r w:rsidR="002A6599" w:rsidRPr="002A6599">
        <w:t xml:space="preserve"> and </w:t>
      </w:r>
      <w:r w:rsidR="002A6599" w:rsidRPr="002A6599">
        <w:fldChar w:fldCharType="begin" w:fldLock="1"/>
      </w:r>
      <w:r w:rsidR="002A6599" w:rsidRPr="002A6599">
        <w:instrText xml:space="preserve"> REF _Ref470274450 \h </w:instrText>
      </w:r>
      <w:r w:rsidR="002A6599">
        <w:instrText xml:space="preserve"> \* MERGEFORMAT </w:instrText>
      </w:r>
      <w:r w:rsidR="002A6599" w:rsidRPr="002A6599">
        <w:fldChar w:fldCharType="separate"/>
      </w:r>
      <w:r w:rsidR="00335E79" w:rsidRPr="00E6110F">
        <w:t xml:space="preserve">Figure </w:t>
      </w:r>
      <w:r w:rsidR="00335E79">
        <w:rPr>
          <w:noProof/>
        </w:rPr>
        <w:t>2</w:t>
      </w:r>
      <w:r w:rsidR="00335E79">
        <w:rPr>
          <w:noProof/>
        </w:rPr>
        <w:noBreakHyphen/>
        <w:t>21</w:t>
      </w:r>
      <w:r w:rsidR="002A6599" w:rsidRPr="002A6599">
        <w:fldChar w:fldCharType="end"/>
      </w:r>
      <w:r w:rsidRPr="002A6599">
        <w:t xml:space="preserve">. </w:t>
      </w:r>
    </w:p>
    <w:p w14:paraId="491F87DC" w14:textId="77777777" w:rsidR="00E76C93" w:rsidRPr="00E6110F" w:rsidRDefault="00E76C93" w:rsidP="00E76C93">
      <w:pPr>
        <w:pStyle w:val="Body"/>
      </w:pPr>
      <w:bookmarkStart w:id="151" w:name="_Ref446090394"/>
    </w:p>
    <w:p w14:paraId="59ABE8D3" w14:textId="77777777" w:rsidR="00E76C93" w:rsidRPr="00E6110F" w:rsidRDefault="00E76C93" w:rsidP="00E76C93">
      <w:pPr>
        <w:pStyle w:val="Body"/>
      </w:pPr>
    </w:p>
    <w:p w14:paraId="330FC1B1" w14:textId="77777777" w:rsidR="00E76C93" w:rsidRDefault="00E76C93" w:rsidP="00E76C93">
      <w:pPr>
        <w:pStyle w:val="Body"/>
      </w:pPr>
    </w:p>
    <w:p w14:paraId="5D65B876" w14:textId="77777777" w:rsidR="002A6599" w:rsidRPr="00E6110F" w:rsidRDefault="002A6599" w:rsidP="00E76C93">
      <w:pPr>
        <w:pStyle w:val="Body"/>
      </w:pPr>
    </w:p>
    <w:p w14:paraId="7E86715F" w14:textId="77777777" w:rsidR="00E76C93" w:rsidRPr="00E6110F" w:rsidRDefault="00E76C93" w:rsidP="00E76C93">
      <w:pPr>
        <w:pStyle w:val="Body"/>
      </w:pPr>
    </w:p>
    <w:p w14:paraId="06B8540F" w14:textId="77777777" w:rsidR="00E76C93" w:rsidRPr="00E6110F" w:rsidRDefault="00E76C93" w:rsidP="00E76C93">
      <w:pPr>
        <w:pStyle w:val="Body"/>
      </w:pPr>
    </w:p>
    <w:p w14:paraId="687D7161" w14:textId="6842EE64" w:rsidR="00E76C93" w:rsidRPr="00E6110F" w:rsidRDefault="00E76C93" w:rsidP="00E76C93">
      <w:pPr>
        <w:pStyle w:val="Imagecaption"/>
        <w:keepNext/>
        <w:pBdr>
          <w:top w:val="none" w:sz="0" w:space="0" w:color="auto"/>
        </w:pBdr>
      </w:pPr>
      <w:bookmarkStart w:id="152" w:name="_Ref446770382"/>
      <w:bookmarkStart w:id="153" w:name="_Toc494444701"/>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11</w:t>
      </w:r>
      <w:r w:rsidR="00470577">
        <w:fldChar w:fldCharType="end"/>
      </w:r>
      <w:bookmarkEnd w:id="151"/>
      <w:bookmarkEnd w:id="152"/>
      <w:r w:rsidRPr="00E6110F">
        <w:t xml:space="preserve"> Classification of economic elements to create economic assets in the Namoi asset database (O’Grady et al. 2015). Only the water-dependent assets within the 30-km buffer area are considered in the current study.</w:t>
      </w:r>
      <w:bookmarkEnd w:id="153"/>
    </w:p>
    <w:tbl>
      <w:tblPr>
        <w:tblStyle w:val="TableGrid"/>
        <w:tblW w:w="0" w:type="auto"/>
        <w:tblLook w:val="04A0" w:firstRow="1" w:lastRow="0" w:firstColumn="1" w:lastColumn="0" w:noHBand="0" w:noVBand="1"/>
      </w:tblPr>
      <w:tblGrid>
        <w:gridCol w:w="2253"/>
        <w:gridCol w:w="2253"/>
        <w:gridCol w:w="1443"/>
        <w:gridCol w:w="1417"/>
      </w:tblGrid>
      <w:tr w:rsidR="00E76C93" w:rsidRPr="00E6110F" w14:paraId="51658314" w14:textId="77777777" w:rsidTr="002A6599">
        <w:tc>
          <w:tcPr>
            <w:tcW w:w="2253" w:type="dxa"/>
            <w:shd w:val="clear" w:color="auto" w:fill="F2F2F2" w:themeFill="background1" w:themeFillShade="F2"/>
          </w:tcPr>
          <w:p w14:paraId="2F737D57" w14:textId="77777777" w:rsidR="00E76C93" w:rsidRPr="00E6110F" w:rsidRDefault="00E76C93" w:rsidP="002A6599">
            <w:pPr>
              <w:pStyle w:val="Body"/>
              <w:jc w:val="center"/>
            </w:pPr>
            <w:r w:rsidRPr="00E6110F">
              <w:t>Subgroup</w:t>
            </w:r>
          </w:p>
        </w:tc>
        <w:tc>
          <w:tcPr>
            <w:tcW w:w="2253" w:type="dxa"/>
            <w:shd w:val="clear" w:color="auto" w:fill="F2F2F2" w:themeFill="background1" w:themeFillShade="F2"/>
          </w:tcPr>
          <w:p w14:paraId="7C9C4A0B" w14:textId="77777777" w:rsidR="00E76C93" w:rsidRPr="00E6110F" w:rsidRDefault="00E76C93" w:rsidP="002A6599">
            <w:pPr>
              <w:pStyle w:val="Body"/>
              <w:jc w:val="center"/>
            </w:pPr>
            <w:r w:rsidRPr="00E6110F">
              <w:t>Class</w:t>
            </w:r>
          </w:p>
        </w:tc>
        <w:tc>
          <w:tcPr>
            <w:tcW w:w="1443" w:type="dxa"/>
            <w:shd w:val="clear" w:color="auto" w:fill="F2F2F2" w:themeFill="background1" w:themeFillShade="F2"/>
          </w:tcPr>
          <w:p w14:paraId="12D1873A" w14:textId="77777777" w:rsidR="00E76C93" w:rsidRPr="00E6110F" w:rsidRDefault="00E76C93" w:rsidP="002A6599">
            <w:pPr>
              <w:pStyle w:val="Body"/>
              <w:jc w:val="center"/>
            </w:pPr>
            <w:r w:rsidRPr="00E6110F">
              <w:t>Total number of elements</w:t>
            </w:r>
          </w:p>
        </w:tc>
        <w:tc>
          <w:tcPr>
            <w:tcW w:w="1417" w:type="dxa"/>
            <w:shd w:val="clear" w:color="auto" w:fill="F2F2F2" w:themeFill="background1" w:themeFillShade="F2"/>
          </w:tcPr>
          <w:p w14:paraId="0B3D8009" w14:textId="77777777" w:rsidR="00E76C93" w:rsidRPr="00E6110F" w:rsidRDefault="00E76C93" w:rsidP="002A6599">
            <w:pPr>
              <w:pStyle w:val="Body"/>
              <w:jc w:val="center"/>
            </w:pPr>
            <w:r w:rsidRPr="00E6110F">
              <w:t>Number of elements within 30 km buffer between 270° and 90° from CSG wells</w:t>
            </w:r>
          </w:p>
        </w:tc>
      </w:tr>
      <w:tr w:rsidR="00E76C93" w:rsidRPr="00E6110F" w14:paraId="7905CEE5" w14:textId="77777777" w:rsidTr="002A6599">
        <w:tc>
          <w:tcPr>
            <w:tcW w:w="2253" w:type="dxa"/>
            <w:vMerge w:val="restart"/>
          </w:tcPr>
          <w:p w14:paraId="3E627DBE" w14:textId="77777777" w:rsidR="00E76C93" w:rsidRPr="00E6110F" w:rsidRDefault="00E76C93" w:rsidP="002A6599">
            <w:pPr>
              <w:pStyle w:val="Body"/>
              <w:jc w:val="center"/>
            </w:pPr>
            <w:r w:rsidRPr="00E6110F">
              <w:t>Groundwater management zone or area (surface area)</w:t>
            </w:r>
          </w:p>
        </w:tc>
        <w:tc>
          <w:tcPr>
            <w:tcW w:w="2253" w:type="dxa"/>
          </w:tcPr>
          <w:p w14:paraId="637EB5F1" w14:textId="77777777" w:rsidR="00E76C93" w:rsidRPr="00E6110F" w:rsidRDefault="00E76C93" w:rsidP="002A6599">
            <w:pPr>
              <w:pStyle w:val="Body"/>
              <w:jc w:val="center"/>
            </w:pPr>
            <w:r w:rsidRPr="00E6110F">
              <w:t>A groundwater feature used for water supply</w:t>
            </w:r>
          </w:p>
        </w:tc>
        <w:tc>
          <w:tcPr>
            <w:tcW w:w="1443" w:type="dxa"/>
          </w:tcPr>
          <w:p w14:paraId="0F16C92D" w14:textId="77777777" w:rsidR="00E76C93" w:rsidRPr="00E6110F" w:rsidRDefault="00E76C93" w:rsidP="00991F60">
            <w:pPr>
              <w:pStyle w:val="Body"/>
              <w:jc w:val="center"/>
            </w:pPr>
            <w:r w:rsidRPr="00E6110F">
              <w:t>0</w:t>
            </w:r>
          </w:p>
        </w:tc>
        <w:tc>
          <w:tcPr>
            <w:tcW w:w="1417" w:type="dxa"/>
          </w:tcPr>
          <w:p w14:paraId="78308907" w14:textId="77777777" w:rsidR="00E76C93" w:rsidRPr="00E6110F" w:rsidRDefault="00E76C93" w:rsidP="00991F60">
            <w:pPr>
              <w:pStyle w:val="Body"/>
              <w:jc w:val="center"/>
            </w:pPr>
            <w:r w:rsidRPr="00E6110F">
              <w:t>0</w:t>
            </w:r>
          </w:p>
        </w:tc>
      </w:tr>
      <w:tr w:rsidR="00E76C93" w:rsidRPr="00E6110F" w14:paraId="759F1557" w14:textId="77777777" w:rsidTr="002A6599">
        <w:tc>
          <w:tcPr>
            <w:tcW w:w="2253" w:type="dxa"/>
            <w:vMerge/>
          </w:tcPr>
          <w:p w14:paraId="6EDF230C" w14:textId="77777777" w:rsidR="00E76C93" w:rsidRPr="00E6110F" w:rsidRDefault="00E76C93" w:rsidP="002A6599">
            <w:pPr>
              <w:pStyle w:val="Body"/>
              <w:jc w:val="center"/>
            </w:pPr>
          </w:p>
        </w:tc>
        <w:tc>
          <w:tcPr>
            <w:tcW w:w="2253" w:type="dxa"/>
          </w:tcPr>
          <w:p w14:paraId="015066F1" w14:textId="77777777" w:rsidR="00E76C93" w:rsidRPr="00E6110F" w:rsidRDefault="00E76C93" w:rsidP="002A6599">
            <w:pPr>
              <w:pStyle w:val="Body"/>
              <w:jc w:val="center"/>
            </w:pPr>
            <w:r w:rsidRPr="00E6110F">
              <w:t>Water supply and monitoring infrastructure</w:t>
            </w:r>
          </w:p>
        </w:tc>
        <w:tc>
          <w:tcPr>
            <w:tcW w:w="1443" w:type="dxa"/>
          </w:tcPr>
          <w:p w14:paraId="0489EE77" w14:textId="77777777" w:rsidR="00E76C93" w:rsidRPr="00E6110F" w:rsidRDefault="00E76C93" w:rsidP="00991F60">
            <w:pPr>
              <w:pStyle w:val="Body"/>
              <w:jc w:val="center"/>
            </w:pPr>
            <w:r w:rsidRPr="00E6110F">
              <w:t>0</w:t>
            </w:r>
          </w:p>
        </w:tc>
        <w:tc>
          <w:tcPr>
            <w:tcW w:w="1417" w:type="dxa"/>
          </w:tcPr>
          <w:p w14:paraId="3A8E0693" w14:textId="77777777" w:rsidR="00E76C93" w:rsidRPr="00E6110F" w:rsidRDefault="00E76C93" w:rsidP="00991F60">
            <w:pPr>
              <w:pStyle w:val="Body"/>
              <w:jc w:val="center"/>
            </w:pPr>
            <w:r w:rsidRPr="00E6110F">
              <w:t>0</w:t>
            </w:r>
          </w:p>
        </w:tc>
      </w:tr>
      <w:tr w:rsidR="00E76C93" w:rsidRPr="00E6110F" w14:paraId="43532F4A" w14:textId="77777777" w:rsidTr="002A6599">
        <w:tc>
          <w:tcPr>
            <w:tcW w:w="2253" w:type="dxa"/>
            <w:vMerge/>
          </w:tcPr>
          <w:p w14:paraId="7302A6AF" w14:textId="77777777" w:rsidR="00E76C93" w:rsidRPr="00E6110F" w:rsidRDefault="00E76C93" w:rsidP="002A6599">
            <w:pPr>
              <w:pStyle w:val="Body"/>
              <w:jc w:val="center"/>
            </w:pPr>
          </w:p>
        </w:tc>
        <w:tc>
          <w:tcPr>
            <w:tcW w:w="2253" w:type="dxa"/>
          </w:tcPr>
          <w:p w14:paraId="47C17FFC" w14:textId="77777777" w:rsidR="00E76C93" w:rsidRPr="00E6110F" w:rsidRDefault="00E76C93" w:rsidP="002A6599">
            <w:pPr>
              <w:pStyle w:val="Body"/>
              <w:jc w:val="center"/>
            </w:pPr>
            <w:r w:rsidRPr="00E6110F">
              <w:t>Water access right</w:t>
            </w:r>
          </w:p>
        </w:tc>
        <w:tc>
          <w:tcPr>
            <w:tcW w:w="1443" w:type="dxa"/>
          </w:tcPr>
          <w:p w14:paraId="6557BC7D" w14:textId="77777777" w:rsidR="00E76C93" w:rsidRPr="00E6110F" w:rsidRDefault="00E76C93" w:rsidP="00991F60">
            <w:pPr>
              <w:pStyle w:val="Body"/>
              <w:jc w:val="center"/>
            </w:pPr>
            <w:r w:rsidRPr="00E6110F">
              <w:t>1,937</w:t>
            </w:r>
          </w:p>
        </w:tc>
        <w:tc>
          <w:tcPr>
            <w:tcW w:w="1417" w:type="dxa"/>
          </w:tcPr>
          <w:p w14:paraId="71E6EE5C" w14:textId="77777777" w:rsidR="00E76C93" w:rsidRPr="00E6110F" w:rsidRDefault="00E76C93" w:rsidP="00991F60">
            <w:pPr>
              <w:pStyle w:val="Body"/>
              <w:jc w:val="center"/>
            </w:pPr>
            <w:r w:rsidRPr="00E6110F">
              <w:t>288</w:t>
            </w:r>
          </w:p>
        </w:tc>
      </w:tr>
      <w:tr w:rsidR="00E76C93" w:rsidRPr="00E6110F" w14:paraId="127339E6" w14:textId="77777777" w:rsidTr="002A6599">
        <w:tc>
          <w:tcPr>
            <w:tcW w:w="2253" w:type="dxa"/>
            <w:vMerge/>
          </w:tcPr>
          <w:p w14:paraId="694A0B10" w14:textId="77777777" w:rsidR="00E76C93" w:rsidRPr="00E6110F" w:rsidRDefault="00E76C93" w:rsidP="002A6599">
            <w:pPr>
              <w:pStyle w:val="Body"/>
              <w:jc w:val="center"/>
            </w:pPr>
          </w:p>
        </w:tc>
        <w:tc>
          <w:tcPr>
            <w:tcW w:w="2253" w:type="dxa"/>
          </w:tcPr>
          <w:p w14:paraId="58975534" w14:textId="77777777" w:rsidR="00E76C93" w:rsidRPr="00E6110F" w:rsidRDefault="00E76C93" w:rsidP="002A6599">
            <w:pPr>
              <w:pStyle w:val="Body"/>
              <w:jc w:val="center"/>
            </w:pPr>
            <w:r w:rsidRPr="00E6110F">
              <w:t>Basic water right (Stock and domestic)</w:t>
            </w:r>
          </w:p>
        </w:tc>
        <w:tc>
          <w:tcPr>
            <w:tcW w:w="1443" w:type="dxa"/>
          </w:tcPr>
          <w:p w14:paraId="40AC976A" w14:textId="77777777" w:rsidR="00E76C93" w:rsidRPr="00E6110F" w:rsidRDefault="00E76C93" w:rsidP="00991F60">
            <w:pPr>
              <w:pStyle w:val="Body"/>
              <w:jc w:val="center"/>
            </w:pPr>
            <w:r w:rsidRPr="00E6110F">
              <w:t>7,044</w:t>
            </w:r>
          </w:p>
        </w:tc>
        <w:tc>
          <w:tcPr>
            <w:tcW w:w="1417" w:type="dxa"/>
          </w:tcPr>
          <w:p w14:paraId="38398A16" w14:textId="7055D9BA" w:rsidR="00E76C93" w:rsidRPr="00E6110F" w:rsidRDefault="00E76C93" w:rsidP="00991F60">
            <w:pPr>
              <w:pStyle w:val="Body"/>
              <w:jc w:val="center"/>
            </w:pPr>
            <w:r w:rsidRPr="00E6110F">
              <w:t>1</w:t>
            </w:r>
            <w:r w:rsidR="00991F60">
              <w:t>,</w:t>
            </w:r>
            <w:r w:rsidRPr="00E6110F">
              <w:t>196</w:t>
            </w:r>
          </w:p>
        </w:tc>
      </w:tr>
      <w:tr w:rsidR="00E76C93" w:rsidRPr="00E6110F" w14:paraId="684F4499" w14:textId="77777777" w:rsidTr="002A6599">
        <w:tc>
          <w:tcPr>
            <w:tcW w:w="2253" w:type="dxa"/>
            <w:vMerge/>
          </w:tcPr>
          <w:p w14:paraId="6980E01A" w14:textId="77777777" w:rsidR="00E76C93" w:rsidRPr="00E6110F" w:rsidRDefault="00E76C93" w:rsidP="002A6599">
            <w:pPr>
              <w:pStyle w:val="Body"/>
              <w:jc w:val="center"/>
            </w:pPr>
          </w:p>
        </w:tc>
        <w:tc>
          <w:tcPr>
            <w:tcW w:w="2253" w:type="dxa"/>
          </w:tcPr>
          <w:p w14:paraId="10224474" w14:textId="77777777" w:rsidR="00E76C93" w:rsidRPr="00E6110F" w:rsidRDefault="00E76C93" w:rsidP="002A6599">
            <w:pPr>
              <w:pStyle w:val="Body"/>
              <w:jc w:val="center"/>
            </w:pPr>
            <w:r w:rsidRPr="00E6110F">
              <w:t>Groundwater total</w:t>
            </w:r>
          </w:p>
        </w:tc>
        <w:tc>
          <w:tcPr>
            <w:tcW w:w="1443" w:type="dxa"/>
          </w:tcPr>
          <w:p w14:paraId="0DA8C50D" w14:textId="77777777" w:rsidR="00E76C93" w:rsidRPr="00E6110F" w:rsidRDefault="00E76C93" w:rsidP="00991F60">
            <w:pPr>
              <w:pStyle w:val="Body"/>
              <w:jc w:val="center"/>
              <w:rPr>
                <w:b/>
              </w:rPr>
            </w:pPr>
            <w:r w:rsidRPr="00E6110F">
              <w:rPr>
                <w:b/>
              </w:rPr>
              <w:t>8,981</w:t>
            </w:r>
          </w:p>
        </w:tc>
        <w:tc>
          <w:tcPr>
            <w:tcW w:w="1417" w:type="dxa"/>
          </w:tcPr>
          <w:p w14:paraId="1E9C2BF6" w14:textId="288E9D3F" w:rsidR="00E76C93" w:rsidRPr="00E6110F" w:rsidRDefault="00E76C93" w:rsidP="00991F60">
            <w:pPr>
              <w:pStyle w:val="Body"/>
              <w:jc w:val="center"/>
              <w:rPr>
                <w:b/>
              </w:rPr>
            </w:pPr>
            <w:r w:rsidRPr="00E6110F">
              <w:rPr>
                <w:b/>
              </w:rPr>
              <w:t>1</w:t>
            </w:r>
            <w:r w:rsidR="00991F60">
              <w:rPr>
                <w:b/>
              </w:rPr>
              <w:t>,</w:t>
            </w:r>
            <w:r w:rsidRPr="00E6110F">
              <w:rPr>
                <w:b/>
              </w:rPr>
              <w:t>484</w:t>
            </w:r>
          </w:p>
        </w:tc>
      </w:tr>
      <w:tr w:rsidR="00E76C93" w:rsidRPr="00E6110F" w14:paraId="494724EE" w14:textId="77777777" w:rsidTr="002A6599">
        <w:tc>
          <w:tcPr>
            <w:tcW w:w="2253" w:type="dxa"/>
            <w:vMerge w:val="restart"/>
          </w:tcPr>
          <w:p w14:paraId="44077F51" w14:textId="77777777" w:rsidR="00E76C93" w:rsidRPr="00E6110F" w:rsidRDefault="00E76C93" w:rsidP="002A6599">
            <w:pPr>
              <w:pStyle w:val="Body"/>
              <w:jc w:val="center"/>
            </w:pPr>
            <w:r w:rsidRPr="00E6110F">
              <w:t>Surface water management zone or area (surface area)</w:t>
            </w:r>
          </w:p>
        </w:tc>
        <w:tc>
          <w:tcPr>
            <w:tcW w:w="2253" w:type="dxa"/>
          </w:tcPr>
          <w:p w14:paraId="6EAC292E" w14:textId="77777777" w:rsidR="00E76C93" w:rsidRPr="00E6110F" w:rsidRDefault="00E76C93" w:rsidP="002A6599">
            <w:pPr>
              <w:pStyle w:val="Body"/>
              <w:jc w:val="center"/>
            </w:pPr>
            <w:r w:rsidRPr="00E6110F">
              <w:t>A surface water feature used for water supply</w:t>
            </w:r>
          </w:p>
        </w:tc>
        <w:tc>
          <w:tcPr>
            <w:tcW w:w="1443" w:type="dxa"/>
          </w:tcPr>
          <w:p w14:paraId="5DB4B2FC" w14:textId="77777777" w:rsidR="00E76C93" w:rsidRPr="00E6110F" w:rsidRDefault="00E76C93" w:rsidP="00991F60">
            <w:pPr>
              <w:pStyle w:val="Body"/>
              <w:jc w:val="center"/>
            </w:pPr>
            <w:r w:rsidRPr="00E6110F">
              <w:t>0</w:t>
            </w:r>
          </w:p>
        </w:tc>
        <w:tc>
          <w:tcPr>
            <w:tcW w:w="1417" w:type="dxa"/>
          </w:tcPr>
          <w:p w14:paraId="78434F53" w14:textId="77777777" w:rsidR="00E76C93" w:rsidRPr="00E6110F" w:rsidRDefault="00E76C93" w:rsidP="00991F60">
            <w:pPr>
              <w:pStyle w:val="Body"/>
              <w:jc w:val="center"/>
            </w:pPr>
            <w:r w:rsidRPr="00E6110F">
              <w:t>0</w:t>
            </w:r>
          </w:p>
        </w:tc>
      </w:tr>
      <w:tr w:rsidR="00E76C93" w:rsidRPr="00E6110F" w14:paraId="056C014A" w14:textId="77777777" w:rsidTr="002A6599">
        <w:tc>
          <w:tcPr>
            <w:tcW w:w="2253" w:type="dxa"/>
            <w:vMerge/>
          </w:tcPr>
          <w:p w14:paraId="49608904" w14:textId="77777777" w:rsidR="00E76C93" w:rsidRPr="00E6110F" w:rsidRDefault="00E76C93" w:rsidP="002A6599">
            <w:pPr>
              <w:pStyle w:val="Body"/>
              <w:jc w:val="center"/>
            </w:pPr>
          </w:p>
        </w:tc>
        <w:tc>
          <w:tcPr>
            <w:tcW w:w="2253" w:type="dxa"/>
          </w:tcPr>
          <w:p w14:paraId="17752E08" w14:textId="77777777" w:rsidR="00E76C93" w:rsidRPr="00E6110F" w:rsidRDefault="00E76C93" w:rsidP="002A6599">
            <w:pPr>
              <w:pStyle w:val="Body"/>
              <w:jc w:val="center"/>
            </w:pPr>
            <w:r w:rsidRPr="00E6110F">
              <w:t>Water supply and monitoring infrastructure</w:t>
            </w:r>
          </w:p>
        </w:tc>
        <w:tc>
          <w:tcPr>
            <w:tcW w:w="1443" w:type="dxa"/>
          </w:tcPr>
          <w:p w14:paraId="057398A4" w14:textId="77777777" w:rsidR="00E76C93" w:rsidRPr="00E6110F" w:rsidRDefault="00E76C93" w:rsidP="00991F60">
            <w:pPr>
              <w:pStyle w:val="Body"/>
              <w:jc w:val="center"/>
            </w:pPr>
            <w:r w:rsidRPr="00E6110F">
              <w:t>0</w:t>
            </w:r>
          </w:p>
        </w:tc>
        <w:tc>
          <w:tcPr>
            <w:tcW w:w="1417" w:type="dxa"/>
          </w:tcPr>
          <w:p w14:paraId="3EB373BD" w14:textId="77777777" w:rsidR="00E76C93" w:rsidRPr="00E6110F" w:rsidRDefault="00E76C93" w:rsidP="00991F60">
            <w:pPr>
              <w:pStyle w:val="Body"/>
              <w:jc w:val="center"/>
            </w:pPr>
            <w:r w:rsidRPr="00E6110F">
              <w:t>0</w:t>
            </w:r>
          </w:p>
        </w:tc>
      </w:tr>
      <w:tr w:rsidR="00E76C93" w:rsidRPr="00E6110F" w14:paraId="339E794A" w14:textId="77777777" w:rsidTr="002A6599">
        <w:tc>
          <w:tcPr>
            <w:tcW w:w="2253" w:type="dxa"/>
            <w:vMerge/>
          </w:tcPr>
          <w:p w14:paraId="1B7A2F61" w14:textId="77777777" w:rsidR="00E76C93" w:rsidRPr="00E6110F" w:rsidRDefault="00E76C93" w:rsidP="002A6599">
            <w:pPr>
              <w:pStyle w:val="Body"/>
              <w:jc w:val="center"/>
            </w:pPr>
          </w:p>
        </w:tc>
        <w:tc>
          <w:tcPr>
            <w:tcW w:w="2253" w:type="dxa"/>
          </w:tcPr>
          <w:p w14:paraId="39785842" w14:textId="77777777" w:rsidR="00E76C93" w:rsidRPr="00E6110F" w:rsidRDefault="00E76C93" w:rsidP="002A6599">
            <w:pPr>
              <w:pStyle w:val="Body"/>
              <w:jc w:val="center"/>
            </w:pPr>
            <w:r w:rsidRPr="00E6110F">
              <w:t>Water access right</w:t>
            </w:r>
          </w:p>
        </w:tc>
        <w:tc>
          <w:tcPr>
            <w:tcW w:w="1443" w:type="dxa"/>
          </w:tcPr>
          <w:p w14:paraId="58DEA268" w14:textId="77777777" w:rsidR="00E76C93" w:rsidRPr="00E6110F" w:rsidRDefault="00E76C93" w:rsidP="00991F60">
            <w:pPr>
              <w:pStyle w:val="Body"/>
              <w:jc w:val="center"/>
            </w:pPr>
            <w:r w:rsidRPr="00E6110F">
              <w:t>1,459</w:t>
            </w:r>
          </w:p>
        </w:tc>
        <w:tc>
          <w:tcPr>
            <w:tcW w:w="1417" w:type="dxa"/>
          </w:tcPr>
          <w:p w14:paraId="70096617" w14:textId="77777777" w:rsidR="00E76C93" w:rsidRPr="00E6110F" w:rsidRDefault="00E76C93" w:rsidP="00991F60">
            <w:pPr>
              <w:pStyle w:val="Body"/>
              <w:jc w:val="center"/>
            </w:pPr>
            <w:r w:rsidRPr="00E6110F">
              <w:t>134</w:t>
            </w:r>
          </w:p>
        </w:tc>
      </w:tr>
      <w:tr w:rsidR="00E76C93" w:rsidRPr="00E6110F" w14:paraId="5C365234" w14:textId="77777777" w:rsidTr="002A6599">
        <w:tc>
          <w:tcPr>
            <w:tcW w:w="2253" w:type="dxa"/>
            <w:vMerge/>
          </w:tcPr>
          <w:p w14:paraId="619FEC50" w14:textId="77777777" w:rsidR="00E76C93" w:rsidRPr="00E6110F" w:rsidRDefault="00E76C93" w:rsidP="002A6599">
            <w:pPr>
              <w:pStyle w:val="Body"/>
              <w:jc w:val="center"/>
            </w:pPr>
          </w:p>
        </w:tc>
        <w:tc>
          <w:tcPr>
            <w:tcW w:w="2253" w:type="dxa"/>
          </w:tcPr>
          <w:p w14:paraId="4F39B07F" w14:textId="77777777" w:rsidR="00E76C93" w:rsidRPr="00E6110F" w:rsidRDefault="00E76C93" w:rsidP="002A6599">
            <w:pPr>
              <w:pStyle w:val="Body"/>
              <w:jc w:val="center"/>
            </w:pPr>
            <w:r w:rsidRPr="00E6110F">
              <w:t>Basic water right (stock and domestic)</w:t>
            </w:r>
          </w:p>
        </w:tc>
        <w:tc>
          <w:tcPr>
            <w:tcW w:w="1443" w:type="dxa"/>
          </w:tcPr>
          <w:p w14:paraId="7334E681" w14:textId="77777777" w:rsidR="00E76C93" w:rsidRPr="00E6110F" w:rsidRDefault="00E76C93" w:rsidP="00991F60">
            <w:pPr>
              <w:pStyle w:val="Body"/>
              <w:jc w:val="center"/>
            </w:pPr>
            <w:r w:rsidRPr="00E6110F">
              <w:t>57</w:t>
            </w:r>
          </w:p>
        </w:tc>
        <w:tc>
          <w:tcPr>
            <w:tcW w:w="1417" w:type="dxa"/>
          </w:tcPr>
          <w:p w14:paraId="4F7BD20E" w14:textId="77777777" w:rsidR="00E76C93" w:rsidRPr="00E6110F" w:rsidRDefault="00E76C93" w:rsidP="00991F60">
            <w:pPr>
              <w:pStyle w:val="Body"/>
              <w:jc w:val="center"/>
            </w:pPr>
            <w:r w:rsidRPr="00E6110F">
              <w:t>17</w:t>
            </w:r>
          </w:p>
        </w:tc>
      </w:tr>
      <w:tr w:rsidR="00E76C93" w:rsidRPr="00E6110F" w14:paraId="77D8A1EA" w14:textId="77777777" w:rsidTr="002A6599">
        <w:tc>
          <w:tcPr>
            <w:tcW w:w="2253" w:type="dxa"/>
            <w:vMerge/>
          </w:tcPr>
          <w:p w14:paraId="2AFC7D0B" w14:textId="77777777" w:rsidR="00E76C93" w:rsidRPr="00E6110F" w:rsidRDefault="00E76C93" w:rsidP="002A6599">
            <w:pPr>
              <w:pStyle w:val="Body"/>
              <w:jc w:val="center"/>
            </w:pPr>
          </w:p>
        </w:tc>
        <w:tc>
          <w:tcPr>
            <w:tcW w:w="2253" w:type="dxa"/>
          </w:tcPr>
          <w:p w14:paraId="3355D4E8" w14:textId="77777777" w:rsidR="00E76C93" w:rsidRPr="00E6110F" w:rsidRDefault="00E76C93" w:rsidP="002A6599">
            <w:pPr>
              <w:pStyle w:val="Body"/>
              <w:jc w:val="center"/>
            </w:pPr>
            <w:r w:rsidRPr="00E6110F">
              <w:t>Surface water total</w:t>
            </w:r>
          </w:p>
        </w:tc>
        <w:tc>
          <w:tcPr>
            <w:tcW w:w="1443" w:type="dxa"/>
          </w:tcPr>
          <w:p w14:paraId="7ED58DD0" w14:textId="77777777" w:rsidR="00E76C93" w:rsidRPr="00E6110F" w:rsidRDefault="00E76C93" w:rsidP="00991F60">
            <w:pPr>
              <w:pStyle w:val="Body"/>
              <w:jc w:val="center"/>
              <w:rPr>
                <w:b/>
              </w:rPr>
            </w:pPr>
            <w:r w:rsidRPr="00E6110F">
              <w:rPr>
                <w:b/>
              </w:rPr>
              <w:t>1,516</w:t>
            </w:r>
          </w:p>
        </w:tc>
        <w:tc>
          <w:tcPr>
            <w:tcW w:w="1417" w:type="dxa"/>
          </w:tcPr>
          <w:p w14:paraId="61AE53FB" w14:textId="77777777" w:rsidR="00E76C93" w:rsidRPr="00E6110F" w:rsidRDefault="00E76C93" w:rsidP="00991F60">
            <w:pPr>
              <w:pStyle w:val="Body"/>
              <w:jc w:val="center"/>
              <w:rPr>
                <w:b/>
              </w:rPr>
            </w:pPr>
            <w:r w:rsidRPr="00E6110F">
              <w:rPr>
                <w:b/>
              </w:rPr>
              <w:t>151</w:t>
            </w:r>
          </w:p>
        </w:tc>
      </w:tr>
      <w:tr w:rsidR="00E76C93" w:rsidRPr="00E6110F" w14:paraId="0E64E01A" w14:textId="77777777" w:rsidTr="002A6599">
        <w:tc>
          <w:tcPr>
            <w:tcW w:w="2253" w:type="dxa"/>
          </w:tcPr>
          <w:p w14:paraId="4CC89720" w14:textId="77777777" w:rsidR="00E76C93" w:rsidRPr="00E6110F" w:rsidRDefault="00E76C93" w:rsidP="002A6599">
            <w:pPr>
              <w:pStyle w:val="Body"/>
              <w:jc w:val="center"/>
            </w:pPr>
            <w:r w:rsidRPr="00E6110F">
              <w:t>Total</w:t>
            </w:r>
          </w:p>
        </w:tc>
        <w:tc>
          <w:tcPr>
            <w:tcW w:w="2253" w:type="dxa"/>
          </w:tcPr>
          <w:p w14:paraId="465A900D" w14:textId="77777777" w:rsidR="00E76C93" w:rsidRPr="00E6110F" w:rsidRDefault="00E76C93" w:rsidP="002A6599">
            <w:pPr>
              <w:pStyle w:val="Body"/>
              <w:jc w:val="center"/>
            </w:pPr>
          </w:p>
        </w:tc>
        <w:tc>
          <w:tcPr>
            <w:tcW w:w="1443" w:type="dxa"/>
          </w:tcPr>
          <w:p w14:paraId="1B550C01" w14:textId="77777777" w:rsidR="00E76C93" w:rsidRPr="00E6110F" w:rsidRDefault="00E76C93" w:rsidP="00991F60">
            <w:pPr>
              <w:pStyle w:val="Body"/>
              <w:jc w:val="center"/>
              <w:rPr>
                <w:b/>
              </w:rPr>
            </w:pPr>
            <w:r w:rsidRPr="00E6110F">
              <w:rPr>
                <w:b/>
              </w:rPr>
              <w:t>10,497</w:t>
            </w:r>
          </w:p>
        </w:tc>
        <w:tc>
          <w:tcPr>
            <w:tcW w:w="1417" w:type="dxa"/>
          </w:tcPr>
          <w:p w14:paraId="28BA4E91" w14:textId="4E92C9D5" w:rsidR="00E76C93" w:rsidRPr="00E6110F" w:rsidRDefault="00E76C93" w:rsidP="00991F60">
            <w:pPr>
              <w:pStyle w:val="Body"/>
              <w:jc w:val="center"/>
              <w:rPr>
                <w:b/>
              </w:rPr>
            </w:pPr>
            <w:r w:rsidRPr="00E6110F">
              <w:rPr>
                <w:b/>
              </w:rPr>
              <w:t>1</w:t>
            </w:r>
            <w:r w:rsidR="00991F60">
              <w:rPr>
                <w:b/>
              </w:rPr>
              <w:t>,</w:t>
            </w:r>
            <w:r w:rsidRPr="00E6110F">
              <w:rPr>
                <w:b/>
              </w:rPr>
              <w:t>635</w:t>
            </w:r>
          </w:p>
        </w:tc>
      </w:tr>
    </w:tbl>
    <w:p w14:paraId="4EF60D9A" w14:textId="77777777" w:rsidR="00E76C93" w:rsidRPr="00E6110F" w:rsidRDefault="00E76C93" w:rsidP="00E76C93">
      <w:pPr>
        <w:rPr>
          <w:lang w:val="en-GB"/>
        </w:rPr>
      </w:pPr>
    </w:p>
    <w:p w14:paraId="5074A3B6" w14:textId="77777777" w:rsidR="00E76C93" w:rsidRPr="00E6110F" w:rsidRDefault="00E76C93" w:rsidP="00E76C93">
      <w:pPr>
        <w:pStyle w:val="Body"/>
        <w:rPr>
          <w:color w:val="C00000"/>
        </w:rPr>
      </w:pPr>
    </w:p>
    <w:p w14:paraId="25B963FF" w14:textId="50802E24" w:rsidR="00E76C93" w:rsidRPr="00E6110F" w:rsidRDefault="006D6C59" w:rsidP="00E76C93">
      <w:pPr>
        <w:rPr>
          <w:i/>
        </w:rPr>
      </w:pPr>
      <w:r>
        <w:rPr>
          <w:i/>
          <w:noProof/>
          <w:lang w:val="en-AU" w:eastAsia="en-AU"/>
        </w:rPr>
        <w:drawing>
          <wp:inline distT="0" distB="0" distL="0" distR="0" wp14:anchorId="6076F91D" wp14:editId="193263B5">
            <wp:extent cx="5727700" cy="8094345"/>
            <wp:effectExtent l="0" t="0" r="6350" b="1905"/>
            <wp:docPr id="572" name="Picture 572" descr="Map of economic Assets subgroup “Groundwater Management Zone or Area” within the Gunnedah basin subregion." title="Fig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GUN_EconomicGroundwater_20170315.png"/>
                    <pic:cNvPicPr/>
                  </pic:nvPicPr>
                  <pic:blipFill>
                    <a:blip r:embed="rId52"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543DF02C" w14:textId="7E2876F1" w:rsidR="00E76C93" w:rsidRPr="00E6110F" w:rsidRDefault="00E76C93" w:rsidP="00E76C93">
      <w:pPr>
        <w:pStyle w:val="Imagecaption"/>
      </w:pPr>
      <w:bookmarkStart w:id="154" w:name="_Ref470274449"/>
      <w:bookmarkStart w:id="155" w:name="_Toc477347552"/>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20</w:t>
      </w:r>
      <w:r w:rsidR="00254026">
        <w:fldChar w:fldCharType="end"/>
      </w:r>
      <w:bookmarkEnd w:id="154"/>
      <w:r w:rsidRPr="00E6110F">
        <w:t xml:space="preserve"> Economic Assets subgroup “Groundwater Management Zone or Area” within the Gunnedah basin subregion. 30 km buffer area based on groundwater impact assessments from projected CSG extraction. Assets include groundwater bores for purposes including water conservation, domestic, stock, teaching and ‘unknown’; and Groundwater Management Plan areas for the Upper and Lower Namoi sources, NSW GAB, and the NSW MDB Fractured and NSW MDB Porous Rock sources.</w:t>
      </w:r>
      <w:bookmarkEnd w:id="155"/>
    </w:p>
    <w:p w14:paraId="6733AD36" w14:textId="1ED7FCA8" w:rsidR="00E76C93" w:rsidRPr="00E6110F" w:rsidRDefault="00CA488C" w:rsidP="00E76C93">
      <w:pPr>
        <w:pStyle w:val="Body"/>
        <w:keepNext/>
      </w:pPr>
      <w:r>
        <w:rPr>
          <w:noProof/>
          <w:lang w:val="en-AU" w:eastAsia="en-AU"/>
        </w:rPr>
        <w:drawing>
          <wp:inline distT="0" distB="0" distL="0" distR="0" wp14:anchorId="5F048442" wp14:editId="0A5AFA2E">
            <wp:extent cx="5727700" cy="8094345"/>
            <wp:effectExtent l="0" t="0" r="6350" b="1905"/>
            <wp:docPr id="571" name="Picture 571" descr="Map of economic assets subgroup “Surface Water Management Zone or Area” within the Gunnedah basin subregion." title="Fig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GUN_EconomicSurfaceWater_20170315.png"/>
                    <pic:cNvPicPr/>
                  </pic:nvPicPr>
                  <pic:blipFill>
                    <a:blip r:embed="rId53"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4488D9AB" w14:textId="3AF34533" w:rsidR="00E76C93" w:rsidRPr="00E6110F" w:rsidRDefault="00E76C93" w:rsidP="00E76C93">
      <w:pPr>
        <w:pStyle w:val="Imagecaption"/>
      </w:pPr>
      <w:bookmarkStart w:id="156" w:name="_Ref470274450"/>
      <w:bookmarkStart w:id="157" w:name="_Toc477347553"/>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21</w:t>
      </w:r>
      <w:r w:rsidR="00254026">
        <w:fldChar w:fldCharType="end"/>
      </w:r>
      <w:bookmarkEnd w:id="156"/>
      <w:r w:rsidRPr="00E6110F">
        <w:t xml:space="preserve"> Economic Assets subgroup “Surface Water Management Zone or Area” within the Gunnedah basin subregion. 30 km buffer area based on groundwater impact assessments from projected CSG extraction. Assets include Water Sharing Plan areas (management zones) for Basic Water Rights (stock and domestic) and Water Access Right locations for the Lower Namoi River and the Bohena, Brigalow, Bundock, Eulah, </w:t>
      </w:r>
      <w:proofErr w:type="gramStart"/>
      <w:r w:rsidRPr="00E6110F">
        <w:t>Spring</w:t>
      </w:r>
      <w:proofErr w:type="gramEnd"/>
      <w:r w:rsidRPr="00E6110F">
        <w:t>, Bobbiwaa, Maules, Pian and Millie Creeks.</w:t>
      </w:r>
      <w:bookmarkEnd w:id="157"/>
      <w:r w:rsidRPr="00E6110F">
        <w:t xml:space="preserve"> </w:t>
      </w:r>
    </w:p>
    <w:p w14:paraId="511341EC" w14:textId="77777777" w:rsidR="00E76C93" w:rsidRPr="00E6110F" w:rsidRDefault="00E76C93" w:rsidP="00E76C93">
      <w:pPr>
        <w:pStyle w:val="Heading3"/>
      </w:pPr>
      <w:bookmarkStart w:id="158" w:name="_Toc494444517"/>
      <w:r w:rsidRPr="00E6110F">
        <w:t>Sociocultural assets</w:t>
      </w:r>
      <w:bookmarkEnd w:id="158"/>
    </w:p>
    <w:p w14:paraId="6AD4DB8A" w14:textId="7F66F2B2" w:rsidR="00E76C93" w:rsidRPr="00E6110F" w:rsidRDefault="00E76C93" w:rsidP="00E76C93">
      <w:pPr>
        <w:pStyle w:val="Body"/>
      </w:pPr>
      <w:r w:rsidRPr="00E6110F">
        <w:t xml:space="preserve">A total of thirty-one heritage and ten Indigenous assets were included in the asset database. 22 out of the 31 heritage assets are considered water dependent. This includes 14 assets that are located within the maximum flood extent and eight assets that are assumed to contain water-dependent features (O’Grady et al. 2015). Eight out of ten of the Indigenous assets are considered to be water dependent based on the presence of floodplain and wetland areas within their spatial extent. Sociocultural assets within the 30 km </w:t>
      </w:r>
      <w:r w:rsidR="00067876">
        <w:t>study area</w:t>
      </w:r>
      <w:r w:rsidRPr="00E6110F">
        <w:t xml:space="preserve"> buffer area are shown in </w:t>
      </w:r>
      <w:r w:rsidRPr="00E6110F">
        <w:fldChar w:fldCharType="begin" w:fldLock="1"/>
      </w:r>
      <w:r w:rsidRPr="00E6110F">
        <w:instrText xml:space="preserve"> REF _Ref446858354 \h </w:instrText>
      </w:r>
      <w:r>
        <w:instrText xml:space="preserve"> \* MERGEFORMAT </w:instrText>
      </w:r>
      <w:r w:rsidRPr="00E6110F">
        <w:fldChar w:fldCharType="separate"/>
      </w:r>
      <w:r w:rsidR="00335E79" w:rsidRPr="00E6110F">
        <w:t xml:space="preserve">Figure </w:t>
      </w:r>
      <w:r w:rsidR="00335E79">
        <w:rPr>
          <w:noProof/>
        </w:rPr>
        <w:t>2</w:t>
      </w:r>
      <w:r w:rsidR="00335E79">
        <w:rPr>
          <w:noProof/>
        </w:rPr>
        <w:noBreakHyphen/>
        <w:t>22</w:t>
      </w:r>
      <w:r w:rsidRPr="00E6110F">
        <w:fldChar w:fldCharType="end"/>
      </w:r>
      <w:r w:rsidRPr="00E6110F">
        <w:t>. These include 8 heritage sites and 1 indigenous site</w:t>
      </w:r>
      <w:r w:rsidR="001B47F1">
        <w:t>,</w:t>
      </w:r>
      <w:r w:rsidRPr="00E6110F">
        <w:t xml:space="preserve"> however</w:t>
      </w:r>
      <w:r w:rsidR="001B47F1">
        <w:t>,</w:t>
      </w:r>
      <w:r w:rsidRPr="00E6110F">
        <w:t xml:space="preserve"> the Pilliga Nature Reserve is outside the 270° to 90° directional range from the proposed CSG wells and was excluded from the frequency-proximity analysis.</w:t>
      </w:r>
    </w:p>
    <w:p w14:paraId="02F7310D" w14:textId="77777777" w:rsidR="00E76C93" w:rsidRPr="00E6110F" w:rsidRDefault="00E76C93" w:rsidP="00E76C93">
      <w:pPr>
        <w:pStyle w:val="Body"/>
      </w:pPr>
    </w:p>
    <w:p w14:paraId="60217332" w14:textId="333A646F" w:rsidR="00E76C93" w:rsidRPr="00E6110F" w:rsidRDefault="00CA488C" w:rsidP="00E76C93">
      <w:pPr>
        <w:pStyle w:val="Body"/>
        <w:jc w:val="center"/>
        <w:rPr>
          <w:i/>
        </w:rPr>
      </w:pPr>
      <w:r>
        <w:rPr>
          <w:i/>
          <w:noProof/>
          <w:lang w:val="en-AU" w:eastAsia="en-AU"/>
        </w:rPr>
        <w:drawing>
          <wp:inline distT="0" distB="0" distL="0" distR="0" wp14:anchorId="622BD389" wp14:editId="66F8922A">
            <wp:extent cx="5727700" cy="8094345"/>
            <wp:effectExtent l="0" t="0" r="6350" b="1905"/>
            <wp:docPr id="561" name="Picture 561" descr="Map of sociocultural assets within the Gunnedah basin subregion" title="Fig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GUN_Sociocultural_20170314.png"/>
                    <pic:cNvPicPr/>
                  </pic:nvPicPr>
                  <pic:blipFill>
                    <a:blip r:embed="rId54"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7E4D3D33" w14:textId="36570334" w:rsidR="00E76C93" w:rsidRPr="00E6110F" w:rsidRDefault="00E76C93" w:rsidP="00E76C93">
      <w:pPr>
        <w:pStyle w:val="Imagecaption"/>
      </w:pPr>
      <w:bookmarkStart w:id="159" w:name="_Ref446858354"/>
      <w:bookmarkStart w:id="160" w:name="_Toc477347554"/>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22</w:t>
      </w:r>
      <w:r w:rsidR="00254026">
        <w:fldChar w:fldCharType="end"/>
      </w:r>
      <w:bookmarkEnd w:id="159"/>
      <w:r w:rsidRPr="00E6110F">
        <w:t xml:space="preserve"> Sociocultural assets within the Gunnedah basin subregion. 30 km buffer area based on groundwater impact assessments from projected CSG extraction.</w:t>
      </w:r>
      <w:bookmarkEnd w:id="160"/>
    </w:p>
    <w:p w14:paraId="3CC2D500" w14:textId="77777777" w:rsidR="003F6260" w:rsidRPr="00E6110F" w:rsidRDefault="003F6260" w:rsidP="003F6260">
      <w:pPr>
        <w:pStyle w:val="Heading2"/>
      </w:pPr>
      <w:bookmarkStart w:id="161" w:name="_Ref476585579"/>
      <w:bookmarkStart w:id="162" w:name="_Toc494444518"/>
      <w:r w:rsidRPr="00E6110F">
        <w:t>Identification of assets within the Surat Basin</w:t>
      </w:r>
      <w:bookmarkEnd w:id="161"/>
      <w:bookmarkEnd w:id="162"/>
    </w:p>
    <w:p w14:paraId="19722EEE" w14:textId="0C04AE41" w:rsidR="003F6260" w:rsidRPr="00E6110F" w:rsidRDefault="003F6260" w:rsidP="003F6260">
      <w:pPr>
        <w:pStyle w:val="Body"/>
        <w:rPr>
          <w:rFonts w:eastAsia="Times New Roman"/>
          <w:lang w:eastAsia="en-AU"/>
        </w:rPr>
      </w:pPr>
      <w:r w:rsidRPr="00E6110F">
        <w:t xml:space="preserve">A summary of the </w:t>
      </w:r>
      <w:r w:rsidR="001B47F1" w:rsidRPr="00E6110F">
        <w:t xml:space="preserve">registered and not registered water dependent </w:t>
      </w:r>
      <w:r w:rsidRPr="00E6110F">
        <w:t xml:space="preserve">assets and assets located within the </w:t>
      </w:r>
      <w:r w:rsidR="00FF2ECD">
        <w:t>b</w:t>
      </w:r>
      <w:r w:rsidRPr="00E6110F">
        <w:t xml:space="preserve">uffer </w:t>
      </w:r>
      <w:r w:rsidR="00FF2ECD">
        <w:t>area defined by</w:t>
      </w:r>
      <w:r w:rsidRPr="00E6110F">
        <w:t xml:space="preserve"> the extent of particle tracking distance</w:t>
      </w:r>
      <w:r>
        <w:t>s</w:t>
      </w:r>
      <w:r w:rsidRPr="00E6110F">
        <w:t xml:space="preserve"> for the M</w:t>
      </w:r>
      <w:r>
        <w:t>aranoa-</w:t>
      </w:r>
      <w:r w:rsidRPr="00E6110F">
        <w:t>B</w:t>
      </w:r>
      <w:r>
        <w:t>alonne-</w:t>
      </w:r>
      <w:r w:rsidRPr="00E6110F">
        <w:t>C</w:t>
      </w:r>
      <w:r>
        <w:t>ondamine</w:t>
      </w:r>
      <w:r w:rsidRPr="00E6110F">
        <w:t xml:space="preserve"> </w:t>
      </w:r>
      <w:r>
        <w:t xml:space="preserve">(MBC) </w:t>
      </w:r>
      <w:r w:rsidRPr="00E6110F">
        <w:t xml:space="preserve">subregion is given in </w:t>
      </w:r>
      <w:r w:rsidRPr="00E6110F">
        <w:fldChar w:fldCharType="begin" w:fldLock="1"/>
      </w:r>
      <w:r w:rsidRPr="00E6110F">
        <w:instrText xml:space="preserve"> REF _Ref453345220 \h </w:instrText>
      </w:r>
      <w:r>
        <w:instrText xml:space="preserve"> \* MERGEFORMAT </w:instrText>
      </w:r>
      <w:r w:rsidRPr="00E6110F">
        <w:fldChar w:fldCharType="separate"/>
      </w:r>
      <w:r w:rsidR="00335E79" w:rsidRPr="00E6110F">
        <w:t xml:space="preserve">Table </w:t>
      </w:r>
      <w:r w:rsidR="00335E79">
        <w:rPr>
          <w:noProof/>
        </w:rPr>
        <w:t>2</w:t>
      </w:r>
      <w:r w:rsidR="00335E79">
        <w:rPr>
          <w:noProof/>
        </w:rPr>
        <w:noBreakHyphen/>
        <w:t>12</w:t>
      </w:r>
      <w:r w:rsidRPr="00E6110F">
        <w:fldChar w:fldCharType="end"/>
      </w:r>
      <w:r w:rsidRPr="00E6110F">
        <w:t xml:space="preserve">, </w:t>
      </w:r>
      <w:r w:rsidRPr="00E6110F">
        <w:fldChar w:fldCharType="begin" w:fldLock="1"/>
      </w:r>
      <w:r w:rsidRPr="00E6110F">
        <w:instrText xml:space="preserve"> REF _Ref453345196 \h </w:instrText>
      </w:r>
      <w:r>
        <w:instrText xml:space="preserve"> \* MERGEFORMAT </w:instrText>
      </w:r>
      <w:r w:rsidRPr="00E6110F">
        <w:fldChar w:fldCharType="separate"/>
      </w:r>
      <w:r w:rsidR="00335E79" w:rsidRPr="00E6110F">
        <w:t xml:space="preserve">Table </w:t>
      </w:r>
      <w:r w:rsidR="00335E79">
        <w:rPr>
          <w:noProof/>
        </w:rPr>
        <w:t>2</w:t>
      </w:r>
      <w:r w:rsidR="00335E79">
        <w:rPr>
          <w:noProof/>
        </w:rPr>
        <w:noBreakHyphen/>
        <w:t>13</w:t>
      </w:r>
      <w:r w:rsidRPr="00E6110F">
        <w:fldChar w:fldCharType="end"/>
      </w:r>
      <w:r w:rsidRPr="00E6110F">
        <w:t xml:space="preserve">, and </w:t>
      </w:r>
      <w:r w:rsidRPr="00E6110F">
        <w:fldChar w:fldCharType="begin" w:fldLock="1"/>
      </w:r>
      <w:r w:rsidRPr="00E6110F">
        <w:instrText xml:space="preserve"> REF _Ref453345326 \h </w:instrText>
      </w:r>
      <w:r>
        <w:instrText xml:space="preserve"> \* MERGEFORMAT </w:instrText>
      </w:r>
      <w:r w:rsidRPr="00E6110F">
        <w:fldChar w:fldCharType="separate"/>
      </w:r>
      <w:r w:rsidR="00335E79" w:rsidRPr="00E6110F">
        <w:t xml:space="preserve">Table </w:t>
      </w:r>
      <w:r w:rsidR="00335E79">
        <w:rPr>
          <w:noProof/>
        </w:rPr>
        <w:t>2</w:t>
      </w:r>
      <w:r w:rsidR="00335E79">
        <w:rPr>
          <w:noProof/>
        </w:rPr>
        <w:noBreakHyphen/>
        <w:t>14</w:t>
      </w:r>
      <w:r w:rsidRPr="00E6110F">
        <w:fldChar w:fldCharType="end"/>
      </w:r>
      <w:r w:rsidRPr="00E6110F">
        <w:t>.</w:t>
      </w:r>
      <w:r w:rsidRPr="00E6110F">
        <w:rPr>
          <w:rFonts w:eastAsia="Times New Roman"/>
          <w:lang w:eastAsia="en-AU"/>
        </w:rPr>
        <w:t xml:space="preserve"> This includes ecological, economic and sociocultural asset groups</w:t>
      </w:r>
      <w:r>
        <w:rPr>
          <w:rFonts w:eastAsia="Times New Roman"/>
          <w:lang w:eastAsia="en-AU"/>
        </w:rPr>
        <w:t xml:space="preserve"> (Mitchell et al. 2015)</w:t>
      </w:r>
      <w:r w:rsidRPr="00E6110F">
        <w:rPr>
          <w:rFonts w:eastAsia="Times New Roman"/>
          <w:lang w:eastAsia="en-AU"/>
        </w:rPr>
        <w:t>.</w:t>
      </w:r>
    </w:p>
    <w:p w14:paraId="4C7F1057" w14:textId="3FE54056" w:rsidR="003F6260" w:rsidRPr="00E6110F" w:rsidRDefault="000429C4" w:rsidP="003F6260">
      <w:pPr>
        <w:pStyle w:val="Body"/>
        <w:rPr>
          <w:rFonts w:eastAsia="Times New Roman"/>
          <w:lang w:eastAsia="en-AU"/>
        </w:rPr>
      </w:pPr>
      <w:r w:rsidRPr="000429C4">
        <w:rPr>
          <w:rFonts w:eastAsia="Times New Roman"/>
          <w:lang w:eastAsia="en-AU"/>
        </w:rPr>
        <w:t xml:space="preserve">Note that for the spatial proximity analysis on the Surat Basin study site, </w:t>
      </w:r>
      <w:r w:rsidR="00956DE3">
        <w:rPr>
          <w:rFonts w:eastAsia="Times New Roman"/>
          <w:lang w:eastAsia="en-AU"/>
        </w:rPr>
        <w:t xml:space="preserve">the </w:t>
      </w:r>
      <w:r w:rsidR="00E7258F">
        <w:rPr>
          <w:rFonts w:eastAsia="Times New Roman"/>
          <w:lang w:eastAsia="en-AU"/>
        </w:rPr>
        <w:t>buffer area (</w:t>
      </w:r>
      <w:r w:rsidR="00E7258F" w:rsidRPr="000429C4">
        <w:rPr>
          <w:rFonts w:eastAsia="Times New Roman"/>
          <w:lang w:eastAsia="en-AU"/>
        </w:rPr>
        <w:t>the maximum search distance</w:t>
      </w:r>
      <w:r w:rsidR="00E7258F">
        <w:rPr>
          <w:rFonts w:eastAsia="Times New Roman"/>
          <w:lang w:eastAsia="en-AU"/>
        </w:rPr>
        <w:t>)</w:t>
      </w:r>
      <w:r w:rsidR="00E7258F" w:rsidRPr="000429C4">
        <w:rPr>
          <w:rFonts w:eastAsia="Times New Roman"/>
          <w:lang w:eastAsia="en-AU"/>
        </w:rPr>
        <w:t xml:space="preserve"> </w:t>
      </w:r>
      <w:r w:rsidR="00956DE3">
        <w:rPr>
          <w:rFonts w:eastAsia="Times New Roman"/>
          <w:lang w:eastAsia="en-AU"/>
        </w:rPr>
        <w:t xml:space="preserve">was larger </w:t>
      </w:r>
      <w:r w:rsidR="00E7258F">
        <w:rPr>
          <w:rFonts w:eastAsia="Times New Roman"/>
          <w:lang w:eastAsia="en-AU"/>
        </w:rPr>
        <w:t xml:space="preserve">than the </w:t>
      </w:r>
      <w:r w:rsidR="00E7258F" w:rsidRPr="000429C4">
        <w:rPr>
          <w:rFonts w:eastAsia="Times New Roman"/>
          <w:lang w:eastAsia="en-AU"/>
        </w:rPr>
        <w:t xml:space="preserve">30 km buffer around CSG wells </w:t>
      </w:r>
      <w:r w:rsidRPr="000429C4">
        <w:rPr>
          <w:rFonts w:eastAsia="Times New Roman"/>
          <w:lang w:eastAsia="en-AU"/>
        </w:rPr>
        <w:t xml:space="preserve">due to particles moving beyond </w:t>
      </w:r>
      <w:r w:rsidR="005F18C0">
        <w:rPr>
          <w:rFonts w:eastAsia="Times New Roman"/>
          <w:lang w:eastAsia="en-AU"/>
        </w:rPr>
        <w:t>the</w:t>
      </w:r>
      <w:r w:rsidR="005F18C0" w:rsidRPr="000429C4">
        <w:rPr>
          <w:rFonts w:eastAsia="Times New Roman"/>
          <w:lang w:eastAsia="en-AU"/>
        </w:rPr>
        <w:t xml:space="preserve"> 30 km </w:t>
      </w:r>
      <w:r w:rsidR="005F18C0">
        <w:rPr>
          <w:rFonts w:eastAsia="Times New Roman"/>
          <w:lang w:eastAsia="en-AU"/>
        </w:rPr>
        <w:t>buffer</w:t>
      </w:r>
      <w:r w:rsidR="005F18C0" w:rsidRPr="000429C4">
        <w:rPr>
          <w:rFonts w:eastAsia="Times New Roman"/>
          <w:lang w:eastAsia="en-AU"/>
        </w:rPr>
        <w:t xml:space="preserve"> </w:t>
      </w:r>
      <w:r w:rsidRPr="000429C4">
        <w:rPr>
          <w:rFonts w:eastAsia="Times New Roman"/>
          <w:lang w:eastAsia="en-AU"/>
        </w:rPr>
        <w:t xml:space="preserve">(see Section 2.6.5). </w:t>
      </w:r>
      <w:r w:rsidR="00CA5F01">
        <w:rPr>
          <w:rFonts w:eastAsia="Times New Roman"/>
          <w:lang w:eastAsia="en-AU"/>
        </w:rPr>
        <w:t xml:space="preserve">The </w:t>
      </w:r>
      <w:r w:rsidR="00956DE3">
        <w:rPr>
          <w:rFonts w:eastAsia="Times New Roman"/>
          <w:lang w:eastAsia="en-AU"/>
        </w:rPr>
        <w:t xml:space="preserve">buffer area </w:t>
      </w:r>
      <w:r w:rsidR="00CA5F01">
        <w:rPr>
          <w:rFonts w:eastAsia="Times New Roman"/>
          <w:lang w:eastAsia="en-AU"/>
        </w:rPr>
        <w:t xml:space="preserve">was defined as </w:t>
      </w:r>
      <w:r w:rsidR="00956DE3">
        <w:rPr>
          <w:rFonts w:eastAsia="Times New Roman"/>
          <w:lang w:eastAsia="en-AU"/>
        </w:rPr>
        <w:t xml:space="preserve">the maximum extent of the particle pathways. </w:t>
      </w:r>
      <w:r w:rsidRPr="000429C4">
        <w:rPr>
          <w:rFonts w:eastAsia="Times New Roman"/>
          <w:lang w:eastAsia="en-AU"/>
        </w:rPr>
        <w:t>This differed from the buffer area applied to the Gunnedah Basin study area analysis where particle movement remained within 30</w:t>
      </w:r>
      <w:r>
        <w:rPr>
          <w:rFonts w:eastAsia="Times New Roman"/>
          <w:lang w:eastAsia="en-AU"/>
        </w:rPr>
        <w:t xml:space="preserve"> </w:t>
      </w:r>
      <w:r w:rsidRPr="000429C4">
        <w:rPr>
          <w:rFonts w:eastAsia="Times New Roman"/>
          <w:lang w:eastAsia="en-AU"/>
        </w:rPr>
        <w:t>km of CSG wells (see Section 2.6.4)</w:t>
      </w:r>
      <w:r w:rsidR="003F6260" w:rsidRPr="000429C4">
        <w:rPr>
          <w:rFonts w:eastAsia="Times New Roman"/>
          <w:lang w:eastAsia="en-AU"/>
        </w:rPr>
        <w:t>.</w:t>
      </w:r>
    </w:p>
    <w:p w14:paraId="41A2B611" w14:textId="77777777" w:rsidR="003F6260" w:rsidRPr="00E6110F" w:rsidRDefault="003F6260" w:rsidP="003F6260">
      <w:pPr>
        <w:pStyle w:val="Heading3"/>
        <w:rPr>
          <w:rFonts w:eastAsia="Times New Roman"/>
          <w:lang w:eastAsia="en-AU"/>
        </w:rPr>
      </w:pPr>
      <w:bookmarkStart w:id="163" w:name="_Toc494444519"/>
      <w:r w:rsidRPr="00E6110F">
        <w:rPr>
          <w:rFonts w:eastAsia="Times New Roman"/>
          <w:lang w:eastAsia="en-AU"/>
        </w:rPr>
        <w:t>Ecological assets</w:t>
      </w:r>
      <w:bookmarkEnd w:id="163"/>
    </w:p>
    <w:p w14:paraId="1A2F8990" w14:textId="1C2C7399" w:rsidR="003F6260" w:rsidRPr="00E6110F" w:rsidRDefault="003F6260" w:rsidP="003F6260">
      <w:pPr>
        <w:pStyle w:val="Body"/>
        <w:rPr>
          <w:rFonts w:eastAsia="Times New Roman"/>
          <w:lang w:eastAsia="en-AU"/>
        </w:rPr>
      </w:pPr>
      <w:r w:rsidRPr="00E6110F">
        <w:rPr>
          <w:rFonts w:eastAsia="Times New Roman"/>
          <w:lang w:eastAsia="en-AU"/>
        </w:rPr>
        <w:t xml:space="preserve">Numerous ecological assets were located within the 30 km buffer including </w:t>
      </w:r>
      <w:r>
        <w:rPr>
          <w:rFonts w:eastAsia="Times New Roman"/>
          <w:lang w:eastAsia="en-AU"/>
        </w:rPr>
        <w:t>a</w:t>
      </w:r>
      <w:r w:rsidRPr="00E6110F">
        <w:rPr>
          <w:rFonts w:eastAsia="Times New Roman"/>
          <w:lang w:eastAsia="en-AU"/>
        </w:rPr>
        <w:t xml:space="preserve">quifer, geological feature, alluvium or stratum (10 assets), </w:t>
      </w:r>
      <w:r>
        <w:rPr>
          <w:rFonts w:eastAsia="Times New Roman"/>
          <w:lang w:eastAsia="en-AU"/>
        </w:rPr>
        <w:t>r</w:t>
      </w:r>
      <w:r w:rsidRPr="00E6110F">
        <w:rPr>
          <w:rFonts w:eastAsia="Times New Roman"/>
          <w:lang w:eastAsia="en-AU"/>
        </w:rPr>
        <w:t xml:space="preserve">iver or stream reach, tributary, anabranch or bend (109 assets), </w:t>
      </w:r>
      <w:r>
        <w:rPr>
          <w:rFonts w:eastAsia="Times New Roman"/>
          <w:lang w:eastAsia="en-AU"/>
        </w:rPr>
        <w:t>g</w:t>
      </w:r>
      <w:r w:rsidRPr="00E6110F">
        <w:rPr>
          <w:rFonts w:eastAsia="Times New Roman"/>
          <w:lang w:eastAsia="en-AU"/>
        </w:rPr>
        <w:t xml:space="preserve">roundwater-dependent ecosystem (54 assets), and </w:t>
      </w:r>
      <w:r>
        <w:rPr>
          <w:rFonts w:eastAsia="Times New Roman"/>
          <w:lang w:eastAsia="en-AU"/>
        </w:rPr>
        <w:t>h</w:t>
      </w:r>
      <w:r w:rsidRPr="00E6110F">
        <w:rPr>
          <w:rFonts w:eastAsia="Times New Roman"/>
          <w:lang w:eastAsia="en-AU"/>
        </w:rPr>
        <w:t>abitat (potential species distribution) (49 assets) (</w:t>
      </w:r>
      <w:r w:rsidRPr="00E6110F">
        <w:rPr>
          <w:rFonts w:eastAsia="Times New Roman"/>
          <w:lang w:eastAsia="en-AU"/>
        </w:rPr>
        <w:fldChar w:fldCharType="begin" w:fldLock="1"/>
      </w:r>
      <w:r w:rsidRPr="00E6110F">
        <w:rPr>
          <w:rFonts w:eastAsia="Times New Roman"/>
          <w:lang w:eastAsia="en-AU"/>
        </w:rPr>
        <w:instrText xml:space="preserve"> REF _Ref453345220 \h </w:instrText>
      </w:r>
      <w:r>
        <w:rPr>
          <w:rFonts w:eastAsia="Times New Roman"/>
          <w:lang w:eastAsia="en-AU"/>
        </w:rPr>
        <w:instrText xml:space="preserve"> \* MERGEFORMAT </w:instrText>
      </w:r>
      <w:r w:rsidRPr="00E6110F">
        <w:rPr>
          <w:rFonts w:eastAsia="Times New Roman"/>
          <w:lang w:eastAsia="en-AU"/>
        </w:rPr>
      </w:r>
      <w:r w:rsidRPr="00E6110F">
        <w:rPr>
          <w:rFonts w:eastAsia="Times New Roman"/>
          <w:lang w:eastAsia="en-AU"/>
        </w:rPr>
        <w:fldChar w:fldCharType="separate"/>
      </w:r>
      <w:r w:rsidR="00335E79" w:rsidRPr="00E6110F">
        <w:t xml:space="preserve">Table </w:t>
      </w:r>
      <w:r w:rsidR="00335E79">
        <w:rPr>
          <w:noProof/>
        </w:rPr>
        <w:t>2</w:t>
      </w:r>
      <w:r w:rsidR="00335E79">
        <w:rPr>
          <w:noProof/>
        </w:rPr>
        <w:noBreakHyphen/>
        <w:t>12</w:t>
      </w:r>
      <w:r w:rsidRPr="00E6110F">
        <w:rPr>
          <w:rFonts w:eastAsia="Times New Roman"/>
          <w:lang w:eastAsia="en-AU"/>
        </w:rPr>
        <w:fldChar w:fldCharType="end"/>
      </w:r>
      <w:r w:rsidRPr="00E6110F">
        <w:rPr>
          <w:rFonts w:eastAsia="Times New Roman"/>
          <w:lang w:eastAsia="en-AU"/>
        </w:rPr>
        <w:t>).</w:t>
      </w:r>
    </w:p>
    <w:p w14:paraId="2CBD158E" w14:textId="77777777" w:rsidR="003F6260" w:rsidRPr="00E6110F" w:rsidRDefault="003F6260" w:rsidP="003F6260">
      <w:pPr>
        <w:pStyle w:val="Body"/>
        <w:rPr>
          <w:rFonts w:eastAsia="Times New Roman"/>
          <w:lang w:eastAsia="en-AU"/>
        </w:rPr>
      </w:pPr>
    </w:p>
    <w:p w14:paraId="6CF0C3EC" w14:textId="51EC04AF" w:rsidR="003F6260" w:rsidRPr="0015611A" w:rsidRDefault="003F6260" w:rsidP="003F6260">
      <w:pPr>
        <w:pStyle w:val="Imagecaption"/>
        <w:keepNext/>
        <w:pBdr>
          <w:top w:val="none" w:sz="0" w:space="0" w:color="auto"/>
        </w:pBdr>
      </w:pPr>
      <w:bookmarkStart w:id="164" w:name="_Ref453345220"/>
      <w:bookmarkStart w:id="165" w:name="_Toc494444702"/>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12</w:t>
      </w:r>
      <w:r w:rsidR="00470577">
        <w:fldChar w:fldCharType="end"/>
      </w:r>
      <w:bookmarkEnd w:id="164"/>
      <w:r w:rsidRPr="00E6110F">
        <w:t xml:space="preserve"> Summary of ecological assets within the preliminary assessment extent of the MBC subregion. Only the water-dependent assets within the </w:t>
      </w:r>
      <w:r w:rsidR="00FF2ECD">
        <w:t>particle tracking extent</w:t>
      </w:r>
      <w:r w:rsidRPr="00E6110F">
        <w:t xml:space="preserve"> buffer area are considered in the current study.</w:t>
      </w:r>
      <w:r w:rsidR="00263F57">
        <w:t xml:space="preserve"> Note that not all assets may be visible on the graphical displays due to clustering of data points.</w:t>
      </w:r>
      <w:bookmarkEnd w:id="165"/>
    </w:p>
    <w:tbl>
      <w:tblPr>
        <w:tblStyle w:val="TableGrid"/>
        <w:tblW w:w="8926" w:type="dxa"/>
        <w:tblLayout w:type="fixed"/>
        <w:tblLook w:val="04A0" w:firstRow="1" w:lastRow="0" w:firstColumn="1" w:lastColumn="0" w:noHBand="0" w:noVBand="1"/>
      </w:tblPr>
      <w:tblGrid>
        <w:gridCol w:w="1980"/>
        <w:gridCol w:w="2410"/>
        <w:gridCol w:w="1134"/>
        <w:gridCol w:w="1134"/>
        <w:gridCol w:w="850"/>
        <w:gridCol w:w="1418"/>
      </w:tblGrid>
      <w:tr w:rsidR="003F6260" w:rsidRPr="00E6110F" w14:paraId="3922F345" w14:textId="77777777" w:rsidTr="00683E43">
        <w:trPr>
          <w:trHeight w:val="255"/>
        </w:trPr>
        <w:tc>
          <w:tcPr>
            <w:tcW w:w="1980" w:type="dxa"/>
            <w:shd w:val="clear" w:color="auto" w:fill="F2F2F2" w:themeFill="background1" w:themeFillShade="F2"/>
            <w:noWrap/>
            <w:hideMark/>
          </w:tcPr>
          <w:p w14:paraId="6B991EAE" w14:textId="77777777" w:rsidR="003F6260" w:rsidRPr="00E6110F" w:rsidRDefault="003F6260" w:rsidP="002A6599">
            <w:pPr>
              <w:pStyle w:val="Body"/>
              <w:rPr>
                <w:rFonts w:eastAsia="Times New Roman"/>
                <w:lang w:eastAsia="en-AU"/>
              </w:rPr>
            </w:pPr>
            <w:r w:rsidRPr="00E6110F">
              <w:rPr>
                <w:rFonts w:eastAsia="Times New Roman"/>
                <w:lang w:eastAsia="en-AU"/>
              </w:rPr>
              <w:t>Subgroup</w:t>
            </w:r>
          </w:p>
        </w:tc>
        <w:tc>
          <w:tcPr>
            <w:tcW w:w="2410" w:type="dxa"/>
            <w:shd w:val="clear" w:color="auto" w:fill="F2F2F2" w:themeFill="background1" w:themeFillShade="F2"/>
            <w:noWrap/>
            <w:hideMark/>
          </w:tcPr>
          <w:p w14:paraId="6C3AF36B" w14:textId="77777777" w:rsidR="003F6260" w:rsidRPr="00E6110F" w:rsidRDefault="003F6260" w:rsidP="002A6599">
            <w:pPr>
              <w:pStyle w:val="Body"/>
              <w:rPr>
                <w:rFonts w:eastAsia="Times New Roman"/>
                <w:lang w:eastAsia="en-AU"/>
              </w:rPr>
            </w:pPr>
            <w:r w:rsidRPr="00E6110F">
              <w:rPr>
                <w:rFonts w:eastAsia="Times New Roman"/>
                <w:lang w:eastAsia="en-AU"/>
              </w:rPr>
              <w:t>Class</w:t>
            </w:r>
          </w:p>
        </w:tc>
        <w:tc>
          <w:tcPr>
            <w:tcW w:w="1134" w:type="dxa"/>
            <w:shd w:val="clear" w:color="auto" w:fill="F2F2F2" w:themeFill="background1" w:themeFillShade="F2"/>
            <w:noWrap/>
            <w:hideMark/>
          </w:tcPr>
          <w:p w14:paraId="2C99339A" w14:textId="77777777" w:rsidR="003F6260" w:rsidRPr="00E6110F" w:rsidRDefault="003F6260" w:rsidP="002A6599">
            <w:pPr>
              <w:pStyle w:val="Body"/>
              <w:rPr>
                <w:rFonts w:eastAsia="Times New Roman"/>
                <w:lang w:eastAsia="en-AU"/>
              </w:rPr>
            </w:pPr>
            <w:r w:rsidRPr="00E6110F">
              <w:rPr>
                <w:rFonts w:eastAsia="Times New Roman"/>
                <w:lang w:eastAsia="en-AU"/>
              </w:rPr>
              <w:t>Not in water- dependent asset register</w:t>
            </w:r>
          </w:p>
        </w:tc>
        <w:tc>
          <w:tcPr>
            <w:tcW w:w="1134" w:type="dxa"/>
            <w:shd w:val="clear" w:color="auto" w:fill="F2F2F2" w:themeFill="background1" w:themeFillShade="F2"/>
            <w:noWrap/>
            <w:hideMark/>
          </w:tcPr>
          <w:p w14:paraId="0C5D6BCC" w14:textId="77777777" w:rsidR="003F6260" w:rsidRPr="00E6110F" w:rsidRDefault="003F6260" w:rsidP="002A6599">
            <w:pPr>
              <w:pStyle w:val="Body"/>
              <w:rPr>
                <w:rFonts w:eastAsia="Times New Roman"/>
                <w:lang w:eastAsia="en-AU"/>
              </w:rPr>
            </w:pPr>
            <w:r w:rsidRPr="00E6110F">
              <w:rPr>
                <w:rFonts w:eastAsia="Times New Roman"/>
                <w:lang w:eastAsia="en-AU"/>
              </w:rPr>
              <w:t>In water- dependent asset register</w:t>
            </w:r>
          </w:p>
        </w:tc>
        <w:tc>
          <w:tcPr>
            <w:tcW w:w="850" w:type="dxa"/>
            <w:shd w:val="clear" w:color="auto" w:fill="F2F2F2" w:themeFill="background1" w:themeFillShade="F2"/>
            <w:noWrap/>
            <w:hideMark/>
          </w:tcPr>
          <w:p w14:paraId="76FD2435" w14:textId="77777777" w:rsidR="003F6260" w:rsidRPr="00E6110F" w:rsidRDefault="003F6260" w:rsidP="002A6599">
            <w:pPr>
              <w:pStyle w:val="Body"/>
              <w:rPr>
                <w:rFonts w:eastAsia="Times New Roman"/>
                <w:lang w:eastAsia="en-AU"/>
              </w:rPr>
            </w:pPr>
            <w:r w:rsidRPr="00E6110F">
              <w:rPr>
                <w:rFonts w:eastAsia="Times New Roman"/>
                <w:lang w:eastAsia="en-AU"/>
              </w:rPr>
              <w:t>Total assets (asset list)</w:t>
            </w:r>
          </w:p>
        </w:tc>
        <w:tc>
          <w:tcPr>
            <w:tcW w:w="1418" w:type="dxa"/>
            <w:shd w:val="clear" w:color="auto" w:fill="F2F2F2" w:themeFill="background1" w:themeFillShade="F2"/>
            <w:noWrap/>
            <w:hideMark/>
          </w:tcPr>
          <w:p w14:paraId="686300CF" w14:textId="30FFA80B" w:rsidR="003F6260" w:rsidRPr="00E6110F" w:rsidRDefault="003F6260" w:rsidP="002A6599">
            <w:pPr>
              <w:pStyle w:val="Body"/>
              <w:rPr>
                <w:rFonts w:eastAsia="Times New Roman"/>
                <w:lang w:eastAsia="en-AU"/>
              </w:rPr>
            </w:pPr>
            <w:r w:rsidRPr="00E6110F">
              <w:rPr>
                <w:rFonts w:eastAsia="Times New Roman"/>
                <w:lang w:eastAsia="en-AU"/>
              </w:rPr>
              <w:t xml:space="preserve">Assets within </w:t>
            </w:r>
            <w:r w:rsidR="00E7258F">
              <w:rPr>
                <w:rFonts w:eastAsia="Times New Roman"/>
                <w:lang w:eastAsia="en-AU"/>
              </w:rPr>
              <w:t>the particle tracking extent</w:t>
            </w:r>
            <w:r w:rsidRPr="00E6110F">
              <w:rPr>
                <w:rFonts w:eastAsia="Times New Roman"/>
                <w:lang w:eastAsia="en-AU"/>
              </w:rPr>
              <w:t xml:space="preserve"> buffer between </w:t>
            </w:r>
            <w:r w:rsidRPr="00E6110F">
              <w:t xml:space="preserve">180°S and 90°E </w:t>
            </w:r>
            <w:r w:rsidRPr="00E6110F">
              <w:rPr>
                <w:rFonts w:eastAsia="Times New Roman"/>
                <w:lang w:eastAsia="en-AU"/>
              </w:rPr>
              <w:t>from CSG wells</w:t>
            </w:r>
          </w:p>
        </w:tc>
      </w:tr>
      <w:tr w:rsidR="003F6260" w:rsidRPr="00E6110F" w14:paraId="046F5A5C" w14:textId="77777777" w:rsidTr="00683E43">
        <w:trPr>
          <w:trHeight w:val="255"/>
        </w:trPr>
        <w:tc>
          <w:tcPr>
            <w:tcW w:w="1980" w:type="dxa"/>
            <w:noWrap/>
            <w:hideMark/>
          </w:tcPr>
          <w:p w14:paraId="0CDB7164" w14:textId="77777777" w:rsidR="003F6260" w:rsidRPr="00E6110F" w:rsidRDefault="003F6260" w:rsidP="002A6599">
            <w:pPr>
              <w:pStyle w:val="Body"/>
              <w:rPr>
                <w:rFonts w:eastAsia="Times New Roman"/>
                <w:lang w:eastAsia="en-AU"/>
              </w:rPr>
            </w:pPr>
            <w:r w:rsidRPr="00E6110F">
              <w:rPr>
                <w:rFonts w:eastAsia="Times New Roman"/>
                <w:lang w:eastAsia="en-AU"/>
              </w:rPr>
              <w:t>Groundwater feature (subsurface)</w:t>
            </w:r>
          </w:p>
        </w:tc>
        <w:tc>
          <w:tcPr>
            <w:tcW w:w="2410" w:type="dxa"/>
            <w:noWrap/>
            <w:hideMark/>
          </w:tcPr>
          <w:p w14:paraId="5999BC34" w14:textId="77777777" w:rsidR="003F6260" w:rsidRPr="00E6110F" w:rsidRDefault="003F6260" w:rsidP="002A6599">
            <w:pPr>
              <w:pStyle w:val="Body"/>
              <w:rPr>
                <w:rFonts w:eastAsia="Times New Roman"/>
                <w:lang w:eastAsia="en-AU"/>
              </w:rPr>
            </w:pPr>
            <w:r w:rsidRPr="00E6110F">
              <w:rPr>
                <w:rFonts w:eastAsia="Times New Roman"/>
                <w:lang w:eastAsia="en-AU"/>
              </w:rPr>
              <w:t>Aquifer, geological feature, alluvium or stratum</w:t>
            </w:r>
          </w:p>
        </w:tc>
        <w:tc>
          <w:tcPr>
            <w:tcW w:w="1134" w:type="dxa"/>
            <w:noWrap/>
            <w:hideMark/>
          </w:tcPr>
          <w:p w14:paraId="79D5FD8A" w14:textId="77777777" w:rsidR="003F6260" w:rsidRPr="00E6110F" w:rsidRDefault="003F6260" w:rsidP="002A6599">
            <w:pPr>
              <w:pStyle w:val="Body"/>
              <w:rPr>
                <w:rFonts w:eastAsia="Times New Roman"/>
                <w:lang w:eastAsia="en-AU"/>
              </w:rPr>
            </w:pPr>
            <w:r w:rsidRPr="00E6110F">
              <w:rPr>
                <w:rFonts w:eastAsia="Times New Roman"/>
                <w:lang w:eastAsia="en-AU"/>
              </w:rPr>
              <w:t>3</w:t>
            </w:r>
          </w:p>
        </w:tc>
        <w:tc>
          <w:tcPr>
            <w:tcW w:w="1134" w:type="dxa"/>
            <w:noWrap/>
            <w:hideMark/>
          </w:tcPr>
          <w:p w14:paraId="216C917E" w14:textId="77777777" w:rsidR="003F6260" w:rsidRPr="00E6110F" w:rsidRDefault="003F6260" w:rsidP="002A6599">
            <w:pPr>
              <w:pStyle w:val="Body"/>
              <w:rPr>
                <w:rFonts w:eastAsia="Times New Roman"/>
                <w:lang w:eastAsia="en-AU"/>
              </w:rPr>
            </w:pPr>
            <w:r w:rsidRPr="00E6110F">
              <w:rPr>
                <w:rFonts w:eastAsia="Times New Roman"/>
                <w:lang w:eastAsia="en-AU"/>
              </w:rPr>
              <w:t>23</w:t>
            </w:r>
          </w:p>
        </w:tc>
        <w:tc>
          <w:tcPr>
            <w:tcW w:w="850" w:type="dxa"/>
            <w:noWrap/>
            <w:hideMark/>
          </w:tcPr>
          <w:p w14:paraId="5D165A13" w14:textId="77777777" w:rsidR="003F6260" w:rsidRPr="00E6110F" w:rsidRDefault="003F6260" w:rsidP="002A6599">
            <w:pPr>
              <w:pStyle w:val="Body"/>
              <w:rPr>
                <w:rFonts w:eastAsia="Times New Roman"/>
                <w:lang w:eastAsia="en-AU"/>
              </w:rPr>
            </w:pPr>
            <w:r w:rsidRPr="00E6110F">
              <w:rPr>
                <w:rFonts w:eastAsia="Times New Roman"/>
                <w:lang w:eastAsia="en-AU"/>
              </w:rPr>
              <w:t>26</w:t>
            </w:r>
          </w:p>
        </w:tc>
        <w:tc>
          <w:tcPr>
            <w:tcW w:w="1418" w:type="dxa"/>
            <w:noWrap/>
            <w:hideMark/>
          </w:tcPr>
          <w:p w14:paraId="3D8A79CC" w14:textId="77777777" w:rsidR="003F6260" w:rsidRPr="00E6110F" w:rsidRDefault="003F6260" w:rsidP="002A6599">
            <w:pPr>
              <w:pStyle w:val="Body"/>
              <w:rPr>
                <w:rFonts w:eastAsia="Times New Roman"/>
                <w:lang w:eastAsia="en-AU"/>
              </w:rPr>
            </w:pPr>
            <w:r w:rsidRPr="00E6110F">
              <w:rPr>
                <w:rFonts w:eastAsia="Times New Roman"/>
                <w:lang w:eastAsia="en-AU"/>
              </w:rPr>
              <w:t>10</w:t>
            </w:r>
          </w:p>
        </w:tc>
      </w:tr>
      <w:tr w:rsidR="003F6260" w:rsidRPr="00E6110F" w14:paraId="2D1AAD2F" w14:textId="77777777" w:rsidTr="00683E43">
        <w:trPr>
          <w:trHeight w:val="255"/>
        </w:trPr>
        <w:tc>
          <w:tcPr>
            <w:tcW w:w="1980" w:type="dxa"/>
            <w:noWrap/>
            <w:hideMark/>
          </w:tcPr>
          <w:p w14:paraId="3EEA2755" w14:textId="77777777" w:rsidR="003F6260" w:rsidRPr="00E6110F" w:rsidRDefault="003F6260" w:rsidP="002A6599">
            <w:pPr>
              <w:pStyle w:val="Body"/>
              <w:rPr>
                <w:rFonts w:eastAsia="Times New Roman"/>
                <w:lang w:eastAsia="en-AU"/>
              </w:rPr>
            </w:pPr>
            <w:r w:rsidRPr="00E6110F">
              <w:rPr>
                <w:rFonts w:eastAsia="Times New Roman"/>
                <w:lang w:eastAsia="en-AU"/>
              </w:rPr>
              <w:t>Surface water feature</w:t>
            </w:r>
          </w:p>
        </w:tc>
        <w:tc>
          <w:tcPr>
            <w:tcW w:w="2410" w:type="dxa"/>
            <w:noWrap/>
            <w:hideMark/>
          </w:tcPr>
          <w:p w14:paraId="37F3AC4A" w14:textId="77777777" w:rsidR="003F6260" w:rsidRPr="00E6110F" w:rsidRDefault="003F6260" w:rsidP="002A6599">
            <w:pPr>
              <w:pStyle w:val="Body"/>
              <w:rPr>
                <w:rFonts w:eastAsia="Times New Roman"/>
                <w:lang w:eastAsia="en-AU"/>
              </w:rPr>
            </w:pPr>
            <w:r w:rsidRPr="00E6110F">
              <w:rPr>
                <w:rFonts w:eastAsia="Times New Roman"/>
                <w:lang w:eastAsia="en-AU"/>
              </w:rPr>
              <w:t>Floodplain</w:t>
            </w:r>
          </w:p>
        </w:tc>
        <w:tc>
          <w:tcPr>
            <w:tcW w:w="1134" w:type="dxa"/>
            <w:noWrap/>
            <w:hideMark/>
          </w:tcPr>
          <w:p w14:paraId="1A256681" w14:textId="77777777" w:rsidR="003F6260" w:rsidRPr="00E6110F" w:rsidRDefault="003F6260" w:rsidP="002A6599">
            <w:pPr>
              <w:pStyle w:val="Body"/>
              <w:rPr>
                <w:rFonts w:eastAsia="Times New Roman"/>
                <w:lang w:eastAsia="en-AU"/>
              </w:rPr>
            </w:pPr>
            <w:r w:rsidRPr="00E6110F">
              <w:rPr>
                <w:rFonts w:eastAsia="Times New Roman"/>
                <w:lang w:eastAsia="en-AU"/>
              </w:rPr>
              <w:t>0</w:t>
            </w:r>
          </w:p>
        </w:tc>
        <w:tc>
          <w:tcPr>
            <w:tcW w:w="1134" w:type="dxa"/>
            <w:noWrap/>
            <w:hideMark/>
          </w:tcPr>
          <w:p w14:paraId="27DA319D" w14:textId="77777777" w:rsidR="003F6260" w:rsidRPr="00E6110F" w:rsidRDefault="003F6260" w:rsidP="002A6599">
            <w:pPr>
              <w:pStyle w:val="Body"/>
              <w:rPr>
                <w:rFonts w:eastAsia="Times New Roman"/>
                <w:lang w:eastAsia="en-AU"/>
              </w:rPr>
            </w:pPr>
            <w:r w:rsidRPr="00E6110F">
              <w:rPr>
                <w:rFonts w:eastAsia="Times New Roman"/>
                <w:lang w:eastAsia="en-AU"/>
              </w:rPr>
              <w:t>6</w:t>
            </w:r>
          </w:p>
        </w:tc>
        <w:tc>
          <w:tcPr>
            <w:tcW w:w="850" w:type="dxa"/>
            <w:noWrap/>
            <w:hideMark/>
          </w:tcPr>
          <w:p w14:paraId="78AE2A33" w14:textId="77777777" w:rsidR="003F6260" w:rsidRPr="00E6110F" w:rsidRDefault="003F6260" w:rsidP="002A6599">
            <w:pPr>
              <w:pStyle w:val="Body"/>
              <w:rPr>
                <w:rFonts w:eastAsia="Times New Roman"/>
                <w:lang w:eastAsia="en-AU"/>
              </w:rPr>
            </w:pPr>
            <w:r w:rsidRPr="00E6110F">
              <w:rPr>
                <w:rFonts w:eastAsia="Times New Roman"/>
                <w:lang w:eastAsia="en-AU"/>
              </w:rPr>
              <w:t>6</w:t>
            </w:r>
          </w:p>
        </w:tc>
        <w:tc>
          <w:tcPr>
            <w:tcW w:w="1418" w:type="dxa"/>
            <w:noWrap/>
            <w:hideMark/>
          </w:tcPr>
          <w:p w14:paraId="4C95E262" w14:textId="77777777" w:rsidR="003F6260" w:rsidRPr="00E6110F" w:rsidRDefault="003F6260" w:rsidP="002A6599">
            <w:pPr>
              <w:pStyle w:val="Body"/>
              <w:rPr>
                <w:rFonts w:eastAsia="Times New Roman"/>
                <w:lang w:eastAsia="en-AU"/>
              </w:rPr>
            </w:pPr>
            <w:r w:rsidRPr="00E6110F">
              <w:rPr>
                <w:rFonts w:eastAsia="Times New Roman"/>
                <w:lang w:eastAsia="en-AU"/>
              </w:rPr>
              <w:t>0</w:t>
            </w:r>
          </w:p>
        </w:tc>
      </w:tr>
      <w:tr w:rsidR="003F6260" w:rsidRPr="00E6110F" w14:paraId="3BA61C0C" w14:textId="77777777" w:rsidTr="00683E43">
        <w:trPr>
          <w:trHeight w:val="255"/>
        </w:trPr>
        <w:tc>
          <w:tcPr>
            <w:tcW w:w="1980" w:type="dxa"/>
            <w:noWrap/>
            <w:hideMark/>
          </w:tcPr>
          <w:p w14:paraId="7372A6E8" w14:textId="77777777" w:rsidR="003F6260" w:rsidRPr="00E6110F" w:rsidRDefault="003F6260" w:rsidP="002A6599">
            <w:pPr>
              <w:pStyle w:val="Body"/>
              <w:rPr>
                <w:rFonts w:eastAsia="Times New Roman"/>
                <w:lang w:eastAsia="en-AU"/>
              </w:rPr>
            </w:pPr>
            <w:r w:rsidRPr="00E6110F">
              <w:rPr>
                <w:rFonts w:eastAsia="Times New Roman"/>
                <w:lang w:eastAsia="en-AU"/>
              </w:rPr>
              <w:t>Surface water feature</w:t>
            </w:r>
          </w:p>
        </w:tc>
        <w:tc>
          <w:tcPr>
            <w:tcW w:w="2410" w:type="dxa"/>
            <w:noWrap/>
            <w:hideMark/>
          </w:tcPr>
          <w:p w14:paraId="107A1363" w14:textId="77777777" w:rsidR="003F6260" w:rsidRPr="00E6110F" w:rsidRDefault="003F6260" w:rsidP="002A6599">
            <w:pPr>
              <w:pStyle w:val="Body"/>
              <w:rPr>
                <w:rFonts w:eastAsia="Times New Roman"/>
                <w:lang w:eastAsia="en-AU"/>
              </w:rPr>
            </w:pPr>
            <w:r w:rsidRPr="00E6110F">
              <w:rPr>
                <w:rFonts w:eastAsia="Times New Roman"/>
                <w:lang w:eastAsia="en-AU"/>
              </w:rPr>
              <w:t>Lake, reservoir, lagoon or estuary</w:t>
            </w:r>
          </w:p>
        </w:tc>
        <w:tc>
          <w:tcPr>
            <w:tcW w:w="1134" w:type="dxa"/>
            <w:noWrap/>
            <w:hideMark/>
          </w:tcPr>
          <w:p w14:paraId="36466F3E" w14:textId="77777777" w:rsidR="003F6260" w:rsidRPr="00E6110F" w:rsidRDefault="003F6260" w:rsidP="002A6599">
            <w:pPr>
              <w:pStyle w:val="Body"/>
              <w:rPr>
                <w:rFonts w:eastAsia="Times New Roman"/>
                <w:lang w:eastAsia="en-AU"/>
              </w:rPr>
            </w:pPr>
            <w:r w:rsidRPr="00E6110F">
              <w:rPr>
                <w:rFonts w:eastAsia="Times New Roman"/>
                <w:lang w:eastAsia="en-AU"/>
              </w:rPr>
              <w:t>0</w:t>
            </w:r>
          </w:p>
        </w:tc>
        <w:tc>
          <w:tcPr>
            <w:tcW w:w="1134" w:type="dxa"/>
            <w:noWrap/>
            <w:hideMark/>
          </w:tcPr>
          <w:p w14:paraId="472672CB" w14:textId="77777777" w:rsidR="003F6260" w:rsidRPr="00E6110F" w:rsidRDefault="003F6260" w:rsidP="002A6599">
            <w:pPr>
              <w:pStyle w:val="Body"/>
              <w:rPr>
                <w:rFonts w:eastAsia="Times New Roman"/>
                <w:lang w:eastAsia="en-AU"/>
              </w:rPr>
            </w:pPr>
            <w:r w:rsidRPr="00E6110F">
              <w:rPr>
                <w:rFonts w:eastAsia="Times New Roman"/>
                <w:lang w:eastAsia="en-AU"/>
              </w:rPr>
              <w:t>55</w:t>
            </w:r>
          </w:p>
        </w:tc>
        <w:tc>
          <w:tcPr>
            <w:tcW w:w="850" w:type="dxa"/>
            <w:noWrap/>
            <w:hideMark/>
          </w:tcPr>
          <w:p w14:paraId="290EA459" w14:textId="77777777" w:rsidR="003F6260" w:rsidRPr="00E6110F" w:rsidRDefault="003F6260" w:rsidP="002A6599">
            <w:pPr>
              <w:pStyle w:val="Body"/>
              <w:rPr>
                <w:rFonts w:eastAsia="Times New Roman"/>
                <w:lang w:eastAsia="en-AU"/>
              </w:rPr>
            </w:pPr>
            <w:r w:rsidRPr="00E6110F">
              <w:rPr>
                <w:rFonts w:eastAsia="Times New Roman"/>
                <w:lang w:eastAsia="en-AU"/>
              </w:rPr>
              <w:t>55</w:t>
            </w:r>
          </w:p>
        </w:tc>
        <w:tc>
          <w:tcPr>
            <w:tcW w:w="1418" w:type="dxa"/>
            <w:noWrap/>
            <w:hideMark/>
          </w:tcPr>
          <w:p w14:paraId="31C3B290" w14:textId="77777777" w:rsidR="003F6260" w:rsidRPr="00E6110F" w:rsidRDefault="003F6260" w:rsidP="002A6599">
            <w:pPr>
              <w:pStyle w:val="Body"/>
              <w:rPr>
                <w:rFonts w:eastAsia="Times New Roman"/>
                <w:lang w:eastAsia="en-AU"/>
              </w:rPr>
            </w:pPr>
            <w:r w:rsidRPr="00E6110F">
              <w:rPr>
                <w:rFonts w:eastAsia="Times New Roman"/>
                <w:lang w:eastAsia="en-AU"/>
              </w:rPr>
              <w:t>1</w:t>
            </w:r>
          </w:p>
        </w:tc>
      </w:tr>
      <w:tr w:rsidR="003F6260" w:rsidRPr="00E6110F" w14:paraId="1BA0792E" w14:textId="77777777" w:rsidTr="00683E43">
        <w:trPr>
          <w:trHeight w:val="255"/>
        </w:trPr>
        <w:tc>
          <w:tcPr>
            <w:tcW w:w="1980" w:type="dxa"/>
            <w:noWrap/>
            <w:hideMark/>
          </w:tcPr>
          <w:p w14:paraId="6E8EDB1D" w14:textId="77777777" w:rsidR="003F6260" w:rsidRPr="00E6110F" w:rsidRDefault="003F6260" w:rsidP="002A6599">
            <w:pPr>
              <w:pStyle w:val="Body"/>
              <w:rPr>
                <w:rFonts w:eastAsia="Times New Roman"/>
                <w:lang w:eastAsia="en-AU"/>
              </w:rPr>
            </w:pPr>
            <w:r w:rsidRPr="00E6110F">
              <w:rPr>
                <w:rFonts w:eastAsia="Times New Roman"/>
                <w:lang w:eastAsia="en-AU"/>
              </w:rPr>
              <w:t>Surface water feature</w:t>
            </w:r>
          </w:p>
        </w:tc>
        <w:tc>
          <w:tcPr>
            <w:tcW w:w="2410" w:type="dxa"/>
            <w:noWrap/>
            <w:hideMark/>
          </w:tcPr>
          <w:p w14:paraId="7978D0CE" w14:textId="77777777" w:rsidR="003F6260" w:rsidRPr="00E6110F" w:rsidRDefault="003F6260" w:rsidP="002A6599">
            <w:pPr>
              <w:pStyle w:val="Body"/>
              <w:rPr>
                <w:rFonts w:eastAsia="Times New Roman"/>
                <w:lang w:eastAsia="en-AU"/>
              </w:rPr>
            </w:pPr>
            <w:r w:rsidRPr="00E6110F">
              <w:rPr>
                <w:rFonts w:eastAsia="Times New Roman"/>
                <w:lang w:eastAsia="en-AU"/>
              </w:rPr>
              <w:t>Marsh, sedgeland, bog, spring or soak</w:t>
            </w:r>
          </w:p>
        </w:tc>
        <w:tc>
          <w:tcPr>
            <w:tcW w:w="1134" w:type="dxa"/>
            <w:noWrap/>
            <w:hideMark/>
          </w:tcPr>
          <w:p w14:paraId="2AEF76FB" w14:textId="77777777" w:rsidR="003F6260" w:rsidRPr="00E6110F" w:rsidRDefault="003F6260" w:rsidP="002A6599">
            <w:pPr>
              <w:pStyle w:val="Body"/>
              <w:rPr>
                <w:rFonts w:eastAsia="Times New Roman"/>
                <w:lang w:eastAsia="en-AU"/>
              </w:rPr>
            </w:pPr>
            <w:r w:rsidRPr="00E6110F">
              <w:rPr>
                <w:rFonts w:eastAsia="Times New Roman"/>
                <w:lang w:eastAsia="en-AU"/>
              </w:rPr>
              <w:t>0</w:t>
            </w:r>
          </w:p>
        </w:tc>
        <w:tc>
          <w:tcPr>
            <w:tcW w:w="1134" w:type="dxa"/>
            <w:noWrap/>
            <w:hideMark/>
          </w:tcPr>
          <w:p w14:paraId="3FB456AC" w14:textId="77777777" w:rsidR="003F6260" w:rsidRPr="00E6110F" w:rsidRDefault="003F6260" w:rsidP="002A6599">
            <w:pPr>
              <w:pStyle w:val="Body"/>
              <w:rPr>
                <w:rFonts w:eastAsia="Times New Roman"/>
                <w:lang w:eastAsia="en-AU"/>
              </w:rPr>
            </w:pPr>
            <w:r w:rsidRPr="00E6110F">
              <w:rPr>
                <w:rFonts w:eastAsia="Times New Roman"/>
                <w:lang w:eastAsia="en-AU"/>
              </w:rPr>
              <w:t>267</w:t>
            </w:r>
          </w:p>
        </w:tc>
        <w:tc>
          <w:tcPr>
            <w:tcW w:w="850" w:type="dxa"/>
            <w:noWrap/>
            <w:hideMark/>
          </w:tcPr>
          <w:p w14:paraId="046DD603" w14:textId="77777777" w:rsidR="003F6260" w:rsidRPr="00E6110F" w:rsidRDefault="003F6260" w:rsidP="002A6599">
            <w:pPr>
              <w:pStyle w:val="Body"/>
              <w:rPr>
                <w:rFonts w:eastAsia="Times New Roman"/>
                <w:lang w:eastAsia="en-AU"/>
              </w:rPr>
            </w:pPr>
            <w:r w:rsidRPr="00E6110F">
              <w:rPr>
                <w:rFonts w:eastAsia="Times New Roman"/>
                <w:lang w:eastAsia="en-AU"/>
              </w:rPr>
              <w:t>267</w:t>
            </w:r>
          </w:p>
        </w:tc>
        <w:tc>
          <w:tcPr>
            <w:tcW w:w="1418" w:type="dxa"/>
            <w:noWrap/>
            <w:hideMark/>
          </w:tcPr>
          <w:p w14:paraId="04B7D62F" w14:textId="77777777" w:rsidR="003F6260" w:rsidRPr="00E6110F" w:rsidRDefault="003F6260" w:rsidP="002A6599">
            <w:pPr>
              <w:pStyle w:val="Body"/>
              <w:rPr>
                <w:rFonts w:eastAsia="Times New Roman"/>
                <w:lang w:eastAsia="en-AU"/>
              </w:rPr>
            </w:pPr>
            <w:r w:rsidRPr="00E6110F">
              <w:rPr>
                <w:rFonts w:eastAsia="Times New Roman"/>
                <w:lang w:eastAsia="en-AU"/>
              </w:rPr>
              <w:t>9</w:t>
            </w:r>
          </w:p>
        </w:tc>
      </w:tr>
      <w:tr w:rsidR="003F6260" w:rsidRPr="00E6110F" w14:paraId="2AD55637" w14:textId="77777777" w:rsidTr="00683E43">
        <w:trPr>
          <w:trHeight w:val="255"/>
        </w:trPr>
        <w:tc>
          <w:tcPr>
            <w:tcW w:w="1980" w:type="dxa"/>
            <w:noWrap/>
            <w:hideMark/>
          </w:tcPr>
          <w:p w14:paraId="7655A4B6" w14:textId="77777777" w:rsidR="003F6260" w:rsidRPr="00E6110F" w:rsidRDefault="003F6260" w:rsidP="002A6599">
            <w:pPr>
              <w:pStyle w:val="Body"/>
              <w:rPr>
                <w:rFonts w:eastAsia="Times New Roman"/>
                <w:lang w:eastAsia="en-AU"/>
              </w:rPr>
            </w:pPr>
            <w:r w:rsidRPr="00E6110F">
              <w:rPr>
                <w:rFonts w:eastAsia="Times New Roman"/>
                <w:lang w:eastAsia="en-AU"/>
              </w:rPr>
              <w:t>Surface water feature</w:t>
            </w:r>
          </w:p>
        </w:tc>
        <w:tc>
          <w:tcPr>
            <w:tcW w:w="2410" w:type="dxa"/>
            <w:noWrap/>
            <w:hideMark/>
          </w:tcPr>
          <w:p w14:paraId="4E9CD380" w14:textId="77777777" w:rsidR="003F6260" w:rsidRPr="00E6110F" w:rsidRDefault="003F6260" w:rsidP="002A6599">
            <w:pPr>
              <w:pStyle w:val="Body"/>
              <w:rPr>
                <w:rFonts w:eastAsia="Times New Roman"/>
                <w:lang w:eastAsia="en-AU"/>
              </w:rPr>
            </w:pPr>
            <w:r w:rsidRPr="00E6110F">
              <w:rPr>
                <w:rFonts w:eastAsia="Times New Roman"/>
                <w:lang w:eastAsia="en-AU"/>
              </w:rPr>
              <w:t>River or stream reach, tributary, anabranch or bend</w:t>
            </w:r>
          </w:p>
        </w:tc>
        <w:tc>
          <w:tcPr>
            <w:tcW w:w="1134" w:type="dxa"/>
            <w:noWrap/>
            <w:hideMark/>
          </w:tcPr>
          <w:p w14:paraId="716AB93A" w14:textId="77777777" w:rsidR="003F6260" w:rsidRPr="00E6110F" w:rsidRDefault="003F6260" w:rsidP="002A6599">
            <w:pPr>
              <w:pStyle w:val="Body"/>
              <w:rPr>
                <w:rFonts w:eastAsia="Times New Roman"/>
                <w:lang w:eastAsia="en-AU"/>
              </w:rPr>
            </w:pPr>
            <w:r w:rsidRPr="00E6110F">
              <w:rPr>
                <w:rFonts w:eastAsia="Times New Roman"/>
                <w:lang w:eastAsia="en-AU"/>
              </w:rPr>
              <w:t>39</w:t>
            </w:r>
          </w:p>
        </w:tc>
        <w:tc>
          <w:tcPr>
            <w:tcW w:w="1134" w:type="dxa"/>
            <w:noWrap/>
            <w:hideMark/>
          </w:tcPr>
          <w:p w14:paraId="2650DD35" w14:textId="77777777" w:rsidR="003F6260" w:rsidRPr="00E6110F" w:rsidRDefault="003F6260" w:rsidP="002A6599">
            <w:pPr>
              <w:pStyle w:val="Body"/>
              <w:rPr>
                <w:rFonts w:eastAsia="Times New Roman"/>
                <w:lang w:eastAsia="en-AU"/>
              </w:rPr>
            </w:pPr>
            <w:r w:rsidRPr="00E6110F">
              <w:rPr>
                <w:rFonts w:eastAsia="Times New Roman"/>
                <w:lang w:eastAsia="en-AU"/>
              </w:rPr>
              <w:t>695</w:t>
            </w:r>
          </w:p>
        </w:tc>
        <w:tc>
          <w:tcPr>
            <w:tcW w:w="850" w:type="dxa"/>
            <w:noWrap/>
            <w:hideMark/>
          </w:tcPr>
          <w:p w14:paraId="07430CE7" w14:textId="77777777" w:rsidR="003F6260" w:rsidRPr="00E6110F" w:rsidRDefault="003F6260" w:rsidP="002A6599">
            <w:pPr>
              <w:pStyle w:val="Body"/>
              <w:rPr>
                <w:rFonts w:eastAsia="Times New Roman"/>
                <w:lang w:eastAsia="en-AU"/>
              </w:rPr>
            </w:pPr>
            <w:r w:rsidRPr="00E6110F">
              <w:rPr>
                <w:rFonts w:eastAsia="Times New Roman"/>
                <w:lang w:eastAsia="en-AU"/>
              </w:rPr>
              <w:t>734</w:t>
            </w:r>
          </w:p>
        </w:tc>
        <w:tc>
          <w:tcPr>
            <w:tcW w:w="1418" w:type="dxa"/>
            <w:noWrap/>
            <w:hideMark/>
          </w:tcPr>
          <w:p w14:paraId="3252BACF" w14:textId="77777777" w:rsidR="003F6260" w:rsidRPr="00E6110F" w:rsidRDefault="003F6260" w:rsidP="002A6599">
            <w:pPr>
              <w:pStyle w:val="Body"/>
              <w:rPr>
                <w:rFonts w:eastAsia="Times New Roman"/>
                <w:lang w:eastAsia="en-AU"/>
              </w:rPr>
            </w:pPr>
            <w:r w:rsidRPr="00E6110F">
              <w:rPr>
                <w:rFonts w:eastAsia="Times New Roman"/>
                <w:lang w:eastAsia="en-AU"/>
              </w:rPr>
              <w:t>106</w:t>
            </w:r>
          </w:p>
        </w:tc>
      </w:tr>
      <w:tr w:rsidR="003F6260" w:rsidRPr="00E6110F" w14:paraId="50AF20A5" w14:textId="77777777" w:rsidTr="00683E43">
        <w:trPr>
          <w:trHeight w:val="255"/>
        </w:trPr>
        <w:tc>
          <w:tcPr>
            <w:tcW w:w="1980" w:type="dxa"/>
            <w:noWrap/>
            <w:hideMark/>
          </w:tcPr>
          <w:p w14:paraId="55594C9A" w14:textId="77777777" w:rsidR="003F6260" w:rsidRPr="00E6110F" w:rsidRDefault="003F6260" w:rsidP="002A6599">
            <w:pPr>
              <w:pStyle w:val="Body"/>
              <w:rPr>
                <w:rFonts w:eastAsia="Times New Roman"/>
                <w:lang w:eastAsia="en-AU"/>
              </w:rPr>
            </w:pPr>
            <w:r w:rsidRPr="00E6110F">
              <w:rPr>
                <w:rFonts w:eastAsia="Times New Roman"/>
                <w:lang w:eastAsia="en-AU"/>
              </w:rPr>
              <w:t>Surface water feature</w:t>
            </w:r>
          </w:p>
        </w:tc>
        <w:tc>
          <w:tcPr>
            <w:tcW w:w="2410" w:type="dxa"/>
            <w:noWrap/>
            <w:hideMark/>
          </w:tcPr>
          <w:p w14:paraId="5DDC9ADE" w14:textId="77777777" w:rsidR="003F6260" w:rsidRPr="00E6110F" w:rsidRDefault="003F6260" w:rsidP="002A6599">
            <w:pPr>
              <w:pStyle w:val="Body"/>
              <w:rPr>
                <w:rFonts w:eastAsia="Times New Roman"/>
                <w:lang w:eastAsia="en-AU"/>
              </w:rPr>
            </w:pPr>
            <w:r w:rsidRPr="00E6110F">
              <w:rPr>
                <w:rFonts w:eastAsia="Times New Roman"/>
                <w:lang w:eastAsia="en-AU"/>
              </w:rPr>
              <w:t>Waterhole, pool, rockpool or billabong</w:t>
            </w:r>
          </w:p>
        </w:tc>
        <w:tc>
          <w:tcPr>
            <w:tcW w:w="1134" w:type="dxa"/>
            <w:noWrap/>
            <w:hideMark/>
          </w:tcPr>
          <w:p w14:paraId="732E1834" w14:textId="77777777" w:rsidR="003F6260" w:rsidRPr="00E6110F" w:rsidRDefault="003F6260" w:rsidP="002A6599">
            <w:pPr>
              <w:pStyle w:val="Body"/>
              <w:rPr>
                <w:rFonts w:eastAsia="Times New Roman"/>
                <w:lang w:eastAsia="en-AU"/>
              </w:rPr>
            </w:pPr>
            <w:r w:rsidRPr="00E6110F">
              <w:rPr>
                <w:rFonts w:eastAsia="Times New Roman"/>
                <w:lang w:eastAsia="en-AU"/>
              </w:rPr>
              <w:t>1</w:t>
            </w:r>
          </w:p>
        </w:tc>
        <w:tc>
          <w:tcPr>
            <w:tcW w:w="1134" w:type="dxa"/>
            <w:noWrap/>
            <w:hideMark/>
          </w:tcPr>
          <w:p w14:paraId="4A636FC3" w14:textId="77777777" w:rsidR="003F6260" w:rsidRPr="00E6110F" w:rsidRDefault="003F6260" w:rsidP="002A6599">
            <w:pPr>
              <w:pStyle w:val="Body"/>
              <w:rPr>
                <w:rFonts w:eastAsia="Times New Roman"/>
                <w:lang w:eastAsia="en-AU"/>
              </w:rPr>
            </w:pPr>
            <w:r w:rsidRPr="00E6110F">
              <w:rPr>
                <w:rFonts w:eastAsia="Times New Roman"/>
                <w:lang w:eastAsia="en-AU"/>
              </w:rPr>
              <w:t>554</w:t>
            </w:r>
          </w:p>
        </w:tc>
        <w:tc>
          <w:tcPr>
            <w:tcW w:w="850" w:type="dxa"/>
            <w:noWrap/>
            <w:hideMark/>
          </w:tcPr>
          <w:p w14:paraId="63C362D4" w14:textId="77777777" w:rsidR="003F6260" w:rsidRPr="00E6110F" w:rsidRDefault="003F6260" w:rsidP="002A6599">
            <w:pPr>
              <w:pStyle w:val="Body"/>
              <w:rPr>
                <w:rFonts w:eastAsia="Times New Roman"/>
                <w:lang w:eastAsia="en-AU"/>
              </w:rPr>
            </w:pPr>
            <w:r w:rsidRPr="00E6110F">
              <w:rPr>
                <w:rFonts w:eastAsia="Times New Roman"/>
                <w:lang w:eastAsia="en-AU"/>
              </w:rPr>
              <w:t>555</w:t>
            </w:r>
          </w:p>
        </w:tc>
        <w:tc>
          <w:tcPr>
            <w:tcW w:w="1418" w:type="dxa"/>
            <w:noWrap/>
            <w:hideMark/>
          </w:tcPr>
          <w:p w14:paraId="59B35ACC" w14:textId="77777777" w:rsidR="003F6260" w:rsidRPr="00E6110F" w:rsidRDefault="003F6260" w:rsidP="002A6599">
            <w:pPr>
              <w:pStyle w:val="Body"/>
              <w:rPr>
                <w:rFonts w:eastAsia="Times New Roman"/>
                <w:lang w:eastAsia="en-AU"/>
              </w:rPr>
            </w:pPr>
            <w:r w:rsidRPr="00E6110F">
              <w:rPr>
                <w:rFonts w:eastAsia="Times New Roman"/>
                <w:lang w:eastAsia="en-AU"/>
              </w:rPr>
              <w:t>6</w:t>
            </w:r>
          </w:p>
        </w:tc>
      </w:tr>
      <w:tr w:rsidR="003F6260" w:rsidRPr="00E6110F" w14:paraId="753FF091" w14:textId="77777777" w:rsidTr="00683E43">
        <w:trPr>
          <w:trHeight w:val="255"/>
        </w:trPr>
        <w:tc>
          <w:tcPr>
            <w:tcW w:w="1980" w:type="dxa"/>
            <w:noWrap/>
            <w:hideMark/>
          </w:tcPr>
          <w:p w14:paraId="6984404B" w14:textId="77777777" w:rsidR="003F6260" w:rsidRPr="00E6110F" w:rsidRDefault="003F6260" w:rsidP="002A6599">
            <w:pPr>
              <w:pStyle w:val="Body"/>
              <w:rPr>
                <w:rFonts w:eastAsia="Times New Roman"/>
                <w:lang w:eastAsia="en-AU"/>
              </w:rPr>
            </w:pPr>
            <w:r w:rsidRPr="00E6110F">
              <w:rPr>
                <w:rFonts w:eastAsia="Times New Roman"/>
                <w:lang w:eastAsia="en-AU"/>
              </w:rPr>
              <w:t>Surface water feature</w:t>
            </w:r>
          </w:p>
        </w:tc>
        <w:tc>
          <w:tcPr>
            <w:tcW w:w="2410" w:type="dxa"/>
            <w:noWrap/>
            <w:hideMark/>
          </w:tcPr>
          <w:p w14:paraId="11A35BBC" w14:textId="77777777" w:rsidR="003F6260" w:rsidRPr="00E6110F" w:rsidRDefault="003F6260" w:rsidP="002A6599">
            <w:pPr>
              <w:pStyle w:val="Body"/>
              <w:rPr>
                <w:rFonts w:eastAsia="Times New Roman"/>
                <w:lang w:eastAsia="en-AU"/>
              </w:rPr>
            </w:pPr>
            <w:r w:rsidRPr="00E6110F">
              <w:rPr>
                <w:rFonts w:eastAsia="Times New Roman"/>
                <w:lang w:eastAsia="en-AU"/>
              </w:rPr>
              <w:t>Wetland, wetland complex or swamp</w:t>
            </w:r>
          </w:p>
        </w:tc>
        <w:tc>
          <w:tcPr>
            <w:tcW w:w="1134" w:type="dxa"/>
            <w:noWrap/>
            <w:hideMark/>
          </w:tcPr>
          <w:p w14:paraId="4302F0A5" w14:textId="77777777" w:rsidR="003F6260" w:rsidRPr="00E6110F" w:rsidRDefault="003F6260" w:rsidP="002A6599">
            <w:pPr>
              <w:pStyle w:val="Body"/>
              <w:rPr>
                <w:rFonts w:eastAsia="Times New Roman"/>
                <w:lang w:eastAsia="en-AU"/>
              </w:rPr>
            </w:pPr>
            <w:r w:rsidRPr="00E6110F">
              <w:rPr>
                <w:rFonts w:eastAsia="Times New Roman"/>
                <w:lang w:eastAsia="en-AU"/>
              </w:rPr>
              <w:t>0</w:t>
            </w:r>
          </w:p>
        </w:tc>
        <w:tc>
          <w:tcPr>
            <w:tcW w:w="1134" w:type="dxa"/>
            <w:noWrap/>
            <w:hideMark/>
          </w:tcPr>
          <w:p w14:paraId="62D6D05E" w14:textId="77777777" w:rsidR="003F6260" w:rsidRPr="00E6110F" w:rsidRDefault="003F6260" w:rsidP="002A6599">
            <w:pPr>
              <w:pStyle w:val="Body"/>
              <w:rPr>
                <w:rFonts w:eastAsia="Times New Roman"/>
                <w:lang w:eastAsia="en-AU"/>
              </w:rPr>
            </w:pPr>
            <w:r w:rsidRPr="00E6110F">
              <w:rPr>
                <w:rFonts w:eastAsia="Times New Roman"/>
                <w:lang w:eastAsia="en-AU"/>
              </w:rPr>
              <w:t>111</w:t>
            </w:r>
          </w:p>
        </w:tc>
        <w:tc>
          <w:tcPr>
            <w:tcW w:w="850" w:type="dxa"/>
            <w:noWrap/>
            <w:hideMark/>
          </w:tcPr>
          <w:p w14:paraId="66048B99" w14:textId="77777777" w:rsidR="003F6260" w:rsidRPr="00E6110F" w:rsidRDefault="003F6260" w:rsidP="002A6599">
            <w:pPr>
              <w:pStyle w:val="Body"/>
              <w:rPr>
                <w:rFonts w:eastAsia="Times New Roman"/>
                <w:lang w:eastAsia="en-AU"/>
              </w:rPr>
            </w:pPr>
            <w:r w:rsidRPr="00E6110F">
              <w:rPr>
                <w:rFonts w:eastAsia="Times New Roman"/>
                <w:lang w:eastAsia="en-AU"/>
              </w:rPr>
              <w:t>111</w:t>
            </w:r>
          </w:p>
        </w:tc>
        <w:tc>
          <w:tcPr>
            <w:tcW w:w="1418" w:type="dxa"/>
            <w:noWrap/>
            <w:hideMark/>
          </w:tcPr>
          <w:p w14:paraId="576C6A89" w14:textId="77777777" w:rsidR="003F6260" w:rsidRPr="00E6110F" w:rsidRDefault="003F6260" w:rsidP="002A6599">
            <w:pPr>
              <w:pStyle w:val="Body"/>
              <w:rPr>
                <w:rFonts w:eastAsia="Times New Roman"/>
                <w:lang w:eastAsia="en-AU"/>
              </w:rPr>
            </w:pPr>
            <w:r w:rsidRPr="00E6110F">
              <w:rPr>
                <w:rFonts w:eastAsia="Times New Roman"/>
                <w:lang w:eastAsia="en-AU"/>
              </w:rPr>
              <w:t>15</w:t>
            </w:r>
          </w:p>
        </w:tc>
      </w:tr>
      <w:tr w:rsidR="003F6260" w:rsidRPr="00E6110F" w14:paraId="0201BC37" w14:textId="77777777" w:rsidTr="00683E43">
        <w:trPr>
          <w:trHeight w:val="255"/>
        </w:trPr>
        <w:tc>
          <w:tcPr>
            <w:tcW w:w="1980" w:type="dxa"/>
            <w:noWrap/>
            <w:hideMark/>
          </w:tcPr>
          <w:p w14:paraId="30FCF2F9" w14:textId="77777777" w:rsidR="003F6260" w:rsidRPr="00E6110F" w:rsidRDefault="003F6260" w:rsidP="002A6599">
            <w:pPr>
              <w:pStyle w:val="Body"/>
              <w:rPr>
                <w:rFonts w:eastAsia="Times New Roman"/>
                <w:lang w:eastAsia="en-AU"/>
              </w:rPr>
            </w:pPr>
            <w:r w:rsidRPr="00E6110F">
              <w:rPr>
                <w:rFonts w:eastAsia="Times New Roman"/>
                <w:lang w:eastAsia="en-AU"/>
              </w:rPr>
              <w:t>Vegetation</w:t>
            </w:r>
          </w:p>
        </w:tc>
        <w:tc>
          <w:tcPr>
            <w:tcW w:w="2410" w:type="dxa"/>
            <w:noWrap/>
            <w:hideMark/>
          </w:tcPr>
          <w:p w14:paraId="7301FD84" w14:textId="77777777" w:rsidR="003F6260" w:rsidRPr="00E6110F" w:rsidRDefault="003F6260" w:rsidP="002A6599">
            <w:pPr>
              <w:pStyle w:val="Body"/>
              <w:rPr>
                <w:rFonts w:eastAsia="Times New Roman"/>
                <w:lang w:eastAsia="en-AU"/>
              </w:rPr>
            </w:pPr>
            <w:r w:rsidRPr="00E6110F">
              <w:rPr>
                <w:rFonts w:eastAsia="Times New Roman"/>
                <w:lang w:eastAsia="en-AU"/>
              </w:rPr>
              <w:t>Groundwater-dependent ecosystem</w:t>
            </w:r>
          </w:p>
        </w:tc>
        <w:tc>
          <w:tcPr>
            <w:tcW w:w="1134" w:type="dxa"/>
            <w:noWrap/>
            <w:hideMark/>
          </w:tcPr>
          <w:p w14:paraId="2E67A099" w14:textId="77777777" w:rsidR="003F6260" w:rsidRPr="00E6110F" w:rsidRDefault="003F6260" w:rsidP="002A6599">
            <w:pPr>
              <w:pStyle w:val="Body"/>
              <w:rPr>
                <w:rFonts w:eastAsia="Times New Roman"/>
                <w:lang w:eastAsia="en-AU"/>
              </w:rPr>
            </w:pPr>
            <w:r w:rsidRPr="00E6110F">
              <w:rPr>
                <w:rFonts w:eastAsia="Times New Roman"/>
                <w:lang w:eastAsia="en-AU"/>
              </w:rPr>
              <w:t>35</w:t>
            </w:r>
          </w:p>
        </w:tc>
        <w:tc>
          <w:tcPr>
            <w:tcW w:w="1134" w:type="dxa"/>
            <w:noWrap/>
            <w:hideMark/>
          </w:tcPr>
          <w:p w14:paraId="5888D9EF" w14:textId="77777777" w:rsidR="003F6260" w:rsidRPr="00E6110F" w:rsidRDefault="003F6260" w:rsidP="002A6599">
            <w:pPr>
              <w:pStyle w:val="Body"/>
              <w:rPr>
                <w:rFonts w:eastAsia="Times New Roman"/>
                <w:lang w:eastAsia="en-AU"/>
              </w:rPr>
            </w:pPr>
            <w:r w:rsidRPr="00E6110F">
              <w:rPr>
                <w:rFonts w:eastAsia="Times New Roman"/>
                <w:lang w:eastAsia="en-AU"/>
              </w:rPr>
              <w:t>313</w:t>
            </w:r>
          </w:p>
        </w:tc>
        <w:tc>
          <w:tcPr>
            <w:tcW w:w="850" w:type="dxa"/>
            <w:noWrap/>
            <w:hideMark/>
          </w:tcPr>
          <w:p w14:paraId="151D8330" w14:textId="77777777" w:rsidR="003F6260" w:rsidRPr="00E6110F" w:rsidRDefault="003F6260" w:rsidP="002A6599">
            <w:pPr>
              <w:pStyle w:val="Body"/>
              <w:rPr>
                <w:rFonts w:eastAsia="Times New Roman"/>
                <w:lang w:eastAsia="en-AU"/>
              </w:rPr>
            </w:pPr>
            <w:r w:rsidRPr="00E6110F">
              <w:rPr>
                <w:rFonts w:eastAsia="Times New Roman"/>
                <w:lang w:eastAsia="en-AU"/>
              </w:rPr>
              <w:t>348</w:t>
            </w:r>
          </w:p>
        </w:tc>
        <w:tc>
          <w:tcPr>
            <w:tcW w:w="1418" w:type="dxa"/>
            <w:noWrap/>
            <w:hideMark/>
          </w:tcPr>
          <w:p w14:paraId="283E885A" w14:textId="77777777" w:rsidR="003F6260" w:rsidRPr="00E6110F" w:rsidRDefault="003F6260" w:rsidP="002A6599">
            <w:pPr>
              <w:pStyle w:val="Body"/>
              <w:rPr>
                <w:rFonts w:eastAsia="Times New Roman"/>
                <w:lang w:eastAsia="en-AU"/>
              </w:rPr>
            </w:pPr>
            <w:r w:rsidRPr="00E6110F">
              <w:rPr>
                <w:rFonts w:eastAsia="Times New Roman"/>
                <w:lang w:eastAsia="en-AU"/>
              </w:rPr>
              <w:t>54</w:t>
            </w:r>
          </w:p>
        </w:tc>
      </w:tr>
      <w:tr w:rsidR="003F6260" w:rsidRPr="00E6110F" w14:paraId="1F5D6B50" w14:textId="77777777" w:rsidTr="00683E43">
        <w:trPr>
          <w:trHeight w:val="255"/>
        </w:trPr>
        <w:tc>
          <w:tcPr>
            <w:tcW w:w="1980" w:type="dxa"/>
            <w:noWrap/>
            <w:hideMark/>
          </w:tcPr>
          <w:p w14:paraId="179E4374" w14:textId="77777777" w:rsidR="003F6260" w:rsidRPr="00E6110F" w:rsidRDefault="003F6260" w:rsidP="002A6599">
            <w:pPr>
              <w:pStyle w:val="Body"/>
              <w:rPr>
                <w:rFonts w:eastAsia="Times New Roman"/>
                <w:lang w:eastAsia="en-AU"/>
              </w:rPr>
            </w:pPr>
            <w:r w:rsidRPr="00E6110F">
              <w:rPr>
                <w:rFonts w:eastAsia="Times New Roman"/>
                <w:lang w:eastAsia="en-AU"/>
              </w:rPr>
              <w:t>Vegetation</w:t>
            </w:r>
          </w:p>
        </w:tc>
        <w:tc>
          <w:tcPr>
            <w:tcW w:w="2410" w:type="dxa"/>
            <w:noWrap/>
            <w:hideMark/>
          </w:tcPr>
          <w:p w14:paraId="2D8E78D5" w14:textId="77777777" w:rsidR="003F6260" w:rsidRPr="00E6110F" w:rsidRDefault="003F6260" w:rsidP="002A6599">
            <w:pPr>
              <w:pStyle w:val="Body"/>
              <w:rPr>
                <w:rFonts w:eastAsia="Times New Roman"/>
                <w:lang w:eastAsia="en-AU"/>
              </w:rPr>
            </w:pPr>
            <w:r w:rsidRPr="00E6110F">
              <w:rPr>
                <w:rFonts w:eastAsia="Times New Roman"/>
                <w:lang w:eastAsia="en-AU"/>
              </w:rPr>
              <w:t>Habitat (potential species distribution)</w:t>
            </w:r>
          </w:p>
        </w:tc>
        <w:tc>
          <w:tcPr>
            <w:tcW w:w="1134" w:type="dxa"/>
            <w:noWrap/>
            <w:hideMark/>
          </w:tcPr>
          <w:p w14:paraId="4DBE5CFE" w14:textId="77777777" w:rsidR="003F6260" w:rsidRPr="00E6110F" w:rsidRDefault="003F6260" w:rsidP="002A6599">
            <w:pPr>
              <w:pStyle w:val="Body"/>
              <w:rPr>
                <w:rFonts w:eastAsia="Times New Roman"/>
                <w:lang w:eastAsia="en-AU"/>
              </w:rPr>
            </w:pPr>
            <w:r w:rsidRPr="00E6110F">
              <w:rPr>
                <w:rFonts w:eastAsia="Times New Roman"/>
                <w:lang w:eastAsia="en-AU"/>
              </w:rPr>
              <w:t>119</w:t>
            </w:r>
          </w:p>
        </w:tc>
        <w:tc>
          <w:tcPr>
            <w:tcW w:w="1134" w:type="dxa"/>
            <w:noWrap/>
            <w:hideMark/>
          </w:tcPr>
          <w:p w14:paraId="1B025F68" w14:textId="77777777" w:rsidR="003F6260" w:rsidRPr="00E6110F" w:rsidRDefault="003F6260" w:rsidP="002A6599">
            <w:pPr>
              <w:pStyle w:val="Body"/>
              <w:rPr>
                <w:rFonts w:eastAsia="Times New Roman"/>
                <w:lang w:eastAsia="en-AU"/>
              </w:rPr>
            </w:pPr>
            <w:r w:rsidRPr="00E6110F">
              <w:rPr>
                <w:rFonts w:eastAsia="Times New Roman"/>
                <w:lang w:eastAsia="en-AU"/>
              </w:rPr>
              <w:t>171</w:t>
            </w:r>
          </w:p>
        </w:tc>
        <w:tc>
          <w:tcPr>
            <w:tcW w:w="850" w:type="dxa"/>
            <w:noWrap/>
            <w:hideMark/>
          </w:tcPr>
          <w:p w14:paraId="4512D82C" w14:textId="77777777" w:rsidR="003F6260" w:rsidRPr="00E6110F" w:rsidRDefault="003F6260" w:rsidP="002A6599">
            <w:pPr>
              <w:pStyle w:val="Body"/>
              <w:rPr>
                <w:rFonts w:eastAsia="Times New Roman"/>
                <w:lang w:eastAsia="en-AU"/>
              </w:rPr>
            </w:pPr>
            <w:r w:rsidRPr="00E6110F">
              <w:rPr>
                <w:rFonts w:eastAsia="Times New Roman"/>
                <w:lang w:eastAsia="en-AU"/>
              </w:rPr>
              <w:t>290</w:t>
            </w:r>
          </w:p>
        </w:tc>
        <w:tc>
          <w:tcPr>
            <w:tcW w:w="1418" w:type="dxa"/>
            <w:noWrap/>
            <w:hideMark/>
          </w:tcPr>
          <w:p w14:paraId="7EFBDD15" w14:textId="77777777" w:rsidR="003F6260" w:rsidRPr="00E6110F" w:rsidRDefault="003F6260" w:rsidP="002A6599">
            <w:pPr>
              <w:pStyle w:val="Body"/>
              <w:rPr>
                <w:rFonts w:eastAsia="Times New Roman"/>
                <w:lang w:eastAsia="en-AU"/>
              </w:rPr>
            </w:pPr>
            <w:r w:rsidRPr="00E6110F">
              <w:rPr>
                <w:rFonts w:eastAsia="Times New Roman"/>
                <w:lang w:eastAsia="en-AU"/>
              </w:rPr>
              <w:t>49</w:t>
            </w:r>
          </w:p>
        </w:tc>
      </w:tr>
      <w:tr w:rsidR="003F6260" w:rsidRPr="00E6110F" w14:paraId="016D407F" w14:textId="77777777" w:rsidTr="00683E43">
        <w:trPr>
          <w:trHeight w:val="255"/>
        </w:trPr>
        <w:tc>
          <w:tcPr>
            <w:tcW w:w="1980" w:type="dxa"/>
            <w:noWrap/>
            <w:hideMark/>
          </w:tcPr>
          <w:p w14:paraId="5DEA9921" w14:textId="77777777" w:rsidR="003F6260" w:rsidRPr="00E6110F" w:rsidRDefault="003F6260" w:rsidP="002A6599">
            <w:pPr>
              <w:pStyle w:val="Body"/>
              <w:rPr>
                <w:rFonts w:eastAsia="Times New Roman"/>
                <w:lang w:eastAsia="en-AU"/>
              </w:rPr>
            </w:pPr>
            <w:r w:rsidRPr="00E6110F">
              <w:rPr>
                <w:rFonts w:eastAsia="Times New Roman"/>
                <w:lang w:eastAsia="en-AU"/>
              </w:rPr>
              <w:t>Vegetation</w:t>
            </w:r>
          </w:p>
        </w:tc>
        <w:tc>
          <w:tcPr>
            <w:tcW w:w="2410" w:type="dxa"/>
            <w:noWrap/>
            <w:hideMark/>
          </w:tcPr>
          <w:p w14:paraId="0C016241" w14:textId="77777777" w:rsidR="003F6260" w:rsidRPr="00E6110F" w:rsidRDefault="003F6260" w:rsidP="002A6599">
            <w:pPr>
              <w:pStyle w:val="Body"/>
              <w:rPr>
                <w:rFonts w:eastAsia="Times New Roman"/>
                <w:lang w:eastAsia="en-AU"/>
              </w:rPr>
            </w:pPr>
            <w:r w:rsidRPr="00E6110F">
              <w:rPr>
                <w:rFonts w:eastAsia="Times New Roman"/>
                <w:lang w:eastAsia="en-AU"/>
              </w:rPr>
              <w:t>Riparian vegetation</w:t>
            </w:r>
          </w:p>
        </w:tc>
        <w:tc>
          <w:tcPr>
            <w:tcW w:w="1134" w:type="dxa"/>
            <w:noWrap/>
            <w:hideMark/>
          </w:tcPr>
          <w:p w14:paraId="2C23143B" w14:textId="77777777" w:rsidR="003F6260" w:rsidRPr="00E6110F" w:rsidRDefault="003F6260" w:rsidP="002A6599">
            <w:pPr>
              <w:pStyle w:val="Body"/>
              <w:rPr>
                <w:rFonts w:eastAsia="Times New Roman"/>
                <w:lang w:eastAsia="en-AU"/>
              </w:rPr>
            </w:pPr>
            <w:r w:rsidRPr="00E6110F">
              <w:rPr>
                <w:rFonts w:eastAsia="Times New Roman"/>
                <w:lang w:eastAsia="en-AU"/>
              </w:rPr>
              <w:t>0</w:t>
            </w:r>
          </w:p>
        </w:tc>
        <w:tc>
          <w:tcPr>
            <w:tcW w:w="1134" w:type="dxa"/>
            <w:noWrap/>
            <w:hideMark/>
          </w:tcPr>
          <w:p w14:paraId="58CBF340" w14:textId="77777777" w:rsidR="003F6260" w:rsidRPr="00E6110F" w:rsidRDefault="003F6260" w:rsidP="002A6599">
            <w:pPr>
              <w:pStyle w:val="Body"/>
              <w:rPr>
                <w:rFonts w:eastAsia="Times New Roman"/>
                <w:lang w:eastAsia="en-AU"/>
              </w:rPr>
            </w:pPr>
            <w:r w:rsidRPr="00E6110F">
              <w:rPr>
                <w:rFonts w:eastAsia="Times New Roman"/>
                <w:lang w:eastAsia="en-AU"/>
              </w:rPr>
              <w:t>20</w:t>
            </w:r>
          </w:p>
        </w:tc>
        <w:tc>
          <w:tcPr>
            <w:tcW w:w="850" w:type="dxa"/>
            <w:noWrap/>
            <w:hideMark/>
          </w:tcPr>
          <w:p w14:paraId="233FB398" w14:textId="77777777" w:rsidR="003F6260" w:rsidRPr="00E6110F" w:rsidRDefault="003F6260" w:rsidP="002A6599">
            <w:pPr>
              <w:pStyle w:val="Body"/>
              <w:rPr>
                <w:rFonts w:eastAsia="Times New Roman"/>
                <w:lang w:eastAsia="en-AU"/>
              </w:rPr>
            </w:pPr>
            <w:r w:rsidRPr="00E6110F">
              <w:rPr>
                <w:rFonts w:eastAsia="Times New Roman"/>
                <w:lang w:eastAsia="en-AU"/>
              </w:rPr>
              <w:t>20</w:t>
            </w:r>
          </w:p>
        </w:tc>
        <w:tc>
          <w:tcPr>
            <w:tcW w:w="1418" w:type="dxa"/>
            <w:noWrap/>
            <w:hideMark/>
          </w:tcPr>
          <w:p w14:paraId="5DD9A3C9" w14:textId="77777777" w:rsidR="003F6260" w:rsidRPr="00E6110F" w:rsidRDefault="003F6260" w:rsidP="002A6599">
            <w:pPr>
              <w:pStyle w:val="Body"/>
              <w:rPr>
                <w:rFonts w:eastAsia="Times New Roman"/>
                <w:lang w:eastAsia="en-AU"/>
              </w:rPr>
            </w:pPr>
            <w:r w:rsidRPr="00E6110F">
              <w:rPr>
                <w:rFonts w:eastAsia="Times New Roman"/>
                <w:lang w:eastAsia="en-AU"/>
              </w:rPr>
              <w:t>5</w:t>
            </w:r>
          </w:p>
        </w:tc>
      </w:tr>
    </w:tbl>
    <w:p w14:paraId="33186056" w14:textId="528F490B" w:rsidR="003F6260" w:rsidRPr="00E6110F" w:rsidRDefault="001A18D5" w:rsidP="003F6260">
      <w:pPr>
        <w:pStyle w:val="Body"/>
        <w:keepNext/>
      </w:pPr>
      <w:r>
        <w:rPr>
          <w:noProof/>
          <w:lang w:val="en-AU" w:eastAsia="en-AU"/>
        </w:rPr>
        <w:drawing>
          <wp:inline distT="0" distB="0" distL="0" distR="0" wp14:anchorId="5DF1FB2B" wp14:editId="4C7692EE">
            <wp:extent cx="5727700" cy="8094345"/>
            <wp:effectExtent l="0" t="0" r="6350" b="1905"/>
            <wp:docPr id="4" name="Picture 4" descr="Map of ecological assets Groundwater Feature (subsurface) Subgroup, Aquifer, geological Feature Class within the Surat Basin study area" title="Fig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R_Ecol GW Aquifer_20170316.png"/>
                    <pic:cNvPicPr/>
                  </pic:nvPicPr>
                  <pic:blipFill>
                    <a:blip r:embed="rId55"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4934A360" w14:textId="3CEEDEF6" w:rsidR="003F6260" w:rsidRPr="00E6110F" w:rsidRDefault="003F6260" w:rsidP="003F6260">
      <w:pPr>
        <w:pStyle w:val="Imagecaption"/>
      </w:pPr>
      <w:bookmarkStart w:id="166" w:name="_Ref476598109"/>
      <w:bookmarkStart w:id="167" w:name="_Toc477347555"/>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23</w:t>
      </w:r>
      <w:r w:rsidR="00254026">
        <w:fldChar w:fldCharType="end"/>
      </w:r>
      <w:bookmarkEnd w:id="166"/>
      <w:r w:rsidRPr="00E6110F">
        <w:t xml:space="preserve">  Ecological assets Groundwater Feature (subsurface) Subgroup, Aquifer, geological Feature Class within the Surat Basin study area.</w:t>
      </w:r>
      <w:r w:rsidR="001B47F1">
        <w:t xml:space="preserve"> Numbers refer to polygons</w:t>
      </w:r>
      <w:r w:rsidR="00263F57">
        <w:t xml:space="preserve"> depicting aquifers or geological features</w:t>
      </w:r>
      <w:r w:rsidR="001B47F1">
        <w:t>.</w:t>
      </w:r>
      <w:bookmarkEnd w:id="167"/>
    </w:p>
    <w:p w14:paraId="036C7571" w14:textId="0A5691EF" w:rsidR="003F6260" w:rsidRPr="00E6110F" w:rsidRDefault="008B4ACD" w:rsidP="003F6260">
      <w:pPr>
        <w:pStyle w:val="Body"/>
        <w:keepNext/>
      </w:pPr>
      <w:r>
        <w:rPr>
          <w:noProof/>
          <w:lang w:val="en-AU" w:eastAsia="en-AU"/>
        </w:rPr>
        <w:drawing>
          <wp:inline distT="0" distB="0" distL="0" distR="0" wp14:anchorId="36292B02" wp14:editId="7085DB73">
            <wp:extent cx="5727700" cy="8094345"/>
            <wp:effectExtent l="0" t="0" r="6350" b="1905"/>
            <wp:docPr id="534" name="Picture 534" descr="Map of ecological assets Surface Water Feature Subgroup within the Surat Basin study area." title="Fig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SUR_Ecol Surf Wat Feat_20170316.png"/>
                    <pic:cNvPicPr/>
                  </pic:nvPicPr>
                  <pic:blipFill>
                    <a:blip r:embed="rId56"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72E2222D" w14:textId="2915DF65" w:rsidR="003F6260" w:rsidRPr="00E6110F" w:rsidRDefault="003F6260" w:rsidP="003F6260">
      <w:pPr>
        <w:pStyle w:val="Imagecaption"/>
      </w:pPr>
      <w:bookmarkStart w:id="168" w:name="_Toc477347556"/>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24</w:t>
      </w:r>
      <w:r w:rsidR="00254026">
        <w:fldChar w:fldCharType="end"/>
      </w:r>
      <w:r w:rsidRPr="00E6110F">
        <w:t xml:space="preserve">  Ecological assets Surface Water Feature Subgroup within the Surat Basin study area.</w:t>
      </w:r>
      <w:bookmarkEnd w:id="168"/>
      <w:r w:rsidR="00263F57">
        <w:t xml:space="preserve"> Not all assets of the “</w:t>
      </w:r>
      <w:r w:rsidR="00263F57" w:rsidRPr="00E6110F">
        <w:rPr>
          <w:rFonts w:eastAsia="Times New Roman"/>
          <w:lang w:eastAsia="en-AU"/>
        </w:rPr>
        <w:t>Marsh, sedgeland, bog, spring or soak</w:t>
      </w:r>
      <w:r w:rsidR="00263F57">
        <w:rPr>
          <w:rFonts w:eastAsia="Times New Roman"/>
          <w:lang w:eastAsia="en-AU"/>
        </w:rPr>
        <w:t>”</w:t>
      </w:r>
      <w:r w:rsidR="00263F57">
        <w:t xml:space="preserve"> subgroup are visible due to clustering of data points.</w:t>
      </w:r>
    </w:p>
    <w:p w14:paraId="6846060A" w14:textId="3A50FB79" w:rsidR="003F6260" w:rsidRPr="00E6110F" w:rsidRDefault="00E344D6" w:rsidP="003F6260">
      <w:pPr>
        <w:pStyle w:val="Body"/>
        <w:keepNext/>
      </w:pPr>
      <w:r>
        <w:rPr>
          <w:noProof/>
          <w:lang w:val="en-AU" w:eastAsia="en-AU"/>
        </w:rPr>
        <w:drawing>
          <wp:inline distT="0" distB="0" distL="0" distR="0" wp14:anchorId="4FCC1E82" wp14:editId="021C6448">
            <wp:extent cx="5727700" cy="8094345"/>
            <wp:effectExtent l="0" t="0" r="6350" b="1905"/>
            <wp:docPr id="553" name="Picture 553" descr="Map of ecological assets Vegetation Subgroup within the Surat Basin study area" title="Fig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SUR_Ecol_Veg_GDE_Riparian_20170316.png"/>
                    <pic:cNvPicPr/>
                  </pic:nvPicPr>
                  <pic:blipFill>
                    <a:blip r:embed="rId57"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6162AAD6" w14:textId="658DA83B" w:rsidR="003F6260" w:rsidRPr="00E6110F" w:rsidRDefault="003F6260" w:rsidP="003F6260">
      <w:pPr>
        <w:pStyle w:val="Imagecaption"/>
      </w:pPr>
      <w:bookmarkStart w:id="169" w:name="_Toc477347557"/>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25</w:t>
      </w:r>
      <w:r w:rsidR="00254026">
        <w:fldChar w:fldCharType="end"/>
      </w:r>
      <w:r w:rsidRPr="00E6110F">
        <w:t xml:space="preserve"> Ecological assets Vegetation Subgroup within the Surat Basin study area.</w:t>
      </w:r>
      <w:bookmarkEnd w:id="169"/>
    </w:p>
    <w:p w14:paraId="2140C197" w14:textId="77777777" w:rsidR="003F6260" w:rsidRPr="00E6110F" w:rsidRDefault="003F6260" w:rsidP="003F6260">
      <w:pPr>
        <w:pStyle w:val="Body"/>
        <w:rPr>
          <w:rFonts w:eastAsia="Times New Roman"/>
          <w:lang w:eastAsia="en-AU"/>
        </w:rPr>
      </w:pPr>
    </w:p>
    <w:p w14:paraId="4C4F7C45" w14:textId="77777777" w:rsidR="003F6260" w:rsidRPr="00E6110F" w:rsidRDefault="003F6260" w:rsidP="003F6260">
      <w:pPr>
        <w:pStyle w:val="Heading3"/>
        <w:rPr>
          <w:rFonts w:eastAsia="Times New Roman"/>
          <w:lang w:eastAsia="en-AU"/>
        </w:rPr>
      </w:pPr>
      <w:bookmarkStart w:id="170" w:name="_Toc494444520"/>
      <w:r w:rsidRPr="00E6110F">
        <w:rPr>
          <w:rFonts w:eastAsia="Times New Roman"/>
          <w:lang w:eastAsia="en-AU"/>
        </w:rPr>
        <w:t>Economic assets</w:t>
      </w:r>
      <w:bookmarkEnd w:id="170"/>
    </w:p>
    <w:p w14:paraId="205F48AC" w14:textId="61820B99" w:rsidR="003F6260" w:rsidRPr="00E6110F" w:rsidRDefault="003F6260" w:rsidP="003F6260">
      <w:pPr>
        <w:pStyle w:val="Body"/>
        <w:rPr>
          <w:rFonts w:eastAsia="Times New Roman"/>
          <w:lang w:eastAsia="en-AU"/>
        </w:rPr>
      </w:pPr>
      <w:r w:rsidRPr="00E6110F">
        <w:rPr>
          <w:rFonts w:eastAsia="Times New Roman"/>
          <w:lang w:eastAsia="en-AU"/>
        </w:rPr>
        <w:t xml:space="preserve">Economic assets within the 30 km buffer included </w:t>
      </w:r>
      <w:r>
        <w:rPr>
          <w:rFonts w:eastAsia="Times New Roman"/>
          <w:lang w:eastAsia="en-AU"/>
        </w:rPr>
        <w:t>g</w:t>
      </w:r>
      <w:r w:rsidRPr="00E6110F">
        <w:rPr>
          <w:rFonts w:eastAsia="Times New Roman"/>
          <w:lang w:eastAsia="en-AU"/>
        </w:rPr>
        <w:t>roundwater management zone or area (surface area) subgroup</w:t>
      </w:r>
      <w:r w:rsidRPr="00E6110F">
        <w:t xml:space="preserve"> (</w:t>
      </w:r>
      <w:r>
        <w:rPr>
          <w:rFonts w:eastAsia="Times New Roman"/>
          <w:lang w:eastAsia="en-AU"/>
        </w:rPr>
        <w:t>b</w:t>
      </w:r>
      <w:r w:rsidRPr="00E6110F">
        <w:rPr>
          <w:rFonts w:eastAsia="Times New Roman"/>
          <w:lang w:eastAsia="en-AU"/>
        </w:rPr>
        <w:t xml:space="preserve">asic water right (stock and domestic) and </w:t>
      </w:r>
      <w:r>
        <w:rPr>
          <w:rFonts w:eastAsia="Times New Roman"/>
          <w:lang w:eastAsia="en-AU"/>
        </w:rPr>
        <w:t>w</w:t>
      </w:r>
      <w:r w:rsidRPr="00E6110F">
        <w:rPr>
          <w:rFonts w:eastAsia="Times New Roman"/>
          <w:lang w:eastAsia="en-AU"/>
        </w:rPr>
        <w:t xml:space="preserve">ater access right classes) (22 assets), and </w:t>
      </w:r>
      <w:r>
        <w:rPr>
          <w:rFonts w:eastAsia="Times New Roman"/>
          <w:lang w:eastAsia="en-AU"/>
        </w:rPr>
        <w:t>s</w:t>
      </w:r>
      <w:r w:rsidRPr="00E6110F">
        <w:rPr>
          <w:rFonts w:eastAsia="Times New Roman"/>
          <w:lang w:eastAsia="en-AU"/>
        </w:rPr>
        <w:t>urface water management zone or area (surface area) subgroup (W</w:t>
      </w:r>
      <w:r w:rsidR="001B47F1">
        <w:rPr>
          <w:rFonts w:eastAsia="Times New Roman"/>
          <w:lang w:eastAsia="en-AU"/>
        </w:rPr>
        <w:t>a</w:t>
      </w:r>
      <w:r w:rsidRPr="00E6110F">
        <w:rPr>
          <w:rFonts w:eastAsia="Times New Roman"/>
          <w:lang w:eastAsia="en-AU"/>
        </w:rPr>
        <w:t>ter access right class) (7 assets) (</w:t>
      </w:r>
      <w:r w:rsidRPr="00E6110F">
        <w:rPr>
          <w:rFonts w:eastAsia="Times New Roman"/>
          <w:lang w:eastAsia="en-AU"/>
        </w:rPr>
        <w:fldChar w:fldCharType="begin" w:fldLock="1"/>
      </w:r>
      <w:r w:rsidRPr="00E6110F">
        <w:rPr>
          <w:rFonts w:eastAsia="Times New Roman"/>
          <w:lang w:eastAsia="en-AU"/>
        </w:rPr>
        <w:instrText xml:space="preserve"> REF _Ref453345196 \h </w:instrText>
      </w:r>
      <w:r>
        <w:rPr>
          <w:rFonts w:eastAsia="Times New Roman"/>
          <w:lang w:eastAsia="en-AU"/>
        </w:rPr>
        <w:instrText xml:space="preserve"> \* MERGEFORMAT </w:instrText>
      </w:r>
      <w:r w:rsidRPr="00E6110F">
        <w:rPr>
          <w:rFonts w:eastAsia="Times New Roman"/>
          <w:lang w:eastAsia="en-AU"/>
        </w:rPr>
      </w:r>
      <w:r w:rsidRPr="00E6110F">
        <w:rPr>
          <w:rFonts w:eastAsia="Times New Roman"/>
          <w:lang w:eastAsia="en-AU"/>
        </w:rPr>
        <w:fldChar w:fldCharType="separate"/>
      </w:r>
      <w:r w:rsidR="00335E79" w:rsidRPr="00E6110F">
        <w:t xml:space="preserve">Table </w:t>
      </w:r>
      <w:r w:rsidR="00335E79">
        <w:rPr>
          <w:noProof/>
        </w:rPr>
        <w:t>2</w:t>
      </w:r>
      <w:r w:rsidR="00335E79">
        <w:rPr>
          <w:noProof/>
        </w:rPr>
        <w:noBreakHyphen/>
        <w:t>13</w:t>
      </w:r>
      <w:r w:rsidRPr="00E6110F">
        <w:rPr>
          <w:rFonts w:eastAsia="Times New Roman"/>
          <w:lang w:eastAsia="en-AU"/>
        </w:rPr>
        <w:fldChar w:fldCharType="end"/>
      </w:r>
      <w:r w:rsidRPr="00E6110F">
        <w:rPr>
          <w:rFonts w:eastAsia="Times New Roman"/>
          <w:lang w:eastAsia="en-AU"/>
        </w:rPr>
        <w:t>).</w:t>
      </w:r>
    </w:p>
    <w:p w14:paraId="1A1E95B2" w14:textId="77777777" w:rsidR="00730FE0" w:rsidRPr="00E6110F" w:rsidRDefault="00730FE0" w:rsidP="00730FE0">
      <w:pPr>
        <w:pStyle w:val="Body"/>
        <w:rPr>
          <w:rFonts w:eastAsia="Times New Roman"/>
          <w:lang w:eastAsia="en-AU"/>
        </w:rPr>
      </w:pPr>
    </w:p>
    <w:p w14:paraId="22619440" w14:textId="77777777" w:rsidR="00730FE0" w:rsidRPr="0015611A" w:rsidRDefault="00730FE0" w:rsidP="00730FE0">
      <w:pPr>
        <w:pStyle w:val="Imagecaption"/>
        <w:keepNext/>
        <w:pBdr>
          <w:top w:val="none" w:sz="0" w:space="0" w:color="auto"/>
        </w:pBdr>
      </w:pPr>
      <w:bookmarkStart w:id="171" w:name="_Toc494444703"/>
      <w:r w:rsidRPr="00E6110F">
        <w:t xml:space="preserve">Table </w:t>
      </w:r>
      <w:r>
        <w:fldChar w:fldCharType="begin" w:fldLock="1"/>
      </w:r>
      <w:r>
        <w:instrText xml:space="preserve"> STYLEREF 1 \s </w:instrText>
      </w:r>
      <w:r>
        <w:fldChar w:fldCharType="separate"/>
      </w:r>
      <w:r>
        <w:rPr>
          <w:noProof/>
        </w:rPr>
        <w:t>2</w:t>
      </w:r>
      <w:r>
        <w:fldChar w:fldCharType="end"/>
      </w:r>
      <w:r>
        <w:noBreakHyphen/>
      </w:r>
      <w:r>
        <w:fldChar w:fldCharType="begin"/>
      </w:r>
      <w:r>
        <w:instrText xml:space="preserve"> SEQ Table \* ARABIC \s 1 </w:instrText>
      </w:r>
      <w:r>
        <w:fldChar w:fldCharType="separate"/>
      </w:r>
      <w:r w:rsidR="00951AFC">
        <w:rPr>
          <w:noProof/>
        </w:rPr>
        <w:t>13</w:t>
      </w:r>
      <w:r>
        <w:fldChar w:fldCharType="end"/>
      </w:r>
      <w:r w:rsidRPr="00E6110F">
        <w:t xml:space="preserve"> Summary of economic assets within the preliminary assessment extent of the MBC subregion. Only the water-dependent assets within the </w:t>
      </w:r>
      <w:r>
        <w:t>particle tracking extent</w:t>
      </w:r>
      <w:r w:rsidRPr="00E6110F">
        <w:t xml:space="preserve"> buffer area are considered in the current study.</w:t>
      </w:r>
      <w:bookmarkEnd w:id="171"/>
    </w:p>
    <w:tbl>
      <w:tblPr>
        <w:tblStyle w:val="TableGrid"/>
        <w:tblW w:w="8926" w:type="dxa"/>
        <w:tblLayout w:type="fixed"/>
        <w:tblLook w:val="04A0" w:firstRow="1" w:lastRow="0" w:firstColumn="1" w:lastColumn="0" w:noHBand="0" w:noVBand="1"/>
      </w:tblPr>
      <w:tblGrid>
        <w:gridCol w:w="2263"/>
        <w:gridCol w:w="1843"/>
        <w:gridCol w:w="1276"/>
        <w:gridCol w:w="1134"/>
        <w:gridCol w:w="1134"/>
        <w:gridCol w:w="1276"/>
      </w:tblGrid>
      <w:tr w:rsidR="00730FE0" w:rsidRPr="00E6110F" w14:paraId="5D6720C0" w14:textId="77777777" w:rsidTr="00674390">
        <w:trPr>
          <w:trHeight w:val="255"/>
        </w:trPr>
        <w:tc>
          <w:tcPr>
            <w:tcW w:w="2263" w:type="dxa"/>
            <w:shd w:val="clear" w:color="auto" w:fill="F2F2F2" w:themeFill="background1" w:themeFillShade="F2"/>
            <w:noWrap/>
            <w:hideMark/>
          </w:tcPr>
          <w:p w14:paraId="148112C6" w14:textId="77777777" w:rsidR="00730FE0" w:rsidRPr="00E6110F" w:rsidRDefault="00730FE0" w:rsidP="00674390">
            <w:pPr>
              <w:pStyle w:val="Body"/>
              <w:rPr>
                <w:rFonts w:eastAsia="Times New Roman"/>
                <w:lang w:eastAsia="en-AU"/>
              </w:rPr>
            </w:pPr>
            <w:r w:rsidRPr="00E6110F">
              <w:rPr>
                <w:rFonts w:eastAsia="Times New Roman"/>
                <w:lang w:eastAsia="en-AU"/>
              </w:rPr>
              <w:t>Subgroup</w:t>
            </w:r>
          </w:p>
        </w:tc>
        <w:tc>
          <w:tcPr>
            <w:tcW w:w="1843" w:type="dxa"/>
            <w:shd w:val="clear" w:color="auto" w:fill="F2F2F2" w:themeFill="background1" w:themeFillShade="F2"/>
            <w:noWrap/>
            <w:hideMark/>
          </w:tcPr>
          <w:p w14:paraId="36BA0042" w14:textId="77777777" w:rsidR="00730FE0" w:rsidRPr="00E6110F" w:rsidRDefault="00730FE0" w:rsidP="00674390">
            <w:pPr>
              <w:pStyle w:val="Body"/>
              <w:rPr>
                <w:rFonts w:eastAsia="Times New Roman"/>
                <w:lang w:eastAsia="en-AU"/>
              </w:rPr>
            </w:pPr>
            <w:r w:rsidRPr="00E6110F">
              <w:rPr>
                <w:rFonts w:eastAsia="Times New Roman"/>
                <w:lang w:eastAsia="en-AU"/>
              </w:rPr>
              <w:t>Class</w:t>
            </w:r>
          </w:p>
        </w:tc>
        <w:tc>
          <w:tcPr>
            <w:tcW w:w="1276" w:type="dxa"/>
            <w:shd w:val="clear" w:color="auto" w:fill="F2F2F2" w:themeFill="background1" w:themeFillShade="F2"/>
            <w:noWrap/>
            <w:hideMark/>
          </w:tcPr>
          <w:p w14:paraId="18A8C503" w14:textId="77777777" w:rsidR="00730FE0" w:rsidRPr="00E6110F" w:rsidRDefault="00730FE0" w:rsidP="00674390">
            <w:pPr>
              <w:pStyle w:val="Body"/>
              <w:rPr>
                <w:rFonts w:eastAsia="Times New Roman"/>
                <w:lang w:eastAsia="en-AU"/>
              </w:rPr>
            </w:pPr>
            <w:r w:rsidRPr="00E6110F">
              <w:rPr>
                <w:rFonts w:eastAsia="Times New Roman"/>
                <w:lang w:eastAsia="en-AU"/>
              </w:rPr>
              <w:t>Not in water- dependent asset register</w:t>
            </w:r>
          </w:p>
        </w:tc>
        <w:tc>
          <w:tcPr>
            <w:tcW w:w="1134" w:type="dxa"/>
            <w:shd w:val="clear" w:color="auto" w:fill="F2F2F2" w:themeFill="background1" w:themeFillShade="F2"/>
            <w:noWrap/>
            <w:hideMark/>
          </w:tcPr>
          <w:p w14:paraId="1D9AC02F" w14:textId="77777777" w:rsidR="00730FE0" w:rsidRPr="00E6110F" w:rsidRDefault="00730FE0" w:rsidP="00674390">
            <w:pPr>
              <w:pStyle w:val="Body"/>
              <w:rPr>
                <w:rFonts w:eastAsia="Times New Roman"/>
                <w:lang w:eastAsia="en-AU"/>
              </w:rPr>
            </w:pPr>
            <w:r w:rsidRPr="00E6110F">
              <w:rPr>
                <w:rFonts w:eastAsia="Times New Roman"/>
                <w:lang w:eastAsia="en-AU"/>
              </w:rPr>
              <w:t>In water- dependent asset register</w:t>
            </w:r>
          </w:p>
        </w:tc>
        <w:tc>
          <w:tcPr>
            <w:tcW w:w="1134" w:type="dxa"/>
            <w:shd w:val="clear" w:color="auto" w:fill="F2F2F2" w:themeFill="background1" w:themeFillShade="F2"/>
            <w:noWrap/>
            <w:hideMark/>
          </w:tcPr>
          <w:p w14:paraId="54CB9879" w14:textId="77777777" w:rsidR="00730FE0" w:rsidRPr="00E6110F" w:rsidRDefault="00730FE0" w:rsidP="00674390">
            <w:pPr>
              <w:pStyle w:val="Body"/>
              <w:rPr>
                <w:rFonts w:eastAsia="Times New Roman"/>
                <w:lang w:eastAsia="en-AU"/>
              </w:rPr>
            </w:pPr>
            <w:r w:rsidRPr="00E6110F">
              <w:rPr>
                <w:rFonts w:eastAsia="Times New Roman"/>
                <w:lang w:eastAsia="en-AU"/>
              </w:rPr>
              <w:t>Total assets (asset list)</w:t>
            </w:r>
          </w:p>
        </w:tc>
        <w:tc>
          <w:tcPr>
            <w:tcW w:w="1276" w:type="dxa"/>
            <w:shd w:val="clear" w:color="auto" w:fill="F2F2F2" w:themeFill="background1" w:themeFillShade="F2"/>
            <w:noWrap/>
            <w:hideMark/>
          </w:tcPr>
          <w:p w14:paraId="21A54C26" w14:textId="77777777" w:rsidR="00730FE0" w:rsidRPr="00E6110F" w:rsidRDefault="00730FE0" w:rsidP="00674390">
            <w:pPr>
              <w:pStyle w:val="Body"/>
              <w:rPr>
                <w:rFonts w:eastAsia="Times New Roman"/>
                <w:lang w:eastAsia="en-AU"/>
              </w:rPr>
            </w:pPr>
            <w:r w:rsidRPr="00E6110F">
              <w:rPr>
                <w:rFonts w:eastAsia="Times New Roman"/>
                <w:lang w:eastAsia="en-AU"/>
              </w:rPr>
              <w:t xml:space="preserve">Assets within </w:t>
            </w:r>
            <w:r>
              <w:rPr>
                <w:rFonts w:eastAsia="Times New Roman"/>
                <w:lang w:eastAsia="en-AU"/>
              </w:rPr>
              <w:t>the particle tracking extent</w:t>
            </w:r>
            <w:r w:rsidRPr="00E6110F">
              <w:rPr>
                <w:rFonts w:eastAsia="Times New Roman"/>
                <w:lang w:eastAsia="en-AU"/>
              </w:rPr>
              <w:t xml:space="preserve"> buffer between </w:t>
            </w:r>
            <w:r w:rsidRPr="00E6110F">
              <w:t xml:space="preserve">180°S and 90°E </w:t>
            </w:r>
            <w:r w:rsidRPr="00E6110F">
              <w:rPr>
                <w:rFonts w:eastAsia="Times New Roman"/>
                <w:lang w:eastAsia="en-AU"/>
              </w:rPr>
              <w:t>from CSG wells</w:t>
            </w:r>
          </w:p>
        </w:tc>
      </w:tr>
      <w:tr w:rsidR="00730FE0" w:rsidRPr="00E6110F" w14:paraId="0CC69DE9" w14:textId="77777777" w:rsidTr="00674390">
        <w:trPr>
          <w:trHeight w:val="255"/>
        </w:trPr>
        <w:tc>
          <w:tcPr>
            <w:tcW w:w="2263" w:type="dxa"/>
            <w:noWrap/>
            <w:hideMark/>
          </w:tcPr>
          <w:p w14:paraId="58604283" w14:textId="77777777" w:rsidR="00730FE0" w:rsidRPr="00E6110F" w:rsidRDefault="00730FE0" w:rsidP="00674390">
            <w:pPr>
              <w:pStyle w:val="Body"/>
              <w:rPr>
                <w:rFonts w:eastAsia="Times New Roman"/>
                <w:lang w:eastAsia="en-AU"/>
              </w:rPr>
            </w:pPr>
            <w:r w:rsidRPr="00E6110F">
              <w:rPr>
                <w:rFonts w:eastAsia="Times New Roman"/>
                <w:lang w:eastAsia="en-AU"/>
              </w:rPr>
              <w:t>Groundwater management zone or area (surface area)</w:t>
            </w:r>
          </w:p>
        </w:tc>
        <w:tc>
          <w:tcPr>
            <w:tcW w:w="1843" w:type="dxa"/>
            <w:noWrap/>
            <w:hideMark/>
          </w:tcPr>
          <w:p w14:paraId="7FE4707B" w14:textId="77777777" w:rsidR="00730FE0" w:rsidRPr="00E6110F" w:rsidRDefault="00730FE0" w:rsidP="00674390">
            <w:pPr>
              <w:pStyle w:val="Body"/>
              <w:rPr>
                <w:rFonts w:eastAsia="Times New Roman"/>
                <w:lang w:eastAsia="en-AU"/>
              </w:rPr>
            </w:pPr>
            <w:r w:rsidRPr="00E6110F">
              <w:rPr>
                <w:rFonts w:eastAsia="Times New Roman"/>
                <w:lang w:eastAsia="en-AU"/>
              </w:rPr>
              <w:t>Basic water right (stock and domestic)</w:t>
            </w:r>
          </w:p>
        </w:tc>
        <w:tc>
          <w:tcPr>
            <w:tcW w:w="1276" w:type="dxa"/>
            <w:noWrap/>
            <w:hideMark/>
          </w:tcPr>
          <w:p w14:paraId="79BC172A" w14:textId="77777777" w:rsidR="00730FE0" w:rsidRPr="00E6110F" w:rsidRDefault="00730FE0" w:rsidP="00674390">
            <w:pPr>
              <w:pStyle w:val="Body"/>
              <w:rPr>
                <w:rFonts w:eastAsia="Times New Roman"/>
                <w:lang w:eastAsia="en-AU"/>
              </w:rPr>
            </w:pPr>
            <w:r w:rsidRPr="00E6110F">
              <w:rPr>
                <w:rFonts w:eastAsia="Times New Roman"/>
                <w:lang w:eastAsia="en-AU"/>
              </w:rPr>
              <w:t>0</w:t>
            </w:r>
          </w:p>
        </w:tc>
        <w:tc>
          <w:tcPr>
            <w:tcW w:w="1134" w:type="dxa"/>
            <w:noWrap/>
            <w:hideMark/>
          </w:tcPr>
          <w:p w14:paraId="3FD1A975" w14:textId="77777777" w:rsidR="00730FE0" w:rsidRPr="00E6110F" w:rsidRDefault="00730FE0" w:rsidP="00674390">
            <w:pPr>
              <w:pStyle w:val="Body"/>
              <w:rPr>
                <w:rFonts w:eastAsia="Times New Roman"/>
                <w:lang w:eastAsia="en-AU"/>
              </w:rPr>
            </w:pPr>
            <w:r w:rsidRPr="00E6110F">
              <w:rPr>
                <w:rFonts w:eastAsia="Times New Roman"/>
                <w:lang w:eastAsia="en-AU"/>
              </w:rPr>
              <w:t>38</w:t>
            </w:r>
          </w:p>
        </w:tc>
        <w:tc>
          <w:tcPr>
            <w:tcW w:w="1134" w:type="dxa"/>
            <w:noWrap/>
            <w:hideMark/>
          </w:tcPr>
          <w:p w14:paraId="695EC970" w14:textId="77777777" w:rsidR="00730FE0" w:rsidRPr="00E6110F" w:rsidRDefault="00730FE0" w:rsidP="00674390">
            <w:pPr>
              <w:pStyle w:val="Body"/>
              <w:rPr>
                <w:rFonts w:eastAsia="Times New Roman"/>
                <w:lang w:eastAsia="en-AU"/>
              </w:rPr>
            </w:pPr>
            <w:r w:rsidRPr="00E6110F">
              <w:rPr>
                <w:rFonts w:eastAsia="Times New Roman"/>
                <w:lang w:eastAsia="en-AU"/>
              </w:rPr>
              <w:t>38</w:t>
            </w:r>
          </w:p>
        </w:tc>
        <w:tc>
          <w:tcPr>
            <w:tcW w:w="1276" w:type="dxa"/>
            <w:noWrap/>
            <w:hideMark/>
          </w:tcPr>
          <w:p w14:paraId="7462C904" w14:textId="0951B4A3" w:rsidR="00730FE0" w:rsidRPr="00E6110F" w:rsidRDefault="00730FE0" w:rsidP="00674390">
            <w:pPr>
              <w:pStyle w:val="Body"/>
              <w:rPr>
                <w:rFonts w:eastAsia="Times New Roman"/>
                <w:lang w:eastAsia="en-AU"/>
              </w:rPr>
            </w:pPr>
            <w:r w:rsidRPr="00E6110F">
              <w:rPr>
                <w:rFonts w:eastAsia="Times New Roman"/>
                <w:lang w:eastAsia="en-AU"/>
              </w:rPr>
              <w:t>14</w:t>
            </w:r>
            <w:r w:rsidRPr="00730FE0">
              <w:rPr>
                <w:rFonts w:eastAsia="Times New Roman"/>
                <w:vertAlign w:val="superscript"/>
                <w:lang w:eastAsia="en-AU"/>
              </w:rPr>
              <w:t>*</w:t>
            </w:r>
          </w:p>
        </w:tc>
      </w:tr>
      <w:tr w:rsidR="00730FE0" w:rsidRPr="00E6110F" w14:paraId="79A9081B" w14:textId="77777777" w:rsidTr="00674390">
        <w:trPr>
          <w:trHeight w:val="255"/>
        </w:trPr>
        <w:tc>
          <w:tcPr>
            <w:tcW w:w="2263" w:type="dxa"/>
            <w:noWrap/>
            <w:hideMark/>
          </w:tcPr>
          <w:p w14:paraId="3AA4A612" w14:textId="77777777" w:rsidR="00730FE0" w:rsidRPr="00E6110F" w:rsidRDefault="00730FE0" w:rsidP="00674390">
            <w:pPr>
              <w:pStyle w:val="Body"/>
              <w:rPr>
                <w:rFonts w:eastAsia="Times New Roman"/>
                <w:lang w:eastAsia="en-AU"/>
              </w:rPr>
            </w:pPr>
            <w:r w:rsidRPr="00E6110F">
              <w:rPr>
                <w:rFonts w:eastAsia="Times New Roman"/>
                <w:lang w:eastAsia="en-AU"/>
              </w:rPr>
              <w:t>Groundwater management zone or area (surface area)</w:t>
            </w:r>
          </w:p>
        </w:tc>
        <w:tc>
          <w:tcPr>
            <w:tcW w:w="1843" w:type="dxa"/>
            <w:noWrap/>
            <w:hideMark/>
          </w:tcPr>
          <w:p w14:paraId="5983E3BE" w14:textId="77777777" w:rsidR="00730FE0" w:rsidRPr="00E6110F" w:rsidRDefault="00730FE0" w:rsidP="00674390">
            <w:pPr>
              <w:pStyle w:val="Body"/>
              <w:rPr>
                <w:rFonts w:eastAsia="Times New Roman"/>
                <w:lang w:eastAsia="en-AU"/>
              </w:rPr>
            </w:pPr>
            <w:r w:rsidRPr="00E6110F">
              <w:rPr>
                <w:rFonts w:eastAsia="Times New Roman"/>
                <w:lang w:eastAsia="en-AU"/>
              </w:rPr>
              <w:t>Water access right</w:t>
            </w:r>
          </w:p>
        </w:tc>
        <w:tc>
          <w:tcPr>
            <w:tcW w:w="1276" w:type="dxa"/>
            <w:noWrap/>
            <w:hideMark/>
          </w:tcPr>
          <w:p w14:paraId="33C4DCBF" w14:textId="77777777" w:rsidR="00730FE0" w:rsidRPr="00E6110F" w:rsidRDefault="00730FE0" w:rsidP="00674390">
            <w:pPr>
              <w:pStyle w:val="Body"/>
              <w:rPr>
                <w:rFonts w:eastAsia="Times New Roman"/>
                <w:lang w:eastAsia="en-AU"/>
              </w:rPr>
            </w:pPr>
            <w:r w:rsidRPr="00E6110F">
              <w:rPr>
                <w:rFonts w:eastAsia="Times New Roman"/>
                <w:lang w:eastAsia="en-AU"/>
              </w:rPr>
              <w:t>0</w:t>
            </w:r>
          </w:p>
        </w:tc>
        <w:tc>
          <w:tcPr>
            <w:tcW w:w="1134" w:type="dxa"/>
            <w:noWrap/>
            <w:hideMark/>
          </w:tcPr>
          <w:p w14:paraId="2255545E" w14:textId="77777777" w:rsidR="00730FE0" w:rsidRPr="00E6110F" w:rsidRDefault="00730FE0" w:rsidP="00674390">
            <w:pPr>
              <w:pStyle w:val="Body"/>
              <w:rPr>
                <w:rFonts w:eastAsia="Times New Roman"/>
                <w:lang w:eastAsia="en-AU"/>
              </w:rPr>
            </w:pPr>
            <w:r w:rsidRPr="00E6110F">
              <w:rPr>
                <w:rFonts w:eastAsia="Times New Roman"/>
                <w:lang w:eastAsia="en-AU"/>
              </w:rPr>
              <w:t>76</w:t>
            </w:r>
          </w:p>
        </w:tc>
        <w:tc>
          <w:tcPr>
            <w:tcW w:w="1134" w:type="dxa"/>
            <w:noWrap/>
            <w:hideMark/>
          </w:tcPr>
          <w:p w14:paraId="3E9270D7" w14:textId="77777777" w:rsidR="00730FE0" w:rsidRPr="00E6110F" w:rsidRDefault="00730FE0" w:rsidP="00674390">
            <w:pPr>
              <w:pStyle w:val="Body"/>
              <w:rPr>
                <w:rFonts w:eastAsia="Times New Roman"/>
                <w:lang w:eastAsia="en-AU"/>
              </w:rPr>
            </w:pPr>
            <w:r w:rsidRPr="00E6110F">
              <w:rPr>
                <w:rFonts w:eastAsia="Times New Roman"/>
                <w:lang w:eastAsia="en-AU"/>
              </w:rPr>
              <w:t>76</w:t>
            </w:r>
          </w:p>
        </w:tc>
        <w:tc>
          <w:tcPr>
            <w:tcW w:w="1276" w:type="dxa"/>
            <w:noWrap/>
            <w:hideMark/>
          </w:tcPr>
          <w:p w14:paraId="12FFC804" w14:textId="1E8B81C5" w:rsidR="00730FE0" w:rsidRPr="00E6110F" w:rsidRDefault="00730FE0" w:rsidP="00674390">
            <w:pPr>
              <w:pStyle w:val="Body"/>
              <w:rPr>
                <w:rFonts w:eastAsia="Times New Roman"/>
                <w:lang w:eastAsia="en-AU"/>
              </w:rPr>
            </w:pPr>
            <w:r w:rsidRPr="00E6110F">
              <w:rPr>
                <w:rFonts w:eastAsia="Times New Roman"/>
                <w:lang w:eastAsia="en-AU"/>
              </w:rPr>
              <w:t>8</w:t>
            </w:r>
            <w:r w:rsidRPr="00730FE0">
              <w:rPr>
                <w:rFonts w:eastAsia="Times New Roman"/>
                <w:vertAlign w:val="superscript"/>
                <w:lang w:eastAsia="en-AU"/>
              </w:rPr>
              <w:t>**</w:t>
            </w:r>
          </w:p>
        </w:tc>
      </w:tr>
      <w:tr w:rsidR="00730FE0" w:rsidRPr="00E6110F" w14:paraId="2DDB290F" w14:textId="77777777" w:rsidTr="00674390">
        <w:trPr>
          <w:trHeight w:val="255"/>
        </w:trPr>
        <w:tc>
          <w:tcPr>
            <w:tcW w:w="2263" w:type="dxa"/>
            <w:noWrap/>
            <w:hideMark/>
          </w:tcPr>
          <w:p w14:paraId="64A8FF06" w14:textId="77777777" w:rsidR="00730FE0" w:rsidRPr="00E6110F" w:rsidRDefault="00730FE0" w:rsidP="00674390">
            <w:pPr>
              <w:pStyle w:val="Body"/>
              <w:rPr>
                <w:rFonts w:eastAsia="Times New Roman"/>
                <w:lang w:eastAsia="en-AU"/>
              </w:rPr>
            </w:pPr>
            <w:r w:rsidRPr="00E6110F">
              <w:rPr>
                <w:rFonts w:eastAsia="Times New Roman"/>
                <w:lang w:eastAsia="en-AU"/>
              </w:rPr>
              <w:t>Groundwater management zone or area (surface area)</w:t>
            </w:r>
          </w:p>
        </w:tc>
        <w:tc>
          <w:tcPr>
            <w:tcW w:w="1843" w:type="dxa"/>
            <w:noWrap/>
            <w:hideMark/>
          </w:tcPr>
          <w:p w14:paraId="424C75E7" w14:textId="77777777" w:rsidR="00730FE0" w:rsidRPr="00E6110F" w:rsidRDefault="00730FE0" w:rsidP="00674390">
            <w:pPr>
              <w:pStyle w:val="Body"/>
              <w:rPr>
                <w:rFonts w:eastAsia="Times New Roman"/>
                <w:lang w:eastAsia="en-AU"/>
              </w:rPr>
            </w:pPr>
            <w:r w:rsidRPr="00E6110F">
              <w:rPr>
                <w:rFonts w:eastAsia="Times New Roman"/>
                <w:lang w:eastAsia="en-AU"/>
              </w:rPr>
              <w:t>Water supply and monitoring infrastructure</w:t>
            </w:r>
          </w:p>
        </w:tc>
        <w:tc>
          <w:tcPr>
            <w:tcW w:w="1276" w:type="dxa"/>
            <w:noWrap/>
            <w:hideMark/>
          </w:tcPr>
          <w:p w14:paraId="0A53E7E7" w14:textId="77777777" w:rsidR="00730FE0" w:rsidRPr="00E6110F" w:rsidRDefault="00730FE0" w:rsidP="00674390">
            <w:pPr>
              <w:pStyle w:val="Body"/>
              <w:rPr>
                <w:rFonts w:eastAsia="Times New Roman"/>
                <w:lang w:eastAsia="en-AU"/>
              </w:rPr>
            </w:pPr>
            <w:r w:rsidRPr="00E6110F">
              <w:rPr>
                <w:rFonts w:eastAsia="Times New Roman"/>
                <w:lang w:eastAsia="en-AU"/>
              </w:rPr>
              <w:t>0</w:t>
            </w:r>
          </w:p>
        </w:tc>
        <w:tc>
          <w:tcPr>
            <w:tcW w:w="1134" w:type="dxa"/>
            <w:noWrap/>
            <w:hideMark/>
          </w:tcPr>
          <w:p w14:paraId="4FF4393F" w14:textId="77777777" w:rsidR="00730FE0" w:rsidRPr="00E6110F" w:rsidRDefault="00730FE0" w:rsidP="00674390">
            <w:pPr>
              <w:pStyle w:val="Body"/>
              <w:rPr>
                <w:rFonts w:eastAsia="Times New Roman"/>
                <w:lang w:eastAsia="en-AU"/>
              </w:rPr>
            </w:pPr>
            <w:r w:rsidRPr="00E6110F">
              <w:rPr>
                <w:rFonts w:eastAsia="Times New Roman"/>
                <w:lang w:eastAsia="en-AU"/>
              </w:rPr>
              <w:t>13</w:t>
            </w:r>
          </w:p>
        </w:tc>
        <w:tc>
          <w:tcPr>
            <w:tcW w:w="1134" w:type="dxa"/>
            <w:noWrap/>
            <w:hideMark/>
          </w:tcPr>
          <w:p w14:paraId="674505CB" w14:textId="77777777" w:rsidR="00730FE0" w:rsidRPr="00E6110F" w:rsidRDefault="00730FE0" w:rsidP="00674390">
            <w:pPr>
              <w:pStyle w:val="Body"/>
              <w:rPr>
                <w:rFonts w:eastAsia="Times New Roman"/>
                <w:lang w:eastAsia="en-AU"/>
              </w:rPr>
            </w:pPr>
            <w:r w:rsidRPr="00E6110F">
              <w:rPr>
                <w:rFonts w:eastAsia="Times New Roman"/>
                <w:lang w:eastAsia="en-AU"/>
              </w:rPr>
              <w:t>13</w:t>
            </w:r>
          </w:p>
        </w:tc>
        <w:tc>
          <w:tcPr>
            <w:tcW w:w="1276" w:type="dxa"/>
            <w:noWrap/>
            <w:hideMark/>
          </w:tcPr>
          <w:p w14:paraId="5DFC29C4" w14:textId="77777777" w:rsidR="00730FE0" w:rsidRPr="00E6110F" w:rsidRDefault="00730FE0" w:rsidP="00674390">
            <w:pPr>
              <w:pStyle w:val="Body"/>
              <w:rPr>
                <w:rFonts w:eastAsia="Times New Roman"/>
                <w:lang w:eastAsia="en-AU"/>
              </w:rPr>
            </w:pPr>
            <w:r w:rsidRPr="00E6110F">
              <w:rPr>
                <w:rFonts w:eastAsia="Times New Roman"/>
                <w:lang w:eastAsia="en-AU"/>
              </w:rPr>
              <w:t>0</w:t>
            </w:r>
          </w:p>
        </w:tc>
      </w:tr>
      <w:tr w:rsidR="00730FE0" w:rsidRPr="00E6110F" w14:paraId="1DAF5502" w14:textId="77777777" w:rsidTr="00674390">
        <w:trPr>
          <w:trHeight w:val="255"/>
        </w:trPr>
        <w:tc>
          <w:tcPr>
            <w:tcW w:w="2263" w:type="dxa"/>
            <w:noWrap/>
            <w:hideMark/>
          </w:tcPr>
          <w:p w14:paraId="4BC2EAA8" w14:textId="77777777" w:rsidR="00730FE0" w:rsidRPr="00E6110F" w:rsidRDefault="00730FE0" w:rsidP="00674390">
            <w:pPr>
              <w:pStyle w:val="Body"/>
              <w:rPr>
                <w:rFonts w:eastAsia="Times New Roman"/>
                <w:lang w:eastAsia="en-AU"/>
              </w:rPr>
            </w:pPr>
            <w:r w:rsidRPr="00E6110F">
              <w:rPr>
                <w:rFonts w:eastAsia="Times New Roman"/>
                <w:lang w:eastAsia="en-AU"/>
              </w:rPr>
              <w:t>Surface water management zone or area (surface area)</w:t>
            </w:r>
          </w:p>
        </w:tc>
        <w:tc>
          <w:tcPr>
            <w:tcW w:w="1843" w:type="dxa"/>
            <w:noWrap/>
            <w:hideMark/>
          </w:tcPr>
          <w:p w14:paraId="0FB11071" w14:textId="77777777" w:rsidR="00730FE0" w:rsidRPr="00E6110F" w:rsidRDefault="00730FE0" w:rsidP="00674390">
            <w:pPr>
              <w:pStyle w:val="Body"/>
              <w:rPr>
                <w:rFonts w:eastAsia="Times New Roman"/>
                <w:lang w:eastAsia="en-AU"/>
              </w:rPr>
            </w:pPr>
            <w:r w:rsidRPr="00E6110F">
              <w:rPr>
                <w:rFonts w:eastAsia="Times New Roman"/>
                <w:lang w:eastAsia="en-AU"/>
              </w:rPr>
              <w:t>Basic water right (stock and domestic)</w:t>
            </w:r>
          </w:p>
        </w:tc>
        <w:tc>
          <w:tcPr>
            <w:tcW w:w="1276" w:type="dxa"/>
            <w:noWrap/>
            <w:hideMark/>
          </w:tcPr>
          <w:p w14:paraId="16D077A0" w14:textId="77777777" w:rsidR="00730FE0" w:rsidRPr="00E6110F" w:rsidRDefault="00730FE0" w:rsidP="00674390">
            <w:pPr>
              <w:pStyle w:val="Body"/>
              <w:rPr>
                <w:rFonts w:eastAsia="Times New Roman"/>
                <w:lang w:eastAsia="en-AU"/>
              </w:rPr>
            </w:pPr>
            <w:r w:rsidRPr="00E6110F">
              <w:rPr>
                <w:rFonts w:eastAsia="Times New Roman"/>
                <w:lang w:eastAsia="en-AU"/>
              </w:rPr>
              <w:t>0</w:t>
            </w:r>
          </w:p>
        </w:tc>
        <w:tc>
          <w:tcPr>
            <w:tcW w:w="1134" w:type="dxa"/>
            <w:noWrap/>
            <w:hideMark/>
          </w:tcPr>
          <w:p w14:paraId="5689EDEB" w14:textId="77777777" w:rsidR="00730FE0" w:rsidRPr="00E6110F" w:rsidRDefault="00730FE0" w:rsidP="00674390">
            <w:pPr>
              <w:pStyle w:val="Body"/>
              <w:rPr>
                <w:rFonts w:eastAsia="Times New Roman"/>
                <w:lang w:eastAsia="en-AU"/>
              </w:rPr>
            </w:pPr>
            <w:r w:rsidRPr="00E6110F">
              <w:rPr>
                <w:rFonts w:eastAsia="Times New Roman"/>
                <w:lang w:eastAsia="en-AU"/>
              </w:rPr>
              <w:t>32</w:t>
            </w:r>
          </w:p>
        </w:tc>
        <w:tc>
          <w:tcPr>
            <w:tcW w:w="1134" w:type="dxa"/>
            <w:noWrap/>
            <w:hideMark/>
          </w:tcPr>
          <w:p w14:paraId="04794470" w14:textId="77777777" w:rsidR="00730FE0" w:rsidRPr="00E6110F" w:rsidRDefault="00730FE0" w:rsidP="00674390">
            <w:pPr>
              <w:pStyle w:val="Body"/>
              <w:rPr>
                <w:rFonts w:eastAsia="Times New Roman"/>
                <w:lang w:eastAsia="en-AU"/>
              </w:rPr>
            </w:pPr>
            <w:r w:rsidRPr="00E6110F">
              <w:rPr>
                <w:rFonts w:eastAsia="Times New Roman"/>
                <w:lang w:eastAsia="en-AU"/>
              </w:rPr>
              <w:t>32</w:t>
            </w:r>
          </w:p>
        </w:tc>
        <w:tc>
          <w:tcPr>
            <w:tcW w:w="1276" w:type="dxa"/>
            <w:noWrap/>
            <w:hideMark/>
          </w:tcPr>
          <w:p w14:paraId="3B433E07" w14:textId="77777777" w:rsidR="00730FE0" w:rsidRPr="00E6110F" w:rsidRDefault="00730FE0" w:rsidP="00674390">
            <w:pPr>
              <w:pStyle w:val="Body"/>
              <w:rPr>
                <w:rFonts w:eastAsia="Times New Roman"/>
                <w:lang w:eastAsia="en-AU"/>
              </w:rPr>
            </w:pPr>
            <w:r w:rsidRPr="00E6110F">
              <w:rPr>
                <w:rFonts w:eastAsia="Times New Roman"/>
                <w:lang w:eastAsia="en-AU"/>
              </w:rPr>
              <w:t>0</w:t>
            </w:r>
          </w:p>
        </w:tc>
      </w:tr>
      <w:tr w:rsidR="00730FE0" w:rsidRPr="00E6110F" w14:paraId="53AB8F83" w14:textId="77777777" w:rsidTr="00674390">
        <w:trPr>
          <w:trHeight w:val="255"/>
        </w:trPr>
        <w:tc>
          <w:tcPr>
            <w:tcW w:w="2263" w:type="dxa"/>
            <w:noWrap/>
            <w:hideMark/>
          </w:tcPr>
          <w:p w14:paraId="6A5CE59F" w14:textId="77777777" w:rsidR="00730FE0" w:rsidRPr="00E6110F" w:rsidRDefault="00730FE0" w:rsidP="00674390">
            <w:pPr>
              <w:pStyle w:val="Body"/>
              <w:rPr>
                <w:rFonts w:eastAsia="Times New Roman"/>
                <w:lang w:eastAsia="en-AU"/>
              </w:rPr>
            </w:pPr>
            <w:r w:rsidRPr="00E6110F">
              <w:rPr>
                <w:rFonts w:eastAsia="Times New Roman"/>
                <w:lang w:eastAsia="en-AU"/>
              </w:rPr>
              <w:t>Surface water management zone or area (surface area)</w:t>
            </w:r>
          </w:p>
        </w:tc>
        <w:tc>
          <w:tcPr>
            <w:tcW w:w="1843" w:type="dxa"/>
            <w:noWrap/>
            <w:hideMark/>
          </w:tcPr>
          <w:p w14:paraId="08E1F1F0" w14:textId="77777777" w:rsidR="00730FE0" w:rsidRPr="00E6110F" w:rsidRDefault="00730FE0" w:rsidP="00674390">
            <w:pPr>
              <w:pStyle w:val="Body"/>
              <w:rPr>
                <w:rFonts w:eastAsia="Times New Roman"/>
                <w:lang w:eastAsia="en-AU"/>
              </w:rPr>
            </w:pPr>
            <w:r w:rsidRPr="00E6110F">
              <w:rPr>
                <w:rFonts w:eastAsia="Times New Roman"/>
                <w:lang w:eastAsia="en-AU"/>
              </w:rPr>
              <w:t>Water access right</w:t>
            </w:r>
          </w:p>
        </w:tc>
        <w:tc>
          <w:tcPr>
            <w:tcW w:w="1276" w:type="dxa"/>
            <w:noWrap/>
            <w:hideMark/>
          </w:tcPr>
          <w:p w14:paraId="5F0B2A40" w14:textId="77777777" w:rsidR="00730FE0" w:rsidRPr="00E6110F" w:rsidRDefault="00730FE0" w:rsidP="00674390">
            <w:pPr>
              <w:pStyle w:val="Body"/>
              <w:rPr>
                <w:rFonts w:eastAsia="Times New Roman"/>
                <w:lang w:eastAsia="en-AU"/>
              </w:rPr>
            </w:pPr>
            <w:r w:rsidRPr="00E6110F">
              <w:rPr>
                <w:rFonts w:eastAsia="Times New Roman"/>
                <w:lang w:eastAsia="en-AU"/>
              </w:rPr>
              <w:t>0</w:t>
            </w:r>
          </w:p>
        </w:tc>
        <w:tc>
          <w:tcPr>
            <w:tcW w:w="1134" w:type="dxa"/>
            <w:noWrap/>
            <w:hideMark/>
          </w:tcPr>
          <w:p w14:paraId="4A60BD94" w14:textId="77777777" w:rsidR="00730FE0" w:rsidRPr="00E6110F" w:rsidRDefault="00730FE0" w:rsidP="00674390">
            <w:pPr>
              <w:pStyle w:val="Body"/>
              <w:rPr>
                <w:rFonts w:eastAsia="Times New Roman"/>
                <w:lang w:eastAsia="en-AU"/>
              </w:rPr>
            </w:pPr>
            <w:r w:rsidRPr="00E6110F">
              <w:rPr>
                <w:rFonts w:eastAsia="Times New Roman"/>
                <w:lang w:eastAsia="en-AU"/>
              </w:rPr>
              <w:t>145</w:t>
            </w:r>
          </w:p>
        </w:tc>
        <w:tc>
          <w:tcPr>
            <w:tcW w:w="1134" w:type="dxa"/>
            <w:noWrap/>
            <w:hideMark/>
          </w:tcPr>
          <w:p w14:paraId="7C55B8EB" w14:textId="77777777" w:rsidR="00730FE0" w:rsidRPr="00E6110F" w:rsidRDefault="00730FE0" w:rsidP="00674390">
            <w:pPr>
              <w:pStyle w:val="Body"/>
              <w:rPr>
                <w:rFonts w:eastAsia="Times New Roman"/>
                <w:lang w:eastAsia="en-AU"/>
              </w:rPr>
            </w:pPr>
            <w:r w:rsidRPr="00E6110F">
              <w:rPr>
                <w:rFonts w:eastAsia="Times New Roman"/>
                <w:lang w:eastAsia="en-AU"/>
              </w:rPr>
              <w:t>145</w:t>
            </w:r>
          </w:p>
        </w:tc>
        <w:tc>
          <w:tcPr>
            <w:tcW w:w="1276" w:type="dxa"/>
            <w:noWrap/>
            <w:hideMark/>
          </w:tcPr>
          <w:p w14:paraId="7FA40D9F" w14:textId="77777777" w:rsidR="00730FE0" w:rsidRPr="00E6110F" w:rsidRDefault="00730FE0" w:rsidP="00674390">
            <w:pPr>
              <w:pStyle w:val="Body"/>
              <w:rPr>
                <w:rFonts w:eastAsia="Times New Roman"/>
                <w:lang w:eastAsia="en-AU"/>
              </w:rPr>
            </w:pPr>
            <w:r w:rsidRPr="00E6110F">
              <w:rPr>
                <w:rFonts w:eastAsia="Times New Roman"/>
                <w:lang w:eastAsia="en-AU"/>
              </w:rPr>
              <w:t>7</w:t>
            </w:r>
          </w:p>
        </w:tc>
      </w:tr>
      <w:tr w:rsidR="00730FE0" w:rsidRPr="00E6110F" w14:paraId="252CAE36" w14:textId="77777777" w:rsidTr="00674390">
        <w:trPr>
          <w:trHeight w:val="255"/>
        </w:trPr>
        <w:tc>
          <w:tcPr>
            <w:tcW w:w="2263" w:type="dxa"/>
            <w:noWrap/>
            <w:hideMark/>
          </w:tcPr>
          <w:p w14:paraId="77AD6D14" w14:textId="77777777" w:rsidR="00730FE0" w:rsidRPr="00E6110F" w:rsidRDefault="00730FE0" w:rsidP="00674390">
            <w:pPr>
              <w:pStyle w:val="Body"/>
              <w:rPr>
                <w:rFonts w:eastAsia="Times New Roman"/>
                <w:lang w:eastAsia="en-AU"/>
              </w:rPr>
            </w:pPr>
            <w:r w:rsidRPr="00E6110F">
              <w:rPr>
                <w:rFonts w:eastAsia="Times New Roman"/>
                <w:lang w:eastAsia="en-AU"/>
              </w:rPr>
              <w:t>Surface water management zone or area (surface area)</w:t>
            </w:r>
          </w:p>
        </w:tc>
        <w:tc>
          <w:tcPr>
            <w:tcW w:w="1843" w:type="dxa"/>
            <w:noWrap/>
            <w:hideMark/>
          </w:tcPr>
          <w:p w14:paraId="533E85F6" w14:textId="77777777" w:rsidR="00730FE0" w:rsidRPr="00E6110F" w:rsidRDefault="00730FE0" w:rsidP="00674390">
            <w:pPr>
              <w:pStyle w:val="Body"/>
              <w:rPr>
                <w:rFonts w:eastAsia="Times New Roman"/>
                <w:lang w:eastAsia="en-AU"/>
              </w:rPr>
            </w:pPr>
            <w:r w:rsidRPr="00E6110F">
              <w:rPr>
                <w:rFonts w:eastAsia="Times New Roman"/>
                <w:lang w:eastAsia="en-AU"/>
              </w:rPr>
              <w:t>Water supply and monitoring infrastructure</w:t>
            </w:r>
          </w:p>
        </w:tc>
        <w:tc>
          <w:tcPr>
            <w:tcW w:w="1276" w:type="dxa"/>
            <w:noWrap/>
            <w:hideMark/>
          </w:tcPr>
          <w:p w14:paraId="20A60536" w14:textId="77777777" w:rsidR="00730FE0" w:rsidRPr="00E6110F" w:rsidRDefault="00730FE0" w:rsidP="00674390">
            <w:pPr>
              <w:pStyle w:val="Body"/>
              <w:rPr>
                <w:rFonts w:eastAsia="Times New Roman"/>
                <w:lang w:eastAsia="en-AU"/>
              </w:rPr>
            </w:pPr>
            <w:r w:rsidRPr="00E6110F">
              <w:rPr>
                <w:rFonts w:eastAsia="Times New Roman"/>
                <w:lang w:eastAsia="en-AU"/>
              </w:rPr>
              <w:t>0</w:t>
            </w:r>
          </w:p>
        </w:tc>
        <w:tc>
          <w:tcPr>
            <w:tcW w:w="1134" w:type="dxa"/>
            <w:noWrap/>
            <w:hideMark/>
          </w:tcPr>
          <w:p w14:paraId="1C22B01A" w14:textId="77777777" w:rsidR="00730FE0" w:rsidRPr="00E6110F" w:rsidRDefault="00730FE0" w:rsidP="00674390">
            <w:pPr>
              <w:pStyle w:val="Body"/>
              <w:rPr>
                <w:rFonts w:eastAsia="Times New Roman"/>
                <w:lang w:eastAsia="en-AU"/>
              </w:rPr>
            </w:pPr>
            <w:r w:rsidRPr="00E6110F">
              <w:rPr>
                <w:rFonts w:eastAsia="Times New Roman"/>
                <w:lang w:eastAsia="en-AU"/>
              </w:rPr>
              <w:t>6</w:t>
            </w:r>
          </w:p>
        </w:tc>
        <w:tc>
          <w:tcPr>
            <w:tcW w:w="1134" w:type="dxa"/>
            <w:noWrap/>
            <w:hideMark/>
          </w:tcPr>
          <w:p w14:paraId="79CA93DB" w14:textId="77777777" w:rsidR="00730FE0" w:rsidRPr="00E6110F" w:rsidRDefault="00730FE0" w:rsidP="00674390">
            <w:pPr>
              <w:pStyle w:val="Body"/>
              <w:rPr>
                <w:rFonts w:eastAsia="Times New Roman"/>
                <w:lang w:eastAsia="en-AU"/>
              </w:rPr>
            </w:pPr>
            <w:r w:rsidRPr="00E6110F">
              <w:rPr>
                <w:rFonts w:eastAsia="Times New Roman"/>
                <w:lang w:eastAsia="en-AU"/>
              </w:rPr>
              <w:t>6</w:t>
            </w:r>
          </w:p>
        </w:tc>
        <w:tc>
          <w:tcPr>
            <w:tcW w:w="1276" w:type="dxa"/>
            <w:noWrap/>
            <w:hideMark/>
          </w:tcPr>
          <w:p w14:paraId="6B974486" w14:textId="77777777" w:rsidR="00730FE0" w:rsidRPr="00E6110F" w:rsidRDefault="00730FE0" w:rsidP="00674390">
            <w:pPr>
              <w:pStyle w:val="Body"/>
              <w:rPr>
                <w:rFonts w:eastAsia="Times New Roman"/>
                <w:lang w:eastAsia="en-AU"/>
              </w:rPr>
            </w:pPr>
            <w:r w:rsidRPr="00E6110F">
              <w:rPr>
                <w:rFonts w:eastAsia="Times New Roman"/>
                <w:lang w:eastAsia="en-AU"/>
              </w:rPr>
              <w:t>0</w:t>
            </w:r>
          </w:p>
        </w:tc>
      </w:tr>
    </w:tbl>
    <w:p w14:paraId="0273ADA7" w14:textId="624C5377" w:rsidR="003F6260" w:rsidRDefault="00730FE0" w:rsidP="003F6260">
      <w:pPr>
        <w:pStyle w:val="Body"/>
        <w:rPr>
          <w:rFonts w:eastAsia="Times New Roman"/>
          <w:lang w:eastAsia="en-AU"/>
        </w:rPr>
      </w:pPr>
      <w:r w:rsidRPr="00412755">
        <w:rPr>
          <w:rFonts w:eastAsia="Times New Roman"/>
          <w:vertAlign w:val="superscript"/>
          <w:lang w:eastAsia="en-AU"/>
        </w:rPr>
        <w:t xml:space="preserve">* </w:t>
      </w:r>
      <w:r>
        <w:rPr>
          <w:rFonts w:eastAsia="Times New Roman"/>
          <w:lang w:eastAsia="en-AU"/>
        </w:rPr>
        <w:t>Assets with multipoint features (</w:t>
      </w:r>
      <w:r>
        <w:t>1652 in total</w:t>
      </w:r>
      <w:r>
        <w:rPr>
          <w:rFonts w:eastAsia="Times New Roman"/>
          <w:lang w:eastAsia="en-AU"/>
        </w:rPr>
        <w:t xml:space="preserve">) </w:t>
      </w:r>
    </w:p>
    <w:p w14:paraId="314A5F70" w14:textId="0C0D63F5" w:rsidR="00730FE0" w:rsidRDefault="00730FE0" w:rsidP="003F6260">
      <w:pPr>
        <w:pStyle w:val="Body"/>
        <w:rPr>
          <w:rFonts w:eastAsia="Times New Roman"/>
          <w:lang w:eastAsia="en-AU"/>
        </w:rPr>
      </w:pPr>
      <w:r w:rsidRPr="00412755">
        <w:rPr>
          <w:rFonts w:eastAsia="Times New Roman"/>
          <w:vertAlign w:val="superscript"/>
          <w:lang w:eastAsia="en-AU"/>
        </w:rPr>
        <w:t>**</w:t>
      </w:r>
      <w:r>
        <w:rPr>
          <w:rFonts w:eastAsia="Times New Roman"/>
          <w:lang w:eastAsia="en-AU"/>
        </w:rPr>
        <w:t xml:space="preserve"> Assets with multipoint features (</w:t>
      </w:r>
      <w:r>
        <w:t>390 in total</w:t>
      </w:r>
      <w:r>
        <w:rPr>
          <w:rFonts w:eastAsia="Times New Roman"/>
          <w:lang w:eastAsia="en-AU"/>
        </w:rPr>
        <w:t>)</w:t>
      </w:r>
    </w:p>
    <w:p w14:paraId="017FC40A" w14:textId="6C71C736" w:rsidR="003F6260" w:rsidRPr="00E6110F" w:rsidRDefault="00F334D2" w:rsidP="003F6260">
      <w:pPr>
        <w:pStyle w:val="Body"/>
        <w:rPr>
          <w:rFonts w:eastAsia="Times New Roman"/>
          <w:lang w:eastAsia="en-AU"/>
        </w:rPr>
      </w:pPr>
      <w:r>
        <w:rPr>
          <w:rFonts w:eastAsia="Times New Roman"/>
          <w:noProof/>
          <w:lang w:val="en-AU" w:eastAsia="en-AU"/>
        </w:rPr>
        <w:drawing>
          <wp:inline distT="0" distB="0" distL="0" distR="0" wp14:anchorId="63F44BD1" wp14:editId="67154167">
            <wp:extent cx="5727700" cy="8094345"/>
            <wp:effectExtent l="0" t="0" r="6350" b="1905"/>
            <wp:docPr id="555" name="Picture 555" descr="Map of economic assets Groundwater management zone Subgroup within the Surat Basin study area" title="Fig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SUR_Econ_GWMZ_20170316.png"/>
                    <pic:cNvPicPr/>
                  </pic:nvPicPr>
                  <pic:blipFill>
                    <a:blip r:embed="rId58"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1D906D54" w14:textId="1B242FB8" w:rsidR="003F6260" w:rsidRPr="00E6110F" w:rsidRDefault="003F6260" w:rsidP="003F6260">
      <w:pPr>
        <w:pStyle w:val="Body"/>
        <w:keepNext/>
      </w:pPr>
    </w:p>
    <w:p w14:paraId="48BF041C" w14:textId="2C9EADF8" w:rsidR="003F6260" w:rsidRPr="00E6110F" w:rsidRDefault="003F6260" w:rsidP="003F6260">
      <w:pPr>
        <w:pStyle w:val="Imagecaption"/>
      </w:pPr>
      <w:bookmarkStart w:id="172" w:name="_Toc477347558"/>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26</w:t>
      </w:r>
      <w:r w:rsidR="00254026">
        <w:fldChar w:fldCharType="end"/>
      </w:r>
      <w:r w:rsidRPr="00E6110F">
        <w:t xml:space="preserve"> Economic assets Groundwater management zone Subgroup within the Surat Basin study area.</w:t>
      </w:r>
      <w:bookmarkEnd w:id="172"/>
    </w:p>
    <w:p w14:paraId="630D8E48" w14:textId="548AA3D0" w:rsidR="003F6260" w:rsidRPr="00E6110F" w:rsidRDefault="00290DE0" w:rsidP="003F6260">
      <w:pPr>
        <w:pStyle w:val="Body"/>
        <w:rPr>
          <w:rStyle w:val="BodyChar"/>
        </w:rPr>
      </w:pPr>
      <w:r>
        <w:rPr>
          <w:noProof/>
          <w:lang w:val="en-AU" w:eastAsia="en-AU"/>
        </w:rPr>
        <w:drawing>
          <wp:inline distT="0" distB="0" distL="0" distR="0" wp14:anchorId="65BB459E" wp14:editId="35F3DA43">
            <wp:extent cx="5727700" cy="8094345"/>
            <wp:effectExtent l="0" t="0" r="6350" b="1905"/>
            <wp:docPr id="554" name="Picture 554" descr="Map of economic assets Surface water management zone Subgroup within the Surat Basin study area. " title="Fig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SUR_Econ_SWMZ_20170316.png"/>
                    <pic:cNvPicPr/>
                  </pic:nvPicPr>
                  <pic:blipFill>
                    <a:blip r:embed="rId59"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1A185C17" w14:textId="62EBFD27" w:rsidR="003F6260" w:rsidRPr="00E6110F" w:rsidRDefault="003F6260" w:rsidP="003F6260">
      <w:pPr>
        <w:pStyle w:val="Imagecaption"/>
      </w:pPr>
      <w:bookmarkStart w:id="173" w:name="_Toc477347559"/>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27</w:t>
      </w:r>
      <w:r w:rsidR="00254026">
        <w:fldChar w:fldCharType="end"/>
      </w:r>
      <w:r w:rsidRPr="00E6110F">
        <w:t xml:space="preserve"> Economic assets Surface water management zone Subgroup within the Surat Basin study area.</w:t>
      </w:r>
      <w:bookmarkEnd w:id="173"/>
      <w:r w:rsidR="006B11DA">
        <w:t xml:space="preserve"> Water access right includes groundwater and surface water management area.</w:t>
      </w:r>
    </w:p>
    <w:p w14:paraId="3391A277" w14:textId="77777777" w:rsidR="003F6260" w:rsidRPr="00E6110F" w:rsidRDefault="003F6260" w:rsidP="003F6260">
      <w:pPr>
        <w:rPr>
          <w:rFonts w:ascii="Calibri-Bold" w:eastAsia="Times New Roman" w:hAnsi="Calibri-Bold" w:cs="Calibri-Bold"/>
          <w:b/>
          <w:bCs/>
          <w:color w:val="486886"/>
          <w:sz w:val="22"/>
          <w:szCs w:val="22"/>
          <w:lang w:val="en-GB" w:eastAsia="en-AU"/>
        </w:rPr>
      </w:pPr>
      <w:r w:rsidRPr="00E6110F">
        <w:rPr>
          <w:rFonts w:eastAsia="Times New Roman"/>
          <w:lang w:eastAsia="en-AU"/>
        </w:rPr>
        <w:br w:type="page"/>
      </w:r>
    </w:p>
    <w:p w14:paraId="75128D56" w14:textId="77777777" w:rsidR="003F6260" w:rsidRPr="00E6110F" w:rsidRDefault="003F6260" w:rsidP="003F6260">
      <w:pPr>
        <w:pStyle w:val="Heading3"/>
        <w:rPr>
          <w:rFonts w:eastAsia="Times New Roman"/>
          <w:lang w:eastAsia="en-AU"/>
        </w:rPr>
      </w:pPr>
      <w:bookmarkStart w:id="174" w:name="_Toc494444521"/>
      <w:r w:rsidRPr="00E6110F">
        <w:rPr>
          <w:rFonts w:eastAsia="Times New Roman"/>
          <w:lang w:eastAsia="en-AU"/>
        </w:rPr>
        <w:t>Sociocultural assets</w:t>
      </w:r>
      <w:bookmarkEnd w:id="174"/>
    </w:p>
    <w:p w14:paraId="63C521D6" w14:textId="04EF69F2" w:rsidR="003F6260" w:rsidRPr="00E6110F" w:rsidRDefault="003F6260" w:rsidP="003F6260">
      <w:pPr>
        <w:pStyle w:val="Body"/>
        <w:rPr>
          <w:rFonts w:eastAsia="Times New Roman"/>
          <w:lang w:eastAsia="en-AU"/>
        </w:rPr>
      </w:pPr>
      <w:r w:rsidRPr="00E6110F">
        <w:rPr>
          <w:rFonts w:eastAsia="Times New Roman"/>
          <w:lang w:eastAsia="en-AU"/>
        </w:rPr>
        <w:t xml:space="preserve">Sociocultural assets within the </w:t>
      </w:r>
      <w:r w:rsidR="00FF2ECD">
        <w:t>particle tracking extent</w:t>
      </w:r>
      <w:r w:rsidR="00FF2ECD" w:rsidRPr="00E6110F">
        <w:t xml:space="preserve"> </w:t>
      </w:r>
      <w:r w:rsidRPr="00E6110F">
        <w:rPr>
          <w:rFonts w:eastAsia="Times New Roman"/>
          <w:lang w:eastAsia="en-AU"/>
        </w:rPr>
        <w:t>buffer included 1 heritage site and 1 recreation area (</w:t>
      </w:r>
      <w:r w:rsidRPr="00E6110F">
        <w:rPr>
          <w:rFonts w:eastAsia="Times New Roman"/>
          <w:lang w:eastAsia="en-AU"/>
        </w:rPr>
        <w:fldChar w:fldCharType="begin" w:fldLock="1"/>
      </w:r>
      <w:r w:rsidRPr="00E6110F">
        <w:rPr>
          <w:rFonts w:eastAsia="Times New Roman"/>
          <w:lang w:eastAsia="en-AU"/>
        </w:rPr>
        <w:instrText xml:space="preserve"> REF _Ref453345326 \h </w:instrText>
      </w:r>
      <w:r>
        <w:rPr>
          <w:rFonts w:eastAsia="Times New Roman"/>
          <w:lang w:eastAsia="en-AU"/>
        </w:rPr>
        <w:instrText xml:space="preserve"> \* MERGEFORMAT </w:instrText>
      </w:r>
      <w:r w:rsidRPr="00E6110F">
        <w:rPr>
          <w:rFonts w:eastAsia="Times New Roman"/>
          <w:lang w:eastAsia="en-AU"/>
        </w:rPr>
      </w:r>
      <w:r w:rsidRPr="00E6110F">
        <w:rPr>
          <w:rFonts w:eastAsia="Times New Roman"/>
          <w:lang w:eastAsia="en-AU"/>
        </w:rPr>
        <w:fldChar w:fldCharType="separate"/>
      </w:r>
      <w:r w:rsidR="00335E79" w:rsidRPr="00E6110F">
        <w:t xml:space="preserve">Table </w:t>
      </w:r>
      <w:r w:rsidR="00335E79">
        <w:rPr>
          <w:noProof/>
        </w:rPr>
        <w:t>2</w:t>
      </w:r>
      <w:r w:rsidR="00335E79">
        <w:rPr>
          <w:noProof/>
        </w:rPr>
        <w:noBreakHyphen/>
        <w:t>14</w:t>
      </w:r>
      <w:r w:rsidRPr="00E6110F">
        <w:rPr>
          <w:rFonts w:eastAsia="Times New Roman"/>
          <w:lang w:eastAsia="en-AU"/>
        </w:rPr>
        <w:fldChar w:fldCharType="end"/>
      </w:r>
      <w:r w:rsidRPr="00E6110F">
        <w:rPr>
          <w:rFonts w:eastAsia="Times New Roman"/>
          <w:lang w:eastAsia="en-AU"/>
        </w:rPr>
        <w:t xml:space="preserve">). </w:t>
      </w:r>
    </w:p>
    <w:p w14:paraId="1CB009DA" w14:textId="77777777" w:rsidR="003F6260" w:rsidRPr="00E6110F" w:rsidRDefault="003F6260" w:rsidP="003F6260">
      <w:pPr>
        <w:pStyle w:val="Body"/>
        <w:rPr>
          <w:rFonts w:eastAsia="Times New Roman"/>
          <w:lang w:eastAsia="en-AU"/>
        </w:rPr>
      </w:pPr>
    </w:p>
    <w:p w14:paraId="2876B462" w14:textId="0D6EE4A6" w:rsidR="003F6260" w:rsidRPr="0015611A" w:rsidRDefault="003F6260" w:rsidP="003F6260">
      <w:pPr>
        <w:pStyle w:val="Imagecaption"/>
        <w:keepNext/>
        <w:pBdr>
          <w:top w:val="none" w:sz="0" w:space="0" w:color="auto"/>
        </w:pBdr>
      </w:pPr>
      <w:bookmarkStart w:id="175" w:name="_Ref453345326"/>
      <w:bookmarkStart w:id="176" w:name="_Toc494444704"/>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14</w:t>
      </w:r>
      <w:r w:rsidR="00470577">
        <w:fldChar w:fldCharType="end"/>
      </w:r>
      <w:bookmarkEnd w:id="175"/>
      <w:r w:rsidRPr="00E6110F">
        <w:t xml:space="preserve"> Summary of sociocultural assets within the preliminary assessment extent of the MBC subregion. Only the water-dependent assets within the </w:t>
      </w:r>
      <w:r w:rsidR="00FF2ECD">
        <w:t>particle tracking extent</w:t>
      </w:r>
      <w:r w:rsidR="00FF2ECD" w:rsidRPr="00E6110F">
        <w:t xml:space="preserve"> </w:t>
      </w:r>
      <w:r w:rsidRPr="00E6110F">
        <w:t>buffer area are considered in the current study.</w:t>
      </w:r>
      <w:bookmarkEnd w:id="176"/>
    </w:p>
    <w:tbl>
      <w:tblPr>
        <w:tblStyle w:val="TableGrid"/>
        <w:tblW w:w="8926" w:type="dxa"/>
        <w:tblLayout w:type="fixed"/>
        <w:tblLook w:val="04A0" w:firstRow="1" w:lastRow="0" w:firstColumn="1" w:lastColumn="0" w:noHBand="0" w:noVBand="1"/>
      </w:tblPr>
      <w:tblGrid>
        <w:gridCol w:w="1838"/>
        <w:gridCol w:w="1985"/>
        <w:gridCol w:w="1275"/>
        <w:gridCol w:w="1276"/>
        <w:gridCol w:w="851"/>
        <w:gridCol w:w="1701"/>
      </w:tblGrid>
      <w:tr w:rsidR="003F6260" w:rsidRPr="00E6110F" w14:paraId="0CD5505F" w14:textId="77777777" w:rsidTr="001673D0">
        <w:trPr>
          <w:trHeight w:val="255"/>
        </w:trPr>
        <w:tc>
          <w:tcPr>
            <w:tcW w:w="1838" w:type="dxa"/>
            <w:shd w:val="clear" w:color="auto" w:fill="F2F2F2" w:themeFill="background1" w:themeFillShade="F2"/>
            <w:noWrap/>
            <w:hideMark/>
          </w:tcPr>
          <w:p w14:paraId="6CF2D250" w14:textId="77777777" w:rsidR="003F6260" w:rsidRPr="00E6110F" w:rsidRDefault="003F6260" w:rsidP="002A6599">
            <w:pPr>
              <w:pStyle w:val="Body"/>
              <w:rPr>
                <w:rFonts w:eastAsia="Times New Roman"/>
                <w:lang w:eastAsia="en-AU"/>
              </w:rPr>
            </w:pPr>
            <w:r w:rsidRPr="00E6110F">
              <w:rPr>
                <w:rFonts w:eastAsia="Times New Roman"/>
                <w:lang w:eastAsia="en-AU"/>
              </w:rPr>
              <w:t>Subgroup</w:t>
            </w:r>
          </w:p>
        </w:tc>
        <w:tc>
          <w:tcPr>
            <w:tcW w:w="1985" w:type="dxa"/>
            <w:shd w:val="clear" w:color="auto" w:fill="F2F2F2" w:themeFill="background1" w:themeFillShade="F2"/>
            <w:noWrap/>
            <w:hideMark/>
          </w:tcPr>
          <w:p w14:paraId="3A7B488A" w14:textId="77777777" w:rsidR="003F6260" w:rsidRPr="00E6110F" w:rsidRDefault="003F6260" w:rsidP="002A6599">
            <w:pPr>
              <w:pStyle w:val="Body"/>
              <w:rPr>
                <w:rFonts w:eastAsia="Times New Roman"/>
                <w:lang w:eastAsia="en-AU"/>
              </w:rPr>
            </w:pPr>
            <w:r w:rsidRPr="00E6110F">
              <w:rPr>
                <w:rFonts w:eastAsia="Times New Roman"/>
                <w:lang w:eastAsia="en-AU"/>
              </w:rPr>
              <w:t>Class</w:t>
            </w:r>
          </w:p>
        </w:tc>
        <w:tc>
          <w:tcPr>
            <w:tcW w:w="1275" w:type="dxa"/>
            <w:shd w:val="clear" w:color="auto" w:fill="F2F2F2" w:themeFill="background1" w:themeFillShade="F2"/>
            <w:noWrap/>
            <w:hideMark/>
          </w:tcPr>
          <w:p w14:paraId="269AAB2E" w14:textId="77777777" w:rsidR="003F6260" w:rsidRPr="00E6110F" w:rsidRDefault="003F6260" w:rsidP="002A6599">
            <w:pPr>
              <w:pStyle w:val="Body"/>
              <w:rPr>
                <w:rFonts w:eastAsia="Times New Roman"/>
                <w:lang w:eastAsia="en-AU"/>
              </w:rPr>
            </w:pPr>
            <w:r w:rsidRPr="00E6110F">
              <w:rPr>
                <w:rFonts w:eastAsia="Times New Roman"/>
                <w:lang w:eastAsia="en-AU"/>
              </w:rPr>
              <w:t>Not in water- dependent asset register</w:t>
            </w:r>
          </w:p>
        </w:tc>
        <w:tc>
          <w:tcPr>
            <w:tcW w:w="1276" w:type="dxa"/>
            <w:shd w:val="clear" w:color="auto" w:fill="F2F2F2" w:themeFill="background1" w:themeFillShade="F2"/>
            <w:noWrap/>
            <w:hideMark/>
          </w:tcPr>
          <w:p w14:paraId="16A5BD69" w14:textId="77777777" w:rsidR="003F6260" w:rsidRPr="00E6110F" w:rsidRDefault="003F6260" w:rsidP="002A6599">
            <w:pPr>
              <w:pStyle w:val="Body"/>
              <w:rPr>
                <w:rFonts w:eastAsia="Times New Roman"/>
                <w:lang w:eastAsia="en-AU"/>
              </w:rPr>
            </w:pPr>
            <w:r w:rsidRPr="00E6110F">
              <w:rPr>
                <w:rFonts w:eastAsia="Times New Roman"/>
                <w:lang w:eastAsia="en-AU"/>
              </w:rPr>
              <w:t>In water- dependent asset register</w:t>
            </w:r>
          </w:p>
        </w:tc>
        <w:tc>
          <w:tcPr>
            <w:tcW w:w="851" w:type="dxa"/>
            <w:shd w:val="clear" w:color="auto" w:fill="F2F2F2" w:themeFill="background1" w:themeFillShade="F2"/>
            <w:noWrap/>
            <w:hideMark/>
          </w:tcPr>
          <w:p w14:paraId="6F60135F" w14:textId="77777777" w:rsidR="003F6260" w:rsidRPr="00E6110F" w:rsidRDefault="003F6260" w:rsidP="002A6599">
            <w:pPr>
              <w:pStyle w:val="Body"/>
              <w:rPr>
                <w:rFonts w:eastAsia="Times New Roman"/>
                <w:lang w:eastAsia="en-AU"/>
              </w:rPr>
            </w:pPr>
            <w:r w:rsidRPr="00E6110F">
              <w:rPr>
                <w:rFonts w:eastAsia="Times New Roman"/>
                <w:lang w:eastAsia="en-AU"/>
              </w:rPr>
              <w:t>Total</w:t>
            </w:r>
          </w:p>
        </w:tc>
        <w:tc>
          <w:tcPr>
            <w:tcW w:w="1701" w:type="dxa"/>
            <w:shd w:val="clear" w:color="auto" w:fill="F2F2F2" w:themeFill="background1" w:themeFillShade="F2"/>
            <w:noWrap/>
            <w:hideMark/>
          </w:tcPr>
          <w:p w14:paraId="53D4267C" w14:textId="3F488C90" w:rsidR="003F6260" w:rsidRPr="00E6110F" w:rsidRDefault="003F6260" w:rsidP="00E7258F">
            <w:pPr>
              <w:pStyle w:val="Body"/>
              <w:rPr>
                <w:rFonts w:eastAsia="Times New Roman"/>
                <w:lang w:eastAsia="en-AU"/>
              </w:rPr>
            </w:pPr>
            <w:r w:rsidRPr="00E6110F">
              <w:rPr>
                <w:rFonts w:eastAsia="Times New Roman"/>
                <w:lang w:eastAsia="en-AU"/>
              </w:rPr>
              <w:t xml:space="preserve">Assets within </w:t>
            </w:r>
            <w:r w:rsidR="00E7258F">
              <w:rPr>
                <w:rFonts w:eastAsia="Times New Roman"/>
                <w:lang w:eastAsia="en-AU"/>
              </w:rPr>
              <w:t>the particle tracking extent</w:t>
            </w:r>
            <w:r w:rsidRPr="00E6110F">
              <w:rPr>
                <w:rFonts w:eastAsia="Times New Roman"/>
                <w:lang w:eastAsia="en-AU"/>
              </w:rPr>
              <w:t xml:space="preserve"> buffer between </w:t>
            </w:r>
            <w:r w:rsidRPr="00E6110F">
              <w:t xml:space="preserve">180°S and 90°E </w:t>
            </w:r>
            <w:r w:rsidRPr="00E6110F">
              <w:rPr>
                <w:rFonts w:eastAsia="Times New Roman"/>
                <w:lang w:eastAsia="en-AU"/>
              </w:rPr>
              <w:t>from CSG wells</w:t>
            </w:r>
          </w:p>
        </w:tc>
      </w:tr>
      <w:tr w:rsidR="003F6260" w:rsidRPr="00E6110F" w14:paraId="44479046" w14:textId="77777777" w:rsidTr="001673D0">
        <w:trPr>
          <w:trHeight w:val="255"/>
        </w:trPr>
        <w:tc>
          <w:tcPr>
            <w:tcW w:w="1838" w:type="dxa"/>
            <w:noWrap/>
            <w:hideMark/>
          </w:tcPr>
          <w:p w14:paraId="6E790082" w14:textId="77777777" w:rsidR="003F6260" w:rsidRPr="00E6110F" w:rsidRDefault="003F6260" w:rsidP="002A6599">
            <w:pPr>
              <w:pStyle w:val="Body"/>
              <w:rPr>
                <w:rFonts w:eastAsia="Times New Roman"/>
                <w:lang w:eastAsia="en-AU"/>
              </w:rPr>
            </w:pPr>
            <w:r w:rsidRPr="00E6110F">
              <w:rPr>
                <w:rFonts w:eastAsia="Times New Roman"/>
                <w:lang w:eastAsia="en-AU"/>
              </w:rPr>
              <w:t>Cultural</w:t>
            </w:r>
          </w:p>
        </w:tc>
        <w:tc>
          <w:tcPr>
            <w:tcW w:w="1985" w:type="dxa"/>
            <w:noWrap/>
            <w:hideMark/>
          </w:tcPr>
          <w:p w14:paraId="33157DAE" w14:textId="77777777" w:rsidR="003F6260" w:rsidRPr="00E6110F" w:rsidRDefault="003F6260" w:rsidP="002A6599">
            <w:pPr>
              <w:pStyle w:val="Body"/>
              <w:rPr>
                <w:rFonts w:eastAsia="Times New Roman"/>
                <w:lang w:eastAsia="en-AU"/>
              </w:rPr>
            </w:pPr>
            <w:r w:rsidRPr="00E6110F">
              <w:rPr>
                <w:rFonts w:eastAsia="Times New Roman"/>
                <w:lang w:eastAsia="en-AU"/>
              </w:rPr>
              <w:t>Heritage site</w:t>
            </w:r>
          </w:p>
        </w:tc>
        <w:tc>
          <w:tcPr>
            <w:tcW w:w="1275" w:type="dxa"/>
            <w:noWrap/>
            <w:hideMark/>
          </w:tcPr>
          <w:p w14:paraId="5A8338D4" w14:textId="77777777" w:rsidR="003F6260" w:rsidRPr="00E6110F" w:rsidRDefault="003F6260" w:rsidP="002A6599">
            <w:pPr>
              <w:pStyle w:val="Body"/>
              <w:rPr>
                <w:rFonts w:eastAsia="Times New Roman"/>
                <w:lang w:eastAsia="en-AU"/>
              </w:rPr>
            </w:pPr>
            <w:r w:rsidRPr="00E6110F">
              <w:rPr>
                <w:rFonts w:eastAsia="Times New Roman"/>
                <w:lang w:eastAsia="en-AU"/>
              </w:rPr>
              <w:t>34</w:t>
            </w:r>
          </w:p>
        </w:tc>
        <w:tc>
          <w:tcPr>
            <w:tcW w:w="1276" w:type="dxa"/>
            <w:noWrap/>
            <w:hideMark/>
          </w:tcPr>
          <w:p w14:paraId="7727F4D4" w14:textId="77777777" w:rsidR="003F6260" w:rsidRPr="00E6110F" w:rsidRDefault="003F6260" w:rsidP="002A6599">
            <w:pPr>
              <w:pStyle w:val="Body"/>
              <w:rPr>
                <w:rFonts w:eastAsia="Times New Roman"/>
                <w:lang w:eastAsia="en-AU"/>
              </w:rPr>
            </w:pPr>
            <w:r w:rsidRPr="00E6110F">
              <w:rPr>
                <w:rFonts w:eastAsia="Times New Roman"/>
                <w:lang w:eastAsia="en-AU"/>
              </w:rPr>
              <w:t>50</w:t>
            </w:r>
          </w:p>
        </w:tc>
        <w:tc>
          <w:tcPr>
            <w:tcW w:w="851" w:type="dxa"/>
            <w:noWrap/>
            <w:hideMark/>
          </w:tcPr>
          <w:p w14:paraId="52E864B9" w14:textId="77777777" w:rsidR="003F6260" w:rsidRPr="00E6110F" w:rsidRDefault="003F6260" w:rsidP="002A6599">
            <w:pPr>
              <w:pStyle w:val="Body"/>
              <w:rPr>
                <w:rFonts w:eastAsia="Times New Roman"/>
                <w:lang w:eastAsia="en-AU"/>
              </w:rPr>
            </w:pPr>
            <w:r w:rsidRPr="00E6110F">
              <w:rPr>
                <w:rFonts w:eastAsia="Times New Roman"/>
                <w:lang w:eastAsia="en-AU"/>
              </w:rPr>
              <w:t>84</w:t>
            </w:r>
          </w:p>
        </w:tc>
        <w:tc>
          <w:tcPr>
            <w:tcW w:w="1701" w:type="dxa"/>
            <w:noWrap/>
            <w:hideMark/>
          </w:tcPr>
          <w:p w14:paraId="386CE2DA" w14:textId="77777777" w:rsidR="003F6260" w:rsidRPr="00E6110F" w:rsidRDefault="003F6260" w:rsidP="002A6599">
            <w:pPr>
              <w:pStyle w:val="Body"/>
              <w:rPr>
                <w:rFonts w:eastAsia="Times New Roman"/>
                <w:lang w:eastAsia="en-AU"/>
              </w:rPr>
            </w:pPr>
            <w:r w:rsidRPr="00E6110F">
              <w:rPr>
                <w:rFonts w:eastAsia="Times New Roman"/>
                <w:lang w:eastAsia="en-AU"/>
              </w:rPr>
              <w:t>1</w:t>
            </w:r>
          </w:p>
        </w:tc>
      </w:tr>
      <w:tr w:rsidR="003F6260" w:rsidRPr="00E6110F" w14:paraId="4053EE4B" w14:textId="77777777" w:rsidTr="001673D0">
        <w:trPr>
          <w:trHeight w:val="255"/>
        </w:trPr>
        <w:tc>
          <w:tcPr>
            <w:tcW w:w="1838" w:type="dxa"/>
            <w:noWrap/>
            <w:hideMark/>
          </w:tcPr>
          <w:p w14:paraId="0876A76C" w14:textId="77777777" w:rsidR="003F6260" w:rsidRPr="00E6110F" w:rsidRDefault="003F6260" w:rsidP="002A6599">
            <w:pPr>
              <w:pStyle w:val="Body"/>
              <w:rPr>
                <w:rFonts w:eastAsia="Times New Roman"/>
                <w:lang w:eastAsia="en-AU"/>
              </w:rPr>
            </w:pPr>
            <w:r w:rsidRPr="00E6110F">
              <w:rPr>
                <w:rFonts w:eastAsia="Times New Roman"/>
                <w:lang w:eastAsia="en-AU"/>
              </w:rPr>
              <w:t>Cultural</w:t>
            </w:r>
          </w:p>
        </w:tc>
        <w:tc>
          <w:tcPr>
            <w:tcW w:w="1985" w:type="dxa"/>
            <w:noWrap/>
            <w:hideMark/>
          </w:tcPr>
          <w:p w14:paraId="4B01937B" w14:textId="77777777" w:rsidR="003F6260" w:rsidRPr="00E6110F" w:rsidRDefault="003F6260" w:rsidP="002A6599">
            <w:pPr>
              <w:pStyle w:val="Body"/>
              <w:rPr>
                <w:rFonts w:eastAsia="Times New Roman"/>
                <w:lang w:eastAsia="en-AU"/>
              </w:rPr>
            </w:pPr>
            <w:r w:rsidRPr="00E6110F">
              <w:rPr>
                <w:rFonts w:eastAsia="Times New Roman"/>
                <w:lang w:eastAsia="en-AU"/>
              </w:rPr>
              <w:t>Indigenous site</w:t>
            </w:r>
          </w:p>
        </w:tc>
        <w:tc>
          <w:tcPr>
            <w:tcW w:w="1275" w:type="dxa"/>
            <w:noWrap/>
            <w:hideMark/>
          </w:tcPr>
          <w:p w14:paraId="1683A6D5" w14:textId="77777777" w:rsidR="003F6260" w:rsidRPr="00E6110F" w:rsidRDefault="003F6260" w:rsidP="002A6599">
            <w:pPr>
              <w:pStyle w:val="Body"/>
              <w:rPr>
                <w:rFonts w:eastAsia="Times New Roman"/>
                <w:lang w:eastAsia="en-AU"/>
              </w:rPr>
            </w:pPr>
            <w:r w:rsidRPr="00E6110F">
              <w:rPr>
                <w:rFonts w:eastAsia="Times New Roman"/>
                <w:lang w:eastAsia="en-AU"/>
              </w:rPr>
              <w:t>7</w:t>
            </w:r>
          </w:p>
        </w:tc>
        <w:tc>
          <w:tcPr>
            <w:tcW w:w="1276" w:type="dxa"/>
            <w:noWrap/>
            <w:hideMark/>
          </w:tcPr>
          <w:p w14:paraId="53A4085A" w14:textId="77777777" w:rsidR="003F6260" w:rsidRPr="00E6110F" w:rsidRDefault="003F6260" w:rsidP="002A6599">
            <w:pPr>
              <w:pStyle w:val="Body"/>
              <w:rPr>
                <w:rFonts w:eastAsia="Times New Roman"/>
                <w:lang w:eastAsia="en-AU"/>
              </w:rPr>
            </w:pPr>
            <w:r w:rsidRPr="00E6110F">
              <w:rPr>
                <w:rFonts w:eastAsia="Times New Roman"/>
                <w:lang w:eastAsia="en-AU"/>
              </w:rPr>
              <w:t>59</w:t>
            </w:r>
          </w:p>
        </w:tc>
        <w:tc>
          <w:tcPr>
            <w:tcW w:w="851" w:type="dxa"/>
            <w:noWrap/>
            <w:hideMark/>
          </w:tcPr>
          <w:p w14:paraId="56E14FC4" w14:textId="77777777" w:rsidR="003F6260" w:rsidRPr="00E6110F" w:rsidRDefault="003F6260" w:rsidP="002A6599">
            <w:pPr>
              <w:pStyle w:val="Body"/>
              <w:rPr>
                <w:rFonts w:eastAsia="Times New Roman"/>
                <w:lang w:eastAsia="en-AU"/>
              </w:rPr>
            </w:pPr>
            <w:r w:rsidRPr="00E6110F">
              <w:rPr>
                <w:rFonts w:eastAsia="Times New Roman"/>
                <w:lang w:eastAsia="en-AU"/>
              </w:rPr>
              <w:t>66</w:t>
            </w:r>
          </w:p>
        </w:tc>
        <w:tc>
          <w:tcPr>
            <w:tcW w:w="1701" w:type="dxa"/>
            <w:noWrap/>
            <w:hideMark/>
          </w:tcPr>
          <w:p w14:paraId="1CBE01B3" w14:textId="77777777" w:rsidR="003F6260" w:rsidRPr="00E6110F" w:rsidRDefault="003F6260" w:rsidP="002A6599">
            <w:pPr>
              <w:pStyle w:val="Body"/>
              <w:rPr>
                <w:rFonts w:eastAsia="Times New Roman"/>
                <w:lang w:eastAsia="en-AU"/>
              </w:rPr>
            </w:pPr>
            <w:r w:rsidRPr="00E6110F">
              <w:rPr>
                <w:rFonts w:eastAsia="Times New Roman"/>
                <w:lang w:eastAsia="en-AU"/>
              </w:rPr>
              <w:t>0</w:t>
            </w:r>
          </w:p>
        </w:tc>
      </w:tr>
      <w:tr w:rsidR="003F6260" w:rsidRPr="00E6110F" w14:paraId="2CF8C249" w14:textId="77777777" w:rsidTr="001673D0">
        <w:trPr>
          <w:trHeight w:val="255"/>
        </w:trPr>
        <w:tc>
          <w:tcPr>
            <w:tcW w:w="1838" w:type="dxa"/>
            <w:noWrap/>
            <w:hideMark/>
          </w:tcPr>
          <w:p w14:paraId="6EE98AE9" w14:textId="77777777" w:rsidR="003F6260" w:rsidRPr="00E6110F" w:rsidRDefault="003F6260" w:rsidP="002A6599">
            <w:pPr>
              <w:pStyle w:val="Body"/>
              <w:rPr>
                <w:rFonts w:eastAsia="Times New Roman"/>
                <w:lang w:eastAsia="en-AU"/>
              </w:rPr>
            </w:pPr>
            <w:r w:rsidRPr="00E6110F">
              <w:rPr>
                <w:rFonts w:eastAsia="Times New Roman"/>
                <w:lang w:eastAsia="en-AU"/>
              </w:rPr>
              <w:t>Social</w:t>
            </w:r>
          </w:p>
        </w:tc>
        <w:tc>
          <w:tcPr>
            <w:tcW w:w="1985" w:type="dxa"/>
            <w:noWrap/>
            <w:hideMark/>
          </w:tcPr>
          <w:p w14:paraId="1082FA6B" w14:textId="77777777" w:rsidR="003F6260" w:rsidRPr="00E6110F" w:rsidRDefault="003F6260" w:rsidP="002A6599">
            <w:pPr>
              <w:pStyle w:val="Body"/>
              <w:rPr>
                <w:rFonts w:eastAsia="Times New Roman"/>
                <w:lang w:eastAsia="en-AU"/>
              </w:rPr>
            </w:pPr>
            <w:r w:rsidRPr="00E6110F">
              <w:rPr>
                <w:rFonts w:eastAsia="Times New Roman"/>
                <w:lang w:eastAsia="en-AU"/>
              </w:rPr>
              <w:t>Recreation area</w:t>
            </w:r>
          </w:p>
        </w:tc>
        <w:tc>
          <w:tcPr>
            <w:tcW w:w="1275" w:type="dxa"/>
            <w:noWrap/>
            <w:hideMark/>
          </w:tcPr>
          <w:p w14:paraId="0BCD9265" w14:textId="77777777" w:rsidR="003F6260" w:rsidRPr="00E6110F" w:rsidRDefault="003F6260" w:rsidP="002A6599">
            <w:pPr>
              <w:pStyle w:val="Body"/>
              <w:rPr>
                <w:rFonts w:eastAsia="Times New Roman"/>
                <w:lang w:eastAsia="en-AU"/>
              </w:rPr>
            </w:pPr>
            <w:r w:rsidRPr="00E6110F">
              <w:rPr>
                <w:rFonts w:eastAsia="Times New Roman"/>
                <w:lang w:eastAsia="en-AU"/>
              </w:rPr>
              <w:t>7</w:t>
            </w:r>
          </w:p>
        </w:tc>
        <w:tc>
          <w:tcPr>
            <w:tcW w:w="1276" w:type="dxa"/>
            <w:noWrap/>
            <w:hideMark/>
          </w:tcPr>
          <w:p w14:paraId="6875F705" w14:textId="77777777" w:rsidR="003F6260" w:rsidRPr="00E6110F" w:rsidRDefault="003F6260" w:rsidP="002A6599">
            <w:pPr>
              <w:pStyle w:val="Body"/>
              <w:rPr>
                <w:rFonts w:eastAsia="Times New Roman"/>
                <w:lang w:eastAsia="en-AU"/>
              </w:rPr>
            </w:pPr>
            <w:r w:rsidRPr="00E6110F">
              <w:rPr>
                <w:rFonts w:eastAsia="Times New Roman"/>
                <w:lang w:eastAsia="en-AU"/>
              </w:rPr>
              <w:t>26</w:t>
            </w:r>
          </w:p>
        </w:tc>
        <w:tc>
          <w:tcPr>
            <w:tcW w:w="851" w:type="dxa"/>
            <w:noWrap/>
            <w:hideMark/>
          </w:tcPr>
          <w:p w14:paraId="10925BDA" w14:textId="77777777" w:rsidR="003F6260" w:rsidRPr="00E6110F" w:rsidRDefault="003F6260" w:rsidP="002A6599">
            <w:pPr>
              <w:pStyle w:val="Body"/>
              <w:rPr>
                <w:rFonts w:eastAsia="Times New Roman"/>
                <w:lang w:eastAsia="en-AU"/>
              </w:rPr>
            </w:pPr>
            <w:r w:rsidRPr="00E6110F">
              <w:rPr>
                <w:rFonts w:eastAsia="Times New Roman"/>
                <w:lang w:eastAsia="en-AU"/>
              </w:rPr>
              <w:t>33</w:t>
            </w:r>
          </w:p>
        </w:tc>
        <w:tc>
          <w:tcPr>
            <w:tcW w:w="1701" w:type="dxa"/>
            <w:noWrap/>
            <w:hideMark/>
          </w:tcPr>
          <w:p w14:paraId="59DA7649" w14:textId="77777777" w:rsidR="003F6260" w:rsidRPr="00E6110F" w:rsidRDefault="003F6260" w:rsidP="002A6599">
            <w:pPr>
              <w:pStyle w:val="Body"/>
              <w:rPr>
                <w:rFonts w:eastAsia="Times New Roman"/>
                <w:lang w:eastAsia="en-AU"/>
              </w:rPr>
            </w:pPr>
            <w:r w:rsidRPr="00E6110F">
              <w:rPr>
                <w:rFonts w:eastAsia="Times New Roman"/>
                <w:lang w:eastAsia="en-AU"/>
              </w:rPr>
              <w:t>1</w:t>
            </w:r>
          </w:p>
        </w:tc>
      </w:tr>
    </w:tbl>
    <w:p w14:paraId="5E423658" w14:textId="77777777" w:rsidR="003F6260" w:rsidRPr="00E6110F" w:rsidRDefault="003F6260" w:rsidP="003F6260">
      <w:pPr>
        <w:pStyle w:val="Body"/>
        <w:rPr>
          <w:rFonts w:eastAsia="Times New Roman"/>
          <w:lang w:eastAsia="en-AU"/>
        </w:rPr>
      </w:pPr>
    </w:p>
    <w:p w14:paraId="2D2BC747" w14:textId="1B2A5FF7" w:rsidR="003F6260" w:rsidRPr="00E6110F" w:rsidRDefault="00385BEB" w:rsidP="003F6260">
      <w:pPr>
        <w:pStyle w:val="Body"/>
        <w:keepNext/>
        <w:jc w:val="center"/>
      </w:pPr>
      <w:r>
        <w:rPr>
          <w:noProof/>
          <w:lang w:val="en-AU" w:eastAsia="en-AU"/>
        </w:rPr>
        <w:drawing>
          <wp:inline distT="0" distB="0" distL="0" distR="0" wp14:anchorId="43B047FE" wp14:editId="527EC295">
            <wp:extent cx="5727700" cy="8094345"/>
            <wp:effectExtent l="0" t="0" r="6350" b="1905"/>
            <wp:docPr id="560" name="Picture 560" descr="Map of sociocultural assets within the Surat Basin study area" title="Fig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SUR_Sociocultural_20170316.png"/>
                    <pic:cNvPicPr/>
                  </pic:nvPicPr>
                  <pic:blipFill>
                    <a:blip r:embed="rId60" cstate="email">
                      <a:extLst>
                        <a:ext uri="{28A0092B-C50C-407E-A947-70E740481C1C}">
                          <a14:useLocalDpi xmlns:a14="http://schemas.microsoft.com/office/drawing/2010/main"/>
                        </a:ext>
                      </a:extLst>
                    </a:blip>
                    <a:stretch>
                      <a:fillRect/>
                    </a:stretch>
                  </pic:blipFill>
                  <pic:spPr>
                    <a:xfrm>
                      <a:off x="0" y="0"/>
                      <a:ext cx="5727700" cy="8094345"/>
                    </a:xfrm>
                    <a:prstGeom prst="rect">
                      <a:avLst/>
                    </a:prstGeom>
                  </pic:spPr>
                </pic:pic>
              </a:graphicData>
            </a:graphic>
          </wp:inline>
        </w:drawing>
      </w:r>
    </w:p>
    <w:p w14:paraId="0388CB8F" w14:textId="0E817BAD" w:rsidR="003F6260" w:rsidRPr="00E6110F" w:rsidRDefault="003F6260" w:rsidP="003F6260">
      <w:pPr>
        <w:pStyle w:val="Imagecaption"/>
        <w:rPr>
          <w:rFonts w:eastAsia="Times New Roman"/>
          <w:lang w:eastAsia="en-AU"/>
        </w:rPr>
      </w:pPr>
      <w:bookmarkStart w:id="177" w:name="_Toc477347560"/>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28</w:t>
      </w:r>
      <w:r w:rsidR="00254026">
        <w:fldChar w:fldCharType="end"/>
      </w:r>
      <w:r w:rsidRPr="00E6110F">
        <w:t xml:space="preserve"> Sociocultural assets within the Surat Basin study area.</w:t>
      </w:r>
      <w:bookmarkEnd w:id="177"/>
    </w:p>
    <w:p w14:paraId="436833DE" w14:textId="591532E3" w:rsidR="003F6260" w:rsidRDefault="003F6260">
      <w:pPr>
        <w:rPr>
          <w:rFonts w:ascii="Calibri" w:hAnsi="Calibri" w:cs="Calibri"/>
          <w:color w:val="000000"/>
          <w:sz w:val="18"/>
          <w:szCs w:val="18"/>
          <w:lang w:val="en-GB"/>
        </w:rPr>
      </w:pPr>
    </w:p>
    <w:p w14:paraId="1D4E0BAE" w14:textId="77777777" w:rsidR="003F6260" w:rsidRDefault="003F6260">
      <w:pPr>
        <w:rPr>
          <w:rFonts w:ascii="Calibri" w:hAnsi="Calibri" w:cs="Calibri"/>
          <w:color w:val="000000"/>
          <w:sz w:val="18"/>
          <w:szCs w:val="18"/>
          <w:lang w:val="en-GB"/>
        </w:rPr>
      </w:pPr>
    </w:p>
    <w:p w14:paraId="3229A842" w14:textId="0324965E" w:rsidR="009A2E95" w:rsidRPr="00E6110F" w:rsidRDefault="005D1F4C" w:rsidP="004709BE">
      <w:pPr>
        <w:pStyle w:val="Heading2"/>
      </w:pPr>
      <w:bookmarkStart w:id="178" w:name="_Ref448851440"/>
      <w:bookmarkStart w:id="179" w:name="_Ref448859697"/>
      <w:bookmarkStart w:id="180" w:name="_Toc494444522"/>
      <w:r w:rsidRPr="00E6110F">
        <w:t>Conceptualisation of fate and transport pathways</w:t>
      </w:r>
      <w:bookmarkEnd w:id="115"/>
      <w:bookmarkEnd w:id="178"/>
      <w:bookmarkEnd w:id="179"/>
      <w:bookmarkEnd w:id="180"/>
    </w:p>
    <w:p w14:paraId="6743AFB3" w14:textId="7E8FFE9A" w:rsidR="007E43AF" w:rsidRPr="00E6110F" w:rsidRDefault="007E43AF" w:rsidP="00FD0BAE">
      <w:pPr>
        <w:pStyle w:val="Heading3"/>
      </w:pPr>
      <w:bookmarkStart w:id="181" w:name="_Toc494444523"/>
      <w:r w:rsidRPr="00E6110F">
        <w:t>Introduction</w:t>
      </w:r>
      <w:bookmarkEnd w:id="181"/>
    </w:p>
    <w:p w14:paraId="52D72538" w14:textId="554472B4" w:rsidR="007E43AF" w:rsidRPr="00E6110F" w:rsidRDefault="007E43AF" w:rsidP="007E43AF">
      <w:pPr>
        <w:pStyle w:val="Body"/>
      </w:pPr>
      <w:r w:rsidRPr="00E6110F">
        <w:t>Within a risk assessment paradigm, conceptual model(s) could strongly inform the identification of hazards and could be used to help select appropriate scenarios for further hazard, exposure, consequence, likelihood, and / or risk assessment. The phasing of CSG operations and the mitigating measures industry have put in place directly informs this conceptualisation. For example, the lifetime of an individual CSG well or an entire CSG well field can be divided into different phases of operation (</w:t>
      </w:r>
      <w:r w:rsidR="000B553F" w:rsidRPr="00E6110F">
        <w:fldChar w:fldCharType="begin" w:fldLock="1"/>
      </w:r>
      <w:r w:rsidR="000B553F" w:rsidRPr="00E6110F">
        <w:instrText xml:space="preserve"> REF _Ref454315855 \h </w:instrText>
      </w:r>
      <w:r w:rsidR="00E6110F">
        <w:instrText xml:space="preserve"> \* MERGEFORMAT </w:instrText>
      </w:r>
      <w:r w:rsidR="000B553F" w:rsidRPr="00E6110F">
        <w:fldChar w:fldCharType="separate"/>
      </w:r>
      <w:r w:rsidR="00335E79" w:rsidRPr="00E6110F">
        <w:t xml:space="preserve">Figure </w:t>
      </w:r>
      <w:r w:rsidR="00335E79">
        <w:rPr>
          <w:noProof/>
        </w:rPr>
        <w:t>2</w:t>
      </w:r>
      <w:r w:rsidR="00335E79">
        <w:rPr>
          <w:noProof/>
        </w:rPr>
        <w:noBreakHyphen/>
        <w:t>29</w:t>
      </w:r>
      <w:r w:rsidR="000B553F" w:rsidRPr="00E6110F">
        <w:fldChar w:fldCharType="end"/>
      </w:r>
      <w:r w:rsidR="00180BD6" w:rsidRPr="00E6110F">
        <w:t>; Mallants et al.</w:t>
      </w:r>
      <w:r w:rsidR="008C321C" w:rsidRPr="00E6110F">
        <w:t xml:space="preserve"> 201</w:t>
      </w:r>
      <w:r w:rsidR="00914462">
        <w:t>7</w:t>
      </w:r>
      <w:r w:rsidR="0030587A">
        <w:t>a</w:t>
      </w:r>
      <w:r w:rsidRPr="00E6110F">
        <w:t>). Each phase has a number of typical activities with a relatively well-defined duration and set of risks. Importantly, these risks are not equally distributed across time and space.</w:t>
      </w:r>
    </w:p>
    <w:p w14:paraId="22BBC30A" w14:textId="6920F9AD" w:rsidR="007E43AF" w:rsidRPr="00E6110F" w:rsidRDefault="005560DA" w:rsidP="007E43AF">
      <w:pPr>
        <w:pStyle w:val="Body"/>
      </w:pPr>
      <w:r>
        <w:t>Based on the three major phases in the life-cycle of a CSG well field</w:t>
      </w:r>
      <w:r w:rsidR="0044118A">
        <w:t xml:space="preserve"> that potentially provide the largest risk to groundwater contamination (</w:t>
      </w:r>
      <w:r w:rsidR="0044118A">
        <w:fldChar w:fldCharType="begin" w:fldLock="1"/>
      </w:r>
      <w:r w:rsidR="0044118A">
        <w:instrText xml:space="preserve"> REF _Ref454315855 \h </w:instrText>
      </w:r>
      <w:r w:rsidR="0044118A">
        <w:fldChar w:fldCharType="separate"/>
      </w:r>
      <w:r w:rsidR="00335E79" w:rsidRPr="00E6110F">
        <w:t xml:space="preserve">Figure </w:t>
      </w:r>
      <w:r w:rsidR="00335E79">
        <w:rPr>
          <w:noProof/>
        </w:rPr>
        <w:t>2</w:t>
      </w:r>
      <w:r w:rsidR="00335E79">
        <w:noBreakHyphen/>
      </w:r>
      <w:r w:rsidR="00335E79">
        <w:rPr>
          <w:noProof/>
        </w:rPr>
        <w:t>29</w:t>
      </w:r>
      <w:r w:rsidR="0044118A">
        <w:fldChar w:fldCharType="end"/>
      </w:r>
      <w:r w:rsidR="0044118A">
        <w:t>)</w:t>
      </w:r>
      <w:r>
        <w:t>, i.e.</w:t>
      </w:r>
      <w:r w:rsidR="007E43AF" w:rsidRPr="00E6110F">
        <w:t xml:space="preserve"> the “pressurisation” phase, the “depressurisation” phase, and the “return to equilibrium” phase</w:t>
      </w:r>
      <w:r>
        <w:t xml:space="preserve">, three conceptual models </w:t>
      </w:r>
      <w:r w:rsidR="00305649">
        <w:t>can be envisaged</w:t>
      </w:r>
      <w:r w:rsidR="00305649" w:rsidRPr="00E6110F">
        <w:t xml:space="preserve"> </w:t>
      </w:r>
      <w:r w:rsidRPr="00E6110F">
        <w:t>from which chemical release scenarios can be constructed</w:t>
      </w:r>
      <w:r w:rsidR="007E43AF" w:rsidRPr="00E6110F">
        <w:t xml:space="preserve">. </w:t>
      </w:r>
      <w:r>
        <w:t>C</w:t>
      </w:r>
      <w:r w:rsidRPr="00E6110F">
        <w:t xml:space="preserve">onceptualisations </w:t>
      </w:r>
      <w:r w:rsidR="007E43AF" w:rsidRPr="00E6110F">
        <w:t xml:space="preserve">for shallow groundwater </w:t>
      </w:r>
      <w:r>
        <w:t xml:space="preserve">for the first two phases </w:t>
      </w:r>
      <w:r w:rsidR="007E43AF" w:rsidRPr="00E6110F">
        <w:t xml:space="preserve">have been reported in </w:t>
      </w:r>
      <w:r w:rsidR="00180BD6" w:rsidRPr="00E6110F">
        <w:t xml:space="preserve">Mallants et al. </w:t>
      </w:r>
      <w:r w:rsidR="007E43AF" w:rsidRPr="00E6110F">
        <w:t>(201</w:t>
      </w:r>
      <w:r w:rsidR="00914462">
        <w:t>7</w:t>
      </w:r>
      <w:r>
        <w:t>a</w:t>
      </w:r>
      <w:r w:rsidR="007E43AF" w:rsidRPr="00E6110F">
        <w:t>). Regarding deep groundwater, there are other sources and pathways that need consideration</w:t>
      </w:r>
      <w:r w:rsidR="002724EC">
        <w:t>.  These</w:t>
      </w:r>
      <w:r w:rsidR="007E43AF" w:rsidRPr="00E6110F">
        <w:t xml:space="preserve"> are discussed on the basis of</w:t>
      </w:r>
      <w:r w:rsidR="0044118A">
        <w:t xml:space="preserve"> </w:t>
      </w:r>
      <w:r w:rsidR="0044118A">
        <w:fldChar w:fldCharType="begin" w:fldLock="1"/>
      </w:r>
      <w:r w:rsidR="0044118A">
        <w:instrText xml:space="preserve"> REF _Ref446688009 \h </w:instrText>
      </w:r>
      <w:r w:rsidR="0044118A">
        <w:fldChar w:fldCharType="separate"/>
      </w:r>
      <w:r w:rsidR="00335E79" w:rsidRPr="00E6110F">
        <w:t xml:space="preserve">Figure </w:t>
      </w:r>
      <w:r w:rsidR="00335E79">
        <w:rPr>
          <w:noProof/>
        </w:rPr>
        <w:t>2</w:t>
      </w:r>
      <w:r w:rsidR="00335E79">
        <w:noBreakHyphen/>
      </w:r>
      <w:r w:rsidR="00335E79">
        <w:rPr>
          <w:noProof/>
        </w:rPr>
        <w:t>30</w:t>
      </w:r>
      <w:r w:rsidR="0044118A">
        <w:fldChar w:fldCharType="end"/>
      </w:r>
      <w:r>
        <w:t>.</w:t>
      </w:r>
    </w:p>
    <w:p w14:paraId="76FE2483" w14:textId="77777777" w:rsidR="007E43AF" w:rsidRPr="00E6110F" w:rsidRDefault="007E43AF" w:rsidP="007E43AF">
      <w:pPr>
        <w:pStyle w:val="Body"/>
      </w:pPr>
    </w:p>
    <w:p w14:paraId="0ECBB8DE" w14:textId="77777777" w:rsidR="007E43AF" w:rsidRPr="00E6110F" w:rsidRDefault="007E43AF" w:rsidP="007E43AF">
      <w:pPr>
        <w:pStyle w:val="OWSfigurecaption"/>
        <w:spacing w:before="0" w:after="0"/>
        <w:rPr>
          <w:color w:val="1F497D"/>
        </w:rPr>
      </w:pPr>
      <w:r w:rsidRPr="00E6110F">
        <w:rPr>
          <w:noProof/>
          <w:lang w:val="en-AU" w:eastAsia="en-AU"/>
        </w:rPr>
        <w:drawing>
          <wp:inline distT="0" distB="0" distL="0" distR="0" wp14:anchorId="2081CD5A" wp14:editId="13FF905C">
            <wp:extent cx="5641742" cy="1753437"/>
            <wp:effectExtent l="0" t="0" r="0" b="0"/>
            <wp:docPr id="146" name="Picture 4" descr="Diagram showing phases of development and operation of a CSG project." title="Fig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646738" cy="1754990"/>
                    </a:xfrm>
                    <a:prstGeom prst="rect">
                      <a:avLst/>
                    </a:prstGeom>
                    <a:noFill/>
                    <a:ln w="9525">
                      <a:noFill/>
                      <a:miter lim="800000"/>
                      <a:headEnd/>
                      <a:tailEnd/>
                    </a:ln>
                  </pic:spPr>
                </pic:pic>
              </a:graphicData>
            </a:graphic>
          </wp:inline>
        </w:drawing>
      </w:r>
    </w:p>
    <w:p w14:paraId="0D3CE98A" w14:textId="77777777" w:rsidR="007E43AF" w:rsidRPr="00E6110F" w:rsidRDefault="007E43AF" w:rsidP="007E43AF">
      <w:pPr>
        <w:pStyle w:val="OWSfigurecaption"/>
        <w:spacing w:before="0" w:after="0"/>
        <w:rPr>
          <w:color w:val="1F497D"/>
        </w:rPr>
      </w:pPr>
    </w:p>
    <w:p w14:paraId="387FD91E" w14:textId="3117450E" w:rsidR="007E43AF" w:rsidRPr="00E6110F" w:rsidRDefault="007E43AF" w:rsidP="007E43AF">
      <w:pPr>
        <w:pStyle w:val="Imagecaption"/>
      </w:pPr>
      <w:bookmarkStart w:id="182" w:name="_Ref454315855"/>
      <w:bookmarkStart w:id="183" w:name="_Toc477347561"/>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29</w:t>
      </w:r>
      <w:r w:rsidR="00254026">
        <w:fldChar w:fldCharType="end"/>
      </w:r>
      <w:bookmarkEnd w:id="182"/>
      <w:r w:rsidRPr="00E6110F">
        <w:t xml:space="preserve"> Phases of development and operation of a CSG project (</w:t>
      </w:r>
      <w:r w:rsidR="00180BD6" w:rsidRPr="00E6110F">
        <w:t xml:space="preserve">Mallants et al. </w:t>
      </w:r>
      <w:r w:rsidR="008C321C" w:rsidRPr="00E6110F">
        <w:t>201</w:t>
      </w:r>
      <w:r w:rsidR="00914462">
        <w:t>7</w:t>
      </w:r>
      <w:r w:rsidR="005560DA">
        <w:t>a</w:t>
      </w:r>
      <w:r w:rsidRPr="00E6110F">
        <w:t>).</w:t>
      </w:r>
      <w:bookmarkEnd w:id="183"/>
    </w:p>
    <w:p w14:paraId="1BB91DC8" w14:textId="46926DE9" w:rsidR="007E43AF" w:rsidRPr="00E6110F" w:rsidRDefault="007E43AF" w:rsidP="007E43AF">
      <w:pPr>
        <w:pStyle w:val="Body"/>
      </w:pPr>
      <w:r w:rsidRPr="00E6110F">
        <w:t xml:space="preserve">During the pressurisation or injection phase, leakage of hydraulic fracturing fluids can occur via </w:t>
      </w:r>
      <w:r w:rsidR="004B3EF0">
        <w:t>fracture growth into an aquifer (</w:t>
      </w:r>
      <w:r w:rsidR="002724EC">
        <w:t>P</w:t>
      </w:r>
      <w:r w:rsidR="002724EC" w:rsidRPr="00E6110F">
        <w:t xml:space="preserve">athway </w:t>
      </w:r>
      <w:r w:rsidR="004B3EF0">
        <w:t>A</w:t>
      </w:r>
      <w:r w:rsidR="004B3EF0" w:rsidRPr="00E6110F">
        <w:t xml:space="preserve"> in </w:t>
      </w:r>
      <w:r w:rsidR="004B3EF0" w:rsidRPr="00E6110F">
        <w:fldChar w:fldCharType="begin" w:fldLock="1"/>
      </w:r>
      <w:r w:rsidR="004B3EF0" w:rsidRPr="00E6110F">
        <w:instrText xml:space="preserve"> REF _Ref446688009 \h </w:instrText>
      </w:r>
      <w:r w:rsidR="004B3EF0">
        <w:instrText xml:space="preserve"> \* MERGEFORMAT </w:instrText>
      </w:r>
      <w:r w:rsidR="004B3EF0" w:rsidRPr="00E6110F">
        <w:fldChar w:fldCharType="separate"/>
      </w:r>
      <w:r w:rsidR="00335E79" w:rsidRPr="00E6110F">
        <w:t xml:space="preserve">Figure </w:t>
      </w:r>
      <w:r w:rsidR="00335E79">
        <w:rPr>
          <w:noProof/>
        </w:rPr>
        <w:t>2</w:t>
      </w:r>
      <w:r w:rsidR="00335E79">
        <w:rPr>
          <w:noProof/>
        </w:rPr>
        <w:noBreakHyphen/>
        <w:t>30</w:t>
      </w:r>
      <w:r w:rsidR="004B3EF0" w:rsidRPr="00E6110F">
        <w:fldChar w:fldCharType="end"/>
      </w:r>
      <w:r w:rsidR="004B3EF0">
        <w:t xml:space="preserve">), </w:t>
      </w:r>
      <w:r w:rsidR="004B3EF0" w:rsidRPr="00E6110F">
        <w:t xml:space="preserve">via fracture growth into a well located in the same coal seam </w:t>
      </w:r>
      <w:r w:rsidR="00AA0E99">
        <w:t xml:space="preserve">formation </w:t>
      </w:r>
      <w:r w:rsidR="004B3EF0" w:rsidRPr="00E6110F">
        <w:t>(</w:t>
      </w:r>
      <w:r w:rsidR="002724EC">
        <w:t>P</w:t>
      </w:r>
      <w:r w:rsidR="002724EC" w:rsidRPr="00E6110F">
        <w:t xml:space="preserve">athway </w:t>
      </w:r>
      <w:r w:rsidR="004B3EF0">
        <w:t>B</w:t>
      </w:r>
      <w:r w:rsidR="004B3EF0" w:rsidRPr="00E6110F">
        <w:t xml:space="preserve"> in </w:t>
      </w:r>
      <w:r w:rsidR="004B3EF0" w:rsidRPr="00E6110F">
        <w:fldChar w:fldCharType="begin" w:fldLock="1"/>
      </w:r>
      <w:r w:rsidR="004B3EF0" w:rsidRPr="00E6110F">
        <w:instrText xml:space="preserve"> REF _Ref446688009 \h </w:instrText>
      </w:r>
      <w:r w:rsidR="004B3EF0">
        <w:instrText xml:space="preserve"> \* MERGEFORMAT </w:instrText>
      </w:r>
      <w:r w:rsidR="004B3EF0" w:rsidRPr="00E6110F">
        <w:fldChar w:fldCharType="separate"/>
      </w:r>
      <w:r w:rsidR="00335E79" w:rsidRPr="00E6110F">
        <w:t xml:space="preserve">Figure </w:t>
      </w:r>
      <w:r w:rsidR="00335E79">
        <w:rPr>
          <w:noProof/>
        </w:rPr>
        <w:t>2</w:t>
      </w:r>
      <w:r w:rsidR="00335E79">
        <w:rPr>
          <w:noProof/>
        </w:rPr>
        <w:noBreakHyphen/>
        <w:t>30</w:t>
      </w:r>
      <w:r w:rsidR="004B3EF0" w:rsidRPr="00E6110F">
        <w:fldChar w:fldCharType="end"/>
      </w:r>
      <w:r w:rsidR="004B3EF0" w:rsidRPr="00E6110F">
        <w:t>)</w:t>
      </w:r>
      <w:r w:rsidR="004B3EF0">
        <w:t xml:space="preserve">, via </w:t>
      </w:r>
      <w:r w:rsidR="00937276" w:rsidRPr="00E6110F">
        <w:t>a poor-integrity</w:t>
      </w:r>
      <w:r w:rsidRPr="00E6110F">
        <w:t xml:space="preserve"> well casing (</w:t>
      </w:r>
      <w:r w:rsidR="002724EC">
        <w:t>P</w:t>
      </w:r>
      <w:r w:rsidR="002724EC" w:rsidRPr="00E6110F">
        <w:t xml:space="preserve">athway </w:t>
      </w:r>
      <w:r w:rsidR="0093670E">
        <w:t xml:space="preserve">C </w:t>
      </w:r>
      <w:r w:rsidRPr="00E6110F">
        <w:t xml:space="preserve">in </w:t>
      </w:r>
      <w:r w:rsidR="00937276" w:rsidRPr="00E6110F">
        <w:fldChar w:fldCharType="begin" w:fldLock="1"/>
      </w:r>
      <w:r w:rsidR="00937276" w:rsidRPr="00E6110F">
        <w:instrText xml:space="preserve"> REF _Ref446688009 \h </w:instrText>
      </w:r>
      <w:r w:rsidR="00E6110F">
        <w:instrText xml:space="preserve"> \* MERGEFORMAT </w:instrText>
      </w:r>
      <w:r w:rsidR="00937276" w:rsidRPr="00E6110F">
        <w:fldChar w:fldCharType="separate"/>
      </w:r>
      <w:r w:rsidR="00335E79" w:rsidRPr="00E6110F">
        <w:t xml:space="preserve">Figure </w:t>
      </w:r>
      <w:r w:rsidR="00335E79">
        <w:rPr>
          <w:noProof/>
        </w:rPr>
        <w:t>2</w:t>
      </w:r>
      <w:r w:rsidR="00335E79">
        <w:rPr>
          <w:noProof/>
        </w:rPr>
        <w:noBreakHyphen/>
        <w:t>30</w:t>
      </w:r>
      <w:r w:rsidR="00937276" w:rsidRPr="00E6110F">
        <w:fldChar w:fldCharType="end"/>
      </w:r>
      <w:r w:rsidR="00212FAA" w:rsidRPr="00E6110F">
        <w:t>; US EPA 2012</w:t>
      </w:r>
      <w:r w:rsidR="000B553F" w:rsidRPr="00E6110F">
        <w:t>a</w:t>
      </w:r>
      <w:r w:rsidRPr="00E6110F">
        <w:t xml:space="preserve">), </w:t>
      </w:r>
      <w:r w:rsidR="004B3EF0">
        <w:t xml:space="preserve">or </w:t>
      </w:r>
      <w:r w:rsidRPr="00E6110F">
        <w:t xml:space="preserve">via </w:t>
      </w:r>
      <w:r w:rsidR="00937276" w:rsidRPr="00E6110F">
        <w:t>faults or fractured zones connected to the coal seams being hydraulically</w:t>
      </w:r>
      <w:r w:rsidRPr="00E6110F">
        <w:t xml:space="preserve"> fracture</w:t>
      </w:r>
      <w:r w:rsidR="00937276" w:rsidRPr="00E6110F">
        <w:t>d</w:t>
      </w:r>
      <w:r w:rsidRPr="00E6110F">
        <w:t xml:space="preserve"> (</w:t>
      </w:r>
      <w:r w:rsidR="002724EC">
        <w:t>P</w:t>
      </w:r>
      <w:r w:rsidR="002724EC" w:rsidRPr="00E6110F">
        <w:t xml:space="preserve">athway </w:t>
      </w:r>
      <w:r w:rsidR="0093670E">
        <w:t>D</w:t>
      </w:r>
      <w:r w:rsidRPr="00E6110F">
        <w:t xml:space="preserve"> in </w:t>
      </w:r>
      <w:r w:rsidR="006E74BC" w:rsidRPr="00E6110F">
        <w:fldChar w:fldCharType="begin" w:fldLock="1"/>
      </w:r>
      <w:r w:rsidR="006E74BC" w:rsidRPr="00E6110F">
        <w:instrText xml:space="preserve"> REF _Ref446688009 \h </w:instrText>
      </w:r>
      <w:r w:rsidR="00E6110F">
        <w:instrText xml:space="preserve"> \* MERGEFORMAT </w:instrText>
      </w:r>
      <w:r w:rsidR="006E74BC" w:rsidRPr="00E6110F">
        <w:fldChar w:fldCharType="separate"/>
      </w:r>
      <w:r w:rsidR="00335E79" w:rsidRPr="00E6110F">
        <w:t xml:space="preserve">Figure </w:t>
      </w:r>
      <w:r w:rsidR="00335E79">
        <w:rPr>
          <w:noProof/>
        </w:rPr>
        <w:t>2</w:t>
      </w:r>
      <w:r w:rsidR="00335E79">
        <w:rPr>
          <w:noProof/>
        </w:rPr>
        <w:noBreakHyphen/>
        <w:t>30</w:t>
      </w:r>
      <w:r w:rsidR="006E74BC" w:rsidRPr="00E6110F">
        <w:fldChar w:fldCharType="end"/>
      </w:r>
      <w:r w:rsidR="004B3EF0">
        <w:t>)</w:t>
      </w:r>
      <w:r w:rsidRPr="00E6110F">
        <w:t xml:space="preserve">. </w:t>
      </w:r>
      <w:r w:rsidR="00D362C5" w:rsidRPr="00E6110F">
        <w:t xml:space="preserve">A detailed discussion of these potential pathways is provided in </w:t>
      </w:r>
      <w:r w:rsidR="002724EC">
        <w:t>S</w:t>
      </w:r>
      <w:r w:rsidR="002724EC" w:rsidRPr="00E6110F">
        <w:t xml:space="preserve">ection </w:t>
      </w:r>
      <w:r w:rsidR="00D362C5" w:rsidRPr="00E6110F">
        <w:fldChar w:fldCharType="begin" w:fldLock="1"/>
      </w:r>
      <w:r w:rsidR="00D362C5" w:rsidRPr="00E6110F">
        <w:instrText xml:space="preserve"> REF _Ref446688442 \r \h </w:instrText>
      </w:r>
      <w:r w:rsidR="00E6110F">
        <w:instrText xml:space="preserve"> \* MERGEFORMAT </w:instrText>
      </w:r>
      <w:r w:rsidR="00D362C5" w:rsidRPr="00E6110F">
        <w:fldChar w:fldCharType="separate"/>
      </w:r>
      <w:r w:rsidR="00335E79">
        <w:t>2.6.2</w:t>
      </w:r>
      <w:r w:rsidR="00D362C5" w:rsidRPr="00E6110F">
        <w:fldChar w:fldCharType="end"/>
      </w:r>
      <w:r w:rsidR="00D362C5" w:rsidRPr="00E6110F">
        <w:t>.</w:t>
      </w:r>
    </w:p>
    <w:p w14:paraId="27B838E1" w14:textId="4528514D" w:rsidR="007E43AF" w:rsidRPr="00E6110F" w:rsidRDefault="007E43AF" w:rsidP="007E43AF">
      <w:pPr>
        <w:pStyle w:val="Body"/>
      </w:pPr>
      <w:r w:rsidRPr="00E6110F">
        <w:t>Because groundwater flow direction is towards the coal seam formation and its production wells during the “depressurisation” phase, and also during most of the “return to equilibrium” phase</w:t>
      </w:r>
      <w:r w:rsidR="00D362C5" w:rsidRPr="00E6110F">
        <w:t xml:space="preserve"> (Wu et al. 2016)</w:t>
      </w:r>
      <w:r w:rsidRPr="00E6110F">
        <w:t xml:space="preserve">, leakage to </w:t>
      </w:r>
      <w:r w:rsidR="00D362C5" w:rsidRPr="00E6110F">
        <w:t xml:space="preserve">overlying </w:t>
      </w:r>
      <w:r w:rsidR="00AA0E99">
        <w:t xml:space="preserve">or underlying </w:t>
      </w:r>
      <w:r w:rsidR="00D362C5" w:rsidRPr="00E6110F">
        <w:t>aquifers</w:t>
      </w:r>
      <w:r w:rsidRPr="00E6110F">
        <w:t xml:space="preserve"> of the residual fraction of hydraulic fracturing fluids remaining in the coal seam formations is likely </w:t>
      </w:r>
      <w:r w:rsidR="0044118A">
        <w:t xml:space="preserve">very </w:t>
      </w:r>
      <w:r w:rsidR="00D362C5" w:rsidRPr="00E6110F">
        <w:t>limited</w:t>
      </w:r>
      <w:r w:rsidRPr="00E6110F">
        <w:t xml:space="preserve">. One potential pathway during the “depressurisation” phase is for </w:t>
      </w:r>
      <w:r w:rsidR="00D362C5" w:rsidRPr="00E6110F">
        <w:t xml:space="preserve">coal seam </w:t>
      </w:r>
      <w:r w:rsidRPr="00E6110F">
        <w:t>water containing residues of the hydraulic fracturing fluid and geogenics to leak into beneficial aquifers via a</w:t>
      </w:r>
      <w:r w:rsidR="00212FAA" w:rsidRPr="00E6110F">
        <w:t xml:space="preserve">n existing and productive water bore screened in the coal seam aquifer </w:t>
      </w:r>
      <w:r w:rsidR="00CC3E45">
        <w:t>(</w:t>
      </w:r>
      <w:r w:rsidR="002724EC">
        <w:t xml:space="preserve">Pathway </w:t>
      </w:r>
      <w:r w:rsidR="00CC3E45">
        <w:t xml:space="preserve">B </w:t>
      </w:r>
      <w:r w:rsidRPr="00E6110F">
        <w:t>in</w:t>
      </w:r>
      <w:r w:rsidR="00212FAA" w:rsidRPr="00E6110F">
        <w:t xml:space="preserve"> </w:t>
      </w:r>
      <w:r w:rsidR="00212FAA" w:rsidRPr="00E6110F">
        <w:fldChar w:fldCharType="begin" w:fldLock="1"/>
      </w:r>
      <w:r w:rsidR="00212FAA" w:rsidRPr="00E6110F">
        <w:instrText xml:space="preserve"> REF _Ref446688009 \h </w:instrText>
      </w:r>
      <w:r w:rsidR="00E6110F">
        <w:instrText xml:space="preserve"> \* MERGEFORMAT </w:instrText>
      </w:r>
      <w:r w:rsidR="00212FAA" w:rsidRPr="00E6110F">
        <w:fldChar w:fldCharType="separate"/>
      </w:r>
      <w:r w:rsidR="00335E79" w:rsidRPr="00E6110F">
        <w:t xml:space="preserve">Figure </w:t>
      </w:r>
      <w:r w:rsidR="00335E79">
        <w:rPr>
          <w:noProof/>
        </w:rPr>
        <w:t>2</w:t>
      </w:r>
      <w:r w:rsidR="00335E79">
        <w:rPr>
          <w:noProof/>
        </w:rPr>
        <w:noBreakHyphen/>
        <w:t>30</w:t>
      </w:r>
      <w:r w:rsidR="00212FAA" w:rsidRPr="00E6110F">
        <w:fldChar w:fldCharType="end"/>
      </w:r>
      <w:r w:rsidRPr="00E6110F">
        <w:t>)</w:t>
      </w:r>
      <w:r w:rsidR="00212FAA" w:rsidRPr="00E6110F">
        <w:t>.</w:t>
      </w:r>
      <w:r w:rsidRPr="00E6110F">
        <w:t xml:space="preserve"> </w:t>
      </w:r>
      <w:r w:rsidR="00212FAA" w:rsidRPr="00E6110F">
        <w:t>The depressurisation and associated water flow caused by the groundwater bore can be stronger than that caused by the CSG wells, especially in the beginning of the depressurisation phase</w:t>
      </w:r>
      <w:r w:rsidRPr="00E6110F">
        <w:t>.</w:t>
      </w:r>
      <w:r w:rsidR="00212FAA" w:rsidRPr="00E6110F">
        <w:t xml:space="preserve"> As a result, the water bore can </w:t>
      </w:r>
      <w:r w:rsidR="00B44540" w:rsidRPr="00E6110F">
        <w:t>become a sink for hydraulic fracturing fluids.</w:t>
      </w:r>
      <w:r w:rsidR="00305649">
        <w:t xml:space="preserve"> In practice, however, water bores </w:t>
      </w:r>
      <w:r w:rsidR="00535EF1">
        <w:t xml:space="preserve">in the vicinity of CSG wells </w:t>
      </w:r>
      <w:r w:rsidR="00305649">
        <w:t>that could cause such pathway would be plugged to stop any flow of water and/or gas.</w:t>
      </w:r>
      <w:r w:rsidRPr="00E6110F">
        <w:t xml:space="preserve"> </w:t>
      </w:r>
    </w:p>
    <w:p w14:paraId="616AE48E" w14:textId="36C3E02C" w:rsidR="007E43AF" w:rsidRPr="00E6110F" w:rsidRDefault="007E43AF" w:rsidP="007E43AF">
      <w:pPr>
        <w:pStyle w:val="Body"/>
      </w:pPr>
      <w:r w:rsidRPr="00E6110F">
        <w:t>The “return to equilibrium” phase may take up to several hundred years, in some cases even more than 1000 years (</w:t>
      </w:r>
      <w:r w:rsidR="000B553F" w:rsidRPr="00E6110F">
        <w:t>Mallants et al.</w:t>
      </w:r>
      <w:r w:rsidRPr="00E6110F">
        <w:t xml:space="preserve"> 201</w:t>
      </w:r>
      <w:r w:rsidR="00914462">
        <w:t>7</w:t>
      </w:r>
      <w:r w:rsidR="0044118A">
        <w:t>b</w:t>
      </w:r>
      <w:r w:rsidR="00B44540" w:rsidRPr="00E6110F">
        <w:t>; Wu et al. 2016</w:t>
      </w:r>
      <w:r w:rsidRPr="00E6110F">
        <w:t>), and is characterised by a very slow re-pressurisation of the coal seam formation, but with an overall flow direction still towards the coal seams until some new equilibrium has been established. Where groundwater abstraction occurs, either within the coal seams or above, flow may locally be oriented towards the groundwater well (i.e. outside the gradually shrinking cone of depression created during the depressurisation) which could accelerate transport of contaminants towards the well through previously created pathways (e.g. fractures). Clearly, these pathways might intersect or overlap</w:t>
      </w:r>
      <w:r w:rsidR="00A202F0">
        <w:t xml:space="preserve">. However, </w:t>
      </w:r>
      <w:r w:rsidR="00A202F0" w:rsidRPr="00E6110F">
        <w:t>to usefully inform assessments</w:t>
      </w:r>
      <w:r w:rsidR="00A202F0">
        <w:t xml:space="preserve"> of pathway features in terms of travel time and attenuation,</w:t>
      </w:r>
      <w:r w:rsidRPr="00E6110F">
        <w:t xml:space="preserve"> a relatively small</w:t>
      </w:r>
      <w:r w:rsidR="00A202F0">
        <w:t xml:space="preserve"> and</w:t>
      </w:r>
      <w:r w:rsidRPr="00E6110F">
        <w:t xml:space="preserve"> manageable number of emission scenarios </w:t>
      </w:r>
      <w:r w:rsidR="00B44540" w:rsidRPr="00E6110F">
        <w:t>has been</w:t>
      </w:r>
      <w:r w:rsidRPr="00E6110F">
        <w:t xml:space="preserve"> developed</w:t>
      </w:r>
      <w:r w:rsidR="00A202F0">
        <w:t>. These scenarios</w:t>
      </w:r>
      <w:r w:rsidRPr="00E6110F">
        <w:t xml:space="preserve"> </w:t>
      </w:r>
      <w:r w:rsidR="00A202F0">
        <w:t xml:space="preserve">have also been </w:t>
      </w:r>
      <w:r w:rsidR="00B44540" w:rsidRPr="00E6110F">
        <w:t>informed by the national and international literature review</w:t>
      </w:r>
      <w:r w:rsidR="001154F6" w:rsidRPr="00E6110F">
        <w:t xml:space="preserve"> (</w:t>
      </w:r>
      <w:r w:rsidR="002724EC">
        <w:t>S</w:t>
      </w:r>
      <w:r w:rsidR="002724EC" w:rsidRPr="00E6110F">
        <w:t xml:space="preserve">ection </w:t>
      </w:r>
      <w:r w:rsidR="001154F6" w:rsidRPr="00E6110F">
        <w:fldChar w:fldCharType="begin" w:fldLock="1"/>
      </w:r>
      <w:r w:rsidR="001154F6" w:rsidRPr="00E6110F">
        <w:instrText xml:space="preserve"> REF _Ref446600418 \r \h </w:instrText>
      </w:r>
      <w:r w:rsidR="00E6110F">
        <w:instrText xml:space="preserve"> \* MERGEFORMAT </w:instrText>
      </w:r>
      <w:r w:rsidR="001154F6" w:rsidRPr="00E6110F">
        <w:fldChar w:fldCharType="separate"/>
      </w:r>
      <w:r w:rsidR="00335E79">
        <w:t>2.1</w:t>
      </w:r>
      <w:r w:rsidR="001154F6" w:rsidRPr="00E6110F">
        <w:fldChar w:fldCharType="end"/>
      </w:r>
      <w:r w:rsidR="001154F6" w:rsidRPr="00E6110F">
        <w:t>)</w:t>
      </w:r>
      <w:r w:rsidRPr="00E6110F">
        <w:t>:</w:t>
      </w:r>
    </w:p>
    <w:p w14:paraId="5CCF0D1A" w14:textId="5922F724" w:rsidR="007E43AF" w:rsidRPr="00E6110F" w:rsidRDefault="007E43AF" w:rsidP="00C117A3">
      <w:pPr>
        <w:pStyle w:val="Body"/>
        <w:numPr>
          <w:ilvl w:val="0"/>
          <w:numId w:val="11"/>
        </w:numPr>
      </w:pPr>
      <w:r w:rsidRPr="00E6110F">
        <w:t>wellbore integrity failure during injection (well rupture), production (wellbore failure), or decommissioning/abandonment (well integrity failure) providing a well pathway</w:t>
      </w:r>
      <w:r w:rsidR="007F7FF3">
        <w:t>,</w:t>
      </w:r>
      <w:r w:rsidRPr="00E6110F">
        <w:t xml:space="preserve"> </w:t>
      </w:r>
    </w:p>
    <w:p w14:paraId="2BC80901" w14:textId="1DBC0487" w:rsidR="00E6159B" w:rsidRDefault="00E6159B" w:rsidP="00C117A3">
      <w:pPr>
        <w:pStyle w:val="Body"/>
        <w:numPr>
          <w:ilvl w:val="0"/>
          <w:numId w:val="11"/>
        </w:numPr>
      </w:pPr>
      <w:r w:rsidRPr="00E6110F">
        <w:t>an offset, proximal extraction well pathway</w:t>
      </w:r>
      <w:r>
        <w:t>,</w:t>
      </w:r>
    </w:p>
    <w:p w14:paraId="62E4C71A" w14:textId="153958C4" w:rsidR="00E6159B" w:rsidRDefault="00E6159B" w:rsidP="00C117A3">
      <w:pPr>
        <w:pStyle w:val="Body"/>
        <w:numPr>
          <w:ilvl w:val="0"/>
          <w:numId w:val="11"/>
        </w:numPr>
      </w:pPr>
      <w:r>
        <w:t xml:space="preserve">fracture growth into </w:t>
      </w:r>
      <w:r w:rsidRPr="00E6110F">
        <w:t>an overlying aquifer generating an induced fracture pathway</w:t>
      </w:r>
      <w:r>
        <w:t>,</w:t>
      </w:r>
    </w:p>
    <w:p w14:paraId="4CFF2ECE" w14:textId="353A5CA3" w:rsidR="007E43AF" w:rsidRPr="00E6110F" w:rsidRDefault="007E43AF" w:rsidP="00C117A3">
      <w:pPr>
        <w:pStyle w:val="Body"/>
        <w:numPr>
          <w:ilvl w:val="0"/>
          <w:numId w:val="11"/>
        </w:numPr>
      </w:pPr>
      <w:proofErr w:type="gramStart"/>
      <w:r w:rsidRPr="00E6110F">
        <w:t>loss</w:t>
      </w:r>
      <w:proofErr w:type="gramEnd"/>
      <w:r w:rsidRPr="00E6110F">
        <w:t xml:space="preserve"> of hydraulic fracturing fluid via faults</w:t>
      </w:r>
      <w:r w:rsidR="00E6159B">
        <w:t>.</w:t>
      </w:r>
    </w:p>
    <w:p w14:paraId="74B36049" w14:textId="64C0F071" w:rsidR="007E43AF" w:rsidRDefault="007E43AF" w:rsidP="007E43AF">
      <w:pPr>
        <w:pStyle w:val="Body"/>
      </w:pPr>
      <w:r w:rsidRPr="00E6110F">
        <w:t>Having defined the release and migration pathways from the coal seam formation into adjacent formations, the migration paths to receptors also need to be more carefully conceptualised. Typical receptors include groundwater abstraction wells location within or above / below coal seam formations, groundwater aquifers connected to coal seam formations via faults, surface water features such as springs, groundwater depend</w:t>
      </w:r>
      <w:r w:rsidR="00736347">
        <w:t>e</w:t>
      </w:r>
      <w:r w:rsidRPr="00E6110F">
        <w:t>nt vegetation, groundwater fauna, wetlands and stream receiving deep groundwater (</w:t>
      </w:r>
      <w:r w:rsidR="0092306E" w:rsidRPr="00E6110F">
        <w:t xml:space="preserve">further details in section </w:t>
      </w:r>
      <w:r w:rsidR="0092306E" w:rsidRPr="00E6110F">
        <w:fldChar w:fldCharType="begin" w:fldLock="1"/>
      </w:r>
      <w:r w:rsidR="0092306E" w:rsidRPr="00E6110F">
        <w:instrText xml:space="preserve"> REF _Ref446690869 \r \h </w:instrText>
      </w:r>
      <w:r w:rsidR="00E6110F">
        <w:instrText xml:space="preserve"> \* MERGEFORMAT </w:instrText>
      </w:r>
      <w:r w:rsidR="0092306E" w:rsidRPr="00E6110F">
        <w:fldChar w:fldCharType="separate"/>
      </w:r>
      <w:r w:rsidR="00335E79">
        <w:t>2.6.2</w:t>
      </w:r>
      <w:r w:rsidR="0092306E" w:rsidRPr="00E6110F">
        <w:fldChar w:fldCharType="end"/>
      </w:r>
      <w:r w:rsidRPr="00E6110F">
        <w:t>).</w:t>
      </w:r>
    </w:p>
    <w:p w14:paraId="6B9BA49D" w14:textId="77777777" w:rsidR="0093670E" w:rsidRPr="00E6110F" w:rsidRDefault="0093670E" w:rsidP="007E43AF">
      <w:pPr>
        <w:pStyle w:val="Body"/>
      </w:pPr>
    </w:p>
    <w:p w14:paraId="16FE7FEB" w14:textId="376E14AA" w:rsidR="004467A5" w:rsidRPr="00E6110F" w:rsidRDefault="00380701" w:rsidP="007E43AF">
      <w:pPr>
        <w:jc w:val="center"/>
      </w:pPr>
      <w:r w:rsidRPr="00380701">
        <w:rPr>
          <w:noProof/>
          <w:lang w:val="en-AU" w:eastAsia="en-AU"/>
        </w:rPr>
        <w:drawing>
          <wp:inline distT="0" distB="0" distL="0" distR="0" wp14:anchorId="151B89BD" wp14:editId="29EC3B5B">
            <wp:extent cx="5727700" cy="4693285"/>
            <wp:effectExtent l="0" t="0" r="6350" b="0"/>
            <wp:docPr id="1" name="Picture 1" descr="Block diagram of conceptualisation of possible contaminant pathways linked to deep groundwater and receptors at the CSG site for injection phase." title="Fig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5727700" cy="4693285"/>
                    </a:xfrm>
                    <a:prstGeom prst="rect">
                      <a:avLst/>
                    </a:prstGeom>
                  </pic:spPr>
                </pic:pic>
              </a:graphicData>
            </a:graphic>
          </wp:inline>
        </w:drawing>
      </w:r>
    </w:p>
    <w:p w14:paraId="50CC1BAC" w14:textId="58D50E65" w:rsidR="007E43AF" w:rsidRDefault="007E43AF" w:rsidP="007E43AF">
      <w:pPr>
        <w:pStyle w:val="Imagecaption"/>
      </w:pPr>
      <w:bookmarkStart w:id="184" w:name="_Ref446688009"/>
      <w:bookmarkStart w:id="185" w:name="_Toc477347562"/>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30</w:t>
      </w:r>
      <w:r w:rsidR="00254026">
        <w:fldChar w:fldCharType="end"/>
      </w:r>
      <w:bookmarkEnd w:id="184"/>
      <w:r w:rsidRPr="00E6110F">
        <w:t xml:space="preserve"> </w:t>
      </w:r>
      <w:r w:rsidR="006464A2">
        <w:t>Conceptualisation of p</w:t>
      </w:r>
      <w:r w:rsidRPr="00E6110F">
        <w:t xml:space="preserve">ossible contaminant pathways </w:t>
      </w:r>
      <w:r w:rsidR="007429BD">
        <w:t xml:space="preserve">linked to deep groundwater </w:t>
      </w:r>
      <w:r w:rsidRPr="00E6110F">
        <w:t>and receptors at the CSG site for injection phase</w:t>
      </w:r>
      <w:r w:rsidR="006464A2">
        <w:t>. Conceptualisations of pathways</w:t>
      </w:r>
      <w:r w:rsidRPr="00E6110F">
        <w:t xml:space="preserve"> to shallow groundwater were </w:t>
      </w:r>
      <w:r w:rsidR="006464A2">
        <w:t>develop</w:t>
      </w:r>
      <w:r w:rsidRPr="00E6110F">
        <w:t>ed in the National Assessment of CSG Chemicals Project</w:t>
      </w:r>
      <w:r w:rsidR="007429BD">
        <w:t xml:space="preserve"> (</w:t>
      </w:r>
      <w:r w:rsidR="001B6504">
        <w:t>Mallants et al. 201</w:t>
      </w:r>
      <w:r w:rsidR="00914462">
        <w:t>7</w:t>
      </w:r>
      <w:r w:rsidR="006464A2">
        <w:t>a</w:t>
      </w:r>
      <w:r w:rsidR="007429BD">
        <w:t>)</w:t>
      </w:r>
      <w:r w:rsidRPr="00E6110F">
        <w:t>.</w:t>
      </w:r>
      <w:bookmarkEnd w:id="185"/>
      <w:r w:rsidRPr="00E6110F">
        <w:t xml:space="preserve">  </w:t>
      </w:r>
    </w:p>
    <w:p w14:paraId="61F4546E" w14:textId="77777777" w:rsidR="003468F5" w:rsidRDefault="003468F5" w:rsidP="003468F5">
      <w:pPr>
        <w:pStyle w:val="Body"/>
      </w:pPr>
    </w:p>
    <w:p w14:paraId="42564708" w14:textId="4663DFB6" w:rsidR="003468F5" w:rsidRPr="00E6110F" w:rsidRDefault="003468F5" w:rsidP="003468F5">
      <w:pPr>
        <w:pStyle w:val="Body"/>
      </w:pPr>
      <w:r w:rsidRPr="00E6110F">
        <w:t>The conceptual model</w:t>
      </w:r>
      <w:r>
        <w:t>s</w:t>
      </w:r>
      <w:r w:rsidRPr="00E6110F">
        <w:t xml:space="preserve"> </w:t>
      </w:r>
      <w:r>
        <w:t xml:space="preserve">developed throughout this study </w:t>
      </w:r>
      <w:r w:rsidRPr="00E6110F">
        <w:t xml:space="preserve">include the following elements: </w:t>
      </w:r>
    </w:p>
    <w:p w14:paraId="02EFD068" w14:textId="77777777" w:rsidR="003468F5" w:rsidRPr="00E6110F" w:rsidRDefault="003468F5" w:rsidP="00C117A3">
      <w:pPr>
        <w:pStyle w:val="Body"/>
        <w:numPr>
          <w:ilvl w:val="0"/>
          <w:numId w:val="3"/>
        </w:numPr>
      </w:pPr>
      <w:r w:rsidRPr="00E6110F">
        <w:t xml:space="preserve">description of the contaminant source(s) relevant to deeper groundwater, including below-ground chemical leaks within the target coal formation and leaks in beneficial aquifers  </w:t>
      </w:r>
    </w:p>
    <w:p w14:paraId="451AD8BC" w14:textId="77777777" w:rsidR="003468F5" w:rsidRPr="00E6110F" w:rsidRDefault="003468F5" w:rsidP="00C117A3">
      <w:pPr>
        <w:pStyle w:val="Body"/>
        <w:numPr>
          <w:ilvl w:val="0"/>
          <w:numId w:val="3"/>
        </w:numPr>
      </w:pPr>
      <w:proofErr w:type="gramStart"/>
      <w:r w:rsidRPr="00E6110F">
        <w:t>for</w:t>
      </w:r>
      <w:proofErr w:type="gramEnd"/>
      <w:r w:rsidRPr="00E6110F">
        <w:t xml:space="preserve"> each type of chemical, the likely fate and transport pathway of the chemical. Fate of a chemical depends on its chemical and physical properties including its persistence, solubility, binding ability, and how it interacts with the underground ecology and the (hydro</w:t>
      </w:r>
      <w:proofErr w:type="gramStart"/>
      <w:r w:rsidRPr="00E6110F">
        <w:t>)geological</w:t>
      </w:r>
      <w:proofErr w:type="gramEnd"/>
      <w:r w:rsidRPr="00E6110F">
        <w:t xml:space="preserve"> environment in which it is released. Release to groundwater may result in movement away from the source over an extended period and distance, depending on hydrogeological conditions. Depending on persistence, solubility and geological binding properties, chemicals released to groundwater have potential to remain at a site for many years or percolate via preferential flow paths towards various receptors. Chemical fate and transport pathways that affect potential exposure routes for sensitive receptors will be accounted for.</w:t>
      </w:r>
    </w:p>
    <w:p w14:paraId="31F96B8F" w14:textId="77777777" w:rsidR="003468F5" w:rsidRPr="00E6110F" w:rsidRDefault="003468F5" w:rsidP="00C117A3">
      <w:pPr>
        <w:pStyle w:val="Body"/>
        <w:numPr>
          <w:ilvl w:val="0"/>
          <w:numId w:val="3"/>
        </w:numPr>
      </w:pPr>
      <w:proofErr w:type="gramStart"/>
      <w:r w:rsidRPr="00E6110F">
        <w:t>hydrogeological</w:t>
      </w:r>
      <w:proofErr w:type="gramEnd"/>
      <w:r w:rsidRPr="00E6110F">
        <w:t xml:space="preserve"> conceptualisations of typical Australians CSG basins.</w:t>
      </w:r>
    </w:p>
    <w:p w14:paraId="48A00D76" w14:textId="137BD2BA" w:rsidR="003468F5" w:rsidRPr="00E6110F" w:rsidRDefault="003468F5" w:rsidP="00C117A3">
      <w:pPr>
        <w:pStyle w:val="Body"/>
        <w:numPr>
          <w:ilvl w:val="0"/>
          <w:numId w:val="3"/>
        </w:numPr>
      </w:pPr>
      <w:proofErr w:type="gramStart"/>
      <w:r w:rsidRPr="00E6110F">
        <w:t>description</w:t>
      </w:r>
      <w:proofErr w:type="gramEnd"/>
      <w:r w:rsidRPr="00E6110F">
        <w:t xml:space="preserve"> of the receptors (groundwater use and groundwater depend</w:t>
      </w:r>
      <w:r w:rsidR="00736347">
        <w:t>e</w:t>
      </w:r>
      <w:r w:rsidRPr="00E6110F">
        <w:t>nt ecosystems, including wetlands, springs, streams).</w:t>
      </w:r>
    </w:p>
    <w:p w14:paraId="3F3150C4" w14:textId="77777777" w:rsidR="003468F5" w:rsidRPr="00E6110F" w:rsidRDefault="003468F5" w:rsidP="00C117A3">
      <w:pPr>
        <w:pStyle w:val="Body"/>
        <w:numPr>
          <w:ilvl w:val="0"/>
          <w:numId w:val="3"/>
        </w:numPr>
      </w:pPr>
      <w:proofErr w:type="gramStart"/>
      <w:r w:rsidRPr="00E6110F">
        <w:t>statement</w:t>
      </w:r>
      <w:proofErr w:type="gramEnd"/>
      <w:r w:rsidRPr="00E6110F">
        <w:t xml:space="preserve"> of underpinning assumptions and hypotheses.</w:t>
      </w:r>
    </w:p>
    <w:p w14:paraId="7A60E5ED" w14:textId="77777777" w:rsidR="00C6585C" w:rsidRPr="00E6110F" w:rsidRDefault="00C6585C" w:rsidP="00C6585C">
      <w:pPr>
        <w:pStyle w:val="Heading3"/>
      </w:pPr>
      <w:bookmarkStart w:id="186" w:name="_Ref446688442"/>
      <w:bookmarkStart w:id="187" w:name="_Ref446690869"/>
      <w:bookmarkStart w:id="188" w:name="_Toc494444524"/>
      <w:r w:rsidRPr="00E6110F">
        <w:t>Plausible fate and transport release pathways</w:t>
      </w:r>
      <w:bookmarkEnd w:id="186"/>
      <w:bookmarkEnd w:id="187"/>
      <w:bookmarkEnd w:id="188"/>
    </w:p>
    <w:p w14:paraId="7261AE7B" w14:textId="1900D794" w:rsidR="00C6585C" w:rsidRPr="00E6110F" w:rsidRDefault="00C6585C" w:rsidP="00C6585C">
      <w:pPr>
        <w:pStyle w:val="Body"/>
      </w:pPr>
      <w:r>
        <w:t>Building on the literature review on plausible fate pathways (</w:t>
      </w:r>
      <w:r w:rsidR="002724EC">
        <w:t xml:space="preserve">Section </w:t>
      </w:r>
      <w:r>
        <w:fldChar w:fldCharType="begin" w:fldLock="1"/>
      </w:r>
      <w:r>
        <w:instrText xml:space="preserve"> REF _Ref458945852 \r \h </w:instrText>
      </w:r>
      <w:r>
        <w:fldChar w:fldCharType="separate"/>
      </w:r>
      <w:r w:rsidR="00335E79">
        <w:t>2.1.1</w:t>
      </w:r>
      <w:r>
        <w:fldChar w:fldCharType="end"/>
      </w:r>
      <w:r>
        <w:t>), four</w:t>
      </w:r>
      <w:r w:rsidRPr="00E6110F">
        <w:t xml:space="preserve"> plausible fate and transport release scenarios have been developed for which the chemical-specific DAF in groundwater</w:t>
      </w:r>
      <w:r>
        <w:t>-related</w:t>
      </w:r>
      <w:r w:rsidRPr="00E6110F">
        <w:t xml:space="preserve"> receptors </w:t>
      </w:r>
      <w:r>
        <w:t xml:space="preserve">will </w:t>
      </w:r>
      <w:r w:rsidRPr="00E6110F">
        <w:t>be assessed.</w:t>
      </w:r>
      <w:r>
        <w:t xml:space="preserve"> The likelihood for each of these scenarios is defined in </w:t>
      </w:r>
      <w:r w:rsidR="00E925D3">
        <w:t xml:space="preserve">subsequent </w:t>
      </w:r>
      <w:r w:rsidR="002724EC">
        <w:t xml:space="preserve">Sections </w:t>
      </w:r>
      <w:r w:rsidR="00E925D3">
        <w:fldChar w:fldCharType="begin" w:fldLock="1"/>
      </w:r>
      <w:r w:rsidR="00E925D3">
        <w:instrText xml:space="preserve"> REF _Ref459732532 \r \h </w:instrText>
      </w:r>
      <w:r w:rsidR="00E925D3">
        <w:fldChar w:fldCharType="separate"/>
      </w:r>
      <w:r w:rsidR="00335E79">
        <w:t>2.6.2.1</w:t>
      </w:r>
      <w:r w:rsidR="00E925D3">
        <w:fldChar w:fldCharType="end"/>
      </w:r>
      <w:r w:rsidR="00E925D3">
        <w:t xml:space="preserve"> to </w:t>
      </w:r>
      <w:r w:rsidR="00E925D3">
        <w:fldChar w:fldCharType="begin" w:fldLock="1"/>
      </w:r>
      <w:r w:rsidR="00E925D3">
        <w:instrText xml:space="preserve"> REF _Ref459732533 \r \h </w:instrText>
      </w:r>
      <w:r w:rsidR="00E925D3">
        <w:fldChar w:fldCharType="separate"/>
      </w:r>
      <w:r w:rsidR="00335E79">
        <w:t>2.6.2.3</w:t>
      </w:r>
      <w:r w:rsidR="00E925D3">
        <w:fldChar w:fldCharType="end"/>
      </w:r>
      <w:r>
        <w:t>.</w:t>
      </w:r>
      <w:r w:rsidRPr="00E6110F">
        <w:t xml:space="preserve"> The following scenarios are considered to represent a sufficiently broad range of flow conditions that may provide pathways for chemical transport into aquifers (</w:t>
      </w:r>
      <w:r w:rsidRPr="00E6110F">
        <w:fldChar w:fldCharType="begin" w:fldLock="1"/>
      </w:r>
      <w:r w:rsidRPr="00E6110F">
        <w:instrText xml:space="preserve"> REF _Ref436746695 \h  \* MERGEFORMAT </w:instrText>
      </w:r>
      <w:r w:rsidRPr="00E6110F">
        <w:fldChar w:fldCharType="separate"/>
      </w:r>
      <w:r w:rsidR="00335E79" w:rsidRPr="00E6110F">
        <w:t xml:space="preserve">Figure </w:t>
      </w:r>
      <w:r w:rsidR="00335E79">
        <w:t>2</w:t>
      </w:r>
      <w:r w:rsidR="00335E79">
        <w:noBreakHyphen/>
        <w:t>31</w:t>
      </w:r>
      <w:r w:rsidRPr="00E6110F">
        <w:fldChar w:fldCharType="end"/>
      </w:r>
      <w:r w:rsidRPr="00E6110F">
        <w:t>):</w:t>
      </w:r>
    </w:p>
    <w:p w14:paraId="6D819E36" w14:textId="35581CF4" w:rsidR="003C4731" w:rsidRPr="00E6110F" w:rsidRDefault="003C4731" w:rsidP="00C117A3">
      <w:pPr>
        <w:pStyle w:val="Body"/>
        <w:numPr>
          <w:ilvl w:val="0"/>
          <w:numId w:val="6"/>
        </w:numPr>
      </w:pPr>
      <w:r w:rsidRPr="00E6110F">
        <w:t>Fracture growth into</w:t>
      </w:r>
      <w:r>
        <w:t xml:space="preserve"> an overlying aquifer (</w:t>
      </w:r>
      <w:r w:rsidR="002724EC">
        <w:t>P</w:t>
      </w:r>
      <w:r>
        <w:t>athway A</w:t>
      </w:r>
      <w:r w:rsidRPr="00E6110F">
        <w:t xml:space="preserve">): This scenario considers hydraulic fracture fluid loss into an overlying aquifer. The scenario considers site conditions that favour height growth of a vertical hydraulic fracture upward towards and into a shallower aquifer. The volume of fracture fluid lost from the fracture into the aquifer may then be calculated for different injected fracturing fluid types, namely water or crosslinked gel.  </w:t>
      </w:r>
    </w:p>
    <w:p w14:paraId="59D11B5B" w14:textId="105B9595" w:rsidR="00C6585C" w:rsidRPr="00E6110F" w:rsidRDefault="00C6585C" w:rsidP="00C117A3">
      <w:pPr>
        <w:pStyle w:val="Body"/>
        <w:numPr>
          <w:ilvl w:val="0"/>
          <w:numId w:val="6"/>
        </w:numPr>
      </w:pPr>
      <w:r w:rsidRPr="00E6110F">
        <w:t>Fracture growth into a well through pre</w:t>
      </w:r>
      <w:r>
        <w:t>-</w:t>
      </w:r>
      <w:r w:rsidRPr="00E6110F">
        <w:t>fracturing permeability and new fractures (</w:t>
      </w:r>
      <w:r w:rsidR="002724EC">
        <w:t>P</w:t>
      </w:r>
      <w:r w:rsidR="002724EC" w:rsidRPr="00E6110F">
        <w:t xml:space="preserve">athway </w:t>
      </w:r>
      <w:r w:rsidRPr="00E6110F">
        <w:t>B): This involves two wells within the same coal seam, connected by a pre-existing hydraulic facture; it will be used to illustrate the effect of a CSG injection well on the rate of fluid production from the second groundwater well and the likely chemical concentration in such well</w:t>
      </w:r>
      <w:r>
        <w:t>.</w:t>
      </w:r>
      <w:r w:rsidRPr="00E6110F">
        <w:t xml:space="preserve"> </w:t>
      </w:r>
    </w:p>
    <w:p w14:paraId="764965D8" w14:textId="24863FE9" w:rsidR="003C4731" w:rsidRPr="00E6110F" w:rsidRDefault="003C4731" w:rsidP="00C117A3">
      <w:pPr>
        <w:pStyle w:val="Body"/>
        <w:numPr>
          <w:ilvl w:val="0"/>
          <w:numId w:val="6"/>
        </w:numPr>
      </w:pPr>
      <w:r w:rsidRPr="00E6110F">
        <w:t>Well rupture during injection (</w:t>
      </w:r>
      <w:r w:rsidR="002724EC">
        <w:t>P</w:t>
      </w:r>
      <w:r w:rsidR="002724EC" w:rsidRPr="00E6110F">
        <w:t xml:space="preserve">athway </w:t>
      </w:r>
      <w:r>
        <w:t>C</w:t>
      </w:r>
      <w:r w:rsidRPr="00E6110F">
        <w:t>): This scenario considers rupture of a cased well during a fracturing injection operation. If a cased part of the wellbore that passed through an aquifer were to rupture while a fracturing fluid was being pumped down the casing, the fracturing fluid could escape directly into the aquifer.</w:t>
      </w:r>
    </w:p>
    <w:p w14:paraId="6D4528DF" w14:textId="4D4E8BC2" w:rsidR="00C6585C" w:rsidRPr="00E6110F" w:rsidRDefault="00C6585C" w:rsidP="00C117A3">
      <w:pPr>
        <w:pStyle w:val="Body"/>
        <w:numPr>
          <w:ilvl w:val="0"/>
          <w:numId w:val="6"/>
        </w:numPr>
      </w:pPr>
      <w:r w:rsidRPr="00E6110F">
        <w:t>Fracture growth into a fault (</w:t>
      </w:r>
      <w:r w:rsidR="002724EC">
        <w:t>P</w:t>
      </w:r>
      <w:r w:rsidR="002724EC" w:rsidRPr="00E6110F">
        <w:t xml:space="preserve">athway </w:t>
      </w:r>
      <w:r w:rsidRPr="00E6110F">
        <w:t xml:space="preserve">D): assessment of leakage potential via a fault that connects the coal seam to an overlying aquifer.  </w:t>
      </w:r>
    </w:p>
    <w:p w14:paraId="113DE102" w14:textId="045EF0F0" w:rsidR="00C6585C" w:rsidRPr="00E6110F" w:rsidRDefault="00C6585C" w:rsidP="00C6585C">
      <w:pPr>
        <w:pStyle w:val="Body"/>
      </w:pPr>
      <w:r>
        <w:t>For each of the above plausible</w:t>
      </w:r>
      <w:r w:rsidRPr="00E6110F">
        <w:t xml:space="preserve"> failure scenarios that may lead to contamination of groundwater resources following hydraulic fracturing ope</w:t>
      </w:r>
      <w:r>
        <w:t>rations, the study determines i</w:t>
      </w:r>
      <w:r w:rsidRPr="00E6110F">
        <w:t xml:space="preserve">) if these failure scenarios are physically possible, and, </w:t>
      </w:r>
      <w:r>
        <w:t>ii</w:t>
      </w:r>
      <w:r w:rsidRPr="00E6110F">
        <w:t>) if so, under what properties and conditions (flow, geomechanical, hydraulic fract</w:t>
      </w:r>
      <w:r>
        <w:t>uring operations), as well as iii</w:t>
      </w:r>
      <w:r w:rsidRPr="00E6110F">
        <w:t>) the envelope of possible behaviour</w:t>
      </w:r>
      <w:r>
        <w:t xml:space="preserve"> (see Appendix </w:t>
      </w:r>
      <w:r w:rsidR="0064625A">
        <w:t>7</w:t>
      </w:r>
      <w:r>
        <w:t>)</w:t>
      </w:r>
      <w:r w:rsidRPr="00E6110F">
        <w:t>. The determination w</w:t>
      </w:r>
      <w:r>
        <w:t>as</w:t>
      </w:r>
      <w:r w:rsidRPr="00E6110F">
        <w:t xml:space="preserve"> based on a review of national and international literature, and will make use of findings from the NCA study (Jeffrey et al. 201</w:t>
      </w:r>
      <w:r w:rsidR="00914462">
        <w:t>7</w:t>
      </w:r>
      <w:r>
        <w:t>a</w:t>
      </w:r>
      <w:r w:rsidRPr="00E6110F">
        <w:t xml:space="preserve">), and the </w:t>
      </w:r>
      <w:r w:rsidR="00267CAA">
        <w:t>“</w:t>
      </w:r>
      <w:r w:rsidRPr="00E6110F">
        <w:t>Bioregional Assessment Conceptual Modelling</w:t>
      </w:r>
      <w:r w:rsidR="00267CAA">
        <w:t>”</w:t>
      </w:r>
      <w:r w:rsidRPr="00E6110F">
        <w:t xml:space="preserve"> reporting products for the </w:t>
      </w:r>
      <w:r w:rsidRPr="004524C8">
        <w:t>Gloucester, Maranoa-Balonne-Condamine and Namoi subregions</w:t>
      </w:r>
      <w:r w:rsidRPr="00E6110F">
        <w:t xml:space="preserve"> and the Bioregional Assessment sub methodology </w:t>
      </w:r>
      <w:r w:rsidR="00267CAA">
        <w:t>for “</w:t>
      </w:r>
      <w:r w:rsidRPr="00E6110F">
        <w:t xml:space="preserve">Developing the </w:t>
      </w:r>
      <w:r w:rsidR="00267CAA">
        <w:t>C</w:t>
      </w:r>
      <w:r w:rsidRPr="00E6110F">
        <w:t xml:space="preserve">onceptual </w:t>
      </w:r>
      <w:r w:rsidR="00267CAA">
        <w:t>M</w:t>
      </w:r>
      <w:r w:rsidRPr="00E6110F">
        <w:t xml:space="preserve">odel </w:t>
      </w:r>
      <w:r w:rsidR="006F6334">
        <w:t>o</w:t>
      </w:r>
      <w:r w:rsidRPr="00E6110F">
        <w:t xml:space="preserve">f </w:t>
      </w:r>
      <w:r w:rsidR="00267CAA">
        <w:t>C</w:t>
      </w:r>
      <w:r w:rsidRPr="00E6110F">
        <w:t xml:space="preserve">ausal </w:t>
      </w:r>
      <w:r w:rsidR="00267CAA">
        <w:t>P</w:t>
      </w:r>
      <w:r w:rsidRPr="00E6110F">
        <w:t>athways</w:t>
      </w:r>
      <w:r w:rsidR="00267CAA">
        <w:t>”</w:t>
      </w:r>
      <w:r w:rsidR="006F6334">
        <w:t xml:space="preserve"> (Henderson et al. 2015)</w:t>
      </w:r>
      <w:r w:rsidRPr="00E6110F">
        <w:t xml:space="preserve">. </w:t>
      </w:r>
    </w:p>
    <w:p w14:paraId="0DEDD615" w14:textId="63009A67" w:rsidR="00C6585C" w:rsidRPr="00E6110F" w:rsidRDefault="00C6585C" w:rsidP="00C6585C">
      <w:pPr>
        <w:pStyle w:val="Body"/>
      </w:pPr>
      <w:r w:rsidRPr="00E6110F">
        <w:t>Determination of baseline leak-off volume and chemical mass remaining in coal seam will involve a quantitative assessment of the volume and mass of injected HF chemicals, the likely range of chemical concentrations in the coal seam formation pore water for difference assumptions of fluid leak-off</w:t>
      </w:r>
      <w:r w:rsidR="00F579FC">
        <w:rPr>
          <w:rFonts w:ascii="ZWAdobeF" w:hAnsi="ZWAdobeF" w:cs="ZWAdobeF"/>
          <w:color w:val="auto"/>
          <w:sz w:val="2"/>
          <w:szCs w:val="2"/>
        </w:rPr>
        <w:t>11F</w:t>
      </w:r>
      <w:r w:rsidRPr="00E6110F">
        <w:rPr>
          <w:rStyle w:val="FootnoteReference"/>
        </w:rPr>
        <w:footnoteReference w:id="10"/>
      </w:r>
      <w:r w:rsidRPr="00E6110F">
        <w:t xml:space="preserve"> , hydraulic fracture properties, and rock properties. These calculations would provide the baseline source characteristics to be considered for evaluation of other scenarios.</w:t>
      </w:r>
    </w:p>
    <w:p w14:paraId="783A9AA0" w14:textId="6669E27B" w:rsidR="00C6585C" w:rsidRPr="00E6110F" w:rsidRDefault="00C6585C" w:rsidP="00C6585C">
      <w:pPr>
        <w:pStyle w:val="Body"/>
      </w:pPr>
      <w:r w:rsidRPr="00E6110F">
        <w:t>In developing pathway conceptualisations, use w</w:t>
      </w:r>
      <w:r>
        <w:t>as</w:t>
      </w:r>
      <w:r w:rsidRPr="00E6110F">
        <w:t xml:space="preserve"> made where possible of the IAN-Graphics software. Diagrams </w:t>
      </w:r>
      <w:r>
        <w:t>were</w:t>
      </w:r>
      <w:r w:rsidRPr="00E6110F">
        <w:t xml:space="preserve"> based on Australian CSG well constructions favouring vertical wells. In </w:t>
      </w:r>
      <w:r>
        <w:t>assessing</w:t>
      </w:r>
      <w:r w:rsidRPr="00E6110F">
        <w:t xml:space="preserve"> the fate pathways, both single well releases and multiple-well releases will be considered</w:t>
      </w:r>
      <w:r>
        <w:t xml:space="preserve"> (e.g. see the particle tracking pathways involving multiple-well releases, </w:t>
      </w:r>
      <w:r w:rsidR="002724EC">
        <w:t xml:space="preserve">Sections </w:t>
      </w:r>
      <w:r>
        <w:fldChar w:fldCharType="begin" w:fldLock="1"/>
      </w:r>
      <w:r>
        <w:instrText xml:space="preserve"> REF _Ref458947098 \r \h </w:instrText>
      </w:r>
      <w:r>
        <w:fldChar w:fldCharType="separate"/>
      </w:r>
      <w:r w:rsidR="00335E79">
        <w:t>2.6.4.3</w:t>
      </w:r>
      <w:r>
        <w:fldChar w:fldCharType="end"/>
      </w:r>
      <w:r>
        <w:t xml:space="preserve"> and </w:t>
      </w:r>
      <w:r>
        <w:fldChar w:fldCharType="begin" w:fldLock="1"/>
      </w:r>
      <w:r>
        <w:instrText xml:space="preserve"> REF _Ref458947114 \r \h </w:instrText>
      </w:r>
      <w:r>
        <w:fldChar w:fldCharType="separate"/>
      </w:r>
      <w:r w:rsidR="00335E79">
        <w:t>2.6.5.3</w:t>
      </w:r>
      <w:r>
        <w:fldChar w:fldCharType="end"/>
      </w:r>
      <w:r>
        <w:t>)</w:t>
      </w:r>
      <w:r w:rsidRPr="00E6110F">
        <w:t>. The latter allows an assessment of cumulative effects in terms of total chemical mass load. A base case scenario has been developed for comparison with scenarios</w:t>
      </w:r>
      <w:r>
        <w:t>/conceptualisations</w:t>
      </w:r>
      <w:r w:rsidR="00E26120">
        <w:t xml:space="preserve"> A, C, and D</w:t>
      </w:r>
      <w:r w:rsidRPr="00E6110F">
        <w:t xml:space="preserve">; the base case does not include any preferential flow path, only </w:t>
      </w:r>
      <w:r>
        <w:t xml:space="preserve">existing </w:t>
      </w:r>
      <w:r w:rsidRPr="00E6110F">
        <w:t>connectivity</w:t>
      </w:r>
      <w:r>
        <w:t xml:space="preserve"> through interconnected coal seam-aquifer systems</w:t>
      </w:r>
      <w:r w:rsidR="00E26120">
        <w:t xml:space="preserve"> (scenario B in </w:t>
      </w:r>
      <w:r w:rsidR="00E26120">
        <w:fldChar w:fldCharType="begin" w:fldLock="1"/>
      </w:r>
      <w:r w:rsidR="00E26120">
        <w:instrText xml:space="preserve"> REF _Ref436746695 \h </w:instrText>
      </w:r>
      <w:r w:rsidR="00E26120">
        <w:fldChar w:fldCharType="separate"/>
      </w:r>
      <w:r w:rsidR="00335E79" w:rsidRPr="00E6110F">
        <w:t xml:space="preserve">Figure </w:t>
      </w:r>
      <w:r w:rsidR="00335E79">
        <w:rPr>
          <w:noProof/>
        </w:rPr>
        <w:t>2</w:t>
      </w:r>
      <w:r w:rsidR="00335E79">
        <w:noBreakHyphen/>
      </w:r>
      <w:r w:rsidR="00335E79">
        <w:rPr>
          <w:noProof/>
        </w:rPr>
        <w:t>31</w:t>
      </w:r>
      <w:r w:rsidR="00E26120">
        <w:fldChar w:fldCharType="end"/>
      </w:r>
      <w:r w:rsidR="00E26120">
        <w:t>)</w:t>
      </w:r>
      <w:r w:rsidRPr="00E6110F">
        <w:t xml:space="preserve">. The base case, including representation of relevant receptors, uses the hydrogeological conceptualisation discussed in </w:t>
      </w:r>
      <w:r w:rsidR="002724EC">
        <w:t>S</w:t>
      </w:r>
      <w:r w:rsidR="002724EC" w:rsidRPr="00E6110F">
        <w:t>ection</w:t>
      </w:r>
      <w:r w:rsidR="002724EC">
        <w:t>s</w:t>
      </w:r>
      <w:r w:rsidR="002724EC" w:rsidRPr="00E6110F">
        <w:t xml:space="preserve"> </w:t>
      </w:r>
      <w:r w:rsidRPr="00E6110F">
        <w:fldChar w:fldCharType="begin" w:fldLock="1"/>
      </w:r>
      <w:r w:rsidRPr="00E6110F">
        <w:instrText xml:space="preserve"> REF _Ref446845446 \r \h </w:instrText>
      </w:r>
      <w:r>
        <w:instrText xml:space="preserve"> \* MERGEFORMAT </w:instrText>
      </w:r>
      <w:r w:rsidRPr="00E6110F">
        <w:fldChar w:fldCharType="separate"/>
      </w:r>
      <w:r w:rsidR="00335E79">
        <w:t>2.6.4.1</w:t>
      </w:r>
      <w:r w:rsidRPr="00E6110F">
        <w:fldChar w:fldCharType="end"/>
      </w:r>
      <w:r>
        <w:t xml:space="preserve"> and </w:t>
      </w:r>
      <w:r>
        <w:fldChar w:fldCharType="begin" w:fldLock="1"/>
      </w:r>
      <w:r>
        <w:instrText xml:space="preserve"> REF _Ref458950126 \r \h </w:instrText>
      </w:r>
      <w:r>
        <w:fldChar w:fldCharType="separate"/>
      </w:r>
      <w:r w:rsidR="00335E79">
        <w:t>2.6.5.1</w:t>
      </w:r>
      <w:r>
        <w:fldChar w:fldCharType="end"/>
      </w:r>
      <w:r w:rsidRPr="00E6110F">
        <w:t>.</w:t>
      </w:r>
    </w:p>
    <w:p w14:paraId="7B4AD266" w14:textId="627775FF" w:rsidR="00C6585C" w:rsidRDefault="00C6585C" w:rsidP="00C6585C">
      <w:pPr>
        <w:pStyle w:val="Body"/>
      </w:pPr>
      <w:r w:rsidRPr="00E6110F">
        <w:t xml:space="preserve">Four possible pathways have been considered for the analysis. They are considered to cover </w:t>
      </w:r>
      <w:r>
        <w:t xml:space="preserve">plausible </w:t>
      </w:r>
      <w:r w:rsidRPr="00E6110F">
        <w:t>pathways</w:t>
      </w:r>
      <w:r>
        <w:t xml:space="preserve"> identified during the literature review</w:t>
      </w:r>
      <w:r w:rsidRPr="00E6110F">
        <w:t xml:space="preserve">, recognising that for each pathway several calculation cases </w:t>
      </w:r>
      <w:r>
        <w:t>can</w:t>
      </w:r>
      <w:r w:rsidRPr="00E6110F">
        <w:t xml:space="preserve"> be developed in which parameters are changed over a reasonable range to produce a range of results rather than a single output. In this way one can better explore under which conditions attenuation is enhanced or reduced, and the results become applicable for a broader range of flow conditions reflecting variations in </w:t>
      </w:r>
      <w:r>
        <w:t xml:space="preserve">geology and </w:t>
      </w:r>
      <w:r w:rsidRPr="00E6110F">
        <w:t>hydrogeology (e.g. proximity of faults and flow properties, geo</w:t>
      </w:r>
      <w:r>
        <w:t xml:space="preserve">logical attenuation </w:t>
      </w:r>
      <w:r w:rsidRPr="00E6110F">
        <w:t>characteristics of aquitards, e</w:t>
      </w:r>
      <w:r w:rsidR="008D530E">
        <w:t>tc</w:t>
      </w:r>
      <w:r w:rsidRPr="00E6110F">
        <w:t xml:space="preserve">.). </w:t>
      </w:r>
    </w:p>
    <w:p w14:paraId="00769103" w14:textId="77777777" w:rsidR="00C6585C" w:rsidRPr="00E6110F" w:rsidRDefault="00C6585C" w:rsidP="00C6585C">
      <w:pPr>
        <w:pStyle w:val="Body"/>
      </w:pPr>
    </w:p>
    <w:p w14:paraId="5FA5E09A" w14:textId="6BC5AA8C" w:rsidR="00C6585C" w:rsidRPr="00E6110F" w:rsidRDefault="00430714" w:rsidP="00C6585C">
      <w:pPr>
        <w:pStyle w:val="Body"/>
      </w:pPr>
      <w:r w:rsidRPr="00430714">
        <w:t xml:space="preserve"> </w:t>
      </w:r>
      <w:r w:rsidRPr="00430714">
        <w:rPr>
          <w:noProof/>
          <w:lang w:val="en-AU" w:eastAsia="en-AU"/>
        </w:rPr>
        <w:drawing>
          <wp:inline distT="0" distB="0" distL="0" distR="0" wp14:anchorId="66FD5763" wp14:editId="15BEB38D">
            <wp:extent cx="5727700" cy="4380301"/>
            <wp:effectExtent l="0" t="0" r="6350" b="1270"/>
            <wp:docPr id="6" name="Picture 6" descr="Diagramatic examples of plausible fate and transport release pathways." title="FIg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727700" cy="4380301"/>
                    </a:xfrm>
                    <a:prstGeom prst="rect">
                      <a:avLst/>
                    </a:prstGeom>
                    <a:noFill/>
                    <a:ln>
                      <a:noFill/>
                    </a:ln>
                  </pic:spPr>
                </pic:pic>
              </a:graphicData>
            </a:graphic>
          </wp:inline>
        </w:drawing>
      </w:r>
    </w:p>
    <w:p w14:paraId="79A65CD8" w14:textId="469FE29D" w:rsidR="00C6585C" w:rsidRPr="00E6110F" w:rsidRDefault="00C6585C" w:rsidP="00C6585C">
      <w:pPr>
        <w:pStyle w:val="Imagecaption"/>
      </w:pPr>
      <w:bookmarkStart w:id="189" w:name="_Ref436746695"/>
      <w:bookmarkStart w:id="190" w:name="_Toc477347563"/>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31</w:t>
      </w:r>
      <w:r w:rsidR="00254026">
        <w:fldChar w:fldCharType="end"/>
      </w:r>
      <w:bookmarkEnd w:id="189"/>
      <w:r w:rsidRPr="00E6110F">
        <w:t xml:space="preserve"> Example of plausible fate and transport release pathways. A water bore </w:t>
      </w:r>
      <w:r w:rsidR="009D6C31">
        <w:t>and wetland are</w:t>
      </w:r>
      <w:r w:rsidRPr="00E6110F">
        <w:t xml:space="preserve"> shown as typical receptor.</w:t>
      </w:r>
      <w:bookmarkEnd w:id="190"/>
    </w:p>
    <w:p w14:paraId="7E44BB28" w14:textId="4CE2347C" w:rsidR="00C6585C" w:rsidRDefault="00C6585C" w:rsidP="00C6585C">
      <w:pPr>
        <w:pStyle w:val="Body"/>
      </w:pPr>
      <w:r>
        <w:t xml:space="preserve">Each plausible release pathway from </w:t>
      </w:r>
      <w:r>
        <w:fldChar w:fldCharType="begin" w:fldLock="1"/>
      </w:r>
      <w:r>
        <w:instrText xml:space="preserve"> REF _Ref436746695 \h </w:instrText>
      </w:r>
      <w:r>
        <w:fldChar w:fldCharType="separate"/>
      </w:r>
      <w:r w:rsidR="00335E79" w:rsidRPr="00E6110F">
        <w:t xml:space="preserve">Figure </w:t>
      </w:r>
      <w:r w:rsidR="00335E79">
        <w:rPr>
          <w:noProof/>
        </w:rPr>
        <w:t>2</w:t>
      </w:r>
      <w:r w:rsidR="00335E79">
        <w:noBreakHyphen/>
      </w:r>
      <w:r w:rsidR="00335E79">
        <w:rPr>
          <w:noProof/>
        </w:rPr>
        <w:t>31</w:t>
      </w:r>
      <w:r>
        <w:fldChar w:fldCharType="end"/>
      </w:r>
      <w:r>
        <w:t xml:space="preserve"> is discussed with reference to current industry practice. Subsequently, the hazard to deeper groundwater is reviewed with reference to six lines of evidence (details about lines of evidence are available in Appendix </w:t>
      </w:r>
      <w:r w:rsidR="0064625A">
        <w:t>7</w:t>
      </w:r>
      <w:r>
        <w:t>):</w:t>
      </w:r>
    </w:p>
    <w:p w14:paraId="2DCCF4EE" w14:textId="1BF6A868" w:rsidR="00C6585C" w:rsidRDefault="00C6585C" w:rsidP="00366CD9">
      <w:pPr>
        <w:pStyle w:val="Body"/>
        <w:numPr>
          <w:ilvl w:val="0"/>
          <w:numId w:val="56"/>
        </w:numPr>
      </w:pPr>
      <w:r w:rsidRPr="004C6848">
        <w:t>Basic hydraulic fracture growth models to provide bounding data points</w:t>
      </w:r>
      <w:r w:rsidR="002724EC">
        <w:t>;</w:t>
      </w:r>
      <w:r w:rsidRPr="004C6848">
        <w:t xml:space="preserve"> </w:t>
      </w:r>
    </w:p>
    <w:p w14:paraId="2ADD0AA1" w14:textId="389E3452" w:rsidR="00C6585C" w:rsidRDefault="00C6585C" w:rsidP="00366CD9">
      <w:pPr>
        <w:pStyle w:val="Body"/>
        <w:numPr>
          <w:ilvl w:val="0"/>
          <w:numId w:val="56"/>
        </w:numPr>
      </w:pPr>
      <w:r>
        <w:t>Industry standard numerical modelling of hydraulic fracture growth</w:t>
      </w:r>
      <w:r w:rsidR="002724EC">
        <w:t>;</w:t>
      </w:r>
    </w:p>
    <w:p w14:paraId="7CED96DB" w14:textId="146B4108" w:rsidR="00C6585C" w:rsidRDefault="00C6585C" w:rsidP="00366CD9">
      <w:pPr>
        <w:pStyle w:val="Body"/>
        <w:numPr>
          <w:ilvl w:val="0"/>
          <w:numId w:val="56"/>
        </w:numPr>
      </w:pPr>
      <w:r>
        <w:t>Analysis of samples from monitoring / water wells</w:t>
      </w:r>
      <w:r w:rsidR="002724EC">
        <w:t>;</w:t>
      </w:r>
      <w:r>
        <w:t xml:space="preserve"> </w:t>
      </w:r>
    </w:p>
    <w:p w14:paraId="41C13DA1" w14:textId="5DC8B7B1" w:rsidR="00C6585C" w:rsidRDefault="00C6585C" w:rsidP="00366CD9">
      <w:pPr>
        <w:pStyle w:val="Body"/>
        <w:numPr>
          <w:ilvl w:val="0"/>
          <w:numId w:val="56"/>
        </w:numPr>
      </w:pPr>
      <w:r>
        <w:t>Remote hydraulic fracture growth monitoring</w:t>
      </w:r>
      <w:r w:rsidR="002724EC">
        <w:t>;</w:t>
      </w:r>
    </w:p>
    <w:p w14:paraId="2D661CE3" w14:textId="60A75F6B" w:rsidR="00C6585C" w:rsidRDefault="00C6585C" w:rsidP="00366CD9">
      <w:pPr>
        <w:pStyle w:val="Body"/>
        <w:numPr>
          <w:ilvl w:val="0"/>
          <w:numId w:val="56"/>
        </w:numPr>
      </w:pPr>
      <w:r>
        <w:t>Interpretation of injection pressure data</w:t>
      </w:r>
      <w:r w:rsidR="002724EC">
        <w:t>; and</w:t>
      </w:r>
    </w:p>
    <w:p w14:paraId="416EEA4F" w14:textId="77777777" w:rsidR="00C6585C" w:rsidRDefault="00C6585C" w:rsidP="00366CD9">
      <w:pPr>
        <w:pStyle w:val="Body"/>
        <w:numPr>
          <w:ilvl w:val="0"/>
          <w:numId w:val="56"/>
        </w:numPr>
      </w:pPr>
      <w:r>
        <w:t>Observation of key environmental receptors.</w:t>
      </w:r>
    </w:p>
    <w:p w14:paraId="571FBB3B" w14:textId="0A38F247" w:rsidR="00C6585C" w:rsidRPr="00E6110F" w:rsidRDefault="00C6585C" w:rsidP="00C6585C">
      <w:pPr>
        <w:pStyle w:val="Body"/>
      </w:pPr>
      <w:r>
        <w:t xml:space="preserve">The lines of evidence 1 and 2 (modelling of hydraulic fracture growth) are underpinned by numerical simulations based on a conceptual geomechanical model that has been constructed from geological information provided by </w:t>
      </w:r>
      <w:r w:rsidRPr="00D17863">
        <w:t>CDM Smith (2014)</w:t>
      </w:r>
      <w:r>
        <w:t xml:space="preserve">; simulations have been undertaken in relation to plausible </w:t>
      </w:r>
      <w:r w:rsidR="008D530E">
        <w:t>P</w:t>
      </w:r>
      <w:r>
        <w:t xml:space="preserve">athways B, C and D (see Appendix </w:t>
      </w:r>
      <w:r w:rsidR="0064625A">
        <w:t>7</w:t>
      </w:r>
      <w:r>
        <w:t xml:space="preserve"> for details). </w:t>
      </w:r>
    </w:p>
    <w:p w14:paraId="470279C8" w14:textId="10C81A5E" w:rsidR="00E87470" w:rsidRDefault="008D530E" w:rsidP="00E87470">
      <w:pPr>
        <w:pStyle w:val="Heading3"/>
        <w:numPr>
          <w:ilvl w:val="3"/>
          <w:numId w:val="1"/>
        </w:numPr>
      </w:pPr>
      <w:bookmarkStart w:id="191" w:name="_Toc454473390"/>
      <w:bookmarkStart w:id="192" w:name="_Ref458953945"/>
      <w:bookmarkStart w:id="193" w:name="_Toc494444525"/>
      <w:bookmarkStart w:id="194" w:name="_Ref459732532"/>
      <w:r>
        <w:t>P</w:t>
      </w:r>
      <w:r w:rsidR="001673D0">
        <w:t>lausible p</w:t>
      </w:r>
      <w:r w:rsidR="00E87470" w:rsidRPr="00875EB1">
        <w:t xml:space="preserve">athway </w:t>
      </w:r>
      <w:r w:rsidR="00E87470">
        <w:t>A</w:t>
      </w:r>
      <w:r w:rsidR="00E87470" w:rsidRPr="00875EB1">
        <w:t xml:space="preserve">: </w:t>
      </w:r>
      <w:r w:rsidR="00E87470">
        <w:t xml:space="preserve"> fracture growth into </w:t>
      </w:r>
      <w:bookmarkEnd w:id="191"/>
      <w:bookmarkEnd w:id="192"/>
      <w:r w:rsidR="00E87470">
        <w:t>an aquifer</w:t>
      </w:r>
      <w:bookmarkEnd w:id="193"/>
      <w:r w:rsidR="00E87470">
        <w:t xml:space="preserve"> </w:t>
      </w:r>
    </w:p>
    <w:p w14:paraId="4506D91A" w14:textId="467141D2" w:rsidR="00E87470" w:rsidRDefault="00E87470" w:rsidP="00E87470">
      <w:pPr>
        <w:pStyle w:val="Body"/>
      </w:pPr>
      <w:r>
        <w:t xml:space="preserve">In plausible </w:t>
      </w:r>
      <w:r w:rsidR="002724EC">
        <w:t xml:space="preserve">Pathway </w:t>
      </w:r>
      <w:r>
        <w:t>A, the vertical extent of the hydraulic fracture is such that it connects the CSG production interval to the water bearing aquifer through the overlying aquitard. The vertical and horizontal extent of the hydraulic fracture growth are</w:t>
      </w:r>
      <w:r w:rsidRPr="00313C6B">
        <w:t xml:space="preserve"> governed by the injected fracture fluid volume and the leak-off into the formation. </w:t>
      </w:r>
      <w:r>
        <w:t>While hydraulic fracturing</w:t>
      </w:r>
      <w:r w:rsidRPr="00313C6B">
        <w:t xml:space="preserve"> engineers have some control over fracture size th</w:t>
      </w:r>
      <w:r>
        <w:t>r</w:t>
      </w:r>
      <w:r w:rsidRPr="00313C6B">
        <w:t>ough selection of fluid viscosity and injection rate</w:t>
      </w:r>
      <w:r>
        <w:t>, v</w:t>
      </w:r>
      <w:r w:rsidRPr="00313C6B">
        <w:t>ariations from designed fracture extent may come from inaccurate knowledge of the geology or from screen</w:t>
      </w:r>
      <w:r>
        <w:t>-</w:t>
      </w:r>
      <w:r w:rsidRPr="00313C6B">
        <w:t>out where proppant</w:t>
      </w:r>
      <w:r>
        <w:t xml:space="preserve"> becomes blocked </w:t>
      </w:r>
      <w:r w:rsidRPr="00313C6B">
        <w:t xml:space="preserve">and halts </w:t>
      </w:r>
      <w:r>
        <w:t xml:space="preserve">hydraulic </w:t>
      </w:r>
      <w:r w:rsidRPr="00313C6B">
        <w:t xml:space="preserve">fracture growth. </w:t>
      </w:r>
    </w:p>
    <w:p w14:paraId="32C3A66B" w14:textId="77777777" w:rsidR="00E87470" w:rsidRDefault="00E87470" w:rsidP="00E87470">
      <w:pPr>
        <w:pStyle w:val="Body"/>
        <w:rPr>
          <w:highlight w:val="yellow"/>
        </w:rPr>
      </w:pPr>
      <w:r w:rsidRPr="00A93E98">
        <w:t xml:space="preserve">It is well known that a thick, unfractured </w:t>
      </w:r>
      <w:r>
        <w:t>aquitard</w:t>
      </w:r>
      <w:r w:rsidRPr="00A93E98">
        <w:t xml:space="preserve"> that is highly stressed, strong, and stiff relative to the coal seam</w:t>
      </w:r>
      <w:r>
        <w:t>,</w:t>
      </w:r>
      <w:r w:rsidRPr="00A93E98">
        <w:t xml:space="preserve"> will lead to an extremely small likelihood that the hydraulic fractures will grow out of zone as </w:t>
      </w:r>
      <w:r>
        <w:t xml:space="preserve">hydraulic fractures favour growth in lower stress layers, while higher stress layers act as barriers to fracture growth </w:t>
      </w:r>
      <w:r>
        <w:fldChar w:fldCharType="begin" w:fldLock="1"/>
      </w:r>
      <w:r>
        <w:instrText>ADDIN CSL_CITATION { "citationItems" : [ { "id" : "ITEM-1", "itemData" : { "author" : [ { "dropping-particle" : "", "family" : "Bunger", "given" : "Andrew P.", "non-dropping-particle" : "", "parse-names" : false, "suffix" : "" } ], "id" : "ITEM-1", "issue" : "December", "issued" : { "date-parts" : [ [ "2015" ] ] }, "title" : "Introduction to Hydraulic Fracturing Mechanics and Applications", "type" : "report" }, "uris" : [ "http://www.mendeley.com/documents/?uuid=c44b43c9-7578-4ff4-ab56-a7f77c835e14" ] } ], "mendeley" : { "formattedCitation" : "(Bunger, 2015)", "plainTextFormattedCitation" : "(Bunger, 2015)", "previouslyFormattedCitation" : "(Bunger, 2015)" }, "properties" : { "noteIndex" : 0 }, "schema" : "https://github.com/citation-style-language/schema/raw/master/csl-citation.json" }</w:instrText>
      </w:r>
      <w:r>
        <w:fldChar w:fldCharType="separate"/>
      </w:r>
      <w:r w:rsidRPr="00983CF1">
        <w:rPr>
          <w:noProof/>
        </w:rPr>
        <w:t>(Bunger 2015)</w:t>
      </w:r>
      <w:r>
        <w:fldChar w:fldCharType="end"/>
      </w:r>
      <w:r>
        <w:t xml:space="preserve">. </w:t>
      </w:r>
      <w:r w:rsidRPr="00393146">
        <w:t xml:space="preserve">It is also clear that growth out of the zone is likely if the bounding geological layers possess none of the known attributes that comprise a barrier to hydraulic fracture growth. </w:t>
      </w:r>
    </w:p>
    <w:p w14:paraId="63E4F8BB" w14:textId="7505CE41" w:rsidR="00E87470" w:rsidRDefault="00E87470" w:rsidP="00E87470">
      <w:pPr>
        <w:pStyle w:val="Body"/>
      </w:pPr>
      <w:r>
        <w:fldChar w:fldCharType="begin" w:fldLock="1"/>
      </w:r>
      <w:r>
        <w:instrText>ADDIN CSL_CITATION { "citationItems" : [ { "id" : "ITEM-1", "itemData" : { "author" : [ { "dropping-particle" : "", "family" : "Maxwell", "given" : "Shawn C", "non-dropping-particle" : "", "parse-names" : false, "suffix" : "" } ], "container-title" : "CSEG Recorder", "id" : "ITEM-1", "issue" : "November", "issued" : { "date-parts" : [ [ "2011" ] ] }, "page" : "18-22", "title" : "Hydraulic Fracture Height Growth", "type" : "article-journal" }, "uris" : [ "http://www.mendeley.com/documents/?uuid=ba55563b-dda0-4b8e-a13a-f6891d08d02b" ] } ], "mendeley" : { "formattedCitation" : "(Maxwell, 2011)", "manualFormatting" : "Maxwell (2011)", "plainTextFormattedCitation" : "(Maxwell, 2011)", "previouslyFormattedCitation" : "(Maxwell, 2011)" }, "properties" : { "noteIndex" : 0 }, "schema" : "https://github.com/citation-style-language/schema/raw/master/csl-citation.json" }</w:instrText>
      </w:r>
      <w:r>
        <w:fldChar w:fldCharType="separate"/>
      </w:r>
      <w:r w:rsidRPr="00EF5E43">
        <w:rPr>
          <w:noProof/>
        </w:rPr>
        <w:t>Maxwell</w:t>
      </w:r>
      <w:r>
        <w:rPr>
          <w:noProof/>
        </w:rPr>
        <w:t xml:space="preserve"> (</w:t>
      </w:r>
      <w:r w:rsidRPr="00EF5E43">
        <w:rPr>
          <w:noProof/>
        </w:rPr>
        <w:t>2011)</w:t>
      </w:r>
      <w:r>
        <w:fldChar w:fldCharType="end"/>
      </w:r>
      <w:r>
        <w:t xml:space="preserve"> demonstrated that industry fracture models can be prone to over estimation of height growth compared to the results of microseismic fracture monitoring. Industry fracture models currently also are unable to predict complex fracture geometry such as T-shaped growth as seen in </w:t>
      </w:r>
      <w:r>
        <w:fldChar w:fldCharType="begin" w:fldLock="1"/>
      </w:r>
      <w:r>
        <w:instrText>ADDIN CSL_CITATION { "citationItems" : [ { "id" : "ITEM-1", "itemData" : { "DOI" : "10.1016/B978-0-12-800880-5.00006-1", "ISBN" : "9780128008805", "author" : [ { "dropping-particle" : "", "family" : "Rodvelt", "given" : "Gary", "non-dropping-particle" : "", "parse-names" : false, "suffix" : "" } ], "container-title" : "Coal Bed Methane", "id" : "ITEM-1", "issued" : { "date-parts" : [ [ "2014" ] ] }, "number-of-pages" : "101-135", "publisher" : "Elsevier Inc.", "title" : "Vertical Well Construction and Hydraulic Fracturing for CBM Completions", "type" : "book" }, "uris" : [ "http://www.mendeley.com/documents/?uuid=ed2f7cb2-36ba-46e3-a771-3e2fa9348354" ] }, { "id" : "ITEM-2", "itemData" : { "author" : [ { "dropping-particle" : "", "family" : "Rogers", "given" : "Rudy E.", "non-dropping-particle" : "", "parse-names" : false, "suffix" : "" } ], "id" : "ITEM-2", "issued" : { "date-parts" : [ [ "1994" ] ] }, "publisher" : "PTR Prentice Hall,", "publisher-place" : "Englewood Cliffs, N.J", "title" : "Coalbed methane : principles and practice", "type" : "book" }, "uris" : [ "http://www.mendeley.com/documents/?uuid=4b897a95-bdd0-4ffe-8362-fe8fba43ce2d" ] } ], "mendeley" : { "formattedCitation" : "(Rodvelt, 2014; Rogers, 1994)", "plainTextFormattedCitation" : "(Rodvelt, 2014; Rogers, 1994)", "previouslyFormattedCitation" : "(Rodvelt, 2014; Rogers, 1994)" }, "properties" : { "noteIndex" : 0 }, "schema" : "https://github.com/citation-style-language/schema/raw/master/csl-citation.json" }</w:instrText>
      </w:r>
      <w:r>
        <w:fldChar w:fldCharType="separate"/>
      </w:r>
      <w:r w:rsidRPr="00A30D55">
        <w:rPr>
          <w:noProof/>
        </w:rPr>
        <w:t>Rodvelt</w:t>
      </w:r>
      <w:r>
        <w:rPr>
          <w:noProof/>
        </w:rPr>
        <w:t xml:space="preserve"> (2014) and Rogers</w:t>
      </w:r>
      <w:r w:rsidRPr="00A30D55">
        <w:rPr>
          <w:noProof/>
        </w:rPr>
        <w:t xml:space="preserve"> </w:t>
      </w:r>
      <w:r>
        <w:rPr>
          <w:noProof/>
        </w:rPr>
        <w:t>(</w:t>
      </w:r>
      <w:r w:rsidRPr="00A30D55">
        <w:rPr>
          <w:noProof/>
        </w:rPr>
        <w:t>1994)</w:t>
      </w:r>
      <w:r>
        <w:fldChar w:fldCharType="end"/>
      </w:r>
      <w:r>
        <w:t xml:space="preserve"> or three</w:t>
      </w:r>
      <w:r w:rsidR="00DF5E97">
        <w:t>-</w:t>
      </w:r>
      <w:r>
        <w:t xml:space="preserve">dimensional forms of multiple fractures </w:t>
      </w:r>
      <w:r>
        <w:fldChar w:fldCharType="begin" w:fldLock="1"/>
      </w:r>
      <w:r>
        <w:instrText>ADDIN CSL_CITATION { "citationItems" : [ { "id" : "ITEM-1", "itemData" : { "DOI" : "http://dx.doi.org/10.5772/56261", "ISBN" : "978-953-51-1137-5", "abstract" : "When creating arrays of hydraulic fractures in close proximity, stress field changes induced by previously placed hydraulic fractures can lead to deflection in subsequent fracture paths and coalescence between fractures. Any fracture coalescence can compromise the effectiveness of the treatment array and the fracture geometry will not be appropriately accounted for in reservoir or caving models. Here we present the results of an experimental study consisting of arrays of 4 closely spaced hydraulic fractures grown sequentially in 350x350x350 mm blocks of a South Australian Gabbro under different initial stress states and for notched and un-notched wellbores. In particular we focus on insights gained from 3-dimesional serial sectioning and digital reconstruction of the hydraulic fracture patterns that were formed. The results show that the curving hydraulic fractures typically do not exhibit a high degree of radial symmetry in their paths even though the fractures grew by radiating outward from a centrally located wellbore. The results also confirm model predictions that a subsequent fracture will curve towards a previous fracture when the minimum stress is zero and that this curving is suppressed when the minimum stress is sufficiently large. Finally, fracture initiation is shown to be critical to the symmetry of the fracture pattern and preponderance of branching and therefore effective notches that lead to initiation in the eventual plane of favored propagation have a profound impact on the hydraulic fracture geometry.", "author" : [ { "dropping-particle" : "", "family" : "Kear", "given" : "James", "non-dropping-particle" : "", "parse-names" : false, "suffix" : "" }, { "dropping-particle" : "", "family" : "White", "given" : "Justine", "non-dropping-particle" : "", "parse-names" : false, "suffix" : "" }, { "dropping-particle" : "", "family" : "Bunger", "given" : "Andrew P", "non-dropping-particle" : "", "parse-names" : false, "suffix" : "" }, { "dropping-particle" : "", "family" : "Jeffrey", "given" : "Rob", "non-dropping-particle" : "", "parse-names" : false, "suffix" : "" }, { "dropping-particle" : "", "family" : "Hessami", "given" : "Mir- Akbar", "non-dropping-particle" : "", "parse-names" : false, "suffix" : "" } ], "container-title" : "Effective and Sustainable Hydraulic Fracturing", "id" : "ITEM-1", "issued" : { "date-parts" : [ [ "2013" ] ] }, "page" : "693-707", "title" : "Three Dimensional Forms of Closely-Spaced Hydraulic Fractures", "type" : "article-journal" }, "uris" : [ "http://www.mendeley.com/documents/?uuid=bf36414f-b009-4538-a5fe-61280a2435ad" ] } ], "mendeley" : { "formattedCitation" : "(Kear, White, Bunger, Jeffrey, &amp; Hessami, 2013)", "plainTextFormattedCitation" : "(Kear, White, Bunger, Jeffrey, &amp; Hessami, 2013)", "previouslyFormattedCitation" : "(Kear, White, Bunger, Jeffrey, &amp; Hessami, 2013)" }, "properties" : { "noteIndex" : 0 }, "schema" : "https://github.com/citation-style-language/schema/raw/master/csl-citation.json" }</w:instrText>
      </w:r>
      <w:r>
        <w:fldChar w:fldCharType="separate"/>
      </w:r>
      <w:r w:rsidRPr="00A30D55">
        <w:rPr>
          <w:noProof/>
        </w:rPr>
        <w:t>(Kear</w:t>
      </w:r>
      <w:r>
        <w:rPr>
          <w:noProof/>
        </w:rPr>
        <w:t xml:space="preserve"> et al.</w:t>
      </w:r>
      <w:r w:rsidRPr="00A30D55">
        <w:rPr>
          <w:noProof/>
        </w:rPr>
        <w:t xml:space="preserve"> 2013)</w:t>
      </w:r>
      <w:r>
        <w:fldChar w:fldCharType="end"/>
      </w:r>
      <w:r>
        <w:t>.  The disconnect between the modelled fracture growth predations and post-treatment analysis has led to a range of estimates of the likelihood of o</w:t>
      </w:r>
      <w:r w:rsidRPr="00E13A5E">
        <w:t>ut of zone hydraulic fracture growth</w:t>
      </w:r>
      <w:r>
        <w:t xml:space="preserve"> creating a conductive pathway between the production interval and an overlying water bearing aquifer </w:t>
      </w:r>
      <w:r>
        <w:fldChar w:fldCharType="begin" w:fldLock="1"/>
      </w:r>
      <w:r>
        <w:instrText>ADDIN CSL_CITATION { "citationItems" : [ { "id" : "ITEM-1", "itemData" : { "DOI" : "AEA/R/ED57281", "ISBN" : "AEA 2012 Support to the identification of potential risks for the environment and human health arising from hydrocarbons operations involving hydraulic fracturing in Europe.pdf", "ISSN" : "AEA 2012 Support to the identification of potential risks for the environment and human health arising from hydrocarbons operations involving hydraulic fracturing in Europe.pdf", "abstract" : "This report sets out the key environmental and health risk issues associated with the potential development and growth of high volume hydraulic fracturing in Europe. The study focused on the net incremental impacts and risks that could result from the possible growth in use of these techniques. This addresses the impacts and risks over and above those already addressed in regulation of conventional gas exploration and extraction. The study distinguishes shale gas associated practices and activities from conventional ones that already take place in Europe, and identifies the potential environmental issues which have not previously been encountered, or which could be expected to present more significant challenges.", "author" : [ { "dropping-particle" : "", "family" : "Broomfield", "given" : "Mark", "non-dropping-particle" : "", "parse-names" : false, "suffix" : "" } ], "container-title" : "Report for European Commission DG Environment", "id" : "ITEM-1", "issue" : "17", "issued" : { "date-parts" : [ [ "2012" ] ] }, "page" : "1-192", "title" : "Support to the Identification of Potential Risks for the Environment and Human Health Arising from Hydrocarbons Operations Involving Hydraulic Fracturing in Europe", "type" : "article-journal" }, "uris" : [ "http://www.mendeley.com/documents/?uuid=c1d46461-6d09-491d-8064-f73447a1e4e9" ] }, { "id" : "ITEM-2", "itemData" : { "author" : [ { "dropping-particle" : "", "family" : "King", "given" : "G", "non-dropping-particle" : "", "parse-names" : false, "suffix" : "" } ], "container-title" : "SPE Hydraulic Fracturing Technology Conference", "id" : "ITEM-2", "issued" : { "date-parts" : [ [ "2012" ] ] }, "page" : "1-80", "title" : "Hydraulic Fracturing 101: What Every Representative, Environmentalist, Regulator, Reporter, Investor, University Researcher, Neighbor and Engineer Should Know", "type" : "article-journal" }, "uris" : [ "http://www.mendeley.com/documents/?uuid=b888ba71-89d4-428d-ba3b-8e8f456d0ac3" ] }, { "id" : "ITEM-3", "itemData" : { "author" : [ { "dropping-particle" : "", "family" : "Fisher", "given" : "Kevin", "non-dropping-particle" : "", "parse-names" : false, "suffix" : "" }, { "dropping-particle" : "", "family" : "Warpinski", "given" : "Norm", "non-dropping-particle" : "", "parse-names" : false, "suffix" : "" } ], "container-title" : "SPE Production &amp; Operations", "id" : "ITEM-3", "issue" : "February", "issued" : { "date-parts" : [ [ "2012" ] ] }, "title" : "Hydraulic-Fracture-Height Growth : Real Data", "type" : "article-journal" }, "uris" : [ "http://www.mendeley.com/documents/?uuid=d156b912-1e61-4345-bc7f-960bf325cb38" ] }, { "id" : "ITEM-4", "itemData" : { "author" : [ { "dropping-particle" : "", "family" : "Maxwell", "given" : "Shawn C", "non-dropping-particle" : "", "parse-names" : false, "suffix" : "" } ], "container-title" : "CSEG Recorder", "id" : "ITEM-4", "issue" : "November", "issued" : { "date-parts" : [ [ "2011" ] ] }, "page" : "18-22", "title" : "Hydraulic Fracture Height Growth", "type" : "article-journal" }, "uris" : [ "http://www.mendeley.com/documents/?uuid=ba55563b-dda0-4b8e-a13a-f6891d08d02b" ] } ], "mendeley" : { "formattedCitation" : "(Broomfield, 2012; Fisher &amp; Warpinski, 2012; G. King, 2012; Maxwell, 2011)", "plainTextFormattedCitation" : "(Broomfield, 2012; Fisher &amp; Warpinski, 2012; G. King, 2012; Maxwell, 2011)", "previouslyFormattedCitation" : "(Broomfield, 2012; Fisher &amp; Warpinski, 2012; G. King, 2012; Maxwell, 2011)" }, "properties" : { "noteIndex" : 0 }, "schema" : "https://github.com/citation-style-language/schema/raw/master/csl-citation.json" }</w:instrText>
      </w:r>
      <w:r>
        <w:fldChar w:fldCharType="separate"/>
      </w:r>
      <w:r>
        <w:rPr>
          <w:noProof/>
        </w:rPr>
        <w:t>(Broomfield</w:t>
      </w:r>
      <w:r w:rsidRPr="00A93E98">
        <w:rPr>
          <w:noProof/>
        </w:rPr>
        <w:t xml:space="preserve"> 2012; Fisher </w:t>
      </w:r>
      <w:r>
        <w:rPr>
          <w:noProof/>
        </w:rPr>
        <w:t>and Warpinski</w:t>
      </w:r>
      <w:r w:rsidRPr="00A93E98">
        <w:rPr>
          <w:noProof/>
        </w:rPr>
        <w:t xml:space="preserve"> 2012; </w:t>
      </w:r>
      <w:r>
        <w:rPr>
          <w:noProof/>
        </w:rPr>
        <w:t>King</w:t>
      </w:r>
      <w:r w:rsidRPr="00A93E98">
        <w:rPr>
          <w:noProof/>
        </w:rPr>
        <w:t xml:space="preserve"> 2012; Maxwell 2011)</w:t>
      </w:r>
      <w:r>
        <w:fldChar w:fldCharType="end"/>
      </w:r>
      <w:r>
        <w:t>.</w:t>
      </w:r>
      <w:r w:rsidR="00CC17F3">
        <w:t xml:space="preserve"> </w:t>
      </w:r>
      <w:r>
        <w:fldChar w:fldCharType="begin" w:fldLock="1"/>
      </w:r>
      <w:r>
        <w:instrText xml:space="preserve"> REF _Ref458941735 \h </w:instrText>
      </w:r>
      <w:r>
        <w:fldChar w:fldCharType="separate"/>
      </w:r>
      <w:r w:rsidR="00335E79">
        <w:t xml:space="preserve">Table </w:t>
      </w:r>
      <w:r w:rsidR="00335E79">
        <w:rPr>
          <w:noProof/>
        </w:rPr>
        <w:t>2</w:t>
      </w:r>
      <w:r w:rsidR="00335E79">
        <w:noBreakHyphen/>
      </w:r>
      <w:r w:rsidR="00335E79">
        <w:rPr>
          <w:noProof/>
        </w:rPr>
        <w:t>15</w:t>
      </w:r>
      <w:r>
        <w:fldChar w:fldCharType="end"/>
      </w:r>
      <w:r>
        <w:t xml:space="preserve"> below reviews the applicability of each line of evidence to </w:t>
      </w:r>
      <w:r w:rsidRPr="002F1A2A">
        <w:t xml:space="preserve">plausible </w:t>
      </w:r>
      <w:r w:rsidR="0083131E">
        <w:t>P</w:t>
      </w:r>
      <w:r w:rsidR="0083131E" w:rsidRPr="002F1A2A">
        <w:t xml:space="preserve">athway </w:t>
      </w:r>
      <w:r>
        <w:t>A.</w:t>
      </w:r>
    </w:p>
    <w:p w14:paraId="2CF60587" w14:textId="71FED409" w:rsidR="00CC17F3" w:rsidRDefault="00CC17F3" w:rsidP="00CC17F3">
      <w:pPr>
        <w:pStyle w:val="Body"/>
      </w:pPr>
      <w:r>
        <w:t xml:space="preserve">If </w:t>
      </w:r>
      <w:r w:rsidRPr="003E37F8">
        <w:t>t</w:t>
      </w:r>
      <w:r>
        <w:t>h</w:t>
      </w:r>
      <w:r w:rsidRPr="003E37F8">
        <w:t xml:space="preserve">e </w:t>
      </w:r>
      <w:r>
        <w:t xml:space="preserve">best well completion practises are followed and the lines of evidence from </w:t>
      </w:r>
      <w:r>
        <w:fldChar w:fldCharType="begin" w:fldLock="1"/>
      </w:r>
      <w:r>
        <w:instrText xml:space="preserve"> REF _Ref458894782 \h </w:instrText>
      </w:r>
      <w:r>
        <w:fldChar w:fldCharType="separate"/>
      </w:r>
      <w:r w:rsidR="00335E79">
        <w:t xml:space="preserve">Table </w:t>
      </w:r>
      <w:r w:rsidR="00335E79">
        <w:rPr>
          <w:noProof/>
        </w:rPr>
        <w:t>2</w:t>
      </w:r>
      <w:r w:rsidR="00335E79">
        <w:noBreakHyphen/>
      </w:r>
      <w:r w:rsidR="00335E79">
        <w:rPr>
          <w:noProof/>
        </w:rPr>
        <w:t>17</w:t>
      </w:r>
      <w:r>
        <w:fldChar w:fldCharType="end"/>
      </w:r>
      <w:r>
        <w:t xml:space="preserve"> and the lack of reported cases are considered, then the risk of hydraulic fracturing contaminants being transported </w:t>
      </w:r>
      <w:r w:rsidR="00880BC4">
        <w:t>via a fracture growing into an aquifer</w:t>
      </w:r>
      <w:r>
        <w:t xml:space="preserve"> in </w:t>
      </w:r>
      <w:r w:rsidRPr="003E37F8">
        <w:t xml:space="preserve">plausible </w:t>
      </w:r>
      <w:r>
        <w:t>P</w:t>
      </w:r>
      <w:r w:rsidRPr="003E37F8">
        <w:t>athway A</w:t>
      </w:r>
      <w:r>
        <w:t xml:space="preserve"> could be considered e</w:t>
      </w:r>
      <w:r w:rsidRPr="003E37F8">
        <w:t xml:space="preserve">xceptionally unlikely </w:t>
      </w:r>
      <w:r>
        <w:t xml:space="preserve">(medium confidence) </w:t>
      </w:r>
      <w:r>
        <w:fldChar w:fldCharType="begin" w:fldLock="1"/>
      </w:r>
      <w:r>
        <w:instrText>ADDIN CSL_CITATION { "citationItems" : [ { "id" : "ITEM-1", "itemData" : { "abstract" : "Guidance Note for Lead Authors of the IPCC Fifth Assessment Report on Consistent Treatment of Uncertainties", "author" : [ { "dropping-particle" : "", "family" : "Mastrandrea", "given" : "Md", "non-dropping-particle" : "", "parse-names" : false, "suffix" : "" }, { "dropping-particle" : "", "family" : "Field", "given" : "Cb", "non-dropping-particle" : "", "parse-names" : false, "suffix" : "" } ], "container-title" : "\u2026 Panel on Climate \u2026", "id" : "ITEM-1", "issue" : "October", "issued" : { "date-parts" : [ [ "2010" ] ] }, "page" : "11-14", "title" : "Guidance note for lead authors of the IPCC fifth assessment report on consistent treatment of uncertainties", "type" : "article-journal", "volume" : "9" }, "uris" : [ "http://www.mendeley.com/documents/?uuid=3bf4e3dc-7571-4f6a-8256-cf9e07b51fa7" ] } ], "mendeley" : { "formattedCitation" : "(Mastrandrea &amp; Field, 2010)", "plainTextFormattedCitation" : "(Mastrandrea &amp; Field, 2010)", "previouslyFormattedCitation" : "(Mastrandrea &amp; Field, 2010)" }, "properties" : { "noteIndex" : 0 }, "schema" : "https://github.com/citation-style-language/schema/raw/master/csl-citation.json" }</w:instrText>
      </w:r>
      <w:r>
        <w:fldChar w:fldCharType="separate"/>
      </w:r>
      <w:r w:rsidRPr="00755C53">
        <w:rPr>
          <w:noProof/>
        </w:rPr>
        <w:t xml:space="preserve">(Mastrandrea </w:t>
      </w:r>
      <w:r>
        <w:rPr>
          <w:noProof/>
        </w:rPr>
        <w:t>et al.</w:t>
      </w:r>
      <w:r w:rsidRPr="00755C53">
        <w:rPr>
          <w:noProof/>
        </w:rPr>
        <w:t xml:space="preserve"> 2010)</w:t>
      </w:r>
      <w:r>
        <w:fldChar w:fldCharType="end"/>
      </w:r>
      <w:r>
        <w:t xml:space="preserve"> for the purposes of this hazard screening tool.</w:t>
      </w:r>
    </w:p>
    <w:p w14:paraId="6226FA18" w14:textId="77777777" w:rsidR="00E87470" w:rsidRDefault="00E87470" w:rsidP="00E87470">
      <w:pPr>
        <w:pStyle w:val="Body"/>
      </w:pPr>
    </w:p>
    <w:p w14:paraId="753EE4AE" w14:textId="77777777" w:rsidR="00CC17F3" w:rsidRDefault="00CC17F3" w:rsidP="00E87470">
      <w:pPr>
        <w:pStyle w:val="Body"/>
      </w:pPr>
    </w:p>
    <w:p w14:paraId="20870583" w14:textId="77777777" w:rsidR="00CC17F3" w:rsidRDefault="00CC17F3" w:rsidP="00E87470">
      <w:pPr>
        <w:pStyle w:val="Body"/>
      </w:pPr>
    </w:p>
    <w:p w14:paraId="76EB4814" w14:textId="77777777" w:rsidR="00CC17F3" w:rsidRDefault="00CC17F3" w:rsidP="00E87470">
      <w:pPr>
        <w:pStyle w:val="Body"/>
      </w:pPr>
    </w:p>
    <w:p w14:paraId="0C555499" w14:textId="44918B87" w:rsidR="00E87470" w:rsidRDefault="00E87470" w:rsidP="00E87470">
      <w:pPr>
        <w:pStyle w:val="Imagecaption"/>
        <w:keepNext/>
        <w:pBdr>
          <w:top w:val="none" w:sz="0" w:space="0" w:color="auto"/>
        </w:pBdr>
      </w:pPr>
      <w:bookmarkStart w:id="195" w:name="_Ref458941735"/>
      <w:bookmarkStart w:id="196" w:name="_Toc494444705"/>
      <w:r>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15</w:t>
      </w:r>
      <w:r w:rsidR="00470577">
        <w:fldChar w:fldCharType="end"/>
      </w:r>
      <w:bookmarkEnd w:id="195"/>
      <w:r>
        <w:t xml:space="preserve"> </w:t>
      </w:r>
      <w:r w:rsidRPr="00B51C99">
        <w:t xml:space="preserve">Lines of evidence </w:t>
      </w:r>
      <w:r>
        <w:t xml:space="preserve">relevant to plausible </w:t>
      </w:r>
      <w:r w:rsidR="0083131E">
        <w:t xml:space="preserve">Pathway </w:t>
      </w:r>
      <w:r>
        <w:t>A</w:t>
      </w:r>
      <w:r w:rsidR="00CC17F3">
        <w:t>.</w:t>
      </w:r>
      <w:bookmarkEnd w:id="196"/>
    </w:p>
    <w:tbl>
      <w:tblPr>
        <w:tblStyle w:val="TableGrid"/>
        <w:tblW w:w="0" w:type="auto"/>
        <w:tblInd w:w="-5" w:type="dxa"/>
        <w:tblLook w:val="04A0" w:firstRow="1" w:lastRow="0" w:firstColumn="1" w:lastColumn="0" w:noHBand="0" w:noVBand="1"/>
      </w:tblPr>
      <w:tblGrid>
        <w:gridCol w:w="3578"/>
        <w:gridCol w:w="5437"/>
      </w:tblGrid>
      <w:tr w:rsidR="00E87470" w:rsidRPr="00281975" w14:paraId="290F55C9" w14:textId="77777777" w:rsidTr="00660826">
        <w:tc>
          <w:tcPr>
            <w:tcW w:w="3578" w:type="dxa"/>
            <w:shd w:val="clear" w:color="auto" w:fill="F2F2F2" w:themeFill="background1" w:themeFillShade="F2"/>
          </w:tcPr>
          <w:p w14:paraId="409B17F2" w14:textId="77777777" w:rsidR="00E87470" w:rsidRPr="0026580A" w:rsidRDefault="00E87470" w:rsidP="00AC5F05">
            <w:pPr>
              <w:pStyle w:val="Body"/>
            </w:pPr>
            <w:r w:rsidRPr="0026580A">
              <w:t>Line of evidence</w:t>
            </w:r>
          </w:p>
        </w:tc>
        <w:tc>
          <w:tcPr>
            <w:tcW w:w="5437" w:type="dxa"/>
            <w:shd w:val="clear" w:color="auto" w:fill="F2F2F2" w:themeFill="background1" w:themeFillShade="F2"/>
          </w:tcPr>
          <w:p w14:paraId="18F278C1" w14:textId="62624733" w:rsidR="00E87470" w:rsidRPr="0026580A" w:rsidRDefault="00E87470" w:rsidP="008D530E">
            <w:pPr>
              <w:pStyle w:val="Body"/>
            </w:pPr>
            <w:r w:rsidRPr="0026580A">
              <w:t xml:space="preserve">Applicability to hazard assessment of </w:t>
            </w:r>
            <w:r w:rsidR="0083131E">
              <w:t>P</w:t>
            </w:r>
            <w:r w:rsidR="0083131E" w:rsidRPr="0026580A">
              <w:t xml:space="preserve">athway </w:t>
            </w:r>
            <w:r>
              <w:t>A</w:t>
            </w:r>
          </w:p>
        </w:tc>
      </w:tr>
      <w:tr w:rsidR="00E87470" w14:paraId="1D7E8B44" w14:textId="77777777" w:rsidTr="00660826">
        <w:tc>
          <w:tcPr>
            <w:tcW w:w="3578" w:type="dxa"/>
          </w:tcPr>
          <w:p w14:paraId="4C5AD969" w14:textId="7772777A" w:rsidR="00E87470" w:rsidRDefault="00E87470" w:rsidP="00AC5F05">
            <w:pPr>
              <w:pStyle w:val="Body"/>
            </w:pPr>
            <w:r>
              <w:t xml:space="preserve">1: Basic hydraulic fracture growth </w:t>
            </w:r>
            <w:r w:rsidR="00A3023F">
              <w:t xml:space="preserve">and fluid transport </w:t>
            </w:r>
            <w:r>
              <w:t>models to provide bounding data points</w:t>
            </w:r>
          </w:p>
        </w:tc>
        <w:tc>
          <w:tcPr>
            <w:tcW w:w="5437" w:type="dxa"/>
          </w:tcPr>
          <w:p w14:paraId="54535F5E" w14:textId="53EFE98D" w:rsidR="00E87470" w:rsidRPr="0026580A" w:rsidRDefault="00712C16" w:rsidP="00712C16">
            <w:pPr>
              <w:pStyle w:val="Body"/>
            </w:pPr>
            <w:r w:rsidRPr="00712C16">
              <w:t>Moderately applicable. Basic hydraulic fracture growth models provide bounding data points for a simplistic esti</w:t>
            </w:r>
            <w:r w:rsidR="00CC17F3">
              <w:t>mate of extent of vertical hydr</w:t>
            </w:r>
            <w:r w:rsidRPr="00712C16">
              <w:t>a</w:t>
            </w:r>
            <w:r w:rsidR="00CC17F3">
              <w:t>u</w:t>
            </w:r>
            <w:r w:rsidRPr="00712C16">
              <w:t xml:space="preserve">lic fracure growth. The output of basic hydraulic fracture growth models can be compared to the vertical separation of the water bearing aquifer </w:t>
            </w:r>
            <w:r w:rsidR="00750B52">
              <w:t xml:space="preserve">and </w:t>
            </w:r>
            <w:r w:rsidRPr="00712C16">
              <w:t>will provide a useful line of ev</w:t>
            </w:r>
            <w:r>
              <w:t>idence for plausible pathway A</w:t>
            </w:r>
            <w:r w:rsidRPr="00712C16">
              <w:t>.</w:t>
            </w:r>
          </w:p>
        </w:tc>
      </w:tr>
      <w:tr w:rsidR="00E87470" w14:paraId="0297A43E" w14:textId="77777777" w:rsidTr="00660826">
        <w:tc>
          <w:tcPr>
            <w:tcW w:w="3578" w:type="dxa"/>
          </w:tcPr>
          <w:p w14:paraId="1AB17BAF" w14:textId="375A525B" w:rsidR="00E87470" w:rsidRDefault="00E87470" w:rsidP="00AC5F05">
            <w:pPr>
              <w:pStyle w:val="Body"/>
            </w:pPr>
            <w:r>
              <w:t>2: Industry standard numerical modelling of hydraulic fracture growth</w:t>
            </w:r>
            <w:r w:rsidR="00712C16">
              <w:t xml:space="preserve"> and fluid transport</w:t>
            </w:r>
          </w:p>
        </w:tc>
        <w:tc>
          <w:tcPr>
            <w:tcW w:w="5437" w:type="dxa"/>
          </w:tcPr>
          <w:p w14:paraId="25E2A318" w14:textId="7D557ED7" w:rsidR="00E87470" w:rsidRPr="0026580A" w:rsidRDefault="00712C16" w:rsidP="00712C16">
            <w:pPr>
              <w:pStyle w:val="Body"/>
            </w:pPr>
            <w:r w:rsidRPr="00712C16">
              <w:t xml:space="preserve">Moderately applicable. Industry standard numerical modelling provides a more accurate estimate of the extent of the vertical hydraulic fracture growth. The output of industry standard numerical models can be compared to the vertical separation of the water bearing aquifer </w:t>
            </w:r>
            <w:r w:rsidR="00750B52">
              <w:t xml:space="preserve">and </w:t>
            </w:r>
            <w:r w:rsidRPr="00712C16">
              <w:t>will provide a key line of ev</w:t>
            </w:r>
            <w:r>
              <w:t>idence for plausible Pathway A</w:t>
            </w:r>
            <w:r w:rsidRPr="00712C16">
              <w:t>.</w:t>
            </w:r>
          </w:p>
        </w:tc>
      </w:tr>
      <w:tr w:rsidR="00E87470" w14:paraId="6A4E1BFF" w14:textId="77777777" w:rsidTr="00660826">
        <w:tc>
          <w:tcPr>
            <w:tcW w:w="3578" w:type="dxa"/>
          </w:tcPr>
          <w:p w14:paraId="0E848DCE" w14:textId="77777777" w:rsidR="00E87470" w:rsidRDefault="00E87470" w:rsidP="00AC5F05">
            <w:pPr>
              <w:pStyle w:val="Body"/>
            </w:pPr>
            <w:r>
              <w:t>3: Analysis of samples from monitoring / water well</w:t>
            </w:r>
          </w:p>
        </w:tc>
        <w:tc>
          <w:tcPr>
            <w:tcW w:w="5437" w:type="dxa"/>
          </w:tcPr>
          <w:p w14:paraId="0E40E2EB" w14:textId="0A426E9D" w:rsidR="00E87470" w:rsidRPr="0026580A" w:rsidRDefault="00E87470" w:rsidP="008D530E">
            <w:pPr>
              <w:pStyle w:val="Body"/>
            </w:pPr>
            <w:r w:rsidRPr="00281975">
              <w:t>Highly applicable. Contaminants transported to the water bearing aq</w:t>
            </w:r>
            <w:r>
              <w:t xml:space="preserve">uifer along plausible </w:t>
            </w:r>
            <w:r w:rsidR="0083131E">
              <w:t xml:space="preserve">Pathway </w:t>
            </w:r>
            <w:r>
              <w:t>A</w:t>
            </w:r>
            <w:r w:rsidRPr="00281975">
              <w:t xml:space="preserve"> should conceivably be detected in samples from monitoring or water wells.</w:t>
            </w:r>
          </w:p>
        </w:tc>
      </w:tr>
      <w:tr w:rsidR="00E87470" w14:paraId="0374AA7F" w14:textId="77777777" w:rsidTr="00660826">
        <w:tc>
          <w:tcPr>
            <w:tcW w:w="3578" w:type="dxa"/>
          </w:tcPr>
          <w:p w14:paraId="5195028B" w14:textId="77777777" w:rsidR="00E87470" w:rsidRDefault="00E87470" w:rsidP="00AC5F05">
            <w:pPr>
              <w:pStyle w:val="Body"/>
            </w:pPr>
            <w:r>
              <w:t>4: Remote hydraulic fracture growth monitoring</w:t>
            </w:r>
          </w:p>
        </w:tc>
        <w:tc>
          <w:tcPr>
            <w:tcW w:w="5437" w:type="dxa"/>
          </w:tcPr>
          <w:p w14:paraId="5C8F6077" w14:textId="6B19E467" w:rsidR="00E87470" w:rsidRPr="0026580A" w:rsidRDefault="00E87470" w:rsidP="00712C16">
            <w:pPr>
              <w:pStyle w:val="Body"/>
            </w:pPr>
            <w:r>
              <w:t xml:space="preserve">Highly applicable. Remote monitoring of hydraulic fracture growth would provide an estimate of vertical fracture extent </w:t>
            </w:r>
            <w:r w:rsidR="00712C16">
              <w:t>to compare</w:t>
            </w:r>
            <w:r w:rsidRPr="00281975">
              <w:t xml:space="preserve"> to the vertical separation of the water bearing aquifer</w:t>
            </w:r>
            <w:r w:rsidR="00712C16">
              <w:t xml:space="preserve"> and to</w:t>
            </w:r>
            <w:r>
              <w:t xml:space="preserve"> </w:t>
            </w:r>
            <w:r w:rsidRPr="00281975">
              <w:t>provide a useful line of e</w:t>
            </w:r>
            <w:r>
              <w:t xml:space="preserve">vidence for plausible </w:t>
            </w:r>
            <w:r w:rsidR="00712C16">
              <w:t>P</w:t>
            </w:r>
            <w:r w:rsidR="0083131E">
              <w:t xml:space="preserve">athway </w:t>
            </w:r>
            <w:r>
              <w:t>A.</w:t>
            </w:r>
          </w:p>
        </w:tc>
      </w:tr>
      <w:tr w:rsidR="00E87470" w14:paraId="722AC129" w14:textId="77777777" w:rsidTr="00660826">
        <w:tc>
          <w:tcPr>
            <w:tcW w:w="3578" w:type="dxa"/>
          </w:tcPr>
          <w:p w14:paraId="2DBD87E1" w14:textId="77777777" w:rsidR="00E87470" w:rsidRDefault="00E87470" w:rsidP="00AC5F05">
            <w:pPr>
              <w:pStyle w:val="Body"/>
            </w:pPr>
            <w:r>
              <w:t>5: Interpretation of injection pressure data</w:t>
            </w:r>
          </w:p>
        </w:tc>
        <w:tc>
          <w:tcPr>
            <w:tcW w:w="5437" w:type="dxa"/>
          </w:tcPr>
          <w:p w14:paraId="5B128FFD" w14:textId="77777777" w:rsidR="00E87470" w:rsidRPr="0026580A" w:rsidRDefault="00E87470" w:rsidP="00AC5F05">
            <w:pPr>
              <w:pStyle w:val="Body"/>
            </w:pPr>
            <w:r w:rsidRPr="00281975">
              <w:t>Loosely applicable. Vertical out of seam hydraulic fracture growth may produce an injection pressure plot that is different to hydraulic fracture growth contained in the CSG production interval but it is unlikely that this difference would be able to be accurately identified</w:t>
            </w:r>
            <w:r>
              <w:t>.</w:t>
            </w:r>
          </w:p>
        </w:tc>
      </w:tr>
      <w:tr w:rsidR="00E87470" w14:paraId="5A7B397B" w14:textId="77777777" w:rsidTr="00660826">
        <w:tc>
          <w:tcPr>
            <w:tcW w:w="3578" w:type="dxa"/>
          </w:tcPr>
          <w:p w14:paraId="6D414371" w14:textId="77777777" w:rsidR="00E87470" w:rsidRDefault="00E87470" w:rsidP="00AC5F05">
            <w:pPr>
              <w:pStyle w:val="Body"/>
            </w:pPr>
            <w:r w:rsidRPr="002F1A2A">
              <w:t>6: Observation of key environmental receptors</w:t>
            </w:r>
          </w:p>
        </w:tc>
        <w:tc>
          <w:tcPr>
            <w:tcW w:w="5437" w:type="dxa"/>
          </w:tcPr>
          <w:p w14:paraId="7BC5487F" w14:textId="60EAFEF2" w:rsidR="00E87470" w:rsidRPr="0026580A" w:rsidRDefault="00E87470" w:rsidP="00AC5F05">
            <w:pPr>
              <w:pStyle w:val="Body"/>
            </w:pPr>
            <w:r>
              <w:t>Currently no</w:t>
            </w:r>
            <w:r w:rsidRPr="00FF6101">
              <w:t xml:space="preserve"> data </w:t>
            </w:r>
            <w:r w:rsidR="0083131E">
              <w:t xml:space="preserve">are </w:t>
            </w:r>
            <w:r w:rsidRPr="00FF6101">
              <w:t>available</w:t>
            </w:r>
            <w:r>
              <w:t>.</w:t>
            </w:r>
          </w:p>
        </w:tc>
      </w:tr>
    </w:tbl>
    <w:p w14:paraId="64528BF3" w14:textId="67A840DE" w:rsidR="00C6585C" w:rsidRPr="00875EB1" w:rsidRDefault="008D530E" w:rsidP="00C6585C">
      <w:pPr>
        <w:pStyle w:val="Heading3"/>
        <w:numPr>
          <w:ilvl w:val="3"/>
          <w:numId w:val="1"/>
        </w:numPr>
      </w:pPr>
      <w:bookmarkStart w:id="197" w:name="_Toc454473389"/>
      <w:bookmarkStart w:id="198" w:name="_Toc494444526"/>
      <w:bookmarkEnd w:id="194"/>
      <w:r>
        <w:t>P</w:t>
      </w:r>
      <w:r w:rsidR="001673D0">
        <w:t>lausible p</w:t>
      </w:r>
      <w:r w:rsidR="00C6585C" w:rsidRPr="00875EB1">
        <w:t xml:space="preserve">athway </w:t>
      </w:r>
      <w:r w:rsidR="00C6585C">
        <w:t>B</w:t>
      </w:r>
      <w:r w:rsidR="00C6585C" w:rsidRPr="00875EB1">
        <w:t xml:space="preserve">: </w:t>
      </w:r>
      <w:r w:rsidR="00C6585C">
        <w:t>fracture</w:t>
      </w:r>
      <w:bookmarkEnd w:id="197"/>
      <w:r w:rsidR="00E87470">
        <w:t xml:space="preserve"> growth into a well</w:t>
      </w:r>
      <w:bookmarkEnd w:id="198"/>
    </w:p>
    <w:p w14:paraId="4DCFD420" w14:textId="79F36AC2" w:rsidR="00C6585C" w:rsidRDefault="00C6585C" w:rsidP="00C6585C">
      <w:pPr>
        <w:pStyle w:val="Body"/>
      </w:pPr>
      <w:r w:rsidRPr="00D61D0C">
        <w:t xml:space="preserve">In plausible </w:t>
      </w:r>
      <w:r w:rsidR="0083131E">
        <w:t>P</w:t>
      </w:r>
      <w:r w:rsidR="0083131E" w:rsidRPr="00D61D0C">
        <w:t xml:space="preserve">athway </w:t>
      </w:r>
      <w:r w:rsidRPr="00D61D0C">
        <w:t xml:space="preserve">B, a hydraulic fracture grown in a CSG production interval directly intersects a water bore in the same geological interval. When assessing the likelihood of plausible </w:t>
      </w:r>
      <w:r w:rsidR="0083131E">
        <w:t>P</w:t>
      </w:r>
      <w:r w:rsidR="0083131E" w:rsidRPr="00D61D0C">
        <w:t xml:space="preserve">athway </w:t>
      </w:r>
      <w:r w:rsidRPr="00D61D0C">
        <w:t xml:space="preserve">B, it is important to have a useful estimate of the horizontal extent of the hydraulic fracture. </w:t>
      </w:r>
    </w:p>
    <w:p w14:paraId="7E196182" w14:textId="2B6AB517" w:rsidR="00CE720A" w:rsidRDefault="00C6585C" w:rsidP="00CE720A">
      <w:pPr>
        <w:pStyle w:val="Body"/>
        <w:rPr>
          <w:lang w:val="en-AU"/>
        </w:rPr>
      </w:pPr>
      <w:r w:rsidRPr="00D61D0C">
        <w:t xml:space="preserve">Obtaining such an estimate is not straightforward as fluid transport and crack propagation behaviour in coal is often badly predicted by linear theories. Additionally, any height growth will also directly reduce the horizontal extent of hydraulic fracture growth. As a result, simple, tractable solutions can give very poor estimates of hydraulic fracture length and therefore must be applied only with caution and in a manner that is cognizant of their limitations. In this case </w:t>
      </w:r>
      <w:r>
        <w:t>such</w:t>
      </w:r>
      <w:r w:rsidRPr="00D61D0C">
        <w:t xml:space="preserve"> simple models are used to provide bounding data points for the maximum possible horizontal extent of fracture growth. </w:t>
      </w:r>
      <w:r w:rsidR="00CE720A">
        <w:rPr>
          <w:lang w:val="en-AU"/>
        </w:rPr>
        <w:t>Based on modelling analysis, it was considered extremely unlikely for horizontal fractures to extend further than approximately 300m (for given fracture treatment parameters).</w:t>
      </w:r>
    </w:p>
    <w:p w14:paraId="27CCCB21" w14:textId="77777777" w:rsidR="00EE50F9" w:rsidRDefault="00EE50F9" w:rsidP="00CE720A">
      <w:pPr>
        <w:pStyle w:val="Body"/>
        <w:rPr>
          <w:lang w:val="en-AU"/>
        </w:rPr>
      </w:pPr>
    </w:p>
    <w:p w14:paraId="76998894" w14:textId="77777777" w:rsidR="00EE50F9" w:rsidRPr="00D61D0C" w:rsidRDefault="00EE50F9" w:rsidP="00CE720A">
      <w:pPr>
        <w:pStyle w:val="Body"/>
      </w:pPr>
    </w:p>
    <w:p w14:paraId="42D3CA9C" w14:textId="7B197C90" w:rsidR="00C6585C" w:rsidRDefault="00C6585C" w:rsidP="000567D0">
      <w:pPr>
        <w:pStyle w:val="Body"/>
      </w:pPr>
    </w:p>
    <w:p w14:paraId="52109937" w14:textId="7577184F" w:rsidR="00C6585C" w:rsidRDefault="00C6585C" w:rsidP="00C6585C">
      <w:pPr>
        <w:pStyle w:val="Imagecaption"/>
        <w:keepNext/>
        <w:pBdr>
          <w:top w:val="none" w:sz="0" w:space="0" w:color="auto"/>
        </w:pBdr>
      </w:pPr>
      <w:bookmarkStart w:id="199" w:name="_Toc494444706"/>
      <w:r>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16</w:t>
      </w:r>
      <w:r w:rsidR="00470577">
        <w:fldChar w:fldCharType="end"/>
      </w:r>
      <w:r>
        <w:t xml:space="preserve"> </w:t>
      </w:r>
      <w:r w:rsidRPr="00BA63E9">
        <w:t xml:space="preserve">Lines of evidence relevant to plausible </w:t>
      </w:r>
      <w:r w:rsidR="00C3115E">
        <w:t>P</w:t>
      </w:r>
      <w:r w:rsidRPr="00BA63E9">
        <w:t>athway B</w:t>
      </w:r>
      <w:r w:rsidR="00CC17F3">
        <w:t>.</w:t>
      </w:r>
      <w:bookmarkEnd w:id="199"/>
    </w:p>
    <w:tbl>
      <w:tblPr>
        <w:tblStyle w:val="TableGrid"/>
        <w:tblW w:w="0" w:type="auto"/>
        <w:tblInd w:w="-5" w:type="dxa"/>
        <w:tblLook w:val="04A0" w:firstRow="1" w:lastRow="0" w:firstColumn="1" w:lastColumn="0" w:noHBand="0" w:noVBand="1"/>
      </w:tblPr>
      <w:tblGrid>
        <w:gridCol w:w="3577"/>
        <w:gridCol w:w="5438"/>
      </w:tblGrid>
      <w:tr w:rsidR="00C6585C" w:rsidRPr="00142102" w14:paraId="7DA1D93C" w14:textId="77777777" w:rsidTr="00660826">
        <w:tc>
          <w:tcPr>
            <w:tcW w:w="3577" w:type="dxa"/>
            <w:shd w:val="clear" w:color="auto" w:fill="F2F2F2" w:themeFill="background1" w:themeFillShade="F2"/>
          </w:tcPr>
          <w:p w14:paraId="61D2A4F3" w14:textId="77777777" w:rsidR="00C6585C" w:rsidRPr="002442DD" w:rsidRDefault="00C6585C" w:rsidP="004508AC">
            <w:pPr>
              <w:pStyle w:val="Body"/>
            </w:pPr>
            <w:r w:rsidRPr="002442DD">
              <w:t>Line of evidence</w:t>
            </w:r>
          </w:p>
        </w:tc>
        <w:tc>
          <w:tcPr>
            <w:tcW w:w="5438" w:type="dxa"/>
            <w:shd w:val="clear" w:color="auto" w:fill="F2F2F2" w:themeFill="background1" w:themeFillShade="F2"/>
          </w:tcPr>
          <w:p w14:paraId="690EF38A" w14:textId="08E6F569" w:rsidR="00C6585C" w:rsidRPr="002442DD" w:rsidRDefault="00C6585C" w:rsidP="008D530E">
            <w:pPr>
              <w:pStyle w:val="Body"/>
            </w:pPr>
            <w:r w:rsidRPr="002442DD">
              <w:t xml:space="preserve">Applicability to hazard assessment of </w:t>
            </w:r>
            <w:r w:rsidR="0083131E">
              <w:t>P</w:t>
            </w:r>
            <w:r w:rsidR="0083131E" w:rsidRPr="002442DD">
              <w:t xml:space="preserve">athway </w:t>
            </w:r>
            <w:r w:rsidRPr="002442DD">
              <w:t>B</w:t>
            </w:r>
          </w:p>
        </w:tc>
      </w:tr>
      <w:tr w:rsidR="00C6585C" w:rsidRPr="00142102" w14:paraId="3B1D9A1D" w14:textId="77777777" w:rsidTr="00660826">
        <w:tc>
          <w:tcPr>
            <w:tcW w:w="3577" w:type="dxa"/>
          </w:tcPr>
          <w:p w14:paraId="4517C669" w14:textId="77777777" w:rsidR="00C6585C" w:rsidRPr="00142102" w:rsidRDefault="00C6585C" w:rsidP="004508AC">
            <w:pPr>
              <w:pStyle w:val="Body"/>
            </w:pPr>
            <w:r w:rsidRPr="00142102">
              <w:t>1: Basic hydraulic fracture growth models to provide bounding data points</w:t>
            </w:r>
          </w:p>
        </w:tc>
        <w:tc>
          <w:tcPr>
            <w:tcW w:w="5438" w:type="dxa"/>
          </w:tcPr>
          <w:p w14:paraId="3C238E79" w14:textId="7350C317" w:rsidR="00C6585C" w:rsidRPr="00142102" w:rsidRDefault="00C6585C" w:rsidP="008D530E">
            <w:pPr>
              <w:pStyle w:val="Body"/>
            </w:pPr>
            <w:r w:rsidRPr="00142102">
              <w:t xml:space="preserve">Highly applicable. Basic hydraulic fracture growth models provide bounding data points for the maximum potential extent of </w:t>
            </w:r>
            <w:r>
              <w:t>hydraulic</w:t>
            </w:r>
            <w:r w:rsidRPr="00142102">
              <w:t xml:space="preserve"> frac</w:t>
            </w:r>
            <w:r>
              <w:t>t</w:t>
            </w:r>
            <w:r w:rsidRPr="00142102">
              <w:t>ure growth. Plausibl</w:t>
            </w:r>
            <w:r>
              <w:t xml:space="preserve">e </w:t>
            </w:r>
            <w:r w:rsidR="0083131E">
              <w:t xml:space="preserve">Pathway </w:t>
            </w:r>
            <w:r>
              <w:t>B</w:t>
            </w:r>
            <w:r w:rsidRPr="00142102">
              <w:t xml:space="preserve"> involves the intersection of the growing hydraulic fracture and a </w:t>
            </w:r>
            <w:r>
              <w:t>water bore that draws from the CSG production interval</w:t>
            </w:r>
            <w:r w:rsidRPr="00142102">
              <w:t xml:space="preserve">. The maximum potential extent of the hydraulic fracture is relevant when reviewing the proximity of </w:t>
            </w:r>
            <w:r>
              <w:t>the water bore</w:t>
            </w:r>
            <w:r w:rsidRPr="00142102">
              <w:t xml:space="preserve"> to the production borehole. </w:t>
            </w:r>
          </w:p>
        </w:tc>
      </w:tr>
      <w:tr w:rsidR="00C6585C" w:rsidRPr="00142102" w14:paraId="40E33B18" w14:textId="77777777" w:rsidTr="00660826">
        <w:tc>
          <w:tcPr>
            <w:tcW w:w="3577" w:type="dxa"/>
          </w:tcPr>
          <w:p w14:paraId="79AE226C" w14:textId="2C3B6E95" w:rsidR="00C6585C" w:rsidRPr="00142102" w:rsidRDefault="00C6585C" w:rsidP="004508AC">
            <w:pPr>
              <w:pStyle w:val="Body"/>
            </w:pPr>
            <w:r w:rsidRPr="00142102">
              <w:t>2: Industry standard numerical modelling of hydraulic fracture growth</w:t>
            </w:r>
            <w:r w:rsidR="00712C16">
              <w:t xml:space="preserve"> and fluid transport</w:t>
            </w:r>
          </w:p>
        </w:tc>
        <w:tc>
          <w:tcPr>
            <w:tcW w:w="5438" w:type="dxa"/>
          </w:tcPr>
          <w:p w14:paraId="286B8BE9" w14:textId="77777777" w:rsidR="00C6585C" w:rsidRPr="00142102" w:rsidRDefault="00C6585C" w:rsidP="004508AC">
            <w:pPr>
              <w:pStyle w:val="Body"/>
            </w:pPr>
            <w:r w:rsidRPr="00142102">
              <w:t>Highly applicable. Industry standard numerical modelling provides a more accurate estimate of the extent of the hydra</w:t>
            </w:r>
            <w:r>
              <w:t>u</w:t>
            </w:r>
            <w:r w:rsidRPr="00142102">
              <w:t xml:space="preserve">lic fracture growth. The output of industry standard numerical models can be compared to the horizontal and vertical location of </w:t>
            </w:r>
            <w:r>
              <w:t xml:space="preserve">water bores </w:t>
            </w:r>
            <w:r w:rsidRPr="00142102">
              <w:t>in relation to the production borehole.</w:t>
            </w:r>
          </w:p>
        </w:tc>
      </w:tr>
      <w:tr w:rsidR="00C6585C" w:rsidRPr="00142102" w14:paraId="25275650" w14:textId="77777777" w:rsidTr="00660826">
        <w:tc>
          <w:tcPr>
            <w:tcW w:w="3577" w:type="dxa"/>
          </w:tcPr>
          <w:p w14:paraId="685ECC33" w14:textId="77777777" w:rsidR="00C6585C" w:rsidRPr="00142102" w:rsidRDefault="00C6585C" w:rsidP="004508AC">
            <w:pPr>
              <w:pStyle w:val="Body"/>
            </w:pPr>
            <w:r w:rsidRPr="00142102">
              <w:t>3: Analysis of samples from monitoring / water well</w:t>
            </w:r>
          </w:p>
        </w:tc>
        <w:tc>
          <w:tcPr>
            <w:tcW w:w="5438" w:type="dxa"/>
          </w:tcPr>
          <w:p w14:paraId="17CCC17B" w14:textId="7F0E22C4" w:rsidR="00C6585C" w:rsidRPr="00142102" w:rsidRDefault="00C6585C" w:rsidP="0083131E">
            <w:pPr>
              <w:pStyle w:val="Body"/>
            </w:pPr>
            <w:r w:rsidRPr="00142102">
              <w:t xml:space="preserve">Highly applicable. Contaminants transported to the water </w:t>
            </w:r>
            <w:r>
              <w:t xml:space="preserve">bore </w:t>
            </w:r>
            <w:r w:rsidR="00712C16">
              <w:t xml:space="preserve">via </w:t>
            </w:r>
            <w:r w:rsidRPr="00142102">
              <w:t xml:space="preserve">plausible </w:t>
            </w:r>
            <w:r w:rsidR="0083131E">
              <w:t>P</w:t>
            </w:r>
            <w:r w:rsidR="0083131E" w:rsidRPr="00142102">
              <w:t>athway</w:t>
            </w:r>
            <w:r w:rsidR="0083131E">
              <w:t xml:space="preserve"> </w:t>
            </w:r>
            <w:r>
              <w:t>B</w:t>
            </w:r>
            <w:r w:rsidRPr="00142102">
              <w:t xml:space="preserve"> should conceivably be detected in samples from </w:t>
            </w:r>
            <w:r>
              <w:t xml:space="preserve">the </w:t>
            </w:r>
            <w:r w:rsidRPr="00142102">
              <w:t xml:space="preserve">water </w:t>
            </w:r>
            <w:r>
              <w:t>bore</w:t>
            </w:r>
            <w:r w:rsidRPr="00142102">
              <w:t>.</w:t>
            </w:r>
          </w:p>
        </w:tc>
      </w:tr>
      <w:tr w:rsidR="00C6585C" w:rsidRPr="00142102" w14:paraId="2F314E35" w14:textId="77777777" w:rsidTr="00660826">
        <w:tc>
          <w:tcPr>
            <w:tcW w:w="3577" w:type="dxa"/>
          </w:tcPr>
          <w:p w14:paraId="7127119A" w14:textId="77777777" w:rsidR="00C6585C" w:rsidRPr="00142102" w:rsidRDefault="00C6585C" w:rsidP="004508AC">
            <w:pPr>
              <w:pStyle w:val="Body"/>
            </w:pPr>
            <w:r w:rsidRPr="00142102">
              <w:t>4: Remote hydraulic fracture growth monitoring</w:t>
            </w:r>
          </w:p>
        </w:tc>
        <w:tc>
          <w:tcPr>
            <w:tcW w:w="5438" w:type="dxa"/>
          </w:tcPr>
          <w:p w14:paraId="02DB3949" w14:textId="77777777" w:rsidR="00C6585C" w:rsidRPr="00142102" w:rsidRDefault="00C6585C" w:rsidP="004508AC">
            <w:pPr>
              <w:pStyle w:val="Body"/>
            </w:pPr>
            <w:r>
              <w:t>Highly applicable. Remote monitoring of hydraulic fracture growth is especially applicable for assessing this plausible pathway. If the water bore that draws from the CSG production interval is monitored for hydraulic fracture intersection then this would provide direct evidence of the establishment of a plausible transport pathway.</w:t>
            </w:r>
          </w:p>
        </w:tc>
      </w:tr>
      <w:tr w:rsidR="00C6585C" w:rsidRPr="00142102" w14:paraId="465D8BAE" w14:textId="77777777" w:rsidTr="00660826">
        <w:tc>
          <w:tcPr>
            <w:tcW w:w="3577" w:type="dxa"/>
          </w:tcPr>
          <w:p w14:paraId="119212F0" w14:textId="77777777" w:rsidR="00C6585C" w:rsidRPr="00142102" w:rsidRDefault="00C6585C" w:rsidP="004508AC">
            <w:pPr>
              <w:pStyle w:val="Body"/>
            </w:pPr>
            <w:r w:rsidRPr="00142102">
              <w:t>5: Interpretation of injection pressure data</w:t>
            </w:r>
          </w:p>
        </w:tc>
        <w:tc>
          <w:tcPr>
            <w:tcW w:w="5438" w:type="dxa"/>
          </w:tcPr>
          <w:p w14:paraId="2BED36D6" w14:textId="77777777" w:rsidR="00C6585C" w:rsidRPr="00142102" w:rsidRDefault="00C6585C" w:rsidP="004508AC">
            <w:pPr>
              <w:pStyle w:val="Body"/>
            </w:pPr>
            <w:r w:rsidRPr="00142102">
              <w:t xml:space="preserve">Moderately applicable. An intersection between the growing hydraulic fracture and a </w:t>
            </w:r>
            <w:r>
              <w:t xml:space="preserve">water bore may cause an abnormality in the injection pressure </w:t>
            </w:r>
            <w:r w:rsidRPr="00142102">
              <w:t>plot</w:t>
            </w:r>
            <w:r>
              <w:t xml:space="preserve">. </w:t>
            </w:r>
            <w:r w:rsidRPr="00142102">
              <w:t xml:space="preserve">However the cause of this </w:t>
            </w:r>
            <w:r>
              <w:t>abnormality may not be clearly distinguishable from a fracture intersection with a highly permeable zone.</w:t>
            </w:r>
          </w:p>
        </w:tc>
      </w:tr>
      <w:tr w:rsidR="00C6585C" w14:paraId="07A51931" w14:textId="77777777" w:rsidTr="00660826">
        <w:tc>
          <w:tcPr>
            <w:tcW w:w="3577" w:type="dxa"/>
          </w:tcPr>
          <w:p w14:paraId="0DC4672F" w14:textId="77777777" w:rsidR="00C6585C" w:rsidRPr="00142102" w:rsidRDefault="00C6585C" w:rsidP="004508AC">
            <w:pPr>
              <w:pStyle w:val="Body"/>
            </w:pPr>
            <w:r w:rsidRPr="00142102">
              <w:t>6: Observation of key environmental receptors</w:t>
            </w:r>
          </w:p>
        </w:tc>
        <w:tc>
          <w:tcPr>
            <w:tcW w:w="5438" w:type="dxa"/>
          </w:tcPr>
          <w:p w14:paraId="42B728CD" w14:textId="69E0B2F4" w:rsidR="00C6585C" w:rsidRPr="00142102" w:rsidRDefault="00C6585C" w:rsidP="004508AC">
            <w:pPr>
              <w:pStyle w:val="Body"/>
            </w:pPr>
            <w:r>
              <w:t xml:space="preserve">Currently no data </w:t>
            </w:r>
            <w:r w:rsidR="0083131E">
              <w:t xml:space="preserve">are </w:t>
            </w:r>
            <w:r>
              <w:t>available.</w:t>
            </w:r>
          </w:p>
        </w:tc>
      </w:tr>
    </w:tbl>
    <w:p w14:paraId="63C422AC" w14:textId="77777777" w:rsidR="00C6585C" w:rsidRDefault="00C6585C" w:rsidP="00C6585C"/>
    <w:p w14:paraId="7B35B716" w14:textId="3CCD71BF" w:rsidR="00E87470" w:rsidRDefault="0083131E" w:rsidP="00366CD9">
      <w:pPr>
        <w:pStyle w:val="Heading3"/>
        <w:numPr>
          <w:ilvl w:val="3"/>
          <w:numId w:val="58"/>
        </w:numPr>
      </w:pPr>
      <w:bookmarkStart w:id="200" w:name="_Toc494444527"/>
      <w:bookmarkStart w:id="201" w:name="_Toc454473391"/>
      <w:r>
        <w:t>P</w:t>
      </w:r>
      <w:r w:rsidR="001673D0">
        <w:t>lausible p</w:t>
      </w:r>
      <w:r>
        <w:t xml:space="preserve">athway </w:t>
      </w:r>
      <w:r w:rsidR="00E87470">
        <w:t>C</w:t>
      </w:r>
      <w:r w:rsidR="00E87470" w:rsidRPr="000C334C">
        <w:t xml:space="preserve">: well </w:t>
      </w:r>
      <w:r w:rsidR="00E87470">
        <w:t>rupture during injection</w:t>
      </w:r>
      <w:bookmarkEnd w:id="200"/>
    </w:p>
    <w:p w14:paraId="56BDBA3B" w14:textId="201E1E00" w:rsidR="00E87470" w:rsidRPr="00BA21F2" w:rsidRDefault="00E87470" w:rsidP="00E87470">
      <w:pPr>
        <w:pStyle w:val="Body"/>
      </w:pPr>
      <w:r>
        <w:t xml:space="preserve">Plausible </w:t>
      </w:r>
      <w:r w:rsidR="0083131E">
        <w:t xml:space="preserve">Pathway </w:t>
      </w:r>
      <w:r>
        <w:t>C</w:t>
      </w:r>
      <w:r w:rsidRPr="004B6A3E">
        <w:t xml:space="preserve"> describes a scenario where migration of hydraulic fracturing fluid occurs along the annulus of a poorly completed well. </w:t>
      </w:r>
      <w:r w:rsidRPr="00BA21F2">
        <w:t>Like hydraulic fracturing, well completion technology has a long history. Best practice begins during the drilling process by ensuring the drilling fluid is appropriately designed so that breakout of the wellbore, which can lead to cementing difficulties, is minimised. Casing and cementing technology is also well‐established, and historically wells that leak are often, if not invariably, the product of well construction that is below best practice.</w:t>
      </w:r>
    </w:p>
    <w:p w14:paraId="357E980A" w14:textId="77777777" w:rsidR="006345F0" w:rsidRDefault="00E87470" w:rsidP="00E87470">
      <w:pPr>
        <w:pStyle w:val="Body"/>
      </w:pPr>
      <w:r w:rsidRPr="00BA21F2">
        <w:t>A number of factors can impact on well integrity</w:t>
      </w:r>
      <w:r>
        <w:t>, including</w:t>
      </w:r>
      <w:r w:rsidR="006345F0">
        <w:t>:</w:t>
      </w:r>
    </w:p>
    <w:p w14:paraId="40954B15" w14:textId="230D4FD8" w:rsidR="006345F0" w:rsidRDefault="00E87470" w:rsidP="00366CD9">
      <w:pPr>
        <w:pStyle w:val="Body"/>
        <w:numPr>
          <w:ilvl w:val="0"/>
          <w:numId w:val="82"/>
        </w:numPr>
      </w:pPr>
      <w:r>
        <w:t>p</w:t>
      </w:r>
      <w:r w:rsidRPr="00BA21F2">
        <w:t xml:space="preserve">oor </w:t>
      </w:r>
      <w:r>
        <w:t xml:space="preserve">drill </w:t>
      </w:r>
      <w:r w:rsidRPr="00BA21F2">
        <w:t xml:space="preserve">hole conditions resulting from wellbore breakouts during drilling, </w:t>
      </w:r>
    </w:p>
    <w:p w14:paraId="7458898B" w14:textId="46F07B8F" w:rsidR="006345F0" w:rsidRDefault="00E87470" w:rsidP="00366CD9">
      <w:pPr>
        <w:pStyle w:val="Body"/>
        <w:numPr>
          <w:ilvl w:val="0"/>
          <w:numId w:val="82"/>
        </w:numPr>
      </w:pPr>
      <w:r w:rsidRPr="00BA21F2">
        <w:t xml:space="preserve">casing that is not centred in the hole,  </w:t>
      </w:r>
    </w:p>
    <w:p w14:paraId="65E91031" w14:textId="7862E0F9" w:rsidR="006345F0" w:rsidRDefault="00E87470" w:rsidP="00366CD9">
      <w:pPr>
        <w:pStyle w:val="Body"/>
        <w:numPr>
          <w:ilvl w:val="0"/>
          <w:numId w:val="82"/>
        </w:numPr>
      </w:pPr>
      <w:proofErr w:type="gramStart"/>
      <w:r w:rsidRPr="00BA21F2">
        <w:t>cement</w:t>
      </w:r>
      <w:proofErr w:type="gramEnd"/>
      <w:r w:rsidRPr="00BA21F2">
        <w:t xml:space="preserve"> that does not perform well under physio-chemical conditions encountered in a given well.</w:t>
      </w:r>
      <w:r>
        <w:t xml:space="preserve"> </w:t>
      </w:r>
    </w:p>
    <w:p w14:paraId="479E515C" w14:textId="391F1978" w:rsidR="00E87470" w:rsidRDefault="00E87470" w:rsidP="00E87470">
      <w:pPr>
        <w:pStyle w:val="Body"/>
      </w:pPr>
      <w:r>
        <w:t xml:space="preserve">A review of the likelihoods of onshore petroleum well failure in a North American context is presented in </w:t>
      </w:r>
      <w:r>
        <w:fldChar w:fldCharType="begin" w:fldLock="1"/>
      </w:r>
      <w:r>
        <w:instrText>ADDIN CSL_CITATION { "citationItems" : [ { "id" : "ITEM-1", "itemData" : { "DOI" : "10.2118/166142-MS", "ISBN" : "9781629931876", "ISSN" : "1930-1855", "abstract" : "Do oil and gas wells leak to the environment? This paper will show the greatmajority of wells do not pollute. The purpose of this paper is to explain basicconcepts of well construction and illustrate differences between single-barrierfailure in multiple-barrier well design and outright well-integrity failurethat could lead to pollution by use of published investigations and reviewsfrom data sets of more than 600,000 wells worldwide. For US wells, whileindividual-barrier failures (containment maintained and no pollution indicated)in a specific well group may range from very low to several percent (dependingon geographical area, operator, era, well type, and maintenance quality),actual well-integrity failures are very rare. Well-integrity failure occurswhen all barriers fail and a leak is possible. True well-integrity failurerates are two to three orders of magnitude lower than single-barrier-failurerates. When one of these rare total-well-integrity failures occurs, gas is the mostcommon fluid lost. Common final-barrier leak points are failed gaskets orvalves at the surface and are easily and quickly repaired. If the failure is inthe subsurface, an outward leak is uncommon because of lower pressure gradientin the well than in outside formations. Subsurface leaks in oil and gas wellsare rare and routinely comprise exterior-formation salt water leaking into thewell toward the lower pressure in the well. Failure frequencies are estimated for wells in several specific sets ofenvironmental conditions (i.e., location, geologic strata, produced-fluidcomposition, and soils). Estimate accuracy depends on a sufficient database ofwells with documented failures, divided into (1) barrier failures in amultiple-barrier system that did not create pollution, and (2) well-integrityfailures that created a leak path, whether or not pollution was created.Estimated failure-frequency comparisons are valid only for a specific set ofwells operating under the same conditions with similar design and constructionquality. Well age and construction era are important variables. There isabsolutely no universal definition for well-failure frequency.", "author" : [ { "dropping-particle" : "", "family" : "King", "given" : "George E.", "non-dropping-particle" : "", "parse-names" : false, "suffix" : "" }, { "dropping-particle" : "", "family" : "King", "given" : "Daniel E.", "non-dropping-particle" : "", "parse-names" : false, "suffix" : "" } ], "container-title" : "SPE Annual Technical Conference and Exhibition", "id" : "ITEM-1", "issue" : "October", "issued" : { "date-parts" : [ [ "2013" ] ] }, "page" : "SPE-166142-MS", "title" : "Environmental Risk Arising From Well Construction Failure: Differences Between Barrier Failure and Well Failure and Estimates of Failure Frequency Across Common", "type" : "article-journal" }, "uris" : [ "http://www.mendeley.com/documents/?uuid=b313877a-b6c6-48b2-97ac-c08935ad3a93" ] } ], "mendeley" : { "formattedCitation" : "(G. E. King &amp; King, 2013)", "plainTextFormattedCitation" : "(G. E. King &amp; King, 2013)", "previouslyFormattedCitation" : "(G. E. King &amp; King, 2013)" }, "properties" : { "noteIndex" : 0 }, "schema" : "https://github.com/citation-style-language/schema/raw/master/csl-citation.json" }</w:instrText>
      </w:r>
      <w:r>
        <w:fldChar w:fldCharType="separate"/>
      </w:r>
      <w:r>
        <w:rPr>
          <w:noProof/>
        </w:rPr>
        <w:t xml:space="preserve"> King and King</w:t>
      </w:r>
      <w:r w:rsidRPr="00A93E98">
        <w:rPr>
          <w:noProof/>
        </w:rPr>
        <w:t xml:space="preserve"> </w:t>
      </w:r>
      <w:r>
        <w:rPr>
          <w:noProof/>
        </w:rPr>
        <w:t>(</w:t>
      </w:r>
      <w:r w:rsidRPr="00A93E98">
        <w:rPr>
          <w:noProof/>
        </w:rPr>
        <w:t>2013)</w:t>
      </w:r>
      <w:r>
        <w:fldChar w:fldCharType="end"/>
      </w:r>
      <w:r>
        <w:t>.</w:t>
      </w:r>
      <w:r w:rsidRPr="00BA21F2">
        <w:t xml:space="preserve"> </w:t>
      </w:r>
      <w:r>
        <w:t xml:space="preserve">However, </w:t>
      </w:r>
      <w:r>
        <w:fldChar w:fldCharType="begin" w:fldLock="1"/>
      </w:r>
      <w:r>
        <w:instrText>ADDIN CSL_CITATION { "citationItems" : [ { "id" : "ITEM-1", "itemData" : { "author" : [ { "dropping-particle" : "", "family" : "Wu", "given" : "Bailin", "non-dropping-particle" : "", "parse-names" : false, "suffix" : "" }, { "dropping-particle" : "", "family" : "Doble", "given" : "R", "non-dropping-particle" : "", "parse-names" : false, "suffix" : "" }, { "dropping-particle" : "", "family" : "Turnadge", "given" : "C", "non-dropping-particle" : "", "parse-names" : false, "suffix" : "" }, { "dropping-particle" : "", "family" : "Mallants", "given" : "D", "non-dropping-particle" : "", "parse-names" : false, "suffix" : "" } ], "id" : "ITEM-1", "issued" : { "date-parts" : [ [ "2016" ] ] }, "publisher-place" : "Canberra", "title" : "Bore and well induced inter-aquifer connectivity : a review of literature on failure mechanisms and conceptualisation of hydrocarbon reservoir - aquifer failure pathways", "type" : "report" }, "uris" : [ "http://www.mendeley.com/documents/?uuid=8f62f9b3-f885-40f2-b195-573e7cef7c39" ] } ], "mendeley" : { "formattedCitation" : "(Wu, Doble, Turnadge, &amp; Mallants, 2016)", "manualFormatting" : "Wu, Doble, Turnadge, &amp; Mallants (2016)", "plainTextFormattedCitation" : "(Wu, Doble, Turnadge, &amp; Mallants, 2016)", "previouslyFormattedCitation" : "(Wu, Doble, Turnadge, &amp; Mallants, 2016)" }, "properties" : { "noteIndex" : 0 }, "schema" : "https://github.com/citation-style-language/schema/raw/master/csl-citation.json" }</w:instrText>
      </w:r>
      <w:r>
        <w:fldChar w:fldCharType="separate"/>
      </w:r>
      <w:r>
        <w:rPr>
          <w:noProof/>
        </w:rPr>
        <w:t>Wu et al.</w:t>
      </w:r>
      <w:r w:rsidRPr="00755C53">
        <w:rPr>
          <w:noProof/>
        </w:rPr>
        <w:t xml:space="preserve"> </w:t>
      </w:r>
      <w:r>
        <w:rPr>
          <w:noProof/>
        </w:rPr>
        <w:t>(</w:t>
      </w:r>
      <w:r w:rsidRPr="00755C53">
        <w:rPr>
          <w:noProof/>
        </w:rPr>
        <w:t>2016)</w:t>
      </w:r>
      <w:r>
        <w:fldChar w:fldCharType="end"/>
      </w:r>
      <w:r>
        <w:t xml:space="preserve"> identify that, to date there have not been any estimates made of failure rates for CSG wellbores in Australia. </w:t>
      </w:r>
    </w:p>
    <w:p w14:paraId="1FA40DCA" w14:textId="0ACFEF3D" w:rsidR="00E87470" w:rsidRDefault="00E87470" w:rsidP="00E87470">
      <w:pPr>
        <w:pStyle w:val="Body"/>
      </w:pPr>
      <w:r>
        <w:t xml:space="preserve">As a full review of failure rates for CSG wellbores in Australia is beyond the scope of this report; the current hazard risk screening tool will be limited to identification and discussion of applicable lines of evidence in </w:t>
      </w:r>
      <w:r>
        <w:fldChar w:fldCharType="begin" w:fldLock="1"/>
      </w:r>
      <w:r>
        <w:instrText xml:space="preserve"> REF _Ref458894782 \h </w:instrText>
      </w:r>
      <w:r>
        <w:fldChar w:fldCharType="separate"/>
      </w:r>
      <w:r w:rsidR="00335E79">
        <w:t xml:space="preserve">Table </w:t>
      </w:r>
      <w:r w:rsidR="00335E79">
        <w:rPr>
          <w:noProof/>
        </w:rPr>
        <w:t>2</w:t>
      </w:r>
      <w:r w:rsidR="00335E79">
        <w:noBreakHyphen/>
      </w:r>
      <w:r w:rsidR="00335E79">
        <w:rPr>
          <w:noProof/>
        </w:rPr>
        <w:t>17</w:t>
      </w:r>
      <w:r>
        <w:fldChar w:fldCharType="end"/>
      </w:r>
      <w:r>
        <w:t xml:space="preserve"> below (see Appendix </w:t>
      </w:r>
      <w:r w:rsidR="0064625A">
        <w:t>7</w:t>
      </w:r>
      <w:r>
        <w:t xml:space="preserve"> for details about the different lines of evidence that must be gathered and reviewed for each of the plausible transport release pathways). </w:t>
      </w:r>
    </w:p>
    <w:p w14:paraId="5D4AE589" w14:textId="00AB0AE9" w:rsidR="009B0583" w:rsidRPr="00BA21F2" w:rsidRDefault="009B0583" w:rsidP="009B0583">
      <w:pPr>
        <w:pStyle w:val="Body"/>
      </w:pPr>
      <w:r w:rsidRPr="009B0583">
        <w:t xml:space="preserve">If the best well completion practises are followed and </w:t>
      </w:r>
      <w:r>
        <w:t>recognising</w:t>
      </w:r>
      <w:r w:rsidRPr="009B0583">
        <w:t xml:space="preserve"> the lack of</w:t>
      </w:r>
      <w:r>
        <w:t xml:space="preserve"> </w:t>
      </w:r>
      <w:r w:rsidRPr="009B0583">
        <w:t>reported cases</w:t>
      </w:r>
      <w:r>
        <w:t>,</w:t>
      </w:r>
      <w:r w:rsidRPr="009B0583">
        <w:t xml:space="preserve"> then the</w:t>
      </w:r>
      <w:r>
        <w:t>re is high to very high confidence that the</w:t>
      </w:r>
      <w:r w:rsidRPr="009B0583">
        <w:t xml:space="preserve"> risk of hydraulic fracturing contaminants being transported up the wellbore</w:t>
      </w:r>
      <w:r>
        <w:t xml:space="preserve"> </w:t>
      </w:r>
      <w:r w:rsidRPr="009B0583">
        <w:t xml:space="preserve">annulus in plausible Pathway C could be considered </w:t>
      </w:r>
      <w:r>
        <w:t>u</w:t>
      </w:r>
      <w:r w:rsidRPr="009B0583">
        <w:t>nlikely</w:t>
      </w:r>
      <w:r>
        <w:t>.</w:t>
      </w:r>
    </w:p>
    <w:p w14:paraId="73B1D047" w14:textId="77777777" w:rsidR="00E87470" w:rsidRPr="00875EB1" w:rsidRDefault="00E87470" w:rsidP="00E87470">
      <w:pPr>
        <w:pStyle w:val="Body"/>
        <w:rPr>
          <w:highlight w:val="yellow"/>
        </w:rPr>
      </w:pPr>
    </w:p>
    <w:p w14:paraId="07902217" w14:textId="64426C93" w:rsidR="00E87470" w:rsidRDefault="00E87470" w:rsidP="00E87470">
      <w:pPr>
        <w:pStyle w:val="Imagecaption"/>
        <w:keepNext/>
        <w:pBdr>
          <w:top w:val="none" w:sz="0" w:space="0" w:color="auto"/>
        </w:pBdr>
      </w:pPr>
      <w:bookmarkStart w:id="202" w:name="_Ref458894782"/>
      <w:bookmarkStart w:id="203" w:name="_Toc494444707"/>
      <w:r>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17</w:t>
      </w:r>
      <w:r w:rsidR="00470577">
        <w:fldChar w:fldCharType="end"/>
      </w:r>
      <w:bookmarkEnd w:id="202"/>
      <w:r>
        <w:t xml:space="preserve">  </w:t>
      </w:r>
      <w:r w:rsidRPr="00BA21F2">
        <w:t xml:space="preserve">Lines of evidence relevant to plausible </w:t>
      </w:r>
      <w:r w:rsidR="0083131E">
        <w:t>P</w:t>
      </w:r>
      <w:r w:rsidR="0083131E" w:rsidRPr="00BA21F2">
        <w:t xml:space="preserve">athway </w:t>
      </w:r>
      <w:r>
        <w:t>C</w:t>
      </w:r>
      <w:r w:rsidR="00CC17F3">
        <w:t>.</w:t>
      </w:r>
      <w:bookmarkEnd w:id="203"/>
    </w:p>
    <w:tbl>
      <w:tblPr>
        <w:tblStyle w:val="TableGrid"/>
        <w:tblW w:w="0" w:type="auto"/>
        <w:tblInd w:w="-5" w:type="dxa"/>
        <w:tblLook w:val="04A0" w:firstRow="1" w:lastRow="0" w:firstColumn="1" w:lastColumn="0" w:noHBand="0" w:noVBand="1"/>
      </w:tblPr>
      <w:tblGrid>
        <w:gridCol w:w="3578"/>
        <w:gridCol w:w="5437"/>
      </w:tblGrid>
      <w:tr w:rsidR="00E87470" w:rsidRPr="0055324D" w14:paraId="5F8B971E" w14:textId="77777777" w:rsidTr="00660826">
        <w:tc>
          <w:tcPr>
            <w:tcW w:w="3578" w:type="dxa"/>
            <w:shd w:val="clear" w:color="auto" w:fill="F2F2F2" w:themeFill="background1" w:themeFillShade="F2"/>
          </w:tcPr>
          <w:p w14:paraId="3F788E38" w14:textId="77777777" w:rsidR="00E87470" w:rsidRPr="0055324D" w:rsidRDefault="00E87470" w:rsidP="00AC5F05">
            <w:pPr>
              <w:pStyle w:val="Body"/>
            </w:pPr>
            <w:r w:rsidRPr="0055324D">
              <w:rPr>
                <w:noProof/>
                <w:lang w:eastAsia="en-AU"/>
              </w:rPr>
              <w:t>Line of evidence</w:t>
            </w:r>
          </w:p>
        </w:tc>
        <w:tc>
          <w:tcPr>
            <w:tcW w:w="5437" w:type="dxa"/>
            <w:shd w:val="clear" w:color="auto" w:fill="F2F2F2" w:themeFill="background1" w:themeFillShade="F2"/>
          </w:tcPr>
          <w:p w14:paraId="0EF4C739" w14:textId="6EE3587B" w:rsidR="00E87470" w:rsidRPr="0055324D" w:rsidRDefault="00E87470" w:rsidP="008D530E">
            <w:pPr>
              <w:pStyle w:val="Body"/>
            </w:pPr>
            <w:r w:rsidRPr="0055324D">
              <w:t xml:space="preserve">Applicability to hazard assessment of </w:t>
            </w:r>
            <w:r w:rsidR="0083131E">
              <w:t>P</w:t>
            </w:r>
            <w:r w:rsidR="0083131E" w:rsidRPr="0055324D">
              <w:t xml:space="preserve">athway </w:t>
            </w:r>
            <w:r>
              <w:t>C</w:t>
            </w:r>
          </w:p>
        </w:tc>
      </w:tr>
      <w:tr w:rsidR="00E87470" w14:paraId="6242E73B" w14:textId="77777777" w:rsidTr="00660826">
        <w:tc>
          <w:tcPr>
            <w:tcW w:w="3578" w:type="dxa"/>
          </w:tcPr>
          <w:p w14:paraId="093149B2" w14:textId="77777777" w:rsidR="00E87470" w:rsidRDefault="00E87470" w:rsidP="00AC5F05">
            <w:pPr>
              <w:pStyle w:val="Body"/>
            </w:pPr>
            <w:r>
              <w:rPr>
                <w:noProof/>
                <w:lang w:eastAsia="en-AU"/>
              </w:rPr>
              <w:t>1: Basic hydraulic fracture growth models to provide bounding data points</w:t>
            </w:r>
          </w:p>
        </w:tc>
        <w:tc>
          <w:tcPr>
            <w:tcW w:w="5437" w:type="dxa"/>
          </w:tcPr>
          <w:p w14:paraId="42E4E571" w14:textId="4F199B95" w:rsidR="00E87470" w:rsidRPr="0094594A" w:rsidRDefault="00CC17F3" w:rsidP="00CC17F3">
            <w:pPr>
              <w:pStyle w:val="Body"/>
              <w:rPr>
                <w:highlight w:val="yellow"/>
              </w:rPr>
            </w:pPr>
            <w:r>
              <w:t>Highly</w:t>
            </w:r>
            <w:r w:rsidRPr="0055324D">
              <w:t xml:space="preserve"> applicable</w:t>
            </w:r>
            <w:r>
              <w:t>. While hydraulic fracture growth models are only limited in applicability due to the nature of plausible P</w:t>
            </w:r>
            <w:r w:rsidRPr="0055324D">
              <w:t xml:space="preserve">athway </w:t>
            </w:r>
            <w:r>
              <w:t>C, fluid transport models could assist in determining the propensity of hydraulic fracture fluid to migrate up a poorly sealed cement well annulus.</w:t>
            </w:r>
          </w:p>
        </w:tc>
      </w:tr>
      <w:tr w:rsidR="00E87470" w14:paraId="06683A91" w14:textId="77777777" w:rsidTr="00660826">
        <w:tc>
          <w:tcPr>
            <w:tcW w:w="3578" w:type="dxa"/>
          </w:tcPr>
          <w:p w14:paraId="3BADB1B4" w14:textId="6A413178" w:rsidR="00E87470" w:rsidRDefault="00E87470" w:rsidP="00AC5F05">
            <w:pPr>
              <w:pStyle w:val="Body"/>
            </w:pPr>
            <w:r>
              <w:rPr>
                <w:noProof/>
                <w:lang w:eastAsia="en-AU"/>
              </w:rPr>
              <w:t>2: Industry standard numerical modelling of hydraulic fracture growth</w:t>
            </w:r>
            <w:r w:rsidR="00CC17F3">
              <w:rPr>
                <w:noProof/>
                <w:lang w:eastAsia="en-AU"/>
              </w:rPr>
              <w:t xml:space="preserve"> and fluid transport</w:t>
            </w:r>
          </w:p>
        </w:tc>
        <w:tc>
          <w:tcPr>
            <w:tcW w:w="5437" w:type="dxa"/>
          </w:tcPr>
          <w:p w14:paraId="1187161E" w14:textId="4B60C994" w:rsidR="00E87470" w:rsidRPr="0094594A" w:rsidRDefault="00CC17F3" w:rsidP="00CC17F3">
            <w:pPr>
              <w:pStyle w:val="Body"/>
              <w:rPr>
                <w:highlight w:val="yellow"/>
              </w:rPr>
            </w:pPr>
            <w:r w:rsidRPr="00CC17F3">
              <w:t>Highly applicable. Hydraulic fracture growth models are only limited in applicability d</w:t>
            </w:r>
            <w:r>
              <w:t>ue to the nature of plausible P</w:t>
            </w:r>
            <w:r w:rsidRPr="00CC17F3">
              <w:t>athway C. Industry standard fluid transport models could provide additional insight into the flow of hydraulic fracture fluid up a poorly sealed cement well annulus and into a highly permeable formation.</w:t>
            </w:r>
          </w:p>
        </w:tc>
      </w:tr>
      <w:tr w:rsidR="00E87470" w14:paraId="7BABC90C" w14:textId="77777777" w:rsidTr="00660826">
        <w:tc>
          <w:tcPr>
            <w:tcW w:w="3578" w:type="dxa"/>
          </w:tcPr>
          <w:p w14:paraId="679B92F5" w14:textId="77777777" w:rsidR="00E87470" w:rsidRDefault="00E87470" w:rsidP="00AC5F05">
            <w:pPr>
              <w:pStyle w:val="Body"/>
            </w:pPr>
            <w:r>
              <w:rPr>
                <w:noProof/>
                <w:lang w:eastAsia="en-AU"/>
              </w:rPr>
              <w:t>3: Analysis of samples from monitoring / water well</w:t>
            </w:r>
          </w:p>
        </w:tc>
        <w:tc>
          <w:tcPr>
            <w:tcW w:w="5437" w:type="dxa"/>
          </w:tcPr>
          <w:p w14:paraId="5661A961" w14:textId="77777777" w:rsidR="00E87470" w:rsidRPr="0094594A" w:rsidRDefault="00E87470" w:rsidP="00AC5F05">
            <w:pPr>
              <w:pStyle w:val="Body"/>
              <w:rPr>
                <w:highlight w:val="yellow"/>
              </w:rPr>
            </w:pPr>
            <w:r w:rsidRPr="0055324D">
              <w:t>Highly applicable. Contaminants in the water bearing aquifer should conceivably be detected in samples from monitoring or water wells.</w:t>
            </w:r>
          </w:p>
        </w:tc>
      </w:tr>
      <w:tr w:rsidR="00E87470" w14:paraId="7836B67F" w14:textId="77777777" w:rsidTr="00660826">
        <w:tc>
          <w:tcPr>
            <w:tcW w:w="3578" w:type="dxa"/>
          </w:tcPr>
          <w:p w14:paraId="084CD743" w14:textId="77777777" w:rsidR="00E87470" w:rsidRDefault="00E87470" w:rsidP="00AC5F05">
            <w:pPr>
              <w:pStyle w:val="Body"/>
            </w:pPr>
            <w:r>
              <w:rPr>
                <w:noProof/>
                <w:lang w:eastAsia="en-AU"/>
              </w:rPr>
              <w:t>4: Remote hydraulic fracture growth monitoring</w:t>
            </w:r>
          </w:p>
        </w:tc>
        <w:tc>
          <w:tcPr>
            <w:tcW w:w="5437" w:type="dxa"/>
          </w:tcPr>
          <w:p w14:paraId="06EAC93C" w14:textId="77777777" w:rsidR="00E87470" w:rsidRPr="0094594A" w:rsidRDefault="00E87470" w:rsidP="00AC5F05">
            <w:pPr>
              <w:pStyle w:val="Body"/>
              <w:rPr>
                <w:highlight w:val="yellow"/>
              </w:rPr>
            </w:pPr>
            <w:r w:rsidRPr="00A5736D">
              <w:t xml:space="preserve">Moderately applicable. Monitoring of hydraulic fracture growth should provide evidence if the hydraulic fracturing stimulation was rendered ineffective by a highly conductive loss of wellbore integrity or if the loss of wellbore integrity was exacerbated by attempted hydraulic fracturing stimulation. </w:t>
            </w:r>
          </w:p>
        </w:tc>
      </w:tr>
      <w:tr w:rsidR="00E87470" w14:paraId="7B3F4B71" w14:textId="77777777" w:rsidTr="00660826">
        <w:tc>
          <w:tcPr>
            <w:tcW w:w="3578" w:type="dxa"/>
          </w:tcPr>
          <w:p w14:paraId="66040CB6" w14:textId="77777777" w:rsidR="00E87470" w:rsidRDefault="00E87470" w:rsidP="00AC5F05">
            <w:pPr>
              <w:pStyle w:val="Body"/>
            </w:pPr>
            <w:r>
              <w:rPr>
                <w:noProof/>
                <w:lang w:eastAsia="en-AU"/>
              </w:rPr>
              <w:t>5: Interpretation of injection pressure data</w:t>
            </w:r>
          </w:p>
        </w:tc>
        <w:tc>
          <w:tcPr>
            <w:tcW w:w="5437" w:type="dxa"/>
          </w:tcPr>
          <w:p w14:paraId="44689595" w14:textId="77777777" w:rsidR="00E87470" w:rsidRPr="0094594A" w:rsidRDefault="00E87470" w:rsidP="00AC5F05">
            <w:pPr>
              <w:pStyle w:val="Body"/>
              <w:rPr>
                <w:highlight w:val="yellow"/>
              </w:rPr>
            </w:pPr>
            <w:r w:rsidRPr="00142102">
              <w:t xml:space="preserve">Loosely applicable. Hydraulic fracturing fluid flowing up the annulus of a wellbore should have a different injection pressure </w:t>
            </w:r>
            <w:r>
              <w:t>response</w:t>
            </w:r>
            <w:r w:rsidRPr="00142102">
              <w:t xml:space="preserve"> to a normal hydraulic fracture treatment. However the cause of this </w:t>
            </w:r>
            <w:r>
              <w:t xml:space="preserve">abnormality may not be clearly identifiable. </w:t>
            </w:r>
          </w:p>
        </w:tc>
      </w:tr>
      <w:tr w:rsidR="00E87470" w14:paraId="4F83ACC9" w14:textId="77777777" w:rsidTr="00660826">
        <w:tc>
          <w:tcPr>
            <w:tcW w:w="3578" w:type="dxa"/>
          </w:tcPr>
          <w:p w14:paraId="463E37D8" w14:textId="77777777" w:rsidR="00E87470" w:rsidRDefault="00E87470" w:rsidP="00AC5F05">
            <w:pPr>
              <w:pStyle w:val="Body"/>
            </w:pPr>
            <w:r w:rsidRPr="002F1A2A">
              <w:t>6: Observation of key environmental receptors</w:t>
            </w:r>
          </w:p>
        </w:tc>
        <w:tc>
          <w:tcPr>
            <w:tcW w:w="5437" w:type="dxa"/>
          </w:tcPr>
          <w:p w14:paraId="5BF134CE" w14:textId="33060CCD" w:rsidR="00E87470" w:rsidRPr="0094594A" w:rsidRDefault="00E87470" w:rsidP="00AC5F05">
            <w:pPr>
              <w:pStyle w:val="Body"/>
              <w:rPr>
                <w:highlight w:val="yellow"/>
              </w:rPr>
            </w:pPr>
            <w:r w:rsidRPr="006F4A0D">
              <w:t xml:space="preserve">Currently no data </w:t>
            </w:r>
            <w:r w:rsidR="0083131E">
              <w:t xml:space="preserve">are </w:t>
            </w:r>
            <w:r w:rsidRPr="006F4A0D">
              <w:t>available</w:t>
            </w:r>
            <w:r>
              <w:t>.</w:t>
            </w:r>
          </w:p>
        </w:tc>
      </w:tr>
    </w:tbl>
    <w:p w14:paraId="3F9B38F9" w14:textId="292C5F52" w:rsidR="00C6585C" w:rsidRPr="00875EB1" w:rsidRDefault="00C6585C" w:rsidP="00C6585C">
      <w:pPr>
        <w:pStyle w:val="Heading3"/>
        <w:numPr>
          <w:ilvl w:val="3"/>
          <w:numId w:val="1"/>
        </w:numPr>
      </w:pPr>
      <w:bookmarkStart w:id="204" w:name="_Toc494444528"/>
      <w:r w:rsidRPr="00875EB1">
        <w:t xml:space="preserve">Plausible </w:t>
      </w:r>
      <w:r w:rsidR="0083131E">
        <w:t>P</w:t>
      </w:r>
      <w:r w:rsidRPr="00875EB1">
        <w:t xml:space="preserve">athway </w:t>
      </w:r>
      <w:r w:rsidR="008D530E">
        <w:t>D</w:t>
      </w:r>
      <w:r w:rsidRPr="00875EB1">
        <w:t xml:space="preserve">: </w:t>
      </w:r>
      <w:r>
        <w:t>fracture</w:t>
      </w:r>
      <w:bookmarkEnd w:id="201"/>
      <w:r w:rsidR="00E87470">
        <w:t xml:space="preserve"> growth into a fault</w:t>
      </w:r>
      <w:bookmarkEnd w:id="204"/>
    </w:p>
    <w:p w14:paraId="40E57D80" w14:textId="530FE145" w:rsidR="00C6585C" w:rsidRDefault="00C6585C" w:rsidP="00C6585C">
      <w:pPr>
        <w:pStyle w:val="Body"/>
      </w:pPr>
      <w:r>
        <w:t xml:space="preserve">In plausible contaminant transport </w:t>
      </w:r>
      <w:r w:rsidR="008D530E">
        <w:t>P</w:t>
      </w:r>
      <w:r>
        <w:t>athway D,</w:t>
      </w:r>
      <w:r w:rsidRPr="00D2765D">
        <w:t xml:space="preserve"> </w:t>
      </w:r>
      <w:r>
        <w:t>a</w:t>
      </w:r>
      <w:r w:rsidRPr="00D2765D">
        <w:t>n unidentified natural fault</w:t>
      </w:r>
      <w:r>
        <w:t xml:space="preserve"> spanning the water bearing aquifer, the aquitard and the CSG production interval</w:t>
      </w:r>
      <w:r w:rsidRPr="00D2765D">
        <w:t xml:space="preserve"> </w:t>
      </w:r>
      <w:r>
        <w:t>exists either:</w:t>
      </w:r>
    </w:p>
    <w:p w14:paraId="3F0C778F" w14:textId="77777777" w:rsidR="00C6585C" w:rsidRDefault="00C6585C" w:rsidP="00366CD9">
      <w:pPr>
        <w:pStyle w:val="Body"/>
        <w:numPr>
          <w:ilvl w:val="0"/>
          <w:numId w:val="55"/>
        </w:numPr>
      </w:pPr>
      <w:r>
        <w:t xml:space="preserve">In the path of the growing hydraulic fracture in the CSG production interval, or </w:t>
      </w:r>
    </w:p>
    <w:p w14:paraId="5C537D8B" w14:textId="3BF8BA80" w:rsidR="00C6585C" w:rsidRDefault="00C6585C" w:rsidP="00366CD9">
      <w:pPr>
        <w:pStyle w:val="Body"/>
        <w:numPr>
          <w:ilvl w:val="0"/>
          <w:numId w:val="55"/>
        </w:numPr>
      </w:pPr>
      <w:r>
        <w:t>Directly i</w:t>
      </w:r>
      <w:r w:rsidRPr="00D2765D">
        <w:t xml:space="preserve">ntersects </w:t>
      </w:r>
      <w:r>
        <w:t xml:space="preserve">the specific </w:t>
      </w:r>
      <w:r w:rsidRPr="00D2765D">
        <w:t xml:space="preserve">section of the borehole </w:t>
      </w:r>
      <w:r>
        <w:t>in the CSG production interval</w:t>
      </w:r>
      <w:r w:rsidR="005948A2">
        <w:t>,</w:t>
      </w:r>
      <w:r>
        <w:t xml:space="preserve"> which</w:t>
      </w:r>
      <w:r w:rsidRPr="00D2765D">
        <w:t xml:space="preserve"> is isolated and pressurised to grow a hydraulic fracture</w:t>
      </w:r>
      <w:r>
        <w:t>.</w:t>
      </w:r>
      <w:r w:rsidRPr="00724676">
        <w:t xml:space="preserve"> </w:t>
      </w:r>
    </w:p>
    <w:p w14:paraId="0A041A1C" w14:textId="77777777" w:rsidR="00C6585C" w:rsidRDefault="00C6585C" w:rsidP="00C6585C">
      <w:pPr>
        <w:pStyle w:val="Body"/>
      </w:pPr>
      <w:r w:rsidRPr="00D2765D">
        <w:t xml:space="preserve">In </w:t>
      </w:r>
      <w:r>
        <w:t>either</w:t>
      </w:r>
      <w:r w:rsidRPr="00D2765D">
        <w:t xml:space="preserve"> scenario</w:t>
      </w:r>
      <w:r>
        <w:t>, during fracture growth</w:t>
      </w:r>
      <w:r w:rsidRPr="00D2765D">
        <w:t xml:space="preserve"> the pre-existing fault is </w:t>
      </w:r>
      <w:r>
        <w:t xml:space="preserve">pressurised, </w:t>
      </w:r>
      <w:r w:rsidRPr="00D2765D">
        <w:t>reopened and acts as a preferential pathway for the fracture fluid.</w:t>
      </w:r>
      <w:r>
        <w:t xml:space="preserve"> Hydraulic fracture intersection of natural faults has been suggested as the mechanism that causes larger than expected fracture height growth events in the Barnett and Jonah fields in the USA </w:t>
      </w:r>
      <w:r>
        <w:fldChar w:fldCharType="begin" w:fldLock="1"/>
      </w:r>
      <w:r>
        <w:instrText>ADDIN CSL_CITATION { "citationItems" : [ { "id" : "ITEM-1", "itemData" : { "author" : [ { "dropping-particle" : "", "family" : "Fisher", "given" : "Kevin", "non-dropping-particle" : "", "parse-names" : false, "suffix" : "" }, { "dropping-particle" : "", "family" : "Warpinski", "given" : "Norm", "non-dropping-particle" : "", "parse-names" : false, "suffix" : "" } ], "container-title" : "SPE Production &amp; Operations", "id" : "ITEM-1", "issue" : "February", "issued" : { "date-parts" : [ [ "2012" ] ] }, "title" : "Hydraulic-Fracture-Height Growth : Real Data", "type" : "article-journal" }, "uris" : [ "http://www.mendeley.com/documents/?uuid=d156b912-1e61-4345-bc7f-960bf325cb38" ] }, { "id" : "ITEM-2", "itemData" : { "DOI" : "10.2118/102528-MS", "author" : [ { "dropping-particle" : "", "family" : "Wolhart", "given" : "S L", "non-dropping-particle" : "", "parse-names" : false, "suffix" : "" }, { "dropping-particle" : "", "family" : "Harting", "given" : "T A", "non-dropping-particle" : "", "parse-names" : false, "suffix" : "" }, { "dropping-particle" : "", "family" : "Dahlem", "given" : "J E", "non-dropping-particle" : "", "parse-names" : false, "suffix" : "" }, { "dropping-particle" : "", "family" : "Young", "given" : "T J", "non-dropping-particle" : "", "parse-names" : false, "suffix" : "" }, { "dropping-particle" : "", "family" : "Mayerhofer", "given" : "M J", "non-dropping-particle" : "", "parse-names" : false, "suffix" : "" }, { "dropping-particle" : "", "family" : "Lolon", "given" : "E P", "non-dropping-particle" : "", "parse-names" : false, "suffix" : "" } ], "container-title" : "Proceedings - SPE Annual Technical Conference and Exhibition", "id" : "ITEM-2", "issued" : { "date-parts" : [ [ "2006" ] ] }, "page" : "2305-2316", "title" : "Hydraulic fracture diagnostics used to optimize development in the Jonah Field", "type" : "article-journal", "volume" : "4" }, "uris" : [ "http://www.mendeley.com/documents/?uuid=94a0ab55-ae8b-49c6-9ac6-c4201fa58db3" ] }, { "id" : "ITEM-3", "itemData" : { "DOI" : "10.2118/118537-MS", "ISBN" : "0149-2136", "ISSN" : "0149-2136", "abstract" : "Since its inception in the 1970s and its commercialization circa 2000, microseismic monitoring has proved to be an invaluable tool for understanding underground processes. While its most common and notable use has been hydraulic- fracture mapping, it also is used for reservoir monitoring of thermal processes, drill-cuttings injection, geothermal hot- dry-rock stimulations, reservoir surveillance, and many other processes in oil and gas and mining. Fig. 1 shows a typical layout for a monitoring test, with the offset monitoring well at some reasonable distance from the fracture (inset) and a receiver array somewhere near the depth of the fracture treatment. Because the amplitude of the microseism decays with distance, there is a maximum monitoring distance that can be used in any test with respect to both horizontal and vertical positioning. Designed cor- rectly, this type of monitoring can provide information on fracture height, length, azimuth, asymmetry, dip, and com- plexity, which can be used to optimize the fracture design and field development. To most outsiders, the entire process of microseismic monitoring appears to be something of an art, and the \u201cwhat,\u201d \u201cwhy,\u201d and \u201chow\u201d details are not very clear even Norm Warpinski, SPE, is the Direc- tor of Technology Development for Pinnacle\u2014A Halliburton Service, where he is in charge of developing new tools and analyses for hydraulic- fracture mapping, reservoir monitor- ing, and hydraulic-fracture design and analysis, and integrated solutions for reservoir development. Previously, Warpinski worked at Sandia National Laboratories on various projects in oil and gas, geothermal, carbon sequestration, waste repositories, and other geomechanics issues. He has extensive experience in various types of hydraulic-fracture mapping and model- ing and has been involved in large-scale field experiments from both the hardware and software sides. Warpinski also has worked on formation evaluation, geomechanics, natural fractures, in-situ stresses, rock behavior, and rock testing. He earned a BS degree in mechanical engineering from Illinois Institute of Technology and MS and PhD degrees in mechanical engineering from the University of Illinois. 80 though there have probably been more than 6,000 fracture treatments monitored since 2000, in rocks ranging from tight sandstones and gas shales to carbonates and even vol- canic, and at depths ranging from several hundred feet to more than 13,000 ft. The purpose of this articl\u2026", "author" : [ { "dropping-particle" : "", "family" : "Warpinski", "given" : "Norm", "non-dropping-particle" : "", "parse-names" : false, "suffix" : "" } ], "container-title" : "Journal of Petroleum Technology", "id" : "ITEM-3", "issue" : "11", "issued" : { "date-parts" : [ [ "2009" ] ] }, "page" : "80-85", "title" : "Microseismic Monitoring: Inside and Out", "type" : "article-journal", "volume" : "61" }, "uris" : [ "http://www.mendeley.com/documents/?uuid=778f7b32-5938-4cac-ae53-78c7e6b644f6" ] } ], "mendeley" : { "formattedCitation" : "(Fisher &amp; Warpinski, 2012; Warpinski, 2009; Wolhart et al., 2006)", "plainTextFormattedCitation" : "(Fisher &amp; Warpinski, 2012; Warpinski, 2009; Wolhart et al., 2006)", "previouslyFormattedCitation" : "(Fisher &amp; Warpinski, 2012; Warpinski, 2009; Wolhart et al., 2006)" }, "properties" : { "noteIndex" : 0 }, "schema" : "https://github.com/citation-style-language/schema/raw/master/csl-citation.json" }</w:instrText>
      </w:r>
      <w:r>
        <w:fldChar w:fldCharType="separate"/>
      </w:r>
      <w:r w:rsidRPr="00615BA1">
        <w:rPr>
          <w:noProof/>
        </w:rPr>
        <w:t xml:space="preserve">(Fisher </w:t>
      </w:r>
      <w:r>
        <w:rPr>
          <w:noProof/>
        </w:rPr>
        <w:t>and</w:t>
      </w:r>
      <w:r w:rsidRPr="00615BA1">
        <w:rPr>
          <w:noProof/>
        </w:rPr>
        <w:t xml:space="preserve"> Warpinski 2012; Warpinski 2009; Wolhart et al. 2006)</w:t>
      </w:r>
      <w:r>
        <w:fldChar w:fldCharType="end"/>
      </w:r>
      <w:r>
        <w:t xml:space="preserve">. </w:t>
      </w:r>
    </w:p>
    <w:p w14:paraId="5A6A6B21" w14:textId="77777777" w:rsidR="00C6585C" w:rsidRDefault="00C6585C" w:rsidP="00C6585C">
      <w:pPr>
        <w:pStyle w:val="Body"/>
      </w:pPr>
      <w:r w:rsidRPr="00D2765D">
        <w:t xml:space="preserve">Often a “step-rate” or a “step-down” test is conducted </w:t>
      </w:r>
      <w:r>
        <w:t>at</w:t>
      </w:r>
      <w:r w:rsidRPr="00D2765D">
        <w:t xml:space="preserve"> the start of a treatment where </w:t>
      </w:r>
      <w:r>
        <w:t xml:space="preserve">injection </w:t>
      </w:r>
      <w:r w:rsidRPr="00D2765D">
        <w:t xml:space="preserve">pressure is </w:t>
      </w:r>
      <w:r>
        <w:t>recorded</w:t>
      </w:r>
      <w:r w:rsidRPr="00D2765D">
        <w:t xml:space="preserve"> for different flow rates. </w:t>
      </w:r>
      <w:r>
        <w:t xml:space="preserve"> E</w:t>
      </w:r>
      <w:r w:rsidRPr="00D2765D">
        <w:t xml:space="preserve">ither of these tests should identify </w:t>
      </w:r>
      <w:r>
        <w:t xml:space="preserve">a highly conductive fault that directly intersects the borehole in the CSG production interval by a marked discrepancy in the test results compared to similar wells in the field. </w:t>
      </w:r>
    </w:p>
    <w:p w14:paraId="3F9CAB5A" w14:textId="77777777" w:rsidR="00C6585C" w:rsidRPr="008A5ECA" w:rsidRDefault="00C6585C" w:rsidP="00C6585C">
      <w:pPr>
        <w:pStyle w:val="Body"/>
        <w:rPr>
          <w:highlight w:val="yellow"/>
        </w:rPr>
      </w:pPr>
      <w:r>
        <w:t xml:space="preserve">The </w:t>
      </w:r>
      <w:r w:rsidRPr="00D2765D">
        <w:t xml:space="preserve">volume of </w:t>
      </w:r>
      <w:r>
        <w:t xml:space="preserve">hydraulic fracture </w:t>
      </w:r>
      <w:r w:rsidRPr="00D2765D">
        <w:t xml:space="preserve">fluid </w:t>
      </w:r>
      <w:r>
        <w:t xml:space="preserve">and proppant pumped for the </w:t>
      </w:r>
      <w:r w:rsidRPr="00D2765D">
        <w:t xml:space="preserve">fracture treatment </w:t>
      </w:r>
      <w:r>
        <w:t xml:space="preserve">is believed to limit the height growth in the same way as a typical hydraulic fracture </w:t>
      </w:r>
      <w:r>
        <w:fldChar w:fldCharType="begin" w:fldLock="1"/>
      </w:r>
      <w:r>
        <w:instrText>ADDIN CSL_CITATION { "citationItems" : [ { "id" : "ITEM-1", "itemData" : { "author" : [ { "dropping-particle" : "", "family" : "Fisher", "given" : "Kevin", "non-dropping-particle" : "", "parse-names" : false, "suffix" : "" }, { "dropping-particle" : "", "family" : "Warpinski", "given" : "Norm", "non-dropping-particle" : "", "parse-names" : false, "suffix" : "" } ], "container-title" : "SPE Production &amp; Operations", "id" : "ITEM-1", "issue" : "February", "issued" : { "date-parts" : [ [ "2012" ] ] }, "title" : "Hydraulic-Fracture-Height Growth : Real Data", "type" : "article-journal" }, "uris" : [ "http://www.mendeley.com/documents/?uuid=d156b912-1e61-4345-bc7f-960bf325cb38" ] } ], "mendeley" : { "formattedCitation" : "(Fisher &amp; Warpinski, 2012)", "plainTextFormattedCitation" : "(Fisher &amp; Warpinski, 2012)", "previouslyFormattedCitation" : "(Fisher &amp; Warpinski, 2012)" }, "properties" : { "noteIndex" : 0 }, "schema" : "https://github.com/citation-style-language/schema/raw/master/csl-citation.json" }</w:instrText>
      </w:r>
      <w:r>
        <w:fldChar w:fldCharType="separate"/>
      </w:r>
      <w:r w:rsidRPr="00BD59C2">
        <w:rPr>
          <w:noProof/>
        </w:rPr>
        <w:t xml:space="preserve">(Fisher </w:t>
      </w:r>
      <w:r>
        <w:rPr>
          <w:noProof/>
        </w:rPr>
        <w:t>and</w:t>
      </w:r>
      <w:r w:rsidRPr="00BD59C2">
        <w:rPr>
          <w:noProof/>
        </w:rPr>
        <w:t xml:space="preserve"> Warpinski 2012)</w:t>
      </w:r>
      <w:r>
        <w:fldChar w:fldCharType="end"/>
      </w:r>
      <w:r>
        <w:t xml:space="preserve">. Therefore, the likelihood of the fracture extending through the aquitard to the water bearing aquifer is minimal. In fact, logically a highly conductive fault would more likely </w:t>
      </w:r>
      <w:r w:rsidRPr="00362900">
        <w:t xml:space="preserve">cause the fluid to preferentially flow downwards </w:t>
      </w:r>
      <w:r>
        <w:t xml:space="preserve">due to gravitational effects </w:t>
      </w:r>
      <w:r w:rsidRPr="00362900">
        <w:t xml:space="preserve">rather than towards the surface. </w:t>
      </w:r>
    </w:p>
    <w:p w14:paraId="786677C7" w14:textId="77777777" w:rsidR="00C6585C" w:rsidRDefault="00C6585C" w:rsidP="00C6585C">
      <w:pPr>
        <w:pStyle w:val="Body"/>
      </w:pPr>
      <w:r>
        <w:t xml:space="preserve">During the fracturing treatment, </w:t>
      </w:r>
      <w:r w:rsidRPr="00D2765D">
        <w:t xml:space="preserve">a highly conductive fault </w:t>
      </w:r>
      <w:r>
        <w:t xml:space="preserve">either intersecting the borehole or intersecting the growing hydraulic fracture in the CSG production interval would likely cause a corresponding abnormality in the treatment pressure. The hydraulic </w:t>
      </w:r>
      <w:r w:rsidRPr="00D2765D">
        <w:t>frac</w:t>
      </w:r>
      <w:r>
        <w:t>ture engineers c</w:t>
      </w:r>
      <w:r w:rsidRPr="00D2765D">
        <w:t xml:space="preserve">ould </w:t>
      </w:r>
      <w:r>
        <w:t>identify this abnormality in the treatment pressure</w:t>
      </w:r>
      <w:r w:rsidRPr="00D2765D">
        <w:t xml:space="preserve"> </w:t>
      </w:r>
      <w:r>
        <w:t xml:space="preserve">and </w:t>
      </w:r>
      <w:r w:rsidRPr="00D2765D">
        <w:t xml:space="preserve">abandon </w:t>
      </w:r>
      <w:r>
        <w:t xml:space="preserve">the </w:t>
      </w:r>
      <w:r w:rsidRPr="00D2765D">
        <w:t xml:space="preserve">fracturing </w:t>
      </w:r>
      <w:r>
        <w:t>operation</w:t>
      </w:r>
      <w:r w:rsidRPr="00D2765D">
        <w:t xml:space="preserve">. </w:t>
      </w:r>
      <w:r>
        <w:t xml:space="preserve">If the </w:t>
      </w:r>
      <w:r w:rsidRPr="00D2765D">
        <w:t xml:space="preserve">engineers did not notice </w:t>
      </w:r>
      <w:r>
        <w:t>the</w:t>
      </w:r>
      <w:r w:rsidRPr="00D2765D">
        <w:t xml:space="preserve"> discrepancy</w:t>
      </w:r>
      <w:r>
        <w:t>,</w:t>
      </w:r>
      <w:r w:rsidRPr="00D2765D">
        <w:t xml:space="preserve"> </w:t>
      </w:r>
      <w:r>
        <w:t xml:space="preserve">they would </w:t>
      </w:r>
      <w:r w:rsidRPr="00D2765D">
        <w:t>pump the planned volume of fracturing fluid and proppant</w:t>
      </w:r>
      <w:r>
        <w:t>.</w:t>
      </w:r>
    </w:p>
    <w:p w14:paraId="0E0E1691" w14:textId="77777777" w:rsidR="00C6585C" w:rsidRDefault="00C6585C" w:rsidP="00C6585C">
      <w:pPr>
        <w:pStyle w:val="Body"/>
      </w:pPr>
      <w:r>
        <w:t>A worst case scenario exists where a</w:t>
      </w:r>
      <w:r w:rsidRPr="0077214E">
        <w:t xml:space="preserve"> </w:t>
      </w:r>
      <w:r>
        <w:t xml:space="preserve">critically stressed fault could be pressurised and </w:t>
      </w:r>
      <w:r w:rsidRPr="0077214E">
        <w:t xml:space="preserve">reactivated </w:t>
      </w:r>
      <w:r>
        <w:t xml:space="preserve">by a growing hydraulic fracture. In this scenario it is theoretically possible that the conductivity of the fault could be enhanced between the water bearing </w:t>
      </w:r>
      <w:r w:rsidRPr="0077214E">
        <w:t>aquifer</w:t>
      </w:r>
      <w:r>
        <w:t xml:space="preserve"> and the CSG production interval. </w:t>
      </w:r>
      <w:r w:rsidRPr="0077214E">
        <w:t>The reactivated fault would not retain much permeability as proppant would tend to travel downwards in a highly conductive channel rather t</w:t>
      </w:r>
      <w:r>
        <w:t>han upwards towards the aquifer and t</w:t>
      </w:r>
      <w:r w:rsidRPr="0077214E">
        <w:t>he fracture would not continue to grow once it reached the aquifer as all the fluid pressure would be releas</w:t>
      </w:r>
      <w:r w:rsidRPr="00A93C2A">
        <w:t>ed. It is assumed that such a significant geological structure would be mapped and well understood by the operator prior to conducting any facture treatment and therefore this worst case scenario is excluded from consideration in this report.</w:t>
      </w:r>
    </w:p>
    <w:p w14:paraId="4D846329" w14:textId="77777777" w:rsidR="00C6585C" w:rsidRDefault="00C6585C" w:rsidP="00C6585C">
      <w:pPr>
        <w:pStyle w:val="Body"/>
      </w:pPr>
    </w:p>
    <w:p w14:paraId="6ADCF55B" w14:textId="08C19C42" w:rsidR="00C6585C" w:rsidRDefault="00C6585C" w:rsidP="00C6585C">
      <w:pPr>
        <w:pStyle w:val="Imagecaption"/>
        <w:keepNext/>
        <w:pBdr>
          <w:top w:val="none" w:sz="0" w:space="0" w:color="auto"/>
        </w:pBdr>
      </w:pPr>
      <w:bookmarkStart w:id="205" w:name="_Toc494444708"/>
      <w:r>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18</w:t>
      </w:r>
      <w:r w:rsidR="00470577">
        <w:fldChar w:fldCharType="end"/>
      </w:r>
      <w:r>
        <w:t xml:space="preserve"> </w:t>
      </w:r>
      <w:r w:rsidRPr="00442C8F">
        <w:t xml:space="preserve">Lines of evidence relevant to plausible </w:t>
      </w:r>
      <w:r w:rsidR="0083131E">
        <w:t>P</w:t>
      </w:r>
      <w:r w:rsidR="0083131E" w:rsidRPr="00442C8F">
        <w:t xml:space="preserve">athway </w:t>
      </w:r>
      <w:r w:rsidRPr="00442C8F">
        <w:t>D</w:t>
      </w:r>
      <w:r>
        <w:t>.</w:t>
      </w:r>
      <w:bookmarkEnd w:id="205"/>
    </w:p>
    <w:tbl>
      <w:tblPr>
        <w:tblStyle w:val="TableGrid"/>
        <w:tblW w:w="9128" w:type="dxa"/>
        <w:tblInd w:w="-5" w:type="dxa"/>
        <w:tblLook w:val="04A0" w:firstRow="1" w:lastRow="0" w:firstColumn="1" w:lastColumn="0" w:noHBand="0" w:noVBand="1"/>
      </w:tblPr>
      <w:tblGrid>
        <w:gridCol w:w="3621"/>
        <w:gridCol w:w="5507"/>
      </w:tblGrid>
      <w:tr w:rsidR="00C6585C" w:rsidRPr="008D3DB1" w14:paraId="55F23721" w14:textId="77777777" w:rsidTr="00660826">
        <w:tc>
          <w:tcPr>
            <w:tcW w:w="3621" w:type="dxa"/>
            <w:shd w:val="clear" w:color="auto" w:fill="F2F2F2" w:themeFill="background1" w:themeFillShade="F2"/>
          </w:tcPr>
          <w:p w14:paraId="39BD9F9E" w14:textId="77777777" w:rsidR="00C6585C" w:rsidRPr="00136201" w:rsidRDefault="00C6585C" w:rsidP="004508AC">
            <w:pPr>
              <w:pStyle w:val="Body"/>
            </w:pPr>
            <w:r w:rsidRPr="00136201">
              <w:rPr>
                <w:noProof/>
                <w:lang w:eastAsia="en-AU"/>
              </w:rPr>
              <w:t>Line of evidence</w:t>
            </w:r>
          </w:p>
        </w:tc>
        <w:tc>
          <w:tcPr>
            <w:tcW w:w="5507" w:type="dxa"/>
            <w:shd w:val="clear" w:color="auto" w:fill="F2F2F2" w:themeFill="background1" w:themeFillShade="F2"/>
          </w:tcPr>
          <w:p w14:paraId="3AA1381B" w14:textId="16054FA9" w:rsidR="00C6585C" w:rsidRPr="00136201" w:rsidRDefault="00C6585C" w:rsidP="008D530E">
            <w:pPr>
              <w:pStyle w:val="Body"/>
            </w:pPr>
            <w:r w:rsidRPr="00136201">
              <w:t xml:space="preserve">Applicability to hazard assessment of </w:t>
            </w:r>
            <w:r w:rsidR="008D530E" w:rsidRPr="00136201">
              <w:t>P</w:t>
            </w:r>
            <w:r w:rsidRPr="00136201">
              <w:t>athway D</w:t>
            </w:r>
          </w:p>
        </w:tc>
      </w:tr>
      <w:tr w:rsidR="00C6585C" w14:paraId="3CF4DE34" w14:textId="77777777" w:rsidTr="00660826">
        <w:tc>
          <w:tcPr>
            <w:tcW w:w="3621" w:type="dxa"/>
          </w:tcPr>
          <w:p w14:paraId="4839C63A" w14:textId="5B2219A4" w:rsidR="00C6585C" w:rsidRDefault="00C6585C" w:rsidP="004508AC">
            <w:pPr>
              <w:pStyle w:val="Body"/>
            </w:pPr>
            <w:r>
              <w:rPr>
                <w:noProof/>
                <w:lang w:eastAsia="en-AU"/>
              </w:rPr>
              <w:t xml:space="preserve">1: Basic hydraulic fracture growth </w:t>
            </w:r>
            <w:r w:rsidR="00CC17F3">
              <w:rPr>
                <w:noProof/>
                <w:lang w:eastAsia="en-AU"/>
              </w:rPr>
              <w:t xml:space="preserve">and fluid transport </w:t>
            </w:r>
            <w:r>
              <w:rPr>
                <w:noProof/>
                <w:lang w:eastAsia="en-AU"/>
              </w:rPr>
              <w:t>models to provide bounding data points</w:t>
            </w:r>
          </w:p>
        </w:tc>
        <w:tc>
          <w:tcPr>
            <w:tcW w:w="5507" w:type="dxa"/>
          </w:tcPr>
          <w:p w14:paraId="6B7685B8" w14:textId="24655873" w:rsidR="00C6585C" w:rsidRDefault="00C6585C" w:rsidP="004508AC">
            <w:pPr>
              <w:pStyle w:val="Body"/>
            </w:pPr>
            <w:r>
              <w:t xml:space="preserve">Highly applicable. </w:t>
            </w:r>
            <w:r>
              <w:rPr>
                <w:noProof/>
                <w:lang w:eastAsia="en-AU"/>
              </w:rPr>
              <w:t>Basic hydraulic fracture growth models provide bounding data points for the m</w:t>
            </w:r>
            <w:r w:rsidR="00CC17F3">
              <w:rPr>
                <w:noProof/>
                <w:lang w:eastAsia="en-AU"/>
              </w:rPr>
              <w:t>aximum potential extent of hydr</w:t>
            </w:r>
            <w:r>
              <w:rPr>
                <w:noProof/>
                <w:lang w:eastAsia="en-AU"/>
              </w:rPr>
              <w:t>a</w:t>
            </w:r>
            <w:r w:rsidR="00CC17F3">
              <w:rPr>
                <w:noProof/>
                <w:lang w:eastAsia="en-AU"/>
              </w:rPr>
              <w:t>u</w:t>
            </w:r>
            <w:r>
              <w:rPr>
                <w:noProof/>
                <w:lang w:eastAsia="en-AU"/>
              </w:rPr>
              <w:t xml:space="preserve">lic fracture growth. </w:t>
            </w:r>
            <w:r>
              <w:t>P</w:t>
            </w:r>
            <w:r w:rsidRPr="0077214E">
              <w:t>lausible pathway D</w:t>
            </w:r>
            <w:r>
              <w:t xml:space="preserve"> involves the intersection of the growing hydraulic fracture and a natural fault. The maximum potential extent of the hydraulic fracture is relevant when reviewing the proximity of natural fault systems to the production borehole. </w:t>
            </w:r>
          </w:p>
        </w:tc>
      </w:tr>
      <w:tr w:rsidR="00C6585C" w14:paraId="4C0909E9" w14:textId="77777777" w:rsidTr="00660826">
        <w:tc>
          <w:tcPr>
            <w:tcW w:w="3621" w:type="dxa"/>
          </w:tcPr>
          <w:p w14:paraId="18FD3C32" w14:textId="463E917A" w:rsidR="00C6585C" w:rsidRDefault="00C6585C" w:rsidP="004508AC">
            <w:pPr>
              <w:pStyle w:val="Body"/>
            </w:pPr>
            <w:r>
              <w:rPr>
                <w:noProof/>
                <w:lang w:eastAsia="en-AU"/>
              </w:rPr>
              <w:t>2: Industry standard numerical modelling of hydraulic fracture growth</w:t>
            </w:r>
            <w:r w:rsidR="00CC17F3">
              <w:rPr>
                <w:noProof/>
                <w:lang w:eastAsia="en-AU"/>
              </w:rPr>
              <w:t xml:space="preserve"> and fluid transport</w:t>
            </w:r>
          </w:p>
        </w:tc>
        <w:tc>
          <w:tcPr>
            <w:tcW w:w="5507" w:type="dxa"/>
          </w:tcPr>
          <w:p w14:paraId="45FB12B2" w14:textId="77777777" w:rsidR="00C6585C" w:rsidRDefault="00C6585C" w:rsidP="004508AC">
            <w:pPr>
              <w:pStyle w:val="Body"/>
            </w:pPr>
            <w:r>
              <w:t xml:space="preserve">Highly applicable. </w:t>
            </w:r>
            <w:r>
              <w:rPr>
                <w:noProof/>
                <w:lang w:eastAsia="en-AU"/>
              </w:rPr>
              <w:t>Industry standard numerical modelling provides a more accurate estimate of the extent of the hydraulic fracture growth. The output of industry standard numerical models can be compared to the horizontal and vertical location of natural faults in relation to the production borehole.</w:t>
            </w:r>
          </w:p>
        </w:tc>
      </w:tr>
      <w:tr w:rsidR="00C6585C" w14:paraId="6B56C446" w14:textId="77777777" w:rsidTr="00660826">
        <w:tc>
          <w:tcPr>
            <w:tcW w:w="3621" w:type="dxa"/>
          </w:tcPr>
          <w:p w14:paraId="11CE01EB" w14:textId="77777777" w:rsidR="00C6585C" w:rsidRDefault="00C6585C" w:rsidP="004508AC">
            <w:pPr>
              <w:pStyle w:val="Body"/>
            </w:pPr>
            <w:r>
              <w:rPr>
                <w:noProof/>
                <w:lang w:eastAsia="en-AU"/>
              </w:rPr>
              <w:t>3: Analysis of samples from monitoring / water well</w:t>
            </w:r>
          </w:p>
        </w:tc>
        <w:tc>
          <w:tcPr>
            <w:tcW w:w="5507" w:type="dxa"/>
          </w:tcPr>
          <w:p w14:paraId="272C58C8" w14:textId="77777777" w:rsidR="00C6585C" w:rsidRDefault="00C6585C" w:rsidP="004508AC">
            <w:pPr>
              <w:pStyle w:val="Body"/>
            </w:pPr>
            <w:r>
              <w:t>Highly applicable. Contaminants transported to the water bearing aquifer along plausible pathway should conceivably be detected in samples from monitoring or water wells.</w:t>
            </w:r>
          </w:p>
        </w:tc>
      </w:tr>
      <w:tr w:rsidR="00C6585C" w14:paraId="06044733" w14:textId="77777777" w:rsidTr="00660826">
        <w:tc>
          <w:tcPr>
            <w:tcW w:w="3621" w:type="dxa"/>
          </w:tcPr>
          <w:p w14:paraId="7AB4A68A" w14:textId="77777777" w:rsidR="00C6585C" w:rsidRDefault="00C6585C" w:rsidP="004508AC">
            <w:pPr>
              <w:pStyle w:val="Body"/>
            </w:pPr>
            <w:r>
              <w:rPr>
                <w:noProof/>
                <w:lang w:eastAsia="en-AU"/>
              </w:rPr>
              <w:t>4: Remote hydraulic fracture growth monitoring</w:t>
            </w:r>
          </w:p>
        </w:tc>
        <w:tc>
          <w:tcPr>
            <w:tcW w:w="5507" w:type="dxa"/>
          </w:tcPr>
          <w:p w14:paraId="7F65F8BC" w14:textId="77777777" w:rsidR="00C6585C" w:rsidRDefault="00C6585C" w:rsidP="004508AC">
            <w:pPr>
              <w:pStyle w:val="Body"/>
            </w:pPr>
            <w:r>
              <w:t>Highly applicable. Tilt-meter or micro-seismic monitoring of hydraulic fracture growth would likely identify growth into or re-activation of a significant natural feature.</w:t>
            </w:r>
          </w:p>
        </w:tc>
      </w:tr>
      <w:tr w:rsidR="00C6585C" w14:paraId="24484371" w14:textId="77777777" w:rsidTr="00660826">
        <w:tc>
          <w:tcPr>
            <w:tcW w:w="3621" w:type="dxa"/>
          </w:tcPr>
          <w:p w14:paraId="6D2C2F97" w14:textId="77777777" w:rsidR="00C6585C" w:rsidRDefault="00C6585C" w:rsidP="004508AC">
            <w:pPr>
              <w:pStyle w:val="Body"/>
            </w:pPr>
            <w:r>
              <w:rPr>
                <w:noProof/>
                <w:lang w:eastAsia="en-AU"/>
              </w:rPr>
              <w:t>5: Interpretation of injection pressure data</w:t>
            </w:r>
          </w:p>
        </w:tc>
        <w:tc>
          <w:tcPr>
            <w:tcW w:w="5507" w:type="dxa"/>
          </w:tcPr>
          <w:p w14:paraId="532A994F" w14:textId="77777777" w:rsidR="00C6585C" w:rsidRDefault="00C6585C" w:rsidP="004508AC">
            <w:pPr>
              <w:pStyle w:val="Body"/>
            </w:pPr>
            <w:r>
              <w:t xml:space="preserve">Moderately applicable. An intersection between the growing hydraulic fracture and a natural fault may cause an abnormality in the injection pressure </w:t>
            </w:r>
            <w:r w:rsidRPr="00142102">
              <w:t>plot</w:t>
            </w:r>
            <w:r>
              <w:t xml:space="preserve">. </w:t>
            </w:r>
            <w:r w:rsidRPr="00142102">
              <w:t xml:space="preserve">However the cause of this </w:t>
            </w:r>
            <w:r>
              <w:t>abnormality may not be clearly distinguishable from a fracture intersection with another highly permeable zone.</w:t>
            </w:r>
          </w:p>
        </w:tc>
      </w:tr>
      <w:tr w:rsidR="00C6585C" w14:paraId="6E4FA19E" w14:textId="77777777" w:rsidTr="00660826">
        <w:tc>
          <w:tcPr>
            <w:tcW w:w="3621" w:type="dxa"/>
          </w:tcPr>
          <w:p w14:paraId="0350146E" w14:textId="77777777" w:rsidR="00C6585C" w:rsidRDefault="00C6585C" w:rsidP="004508AC">
            <w:pPr>
              <w:pStyle w:val="Body"/>
            </w:pPr>
            <w:r w:rsidRPr="002F1A2A">
              <w:t>6: Observation of key environmental receptors</w:t>
            </w:r>
          </w:p>
        </w:tc>
        <w:tc>
          <w:tcPr>
            <w:tcW w:w="5507" w:type="dxa"/>
          </w:tcPr>
          <w:p w14:paraId="322C734A" w14:textId="284EF28B" w:rsidR="00C6585C" w:rsidRDefault="00C6585C" w:rsidP="004508AC">
            <w:pPr>
              <w:pStyle w:val="Body"/>
            </w:pPr>
            <w:r>
              <w:t xml:space="preserve">Currently no data </w:t>
            </w:r>
            <w:r w:rsidR="008D530E">
              <w:t xml:space="preserve">are </w:t>
            </w:r>
            <w:r>
              <w:t>available.</w:t>
            </w:r>
          </w:p>
        </w:tc>
      </w:tr>
    </w:tbl>
    <w:p w14:paraId="7FF82308" w14:textId="77777777" w:rsidR="00C6585C" w:rsidRDefault="00C6585C" w:rsidP="00C6585C">
      <w:pPr>
        <w:pStyle w:val="Heading3"/>
        <w:numPr>
          <w:ilvl w:val="3"/>
          <w:numId w:val="1"/>
        </w:numPr>
      </w:pPr>
      <w:bookmarkStart w:id="206" w:name="_Toc454473392"/>
      <w:bookmarkStart w:id="207" w:name="_Ref459732533"/>
      <w:bookmarkStart w:id="208" w:name="_Toc494444529"/>
      <w:r>
        <w:t>Overview of a</w:t>
      </w:r>
      <w:r w:rsidRPr="002A2785">
        <w:t xml:space="preserve">pplicability </w:t>
      </w:r>
      <w:r>
        <w:t>of lines of evidence to each</w:t>
      </w:r>
      <w:r w:rsidRPr="002A2785">
        <w:t xml:space="preserve"> plausible pathway</w:t>
      </w:r>
      <w:bookmarkEnd w:id="206"/>
      <w:bookmarkEnd w:id="207"/>
      <w:bookmarkEnd w:id="208"/>
    </w:p>
    <w:p w14:paraId="6D64D4D4" w14:textId="75074E7E" w:rsidR="00C6585C" w:rsidRDefault="00C6585C" w:rsidP="005948A2">
      <w:pPr>
        <w:pStyle w:val="Body"/>
      </w:pPr>
      <w:r>
        <w:t>An overview of the a</w:t>
      </w:r>
      <w:r w:rsidRPr="002A2785">
        <w:t xml:space="preserve">pplicability </w:t>
      </w:r>
      <w:r>
        <w:t xml:space="preserve">of each of the lines of evidence </w:t>
      </w:r>
      <w:r w:rsidR="00C3115E">
        <w:t xml:space="preserve">(LoE) </w:t>
      </w:r>
      <w:r>
        <w:t xml:space="preserve">to the four </w:t>
      </w:r>
      <w:r w:rsidRPr="002A2785">
        <w:t>plausible pathway</w:t>
      </w:r>
      <w:r>
        <w:t>s is presented in</w:t>
      </w:r>
      <w:r w:rsidR="005948A2">
        <w:t xml:space="preserve"> </w:t>
      </w:r>
      <w:r w:rsidR="005948A2">
        <w:fldChar w:fldCharType="begin" w:fldLock="1"/>
      </w:r>
      <w:r w:rsidR="005948A2">
        <w:instrText xml:space="preserve"> REF _Ref476577318 \h </w:instrText>
      </w:r>
      <w:r w:rsidR="005948A2">
        <w:fldChar w:fldCharType="separate"/>
      </w:r>
      <w:r w:rsidR="00335E79" w:rsidRPr="00DA539C">
        <w:t xml:space="preserve">Table </w:t>
      </w:r>
      <w:r w:rsidR="00335E79">
        <w:rPr>
          <w:noProof/>
        </w:rPr>
        <w:t>2</w:t>
      </w:r>
      <w:r w:rsidR="00335E79">
        <w:noBreakHyphen/>
      </w:r>
      <w:r w:rsidR="00335E79">
        <w:rPr>
          <w:noProof/>
        </w:rPr>
        <w:t>19</w:t>
      </w:r>
      <w:r w:rsidR="005948A2">
        <w:fldChar w:fldCharType="end"/>
      </w:r>
      <w:r>
        <w:t>. When the lines of evidence are applied to each plausible pathway, the assessment concludes that pathways are either exceptionally unlikel</w:t>
      </w:r>
      <w:r w:rsidR="00AC5F05">
        <w:t xml:space="preserve">y (&lt;1% probability for </w:t>
      </w:r>
      <w:r w:rsidR="008D530E">
        <w:t xml:space="preserve">Pathway </w:t>
      </w:r>
      <w:r w:rsidR="00AC5F05">
        <w:t>C</w:t>
      </w:r>
      <w:r>
        <w:t xml:space="preserve">) or extremely unlikely (&lt;5% probability for </w:t>
      </w:r>
      <w:r w:rsidR="008D530E">
        <w:t xml:space="preserve">Pathways </w:t>
      </w:r>
      <w:r w:rsidR="0075127C">
        <w:t xml:space="preserve">A, </w:t>
      </w:r>
      <w:r>
        <w:t xml:space="preserve">B, and D). </w:t>
      </w:r>
      <w:r w:rsidR="00CD4A89">
        <w:t xml:space="preserve">Expert judgement was used to synthesize the applicability </w:t>
      </w:r>
      <w:r w:rsidR="0030612A">
        <w:t xml:space="preserve">(loosely, moderately, or highly) </w:t>
      </w:r>
      <w:r w:rsidR="00CD4A89">
        <w:t xml:space="preserve">of all LoE into a final assessment. Further details about estimated probabilities are available in Appendix 7.   </w:t>
      </w:r>
    </w:p>
    <w:p w14:paraId="767D2B19" w14:textId="77777777" w:rsidR="00CC17F3" w:rsidRPr="00025BED" w:rsidRDefault="00CC17F3" w:rsidP="00025BED">
      <w:pPr>
        <w:pStyle w:val="Body"/>
        <w:rPr>
          <w:b/>
          <w:bCs/>
        </w:rPr>
      </w:pPr>
      <w:bookmarkStart w:id="209" w:name="_Ref458896418"/>
    </w:p>
    <w:p w14:paraId="1BB06FDC" w14:textId="06BFF431" w:rsidR="00C6585C" w:rsidRDefault="00C6585C" w:rsidP="00DA539C">
      <w:pPr>
        <w:pStyle w:val="Imagecaption"/>
        <w:keepNext/>
        <w:pBdr>
          <w:top w:val="none" w:sz="0" w:space="0" w:color="auto"/>
        </w:pBdr>
      </w:pPr>
      <w:bookmarkStart w:id="210" w:name="_Ref476577318"/>
      <w:bookmarkStart w:id="211" w:name="_Toc494444709"/>
      <w:r w:rsidRPr="00DA539C">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19</w:t>
      </w:r>
      <w:r w:rsidR="00470577">
        <w:fldChar w:fldCharType="end"/>
      </w:r>
      <w:bookmarkEnd w:id="209"/>
      <w:bookmarkEnd w:id="210"/>
      <w:r w:rsidRPr="00DA539C">
        <w:t xml:space="preserve"> Applicability of lines of evidence to each plausible pathway.</w:t>
      </w:r>
      <w:r>
        <w:t xml:space="preserve"> </w:t>
      </w:r>
      <w:r w:rsidR="00A63099" w:rsidRPr="00DA539C">
        <w:t>Colour codes are as follows: highly applicable (green), moderately applicable (yellow), loosely applicable (orange).</w:t>
      </w:r>
      <w:bookmarkEnd w:id="211"/>
    </w:p>
    <w:tbl>
      <w:tblPr>
        <w:tblStyle w:val="TableGrid"/>
        <w:tblW w:w="9016" w:type="dxa"/>
        <w:tblLayout w:type="fixed"/>
        <w:tblLook w:val="04A0" w:firstRow="1" w:lastRow="0" w:firstColumn="1" w:lastColumn="0" w:noHBand="0" w:noVBand="1"/>
      </w:tblPr>
      <w:tblGrid>
        <w:gridCol w:w="1273"/>
        <w:gridCol w:w="1274"/>
        <w:gridCol w:w="1617"/>
        <w:gridCol w:w="1617"/>
        <w:gridCol w:w="1617"/>
        <w:gridCol w:w="1618"/>
      </w:tblGrid>
      <w:tr w:rsidR="0075127C" w14:paraId="66DB1E87" w14:textId="77777777" w:rsidTr="0075127C">
        <w:tc>
          <w:tcPr>
            <w:tcW w:w="2547" w:type="dxa"/>
            <w:gridSpan w:val="2"/>
            <w:shd w:val="clear" w:color="auto" w:fill="F2F2F2" w:themeFill="background1" w:themeFillShade="F2"/>
          </w:tcPr>
          <w:p w14:paraId="5ABFFE52" w14:textId="77777777" w:rsidR="0075127C" w:rsidRDefault="0075127C" w:rsidP="0075127C">
            <w:pPr>
              <w:pStyle w:val="Body"/>
            </w:pPr>
            <w:r>
              <w:t>Line of evidence</w:t>
            </w:r>
          </w:p>
        </w:tc>
        <w:tc>
          <w:tcPr>
            <w:tcW w:w="1617" w:type="dxa"/>
            <w:shd w:val="clear" w:color="auto" w:fill="F2F2F2" w:themeFill="background1" w:themeFillShade="F2"/>
          </w:tcPr>
          <w:p w14:paraId="6E7C9CA8" w14:textId="0B564799" w:rsidR="0075127C" w:rsidRDefault="008D530E" w:rsidP="008D530E">
            <w:pPr>
              <w:pStyle w:val="Body"/>
            </w:pPr>
            <w:r>
              <w:t>P</w:t>
            </w:r>
            <w:r w:rsidR="0075127C">
              <w:t>athway A</w:t>
            </w:r>
            <w:r w:rsidR="0075127C" w:rsidRPr="002A2785">
              <w:t>: Out of zone fracture growth</w:t>
            </w:r>
          </w:p>
        </w:tc>
        <w:tc>
          <w:tcPr>
            <w:tcW w:w="1617" w:type="dxa"/>
            <w:shd w:val="clear" w:color="auto" w:fill="F2F2F2" w:themeFill="background1" w:themeFillShade="F2"/>
          </w:tcPr>
          <w:p w14:paraId="3B22EEFF" w14:textId="266BB2A2" w:rsidR="0075127C" w:rsidRDefault="008D530E" w:rsidP="008D530E">
            <w:pPr>
              <w:pStyle w:val="Body"/>
            </w:pPr>
            <w:r>
              <w:t>P</w:t>
            </w:r>
            <w:r w:rsidR="0075127C" w:rsidRPr="002A2785">
              <w:t xml:space="preserve">athway B: Direct intersection of water bore </w:t>
            </w:r>
          </w:p>
        </w:tc>
        <w:tc>
          <w:tcPr>
            <w:tcW w:w="1617" w:type="dxa"/>
            <w:shd w:val="clear" w:color="auto" w:fill="F2F2F2" w:themeFill="background1" w:themeFillShade="F2"/>
          </w:tcPr>
          <w:p w14:paraId="1001744E" w14:textId="71FFC0B4" w:rsidR="0075127C" w:rsidRPr="002A2785" w:rsidRDefault="008D530E" w:rsidP="008D530E">
            <w:pPr>
              <w:pStyle w:val="Body"/>
            </w:pPr>
            <w:r>
              <w:t>P</w:t>
            </w:r>
            <w:r w:rsidR="0075127C">
              <w:t>athway C</w:t>
            </w:r>
            <w:r w:rsidR="0075127C" w:rsidRPr="002A2785">
              <w:t>: Loss of well integrity</w:t>
            </w:r>
          </w:p>
        </w:tc>
        <w:tc>
          <w:tcPr>
            <w:tcW w:w="1618" w:type="dxa"/>
            <w:shd w:val="clear" w:color="auto" w:fill="F2F2F2" w:themeFill="background1" w:themeFillShade="F2"/>
          </w:tcPr>
          <w:p w14:paraId="7F8D3299" w14:textId="080568EA" w:rsidR="0075127C" w:rsidRDefault="0075127C" w:rsidP="008D530E">
            <w:pPr>
              <w:pStyle w:val="Body"/>
            </w:pPr>
            <w:r w:rsidRPr="002A2785">
              <w:t xml:space="preserve">Pathway D: Direct intersection of natural fault </w:t>
            </w:r>
          </w:p>
        </w:tc>
      </w:tr>
      <w:tr w:rsidR="0075127C" w14:paraId="4FAA7BAE" w14:textId="77777777" w:rsidTr="00A3023F">
        <w:tc>
          <w:tcPr>
            <w:tcW w:w="2547" w:type="dxa"/>
            <w:gridSpan w:val="2"/>
          </w:tcPr>
          <w:p w14:paraId="7F2F0020" w14:textId="31E72EDA" w:rsidR="0075127C" w:rsidRDefault="00A64CB2" w:rsidP="0075127C">
            <w:pPr>
              <w:pStyle w:val="Body"/>
            </w:pPr>
            <w:r>
              <w:t>Plausible pathway conceptualisation</w:t>
            </w:r>
          </w:p>
        </w:tc>
        <w:tc>
          <w:tcPr>
            <w:tcW w:w="1617" w:type="dxa"/>
            <w:tcBorders>
              <w:bottom w:val="single" w:sz="4" w:space="0" w:color="auto"/>
            </w:tcBorders>
          </w:tcPr>
          <w:p w14:paraId="418893E1" w14:textId="6D3DE485" w:rsidR="0075127C" w:rsidRDefault="001D3878" w:rsidP="0075127C">
            <w:pPr>
              <w:pStyle w:val="Body"/>
              <w:jc w:val="center"/>
            </w:pPr>
            <w:r w:rsidRPr="001D3878">
              <w:rPr>
                <w:noProof/>
                <w:lang w:val="en-AU" w:eastAsia="en-AU"/>
              </w:rPr>
              <w:drawing>
                <wp:inline distT="0" distB="0" distL="0" distR="0" wp14:anchorId="36BC0D5E" wp14:editId="50014EC4">
                  <wp:extent cx="950577" cy="1064129"/>
                  <wp:effectExtent l="0" t="0" r="2540" b="317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955577" cy="1069727"/>
                          </a:xfrm>
                          <a:prstGeom prst="rect">
                            <a:avLst/>
                          </a:prstGeom>
                          <a:noFill/>
                          <a:ln>
                            <a:noFill/>
                          </a:ln>
                        </pic:spPr>
                      </pic:pic>
                    </a:graphicData>
                  </a:graphic>
                </wp:inline>
              </w:drawing>
            </w:r>
          </w:p>
        </w:tc>
        <w:tc>
          <w:tcPr>
            <w:tcW w:w="1617" w:type="dxa"/>
            <w:tcBorders>
              <w:bottom w:val="single" w:sz="4" w:space="0" w:color="auto"/>
            </w:tcBorders>
          </w:tcPr>
          <w:p w14:paraId="5909C0B1" w14:textId="2DAD97BB" w:rsidR="0075127C" w:rsidRDefault="0075127C" w:rsidP="0075127C">
            <w:pPr>
              <w:pStyle w:val="Body"/>
              <w:jc w:val="center"/>
            </w:pPr>
            <w:r w:rsidRPr="00CB16B9">
              <w:rPr>
                <w:noProof/>
                <w:lang w:val="en-AU" w:eastAsia="en-AU"/>
              </w:rPr>
              <w:drawing>
                <wp:inline distT="0" distB="0" distL="0" distR="0" wp14:anchorId="77A29E12" wp14:editId="34972122">
                  <wp:extent cx="965200" cy="1054312"/>
                  <wp:effectExtent l="0" t="0" r="635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l="60247" t="872" r="6104" b="50548"/>
                          <a:stretch/>
                        </pic:blipFill>
                        <pic:spPr bwMode="auto">
                          <a:xfrm>
                            <a:off x="0" y="0"/>
                            <a:ext cx="965647" cy="1054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17" w:type="dxa"/>
            <w:tcBorders>
              <w:bottom w:val="single" w:sz="4" w:space="0" w:color="auto"/>
            </w:tcBorders>
          </w:tcPr>
          <w:p w14:paraId="41D8445B" w14:textId="16E1BE86" w:rsidR="0075127C" w:rsidRPr="00CB16B9" w:rsidRDefault="001D3878" w:rsidP="0075127C">
            <w:pPr>
              <w:pStyle w:val="Body"/>
              <w:rPr>
                <w:noProof/>
                <w:lang w:val="en-AU" w:eastAsia="en-AU"/>
              </w:rPr>
            </w:pPr>
            <w:r w:rsidRPr="001D3878">
              <w:rPr>
                <w:noProof/>
                <w:lang w:val="en-AU" w:eastAsia="en-AU"/>
              </w:rPr>
              <w:drawing>
                <wp:inline distT="0" distB="0" distL="0" distR="0" wp14:anchorId="3603378A" wp14:editId="2A4B2387">
                  <wp:extent cx="893016" cy="1052711"/>
                  <wp:effectExtent l="0" t="0" r="254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893504" cy="1053286"/>
                          </a:xfrm>
                          <a:prstGeom prst="rect">
                            <a:avLst/>
                          </a:prstGeom>
                          <a:noFill/>
                          <a:ln>
                            <a:noFill/>
                          </a:ln>
                        </pic:spPr>
                      </pic:pic>
                    </a:graphicData>
                  </a:graphic>
                </wp:inline>
              </w:drawing>
            </w:r>
          </w:p>
        </w:tc>
        <w:tc>
          <w:tcPr>
            <w:tcW w:w="1618" w:type="dxa"/>
            <w:tcBorders>
              <w:bottom w:val="single" w:sz="4" w:space="0" w:color="auto"/>
            </w:tcBorders>
          </w:tcPr>
          <w:p w14:paraId="29DAF309" w14:textId="77777777" w:rsidR="0075127C" w:rsidRDefault="0075127C" w:rsidP="0075127C">
            <w:pPr>
              <w:pStyle w:val="Body"/>
            </w:pPr>
            <w:r w:rsidRPr="00FC44CE">
              <w:rPr>
                <w:noProof/>
                <w:lang w:val="en-AU" w:eastAsia="en-AU"/>
              </w:rPr>
              <w:drawing>
                <wp:inline distT="0" distB="0" distL="0" distR="0" wp14:anchorId="2AA9DDFA" wp14:editId="51B5849B">
                  <wp:extent cx="887730" cy="1026160"/>
                  <wp:effectExtent l="0" t="0" r="7620"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887730" cy="1026160"/>
                          </a:xfrm>
                          <a:prstGeom prst="rect">
                            <a:avLst/>
                          </a:prstGeom>
                          <a:noFill/>
                          <a:ln>
                            <a:noFill/>
                          </a:ln>
                        </pic:spPr>
                      </pic:pic>
                    </a:graphicData>
                  </a:graphic>
                </wp:inline>
              </w:drawing>
            </w:r>
          </w:p>
        </w:tc>
      </w:tr>
      <w:tr w:rsidR="0075127C" w14:paraId="3E35E21D" w14:textId="77777777" w:rsidTr="00A3023F">
        <w:tc>
          <w:tcPr>
            <w:tcW w:w="2547" w:type="dxa"/>
            <w:gridSpan w:val="2"/>
          </w:tcPr>
          <w:p w14:paraId="5A57B320" w14:textId="2843420C" w:rsidR="0075127C" w:rsidRDefault="0075127C" w:rsidP="00712C16">
            <w:pPr>
              <w:pStyle w:val="Body"/>
            </w:pPr>
            <w:r>
              <w:rPr>
                <w:noProof/>
                <w:lang w:eastAsia="en-AU"/>
              </w:rPr>
              <w:t>Line of evidence 1: Basic hydraulic fracture growth</w:t>
            </w:r>
            <w:r w:rsidR="00712C16">
              <w:rPr>
                <w:noProof/>
                <w:lang w:eastAsia="en-AU"/>
              </w:rPr>
              <w:t xml:space="preserve"> and fluid transport</w:t>
            </w:r>
            <w:r>
              <w:rPr>
                <w:noProof/>
                <w:lang w:eastAsia="en-AU"/>
              </w:rPr>
              <w:t xml:space="preserve"> models</w:t>
            </w:r>
          </w:p>
        </w:tc>
        <w:tc>
          <w:tcPr>
            <w:tcW w:w="1617" w:type="dxa"/>
            <w:shd w:val="clear" w:color="auto" w:fill="FFFF00"/>
          </w:tcPr>
          <w:p w14:paraId="57621973" w14:textId="6399F05F" w:rsidR="0075127C" w:rsidRPr="00A3023F" w:rsidRDefault="00A3023F" w:rsidP="0075127C">
            <w:pPr>
              <w:pStyle w:val="Body"/>
              <w:rPr>
                <w:highlight w:val="yellow"/>
              </w:rPr>
            </w:pPr>
            <w:r w:rsidRPr="00A3023F">
              <w:rPr>
                <w:highlight w:val="yellow"/>
              </w:rPr>
              <w:t xml:space="preserve">Moderately </w:t>
            </w:r>
            <w:r w:rsidR="0075127C" w:rsidRPr="00A3023F">
              <w:rPr>
                <w:highlight w:val="yellow"/>
              </w:rPr>
              <w:t>applicable</w:t>
            </w:r>
          </w:p>
        </w:tc>
        <w:tc>
          <w:tcPr>
            <w:tcW w:w="1617" w:type="dxa"/>
            <w:shd w:val="clear" w:color="auto" w:fill="92D050"/>
          </w:tcPr>
          <w:p w14:paraId="2EF05542" w14:textId="24DEF44A" w:rsidR="0075127C" w:rsidRDefault="0075127C" w:rsidP="0075127C">
            <w:pPr>
              <w:pStyle w:val="Body"/>
            </w:pPr>
            <w:r>
              <w:t>Highly applicable</w:t>
            </w:r>
          </w:p>
        </w:tc>
        <w:tc>
          <w:tcPr>
            <w:tcW w:w="1617" w:type="dxa"/>
            <w:tcBorders>
              <w:bottom w:val="single" w:sz="4" w:space="0" w:color="auto"/>
            </w:tcBorders>
            <w:shd w:val="clear" w:color="auto" w:fill="92D050"/>
          </w:tcPr>
          <w:p w14:paraId="79DEC8BE" w14:textId="37DBA605" w:rsidR="0075127C" w:rsidRDefault="00A3023F" w:rsidP="00A3023F">
            <w:pPr>
              <w:pStyle w:val="Body"/>
            </w:pPr>
            <w:r>
              <w:t>Highly</w:t>
            </w:r>
            <w:r w:rsidR="0075127C">
              <w:t xml:space="preserve"> applicable</w:t>
            </w:r>
          </w:p>
        </w:tc>
        <w:tc>
          <w:tcPr>
            <w:tcW w:w="1618" w:type="dxa"/>
            <w:tcBorders>
              <w:bottom w:val="single" w:sz="4" w:space="0" w:color="auto"/>
            </w:tcBorders>
            <w:shd w:val="clear" w:color="auto" w:fill="92D050"/>
          </w:tcPr>
          <w:p w14:paraId="5B49EDD5" w14:textId="77777777" w:rsidR="0075127C" w:rsidRDefault="0075127C" w:rsidP="0075127C">
            <w:pPr>
              <w:pStyle w:val="Body"/>
            </w:pPr>
            <w:r w:rsidRPr="00281975">
              <w:rPr>
                <w:noProof/>
                <w:lang w:eastAsia="en-AU"/>
              </w:rPr>
              <w:t>Highly applicable</w:t>
            </w:r>
          </w:p>
        </w:tc>
      </w:tr>
      <w:tr w:rsidR="0075127C" w14:paraId="16F243C0" w14:textId="77777777" w:rsidTr="00A3023F">
        <w:tc>
          <w:tcPr>
            <w:tcW w:w="2547" w:type="dxa"/>
            <w:gridSpan w:val="2"/>
          </w:tcPr>
          <w:p w14:paraId="3430554B" w14:textId="3A4F15B2" w:rsidR="0075127C" w:rsidRDefault="0075127C" w:rsidP="00712C16">
            <w:pPr>
              <w:pStyle w:val="Body"/>
              <w:rPr>
                <w:noProof/>
                <w:lang w:eastAsia="en-AU"/>
              </w:rPr>
            </w:pPr>
            <w:r>
              <w:rPr>
                <w:noProof/>
                <w:lang w:eastAsia="en-AU"/>
              </w:rPr>
              <w:t xml:space="preserve">Line of evidence 2: Industry standard numerical </w:t>
            </w:r>
            <w:r w:rsidR="00712C16">
              <w:rPr>
                <w:noProof/>
                <w:lang w:eastAsia="en-AU"/>
              </w:rPr>
              <w:t xml:space="preserve">hydraulic fracture and fluid transport </w:t>
            </w:r>
            <w:r>
              <w:rPr>
                <w:noProof/>
                <w:lang w:eastAsia="en-AU"/>
              </w:rPr>
              <w:t>model</w:t>
            </w:r>
            <w:r w:rsidR="00712C16">
              <w:rPr>
                <w:noProof/>
                <w:lang w:eastAsia="en-AU"/>
              </w:rPr>
              <w:t>s</w:t>
            </w:r>
            <w:r>
              <w:rPr>
                <w:noProof/>
                <w:lang w:eastAsia="en-AU"/>
              </w:rPr>
              <w:t xml:space="preserve"> </w:t>
            </w:r>
          </w:p>
        </w:tc>
        <w:tc>
          <w:tcPr>
            <w:tcW w:w="1617" w:type="dxa"/>
            <w:shd w:val="clear" w:color="auto" w:fill="92D050"/>
          </w:tcPr>
          <w:p w14:paraId="1D0C512A" w14:textId="023E27A8" w:rsidR="0075127C" w:rsidRDefault="002A6599" w:rsidP="0075127C">
            <w:pPr>
              <w:pStyle w:val="Body"/>
            </w:pPr>
            <w:r>
              <w:rPr>
                <w:noProof/>
                <w:lang w:eastAsia="en-AU"/>
              </w:rPr>
              <w:t>Highly</w:t>
            </w:r>
            <w:r w:rsidR="0075127C" w:rsidRPr="00281975">
              <w:rPr>
                <w:noProof/>
                <w:lang w:eastAsia="en-AU"/>
              </w:rPr>
              <w:t xml:space="preserve"> applicable</w:t>
            </w:r>
          </w:p>
        </w:tc>
        <w:tc>
          <w:tcPr>
            <w:tcW w:w="1617" w:type="dxa"/>
            <w:shd w:val="clear" w:color="auto" w:fill="92D050"/>
          </w:tcPr>
          <w:p w14:paraId="022520D3" w14:textId="184E73AE" w:rsidR="0075127C" w:rsidRDefault="0075127C" w:rsidP="0075127C">
            <w:pPr>
              <w:pStyle w:val="Body"/>
            </w:pPr>
            <w:r>
              <w:t>Highly applicable</w:t>
            </w:r>
          </w:p>
        </w:tc>
        <w:tc>
          <w:tcPr>
            <w:tcW w:w="1617" w:type="dxa"/>
            <w:shd w:val="clear" w:color="auto" w:fill="92D050"/>
          </w:tcPr>
          <w:p w14:paraId="01FD47D7" w14:textId="03395555" w:rsidR="0075127C" w:rsidRDefault="00E0083A" w:rsidP="0075127C">
            <w:pPr>
              <w:pStyle w:val="Body"/>
            </w:pPr>
            <w:r>
              <w:t>Highl</w:t>
            </w:r>
            <w:r w:rsidR="00A63099">
              <w:t>y</w:t>
            </w:r>
            <w:r w:rsidR="0075127C">
              <w:t xml:space="preserve"> applicable</w:t>
            </w:r>
          </w:p>
        </w:tc>
        <w:tc>
          <w:tcPr>
            <w:tcW w:w="1618" w:type="dxa"/>
            <w:shd w:val="clear" w:color="auto" w:fill="92D050"/>
          </w:tcPr>
          <w:p w14:paraId="7B4165FB" w14:textId="77777777" w:rsidR="0075127C" w:rsidRDefault="0075127C" w:rsidP="0075127C">
            <w:pPr>
              <w:pStyle w:val="Body"/>
            </w:pPr>
            <w:r w:rsidRPr="00281975">
              <w:rPr>
                <w:noProof/>
                <w:lang w:eastAsia="en-AU"/>
              </w:rPr>
              <w:t>Highly applicable</w:t>
            </w:r>
          </w:p>
        </w:tc>
      </w:tr>
      <w:tr w:rsidR="0075127C" w14:paraId="57C916B9" w14:textId="77777777" w:rsidTr="00A3023F">
        <w:tc>
          <w:tcPr>
            <w:tcW w:w="2547" w:type="dxa"/>
            <w:gridSpan w:val="2"/>
          </w:tcPr>
          <w:p w14:paraId="671DD013" w14:textId="77777777" w:rsidR="0075127C" w:rsidRDefault="0075127C" w:rsidP="0075127C">
            <w:pPr>
              <w:pStyle w:val="Body"/>
              <w:rPr>
                <w:noProof/>
                <w:lang w:eastAsia="en-AU"/>
              </w:rPr>
            </w:pPr>
            <w:r>
              <w:rPr>
                <w:noProof/>
                <w:lang w:eastAsia="en-AU"/>
              </w:rPr>
              <w:t>Line of evidence 3: Analysis of samples from monitoring / water bores</w:t>
            </w:r>
          </w:p>
        </w:tc>
        <w:tc>
          <w:tcPr>
            <w:tcW w:w="1617" w:type="dxa"/>
            <w:tcBorders>
              <w:bottom w:val="single" w:sz="4" w:space="0" w:color="auto"/>
            </w:tcBorders>
            <w:shd w:val="clear" w:color="auto" w:fill="92D050"/>
          </w:tcPr>
          <w:p w14:paraId="1CB109A1" w14:textId="6A3827DD" w:rsidR="0075127C" w:rsidRDefault="0075127C" w:rsidP="0075127C">
            <w:pPr>
              <w:pStyle w:val="Body"/>
            </w:pPr>
            <w:r w:rsidRPr="00281975">
              <w:rPr>
                <w:noProof/>
                <w:lang w:eastAsia="en-AU"/>
              </w:rPr>
              <w:t>Highly applicable</w:t>
            </w:r>
          </w:p>
        </w:tc>
        <w:tc>
          <w:tcPr>
            <w:tcW w:w="1617" w:type="dxa"/>
            <w:tcBorders>
              <w:bottom w:val="single" w:sz="4" w:space="0" w:color="auto"/>
            </w:tcBorders>
            <w:shd w:val="clear" w:color="auto" w:fill="92D050"/>
          </w:tcPr>
          <w:p w14:paraId="054BD71B" w14:textId="14B8A7EA" w:rsidR="0075127C" w:rsidRDefault="0075127C" w:rsidP="0075127C">
            <w:pPr>
              <w:pStyle w:val="Body"/>
            </w:pPr>
            <w:r>
              <w:t>Highly applicable</w:t>
            </w:r>
          </w:p>
        </w:tc>
        <w:tc>
          <w:tcPr>
            <w:tcW w:w="1617" w:type="dxa"/>
            <w:tcBorders>
              <w:bottom w:val="single" w:sz="4" w:space="0" w:color="auto"/>
            </w:tcBorders>
            <w:shd w:val="clear" w:color="auto" w:fill="92D050"/>
          </w:tcPr>
          <w:p w14:paraId="2AA70EED" w14:textId="6355B073" w:rsidR="0075127C" w:rsidRDefault="0075127C" w:rsidP="0075127C">
            <w:pPr>
              <w:pStyle w:val="Body"/>
            </w:pPr>
            <w:r>
              <w:t>Highly applicable</w:t>
            </w:r>
          </w:p>
        </w:tc>
        <w:tc>
          <w:tcPr>
            <w:tcW w:w="1618" w:type="dxa"/>
            <w:shd w:val="clear" w:color="auto" w:fill="92D050"/>
          </w:tcPr>
          <w:p w14:paraId="5573D542" w14:textId="77777777" w:rsidR="0075127C" w:rsidRDefault="0075127C" w:rsidP="0075127C">
            <w:pPr>
              <w:pStyle w:val="Body"/>
            </w:pPr>
            <w:r w:rsidRPr="00281975">
              <w:rPr>
                <w:noProof/>
                <w:lang w:eastAsia="en-AU"/>
              </w:rPr>
              <w:t>Highly applicable</w:t>
            </w:r>
          </w:p>
        </w:tc>
      </w:tr>
      <w:tr w:rsidR="0075127C" w14:paraId="4957A9D8" w14:textId="77777777" w:rsidTr="00A3023F">
        <w:tc>
          <w:tcPr>
            <w:tcW w:w="2547" w:type="dxa"/>
            <w:gridSpan w:val="2"/>
          </w:tcPr>
          <w:p w14:paraId="58799790" w14:textId="77777777" w:rsidR="0075127C" w:rsidRDefault="0075127C" w:rsidP="0075127C">
            <w:pPr>
              <w:pStyle w:val="Body"/>
              <w:rPr>
                <w:noProof/>
                <w:lang w:eastAsia="en-AU"/>
              </w:rPr>
            </w:pPr>
            <w:r>
              <w:rPr>
                <w:noProof/>
                <w:lang w:eastAsia="en-AU"/>
              </w:rPr>
              <w:t>Line of evidence 4: Remote fracture monitoring</w:t>
            </w:r>
          </w:p>
        </w:tc>
        <w:tc>
          <w:tcPr>
            <w:tcW w:w="1617" w:type="dxa"/>
            <w:shd w:val="clear" w:color="auto" w:fill="92D050"/>
          </w:tcPr>
          <w:p w14:paraId="628376A4" w14:textId="0DC1EC36" w:rsidR="0075127C" w:rsidRDefault="00A3023F" w:rsidP="0075127C">
            <w:pPr>
              <w:pStyle w:val="Body"/>
            </w:pPr>
            <w:r>
              <w:rPr>
                <w:noProof/>
                <w:lang w:eastAsia="en-AU"/>
              </w:rPr>
              <w:t>High</w:t>
            </w:r>
            <w:r w:rsidR="003C3750">
              <w:rPr>
                <w:noProof/>
                <w:lang w:eastAsia="en-AU"/>
              </w:rPr>
              <w:t>ly</w:t>
            </w:r>
            <w:r w:rsidR="0075127C">
              <w:rPr>
                <w:noProof/>
                <w:lang w:eastAsia="en-AU"/>
              </w:rPr>
              <w:t xml:space="preserve"> applicable</w:t>
            </w:r>
          </w:p>
        </w:tc>
        <w:tc>
          <w:tcPr>
            <w:tcW w:w="1617" w:type="dxa"/>
            <w:tcBorders>
              <w:bottom w:val="single" w:sz="4" w:space="0" w:color="auto"/>
            </w:tcBorders>
            <w:shd w:val="clear" w:color="auto" w:fill="92D050"/>
          </w:tcPr>
          <w:p w14:paraId="7E4657BC" w14:textId="0B0E7D59" w:rsidR="0075127C" w:rsidRDefault="0075127C" w:rsidP="0075127C">
            <w:pPr>
              <w:pStyle w:val="Body"/>
            </w:pPr>
            <w:r>
              <w:t>Highly applicable</w:t>
            </w:r>
          </w:p>
        </w:tc>
        <w:tc>
          <w:tcPr>
            <w:tcW w:w="1617" w:type="dxa"/>
            <w:tcBorders>
              <w:bottom w:val="single" w:sz="4" w:space="0" w:color="auto"/>
            </w:tcBorders>
            <w:shd w:val="clear" w:color="auto" w:fill="FFFF00"/>
          </w:tcPr>
          <w:p w14:paraId="6D139B3D" w14:textId="660EEE84" w:rsidR="0075127C" w:rsidRDefault="00A3023F" w:rsidP="00A3023F">
            <w:pPr>
              <w:pStyle w:val="Body"/>
            </w:pPr>
            <w:r>
              <w:t>Moderately</w:t>
            </w:r>
            <w:r w:rsidR="00A63099">
              <w:t xml:space="preserve"> </w:t>
            </w:r>
            <w:r w:rsidR="0075127C">
              <w:t>applicable</w:t>
            </w:r>
          </w:p>
        </w:tc>
        <w:tc>
          <w:tcPr>
            <w:tcW w:w="1618" w:type="dxa"/>
            <w:tcBorders>
              <w:bottom w:val="single" w:sz="4" w:space="0" w:color="auto"/>
            </w:tcBorders>
            <w:shd w:val="clear" w:color="auto" w:fill="92D050"/>
          </w:tcPr>
          <w:p w14:paraId="4D18BEAC" w14:textId="77777777" w:rsidR="0075127C" w:rsidRDefault="0075127C" w:rsidP="0075127C">
            <w:pPr>
              <w:pStyle w:val="Body"/>
            </w:pPr>
            <w:r w:rsidRPr="00281975">
              <w:rPr>
                <w:noProof/>
                <w:lang w:eastAsia="en-AU"/>
              </w:rPr>
              <w:t>Highly applicable</w:t>
            </w:r>
          </w:p>
        </w:tc>
      </w:tr>
      <w:tr w:rsidR="0075127C" w14:paraId="3273FD9D" w14:textId="77777777" w:rsidTr="00A63099">
        <w:tc>
          <w:tcPr>
            <w:tcW w:w="2547" w:type="dxa"/>
            <w:gridSpan w:val="2"/>
          </w:tcPr>
          <w:p w14:paraId="431BA9BF" w14:textId="77777777" w:rsidR="0075127C" w:rsidRDefault="0075127C" w:rsidP="0075127C">
            <w:pPr>
              <w:pStyle w:val="Body"/>
              <w:rPr>
                <w:noProof/>
                <w:lang w:eastAsia="en-AU"/>
              </w:rPr>
            </w:pPr>
            <w:r>
              <w:rPr>
                <w:noProof/>
                <w:lang w:eastAsia="en-AU"/>
              </w:rPr>
              <w:t>Line of evidence 5: Interpretation of injection pressure data</w:t>
            </w:r>
          </w:p>
        </w:tc>
        <w:tc>
          <w:tcPr>
            <w:tcW w:w="1617" w:type="dxa"/>
            <w:shd w:val="clear" w:color="auto" w:fill="FFC000"/>
          </w:tcPr>
          <w:p w14:paraId="77B1D41C" w14:textId="46D1769C" w:rsidR="0075127C" w:rsidRDefault="0075127C" w:rsidP="0075127C">
            <w:pPr>
              <w:pStyle w:val="Body"/>
            </w:pPr>
            <w:r>
              <w:t>Loosely applicable</w:t>
            </w:r>
          </w:p>
        </w:tc>
        <w:tc>
          <w:tcPr>
            <w:tcW w:w="1617" w:type="dxa"/>
            <w:shd w:val="clear" w:color="auto" w:fill="FFFF00"/>
          </w:tcPr>
          <w:p w14:paraId="141D73B6" w14:textId="45EB81CB" w:rsidR="0075127C" w:rsidRDefault="0075127C" w:rsidP="0075127C">
            <w:pPr>
              <w:pStyle w:val="Body"/>
            </w:pPr>
            <w:r>
              <w:t>Moderately applicable</w:t>
            </w:r>
          </w:p>
        </w:tc>
        <w:tc>
          <w:tcPr>
            <w:tcW w:w="1617" w:type="dxa"/>
            <w:shd w:val="clear" w:color="auto" w:fill="FFC000"/>
          </w:tcPr>
          <w:p w14:paraId="7B1B6D84" w14:textId="02C83221" w:rsidR="0075127C" w:rsidRDefault="0075127C" w:rsidP="0075127C">
            <w:pPr>
              <w:pStyle w:val="Body"/>
            </w:pPr>
            <w:r>
              <w:t>Loosely applicable</w:t>
            </w:r>
          </w:p>
        </w:tc>
        <w:tc>
          <w:tcPr>
            <w:tcW w:w="1618" w:type="dxa"/>
            <w:shd w:val="clear" w:color="auto" w:fill="FFFF00"/>
          </w:tcPr>
          <w:p w14:paraId="0BD62C73" w14:textId="77777777" w:rsidR="0075127C" w:rsidRDefault="0075127C" w:rsidP="0075127C">
            <w:pPr>
              <w:pStyle w:val="Body"/>
            </w:pPr>
            <w:r>
              <w:t>Moderately applicable</w:t>
            </w:r>
          </w:p>
        </w:tc>
      </w:tr>
      <w:tr w:rsidR="00A64CB2" w14:paraId="17EAB783" w14:textId="77777777" w:rsidTr="00A64CB2">
        <w:trPr>
          <w:trHeight w:val="891"/>
        </w:trPr>
        <w:tc>
          <w:tcPr>
            <w:tcW w:w="1273" w:type="dxa"/>
            <w:vMerge w:val="restart"/>
          </w:tcPr>
          <w:p w14:paraId="4FBAB73C" w14:textId="77777777" w:rsidR="00A64CB2" w:rsidRDefault="00A64CB2" w:rsidP="0075127C">
            <w:pPr>
              <w:pStyle w:val="Body"/>
              <w:rPr>
                <w:noProof/>
                <w:lang w:eastAsia="en-AU"/>
              </w:rPr>
            </w:pPr>
            <w:r>
              <w:rPr>
                <w:noProof/>
                <w:lang w:eastAsia="en-AU"/>
              </w:rPr>
              <w:t xml:space="preserve">Final assesment for Gunnadah Basin (terminology as defined in </w:t>
            </w:r>
            <w:r>
              <w:fldChar w:fldCharType="begin" w:fldLock="1"/>
            </w:r>
            <w:r>
              <w:instrText>ADDIN CSL_CITATION { "citationItems" : [ { "id" : "ITEM-1", "itemData" : { "abstract" : "Guidance Note for Lead Authors of the IPCC Fifth Assessment Report on Consistent Treatment of Uncertainties", "author" : [ { "dropping-particle" : "", "family" : "Mastrandrea", "given" : "Md", "non-dropping-particle" : "", "parse-names" : false, "suffix" : "" }, { "dropping-particle" : "", "family" : "Field", "given" : "Cb", "non-dropping-particle" : "", "parse-names" : false, "suffix" : "" } ], "container-title" : "\u2026 Panel on Climate \u2026", "id" : "ITEM-1", "issue" : "October", "issued" : { "date-parts" : [ [ "2010" ] ] }, "page" : "11-14", "title" : "Guidance note for lead authors of the IPCC fifth assessment report on consistent treatment of uncertainties", "type" : "article-journal", "volume" : "9" }, "uris" : [ "http://www.mendeley.com/documents/?uuid=3bf4e3dc-7571-4f6a-8256-cf9e07b51fa7" ] } ], "mendeley" : { "formattedCitation" : "(Mastrandrea &amp; Field, 2010)", "plainTextFormattedCitation" : "(Mastrandrea &amp; Field, 2010)", "previouslyFormattedCitation" : "(Mastrandrea &amp; Field, 2010)" }, "properties" : { "noteIndex" : 0 }, "schema" : "https://github.com/citation-style-language/schema/raw/master/csl-citation.json" }</w:instrText>
            </w:r>
            <w:r>
              <w:fldChar w:fldCharType="separate"/>
            </w:r>
            <w:r>
              <w:rPr>
                <w:noProof/>
              </w:rPr>
              <w:t>Mastrandrea et al. (</w:t>
            </w:r>
            <w:r w:rsidRPr="00755C53">
              <w:rPr>
                <w:noProof/>
              </w:rPr>
              <w:t>2010)</w:t>
            </w:r>
            <w:r>
              <w:fldChar w:fldCharType="end"/>
            </w:r>
            <w:r>
              <w:t>)</w:t>
            </w:r>
          </w:p>
        </w:tc>
        <w:tc>
          <w:tcPr>
            <w:tcW w:w="1274" w:type="dxa"/>
          </w:tcPr>
          <w:p w14:paraId="26D52E9A" w14:textId="52F3C815" w:rsidR="00A64CB2" w:rsidRDefault="00A64CB2" w:rsidP="0075127C">
            <w:pPr>
              <w:pStyle w:val="Body"/>
              <w:rPr>
                <w:noProof/>
                <w:lang w:eastAsia="en-AU"/>
              </w:rPr>
            </w:pPr>
            <w:r>
              <w:rPr>
                <w:noProof/>
                <w:lang w:eastAsia="en-AU"/>
              </w:rPr>
              <w:t>High agreement across experts and robust evidence support a “level of confidence” or “quantified measure of uncertainty”</w:t>
            </w:r>
            <w:r w:rsidR="00EE50F9">
              <w:rPr>
                <w:noProof/>
                <w:lang w:eastAsia="en-AU"/>
              </w:rPr>
              <w:t>?</w:t>
            </w:r>
          </w:p>
        </w:tc>
        <w:tc>
          <w:tcPr>
            <w:tcW w:w="1617" w:type="dxa"/>
          </w:tcPr>
          <w:p w14:paraId="6AE77547" w14:textId="15B45EB8" w:rsidR="00A64CB2" w:rsidRDefault="00A64CB2" w:rsidP="002A6599">
            <w:pPr>
              <w:pStyle w:val="Body"/>
            </w:pPr>
            <w:r>
              <w:t>Yes, multiple, consistent an independent lines of high-quality evidence to support a quantified measure of uncertainty</w:t>
            </w:r>
          </w:p>
        </w:tc>
        <w:tc>
          <w:tcPr>
            <w:tcW w:w="1617" w:type="dxa"/>
          </w:tcPr>
          <w:p w14:paraId="41376FC4" w14:textId="4D5E06B4" w:rsidR="00A64CB2" w:rsidRDefault="00A64CB2" w:rsidP="002A6599">
            <w:pPr>
              <w:pStyle w:val="Body"/>
            </w:pPr>
            <w:r>
              <w:t>Yes, multiple, consistent an independent lines of high-quality evidence to support a quantified measure of uncertainty</w:t>
            </w:r>
          </w:p>
        </w:tc>
        <w:tc>
          <w:tcPr>
            <w:tcW w:w="1617" w:type="dxa"/>
          </w:tcPr>
          <w:p w14:paraId="0E0EF452" w14:textId="1EDB367C" w:rsidR="00A64CB2" w:rsidRDefault="00A64CB2" w:rsidP="00A64CB2">
            <w:pPr>
              <w:pStyle w:val="Body"/>
            </w:pPr>
            <w:r>
              <w:t>Yes, multiple, consistent an independent lines of high-quality evidence to support a level of confidence</w:t>
            </w:r>
          </w:p>
        </w:tc>
        <w:tc>
          <w:tcPr>
            <w:tcW w:w="1618" w:type="dxa"/>
          </w:tcPr>
          <w:p w14:paraId="647C8442" w14:textId="2B34140A" w:rsidR="00A64CB2" w:rsidRDefault="00A64CB2" w:rsidP="002A6599">
            <w:pPr>
              <w:pStyle w:val="Body"/>
            </w:pPr>
            <w:r>
              <w:t>Yes, multiple, consistent an independent lines of high-quality evidence to support a quantified measure of uncertainty</w:t>
            </w:r>
          </w:p>
        </w:tc>
      </w:tr>
      <w:tr w:rsidR="00A64CB2" w14:paraId="6ADE51E1" w14:textId="77777777" w:rsidTr="00674390">
        <w:trPr>
          <w:trHeight w:val="890"/>
        </w:trPr>
        <w:tc>
          <w:tcPr>
            <w:tcW w:w="1273" w:type="dxa"/>
            <w:vMerge/>
          </w:tcPr>
          <w:p w14:paraId="3B2E1B00" w14:textId="77777777" w:rsidR="00A64CB2" w:rsidRDefault="00A64CB2" w:rsidP="00A64CB2">
            <w:pPr>
              <w:pStyle w:val="Body"/>
              <w:rPr>
                <w:noProof/>
                <w:lang w:eastAsia="en-AU"/>
              </w:rPr>
            </w:pPr>
          </w:p>
        </w:tc>
        <w:tc>
          <w:tcPr>
            <w:tcW w:w="1274" w:type="dxa"/>
          </w:tcPr>
          <w:p w14:paraId="72CEAA7C" w14:textId="62BDD1E6" w:rsidR="00A64CB2" w:rsidRDefault="009B0583" w:rsidP="009B0583">
            <w:pPr>
              <w:pStyle w:val="Body"/>
              <w:rPr>
                <w:noProof/>
                <w:lang w:eastAsia="en-AU"/>
              </w:rPr>
            </w:pPr>
            <w:r>
              <w:rPr>
                <w:noProof/>
                <w:lang w:eastAsia="en-AU"/>
              </w:rPr>
              <w:t xml:space="preserve">Level of confidence or </w:t>
            </w:r>
            <w:r>
              <w:t>quantified measure of uncertainty (likelihood)</w:t>
            </w:r>
          </w:p>
        </w:tc>
        <w:tc>
          <w:tcPr>
            <w:tcW w:w="1617" w:type="dxa"/>
          </w:tcPr>
          <w:p w14:paraId="7D6F4EEE" w14:textId="2FA70DB5" w:rsidR="00A64CB2" w:rsidRDefault="00A64CB2" w:rsidP="00A64CB2">
            <w:pPr>
              <w:pStyle w:val="Body"/>
            </w:pPr>
            <w:r>
              <w:t>Extremely unlikely (&lt;5% probability) with high confidence to extend vertically beyond 100m with parameters as defined in Appendix 7</w:t>
            </w:r>
          </w:p>
        </w:tc>
        <w:tc>
          <w:tcPr>
            <w:tcW w:w="1617" w:type="dxa"/>
          </w:tcPr>
          <w:p w14:paraId="3233F247" w14:textId="6840A858" w:rsidR="00A64CB2" w:rsidRDefault="00A64CB2" w:rsidP="00A64CB2">
            <w:pPr>
              <w:pStyle w:val="Body"/>
            </w:pPr>
            <w:r>
              <w:t>Extremely unlikely (&lt;5% probability) with high confidence to extend horizontally beyond 300m with parameters as defined in Appendix 7</w:t>
            </w:r>
          </w:p>
        </w:tc>
        <w:tc>
          <w:tcPr>
            <w:tcW w:w="1617" w:type="dxa"/>
          </w:tcPr>
          <w:p w14:paraId="0DE26457" w14:textId="280C6207" w:rsidR="00A64CB2" w:rsidRDefault="009B0583" w:rsidP="00CE720A">
            <w:pPr>
              <w:pStyle w:val="Body"/>
            </w:pPr>
            <w:r>
              <w:t>High to very confidence that this pathway</w:t>
            </w:r>
            <w:r w:rsidR="00CE720A">
              <w:t xml:space="preserve"> would be unlikely</w:t>
            </w:r>
          </w:p>
        </w:tc>
        <w:tc>
          <w:tcPr>
            <w:tcW w:w="1618" w:type="dxa"/>
          </w:tcPr>
          <w:p w14:paraId="41300937" w14:textId="5E3CE13D" w:rsidR="00A64CB2" w:rsidRDefault="00A64CB2" w:rsidP="00A64CB2">
            <w:pPr>
              <w:pStyle w:val="Body"/>
            </w:pPr>
            <w:r>
              <w:t>Extremely unlikely (&lt;5% probability) with high confidence to extend horizontally beyond 300m with parameters as defined in Appendix 7</w:t>
            </w:r>
          </w:p>
        </w:tc>
      </w:tr>
    </w:tbl>
    <w:p w14:paraId="0DBB5C57" w14:textId="4374CAD3" w:rsidR="00C6585C" w:rsidRDefault="00C6585C" w:rsidP="00C6585C">
      <w:pPr>
        <w:pStyle w:val="Heading3"/>
      </w:pPr>
      <w:bookmarkStart w:id="212" w:name="_Toc494444530"/>
      <w:r>
        <w:t>Methodology</w:t>
      </w:r>
      <w:r w:rsidR="000863BF">
        <w:t xml:space="preserve"> for assessment of fate and transport pathways</w:t>
      </w:r>
      <w:bookmarkEnd w:id="212"/>
    </w:p>
    <w:p w14:paraId="0F05E5AD" w14:textId="5FA4AA42" w:rsidR="00D70217" w:rsidRPr="00E6110F" w:rsidRDefault="00D70217" w:rsidP="00D70217">
      <w:pPr>
        <w:pStyle w:val="Heading3"/>
        <w:numPr>
          <w:ilvl w:val="3"/>
          <w:numId w:val="1"/>
        </w:numPr>
      </w:pPr>
      <w:bookmarkStart w:id="213" w:name="_Toc494444531"/>
      <w:r w:rsidRPr="00E6110F">
        <w:t>Flow-path segmentation</w:t>
      </w:r>
      <w:bookmarkEnd w:id="213"/>
    </w:p>
    <w:p w14:paraId="00AE84BB" w14:textId="7D0F6F1D" w:rsidR="002633FF" w:rsidRPr="00E6110F" w:rsidRDefault="00FD0BAE" w:rsidP="00FD0BAE">
      <w:pPr>
        <w:pStyle w:val="Body"/>
      </w:pPr>
      <w:r w:rsidRPr="00E6110F">
        <w:t>The conceptual model</w:t>
      </w:r>
      <w:r w:rsidR="008452B6">
        <w:t>s</w:t>
      </w:r>
      <w:r w:rsidRPr="00E6110F">
        <w:t xml:space="preserve"> </w:t>
      </w:r>
      <w:r w:rsidR="00170A45" w:rsidRPr="00E6110F">
        <w:t xml:space="preserve">underpinning the Level-2 </w:t>
      </w:r>
      <w:r w:rsidR="00FF781A">
        <w:t>assessments</w:t>
      </w:r>
      <w:r w:rsidR="00170A45" w:rsidRPr="00E6110F">
        <w:t xml:space="preserve"> </w:t>
      </w:r>
      <w:r w:rsidR="008452B6">
        <w:t>consider</w:t>
      </w:r>
      <w:r w:rsidRPr="00E6110F">
        <w:t xml:space="preserve"> possible pathways for exposure and allow </w:t>
      </w:r>
      <w:r w:rsidR="008452B6">
        <w:t xml:space="preserve">assessment </w:t>
      </w:r>
      <w:r w:rsidRPr="00E6110F">
        <w:t>of chemicals on the basis of comparing particle transport time to a receptor against time to degrade to a certain % of the initial concentration (e.g. 10 or 1%, depending on the toxicity category)</w:t>
      </w:r>
      <w:r w:rsidR="00AF3DA8">
        <w:t>. C</w:t>
      </w:r>
      <w:r w:rsidRPr="00E6110F">
        <w:t xml:space="preserve">hemicals may be considered to present elevated exposure potential if they have more than </w:t>
      </w:r>
      <w:r w:rsidR="00AF3DA8">
        <w:t xml:space="preserve">a predefined </w:t>
      </w:r>
      <w:r w:rsidRPr="00E6110F">
        <w:t xml:space="preserve">% of </w:t>
      </w:r>
      <w:r w:rsidR="008452B6">
        <w:t xml:space="preserve">their </w:t>
      </w:r>
      <w:r w:rsidRPr="00E6110F">
        <w:t xml:space="preserve">initial </w:t>
      </w:r>
      <w:r w:rsidR="008452B6">
        <w:t xml:space="preserve">source </w:t>
      </w:r>
      <w:r w:rsidRPr="00E6110F">
        <w:t xml:space="preserve">concentration remaining at the target receptor </w:t>
      </w:r>
      <w:r w:rsidR="003E6B66">
        <w:t>(s</w:t>
      </w:r>
      <w:r w:rsidR="003E6B66" w:rsidRPr="003E6B66">
        <w:t>ee e.g. recent work by Rogers et al. 2015.</w:t>
      </w:r>
      <w:r w:rsidR="003E6B66">
        <w:t xml:space="preserve">). </w:t>
      </w:r>
      <w:r w:rsidR="008452B6">
        <w:t>T</w:t>
      </w:r>
      <w:r w:rsidR="008452B6" w:rsidRPr="00E6110F">
        <w:t xml:space="preserve">he remaining concentration at a receptor </w:t>
      </w:r>
      <w:r w:rsidR="008452B6">
        <w:t>can further be used to calculate so-called</w:t>
      </w:r>
      <w:r w:rsidRPr="00E6110F">
        <w:t xml:space="preserve"> dilution attenuation factors (DAF). </w:t>
      </w:r>
      <w:r w:rsidR="008452B6">
        <w:t>How much degradation will occur for a given chemical half-life depends on the c</w:t>
      </w:r>
      <w:r w:rsidR="00FF781A">
        <w:t>hemical</w:t>
      </w:r>
      <w:r w:rsidR="008452B6">
        <w:t>’s</w:t>
      </w:r>
      <w:r w:rsidR="00FF781A">
        <w:t xml:space="preserve"> t</w:t>
      </w:r>
      <w:r w:rsidRPr="00E6110F">
        <w:t>ransport time</w:t>
      </w:r>
      <w:r w:rsidR="008452B6">
        <w:t xml:space="preserve"> between source and receptor,</w:t>
      </w:r>
      <w:r w:rsidRPr="00E6110F">
        <w:t xml:space="preserve"> </w:t>
      </w:r>
      <w:r w:rsidR="008452B6">
        <w:t xml:space="preserve">which in turn </w:t>
      </w:r>
      <w:r w:rsidRPr="00E6110F">
        <w:t>depends on transport distance, groundwater velocity and geological attenuation for a defined pathway.</w:t>
      </w:r>
    </w:p>
    <w:p w14:paraId="0C55D2E2" w14:textId="17059B97" w:rsidR="00FD0BAE" w:rsidRPr="00E6110F" w:rsidRDefault="0043491B" w:rsidP="00FD0BAE">
      <w:pPr>
        <w:pStyle w:val="Body"/>
      </w:pPr>
      <w:r>
        <w:t>For the current study to provide a broad range of possible transport pathways across coal seam gas areas in Australia, t</w:t>
      </w:r>
      <w:r w:rsidR="00FD0BAE" w:rsidRPr="00E6110F">
        <w:t>he transport</w:t>
      </w:r>
      <w:r w:rsidR="00933299">
        <w:t xml:space="preserve"> pathways and the corresponding travel</w:t>
      </w:r>
      <w:r w:rsidR="00FD0BAE" w:rsidRPr="00E6110F">
        <w:t xml:space="preserve"> time from a contaminant source to a receptor class </w:t>
      </w:r>
      <w:r w:rsidR="002633FF" w:rsidRPr="00E6110F">
        <w:t>has been</w:t>
      </w:r>
      <w:r w:rsidR="00FD0BAE" w:rsidRPr="00E6110F">
        <w:t xml:space="preserve"> calculated in two separate study areas</w:t>
      </w:r>
      <w:r w:rsidR="002633FF" w:rsidRPr="00E6110F">
        <w:t>.</w:t>
      </w:r>
      <w:r w:rsidR="00FD0BAE" w:rsidRPr="00E6110F">
        <w:t xml:space="preserve"> </w:t>
      </w:r>
      <w:r w:rsidR="002633FF" w:rsidRPr="00E6110F">
        <w:t xml:space="preserve">The first area </w:t>
      </w:r>
      <w:r w:rsidR="00FD0BAE" w:rsidRPr="00E6110F">
        <w:t>us</w:t>
      </w:r>
      <w:r w:rsidR="002633FF" w:rsidRPr="00E6110F">
        <w:t>es</w:t>
      </w:r>
      <w:r w:rsidR="00FD0BAE" w:rsidRPr="00E6110F">
        <w:t xml:space="preserve"> an existing groundwater model developed for the Surat and Bowen basin</w:t>
      </w:r>
      <w:r w:rsidR="00933299">
        <w:t xml:space="preserve"> in Queensland</w:t>
      </w:r>
      <w:r w:rsidR="00FD0BAE" w:rsidRPr="00E6110F">
        <w:t xml:space="preserve"> (OGIA model</w:t>
      </w:r>
      <w:r w:rsidR="008A4902" w:rsidRPr="00E6110F">
        <w:t>, QWC 2012</w:t>
      </w:r>
      <w:r w:rsidR="00FD0BAE" w:rsidRPr="00E6110F">
        <w:t>) and used by CSIRO in the GISERA project</w:t>
      </w:r>
      <w:r w:rsidR="008A4902" w:rsidRPr="00E6110F">
        <w:t xml:space="preserve"> (</w:t>
      </w:r>
      <w:r w:rsidR="00AD2F81" w:rsidRPr="00F72579">
        <w:t>Janardhanan</w:t>
      </w:r>
      <w:r w:rsidR="00AD2F81" w:rsidRPr="00E6110F" w:rsidDel="00AD2F81">
        <w:t xml:space="preserve"> </w:t>
      </w:r>
      <w:r w:rsidR="000B553F" w:rsidRPr="00E6110F">
        <w:t xml:space="preserve">and Moore </w:t>
      </w:r>
      <w:r w:rsidR="009C6A79" w:rsidRPr="00E6110F">
        <w:t>2015</w:t>
      </w:r>
      <w:r w:rsidR="008A4902" w:rsidRPr="00E6110F">
        <w:t>)</w:t>
      </w:r>
      <w:r w:rsidR="00FD0BAE" w:rsidRPr="00E6110F">
        <w:t xml:space="preserve">. </w:t>
      </w:r>
      <w:r w:rsidR="002633FF" w:rsidRPr="00E6110F">
        <w:t xml:space="preserve">The second area is within the Gunnedah basin, New South Wales, and uses </w:t>
      </w:r>
      <w:r w:rsidR="00FF781A">
        <w:t>the</w:t>
      </w:r>
      <w:r w:rsidR="002633FF" w:rsidRPr="00E6110F">
        <w:t xml:space="preserve"> groundwater model developed by CDM</w:t>
      </w:r>
      <w:r w:rsidR="009C6A79" w:rsidRPr="00E6110F">
        <w:t xml:space="preserve"> </w:t>
      </w:r>
      <w:r w:rsidR="002633FF" w:rsidRPr="00E6110F">
        <w:t>Smith (2014).</w:t>
      </w:r>
      <w:r w:rsidR="00FD0BAE" w:rsidRPr="00E6110F">
        <w:t xml:space="preserve"> </w:t>
      </w:r>
      <w:r w:rsidR="008A4902" w:rsidRPr="00E6110F">
        <w:t>Th</w:t>
      </w:r>
      <w:r w:rsidR="00933299">
        <w:t xml:space="preserve">e use of existing groundwater flow models </w:t>
      </w:r>
      <w:r w:rsidR="008A4902" w:rsidRPr="00E6110F">
        <w:t xml:space="preserve">ensures the assessment </w:t>
      </w:r>
      <w:r w:rsidR="00FF781A">
        <w:t>is</w:t>
      </w:r>
      <w:r w:rsidR="008A4902" w:rsidRPr="00E6110F">
        <w:t xml:space="preserve"> cost-effective and fit-for-purpose while using best-practice methods.</w:t>
      </w:r>
    </w:p>
    <w:p w14:paraId="6219072C" w14:textId="36383A99" w:rsidR="004508AC" w:rsidRDefault="00FD0BAE" w:rsidP="00FD0BAE">
      <w:pPr>
        <w:pStyle w:val="Body"/>
      </w:pPr>
      <w:r w:rsidRPr="00E6110F">
        <w:t xml:space="preserve">Upper bound transport times between source and receptor </w:t>
      </w:r>
      <w:r w:rsidR="00B22FE3">
        <w:t>are</w:t>
      </w:r>
      <w:r w:rsidRPr="00E6110F">
        <w:t xml:space="preserve"> obtained by </w:t>
      </w:r>
      <w:r w:rsidR="004508AC">
        <w:t xml:space="preserve">assuming the chemicals migrate unretarded through groundwater, i.e. no geological attenuation is assumed. This effectively means that the chemical velocity equals that of a water molecule. In a later stage of the assessment geological attenuation (sorption) will be added to the transport process in order to derive a more realistic concentration at a given receptor (see </w:t>
      </w:r>
      <w:r w:rsidR="008D530E">
        <w:t>S</w:t>
      </w:r>
      <w:r w:rsidR="004508AC">
        <w:t xml:space="preserve">ection </w:t>
      </w:r>
      <w:r w:rsidR="004508AC">
        <w:fldChar w:fldCharType="begin" w:fldLock="1"/>
      </w:r>
      <w:r w:rsidR="004508AC">
        <w:instrText xml:space="preserve"> REF _Ref459733783 \r \h </w:instrText>
      </w:r>
      <w:r w:rsidR="004508AC">
        <w:fldChar w:fldCharType="separate"/>
      </w:r>
      <w:r w:rsidR="00335E79">
        <w:t>5</w:t>
      </w:r>
      <w:r w:rsidR="004508AC">
        <w:fldChar w:fldCharType="end"/>
      </w:r>
      <w:r w:rsidR="004508AC">
        <w:t>).</w:t>
      </w:r>
    </w:p>
    <w:p w14:paraId="148261EF" w14:textId="3F355CB2" w:rsidR="008E3280" w:rsidRDefault="004508AC" w:rsidP="00FD0BAE">
      <w:pPr>
        <w:pStyle w:val="Body"/>
      </w:pPr>
      <w:r>
        <w:t xml:space="preserve">Because of the complexity of calculating transport pathways from a coal seam gas well environment via leakage pathways linked to wells, faults, or other features into adjacent aquifers, </w:t>
      </w:r>
      <w:r w:rsidR="008E3280">
        <w:t xml:space="preserve">the </w:t>
      </w:r>
      <w:r w:rsidR="00FD0BAE" w:rsidRPr="00E6110F">
        <w:t xml:space="preserve">total </w:t>
      </w:r>
      <w:r w:rsidR="00FF781A">
        <w:t xml:space="preserve">transport </w:t>
      </w:r>
      <w:r w:rsidR="00FD0BAE" w:rsidRPr="00E6110F">
        <w:t xml:space="preserve">pathway </w:t>
      </w:r>
      <w:r w:rsidR="00B22FE3">
        <w:t>is</w:t>
      </w:r>
      <w:r w:rsidR="008E3280">
        <w:t xml:space="preserve"> </w:t>
      </w:r>
      <w:r w:rsidR="008E3280" w:rsidRPr="00E6110F">
        <w:t>segment</w:t>
      </w:r>
      <w:r w:rsidR="008E3280">
        <w:t>ed</w:t>
      </w:r>
      <w:r w:rsidR="008E3280" w:rsidRPr="00E6110F">
        <w:t xml:space="preserve"> </w:t>
      </w:r>
      <w:r w:rsidR="00FD0BAE" w:rsidRPr="00E6110F">
        <w:t xml:space="preserve">into </w:t>
      </w:r>
      <w:r w:rsidR="00FF781A">
        <w:t>two</w:t>
      </w:r>
      <w:r w:rsidR="00FD0BAE" w:rsidRPr="00E6110F">
        <w:t xml:space="preserve"> individual segments</w:t>
      </w:r>
      <w:r w:rsidR="00AF3DA8">
        <w:t xml:space="preserve"> (</w:t>
      </w:r>
      <w:r w:rsidR="00AF3DA8">
        <w:fldChar w:fldCharType="begin" w:fldLock="1"/>
      </w:r>
      <w:r w:rsidR="00AF3DA8">
        <w:instrText xml:space="preserve"> REF _Ref460791406 \h </w:instrText>
      </w:r>
      <w:r w:rsidR="00AF3DA8">
        <w:fldChar w:fldCharType="separate"/>
      </w:r>
      <w:r w:rsidR="00335E79">
        <w:t xml:space="preserve">Figure </w:t>
      </w:r>
      <w:r w:rsidR="00335E79">
        <w:rPr>
          <w:noProof/>
        </w:rPr>
        <w:t>2</w:t>
      </w:r>
      <w:r w:rsidR="00335E79">
        <w:noBreakHyphen/>
      </w:r>
      <w:r w:rsidR="00335E79">
        <w:rPr>
          <w:noProof/>
        </w:rPr>
        <w:t>32</w:t>
      </w:r>
      <w:r w:rsidR="00AF3DA8">
        <w:fldChar w:fldCharType="end"/>
      </w:r>
      <w:r w:rsidR="00AF3DA8">
        <w:t>)</w:t>
      </w:r>
      <w:r w:rsidR="00FF781A">
        <w:t xml:space="preserve">. </w:t>
      </w:r>
      <w:r w:rsidR="008E3280">
        <w:t>In this way d</w:t>
      </w:r>
      <w:r w:rsidR="00FD0BAE" w:rsidRPr="00E6110F">
        <w:t xml:space="preserve">ifferent transport models </w:t>
      </w:r>
      <w:r w:rsidR="008E3280">
        <w:t xml:space="preserve">or approaches </w:t>
      </w:r>
      <w:r w:rsidR="00DA183D">
        <w:t>may be</w:t>
      </w:r>
      <w:r w:rsidR="00FD0BAE" w:rsidRPr="00E6110F">
        <w:t xml:space="preserve"> used to derive </w:t>
      </w:r>
      <w:r w:rsidR="008E3280">
        <w:t xml:space="preserve">the </w:t>
      </w:r>
      <w:r w:rsidR="00FD0BAE" w:rsidRPr="00E6110F">
        <w:t xml:space="preserve">travel time in each segment separately. </w:t>
      </w:r>
      <w:r w:rsidR="008E3280">
        <w:t>If indeed the transport time can be assessed in each of the individual segments, then t</w:t>
      </w:r>
      <w:r w:rsidR="00FD0BAE" w:rsidRPr="00E6110F">
        <w:t xml:space="preserve">otal transport time is obtained from aggregation of the individual travel times for each segment. </w:t>
      </w:r>
    </w:p>
    <w:p w14:paraId="4D4F67B3" w14:textId="5B856887" w:rsidR="00834290" w:rsidRDefault="00834290" w:rsidP="00136201">
      <w:pPr>
        <w:pStyle w:val="Body"/>
        <w:jc w:val="center"/>
      </w:pPr>
      <w:r w:rsidRPr="00834290">
        <w:rPr>
          <w:noProof/>
          <w:lang w:val="en-AU" w:eastAsia="en-AU"/>
        </w:rPr>
        <w:drawing>
          <wp:inline distT="0" distB="0" distL="0" distR="0" wp14:anchorId="013C5EB3" wp14:editId="347E97B5">
            <wp:extent cx="3875314" cy="4397679"/>
            <wp:effectExtent l="0" t="0" r="0" b="317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880197" cy="4403220"/>
                    </a:xfrm>
                    <a:prstGeom prst="rect">
                      <a:avLst/>
                    </a:prstGeom>
                    <a:noFill/>
                    <a:ln>
                      <a:noFill/>
                    </a:ln>
                  </pic:spPr>
                </pic:pic>
              </a:graphicData>
            </a:graphic>
          </wp:inline>
        </w:drawing>
      </w:r>
    </w:p>
    <w:p w14:paraId="778ED2CB" w14:textId="677D4DD7" w:rsidR="00834290" w:rsidRDefault="00834290" w:rsidP="00834290">
      <w:pPr>
        <w:pStyle w:val="Imagecaption"/>
      </w:pPr>
      <w:bookmarkStart w:id="214" w:name="_Ref460791406"/>
      <w:bookmarkStart w:id="215" w:name="_Toc477347564"/>
      <w:r>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32</w:t>
      </w:r>
      <w:r w:rsidR="00254026">
        <w:fldChar w:fldCharType="end"/>
      </w:r>
      <w:bookmarkEnd w:id="214"/>
      <w:r>
        <w:t xml:space="preserve"> Segmentation of a plausible flowpath involving flow through a leaky wellbore annulus (</w:t>
      </w:r>
      <w:r w:rsidR="008D530E">
        <w:t>S</w:t>
      </w:r>
      <w:r>
        <w:t>egment A) and flow through a water bearing aquifer potentially intercepting a groundwater dependent ecosystem (</w:t>
      </w:r>
      <w:r w:rsidR="008D530E">
        <w:t>S</w:t>
      </w:r>
      <w:r>
        <w:t>egment B).</w:t>
      </w:r>
      <w:bookmarkEnd w:id="215"/>
    </w:p>
    <w:p w14:paraId="6192AE2F" w14:textId="7D5CD71B" w:rsidR="00DA183D" w:rsidRDefault="00DA183D" w:rsidP="00FD0BAE">
      <w:pPr>
        <w:pStyle w:val="Body"/>
      </w:pPr>
      <w:r>
        <w:t xml:space="preserve">The first segment involves the CSG well environment and considers chemical migration along </w:t>
      </w:r>
      <w:r w:rsidR="008E3280">
        <w:t xml:space="preserve">four </w:t>
      </w:r>
      <w:r>
        <w:t>plausible pathways into overlying/underlying or nearby aquifers</w:t>
      </w:r>
      <w:r w:rsidR="008E3280">
        <w:t xml:space="preserve"> (</w:t>
      </w:r>
      <w:r w:rsidR="00834290">
        <w:fldChar w:fldCharType="begin" w:fldLock="1"/>
      </w:r>
      <w:r w:rsidR="00834290">
        <w:instrText xml:space="preserve"> REF _Ref460791406 \h </w:instrText>
      </w:r>
      <w:r w:rsidR="00834290">
        <w:fldChar w:fldCharType="separate"/>
      </w:r>
      <w:r w:rsidR="00335E79">
        <w:t xml:space="preserve">Figure </w:t>
      </w:r>
      <w:r w:rsidR="00335E79">
        <w:rPr>
          <w:noProof/>
        </w:rPr>
        <w:t>2</w:t>
      </w:r>
      <w:r w:rsidR="00335E79">
        <w:noBreakHyphen/>
      </w:r>
      <w:r w:rsidR="00335E79">
        <w:rPr>
          <w:noProof/>
        </w:rPr>
        <w:t>32</w:t>
      </w:r>
      <w:r w:rsidR="00834290">
        <w:fldChar w:fldCharType="end"/>
      </w:r>
      <w:r w:rsidR="00834290">
        <w:t xml:space="preserve"> and </w:t>
      </w:r>
      <w:r w:rsidR="008E3280">
        <w:t>section</w:t>
      </w:r>
      <w:r w:rsidR="00834290">
        <w:t xml:space="preserve"> </w:t>
      </w:r>
      <w:r w:rsidR="00834290">
        <w:fldChar w:fldCharType="begin" w:fldLock="1"/>
      </w:r>
      <w:r w:rsidR="00834290">
        <w:instrText xml:space="preserve"> REF _Ref446688442 \r \h </w:instrText>
      </w:r>
      <w:r w:rsidR="00834290">
        <w:fldChar w:fldCharType="separate"/>
      </w:r>
      <w:r w:rsidR="00335E79">
        <w:t>2.6.2</w:t>
      </w:r>
      <w:r w:rsidR="00834290">
        <w:fldChar w:fldCharType="end"/>
      </w:r>
      <w:r w:rsidR="008E3280">
        <w:t>)</w:t>
      </w:r>
      <w:r>
        <w:t>. The second segment involves chemical migration through aquifers towards a groundwater-related receptor</w:t>
      </w:r>
      <w:r w:rsidR="00834290">
        <w:t xml:space="preserve"> (</w:t>
      </w:r>
      <w:r w:rsidR="00834290">
        <w:fldChar w:fldCharType="begin" w:fldLock="1"/>
      </w:r>
      <w:r w:rsidR="00834290">
        <w:instrText xml:space="preserve"> REF _Ref460791406 \h </w:instrText>
      </w:r>
      <w:r w:rsidR="00834290">
        <w:fldChar w:fldCharType="separate"/>
      </w:r>
      <w:r w:rsidR="00335E79">
        <w:t xml:space="preserve">Figure </w:t>
      </w:r>
      <w:r w:rsidR="00335E79">
        <w:rPr>
          <w:noProof/>
        </w:rPr>
        <w:t>2</w:t>
      </w:r>
      <w:r w:rsidR="00335E79">
        <w:noBreakHyphen/>
      </w:r>
      <w:r w:rsidR="00335E79">
        <w:rPr>
          <w:noProof/>
        </w:rPr>
        <w:t>32</w:t>
      </w:r>
      <w:r w:rsidR="00834290">
        <w:fldChar w:fldCharType="end"/>
      </w:r>
      <w:r w:rsidR="00834290">
        <w:t>)</w:t>
      </w:r>
      <w:r>
        <w:t>.</w:t>
      </w:r>
    </w:p>
    <w:p w14:paraId="1D4ECFC8" w14:textId="4187572A" w:rsidR="00245856" w:rsidRDefault="00FD0BAE" w:rsidP="00FD0BAE">
      <w:pPr>
        <w:pStyle w:val="Body"/>
      </w:pPr>
      <w:r w:rsidRPr="00E6110F">
        <w:t>For example, consider the pathway “Fracture growth into an overlying aquifer”</w:t>
      </w:r>
      <w:r w:rsidR="00860F34">
        <w:t xml:space="preserve"> (for details see </w:t>
      </w:r>
      <w:r w:rsidR="008D530E">
        <w:t>S</w:t>
      </w:r>
      <w:r w:rsidR="00860F34">
        <w:t xml:space="preserve">ection </w:t>
      </w:r>
      <w:r w:rsidR="00860F34">
        <w:fldChar w:fldCharType="begin" w:fldLock="1"/>
      </w:r>
      <w:r w:rsidR="00860F34">
        <w:instrText xml:space="preserve"> REF _Ref458953945 \r \h </w:instrText>
      </w:r>
      <w:r w:rsidR="00860F34">
        <w:fldChar w:fldCharType="separate"/>
      </w:r>
      <w:r w:rsidR="00335E79">
        <w:t>2.6.2.1</w:t>
      </w:r>
      <w:r w:rsidR="00860F34">
        <w:fldChar w:fldCharType="end"/>
      </w:r>
      <w:r w:rsidR="00860F34">
        <w:t>)</w:t>
      </w:r>
      <w:r w:rsidRPr="00E6110F">
        <w:t xml:space="preserve">: this could involve a first segment from the fractured zone in a coal seam, the whole way up through an aquitard and loss of fluid into a high-permeability aquifer (the first segment ends at the aquitard/aquifer interface). This is then followed by a second segment involving transport from the aquitard/aquifer interface towards a potential receptor (water bore at a given distance defined by the spatial analysis). </w:t>
      </w:r>
    </w:p>
    <w:p w14:paraId="66A62CA1" w14:textId="009C8118" w:rsidR="008E3280" w:rsidRDefault="00FD0BAE" w:rsidP="00366CD9">
      <w:pPr>
        <w:pStyle w:val="Body"/>
        <w:numPr>
          <w:ilvl w:val="0"/>
          <w:numId w:val="57"/>
        </w:numPr>
      </w:pPr>
      <w:r w:rsidRPr="00E6110F">
        <w:t xml:space="preserve">For the first segment, the study </w:t>
      </w:r>
      <w:r w:rsidR="00DA183D">
        <w:t>conservatively assume</w:t>
      </w:r>
      <w:r w:rsidR="008E3280">
        <w:t>s</w:t>
      </w:r>
      <w:r w:rsidR="00DA183D">
        <w:t xml:space="preserve"> that an unspecified but significant fraction of the injected hydraulic </w:t>
      </w:r>
      <w:r w:rsidR="00B131D2">
        <w:t xml:space="preserve">fracturing </w:t>
      </w:r>
      <w:r w:rsidR="00DA183D">
        <w:t xml:space="preserve">fluid </w:t>
      </w:r>
      <w:r w:rsidR="00B131D2">
        <w:t xml:space="preserve">will travel through each of the plausible pathways and reach the nearest aquifer. </w:t>
      </w:r>
      <w:r w:rsidR="00860F34">
        <w:t>Theoretically, t</w:t>
      </w:r>
      <w:r w:rsidR="00B131D2">
        <w:t xml:space="preserve">his fraction </w:t>
      </w:r>
      <w:r w:rsidR="00860F34">
        <w:t>would generate a solute plume where the fluid enter</w:t>
      </w:r>
      <w:r w:rsidR="008E3280">
        <w:t>s</w:t>
      </w:r>
      <w:r w:rsidR="00860F34">
        <w:t xml:space="preserve"> a permeable aquifer. </w:t>
      </w:r>
      <w:r w:rsidR="00F44E87">
        <w:t xml:space="preserve">The assessment further assumes, conservatively, that the solute is transported instantaneously from its injection point to the point where the pathway discharge into an aquifer. In other words, the travel time is effectively zero. </w:t>
      </w:r>
      <w:r w:rsidR="00A265C7">
        <w:t>In other words, chemical concentrations along the first segment are not calculated, as only particle tracking for the second segment will be undertaken.</w:t>
      </w:r>
      <w:r w:rsidR="00F44E87">
        <w:t xml:space="preserve">                                       </w:t>
      </w:r>
    </w:p>
    <w:p w14:paraId="1A047F60" w14:textId="0F1122E7" w:rsidR="008A4902" w:rsidRPr="00E6110F" w:rsidRDefault="008E3280" w:rsidP="00366CD9">
      <w:pPr>
        <w:pStyle w:val="Body"/>
        <w:numPr>
          <w:ilvl w:val="0"/>
          <w:numId w:val="57"/>
        </w:numPr>
      </w:pPr>
      <w:r>
        <w:t>To calculate</w:t>
      </w:r>
      <w:r w:rsidR="00860F34">
        <w:t xml:space="preserve"> the subsequent migration of such solute plume through the </w:t>
      </w:r>
      <w:r w:rsidR="00B22FE3">
        <w:t xml:space="preserve">second segment (i.e. </w:t>
      </w:r>
      <w:r w:rsidR="00860F34">
        <w:t>aquifer</w:t>
      </w:r>
      <w:r w:rsidR="00B22FE3">
        <w:t>)</w:t>
      </w:r>
      <w:r w:rsidR="00860F34">
        <w:t xml:space="preserve">, </w:t>
      </w:r>
      <w:r>
        <w:t>a</w:t>
      </w:r>
      <w:r w:rsidR="00245856">
        <w:t xml:space="preserve"> much finer spatial discretisation </w:t>
      </w:r>
      <w:r>
        <w:t xml:space="preserve">would be required </w:t>
      </w:r>
      <w:r w:rsidR="00A265C7">
        <w:t xml:space="preserve">in comparison to the corresponding flow model </w:t>
      </w:r>
      <w:r>
        <w:t xml:space="preserve">(mainly </w:t>
      </w:r>
      <w:r w:rsidR="00245856">
        <w:t>to limit numerical dispersion</w:t>
      </w:r>
      <w:r>
        <w:t>). M</w:t>
      </w:r>
      <w:r w:rsidR="00860F34">
        <w:t xml:space="preserve">uch more simplified but still fit-for-purpose particle tracking </w:t>
      </w:r>
      <w:r w:rsidR="00FD0BAE" w:rsidRPr="00E6110F">
        <w:t xml:space="preserve">simulations </w:t>
      </w:r>
      <w:r w:rsidR="00B22FE3">
        <w:t>are</w:t>
      </w:r>
      <w:r w:rsidR="00860F34">
        <w:t xml:space="preserve"> undertaken </w:t>
      </w:r>
      <w:r>
        <w:t xml:space="preserve">to </w:t>
      </w:r>
      <w:r w:rsidR="00FD0BAE" w:rsidRPr="00E6110F">
        <w:t>deriv</w:t>
      </w:r>
      <w:r>
        <w:t>e</w:t>
      </w:r>
      <w:r w:rsidR="00FD0BAE" w:rsidRPr="00E6110F">
        <w:t xml:space="preserve"> the travel time of a water molecule</w:t>
      </w:r>
      <w:r>
        <w:t>; this travel time</w:t>
      </w:r>
      <w:r w:rsidR="00FD0BAE" w:rsidRPr="00E6110F">
        <w:t xml:space="preserve"> is subsequently adjusted for chemical/biological and geological attenuation using data from </w:t>
      </w:r>
      <w:r w:rsidR="008A4902" w:rsidRPr="00E6110F">
        <w:t xml:space="preserve">Chapter </w:t>
      </w:r>
      <w:r w:rsidR="008A4902" w:rsidRPr="00E6110F">
        <w:fldChar w:fldCharType="begin" w:fldLock="1"/>
      </w:r>
      <w:r w:rsidR="008A4902" w:rsidRPr="00E6110F">
        <w:instrText xml:space="preserve"> REF _Ref446702857 \r \h </w:instrText>
      </w:r>
      <w:r w:rsidR="00E6110F">
        <w:instrText xml:space="preserve"> \* MERGEFORMAT </w:instrText>
      </w:r>
      <w:r w:rsidR="008A4902" w:rsidRPr="00E6110F">
        <w:fldChar w:fldCharType="separate"/>
      </w:r>
      <w:r w:rsidR="00335E79">
        <w:t>4</w:t>
      </w:r>
      <w:r w:rsidR="008A4902" w:rsidRPr="00E6110F">
        <w:fldChar w:fldCharType="end"/>
      </w:r>
      <w:r w:rsidR="00FD0BAE" w:rsidRPr="00E6110F">
        <w:t xml:space="preserve">. </w:t>
      </w:r>
    </w:p>
    <w:p w14:paraId="69CCA7EE" w14:textId="521C35E1" w:rsidR="00D70217" w:rsidRPr="00E6110F" w:rsidRDefault="00D70217" w:rsidP="00D70217">
      <w:pPr>
        <w:pStyle w:val="Heading3"/>
        <w:numPr>
          <w:ilvl w:val="3"/>
          <w:numId w:val="1"/>
        </w:numPr>
      </w:pPr>
      <w:bookmarkStart w:id="216" w:name="_Ref458329775"/>
      <w:bookmarkStart w:id="217" w:name="_Toc494444532"/>
      <w:r w:rsidRPr="00E6110F">
        <w:t>Solute particle tracking</w:t>
      </w:r>
      <w:bookmarkEnd w:id="216"/>
      <w:bookmarkEnd w:id="217"/>
    </w:p>
    <w:p w14:paraId="2D02813E" w14:textId="6530FE8A" w:rsidR="003F5E8F" w:rsidRDefault="00B22FE3" w:rsidP="003F5E8F">
      <w:pPr>
        <w:pStyle w:val="Body"/>
      </w:pPr>
      <w:r>
        <w:t>T</w:t>
      </w:r>
      <w:r w:rsidR="00FD0BAE" w:rsidRPr="00E6110F">
        <w:t>h</w:t>
      </w:r>
      <w:r w:rsidR="00DC6BDD">
        <w:t>is</w:t>
      </w:r>
      <w:r w:rsidR="00FD0BAE" w:rsidRPr="00E6110F">
        <w:t xml:space="preserve"> study use</w:t>
      </w:r>
      <w:r>
        <w:t>s</w:t>
      </w:r>
      <w:r w:rsidR="00FD0BAE" w:rsidRPr="00E6110F">
        <w:t xml:space="preserve"> existing groundwater model</w:t>
      </w:r>
      <w:r w:rsidR="00633774" w:rsidRPr="00E6110F">
        <w:t>s</w:t>
      </w:r>
      <w:r w:rsidR="00FD0BAE" w:rsidRPr="00E6110F">
        <w:t xml:space="preserve"> and appl</w:t>
      </w:r>
      <w:r w:rsidR="00633774" w:rsidRPr="00E6110F">
        <w:t>ie</w:t>
      </w:r>
      <w:r w:rsidR="00955C62">
        <w:t>s</w:t>
      </w:r>
      <w:r w:rsidR="00FD0BAE" w:rsidRPr="00E6110F">
        <w:t xml:space="preserve"> particle tracking with MODPATH </w:t>
      </w:r>
      <w:r w:rsidR="00633774" w:rsidRPr="00E6110F">
        <w:t>(</w:t>
      </w:r>
      <w:r w:rsidR="000E0809" w:rsidRPr="00E6110F">
        <w:t>Pollock 2012</w:t>
      </w:r>
      <w:r w:rsidR="00633774" w:rsidRPr="00E6110F">
        <w:t xml:space="preserve">) </w:t>
      </w:r>
      <w:r w:rsidR="00FD0BAE" w:rsidRPr="00E6110F">
        <w:t xml:space="preserve">to determine travel time of water particles </w:t>
      </w:r>
      <w:r w:rsidR="00DC6BDD">
        <w:t xml:space="preserve">(as proxies for chemical substances) </w:t>
      </w:r>
      <w:r w:rsidR="00955C62">
        <w:t xml:space="preserve">in groundwater (i.e. the second segment of a chemical’s pathway) </w:t>
      </w:r>
      <w:r w:rsidR="00FD0BAE" w:rsidRPr="00E6110F">
        <w:t>and subsequently adjust</w:t>
      </w:r>
      <w:r w:rsidR="00955C62">
        <w:t>s</w:t>
      </w:r>
      <w:r w:rsidR="00FD0BAE" w:rsidRPr="00E6110F">
        <w:t xml:space="preserve"> </w:t>
      </w:r>
      <w:r w:rsidR="00DC6BDD">
        <w:t xml:space="preserve">the chemical’s travel time </w:t>
      </w:r>
      <w:r w:rsidR="00FD0BAE" w:rsidRPr="00E6110F">
        <w:t xml:space="preserve">for </w:t>
      </w:r>
      <w:r w:rsidR="00DC6BDD">
        <w:t xml:space="preserve">any relevant </w:t>
      </w:r>
      <w:r w:rsidR="00FD0BAE" w:rsidRPr="00E6110F">
        <w:t xml:space="preserve">attenuation </w:t>
      </w:r>
      <w:r w:rsidR="00DC6BDD">
        <w:t xml:space="preserve">process </w:t>
      </w:r>
      <w:r w:rsidR="00FD0BAE" w:rsidRPr="00E6110F">
        <w:t>(</w:t>
      </w:r>
      <w:r w:rsidR="00FD0BAE" w:rsidRPr="00E6110F">
        <w:fldChar w:fldCharType="begin" w:fldLock="1"/>
      </w:r>
      <w:r w:rsidR="00FD0BAE" w:rsidRPr="00E6110F">
        <w:instrText xml:space="preserve"> REF _Ref436760109 \h  \* MERGEFORMAT </w:instrText>
      </w:r>
      <w:r w:rsidR="00FD0BAE" w:rsidRPr="00E6110F">
        <w:fldChar w:fldCharType="separate"/>
      </w:r>
      <w:r w:rsidR="00335E79" w:rsidRPr="00E6110F">
        <w:t xml:space="preserve">Figure </w:t>
      </w:r>
      <w:r w:rsidR="00335E79">
        <w:t>2</w:t>
      </w:r>
      <w:r w:rsidR="00335E79">
        <w:noBreakHyphen/>
        <w:t>33</w:t>
      </w:r>
      <w:r w:rsidR="00FD0BAE" w:rsidRPr="00E6110F">
        <w:fldChar w:fldCharType="end"/>
      </w:r>
      <w:r w:rsidR="00FD0BAE" w:rsidRPr="00E6110F">
        <w:t>).</w:t>
      </w:r>
      <w:r w:rsidR="003F5E8F">
        <w:t xml:space="preserve"> P</w:t>
      </w:r>
      <w:r w:rsidR="003F5E8F" w:rsidRPr="003F5E8F">
        <w:t xml:space="preserve">article-tracking </w:t>
      </w:r>
      <w:r w:rsidR="003F5E8F">
        <w:t>analysis</w:t>
      </w:r>
      <w:r w:rsidR="003F5E8F" w:rsidRPr="003F5E8F">
        <w:t xml:space="preserve"> are commonly used for mapping </w:t>
      </w:r>
      <w:r w:rsidR="003F5E8F">
        <w:t xml:space="preserve">the </w:t>
      </w:r>
      <w:r w:rsidR="003F5E8F" w:rsidRPr="003F5E8F">
        <w:t>recharge-contributing area to pumping wells (US EPA 1994</w:t>
      </w:r>
      <w:r w:rsidR="001B1F7F">
        <w:t>a</w:t>
      </w:r>
      <w:r w:rsidR="003F5E8F" w:rsidRPr="003F5E8F">
        <w:t xml:space="preserve">) and </w:t>
      </w:r>
      <w:r w:rsidR="003F5E8F">
        <w:t xml:space="preserve">for </w:t>
      </w:r>
      <w:r w:rsidR="003F5E8F" w:rsidRPr="003F5E8F">
        <w:t>obtaining transit times of groundwater at the discharge point (McGuire and McDonnell 2006</w:t>
      </w:r>
      <w:r w:rsidR="003F5E8F">
        <w:t>; Gusyev et al. 2014</w:t>
      </w:r>
      <w:r w:rsidR="003F5E8F" w:rsidRPr="003F5E8F">
        <w:t>).</w:t>
      </w:r>
      <w:r w:rsidR="003F5E8F">
        <w:t xml:space="preserve"> </w:t>
      </w:r>
      <w:r w:rsidR="003F5E8F" w:rsidRPr="003F5E8F">
        <w:t>The MODPATH</w:t>
      </w:r>
      <w:r w:rsidR="003F5E8F">
        <w:t xml:space="preserve"> </w:t>
      </w:r>
      <w:r w:rsidR="003F5E8F" w:rsidRPr="003F5E8F">
        <w:t>generated transit time</w:t>
      </w:r>
      <w:r w:rsidR="003F5E8F">
        <w:t>s</w:t>
      </w:r>
      <w:r w:rsidR="003F5E8F" w:rsidRPr="003F5E8F">
        <w:t xml:space="preserve"> represent the time taken by groundwater molecule</w:t>
      </w:r>
      <w:r w:rsidR="003F5E8F">
        <w:t>s</w:t>
      </w:r>
      <w:r w:rsidR="003F5E8F" w:rsidRPr="003F5E8F">
        <w:t xml:space="preserve"> to travel in groundwater from the starting cell, </w:t>
      </w:r>
      <w:r w:rsidR="003F5E8F">
        <w:t>e.g.</w:t>
      </w:r>
      <w:r w:rsidR="003F5E8F" w:rsidRPr="003F5E8F">
        <w:t xml:space="preserve"> </w:t>
      </w:r>
      <w:r w:rsidR="003F5E8F">
        <w:t xml:space="preserve">the </w:t>
      </w:r>
      <w:r w:rsidR="003F5E8F" w:rsidRPr="003F5E8F">
        <w:t xml:space="preserve">groundwater recharge </w:t>
      </w:r>
      <w:r w:rsidR="003F5E8F">
        <w:t xml:space="preserve">area </w:t>
      </w:r>
      <w:r w:rsidR="003F5E8F" w:rsidRPr="003F5E8F">
        <w:t>at the aquifer top, to an outlet cell such as a pumping well or a spring (Boronina et al. 2005; McGuire and McDonnell 2006;</w:t>
      </w:r>
      <w:r w:rsidR="003F5E8F">
        <w:t xml:space="preserve"> </w:t>
      </w:r>
      <w:r w:rsidR="003F5E8F" w:rsidRPr="003F5E8F">
        <w:t>Sanford, 2010).</w:t>
      </w:r>
    </w:p>
    <w:p w14:paraId="5387DF8C" w14:textId="1F74BFB4" w:rsidR="00FD0BAE" w:rsidRPr="00E6110F" w:rsidRDefault="00A278F8" w:rsidP="00A278F8">
      <w:pPr>
        <w:pStyle w:val="Body"/>
      </w:pPr>
      <w:r w:rsidRPr="00E6110F">
        <w:t xml:space="preserve">MODPATH is a particle-tracking post-processing model that computes three-dimensional flow paths using output from groundwater flow </w:t>
      </w:r>
      <w:r w:rsidR="00A27F92">
        <w:t>simulations based on MODFLOW (</w:t>
      </w:r>
      <w:r w:rsidR="008A32B4">
        <w:t>Harbaugh 2005</w:t>
      </w:r>
      <w:r w:rsidRPr="00E6110F">
        <w:t>). The program uses a semi</w:t>
      </w:r>
      <w:r w:rsidR="00423204" w:rsidRPr="00E6110F">
        <w:t>-</w:t>
      </w:r>
      <w:r w:rsidRPr="00E6110F">
        <w:t xml:space="preserve">analytical particle-tracking scheme that allows an analytical expression of a particle’s flow path to be obtained within each finite-difference grid cell. A particle’s path is computed by tracking the particle from one cell to the next until it reaches a boundary, an internal sink/source, or satisfies another termination criterion. Output from steady-state or transient MODFLOW </w:t>
      </w:r>
      <w:r w:rsidR="00DC6BDD">
        <w:t xml:space="preserve">groundwater flow </w:t>
      </w:r>
      <w:r w:rsidRPr="00E6110F">
        <w:t>simulations is used in MODPATH to compute paths for imaginary “particles” of water moving through the simulated groundwater system. In addition to computing particle paths</w:t>
      </w:r>
      <w:r w:rsidR="00DC6BDD">
        <w:t xml:space="preserve"> from the point of release until its final location</w:t>
      </w:r>
      <w:r w:rsidRPr="00E6110F">
        <w:t>, MODPATH computes the time of travel for particles moving through the system.</w:t>
      </w:r>
      <w:r w:rsidR="00DC6BDD">
        <w:t xml:space="preserve"> The particle travel </w:t>
      </w:r>
      <w:r w:rsidR="003F5E8F">
        <w:t xml:space="preserve">or residence </w:t>
      </w:r>
      <w:r w:rsidR="00DC6BDD">
        <w:t xml:space="preserve">time represents the velocity of a non-reactive chemical (no interaction with the </w:t>
      </w:r>
      <w:r w:rsidR="007820F0">
        <w:t xml:space="preserve">solids) due to flowing groundwater; the effect of hydrodynamic dispersion and molecular diffusion on solute migration is neglected.  </w:t>
      </w:r>
      <w:r w:rsidR="00A91803">
        <w:t>A simplified way to account for t</w:t>
      </w:r>
      <w:r w:rsidR="004F63D8">
        <w:t xml:space="preserve">he effect of dispersion and diffusion on dilution </w:t>
      </w:r>
      <w:r w:rsidR="00A91803">
        <w:t xml:space="preserve">is by </w:t>
      </w:r>
      <w:r w:rsidR="004F63D8">
        <w:t xml:space="preserve">implementing an </w:t>
      </w:r>
      <w:r w:rsidR="00A91803">
        <w:t xml:space="preserve">analytical solution of the </w:t>
      </w:r>
      <w:r w:rsidR="00A265C7">
        <w:t xml:space="preserve">three-dimensional </w:t>
      </w:r>
      <w:r w:rsidR="004F63D8">
        <w:t xml:space="preserve">advection-dispersion model </w:t>
      </w:r>
      <w:r w:rsidR="00A91803">
        <w:t xml:space="preserve">for given particle pathways </w:t>
      </w:r>
      <w:r w:rsidR="004F63D8">
        <w:t xml:space="preserve">(see </w:t>
      </w:r>
      <w:r w:rsidR="008D530E">
        <w:t>S</w:t>
      </w:r>
      <w:r w:rsidR="004F63D8">
        <w:t xml:space="preserve">ection </w:t>
      </w:r>
      <w:r w:rsidR="004F63D8">
        <w:fldChar w:fldCharType="begin" w:fldLock="1"/>
      </w:r>
      <w:r w:rsidR="004F63D8">
        <w:instrText xml:space="preserve"> REF _Ref458951219 \r \h </w:instrText>
      </w:r>
      <w:r w:rsidR="004F63D8">
        <w:fldChar w:fldCharType="separate"/>
      </w:r>
      <w:r w:rsidR="00335E79">
        <w:t>5.2.1.3</w:t>
      </w:r>
      <w:r w:rsidR="004F63D8">
        <w:fldChar w:fldCharType="end"/>
      </w:r>
      <w:r w:rsidR="004F63D8">
        <w:t>).</w:t>
      </w:r>
      <w:r w:rsidR="00F815BD">
        <w:t xml:space="preserve"> </w:t>
      </w:r>
    </w:p>
    <w:p w14:paraId="219E3F16" w14:textId="77777777" w:rsidR="00A90731" w:rsidRDefault="00650133" w:rsidP="00650133">
      <w:pPr>
        <w:pStyle w:val="Body"/>
      </w:pPr>
      <w:r w:rsidRPr="00E6110F">
        <w:t xml:space="preserve">The accuracy of numerically-generated pathlines, and a proper interpretation of what they represent, depends on the extent to which the groundwater system can be realistically represented by a discrete network of finite-difference </w:t>
      </w:r>
      <w:r w:rsidR="004F63D8">
        <w:t xml:space="preserve">or finite-element </w:t>
      </w:r>
      <w:r w:rsidRPr="00E6110F">
        <w:t>cells. The degree of spatial discretization in a finite-difference model influences</w:t>
      </w:r>
      <w:r w:rsidR="00A90731">
        <w:t>:</w:t>
      </w:r>
    </w:p>
    <w:p w14:paraId="2F9DFA87" w14:textId="7C3A4E3A" w:rsidR="00A90731" w:rsidRDefault="00650133" w:rsidP="00366CD9">
      <w:pPr>
        <w:pStyle w:val="Body"/>
        <w:numPr>
          <w:ilvl w:val="0"/>
          <w:numId w:val="83"/>
        </w:numPr>
      </w:pPr>
      <w:r w:rsidRPr="00E6110F">
        <w:t xml:space="preserve">the level of detail at which hydrogeologic and system boundaries can be represented, </w:t>
      </w:r>
    </w:p>
    <w:p w14:paraId="36CFBB68" w14:textId="3A0259FE" w:rsidR="00A90731" w:rsidRDefault="00650133" w:rsidP="00366CD9">
      <w:pPr>
        <w:pStyle w:val="Body"/>
        <w:numPr>
          <w:ilvl w:val="0"/>
          <w:numId w:val="83"/>
        </w:numPr>
      </w:pPr>
      <w:r w:rsidRPr="00E6110F">
        <w:t>the accuracy of velocity calculations,</w:t>
      </w:r>
    </w:p>
    <w:p w14:paraId="0A84170A" w14:textId="373E2B36" w:rsidR="00A90731" w:rsidRDefault="00650133" w:rsidP="00366CD9">
      <w:pPr>
        <w:pStyle w:val="Body"/>
        <w:numPr>
          <w:ilvl w:val="0"/>
          <w:numId w:val="83"/>
        </w:numPr>
      </w:pPr>
      <w:proofErr w:type="gramStart"/>
      <w:r w:rsidRPr="00E6110F">
        <w:t>the</w:t>
      </w:r>
      <w:proofErr w:type="gramEnd"/>
      <w:r w:rsidRPr="00E6110F">
        <w:t xml:space="preserve"> ability to accurately and unambiguously represent internal sources and sinks. </w:t>
      </w:r>
    </w:p>
    <w:p w14:paraId="1E215E84" w14:textId="087495C1" w:rsidR="00650133" w:rsidRPr="00E6110F" w:rsidRDefault="002B1635" w:rsidP="00650133">
      <w:pPr>
        <w:pStyle w:val="Body"/>
      </w:pPr>
      <w:r w:rsidRPr="002B1635">
        <w:t>In this study pre-existing models built for analysing pressure changes in aquifers due to CSG development were used for undertaking particle tracking analyses. While these models are fit-for-purpose, the accuracy of the tracks could be improved by using finer-resolution models, particularly for the receptors closer to the CSG wells</w:t>
      </w:r>
    </w:p>
    <w:p w14:paraId="1E97E796" w14:textId="77777777" w:rsidR="00FD0BAE" w:rsidRPr="00E6110F" w:rsidRDefault="00FD0BAE" w:rsidP="00FD0BAE"/>
    <w:p w14:paraId="449C2448" w14:textId="77777777" w:rsidR="00FD0BAE" w:rsidRPr="00E6110F" w:rsidRDefault="00FD0BAE" w:rsidP="00FD0BAE">
      <w:pPr>
        <w:jc w:val="center"/>
      </w:pPr>
      <w:r w:rsidRPr="00E6110F">
        <w:rPr>
          <w:noProof/>
          <w:lang w:val="en-AU" w:eastAsia="en-AU"/>
        </w:rPr>
        <w:drawing>
          <wp:inline distT="0" distB="0" distL="0" distR="0" wp14:anchorId="7C85BB06" wp14:editId="36B3938C">
            <wp:extent cx="2633237" cy="1981200"/>
            <wp:effectExtent l="0" t="0" r="0" b="0"/>
            <wp:docPr id="3" name="Picture 6" descr="Image of 3D transient model illustrating forward pathlines." title="Fig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email">
                      <a:extLst>
                        <a:ext uri="{28A0092B-C50C-407E-A947-70E740481C1C}">
                          <a14:useLocalDpi xmlns:a14="http://schemas.microsoft.com/office/drawing/2010/main"/>
                        </a:ext>
                      </a:extLst>
                    </a:blip>
                    <a:stretch>
                      <a:fillRect/>
                    </a:stretch>
                  </pic:blipFill>
                  <pic:spPr>
                    <a:xfrm>
                      <a:off x="0" y="0"/>
                      <a:ext cx="2636893" cy="1983951"/>
                    </a:xfrm>
                    <a:prstGeom prst="rect">
                      <a:avLst/>
                    </a:prstGeom>
                  </pic:spPr>
                </pic:pic>
              </a:graphicData>
            </a:graphic>
          </wp:inline>
        </w:drawing>
      </w:r>
    </w:p>
    <w:p w14:paraId="3528C03D" w14:textId="3094070E" w:rsidR="00FD0BAE" w:rsidRPr="00E6110F" w:rsidRDefault="00FD0BAE" w:rsidP="00FD0BAE">
      <w:pPr>
        <w:pStyle w:val="Imagecaption"/>
      </w:pPr>
      <w:bookmarkStart w:id="218" w:name="_Ref436760109"/>
      <w:bookmarkStart w:id="219" w:name="_Toc477347565"/>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33</w:t>
      </w:r>
      <w:r w:rsidR="00254026">
        <w:fldChar w:fldCharType="end"/>
      </w:r>
      <w:bookmarkEnd w:id="218"/>
      <w:r w:rsidRPr="00E6110F">
        <w:t xml:space="preserve"> 3D transient example illustrating forward pathlines released adjacent to the constant head cells (coloured in red) in </w:t>
      </w:r>
      <w:r w:rsidR="00F815BD">
        <w:t xml:space="preserve">the top </w:t>
      </w:r>
      <w:r w:rsidRPr="00E6110F">
        <w:t xml:space="preserve">layer 1. Note that some pathlines track through the discontinuous aquitard in </w:t>
      </w:r>
      <w:r w:rsidR="00F815BD">
        <w:t xml:space="preserve">middle </w:t>
      </w:r>
      <w:r w:rsidRPr="00E6110F">
        <w:t xml:space="preserve">layer 2 (coloured as solid green), and reach the water supply well in </w:t>
      </w:r>
      <w:r w:rsidR="00F815BD">
        <w:t xml:space="preserve">bottom </w:t>
      </w:r>
      <w:r w:rsidRPr="00E6110F">
        <w:t>layer 3.</w:t>
      </w:r>
      <w:bookmarkEnd w:id="219"/>
    </w:p>
    <w:p w14:paraId="7763B514" w14:textId="77777777" w:rsidR="00FD0BAE" w:rsidRPr="00E6110F" w:rsidRDefault="00FD0BAE" w:rsidP="00FD0BAE"/>
    <w:p w14:paraId="2D3A8D1C" w14:textId="2D9001E1" w:rsidR="00D70217" w:rsidRPr="00E6110F" w:rsidRDefault="00D70217" w:rsidP="00D70217">
      <w:pPr>
        <w:pStyle w:val="Body"/>
      </w:pPr>
      <w:r w:rsidRPr="00E6110F">
        <w:t>Particles are stopped whenever they reach points of termination or whenever the cumulative tracking time equals the maximum allowed value. A particle terminates when:</w:t>
      </w:r>
    </w:p>
    <w:p w14:paraId="3A4423F7" w14:textId="566AC214" w:rsidR="00D70217" w:rsidRPr="00E6110F" w:rsidRDefault="00D70217" w:rsidP="00C117A3">
      <w:pPr>
        <w:pStyle w:val="Body"/>
        <w:numPr>
          <w:ilvl w:val="0"/>
          <w:numId w:val="13"/>
        </w:numPr>
      </w:pPr>
      <w:r w:rsidRPr="00E6110F">
        <w:t>it reaches an external boundary face or an internal sink/source cell that captures the particle,</w:t>
      </w:r>
    </w:p>
    <w:p w14:paraId="632480C9" w14:textId="0754AC83" w:rsidR="00D70217" w:rsidRPr="00E6110F" w:rsidRDefault="00D70217" w:rsidP="00C117A3">
      <w:pPr>
        <w:pStyle w:val="Body"/>
        <w:numPr>
          <w:ilvl w:val="0"/>
          <w:numId w:val="13"/>
        </w:numPr>
      </w:pPr>
      <w:r w:rsidRPr="00E6110F">
        <w:t>it enters a cell with a zone code that designates the cell as a termination location,</w:t>
      </w:r>
    </w:p>
    <w:p w14:paraId="0A6D98DB" w14:textId="74A8B5D5" w:rsidR="00D70217" w:rsidRPr="00E6110F" w:rsidRDefault="00D70217" w:rsidP="00C117A3">
      <w:pPr>
        <w:pStyle w:val="Body"/>
        <w:numPr>
          <w:ilvl w:val="0"/>
          <w:numId w:val="13"/>
        </w:numPr>
      </w:pPr>
      <w:r w:rsidRPr="00E6110F">
        <w:t>the cumulative tracking time has reached the maximum allowed value, or</w:t>
      </w:r>
    </w:p>
    <w:p w14:paraId="4B2484C3" w14:textId="2CE552DD" w:rsidR="00D70217" w:rsidRPr="00E6110F" w:rsidRDefault="00D70217" w:rsidP="00C117A3">
      <w:pPr>
        <w:pStyle w:val="Body"/>
        <w:numPr>
          <w:ilvl w:val="0"/>
          <w:numId w:val="13"/>
        </w:numPr>
      </w:pPr>
      <w:proofErr w:type="gramStart"/>
      <w:r w:rsidRPr="00E6110F">
        <w:t>it</w:t>
      </w:r>
      <w:proofErr w:type="gramEnd"/>
      <w:r w:rsidRPr="00E6110F">
        <w:t xml:space="preserve"> encounters an abnormal condition that will not allow tracking to continue.</w:t>
      </w:r>
    </w:p>
    <w:p w14:paraId="018F72B6" w14:textId="57E13080" w:rsidR="00917CFB" w:rsidRPr="00E6110F" w:rsidRDefault="00917CFB" w:rsidP="00917CFB">
      <w:pPr>
        <w:pStyle w:val="Body"/>
      </w:pPr>
      <w:r w:rsidRPr="00E6110F">
        <w:t>Sometimes it is useful to stop particles at an arbitrary location that does not correspond to a natural termination point</w:t>
      </w:r>
      <w:r w:rsidR="004F63D8">
        <w:t xml:space="preserve"> (e.g. the boundary of a CSG project area)</w:t>
      </w:r>
      <w:r w:rsidRPr="00E6110F">
        <w:t>.</w:t>
      </w:r>
      <w:r w:rsidR="00EB3DAC">
        <w:t xml:space="preserve"> </w:t>
      </w:r>
      <w:r w:rsidRPr="00E6110F">
        <w:t>MODPATH provides that capability by allowing zone numbers to be assigned to grid cells and identifying a range of zone numbers that indicate particle termination locations. An example of such a situation would be a case where the desire is to determine the recharge locations at the water table that contribute water to a deep aquifer. That could be achieved by assigning a zone number to the cells representing the deep aquifer, indicating they are termination points. Particles that start at the water table would then stop when they reach the deep aquifer because the cells are designated termination locations (Pollock 2012).</w:t>
      </w:r>
    </w:p>
    <w:p w14:paraId="2B189818" w14:textId="5426A930" w:rsidR="00CF1E0C" w:rsidRPr="00E6110F" w:rsidRDefault="00FD0BAE" w:rsidP="00CF1E0C">
      <w:pPr>
        <w:pStyle w:val="Body"/>
      </w:pPr>
      <w:r w:rsidRPr="00E6110F">
        <w:t>Particle tracking may evolve in two ways: either so-called “backtracking” is done starting from a selection of receptors working backwards to identify which part of the aquifer is connected to the receptor and what the travel time is</w:t>
      </w:r>
      <w:r w:rsidR="00EB3DAC">
        <w:t>,</w:t>
      </w:r>
      <w:r w:rsidRPr="00E6110F">
        <w:t xml:space="preserve"> should there be a connection, or the tracking starts at the contaminant source and moves forward to identify pathways that may intersect a receptor</w:t>
      </w:r>
      <w:r w:rsidR="00192AD4">
        <w:t>. The latter is called</w:t>
      </w:r>
      <w:r w:rsidR="00EB3DAC">
        <w:t xml:space="preserve"> “forward tracking”</w:t>
      </w:r>
      <w:r w:rsidRPr="00E6110F">
        <w:t xml:space="preserve">. </w:t>
      </w:r>
      <w:r w:rsidR="00192AD4">
        <w:t xml:space="preserve">Forward tracking is used first here to determine how far particles will theoretically travel when released within the coal seam gas well area. Within this zone of influence, the relevant receptors are then selected for a backward tracking analysis to determine if any pathway exists with one or more coal seam gas wells. Note that </w:t>
      </w:r>
      <w:r w:rsidR="008442CA">
        <w:t>a pathway is considered to exist when the particle intersects model grid cells that contains a coal seam gas well. This does not automatically mean that there is actually a connection between the receptor and the coal seam gas well environment: most particles travel in aquifers well above and isolated from the depressurised zone of the coal seam gas well.</w:t>
      </w:r>
      <w:r w:rsidR="0053351C">
        <w:t xml:space="preserve"> </w:t>
      </w:r>
      <w:r w:rsidR="00CF1E0C">
        <w:t>Another reason to use</w:t>
      </w:r>
      <w:r w:rsidR="00CF1E0C" w:rsidRPr="00E6110F">
        <w:t xml:space="preserve"> a backward </w:t>
      </w:r>
      <w:r w:rsidR="00CF1E0C">
        <w:t xml:space="preserve">tracking </w:t>
      </w:r>
      <w:r w:rsidR="00CF1E0C" w:rsidRPr="00E6110F">
        <w:t xml:space="preserve">analysis is </w:t>
      </w:r>
      <w:r w:rsidR="00CF1E0C">
        <w:t>that it allows the</w:t>
      </w:r>
      <w:r w:rsidR="00CF1E0C" w:rsidRPr="00E6110F">
        <w:t xml:space="preserve"> particles </w:t>
      </w:r>
      <w:r w:rsidR="00CF1E0C">
        <w:t xml:space="preserve">to be released </w:t>
      </w:r>
      <w:r w:rsidR="00CF1E0C" w:rsidRPr="00E6110F">
        <w:t xml:space="preserve">in the exact </w:t>
      </w:r>
      <w:r w:rsidR="0053351C">
        <w:t xml:space="preserve">(x, y, z) </w:t>
      </w:r>
      <w:r w:rsidR="00CF1E0C" w:rsidRPr="00E6110F">
        <w:t xml:space="preserve">locations of any receptor within a grid cell. </w:t>
      </w:r>
    </w:p>
    <w:p w14:paraId="36249E95" w14:textId="29304107" w:rsidR="009F468B" w:rsidRPr="00E6110F" w:rsidRDefault="00FD0BAE" w:rsidP="00FD0BAE">
      <w:pPr>
        <w:pStyle w:val="Body"/>
      </w:pPr>
      <w:r w:rsidRPr="00E6110F">
        <w:t xml:space="preserve">This analysis </w:t>
      </w:r>
      <w:r w:rsidR="006F0087" w:rsidRPr="00E6110F">
        <w:t>will</w:t>
      </w:r>
      <w:r w:rsidRPr="00E6110F">
        <w:t xml:space="preserve"> be undertaken using existing best-practice models (</w:t>
      </w:r>
      <w:r w:rsidR="00EB3DAC">
        <w:t xml:space="preserve">i.e., </w:t>
      </w:r>
      <w:r w:rsidRPr="00E6110F">
        <w:t>a sub</w:t>
      </w:r>
      <w:r w:rsidR="00EB3DAC">
        <w:t>domain</w:t>
      </w:r>
      <w:r w:rsidRPr="00E6110F">
        <w:t xml:space="preserve"> of the </w:t>
      </w:r>
      <w:r w:rsidR="006708AC" w:rsidRPr="00E6110F">
        <w:t xml:space="preserve">original </w:t>
      </w:r>
      <w:r w:rsidR="00DF178E" w:rsidRPr="00E6110F">
        <w:t>OGIA model for the Surat (QWC</w:t>
      </w:r>
      <w:r w:rsidRPr="00E6110F">
        <w:t xml:space="preserve"> 2012)</w:t>
      </w:r>
      <w:r w:rsidR="006F0087" w:rsidRPr="00E6110F">
        <w:t>, and the CDM</w:t>
      </w:r>
      <w:r w:rsidR="00EB3DAC">
        <w:t xml:space="preserve"> </w:t>
      </w:r>
      <w:r w:rsidR="006F0087" w:rsidRPr="00E6110F">
        <w:t xml:space="preserve">Smith </w:t>
      </w:r>
      <w:r w:rsidR="00EB3DAC">
        <w:t xml:space="preserve">(2014) </w:t>
      </w:r>
      <w:r w:rsidR="006F0087" w:rsidRPr="00E6110F">
        <w:t>groundwater model for the Gunnedah basin</w:t>
      </w:r>
      <w:r w:rsidRPr="00E6110F">
        <w:t xml:space="preserve">), at a minimum effort. The </w:t>
      </w:r>
      <w:r w:rsidR="006708AC" w:rsidRPr="00E6110F">
        <w:t>main limitation of both models is their coarse</w:t>
      </w:r>
      <w:r w:rsidRPr="00E6110F">
        <w:t xml:space="preserve"> spatial discretisation. The current 2012 OGIA</w:t>
      </w:r>
      <w:r w:rsidR="00F579FC">
        <w:rPr>
          <w:rFonts w:ascii="ZWAdobeF" w:hAnsi="ZWAdobeF" w:cs="ZWAdobeF"/>
          <w:color w:val="auto"/>
          <w:sz w:val="2"/>
          <w:szCs w:val="2"/>
        </w:rPr>
        <w:t>12F</w:t>
      </w:r>
      <w:r w:rsidRPr="00E6110F">
        <w:rPr>
          <w:vertAlign w:val="superscript"/>
        </w:rPr>
        <w:footnoteReference w:id="11"/>
      </w:r>
      <w:r w:rsidRPr="00E6110F">
        <w:t xml:space="preserve"> model has a 1.5x1.5 km</w:t>
      </w:r>
      <w:r w:rsidRPr="00E6110F">
        <w:rPr>
          <w:vertAlign w:val="superscript"/>
        </w:rPr>
        <w:t>2</w:t>
      </w:r>
      <w:r w:rsidRPr="00E6110F">
        <w:t xml:space="preserve"> horizontal discretisation</w:t>
      </w:r>
      <w:r w:rsidR="00F8795E">
        <w:t xml:space="preserve"> and limited vertical resolution (e.g., </w:t>
      </w:r>
      <w:r w:rsidR="00F8795E">
        <w:fldChar w:fldCharType="begin" w:fldLock="1"/>
      </w:r>
      <w:r w:rsidR="00F8795E">
        <w:instrText xml:space="preserve"> REF _Ref431812737 \h </w:instrText>
      </w:r>
      <w:r w:rsidR="00F8795E">
        <w:fldChar w:fldCharType="separate"/>
      </w:r>
      <w:r w:rsidR="00335E79" w:rsidRPr="00E6110F">
        <w:t xml:space="preserve">Figure </w:t>
      </w:r>
      <w:r w:rsidR="00335E79">
        <w:rPr>
          <w:noProof/>
        </w:rPr>
        <w:t>2</w:t>
      </w:r>
      <w:r w:rsidR="00335E79">
        <w:noBreakHyphen/>
      </w:r>
      <w:r w:rsidR="00335E79">
        <w:rPr>
          <w:noProof/>
        </w:rPr>
        <w:t>34</w:t>
      </w:r>
      <w:r w:rsidR="00F8795E">
        <w:fldChar w:fldCharType="end"/>
      </w:r>
      <w:r w:rsidR="00F8795E">
        <w:t>)</w:t>
      </w:r>
      <w:r w:rsidRPr="00E6110F">
        <w:t xml:space="preserve">, </w:t>
      </w:r>
      <w:r w:rsidR="00A70588" w:rsidRPr="00E6110F">
        <w:t>while the CDM</w:t>
      </w:r>
      <w:r w:rsidR="004A7C12">
        <w:t xml:space="preserve"> </w:t>
      </w:r>
      <w:r w:rsidR="00A70588" w:rsidRPr="00E6110F">
        <w:t>Smith model has a 1x1 km</w:t>
      </w:r>
      <w:r w:rsidR="00A70588" w:rsidRPr="00EB3DAC">
        <w:rPr>
          <w:vertAlign w:val="superscript"/>
        </w:rPr>
        <w:t>2</w:t>
      </w:r>
      <w:r w:rsidR="00A70588" w:rsidRPr="00E6110F">
        <w:t xml:space="preserve"> grid: both grids are</w:t>
      </w:r>
      <w:r w:rsidRPr="00E6110F">
        <w:t xml:space="preserve"> too coarse to evaluate short-distance pathways</w:t>
      </w:r>
      <w:r w:rsidR="006708AC" w:rsidRPr="00E6110F">
        <w:t xml:space="preserve"> or </w:t>
      </w:r>
      <w:r w:rsidR="00EB3DAC">
        <w:t xml:space="preserve">to </w:t>
      </w:r>
      <w:r w:rsidR="006708AC" w:rsidRPr="00E6110F">
        <w:t xml:space="preserve">relate particle end points </w:t>
      </w:r>
      <w:r w:rsidR="0027011A" w:rsidRPr="00E6110F">
        <w:t>to specific locations of receptors wi</w:t>
      </w:r>
      <w:r w:rsidR="009F468B" w:rsidRPr="00E6110F">
        <w:t>thin a grid cell</w:t>
      </w:r>
      <w:r w:rsidR="00CF1E0C">
        <w:t xml:space="preserve"> (that is in a forward tracking analysis)</w:t>
      </w:r>
      <w:r w:rsidRPr="00E6110F">
        <w:t>.</w:t>
      </w:r>
      <w:r w:rsidR="00A70588" w:rsidRPr="00E6110F">
        <w:t xml:space="preserve"> </w:t>
      </w:r>
    </w:p>
    <w:p w14:paraId="4726C710" w14:textId="377365CC" w:rsidR="00FD0BAE" w:rsidRPr="00E6110F" w:rsidRDefault="00FD0BAE" w:rsidP="00FD0BAE">
      <w:pPr>
        <w:pStyle w:val="Body"/>
      </w:pPr>
      <w:r w:rsidRPr="00E6110F">
        <w:t xml:space="preserve"> </w:t>
      </w:r>
    </w:p>
    <w:p w14:paraId="29198958" w14:textId="3C7059CB" w:rsidR="00FD0BAE" w:rsidRPr="00E6110F" w:rsidRDefault="00EB3DAC" w:rsidP="00FD0BAE">
      <w:pPr>
        <w:jc w:val="center"/>
      </w:pPr>
      <w:r w:rsidRPr="00EB3DAC">
        <w:rPr>
          <w:noProof/>
          <w:lang w:val="en-AU" w:eastAsia="en-AU"/>
        </w:rPr>
        <w:drawing>
          <wp:inline distT="0" distB="0" distL="0" distR="0" wp14:anchorId="3F531844" wp14:editId="3E629E16">
            <wp:extent cx="5727700" cy="3843966"/>
            <wp:effectExtent l="0" t="0" r="0" b="4445"/>
            <wp:docPr id="61" name="Picture 61" descr="Stratigraphy of the Surat Basin with note of relevant hydrogeological layers." title="Fig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727700" cy="3843966"/>
                    </a:xfrm>
                    <a:prstGeom prst="rect">
                      <a:avLst/>
                    </a:prstGeom>
                    <a:noFill/>
                    <a:ln>
                      <a:noFill/>
                    </a:ln>
                  </pic:spPr>
                </pic:pic>
              </a:graphicData>
            </a:graphic>
          </wp:inline>
        </w:drawing>
      </w:r>
    </w:p>
    <w:p w14:paraId="53B6B9AD" w14:textId="38A07EB4" w:rsidR="00FD0BAE" w:rsidRPr="00E6110F" w:rsidRDefault="00FD0BAE" w:rsidP="00FD0BAE">
      <w:pPr>
        <w:pStyle w:val="Imagecaption"/>
      </w:pPr>
      <w:bookmarkStart w:id="220" w:name="_Ref431812737"/>
      <w:bookmarkStart w:id="221" w:name="_Toc432158178"/>
      <w:bookmarkStart w:id="222" w:name="_Toc477347566"/>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34</w:t>
      </w:r>
      <w:r w:rsidR="00254026">
        <w:fldChar w:fldCharType="end"/>
      </w:r>
      <w:bookmarkEnd w:id="220"/>
      <w:r w:rsidRPr="00E6110F">
        <w:t xml:space="preserve"> Strat</w:t>
      </w:r>
      <w:r w:rsidR="00DF178E" w:rsidRPr="00E6110F">
        <w:t>igraphy of the Surat basin (QWC</w:t>
      </w:r>
      <w:r w:rsidRPr="00E6110F">
        <w:t xml:space="preserve"> 2012).</w:t>
      </w:r>
      <w:bookmarkEnd w:id="221"/>
      <w:r w:rsidR="00FF781A">
        <w:t xml:space="preserve"> For pathway B particles will be released in the Walloon Coal Measures</w:t>
      </w:r>
      <w:r w:rsidRPr="00E6110F">
        <w:t xml:space="preserve"> </w:t>
      </w:r>
      <w:r w:rsidR="00FF781A">
        <w:t xml:space="preserve">(WCM) </w:t>
      </w:r>
      <w:r w:rsidRPr="00E6110F">
        <w:t xml:space="preserve">subdomain (red box); for pathways A, C and D </w:t>
      </w:r>
      <w:r w:rsidR="00FF781A">
        <w:t>particles will be released in aquifers above the WCM aquitard</w:t>
      </w:r>
      <w:r w:rsidRPr="00E6110F">
        <w:t>.</w:t>
      </w:r>
      <w:bookmarkEnd w:id="222"/>
    </w:p>
    <w:p w14:paraId="23FE1158" w14:textId="77777777" w:rsidR="00FD0BAE" w:rsidRPr="00E6110F" w:rsidRDefault="00FD0BAE" w:rsidP="00A833E3">
      <w:pPr>
        <w:pStyle w:val="Body"/>
      </w:pPr>
    </w:p>
    <w:p w14:paraId="50DDA476" w14:textId="3B3B7AB1" w:rsidR="00FD0BAE" w:rsidRDefault="00FD0BAE" w:rsidP="00FD0BAE">
      <w:pPr>
        <w:pStyle w:val="Body"/>
      </w:pPr>
      <w:r w:rsidRPr="00E6110F">
        <w:t>Realistic travel times will be obtained by applying the above simulators to each of several possible pathways, including the wellbore failure scenario</w:t>
      </w:r>
      <w:r w:rsidR="00F579FC">
        <w:rPr>
          <w:rFonts w:ascii="ZWAdobeF" w:hAnsi="ZWAdobeF" w:cs="ZWAdobeF"/>
          <w:color w:val="auto"/>
          <w:sz w:val="2"/>
          <w:szCs w:val="2"/>
        </w:rPr>
        <w:t>13F</w:t>
      </w:r>
      <w:r w:rsidRPr="00E6110F">
        <w:rPr>
          <w:vertAlign w:val="superscript"/>
        </w:rPr>
        <w:footnoteReference w:id="12"/>
      </w:r>
      <w:r w:rsidRPr="00E6110F">
        <w:t xml:space="preserve"> (leaky wells and offset wells), fracture growth into a well, fracture growth into an overlying aquifer, well rupture during injection, and fracture growth into a fault. Such scenarios have </w:t>
      </w:r>
      <w:r w:rsidR="006856BF" w:rsidRPr="00E6110F">
        <w:t xml:space="preserve">also </w:t>
      </w:r>
      <w:r w:rsidRPr="00E6110F">
        <w:t xml:space="preserve">been identified by the US EPA </w:t>
      </w:r>
      <w:r w:rsidR="00751E61" w:rsidRPr="00E6110F">
        <w:t>(201</w:t>
      </w:r>
      <w:r w:rsidR="000D3B81">
        <w:t>6a</w:t>
      </w:r>
      <w:r w:rsidR="00751E61" w:rsidRPr="00E6110F">
        <w:t xml:space="preserve">) </w:t>
      </w:r>
      <w:r w:rsidRPr="00E6110F">
        <w:t xml:space="preserve">as possible failure scenarios that can lead to contamination of groundwater resources following hydraulic fracturing operations. </w:t>
      </w:r>
    </w:p>
    <w:p w14:paraId="3E84EBDC" w14:textId="22F8FD6D" w:rsidR="00FD0BAE" w:rsidRPr="00E6110F" w:rsidRDefault="00FD0BAE" w:rsidP="00FD0BAE">
      <w:pPr>
        <w:pStyle w:val="Body"/>
      </w:pPr>
      <w:r w:rsidRPr="00E6110F">
        <w:t xml:space="preserve">The </w:t>
      </w:r>
      <w:r w:rsidR="009D0494">
        <w:t>a</w:t>
      </w:r>
      <w:r w:rsidR="003C39E5">
        <w:t>nalysis</w:t>
      </w:r>
      <w:r w:rsidRPr="00E6110F">
        <w:t xml:space="preserve"> consider</w:t>
      </w:r>
      <w:r w:rsidR="001976B2">
        <w:t>s</w:t>
      </w:r>
      <w:r w:rsidRPr="00E6110F">
        <w:t xml:space="preserve"> pathways at an individual well but will also consider an entire well field to capture possible cumulative effects from mass accumulating in hundreds and possibly thousands of hydraulically fractured wells – this involves superposition of sources that contribute to the same receptor.</w:t>
      </w:r>
    </w:p>
    <w:p w14:paraId="09FE200C" w14:textId="3EE58D34" w:rsidR="0092733D" w:rsidRPr="00E6110F" w:rsidRDefault="0092733D">
      <w:pPr>
        <w:rPr>
          <w:rFonts w:ascii="Calibri-Bold" w:hAnsi="Calibri-Bold" w:cs="Calibri-Bold"/>
          <w:b/>
          <w:bCs/>
          <w:color w:val="486886"/>
          <w:sz w:val="22"/>
          <w:szCs w:val="22"/>
          <w:lang w:val="en-GB"/>
        </w:rPr>
      </w:pPr>
    </w:p>
    <w:p w14:paraId="1B14FC85" w14:textId="7BB25E63" w:rsidR="00D220EC" w:rsidRPr="00E6110F" w:rsidRDefault="00D220EC" w:rsidP="00D220EC">
      <w:pPr>
        <w:pStyle w:val="Heading3"/>
      </w:pPr>
      <w:bookmarkStart w:id="223" w:name="_Ref470859452"/>
      <w:bookmarkStart w:id="224" w:name="_Toc494444533"/>
      <w:r w:rsidRPr="00E6110F">
        <w:t xml:space="preserve">Particle tracking analysis for </w:t>
      </w:r>
      <w:r w:rsidR="00A41C9E" w:rsidRPr="00E6110F">
        <w:t xml:space="preserve">the </w:t>
      </w:r>
      <w:r w:rsidRPr="00E6110F">
        <w:t>Gunnedah basin</w:t>
      </w:r>
      <w:bookmarkEnd w:id="223"/>
      <w:bookmarkEnd w:id="224"/>
    </w:p>
    <w:p w14:paraId="6A5087D2" w14:textId="2E777C86" w:rsidR="00D220EC" w:rsidRPr="00E6110F" w:rsidRDefault="00D220EC" w:rsidP="0087378B">
      <w:pPr>
        <w:pStyle w:val="Heading3"/>
        <w:numPr>
          <w:ilvl w:val="3"/>
          <w:numId w:val="1"/>
        </w:numPr>
      </w:pPr>
      <w:bookmarkStart w:id="225" w:name="_Ref446845446"/>
      <w:bookmarkStart w:id="226" w:name="_Toc494444534"/>
      <w:r w:rsidRPr="00E6110F">
        <w:t>Hydrogeology</w:t>
      </w:r>
      <w:bookmarkEnd w:id="225"/>
      <w:bookmarkEnd w:id="226"/>
    </w:p>
    <w:p w14:paraId="6DF843B4" w14:textId="00CD9258" w:rsidR="00E66624" w:rsidRPr="00E6110F" w:rsidRDefault="00561800" w:rsidP="00E66624">
      <w:pPr>
        <w:pStyle w:val="Body"/>
      </w:pPr>
      <w:r>
        <w:t xml:space="preserve">The study area was selected where an existing </w:t>
      </w:r>
      <w:r w:rsidR="00E66624" w:rsidRPr="00E6110F">
        <w:t xml:space="preserve">numerical groundwater flow model </w:t>
      </w:r>
      <w:r>
        <w:t xml:space="preserve">was available, considered fit-for-purpose </w:t>
      </w:r>
      <w:r w:rsidR="00E66624" w:rsidRPr="00E6110F">
        <w:t xml:space="preserve">to provide estimates </w:t>
      </w:r>
      <w:r>
        <w:t xml:space="preserve">of solute particle pathways between deep groundwater sources of </w:t>
      </w:r>
      <w:r w:rsidR="00E66624" w:rsidRPr="00E6110F">
        <w:t xml:space="preserve">CSG </w:t>
      </w:r>
      <w:r>
        <w:t xml:space="preserve">chemicals and </w:t>
      </w:r>
      <w:r w:rsidR="00547496">
        <w:t>groundwater receptors</w:t>
      </w:r>
      <w:r w:rsidR="00E66624" w:rsidRPr="00E6110F">
        <w:t>. Based on a LeapfrogHydro geological model</w:t>
      </w:r>
      <w:r w:rsidR="00547496">
        <w:t xml:space="preserve"> </w:t>
      </w:r>
      <w:r w:rsidR="00547496" w:rsidRPr="00E6110F">
        <w:fldChar w:fldCharType="begin"/>
      </w:r>
      <w:r w:rsidR="00547496" w:rsidRPr="00E6110F">
        <w:instrText xml:space="preserve"> ADDIN EN.CITE &lt;EndNote&gt;&lt;Cite&gt;&lt;Author&gt;CDM Smith&lt;/Author&gt;&lt;Year&gt;2014&lt;/Year&gt;&lt;IDText&gt;Santos Narrabri Gas Project Groundwater Impact Assessment&lt;/IDText&gt;&lt;DisplayText&gt;(CDM Smith, 2014)&lt;/DisplayText&gt;&lt;record&gt;&lt;contributors&gt;&lt;tertiary-authors&gt;&lt;author&gt;CDM Smith&lt;/author&gt;&lt;/tertiary-authors&gt;&lt;/contributors&gt;&lt;titles&gt;&lt;title&gt;Santos Narrabri Gas Project Groundwater Impact Assessment&lt;/title&gt;&lt;/titles&gt;&lt;pages&gt;xix, 298, appendices&lt;/pages&gt;&lt;contributors&gt;&lt;authors&gt;&lt;author&gt;CDM Smith,&lt;/author&gt;&lt;/authors&gt;&lt;/contributors&gt;&lt;added-date format="utc"&gt;1433397884&lt;/added-date&gt;&lt;pub-location&gt;Subiaco, Western Australia&lt;/pub-location&gt;&lt;ref-type name="Report"&gt;27&lt;/ref-type&gt;&lt;dates&gt;&lt;year&gt;2014&lt;/year&gt;&lt;/dates&gt;&lt;rec-number&gt;83&lt;/rec-number&gt;&lt;last-updated-date format="utc"&gt;1433898731&lt;/last-updated-date&gt;&lt;/record&gt;&lt;/Cite&gt;&lt;/EndNote&gt;</w:instrText>
      </w:r>
      <w:r w:rsidR="00547496" w:rsidRPr="00E6110F">
        <w:fldChar w:fldCharType="separate"/>
      </w:r>
      <w:r w:rsidR="00547496" w:rsidRPr="00E6110F">
        <w:rPr>
          <w:noProof/>
        </w:rPr>
        <w:t>(CDM Smith 2014)</w:t>
      </w:r>
      <w:r w:rsidR="00547496" w:rsidRPr="00E6110F">
        <w:fldChar w:fldCharType="end"/>
      </w:r>
      <w:r w:rsidR="00E66624" w:rsidRPr="00E6110F">
        <w:t>, a MODFLOW–SURFACT model was developed</w:t>
      </w:r>
      <w:r w:rsidR="00027655">
        <w:t xml:space="preserve"> by CDM Smith (2014)</w:t>
      </w:r>
      <w:r w:rsidR="00E66624" w:rsidRPr="00E6110F">
        <w:t>, covering a total area of 53</w:t>
      </w:r>
      <w:r w:rsidR="00CD2A24">
        <w:t>,</w:t>
      </w:r>
      <w:r w:rsidR="00E66624" w:rsidRPr="00E6110F">
        <w:t>219 km</w:t>
      </w:r>
      <w:r w:rsidR="00E66624" w:rsidRPr="00E6110F">
        <w:rPr>
          <w:vertAlign w:val="superscript"/>
        </w:rPr>
        <w:t>2</w:t>
      </w:r>
      <w:r w:rsidR="00E66624" w:rsidRPr="00E6110F">
        <w:t>. The spatial interpolation of geological data was undertaken using a proprietary approach based on radial basis functions (Beatson and Newsam 1992). For groundwater flow simulation, the geological domain was discretised using a combination of 1 km</w:t>
      </w:r>
      <w:r w:rsidR="00E66624" w:rsidRPr="00E6110F">
        <w:rPr>
          <w:vertAlign w:val="superscript"/>
        </w:rPr>
        <w:t>2</w:t>
      </w:r>
      <w:r w:rsidR="00E66624" w:rsidRPr="00E6110F">
        <w:t xml:space="preserve"> and 5 km</w:t>
      </w:r>
      <w:r w:rsidR="00E66624" w:rsidRPr="00E6110F">
        <w:rPr>
          <w:vertAlign w:val="superscript"/>
        </w:rPr>
        <w:t>2</w:t>
      </w:r>
      <w:r w:rsidR="00E66624" w:rsidRPr="00E6110F">
        <w:t xml:space="preserve"> cells into 238 rows and 126 columns. The model featured 24 layers and a mixture of specified flux (i.e., Neumann) and hydraulic head-dependent (i.e., Cauchy) boundary conditions. The discretisation of model layers is </w:t>
      </w:r>
      <w:r w:rsidR="00463D2D" w:rsidRPr="00E6110F">
        <w:t xml:space="preserve">shown </w:t>
      </w:r>
      <w:r w:rsidR="00463D2D" w:rsidRPr="00E6110F">
        <w:fldChar w:fldCharType="begin" w:fldLock="1"/>
      </w:r>
      <w:r w:rsidR="00463D2D" w:rsidRPr="00E6110F">
        <w:instrText xml:space="preserve"> REF _Ref422388099 \h </w:instrText>
      </w:r>
      <w:r w:rsidR="00E6110F">
        <w:instrText xml:space="preserve"> \* MERGEFORMAT </w:instrText>
      </w:r>
      <w:r w:rsidR="00463D2D" w:rsidRPr="00E6110F">
        <w:fldChar w:fldCharType="separate"/>
      </w:r>
      <w:r w:rsidR="00335E79" w:rsidRPr="00E6110F">
        <w:t xml:space="preserve">Table </w:t>
      </w:r>
      <w:r w:rsidR="00335E79">
        <w:rPr>
          <w:noProof/>
        </w:rPr>
        <w:t>2</w:t>
      </w:r>
      <w:r w:rsidR="00335E79">
        <w:rPr>
          <w:noProof/>
        </w:rPr>
        <w:noBreakHyphen/>
        <w:t>20</w:t>
      </w:r>
      <w:r w:rsidR="00463D2D" w:rsidRPr="00E6110F">
        <w:fldChar w:fldCharType="end"/>
      </w:r>
      <w:r w:rsidR="00E66624" w:rsidRPr="00E6110F">
        <w:t>. For this model, the aquitard sequence overlying the Hoskisson Coal represents the key aquitard that will affect the vertical propagation of hydraulic stresses induced in the underlying coal seams by CSG production to the overlying Pilliga Sandstone aquifer.</w:t>
      </w:r>
    </w:p>
    <w:p w14:paraId="0EC78970" w14:textId="71668D7B" w:rsidR="002B1635" w:rsidRDefault="002B1635" w:rsidP="002B1635">
      <w:pPr>
        <w:pStyle w:val="Body"/>
      </w:pPr>
      <w:r w:rsidRPr="00E6110F">
        <w:t>Geological model layers represented either a single geological unit (e.g., Pilliga Sandstone) or a combination of multiple units (e.g., layer 9) (</w:t>
      </w:r>
      <w:r w:rsidRPr="00E6110F">
        <w:fldChar w:fldCharType="begin" w:fldLock="1"/>
      </w:r>
      <w:r w:rsidRPr="00E6110F">
        <w:instrText xml:space="preserve"> REF _Ref422388099 \h </w:instrText>
      </w:r>
      <w:r>
        <w:instrText xml:space="preserve"> \* MERGEFORMAT </w:instrText>
      </w:r>
      <w:r w:rsidRPr="00E6110F">
        <w:fldChar w:fldCharType="separate"/>
      </w:r>
      <w:r w:rsidR="00335E79" w:rsidRPr="00E6110F">
        <w:t xml:space="preserve">Table </w:t>
      </w:r>
      <w:r w:rsidR="00335E79">
        <w:rPr>
          <w:noProof/>
        </w:rPr>
        <w:t>2</w:t>
      </w:r>
      <w:r w:rsidR="00335E79">
        <w:rPr>
          <w:noProof/>
        </w:rPr>
        <w:noBreakHyphen/>
        <w:t>20</w:t>
      </w:r>
      <w:r w:rsidRPr="00E6110F">
        <w:fldChar w:fldCharType="end"/>
      </w:r>
      <w:r w:rsidRPr="00E6110F">
        <w:t>). Before the numerical discretisation of the geological layers (column 2) was undertaken, further aggregation was applied (column 3). For example, geological layers 5 to 9 (representing 11 geological units) were combined as single aquitard</w:t>
      </w:r>
      <w:r w:rsidR="00F8795E">
        <w:t xml:space="preserve"> (</w:t>
      </w:r>
      <w:r w:rsidR="00392460">
        <w:t xml:space="preserve">based on the geological model, the thickness ranged from </w:t>
      </w:r>
      <w:r w:rsidR="00392460" w:rsidRPr="00392460">
        <w:t>5 m to 1045 m</w:t>
      </w:r>
      <w:r w:rsidR="00F8795E">
        <w:t>)</w:t>
      </w:r>
      <w:r w:rsidRPr="00E6110F">
        <w:t xml:space="preserve">. </w:t>
      </w:r>
      <w:r w:rsidR="00392460">
        <w:t xml:space="preserve">The deeper aquitard is composed of layers 14 to 19 (based on the geological model, the thickness ranged </w:t>
      </w:r>
      <w:r w:rsidR="00392460" w:rsidRPr="00392460">
        <w:t>from 2 m to 867 m</w:t>
      </w:r>
      <w:r w:rsidR="00392460">
        <w:t xml:space="preserve">). </w:t>
      </w:r>
      <w:r w:rsidRPr="00E6110F">
        <w:t xml:space="preserve">Numerical discretisation of the resulting hydrostratigraphic units was subsequently undertaken (column 4). For example, the single aggregated aquitard between the Pilliga Sandstone and the Hoskissons Coal was divided into six groundwater model layers. </w:t>
      </w:r>
      <w:r w:rsidRPr="002B1635">
        <w:t xml:space="preserve">The thickness of model layers used to represent aquitards adjacent to CSG reservoirs was increased exponentially with increasing vertical distance from the reservoir units. This method of discretisation was undertaken for the following reasons, as described by CDM Smith (2014). The use of a single model layer to represent an aquitard implies a constant vertical hydraulic gradient in the aquitard. It also results in the near-instantaneous release of stored water throughout the full thickness of the aquitard in response to </w:t>
      </w:r>
      <w:r>
        <w:t xml:space="preserve">a </w:t>
      </w:r>
      <w:r w:rsidRPr="002B1635">
        <w:t>decline in hydraulic head in an adjacent aquifer. Instead, aquitards can be represented using multiple model layers, which are able to simulate the propagation of a change in vertical hydraulic gradient through the aquitard over time more appropriately. The change in gradient then results in the gradual release of stored water. An exponential discretisation scheme, in which aquitard layers adjacent to a coal measure are thinnest, is best able to propagate changes in vertical hydraulic gradients and the release of stored water.</w:t>
      </w:r>
    </w:p>
    <w:p w14:paraId="17F05805" w14:textId="73DEA746" w:rsidR="002B1635" w:rsidRPr="00E6110F" w:rsidRDefault="002B1635" w:rsidP="002B1635">
      <w:pPr>
        <w:pStyle w:val="Body"/>
      </w:pPr>
      <w:r w:rsidRPr="00E6110F">
        <w:t xml:space="preserve">CDM Smith </w:t>
      </w:r>
      <w:r w:rsidRPr="00E6110F">
        <w:fldChar w:fldCharType="begin"/>
      </w:r>
      <w:r w:rsidRPr="00E6110F">
        <w:instrText xml:space="preserve"> ADDIN EN.CITE &lt;EndNote&gt;&lt;Cite ExcludeAuth="1"&gt;&lt;Author&gt;CDM Smith&lt;/Author&gt;&lt;Year&gt;2014&lt;/Year&gt;&lt;IDText&gt;Santos Narrabri Gas Project Groundwater Impact Assessment&lt;/IDText&gt;&lt;DisplayText&gt;(2014)&lt;/DisplayText&gt;&lt;record&gt;&lt;contributors&gt;&lt;tertiary-authors&gt;&lt;author&gt;CDM Smith&lt;/author&gt;&lt;/tertiary-authors&gt;&lt;/contributors&gt;&lt;titles&gt;&lt;title&gt;Santos Narrabri Gas Project Groundwater Impact Assessment&lt;/title&gt;&lt;/titles&gt;&lt;pages&gt;xix, 298, appendices&lt;/pages&gt;&lt;contributors&gt;&lt;authors&gt;&lt;author&gt;CDM Smith,&lt;/author&gt;&lt;/authors&gt;&lt;/contributors&gt;&lt;added-date format="utc"&gt;1433397884&lt;/added-date&gt;&lt;pub-location&gt;Subiaco, Western Australia&lt;/pub-location&gt;&lt;ref-type name="Report"&gt;27&lt;/ref-type&gt;&lt;dates&gt;&lt;year&gt;2014&lt;/year&gt;&lt;/dates&gt;&lt;rec-number&gt;83&lt;/rec-number&gt;&lt;last-updated-date format="utc"&gt;1433898731&lt;/last-updated-date&gt;&lt;/record&gt;&lt;/Cite&gt;&lt;/EndNote&gt;</w:instrText>
      </w:r>
      <w:r w:rsidRPr="00E6110F">
        <w:fldChar w:fldCharType="separate"/>
      </w:r>
      <w:r w:rsidRPr="00E6110F">
        <w:rPr>
          <w:noProof/>
        </w:rPr>
        <w:t>(2014)</w:t>
      </w:r>
      <w:r w:rsidRPr="00E6110F">
        <w:fldChar w:fldCharType="end"/>
      </w:r>
      <w:r w:rsidRPr="00E6110F">
        <w:t xml:space="preserve"> stated that “current geological evidence indicates that Permian to Triassic age faulting in the Gunnedah Basin is unlikely to provide conduits for preferential flow of water and hydrocarbons between the target coal seams and shallow groundwater sources in the overlying Surat Basin</w:t>
      </w:r>
      <w:r w:rsidR="00F579FC">
        <w:rPr>
          <w:rFonts w:ascii="ZWAdobeF" w:hAnsi="ZWAdobeF" w:cs="ZWAdobeF"/>
          <w:color w:val="auto"/>
          <w:sz w:val="2"/>
          <w:szCs w:val="2"/>
        </w:rPr>
        <w:t>14F</w:t>
      </w:r>
      <w:r w:rsidR="006D28A5">
        <w:rPr>
          <w:rStyle w:val="FootnoteReference"/>
        </w:rPr>
        <w:footnoteReference w:id="13"/>
      </w:r>
      <w:r w:rsidR="006D28A5">
        <w:t xml:space="preserve"> </w:t>
      </w:r>
      <w:r w:rsidRPr="00E6110F">
        <w:t>and Namoi alluvium”. For this reason, geological faults were not represented in the model.</w:t>
      </w:r>
      <w:r>
        <w:t xml:space="preserve"> </w:t>
      </w:r>
      <w:r w:rsidRPr="002B1635">
        <w:t>More specifically, the authors cite an earlier study which concluded that no evidence exists for the presence of large, post-Jurassic age faults. Where present, displacement of Jurassic (and younger) strata was found to be minor.  The assumption by CDM Smith (2014) that faults do not impact groundwater flows in the Gunnedah Basin is also consistent with the conceptualisations presented in other studies, such as Sc</w:t>
      </w:r>
      <w:r>
        <w:t>hlumberger Water Services (2012</w:t>
      </w:r>
      <w:r w:rsidRPr="002B1635">
        <w:t>) and the Bioregional Assessments Programme (in preparation).</w:t>
      </w:r>
    </w:p>
    <w:p w14:paraId="25DFA9C9" w14:textId="77777777" w:rsidR="002B1635" w:rsidRPr="00E6110F" w:rsidRDefault="002B1635" w:rsidP="002B1635">
      <w:pPr>
        <w:pStyle w:val="Body"/>
      </w:pPr>
      <w:r w:rsidRPr="00E6110F">
        <w:t xml:space="preserve">For the purpose of particle tracking analysis the main hydrostratigraphic unit of interests are the Pilliga Sandstone (represented by a single numberical layer) and the Alluvium (single numberical layer) that may be in contact with the Pilliga Sandstone in locations where the aquitards composed of Bungil-Mooga-Orallo Formation and the Liverpool Rance Volcanics-Wallumbilla Formation are absent. </w:t>
      </w:r>
    </w:p>
    <w:p w14:paraId="54414834" w14:textId="76A96E2E" w:rsidR="00092A07" w:rsidRPr="00E6110F" w:rsidRDefault="00092A07" w:rsidP="00092A07">
      <w:pPr>
        <w:pStyle w:val="Body"/>
      </w:pPr>
      <w:r w:rsidRPr="00092A07">
        <w:t xml:space="preserve">In the </w:t>
      </w:r>
      <w:r w:rsidR="00067876">
        <w:t>study area</w:t>
      </w:r>
      <w:r w:rsidRPr="00092A07">
        <w:t>, the Pilliga Sandstone is a confined aquifer where it is overlain by an aquitard, either the Blythesdale Group (the lateral equivalent of the Orallo Formation, Mooga Sandstone and lowermost Bungil Formation of the Surat Basin</w:t>
      </w:r>
      <w:r w:rsidR="006D28A5">
        <w:t xml:space="preserve"> in NSW</w:t>
      </w:r>
      <w:r w:rsidRPr="00092A07">
        <w:t>) or Liverpool Range Volcanics. The Pilliga Sandstone is an unconfined aquifer in the outcrop areas, to the south-east of the Narribri Gas Project Area (</w:t>
      </w:r>
      <w:r w:rsidRPr="00092A07">
        <w:fldChar w:fldCharType="begin" w:fldLock="1"/>
      </w:r>
      <w:r w:rsidRPr="00092A07">
        <w:instrText xml:space="preserve"> REF _Ref446839188 \h  \* MERGEFORMAT </w:instrText>
      </w:r>
      <w:r w:rsidRPr="00092A07">
        <w:fldChar w:fldCharType="separate"/>
      </w:r>
      <w:r w:rsidR="00335E79" w:rsidRPr="00E6110F">
        <w:t xml:space="preserve">Figure </w:t>
      </w:r>
      <w:r w:rsidR="00335E79">
        <w:t>2</w:t>
      </w:r>
      <w:r w:rsidR="00335E79">
        <w:noBreakHyphen/>
        <w:t>35</w:t>
      </w:r>
      <w:r w:rsidRPr="00092A07">
        <w:fldChar w:fldCharType="end"/>
      </w:r>
      <w:r w:rsidRPr="00092A07">
        <w:t xml:space="preserve">).  The surface geology further comprises of quaternary colluvium and aolian (collectively named the Alluvium) and the Blythesdale Group. In the northern edge of the </w:t>
      </w:r>
      <w:r w:rsidR="00067876">
        <w:t>study area</w:t>
      </w:r>
      <w:r w:rsidRPr="00092A07">
        <w:t>, the Alluvium is in contact with the Pilliga Sandstone (</w:t>
      </w:r>
      <w:r w:rsidRPr="00092A07">
        <w:fldChar w:fldCharType="begin" w:fldLock="1"/>
      </w:r>
      <w:r w:rsidRPr="00092A07">
        <w:instrText xml:space="preserve"> REF _Ref446842529 \h  \* MERGEFORMAT </w:instrText>
      </w:r>
      <w:r w:rsidRPr="00092A07">
        <w:fldChar w:fldCharType="separate"/>
      </w:r>
      <w:r w:rsidR="00335E79" w:rsidRPr="00E6110F">
        <w:t xml:space="preserve">Figure </w:t>
      </w:r>
      <w:r w:rsidR="00335E79">
        <w:t>2</w:t>
      </w:r>
      <w:r w:rsidR="00335E79">
        <w:noBreakHyphen/>
        <w:t>36</w:t>
      </w:r>
      <w:r w:rsidRPr="00092A07">
        <w:fldChar w:fldCharType="end"/>
      </w:r>
      <w:r w:rsidRPr="00092A07">
        <w:t xml:space="preserve"> and </w:t>
      </w:r>
      <w:r w:rsidRPr="00092A07">
        <w:fldChar w:fldCharType="begin" w:fldLock="1"/>
      </w:r>
      <w:r w:rsidRPr="00092A07">
        <w:instrText xml:space="preserve"> REF _Ref446845022 \h  \* MERGEFORMAT </w:instrText>
      </w:r>
      <w:r w:rsidRPr="00092A07">
        <w:fldChar w:fldCharType="separate"/>
      </w:r>
      <w:r w:rsidR="00335E79" w:rsidRPr="00E6110F">
        <w:t xml:space="preserve">Figure </w:t>
      </w:r>
      <w:r w:rsidR="00335E79">
        <w:t>2</w:t>
      </w:r>
      <w:r w:rsidR="00335E79">
        <w:noBreakHyphen/>
        <w:t>37</w:t>
      </w:r>
      <w:r w:rsidRPr="00092A07">
        <w:fldChar w:fldCharType="end"/>
      </w:r>
      <w:r w:rsidRPr="00092A07">
        <w:t xml:space="preserve">). The </w:t>
      </w:r>
      <w:r w:rsidR="0029139D" w:rsidRPr="00092A07">
        <w:t>Blythesdale Group</w:t>
      </w:r>
      <w:r w:rsidR="0029139D" w:rsidRPr="00092A07" w:rsidDel="0029139D">
        <w:t xml:space="preserve"> </w:t>
      </w:r>
      <w:r w:rsidR="0029139D">
        <w:t>and the Alluvium</w:t>
      </w:r>
      <w:r w:rsidRPr="00092A07">
        <w:t xml:space="preserve"> are overlying the</w:t>
      </w:r>
      <w:r w:rsidRPr="00E6110F">
        <w:t xml:space="preserve"> </w:t>
      </w:r>
      <w:r w:rsidRPr="00092A07">
        <w:t xml:space="preserve">Pilliga Sandstone across the majority of the project area (apart from the southeast corner, </w:t>
      </w:r>
      <w:r w:rsidRPr="00092A07">
        <w:fldChar w:fldCharType="begin" w:fldLock="1"/>
      </w:r>
      <w:r w:rsidRPr="00092A07">
        <w:instrText xml:space="preserve"> REF _Ref446839188 \h  \* MERGEFORMAT </w:instrText>
      </w:r>
      <w:r w:rsidRPr="00092A07">
        <w:fldChar w:fldCharType="separate"/>
      </w:r>
      <w:r w:rsidR="00335E79" w:rsidRPr="00E6110F">
        <w:t xml:space="preserve">Figure </w:t>
      </w:r>
      <w:r w:rsidR="00335E79">
        <w:t>2</w:t>
      </w:r>
      <w:r w:rsidR="00335E79">
        <w:noBreakHyphen/>
        <w:t>35</w:t>
      </w:r>
      <w:r w:rsidRPr="00092A07">
        <w:fldChar w:fldCharType="end"/>
      </w:r>
      <w:r w:rsidRPr="00092A07">
        <w:t xml:space="preserve">). The Blythesdale Group sediments contain off-white, coarse-grained, cross-bedded, well-sorted, porous, sandstone and conglomerate, </w:t>
      </w:r>
      <w:r w:rsidRPr="00E6110F">
        <w:t>nterbedded with minor shale, siltstone and coal (CDM Smith 2014). The thickness of the Blythesdale Group in the project area ranges from 0 to 88 m with an average of 46 m thick (CDM Smith 2014).</w:t>
      </w:r>
    </w:p>
    <w:p w14:paraId="0FD6F2AA" w14:textId="77777777" w:rsidR="00B45F71" w:rsidRPr="00E6110F" w:rsidRDefault="00B45F71" w:rsidP="00E66624">
      <w:pPr>
        <w:pStyle w:val="Body"/>
      </w:pPr>
    </w:p>
    <w:p w14:paraId="0ECBB2B3" w14:textId="1F4EC320" w:rsidR="001D23C5" w:rsidRPr="00E6110F" w:rsidRDefault="001D23C5" w:rsidP="001D23C5">
      <w:pPr>
        <w:pStyle w:val="Imagecaption"/>
        <w:keepNext/>
        <w:pBdr>
          <w:top w:val="none" w:sz="0" w:space="0" w:color="auto"/>
        </w:pBdr>
      </w:pPr>
      <w:bookmarkStart w:id="227" w:name="_Ref422388099"/>
      <w:bookmarkStart w:id="228" w:name="_Toc446256521"/>
      <w:bookmarkStart w:id="229" w:name="_Ref446766620"/>
      <w:bookmarkStart w:id="230" w:name="_Toc494444710"/>
      <w:r w:rsidRPr="00E6110F">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20</w:t>
      </w:r>
      <w:r w:rsidR="00470577">
        <w:fldChar w:fldCharType="end"/>
      </w:r>
      <w:bookmarkEnd w:id="227"/>
      <w:r w:rsidRPr="00E6110F">
        <w:t xml:space="preserve">. Summary of geological units, hydrostratigraphic units and groundwater flow model layers represented in </w:t>
      </w:r>
      <w:r w:rsidR="00547496">
        <w:t xml:space="preserve">the </w:t>
      </w:r>
      <w:r w:rsidRPr="00E6110F">
        <w:t>Gunnedah Basin groundwater flow model.</w:t>
      </w:r>
      <w:bookmarkEnd w:id="228"/>
      <w:bookmarkEnd w:id="229"/>
      <w:bookmarkEnd w:id="230"/>
    </w:p>
    <w:tbl>
      <w:tblPr>
        <w:tblW w:w="5000" w:type="pct"/>
        <w:tblLayout w:type="fixed"/>
        <w:tblLook w:val="04A0" w:firstRow="1" w:lastRow="0" w:firstColumn="1" w:lastColumn="0" w:noHBand="0" w:noVBand="1"/>
      </w:tblPr>
      <w:tblGrid>
        <w:gridCol w:w="2255"/>
        <w:gridCol w:w="2255"/>
        <w:gridCol w:w="2255"/>
        <w:gridCol w:w="2255"/>
      </w:tblGrid>
      <w:tr w:rsidR="001D23C5" w:rsidRPr="00E6110F" w14:paraId="5DE999EC" w14:textId="77777777" w:rsidTr="00C4764D">
        <w:trPr>
          <w:trHeight w:val="264"/>
        </w:trPr>
        <w:tc>
          <w:tcPr>
            <w:tcW w:w="1250" w:type="pct"/>
            <w:tcBorders>
              <w:top w:val="single" w:sz="4" w:space="0" w:color="auto"/>
              <w:left w:val="nil"/>
              <w:bottom w:val="single" w:sz="4" w:space="0" w:color="auto"/>
              <w:right w:val="nil"/>
            </w:tcBorders>
            <w:shd w:val="clear" w:color="auto" w:fill="F2F2F2" w:themeFill="background1" w:themeFillShade="F2"/>
            <w:noWrap/>
            <w:vAlign w:val="center"/>
            <w:hideMark/>
          </w:tcPr>
          <w:p w14:paraId="37932B69"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Geological unit</w:t>
            </w:r>
          </w:p>
        </w:tc>
        <w:tc>
          <w:tcPr>
            <w:tcW w:w="1250" w:type="pct"/>
            <w:tcBorders>
              <w:top w:val="single" w:sz="4" w:space="0" w:color="auto"/>
              <w:left w:val="nil"/>
              <w:bottom w:val="single" w:sz="4" w:space="0" w:color="auto"/>
              <w:right w:val="nil"/>
            </w:tcBorders>
            <w:shd w:val="clear" w:color="auto" w:fill="F2F2F2" w:themeFill="background1" w:themeFillShade="F2"/>
            <w:vAlign w:val="center"/>
          </w:tcPr>
          <w:p w14:paraId="23F51F55"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Geological model layer</w:t>
            </w:r>
          </w:p>
        </w:tc>
        <w:tc>
          <w:tcPr>
            <w:tcW w:w="1250" w:type="pct"/>
            <w:tcBorders>
              <w:top w:val="single" w:sz="4" w:space="0" w:color="auto"/>
              <w:left w:val="nil"/>
              <w:bottom w:val="single" w:sz="4" w:space="0" w:color="auto"/>
              <w:right w:val="nil"/>
            </w:tcBorders>
            <w:shd w:val="clear" w:color="auto" w:fill="F2F2F2" w:themeFill="background1" w:themeFillShade="F2"/>
            <w:vAlign w:val="center"/>
          </w:tcPr>
          <w:p w14:paraId="0DBFBE99"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Hydrostratigraphic unit</w:t>
            </w:r>
          </w:p>
        </w:tc>
        <w:tc>
          <w:tcPr>
            <w:tcW w:w="1250" w:type="pct"/>
            <w:tcBorders>
              <w:top w:val="single" w:sz="4" w:space="0" w:color="auto"/>
              <w:left w:val="nil"/>
              <w:bottom w:val="single" w:sz="4" w:space="0" w:color="auto"/>
              <w:right w:val="nil"/>
            </w:tcBorders>
            <w:shd w:val="clear" w:color="auto" w:fill="F2F2F2" w:themeFill="background1" w:themeFillShade="F2"/>
            <w:vAlign w:val="center"/>
          </w:tcPr>
          <w:p w14:paraId="0FFFA856" w14:textId="77777777" w:rsidR="001D23C5" w:rsidRPr="00E6110F" w:rsidRDefault="001D23C5" w:rsidP="00136201">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Groundwater model layer(s)</w:t>
            </w:r>
          </w:p>
        </w:tc>
      </w:tr>
      <w:tr w:rsidR="001D23C5" w:rsidRPr="00E6110F" w14:paraId="5EB24B56" w14:textId="77777777" w:rsidTr="001D23C5">
        <w:trPr>
          <w:trHeight w:val="264"/>
        </w:trPr>
        <w:tc>
          <w:tcPr>
            <w:tcW w:w="1250" w:type="pct"/>
            <w:tcBorders>
              <w:top w:val="single" w:sz="4" w:space="0" w:color="auto"/>
              <w:left w:val="nil"/>
              <w:bottom w:val="nil"/>
              <w:right w:val="nil"/>
            </w:tcBorders>
            <w:shd w:val="clear" w:color="auto" w:fill="D8DEF4" w:themeFill="accent5" w:themeFillTint="66"/>
            <w:noWrap/>
            <w:vAlign w:val="bottom"/>
            <w:hideMark/>
          </w:tcPr>
          <w:p w14:paraId="65C2D2CA"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Cenozoic Alluvium</w:t>
            </w:r>
          </w:p>
        </w:tc>
        <w:tc>
          <w:tcPr>
            <w:tcW w:w="1250" w:type="pct"/>
            <w:tcBorders>
              <w:top w:val="single" w:sz="4" w:space="0" w:color="auto"/>
              <w:left w:val="nil"/>
              <w:bottom w:val="single" w:sz="4" w:space="0" w:color="auto"/>
              <w:right w:val="nil"/>
            </w:tcBorders>
            <w:shd w:val="clear" w:color="auto" w:fill="D8DEF4" w:themeFill="accent5" w:themeFillTint="66"/>
            <w:vAlign w:val="center"/>
          </w:tcPr>
          <w:p w14:paraId="7E1D8A56"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1</w:t>
            </w:r>
          </w:p>
        </w:tc>
        <w:tc>
          <w:tcPr>
            <w:tcW w:w="1250" w:type="pct"/>
            <w:tcBorders>
              <w:top w:val="single" w:sz="4" w:space="0" w:color="auto"/>
              <w:left w:val="nil"/>
              <w:bottom w:val="single" w:sz="4" w:space="0" w:color="auto"/>
              <w:right w:val="nil"/>
            </w:tcBorders>
            <w:shd w:val="clear" w:color="auto" w:fill="D8DEF4" w:themeFill="accent5" w:themeFillTint="66"/>
          </w:tcPr>
          <w:p w14:paraId="4E510837"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aquifer</w:t>
            </w:r>
          </w:p>
        </w:tc>
        <w:tc>
          <w:tcPr>
            <w:tcW w:w="1250" w:type="pct"/>
            <w:tcBorders>
              <w:top w:val="single" w:sz="4" w:space="0" w:color="auto"/>
              <w:left w:val="nil"/>
              <w:bottom w:val="single" w:sz="4" w:space="0" w:color="auto"/>
              <w:right w:val="nil"/>
            </w:tcBorders>
            <w:shd w:val="clear" w:color="auto" w:fill="D8DEF4" w:themeFill="accent5" w:themeFillTint="66"/>
            <w:vAlign w:val="center"/>
          </w:tcPr>
          <w:p w14:paraId="15B5134E"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1</w:t>
            </w:r>
          </w:p>
        </w:tc>
      </w:tr>
      <w:tr w:rsidR="001D23C5" w:rsidRPr="00E6110F" w14:paraId="1B87CC11" w14:textId="77777777" w:rsidTr="00670732">
        <w:trPr>
          <w:trHeight w:val="264"/>
        </w:trPr>
        <w:tc>
          <w:tcPr>
            <w:tcW w:w="1250" w:type="pct"/>
            <w:tcBorders>
              <w:top w:val="nil"/>
              <w:left w:val="nil"/>
              <w:bottom w:val="nil"/>
              <w:right w:val="nil"/>
            </w:tcBorders>
            <w:shd w:val="clear" w:color="auto" w:fill="auto"/>
            <w:noWrap/>
            <w:vAlign w:val="bottom"/>
            <w:hideMark/>
          </w:tcPr>
          <w:p w14:paraId="7900FE53"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Liverpool Range Volcanics</w:t>
            </w:r>
          </w:p>
        </w:tc>
        <w:tc>
          <w:tcPr>
            <w:tcW w:w="1250" w:type="pct"/>
            <w:vMerge w:val="restart"/>
            <w:tcBorders>
              <w:top w:val="single" w:sz="4" w:space="0" w:color="auto"/>
              <w:left w:val="nil"/>
              <w:bottom w:val="single" w:sz="4" w:space="0" w:color="auto"/>
              <w:right w:val="nil"/>
            </w:tcBorders>
            <w:vAlign w:val="center"/>
          </w:tcPr>
          <w:p w14:paraId="3629BF6C"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2</w:t>
            </w:r>
          </w:p>
        </w:tc>
        <w:tc>
          <w:tcPr>
            <w:tcW w:w="1250" w:type="pct"/>
            <w:vMerge w:val="restart"/>
            <w:tcBorders>
              <w:top w:val="single" w:sz="4" w:space="0" w:color="auto"/>
              <w:left w:val="nil"/>
              <w:bottom w:val="single" w:sz="4" w:space="0" w:color="auto"/>
              <w:right w:val="nil"/>
            </w:tcBorders>
            <w:shd w:val="clear" w:color="auto" w:fill="auto"/>
            <w:vAlign w:val="center"/>
          </w:tcPr>
          <w:p w14:paraId="7AA16314"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aquitard</w:t>
            </w:r>
          </w:p>
        </w:tc>
        <w:tc>
          <w:tcPr>
            <w:tcW w:w="1250" w:type="pct"/>
            <w:tcBorders>
              <w:top w:val="single" w:sz="4" w:space="0" w:color="auto"/>
              <w:left w:val="nil"/>
              <w:bottom w:val="single" w:sz="4" w:space="0" w:color="auto"/>
              <w:right w:val="nil"/>
            </w:tcBorders>
            <w:shd w:val="clear" w:color="auto" w:fill="auto"/>
            <w:vAlign w:val="center"/>
          </w:tcPr>
          <w:p w14:paraId="1C62F619"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2</w:t>
            </w:r>
          </w:p>
        </w:tc>
      </w:tr>
      <w:tr w:rsidR="001D23C5" w:rsidRPr="00E6110F" w14:paraId="2F7B5F02" w14:textId="77777777" w:rsidTr="00670732">
        <w:trPr>
          <w:trHeight w:val="264"/>
        </w:trPr>
        <w:tc>
          <w:tcPr>
            <w:tcW w:w="1250" w:type="pct"/>
            <w:tcBorders>
              <w:top w:val="nil"/>
              <w:left w:val="nil"/>
              <w:bottom w:val="nil"/>
              <w:right w:val="nil"/>
            </w:tcBorders>
            <w:shd w:val="clear" w:color="auto" w:fill="auto"/>
            <w:noWrap/>
            <w:vAlign w:val="bottom"/>
            <w:hideMark/>
          </w:tcPr>
          <w:p w14:paraId="43AC5761"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Wallumbilla Formation</w:t>
            </w:r>
          </w:p>
        </w:tc>
        <w:tc>
          <w:tcPr>
            <w:tcW w:w="1250" w:type="pct"/>
            <w:vMerge/>
            <w:tcBorders>
              <w:top w:val="single" w:sz="4" w:space="0" w:color="auto"/>
              <w:left w:val="nil"/>
              <w:bottom w:val="single" w:sz="4" w:space="0" w:color="auto"/>
              <w:right w:val="nil"/>
            </w:tcBorders>
            <w:vAlign w:val="center"/>
          </w:tcPr>
          <w:p w14:paraId="45A10EB6"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4EBE3A3A"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72CCA24D"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3</w:t>
            </w:r>
          </w:p>
        </w:tc>
      </w:tr>
      <w:tr w:rsidR="001D23C5" w:rsidRPr="00E6110F" w14:paraId="7D7064DB" w14:textId="77777777" w:rsidTr="00670732">
        <w:trPr>
          <w:trHeight w:val="264"/>
        </w:trPr>
        <w:tc>
          <w:tcPr>
            <w:tcW w:w="1250" w:type="pct"/>
            <w:tcBorders>
              <w:top w:val="nil"/>
              <w:left w:val="nil"/>
              <w:bottom w:val="nil"/>
              <w:right w:val="nil"/>
            </w:tcBorders>
            <w:shd w:val="clear" w:color="auto" w:fill="auto"/>
            <w:noWrap/>
            <w:vAlign w:val="bottom"/>
            <w:hideMark/>
          </w:tcPr>
          <w:p w14:paraId="2AF88D18"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Bungil Formation</w:t>
            </w:r>
          </w:p>
        </w:tc>
        <w:tc>
          <w:tcPr>
            <w:tcW w:w="1250" w:type="pct"/>
            <w:vMerge w:val="restart"/>
            <w:tcBorders>
              <w:top w:val="single" w:sz="4" w:space="0" w:color="auto"/>
              <w:left w:val="nil"/>
              <w:bottom w:val="single" w:sz="4" w:space="0" w:color="auto"/>
              <w:right w:val="nil"/>
            </w:tcBorders>
            <w:vAlign w:val="center"/>
          </w:tcPr>
          <w:p w14:paraId="1C49A27E"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3</w:t>
            </w:r>
          </w:p>
        </w:tc>
        <w:tc>
          <w:tcPr>
            <w:tcW w:w="1250" w:type="pct"/>
            <w:vMerge/>
            <w:tcBorders>
              <w:top w:val="single" w:sz="4" w:space="0" w:color="auto"/>
              <w:left w:val="nil"/>
              <w:bottom w:val="single" w:sz="4" w:space="0" w:color="auto"/>
              <w:right w:val="nil"/>
            </w:tcBorders>
            <w:shd w:val="clear" w:color="auto" w:fill="auto"/>
          </w:tcPr>
          <w:p w14:paraId="4FEB8E45"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1ABDC662"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4</w:t>
            </w:r>
          </w:p>
        </w:tc>
      </w:tr>
      <w:tr w:rsidR="001D23C5" w:rsidRPr="00E6110F" w14:paraId="5987543A" w14:textId="77777777" w:rsidTr="00670732">
        <w:trPr>
          <w:trHeight w:val="264"/>
        </w:trPr>
        <w:tc>
          <w:tcPr>
            <w:tcW w:w="1250" w:type="pct"/>
            <w:tcBorders>
              <w:top w:val="nil"/>
              <w:left w:val="nil"/>
              <w:bottom w:val="nil"/>
              <w:right w:val="nil"/>
            </w:tcBorders>
            <w:shd w:val="clear" w:color="auto" w:fill="auto"/>
            <w:noWrap/>
            <w:vAlign w:val="bottom"/>
            <w:hideMark/>
          </w:tcPr>
          <w:p w14:paraId="5BDA1BCB"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Mooga Sandstone</w:t>
            </w:r>
          </w:p>
        </w:tc>
        <w:tc>
          <w:tcPr>
            <w:tcW w:w="1250" w:type="pct"/>
            <w:vMerge/>
            <w:tcBorders>
              <w:top w:val="single" w:sz="4" w:space="0" w:color="auto"/>
              <w:left w:val="nil"/>
              <w:bottom w:val="single" w:sz="4" w:space="0" w:color="auto"/>
              <w:right w:val="nil"/>
            </w:tcBorders>
            <w:vAlign w:val="center"/>
          </w:tcPr>
          <w:p w14:paraId="59692CDC"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32EAE643"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78907938"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5</w:t>
            </w:r>
          </w:p>
        </w:tc>
      </w:tr>
      <w:tr w:rsidR="001D23C5" w:rsidRPr="00E6110F" w14:paraId="7A381D41" w14:textId="77777777" w:rsidTr="001D23C5">
        <w:trPr>
          <w:trHeight w:val="264"/>
        </w:trPr>
        <w:tc>
          <w:tcPr>
            <w:tcW w:w="1250" w:type="pct"/>
            <w:tcBorders>
              <w:top w:val="nil"/>
              <w:left w:val="nil"/>
              <w:right w:val="nil"/>
            </w:tcBorders>
            <w:shd w:val="clear" w:color="auto" w:fill="auto"/>
            <w:noWrap/>
            <w:vAlign w:val="bottom"/>
            <w:hideMark/>
          </w:tcPr>
          <w:p w14:paraId="37B70AB7"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Orallo Formation</w:t>
            </w:r>
          </w:p>
        </w:tc>
        <w:tc>
          <w:tcPr>
            <w:tcW w:w="1250" w:type="pct"/>
            <w:vMerge/>
            <w:tcBorders>
              <w:top w:val="single" w:sz="4" w:space="0" w:color="auto"/>
              <w:left w:val="nil"/>
              <w:right w:val="nil"/>
            </w:tcBorders>
            <w:vAlign w:val="center"/>
          </w:tcPr>
          <w:p w14:paraId="0422D990"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right w:val="nil"/>
            </w:tcBorders>
            <w:shd w:val="clear" w:color="auto" w:fill="auto"/>
          </w:tcPr>
          <w:p w14:paraId="48011CF0"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right w:val="nil"/>
            </w:tcBorders>
            <w:shd w:val="clear" w:color="auto" w:fill="auto"/>
            <w:vAlign w:val="center"/>
          </w:tcPr>
          <w:p w14:paraId="6DC002CB"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1D23C5" w:rsidRPr="00E6110F" w14:paraId="78F66164" w14:textId="77777777" w:rsidTr="001D23C5">
        <w:trPr>
          <w:trHeight w:val="264"/>
        </w:trPr>
        <w:tc>
          <w:tcPr>
            <w:tcW w:w="1250" w:type="pct"/>
            <w:tcBorders>
              <w:left w:val="nil"/>
              <w:right w:val="nil"/>
            </w:tcBorders>
            <w:shd w:val="clear" w:color="auto" w:fill="D8DEF4" w:themeFill="accent5" w:themeFillTint="66"/>
            <w:noWrap/>
            <w:vAlign w:val="bottom"/>
            <w:hideMark/>
          </w:tcPr>
          <w:p w14:paraId="55C73C06"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Pilliga Sandstone</w:t>
            </w:r>
          </w:p>
        </w:tc>
        <w:tc>
          <w:tcPr>
            <w:tcW w:w="1250" w:type="pct"/>
            <w:tcBorders>
              <w:left w:val="nil"/>
              <w:right w:val="nil"/>
            </w:tcBorders>
            <w:shd w:val="clear" w:color="auto" w:fill="D8DEF4" w:themeFill="accent5" w:themeFillTint="66"/>
            <w:vAlign w:val="center"/>
          </w:tcPr>
          <w:p w14:paraId="5756A44B"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4</w:t>
            </w:r>
          </w:p>
        </w:tc>
        <w:tc>
          <w:tcPr>
            <w:tcW w:w="1250" w:type="pct"/>
            <w:tcBorders>
              <w:left w:val="nil"/>
              <w:right w:val="nil"/>
            </w:tcBorders>
            <w:shd w:val="clear" w:color="auto" w:fill="D8DEF4" w:themeFill="accent5" w:themeFillTint="66"/>
          </w:tcPr>
          <w:p w14:paraId="31E9C396"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aquifer</w:t>
            </w:r>
          </w:p>
        </w:tc>
        <w:tc>
          <w:tcPr>
            <w:tcW w:w="1250" w:type="pct"/>
            <w:tcBorders>
              <w:left w:val="nil"/>
              <w:right w:val="nil"/>
            </w:tcBorders>
            <w:shd w:val="clear" w:color="auto" w:fill="D8DEF4" w:themeFill="accent5" w:themeFillTint="66"/>
            <w:vAlign w:val="center"/>
          </w:tcPr>
          <w:p w14:paraId="7001325F"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6</w:t>
            </w:r>
          </w:p>
        </w:tc>
      </w:tr>
      <w:tr w:rsidR="001D23C5" w:rsidRPr="00E6110F" w14:paraId="03393246" w14:textId="77777777" w:rsidTr="001D23C5">
        <w:trPr>
          <w:trHeight w:val="264"/>
        </w:trPr>
        <w:tc>
          <w:tcPr>
            <w:tcW w:w="1250" w:type="pct"/>
            <w:tcBorders>
              <w:left w:val="nil"/>
              <w:bottom w:val="nil"/>
              <w:right w:val="nil"/>
            </w:tcBorders>
            <w:shd w:val="clear" w:color="auto" w:fill="auto"/>
            <w:noWrap/>
            <w:vAlign w:val="bottom"/>
            <w:hideMark/>
          </w:tcPr>
          <w:p w14:paraId="1F033556"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Purlawaugh Formation</w:t>
            </w:r>
          </w:p>
        </w:tc>
        <w:tc>
          <w:tcPr>
            <w:tcW w:w="1250" w:type="pct"/>
            <w:tcBorders>
              <w:left w:val="nil"/>
              <w:bottom w:val="single" w:sz="4" w:space="0" w:color="auto"/>
              <w:right w:val="nil"/>
            </w:tcBorders>
            <w:vAlign w:val="center"/>
          </w:tcPr>
          <w:p w14:paraId="5921EF65"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5</w:t>
            </w:r>
          </w:p>
        </w:tc>
        <w:tc>
          <w:tcPr>
            <w:tcW w:w="1250" w:type="pct"/>
            <w:vMerge w:val="restart"/>
            <w:tcBorders>
              <w:left w:val="nil"/>
              <w:bottom w:val="single" w:sz="4" w:space="0" w:color="auto"/>
              <w:right w:val="nil"/>
            </w:tcBorders>
            <w:shd w:val="clear" w:color="auto" w:fill="auto"/>
            <w:vAlign w:val="center"/>
          </w:tcPr>
          <w:p w14:paraId="05E9D6A7"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aquitard</w:t>
            </w:r>
          </w:p>
        </w:tc>
        <w:tc>
          <w:tcPr>
            <w:tcW w:w="1250" w:type="pct"/>
            <w:tcBorders>
              <w:left w:val="nil"/>
              <w:bottom w:val="single" w:sz="4" w:space="0" w:color="auto"/>
              <w:right w:val="nil"/>
            </w:tcBorders>
            <w:shd w:val="clear" w:color="auto" w:fill="auto"/>
            <w:vAlign w:val="center"/>
          </w:tcPr>
          <w:p w14:paraId="76DC79CA"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7</w:t>
            </w:r>
          </w:p>
        </w:tc>
      </w:tr>
      <w:tr w:rsidR="001D23C5" w:rsidRPr="00E6110F" w14:paraId="226B53C4" w14:textId="77777777" w:rsidTr="00670732">
        <w:trPr>
          <w:trHeight w:val="264"/>
        </w:trPr>
        <w:tc>
          <w:tcPr>
            <w:tcW w:w="1250" w:type="pct"/>
            <w:tcBorders>
              <w:top w:val="nil"/>
              <w:left w:val="nil"/>
              <w:bottom w:val="nil"/>
              <w:right w:val="nil"/>
            </w:tcBorders>
            <w:shd w:val="clear" w:color="auto" w:fill="auto"/>
            <w:noWrap/>
            <w:vAlign w:val="bottom"/>
            <w:hideMark/>
          </w:tcPr>
          <w:p w14:paraId="444A4C85"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Garrawilla Volcanics</w:t>
            </w:r>
          </w:p>
        </w:tc>
        <w:tc>
          <w:tcPr>
            <w:tcW w:w="1250" w:type="pct"/>
            <w:tcBorders>
              <w:top w:val="single" w:sz="4" w:space="0" w:color="auto"/>
              <w:left w:val="nil"/>
              <w:bottom w:val="single" w:sz="4" w:space="0" w:color="auto"/>
              <w:right w:val="nil"/>
            </w:tcBorders>
            <w:vAlign w:val="center"/>
          </w:tcPr>
          <w:p w14:paraId="716660C9"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6</w:t>
            </w:r>
          </w:p>
        </w:tc>
        <w:tc>
          <w:tcPr>
            <w:tcW w:w="1250" w:type="pct"/>
            <w:vMerge/>
            <w:tcBorders>
              <w:top w:val="single" w:sz="4" w:space="0" w:color="auto"/>
              <w:left w:val="nil"/>
              <w:bottom w:val="single" w:sz="4" w:space="0" w:color="auto"/>
              <w:right w:val="nil"/>
            </w:tcBorders>
            <w:shd w:val="clear" w:color="auto" w:fill="auto"/>
          </w:tcPr>
          <w:p w14:paraId="7F9BE106"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1A149380"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8</w:t>
            </w:r>
          </w:p>
        </w:tc>
      </w:tr>
      <w:tr w:rsidR="001D23C5" w:rsidRPr="00E6110F" w14:paraId="51B7BEFA" w14:textId="77777777" w:rsidTr="00670732">
        <w:trPr>
          <w:trHeight w:val="264"/>
        </w:trPr>
        <w:tc>
          <w:tcPr>
            <w:tcW w:w="1250" w:type="pct"/>
            <w:tcBorders>
              <w:top w:val="nil"/>
              <w:left w:val="nil"/>
              <w:bottom w:val="nil"/>
              <w:right w:val="nil"/>
            </w:tcBorders>
            <w:shd w:val="clear" w:color="auto" w:fill="auto"/>
            <w:noWrap/>
            <w:vAlign w:val="bottom"/>
            <w:hideMark/>
          </w:tcPr>
          <w:p w14:paraId="0A795DDF"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 xml:space="preserve">Deriah Formation </w:t>
            </w:r>
          </w:p>
        </w:tc>
        <w:tc>
          <w:tcPr>
            <w:tcW w:w="1250" w:type="pct"/>
            <w:vMerge w:val="restart"/>
            <w:tcBorders>
              <w:top w:val="single" w:sz="4" w:space="0" w:color="auto"/>
              <w:left w:val="nil"/>
              <w:bottom w:val="single" w:sz="4" w:space="0" w:color="auto"/>
              <w:right w:val="nil"/>
            </w:tcBorders>
            <w:vAlign w:val="center"/>
          </w:tcPr>
          <w:p w14:paraId="6D12FB6A"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7</w:t>
            </w:r>
          </w:p>
        </w:tc>
        <w:tc>
          <w:tcPr>
            <w:tcW w:w="1250" w:type="pct"/>
            <w:vMerge/>
            <w:tcBorders>
              <w:top w:val="single" w:sz="4" w:space="0" w:color="auto"/>
              <w:left w:val="nil"/>
              <w:bottom w:val="single" w:sz="4" w:space="0" w:color="auto"/>
              <w:right w:val="nil"/>
            </w:tcBorders>
            <w:shd w:val="clear" w:color="auto" w:fill="auto"/>
          </w:tcPr>
          <w:p w14:paraId="0C4415AF"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vAlign w:val="center"/>
          </w:tcPr>
          <w:p w14:paraId="2B009DF0"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1D23C5" w:rsidRPr="00E6110F" w14:paraId="683B9868" w14:textId="77777777" w:rsidTr="00670732">
        <w:trPr>
          <w:trHeight w:val="264"/>
        </w:trPr>
        <w:tc>
          <w:tcPr>
            <w:tcW w:w="1250" w:type="pct"/>
            <w:tcBorders>
              <w:top w:val="nil"/>
              <w:left w:val="nil"/>
              <w:bottom w:val="nil"/>
              <w:right w:val="nil"/>
            </w:tcBorders>
            <w:shd w:val="clear" w:color="auto" w:fill="auto"/>
            <w:noWrap/>
            <w:vAlign w:val="bottom"/>
            <w:hideMark/>
          </w:tcPr>
          <w:p w14:paraId="11265EE8"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 xml:space="preserve">Napperby Formation </w:t>
            </w:r>
          </w:p>
        </w:tc>
        <w:tc>
          <w:tcPr>
            <w:tcW w:w="1250" w:type="pct"/>
            <w:vMerge/>
            <w:tcBorders>
              <w:top w:val="single" w:sz="4" w:space="0" w:color="auto"/>
              <w:left w:val="nil"/>
              <w:bottom w:val="single" w:sz="4" w:space="0" w:color="auto"/>
              <w:right w:val="nil"/>
            </w:tcBorders>
            <w:vAlign w:val="center"/>
          </w:tcPr>
          <w:p w14:paraId="081394D8"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7241DC89"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63B66B34"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9</w:t>
            </w:r>
          </w:p>
        </w:tc>
      </w:tr>
      <w:tr w:rsidR="001D23C5" w:rsidRPr="00E6110F" w14:paraId="238C5F4E" w14:textId="77777777" w:rsidTr="00670732">
        <w:trPr>
          <w:trHeight w:val="264"/>
        </w:trPr>
        <w:tc>
          <w:tcPr>
            <w:tcW w:w="1250" w:type="pct"/>
            <w:tcBorders>
              <w:top w:val="nil"/>
              <w:left w:val="nil"/>
              <w:bottom w:val="nil"/>
              <w:right w:val="nil"/>
            </w:tcBorders>
            <w:shd w:val="clear" w:color="auto" w:fill="auto"/>
            <w:noWrap/>
            <w:vAlign w:val="bottom"/>
            <w:hideMark/>
          </w:tcPr>
          <w:p w14:paraId="5152CAE9"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 xml:space="preserve">Digby Formation </w:t>
            </w:r>
          </w:p>
        </w:tc>
        <w:tc>
          <w:tcPr>
            <w:tcW w:w="1250" w:type="pct"/>
            <w:tcBorders>
              <w:top w:val="single" w:sz="4" w:space="0" w:color="auto"/>
              <w:left w:val="nil"/>
              <w:bottom w:val="single" w:sz="4" w:space="0" w:color="auto"/>
              <w:right w:val="nil"/>
            </w:tcBorders>
            <w:vAlign w:val="center"/>
          </w:tcPr>
          <w:p w14:paraId="703F3385"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8</w:t>
            </w:r>
          </w:p>
        </w:tc>
        <w:tc>
          <w:tcPr>
            <w:tcW w:w="1250" w:type="pct"/>
            <w:vMerge/>
            <w:tcBorders>
              <w:top w:val="single" w:sz="4" w:space="0" w:color="auto"/>
              <w:left w:val="nil"/>
              <w:bottom w:val="single" w:sz="4" w:space="0" w:color="auto"/>
              <w:right w:val="nil"/>
            </w:tcBorders>
            <w:shd w:val="clear" w:color="auto" w:fill="auto"/>
          </w:tcPr>
          <w:p w14:paraId="43A85E37"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vAlign w:val="center"/>
          </w:tcPr>
          <w:p w14:paraId="2D334936"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1D23C5" w:rsidRPr="00E6110F" w14:paraId="427AE03C" w14:textId="77777777" w:rsidTr="00670732">
        <w:trPr>
          <w:trHeight w:val="264"/>
        </w:trPr>
        <w:tc>
          <w:tcPr>
            <w:tcW w:w="1250" w:type="pct"/>
            <w:tcBorders>
              <w:top w:val="nil"/>
              <w:left w:val="nil"/>
              <w:bottom w:val="nil"/>
              <w:right w:val="nil"/>
            </w:tcBorders>
            <w:shd w:val="clear" w:color="auto" w:fill="auto"/>
            <w:noWrap/>
            <w:vAlign w:val="bottom"/>
            <w:hideMark/>
          </w:tcPr>
          <w:p w14:paraId="5B310023"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 xml:space="preserve">Trinkey Formation </w:t>
            </w:r>
          </w:p>
        </w:tc>
        <w:tc>
          <w:tcPr>
            <w:tcW w:w="1250" w:type="pct"/>
            <w:vMerge w:val="restart"/>
            <w:tcBorders>
              <w:top w:val="single" w:sz="4" w:space="0" w:color="auto"/>
              <w:left w:val="nil"/>
              <w:bottom w:val="single" w:sz="4" w:space="0" w:color="auto"/>
              <w:right w:val="nil"/>
            </w:tcBorders>
            <w:vAlign w:val="center"/>
          </w:tcPr>
          <w:p w14:paraId="01DF1F87"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9</w:t>
            </w:r>
          </w:p>
        </w:tc>
        <w:tc>
          <w:tcPr>
            <w:tcW w:w="1250" w:type="pct"/>
            <w:vMerge/>
            <w:tcBorders>
              <w:top w:val="single" w:sz="4" w:space="0" w:color="auto"/>
              <w:left w:val="nil"/>
              <w:bottom w:val="single" w:sz="4" w:space="0" w:color="auto"/>
              <w:right w:val="nil"/>
            </w:tcBorders>
            <w:shd w:val="clear" w:color="auto" w:fill="auto"/>
          </w:tcPr>
          <w:p w14:paraId="67C9253A"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2AA62234"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10</w:t>
            </w:r>
          </w:p>
        </w:tc>
      </w:tr>
      <w:tr w:rsidR="001D23C5" w:rsidRPr="00E6110F" w14:paraId="1C5D90FD" w14:textId="77777777" w:rsidTr="00670732">
        <w:trPr>
          <w:trHeight w:val="264"/>
        </w:trPr>
        <w:tc>
          <w:tcPr>
            <w:tcW w:w="1250" w:type="pct"/>
            <w:tcBorders>
              <w:top w:val="nil"/>
              <w:left w:val="nil"/>
              <w:bottom w:val="nil"/>
              <w:right w:val="nil"/>
            </w:tcBorders>
            <w:shd w:val="clear" w:color="auto" w:fill="auto"/>
            <w:noWrap/>
            <w:vAlign w:val="bottom"/>
            <w:hideMark/>
          </w:tcPr>
          <w:p w14:paraId="7EF9323D"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 xml:space="preserve">Wallala Formation </w:t>
            </w:r>
          </w:p>
        </w:tc>
        <w:tc>
          <w:tcPr>
            <w:tcW w:w="1250" w:type="pct"/>
            <w:vMerge/>
            <w:tcBorders>
              <w:top w:val="single" w:sz="4" w:space="0" w:color="auto"/>
              <w:left w:val="nil"/>
              <w:bottom w:val="single" w:sz="4" w:space="0" w:color="auto"/>
              <w:right w:val="nil"/>
            </w:tcBorders>
            <w:vAlign w:val="center"/>
          </w:tcPr>
          <w:p w14:paraId="39094333"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3363CAE1"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vAlign w:val="center"/>
          </w:tcPr>
          <w:p w14:paraId="166ADAEE"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1D23C5" w:rsidRPr="00E6110F" w14:paraId="10661EE3" w14:textId="77777777" w:rsidTr="00670732">
        <w:trPr>
          <w:trHeight w:val="264"/>
        </w:trPr>
        <w:tc>
          <w:tcPr>
            <w:tcW w:w="1250" w:type="pct"/>
            <w:tcBorders>
              <w:top w:val="nil"/>
              <w:left w:val="nil"/>
              <w:bottom w:val="nil"/>
              <w:right w:val="nil"/>
            </w:tcBorders>
            <w:shd w:val="clear" w:color="auto" w:fill="auto"/>
            <w:noWrap/>
            <w:vAlign w:val="bottom"/>
            <w:hideMark/>
          </w:tcPr>
          <w:p w14:paraId="4C8FFA0C"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Breeza Coal Member</w:t>
            </w:r>
          </w:p>
        </w:tc>
        <w:tc>
          <w:tcPr>
            <w:tcW w:w="1250" w:type="pct"/>
            <w:vMerge/>
            <w:tcBorders>
              <w:top w:val="single" w:sz="4" w:space="0" w:color="auto"/>
              <w:left w:val="nil"/>
              <w:bottom w:val="single" w:sz="4" w:space="0" w:color="auto"/>
              <w:right w:val="nil"/>
            </w:tcBorders>
            <w:vAlign w:val="center"/>
          </w:tcPr>
          <w:p w14:paraId="4A788AC8"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0D70EE21"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406C28CD"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11</w:t>
            </w:r>
          </w:p>
        </w:tc>
      </w:tr>
      <w:tr w:rsidR="001D23C5" w:rsidRPr="00E6110F" w14:paraId="79F3025B" w14:textId="77777777" w:rsidTr="00670732">
        <w:trPr>
          <w:trHeight w:val="264"/>
        </w:trPr>
        <w:tc>
          <w:tcPr>
            <w:tcW w:w="1250" w:type="pct"/>
            <w:tcBorders>
              <w:top w:val="nil"/>
              <w:left w:val="nil"/>
              <w:bottom w:val="nil"/>
              <w:right w:val="nil"/>
            </w:tcBorders>
            <w:shd w:val="clear" w:color="auto" w:fill="auto"/>
            <w:noWrap/>
            <w:vAlign w:val="bottom"/>
            <w:hideMark/>
          </w:tcPr>
          <w:p w14:paraId="38BB98D9"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Clare Sandstone</w:t>
            </w:r>
          </w:p>
        </w:tc>
        <w:tc>
          <w:tcPr>
            <w:tcW w:w="1250" w:type="pct"/>
            <w:vMerge/>
            <w:tcBorders>
              <w:top w:val="single" w:sz="4" w:space="0" w:color="auto"/>
              <w:left w:val="nil"/>
              <w:bottom w:val="single" w:sz="4" w:space="0" w:color="auto"/>
              <w:right w:val="nil"/>
            </w:tcBorders>
            <w:vAlign w:val="center"/>
          </w:tcPr>
          <w:p w14:paraId="0FE38105"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25D95B89"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vAlign w:val="center"/>
          </w:tcPr>
          <w:p w14:paraId="1E994B85"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1D23C5" w:rsidRPr="00E6110F" w14:paraId="1D194553" w14:textId="77777777" w:rsidTr="00670732">
        <w:trPr>
          <w:trHeight w:val="264"/>
        </w:trPr>
        <w:tc>
          <w:tcPr>
            <w:tcW w:w="1250" w:type="pct"/>
            <w:tcBorders>
              <w:top w:val="nil"/>
              <w:left w:val="nil"/>
              <w:bottom w:val="nil"/>
              <w:right w:val="nil"/>
            </w:tcBorders>
            <w:shd w:val="clear" w:color="auto" w:fill="auto"/>
            <w:noWrap/>
            <w:vAlign w:val="bottom"/>
            <w:hideMark/>
          </w:tcPr>
          <w:p w14:paraId="7AAE637A"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Howes Hill Coal Member</w:t>
            </w:r>
          </w:p>
        </w:tc>
        <w:tc>
          <w:tcPr>
            <w:tcW w:w="1250" w:type="pct"/>
            <w:vMerge/>
            <w:tcBorders>
              <w:top w:val="single" w:sz="4" w:space="0" w:color="auto"/>
              <w:left w:val="nil"/>
              <w:bottom w:val="single" w:sz="4" w:space="0" w:color="auto"/>
              <w:right w:val="nil"/>
            </w:tcBorders>
            <w:vAlign w:val="center"/>
          </w:tcPr>
          <w:p w14:paraId="0F2B3A6E"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086D5239"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val="restart"/>
            <w:tcBorders>
              <w:top w:val="single" w:sz="4" w:space="0" w:color="auto"/>
              <w:left w:val="nil"/>
              <w:bottom w:val="single" w:sz="4" w:space="0" w:color="auto"/>
              <w:right w:val="nil"/>
            </w:tcBorders>
            <w:shd w:val="clear" w:color="auto" w:fill="auto"/>
            <w:vAlign w:val="center"/>
          </w:tcPr>
          <w:p w14:paraId="64F81A63"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12</w:t>
            </w:r>
          </w:p>
        </w:tc>
      </w:tr>
      <w:tr w:rsidR="001D23C5" w:rsidRPr="00E6110F" w14:paraId="0615D443" w14:textId="77777777" w:rsidTr="001D23C5">
        <w:trPr>
          <w:trHeight w:val="264"/>
        </w:trPr>
        <w:tc>
          <w:tcPr>
            <w:tcW w:w="1250" w:type="pct"/>
            <w:tcBorders>
              <w:top w:val="nil"/>
              <w:left w:val="nil"/>
              <w:right w:val="nil"/>
            </w:tcBorders>
            <w:shd w:val="clear" w:color="auto" w:fill="auto"/>
            <w:noWrap/>
            <w:vAlign w:val="bottom"/>
            <w:hideMark/>
          </w:tcPr>
          <w:p w14:paraId="6D853034"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 xml:space="preserve">Benelabri Formation </w:t>
            </w:r>
          </w:p>
        </w:tc>
        <w:tc>
          <w:tcPr>
            <w:tcW w:w="1250" w:type="pct"/>
            <w:vMerge/>
            <w:tcBorders>
              <w:top w:val="single" w:sz="4" w:space="0" w:color="auto"/>
              <w:left w:val="nil"/>
              <w:right w:val="nil"/>
            </w:tcBorders>
            <w:vAlign w:val="center"/>
          </w:tcPr>
          <w:p w14:paraId="29973DCB"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right w:val="nil"/>
            </w:tcBorders>
            <w:shd w:val="clear" w:color="auto" w:fill="auto"/>
          </w:tcPr>
          <w:p w14:paraId="2A2A54D0"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c>
          <w:tcPr>
            <w:tcW w:w="1250" w:type="pct"/>
            <w:vMerge/>
            <w:tcBorders>
              <w:top w:val="single" w:sz="4" w:space="0" w:color="auto"/>
              <w:left w:val="nil"/>
              <w:right w:val="nil"/>
            </w:tcBorders>
            <w:shd w:val="clear" w:color="auto" w:fill="auto"/>
            <w:vAlign w:val="center"/>
          </w:tcPr>
          <w:p w14:paraId="35046EA7"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p>
        </w:tc>
      </w:tr>
      <w:tr w:rsidR="001D23C5" w:rsidRPr="00E6110F" w14:paraId="5B7B2C29" w14:textId="77777777" w:rsidTr="001D23C5">
        <w:trPr>
          <w:trHeight w:val="264"/>
        </w:trPr>
        <w:tc>
          <w:tcPr>
            <w:tcW w:w="1250" w:type="pct"/>
            <w:tcBorders>
              <w:left w:val="nil"/>
              <w:right w:val="nil"/>
            </w:tcBorders>
            <w:shd w:val="clear" w:color="auto" w:fill="BFBFBF" w:themeFill="background2" w:themeFillShade="BF"/>
            <w:noWrap/>
            <w:vAlign w:val="bottom"/>
            <w:hideMark/>
          </w:tcPr>
          <w:p w14:paraId="0E7CCEC8"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 xml:space="preserve">Hoskissons Coal </w:t>
            </w:r>
          </w:p>
        </w:tc>
        <w:tc>
          <w:tcPr>
            <w:tcW w:w="1250" w:type="pct"/>
            <w:tcBorders>
              <w:left w:val="nil"/>
              <w:right w:val="nil"/>
            </w:tcBorders>
            <w:shd w:val="clear" w:color="auto" w:fill="BFBFBF" w:themeFill="background2" w:themeFillShade="BF"/>
            <w:vAlign w:val="center"/>
          </w:tcPr>
          <w:p w14:paraId="65158A39"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10</w:t>
            </w:r>
          </w:p>
        </w:tc>
        <w:tc>
          <w:tcPr>
            <w:tcW w:w="1250" w:type="pct"/>
            <w:tcBorders>
              <w:left w:val="nil"/>
              <w:right w:val="nil"/>
            </w:tcBorders>
            <w:shd w:val="clear" w:color="auto" w:fill="BFBFBF" w:themeFill="background2" w:themeFillShade="BF"/>
          </w:tcPr>
          <w:p w14:paraId="0664960F"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CSG reservoir</w:t>
            </w:r>
          </w:p>
        </w:tc>
        <w:tc>
          <w:tcPr>
            <w:tcW w:w="1250" w:type="pct"/>
            <w:tcBorders>
              <w:left w:val="nil"/>
              <w:right w:val="nil"/>
            </w:tcBorders>
            <w:shd w:val="clear" w:color="auto" w:fill="BFBFBF" w:themeFill="background2" w:themeFillShade="BF"/>
            <w:vAlign w:val="center"/>
          </w:tcPr>
          <w:p w14:paraId="5BDD7FC2"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13</w:t>
            </w:r>
          </w:p>
        </w:tc>
      </w:tr>
      <w:tr w:rsidR="001D23C5" w:rsidRPr="00E6110F" w14:paraId="49613DF9" w14:textId="77777777" w:rsidTr="001D23C5">
        <w:trPr>
          <w:trHeight w:val="264"/>
        </w:trPr>
        <w:tc>
          <w:tcPr>
            <w:tcW w:w="1250" w:type="pct"/>
            <w:tcBorders>
              <w:left w:val="nil"/>
              <w:bottom w:val="nil"/>
              <w:right w:val="nil"/>
            </w:tcBorders>
            <w:shd w:val="clear" w:color="auto" w:fill="auto"/>
            <w:noWrap/>
            <w:vAlign w:val="bottom"/>
            <w:hideMark/>
          </w:tcPr>
          <w:p w14:paraId="1F5A164F"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sz w:val="18"/>
                <w:szCs w:val="18"/>
                <w:lang w:val="en-GB" w:eastAsia="en-AU"/>
              </w:rPr>
            </w:pPr>
            <w:r w:rsidRPr="00E6110F">
              <w:rPr>
                <w:rFonts w:ascii="Calibri" w:hAnsi="Calibri" w:cs="Calibri"/>
                <w:sz w:val="18"/>
                <w:szCs w:val="18"/>
                <w:lang w:val="en-GB" w:eastAsia="en-AU"/>
              </w:rPr>
              <w:t xml:space="preserve">Brigalow Formation </w:t>
            </w:r>
          </w:p>
        </w:tc>
        <w:tc>
          <w:tcPr>
            <w:tcW w:w="1250" w:type="pct"/>
            <w:vMerge w:val="restart"/>
            <w:tcBorders>
              <w:left w:val="nil"/>
              <w:bottom w:val="single" w:sz="4" w:space="0" w:color="auto"/>
              <w:right w:val="nil"/>
            </w:tcBorders>
            <w:vAlign w:val="center"/>
          </w:tcPr>
          <w:p w14:paraId="5E16A060"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11</w:t>
            </w:r>
          </w:p>
        </w:tc>
        <w:tc>
          <w:tcPr>
            <w:tcW w:w="1250" w:type="pct"/>
            <w:vMerge w:val="restart"/>
            <w:tcBorders>
              <w:left w:val="nil"/>
              <w:bottom w:val="single" w:sz="4" w:space="0" w:color="auto"/>
              <w:right w:val="nil"/>
            </w:tcBorders>
            <w:shd w:val="clear" w:color="auto" w:fill="auto"/>
            <w:vAlign w:val="center"/>
          </w:tcPr>
          <w:p w14:paraId="25136E40"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aquitard</w:t>
            </w:r>
          </w:p>
        </w:tc>
        <w:tc>
          <w:tcPr>
            <w:tcW w:w="1250" w:type="pct"/>
            <w:tcBorders>
              <w:left w:val="nil"/>
              <w:bottom w:val="single" w:sz="4" w:space="0" w:color="auto"/>
              <w:right w:val="nil"/>
            </w:tcBorders>
            <w:shd w:val="clear" w:color="auto" w:fill="auto"/>
            <w:vAlign w:val="center"/>
          </w:tcPr>
          <w:p w14:paraId="75794BE3"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sz w:val="18"/>
                <w:szCs w:val="18"/>
                <w:lang w:val="en-GB" w:eastAsia="en-AU"/>
              </w:rPr>
            </w:pPr>
            <w:r w:rsidRPr="00E6110F">
              <w:rPr>
                <w:rFonts w:ascii="Calibri" w:hAnsi="Calibri" w:cs="Calibri"/>
                <w:sz w:val="18"/>
                <w:szCs w:val="18"/>
                <w:lang w:val="en-GB" w:eastAsia="en-AU"/>
              </w:rPr>
              <w:t>14</w:t>
            </w:r>
          </w:p>
        </w:tc>
      </w:tr>
      <w:tr w:rsidR="001D23C5" w:rsidRPr="00E6110F" w14:paraId="2B9828CB" w14:textId="77777777" w:rsidTr="00670732">
        <w:trPr>
          <w:trHeight w:val="264"/>
        </w:trPr>
        <w:tc>
          <w:tcPr>
            <w:tcW w:w="1250" w:type="pct"/>
            <w:tcBorders>
              <w:top w:val="nil"/>
              <w:left w:val="nil"/>
              <w:bottom w:val="nil"/>
              <w:right w:val="nil"/>
            </w:tcBorders>
            <w:shd w:val="clear" w:color="auto" w:fill="auto"/>
            <w:noWrap/>
            <w:vAlign w:val="bottom"/>
            <w:hideMark/>
          </w:tcPr>
          <w:p w14:paraId="329352B3"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 xml:space="preserve">Arkarula Formation </w:t>
            </w:r>
          </w:p>
        </w:tc>
        <w:tc>
          <w:tcPr>
            <w:tcW w:w="1250" w:type="pct"/>
            <w:vMerge/>
            <w:tcBorders>
              <w:top w:val="single" w:sz="4" w:space="0" w:color="auto"/>
              <w:left w:val="nil"/>
              <w:bottom w:val="single" w:sz="4" w:space="0" w:color="auto"/>
              <w:right w:val="nil"/>
            </w:tcBorders>
            <w:vAlign w:val="center"/>
          </w:tcPr>
          <w:p w14:paraId="58D85D51"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7F80C06B"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0962BA77"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15</w:t>
            </w:r>
          </w:p>
        </w:tc>
      </w:tr>
      <w:tr w:rsidR="001D23C5" w:rsidRPr="00E6110F" w14:paraId="33E8BD0F" w14:textId="77777777" w:rsidTr="00670732">
        <w:trPr>
          <w:trHeight w:val="264"/>
        </w:trPr>
        <w:tc>
          <w:tcPr>
            <w:tcW w:w="1250" w:type="pct"/>
            <w:tcBorders>
              <w:top w:val="nil"/>
              <w:left w:val="nil"/>
              <w:bottom w:val="nil"/>
              <w:right w:val="nil"/>
            </w:tcBorders>
            <w:shd w:val="clear" w:color="auto" w:fill="auto"/>
            <w:noWrap/>
            <w:vAlign w:val="bottom"/>
            <w:hideMark/>
          </w:tcPr>
          <w:p w14:paraId="0761CB1E"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Melvilles Coal Member</w:t>
            </w:r>
          </w:p>
        </w:tc>
        <w:tc>
          <w:tcPr>
            <w:tcW w:w="1250" w:type="pct"/>
            <w:vMerge/>
            <w:tcBorders>
              <w:top w:val="single" w:sz="4" w:space="0" w:color="auto"/>
              <w:left w:val="nil"/>
              <w:bottom w:val="single" w:sz="4" w:space="0" w:color="auto"/>
              <w:right w:val="nil"/>
            </w:tcBorders>
            <w:vAlign w:val="center"/>
          </w:tcPr>
          <w:p w14:paraId="4DB9E96E"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703D0F41"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717F18D6"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16</w:t>
            </w:r>
          </w:p>
        </w:tc>
      </w:tr>
      <w:tr w:rsidR="001D23C5" w:rsidRPr="00E6110F" w14:paraId="7A06FDCC" w14:textId="77777777" w:rsidTr="00670732">
        <w:trPr>
          <w:trHeight w:val="264"/>
        </w:trPr>
        <w:tc>
          <w:tcPr>
            <w:tcW w:w="1250" w:type="pct"/>
            <w:tcBorders>
              <w:top w:val="nil"/>
              <w:left w:val="nil"/>
              <w:bottom w:val="nil"/>
              <w:right w:val="nil"/>
            </w:tcBorders>
            <w:shd w:val="clear" w:color="auto" w:fill="auto"/>
            <w:noWrap/>
            <w:vAlign w:val="bottom"/>
            <w:hideMark/>
          </w:tcPr>
          <w:p w14:paraId="02A9B0E9"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 xml:space="preserve">Pamboola Formation </w:t>
            </w:r>
          </w:p>
        </w:tc>
        <w:tc>
          <w:tcPr>
            <w:tcW w:w="1250" w:type="pct"/>
            <w:vMerge/>
            <w:tcBorders>
              <w:top w:val="single" w:sz="4" w:space="0" w:color="auto"/>
              <w:left w:val="nil"/>
              <w:bottom w:val="single" w:sz="4" w:space="0" w:color="auto"/>
              <w:right w:val="nil"/>
            </w:tcBorders>
            <w:vAlign w:val="center"/>
          </w:tcPr>
          <w:p w14:paraId="42F4808F"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38F4C458"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211D3F02"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17</w:t>
            </w:r>
          </w:p>
        </w:tc>
      </w:tr>
      <w:tr w:rsidR="001D23C5" w:rsidRPr="00E6110F" w14:paraId="5D4FFE06" w14:textId="77777777" w:rsidTr="00670732">
        <w:trPr>
          <w:trHeight w:val="264"/>
        </w:trPr>
        <w:tc>
          <w:tcPr>
            <w:tcW w:w="1250" w:type="pct"/>
            <w:tcBorders>
              <w:top w:val="nil"/>
              <w:left w:val="nil"/>
              <w:bottom w:val="nil"/>
              <w:right w:val="nil"/>
            </w:tcBorders>
            <w:shd w:val="clear" w:color="auto" w:fill="auto"/>
            <w:noWrap/>
            <w:vAlign w:val="bottom"/>
            <w:hideMark/>
          </w:tcPr>
          <w:p w14:paraId="794385A6"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 xml:space="preserve">Watermark Formation </w:t>
            </w:r>
          </w:p>
        </w:tc>
        <w:tc>
          <w:tcPr>
            <w:tcW w:w="1250" w:type="pct"/>
            <w:vMerge w:val="restart"/>
            <w:tcBorders>
              <w:top w:val="single" w:sz="4" w:space="0" w:color="auto"/>
              <w:left w:val="nil"/>
              <w:bottom w:val="single" w:sz="4" w:space="0" w:color="auto"/>
              <w:right w:val="nil"/>
            </w:tcBorders>
            <w:vAlign w:val="center"/>
          </w:tcPr>
          <w:p w14:paraId="2E6B2BF7"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12</w:t>
            </w:r>
          </w:p>
        </w:tc>
        <w:tc>
          <w:tcPr>
            <w:tcW w:w="1250" w:type="pct"/>
            <w:vMerge/>
            <w:tcBorders>
              <w:top w:val="single" w:sz="4" w:space="0" w:color="auto"/>
              <w:left w:val="nil"/>
              <w:bottom w:val="single" w:sz="4" w:space="0" w:color="auto"/>
              <w:right w:val="nil"/>
            </w:tcBorders>
            <w:shd w:val="clear" w:color="auto" w:fill="auto"/>
          </w:tcPr>
          <w:p w14:paraId="6082638B"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0531A9E9"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18</w:t>
            </w:r>
          </w:p>
        </w:tc>
      </w:tr>
      <w:tr w:rsidR="001D23C5" w:rsidRPr="00E6110F" w14:paraId="45A1D711" w14:textId="77777777" w:rsidTr="00670732">
        <w:trPr>
          <w:trHeight w:val="264"/>
        </w:trPr>
        <w:tc>
          <w:tcPr>
            <w:tcW w:w="1250" w:type="pct"/>
            <w:tcBorders>
              <w:top w:val="nil"/>
              <w:left w:val="nil"/>
              <w:bottom w:val="nil"/>
              <w:right w:val="nil"/>
            </w:tcBorders>
            <w:shd w:val="clear" w:color="auto" w:fill="auto"/>
            <w:noWrap/>
            <w:vAlign w:val="bottom"/>
            <w:hideMark/>
          </w:tcPr>
          <w:p w14:paraId="60D116BA"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 xml:space="preserve">Porcupine Formation </w:t>
            </w:r>
          </w:p>
        </w:tc>
        <w:tc>
          <w:tcPr>
            <w:tcW w:w="1250" w:type="pct"/>
            <w:vMerge/>
            <w:tcBorders>
              <w:top w:val="single" w:sz="4" w:space="0" w:color="auto"/>
              <w:left w:val="nil"/>
              <w:bottom w:val="single" w:sz="4" w:space="0" w:color="auto"/>
              <w:right w:val="nil"/>
            </w:tcBorders>
            <w:vAlign w:val="center"/>
          </w:tcPr>
          <w:p w14:paraId="5061C2A6"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vMerge/>
            <w:tcBorders>
              <w:top w:val="single" w:sz="4" w:space="0" w:color="auto"/>
              <w:left w:val="nil"/>
              <w:bottom w:val="single" w:sz="4" w:space="0" w:color="auto"/>
              <w:right w:val="nil"/>
            </w:tcBorders>
            <w:shd w:val="clear" w:color="auto" w:fill="auto"/>
          </w:tcPr>
          <w:p w14:paraId="5175356B"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bottom w:val="single" w:sz="4" w:space="0" w:color="auto"/>
              <w:right w:val="nil"/>
            </w:tcBorders>
            <w:shd w:val="clear" w:color="auto" w:fill="auto"/>
            <w:vAlign w:val="center"/>
          </w:tcPr>
          <w:p w14:paraId="188F1EEB"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19</w:t>
            </w:r>
          </w:p>
        </w:tc>
      </w:tr>
      <w:tr w:rsidR="001D23C5" w:rsidRPr="00E6110F" w14:paraId="2F2F5B49" w14:textId="77777777" w:rsidTr="001D23C5">
        <w:trPr>
          <w:trHeight w:val="264"/>
        </w:trPr>
        <w:tc>
          <w:tcPr>
            <w:tcW w:w="1250" w:type="pct"/>
            <w:tcBorders>
              <w:top w:val="nil"/>
              <w:left w:val="nil"/>
              <w:right w:val="nil"/>
            </w:tcBorders>
            <w:shd w:val="clear" w:color="auto" w:fill="auto"/>
            <w:noWrap/>
            <w:vAlign w:val="bottom"/>
            <w:hideMark/>
          </w:tcPr>
          <w:p w14:paraId="6CC47BC4"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Maules Creek Formation (upper)</w:t>
            </w:r>
          </w:p>
        </w:tc>
        <w:tc>
          <w:tcPr>
            <w:tcW w:w="1250" w:type="pct"/>
            <w:tcBorders>
              <w:top w:val="single" w:sz="4" w:space="0" w:color="auto"/>
              <w:left w:val="nil"/>
              <w:right w:val="nil"/>
            </w:tcBorders>
            <w:vAlign w:val="center"/>
          </w:tcPr>
          <w:p w14:paraId="48CD112D"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top w:val="single" w:sz="4" w:space="0" w:color="auto"/>
              <w:left w:val="nil"/>
              <w:right w:val="nil"/>
            </w:tcBorders>
            <w:shd w:val="clear" w:color="auto" w:fill="auto"/>
            <w:vAlign w:val="center"/>
          </w:tcPr>
          <w:p w14:paraId="7E18D8AA"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interburden</w:t>
            </w:r>
          </w:p>
        </w:tc>
        <w:tc>
          <w:tcPr>
            <w:tcW w:w="1250" w:type="pct"/>
            <w:tcBorders>
              <w:top w:val="single" w:sz="4" w:space="0" w:color="auto"/>
              <w:left w:val="nil"/>
              <w:right w:val="nil"/>
            </w:tcBorders>
            <w:shd w:val="clear" w:color="auto" w:fill="auto"/>
            <w:vAlign w:val="center"/>
          </w:tcPr>
          <w:p w14:paraId="1A3CF27D"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20, 21</w:t>
            </w:r>
          </w:p>
        </w:tc>
      </w:tr>
      <w:tr w:rsidR="001D23C5" w:rsidRPr="00E6110F" w14:paraId="6B8A5029" w14:textId="77777777" w:rsidTr="001D23C5">
        <w:trPr>
          <w:trHeight w:val="264"/>
        </w:trPr>
        <w:tc>
          <w:tcPr>
            <w:tcW w:w="1250" w:type="pct"/>
            <w:tcBorders>
              <w:left w:val="nil"/>
              <w:right w:val="nil"/>
            </w:tcBorders>
            <w:shd w:val="clear" w:color="auto" w:fill="BFBFBF" w:themeFill="background2" w:themeFillShade="BF"/>
            <w:noWrap/>
            <w:vAlign w:val="bottom"/>
            <w:hideMark/>
          </w:tcPr>
          <w:p w14:paraId="46CDCA00"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Maules Creek Formation (coal measures)</w:t>
            </w:r>
          </w:p>
        </w:tc>
        <w:tc>
          <w:tcPr>
            <w:tcW w:w="1250" w:type="pct"/>
            <w:tcBorders>
              <w:left w:val="nil"/>
              <w:right w:val="nil"/>
            </w:tcBorders>
            <w:shd w:val="clear" w:color="auto" w:fill="BFBFBF" w:themeFill="background2" w:themeFillShade="BF"/>
            <w:vAlign w:val="center"/>
          </w:tcPr>
          <w:p w14:paraId="5FCB2A9B"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13</w:t>
            </w:r>
          </w:p>
        </w:tc>
        <w:tc>
          <w:tcPr>
            <w:tcW w:w="1250" w:type="pct"/>
            <w:tcBorders>
              <w:left w:val="nil"/>
              <w:right w:val="nil"/>
            </w:tcBorders>
            <w:shd w:val="clear" w:color="auto" w:fill="BFBFBF" w:themeFill="background2" w:themeFillShade="BF"/>
            <w:vAlign w:val="center"/>
          </w:tcPr>
          <w:p w14:paraId="102E5687"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CSG reservoir</w:t>
            </w:r>
          </w:p>
        </w:tc>
        <w:tc>
          <w:tcPr>
            <w:tcW w:w="1250" w:type="pct"/>
            <w:tcBorders>
              <w:left w:val="nil"/>
              <w:right w:val="nil"/>
            </w:tcBorders>
            <w:shd w:val="clear" w:color="auto" w:fill="BFBFBF" w:themeFill="background2" w:themeFillShade="BF"/>
            <w:vAlign w:val="center"/>
          </w:tcPr>
          <w:p w14:paraId="5CBA20D4"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22</w:t>
            </w:r>
          </w:p>
        </w:tc>
      </w:tr>
      <w:tr w:rsidR="001D23C5" w:rsidRPr="00E6110F" w14:paraId="1DEDA96B" w14:textId="77777777" w:rsidTr="001D23C5">
        <w:trPr>
          <w:trHeight w:val="264"/>
        </w:trPr>
        <w:tc>
          <w:tcPr>
            <w:tcW w:w="1250" w:type="pct"/>
            <w:tcBorders>
              <w:left w:val="nil"/>
              <w:bottom w:val="single" w:sz="4" w:space="0" w:color="auto"/>
              <w:right w:val="nil"/>
            </w:tcBorders>
            <w:shd w:val="clear" w:color="auto" w:fill="auto"/>
            <w:noWrap/>
            <w:vAlign w:val="bottom"/>
            <w:hideMark/>
          </w:tcPr>
          <w:p w14:paraId="34322B5B" w14:textId="77777777" w:rsidR="001D23C5" w:rsidRPr="00E6110F" w:rsidRDefault="001D23C5" w:rsidP="00670732">
            <w:pPr>
              <w:keepNext/>
              <w:suppressAutoHyphens/>
              <w:autoSpaceDE w:val="0"/>
              <w:autoSpaceDN w:val="0"/>
              <w:adjustRightInd w:val="0"/>
              <w:spacing w:before="20" w:after="20" w:line="280" w:lineRule="atLeast"/>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Maules Creek Formation (lower)</w:t>
            </w:r>
          </w:p>
        </w:tc>
        <w:tc>
          <w:tcPr>
            <w:tcW w:w="1250" w:type="pct"/>
            <w:tcBorders>
              <w:left w:val="nil"/>
              <w:bottom w:val="single" w:sz="4" w:space="0" w:color="auto"/>
              <w:right w:val="nil"/>
            </w:tcBorders>
            <w:vAlign w:val="center"/>
          </w:tcPr>
          <w:p w14:paraId="03B622A5"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p>
        </w:tc>
        <w:tc>
          <w:tcPr>
            <w:tcW w:w="1250" w:type="pct"/>
            <w:tcBorders>
              <w:left w:val="nil"/>
              <w:bottom w:val="single" w:sz="4" w:space="0" w:color="auto"/>
              <w:right w:val="nil"/>
            </w:tcBorders>
            <w:shd w:val="clear" w:color="auto" w:fill="auto"/>
            <w:vAlign w:val="center"/>
          </w:tcPr>
          <w:p w14:paraId="7D5BCC95"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interburden</w:t>
            </w:r>
          </w:p>
        </w:tc>
        <w:tc>
          <w:tcPr>
            <w:tcW w:w="1250" w:type="pct"/>
            <w:tcBorders>
              <w:left w:val="nil"/>
              <w:bottom w:val="single" w:sz="4" w:space="0" w:color="auto"/>
              <w:right w:val="nil"/>
            </w:tcBorders>
            <w:shd w:val="clear" w:color="auto" w:fill="auto"/>
            <w:vAlign w:val="center"/>
          </w:tcPr>
          <w:p w14:paraId="45C47C9F" w14:textId="77777777" w:rsidR="001D23C5" w:rsidRPr="00E6110F" w:rsidRDefault="001D23C5" w:rsidP="00670732">
            <w:pPr>
              <w:keepNext/>
              <w:suppressAutoHyphens/>
              <w:autoSpaceDE w:val="0"/>
              <w:autoSpaceDN w:val="0"/>
              <w:adjustRightInd w:val="0"/>
              <w:spacing w:before="20" w:after="20" w:line="280" w:lineRule="atLeast"/>
              <w:jc w:val="center"/>
              <w:textAlignment w:val="center"/>
              <w:rPr>
                <w:rFonts w:ascii="Calibri" w:hAnsi="Calibri" w:cs="Calibri"/>
                <w:color w:val="000000"/>
                <w:sz w:val="18"/>
                <w:szCs w:val="18"/>
                <w:lang w:val="en-GB" w:eastAsia="en-AU"/>
              </w:rPr>
            </w:pPr>
            <w:r w:rsidRPr="00E6110F">
              <w:rPr>
                <w:rFonts w:ascii="Calibri" w:hAnsi="Calibri" w:cs="Calibri"/>
                <w:color w:val="000000"/>
                <w:sz w:val="18"/>
                <w:szCs w:val="18"/>
                <w:lang w:val="en-GB" w:eastAsia="en-AU"/>
              </w:rPr>
              <w:t>23, 24</w:t>
            </w:r>
          </w:p>
        </w:tc>
      </w:tr>
    </w:tbl>
    <w:p w14:paraId="4189368D" w14:textId="77777777" w:rsidR="001D23C5" w:rsidRPr="00E6110F" w:rsidRDefault="001D23C5" w:rsidP="001D23C5">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065738A9" w14:textId="3AFD200C" w:rsidR="00F83FB0" w:rsidRPr="00E6110F" w:rsidRDefault="00F83FB0" w:rsidP="00E66624">
      <w:pPr>
        <w:pStyle w:val="Body"/>
      </w:pPr>
      <w:r w:rsidRPr="00E6110F">
        <w:rPr>
          <w:noProof/>
          <w:lang w:val="en-AU" w:eastAsia="en-AU"/>
        </w:rPr>
        <w:drawing>
          <wp:inline distT="0" distB="0" distL="0" distR="0" wp14:anchorId="3F1512E4" wp14:editId="16E2F72B">
            <wp:extent cx="5731510" cy="2970641"/>
            <wp:effectExtent l="0" t="0" r="2540" b="1270"/>
            <wp:docPr id="37" name="Picture 37" descr="Map of surface geology of the Gunnedah study area." title="Fig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731510" cy="2970641"/>
                    </a:xfrm>
                    <a:prstGeom prst="rect">
                      <a:avLst/>
                    </a:prstGeom>
                    <a:noFill/>
                    <a:ln>
                      <a:noFill/>
                    </a:ln>
                  </pic:spPr>
                </pic:pic>
              </a:graphicData>
            </a:graphic>
          </wp:inline>
        </w:drawing>
      </w:r>
    </w:p>
    <w:p w14:paraId="0A2B7F89" w14:textId="66E4698E" w:rsidR="00F83FB0" w:rsidRPr="00E6110F" w:rsidRDefault="00F83FB0" w:rsidP="00F83FB0">
      <w:pPr>
        <w:pStyle w:val="Imagecaption"/>
      </w:pPr>
      <w:bookmarkStart w:id="231" w:name="_Ref446839188"/>
      <w:bookmarkStart w:id="232" w:name="_Toc477347567"/>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35</w:t>
      </w:r>
      <w:r w:rsidR="00254026">
        <w:fldChar w:fldCharType="end"/>
      </w:r>
      <w:bookmarkEnd w:id="231"/>
      <w:r w:rsidRPr="00E6110F">
        <w:t xml:space="preserve"> Surface geology of the </w:t>
      </w:r>
      <w:r w:rsidR="00553207">
        <w:t>study area</w:t>
      </w:r>
      <w:r w:rsidRPr="00E6110F">
        <w:t xml:space="preserve"> (modified from CDM</w:t>
      </w:r>
      <w:r w:rsidR="00311876" w:rsidRPr="00E6110F">
        <w:t xml:space="preserve"> </w:t>
      </w:r>
      <w:r w:rsidRPr="00E6110F">
        <w:t>Smith 2014).</w:t>
      </w:r>
      <w:r w:rsidR="00C1544B">
        <w:t xml:space="preserve"> Red polygon represents study area.</w:t>
      </w:r>
      <w:bookmarkEnd w:id="232"/>
    </w:p>
    <w:p w14:paraId="384B5068" w14:textId="77777777" w:rsidR="00F83FB0" w:rsidRPr="00E6110F" w:rsidRDefault="00F83FB0" w:rsidP="00E66624">
      <w:pPr>
        <w:pStyle w:val="Body"/>
      </w:pPr>
    </w:p>
    <w:p w14:paraId="6094F678" w14:textId="618FDB7E" w:rsidR="007F5E5A" w:rsidRPr="00E6110F" w:rsidRDefault="003544E9" w:rsidP="00E66624">
      <w:pPr>
        <w:pStyle w:val="Body"/>
      </w:pPr>
      <w:r w:rsidRPr="00E6110F">
        <w:t xml:space="preserve">At the western edge of the </w:t>
      </w:r>
      <w:r w:rsidR="00067876">
        <w:t>study area</w:t>
      </w:r>
      <w:r w:rsidRPr="00E6110F">
        <w:t xml:space="preserve"> the </w:t>
      </w:r>
      <w:r w:rsidR="007F5E5A" w:rsidRPr="00E6110F">
        <w:t>Rolling Downs</w:t>
      </w:r>
      <w:r w:rsidRPr="00E6110F">
        <w:t xml:space="preserve"> (Wallumbilla Formation) sediments (considered an aquitard in CDM</w:t>
      </w:r>
      <w:r w:rsidR="00311876" w:rsidRPr="00E6110F">
        <w:t xml:space="preserve"> </w:t>
      </w:r>
      <w:r w:rsidRPr="00E6110F">
        <w:t>Smith 2014) overly the Blythesdale Group (</w:t>
      </w:r>
      <w:r w:rsidRPr="00E6110F">
        <w:fldChar w:fldCharType="begin" w:fldLock="1"/>
      </w:r>
      <w:r w:rsidRPr="00E6110F">
        <w:instrText xml:space="preserve"> REF _Ref446842529 \h </w:instrText>
      </w:r>
      <w:r w:rsidR="00E6110F">
        <w:instrText xml:space="preserve"> \* MERGEFORMAT </w:instrText>
      </w:r>
      <w:r w:rsidRPr="00E6110F">
        <w:fldChar w:fldCharType="separate"/>
      </w:r>
      <w:r w:rsidR="00335E79" w:rsidRPr="00E6110F">
        <w:t xml:space="preserve">Figure </w:t>
      </w:r>
      <w:r w:rsidR="00335E79">
        <w:rPr>
          <w:noProof/>
        </w:rPr>
        <w:t>2</w:t>
      </w:r>
      <w:r w:rsidR="00335E79">
        <w:rPr>
          <w:noProof/>
        </w:rPr>
        <w:noBreakHyphen/>
        <w:t>36</w:t>
      </w:r>
      <w:r w:rsidRPr="00E6110F">
        <w:fldChar w:fldCharType="end"/>
      </w:r>
      <w:r w:rsidRPr="00E6110F">
        <w:t xml:space="preserve"> and </w:t>
      </w:r>
      <w:r w:rsidRPr="00E6110F">
        <w:fldChar w:fldCharType="begin" w:fldLock="1"/>
      </w:r>
      <w:r w:rsidRPr="00E6110F">
        <w:instrText xml:space="preserve"> REF _Ref446842530 \h </w:instrText>
      </w:r>
      <w:r w:rsidR="00E6110F">
        <w:instrText xml:space="preserve"> \* MERGEFORMAT </w:instrText>
      </w:r>
      <w:r w:rsidRPr="00E6110F">
        <w:fldChar w:fldCharType="separate"/>
      </w:r>
      <w:r w:rsidR="00335E79" w:rsidRPr="00E6110F">
        <w:t xml:space="preserve">Figure </w:t>
      </w:r>
      <w:r w:rsidR="00335E79">
        <w:rPr>
          <w:noProof/>
        </w:rPr>
        <w:t>2</w:t>
      </w:r>
      <w:r w:rsidR="00335E79">
        <w:rPr>
          <w:noProof/>
        </w:rPr>
        <w:noBreakHyphen/>
        <w:t>38</w:t>
      </w:r>
      <w:r w:rsidRPr="00E6110F">
        <w:fldChar w:fldCharType="end"/>
      </w:r>
      <w:r w:rsidRPr="00E6110F">
        <w:t>).</w:t>
      </w:r>
      <w:r w:rsidR="001C48C7" w:rsidRPr="00E6110F">
        <w:t xml:space="preserve"> Therefore, in the western part of the </w:t>
      </w:r>
      <w:r w:rsidR="00067876">
        <w:t>study area</w:t>
      </w:r>
      <w:r w:rsidR="001C48C7" w:rsidRPr="00E6110F">
        <w:t xml:space="preserve"> the Pilliga Sandstone is indeed a confined aquifer overlain by an aquitard composed of Rolling Downs and Blythesdale Group.</w:t>
      </w:r>
      <w:r w:rsidR="00193F9E" w:rsidRPr="00E6110F">
        <w:t xml:space="preserve"> Where the Pilliga Sandstone is a confined aquifer there would be no direct pathways to water-dependent assets at the land surface, except for water bores that are screened in the Pilliga Sandstone aquifer. </w:t>
      </w:r>
    </w:p>
    <w:p w14:paraId="267B0DA6" w14:textId="567E82DC" w:rsidR="00947CEB" w:rsidRPr="00E6110F" w:rsidRDefault="00947CEB" w:rsidP="00E66624">
      <w:pPr>
        <w:pStyle w:val="Body"/>
      </w:pPr>
      <w:r w:rsidRPr="00E6110F">
        <w:t>In the particle tracking analysis the Pilliga Sandstone is considered to contain the particle sources at the base of the formation, i.e. at the interface with the underlying aquitard (e.g. Purlawaugh Formation).</w:t>
      </w:r>
      <w:r w:rsidR="004920DF" w:rsidRPr="00E6110F">
        <w:t xml:space="preserve"> Because the Pilliga Sandstone is one </w:t>
      </w:r>
      <w:r w:rsidR="0029139D">
        <w:t xml:space="preserve">of </w:t>
      </w:r>
      <w:r w:rsidR="004920DF" w:rsidRPr="00E6110F">
        <w:t xml:space="preserve">the most important groundwater resources in the Gunnedah </w:t>
      </w:r>
      <w:r w:rsidR="00384DFA">
        <w:t>B</w:t>
      </w:r>
      <w:r w:rsidR="00384DFA" w:rsidRPr="00E6110F">
        <w:t>asin</w:t>
      </w:r>
      <w:r w:rsidR="004920DF" w:rsidRPr="00E6110F">
        <w:t>, groundwater abstraction points situated within this aquifer will be considered as receptors and treated as sinks in the particle tracking calculations.</w:t>
      </w:r>
      <w:r w:rsidR="004718A7" w:rsidRPr="00E6110F">
        <w:t xml:space="preserve"> A second series of receptors is situated </w:t>
      </w:r>
      <w:r w:rsidR="00AD1C7D" w:rsidRPr="00E6110F">
        <w:t xml:space="preserve">within the </w:t>
      </w:r>
      <w:r w:rsidR="008E4267" w:rsidRPr="00E6110F">
        <w:t xml:space="preserve">area where the </w:t>
      </w:r>
      <w:r w:rsidR="00384DFA">
        <w:t>a</w:t>
      </w:r>
      <w:r w:rsidR="00384DFA" w:rsidRPr="00E6110F">
        <w:t xml:space="preserve">lluvium </w:t>
      </w:r>
      <w:r w:rsidR="008E4267" w:rsidRPr="00E6110F">
        <w:t>is in concact with the Pilliga Sandstone (</w:t>
      </w:r>
      <w:r w:rsidR="008E4267" w:rsidRPr="00E6110F">
        <w:fldChar w:fldCharType="begin" w:fldLock="1"/>
      </w:r>
      <w:r w:rsidR="008E4267" w:rsidRPr="00E6110F">
        <w:instrText xml:space="preserve"> REF _Ref446845022 \h </w:instrText>
      </w:r>
      <w:r w:rsidR="00E6110F">
        <w:instrText xml:space="preserve"> \* MERGEFORMAT </w:instrText>
      </w:r>
      <w:r w:rsidR="008E4267" w:rsidRPr="00E6110F">
        <w:fldChar w:fldCharType="separate"/>
      </w:r>
      <w:r w:rsidR="00335E79" w:rsidRPr="00E6110F">
        <w:t xml:space="preserve">Figure </w:t>
      </w:r>
      <w:r w:rsidR="00335E79">
        <w:rPr>
          <w:noProof/>
        </w:rPr>
        <w:t>2</w:t>
      </w:r>
      <w:r w:rsidR="00335E79">
        <w:rPr>
          <w:noProof/>
        </w:rPr>
        <w:noBreakHyphen/>
        <w:t>37</w:t>
      </w:r>
      <w:r w:rsidR="008E4267" w:rsidRPr="00E6110F">
        <w:fldChar w:fldCharType="end"/>
      </w:r>
      <w:r w:rsidR="008E4267" w:rsidRPr="00E6110F">
        <w:t xml:space="preserve">) </w:t>
      </w:r>
      <w:r w:rsidR="004718A7" w:rsidRPr="00E6110F">
        <w:t>or where the Pilliga Sandstone outcrops</w:t>
      </w:r>
      <w:r w:rsidR="008E4267" w:rsidRPr="00E6110F">
        <w:t xml:space="preserve"> (</w:t>
      </w:r>
      <w:r w:rsidR="008E4267" w:rsidRPr="00E6110F">
        <w:fldChar w:fldCharType="begin" w:fldLock="1"/>
      </w:r>
      <w:r w:rsidR="008E4267" w:rsidRPr="00E6110F">
        <w:instrText xml:space="preserve"> REF _Ref446845127 \h </w:instrText>
      </w:r>
      <w:r w:rsidR="00E6110F">
        <w:instrText xml:space="preserve"> \* MERGEFORMAT </w:instrText>
      </w:r>
      <w:r w:rsidR="008E4267" w:rsidRPr="00E6110F">
        <w:fldChar w:fldCharType="separate"/>
      </w:r>
      <w:r w:rsidR="00335E79" w:rsidRPr="00E6110F">
        <w:t xml:space="preserve">Figure </w:t>
      </w:r>
      <w:r w:rsidR="00335E79">
        <w:rPr>
          <w:noProof/>
        </w:rPr>
        <w:t>2</w:t>
      </w:r>
      <w:r w:rsidR="00335E79">
        <w:rPr>
          <w:noProof/>
        </w:rPr>
        <w:noBreakHyphen/>
        <w:t>39</w:t>
      </w:r>
      <w:r w:rsidR="008E4267" w:rsidRPr="00E6110F">
        <w:fldChar w:fldCharType="end"/>
      </w:r>
      <w:r w:rsidR="008E4267" w:rsidRPr="00E6110F">
        <w:t>)</w:t>
      </w:r>
      <w:r w:rsidR="004718A7" w:rsidRPr="00E6110F">
        <w:t>: these receptors will constitute a second set of sinks for the particle tracking calculations.</w:t>
      </w:r>
      <w:r w:rsidR="00AD1C7D" w:rsidRPr="00E6110F">
        <w:t xml:space="preserve"> </w:t>
      </w:r>
    </w:p>
    <w:p w14:paraId="76F2CF56" w14:textId="77777777" w:rsidR="00B67449" w:rsidRPr="00E6110F" w:rsidRDefault="00B67449" w:rsidP="00E66624">
      <w:pPr>
        <w:pStyle w:val="Body"/>
      </w:pPr>
    </w:p>
    <w:p w14:paraId="5C091432" w14:textId="50C7DE9C" w:rsidR="00B67449" w:rsidRPr="00E6110F" w:rsidRDefault="00B67449" w:rsidP="00136201">
      <w:pPr>
        <w:pStyle w:val="Body"/>
        <w:jc w:val="center"/>
      </w:pPr>
      <w:r w:rsidRPr="00E6110F">
        <w:rPr>
          <w:noProof/>
          <w:lang w:val="en-AU" w:eastAsia="en-AU"/>
        </w:rPr>
        <w:drawing>
          <wp:inline distT="0" distB="0" distL="0" distR="0" wp14:anchorId="1EB3E5AF" wp14:editId="601B1C0F">
            <wp:extent cx="4572396" cy="5540220"/>
            <wp:effectExtent l="0" t="0" r="0" b="3810"/>
            <wp:docPr id="38" name="Picture 38" descr="Map of lithology and cross-section locations of the Gunnedah study area." title="Fig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4572396" cy="5540220"/>
                    </a:xfrm>
                    <a:prstGeom prst="rect">
                      <a:avLst/>
                    </a:prstGeom>
                  </pic:spPr>
                </pic:pic>
              </a:graphicData>
            </a:graphic>
          </wp:inline>
        </w:drawing>
      </w:r>
    </w:p>
    <w:p w14:paraId="07881530" w14:textId="79781BE0" w:rsidR="00B67449" w:rsidRPr="00E6110F" w:rsidRDefault="00B67449" w:rsidP="00042B19">
      <w:pPr>
        <w:pStyle w:val="Imagecaption"/>
      </w:pPr>
      <w:bookmarkStart w:id="233" w:name="_Ref446842529"/>
      <w:bookmarkStart w:id="234" w:name="_Toc477347568"/>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36</w:t>
      </w:r>
      <w:r w:rsidR="00254026">
        <w:fldChar w:fldCharType="end"/>
      </w:r>
      <w:bookmarkEnd w:id="233"/>
      <w:r w:rsidR="00042B19" w:rsidRPr="00E6110F">
        <w:t xml:space="preserve"> Lithology map and cross-section locations</w:t>
      </w:r>
      <w:r w:rsidR="00435EF4" w:rsidRPr="00E6110F">
        <w:t xml:space="preserve"> (CDM</w:t>
      </w:r>
      <w:r w:rsidR="00311876" w:rsidRPr="00E6110F">
        <w:t xml:space="preserve"> </w:t>
      </w:r>
      <w:r w:rsidR="00435EF4" w:rsidRPr="00E6110F">
        <w:t>Smith 2014)</w:t>
      </w:r>
      <w:r w:rsidR="00042B19" w:rsidRPr="00E6110F">
        <w:t>.</w:t>
      </w:r>
      <w:r w:rsidR="00C1544B">
        <w:t xml:space="preserve"> Red polygon represents study area.</w:t>
      </w:r>
      <w:bookmarkEnd w:id="234"/>
    </w:p>
    <w:p w14:paraId="75769352" w14:textId="77777777" w:rsidR="00B67449" w:rsidRPr="00E6110F" w:rsidRDefault="00B67449" w:rsidP="00B67449"/>
    <w:p w14:paraId="60FEB676" w14:textId="1C537EA0" w:rsidR="00B67449" w:rsidRPr="00E6110F" w:rsidRDefault="00C53156" w:rsidP="00136201">
      <w:pPr>
        <w:jc w:val="center"/>
      </w:pPr>
      <w:r w:rsidRPr="00C53156">
        <w:rPr>
          <w:noProof/>
          <w:lang w:val="en-AU" w:eastAsia="en-AU"/>
        </w:rPr>
        <w:drawing>
          <wp:inline distT="0" distB="0" distL="0" distR="0" wp14:anchorId="20FA1374" wp14:editId="58F77587">
            <wp:extent cx="5727700" cy="1556623"/>
            <wp:effectExtent l="0" t="0" r="6350" b="5715"/>
            <wp:docPr id="563" name="Picture 563" descr="Cross section A-A' from Figure 2-36" title="Fig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727700" cy="1556623"/>
                    </a:xfrm>
                    <a:prstGeom prst="rect">
                      <a:avLst/>
                    </a:prstGeom>
                    <a:noFill/>
                    <a:ln>
                      <a:noFill/>
                    </a:ln>
                  </pic:spPr>
                </pic:pic>
              </a:graphicData>
            </a:graphic>
          </wp:inline>
        </w:drawing>
      </w:r>
    </w:p>
    <w:p w14:paraId="2ABFFF8D" w14:textId="10F01A0A" w:rsidR="00B67449" w:rsidRPr="00E6110F" w:rsidRDefault="00B67449" w:rsidP="00042B19">
      <w:pPr>
        <w:pStyle w:val="Imagecaption"/>
      </w:pPr>
      <w:bookmarkStart w:id="235" w:name="_Ref446845022"/>
      <w:bookmarkStart w:id="236" w:name="_Toc477347569"/>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37</w:t>
      </w:r>
      <w:r w:rsidR="00254026">
        <w:fldChar w:fldCharType="end"/>
      </w:r>
      <w:bookmarkEnd w:id="235"/>
      <w:r w:rsidR="00042B19" w:rsidRPr="00E6110F">
        <w:t xml:space="preserve"> Geological model cross-section A-A’</w:t>
      </w:r>
      <w:r w:rsidR="00435EF4" w:rsidRPr="00E6110F">
        <w:t xml:space="preserve"> (CDM</w:t>
      </w:r>
      <w:r w:rsidR="00311876" w:rsidRPr="00E6110F">
        <w:t xml:space="preserve"> </w:t>
      </w:r>
      <w:r w:rsidR="00435EF4" w:rsidRPr="00E6110F">
        <w:t>Smith 2014)</w:t>
      </w:r>
      <w:r w:rsidR="00042B19" w:rsidRPr="00E6110F">
        <w:t>.</w:t>
      </w:r>
      <w:bookmarkEnd w:id="236"/>
    </w:p>
    <w:p w14:paraId="2B560806" w14:textId="73782657" w:rsidR="00B67449" w:rsidRPr="00E6110F" w:rsidRDefault="00B67449" w:rsidP="00B67449">
      <w:r w:rsidRPr="00E6110F">
        <w:rPr>
          <w:noProof/>
          <w:lang w:val="en-AU" w:eastAsia="en-AU"/>
        </w:rPr>
        <w:drawing>
          <wp:inline distT="0" distB="0" distL="0" distR="0" wp14:anchorId="6363C0BA" wp14:editId="4826289E">
            <wp:extent cx="5731510" cy="1798955"/>
            <wp:effectExtent l="0" t="0" r="2540" b="0"/>
            <wp:docPr id="41" name="Picture 41" descr="Cross section B-B' from Figure 2-36" title="Fig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5731510" cy="1798955"/>
                    </a:xfrm>
                    <a:prstGeom prst="rect">
                      <a:avLst/>
                    </a:prstGeom>
                  </pic:spPr>
                </pic:pic>
              </a:graphicData>
            </a:graphic>
          </wp:inline>
        </w:drawing>
      </w:r>
    </w:p>
    <w:p w14:paraId="2744EDAF" w14:textId="07E4225B" w:rsidR="00B67449" w:rsidRPr="00E6110F" w:rsidRDefault="00B67449" w:rsidP="004909D2">
      <w:pPr>
        <w:pStyle w:val="Imagecaption"/>
      </w:pPr>
      <w:bookmarkStart w:id="237" w:name="_Ref446842530"/>
      <w:bookmarkStart w:id="238" w:name="_Toc477347570"/>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38</w:t>
      </w:r>
      <w:r w:rsidR="00254026">
        <w:fldChar w:fldCharType="end"/>
      </w:r>
      <w:bookmarkEnd w:id="237"/>
      <w:r w:rsidR="00042B19" w:rsidRPr="00E6110F">
        <w:t xml:space="preserve"> Geological model cross-section </w:t>
      </w:r>
      <w:r w:rsidR="00442A59" w:rsidRPr="00E6110F">
        <w:t>B-B</w:t>
      </w:r>
      <w:r w:rsidR="00042B19" w:rsidRPr="00E6110F">
        <w:t>’</w:t>
      </w:r>
      <w:r w:rsidR="00435EF4" w:rsidRPr="00E6110F">
        <w:t xml:space="preserve"> (CDM</w:t>
      </w:r>
      <w:r w:rsidR="00311876" w:rsidRPr="00E6110F">
        <w:t xml:space="preserve"> </w:t>
      </w:r>
      <w:r w:rsidR="00435EF4" w:rsidRPr="00E6110F">
        <w:t>Smith 2014)</w:t>
      </w:r>
      <w:r w:rsidR="00042B19" w:rsidRPr="00E6110F">
        <w:t>.</w:t>
      </w:r>
      <w:bookmarkEnd w:id="238"/>
    </w:p>
    <w:p w14:paraId="74589954" w14:textId="77777777" w:rsidR="00B67449" w:rsidRPr="00E6110F" w:rsidRDefault="00B67449" w:rsidP="00B67449"/>
    <w:p w14:paraId="51D0FFE0" w14:textId="31A68CEB" w:rsidR="00B67449" w:rsidRPr="00E6110F" w:rsidRDefault="00C53156" w:rsidP="00B67449">
      <w:r w:rsidRPr="00C53156">
        <w:rPr>
          <w:noProof/>
          <w:lang w:val="en-AU" w:eastAsia="en-AU"/>
        </w:rPr>
        <w:drawing>
          <wp:inline distT="0" distB="0" distL="0" distR="0" wp14:anchorId="3F37DCB8" wp14:editId="71D6E252">
            <wp:extent cx="5727700" cy="1899816"/>
            <wp:effectExtent l="0" t="0" r="6350" b="5715"/>
            <wp:docPr id="562" name="Picture 562" descr="Cross section C-C' from Figure 2-36" title="Fig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727700" cy="1899816"/>
                    </a:xfrm>
                    <a:prstGeom prst="rect">
                      <a:avLst/>
                    </a:prstGeom>
                    <a:noFill/>
                    <a:ln>
                      <a:noFill/>
                    </a:ln>
                  </pic:spPr>
                </pic:pic>
              </a:graphicData>
            </a:graphic>
          </wp:inline>
        </w:drawing>
      </w:r>
    </w:p>
    <w:p w14:paraId="10C9F3B1" w14:textId="2A658B58" w:rsidR="00B67449" w:rsidRPr="00E6110F" w:rsidRDefault="00B67449" w:rsidP="004909D2">
      <w:pPr>
        <w:pStyle w:val="Imagecaption"/>
      </w:pPr>
      <w:bookmarkStart w:id="239" w:name="_Ref446845127"/>
      <w:bookmarkStart w:id="240" w:name="_Toc477347571"/>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39</w:t>
      </w:r>
      <w:r w:rsidR="00254026">
        <w:fldChar w:fldCharType="end"/>
      </w:r>
      <w:bookmarkEnd w:id="239"/>
      <w:r w:rsidR="00042B19" w:rsidRPr="00E6110F">
        <w:t xml:space="preserve"> Geological model cross-section </w:t>
      </w:r>
      <w:r w:rsidR="00442A59" w:rsidRPr="00E6110F">
        <w:t>C-C</w:t>
      </w:r>
      <w:r w:rsidR="00042B19" w:rsidRPr="00E6110F">
        <w:t>’</w:t>
      </w:r>
      <w:r w:rsidR="00435EF4" w:rsidRPr="00E6110F">
        <w:t xml:space="preserve"> (CDM</w:t>
      </w:r>
      <w:r w:rsidR="00311876" w:rsidRPr="00E6110F">
        <w:t xml:space="preserve"> </w:t>
      </w:r>
      <w:r w:rsidR="00435EF4" w:rsidRPr="00E6110F">
        <w:t>Smith 2014)</w:t>
      </w:r>
      <w:r w:rsidR="00042B19" w:rsidRPr="00E6110F">
        <w:t>.</w:t>
      </w:r>
      <w:bookmarkEnd w:id="240"/>
    </w:p>
    <w:p w14:paraId="7A8A9DE5" w14:textId="77777777" w:rsidR="00B67449" w:rsidRPr="00E6110F" w:rsidRDefault="00B67449" w:rsidP="00B67449"/>
    <w:p w14:paraId="38F0F679" w14:textId="370EEA5B" w:rsidR="00D220EC" w:rsidRPr="00E6110F" w:rsidRDefault="00D220EC" w:rsidP="0087378B">
      <w:pPr>
        <w:pStyle w:val="Heading3"/>
        <w:numPr>
          <w:ilvl w:val="3"/>
          <w:numId w:val="1"/>
        </w:numPr>
      </w:pPr>
      <w:bookmarkStart w:id="241" w:name="_Toc494444535"/>
      <w:r w:rsidRPr="00E6110F">
        <w:t>Groundwater flow model</w:t>
      </w:r>
      <w:bookmarkEnd w:id="241"/>
    </w:p>
    <w:p w14:paraId="4BE87541" w14:textId="4A060A7E" w:rsidR="00670732" w:rsidRPr="00E6110F" w:rsidRDefault="00736108" w:rsidP="00670732">
      <w:pPr>
        <w:pStyle w:val="Body"/>
      </w:pPr>
      <w:r w:rsidRPr="00E6110F">
        <w:t xml:space="preserve">A regional-scale numerical groundwater flow model of the Gunnedah Basin developed by CDM Smith (2014) </w:t>
      </w:r>
      <w:r w:rsidR="00547496">
        <w:t xml:space="preserve">has been the basis of the present study. </w:t>
      </w:r>
      <w:r w:rsidRPr="00E6110F">
        <w:t xml:space="preserve">The </w:t>
      </w:r>
      <w:r w:rsidR="00547496">
        <w:t xml:space="preserve">study area contains </w:t>
      </w:r>
      <w:r w:rsidRPr="00E6110F">
        <w:t>coal seam gas reserves associated with Early Permian coal seams of the Maules Creek Formation and secondary gas reserves associated with coal seams of the Late Permian Black Jack Group</w:t>
      </w:r>
      <w:r w:rsidR="0029139D">
        <w:t xml:space="preserve"> (contains the Hoskissons coal seam, </w:t>
      </w:r>
      <w:r w:rsidR="0029139D">
        <w:fldChar w:fldCharType="begin" w:fldLock="1"/>
      </w:r>
      <w:r w:rsidR="0029139D">
        <w:instrText xml:space="preserve"> REF _Ref422388099 \h </w:instrText>
      </w:r>
      <w:r w:rsidR="0029139D">
        <w:fldChar w:fldCharType="separate"/>
      </w:r>
      <w:r w:rsidR="00335E79" w:rsidRPr="00E6110F">
        <w:t xml:space="preserve">Table </w:t>
      </w:r>
      <w:r w:rsidR="00335E79">
        <w:rPr>
          <w:noProof/>
        </w:rPr>
        <w:t>2</w:t>
      </w:r>
      <w:r w:rsidR="00335E79">
        <w:noBreakHyphen/>
      </w:r>
      <w:r w:rsidR="00335E79">
        <w:rPr>
          <w:noProof/>
        </w:rPr>
        <w:t>20</w:t>
      </w:r>
      <w:r w:rsidR="0029139D">
        <w:fldChar w:fldCharType="end"/>
      </w:r>
      <w:r w:rsidR="0029139D">
        <w:t>)</w:t>
      </w:r>
      <w:r w:rsidRPr="00E6110F">
        <w:t>. The groundwater model was used by CDM Smith to predict the potential impacts on groundwater resources within the groundwater impact assessment study area due to water extraction from the coal seams that will be targeted for coal seam gas production. Simulations of water extraction from the coal seams provided regional -scale predictions of depressurisation and drawdown of hydraulic head within the Gunnedah Basin and the associated induced flows between groundwater sources and hydrostratigraphic units. The same model has been used in this study to generate additional information in terms of hydraulic heads across all relevant formations in areas of greatest expected drawdown.</w:t>
      </w:r>
      <w:r w:rsidR="00061C21">
        <w:t xml:space="preserve"> </w:t>
      </w:r>
    </w:p>
    <w:p w14:paraId="575618F7" w14:textId="23C7A674" w:rsidR="00CA546E" w:rsidRPr="00E6110F" w:rsidRDefault="00CA546E" w:rsidP="00CA546E">
      <w:pPr>
        <w:pStyle w:val="Body"/>
      </w:pPr>
      <w:r w:rsidRPr="00E6110F">
        <w:t>The groundwater model is a MODFLOW–SURFACT model, covering a total area of 53 219 km</w:t>
      </w:r>
      <w:r w:rsidRPr="00E6110F">
        <w:rPr>
          <w:vertAlign w:val="superscript"/>
        </w:rPr>
        <w:t>2</w:t>
      </w:r>
      <w:r w:rsidRPr="00E6110F">
        <w:t>. For groundwater flow simulations, the geological domain was discretised using a combination of 1 km</w:t>
      </w:r>
      <w:r w:rsidRPr="00E6110F">
        <w:rPr>
          <w:vertAlign w:val="superscript"/>
        </w:rPr>
        <w:t>2</w:t>
      </w:r>
      <w:r w:rsidR="00027655">
        <w:t xml:space="preserve">, </w:t>
      </w:r>
      <w:r w:rsidRPr="00E6110F">
        <w:t>5 km</w:t>
      </w:r>
      <w:r w:rsidRPr="00E6110F">
        <w:rPr>
          <w:vertAlign w:val="superscript"/>
        </w:rPr>
        <w:t>2</w:t>
      </w:r>
      <w:r w:rsidRPr="00E6110F">
        <w:t xml:space="preserve"> </w:t>
      </w:r>
      <w:r w:rsidR="00027655">
        <w:t>and 25 km</w:t>
      </w:r>
      <w:r w:rsidR="00027655" w:rsidRPr="00027655">
        <w:rPr>
          <w:vertAlign w:val="superscript"/>
        </w:rPr>
        <w:t>2</w:t>
      </w:r>
      <w:r w:rsidR="00027655">
        <w:t xml:space="preserve"> </w:t>
      </w:r>
      <w:r w:rsidRPr="00E6110F">
        <w:t xml:space="preserve">cells into 238 rows and 126 columns (see </w:t>
      </w:r>
      <w:r w:rsidR="002652AD" w:rsidRPr="00E6110F">
        <w:fldChar w:fldCharType="begin" w:fldLock="1"/>
      </w:r>
      <w:r w:rsidR="002652AD" w:rsidRPr="00E6110F">
        <w:instrText xml:space="preserve"> REF _Ref446766335 \h </w:instrText>
      </w:r>
      <w:r w:rsidR="00E6110F">
        <w:instrText xml:space="preserve"> \* MERGEFORMAT </w:instrText>
      </w:r>
      <w:r w:rsidR="002652AD" w:rsidRPr="00E6110F">
        <w:fldChar w:fldCharType="separate"/>
      </w:r>
      <w:r w:rsidR="00335E79" w:rsidRPr="00E6110F">
        <w:t xml:space="preserve">Figure </w:t>
      </w:r>
      <w:r w:rsidR="00335E79">
        <w:rPr>
          <w:noProof/>
        </w:rPr>
        <w:t>2</w:t>
      </w:r>
      <w:r w:rsidR="00335E79">
        <w:rPr>
          <w:noProof/>
        </w:rPr>
        <w:noBreakHyphen/>
        <w:t>40</w:t>
      </w:r>
      <w:r w:rsidR="002652AD" w:rsidRPr="00E6110F">
        <w:fldChar w:fldCharType="end"/>
      </w:r>
      <w:r w:rsidR="002652AD" w:rsidRPr="00E6110F">
        <w:t xml:space="preserve"> </w:t>
      </w:r>
      <w:r w:rsidRPr="00E6110F">
        <w:t>for the model grid in X-Y direction). A total of 24 geological model layers are represented (</w:t>
      </w:r>
      <w:r w:rsidR="0047531C">
        <w:fldChar w:fldCharType="begin" w:fldLock="1"/>
      </w:r>
      <w:r w:rsidR="0047531C">
        <w:instrText xml:space="preserve"> REF _Ref422388099 \h </w:instrText>
      </w:r>
      <w:r w:rsidR="0047531C">
        <w:fldChar w:fldCharType="separate"/>
      </w:r>
      <w:r w:rsidR="00335E79" w:rsidRPr="00E6110F">
        <w:t xml:space="preserve">Table </w:t>
      </w:r>
      <w:r w:rsidR="00335E79">
        <w:rPr>
          <w:noProof/>
        </w:rPr>
        <w:t>2</w:t>
      </w:r>
      <w:r w:rsidR="00335E79">
        <w:noBreakHyphen/>
      </w:r>
      <w:r w:rsidR="00335E79">
        <w:rPr>
          <w:noProof/>
        </w:rPr>
        <w:t>20</w:t>
      </w:r>
      <w:r w:rsidR="0047531C">
        <w:fldChar w:fldCharType="end"/>
      </w:r>
      <w:r w:rsidRPr="00E6110F">
        <w:t>). Coal seam gas production was simulated using time-varying specified flux (i.e., Neumann) boundary conditions. For this model, the aquitard sequence overlying the Hoskisson Coal represents the key aquitard that will govern the vertical propagation of hydraulic stresses induced in the underlying coal seams by coal seam gas production to the overlying Pilliga Sandstone aquifer. In 15 locations (so-called observations) the vertical head distribution pre- and post-production will be interrogated and used to provide detailed information about hydraulic head gradients that exist between the hydrocarbon reservoir and the main aquifers (see next section). The post-production times are 26, 100, 200, and 500 years since commencement of production (production is assumed to last for 26 years, hence the first timestep is at the end of gas production).</w:t>
      </w:r>
      <w:r w:rsidR="005F22A2">
        <w:t xml:space="preserve"> Stresses (specified as fluxes) after the 26-year production period are put to their pre-production values.</w:t>
      </w:r>
      <w:r w:rsidRPr="00E6110F">
        <w:t xml:space="preserve"> </w:t>
      </w:r>
    </w:p>
    <w:p w14:paraId="5C026927" w14:textId="390ECE4A" w:rsidR="00092A07" w:rsidRDefault="005F22A2" w:rsidP="002652AD">
      <w:pPr>
        <w:pStyle w:val="Body"/>
      </w:pPr>
      <w:r w:rsidRPr="00092A07">
        <w:t xml:space="preserve">Model cells featuring negative recharge values were assumed to represent the locations of groundwater extraction. </w:t>
      </w:r>
      <w:r w:rsidR="00092A07" w:rsidRPr="00092A07">
        <w:t xml:space="preserve">Groundwater extraction by water bores was not implemented in the model explicitly; instead, a spatial distribution of recharge in the Namoi Alluvium area was estimated through calibration of the model to observed hydraulic heads. Calibrated recharge values across the Namoi Alluvium area (which intersects part of the </w:t>
      </w:r>
      <w:r w:rsidR="00335E79">
        <w:t>study area</w:t>
      </w:r>
      <w:r w:rsidR="00092A07" w:rsidRPr="00092A07">
        <w:t xml:space="preserve">) ranged from &lt; -0.5 mm/d to &lt; +0.5 mm/d. In practice, these cells may represent a single bore or the sum of many bores. As a result, this approach does not simulate flow paths to individual bores. Instead, the total extraction within a given model cell was removed from the centre of the cell, regardless of the location of a bore within that cell. Particle tracking results are therefore considered to be meaningful at regional scales (i.e. the model grid encompassing the </w:t>
      </w:r>
      <w:r w:rsidR="00067876">
        <w:t>study area</w:t>
      </w:r>
      <w:r w:rsidR="00092A07" w:rsidRPr="00092A07">
        <w:t xml:space="preserve"> and its surroundings) rather than local scales (i.e. individual model cells). </w:t>
      </w:r>
      <w:r w:rsidR="00514F2D">
        <w:t>CDM Smith (</w:t>
      </w:r>
      <w:r w:rsidR="00025BED">
        <w:t>2014</w:t>
      </w:r>
      <w:r w:rsidR="00514F2D">
        <w:t xml:space="preserve">) adopted an approach whereby groundwater </w:t>
      </w:r>
      <w:r w:rsidR="00092A07" w:rsidRPr="00092A07">
        <w:t xml:space="preserve">extraction was not </w:t>
      </w:r>
      <w:r w:rsidR="00514F2D">
        <w:t xml:space="preserve">directly simulated </w:t>
      </w:r>
      <w:r w:rsidR="00092A07" w:rsidRPr="00092A07">
        <w:t xml:space="preserve">in the model. </w:t>
      </w:r>
      <w:r w:rsidR="00A17345">
        <w:t xml:space="preserve">This is justified as the model calibration did not involve modification of hydrogeological properties; rather groundwater fluxes were calculated at the water table based on prescribed head data (CDM Smith 2014). </w:t>
      </w:r>
      <w:r w:rsidR="00AA695C" w:rsidRPr="00025BED">
        <w:t>The result</w:t>
      </w:r>
      <w:r w:rsidR="00514F2D">
        <w:t>ing</w:t>
      </w:r>
      <w:r w:rsidR="00AA695C" w:rsidRPr="00025BED">
        <w:t xml:space="preserve"> estimates of net groundwater recharge to the alluvium include groundwater pumping. Th</w:t>
      </w:r>
      <w:r w:rsidR="00514F2D">
        <w:t>erefore</w:t>
      </w:r>
      <w:r w:rsidR="00AA695C" w:rsidRPr="00025BED">
        <w:t>, the net recharge rate can have negative values in areas where the aquifer is over used and total discharge exceeds total recharge</w:t>
      </w:r>
      <w:r w:rsidR="00514F2D">
        <w:t xml:space="preserve">. </w:t>
      </w:r>
      <w:r w:rsidR="006829A5">
        <w:t>Any cone of depression that would potentially exist in the Pilliga Sandstone will not divert particles towards a water bore; rather, particles will travel across cells with water bores and will terminate in a cell</w:t>
      </w:r>
      <w:r w:rsidR="006829A5" w:rsidRPr="006829A5">
        <w:t xml:space="preserve"> </w:t>
      </w:r>
      <w:r w:rsidR="006829A5">
        <w:t xml:space="preserve">at </w:t>
      </w:r>
      <w:r w:rsidR="006829A5" w:rsidRPr="00092A07">
        <w:t>ground surface</w:t>
      </w:r>
      <w:r w:rsidR="006829A5">
        <w:t xml:space="preserve">. </w:t>
      </w:r>
      <w:r w:rsidR="00092A07" w:rsidRPr="00092A07">
        <w:t>Th</w:t>
      </w:r>
      <w:r w:rsidR="006829A5">
        <w:t>e</w:t>
      </w:r>
      <w:r w:rsidR="00092A07" w:rsidRPr="00092A07">
        <w:t xml:space="preserve"> problem </w:t>
      </w:r>
      <w:r w:rsidR="006829A5">
        <w:t xml:space="preserve">of particles not being intercepted by water bores </w:t>
      </w:r>
      <w:r w:rsidR="00092A07" w:rsidRPr="00092A07">
        <w:t>was circumvented by the use of backward</w:t>
      </w:r>
      <w:r w:rsidR="006829A5">
        <w:t xml:space="preserve"> (rather than forward</w:t>
      </w:r>
      <w:r w:rsidR="00092A07" w:rsidRPr="00092A07">
        <w:t xml:space="preserve">) particle tracking analyses. Particles were released in Pilliga Sandstone aquifer cells </w:t>
      </w:r>
      <w:r w:rsidR="006829A5">
        <w:t xml:space="preserve">that had known locations of water bores </w:t>
      </w:r>
      <w:r w:rsidR="00092A07" w:rsidRPr="00092A07">
        <w:t xml:space="preserve">and subsequently tracked along ambient groundwater flow paths until </w:t>
      </w:r>
      <w:r w:rsidR="00C96016">
        <w:t xml:space="preserve">it reaches its point of origin (see further in Section </w:t>
      </w:r>
      <w:r w:rsidR="00C96016">
        <w:fldChar w:fldCharType="begin" w:fldLock="1"/>
      </w:r>
      <w:r w:rsidR="00C96016">
        <w:instrText xml:space="preserve"> REF _Ref467594866 \r \h </w:instrText>
      </w:r>
      <w:r w:rsidR="00C96016">
        <w:fldChar w:fldCharType="separate"/>
      </w:r>
      <w:r w:rsidR="00335E79">
        <w:t>2.6.4.4</w:t>
      </w:r>
      <w:r w:rsidR="00C96016">
        <w:fldChar w:fldCharType="end"/>
      </w:r>
      <w:r w:rsidR="00C96016">
        <w:t>).</w:t>
      </w:r>
    </w:p>
    <w:p w14:paraId="4861780A" w14:textId="6388EB9C" w:rsidR="00B84F79" w:rsidRPr="00E6110F" w:rsidRDefault="00B84F79" w:rsidP="002652AD">
      <w:pPr>
        <w:pStyle w:val="Body"/>
      </w:pPr>
      <w:r w:rsidRPr="00E6110F">
        <w:t>The difference in head between the production interval and water bearing aquifers is a key variable controlling the rate of leakage through failed wells/bores. Two distinctively different cases need consideration: i) natural gradients, which are usually small</w:t>
      </w:r>
      <w:r w:rsidR="00AA4443">
        <w:t xml:space="preserve"> across aquitards</w:t>
      </w:r>
      <w:r w:rsidRPr="00E6110F">
        <w:t>, and ii) anthropogenically enhanced gradients, which may be high, especially in productive CSG well fields. Furthermore, high residual head differences that exist after CSG production ceases, may generate relatively high flow rates through any leaky wells/bores, exploration bores or natural faults.</w:t>
      </w:r>
    </w:p>
    <w:p w14:paraId="7A4D87F0" w14:textId="77777777" w:rsidR="008674D9" w:rsidRDefault="00B84F79" w:rsidP="002652AD">
      <w:pPr>
        <w:pStyle w:val="Body"/>
      </w:pPr>
      <w:r w:rsidRPr="00E6110F">
        <w:t xml:space="preserve">Prior to CSG production, the hydraulic head distribution in a vertical cross-section comprising an aquitard separating a coal seam gas target formation from a beneficial aquifer can be one of the three following conditions: </w:t>
      </w:r>
    </w:p>
    <w:p w14:paraId="3C05947E" w14:textId="5A0AFB57" w:rsidR="008674D9" w:rsidRDefault="00B84F79" w:rsidP="00366CD9">
      <w:pPr>
        <w:pStyle w:val="Body"/>
        <w:numPr>
          <w:ilvl w:val="0"/>
          <w:numId w:val="84"/>
        </w:numPr>
      </w:pPr>
      <w:r w:rsidRPr="00E6110F">
        <w:t xml:space="preserve">nearly identical heads resulting in a negligible hydraulic gradient across the aquitard, </w:t>
      </w:r>
    </w:p>
    <w:p w14:paraId="45A2F4AC" w14:textId="7878FE5A" w:rsidR="008674D9" w:rsidRDefault="00B84F79" w:rsidP="00366CD9">
      <w:pPr>
        <w:pStyle w:val="Body"/>
        <w:numPr>
          <w:ilvl w:val="0"/>
          <w:numId w:val="84"/>
        </w:numPr>
      </w:pPr>
      <w:r w:rsidRPr="00E6110F">
        <w:t xml:space="preserve">hydraulic gradient is from the production zone to surficial water bearing aquifers,  </w:t>
      </w:r>
    </w:p>
    <w:p w14:paraId="5E46F5E4" w14:textId="54C2BE40" w:rsidR="00B84F79" w:rsidRPr="00E6110F" w:rsidRDefault="00B84F79" w:rsidP="00366CD9">
      <w:pPr>
        <w:pStyle w:val="Body"/>
        <w:numPr>
          <w:ilvl w:val="0"/>
          <w:numId w:val="84"/>
        </w:numPr>
      </w:pPr>
      <w:proofErr w:type="gramStart"/>
      <w:r w:rsidRPr="00E6110F">
        <w:t>hydraulic</w:t>
      </w:r>
      <w:proofErr w:type="gramEnd"/>
      <w:r w:rsidRPr="00E6110F">
        <w:t xml:space="preserve"> gradient is from the surficial aquifers to the CSG production zone. </w:t>
      </w:r>
    </w:p>
    <w:p w14:paraId="121A0559" w14:textId="52027879" w:rsidR="00B84F79" w:rsidRPr="00E6110F" w:rsidRDefault="00B84F79" w:rsidP="00CA546E">
      <w:pPr>
        <w:pStyle w:val="Body"/>
      </w:pPr>
      <w:r w:rsidRPr="00E6110F">
        <w:t xml:space="preserve">In addition to these three location-specific conditions, the hydraulic head gradient prior to production may vary within a single CSG development zone. As an example, the MODFLOW-SURFACT groundwater model used in the CDM Smith (2014) </w:t>
      </w:r>
      <w:r w:rsidR="00547496">
        <w:t>study</w:t>
      </w:r>
      <w:r w:rsidR="00547496" w:rsidRPr="00E6110F">
        <w:t xml:space="preserve"> </w:t>
      </w:r>
      <w:r w:rsidRPr="00E6110F">
        <w:t>was interrogated to find the hydraulic gradients pre- and post production for fifteen observation locations (</w:t>
      </w:r>
      <w:r w:rsidR="00460223" w:rsidRPr="00E6110F">
        <w:fldChar w:fldCharType="begin" w:fldLock="1"/>
      </w:r>
      <w:r w:rsidR="00460223" w:rsidRPr="00E6110F">
        <w:instrText xml:space="preserve"> REF _Ref446766335 \h </w:instrText>
      </w:r>
      <w:r w:rsidR="00E6110F">
        <w:instrText xml:space="preserve"> \* MERGEFORMAT </w:instrText>
      </w:r>
      <w:r w:rsidR="00460223" w:rsidRPr="00E6110F">
        <w:fldChar w:fldCharType="separate"/>
      </w:r>
      <w:r w:rsidR="00335E79" w:rsidRPr="00E6110F">
        <w:t xml:space="preserve">Figure </w:t>
      </w:r>
      <w:r w:rsidR="00335E79">
        <w:rPr>
          <w:noProof/>
        </w:rPr>
        <w:t>2</w:t>
      </w:r>
      <w:r w:rsidR="00335E79">
        <w:rPr>
          <w:noProof/>
        </w:rPr>
        <w:noBreakHyphen/>
        <w:t>40</w:t>
      </w:r>
      <w:r w:rsidR="00460223" w:rsidRPr="00E6110F">
        <w:fldChar w:fldCharType="end"/>
      </w:r>
      <w:r w:rsidR="00460223" w:rsidRPr="00E6110F">
        <w:t xml:space="preserve"> </w:t>
      </w:r>
      <w:r w:rsidRPr="00E6110F">
        <w:t>and</w:t>
      </w:r>
      <w:r w:rsidR="00460223" w:rsidRPr="00E6110F">
        <w:t xml:space="preserve"> </w:t>
      </w:r>
      <w:r w:rsidR="00460223" w:rsidRPr="00E6110F">
        <w:fldChar w:fldCharType="begin" w:fldLock="1"/>
      </w:r>
      <w:r w:rsidR="00460223" w:rsidRPr="00E6110F">
        <w:instrText xml:space="preserve"> REF _Ref446766673 \h  \* MERGEFORMAT </w:instrText>
      </w:r>
      <w:r w:rsidR="00460223" w:rsidRPr="00E6110F">
        <w:fldChar w:fldCharType="separate"/>
      </w:r>
      <w:r w:rsidR="00335E79" w:rsidRPr="00E6110F">
        <w:t xml:space="preserve">Figure </w:t>
      </w:r>
      <w:r w:rsidR="00335E79">
        <w:t>2</w:t>
      </w:r>
      <w:r w:rsidR="00335E79">
        <w:noBreakHyphen/>
        <w:t>41</w:t>
      </w:r>
      <w:r w:rsidR="00460223" w:rsidRPr="00E6110F">
        <w:fldChar w:fldCharType="end"/>
      </w:r>
      <w:r w:rsidRPr="00E6110F">
        <w:t>) around the location of greatest expected drawdown. The model includes a total of 425 proposed production well pairs, providing access to primary (Maules Creek Formation) and secondary (Black Jack Group including Hoskissons Coal) coal seam gas targets. The typical distance between bore pairs is about 1 km.</w:t>
      </w:r>
    </w:p>
    <w:p w14:paraId="0F87F6EE" w14:textId="77777777" w:rsidR="00B84F79" w:rsidRPr="00E6110F" w:rsidRDefault="00B84F79" w:rsidP="00CA546E">
      <w:pPr>
        <w:pStyle w:val="Body"/>
      </w:pPr>
    </w:p>
    <w:p w14:paraId="1EAEEC84" w14:textId="225CD8FE" w:rsidR="00670732" w:rsidRPr="00E6110F" w:rsidRDefault="00397624" w:rsidP="00C56833">
      <w:pPr>
        <w:pStyle w:val="Body"/>
        <w:jc w:val="center"/>
      </w:pPr>
      <w:r w:rsidRPr="00E6110F">
        <w:rPr>
          <w:noProof/>
          <w:lang w:val="en-AU" w:eastAsia="en-AU"/>
        </w:rPr>
        <w:drawing>
          <wp:inline distT="0" distB="0" distL="0" distR="0" wp14:anchorId="5EFD4B55" wp14:editId="251A6953">
            <wp:extent cx="5732145" cy="7383145"/>
            <wp:effectExtent l="0" t="0" r="1905" b="8255"/>
            <wp:docPr id="512" name="Picture 512" descr="Map of the location of fifteen observation points with the model domain for the Gunnedah study area." title="Fig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5732145" cy="7383145"/>
                    </a:xfrm>
                    <a:prstGeom prst="rect">
                      <a:avLst/>
                    </a:prstGeom>
                  </pic:spPr>
                </pic:pic>
              </a:graphicData>
            </a:graphic>
          </wp:inline>
        </w:drawing>
      </w:r>
    </w:p>
    <w:p w14:paraId="64660DAA" w14:textId="50C03E4C" w:rsidR="00B84F79" w:rsidRPr="00E6110F" w:rsidRDefault="00C24F39" w:rsidP="002652AD">
      <w:pPr>
        <w:pStyle w:val="Imagecaption"/>
      </w:pPr>
      <w:bookmarkStart w:id="242" w:name="_Ref446766335"/>
      <w:bookmarkStart w:id="243" w:name="_Toc477347572"/>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40</w:t>
      </w:r>
      <w:r w:rsidR="00254026">
        <w:fldChar w:fldCharType="end"/>
      </w:r>
      <w:bookmarkEnd w:id="242"/>
      <w:r w:rsidR="00B84F79" w:rsidRPr="00E6110F">
        <w:t xml:space="preserve"> Location of the fifteen observation points within the model domain including the </w:t>
      </w:r>
      <w:r w:rsidR="00547496">
        <w:t>study area</w:t>
      </w:r>
      <w:r w:rsidR="00B84F79" w:rsidRPr="00E6110F">
        <w:t>. A close-up of the location of proposed CSG wells is provided in</w:t>
      </w:r>
      <w:r w:rsidR="00460223" w:rsidRPr="00E6110F">
        <w:t xml:space="preserve"> </w:t>
      </w:r>
      <w:r w:rsidR="00460223" w:rsidRPr="00E6110F">
        <w:fldChar w:fldCharType="begin" w:fldLock="1"/>
      </w:r>
      <w:r w:rsidR="00460223" w:rsidRPr="00E6110F">
        <w:instrText xml:space="preserve"> REF _Ref446766673 \h  \* MERGEFORMAT </w:instrText>
      </w:r>
      <w:r w:rsidR="00460223" w:rsidRPr="00E6110F">
        <w:fldChar w:fldCharType="separate"/>
      </w:r>
      <w:r w:rsidR="00335E79" w:rsidRPr="00E6110F">
        <w:t xml:space="preserve">Figure </w:t>
      </w:r>
      <w:r w:rsidR="00335E79">
        <w:t>2</w:t>
      </w:r>
      <w:r w:rsidR="00335E79">
        <w:noBreakHyphen/>
        <w:t>41</w:t>
      </w:r>
      <w:r w:rsidR="00460223" w:rsidRPr="00E6110F">
        <w:fldChar w:fldCharType="end"/>
      </w:r>
      <w:r w:rsidR="00B84F79" w:rsidRPr="00E6110F">
        <w:t>.</w:t>
      </w:r>
      <w:bookmarkEnd w:id="243"/>
    </w:p>
    <w:p w14:paraId="78807FC9" w14:textId="62D83D3B" w:rsidR="003C6015" w:rsidRPr="00E6110F" w:rsidRDefault="003C6015" w:rsidP="002652AD">
      <w:pPr>
        <w:pStyle w:val="Body"/>
      </w:pPr>
      <w:r w:rsidRPr="00E6110F">
        <w:t>For the northern observation points (</w:t>
      </w:r>
      <w:r w:rsidR="00460223" w:rsidRPr="00E6110F">
        <w:fldChar w:fldCharType="begin" w:fldLock="1"/>
      </w:r>
      <w:r w:rsidR="00460223" w:rsidRPr="00E6110F">
        <w:instrText xml:space="preserve"> REF _Ref446766925 \h  \* MERGEFORMAT </w:instrText>
      </w:r>
      <w:r w:rsidR="00460223" w:rsidRPr="00E6110F">
        <w:fldChar w:fldCharType="separate"/>
      </w:r>
      <w:r w:rsidR="00335E79" w:rsidRPr="00E6110F">
        <w:t xml:space="preserve">Figure </w:t>
      </w:r>
      <w:r w:rsidR="00335E79">
        <w:t>2</w:t>
      </w:r>
      <w:r w:rsidR="00335E79">
        <w:noBreakHyphen/>
        <w:t>44</w:t>
      </w:r>
      <w:r w:rsidR="00460223" w:rsidRPr="00E6110F">
        <w:fldChar w:fldCharType="end"/>
      </w:r>
      <w:r w:rsidRPr="00E6110F">
        <w:t>, graphs 1 to 5), the hydraulic gradient is upward, i.e. from the deeper aquifers and production zone (dark blue) to the surficial aquifers (purple). This may be due to irrigation pumping from the relatively shallow Pilliga Sandstone aquifer. In the southern observation points (</w:t>
      </w:r>
      <w:r w:rsidR="006A0858" w:rsidRPr="00E6110F">
        <w:fldChar w:fldCharType="begin" w:fldLock="1"/>
      </w:r>
      <w:r w:rsidR="006A0858" w:rsidRPr="00E6110F">
        <w:instrText xml:space="preserve"> REF _Ref446766925 \h  \* MERGEFORMAT </w:instrText>
      </w:r>
      <w:r w:rsidR="006A0858" w:rsidRPr="00E6110F">
        <w:fldChar w:fldCharType="separate"/>
      </w:r>
      <w:r w:rsidR="00335E79" w:rsidRPr="00E6110F">
        <w:t xml:space="preserve">Figure </w:t>
      </w:r>
      <w:r w:rsidR="00335E79">
        <w:t>2</w:t>
      </w:r>
      <w:r w:rsidR="00335E79">
        <w:noBreakHyphen/>
        <w:t>44</w:t>
      </w:r>
      <w:r w:rsidR="006A0858" w:rsidRPr="00E6110F">
        <w:fldChar w:fldCharType="end"/>
      </w:r>
      <w:r w:rsidRPr="00E6110F">
        <w:t>, graphs 11 to 14), the gradient is downward, suggesting recharge and movement of water from the surficial aquifers to the production zone. The magnitude of head differences ranged from 30 metres upward to 50 metres downward. This translates to a hydraulic gradient of 0.03 m/m upward and 0.07 m/m downward, respectively.</w:t>
      </w:r>
    </w:p>
    <w:p w14:paraId="144394BD" w14:textId="77777777" w:rsidR="00C24F39" w:rsidRPr="00E6110F" w:rsidRDefault="00C24F39" w:rsidP="00C24F39"/>
    <w:p w14:paraId="7FADD453" w14:textId="28FFC3E5" w:rsidR="00C24F39" w:rsidRPr="00E6110F" w:rsidRDefault="00D92958" w:rsidP="00C56833">
      <w:pPr>
        <w:jc w:val="center"/>
      </w:pPr>
      <w:r w:rsidRPr="00E6110F">
        <w:rPr>
          <w:noProof/>
          <w:lang w:val="en-AU" w:eastAsia="en-AU"/>
        </w:rPr>
        <w:drawing>
          <wp:inline distT="0" distB="0" distL="0" distR="0" wp14:anchorId="770AEDDF" wp14:editId="3ABC1DB4">
            <wp:extent cx="5732145" cy="5577840"/>
            <wp:effectExtent l="0" t="0" r="1905" b="3810"/>
            <wp:docPr id="513" name="Picture 513" descr="Map of the location of the CSG wells within the Gunnedah study area." title="Fig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5732145" cy="5577840"/>
                    </a:xfrm>
                    <a:prstGeom prst="rect">
                      <a:avLst/>
                    </a:prstGeom>
                  </pic:spPr>
                </pic:pic>
              </a:graphicData>
            </a:graphic>
          </wp:inline>
        </w:drawing>
      </w:r>
    </w:p>
    <w:p w14:paraId="4D408B32" w14:textId="679C788C" w:rsidR="00B84F79" w:rsidRPr="00E6110F" w:rsidRDefault="00C24F39" w:rsidP="0006239E">
      <w:pPr>
        <w:pStyle w:val="Imagecaption"/>
      </w:pPr>
      <w:bookmarkStart w:id="244" w:name="_Ref446766673"/>
      <w:bookmarkStart w:id="245" w:name="_Toc477347573"/>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41</w:t>
      </w:r>
      <w:r w:rsidR="00254026">
        <w:fldChar w:fldCharType="end"/>
      </w:r>
      <w:bookmarkEnd w:id="244"/>
      <w:r w:rsidR="00B84F79" w:rsidRPr="00E6110F">
        <w:t xml:space="preserve"> Location of the CSG wells within the </w:t>
      </w:r>
      <w:r w:rsidR="003F2101">
        <w:t>study area</w:t>
      </w:r>
      <w:r w:rsidR="00B84F79" w:rsidRPr="00E6110F">
        <w:t>.</w:t>
      </w:r>
      <w:bookmarkEnd w:id="245"/>
    </w:p>
    <w:p w14:paraId="181F522E" w14:textId="74470D74" w:rsidR="003C6015" w:rsidRPr="00E6110F" w:rsidRDefault="003C6015" w:rsidP="002652AD">
      <w:pPr>
        <w:pStyle w:val="Body"/>
      </w:pPr>
      <w:r w:rsidRPr="00E6110F">
        <w:t>Greater head gradients in a downward direction, up to three times those of pre-production levels, are seen immediately after production ceases (</w:t>
      </w:r>
      <w:r w:rsidR="00303908" w:rsidRPr="00E6110F">
        <w:fldChar w:fldCharType="begin" w:fldLock="1"/>
      </w:r>
      <w:r w:rsidR="00303908" w:rsidRPr="00E6110F">
        <w:instrText xml:space="preserve"> REF _Ref446767693 \h  \* MERGEFORMAT </w:instrText>
      </w:r>
      <w:r w:rsidR="00303908" w:rsidRPr="00E6110F">
        <w:fldChar w:fldCharType="separate"/>
      </w:r>
      <w:r w:rsidR="00335E79" w:rsidRPr="00E6110F">
        <w:t xml:space="preserve">Figure </w:t>
      </w:r>
      <w:r w:rsidR="00335E79">
        <w:t>2</w:t>
      </w:r>
      <w:r w:rsidR="00335E79">
        <w:noBreakHyphen/>
        <w:t>45</w:t>
      </w:r>
      <w:r w:rsidR="00303908" w:rsidRPr="00E6110F">
        <w:fldChar w:fldCharType="end"/>
      </w:r>
      <w:r w:rsidRPr="00E6110F">
        <w:t>). In some cases the hydraulic gradient has reversed (e.g. cell (56,</w:t>
      </w:r>
      <w:r w:rsidR="006A0858" w:rsidRPr="00E6110F">
        <w:t xml:space="preserve"> </w:t>
      </w:r>
      <w:r w:rsidRPr="00E6110F">
        <w:t xml:space="preserve">77)), with water now seeping into the coal seam target formations whereas under the pre-production gradient seepage was likely upward. The gradients continue to recover beyond 100, 200 </w:t>
      </w:r>
      <w:r w:rsidR="00D95C2E">
        <w:t xml:space="preserve">(Appendix 2) </w:t>
      </w:r>
      <w:r w:rsidRPr="00E6110F">
        <w:t>and 500 years (</w:t>
      </w:r>
      <w:r w:rsidR="00303908" w:rsidRPr="00E6110F">
        <w:fldChar w:fldCharType="begin" w:fldLock="1"/>
      </w:r>
      <w:r w:rsidR="00303908" w:rsidRPr="00E6110F">
        <w:instrText xml:space="preserve"> REF _Ref446767749 \h </w:instrText>
      </w:r>
      <w:r w:rsidR="00E6110F">
        <w:instrText xml:space="preserve"> \* MERGEFORMAT </w:instrText>
      </w:r>
      <w:r w:rsidR="00303908" w:rsidRPr="00E6110F">
        <w:fldChar w:fldCharType="separate"/>
      </w:r>
      <w:r w:rsidR="00335E79" w:rsidRPr="00E6110F">
        <w:t xml:space="preserve">Figure </w:t>
      </w:r>
      <w:r w:rsidR="00335E79">
        <w:rPr>
          <w:noProof/>
        </w:rPr>
        <w:t>2</w:t>
      </w:r>
      <w:r w:rsidR="00335E79">
        <w:rPr>
          <w:noProof/>
        </w:rPr>
        <w:noBreakHyphen/>
        <w:t>46</w:t>
      </w:r>
      <w:r w:rsidR="00303908" w:rsidRPr="00E6110F">
        <w:fldChar w:fldCharType="end"/>
      </w:r>
      <w:r w:rsidRPr="00E6110F">
        <w:t>). However, even after 500 years, the hydraulic gradient has not returned to pre-production levels. In some instances, upward gradients continue to exist throughout the entire pre- and post-production period, e.g. in cell (36, 47), suggesting flow from the coal formations to the Pilliga Sandstone aquifer may occur provided a pathway for flow exists.</w:t>
      </w:r>
    </w:p>
    <w:p w14:paraId="04A07A78" w14:textId="77777777" w:rsidR="003C6015" w:rsidRPr="00E6110F" w:rsidRDefault="003C6015" w:rsidP="002652AD">
      <w:pPr>
        <w:pStyle w:val="Body"/>
      </w:pPr>
    </w:p>
    <w:p w14:paraId="59F32217" w14:textId="564BC793" w:rsidR="00B42411" w:rsidRPr="00E6110F" w:rsidRDefault="00B42411" w:rsidP="002652AD">
      <w:pPr>
        <w:pStyle w:val="Body"/>
      </w:pPr>
      <w:r w:rsidRPr="00E6110F">
        <w:rPr>
          <w:noProof/>
          <w:lang w:val="en-AU" w:eastAsia="en-AU"/>
        </w:rPr>
        <w:drawing>
          <wp:inline distT="0" distB="0" distL="0" distR="0" wp14:anchorId="343436E2" wp14:editId="7751663A">
            <wp:extent cx="5732145" cy="2879725"/>
            <wp:effectExtent l="0" t="0" r="1905" b="0"/>
            <wp:docPr id="514" name="Picture 514" descr="North-south model cross-section from the Gunnedah study area." title="Fig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5732145" cy="2879725"/>
                    </a:xfrm>
                    <a:prstGeom prst="rect">
                      <a:avLst/>
                    </a:prstGeom>
                  </pic:spPr>
                </pic:pic>
              </a:graphicData>
            </a:graphic>
          </wp:inline>
        </w:drawing>
      </w:r>
    </w:p>
    <w:p w14:paraId="4DB4DE15" w14:textId="259E0DC9" w:rsidR="00B42411" w:rsidRPr="00E6110F" w:rsidRDefault="00B42411" w:rsidP="00B42411">
      <w:pPr>
        <w:pStyle w:val="Imagecaption"/>
        <w:rPr>
          <w:b/>
          <w:bCs/>
        </w:rPr>
      </w:pPr>
      <w:bookmarkStart w:id="246" w:name="_Ref459912073"/>
      <w:bookmarkStart w:id="247" w:name="_Toc477347574"/>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42</w:t>
      </w:r>
      <w:r w:rsidR="00254026">
        <w:fldChar w:fldCharType="end"/>
      </w:r>
      <w:bookmarkEnd w:id="246"/>
      <w:r w:rsidRPr="00E6110F">
        <w:t xml:space="preserve"> North-South model cross-section along model column 67 showing discretisation of hydrostratigraphic units and location of the observation points along a model transect. Pilliga Sandstone aquifer outcrops near </w:t>
      </w:r>
      <w:r w:rsidR="002D63A7" w:rsidRPr="00E6110F">
        <w:t>row</w:t>
      </w:r>
      <w:r w:rsidRPr="00E6110F">
        <w:t xml:space="preserve"> 7</w:t>
      </w:r>
      <w:r w:rsidR="002D63A7" w:rsidRPr="00E6110F">
        <w:t>6</w:t>
      </w:r>
      <w:r w:rsidRPr="00E6110F">
        <w:t>.</w:t>
      </w:r>
      <w:bookmarkEnd w:id="247"/>
    </w:p>
    <w:p w14:paraId="7B038F1D" w14:textId="5FE3A83F" w:rsidR="00B42411" w:rsidRPr="00E6110F" w:rsidRDefault="00B42411" w:rsidP="00B42411">
      <w:pPr>
        <w:pStyle w:val="Caption"/>
      </w:pPr>
    </w:p>
    <w:p w14:paraId="54F9CC2C" w14:textId="77777777" w:rsidR="00EE792A" w:rsidRPr="00E6110F" w:rsidRDefault="00EE792A" w:rsidP="00EE792A"/>
    <w:p w14:paraId="0E1A8B94" w14:textId="4C6A5132" w:rsidR="00EE792A" w:rsidRPr="00E6110F" w:rsidRDefault="00EE792A" w:rsidP="00EE792A">
      <w:r w:rsidRPr="00E6110F">
        <w:rPr>
          <w:noProof/>
          <w:lang w:val="en-AU" w:eastAsia="en-AU"/>
        </w:rPr>
        <w:drawing>
          <wp:inline distT="0" distB="0" distL="0" distR="0" wp14:anchorId="25B9C455" wp14:editId="61324EBD">
            <wp:extent cx="5732145" cy="2653665"/>
            <wp:effectExtent l="0" t="0" r="1905" b="0"/>
            <wp:docPr id="13" name="Picture 13" descr="Model cross-section from the Gunnedah study area." title="Fig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Lst>
                    </a:blip>
                    <a:stretch>
                      <a:fillRect/>
                    </a:stretch>
                  </pic:blipFill>
                  <pic:spPr>
                    <a:xfrm>
                      <a:off x="0" y="0"/>
                      <a:ext cx="5732145" cy="2653665"/>
                    </a:xfrm>
                    <a:prstGeom prst="rect">
                      <a:avLst/>
                    </a:prstGeom>
                  </pic:spPr>
                </pic:pic>
              </a:graphicData>
            </a:graphic>
          </wp:inline>
        </w:drawing>
      </w:r>
    </w:p>
    <w:p w14:paraId="7FD45C23" w14:textId="35EA7AF1" w:rsidR="00C24F39" w:rsidRPr="00E6110F" w:rsidRDefault="00C24F39" w:rsidP="00EE792A">
      <w:pPr>
        <w:pStyle w:val="Imagecaption"/>
        <w:rPr>
          <w:b/>
          <w:bCs/>
        </w:rPr>
      </w:pPr>
      <w:bookmarkStart w:id="248" w:name="_Ref446766173"/>
      <w:bookmarkStart w:id="249" w:name="_Toc477347575"/>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43</w:t>
      </w:r>
      <w:r w:rsidR="00254026">
        <w:fldChar w:fldCharType="end"/>
      </w:r>
      <w:bookmarkEnd w:id="248"/>
      <w:r w:rsidR="002652AD" w:rsidRPr="00E6110F">
        <w:t xml:space="preserve"> Model cross-section </w:t>
      </w:r>
      <w:r w:rsidR="00C572DE" w:rsidRPr="00E6110F">
        <w:t xml:space="preserve">along model row 76 </w:t>
      </w:r>
      <w:r w:rsidR="002652AD" w:rsidRPr="00E6110F">
        <w:t>showing discretisation of hydrostratigraphic units and location of the observation points along a model transect.</w:t>
      </w:r>
      <w:r w:rsidR="00D744F8" w:rsidRPr="00E6110F">
        <w:t xml:space="preserve"> Pilliga Sandstone aquifer outcrops near column 77</w:t>
      </w:r>
      <w:r w:rsidR="00C572DE" w:rsidRPr="00E6110F">
        <w:t xml:space="preserve"> [indicate column on fig 10 and add cross-section near column 67]</w:t>
      </w:r>
      <w:r w:rsidR="00D744F8" w:rsidRPr="00E6110F">
        <w:t>.</w:t>
      </w:r>
      <w:bookmarkEnd w:id="249"/>
    </w:p>
    <w:p w14:paraId="3A5C242F" w14:textId="2A096823" w:rsidR="00C24F39" w:rsidRPr="00E6110F" w:rsidRDefault="00217B08" w:rsidP="00C24F39">
      <w:r w:rsidRPr="00E6110F">
        <w:rPr>
          <w:noProof/>
          <w:lang w:val="en-AU" w:eastAsia="en-AU"/>
        </w:rPr>
        <w:drawing>
          <wp:inline distT="0" distB="0" distL="0" distR="0" wp14:anchorId="45ECD6AA" wp14:editId="1263188F">
            <wp:extent cx="5727700" cy="3237865"/>
            <wp:effectExtent l="0" t="0" r="6350" b="635"/>
            <wp:docPr id="24" name="Picture 24" descr="Charts of pre-CSG production hydraulic head gradients for cells of the study area." title="Fig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a:ext>
                      </a:extLst>
                    </a:blip>
                    <a:stretch>
                      <a:fillRect/>
                    </a:stretch>
                  </pic:blipFill>
                  <pic:spPr>
                    <a:xfrm>
                      <a:off x="0" y="0"/>
                      <a:ext cx="5727700" cy="3237865"/>
                    </a:xfrm>
                    <a:prstGeom prst="rect">
                      <a:avLst/>
                    </a:prstGeom>
                  </pic:spPr>
                </pic:pic>
              </a:graphicData>
            </a:graphic>
          </wp:inline>
        </w:drawing>
      </w:r>
    </w:p>
    <w:p w14:paraId="1856A0EB" w14:textId="1A08C221" w:rsidR="002652AD" w:rsidRPr="00E6110F" w:rsidRDefault="002652AD" w:rsidP="0006239E">
      <w:pPr>
        <w:pStyle w:val="Imagecaption"/>
      </w:pPr>
      <w:bookmarkStart w:id="250" w:name="_Ref446766925"/>
      <w:bookmarkStart w:id="251" w:name="_Toc477347576"/>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44</w:t>
      </w:r>
      <w:r w:rsidR="00254026">
        <w:fldChar w:fldCharType="end"/>
      </w:r>
      <w:bookmarkEnd w:id="250"/>
      <w:r w:rsidRPr="00E6110F">
        <w:t xml:space="preserve"> Pre-CSG production hydraulic head gradients for cells of the </w:t>
      </w:r>
      <w:r w:rsidR="003F2101">
        <w:t>study area</w:t>
      </w:r>
      <w:r w:rsidRPr="00E6110F">
        <w:t xml:space="preserve">, with formations described in </w:t>
      </w:r>
      <w:r w:rsidR="00460223" w:rsidRPr="00E6110F">
        <w:fldChar w:fldCharType="begin" w:fldLock="1"/>
      </w:r>
      <w:r w:rsidR="00460223" w:rsidRPr="00E6110F">
        <w:instrText xml:space="preserve"> REF _Ref446766173 \h </w:instrText>
      </w:r>
      <w:r w:rsidR="00E6110F">
        <w:instrText xml:space="preserve"> \* MERGEFORMAT </w:instrText>
      </w:r>
      <w:r w:rsidR="00460223" w:rsidRPr="00E6110F">
        <w:fldChar w:fldCharType="separate"/>
      </w:r>
      <w:r w:rsidR="00335E79" w:rsidRPr="00E6110F">
        <w:t xml:space="preserve">Figure </w:t>
      </w:r>
      <w:r w:rsidR="00335E79">
        <w:t>2</w:t>
      </w:r>
      <w:r w:rsidR="00335E79">
        <w:noBreakHyphen/>
        <w:t>43</w:t>
      </w:r>
      <w:r w:rsidR="00460223" w:rsidRPr="00E6110F">
        <w:fldChar w:fldCharType="end"/>
      </w:r>
      <w:r w:rsidR="00460223" w:rsidRPr="00E6110F">
        <w:t>.</w:t>
      </w:r>
      <w:bookmarkEnd w:id="251"/>
    </w:p>
    <w:p w14:paraId="7A9F1D70" w14:textId="77777777" w:rsidR="00303908" w:rsidRPr="00E6110F" w:rsidRDefault="00C24F39" w:rsidP="00303908">
      <w:r w:rsidRPr="00E6110F">
        <w:rPr>
          <w:noProof/>
          <w:lang w:val="en-AU" w:eastAsia="en-AU"/>
        </w:rPr>
        <w:drawing>
          <wp:inline distT="0" distB="0" distL="0" distR="0" wp14:anchorId="4436504F" wp14:editId="34BC4228">
            <wp:extent cx="5727700" cy="3247390"/>
            <wp:effectExtent l="0" t="0" r="6350" b="0"/>
            <wp:docPr id="25" name="Picture 25" descr="Charts of hydraulic head gradients immediately post CSG production (26 years after commencement) for cells of the study area." title="Fig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5727700" cy="3247390"/>
                    </a:xfrm>
                    <a:prstGeom prst="rect">
                      <a:avLst/>
                    </a:prstGeom>
                  </pic:spPr>
                </pic:pic>
              </a:graphicData>
            </a:graphic>
          </wp:inline>
        </w:drawing>
      </w:r>
    </w:p>
    <w:p w14:paraId="504FC6A1" w14:textId="7D4613FC" w:rsidR="00C24F39" w:rsidRPr="00E6110F" w:rsidRDefault="00C24F39" w:rsidP="0006239E">
      <w:pPr>
        <w:pStyle w:val="Imagecaption"/>
      </w:pPr>
      <w:bookmarkStart w:id="252" w:name="_Ref446767693"/>
      <w:bookmarkStart w:id="253" w:name="_Toc477347577"/>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45</w:t>
      </w:r>
      <w:r w:rsidR="00254026">
        <w:fldChar w:fldCharType="end"/>
      </w:r>
      <w:bookmarkEnd w:id="252"/>
      <w:r w:rsidR="002652AD" w:rsidRPr="00E6110F">
        <w:t xml:space="preserve"> Hydraulic head gradients immediately post CSG production (26 years after commencement) for cells of the </w:t>
      </w:r>
      <w:r w:rsidR="003F2101">
        <w:t>study area</w:t>
      </w:r>
      <w:r w:rsidR="002652AD" w:rsidRPr="00E6110F">
        <w:t xml:space="preserve">, with formations described in </w:t>
      </w:r>
      <w:r w:rsidR="006A0858" w:rsidRPr="00E6110F">
        <w:fldChar w:fldCharType="begin" w:fldLock="1"/>
      </w:r>
      <w:r w:rsidR="006A0858" w:rsidRPr="00E6110F">
        <w:instrText xml:space="preserve"> REF _Ref446766173 \h </w:instrText>
      </w:r>
      <w:r w:rsidR="00E6110F">
        <w:instrText xml:space="preserve"> \* MERGEFORMAT </w:instrText>
      </w:r>
      <w:r w:rsidR="006A0858" w:rsidRPr="00E6110F">
        <w:fldChar w:fldCharType="separate"/>
      </w:r>
      <w:r w:rsidR="00335E79" w:rsidRPr="00E6110F">
        <w:t xml:space="preserve">Figure </w:t>
      </w:r>
      <w:r w:rsidR="00335E79">
        <w:t>2</w:t>
      </w:r>
      <w:r w:rsidR="00335E79">
        <w:noBreakHyphen/>
        <w:t>43</w:t>
      </w:r>
      <w:r w:rsidR="006A0858" w:rsidRPr="00E6110F">
        <w:fldChar w:fldCharType="end"/>
      </w:r>
      <w:r w:rsidR="006A0858" w:rsidRPr="00E6110F">
        <w:t>.</w:t>
      </w:r>
      <w:bookmarkEnd w:id="253"/>
    </w:p>
    <w:p w14:paraId="3B053C88" w14:textId="798E8346" w:rsidR="00C24F39" w:rsidRPr="00E6110F" w:rsidRDefault="00C24F39" w:rsidP="00C24F39">
      <w:r w:rsidRPr="00E6110F">
        <w:rPr>
          <w:noProof/>
          <w:lang w:val="en-AU" w:eastAsia="en-AU"/>
        </w:rPr>
        <w:drawing>
          <wp:inline distT="0" distB="0" distL="0" distR="0" wp14:anchorId="6B4F10E2" wp14:editId="28F69BE2">
            <wp:extent cx="5727700" cy="3235325"/>
            <wp:effectExtent l="0" t="0" r="6350" b="3175"/>
            <wp:docPr id="28" name="Picture 28" descr="Charts of hydraulic head gradients 500 years after commencement of CSG production for cells of the study area." title="Figure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5727700" cy="3235325"/>
                    </a:xfrm>
                    <a:prstGeom prst="rect">
                      <a:avLst/>
                    </a:prstGeom>
                  </pic:spPr>
                </pic:pic>
              </a:graphicData>
            </a:graphic>
          </wp:inline>
        </w:drawing>
      </w:r>
    </w:p>
    <w:p w14:paraId="56C91D3B" w14:textId="67F8493A" w:rsidR="00C24F39" w:rsidRPr="00E6110F" w:rsidRDefault="00C24F39" w:rsidP="002652AD">
      <w:pPr>
        <w:pStyle w:val="Imagecaption"/>
      </w:pPr>
      <w:bookmarkStart w:id="254" w:name="_Ref446767749"/>
      <w:bookmarkStart w:id="255" w:name="_Toc477347578"/>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46</w:t>
      </w:r>
      <w:r w:rsidR="00254026">
        <w:fldChar w:fldCharType="end"/>
      </w:r>
      <w:bookmarkEnd w:id="254"/>
      <w:r w:rsidR="002652AD" w:rsidRPr="00E6110F">
        <w:t xml:space="preserve"> Hydraulic head gradients 500 years after commencement of CSG production for cells of the </w:t>
      </w:r>
      <w:r w:rsidR="003F2101">
        <w:t>study area</w:t>
      </w:r>
      <w:r w:rsidR="002652AD" w:rsidRPr="00E6110F">
        <w:t xml:space="preserve">, with formations described in </w:t>
      </w:r>
      <w:r w:rsidR="006A0858" w:rsidRPr="00E6110F">
        <w:fldChar w:fldCharType="begin" w:fldLock="1"/>
      </w:r>
      <w:r w:rsidR="006A0858" w:rsidRPr="00E6110F">
        <w:instrText xml:space="preserve"> REF _Ref446766173 \h  \* MERGEFORMAT </w:instrText>
      </w:r>
      <w:r w:rsidR="006A0858" w:rsidRPr="00E6110F">
        <w:fldChar w:fldCharType="separate"/>
      </w:r>
      <w:r w:rsidR="00335E79" w:rsidRPr="00E6110F">
        <w:t xml:space="preserve">Figure </w:t>
      </w:r>
      <w:r w:rsidR="00335E79">
        <w:t>2</w:t>
      </w:r>
      <w:r w:rsidR="00335E79">
        <w:noBreakHyphen/>
        <w:t>43</w:t>
      </w:r>
      <w:r w:rsidR="006A0858" w:rsidRPr="00E6110F">
        <w:fldChar w:fldCharType="end"/>
      </w:r>
      <w:r w:rsidR="006A0858" w:rsidRPr="00E6110F">
        <w:t>.</w:t>
      </w:r>
      <w:r w:rsidR="002652AD" w:rsidRPr="00E6110F">
        <w:t xml:space="preserve"> CSG production lasted for 26 years.</w:t>
      </w:r>
      <w:bookmarkEnd w:id="255"/>
    </w:p>
    <w:p w14:paraId="31EB9DC8" w14:textId="708F1C9D" w:rsidR="002652AD" w:rsidRPr="00E6110F" w:rsidRDefault="002652AD" w:rsidP="002652AD">
      <w:pPr>
        <w:pStyle w:val="Body"/>
      </w:pPr>
      <w:r w:rsidRPr="00E6110F">
        <w:t>The MODFLOW-SURFACT model was also used to produce timeseries of predicted changes in hydraulic head for cells with the highest overall drawdown due to CSG production in the primary (early Permian) coal targets of the Maules Creek Formation (</w:t>
      </w:r>
      <w:r w:rsidR="00303908" w:rsidRPr="00E6110F">
        <w:fldChar w:fldCharType="begin" w:fldLock="1"/>
      </w:r>
      <w:r w:rsidR="00303908" w:rsidRPr="00E6110F">
        <w:instrText xml:space="preserve"> REF _Ref446768014 \h </w:instrText>
      </w:r>
      <w:r w:rsidR="00E6110F">
        <w:instrText xml:space="preserve"> \* MERGEFORMAT </w:instrText>
      </w:r>
      <w:r w:rsidR="00303908" w:rsidRPr="00E6110F">
        <w:fldChar w:fldCharType="separate"/>
      </w:r>
      <w:r w:rsidR="00335E79" w:rsidRPr="00E6110F">
        <w:t xml:space="preserve">Figure </w:t>
      </w:r>
      <w:r w:rsidR="00335E79">
        <w:rPr>
          <w:noProof/>
        </w:rPr>
        <w:t>2</w:t>
      </w:r>
      <w:r w:rsidR="00335E79">
        <w:rPr>
          <w:noProof/>
        </w:rPr>
        <w:noBreakHyphen/>
        <w:t>47</w:t>
      </w:r>
      <w:r w:rsidR="00303908" w:rsidRPr="00E6110F">
        <w:fldChar w:fldCharType="end"/>
      </w:r>
      <w:r w:rsidRPr="00E6110F">
        <w:t>), and secondary targets (late Permian) of Hoskissons Coal (</w:t>
      </w:r>
      <w:r w:rsidR="00303908" w:rsidRPr="00E6110F">
        <w:fldChar w:fldCharType="begin" w:fldLock="1"/>
      </w:r>
      <w:r w:rsidR="00303908" w:rsidRPr="00E6110F">
        <w:instrText xml:space="preserve"> REF _Ref446768024 \h </w:instrText>
      </w:r>
      <w:r w:rsidR="00E6110F">
        <w:instrText xml:space="preserve"> \* MERGEFORMAT </w:instrText>
      </w:r>
      <w:r w:rsidR="00303908" w:rsidRPr="00E6110F">
        <w:fldChar w:fldCharType="separate"/>
      </w:r>
      <w:r w:rsidR="00335E79" w:rsidRPr="00E6110F">
        <w:t xml:space="preserve">Figure </w:t>
      </w:r>
      <w:r w:rsidR="00335E79">
        <w:rPr>
          <w:noProof/>
        </w:rPr>
        <w:t>2</w:t>
      </w:r>
      <w:r w:rsidR="00335E79">
        <w:rPr>
          <w:noProof/>
        </w:rPr>
        <w:noBreakHyphen/>
        <w:t>48</w:t>
      </w:r>
      <w:r w:rsidR="00303908" w:rsidRPr="00E6110F">
        <w:fldChar w:fldCharType="end"/>
      </w:r>
      <w:r w:rsidRPr="00E6110F">
        <w:t xml:space="preserve">). This was compared with the hydraulic heads of the confined Pillinga Sandstone aquifer (a major regional aquifer in the </w:t>
      </w:r>
      <w:r w:rsidR="003F2101">
        <w:t>study area</w:t>
      </w:r>
      <w:r w:rsidRPr="00E6110F">
        <w:t>). The head difference between the Maules Creek Formation production interval and water bearing aquifers due to CSG production was up to 140 metres, but this declined rapidly over 100 years to around 40 metres head difference, and returned to pre-</w:t>
      </w:r>
      <w:r w:rsidR="008302ED">
        <w:t>CSG extraction</w:t>
      </w:r>
      <w:r w:rsidRPr="00E6110F">
        <w:t xml:space="preserve"> levels after around 1</w:t>
      </w:r>
      <w:r w:rsidR="00CD2A24">
        <w:t>,</w:t>
      </w:r>
      <w:r w:rsidRPr="00E6110F">
        <w:t>000 years. The difference for production in the Hoskissons Coal formation was less, at 28 metres, but it also returned to pre-development levels after around 1</w:t>
      </w:r>
      <w:r w:rsidR="00CD2A24">
        <w:t>,</w:t>
      </w:r>
      <w:r w:rsidRPr="00E6110F">
        <w:t xml:space="preserve">000 years. The examples shown all produce a downward gradient, presenting a condition that potentially leads to long-term head loss from the Pilliga Sandstone should preferential flow paths </w:t>
      </w:r>
      <w:r w:rsidR="00384DFA">
        <w:t xml:space="preserve">exist </w:t>
      </w:r>
      <w:r w:rsidRPr="00E6110F">
        <w:t>due to loss of well integrity.</w:t>
      </w:r>
    </w:p>
    <w:p w14:paraId="7C595AD8" w14:textId="290A08F6" w:rsidR="00C24F39" w:rsidRPr="00E6110F" w:rsidRDefault="00C0124E" w:rsidP="00C0124E">
      <w:r w:rsidRPr="00C0124E">
        <w:rPr>
          <w:noProof/>
          <w:lang w:val="en-AU" w:eastAsia="en-AU"/>
        </w:rPr>
        <w:drawing>
          <wp:inline distT="0" distB="0" distL="0" distR="0" wp14:anchorId="698279CA" wp14:editId="5CFA9714">
            <wp:extent cx="6114553" cy="2285526"/>
            <wp:effectExtent l="0" t="0" r="635" b="635"/>
            <wp:docPr id="42" name="Picture 42" descr="Chart of changes in hydraulic head for model cells in the Maules Creek Formation and Pilliga Sandstone aquifer." title="Fig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6149669" cy="2298652"/>
                    </a:xfrm>
                    <a:prstGeom prst="rect">
                      <a:avLst/>
                    </a:prstGeom>
                    <a:noFill/>
                    <a:ln>
                      <a:noFill/>
                    </a:ln>
                  </pic:spPr>
                </pic:pic>
              </a:graphicData>
            </a:graphic>
          </wp:inline>
        </w:drawing>
      </w:r>
    </w:p>
    <w:p w14:paraId="05FDBA0A" w14:textId="089DBDBF" w:rsidR="00E6547D" w:rsidRPr="00E6110F" w:rsidRDefault="00E6547D" w:rsidP="002652AD">
      <w:pPr>
        <w:pStyle w:val="Imagecaption"/>
      </w:pPr>
      <w:bookmarkStart w:id="256" w:name="_Ref446768014"/>
      <w:bookmarkStart w:id="257" w:name="_Toc477347579"/>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47</w:t>
      </w:r>
      <w:r w:rsidR="00254026">
        <w:fldChar w:fldCharType="end"/>
      </w:r>
      <w:bookmarkEnd w:id="256"/>
      <w:r w:rsidR="002652AD" w:rsidRPr="00E6110F">
        <w:t xml:space="preserve"> Changes in hydraulic head for cells in the region of highest drawdown in the Maules Creek Formation, compared with heads in the confined Pillinga Sandstone aquifer.</w:t>
      </w:r>
      <w:r w:rsidR="00061C21">
        <w:t xml:space="preserve"> Start date (t = 0) corresponds commencement of 26-year CSG production period. Inset shows negligible head variation in Pilliga Sandstone.</w:t>
      </w:r>
      <w:bookmarkEnd w:id="257"/>
    </w:p>
    <w:p w14:paraId="73845331" w14:textId="65631282" w:rsidR="00C24F39" w:rsidRPr="00E6110F" w:rsidRDefault="00C0124E" w:rsidP="00C24F39">
      <w:r w:rsidRPr="00C0124E">
        <w:rPr>
          <w:noProof/>
          <w:lang w:val="en-AU" w:eastAsia="en-AU"/>
        </w:rPr>
        <w:drawing>
          <wp:inline distT="0" distB="0" distL="0" distR="0" wp14:anchorId="69E664CB" wp14:editId="4EBEB404">
            <wp:extent cx="5727700" cy="2140927"/>
            <wp:effectExtent l="0" t="0" r="6350" b="0"/>
            <wp:docPr id="33" name="Picture 33" descr="Chart of changes in hydraulic head for model cells in the Hoskinssons Coal Formation and Pilliga Sandstone aquifer." title="Fig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727700" cy="2140927"/>
                    </a:xfrm>
                    <a:prstGeom prst="rect">
                      <a:avLst/>
                    </a:prstGeom>
                    <a:noFill/>
                    <a:ln>
                      <a:noFill/>
                    </a:ln>
                  </pic:spPr>
                </pic:pic>
              </a:graphicData>
            </a:graphic>
          </wp:inline>
        </w:drawing>
      </w:r>
    </w:p>
    <w:p w14:paraId="341252C9" w14:textId="5CE51CB8" w:rsidR="00C24F39" w:rsidRPr="00E6110F" w:rsidRDefault="00E6547D" w:rsidP="002652AD">
      <w:pPr>
        <w:pStyle w:val="Imagecaption"/>
      </w:pPr>
      <w:bookmarkStart w:id="258" w:name="_Ref446768024"/>
      <w:bookmarkStart w:id="259" w:name="_Toc477347580"/>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48</w:t>
      </w:r>
      <w:r w:rsidR="00254026">
        <w:fldChar w:fldCharType="end"/>
      </w:r>
      <w:bookmarkEnd w:id="258"/>
      <w:r w:rsidR="002652AD" w:rsidRPr="00E6110F">
        <w:t xml:space="preserve"> Changes in hydraulic head for cells in the region of highest drawdown in the Hoskissons Coal formation, compared with heads in the confined Pilliga Sandstone aquifer.</w:t>
      </w:r>
      <w:r w:rsidR="00061C21">
        <w:t xml:space="preserve"> Start date (t = 0) corresponds commencement of 26-year CSG production period. Inset shows negligible head variation in Pilliga Sandstone.</w:t>
      </w:r>
      <w:bookmarkEnd w:id="259"/>
    </w:p>
    <w:p w14:paraId="7341041D" w14:textId="77777777" w:rsidR="00FC5259" w:rsidRPr="00E6110F" w:rsidRDefault="00FC5259" w:rsidP="002652AD">
      <w:pPr>
        <w:pStyle w:val="Imagecaption"/>
      </w:pPr>
    </w:p>
    <w:p w14:paraId="0749D7EB" w14:textId="75BE968C" w:rsidR="0087378B" w:rsidRPr="00E6110F" w:rsidRDefault="00AF6A75" w:rsidP="0087378B">
      <w:pPr>
        <w:pStyle w:val="Heading3"/>
        <w:numPr>
          <w:ilvl w:val="3"/>
          <w:numId w:val="1"/>
        </w:numPr>
      </w:pPr>
      <w:bookmarkStart w:id="260" w:name="_Ref458947098"/>
      <w:bookmarkStart w:id="261" w:name="_Toc494444536"/>
      <w:r w:rsidRPr="00E6110F">
        <w:t>Forward p</w:t>
      </w:r>
      <w:r w:rsidR="0087378B" w:rsidRPr="00E6110F">
        <w:t>article tracking analysis</w:t>
      </w:r>
      <w:bookmarkEnd w:id="260"/>
      <w:bookmarkEnd w:id="261"/>
    </w:p>
    <w:p w14:paraId="65EF4759" w14:textId="3B0CDE4D" w:rsidR="0021520E" w:rsidRPr="00E6110F" w:rsidRDefault="0021520E" w:rsidP="0087378B">
      <w:pPr>
        <w:pStyle w:val="Heading3"/>
        <w:numPr>
          <w:ilvl w:val="4"/>
          <w:numId w:val="1"/>
        </w:numPr>
      </w:pPr>
      <w:bookmarkStart w:id="262" w:name="_Ref446779370"/>
      <w:bookmarkStart w:id="263" w:name="_Toc494444537"/>
      <w:r w:rsidRPr="00E6110F">
        <w:t>Verification of 30 km buffer zone</w:t>
      </w:r>
      <w:bookmarkEnd w:id="262"/>
      <w:bookmarkEnd w:id="263"/>
    </w:p>
    <w:p w14:paraId="14F99632" w14:textId="1386CEE1" w:rsidR="003B613E" w:rsidRPr="00E6110F" w:rsidRDefault="000E5FA5" w:rsidP="000E5FA5">
      <w:pPr>
        <w:pStyle w:val="Body"/>
      </w:pPr>
      <w:r w:rsidRPr="00E6110F">
        <w:t xml:space="preserve">A 30 km buffer area around the </w:t>
      </w:r>
      <w:r w:rsidR="00211393">
        <w:t>study area</w:t>
      </w:r>
      <w:r w:rsidRPr="00E6110F">
        <w:t xml:space="preserve"> had previously been used by CDM</w:t>
      </w:r>
      <w:r w:rsidR="0092733D" w:rsidRPr="00E6110F">
        <w:t xml:space="preserve"> </w:t>
      </w:r>
      <w:r w:rsidRPr="00E6110F">
        <w:t xml:space="preserve">Smith (2014) as a focus area for groundwater impact assessments. The same buffer area was used in the current study to limit the spatial analysis to an area large enough to capture all pathways identified through particle tracking analysis. To test whether the buffer area was indeed sufficiently inclusive of all pathways, a limited particle tracking analysis was undertaken by releasing particles from the main corner points of the </w:t>
      </w:r>
      <w:r w:rsidR="00E81D4A">
        <w:t>study area</w:t>
      </w:r>
      <w:r w:rsidR="00541FBD">
        <w:t>, rather than from individual wells</w:t>
      </w:r>
      <w:r w:rsidRPr="00E6110F">
        <w:t xml:space="preserve"> (</w:t>
      </w:r>
      <w:r w:rsidRPr="00E6110F">
        <w:fldChar w:fldCharType="begin" w:fldLock="1"/>
      </w:r>
      <w:r w:rsidRPr="00E6110F">
        <w:instrText xml:space="preserve"> REF _Ref446092173 \h </w:instrText>
      </w:r>
      <w:r w:rsidR="002427FB" w:rsidRPr="00E6110F">
        <w:instrText xml:space="preserve"> \* MERGEFORMAT </w:instrText>
      </w:r>
      <w:r w:rsidRPr="00E6110F">
        <w:fldChar w:fldCharType="separate"/>
      </w:r>
      <w:r w:rsidR="00335E79" w:rsidRPr="00E6110F">
        <w:t xml:space="preserve">Figure </w:t>
      </w:r>
      <w:r w:rsidR="00335E79">
        <w:t>2</w:t>
      </w:r>
      <w:r w:rsidR="00335E79">
        <w:noBreakHyphen/>
        <w:t>49</w:t>
      </w:r>
      <w:r w:rsidRPr="00E6110F">
        <w:fldChar w:fldCharType="end"/>
      </w:r>
      <w:r w:rsidRPr="00E6110F">
        <w:t xml:space="preserve">). </w:t>
      </w:r>
      <w:r w:rsidR="00541FBD">
        <w:t xml:space="preserve">By using the main corner points it is assumed that </w:t>
      </w:r>
      <w:r w:rsidR="00EF3D51">
        <w:t xml:space="preserve">CSG wells would be located on the boundary of the </w:t>
      </w:r>
      <w:r w:rsidR="001F7E6B">
        <w:t>study area</w:t>
      </w:r>
      <w:r w:rsidR="00EF3D51">
        <w:t xml:space="preserve"> and therefore </w:t>
      </w:r>
      <w:r w:rsidR="00541FBD">
        <w:t>maximum pathway lengths w</w:t>
      </w:r>
      <w:r w:rsidR="00EF3D51">
        <w:t>ould</w:t>
      </w:r>
      <w:r w:rsidR="00541FBD">
        <w:t xml:space="preserve"> be achieved. </w:t>
      </w:r>
      <w:r w:rsidR="00EF3D51">
        <w:t xml:space="preserve">An assessment of pathways for the proposed CSG well locations is provided in </w:t>
      </w:r>
      <w:r w:rsidR="00384DFA">
        <w:t xml:space="preserve">Section </w:t>
      </w:r>
      <w:r w:rsidR="00EF3D51">
        <w:fldChar w:fldCharType="begin" w:fldLock="1"/>
      </w:r>
      <w:r w:rsidR="00EF3D51">
        <w:instrText xml:space="preserve"> REF _Ref458327498 \r \h </w:instrText>
      </w:r>
      <w:r w:rsidR="00EF3D51">
        <w:fldChar w:fldCharType="separate"/>
      </w:r>
      <w:r w:rsidR="00335E79">
        <w:t>2.6.4.3.3</w:t>
      </w:r>
      <w:r w:rsidR="00EF3D51">
        <w:fldChar w:fldCharType="end"/>
      </w:r>
      <w:r w:rsidR="00EF3D51">
        <w:t xml:space="preserve">. </w:t>
      </w:r>
      <w:r w:rsidR="002427FB" w:rsidRPr="00E6110F">
        <w:t xml:space="preserve">Release depths range from 25 to 296 m with a mean depth of 141 m. </w:t>
      </w:r>
      <w:r w:rsidR="00D13A48" w:rsidRPr="00E6110F">
        <w:t>Based on these calculations, all of the particles’ end point are within the buffer zone</w:t>
      </w:r>
      <w:r w:rsidR="00646356">
        <w:t xml:space="preserve"> (the buffer zone is located outside the </w:t>
      </w:r>
      <w:r w:rsidR="00480DFC">
        <w:t>frame of the graph)</w:t>
      </w:r>
      <w:r w:rsidR="00D13A48" w:rsidRPr="00E6110F">
        <w:t xml:space="preserve">. </w:t>
      </w:r>
      <w:r w:rsidR="001F7E6B">
        <w:t xml:space="preserve">Where no pathways emerge from the study area boundary, it is assumed that </w:t>
      </w:r>
      <w:r w:rsidR="001F7E6B" w:rsidRPr="001F7E6B">
        <w:t>groundwater flows are stagnant</w:t>
      </w:r>
      <w:r w:rsidR="001F7E6B">
        <w:t xml:space="preserve"> </w:t>
      </w:r>
      <w:r w:rsidR="001F7E6B" w:rsidRPr="001F7E6B">
        <w:t>at these cells</w:t>
      </w:r>
      <w:r w:rsidR="001F7E6B">
        <w:t xml:space="preserve"> (</w:t>
      </w:r>
      <w:r w:rsidR="001F7E6B">
        <w:fldChar w:fldCharType="begin"/>
      </w:r>
      <w:r w:rsidR="001F7E6B">
        <w:instrText xml:space="preserve"> REF _Ref446092173 \h </w:instrText>
      </w:r>
      <w:r w:rsidR="001F7E6B">
        <w:fldChar w:fldCharType="separate"/>
      </w:r>
      <w:r w:rsidR="00951AFC" w:rsidRPr="00E6110F">
        <w:t xml:space="preserve">Figure </w:t>
      </w:r>
      <w:r w:rsidR="00951AFC">
        <w:rPr>
          <w:noProof/>
        </w:rPr>
        <w:t>2</w:t>
      </w:r>
      <w:r w:rsidR="00951AFC">
        <w:noBreakHyphen/>
      </w:r>
      <w:r w:rsidR="00951AFC">
        <w:rPr>
          <w:noProof/>
        </w:rPr>
        <w:t>49</w:t>
      </w:r>
      <w:r w:rsidR="001F7E6B">
        <w:fldChar w:fldCharType="end"/>
      </w:r>
      <w:r w:rsidR="001F7E6B">
        <w:t>)</w:t>
      </w:r>
      <w:r w:rsidR="001F7E6B" w:rsidRPr="001F7E6B">
        <w:t xml:space="preserve">.  </w:t>
      </w:r>
    </w:p>
    <w:p w14:paraId="167DFE51" w14:textId="618B323F" w:rsidR="00A83F6E" w:rsidRPr="00E6110F" w:rsidRDefault="00267EBD" w:rsidP="00A83F6E">
      <w:pPr>
        <w:spacing w:after="120" w:line="360" w:lineRule="auto"/>
        <w:jc w:val="center"/>
        <w:rPr>
          <w:rFonts w:ascii="Arial" w:hAnsi="Arial" w:cs="Arial"/>
          <w:sz w:val="20"/>
          <w:szCs w:val="20"/>
        </w:rPr>
      </w:pPr>
      <w:r w:rsidRPr="00E6110F">
        <w:rPr>
          <w:noProof/>
          <w:lang w:val="en-AU" w:eastAsia="en-AU"/>
        </w:rPr>
        <w:drawing>
          <wp:inline distT="0" distB="0" distL="0" distR="0" wp14:anchorId="34137879" wp14:editId="15AFE6E4">
            <wp:extent cx="4276725" cy="5934075"/>
            <wp:effectExtent l="0" t="0" r="9525" b="9525"/>
            <wp:docPr id="21" name="Picture 21" descr="Map of particle tracking pathlines (model outputs) in the Gunnedah study area." title="Fig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76725" cy="5934075"/>
                    </a:xfrm>
                    <a:prstGeom prst="rect">
                      <a:avLst/>
                    </a:prstGeom>
                  </pic:spPr>
                </pic:pic>
              </a:graphicData>
            </a:graphic>
          </wp:inline>
        </w:drawing>
      </w:r>
    </w:p>
    <w:p w14:paraId="7A922DD5" w14:textId="316E1D02" w:rsidR="00A83F6E" w:rsidRPr="00E6110F" w:rsidRDefault="00A83F6E" w:rsidP="00A83F6E">
      <w:pPr>
        <w:pStyle w:val="Imagecaption"/>
      </w:pPr>
      <w:bookmarkStart w:id="264" w:name="_Ref446092173"/>
      <w:bookmarkStart w:id="265" w:name="_Toc477347581"/>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49</w:t>
      </w:r>
      <w:r w:rsidR="00254026">
        <w:fldChar w:fldCharType="end"/>
      </w:r>
      <w:bookmarkEnd w:id="264"/>
      <w:r w:rsidRPr="00E6110F">
        <w:t xml:space="preserve">. </w:t>
      </w:r>
      <w:r w:rsidRPr="00E6110F">
        <w:tab/>
        <w:t xml:space="preserve">Particle tracking path lines (black), originating from selected cells (red) on </w:t>
      </w:r>
      <w:r w:rsidR="00547596" w:rsidRPr="00E6110F">
        <w:t xml:space="preserve">the </w:t>
      </w:r>
      <w:r w:rsidR="00335E79">
        <w:t>study area</w:t>
      </w:r>
      <w:r w:rsidRPr="00E6110F">
        <w:t xml:space="preserve"> boundary (yellow)</w:t>
      </w:r>
      <w:r w:rsidR="00547596" w:rsidRPr="00E6110F">
        <w:t xml:space="preserve"> and 30 km buffer zone</w:t>
      </w:r>
      <w:r w:rsidRPr="00E6110F">
        <w:t>.</w:t>
      </w:r>
      <w:r w:rsidR="002670E9">
        <w:t xml:space="preserve"> </w:t>
      </w:r>
      <w:r w:rsidR="00547596" w:rsidRPr="00E6110F">
        <w:t xml:space="preserve"> </w:t>
      </w:r>
      <w:r w:rsidR="00345988">
        <w:t>Particles are released from the Pilliga Sandstone aquifer. Model cells are 1 × 1 km</w:t>
      </w:r>
      <w:r w:rsidR="00345988" w:rsidRPr="00345988">
        <w:rPr>
          <w:vertAlign w:val="superscript"/>
        </w:rPr>
        <w:t>2</w:t>
      </w:r>
      <w:r w:rsidR="00345988">
        <w:t>.</w:t>
      </w:r>
      <w:bookmarkEnd w:id="265"/>
    </w:p>
    <w:p w14:paraId="4603C837" w14:textId="77777777" w:rsidR="003B613E" w:rsidRPr="00E6110F" w:rsidRDefault="003B613E" w:rsidP="003B613E">
      <w:pPr>
        <w:rPr>
          <w:lang w:val="en-GB"/>
        </w:rPr>
      </w:pPr>
    </w:p>
    <w:p w14:paraId="417F597C" w14:textId="77777777" w:rsidR="0095534B" w:rsidRPr="00E6110F" w:rsidRDefault="0095534B">
      <w:pPr>
        <w:rPr>
          <w:rFonts w:ascii="Calibri-Bold" w:hAnsi="Calibri-Bold" w:cs="Calibri-Bold"/>
          <w:b/>
          <w:bCs/>
          <w:color w:val="486886"/>
          <w:sz w:val="22"/>
          <w:szCs w:val="22"/>
          <w:lang w:val="en-GB"/>
        </w:rPr>
      </w:pPr>
      <w:r w:rsidRPr="00E6110F">
        <w:br w:type="page"/>
      </w:r>
    </w:p>
    <w:p w14:paraId="0F2C58FA" w14:textId="40596B8A" w:rsidR="00D220EC" w:rsidRPr="00E6110F" w:rsidRDefault="0087378B" w:rsidP="0087378B">
      <w:pPr>
        <w:pStyle w:val="Heading3"/>
        <w:numPr>
          <w:ilvl w:val="4"/>
          <w:numId w:val="1"/>
        </w:numPr>
      </w:pPr>
      <w:bookmarkStart w:id="266" w:name="_Ref467830830"/>
      <w:bookmarkStart w:id="267" w:name="_Toc494444538"/>
      <w:r w:rsidRPr="00E6110F">
        <w:t>Baseline case without hydraulic fracturing</w:t>
      </w:r>
      <w:bookmarkEnd w:id="266"/>
      <w:bookmarkEnd w:id="267"/>
    </w:p>
    <w:p w14:paraId="7D4AB20A" w14:textId="73A049C1" w:rsidR="008732AB" w:rsidRDefault="008732AB" w:rsidP="001A5DE0">
      <w:pPr>
        <w:pStyle w:val="Body"/>
      </w:pPr>
      <w:r>
        <w:t xml:space="preserve">Particle tracking analysis is undertaken in two steps: first a baseline case is considered that reflects the groundwater pathways prior to any hydraulic fracturing operations. In the second step new pathways are considered as a result of hydraulic fracturing.   </w:t>
      </w:r>
    </w:p>
    <w:p w14:paraId="52BAF682" w14:textId="28E80E9B" w:rsidR="00CF0CDF" w:rsidRDefault="00CF0CDF" w:rsidP="001A5DE0">
      <w:pPr>
        <w:pStyle w:val="Body"/>
      </w:pPr>
      <w:r>
        <w:t xml:space="preserve">The baseline case explores whether any naturally occurring flowpaths exist between the main coal formations and the overlying aquifers. </w:t>
      </w:r>
      <w:r w:rsidR="008732AB">
        <w:t>For the Gunnedah Basin, t</w:t>
      </w:r>
      <w:r>
        <w:t>he analysis involves releasing particles within the Maules Creek coal layer and tracking their pathway until their final position</w:t>
      </w:r>
      <w:r w:rsidR="008732AB">
        <w:t xml:space="preserve"> (see </w:t>
      </w:r>
      <w:r w:rsidR="00DC32CC">
        <w:fldChar w:fldCharType="begin" w:fldLock="1"/>
      </w:r>
      <w:r w:rsidR="00DC32CC">
        <w:instrText xml:space="preserve"> REF _Ref459912073 \h </w:instrText>
      </w:r>
      <w:r w:rsidR="00DC32CC">
        <w:fldChar w:fldCharType="separate"/>
      </w:r>
      <w:r w:rsidR="00335E79" w:rsidRPr="00E6110F">
        <w:t xml:space="preserve">Figure </w:t>
      </w:r>
      <w:r w:rsidR="00335E79">
        <w:rPr>
          <w:noProof/>
        </w:rPr>
        <w:t>2</w:t>
      </w:r>
      <w:r w:rsidR="00335E79">
        <w:noBreakHyphen/>
      </w:r>
      <w:r w:rsidR="00335E79">
        <w:rPr>
          <w:noProof/>
        </w:rPr>
        <w:t>42</w:t>
      </w:r>
      <w:r w:rsidR="00DC32CC">
        <w:fldChar w:fldCharType="end"/>
      </w:r>
      <w:r w:rsidR="00DC32CC">
        <w:t xml:space="preserve"> </w:t>
      </w:r>
      <w:r w:rsidR="00236075">
        <w:t xml:space="preserve">and </w:t>
      </w:r>
      <w:r w:rsidR="00236075">
        <w:fldChar w:fldCharType="begin" w:fldLock="1"/>
      </w:r>
      <w:r w:rsidR="00236075">
        <w:instrText xml:space="preserve"> REF _Ref446766173 \h </w:instrText>
      </w:r>
      <w:r w:rsidR="00236075">
        <w:fldChar w:fldCharType="separate"/>
      </w:r>
      <w:r w:rsidR="00335E79" w:rsidRPr="00E6110F">
        <w:t xml:space="preserve">Figure </w:t>
      </w:r>
      <w:r w:rsidR="00335E79">
        <w:rPr>
          <w:noProof/>
        </w:rPr>
        <w:t>2</w:t>
      </w:r>
      <w:r w:rsidR="00335E79">
        <w:noBreakHyphen/>
      </w:r>
      <w:r w:rsidR="00335E79">
        <w:rPr>
          <w:noProof/>
        </w:rPr>
        <w:t>43</w:t>
      </w:r>
      <w:r w:rsidR="00236075">
        <w:fldChar w:fldCharType="end"/>
      </w:r>
      <w:r w:rsidR="00236075">
        <w:t xml:space="preserve"> </w:t>
      </w:r>
      <w:r w:rsidR="008732AB">
        <w:t xml:space="preserve">for location of the Maules Creeck coal </w:t>
      </w:r>
      <w:r w:rsidR="00DC32CC">
        <w:t>target seams</w:t>
      </w:r>
      <w:r w:rsidR="008732AB">
        <w:t xml:space="preserve"> in the stratigraphic column)</w:t>
      </w:r>
      <w:r>
        <w:t xml:space="preserve">. In this calculation no hydraulic fracturing induced pathways exist between the coal layers and the aquifers. </w:t>
      </w:r>
    </w:p>
    <w:p w14:paraId="588A1CA5" w14:textId="168C2016" w:rsidR="00F81E23" w:rsidRDefault="00CF0CDF" w:rsidP="001A5DE0">
      <w:pPr>
        <w:pStyle w:val="Body"/>
      </w:pPr>
      <w:r>
        <w:t xml:space="preserve">To constrain the analysis to the region where most of the particle movement would occur, a total of </w:t>
      </w:r>
      <w:r w:rsidR="001A5DE0" w:rsidRPr="00E6110F">
        <w:t xml:space="preserve">425 CSG well locations were inputted into the groundwater flow model. </w:t>
      </w:r>
      <w:r w:rsidR="00BE0660">
        <w:t>Note that the wells do not abstract groundwater therefore do not influence the groundwater flow; their sole purpose is to define particle sources to areas that could see hydraulic fracturing fluids</w:t>
      </w:r>
      <w:r w:rsidR="007B7EB3">
        <w:t xml:space="preserve"> during the production phase.</w:t>
      </w:r>
      <w:r w:rsidR="00BE0660">
        <w:t xml:space="preserve"> </w:t>
      </w:r>
      <w:r>
        <w:t xml:space="preserve">The locations are consistent with those used </w:t>
      </w:r>
      <w:r w:rsidR="00E74220">
        <w:t xml:space="preserve">for the assessment of groundwater depressurisation associated with CSG extraction (CDM Smith 2014). </w:t>
      </w:r>
      <w:r w:rsidR="001A5DE0" w:rsidRPr="00E6110F">
        <w:t>A forward solute particle tracking analysis was then undertaken by releasing particles in each model cell containing a CSG well</w:t>
      </w:r>
      <w:r w:rsidR="00A80942">
        <w:t xml:space="preserve"> (</w:t>
      </w:r>
      <w:r w:rsidR="00A80942">
        <w:fldChar w:fldCharType="begin" w:fldLock="1"/>
      </w:r>
      <w:r w:rsidR="00A80942">
        <w:instrText xml:space="preserve"> REF _Ref454474477 \h </w:instrText>
      </w:r>
      <w:r w:rsidR="00A80942">
        <w:fldChar w:fldCharType="separate"/>
      </w:r>
      <w:r w:rsidR="00335E79" w:rsidRPr="00E6110F">
        <w:t xml:space="preserve">Figure </w:t>
      </w:r>
      <w:r w:rsidR="00335E79">
        <w:rPr>
          <w:noProof/>
        </w:rPr>
        <w:t>2</w:t>
      </w:r>
      <w:r w:rsidR="00335E79">
        <w:noBreakHyphen/>
      </w:r>
      <w:r w:rsidR="00335E79">
        <w:rPr>
          <w:noProof/>
        </w:rPr>
        <w:t>50</w:t>
      </w:r>
      <w:r w:rsidR="00A80942">
        <w:fldChar w:fldCharType="end"/>
      </w:r>
      <w:r w:rsidR="00A80942">
        <w:t>)</w:t>
      </w:r>
      <w:r w:rsidR="001A5DE0" w:rsidRPr="00E6110F">
        <w:t xml:space="preserve">. This forward analysis has its particle source at each of the 425 CSG wells while the sinks will </w:t>
      </w:r>
      <w:r w:rsidR="00236075">
        <w:t xml:space="preserve">be </w:t>
      </w:r>
      <w:r w:rsidR="001A5DE0" w:rsidRPr="00E6110F">
        <w:t>model cells identified by following groundwater flow lines until they reach a natural discharge zone</w:t>
      </w:r>
      <w:r w:rsidR="00E74220">
        <w:t xml:space="preserve">, or another feature that ends the pathway (see further in </w:t>
      </w:r>
      <w:r w:rsidR="00384DFA">
        <w:t xml:space="preserve">Section </w:t>
      </w:r>
      <w:r w:rsidR="00E74220">
        <w:fldChar w:fldCharType="begin" w:fldLock="1"/>
      </w:r>
      <w:r w:rsidR="00E74220">
        <w:instrText xml:space="preserve"> REF _Ref458329186 \r \h </w:instrText>
      </w:r>
      <w:r w:rsidR="00E74220">
        <w:fldChar w:fldCharType="separate"/>
      </w:r>
      <w:r w:rsidR="00335E79">
        <w:t>2.6.4.3.3</w:t>
      </w:r>
      <w:r w:rsidR="00E74220">
        <w:fldChar w:fldCharType="end"/>
      </w:r>
      <w:r w:rsidR="00E74220">
        <w:t>)</w:t>
      </w:r>
      <w:r w:rsidR="001A5DE0" w:rsidRPr="00E6110F">
        <w:t>.</w:t>
      </w:r>
    </w:p>
    <w:p w14:paraId="0465C402" w14:textId="4579C852" w:rsidR="00702CCC" w:rsidRDefault="001A5DE0" w:rsidP="001A5DE0">
      <w:pPr>
        <w:pStyle w:val="Body"/>
      </w:pPr>
      <w:r w:rsidRPr="00E6110F">
        <w:t xml:space="preserve"> </w:t>
      </w:r>
    </w:p>
    <w:p w14:paraId="18A66337" w14:textId="4F1D3B9F" w:rsidR="005D083C" w:rsidRPr="00E6110F" w:rsidRDefault="0095534B" w:rsidP="001A5DE0">
      <w:pPr>
        <w:pStyle w:val="Body"/>
      </w:pPr>
      <w:r w:rsidRPr="00E6110F">
        <w:rPr>
          <w:noProof/>
          <w:lang w:val="en-AU" w:eastAsia="en-AU"/>
        </w:rPr>
        <w:drawing>
          <wp:inline distT="0" distB="0" distL="0" distR="0" wp14:anchorId="0FEB4DDB" wp14:editId="125B0406">
            <wp:extent cx="5727700" cy="2597150"/>
            <wp:effectExtent l="0" t="0" r="6350" b="0"/>
            <wp:docPr id="520" name="Picture 520" descr="Image of model output of particle tracking pathlines in the Gunnedah study area." title="Fig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a:ext>
                      </a:extLst>
                    </a:blip>
                    <a:stretch>
                      <a:fillRect/>
                    </a:stretch>
                  </pic:blipFill>
                  <pic:spPr>
                    <a:xfrm>
                      <a:off x="0" y="0"/>
                      <a:ext cx="5727700" cy="2597150"/>
                    </a:xfrm>
                    <a:prstGeom prst="rect">
                      <a:avLst/>
                    </a:prstGeom>
                  </pic:spPr>
                </pic:pic>
              </a:graphicData>
            </a:graphic>
          </wp:inline>
        </w:drawing>
      </w:r>
    </w:p>
    <w:p w14:paraId="6B0B8411" w14:textId="151A22E3" w:rsidR="0095534B" w:rsidRDefault="0095534B" w:rsidP="0095534B">
      <w:pPr>
        <w:pStyle w:val="Imagecaption"/>
      </w:pPr>
      <w:bookmarkStart w:id="268" w:name="_Ref454474477"/>
      <w:bookmarkStart w:id="269" w:name="_Toc477347582"/>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50</w:t>
      </w:r>
      <w:r w:rsidR="00254026">
        <w:fldChar w:fldCharType="end"/>
      </w:r>
      <w:bookmarkEnd w:id="268"/>
      <w:r w:rsidRPr="00E6110F">
        <w:t xml:space="preserve"> Forward particle tracking pathlines from 425 CSG wells. Particles are released </w:t>
      </w:r>
      <w:r w:rsidR="00210484" w:rsidRPr="00E6110F">
        <w:t>at</w:t>
      </w:r>
      <w:r w:rsidRPr="00E6110F">
        <w:t xml:space="preserve"> the </w:t>
      </w:r>
      <w:r w:rsidR="00210484" w:rsidRPr="00E6110F">
        <w:t xml:space="preserve">base of the </w:t>
      </w:r>
      <w:r w:rsidRPr="00E6110F">
        <w:t xml:space="preserve">Maules Creek Coal, with one particle released for each </w:t>
      </w:r>
      <w:r w:rsidR="001B5CE8" w:rsidRPr="00E6110F">
        <w:t>well</w:t>
      </w:r>
      <w:r w:rsidRPr="00E6110F">
        <w:t>.</w:t>
      </w:r>
      <w:bookmarkEnd w:id="269"/>
      <w:r w:rsidRPr="00E6110F">
        <w:t xml:space="preserve"> </w:t>
      </w:r>
    </w:p>
    <w:p w14:paraId="6CB30195" w14:textId="77777777" w:rsidR="00702CCC" w:rsidRPr="00E6110F" w:rsidRDefault="00702CCC" w:rsidP="00702CCC">
      <w:pPr>
        <w:pStyle w:val="Body"/>
      </w:pPr>
      <w:r w:rsidRPr="00E6110F">
        <w:t xml:space="preserve">Theoretically particles may end their path in different types of sinks; the following categories of sink cells are considered in MODFLOW:  </w:t>
      </w:r>
    </w:p>
    <w:p w14:paraId="2A50AD96" w14:textId="1BA93A18" w:rsidR="00702CCC" w:rsidRPr="00E6110F" w:rsidRDefault="00702CCC" w:rsidP="00C117A3">
      <w:pPr>
        <w:pStyle w:val="Body"/>
        <w:numPr>
          <w:ilvl w:val="0"/>
          <w:numId w:val="8"/>
        </w:numPr>
      </w:pPr>
      <w:r w:rsidRPr="00E6110F">
        <w:t xml:space="preserve">river package cells representing rivers, </w:t>
      </w:r>
    </w:p>
    <w:p w14:paraId="74202217" w14:textId="77777777" w:rsidR="00702CCC" w:rsidRPr="00E6110F" w:rsidRDefault="00702CCC" w:rsidP="00C117A3">
      <w:pPr>
        <w:pStyle w:val="Body"/>
        <w:numPr>
          <w:ilvl w:val="0"/>
          <w:numId w:val="8"/>
        </w:numPr>
      </w:pPr>
      <w:r w:rsidRPr="00E6110F">
        <w:t xml:space="preserve">evapotranspiration package cells,  </w:t>
      </w:r>
    </w:p>
    <w:p w14:paraId="22B8DA04" w14:textId="49854F80" w:rsidR="00702CCC" w:rsidRPr="00E6110F" w:rsidRDefault="00702CCC" w:rsidP="00372D18">
      <w:pPr>
        <w:pStyle w:val="Body"/>
        <w:numPr>
          <w:ilvl w:val="0"/>
          <w:numId w:val="8"/>
        </w:numPr>
      </w:pPr>
      <w:r w:rsidRPr="00E6110F">
        <w:t>(</w:t>
      </w:r>
      <w:proofErr w:type="gramStart"/>
      <w:r w:rsidRPr="00E6110F">
        <w:t>negative</w:t>
      </w:r>
      <w:proofErr w:type="gramEnd"/>
      <w:r w:rsidRPr="00E6110F">
        <w:t xml:space="preserve"> flux) recharge package cells.</w:t>
      </w:r>
    </w:p>
    <w:p w14:paraId="289087D9" w14:textId="244D6F08" w:rsidR="00702CCC" w:rsidRPr="00E6110F" w:rsidRDefault="00702CCC" w:rsidP="00702CCC">
      <w:pPr>
        <w:pStyle w:val="Body"/>
      </w:pPr>
      <w:r w:rsidRPr="00E6110F">
        <w:t xml:space="preserve">A histogram of travel times </w:t>
      </w:r>
      <w:r w:rsidR="00F81E23">
        <w:t xml:space="preserve">based on 425 particles travelling from their source to a particular sink </w:t>
      </w:r>
      <w:r w:rsidRPr="00E6110F">
        <w:t>is provided in</w:t>
      </w:r>
      <w:r>
        <w:t xml:space="preserve"> </w:t>
      </w:r>
      <w:r>
        <w:fldChar w:fldCharType="begin" w:fldLock="1"/>
      </w:r>
      <w:r>
        <w:instrText xml:space="preserve"> REF _Ref454474504 \h </w:instrText>
      </w:r>
      <w:r>
        <w:fldChar w:fldCharType="separate"/>
      </w:r>
      <w:r w:rsidR="00335E79" w:rsidRPr="00E6110F">
        <w:t xml:space="preserve">Figure </w:t>
      </w:r>
      <w:r w:rsidR="00335E79">
        <w:rPr>
          <w:noProof/>
        </w:rPr>
        <w:t>2</w:t>
      </w:r>
      <w:r w:rsidR="00335E79">
        <w:noBreakHyphen/>
      </w:r>
      <w:r w:rsidR="00335E79">
        <w:rPr>
          <w:noProof/>
        </w:rPr>
        <w:t>51</w:t>
      </w:r>
      <w:r>
        <w:fldChar w:fldCharType="end"/>
      </w:r>
      <w:r w:rsidRPr="00E6110F">
        <w:t>. All particles ended their path in so-called weak sinks. Modpath defines “weak” sinks as: sinks that do not remove water at a rate sufficient to remove all of the water that enters a cell. The existence of weak sinks appears to be a result of coarse spatial discretisation</w:t>
      </w:r>
      <w:r w:rsidR="00372D18">
        <w:t>, although other factors could also be involved</w:t>
      </w:r>
      <w:r w:rsidRPr="00E6110F">
        <w:t>. More generally, from visual inspection of the particle travel paths (and exit locations) it appears that the particles mostly exit the model once they have reached close to land surface (possibly the water</w:t>
      </w:r>
      <w:r>
        <w:t xml:space="preserve"> </w:t>
      </w:r>
      <w:r w:rsidRPr="00E6110F">
        <w:t>table elevation</w:t>
      </w:r>
      <w:r w:rsidR="00372D18">
        <w:t xml:space="preserve"> and ET sinks</w:t>
      </w:r>
      <w:r w:rsidRPr="00E6110F">
        <w:t xml:space="preserve">). For a detailed discussion of weak sinks, see Abrams et al. (2013). </w:t>
      </w:r>
    </w:p>
    <w:p w14:paraId="4238FEA3" w14:textId="097CDFF9" w:rsidR="005D083C" w:rsidRPr="00E6110F" w:rsidRDefault="00503EE0" w:rsidP="006428F7">
      <w:pPr>
        <w:pStyle w:val="Body"/>
        <w:jc w:val="center"/>
      </w:pPr>
      <w:r w:rsidRPr="00E6110F">
        <w:rPr>
          <w:noProof/>
          <w:lang w:val="en-AU" w:eastAsia="en-AU"/>
        </w:rPr>
        <w:drawing>
          <wp:inline distT="0" distB="0" distL="0" distR="0" wp14:anchorId="16A9115A" wp14:editId="1EC9E764">
            <wp:extent cx="4224795" cy="3168595"/>
            <wp:effectExtent l="0" t="0" r="4445" b="0"/>
            <wp:docPr id="14" name="Picture 14" descr="Histogram of particle travel times (model output), released within the Maules Creek Coal formation." title="Fig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ules_pathline_histogram_v02_comma_separated.png"/>
                    <pic:cNvPicPr/>
                  </pic:nvPicPr>
                  <pic:blipFill>
                    <a:blip r:embed="rId87" cstate="email">
                      <a:extLst>
                        <a:ext uri="{28A0092B-C50C-407E-A947-70E740481C1C}">
                          <a14:useLocalDpi xmlns:a14="http://schemas.microsoft.com/office/drawing/2010/main"/>
                        </a:ext>
                      </a:extLst>
                    </a:blip>
                    <a:stretch>
                      <a:fillRect/>
                    </a:stretch>
                  </pic:blipFill>
                  <pic:spPr>
                    <a:xfrm>
                      <a:off x="0" y="0"/>
                      <a:ext cx="4230795" cy="3173095"/>
                    </a:xfrm>
                    <a:prstGeom prst="rect">
                      <a:avLst/>
                    </a:prstGeom>
                  </pic:spPr>
                </pic:pic>
              </a:graphicData>
            </a:graphic>
          </wp:inline>
        </w:drawing>
      </w:r>
    </w:p>
    <w:p w14:paraId="30CC0F59" w14:textId="77E095A3" w:rsidR="00AA726B" w:rsidRPr="00E6110F" w:rsidRDefault="00ED4C3B" w:rsidP="006428F7">
      <w:pPr>
        <w:pStyle w:val="Imagecaption"/>
      </w:pPr>
      <w:bookmarkStart w:id="270" w:name="_Ref454474504"/>
      <w:bookmarkStart w:id="271" w:name="_Toc477347583"/>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51</w:t>
      </w:r>
      <w:r w:rsidR="00254026">
        <w:fldChar w:fldCharType="end"/>
      </w:r>
      <w:bookmarkEnd w:id="270"/>
      <w:r w:rsidRPr="00E6110F">
        <w:t xml:space="preserve"> Histogram of particle travel times for 425 sources (i.e. CSG wells) released within the Maules Creek Coal (base).  Also shown are the 10th, 50th and 90th percentile values (dashed vertical lines) and the cumulative probability (blue line).</w:t>
      </w:r>
      <w:bookmarkEnd w:id="271"/>
    </w:p>
    <w:p w14:paraId="7B1156F1" w14:textId="77777777" w:rsidR="00AA726B" w:rsidRPr="00E6110F" w:rsidRDefault="00AA726B" w:rsidP="00AA726B">
      <w:pPr>
        <w:pStyle w:val="Caption"/>
      </w:pPr>
    </w:p>
    <w:p w14:paraId="1D89C164" w14:textId="6B276EBD" w:rsidR="00AA726B" w:rsidRPr="00DA539C" w:rsidRDefault="00AA726B" w:rsidP="00DA539C">
      <w:pPr>
        <w:pStyle w:val="Imagecaption"/>
        <w:keepNext/>
        <w:pBdr>
          <w:top w:val="none" w:sz="0" w:space="0" w:color="auto"/>
        </w:pBdr>
      </w:pPr>
      <w:bookmarkStart w:id="272" w:name="_Ref454474800"/>
      <w:bookmarkStart w:id="273" w:name="_Toc494444711"/>
      <w:r w:rsidRPr="00DA539C">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21</w:t>
      </w:r>
      <w:r w:rsidR="00470577">
        <w:fldChar w:fldCharType="end"/>
      </w:r>
      <w:bookmarkEnd w:id="272"/>
      <w:r w:rsidRPr="00DA539C">
        <w:t xml:space="preserve">  Particle tracking sink formations and travel time statistics</w:t>
      </w:r>
      <w:r w:rsidR="00FD4720" w:rsidRPr="00DA539C">
        <w:t xml:space="preserve"> for particles released within the Maules Creek Coal</w:t>
      </w:r>
      <w:r w:rsidRPr="00DA539C">
        <w:t>.</w:t>
      </w:r>
      <w:bookmarkEnd w:id="273"/>
    </w:p>
    <w:tbl>
      <w:tblPr>
        <w:tblStyle w:val="TableGrid"/>
        <w:tblW w:w="0" w:type="auto"/>
        <w:tblLook w:val="04A0" w:firstRow="1" w:lastRow="0" w:firstColumn="1" w:lastColumn="0" w:noHBand="0" w:noVBand="1"/>
      </w:tblPr>
      <w:tblGrid>
        <w:gridCol w:w="3003"/>
        <w:gridCol w:w="3003"/>
        <w:gridCol w:w="3004"/>
      </w:tblGrid>
      <w:tr w:rsidR="00AA726B" w:rsidRPr="00E6110F" w14:paraId="44D4D6D0" w14:textId="77777777" w:rsidTr="00AF5BD4">
        <w:tc>
          <w:tcPr>
            <w:tcW w:w="3003" w:type="dxa"/>
            <w:shd w:val="clear" w:color="auto" w:fill="F2F2F2" w:themeFill="background1" w:themeFillShade="F2"/>
          </w:tcPr>
          <w:p w14:paraId="5CE834B3" w14:textId="77777777" w:rsidR="00AA726B" w:rsidRPr="00E6110F" w:rsidRDefault="00AA726B" w:rsidP="00AA726B">
            <w:pPr>
              <w:pStyle w:val="Body"/>
            </w:pPr>
            <w:r w:rsidRPr="00E6110F">
              <w:t>Particle tracking sink formation</w:t>
            </w:r>
          </w:p>
        </w:tc>
        <w:tc>
          <w:tcPr>
            <w:tcW w:w="3003" w:type="dxa"/>
            <w:shd w:val="clear" w:color="auto" w:fill="F2F2F2" w:themeFill="background1" w:themeFillShade="F2"/>
          </w:tcPr>
          <w:p w14:paraId="533A9F08" w14:textId="6C5F016E" w:rsidR="00AA726B" w:rsidRPr="00E6110F" w:rsidRDefault="00AA726B" w:rsidP="00AA726B">
            <w:pPr>
              <w:pStyle w:val="Body"/>
            </w:pPr>
            <w:r w:rsidRPr="00E6110F">
              <w:t>Frequency (%)</w:t>
            </w:r>
          </w:p>
        </w:tc>
        <w:tc>
          <w:tcPr>
            <w:tcW w:w="3004" w:type="dxa"/>
            <w:shd w:val="clear" w:color="auto" w:fill="F2F2F2" w:themeFill="background1" w:themeFillShade="F2"/>
          </w:tcPr>
          <w:p w14:paraId="0AF3C4E2" w14:textId="12109256" w:rsidR="00AA726B" w:rsidRPr="00E6110F" w:rsidRDefault="00AA726B" w:rsidP="00AA726B">
            <w:pPr>
              <w:pStyle w:val="Body"/>
            </w:pPr>
            <w:r w:rsidRPr="00E6110F">
              <w:t>Travel time statistics (year)</w:t>
            </w:r>
          </w:p>
        </w:tc>
      </w:tr>
      <w:tr w:rsidR="00AA726B" w:rsidRPr="00E6110F" w14:paraId="3E89A765" w14:textId="77777777" w:rsidTr="00AA726B">
        <w:tc>
          <w:tcPr>
            <w:tcW w:w="3003" w:type="dxa"/>
          </w:tcPr>
          <w:p w14:paraId="3441B2B2" w14:textId="4E8BB1BF" w:rsidR="00AA726B" w:rsidRPr="00E6110F" w:rsidRDefault="00AA726B" w:rsidP="00AA726B">
            <w:pPr>
              <w:pStyle w:val="Body"/>
            </w:pPr>
            <w:r w:rsidRPr="00E6110F">
              <w:t>Namoi Alluvium</w:t>
            </w:r>
          </w:p>
        </w:tc>
        <w:tc>
          <w:tcPr>
            <w:tcW w:w="3003" w:type="dxa"/>
          </w:tcPr>
          <w:p w14:paraId="577114EE" w14:textId="6E9CBEB5" w:rsidR="00AA726B" w:rsidRPr="00E6110F" w:rsidRDefault="009F3A88" w:rsidP="00AA726B">
            <w:pPr>
              <w:pStyle w:val="Body"/>
            </w:pPr>
            <w:r w:rsidRPr="00E6110F">
              <w:t>100</w:t>
            </w:r>
          </w:p>
        </w:tc>
        <w:tc>
          <w:tcPr>
            <w:tcW w:w="3004" w:type="dxa"/>
          </w:tcPr>
          <w:p w14:paraId="20EDBE5A" w14:textId="701575ED" w:rsidR="009F3A88" w:rsidRPr="00E6110F" w:rsidRDefault="009F3A88" w:rsidP="009F3A88">
            <w:pPr>
              <w:spacing w:before="40" w:after="40"/>
              <w:rPr>
                <w:rFonts w:ascii="Calibri" w:hAnsi="Calibri" w:cs="Calibri"/>
                <w:color w:val="000000"/>
                <w:sz w:val="18"/>
                <w:szCs w:val="18"/>
                <w:lang w:val="en-GB"/>
              </w:rPr>
            </w:pPr>
            <w:r w:rsidRPr="00E6110F">
              <w:rPr>
                <w:rFonts w:ascii="Calibri" w:hAnsi="Calibri" w:cs="Calibri"/>
                <w:color w:val="000000"/>
                <w:sz w:val="18"/>
                <w:szCs w:val="18"/>
                <w:lang w:val="en-GB"/>
              </w:rPr>
              <w:t>Min: 530</w:t>
            </w:r>
            <w:r w:rsidR="00CD2A24">
              <w:rPr>
                <w:rFonts w:ascii="Calibri" w:hAnsi="Calibri" w:cs="Calibri"/>
                <w:color w:val="000000"/>
                <w:sz w:val="18"/>
                <w:szCs w:val="18"/>
                <w:lang w:val="en-GB"/>
              </w:rPr>
              <w:t>,</w:t>
            </w:r>
            <w:r w:rsidRPr="00E6110F">
              <w:rPr>
                <w:rFonts w:ascii="Calibri" w:hAnsi="Calibri" w:cs="Calibri"/>
                <w:color w:val="000000"/>
                <w:sz w:val="18"/>
                <w:szCs w:val="18"/>
                <w:lang w:val="en-GB"/>
              </w:rPr>
              <w:t>998</w:t>
            </w:r>
          </w:p>
          <w:p w14:paraId="5BAC3379" w14:textId="4AA35026" w:rsidR="009F3A88" w:rsidRPr="00E6110F" w:rsidRDefault="009F3A88" w:rsidP="009F3A88">
            <w:pPr>
              <w:spacing w:before="40" w:after="40"/>
              <w:rPr>
                <w:rFonts w:ascii="Calibri" w:hAnsi="Calibri" w:cs="Calibri"/>
                <w:color w:val="000000"/>
                <w:sz w:val="18"/>
                <w:szCs w:val="18"/>
                <w:lang w:val="en-GB"/>
              </w:rPr>
            </w:pPr>
            <w:r w:rsidRPr="00E6110F">
              <w:rPr>
                <w:rFonts w:ascii="Calibri" w:hAnsi="Calibri" w:cs="Calibri"/>
                <w:color w:val="000000"/>
                <w:sz w:val="18"/>
                <w:szCs w:val="18"/>
                <w:lang w:val="en-GB"/>
              </w:rPr>
              <w:t>Max: 13</w:t>
            </w:r>
            <w:r w:rsidR="00CD2A24">
              <w:rPr>
                <w:rFonts w:ascii="Calibri" w:hAnsi="Calibri" w:cs="Calibri"/>
                <w:color w:val="000000"/>
                <w:sz w:val="18"/>
                <w:szCs w:val="18"/>
                <w:lang w:val="en-GB"/>
              </w:rPr>
              <w:t>,</w:t>
            </w:r>
            <w:r w:rsidRPr="00E6110F">
              <w:rPr>
                <w:rFonts w:ascii="Calibri" w:hAnsi="Calibri" w:cs="Calibri"/>
                <w:color w:val="000000"/>
                <w:sz w:val="18"/>
                <w:szCs w:val="18"/>
                <w:lang w:val="en-GB"/>
              </w:rPr>
              <w:t>205</w:t>
            </w:r>
            <w:r w:rsidR="00CD2A24">
              <w:rPr>
                <w:rFonts w:ascii="Calibri" w:hAnsi="Calibri" w:cs="Calibri"/>
                <w:color w:val="000000"/>
                <w:sz w:val="18"/>
                <w:szCs w:val="18"/>
                <w:lang w:val="en-GB"/>
              </w:rPr>
              <w:t>,</w:t>
            </w:r>
            <w:r w:rsidRPr="00E6110F">
              <w:rPr>
                <w:rFonts w:ascii="Calibri" w:hAnsi="Calibri" w:cs="Calibri"/>
                <w:color w:val="000000"/>
                <w:sz w:val="18"/>
                <w:szCs w:val="18"/>
                <w:lang w:val="en-GB"/>
              </w:rPr>
              <w:t>108</w:t>
            </w:r>
          </w:p>
          <w:p w14:paraId="694839F1" w14:textId="66B55EF7" w:rsidR="00EF0173" w:rsidRDefault="009F3A88" w:rsidP="00EF0173">
            <w:pPr>
              <w:spacing w:before="40" w:after="40"/>
              <w:rPr>
                <w:rFonts w:ascii="Calibri" w:hAnsi="Calibri" w:cs="Calibri"/>
                <w:color w:val="000000"/>
                <w:sz w:val="18"/>
                <w:szCs w:val="18"/>
                <w:lang w:val="en-GB"/>
              </w:rPr>
            </w:pPr>
            <w:r w:rsidRPr="00E6110F">
              <w:rPr>
                <w:rFonts w:ascii="Calibri" w:hAnsi="Calibri" w:cs="Calibri"/>
                <w:color w:val="000000"/>
                <w:sz w:val="18"/>
                <w:szCs w:val="18"/>
                <w:lang w:val="en-GB"/>
              </w:rPr>
              <w:t>Mean: 4</w:t>
            </w:r>
            <w:r w:rsidR="00CD2A24">
              <w:rPr>
                <w:rFonts w:ascii="Calibri" w:hAnsi="Calibri" w:cs="Calibri"/>
                <w:color w:val="000000"/>
                <w:sz w:val="18"/>
                <w:szCs w:val="18"/>
                <w:lang w:val="en-GB"/>
              </w:rPr>
              <w:t>,</w:t>
            </w:r>
            <w:r w:rsidRPr="00E6110F">
              <w:rPr>
                <w:rFonts w:ascii="Calibri" w:hAnsi="Calibri" w:cs="Calibri"/>
                <w:color w:val="000000"/>
                <w:sz w:val="18"/>
                <w:szCs w:val="18"/>
                <w:lang w:val="en-GB"/>
              </w:rPr>
              <w:t>400</w:t>
            </w:r>
            <w:r w:rsidR="00CD2A24">
              <w:rPr>
                <w:rFonts w:ascii="Calibri" w:hAnsi="Calibri" w:cs="Calibri"/>
                <w:color w:val="000000"/>
                <w:sz w:val="18"/>
                <w:szCs w:val="18"/>
                <w:lang w:val="en-GB"/>
              </w:rPr>
              <w:t>,</w:t>
            </w:r>
            <w:r w:rsidRPr="00E6110F">
              <w:rPr>
                <w:rFonts w:ascii="Calibri" w:hAnsi="Calibri" w:cs="Calibri"/>
                <w:color w:val="000000"/>
                <w:sz w:val="18"/>
                <w:szCs w:val="18"/>
                <w:lang w:val="en-GB"/>
              </w:rPr>
              <w:t>192</w:t>
            </w:r>
          </w:p>
          <w:p w14:paraId="283CC621" w14:textId="0BA6C04B" w:rsidR="00AA726B" w:rsidRPr="00E6110F" w:rsidRDefault="009F3A88" w:rsidP="00CD2A24">
            <w:pPr>
              <w:spacing w:before="40" w:after="40"/>
            </w:pPr>
            <w:r w:rsidRPr="00EF0173">
              <w:rPr>
                <w:rFonts w:ascii="Calibri" w:hAnsi="Calibri" w:cs="Calibri"/>
                <w:color w:val="000000"/>
                <w:sz w:val="18"/>
                <w:szCs w:val="18"/>
                <w:lang w:val="en-GB"/>
              </w:rPr>
              <w:t>Stdev: 2</w:t>
            </w:r>
            <w:r w:rsidR="00CD2A24">
              <w:rPr>
                <w:rFonts w:ascii="Calibri" w:hAnsi="Calibri" w:cs="Calibri"/>
                <w:color w:val="000000"/>
                <w:sz w:val="18"/>
                <w:szCs w:val="18"/>
                <w:lang w:val="en-GB"/>
              </w:rPr>
              <w:t>,</w:t>
            </w:r>
            <w:r w:rsidRPr="00EF0173">
              <w:rPr>
                <w:rFonts w:ascii="Calibri" w:hAnsi="Calibri" w:cs="Calibri"/>
                <w:color w:val="000000"/>
                <w:sz w:val="18"/>
                <w:szCs w:val="18"/>
                <w:lang w:val="en-GB"/>
              </w:rPr>
              <w:t>178</w:t>
            </w:r>
            <w:r w:rsidR="00CD2A24">
              <w:rPr>
                <w:rFonts w:ascii="Calibri" w:hAnsi="Calibri" w:cs="Calibri"/>
                <w:color w:val="000000"/>
                <w:sz w:val="18"/>
                <w:szCs w:val="18"/>
                <w:lang w:val="en-GB"/>
              </w:rPr>
              <w:t>,</w:t>
            </w:r>
            <w:r w:rsidRPr="00EF0173">
              <w:rPr>
                <w:rFonts w:ascii="Calibri" w:hAnsi="Calibri" w:cs="Calibri"/>
                <w:color w:val="000000"/>
                <w:sz w:val="18"/>
                <w:szCs w:val="18"/>
                <w:lang w:val="en-GB"/>
              </w:rPr>
              <w:t>058</w:t>
            </w:r>
          </w:p>
        </w:tc>
      </w:tr>
    </w:tbl>
    <w:p w14:paraId="184D436C" w14:textId="77777777" w:rsidR="00500697" w:rsidRDefault="00500697" w:rsidP="00AA726B">
      <w:pPr>
        <w:pStyle w:val="Body"/>
      </w:pPr>
    </w:p>
    <w:p w14:paraId="70B924E3" w14:textId="3FE43F53" w:rsidR="00A80942" w:rsidRDefault="00A80942" w:rsidP="00AA726B">
      <w:pPr>
        <w:pStyle w:val="Body"/>
      </w:pPr>
      <w:r>
        <w:t xml:space="preserve">An alternative representation of the </w:t>
      </w:r>
      <w:r w:rsidR="00AD5C91">
        <w:t xml:space="preserve">results from the </w:t>
      </w:r>
      <w:r>
        <w:t xml:space="preserve">particle tracking calculations is given in </w:t>
      </w:r>
      <w:r>
        <w:fldChar w:fldCharType="begin" w:fldLock="1"/>
      </w:r>
      <w:r>
        <w:instrText xml:space="preserve"> REF _Ref454474555 \h </w:instrText>
      </w:r>
      <w:r>
        <w:fldChar w:fldCharType="separate"/>
      </w:r>
      <w:r w:rsidR="00335E79" w:rsidRPr="00E6110F">
        <w:t xml:space="preserve">Figure </w:t>
      </w:r>
      <w:r w:rsidR="00335E79">
        <w:rPr>
          <w:noProof/>
        </w:rPr>
        <w:t>2</w:t>
      </w:r>
      <w:r w:rsidR="00335E79">
        <w:noBreakHyphen/>
      </w:r>
      <w:r w:rsidR="00335E79">
        <w:rPr>
          <w:noProof/>
        </w:rPr>
        <w:t>52</w:t>
      </w:r>
      <w:r>
        <w:fldChar w:fldCharType="end"/>
      </w:r>
      <w:r>
        <w:t xml:space="preserve"> and </w:t>
      </w:r>
      <w:r>
        <w:fldChar w:fldCharType="begin" w:fldLock="1"/>
      </w:r>
      <w:r>
        <w:instrText xml:space="preserve"> REF _Ref454474557 \h </w:instrText>
      </w:r>
      <w:r>
        <w:fldChar w:fldCharType="separate"/>
      </w:r>
      <w:r w:rsidR="00335E79" w:rsidRPr="00E6110F">
        <w:t xml:space="preserve">Figure </w:t>
      </w:r>
      <w:r w:rsidR="00335E79">
        <w:rPr>
          <w:noProof/>
        </w:rPr>
        <w:t>2</w:t>
      </w:r>
      <w:r w:rsidR="00335E79">
        <w:noBreakHyphen/>
      </w:r>
      <w:r w:rsidR="00335E79">
        <w:rPr>
          <w:noProof/>
        </w:rPr>
        <w:t>53</w:t>
      </w:r>
      <w:r>
        <w:fldChar w:fldCharType="end"/>
      </w:r>
      <w:r>
        <w:t>. These plots show the time the particles reside in the different formations.</w:t>
      </w:r>
      <w:r w:rsidR="007D2721">
        <w:t xml:space="preserve"> </w:t>
      </w:r>
      <w:r w:rsidR="001E5D1F">
        <w:t xml:space="preserve">Particles released in the Maules Creek coal formations travel across the Permian aquitard formations, albeit very slowly. </w:t>
      </w:r>
      <w:r w:rsidR="00BE6B86">
        <w:t>They generally end up in the Alluvium after having travelled through the Pilliga Sandstone.</w:t>
      </w:r>
      <w:r w:rsidR="00393023">
        <w:t xml:space="preserve"> Travel times </w:t>
      </w:r>
      <w:r w:rsidR="00372D18">
        <w:t>into the Namoi Alluvi</w:t>
      </w:r>
      <w:r w:rsidR="0053591E">
        <w:t>u</w:t>
      </w:r>
      <w:r w:rsidR="00372D18">
        <w:t xml:space="preserve">m </w:t>
      </w:r>
      <w:r w:rsidR="00393023">
        <w:t>are extremely long, on average more than 4 million years</w:t>
      </w:r>
      <w:r w:rsidR="00372D18">
        <w:t xml:space="preserve"> </w:t>
      </w:r>
      <w:r w:rsidR="00393023">
        <w:t>(</w:t>
      </w:r>
      <w:r w:rsidR="00393023">
        <w:fldChar w:fldCharType="begin" w:fldLock="1"/>
      </w:r>
      <w:r w:rsidR="00393023">
        <w:instrText xml:space="preserve"> REF _Ref454474800 \h  \* MERGEFORMAT </w:instrText>
      </w:r>
      <w:r w:rsidR="00393023">
        <w:fldChar w:fldCharType="separate"/>
      </w:r>
      <w:r w:rsidR="00335E79" w:rsidRPr="00DA539C">
        <w:t xml:space="preserve">Table </w:t>
      </w:r>
      <w:r w:rsidR="00335E79">
        <w:t>2</w:t>
      </w:r>
      <w:r w:rsidR="00335E79">
        <w:noBreakHyphen/>
        <w:t>21</w:t>
      </w:r>
      <w:r w:rsidR="00393023">
        <w:fldChar w:fldCharType="end"/>
      </w:r>
      <w:r w:rsidR="00393023">
        <w:t xml:space="preserve">); this is due to the </w:t>
      </w:r>
      <w:r w:rsidR="00372D18">
        <w:t xml:space="preserve">very </w:t>
      </w:r>
      <w:r w:rsidR="00393023">
        <w:t>long particle residency time within the aquitards</w:t>
      </w:r>
      <w:r w:rsidR="00372D18">
        <w:t xml:space="preserve"> (because the flow velocity across such aquitards is nearly zero, chemical transport is by diffusion, see e.g. Smith et al. 2016)</w:t>
      </w:r>
      <w:r w:rsidR="00393023">
        <w:t xml:space="preserve">. </w:t>
      </w:r>
      <w:r w:rsidR="00EF0173">
        <w:t>Travel time and distance statistics for the</w:t>
      </w:r>
      <w:r w:rsidR="004B3E5A">
        <w:t xml:space="preserve"> </w:t>
      </w:r>
      <w:r w:rsidR="009D6CDE" w:rsidRPr="009D6CDE">
        <w:t>same particles as they passed through</w:t>
      </w:r>
      <w:r w:rsidR="004B3E5A">
        <w:t xml:space="preserve"> the</w:t>
      </w:r>
      <w:r w:rsidR="00EF0173">
        <w:t xml:space="preserve"> Maules Creek Formation are provided in </w:t>
      </w:r>
      <w:r w:rsidR="00EF0173">
        <w:fldChar w:fldCharType="begin" w:fldLock="1"/>
      </w:r>
      <w:r w:rsidR="00EF0173">
        <w:instrText xml:space="preserve"> REF _Ref467858280 \h  \* MERGEFORMAT </w:instrText>
      </w:r>
      <w:r w:rsidR="00EF0173">
        <w:fldChar w:fldCharType="separate"/>
      </w:r>
      <w:r w:rsidR="00335E79" w:rsidRPr="00DA539C">
        <w:t xml:space="preserve">Table </w:t>
      </w:r>
      <w:r w:rsidR="00335E79">
        <w:t>2</w:t>
      </w:r>
      <w:r w:rsidR="00335E79">
        <w:noBreakHyphen/>
        <w:t>22</w:t>
      </w:r>
      <w:r w:rsidR="00EF0173">
        <w:fldChar w:fldCharType="end"/>
      </w:r>
      <w:r w:rsidR="00EF0173">
        <w:t>.</w:t>
      </w:r>
      <w:r w:rsidR="009D6CDE">
        <w:t xml:space="preserve"> </w:t>
      </w:r>
      <w:r w:rsidR="009D6CDE" w:rsidRPr="009D6CDE">
        <w:t>It should be noted that the average time spent travelling through the Maules Creek Formation by a particle was less than one percent of the average total travel time.</w:t>
      </w:r>
    </w:p>
    <w:p w14:paraId="4F0334AC" w14:textId="77777777" w:rsidR="00EF0173" w:rsidRDefault="00EF0173" w:rsidP="00AA726B">
      <w:pPr>
        <w:pStyle w:val="Body"/>
      </w:pPr>
    </w:p>
    <w:p w14:paraId="5DF4C34F" w14:textId="6A153E60" w:rsidR="00EF0173" w:rsidRPr="00DA539C" w:rsidRDefault="00EF0173" w:rsidP="00DA539C">
      <w:pPr>
        <w:pStyle w:val="Imagecaption"/>
        <w:keepNext/>
        <w:pBdr>
          <w:top w:val="none" w:sz="0" w:space="0" w:color="auto"/>
        </w:pBdr>
      </w:pPr>
      <w:bookmarkStart w:id="274" w:name="_Ref467858280"/>
      <w:bookmarkStart w:id="275" w:name="_Toc494444712"/>
      <w:r w:rsidRPr="00DA539C">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22</w:t>
      </w:r>
      <w:r w:rsidR="00470577">
        <w:fldChar w:fldCharType="end"/>
      </w:r>
      <w:bookmarkEnd w:id="274"/>
      <w:r w:rsidRPr="00DA539C">
        <w:t xml:space="preserve">  Particle tracking travel time and distance statistics for particle pathways within the Maules Creek Coal.</w:t>
      </w:r>
      <w:bookmarkEnd w:id="275"/>
    </w:p>
    <w:tbl>
      <w:tblPr>
        <w:tblStyle w:val="TableGrid"/>
        <w:tblW w:w="0" w:type="auto"/>
        <w:tblLook w:val="04A0" w:firstRow="1" w:lastRow="0" w:firstColumn="1" w:lastColumn="0" w:noHBand="0" w:noVBand="1"/>
      </w:tblPr>
      <w:tblGrid>
        <w:gridCol w:w="3003"/>
        <w:gridCol w:w="3003"/>
        <w:gridCol w:w="3004"/>
      </w:tblGrid>
      <w:tr w:rsidR="00EF0173" w:rsidRPr="00E6110F" w14:paraId="436DE947" w14:textId="77777777" w:rsidTr="00EF0173">
        <w:tc>
          <w:tcPr>
            <w:tcW w:w="3003" w:type="dxa"/>
            <w:shd w:val="clear" w:color="auto" w:fill="F2F2F2" w:themeFill="background1" w:themeFillShade="F2"/>
          </w:tcPr>
          <w:p w14:paraId="11F5A224" w14:textId="209DBB20" w:rsidR="00EF0173" w:rsidRPr="00E6110F" w:rsidRDefault="009D6CDE" w:rsidP="009D6CDE">
            <w:pPr>
              <w:pStyle w:val="Body"/>
            </w:pPr>
            <w:r>
              <w:t>P</w:t>
            </w:r>
            <w:r w:rsidR="00EF0173" w:rsidRPr="00E6110F">
              <w:t>article tracking formation</w:t>
            </w:r>
          </w:p>
        </w:tc>
        <w:tc>
          <w:tcPr>
            <w:tcW w:w="3003" w:type="dxa"/>
            <w:shd w:val="clear" w:color="auto" w:fill="F2F2F2" w:themeFill="background1" w:themeFillShade="F2"/>
          </w:tcPr>
          <w:p w14:paraId="1759FCE6" w14:textId="6AE9C513" w:rsidR="00EF0173" w:rsidRPr="00E6110F" w:rsidRDefault="00EF0173" w:rsidP="00EF0173">
            <w:pPr>
              <w:pStyle w:val="Body"/>
            </w:pPr>
            <w:r>
              <w:t>Travel time statistics (year)</w:t>
            </w:r>
          </w:p>
        </w:tc>
        <w:tc>
          <w:tcPr>
            <w:tcW w:w="3004" w:type="dxa"/>
            <w:shd w:val="clear" w:color="auto" w:fill="F2F2F2" w:themeFill="background1" w:themeFillShade="F2"/>
          </w:tcPr>
          <w:p w14:paraId="7247B168" w14:textId="0E338E61" w:rsidR="00EF0173" w:rsidRPr="00E6110F" w:rsidRDefault="00EF0173" w:rsidP="00EF0173">
            <w:pPr>
              <w:pStyle w:val="Body"/>
            </w:pPr>
            <w:r>
              <w:t>Travel distance</w:t>
            </w:r>
            <w:r w:rsidRPr="00E6110F">
              <w:t xml:space="preserve"> statistics (</w:t>
            </w:r>
            <w:r>
              <w:t>km</w:t>
            </w:r>
            <w:r w:rsidRPr="00E6110F">
              <w:t>)</w:t>
            </w:r>
          </w:p>
        </w:tc>
      </w:tr>
      <w:tr w:rsidR="00EF0173" w:rsidRPr="00E6110F" w14:paraId="41390DC6" w14:textId="77777777" w:rsidTr="00EF0173">
        <w:tc>
          <w:tcPr>
            <w:tcW w:w="3003" w:type="dxa"/>
          </w:tcPr>
          <w:p w14:paraId="6A9B246E" w14:textId="2BC60314" w:rsidR="00EF0173" w:rsidRPr="00E6110F" w:rsidRDefault="00EF0173" w:rsidP="00EF0173">
            <w:pPr>
              <w:pStyle w:val="Body"/>
            </w:pPr>
            <w:r>
              <w:t>Maules Creek</w:t>
            </w:r>
          </w:p>
        </w:tc>
        <w:tc>
          <w:tcPr>
            <w:tcW w:w="3003" w:type="dxa"/>
          </w:tcPr>
          <w:p w14:paraId="642FC702" w14:textId="2EF51C9B" w:rsidR="00EF0173" w:rsidRPr="00E6110F" w:rsidRDefault="00EF0173" w:rsidP="00EF0173">
            <w:pPr>
              <w:spacing w:before="40" w:after="40"/>
              <w:rPr>
                <w:rFonts w:ascii="Calibri" w:hAnsi="Calibri" w:cs="Calibri"/>
                <w:color w:val="000000"/>
                <w:sz w:val="18"/>
                <w:szCs w:val="18"/>
                <w:lang w:val="en-GB"/>
              </w:rPr>
            </w:pPr>
            <w:r>
              <w:rPr>
                <w:rFonts w:ascii="Calibri" w:hAnsi="Calibri" w:cs="Calibri"/>
                <w:color w:val="000000"/>
                <w:sz w:val="18"/>
                <w:szCs w:val="18"/>
                <w:lang w:val="en-GB"/>
              </w:rPr>
              <w:t xml:space="preserve">Min: 396 </w:t>
            </w:r>
          </w:p>
          <w:p w14:paraId="17F277B6" w14:textId="172BBE10" w:rsidR="00EF0173" w:rsidRPr="00E6110F" w:rsidRDefault="00EF0173" w:rsidP="00EF0173">
            <w:pPr>
              <w:spacing w:before="40" w:after="40"/>
              <w:rPr>
                <w:rFonts w:ascii="Calibri" w:hAnsi="Calibri" w:cs="Calibri"/>
                <w:color w:val="000000"/>
                <w:sz w:val="18"/>
                <w:szCs w:val="18"/>
                <w:lang w:val="en-GB"/>
              </w:rPr>
            </w:pPr>
            <w:r>
              <w:rPr>
                <w:rFonts w:ascii="Calibri" w:hAnsi="Calibri" w:cs="Calibri"/>
                <w:color w:val="000000"/>
                <w:sz w:val="18"/>
                <w:szCs w:val="18"/>
                <w:lang w:val="en-GB"/>
              </w:rPr>
              <w:t>Max: 9</w:t>
            </w:r>
            <w:r w:rsidR="00CD2A24">
              <w:rPr>
                <w:rFonts w:ascii="Calibri" w:hAnsi="Calibri" w:cs="Calibri"/>
                <w:color w:val="000000"/>
                <w:sz w:val="18"/>
                <w:szCs w:val="18"/>
                <w:lang w:val="en-GB"/>
              </w:rPr>
              <w:t>,</w:t>
            </w:r>
            <w:r>
              <w:rPr>
                <w:rFonts w:ascii="Calibri" w:hAnsi="Calibri" w:cs="Calibri"/>
                <w:color w:val="000000"/>
                <w:sz w:val="18"/>
                <w:szCs w:val="18"/>
                <w:lang w:val="en-GB"/>
              </w:rPr>
              <w:t>593</w:t>
            </w:r>
          </w:p>
          <w:p w14:paraId="4BE74EBE" w14:textId="042723DD" w:rsidR="00EF0173" w:rsidRPr="00E6110F" w:rsidRDefault="00EF0173" w:rsidP="00EF0173">
            <w:pPr>
              <w:spacing w:before="40" w:after="40"/>
              <w:rPr>
                <w:rFonts w:ascii="Calibri" w:hAnsi="Calibri" w:cs="Calibri"/>
                <w:color w:val="000000"/>
                <w:sz w:val="18"/>
                <w:szCs w:val="18"/>
                <w:lang w:val="en-GB"/>
              </w:rPr>
            </w:pPr>
            <w:r>
              <w:rPr>
                <w:rFonts w:ascii="Calibri" w:hAnsi="Calibri" w:cs="Calibri"/>
                <w:color w:val="000000"/>
                <w:sz w:val="18"/>
                <w:szCs w:val="18"/>
                <w:lang w:val="en-GB"/>
              </w:rPr>
              <w:t>Mean: 3</w:t>
            </w:r>
            <w:r w:rsidR="00CD2A24">
              <w:rPr>
                <w:rFonts w:ascii="Calibri" w:hAnsi="Calibri" w:cs="Calibri"/>
                <w:color w:val="000000"/>
                <w:sz w:val="18"/>
                <w:szCs w:val="18"/>
                <w:lang w:val="en-GB"/>
              </w:rPr>
              <w:t>,</w:t>
            </w:r>
            <w:r>
              <w:rPr>
                <w:rFonts w:ascii="Calibri" w:hAnsi="Calibri" w:cs="Calibri"/>
                <w:color w:val="000000"/>
                <w:sz w:val="18"/>
                <w:szCs w:val="18"/>
                <w:lang w:val="en-GB"/>
              </w:rPr>
              <w:t>629</w:t>
            </w:r>
          </w:p>
          <w:p w14:paraId="5CD16F6B" w14:textId="6C9783AA" w:rsidR="00EF0173" w:rsidRPr="00E6110F" w:rsidRDefault="00EF0173" w:rsidP="00EF0173">
            <w:pPr>
              <w:pStyle w:val="Body"/>
            </w:pPr>
            <w:r>
              <w:t>Stdev: 2</w:t>
            </w:r>
            <w:r w:rsidR="00CD2A24">
              <w:t>,</w:t>
            </w:r>
            <w:r>
              <w:t>132</w:t>
            </w:r>
          </w:p>
        </w:tc>
        <w:tc>
          <w:tcPr>
            <w:tcW w:w="3004" w:type="dxa"/>
          </w:tcPr>
          <w:p w14:paraId="69AC4571" w14:textId="7D9C9F27" w:rsidR="00EF0173" w:rsidRPr="00E6110F" w:rsidRDefault="00EF0173" w:rsidP="00EF0173">
            <w:pPr>
              <w:spacing w:before="40" w:after="40"/>
              <w:rPr>
                <w:rFonts w:ascii="Calibri" w:hAnsi="Calibri" w:cs="Calibri"/>
                <w:color w:val="000000"/>
                <w:sz w:val="18"/>
                <w:szCs w:val="18"/>
                <w:lang w:val="en-GB"/>
              </w:rPr>
            </w:pPr>
            <w:r>
              <w:rPr>
                <w:rFonts w:ascii="Calibri" w:hAnsi="Calibri" w:cs="Calibri"/>
                <w:color w:val="000000"/>
                <w:sz w:val="18"/>
                <w:szCs w:val="18"/>
                <w:lang w:val="en-GB"/>
              </w:rPr>
              <w:t>Min: 0.11</w:t>
            </w:r>
          </w:p>
          <w:p w14:paraId="10F0FDA2" w14:textId="7C92966C" w:rsidR="00EF0173" w:rsidRPr="00E6110F" w:rsidRDefault="00EF0173" w:rsidP="00EF0173">
            <w:pPr>
              <w:spacing w:before="40" w:after="40"/>
              <w:rPr>
                <w:rFonts w:ascii="Calibri" w:hAnsi="Calibri" w:cs="Calibri"/>
                <w:color w:val="000000"/>
                <w:sz w:val="18"/>
                <w:szCs w:val="18"/>
                <w:lang w:val="en-GB"/>
              </w:rPr>
            </w:pPr>
            <w:r>
              <w:rPr>
                <w:rFonts w:ascii="Calibri" w:hAnsi="Calibri" w:cs="Calibri"/>
                <w:color w:val="000000"/>
                <w:sz w:val="18"/>
                <w:szCs w:val="18"/>
                <w:lang w:val="en-GB"/>
              </w:rPr>
              <w:t>Max: 32</w:t>
            </w:r>
          </w:p>
          <w:p w14:paraId="083EF3D1" w14:textId="1EA1A5CC" w:rsidR="00EF0173" w:rsidRPr="00E6110F" w:rsidRDefault="00EF0173" w:rsidP="00EF0173">
            <w:pPr>
              <w:spacing w:before="40" w:after="40"/>
              <w:rPr>
                <w:rFonts w:ascii="Calibri" w:hAnsi="Calibri" w:cs="Calibri"/>
                <w:color w:val="000000"/>
                <w:sz w:val="18"/>
                <w:szCs w:val="18"/>
                <w:lang w:val="en-GB"/>
              </w:rPr>
            </w:pPr>
            <w:r>
              <w:rPr>
                <w:rFonts w:ascii="Calibri" w:hAnsi="Calibri" w:cs="Calibri"/>
                <w:color w:val="000000"/>
                <w:sz w:val="18"/>
                <w:szCs w:val="18"/>
                <w:lang w:val="en-GB"/>
              </w:rPr>
              <w:t>Mean: 10</w:t>
            </w:r>
          </w:p>
          <w:p w14:paraId="721C42BC" w14:textId="3A6240A0" w:rsidR="00EF0173" w:rsidRPr="00E6110F" w:rsidRDefault="00EF0173" w:rsidP="00EF0173">
            <w:pPr>
              <w:pStyle w:val="Body"/>
            </w:pPr>
            <w:r>
              <w:t>Stdev: 5.96</w:t>
            </w:r>
          </w:p>
        </w:tc>
      </w:tr>
    </w:tbl>
    <w:p w14:paraId="223C3439" w14:textId="77777777" w:rsidR="00EF0173" w:rsidRPr="00E6110F" w:rsidRDefault="00EF0173" w:rsidP="00AA726B">
      <w:pPr>
        <w:pStyle w:val="Body"/>
      </w:pPr>
    </w:p>
    <w:p w14:paraId="3ABA72B2" w14:textId="77777777" w:rsidR="00712955" w:rsidRPr="00E6110F" w:rsidRDefault="00712955" w:rsidP="00AA726B">
      <w:pPr>
        <w:pStyle w:val="Body"/>
      </w:pPr>
      <w:r w:rsidRPr="00E6110F">
        <w:rPr>
          <w:noProof/>
          <w:lang w:val="en-AU" w:eastAsia="en-AU"/>
        </w:rPr>
        <w:drawing>
          <wp:inline distT="0" distB="0" distL="0" distR="0" wp14:anchorId="1E773251" wp14:editId="53F39552">
            <wp:extent cx="5709920" cy="7563391"/>
            <wp:effectExtent l="0" t="0" r="5080" b="0"/>
            <wp:docPr id="59" name="Picture 59" descr="Charts of Hydrostratigraphic units encountered in particle tracking model, when released in Maules Creek Formation." title="Fig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713863" cy="7568613"/>
                    </a:xfrm>
                    <a:prstGeom prst="rect">
                      <a:avLst/>
                    </a:prstGeom>
                    <a:noFill/>
                    <a:ln>
                      <a:noFill/>
                    </a:ln>
                  </pic:spPr>
                </pic:pic>
              </a:graphicData>
            </a:graphic>
          </wp:inline>
        </w:drawing>
      </w:r>
    </w:p>
    <w:p w14:paraId="5B50D009" w14:textId="353D3A84" w:rsidR="004026DE" w:rsidRPr="00E6110F" w:rsidRDefault="00712955" w:rsidP="00712955">
      <w:pPr>
        <w:pStyle w:val="Imagecaption"/>
      </w:pPr>
      <w:bookmarkStart w:id="276" w:name="_Ref454474555"/>
      <w:bookmarkStart w:id="277" w:name="_Toc477347584"/>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52</w:t>
      </w:r>
      <w:r w:rsidR="00254026">
        <w:fldChar w:fldCharType="end"/>
      </w:r>
      <w:bookmarkEnd w:id="276"/>
      <w:r w:rsidRPr="00E6110F">
        <w:t xml:space="preserve"> </w:t>
      </w:r>
      <w:r w:rsidR="000F50C9">
        <w:t>Hydrostratigraphic units</w:t>
      </w:r>
      <w:r w:rsidR="000F50C9" w:rsidRPr="00E6110F">
        <w:t xml:space="preserve"> </w:t>
      </w:r>
      <w:r w:rsidRPr="00E6110F">
        <w:t>encountered during particle tracking for particles released in Maules Creek (top: particles for wells 1 to 200; bottom</w:t>
      </w:r>
      <w:r w:rsidR="003C540F" w:rsidRPr="00E6110F">
        <w:t>: particles for wells 201 to 425</w:t>
      </w:r>
      <w:r w:rsidRPr="00E6110F">
        <w:t>).</w:t>
      </w:r>
      <w:r w:rsidR="00AD5C91">
        <w:t xml:space="preserve"> The bottom graph has units of 10</w:t>
      </w:r>
      <w:r w:rsidR="00AD5C91" w:rsidRPr="00AD5C91">
        <w:rPr>
          <w:vertAlign w:val="superscript"/>
        </w:rPr>
        <w:t>7</w:t>
      </w:r>
      <w:r w:rsidR="00AD5C91">
        <w:t xml:space="preserve"> years.</w:t>
      </w:r>
      <w:bookmarkEnd w:id="277"/>
    </w:p>
    <w:p w14:paraId="6BF8E9B8" w14:textId="77777777" w:rsidR="004026DE" w:rsidRPr="00E6110F" w:rsidRDefault="004026DE" w:rsidP="00136201">
      <w:pPr>
        <w:pStyle w:val="Body"/>
      </w:pPr>
      <w:r w:rsidRPr="00E6110F">
        <w:rPr>
          <w:noProof/>
          <w:lang w:val="en-AU" w:eastAsia="en-AU"/>
        </w:rPr>
        <w:drawing>
          <wp:inline distT="0" distB="0" distL="0" distR="0" wp14:anchorId="4E057281" wp14:editId="30E8DD63">
            <wp:extent cx="5628640" cy="7610303"/>
            <wp:effectExtent l="0" t="0" r="0" b="0"/>
            <wp:docPr id="70" name="Picture 70" descr="Charts of Hydrostratigraphic units encountered in particle tracking model, when released in Pilliga Sandstone." title="Fig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632638" cy="7615708"/>
                    </a:xfrm>
                    <a:prstGeom prst="rect">
                      <a:avLst/>
                    </a:prstGeom>
                    <a:noFill/>
                    <a:ln>
                      <a:noFill/>
                    </a:ln>
                  </pic:spPr>
                </pic:pic>
              </a:graphicData>
            </a:graphic>
          </wp:inline>
        </w:drawing>
      </w:r>
    </w:p>
    <w:p w14:paraId="7926C70E" w14:textId="53EA243A" w:rsidR="0095534B" w:rsidRPr="00E6110F" w:rsidRDefault="004026DE" w:rsidP="004026DE">
      <w:pPr>
        <w:pStyle w:val="Imagecaption"/>
        <w:rPr>
          <w:rFonts w:ascii="Calibri-Bold" w:hAnsi="Calibri-Bold" w:cs="Calibri-Bold"/>
          <w:color w:val="486886"/>
          <w:sz w:val="22"/>
          <w:szCs w:val="22"/>
        </w:rPr>
      </w:pPr>
      <w:bookmarkStart w:id="278" w:name="_Ref454474557"/>
      <w:bookmarkStart w:id="279" w:name="_Toc477347585"/>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53</w:t>
      </w:r>
      <w:r w:rsidR="00254026">
        <w:fldChar w:fldCharType="end"/>
      </w:r>
      <w:bookmarkEnd w:id="278"/>
      <w:r w:rsidRPr="00E6110F">
        <w:t xml:space="preserve"> </w:t>
      </w:r>
      <w:r w:rsidR="000F50C9">
        <w:t>Hydrostratigraphic units</w:t>
      </w:r>
      <w:r w:rsidRPr="00E6110F">
        <w:t xml:space="preserve"> encountered during particle tracking for particles released in Pilliga Sandstone (top: particles for wells 1 to 200; bottom: particles for wells 201 to 425).</w:t>
      </w:r>
      <w:bookmarkEnd w:id="279"/>
      <w:r w:rsidR="0095534B" w:rsidRPr="00E6110F">
        <w:br w:type="page"/>
      </w:r>
    </w:p>
    <w:p w14:paraId="2C805B52" w14:textId="4D98C768" w:rsidR="0087378B" w:rsidRPr="00E6110F" w:rsidRDefault="0087378B" w:rsidP="0086713F">
      <w:pPr>
        <w:pStyle w:val="Heading3"/>
        <w:numPr>
          <w:ilvl w:val="4"/>
          <w:numId w:val="1"/>
        </w:numPr>
      </w:pPr>
      <w:bookmarkStart w:id="280" w:name="_Ref458327498"/>
      <w:bookmarkStart w:id="281" w:name="_Ref458329186"/>
      <w:bookmarkStart w:id="282" w:name="_Toc494444539"/>
      <w:r w:rsidRPr="00E6110F">
        <w:t xml:space="preserve">Hydraulic fracturing </w:t>
      </w:r>
      <w:r w:rsidR="0086713F" w:rsidRPr="00E6110F">
        <w:t>induced pathways</w:t>
      </w:r>
      <w:bookmarkEnd w:id="280"/>
      <w:bookmarkEnd w:id="281"/>
      <w:bookmarkEnd w:id="282"/>
    </w:p>
    <w:p w14:paraId="12EFBD79" w14:textId="71641F58" w:rsidR="00E74220" w:rsidRPr="00E6110F" w:rsidRDefault="00E74220" w:rsidP="00E74220">
      <w:pPr>
        <w:pStyle w:val="Body"/>
      </w:pPr>
      <w:r>
        <w:t xml:space="preserve">In this section particle tracking analyses are undertaken under the assumption that due to hydraulic fracturing additional pathways have been generated that connect the hydraulically stimulated coal formations with overlying aquifers. </w:t>
      </w:r>
      <w:r w:rsidRPr="00E6110F">
        <w:t xml:space="preserve">Note that </w:t>
      </w:r>
      <w:r w:rsidRPr="00480DFC">
        <w:t xml:space="preserve">the model was not constructed in a way that allows </w:t>
      </w:r>
      <w:r w:rsidR="00764473">
        <w:t xml:space="preserve">modelling the </w:t>
      </w:r>
      <w:r w:rsidRPr="00480DFC">
        <w:t xml:space="preserve">release </w:t>
      </w:r>
      <w:r w:rsidR="00764473">
        <w:t xml:space="preserve">of particles </w:t>
      </w:r>
      <w:r w:rsidRPr="00480DFC">
        <w:t xml:space="preserve">from target coal measures </w:t>
      </w:r>
      <w:r w:rsidR="00764473">
        <w:t>in</w:t>
      </w:r>
      <w:r w:rsidRPr="00480DFC">
        <w:t xml:space="preserve">to </w:t>
      </w:r>
      <w:r w:rsidR="00764473">
        <w:t>the overlying aquifers</w:t>
      </w:r>
      <w:r w:rsidRPr="00480DFC">
        <w:t xml:space="preserve">. </w:t>
      </w:r>
      <w:r w:rsidR="00764473">
        <w:t>Rather a</w:t>
      </w:r>
      <w:r w:rsidRPr="00480DFC">
        <w:t xml:space="preserve"> connection pathway had to be assumed within the model and particle</w:t>
      </w:r>
      <w:r>
        <w:t xml:space="preserve">s manually "released" into </w:t>
      </w:r>
      <w:r w:rsidRPr="00480DFC">
        <w:t>the bottom of the overlying aquitard where the flow pathway is assumed to connect with the aquitard</w:t>
      </w:r>
      <w:r w:rsidR="00702CCC">
        <w:t xml:space="preserve"> (also see the discussion in </w:t>
      </w:r>
      <w:r w:rsidR="00384DFA">
        <w:t xml:space="preserve">Section </w:t>
      </w:r>
      <w:r w:rsidR="00702CCC">
        <w:fldChar w:fldCharType="begin" w:fldLock="1"/>
      </w:r>
      <w:r w:rsidR="00702CCC">
        <w:instrText xml:space="preserve"> REF _Ref458329775 \r \h </w:instrText>
      </w:r>
      <w:r w:rsidR="00702CCC">
        <w:fldChar w:fldCharType="separate"/>
      </w:r>
      <w:r w:rsidR="00335E79">
        <w:t>2.6.3.2</w:t>
      </w:r>
      <w:r w:rsidR="00702CCC">
        <w:fldChar w:fldCharType="end"/>
      </w:r>
      <w:r w:rsidR="00702CCC">
        <w:t>)</w:t>
      </w:r>
      <w:r w:rsidRPr="00480DFC">
        <w:t xml:space="preserve">. </w:t>
      </w:r>
      <w:r w:rsidRPr="00E6110F">
        <w:t xml:space="preserve">The conditions under which </w:t>
      </w:r>
      <w:r>
        <w:t>such connections can potentially exist</w:t>
      </w:r>
      <w:r w:rsidRPr="00E6110F">
        <w:t xml:space="preserve"> </w:t>
      </w:r>
      <w:r>
        <w:t xml:space="preserve">are discussed </w:t>
      </w:r>
      <w:r w:rsidRPr="00E6110F">
        <w:t xml:space="preserve">in section </w:t>
      </w:r>
      <w:r w:rsidRPr="00E6110F">
        <w:fldChar w:fldCharType="begin" w:fldLock="1"/>
      </w:r>
      <w:r w:rsidRPr="00E6110F">
        <w:instrText xml:space="preserve"> REF _Ref446708098 \r \h </w:instrText>
      </w:r>
      <w:r>
        <w:instrText xml:space="preserve"> \* MERGEFORMAT </w:instrText>
      </w:r>
      <w:r w:rsidRPr="00E6110F">
        <w:fldChar w:fldCharType="separate"/>
      </w:r>
      <w:r w:rsidR="00335E79">
        <w:t>2.3</w:t>
      </w:r>
      <w:r w:rsidRPr="00E6110F">
        <w:fldChar w:fldCharType="end"/>
      </w:r>
      <w:r w:rsidRPr="00E6110F">
        <w:t>.</w:t>
      </w:r>
    </w:p>
    <w:p w14:paraId="188C493B" w14:textId="37D17094" w:rsidR="00F258D9" w:rsidRDefault="00B65AA7" w:rsidP="00F258D9">
      <w:pPr>
        <w:pStyle w:val="Body"/>
      </w:pPr>
      <w:r>
        <w:t xml:space="preserve">Calculated pathways for particles released in the Pilliga Sandstone are shown in </w:t>
      </w:r>
      <w:r>
        <w:fldChar w:fldCharType="begin" w:fldLock="1"/>
      </w:r>
      <w:r>
        <w:instrText xml:space="preserve"> REF _Ref446092785 \h </w:instrText>
      </w:r>
      <w:r>
        <w:fldChar w:fldCharType="separate"/>
      </w:r>
      <w:r w:rsidR="00335E79" w:rsidRPr="00E6110F">
        <w:t xml:space="preserve">Figure </w:t>
      </w:r>
      <w:r w:rsidR="00335E79">
        <w:rPr>
          <w:noProof/>
        </w:rPr>
        <w:t>2</w:t>
      </w:r>
      <w:r w:rsidR="00335E79">
        <w:noBreakHyphen/>
      </w:r>
      <w:r w:rsidR="00335E79">
        <w:rPr>
          <w:noProof/>
        </w:rPr>
        <w:t>54</w:t>
      </w:r>
      <w:r>
        <w:fldChar w:fldCharType="end"/>
      </w:r>
      <w:r w:rsidR="00A06CFE">
        <w:t>;</w:t>
      </w:r>
      <w:r>
        <w:t xml:space="preserve"> </w:t>
      </w:r>
      <w:r w:rsidR="00F81FCB" w:rsidRPr="00F81FCB">
        <w:t>a total of 425 particles w</w:t>
      </w:r>
      <w:r w:rsidR="004B3E5A">
        <w:t>ere</w:t>
      </w:r>
      <w:r w:rsidR="00F81FCB" w:rsidRPr="00F81FCB">
        <w:t xml:space="preserve"> released at the presumed future locations of the wells at the centre of each model cell</w:t>
      </w:r>
      <w:r w:rsidR="00641AC7">
        <w:t>.</w:t>
      </w:r>
      <w:r w:rsidR="00A06CFE">
        <w:t xml:space="preserve"> </w:t>
      </w:r>
      <w:r w:rsidR="00641AC7">
        <w:t xml:space="preserve">Many of the particles’ pathways end within the </w:t>
      </w:r>
      <w:r w:rsidR="00211393">
        <w:t>study area</w:t>
      </w:r>
      <w:r w:rsidR="00641AC7">
        <w:t xml:space="preserve">, also confirming that the 30 km buffer zone considered for the analysis is appropriate. Only a few particles exit the </w:t>
      </w:r>
      <w:r w:rsidR="00211393">
        <w:t>studay area</w:t>
      </w:r>
      <w:r w:rsidR="00641AC7">
        <w:t xml:space="preserve"> across the northern boundary (</w:t>
      </w:r>
      <w:r w:rsidR="00641AC7">
        <w:fldChar w:fldCharType="begin" w:fldLock="1"/>
      </w:r>
      <w:r w:rsidR="00641AC7">
        <w:instrText xml:space="preserve"> REF _Ref454474696 \h </w:instrText>
      </w:r>
      <w:r w:rsidR="00641AC7">
        <w:fldChar w:fldCharType="separate"/>
      </w:r>
      <w:r w:rsidR="00335E79" w:rsidRPr="00E6110F">
        <w:t xml:space="preserve">Figure </w:t>
      </w:r>
      <w:r w:rsidR="00335E79">
        <w:rPr>
          <w:noProof/>
        </w:rPr>
        <w:t>2</w:t>
      </w:r>
      <w:r w:rsidR="00335E79">
        <w:noBreakHyphen/>
      </w:r>
      <w:r w:rsidR="00335E79">
        <w:rPr>
          <w:noProof/>
        </w:rPr>
        <w:t>55</w:t>
      </w:r>
      <w:r w:rsidR="00641AC7">
        <w:fldChar w:fldCharType="end"/>
      </w:r>
      <w:r w:rsidR="00641AC7">
        <w:t xml:space="preserve">). </w:t>
      </w:r>
      <w:r w:rsidR="00A80942">
        <w:t xml:space="preserve">Further images with particle tracking pathlines are shown in </w:t>
      </w:r>
      <w:r w:rsidR="00BD1670">
        <w:fldChar w:fldCharType="begin" w:fldLock="1"/>
      </w:r>
      <w:r w:rsidR="00BD1670">
        <w:instrText xml:space="preserve"> REF _Ref458330498 \h </w:instrText>
      </w:r>
      <w:r w:rsidR="00BD1670">
        <w:fldChar w:fldCharType="separate"/>
      </w:r>
      <w:r w:rsidR="00335E79" w:rsidRPr="00E6110F">
        <w:t xml:space="preserve">Figure </w:t>
      </w:r>
      <w:r w:rsidR="00335E79">
        <w:rPr>
          <w:noProof/>
        </w:rPr>
        <w:t>2</w:t>
      </w:r>
      <w:r w:rsidR="00335E79">
        <w:noBreakHyphen/>
      </w:r>
      <w:r w:rsidR="00335E79">
        <w:rPr>
          <w:noProof/>
        </w:rPr>
        <w:t>56</w:t>
      </w:r>
      <w:r w:rsidR="00BD1670">
        <w:fldChar w:fldCharType="end"/>
      </w:r>
      <w:r w:rsidR="00BD1670">
        <w:t xml:space="preserve"> </w:t>
      </w:r>
      <w:r w:rsidR="00A80942">
        <w:t>to</w:t>
      </w:r>
      <w:r w:rsidR="00384DFA">
        <w:t xml:space="preserve"> </w:t>
      </w:r>
      <w:r w:rsidR="004B3E5A">
        <w:fldChar w:fldCharType="begin" w:fldLock="1"/>
      </w:r>
      <w:r w:rsidR="004B3E5A">
        <w:instrText xml:space="preserve"> REF _Ref454474697 \h </w:instrText>
      </w:r>
      <w:r w:rsidR="004B3E5A">
        <w:fldChar w:fldCharType="separate"/>
      </w:r>
      <w:r w:rsidR="00335E79" w:rsidRPr="00E6110F">
        <w:t xml:space="preserve">Figure </w:t>
      </w:r>
      <w:r w:rsidR="00335E79">
        <w:rPr>
          <w:noProof/>
        </w:rPr>
        <w:t>2</w:t>
      </w:r>
      <w:r w:rsidR="00335E79">
        <w:noBreakHyphen/>
      </w:r>
      <w:r w:rsidR="00335E79">
        <w:rPr>
          <w:noProof/>
        </w:rPr>
        <w:t>58</w:t>
      </w:r>
      <w:r w:rsidR="004B3E5A">
        <w:fldChar w:fldCharType="end"/>
      </w:r>
      <w:r w:rsidR="00A80942">
        <w:t>.</w:t>
      </w:r>
      <w:r w:rsidR="001E384E">
        <w:t xml:space="preserve"> </w:t>
      </w:r>
      <w:r w:rsidR="00BD1670">
        <w:t xml:space="preserve">These cross-sectional views illustrate, for instance, existence of a few pathways into the Namoi alluvium. </w:t>
      </w:r>
      <w:r w:rsidR="001E384E">
        <w:t>The cumulative frequency distr</w:t>
      </w:r>
      <w:r w:rsidR="00A80942">
        <w:t>i</w:t>
      </w:r>
      <w:r w:rsidR="001E384E">
        <w:t>bu</w:t>
      </w:r>
      <w:r w:rsidR="00A80942">
        <w:t xml:space="preserve">tion of </w:t>
      </w:r>
      <w:r w:rsidR="00C63C58">
        <w:t xml:space="preserve">the </w:t>
      </w:r>
      <w:r w:rsidR="00A80942">
        <w:t>particles</w:t>
      </w:r>
      <w:r w:rsidR="00C63C58">
        <w:t>’</w:t>
      </w:r>
      <w:r w:rsidR="00A80942">
        <w:t xml:space="preserve"> </w:t>
      </w:r>
      <w:r w:rsidR="00C63C58">
        <w:t xml:space="preserve">travel time, for particles released in the Pilliga Sandstone, </w:t>
      </w:r>
      <w:r w:rsidR="00A80942">
        <w:t xml:space="preserve">is shown in </w:t>
      </w:r>
      <w:r w:rsidR="00A80942">
        <w:fldChar w:fldCharType="begin" w:fldLock="1"/>
      </w:r>
      <w:r w:rsidR="00A80942">
        <w:instrText xml:space="preserve"> REF _Ref447554792 \h </w:instrText>
      </w:r>
      <w:r w:rsidR="00A80942">
        <w:fldChar w:fldCharType="separate"/>
      </w:r>
      <w:r w:rsidR="00335E79" w:rsidRPr="00E6110F">
        <w:t xml:space="preserve">Figure </w:t>
      </w:r>
      <w:r w:rsidR="00335E79">
        <w:rPr>
          <w:noProof/>
        </w:rPr>
        <w:t>2</w:t>
      </w:r>
      <w:r w:rsidR="00335E79">
        <w:noBreakHyphen/>
      </w:r>
      <w:r w:rsidR="00335E79">
        <w:rPr>
          <w:noProof/>
        </w:rPr>
        <w:t>59</w:t>
      </w:r>
      <w:r w:rsidR="00A80942">
        <w:fldChar w:fldCharType="end"/>
      </w:r>
      <w:r w:rsidR="00A80942">
        <w:t xml:space="preserve">, while the statistics of the </w:t>
      </w:r>
      <w:r w:rsidR="00C63C58">
        <w:t xml:space="preserve">particles’ sinks (i.e. </w:t>
      </w:r>
      <w:r w:rsidR="00EE2CC3">
        <w:t>the aquifers in which the pathways end</w:t>
      </w:r>
      <w:r w:rsidR="00C63C58">
        <w:t xml:space="preserve">) and </w:t>
      </w:r>
      <w:r w:rsidR="00A80942">
        <w:t xml:space="preserve">particle travel times are summarised in </w:t>
      </w:r>
      <w:r w:rsidR="00A80942">
        <w:fldChar w:fldCharType="begin" w:fldLock="1"/>
      </w:r>
      <w:r w:rsidR="00A80942">
        <w:instrText xml:space="preserve"> REF _Ref454474831 \h  \* MERGEFORMAT </w:instrText>
      </w:r>
      <w:r w:rsidR="00A80942">
        <w:fldChar w:fldCharType="separate"/>
      </w:r>
      <w:r w:rsidR="00335E79" w:rsidRPr="00DA539C">
        <w:t xml:space="preserve">Table </w:t>
      </w:r>
      <w:r w:rsidR="00335E79">
        <w:t>2</w:t>
      </w:r>
      <w:r w:rsidR="00335E79">
        <w:noBreakHyphen/>
        <w:t>23</w:t>
      </w:r>
      <w:r w:rsidR="00A80942">
        <w:fldChar w:fldCharType="end"/>
      </w:r>
      <w:r w:rsidR="00A80942">
        <w:t xml:space="preserve">. </w:t>
      </w:r>
      <w:bookmarkStart w:id="283" w:name="_Ref446600623"/>
    </w:p>
    <w:p w14:paraId="5EDED6BA" w14:textId="60B1959D" w:rsidR="003E7503" w:rsidRPr="00E6110F" w:rsidRDefault="00027655" w:rsidP="00F258D9">
      <w:pPr>
        <w:pStyle w:val="Body"/>
        <w:jc w:val="center"/>
      </w:pPr>
      <w:r>
        <w:rPr>
          <w:noProof/>
          <w:lang w:val="en-AU" w:eastAsia="en-AU"/>
        </w:rPr>
        <w:drawing>
          <wp:inline distT="0" distB="0" distL="0" distR="0" wp14:anchorId="6B2B84A8" wp14:editId="40D89722">
            <wp:extent cx="3560968" cy="5040000"/>
            <wp:effectExtent l="0" t="0" r="1905" b="8255"/>
            <wp:docPr id="570" name="Picture 570" descr="Map of particle tracking pathline from 425 CSG wells in the Gunnedah study area. Particles were released in the Pilliga Sandstone." title="Fig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WS_FAM\Models\Santos_model_grid\Santos_model_grid_v06_140317.pn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3560968" cy="5040000"/>
                    </a:xfrm>
                    <a:prstGeom prst="rect">
                      <a:avLst/>
                    </a:prstGeom>
                    <a:noFill/>
                    <a:ln>
                      <a:noFill/>
                    </a:ln>
                  </pic:spPr>
                </pic:pic>
              </a:graphicData>
            </a:graphic>
          </wp:inline>
        </w:drawing>
      </w:r>
    </w:p>
    <w:p w14:paraId="25E0875F" w14:textId="22139667" w:rsidR="003E7503" w:rsidRPr="00E6110F" w:rsidRDefault="003E7503" w:rsidP="005D083C">
      <w:pPr>
        <w:pStyle w:val="Imagecaption"/>
      </w:pPr>
      <w:bookmarkStart w:id="284" w:name="_Ref446092785"/>
      <w:bookmarkStart w:id="285" w:name="_Toc477347586"/>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54</w:t>
      </w:r>
      <w:r w:rsidR="00254026">
        <w:fldChar w:fldCharType="end"/>
      </w:r>
      <w:bookmarkEnd w:id="284"/>
      <w:r w:rsidRPr="00E6110F">
        <w:t xml:space="preserve"> </w:t>
      </w:r>
      <w:r w:rsidR="0086713F" w:rsidRPr="00E6110F">
        <w:t>Forward p</w:t>
      </w:r>
      <w:r w:rsidRPr="00E6110F">
        <w:t>article tracking pathlines from 425 CSG wells</w:t>
      </w:r>
      <w:r w:rsidR="00355D8F" w:rsidRPr="00E6110F">
        <w:t xml:space="preserve"> (assumed located in the middle of each pink cell)</w:t>
      </w:r>
      <w:r w:rsidR="00283DB0">
        <w:t xml:space="preserve"> within the NGP</w:t>
      </w:r>
      <w:r w:rsidR="00534B02" w:rsidRPr="00E6110F">
        <w:t xml:space="preserve"> area</w:t>
      </w:r>
      <w:r w:rsidRPr="00E6110F">
        <w:t>.</w:t>
      </w:r>
      <w:r w:rsidR="0086713F" w:rsidRPr="00E6110F">
        <w:t xml:space="preserve"> </w:t>
      </w:r>
      <w:r w:rsidR="00A41C9E" w:rsidRPr="00E6110F">
        <w:t>Particles are released in the Pilliga Sandstone</w:t>
      </w:r>
      <w:r w:rsidR="00355D8F" w:rsidRPr="00E6110F">
        <w:t xml:space="preserve">, with one particle released for each </w:t>
      </w:r>
      <w:r w:rsidR="00033F61" w:rsidRPr="00E6110F">
        <w:t xml:space="preserve">pink </w:t>
      </w:r>
      <w:r w:rsidR="00355D8F" w:rsidRPr="00E6110F">
        <w:t>cell</w:t>
      </w:r>
      <w:r w:rsidR="00641AC7">
        <w:t xml:space="preserve"> </w:t>
      </w:r>
      <w:r w:rsidR="00641AC7" w:rsidRPr="00E6110F">
        <w:t>(half-way the cell height)</w:t>
      </w:r>
      <w:r w:rsidR="00A41C9E" w:rsidRPr="00E6110F">
        <w:t>.</w:t>
      </w:r>
      <w:r w:rsidR="00033F61" w:rsidRPr="00E6110F">
        <w:t xml:space="preserve"> </w:t>
      </w:r>
      <w:r w:rsidR="005D083C" w:rsidRPr="00E6110F">
        <w:t>Also shown is the 30 km-radius boundary around the</w:t>
      </w:r>
      <w:r w:rsidR="00211393">
        <w:t xml:space="preserve"> study</w:t>
      </w:r>
      <w:r w:rsidR="005D083C" w:rsidRPr="00E6110F">
        <w:t xml:space="preserve"> area (black boundary). A more detailed depiction of particle travel paths is provided in</w:t>
      </w:r>
      <w:r w:rsidR="00534B02" w:rsidRPr="00E6110F">
        <w:t xml:space="preserve"> </w:t>
      </w:r>
      <w:r w:rsidR="00534B02" w:rsidRPr="00E6110F">
        <w:fldChar w:fldCharType="begin" w:fldLock="1"/>
      </w:r>
      <w:r w:rsidR="00534B02" w:rsidRPr="00E6110F">
        <w:instrText xml:space="preserve"> REF _Ref447554792 \h </w:instrText>
      </w:r>
      <w:r w:rsidR="00E6110F">
        <w:instrText xml:space="preserve"> \* MERGEFORMAT </w:instrText>
      </w:r>
      <w:r w:rsidR="00534B02" w:rsidRPr="00E6110F">
        <w:fldChar w:fldCharType="separate"/>
      </w:r>
      <w:r w:rsidR="00335E79" w:rsidRPr="00E6110F">
        <w:t xml:space="preserve">Figure </w:t>
      </w:r>
      <w:r w:rsidR="00335E79">
        <w:rPr>
          <w:noProof/>
        </w:rPr>
        <w:t>2</w:t>
      </w:r>
      <w:r w:rsidR="00335E79">
        <w:rPr>
          <w:noProof/>
        </w:rPr>
        <w:noBreakHyphen/>
        <w:t>59</w:t>
      </w:r>
      <w:r w:rsidR="00534B02" w:rsidRPr="00E6110F">
        <w:fldChar w:fldCharType="end"/>
      </w:r>
      <w:r w:rsidR="005D083C" w:rsidRPr="00E6110F">
        <w:t>.</w:t>
      </w:r>
      <w:bookmarkEnd w:id="285"/>
    </w:p>
    <w:p w14:paraId="3027EE07" w14:textId="564CF6B3" w:rsidR="003E7503" w:rsidRPr="00E6110F" w:rsidRDefault="00027655" w:rsidP="006428F7">
      <w:pPr>
        <w:jc w:val="center"/>
      </w:pPr>
      <w:r>
        <w:rPr>
          <w:noProof/>
          <w:lang w:val="en-AU" w:eastAsia="en-AU"/>
        </w:rPr>
        <w:drawing>
          <wp:inline distT="0" distB="0" distL="0" distR="0" wp14:anchorId="1A9E2C2D" wp14:editId="797FD875">
            <wp:extent cx="3560968" cy="5040000"/>
            <wp:effectExtent l="0" t="0" r="1905" b="8255"/>
            <wp:docPr id="569" name="Picture 569" descr="Map of particle tracking pathline from 425 CSG wells in the Gunnedah study area. Particles were released in the Pilliga Sandstone." title="Fig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WS_FAM\Models\Santos_model_grid\Santos_model_grid_v07_140317.pn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560968" cy="5040000"/>
                    </a:xfrm>
                    <a:prstGeom prst="rect">
                      <a:avLst/>
                    </a:prstGeom>
                    <a:noFill/>
                    <a:ln>
                      <a:noFill/>
                    </a:ln>
                  </pic:spPr>
                </pic:pic>
              </a:graphicData>
            </a:graphic>
          </wp:inline>
        </w:drawing>
      </w:r>
    </w:p>
    <w:p w14:paraId="52E65450" w14:textId="17755E70" w:rsidR="005D083C" w:rsidRPr="00E6110F" w:rsidRDefault="005D083C" w:rsidP="005D083C">
      <w:pPr>
        <w:pStyle w:val="Imagecaption"/>
      </w:pPr>
      <w:bookmarkStart w:id="286" w:name="_Ref454474696"/>
      <w:bookmarkStart w:id="287" w:name="_Toc477347587"/>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55</w:t>
      </w:r>
      <w:r w:rsidR="00254026">
        <w:fldChar w:fldCharType="end"/>
      </w:r>
      <w:bookmarkEnd w:id="286"/>
      <w:r w:rsidRPr="00E6110F">
        <w:t xml:space="preserve"> Forward particle tracking pathlines from 425 CSG wells (assumed located in the middle of each pink cell). Particles are released in the Pilliga Sandstone, with one particle released for each pink cell (half-way the cell height).</w:t>
      </w:r>
      <w:bookmarkEnd w:id="287"/>
      <w:r w:rsidRPr="00E6110F">
        <w:t xml:space="preserve"> </w:t>
      </w:r>
    </w:p>
    <w:p w14:paraId="5D4E0C54" w14:textId="14FBA04F" w:rsidR="005D083C" w:rsidRPr="00E6110F" w:rsidRDefault="003C592E" w:rsidP="003E7503">
      <w:r w:rsidRPr="00E6110F">
        <w:rPr>
          <w:noProof/>
          <w:lang w:val="en-AU" w:eastAsia="en-AU"/>
        </w:rPr>
        <w:drawing>
          <wp:inline distT="0" distB="0" distL="0" distR="0" wp14:anchorId="1441A934" wp14:editId="73279723">
            <wp:extent cx="5727700" cy="2631440"/>
            <wp:effectExtent l="0" t="0" r="6350" b="0"/>
            <wp:docPr id="522" name="Picture 522" descr="Image of a model output with a single pathline." title="Fig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5727700" cy="2631440"/>
                    </a:xfrm>
                    <a:prstGeom prst="rect">
                      <a:avLst/>
                    </a:prstGeom>
                  </pic:spPr>
                </pic:pic>
              </a:graphicData>
            </a:graphic>
          </wp:inline>
        </w:drawing>
      </w:r>
    </w:p>
    <w:p w14:paraId="418706C1" w14:textId="6140C284" w:rsidR="003C592E" w:rsidRPr="00E6110F" w:rsidRDefault="003C592E" w:rsidP="00B67437">
      <w:pPr>
        <w:pStyle w:val="Imagecaption"/>
      </w:pPr>
      <w:bookmarkStart w:id="288" w:name="_Ref458330498"/>
      <w:bookmarkStart w:id="289" w:name="_Toc477347588"/>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56</w:t>
      </w:r>
      <w:r w:rsidR="00254026">
        <w:fldChar w:fldCharType="end"/>
      </w:r>
      <w:bookmarkEnd w:id="288"/>
      <w:r w:rsidRPr="00E6110F">
        <w:t xml:space="preserve"> </w:t>
      </w:r>
      <w:r w:rsidR="00B67437" w:rsidRPr="00E6110F">
        <w:t>Hydrogeological model units with location of grey-shade</w:t>
      </w:r>
      <w:r w:rsidR="00BD1670">
        <w:t>d cross-section capturing a sin</w:t>
      </w:r>
      <w:r w:rsidR="00B67437" w:rsidRPr="00E6110F">
        <w:t>g</w:t>
      </w:r>
      <w:r w:rsidR="00BD1670">
        <w:t>l</w:t>
      </w:r>
      <w:r w:rsidR="00B67437" w:rsidRPr="00E6110F">
        <w:t xml:space="preserve">e pathline (for details, see </w:t>
      </w:r>
      <w:r w:rsidR="00B67437" w:rsidRPr="00E6110F">
        <w:fldChar w:fldCharType="begin" w:fldLock="1"/>
      </w:r>
      <w:r w:rsidR="00B67437" w:rsidRPr="00E6110F">
        <w:instrText xml:space="preserve"> REF _Ref447556245 \h </w:instrText>
      </w:r>
      <w:r w:rsidR="00E6110F">
        <w:instrText xml:space="preserve"> \* MERGEFORMAT </w:instrText>
      </w:r>
      <w:r w:rsidR="00B67437" w:rsidRPr="00E6110F">
        <w:fldChar w:fldCharType="separate"/>
      </w:r>
      <w:r w:rsidR="00335E79" w:rsidRPr="00E6110F">
        <w:t xml:space="preserve">Figure </w:t>
      </w:r>
      <w:r w:rsidR="00335E79">
        <w:rPr>
          <w:noProof/>
        </w:rPr>
        <w:t>2</w:t>
      </w:r>
      <w:r w:rsidR="00335E79">
        <w:rPr>
          <w:noProof/>
        </w:rPr>
        <w:noBreakHyphen/>
        <w:t>57</w:t>
      </w:r>
      <w:r w:rsidR="00B67437" w:rsidRPr="00E6110F">
        <w:fldChar w:fldCharType="end"/>
      </w:r>
      <w:r w:rsidR="00B67437" w:rsidRPr="00E6110F">
        <w:t>).</w:t>
      </w:r>
      <w:bookmarkEnd w:id="289"/>
      <w:r w:rsidR="00B67437" w:rsidRPr="00E6110F">
        <w:t xml:space="preserve"> </w:t>
      </w:r>
    </w:p>
    <w:p w14:paraId="44DC0315" w14:textId="4B8145CB" w:rsidR="003C592E" w:rsidRPr="00E6110F" w:rsidRDefault="003C592E" w:rsidP="003C592E">
      <w:r w:rsidRPr="00E6110F">
        <w:rPr>
          <w:noProof/>
          <w:lang w:val="en-AU" w:eastAsia="en-AU"/>
        </w:rPr>
        <w:drawing>
          <wp:inline distT="0" distB="0" distL="0" distR="0" wp14:anchorId="395F53BD" wp14:editId="618E66D5">
            <wp:extent cx="5727700" cy="2703830"/>
            <wp:effectExtent l="0" t="0" r="6350" b="1270"/>
            <wp:docPr id="523" name="Picture 523" descr="Diagram of an example particle pathline, released in the Pilliga Sandstone." title="Fig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5727700" cy="2703830"/>
                    </a:xfrm>
                    <a:prstGeom prst="rect">
                      <a:avLst/>
                    </a:prstGeom>
                  </pic:spPr>
                </pic:pic>
              </a:graphicData>
            </a:graphic>
          </wp:inline>
        </w:drawing>
      </w:r>
    </w:p>
    <w:p w14:paraId="2F01172B" w14:textId="76216A76" w:rsidR="003C592E" w:rsidRPr="00E6110F" w:rsidRDefault="003C592E" w:rsidP="003C592E">
      <w:pPr>
        <w:pStyle w:val="Imagecaption"/>
      </w:pPr>
      <w:bookmarkStart w:id="290" w:name="_Ref447556245"/>
      <w:bookmarkStart w:id="291" w:name="_Toc477347589"/>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57</w:t>
      </w:r>
      <w:r w:rsidR="00254026">
        <w:fldChar w:fldCharType="end"/>
      </w:r>
      <w:bookmarkEnd w:id="290"/>
      <w:r w:rsidRPr="00E6110F">
        <w:t xml:space="preserve"> Example solute particle pathline released in the Pilliga Sandstone</w:t>
      </w:r>
      <w:r w:rsidR="009607FF" w:rsidRPr="00E6110F">
        <w:t xml:space="preserve"> (forward calculation)</w:t>
      </w:r>
      <w:r w:rsidRPr="00E6110F">
        <w:t>.</w:t>
      </w:r>
      <w:r w:rsidR="009607FF" w:rsidRPr="00E6110F">
        <w:t xml:space="preserve"> </w:t>
      </w:r>
      <w:r w:rsidR="00EE2CC3" w:rsidRPr="00A6466B">
        <w:t>Modelling shows this particle pathway ending in the Namoi Alluvium.</w:t>
      </w:r>
      <w:bookmarkEnd w:id="291"/>
      <w:r w:rsidR="00EE2CC3" w:rsidRPr="00A6466B">
        <w:t xml:space="preserve"> </w:t>
      </w:r>
      <w:r w:rsidR="00473A8B" w:rsidRPr="00E6110F">
        <w:t xml:space="preserve"> </w:t>
      </w:r>
      <w:r w:rsidRPr="00E6110F">
        <w:t xml:space="preserve"> </w:t>
      </w:r>
    </w:p>
    <w:p w14:paraId="0106CFA9" w14:textId="1D1D4EC0" w:rsidR="00211501" w:rsidRPr="00E6110F" w:rsidRDefault="00211501" w:rsidP="00211501">
      <w:pPr>
        <w:pStyle w:val="Body"/>
      </w:pPr>
      <w:r w:rsidRPr="00E6110F">
        <w:rPr>
          <w:noProof/>
          <w:lang w:val="en-AU" w:eastAsia="en-AU"/>
        </w:rPr>
        <w:drawing>
          <wp:inline distT="0" distB="0" distL="0" distR="0" wp14:anchorId="0862CBEF" wp14:editId="65016BD1">
            <wp:extent cx="5727700" cy="2593975"/>
            <wp:effectExtent l="0" t="0" r="6350" b="0"/>
            <wp:docPr id="525" name="Picture 525" descr="Image of model output of forward particle tracking pathlines from 425 CSG wells. Particles released in middle of the Pilliga Sandstone." title="Figure 2-58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5727700" cy="2593975"/>
                    </a:xfrm>
                    <a:prstGeom prst="rect">
                      <a:avLst/>
                    </a:prstGeom>
                  </pic:spPr>
                </pic:pic>
              </a:graphicData>
            </a:graphic>
          </wp:inline>
        </w:drawing>
      </w:r>
    </w:p>
    <w:p w14:paraId="55239417" w14:textId="41B32A07" w:rsidR="00E807F3" w:rsidRPr="00E6110F" w:rsidRDefault="00E807F3" w:rsidP="00E807F3">
      <w:pPr>
        <w:pStyle w:val="Body"/>
      </w:pPr>
      <w:r w:rsidRPr="00E6110F">
        <w:rPr>
          <w:noProof/>
          <w:lang w:val="en-AU" w:eastAsia="en-AU"/>
        </w:rPr>
        <w:drawing>
          <wp:inline distT="0" distB="0" distL="0" distR="0" wp14:anchorId="1160185A" wp14:editId="4FDC37A7">
            <wp:extent cx="5727700" cy="2573655"/>
            <wp:effectExtent l="0" t="0" r="6350" b="0"/>
            <wp:docPr id="524" name="Picture 524" descr="Image of model output of forward particle tracking pathlines from 425 CSG wells. Particles released in base of the Pilliga Sandstone." title="Figure 2-58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5727700" cy="2573655"/>
                    </a:xfrm>
                    <a:prstGeom prst="rect">
                      <a:avLst/>
                    </a:prstGeom>
                  </pic:spPr>
                </pic:pic>
              </a:graphicData>
            </a:graphic>
          </wp:inline>
        </w:drawing>
      </w:r>
    </w:p>
    <w:p w14:paraId="602961D3" w14:textId="1177A950" w:rsidR="00E807F3" w:rsidRPr="00E6110F" w:rsidRDefault="00E807F3" w:rsidP="00E807F3">
      <w:pPr>
        <w:pStyle w:val="Imagecaption"/>
      </w:pPr>
      <w:bookmarkStart w:id="292" w:name="_Ref454474697"/>
      <w:bookmarkStart w:id="293" w:name="_Toc477347590"/>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58</w:t>
      </w:r>
      <w:r w:rsidR="00254026">
        <w:fldChar w:fldCharType="end"/>
      </w:r>
      <w:bookmarkEnd w:id="292"/>
      <w:r w:rsidRPr="00E6110F">
        <w:t xml:space="preserve"> Forward particle tracking pathlines from 425 CSG wells. Particles are released at the </w:t>
      </w:r>
      <w:r w:rsidR="00211501" w:rsidRPr="00E6110F">
        <w:t xml:space="preserve">middle (top) and </w:t>
      </w:r>
      <w:r w:rsidRPr="00E6110F">
        <w:t xml:space="preserve">base </w:t>
      </w:r>
      <w:r w:rsidR="00211501" w:rsidRPr="00E6110F">
        <w:t xml:space="preserve">(bottom) </w:t>
      </w:r>
      <w:r w:rsidRPr="00E6110F">
        <w:t xml:space="preserve">of the </w:t>
      </w:r>
      <w:r w:rsidR="00F46ABE" w:rsidRPr="00E6110F">
        <w:t>Pilliga Sandstone</w:t>
      </w:r>
      <w:r w:rsidR="00211501" w:rsidRPr="00E6110F">
        <w:t>.</w:t>
      </w:r>
      <w:r w:rsidRPr="00E6110F">
        <w:t xml:space="preserve"> </w:t>
      </w:r>
      <w:r w:rsidR="00211501" w:rsidRPr="00E6110F">
        <w:t>O</w:t>
      </w:r>
      <w:r w:rsidRPr="00E6110F">
        <w:t xml:space="preserve">ne particle </w:t>
      </w:r>
      <w:r w:rsidR="00211501" w:rsidRPr="00E6110F">
        <w:t xml:space="preserve">is </w:t>
      </w:r>
      <w:r w:rsidRPr="00E6110F">
        <w:t>released for each well.</w:t>
      </w:r>
      <w:bookmarkEnd w:id="293"/>
      <w:r w:rsidR="00211501" w:rsidRPr="00E6110F">
        <w:t xml:space="preserve"> </w:t>
      </w:r>
    </w:p>
    <w:p w14:paraId="06E353D8" w14:textId="5EF74431" w:rsidR="003E7503" w:rsidRPr="00E6110F" w:rsidRDefault="00503EE0" w:rsidP="006428F7">
      <w:pPr>
        <w:jc w:val="center"/>
      </w:pPr>
      <w:r w:rsidRPr="00E6110F">
        <w:rPr>
          <w:noProof/>
          <w:lang w:val="en-AU" w:eastAsia="en-AU"/>
        </w:rPr>
        <w:drawing>
          <wp:inline distT="0" distB="0" distL="0" distR="0" wp14:anchorId="4EFFF885" wp14:editId="39EC0F3D">
            <wp:extent cx="5022851" cy="3767138"/>
            <wp:effectExtent l="0" t="0" r="6350" b="5080"/>
            <wp:docPr id="58" name="Picture 58" descr="Histogram of particle travel times." title="Fig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lliga_pathline_histogram_v02_comma_separated.png"/>
                    <pic:cNvPicPr/>
                  </pic:nvPicPr>
                  <pic:blipFill>
                    <a:blip r:embed="rId96" cstate="email">
                      <a:extLst>
                        <a:ext uri="{28A0092B-C50C-407E-A947-70E740481C1C}">
                          <a14:useLocalDpi xmlns:a14="http://schemas.microsoft.com/office/drawing/2010/main"/>
                        </a:ext>
                      </a:extLst>
                    </a:blip>
                    <a:stretch>
                      <a:fillRect/>
                    </a:stretch>
                  </pic:blipFill>
                  <pic:spPr>
                    <a:xfrm>
                      <a:off x="0" y="0"/>
                      <a:ext cx="5023674" cy="3767755"/>
                    </a:xfrm>
                    <a:prstGeom prst="rect">
                      <a:avLst/>
                    </a:prstGeom>
                  </pic:spPr>
                </pic:pic>
              </a:graphicData>
            </a:graphic>
          </wp:inline>
        </w:drawing>
      </w:r>
    </w:p>
    <w:p w14:paraId="668B5E61" w14:textId="2E5CFFBA" w:rsidR="00534B02" w:rsidRPr="00E6110F" w:rsidRDefault="003E7503" w:rsidP="00534B02">
      <w:pPr>
        <w:pStyle w:val="Imagecaption"/>
      </w:pPr>
      <w:bookmarkStart w:id="294" w:name="_Ref447554792"/>
      <w:bookmarkStart w:id="295" w:name="_Toc477347591"/>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59</w:t>
      </w:r>
      <w:r w:rsidR="00254026">
        <w:fldChar w:fldCharType="end"/>
      </w:r>
      <w:bookmarkEnd w:id="294"/>
      <w:r w:rsidRPr="00E6110F">
        <w:t xml:space="preserve"> Histogram of particle travel times for 425 sources (i</w:t>
      </w:r>
      <w:r w:rsidR="00E94934" w:rsidRPr="00E6110F">
        <w:t>.</w:t>
      </w:r>
      <w:r w:rsidRPr="00E6110F">
        <w:t>e</w:t>
      </w:r>
      <w:r w:rsidR="00E94934" w:rsidRPr="00E6110F">
        <w:t>.</w:t>
      </w:r>
      <w:r w:rsidRPr="00E6110F">
        <w:t xml:space="preserve"> CSG wells)</w:t>
      </w:r>
      <w:r w:rsidR="00534B02" w:rsidRPr="00E6110F">
        <w:t xml:space="preserve"> released within the Pilliga Sandstone aquifer</w:t>
      </w:r>
      <w:r w:rsidR="001D5180" w:rsidRPr="00E6110F">
        <w:t xml:space="preserve"> (</w:t>
      </w:r>
      <w:r w:rsidR="00A26596" w:rsidRPr="00E6110F">
        <w:t>middle</w:t>
      </w:r>
      <w:r w:rsidR="001D5180" w:rsidRPr="00E6110F">
        <w:t>)</w:t>
      </w:r>
      <w:r w:rsidRPr="00E6110F">
        <w:t>.</w:t>
      </w:r>
      <w:r w:rsidR="00534B02" w:rsidRPr="00E6110F">
        <w:t xml:space="preserve">  Also shown are the 10th, 50th and 90th percentile values (dashed vertical lines) and the cumulative probability (blue line).</w:t>
      </w:r>
      <w:bookmarkEnd w:id="295"/>
    </w:p>
    <w:p w14:paraId="6C389408" w14:textId="77777777" w:rsidR="00515F97" w:rsidRPr="00E6110F" w:rsidRDefault="00515F97" w:rsidP="00534B02">
      <w:pPr>
        <w:pStyle w:val="Imagecaption"/>
      </w:pPr>
    </w:p>
    <w:p w14:paraId="29893E89" w14:textId="01068BA1" w:rsidR="00AF5BD4" w:rsidRPr="00DA539C" w:rsidRDefault="00AF5BD4" w:rsidP="00DA539C">
      <w:pPr>
        <w:pStyle w:val="Imagecaption"/>
        <w:keepNext/>
        <w:pBdr>
          <w:top w:val="none" w:sz="0" w:space="0" w:color="auto"/>
        </w:pBdr>
      </w:pPr>
      <w:bookmarkStart w:id="296" w:name="_Ref454474831"/>
      <w:bookmarkStart w:id="297" w:name="_Toc494444713"/>
      <w:r w:rsidRPr="00DA539C">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23</w:t>
      </w:r>
      <w:r w:rsidR="00470577">
        <w:fldChar w:fldCharType="end"/>
      </w:r>
      <w:bookmarkEnd w:id="296"/>
      <w:r w:rsidRPr="00DA539C">
        <w:t xml:space="preserve">  </w:t>
      </w:r>
      <w:r w:rsidR="00317FFB" w:rsidRPr="00DA539C">
        <w:t>Forward p</w:t>
      </w:r>
      <w:r w:rsidRPr="00DA539C">
        <w:t>article tracking sink formations and travel time statistics for particles released within the Pilliga Sandstone.</w:t>
      </w:r>
      <w:bookmarkEnd w:id="297"/>
    </w:p>
    <w:tbl>
      <w:tblPr>
        <w:tblStyle w:val="TableGrid"/>
        <w:tblW w:w="0" w:type="auto"/>
        <w:tblLook w:val="04A0" w:firstRow="1" w:lastRow="0" w:firstColumn="1" w:lastColumn="0" w:noHBand="0" w:noVBand="1"/>
      </w:tblPr>
      <w:tblGrid>
        <w:gridCol w:w="2348"/>
        <w:gridCol w:w="2064"/>
        <w:gridCol w:w="2320"/>
        <w:gridCol w:w="2278"/>
      </w:tblGrid>
      <w:tr w:rsidR="00DF4F61" w:rsidRPr="00E6110F" w14:paraId="711FBF99" w14:textId="77777777" w:rsidTr="00DF4F61">
        <w:tc>
          <w:tcPr>
            <w:tcW w:w="2348" w:type="dxa"/>
            <w:shd w:val="clear" w:color="auto" w:fill="F2F2F2" w:themeFill="background1" w:themeFillShade="F2"/>
          </w:tcPr>
          <w:p w14:paraId="1130E0F1" w14:textId="77777777" w:rsidR="00DF4F61" w:rsidRPr="00E6110F" w:rsidRDefault="00DF4F61" w:rsidP="003A2980">
            <w:pPr>
              <w:pStyle w:val="Body"/>
            </w:pPr>
            <w:r w:rsidRPr="00E6110F">
              <w:t>Particle tracking sink formation</w:t>
            </w:r>
          </w:p>
        </w:tc>
        <w:tc>
          <w:tcPr>
            <w:tcW w:w="2064" w:type="dxa"/>
            <w:shd w:val="clear" w:color="auto" w:fill="F2F2F2" w:themeFill="background1" w:themeFillShade="F2"/>
          </w:tcPr>
          <w:p w14:paraId="39968F9B" w14:textId="3E368DFF" w:rsidR="00DF4F61" w:rsidRPr="00DF4F61" w:rsidRDefault="00DF4F61" w:rsidP="00DF4F61">
            <w:pPr>
              <w:suppressAutoHyphens/>
              <w:autoSpaceDE w:val="0"/>
              <w:autoSpaceDN w:val="0"/>
              <w:adjustRightInd w:val="0"/>
              <w:spacing w:after="113" w:line="280" w:lineRule="atLeast"/>
              <w:rPr>
                <w:rFonts w:ascii="Calibri" w:hAnsi="Calibri" w:cs="Calibri"/>
                <w:color w:val="000000"/>
                <w:sz w:val="18"/>
                <w:szCs w:val="18"/>
                <w:lang w:val="en-GB"/>
              </w:rPr>
            </w:pPr>
            <w:r w:rsidRPr="00DF4F61">
              <w:rPr>
                <w:rFonts w:ascii="Calibri" w:hAnsi="Calibri" w:cs="Calibri"/>
                <w:color w:val="000000"/>
                <w:sz w:val="18"/>
                <w:szCs w:val="18"/>
                <w:lang w:val="en-GB"/>
              </w:rPr>
              <w:t>Hydrostratigraphic classification</w:t>
            </w:r>
          </w:p>
        </w:tc>
        <w:tc>
          <w:tcPr>
            <w:tcW w:w="2320" w:type="dxa"/>
            <w:shd w:val="clear" w:color="auto" w:fill="F2F2F2" w:themeFill="background1" w:themeFillShade="F2"/>
          </w:tcPr>
          <w:p w14:paraId="1B3248DB" w14:textId="03BB0AB6" w:rsidR="00DF4F61" w:rsidRPr="00E6110F" w:rsidRDefault="00DF4F61" w:rsidP="003A2980">
            <w:pPr>
              <w:pStyle w:val="Body"/>
            </w:pPr>
            <w:r w:rsidRPr="00E6110F">
              <w:t>Frequency (%)</w:t>
            </w:r>
          </w:p>
        </w:tc>
        <w:tc>
          <w:tcPr>
            <w:tcW w:w="2278" w:type="dxa"/>
            <w:shd w:val="clear" w:color="auto" w:fill="F2F2F2" w:themeFill="background1" w:themeFillShade="F2"/>
          </w:tcPr>
          <w:p w14:paraId="7321C216" w14:textId="77777777" w:rsidR="00DF4F61" w:rsidRPr="00E6110F" w:rsidRDefault="00DF4F61" w:rsidP="003A2980">
            <w:pPr>
              <w:pStyle w:val="Body"/>
            </w:pPr>
            <w:r w:rsidRPr="00E6110F">
              <w:t>Travel time statistics (year)</w:t>
            </w:r>
          </w:p>
        </w:tc>
      </w:tr>
      <w:tr w:rsidR="00DF4F61" w:rsidRPr="00E6110F" w14:paraId="00CC6F6A" w14:textId="77777777" w:rsidTr="00DF4F61">
        <w:tc>
          <w:tcPr>
            <w:tcW w:w="2348" w:type="dxa"/>
          </w:tcPr>
          <w:p w14:paraId="6A06494A" w14:textId="77777777" w:rsidR="00DF4F61" w:rsidRPr="00E6110F" w:rsidRDefault="00DF4F61" w:rsidP="003A2980">
            <w:pPr>
              <w:pStyle w:val="Body"/>
            </w:pPr>
            <w:r w:rsidRPr="00E6110F">
              <w:t>Namoi Alluvium</w:t>
            </w:r>
          </w:p>
        </w:tc>
        <w:tc>
          <w:tcPr>
            <w:tcW w:w="2064" w:type="dxa"/>
          </w:tcPr>
          <w:p w14:paraId="6059C0B6" w14:textId="47D8C736" w:rsidR="00DF4F61" w:rsidRPr="00E6110F" w:rsidRDefault="00DF4F61" w:rsidP="003A2980">
            <w:pPr>
              <w:pStyle w:val="Body"/>
            </w:pPr>
            <w:r>
              <w:t>Surficial aquifer</w:t>
            </w:r>
          </w:p>
        </w:tc>
        <w:tc>
          <w:tcPr>
            <w:tcW w:w="2320" w:type="dxa"/>
          </w:tcPr>
          <w:p w14:paraId="0E368DB4" w14:textId="600FFC95" w:rsidR="00DF4F61" w:rsidRPr="00E6110F" w:rsidRDefault="00DF4F61" w:rsidP="003A2980">
            <w:pPr>
              <w:pStyle w:val="Body"/>
            </w:pPr>
            <w:r w:rsidRPr="00E6110F">
              <w:t>56</w:t>
            </w:r>
          </w:p>
        </w:tc>
        <w:tc>
          <w:tcPr>
            <w:tcW w:w="2278" w:type="dxa"/>
          </w:tcPr>
          <w:p w14:paraId="5C7BA6B4" w14:textId="068FC491" w:rsidR="00DF4F61" w:rsidRPr="00E6110F" w:rsidRDefault="00DF4F61" w:rsidP="009F3A88">
            <w:pPr>
              <w:pStyle w:val="Body"/>
            </w:pPr>
            <w:r w:rsidRPr="00E6110F">
              <w:t>Min: 2</w:t>
            </w:r>
            <w:r w:rsidR="00CD2A24">
              <w:t>,</w:t>
            </w:r>
            <w:r w:rsidRPr="00E6110F">
              <w:t>332</w:t>
            </w:r>
          </w:p>
          <w:p w14:paraId="0EB7377D" w14:textId="1BC50997" w:rsidR="00DF4F61" w:rsidRPr="00E6110F" w:rsidRDefault="00DF4F61" w:rsidP="009F3A88">
            <w:pPr>
              <w:pStyle w:val="Body"/>
            </w:pPr>
            <w:r w:rsidRPr="00E6110F">
              <w:t>Max: 50</w:t>
            </w:r>
            <w:r w:rsidR="00CD2A24">
              <w:t>,</w:t>
            </w:r>
            <w:r w:rsidRPr="00E6110F">
              <w:t>390</w:t>
            </w:r>
          </w:p>
          <w:p w14:paraId="25D85FB3" w14:textId="32CB7786" w:rsidR="00DF4F61" w:rsidRPr="00E6110F" w:rsidRDefault="00DF4F61" w:rsidP="009F3A88">
            <w:pPr>
              <w:pStyle w:val="Body"/>
            </w:pPr>
            <w:r w:rsidRPr="00E6110F">
              <w:t>Mean: 19</w:t>
            </w:r>
            <w:r w:rsidR="00CD2A24">
              <w:t>,</w:t>
            </w:r>
            <w:r w:rsidRPr="00E6110F">
              <w:t>158</w:t>
            </w:r>
          </w:p>
          <w:p w14:paraId="58D50FCF" w14:textId="3B06A4FD" w:rsidR="00DF4F61" w:rsidRPr="00E6110F" w:rsidRDefault="00DF4F61" w:rsidP="00CD2A24">
            <w:pPr>
              <w:pStyle w:val="Body"/>
            </w:pPr>
            <w:r w:rsidRPr="00E6110F">
              <w:t>Stdev: 11</w:t>
            </w:r>
            <w:r w:rsidR="00CD2A24">
              <w:t>,</w:t>
            </w:r>
            <w:r w:rsidRPr="00E6110F">
              <w:t>752</w:t>
            </w:r>
          </w:p>
        </w:tc>
      </w:tr>
      <w:tr w:rsidR="00DF4F61" w:rsidRPr="00E6110F" w14:paraId="7D257F89" w14:textId="77777777" w:rsidTr="00DF4F61">
        <w:tc>
          <w:tcPr>
            <w:tcW w:w="2348" w:type="dxa"/>
          </w:tcPr>
          <w:p w14:paraId="3DDAE89C" w14:textId="77777777" w:rsidR="00DF4F61" w:rsidRPr="00E6110F" w:rsidRDefault="00DF4F61" w:rsidP="003A2980">
            <w:pPr>
              <w:pStyle w:val="Body"/>
            </w:pPr>
            <w:r w:rsidRPr="00E6110F">
              <w:t>Pilliga Sandstone</w:t>
            </w:r>
          </w:p>
        </w:tc>
        <w:tc>
          <w:tcPr>
            <w:tcW w:w="2064" w:type="dxa"/>
          </w:tcPr>
          <w:p w14:paraId="175CE2C1" w14:textId="32442242" w:rsidR="00DF4F61" w:rsidRPr="00E6110F" w:rsidRDefault="00DF4F61" w:rsidP="003A2980">
            <w:pPr>
              <w:pStyle w:val="Body"/>
            </w:pPr>
            <w:r>
              <w:t>Confined aquifer</w:t>
            </w:r>
          </w:p>
        </w:tc>
        <w:tc>
          <w:tcPr>
            <w:tcW w:w="2320" w:type="dxa"/>
          </w:tcPr>
          <w:p w14:paraId="121A7DDF" w14:textId="6E42E520" w:rsidR="00DF4F61" w:rsidRPr="00E6110F" w:rsidRDefault="00DF4F61" w:rsidP="003A2980">
            <w:pPr>
              <w:pStyle w:val="Body"/>
            </w:pPr>
            <w:r w:rsidRPr="00E6110F">
              <w:t>32.2</w:t>
            </w:r>
          </w:p>
        </w:tc>
        <w:tc>
          <w:tcPr>
            <w:tcW w:w="2278" w:type="dxa"/>
          </w:tcPr>
          <w:p w14:paraId="06A1BAFD" w14:textId="20C5F333" w:rsidR="00DF4F61" w:rsidRPr="00E6110F" w:rsidRDefault="00DF4F61" w:rsidP="009F3A88">
            <w:pPr>
              <w:pStyle w:val="Body"/>
            </w:pPr>
            <w:r w:rsidRPr="00E6110F">
              <w:t>Min: 2</w:t>
            </w:r>
            <w:r w:rsidR="00CD2A24">
              <w:t>,</w:t>
            </w:r>
            <w:r w:rsidRPr="00E6110F">
              <w:t>201</w:t>
            </w:r>
          </w:p>
          <w:p w14:paraId="058F35E9" w14:textId="26F71123" w:rsidR="00DF4F61" w:rsidRPr="00E6110F" w:rsidRDefault="00DF4F61" w:rsidP="009F3A88">
            <w:pPr>
              <w:pStyle w:val="Body"/>
            </w:pPr>
            <w:r w:rsidRPr="00E6110F">
              <w:t>Max: 88</w:t>
            </w:r>
            <w:r w:rsidR="00CD2A24">
              <w:t>,</w:t>
            </w:r>
            <w:r w:rsidRPr="00E6110F">
              <w:t>741</w:t>
            </w:r>
          </w:p>
          <w:p w14:paraId="6213CF62" w14:textId="4A1CA051" w:rsidR="00DF4F61" w:rsidRPr="00E6110F" w:rsidRDefault="00DF4F61" w:rsidP="009F3A88">
            <w:pPr>
              <w:pStyle w:val="Body"/>
            </w:pPr>
            <w:r w:rsidRPr="00E6110F">
              <w:t>Mean: 9</w:t>
            </w:r>
            <w:r w:rsidR="00CD2A24">
              <w:t>,</w:t>
            </w:r>
            <w:r w:rsidRPr="00E6110F">
              <w:t>919</w:t>
            </w:r>
          </w:p>
          <w:p w14:paraId="4A0356CB" w14:textId="5AB1929E" w:rsidR="00DF4F61" w:rsidRPr="00E6110F" w:rsidRDefault="00DF4F61" w:rsidP="00CD2A24">
            <w:pPr>
              <w:pStyle w:val="Body"/>
            </w:pPr>
            <w:r w:rsidRPr="00E6110F">
              <w:t>Stdev: 12</w:t>
            </w:r>
            <w:r w:rsidR="00CD2A24">
              <w:t>,</w:t>
            </w:r>
            <w:r w:rsidRPr="00E6110F">
              <w:t>611</w:t>
            </w:r>
          </w:p>
        </w:tc>
      </w:tr>
      <w:tr w:rsidR="00DF4F61" w:rsidRPr="00E6110F" w14:paraId="2D50C8DD" w14:textId="77777777" w:rsidTr="00DF4F61">
        <w:tc>
          <w:tcPr>
            <w:tcW w:w="2348" w:type="dxa"/>
          </w:tcPr>
          <w:p w14:paraId="229AAA26" w14:textId="1745D153" w:rsidR="00DF4F61" w:rsidRPr="00E6110F" w:rsidRDefault="00DF4F61" w:rsidP="003A2980">
            <w:pPr>
              <w:pStyle w:val="Body"/>
            </w:pPr>
            <w:r>
              <w:t>Rolling Downs Group     (also includes Blythesdale Group</w:t>
            </w:r>
            <w:r w:rsidR="00F81FCB">
              <w:t xml:space="preserve"> aquifer</w:t>
            </w:r>
            <w:r>
              <w:t>)</w:t>
            </w:r>
          </w:p>
        </w:tc>
        <w:tc>
          <w:tcPr>
            <w:tcW w:w="2064" w:type="dxa"/>
          </w:tcPr>
          <w:p w14:paraId="32F6813F" w14:textId="14C394FC" w:rsidR="00DF4F61" w:rsidRPr="00E6110F" w:rsidRDefault="00DF4F61" w:rsidP="003A2980">
            <w:pPr>
              <w:pStyle w:val="Body"/>
            </w:pPr>
            <w:r>
              <w:t>Aquitard; separates Pilliga Sandstone aquifer from Namoi Alluvium aquifer</w:t>
            </w:r>
          </w:p>
        </w:tc>
        <w:tc>
          <w:tcPr>
            <w:tcW w:w="2320" w:type="dxa"/>
          </w:tcPr>
          <w:p w14:paraId="227E458E" w14:textId="6173CFC4" w:rsidR="00DF4F61" w:rsidRPr="00E6110F" w:rsidRDefault="00DF4F61" w:rsidP="003A2980">
            <w:pPr>
              <w:pStyle w:val="Body"/>
            </w:pPr>
            <w:r w:rsidRPr="00E6110F">
              <w:t>11.8</w:t>
            </w:r>
          </w:p>
        </w:tc>
        <w:tc>
          <w:tcPr>
            <w:tcW w:w="2278" w:type="dxa"/>
          </w:tcPr>
          <w:p w14:paraId="76EC1256" w14:textId="77777777" w:rsidR="00DF4F61" w:rsidRPr="00E6110F" w:rsidRDefault="00DF4F61" w:rsidP="009F3A88">
            <w:pPr>
              <w:pStyle w:val="Body"/>
            </w:pPr>
            <w:r w:rsidRPr="00E6110F">
              <w:t>Min: 160</w:t>
            </w:r>
          </w:p>
          <w:p w14:paraId="59885B76" w14:textId="1FA06293" w:rsidR="00DF4F61" w:rsidRPr="00E6110F" w:rsidRDefault="00DF4F61" w:rsidP="009F3A88">
            <w:pPr>
              <w:pStyle w:val="Body"/>
            </w:pPr>
            <w:r w:rsidRPr="00E6110F">
              <w:t>Max: 15</w:t>
            </w:r>
            <w:r w:rsidR="00CD2A24">
              <w:t>,</w:t>
            </w:r>
            <w:r w:rsidRPr="00E6110F">
              <w:t>709</w:t>
            </w:r>
          </w:p>
          <w:p w14:paraId="5F299F33" w14:textId="7E215A32" w:rsidR="00DF4F61" w:rsidRPr="00E6110F" w:rsidRDefault="00DF4F61" w:rsidP="009F3A88">
            <w:pPr>
              <w:pStyle w:val="Body"/>
            </w:pPr>
            <w:r w:rsidRPr="00E6110F">
              <w:t>Mean: 4</w:t>
            </w:r>
            <w:r w:rsidR="00CD2A24">
              <w:t>,</w:t>
            </w:r>
            <w:r w:rsidRPr="00E6110F">
              <w:t>901</w:t>
            </w:r>
          </w:p>
          <w:p w14:paraId="4DF4398E" w14:textId="46B7BC5D" w:rsidR="00DF4F61" w:rsidRPr="00E6110F" w:rsidRDefault="00DF4F61" w:rsidP="00CD2A24">
            <w:pPr>
              <w:pStyle w:val="Body"/>
            </w:pPr>
            <w:r w:rsidRPr="00E6110F">
              <w:t>Stdev: 3</w:t>
            </w:r>
            <w:r w:rsidR="00CD2A24">
              <w:t>,</w:t>
            </w:r>
            <w:r w:rsidRPr="00E6110F">
              <w:t>460</w:t>
            </w:r>
          </w:p>
        </w:tc>
      </w:tr>
    </w:tbl>
    <w:p w14:paraId="6D471D5D" w14:textId="77777777" w:rsidR="009F3A88" w:rsidRDefault="009F3A88"/>
    <w:p w14:paraId="3188B89C" w14:textId="7C64E2B1" w:rsidR="00823A92" w:rsidRPr="00E6110F" w:rsidRDefault="00823A92" w:rsidP="00823A92">
      <w:pPr>
        <w:pStyle w:val="Body"/>
      </w:pPr>
      <w:r>
        <w:t xml:space="preserve">The relatively short minimum travel time in the </w:t>
      </w:r>
      <w:r w:rsidR="00F81FCB">
        <w:t>Blythesdale Group</w:t>
      </w:r>
      <w:r>
        <w:t xml:space="preserve"> represents pathways where this Group forms a very thin outcropping layer. </w:t>
      </w:r>
    </w:p>
    <w:p w14:paraId="26D6D692" w14:textId="36A4C4AE" w:rsidR="006D5B7B" w:rsidRPr="00E6110F" w:rsidRDefault="006D5B7B" w:rsidP="00AF6A75">
      <w:pPr>
        <w:pStyle w:val="Heading3"/>
        <w:numPr>
          <w:ilvl w:val="3"/>
          <w:numId w:val="1"/>
        </w:numPr>
      </w:pPr>
      <w:r w:rsidRPr="00E6110F">
        <w:br w:type="page"/>
      </w:r>
      <w:bookmarkStart w:id="298" w:name="_Ref467594866"/>
      <w:bookmarkStart w:id="299" w:name="_Toc494444540"/>
      <w:r w:rsidR="00AF6A75" w:rsidRPr="00E6110F">
        <w:t>Backward particle tracking analysis</w:t>
      </w:r>
      <w:bookmarkEnd w:id="298"/>
      <w:bookmarkEnd w:id="299"/>
    </w:p>
    <w:p w14:paraId="23A601E1" w14:textId="2BA7290B" w:rsidR="00C008A8" w:rsidRPr="00E6110F" w:rsidRDefault="00C008A8" w:rsidP="00C008A8">
      <w:pPr>
        <w:pStyle w:val="Body"/>
      </w:pPr>
      <w:r w:rsidRPr="00E6110F">
        <w:t xml:space="preserve">Backward particle tracking was undertaken to identify pathways between receptors </w:t>
      </w:r>
      <w:r w:rsidR="004B3E5A">
        <w:t xml:space="preserve">(referred to as assets in Section </w:t>
      </w:r>
      <w:r w:rsidR="004B3E5A">
        <w:fldChar w:fldCharType="begin" w:fldLock="1"/>
      </w:r>
      <w:r w:rsidR="004B3E5A">
        <w:instrText xml:space="preserve"> REF _Ref476585575 \r \h </w:instrText>
      </w:r>
      <w:r w:rsidR="004B3E5A">
        <w:fldChar w:fldCharType="separate"/>
      </w:r>
      <w:r w:rsidR="00335E79">
        <w:t>2.4</w:t>
      </w:r>
      <w:r w:rsidR="004B3E5A">
        <w:fldChar w:fldCharType="end"/>
      </w:r>
      <w:r w:rsidR="004B3E5A">
        <w:t xml:space="preserve"> and </w:t>
      </w:r>
      <w:r w:rsidR="004B3E5A">
        <w:fldChar w:fldCharType="begin" w:fldLock="1"/>
      </w:r>
      <w:r w:rsidR="004B3E5A">
        <w:instrText xml:space="preserve"> REF _Ref476585579 \r \h </w:instrText>
      </w:r>
      <w:r w:rsidR="004B3E5A">
        <w:fldChar w:fldCharType="separate"/>
      </w:r>
      <w:r w:rsidR="00335E79">
        <w:t>2.5</w:t>
      </w:r>
      <w:r w:rsidR="004B3E5A">
        <w:fldChar w:fldCharType="end"/>
      </w:r>
      <w:r w:rsidR="004B3E5A">
        <w:t xml:space="preserve">) </w:t>
      </w:r>
      <w:r w:rsidRPr="00E6110F">
        <w:t xml:space="preserve">nearby the </w:t>
      </w:r>
      <w:r w:rsidR="00211393">
        <w:t>study area</w:t>
      </w:r>
      <w:r w:rsidRPr="00E6110F">
        <w:t xml:space="preserve"> and potential locations of CSG wells within the </w:t>
      </w:r>
      <w:r w:rsidR="00211393">
        <w:t>study area</w:t>
      </w:r>
      <w:r w:rsidRPr="00E6110F">
        <w:t xml:space="preserve">. In the case of backward tracking analysis, the particle travel path is calculated as starting from a receptor and travelling backwards (i.e. upgradient) to its point of origin. The point of origin could be a recharge area, or a source area where water and/or chemicals are entering the aquifer (e.g. through an injection well). The particle tracking is based </w:t>
      </w:r>
      <w:r w:rsidR="0082029B" w:rsidRPr="00E6110F">
        <w:t xml:space="preserve">here </w:t>
      </w:r>
      <w:r w:rsidRPr="00E6110F">
        <w:t>on a steady-state flow field that represents the natural groundwater flow system</w:t>
      </w:r>
      <w:r w:rsidR="0082029B" w:rsidRPr="00E6110F">
        <w:t>,</w:t>
      </w:r>
      <w:r w:rsidRPr="00E6110F">
        <w:t xml:space="preserve"> i.e. not impacted by depressurisation. This flow condition represents the most conservative condition, as particles can travel away from a hypothetical CSG well location without being trapped within the depressurisation cone typically present around a CSG well field. Indeed, a flow field that is affected by CSG depressurisation would feature groundwater flow paths oriented towards CSG wells, not away from them. Under those conditions, any contamination would be unlikely to travel beyond the depressurisation cone. </w:t>
      </w:r>
      <w:r w:rsidR="00BA293A">
        <w:t>The receptors are located in the</w:t>
      </w:r>
      <w:r w:rsidR="00CC7DF0">
        <w:t xml:space="preserve"> Namoi Alluvium (885), the Rolling Downs Group (324), and in the Pilliga Sandstone </w:t>
      </w:r>
      <w:r w:rsidR="00BA293A">
        <w:t>Pilliga Sandstone</w:t>
      </w:r>
      <w:r w:rsidR="00CC7DF0">
        <w:t xml:space="preserve"> (49)</w:t>
      </w:r>
      <w:r w:rsidR="0047531C">
        <w:t xml:space="preserve"> (see Appendix 3 for further details)</w:t>
      </w:r>
      <w:r w:rsidR="00CC7DF0">
        <w:t>;</w:t>
      </w:r>
      <w:r w:rsidR="00BA293A">
        <w:t xml:space="preserve"> flow paths are tracked through th</w:t>
      </w:r>
      <w:r w:rsidR="00CC7DF0">
        <w:t>ose three</w:t>
      </w:r>
      <w:r w:rsidR="00BA293A">
        <w:t xml:space="preserve"> aquifer</w:t>
      </w:r>
      <w:r w:rsidR="00CC7DF0">
        <w:t>s</w:t>
      </w:r>
      <w:r w:rsidR="00BA293A">
        <w:t>.</w:t>
      </w:r>
      <w:r w:rsidR="00CC7DF0">
        <w:t xml:space="preserve"> All receptors belong to the economic assets group (groundwater bores and surface water</w:t>
      </w:r>
      <w:r w:rsidR="008961E0">
        <w:t xml:space="preserve"> features such as water extraction points along creeks, see Section </w:t>
      </w:r>
      <w:r w:rsidR="008961E0">
        <w:fldChar w:fldCharType="begin" w:fldLock="1"/>
      </w:r>
      <w:r w:rsidR="008961E0">
        <w:instrText xml:space="preserve"> REF _Ref470019908 \r \h </w:instrText>
      </w:r>
      <w:r w:rsidR="008961E0">
        <w:fldChar w:fldCharType="separate"/>
      </w:r>
      <w:r w:rsidR="00335E79">
        <w:t>2.4.2</w:t>
      </w:r>
      <w:r w:rsidR="008961E0">
        <w:fldChar w:fldCharType="end"/>
      </w:r>
      <w:r w:rsidR="00CC7DF0">
        <w:t>).</w:t>
      </w:r>
      <w:r w:rsidR="008961E0">
        <w:t xml:space="preserve"> </w:t>
      </w:r>
    </w:p>
    <w:p w14:paraId="32A2CF2F" w14:textId="77777777" w:rsidR="00C008A8" w:rsidRPr="00E6110F" w:rsidRDefault="00C008A8" w:rsidP="00C008A8">
      <w:pPr>
        <w:pStyle w:val="Body"/>
      </w:pPr>
      <w:r w:rsidRPr="00E6110F">
        <w:t xml:space="preserve">The results of particle tracking analyses are known to be particularly sensitive to the precise three-dimensional initial position of each particle. For this reason, the backward particle tracking analysis was undertaken twice. In the first analysis (hereafter the “top” approach), particles were released at the top of the cell representing a potential receptor. The results of this approach are consistent with groundwater flow paths that terminate at ground surface. Such flow paths may provide a groundwater source to receptors such as rivers, lakes and wetlands. A second analysis (hereafter the “bottom” approach) was undertaken in which particles were released at the bottom of the cell representing a potential receptor. The results of this approach are consistent with groundwater flow paths that terminate below ground surface; for example, at receptors such stock and domestic or town water supply bores. </w:t>
      </w:r>
    </w:p>
    <w:p w14:paraId="2AF30BA0" w14:textId="60057302" w:rsidR="00C008A8" w:rsidRDefault="00C008A8" w:rsidP="00C008A8">
      <w:pPr>
        <w:pStyle w:val="Body"/>
      </w:pPr>
      <w:r w:rsidRPr="00E6110F">
        <w:t>Both analys</w:t>
      </w:r>
      <w:r w:rsidR="00940D97" w:rsidRPr="00E6110F">
        <w:t>i</w:t>
      </w:r>
      <w:r w:rsidRPr="00E6110F">
        <w:t xml:space="preserve">s approaches proceeded according to the following steps. First, a total of 1267 potential receptors were identified within a 30 km radius of the </w:t>
      </w:r>
      <w:r w:rsidR="00211393">
        <w:t>study area</w:t>
      </w:r>
      <w:r w:rsidRPr="00E6110F">
        <w:t xml:space="preserve">, the majority of which were located outside the </w:t>
      </w:r>
      <w:r w:rsidR="00211393">
        <w:t>study area</w:t>
      </w:r>
      <w:r w:rsidRPr="00E6110F">
        <w:t xml:space="preserve">, though some were located within the </w:t>
      </w:r>
      <w:r w:rsidR="00211393">
        <w:t>study area</w:t>
      </w:r>
      <w:r w:rsidRPr="00E6110F">
        <w:t xml:space="preserve"> (</w:t>
      </w:r>
      <w:r w:rsidRPr="00E6110F">
        <w:fldChar w:fldCharType="begin" w:fldLock="1"/>
      </w:r>
      <w:r w:rsidRPr="00E6110F">
        <w:instrText xml:space="preserve"> REF _Ref453258227 \h </w:instrText>
      </w:r>
      <w:r w:rsidR="00E6110F">
        <w:instrText xml:space="preserve"> \* MERGEFORMAT </w:instrText>
      </w:r>
      <w:r w:rsidRPr="00E6110F">
        <w:fldChar w:fldCharType="separate"/>
      </w:r>
      <w:r w:rsidR="00335E79">
        <w:t>F</w:t>
      </w:r>
      <w:r w:rsidR="00335E79" w:rsidRPr="00E6110F">
        <w:t xml:space="preserve">igure </w:t>
      </w:r>
      <w:r w:rsidR="00335E79">
        <w:rPr>
          <w:noProof/>
        </w:rPr>
        <w:t>2</w:t>
      </w:r>
      <w:r w:rsidR="00335E79">
        <w:rPr>
          <w:noProof/>
        </w:rPr>
        <w:noBreakHyphen/>
        <w:t>60</w:t>
      </w:r>
      <w:r w:rsidRPr="00E6110F">
        <w:fldChar w:fldCharType="end"/>
      </w:r>
      <w:r w:rsidRPr="00E6110F">
        <w:t>). A single particle was used to represent each of these receptors. In order to ensure convergence of the semi-analytical particle tracking algorithm used, a total of 59 and 26 particles were subsequently omitted from the “top” and “bottom” approaches</w:t>
      </w:r>
      <w:r w:rsidR="00940D97" w:rsidRPr="00E6110F">
        <w:t>,</w:t>
      </w:r>
      <w:r w:rsidRPr="00E6110F">
        <w:t xml:space="preserve"> respectively. As shown in </w:t>
      </w:r>
      <w:r w:rsidRPr="00E6110F">
        <w:fldChar w:fldCharType="begin" w:fldLock="1"/>
      </w:r>
      <w:r w:rsidRPr="00E6110F">
        <w:instrText xml:space="preserve"> REF _Ref453258227 \h </w:instrText>
      </w:r>
      <w:r w:rsidR="00E6110F">
        <w:instrText xml:space="preserve"> \* MERGEFORMAT </w:instrText>
      </w:r>
      <w:r w:rsidRPr="00E6110F">
        <w:fldChar w:fldCharType="separate"/>
      </w:r>
      <w:r w:rsidR="00335E79">
        <w:t>F</w:t>
      </w:r>
      <w:r w:rsidR="00335E79" w:rsidRPr="00E6110F">
        <w:t xml:space="preserve">igure </w:t>
      </w:r>
      <w:r w:rsidR="00335E79">
        <w:rPr>
          <w:noProof/>
        </w:rPr>
        <w:t>2</w:t>
      </w:r>
      <w:r w:rsidR="00335E79">
        <w:rPr>
          <w:noProof/>
        </w:rPr>
        <w:noBreakHyphen/>
        <w:t>60</w:t>
      </w:r>
      <w:r w:rsidRPr="00E6110F">
        <w:fldChar w:fldCharType="end"/>
      </w:r>
      <w:r w:rsidRPr="00E6110F">
        <w:t xml:space="preserve">, most travel paths do not enter the </w:t>
      </w:r>
      <w:r w:rsidR="00211393">
        <w:t>study area</w:t>
      </w:r>
      <w:r w:rsidRPr="00E6110F">
        <w:t xml:space="preserve"> and hence for those receptors the current model indicates that groundwater flowing towards these receptors will not have been in contact with chemicals originating from within the </w:t>
      </w:r>
      <w:r w:rsidR="00211393">
        <w:t>study area</w:t>
      </w:r>
      <w:r w:rsidRPr="00E6110F">
        <w:t>.</w:t>
      </w:r>
    </w:p>
    <w:p w14:paraId="51F9023D" w14:textId="7DABE86F" w:rsidR="004C2E00" w:rsidRPr="00E6110F" w:rsidRDefault="004C2E00" w:rsidP="004C2E00">
      <w:pPr>
        <w:pStyle w:val="Body"/>
      </w:pPr>
      <w:r w:rsidRPr="00E6110F">
        <w:t xml:space="preserve">In the second step, only particles whose pathlines were found to originate within the </w:t>
      </w:r>
      <w:r w:rsidR="00211393">
        <w:t>study area</w:t>
      </w:r>
      <w:r w:rsidRPr="00E6110F">
        <w:t xml:space="preserve"> (i.e. 86 and 107 particles for the “top” and “bottom” approaches, respectively) were retained (</w:t>
      </w:r>
      <w:r w:rsidRPr="00E6110F">
        <w:fldChar w:fldCharType="begin" w:fldLock="1"/>
      </w:r>
      <w:r w:rsidRPr="00E6110F">
        <w:instrText xml:space="preserve"> REF _Ref453258807 \h  \* MERGEFORMAT </w:instrText>
      </w:r>
      <w:r w:rsidRPr="00E6110F">
        <w:fldChar w:fldCharType="separate"/>
      </w:r>
      <w:r w:rsidR="00335E79" w:rsidRPr="00E6110F">
        <w:t xml:space="preserve">Figure </w:t>
      </w:r>
      <w:r w:rsidR="00335E79">
        <w:t>2</w:t>
      </w:r>
      <w:r w:rsidR="00335E79">
        <w:noBreakHyphen/>
        <w:t>61</w:t>
      </w:r>
      <w:r w:rsidRPr="00E6110F">
        <w:fldChar w:fldCharType="end"/>
      </w:r>
      <w:r w:rsidRPr="00E6110F">
        <w:t xml:space="preserve">). For each pathline the total travel time between point of release </w:t>
      </w:r>
      <w:r w:rsidR="004B3E5A">
        <w:t xml:space="preserve">(receptor locations) </w:t>
      </w:r>
      <w:r w:rsidRPr="00E6110F">
        <w:t>and source was evaluated: the results showed that the majority of pathlines had extremely long travel times (&gt;10</w:t>
      </w:r>
      <w:r w:rsidRPr="00E6110F">
        <w:rPr>
          <w:vertAlign w:val="superscript"/>
        </w:rPr>
        <w:t>7</w:t>
      </w:r>
      <w:r w:rsidRPr="00E6110F">
        <w:t xml:space="preserve"> years), even though receptor and source were locat</w:t>
      </w:r>
      <w:r>
        <w:t>ed</w:t>
      </w:r>
      <w:r w:rsidRPr="00E6110F">
        <w:t xml:space="preserve"> within a short distance of one another. </w:t>
      </w:r>
      <w:r w:rsidR="009D6CDE" w:rsidRPr="009D6CDE">
        <w:t xml:space="preserve">This was due to the significant lengths of time required for particles to pass through low permeability aquitard units. </w:t>
      </w:r>
      <w:r w:rsidR="009D6CDE">
        <w:t>R</w:t>
      </w:r>
      <w:r w:rsidRPr="00E6110F">
        <w:t xml:space="preserve">eceptor-source pairs with such extremely long travel time were subsequently omitted from the data set. </w:t>
      </w:r>
    </w:p>
    <w:p w14:paraId="1987932F" w14:textId="7E7A77F5" w:rsidR="00E80FAD" w:rsidRPr="00E6110F" w:rsidRDefault="00E80FAD" w:rsidP="00E80FAD">
      <w:pPr>
        <w:pStyle w:val="Body"/>
      </w:pPr>
      <w:r w:rsidRPr="00E6110F">
        <w:t>Receptor-source pairs with travel times less than 10</w:t>
      </w:r>
      <w:r w:rsidRPr="00E6110F">
        <w:rPr>
          <w:vertAlign w:val="superscript"/>
        </w:rPr>
        <w:t>5</w:t>
      </w:r>
      <w:r w:rsidRPr="00E6110F">
        <w:t xml:space="preserve"> years (i.e. 25 and 34 particles for the “top” and “bottom” approaches respectively) are shown (</w:t>
      </w:r>
      <w:r w:rsidRPr="00E6110F">
        <w:fldChar w:fldCharType="begin" w:fldLock="1"/>
      </w:r>
      <w:r w:rsidRPr="00E6110F">
        <w:instrText xml:space="preserve"> REF _Ref453259368 \h </w:instrText>
      </w:r>
      <w:r>
        <w:instrText xml:space="preserve"> \* MERGEFORMAT </w:instrText>
      </w:r>
      <w:r w:rsidRPr="00E6110F">
        <w:fldChar w:fldCharType="separate"/>
      </w:r>
      <w:r w:rsidR="00335E79" w:rsidRPr="00E6110F">
        <w:t xml:space="preserve">Figure </w:t>
      </w:r>
      <w:r w:rsidR="00335E79">
        <w:rPr>
          <w:noProof/>
        </w:rPr>
        <w:t>2</w:t>
      </w:r>
      <w:r w:rsidR="00335E79">
        <w:rPr>
          <w:noProof/>
        </w:rPr>
        <w:noBreakHyphen/>
        <w:t>62</w:t>
      </w:r>
      <w:r w:rsidRPr="00E6110F">
        <w:fldChar w:fldCharType="end"/>
      </w:r>
      <w:r w:rsidRPr="00E6110F">
        <w:t xml:space="preserve">). The distributions of travel times were then classified using four groups; i.e. from 0 to 100 years, from 100 to 1,000 years, from 1,000 to 10,000 years, and from 10,000 to 100,000 years. For each receptor-source pair, the linear distance or proximity was determined as is shown in </w:t>
      </w:r>
      <w:r w:rsidRPr="00E6110F">
        <w:fldChar w:fldCharType="begin" w:fldLock="1"/>
      </w:r>
      <w:r w:rsidRPr="00E6110F">
        <w:instrText xml:space="preserve"> REF _Ref453260542 \h </w:instrText>
      </w:r>
      <w:r>
        <w:instrText xml:space="preserve"> \* MERGEFORMAT </w:instrText>
      </w:r>
      <w:r w:rsidRPr="00E6110F">
        <w:fldChar w:fldCharType="separate"/>
      </w:r>
      <w:r w:rsidR="00335E79" w:rsidRPr="00E6110F">
        <w:t xml:space="preserve">Figure </w:t>
      </w:r>
      <w:r w:rsidR="00335E79">
        <w:rPr>
          <w:noProof/>
        </w:rPr>
        <w:t>2</w:t>
      </w:r>
      <w:r w:rsidR="00335E79">
        <w:rPr>
          <w:noProof/>
        </w:rPr>
        <w:noBreakHyphen/>
        <w:t>63</w:t>
      </w:r>
      <w:r w:rsidRPr="00E6110F">
        <w:fldChar w:fldCharType="end"/>
      </w:r>
      <w:r w:rsidRPr="00E6110F">
        <w:t>. Proximity statistics (mean, standard deviation) were calculated for each group (</w:t>
      </w:r>
      <w:r w:rsidRPr="00E6110F">
        <w:fldChar w:fldCharType="begin" w:fldLock="1"/>
      </w:r>
      <w:r w:rsidRPr="00E6110F">
        <w:instrText xml:space="preserve"> REF _Ref454384797 \h  \* MERGEFORMAT </w:instrText>
      </w:r>
      <w:r w:rsidRPr="00E6110F">
        <w:fldChar w:fldCharType="separate"/>
      </w:r>
      <w:r w:rsidR="00335E79" w:rsidRPr="00DA539C">
        <w:t xml:space="preserve">Table </w:t>
      </w:r>
      <w:r w:rsidR="00335E79">
        <w:t>2</w:t>
      </w:r>
      <w:r w:rsidR="00335E79">
        <w:noBreakHyphen/>
        <w:t>24</w:t>
      </w:r>
      <w:r w:rsidRPr="00E6110F">
        <w:fldChar w:fldCharType="end"/>
      </w:r>
      <w:r w:rsidRPr="00E6110F">
        <w:t>).</w:t>
      </w:r>
    </w:p>
    <w:p w14:paraId="2DD4A635" w14:textId="77777777" w:rsidR="004C2E00" w:rsidRDefault="004C2E00" w:rsidP="00C008A8">
      <w:pPr>
        <w:pStyle w:val="Body"/>
      </w:pPr>
    </w:p>
    <w:p w14:paraId="5ACF0A40" w14:textId="7BF9BECF" w:rsidR="004C2E00" w:rsidRDefault="00F22E49" w:rsidP="004C2E00">
      <w:pPr>
        <w:pStyle w:val="Body"/>
        <w:jc w:val="center"/>
      </w:pPr>
      <w:r>
        <w:rPr>
          <w:noProof/>
          <w:lang w:val="en-AU" w:eastAsia="en-AU"/>
        </w:rPr>
        <w:drawing>
          <wp:inline distT="0" distB="0" distL="0" distR="0" wp14:anchorId="0044EE85" wp14:editId="7B9357C1">
            <wp:extent cx="3780000" cy="3780000"/>
            <wp:effectExtent l="0" t="0" r="0" b="0"/>
            <wp:docPr id="568" name="Picture 568" descr="Map of all 1267 receptors and source locations calculated using backwards particle tracking. Top approach." title="Fig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OWS_FAM\C_drive_files_transferred_150616\Modelling\SS_particle_tracking_v5_L01_backward_top\Workings_v07_140317_ALL_paths_top.pn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3780000" cy="3780000"/>
                    </a:xfrm>
                    <a:prstGeom prst="rect">
                      <a:avLst/>
                    </a:prstGeom>
                    <a:noFill/>
                    <a:ln>
                      <a:noFill/>
                    </a:ln>
                  </pic:spPr>
                </pic:pic>
              </a:graphicData>
            </a:graphic>
          </wp:inline>
        </w:drawing>
      </w:r>
      <w:r>
        <w:rPr>
          <w:noProof/>
          <w:lang w:val="en-AU" w:eastAsia="en-AU"/>
        </w:rPr>
        <w:drawing>
          <wp:inline distT="0" distB="0" distL="0" distR="0" wp14:anchorId="484CEEA8" wp14:editId="4978D7C2">
            <wp:extent cx="3780000" cy="3780000"/>
            <wp:effectExtent l="0" t="0" r="0" b="0"/>
            <wp:docPr id="565" name="Picture 565" descr="Map of all 1267 receptors and source locations calculated using backwards particle tracking. Bottom approach." title="Fig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OWS_FAM\C_drive_files_transferred_150616\Modelling\SS_particle_tracking_v5_L01_backward_top\Workings_v07_140317_ALL_paths_bot.pn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3780000" cy="3780000"/>
                    </a:xfrm>
                    <a:prstGeom prst="rect">
                      <a:avLst/>
                    </a:prstGeom>
                    <a:noFill/>
                    <a:ln>
                      <a:noFill/>
                    </a:ln>
                  </pic:spPr>
                </pic:pic>
              </a:graphicData>
            </a:graphic>
          </wp:inline>
        </w:drawing>
      </w:r>
    </w:p>
    <w:p w14:paraId="63A08E84" w14:textId="371A0F00" w:rsidR="004C2E00" w:rsidRPr="00E6110F" w:rsidRDefault="004C2E00" w:rsidP="004C2E00">
      <w:pPr>
        <w:pStyle w:val="Body"/>
        <w:jc w:val="center"/>
      </w:pPr>
    </w:p>
    <w:p w14:paraId="17F3E7B1" w14:textId="7D1AC50D" w:rsidR="00C008A8" w:rsidRPr="00E6110F" w:rsidRDefault="00823A92" w:rsidP="00FF0E92">
      <w:pPr>
        <w:pStyle w:val="Imagecaption"/>
      </w:pPr>
      <w:bookmarkStart w:id="300" w:name="_Ref453258227"/>
      <w:bookmarkStart w:id="301" w:name="_Toc477347592"/>
      <w:r>
        <w:t>F</w:t>
      </w:r>
      <w:r w:rsidR="00C008A8" w:rsidRPr="00E6110F">
        <w:t xml:space="preserve">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60</w:t>
      </w:r>
      <w:r w:rsidR="00254026">
        <w:fldChar w:fldCharType="end"/>
      </w:r>
      <w:bookmarkEnd w:id="300"/>
      <w:r w:rsidR="00C008A8" w:rsidRPr="00E6110F">
        <w:t xml:space="preserve">  Pathlines between </w:t>
      </w:r>
      <w:r w:rsidR="007F4625" w:rsidRPr="00E6110F">
        <w:t xml:space="preserve">all 1267 </w:t>
      </w:r>
      <w:r w:rsidR="00C008A8" w:rsidRPr="00E6110F">
        <w:t xml:space="preserve">receptors and source locations (any starting point of a groundwater flow path) calculated using backward particle tracking for (a) “top” and (b) “bottom” approaches. </w:t>
      </w:r>
      <w:r w:rsidR="007F4625" w:rsidRPr="00E6110F">
        <w:t xml:space="preserve">A total of </w:t>
      </w:r>
      <w:r w:rsidR="000A1189" w:rsidRPr="00E12BE8">
        <w:t>951 and 983</w:t>
      </w:r>
      <w:r w:rsidR="00C008A8" w:rsidRPr="00E6110F">
        <w:t xml:space="preserve"> particles are shown for the “top” and “bottom” approaches</w:t>
      </w:r>
      <w:r w:rsidR="00940D97" w:rsidRPr="00E6110F">
        <w:t>,</w:t>
      </w:r>
      <w:r w:rsidR="00C008A8" w:rsidRPr="00E6110F">
        <w:t xml:space="preserve"> respectively (with one particle released per receptor).</w:t>
      </w:r>
      <w:bookmarkEnd w:id="301"/>
    </w:p>
    <w:p w14:paraId="769515B6" w14:textId="77777777" w:rsidR="00C008A8" w:rsidRPr="00E6110F" w:rsidRDefault="00C008A8" w:rsidP="00C008A8">
      <w:pPr>
        <w:pStyle w:val="Body"/>
      </w:pPr>
    </w:p>
    <w:p w14:paraId="4D07BA0A" w14:textId="4534AC66" w:rsidR="00C008A8" w:rsidRDefault="00F22E49" w:rsidP="00685E6D">
      <w:pPr>
        <w:pStyle w:val="Body"/>
        <w:jc w:val="center"/>
      </w:pPr>
      <w:r>
        <w:rPr>
          <w:noProof/>
          <w:lang w:val="en-AU" w:eastAsia="en-AU"/>
        </w:rPr>
        <w:drawing>
          <wp:inline distT="0" distB="0" distL="0" distR="0" wp14:anchorId="10C69E73" wp14:editId="71251BEE">
            <wp:extent cx="3780000" cy="3780000"/>
            <wp:effectExtent l="0" t="0" r="0" b="0"/>
            <wp:docPr id="564" name="Picture 564" descr="Map of pathlines between receptors and source locations calculated using backwards particle tracking. Top Approach." title="Figure 2-61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WS_FAM\C_drive_files_transferred_150616\Modelling\SS_particle_tracking_v5_L01_backward_top\Workings_v07_140317_NGDP_paths_top.pn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3780000" cy="3780000"/>
                    </a:xfrm>
                    <a:prstGeom prst="rect">
                      <a:avLst/>
                    </a:prstGeom>
                    <a:noFill/>
                    <a:ln>
                      <a:noFill/>
                    </a:ln>
                  </pic:spPr>
                </pic:pic>
              </a:graphicData>
            </a:graphic>
          </wp:inline>
        </w:drawing>
      </w:r>
    </w:p>
    <w:p w14:paraId="2CC7D744" w14:textId="154AE455" w:rsidR="00685E6D" w:rsidRDefault="00F22E49" w:rsidP="00685E6D">
      <w:pPr>
        <w:pStyle w:val="Body"/>
        <w:jc w:val="center"/>
      </w:pPr>
      <w:r>
        <w:rPr>
          <w:noProof/>
          <w:lang w:val="en-AU" w:eastAsia="en-AU"/>
        </w:rPr>
        <w:drawing>
          <wp:inline distT="0" distB="0" distL="0" distR="0" wp14:anchorId="6FDB5267" wp14:editId="2C293209">
            <wp:extent cx="3780000" cy="3780000"/>
            <wp:effectExtent l="0" t="0" r="0" b="0"/>
            <wp:docPr id="550" name="Picture 550" descr="Map of pathlines between receptors and source locations calculated using backwards particle tracking. Bottom Approach." title="Figure 2-61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OWS_FAM\C_drive_files_transferred_150616\Modelling\SS_particle_tracking_v5_L01_backward_top\Workings_v07_140317_NGDP_paths_bot.pn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780000" cy="3780000"/>
                    </a:xfrm>
                    <a:prstGeom prst="rect">
                      <a:avLst/>
                    </a:prstGeom>
                    <a:noFill/>
                    <a:ln>
                      <a:noFill/>
                    </a:ln>
                  </pic:spPr>
                </pic:pic>
              </a:graphicData>
            </a:graphic>
          </wp:inline>
        </w:drawing>
      </w:r>
    </w:p>
    <w:p w14:paraId="6CD3B503" w14:textId="75265CDA" w:rsidR="00837970" w:rsidRPr="00E6110F" w:rsidRDefault="00837970" w:rsidP="00685E6D">
      <w:pPr>
        <w:pStyle w:val="Body"/>
        <w:jc w:val="center"/>
      </w:pPr>
    </w:p>
    <w:p w14:paraId="3C78E8A0" w14:textId="5BC51E71" w:rsidR="00C008A8" w:rsidRPr="00E6110F" w:rsidRDefault="00C008A8" w:rsidP="00FF0E92">
      <w:pPr>
        <w:pStyle w:val="Imagecaption"/>
      </w:pPr>
      <w:bookmarkStart w:id="302" w:name="_Ref453258807"/>
      <w:bookmarkStart w:id="303" w:name="_Toc477347593"/>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61</w:t>
      </w:r>
      <w:r w:rsidR="00254026">
        <w:fldChar w:fldCharType="end"/>
      </w:r>
      <w:bookmarkEnd w:id="302"/>
      <w:r w:rsidRPr="00E6110F">
        <w:t xml:space="preserve"> Pathlines between receptors </w:t>
      </w:r>
      <w:r w:rsidR="007F4625" w:rsidRPr="00E6110F">
        <w:t xml:space="preserve">(connected to sources within the </w:t>
      </w:r>
      <w:r w:rsidR="00211393">
        <w:t>study area</w:t>
      </w:r>
      <w:r w:rsidR="007F4625" w:rsidRPr="00E6110F">
        <w:t xml:space="preserve">) </w:t>
      </w:r>
      <w:r w:rsidRPr="00E6110F">
        <w:t xml:space="preserve">and source locations (any starting point of a groundwater flow path) calculated using backward particle tracking for (a) “top” and (b) “bottom” approaches. </w:t>
      </w:r>
      <w:r w:rsidR="007F4625" w:rsidRPr="00E6110F">
        <w:t xml:space="preserve">A total of </w:t>
      </w:r>
      <w:r w:rsidR="000A1189">
        <w:t xml:space="preserve">87 and </w:t>
      </w:r>
      <w:r w:rsidR="00D72C25">
        <w:t>10</w:t>
      </w:r>
      <w:r w:rsidRPr="00E6110F">
        <w:t>7 receptor-source pairs are shown for the “top” and “bottom” approaches</w:t>
      </w:r>
      <w:r w:rsidR="00DB6A96" w:rsidRPr="00E6110F">
        <w:t>,</w:t>
      </w:r>
      <w:r w:rsidRPr="00E6110F">
        <w:t xml:space="preserve"> respectively (one particle released per receptor).</w:t>
      </w:r>
      <w:bookmarkEnd w:id="303"/>
    </w:p>
    <w:p w14:paraId="4EF5B4C8" w14:textId="1164DC40" w:rsidR="00C008A8" w:rsidRDefault="00F22E49" w:rsidP="006648D0">
      <w:pPr>
        <w:pStyle w:val="Body"/>
        <w:jc w:val="center"/>
      </w:pPr>
      <w:r>
        <w:rPr>
          <w:noProof/>
          <w:lang w:val="en-AU" w:eastAsia="en-AU"/>
        </w:rPr>
        <w:drawing>
          <wp:inline distT="0" distB="0" distL="0" distR="0" wp14:anchorId="1B862864" wp14:editId="681F7B83">
            <wp:extent cx="3780000" cy="3780000"/>
            <wp:effectExtent l="0" t="0" r="0" b="0"/>
            <wp:docPr id="94" name="Picture 94" descr="Map of pathlines between receptors and source locations calculated using backwards particle tracking. Top Approach." title="Figure 2-62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OWS_FAM\C_drive_files_transferred_150616\Modelling\SS_particle_tracking_v5_L01_backward_top\Workings_v07_140317_ALL_sub5y_paths_top.pn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780000" cy="3780000"/>
                    </a:xfrm>
                    <a:prstGeom prst="rect">
                      <a:avLst/>
                    </a:prstGeom>
                    <a:noFill/>
                    <a:ln>
                      <a:noFill/>
                    </a:ln>
                  </pic:spPr>
                </pic:pic>
              </a:graphicData>
            </a:graphic>
          </wp:inline>
        </w:drawing>
      </w:r>
      <w:r>
        <w:rPr>
          <w:noProof/>
          <w:lang w:val="en-AU" w:eastAsia="en-AU"/>
        </w:rPr>
        <w:drawing>
          <wp:inline distT="0" distB="0" distL="0" distR="0" wp14:anchorId="2AD3294F" wp14:editId="7803CAC2">
            <wp:extent cx="3780000" cy="3780000"/>
            <wp:effectExtent l="0" t="0" r="0" b="0"/>
            <wp:docPr id="40" name="Picture 40" descr="Map of pathlines between receptors and source locations calculated using backwards particle tracking. Bottom Approach." title="Figure 2-62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OWS_FAM\C_drive_files_transferred_150616\Modelling\SS_particle_tracking_v5_L01_backward_top\Workings_v07_140317_ALL_sub5y_paths_bot.pn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780000" cy="3780000"/>
                    </a:xfrm>
                    <a:prstGeom prst="rect">
                      <a:avLst/>
                    </a:prstGeom>
                    <a:noFill/>
                    <a:ln>
                      <a:noFill/>
                    </a:ln>
                  </pic:spPr>
                </pic:pic>
              </a:graphicData>
            </a:graphic>
          </wp:inline>
        </w:drawing>
      </w:r>
    </w:p>
    <w:p w14:paraId="7FB2A1EC" w14:textId="656242B6" w:rsidR="009E5D0B" w:rsidRPr="00E6110F" w:rsidRDefault="009E5D0B" w:rsidP="006648D0">
      <w:pPr>
        <w:pStyle w:val="Body"/>
        <w:jc w:val="center"/>
      </w:pPr>
    </w:p>
    <w:p w14:paraId="4325457B" w14:textId="33341908" w:rsidR="00C008A8" w:rsidRPr="00E6110F" w:rsidRDefault="00C008A8" w:rsidP="00FF0E92">
      <w:pPr>
        <w:pStyle w:val="Imagecaption"/>
      </w:pPr>
      <w:bookmarkStart w:id="304" w:name="_Ref453259368"/>
      <w:bookmarkStart w:id="305" w:name="_Toc477347594"/>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62</w:t>
      </w:r>
      <w:r w:rsidR="00254026">
        <w:fldChar w:fldCharType="end"/>
      </w:r>
      <w:bookmarkEnd w:id="304"/>
      <w:r w:rsidRPr="00E6110F">
        <w:t xml:space="preserve"> Pathlines between receptors and source locations (any starting point of a groundwater flow path) </w:t>
      </w:r>
      <w:r w:rsidR="00CA7E82" w:rsidRPr="00E6110F">
        <w:t>with travel time less than 10</w:t>
      </w:r>
      <w:r w:rsidR="00CA7E82" w:rsidRPr="00E6110F">
        <w:rPr>
          <w:vertAlign w:val="superscript"/>
        </w:rPr>
        <w:t>5</w:t>
      </w:r>
      <w:r w:rsidR="00CA7E82" w:rsidRPr="00E6110F">
        <w:t xml:space="preserve"> year</w:t>
      </w:r>
      <w:r w:rsidR="009A3C0D" w:rsidRPr="00E6110F">
        <w:t>s</w:t>
      </w:r>
      <w:r w:rsidR="00CA7E82" w:rsidRPr="00E6110F">
        <w:t xml:space="preserve"> </w:t>
      </w:r>
      <w:r w:rsidRPr="00E6110F">
        <w:t xml:space="preserve">calculated using backward particle tracking for (a) “top” and (b) “bottom” approaches. </w:t>
      </w:r>
      <w:r w:rsidR="007F4625" w:rsidRPr="00E6110F">
        <w:t xml:space="preserve">A total </w:t>
      </w:r>
      <w:r w:rsidR="007F4625" w:rsidRPr="00E12BE8">
        <w:t xml:space="preserve">of </w:t>
      </w:r>
      <w:r w:rsidR="000A1189" w:rsidRPr="00E12BE8">
        <w:t>631 and 253</w:t>
      </w:r>
      <w:r w:rsidRPr="00E6110F">
        <w:t xml:space="preserve"> receptor-source pairs are shown for the “top” and “bottom” approaches</w:t>
      </w:r>
      <w:r w:rsidR="003D256F" w:rsidRPr="00E6110F">
        <w:t>,</w:t>
      </w:r>
      <w:r w:rsidRPr="00E6110F">
        <w:t xml:space="preserve"> respectively</w:t>
      </w:r>
      <w:r w:rsidR="003D256F" w:rsidRPr="00E6110F">
        <w:t xml:space="preserve"> </w:t>
      </w:r>
      <w:r w:rsidRPr="00E6110F">
        <w:t>(one particle released per receptor).</w:t>
      </w:r>
      <w:bookmarkEnd w:id="305"/>
    </w:p>
    <w:p w14:paraId="07E75DF2" w14:textId="5B008236" w:rsidR="00C008A8" w:rsidRPr="00E6110F" w:rsidRDefault="00B163EE" w:rsidP="00B163EE">
      <w:pPr>
        <w:pStyle w:val="Body"/>
        <w:jc w:val="center"/>
      </w:pPr>
      <w:r>
        <w:rPr>
          <w:noProof/>
          <w:lang w:val="en-AU" w:eastAsia="en-AU"/>
        </w:rPr>
        <w:drawing>
          <wp:inline distT="0" distB="0" distL="0" distR="0" wp14:anchorId="3D903DBD" wp14:editId="31651523">
            <wp:extent cx="3780000" cy="3780000"/>
            <wp:effectExtent l="0" t="0" r="0" b="0"/>
            <wp:docPr id="39" name="Picture 39" descr="Map of proximities (straight line distances) between receptors and source locationsfrom backwards particle tracking model. Top Approach." title="Figure 2-63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WS_FAM\C_drive_files_transferred_150616\Modelling\SS_particle_tracking_v5_L01_backward_top\Workings_v07_140317_ALL_sub5y_proximities_top.pn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780000" cy="3780000"/>
                    </a:xfrm>
                    <a:prstGeom prst="rect">
                      <a:avLst/>
                    </a:prstGeom>
                    <a:noFill/>
                    <a:ln>
                      <a:noFill/>
                    </a:ln>
                  </pic:spPr>
                </pic:pic>
              </a:graphicData>
            </a:graphic>
          </wp:inline>
        </w:drawing>
      </w:r>
    </w:p>
    <w:p w14:paraId="6A27B9DC" w14:textId="6C83FA0E" w:rsidR="00C008A8" w:rsidRDefault="00B163EE" w:rsidP="0014601B">
      <w:pPr>
        <w:pStyle w:val="Body"/>
        <w:jc w:val="center"/>
      </w:pPr>
      <w:r>
        <w:rPr>
          <w:noProof/>
          <w:lang w:val="en-AU" w:eastAsia="en-AU"/>
        </w:rPr>
        <w:drawing>
          <wp:inline distT="0" distB="0" distL="0" distR="0" wp14:anchorId="28D49A40" wp14:editId="601A2E51">
            <wp:extent cx="3780000" cy="3780000"/>
            <wp:effectExtent l="0" t="0" r="0" b="0"/>
            <wp:docPr id="9" name="Picture 9" descr="Map of proximities (straight line distances) between receptors and source locationsfrom backwards particle tracking model. Top Approach." title="Figure 2-63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OWS_FAM\C_drive_files_transferred_150616\Modelling\SS_particle_tracking_v5_L01_backward_top\Workings_v07_140317_ALL_sub5y_proximities_bot.pn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780000" cy="3780000"/>
                    </a:xfrm>
                    <a:prstGeom prst="rect">
                      <a:avLst/>
                    </a:prstGeom>
                    <a:noFill/>
                    <a:ln>
                      <a:noFill/>
                    </a:ln>
                  </pic:spPr>
                </pic:pic>
              </a:graphicData>
            </a:graphic>
          </wp:inline>
        </w:drawing>
      </w:r>
    </w:p>
    <w:p w14:paraId="14AD0A90" w14:textId="1E1CEE5D" w:rsidR="0014601B" w:rsidRPr="00E6110F" w:rsidRDefault="0014601B" w:rsidP="0014601B">
      <w:pPr>
        <w:pStyle w:val="Body"/>
        <w:jc w:val="center"/>
      </w:pPr>
    </w:p>
    <w:p w14:paraId="111217C6" w14:textId="6F9992F6" w:rsidR="00C008A8" w:rsidRPr="00E6110F" w:rsidRDefault="00C008A8" w:rsidP="00FF0E92">
      <w:pPr>
        <w:pStyle w:val="Imagecaption"/>
      </w:pPr>
      <w:bookmarkStart w:id="306" w:name="_Ref453260542"/>
      <w:bookmarkStart w:id="307" w:name="_Toc477347595"/>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63</w:t>
      </w:r>
      <w:r w:rsidR="00254026">
        <w:fldChar w:fldCharType="end"/>
      </w:r>
      <w:bookmarkEnd w:id="306"/>
      <w:r w:rsidRPr="00E6110F">
        <w:t xml:space="preserve"> Proximities between receptors and source locations (any starting point of a groundwater flow path) </w:t>
      </w:r>
      <w:r w:rsidR="00750B96" w:rsidRPr="00E6110F">
        <w:t>for travel times less than 10</w:t>
      </w:r>
      <w:r w:rsidR="00750B96" w:rsidRPr="00E6110F">
        <w:rPr>
          <w:vertAlign w:val="superscript"/>
        </w:rPr>
        <w:t>5</w:t>
      </w:r>
      <w:r w:rsidR="00750B96" w:rsidRPr="00E6110F">
        <w:t xml:space="preserve"> years </w:t>
      </w:r>
      <w:r w:rsidRPr="00E6110F">
        <w:t xml:space="preserve">for (a) “top” and (b) “bottom” approaches. </w:t>
      </w:r>
      <w:r w:rsidR="000A1189">
        <w:t xml:space="preserve">A total </w:t>
      </w:r>
      <w:r w:rsidR="000A1189" w:rsidRPr="00E12BE8">
        <w:t>of 631</w:t>
      </w:r>
      <w:r w:rsidRPr="00E12BE8">
        <w:t xml:space="preserve"> and </w:t>
      </w:r>
      <w:r w:rsidR="000A1189" w:rsidRPr="00E12BE8">
        <w:t>253</w:t>
      </w:r>
      <w:r w:rsidRPr="00E6110F">
        <w:t xml:space="preserve"> receptor-source pairs are shown for the “top” and “bottom” approaches</w:t>
      </w:r>
      <w:r w:rsidR="009A3C0D" w:rsidRPr="00E6110F">
        <w:t>,</w:t>
      </w:r>
      <w:r w:rsidRPr="00E6110F">
        <w:t xml:space="preserve"> respectively (one particle released per receptor).</w:t>
      </w:r>
      <w:bookmarkEnd w:id="307"/>
    </w:p>
    <w:p w14:paraId="4BCBE7F8" w14:textId="11C22763" w:rsidR="00484AF3" w:rsidRDefault="00E80FAD" w:rsidP="00C008A8">
      <w:pPr>
        <w:pStyle w:val="Body"/>
      </w:pPr>
      <w:bookmarkStart w:id="308" w:name="_Ref453259865"/>
      <w:r w:rsidRPr="00E6110F">
        <w:t>Comparisons between the results of the “top” and “bottom” approaches (Table 2-12) highlight the sensitivity of particle tracking results to initial particle locations. Particles released at the top of cells containing a receptor were associated with relatively short travel time; i.e. less than 1</w:t>
      </w:r>
      <w:r w:rsidR="00CD2A24">
        <w:t>,</w:t>
      </w:r>
      <w:r w:rsidRPr="00E6110F">
        <w:t>000 years, with most particles (20 of 24) less than 100 years. In comparison, particles released at the bottom of cells containing a receptor were associated with much longer travel times; i.e. up to 100,000 years. The distribution of travel times was evenly dispersed across the four classes, with each class representing no less than 18% (i.e. 6 of 34) of the total distribution. These results are consistent with the accepted understanding of nested groundwater flow systems in surficial aquifers (Tóth 1962, 1963). Particles released at the surface are more likely to encounter shallow, local scale groundwater flow paths. Conversely, particles released in the subsurface will encounter deeper, longer groundwater flow paths.</w:t>
      </w:r>
      <w:r w:rsidR="004034EC">
        <w:t xml:space="preserve"> </w:t>
      </w:r>
    </w:p>
    <w:p w14:paraId="5C30EC9D" w14:textId="7883C8E8" w:rsidR="004662B7" w:rsidRPr="00E6110F" w:rsidRDefault="004034EC" w:rsidP="00C008A8">
      <w:pPr>
        <w:pStyle w:val="Body"/>
      </w:pPr>
      <w:r>
        <w:t xml:space="preserve">For the purpose of dilution and attenuation calculations, the minimum travel time of 10 years was combined with the minimal travel distance of </w:t>
      </w:r>
      <w:r w:rsidR="00484AF3">
        <w:t xml:space="preserve">0.5 km to derive a particle velocity of 0.14 m/day. Note this is not the overall maximum velocity encountered in the area; based on </w:t>
      </w:r>
      <w:r w:rsidR="00484AF3">
        <w:fldChar w:fldCharType="begin" w:fldLock="1"/>
      </w:r>
      <w:r w:rsidR="00484AF3">
        <w:instrText xml:space="preserve"> REF _Ref454384797 \h  \* MERGEFORMAT </w:instrText>
      </w:r>
      <w:r w:rsidR="00484AF3">
        <w:fldChar w:fldCharType="separate"/>
      </w:r>
      <w:r w:rsidR="00335E79" w:rsidRPr="00DA539C">
        <w:t xml:space="preserve">Table </w:t>
      </w:r>
      <w:r w:rsidR="00335E79">
        <w:t>2</w:t>
      </w:r>
      <w:r w:rsidR="00335E79">
        <w:noBreakHyphen/>
        <w:t>24</w:t>
      </w:r>
      <w:r w:rsidR="00484AF3">
        <w:fldChar w:fldCharType="end"/>
      </w:r>
      <w:r w:rsidR="00484AF3">
        <w:t xml:space="preserve"> the maximum velocity is 0.26 m/day.</w:t>
      </w:r>
      <w:r>
        <w:t xml:space="preserve"> </w:t>
      </w:r>
      <w:r w:rsidR="00484AF3">
        <w:t>In the subsequent dilution and attenuation calculations, the minimum (10 years), mean (</w:t>
      </w:r>
      <w:r w:rsidR="00AA3CDD">
        <w:t>34 years</w:t>
      </w:r>
      <w:r w:rsidR="00484AF3">
        <w:t>), and maximum (</w:t>
      </w:r>
      <w:r w:rsidR="00AA3CDD">
        <w:t>92 years</w:t>
      </w:r>
      <w:r w:rsidR="00484AF3">
        <w:t>) travel time will be used as key parameters.</w:t>
      </w:r>
      <w:r>
        <w:t xml:space="preserve"> </w:t>
      </w:r>
    </w:p>
    <w:p w14:paraId="5BF238D2" w14:textId="77777777" w:rsidR="004662B7" w:rsidRPr="00E6110F" w:rsidRDefault="004662B7" w:rsidP="00C008A8">
      <w:pPr>
        <w:pStyle w:val="Body"/>
      </w:pPr>
    </w:p>
    <w:p w14:paraId="2EE6B829" w14:textId="72BF58ED" w:rsidR="00C008A8" w:rsidRPr="00DA539C" w:rsidRDefault="00C008A8" w:rsidP="00DA539C">
      <w:pPr>
        <w:pStyle w:val="Imagecaption"/>
        <w:keepNext/>
        <w:pBdr>
          <w:top w:val="none" w:sz="0" w:space="0" w:color="auto"/>
        </w:pBdr>
      </w:pPr>
      <w:bookmarkStart w:id="309" w:name="_Ref454384797"/>
      <w:bookmarkStart w:id="310" w:name="_Toc494444714"/>
      <w:r w:rsidRPr="00DA539C">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24</w:t>
      </w:r>
      <w:r w:rsidR="00470577">
        <w:fldChar w:fldCharType="end"/>
      </w:r>
      <w:bookmarkEnd w:id="308"/>
      <w:bookmarkEnd w:id="309"/>
      <w:r w:rsidRPr="00DA539C">
        <w:t xml:space="preserve">  Backward particle tracking travel time classes and corresponding proximity statistics for particles released at receptor locations located within a 30 km radius of the </w:t>
      </w:r>
      <w:r w:rsidR="00211393">
        <w:t>study area</w:t>
      </w:r>
      <w:r w:rsidRPr="00DA539C">
        <w:t xml:space="preserve"> and tracked backward (i.e. upgradient) to locations within the </w:t>
      </w:r>
      <w:r w:rsidR="00211393">
        <w:t>study area</w:t>
      </w:r>
      <w:r w:rsidRPr="00DA539C">
        <w:t xml:space="preserve"> .</w:t>
      </w:r>
      <w:r w:rsidR="00BA293A" w:rsidRPr="00DA539C">
        <w:t xml:space="preserve"> Da</w:t>
      </w:r>
      <w:r w:rsidR="00317FFB" w:rsidRPr="00DA539C">
        <w:t>t</w:t>
      </w:r>
      <w:r w:rsidR="00BA293A" w:rsidRPr="00DA539C">
        <w:t>a representative for Pilliga Sandstone.</w:t>
      </w:r>
      <w:bookmarkEnd w:id="310"/>
    </w:p>
    <w:tbl>
      <w:tblPr>
        <w:tblStyle w:val="TableGrid"/>
        <w:tblW w:w="0" w:type="auto"/>
        <w:tblLook w:val="04A0" w:firstRow="1" w:lastRow="0" w:firstColumn="1" w:lastColumn="0" w:noHBand="0" w:noVBand="1"/>
      </w:tblPr>
      <w:tblGrid>
        <w:gridCol w:w="783"/>
        <w:gridCol w:w="1758"/>
        <w:gridCol w:w="2236"/>
        <w:gridCol w:w="2238"/>
        <w:gridCol w:w="1995"/>
      </w:tblGrid>
      <w:tr w:rsidR="005F6C1E" w:rsidRPr="00E6110F" w14:paraId="4B76B9F5" w14:textId="60C282FD" w:rsidTr="00136201">
        <w:tc>
          <w:tcPr>
            <w:tcW w:w="783" w:type="dxa"/>
            <w:shd w:val="clear" w:color="auto" w:fill="F2F2F2" w:themeFill="background1" w:themeFillShade="F2"/>
            <w:vAlign w:val="center"/>
          </w:tcPr>
          <w:p w14:paraId="6433D36F" w14:textId="77777777" w:rsidR="005F6C1E" w:rsidRPr="00E6110F" w:rsidRDefault="005F6C1E" w:rsidP="00136201">
            <w:pPr>
              <w:pStyle w:val="Body"/>
              <w:keepNext/>
              <w:spacing w:before="60" w:after="60"/>
            </w:pPr>
            <w:r w:rsidRPr="00E6110F">
              <w:t>Travel time class #</w:t>
            </w:r>
          </w:p>
        </w:tc>
        <w:tc>
          <w:tcPr>
            <w:tcW w:w="1758" w:type="dxa"/>
            <w:shd w:val="clear" w:color="auto" w:fill="F2F2F2" w:themeFill="background1" w:themeFillShade="F2"/>
            <w:vAlign w:val="center"/>
          </w:tcPr>
          <w:p w14:paraId="334341A9" w14:textId="77777777" w:rsidR="005F6C1E" w:rsidRPr="00E6110F" w:rsidRDefault="005F6C1E" w:rsidP="00136201">
            <w:pPr>
              <w:pStyle w:val="Body"/>
              <w:keepNext/>
              <w:spacing w:before="60" w:after="60"/>
            </w:pPr>
            <w:r w:rsidRPr="00E6110F">
              <w:t xml:space="preserve">Travel time </w:t>
            </w:r>
          </w:p>
        </w:tc>
        <w:tc>
          <w:tcPr>
            <w:tcW w:w="2236" w:type="dxa"/>
            <w:shd w:val="clear" w:color="auto" w:fill="F2F2F2" w:themeFill="background1" w:themeFillShade="F2"/>
            <w:vAlign w:val="center"/>
          </w:tcPr>
          <w:p w14:paraId="363ABF4C" w14:textId="77777777" w:rsidR="005F6C1E" w:rsidRPr="00E6110F" w:rsidRDefault="005F6C1E" w:rsidP="00E345EF">
            <w:pPr>
              <w:pStyle w:val="Body"/>
              <w:keepNext/>
              <w:spacing w:before="60" w:after="60"/>
            </w:pPr>
            <w:r w:rsidRPr="00E6110F">
              <w:t>“Top” particle release approach</w:t>
            </w:r>
          </w:p>
          <w:p w14:paraId="06C9845B" w14:textId="77777777" w:rsidR="005F6C1E" w:rsidRPr="00E6110F" w:rsidRDefault="005F6C1E" w:rsidP="00E345EF">
            <w:pPr>
              <w:pStyle w:val="Body"/>
              <w:keepNext/>
              <w:spacing w:before="60" w:after="60"/>
            </w:pPr>
            <w:r w:rsidRPr="00E6110F">
              <w:t xml:space="preserve"> Proximity (CSG well–receptor) (km)</w:t>
            </w:r>
          </w:p>
        </w:tc>
        <w:tc>
          <w:tcPr>
            <w:tcW w:w="2238" w:type="dxa"/>
            <w:shd w:val="clear" w:color="auto" w:fill="F2F2F2" w:themeFill="background1" w:themeFillShade="F2"/>
            <w:vAlign w:val="center"/>
          </w:tcPr>
          <w:p w14:paraId="7BE73DF1" w14:textId="77777777" w:rsidR="005F6C1E" w:rsidRPr="00E6110F" w:rsidRDefault="005F6C1E" w:rsidP="00E345EF">
            <w:pPr>
              <w:pStyle w:val="Body"/>
              <w:keepNext/>
              <w:spacing w:before="60" w:after="60"/>
            </w:pPr>
            <w:r w:rsidRPr="00E6110F">
              <w:t>“Bottom” particle release approach</w:t>
            </w:r>
          </w:p>
          <w:p w14:paraId="7140512A" w14:textId="77777777" w:rsidR="005F6C1E" w:rsidRPr="00E6110F" w:rsidRDefault="005F6C1E" w:rsidP="00E345EF">
            <w:pPr>
              <w:pStyle w:val="Body"/>
              <w:keepNext/>
              <w:spacing w:before="60" w:after="60"/>
            </w:pPr>
            <w:r w:rsidRPr="00E6110F">
              <w:t xml:space="preserve"> Proximity (CSG well–receptor) (km)</w:t>
            </w:r>
          </w:p>
        </w:tc>
        <w:tc>
          <w:tcPr>
            <w:tcW w:w="1995" w:type="dxa"/>
            <w:shd w:val="clear" w:color="auto" w:fill="F2F2F2" w:themeFill="background1" w:themeFillShade="F2"/>
            <w:vAlign w:val="center"/>
          </w:tcPr>
          <w:p w14:paraId="21280FE2" w14:textId="00F75E00" w:rsidR="005F6C1E" w:rsidRPr="00E6110F" w:rsidRDefault="005F6C1E" w:rsidP="00E345EF">
            <w:pPr>
              <w:pStyle w:val="Body"/>
              <w:keepNext/>
              <w:spacing w:before="60" w:after="60"/>
            </w:pPr>
            <w:r>
              <w:t>Particle velocity (m/day)</w:t>
            </w:r>
          </w:p>
        </w:tc>
      </w:tr>
      <w:tr w:rsidR="005F6C1E" w:rsidRPr="00E6110F" w14:paraId="52442961" w14:textId="18F62121" w:rsidTr="005F6C1E">
        <w:tc>
          <w:tcPr>
            <w:tcW w:w="783" w:type="dxa"/>
          </w:tcPr>
          <w:p w14:paraId="24C8D608" w14:textId="77777777" w:rsidR="005F6C1E" w:rsidRPr="00E6110F" w:rsidRDefault="005F6C1E" w:rsidP="00E345EF">
            <w:pPr>
              <w:pStyle w:val="Body"/>
              <w:keepNext/>
              <w:spacing w:before="60" w:after="60" w:line="240" w:lineRule="auto"/>
            </w:pPr>
            <w:r w:rsidRPr="00E6110F">
              <w:t>1</w:t>
            </w:r>
          </w:p>
        </w:tc>
        <w:tc>
          <w:tcPr>
            <w:tcW w:w="1758" w:type="dxa"/>
          </w:tcPr>
          <w:p w14:paraId="78B6D808" w14:textId="77777777" w:rsidR="005F6C1E" w:rsidRPr="00E6110F" w:rsidRDefault="005F6C1E" w:rsidP="00E345EF">
            <w:pPr>
              <w:pStyle w:val="Body"/>
              <w:keepNext/>
              <w:spacing w:before="60" w:after="60" w:line="240" w:lineRule="auto"/>
            </w:pPr>
            <w:r w:rsidRPr="00E6110F">
              <w:rPr>
                <w:i/>
              </w:rPr>
              <w:t>t</w:t>
            </w:r>
            <w:r w:rsidRPr="00E6110F">
              <w:t xml:space="preserve"> &lt; 100 year</w:t>
            </w:r>
          </w:p>
          <w:p w14:paraId="198A9A54" w14:textId="4C91262F" w:rsidR="005F6C1E" w:rsidRDefault="005F6C1E" w:rsidP="00E345EF">
            <w:pPr>
              <w:pStyle w:val="Body"/>
              <w:keepNext/>
              <w:spacing w:before="60" w:after="60" w:line="240" w:lineRule="auto"/>
            </w:pPr>
            <w:r w:rsidRPr="00E6110F">
              <w:t>Mean:</w:t>
            </w:r>
            <w:r>
              <w:t xml:space="preserve"> </w:t>
            </w:r>
            <w:r w:rsidR="005358E2">
              <w:t>33.8</w:t>
            </w:r>
          </w:p>
          <w:p w14:paraId="13C1A04E" w14:textId="1F78D931" w:rsidR="00DB783D" w:rsidRDefault="00DB783D" w:rsidP="00E345EF">
            <w:pPr>
              <w:pStyle w:val="Body"/>
              <w:keepNext/>
              <w:spacing w:before="60" w:after="60" w:line="240" w:lineRule="auto"/>
            </w:pPr>
            <w:r>
              <w:t>Min: 10.0</w:t>
            </w:r>
          </w:p>
          <w:p w14:paraId="062F81CB" w14:textId="7A30E48B" w:rsidR="00DB783D" w:rsidRPr="00E6110F" w:rsidRDefault="00DB783D" w:rsidP="00E345EF">
            <w:pPr>
              <w:pStyle w:val="Body"/>
              <w:keepNext/>
              <w:spacing w:before="60" w:after="60" w:line="240" w:lineRule="auto"/>
            </w:pPr>
            <w:r>
              <w:t>Max: 91.7</w:t>
            </w:r>
          </w:p>
          <w:p w14:paraId="47C7A535" w14:textId="08272800" w:rsidR="005F6C1E" w:rsidRPr="00E6110F" w:rsidRDefault="005F6C1E" w:rsidP="00E345EF">
            <w:pPr>
              <w:pStyle w:val="Body"/>
              <w:keepNext/>
              <w:spacing w:before="60" w:after="60" w:line="240" w:lineRule="auto"/>
            </w:pPr>
            <w:r w:rsidRPr="00E6110F">
              <w:t>Stdev:</w:t>
            </w:r>
            <w:r>
              <w:t xml:space="preserve"> 26.6</w:t>
            </w:r>
          </w:p>
        </w:tc>
        <w:tc>
          <w:tcPr>
            <w:tcW w:w="2236" w:type="dxa"/>
          </w:tcPr>
          <w:p w14:paraId="5119B3DA" w14:textId="77777777" w:rsidR="005F6C1E" w:rsidRPr="00E6110F" w:rsidRDefault="005F6C1E" w:rsidP="00E345EF">
            <w:pPr>
              <w:pStyle w:val="Body"/>
              <w:keepNext/>
              <w:spacing w:before="60" w:after="60" w:line="240" w:lineRule="auto"/>
            </w:pPr>
            <w:r w:rsidRPr="00E6110F">
              <w:t>n: 20</w:t>
            </w:r>
          </w:p>
          <w:p w14:paraId="6215849D" w14:textId="7DD082BB" w:rsidR="005F6C1E" w:rsidRDefault="004034EC" w:rsidP="00E345EF">
            <w:pPr>
              <w:pStyle w:val="Body"/>
              <w:keepNext/>
              <w:spacing w:before="60" w:after="60" w:line="240" w:lineRule="auto"/>
            </w:pPr>
            <w:r>
              <w:t>Mean: 1.36</w:t>
            </w:r>
          </w:p>
          <w:p w14:paraId="433430ED" w14:textId="77777777" w:rsidR="004034EC" w:rsidRDefault="004034EC" w:rsidP="00E345EF">
            <w:pPr>
              <w:pStyle w:val="Body"/>
              <w:keepNext/>
              <w:spacing w:before="60" w:after="60" w:line="240" w:lineRule="auto"/>
            </w:pPr>
            <w:r>
              <w:t>Min: 0.5</w:t>
            </w:r>
          </w:p>
          <w:p w14:paraId="447BC78D" w14:textId="3DA3EDDF" w:rsidR="004034EC" w:rsidRPr="00E6110F" w:rsidRDefault="004034EC" w:rsidP="00E345EF">
            <w:pPr>
              <w:pStyle w:val="Body"/>
              <w:keepNext/>
              <w:spacing w:before="60" w:after="60" w:line="240" w:lineRule="auto"/>
            </w:pPr>
            <w:r>
              <w:t>Max: 3.</w:t>
            </w:r>
            <w:r w:rsidR="00C06A63">
              <w:t>4</w:t>
            </w:r>
          </w:p>
          <w:p w14:paraId="6E8D73BE" w14:textId="77777777" w:rsidR="005F6C1E" w:rsidRPr="00E6110F" w:rsidRDefault="005F6C1E" w:rsidP="00E345EF">
            <w:pPr>
              <w:pStyle w:val="Body"/>
              <w:keepNext/>
              <w:spacing w:before="60" w:after="60" w:line="240" w:lineRule="auto"/>
            </w:pPr>
            <w:r w:rsidRPr="00E6110F">
              <w:t>Stdev: 1.01</w:t>
            </w:r>
          </w:p>
        </w:tc>
        <w:tc>
          <w:tcPr>
            <w:tcW w:w="2238" w:type="dxa"/>
          </w:tcPr>
          <w:p w14:paraId="439E31C4" w14:textId="77777777" w:rsidR="005F6C1E" w:rsidRPr="00E6110F" w:rsidRDefault="005F6C1E" w:rsidP="00E345EF">
            <w:pPr>
              <w:pStyle w:val="Body"/>
              <w:keepNext/>
              <w:spacing w:before="60" w:after="60" w:line="240" w:lineRule="auto"/>
            </w:pPr>
            <w:r w:rsidRPr="00E6110F">
              <w:t>n: 6</w:t>
            </w:r>
          </w:p>
          <w:p w14:paraId="26E7FBDB" w14:textId="77777777" w:rsidR="005F6C1E" w:rsidRPr="00E6110F" w:rsidRDefault="005F6C1E" w:rsidP="00E345EF">
            <w:pPr>
              <w:pStyle w:val="Body"/>
              <w:keepNext/>
              <w:spacing w:before="60" w:after="60" w:line="240" w:lineRule="auto"/>
            </w:pPr>
            <w:r w:rsidRPr="00E6110F">
              <w:t>Mean: 1.72</w:t>
            </w:r>
          </w:p>
          <w:p w14:paraId="2CB5B742" w14:textId="77777777" w:rsidR="005F6C1E" w:rsidRPr="00E6110F" w:rsidRDefault="005F6C1E" w:rsidP="00E345EF">
            <w:pPr>
              <w:pStyle w:val="Body"/>
              <w:keepNext/>
              <w:spacing w:before="60" w:after="60" w:line="240" w:lineRule="auto"/>
            </w:pPr>
            <w:r w:rsidRPr="00E6110F">
              <w:t>Stdev: 1.05</w:t>
            </w:r>
          </w:p>
        </w:tc>
        <w:tc>
          <w:tcPr>
            <w:tcW w:w="1995" w:type="dxa"/>
          </w:tcPr>
          <w:p w14:paraId="2CDDC4B9" w14:textId="7A308231" w:rsidR="005F6C1E" w:rsidRDefault="005F6C1E" w:rsidP="00E345EF">
            <w:pPr>
              <w:pStyle w:val="Body"/>
              <w:keepNext/>
              <w:spacing w:before="60" w:after="60" w:line="240" w:lineRule="auto"/>
            </w:pPr>
            <w:r>
              <w:t>Mean</w:t>
            </w:r>
            <w:r w:rsidRPr="00AA3CDD">
              <w:t>:</w:t>
            </w:r>
            <w:r w:rsidR="00DB783D" w:rsidRPr="00AA3CDD">
              <w:t xml:space="preserve"> 0.12</w:t>
            </w:r>
          </w:p>
          <w:p w14:paraId="2B68D774" w14:textId="7C3D06DF" w:rsidR="005F6C1E" w:rsidRDefault="005F6C1E" w:rsidP="00E345EF">
            <w:pPr>
              <w:pStyle w:val="Body"/>
              <w:keepNext/>
              <w:spacing w:before="60" w:after="60" w:line="240" w:lineRule="auto"/>
            </w:pPr>
            <w:r>
              <w:t>Min:</w:t>
            </w:r>
            <w:r w:rsidR="00DB783D">
              <w:t xml:space="preserve"> 0.03</w:t>
            </w:r>
          </w:p>
          <w:p w14:paraId="5360F65E" w14:textId="5620A2B5" w:rsidR="005F6C1E" w:rsidRDefault="005F6C1E" w:rsidP="00E345EF">
            <w:pPr>
              <w:pStyle w:val="Body"/>
              <w:keepNext/>
              <w:spacing w:before="60" w:after="60" w:line="240" w:lineRule="auto"/>
            </w:pPr>
            <w:r>
              <w:t>Max:</w:t>
            </w:r>
            <w:r w:rsidR="00DB783D">
              <w:t xml:space="preserve"> 0.26</w:t>
            </w:r>
          </w:p>
          <w:p w14:paraId="3561A22A" w14:textId="4C3D911F" w:rsidR="005F6C1E" w:rsidRPr="00E6110F" w:rsidRDefault="005F6C1E" w:rsidP="00E345EF">
            <w:pPr>
              <w:pStyle w:val="Body"/>
              <w:keepNext/>
              <w:spacing w:before="60" w:after="60" w:line="240" w:lineRule="auto"/>
            </w:pPr>
            <w:r>
              <w:t>Stdev:</w:t>
            </w:r>
            <w:r w:rsidR="00DB783D">
              <w:t xml:space="preserve"> 0.04</w:t>
            </w:r>
          </w:p>
        </w:tc>
      </w:tr>
      <w:tr w:rsidR="005F6C1E" w:rsidRPr="00E6110F" w14:paraId="47AF2BF9" w14:textId="7D97016B" w:rsidTr="005F6C1E">
        <w:tc>
          <w:tcPr>
            <w:tcW w:w="783" w:type="dxa"/>
          </w:tcPr>
          <w:p w14:paraId="1BF4563E" w14:textId="5BA33B1F" w:rsidR="005F6C1E" w:rsidRPr="00E6110F" w:rsidRDefault="005F6C1E" w:rsidP="00E345EF">
            <w:pPr>
              <w:pStyle w:val="Body"/>
              <w:keepNext/>
              <w:spacing w:before="60" w:after="60" w:line="240" w:lineRule="auto"/>
            </w:pPr>
            <w:r w:rsidRPr="00E6110F">
              <w:t>2</w:t>
            </w:r>
          </w:p>
        </w:tc>
        <w:tc>
          <w:tcPr>
            <w:tcW w:w="1758" w:type="dxa"/>
          </w:tcPr>
          <w:p w14:paraId="079D4080" w14:textId="77777777" w:rsidR="005F6C1E" w:rsidRPr="00E6110F" w:rsidRDefault="005F6C1E" w:rsidP="00E345EF">
            <w:pPr>
              <w:pStyle w:val="Body"/>
              <w:keepNext/>
              <w:spacing w:before="60" w:after="60" w:line="240" w:lineRule="auto"/>
            </w:pPr>
            <w:r w:rsidRPr="00E6110F">
              <w:t xml:space="preserve">100 &lt; </w:t>
            </w:r>
            <w:r w:rsidRPr="00E6110F">
              <w:rPr>
                <w:i/>
              </w:rPr>
              <w:t>t</w:t>
            </w:r>
            <w:r w:rsidRPr="00E6110F">
              <w:t xml:space="preserve"> &lt; 1,000 year</w:t>
            </w:r>
          </w:p>
        </w:tc>
        <w:tc>
          <w:tcPr>
            <w:tcW w:w="2236" w:type="dxa"/>
          </w:tcPr>
          <w:p w14:paraId="36C015EA" w14:textId="77777777" w:rsidR="005F6C1E" w:rsidRPr="00E6110F" w:rsidRDefault="005F6C1E" w:rsidP="00E345EF">
            <w:pPr>
              <w:pStyle w:val="Body"/>
              <w:keepNext/>
              <w:spacing w:before="60" w:after="60" w:line="240" w:lineRule="auto"/>
            </w:pPr>
            <w:r w:rsidRPr="00E6110F">
              <w:t>n: 4</w:t>
            </w:r>
          </w:p>
          <w:p w14:paraId="02157A51" w14:textId="77777777" w:rsidR="005F6C1E" w:rsidRPr="00E6110F" w:rsidRDefault="005F6C1E" w:rsidP="00E345EF">
            <w:pPr>
              <w:pStyle w:val="Body"/>
              <w:keepNext/>
              <w:spacing w:before="60" w:after="60" w:line="240" w:lineRule="auto"/>
            </w:pPr>
            <w:r w:rsidRPr="00E6110F">
              <w:t>Mean: 2.78</w:t>
            </w:r>
          </w:p>
          <w:p w14:paraId="0D0233C5" w14:textId="77777777" w:rsidR="005F6C1E" w:rsidRPr="00E6110F" w:rsidRDefault="005F6C1E" w:rsidP="00E345EF">
            <w:pPr>
              <w:pStyle w:val="Body"/>
              <w:keepNext/>
              <w:spacing w:before="60" w:after="60" w:line="240" w:lineRule="auto"/>
            </w:pPr>
            <w:r w:rsidRPr="00E6110F">
              <w:t>Stdev: 0.687</w:t>
            </w:r>
          </w:p>
        </w:tc>
        <w:tc>
          <w:tcPr>
            <w:tcW w:w="2238" w:type="dxa"/>
          </w:tcPr>
          <w:p w14:paraId="2888C4D7" w14:textId="77777777" w:rsidR="005F6C1E" w:rsidRPr="00E6110F" w:rsidRDefault="005F6C1E" w:rsidP="00E345EF">
            <w:pPr>
              <w:pStyle w:val="Body"/>
              <w:keepNext/>
              <w:spacing w:before="60" w:after="60" w:line="240" w:lineRule="auto"/>
            </w:pPr>
            <w:r w:rsidRPr="00E6110F">
              <w:t>n: 6</w:t>
            </w:r>
          </w:p>
          <w:p w14:paraId="21F44663" w14:textId="77777777" w:rsidR="005F6C1E" w:rsidRPr="00E6110F" w:rsidRDefault="005F6C1E" w:rsidP="00E345EF">
            <w:pPr>
              <w:pStyle w:val="Body"/>
              <w:keepNext/>
              <w:spacing w:before="60" w:after="60" w:line="240" w:lineRule="auto"/>
            </w:pPr>
            <w:r w:rsidRPr="00E6110F">
              <w:t>Mean: 2.00</w:t>
            </w:r>
          </w:p>
          <w:p w14:paraId="333D09D6" w14:textId="77777777" w:rsidR="005F6C1E" w:rsidRPr="00E6110F" w:rsidRDefault="005F6C1E" w:rsidP="00E345EF">
            <w:pPr>
              <w:pStyle w:val="Body"/>
              <w:keepNext/>
              <w:spacing w:before="60" w:after="60" w:line="240" w:lineRule="auto"/>
            </w:pPr>
            <w:r w:rsidRPr="00E6110F">
              <w:t>Stdev: 0.79</w:t>
            </w:r>
          </w:p>
        </w:tc>
        <w:tc>
          <w:tcPr>
            <w:tcW w:w="1995" w:type="dxa"/>
          </w:tcPr>
          <w:p w14:paraId="21111D8E" w14:textId="70F532B1" w:rsidR="005F6C1E" w:rsidRDefault="005F6C1E" w:rsidP="005F6C1E">
            <w:pPr>
              <w:pStyle w:val="Body"/>
              <w:keepNext/>
              <w:spacing w:before="60" w:after="60" w:line="240" w:lineRule="auto"/>
            </w:pPr>
            <w:r>
              <w:t>Mean:</w:t>
            </w:r>
            <w:r w:rsidR="00DB783D">
              <w:t xml:space="preserve"> 0.054</w:t>
            </w:r>
          </w:p>
          <w:p w14:paraId="28A7839D" w14:textId="09A6A7BD" w:rsidR="005F6C1E" w:rsidRDefault="005F6C1E" w:rsidP="005F6C1E">
            <w:pPr>
              <w:pStyle w:val="Body"/>
              <w:keepNext/>
              <w:spacing w:before="60" w:after="60" w:line="240" w:lineRule="auto"/>
            </w:pPr>
            <w:r>
              <w:t>Min:</w:t>
            </w:r>
            <w:r w:rsidR="00DB783D">
              <w:t xml:space="preserve"> 0.04</w:t>
            </w:r>
          </w:p>
          <w:p w14:paraId="3D70EC43" w14:textId="597DC5D1" w:rsidR="005F6C1E" w:rsidRDefault="005F6C1E" w:rsidP="005F6C1E">
            <w:pPr>
              <w:pStyle w:val="Body"/>
              <w:keepNext/>
              <w:spacing w:before="60" w:after="60" w:line="240" w:lineRule="auto"/>
            </w:pPr>
            <w:r>
              <w:t>Max:</w:t>
            </w:r>
            <w:r w:rsidR="00DB783D">
              <w:t xml:space="preserve"> 0.06</w:t>
            </w:r>
          </w:p>
          <w:p w14:paraId="251E4FBF" w14:textId="491AB9B1" w:rsidR="005F6C1E" w:rsidRPr="00E6110F" w:rsidRDefault="005F6C1E" w:rsidP="005F6C1E">
            <w:pPr>
              <w:pStyle w:val="Body"/>
              <w:keepNext/>
              <w:spacing w:before="60" w:after="60" w:line="240" w:lineRule="auto"/>
            </w:pPr>
            <w:r>
              <w:t>Stdev:</w:t>
            </w:r>
            <w:r w:rsidR="00DB783D">
              <w:t xml:space="preserve"> 0.01</w:t>
            </w:r>
          </w:p>
        </w:tc>
      </w:tr>
      <w:tr w:rsidR="005F6C1E" w:rsidRPr="00E6110F" w14:paraId="6EE59C86" w14:textId="16E61F31" w:rsidTr="005F6C1E">
        <w:tc>
          <w:tcPr>
            <w:tcW w:w="783" w:type="dxa"/>
          </w:tcPr>
          <w:p w14:paraId="2636CDC2" w14:textId="77777777" w:rsidR="005F6C1E" w:rsidRPr="00E6110F" w:rsidRDefault="005F6C1E" w:rsidP="00E345EF">
            <w:pPr>
              <w:pStyle w:val="Body"/>
              <w:keepNext/>
              <w:spacing w:before="60" w:after="60" w:line="240" w:lineRule="auto"/>
            </w:pPr>
            <w:r w:rsidRPr="00E6110F">
              <w:t>3</w:t>
            </w:r>
          </w:p>
        </w:tc>
        <w:tc>
          <w:tcPr>
            <w:tcW w:w="1758" w:type="dxa"/>
          </w:tcPr>
          <w:p w14:paraId="1F8042A0" w14:textId="77777777" w:rsidR="005F6C1E" w:rsidRPr="00E6110F" w:rsidRDefault="005F6C1E" w:rsidP="00E345EF">
            <w:pPr>
              <w:pStyle w:val="Body"/>
              <w:keepNext/>
              <w:spacing w:before="60" w:after="60" w:line="240" w:lineRule="auto"/>
            </w:pPr>
            <w:r w:rsidRPr="00E6110F">
              <w:t xml:space="preserve">1000 &lt; </w:t>
            </w:r>
            <w:r w:rsidRPr="00E6110F">
              <w:rPr>
                <w:i/>
              </w:rPr>
              <w:t>t</w:t>
            </w:r>
            <w:r w:rsidRPr="00E6110F">
              <w:t xml:space="preserve"> &lt; 10,000 year</w:t>
            </w:r>
          </w:p>
        </w:tc>
        <w:tc>
          <w:tcPr>
            <w:tcW w:w="2236" w:type="dxa"/>
          </w:tcPr>
          <w:p w14:paraId="1688C1FA" w14:textId="77777777" w:rsidR="005F6C1E" w:rsidRPr="00E6110F" w:rsidRDefault="005F6C1E" w:rsidP="00E345EF">
            <w:pPr>
              <w:pStyle w:val="Body"/>
              <w:keepNext/>
              <w:spacing w:before="60" w:after="60" w:line="240" w:lineRule="auto"/>
            </w:pPr>
            <w:r w:rsidRPr="00E6110F">
              <w:t>n: 0</w:t>
            </w:r>
          </w:p>
          <w:p w14:paraId="17866319" w14:textId="77777777" w:rsidR="005F6C1E" w:rsidRPr="00E6110F" w:rsidRDefault="005F6C1E" w:rsidP="00E345EF">
            <w:pPr>
              <w:pStyle w:val="Body"/>
              <w:keepNext/>
              <w:spacing w:before="60" w:after="60" w:line="240" w:lineRule="auto"/>
            </w:pPr>
            <w:r w:rsidRPr="00E6110F">
              <w:t>Mean: N/A</w:t>
            </w:r>
          </w:p>
          <w:p w14:paraId="1994704E" w14:textId="77777777" w:rsidR="005F6C1E" w:rsidRPr="00E6110F" w:rsidRDefault="005F6C1E" w:rsidP="00E345EF">
            <w:pPr>
              <w:pStyle w:val="Body"/>
              <w:keepNext/>
              <w:spacing w:before="60" w:after="60" w:line="240" w:lineRule="auto"/>
            </w:pPr>
            <w:r w:rsidRPr="00E6110F">
              <w:t>Stdev: N/A</w:t>
            </w:r>
          </w:p>
        </w:tc>
        <w:tc>
          <w:tcPr>
            <w:tcW w:w="2238" w:type="dxa"/>
          </w:tcPr>
          <w:p w14:paraId="6EA518FB" w14:textId="77777777" w:rsidR="005F6C1E" w:rsidRPr="00E6110F" w:rsidRDefault="005F6C1E" w:rsidP="00E345EF">
            <w:pPr>
              <w:pStyle w:val="Body"/>
              <w:keepNext/>
              <w:spacing w:before="60" w:after="60" w:line="240" w:lineRule="auto"/>
            </w:pPr>
            <w:r w:rsidRPr="00E6110F">
              <w:t>n: 15</w:t>
            </w:r>
          </w:p>
          <w:p w14:paraId="4EBC3B4F" w14:textId="77777777" w:rsidR="005F6C1E" w:rsidRPr="00E6110F" w:rsidRDefault="005F6C1E" w:rsidP="00E345EF">
            <w:pPr>
              <w:pStyle w:val="Body"/>
              <w:keepNext/>
              <w:spacing w:before="60" w:after="60" w:line="240" w:lineRule="auto"/>
            </w:pPr>
            <w:r w:rsidRPr="00E6110F">
              <w:t>Mean: 5.66</w:t>
            </w:r>
          </w:p>
          <w:p w14:paraId="263C35B8" w14:textId="77777777" w:rsidR="005F6C1E" w:rsidRPr="00E6110F" w:rsidRDefault="005F6C1E" w:rsidP="00E345EF">
            <w:pPr>
              <w:pStyle w:val="Body"/>
              <w:keepNext/>
              <w:spacing w:before="60" w:after="60" w:line="240" w:lineRule="auto"/>
            </w:pPr>
            <w:r w:rsidRPr="00E6110F">
              <w:t>Stdev: 1.86</w:t>
            </w:r>
          </w:p>
        </w:tc>
        <w:tc>
          <w:tcPr>
            <w:tcW w:w="1995" w:type="dxa"/>
          </w:tcPr>
          <w:p w14:paraId="06056EB3" w14:textId="2152A22E" w:rsidR="005F6C1E" w:rsidRDefault="005F6C1E" w:rsidP="005F6C1E">
            <w:pPr>
              <w:pStyle w:val="Body"/>
              <w:keepNext/>
              <w:spacing w:before="60" w:after="60" w:line="240" w:lineRule="auto"/>
            </w:pPr>
            <w:r>
              <w:t>Mean:</w:t>
            </w:r>
            <w:r w:rsidR="00DB783D">
              <w:t xml:space="preserve"> N/A</w:t>
            </w:r>
          </w:p>
          <w:p w14:paraId="1974838D" w14:textId="5BD8C8A8" w:rsidR="005F6C1E" w:rsidRDefault="005F6C1E" w:rsidP="005F6C1E">
            <w:pPr>
              <w:pStyle w:val="Body"/>
              <w:keepNext/>
              <w:spacing w:before="60" w:after="60" w:line="240" w:lineRule="auto"/>
            </w:pPr>
            <w:r>
              <w:t>Min:</w:t>
            </w:r>
            <w:r w:rsidR="00DB783D">
              <w:t xml:space="preserve"> N/A</w:t>
            </w:r>
          </w:p>
          <w:p w14:paraId="25E76661" w14:textId="02965AF3" w:rsidR="005F6C1E" w:rsidRDefault="005F6C1E" w:rsidP="005F6C1E">
            <w:pPr>
              <w:pStyle w:val="Body"/>
              <w:keepNext/>
              <w:spacing w:before="60" w:after="60" w:line="240" w:lineRule="auto"/>
            </w:pPr>
            <w:r>
              <w:t>Max:</w:t>
            </w:r>
            <w:r w:rsidR="00DB783D">
              <w:t xml:space="preserve"> N/A</w:t>
            </w:r>
          </w:p>
          <w:p w14:paraId="1547553F" w14:textId="7304E559" w:rsidR="005F6C1E" w:rsidRPr="00E6110F" w:rsidRDefault="005F6C1E" w:rsidP="005F6C1E">
            <w:pPr>
              <w:pStyle w:val="Body"/>
              <w:keepNext/>
              <w:spacing w:before="60" w:after="60" w:line="240" w:lineRule="auto"/>
            </w:pPr>
            <w:r>
              <w:t>Stdev:</w:t>
            </w:r>
            <w:r w:rsidR="00DB783D">
              <w:t xml:space="preserve"> N/A</w:t>
            </w:r>
          </w:p>
        </w:tc>
      </w:tr>
      <w:tr w:rsidR="005F6C1E" w:rsidRPr="00E6110F" w14:paraId="16AF8F56" w14:textId="6C9E1F6F" w:rsidTr="005F6C1E">
        <w:tc>
          <w:tcPr>
            <w:tcW w:w="783" w:type="dxa"/>
          </w:tcPr>
          <w:p w14:paraId="79B2A1DC" w14:textId="77777777" w:rsidR="005F6C1E" w:rsidRPr="00E6110F" w:rsidRDefault="005F6C1E" w:rsidP="00E345EF">
            <w:pPr>
              <w:pStyle w:val="Body"/>
              <w:keepNext/>
              <w:spacing w:before="60" w:after="60" w:line="240" w:lineRule="auto"/>
            </w:pPr>
            <w:r w:rsidRPr="00E6110F">
              <w:t>4</w:t>
            </w:r>
          </w:p>
        </w:tc>
        <w:tc>
          <w:tcPr>
            <w:tcW w:w="1758" w:type="dxa"/>
          </w:tcPr>
          <w:p w14:paraId="54F86563" w14:textId="77777777" w:rsidR="005F6C1E" w:rsidRPr="00E6110F" w:rsidRDefault="005F6C1E" w:rsidP="00E345EF">
            <w:pPr>
              <w:pStyle w:val="Body"/>
              <w:keepNext/>
              <w:spacing w:before="60" w:after="60" w:line="240" w:lineRule="auto"/>
            </w:pPr>
            <w:r w:rsidRPr="00E6110F">
              <w:t xml:space="preserve">10,000 &lt; </w:t>
            </w:r>
            <w:r w:rsidRPr="00E6110F">
              <w:rPr>
                <w:i/>
              </w:rPr>
              <w:t>t</w:t>
            </w:r>
            <w:r w:rsidRPr="00E6110F">
              <w:t xml:space="preserve"> &lt; 100,000 year</w:t>
            </w:r>
          </w:p>
        </w:tc>
        <w:tc>
          <w:tcPr>
            <w:tcW w:w="2236" w:type="dxa"/>
          </w:tcPr>
          <w:p w14:paraId="58567987" w14:textId="77777777" w:rsidR="005F6C1E" w:rsidRPr="00E6110F" w:rsidRDefault="005F6C1E" w:rsidP="00E345EF">
            <w:pPr>
              <w:pStyle w:val="Body"/>
              <w:keepNext/>
              <w:spacing w:before="60" w:after="60" w:line="240" w:lineRule="auto"/>
            </w:pPr>
            <w:r w:rsidRPr="00E6110F">
              <w:t>n: 0</w:t>
            </w:r>
          </w:p>
          <w:p w14:paraId="088125D5" w14:textId="77777777" w:rsidR="005F6C1E" w:rsidRPr="00E6110F" w:rsidRDefault="005F6C1E" w:rsidP="00E345EF">
            <w:pPr>
              <w:pStyle w:val="Body"/>
              <w:keepNext/>
              <w:spacing w:before="60" w:after="60" w:line="240" w:lineRule="auto"/>
            </w:pPr>
            <w:r w:rsidRPr="00E6110F">
              <w:t>Mean: N/A</w:t>
            </w:r>
          </w:p>
          <w:p w14:paraId="5D952489" w14:textId="77777777" w:rsidR="005F6C1E" w:rsidRPr="00E6110F" w:rsidRDefault="005F6C1E" w:rsidP="00E345EF">
            <w:pPr>
              <w:pStyle w:val="Body"/>
              <w:keepNext/>
              <w:spacing w:before="60" w:after="60" w:line="240" w:lineRule="auto"/>
            </w:pPr>
            <w:r w:rsidRPr="00E6110F">
              <w:t>Stdev: N/A</w:t>
            </w:r>
          </w:p>
        </w:tc>
        <w:tc>
          <w:tcPr>
            <w:tcW w:w="2238" w:type="dxa"/>
          </w:tcPr>
          <w:p w14:paraId="3DA77289" w14:textId="77777777" w:rsidR="005F6C1E" w:rsidRPr="00E6110F" w:rsidRDefault="005F6C1E" w:rsidP="00E345EF">
            <w:pPr>
              <w:pStyle w:val="Body"/>
              <w:keepNext/>
              <w:spacing w:before="60" w:after="60" w:line="240" w:lineRule="auto"/>
            </w:pPr>
            <w:r w:rsidRPr="00E6110F">
              <w:t>n: 7</w:t>
            </w:r>
          </w:p>
          <w:p w14:paraId="5BE1D8A5" w14:textId="77777777" w:rsidR="005F6C1E" w:rsidRPr="00E6110F" w:rsidRDefault="005F6C1E" w:rsidP="00E345EF">
            <w:pPr>
              <w:pStyle w:val="Body"/>
              <w:keepNext/>
              <w:spacing w:before="60" w:after="60" w:line="240" w:lineRule="auto"/>
            </w:pPr>
            <w:r w:rsidRPr="00E6110F">
              <w:t>Mean: 7.54</w:t>
            </w:r>
          </w:p>
          <w:p w14:paraId="02411AD8" w14:textId="77777777" w:rsidR="005F6C1E" w:rsidRPr="00E6110F" w:rsidRDefault="005F6C1E" w:rsidP="00E345EF">
            <w:pPr>
              <w:pStyle w:val="Body"/>
              <w:keepNext/>
              <w:spacing w:before="60" w:after="60" w:line="240" w:lineRule="auto"/>
            </w:pPr>
            <w:r w:rsidRPr="00E6110F">
              <w:t>Stdev: 3.22</w:t>
            </w:r>
          </w:p>
        </w:tc>
        <w:tc>
          <w:tcPr>
            <w:tcW w:w="1995" w:type="dxa"/>
          </w:tcPr>
          <w:p w14:paraId="3710E52E" w14:textId="2176BA81" w:rsidR="005F6C1E" w:rsidRDefault="005F6C1E" w:rsidP="005F6C1E">
            <w:pPr>
              <w:pStyle w:val="Body"/>
              <w:keepNext/>
              <w:spacing w:before="60" w:after="60" w:line="240" w:lineRule="auto"/>
            </w:pPr>
            <w:r>
              <w:t>Mean:</w:t>
            </w:r>
            <w:r w:rsidR="00DB783D">
              <w:t xml:space="preserve"> N/A</w:t>
            </w:r>
          </w:p>
          <w:p w14:paraId="1E34EFB4" w14:textId="6CF210B2" w:rsidR="005F6C1E" w:rsidRDefault="005F6C1E" w:rsidP="005F6C1E">
            <w:pPr>
              <w:pStyle w:val="Body"/>
              <w:keepNext/>
              <w:spacing w:before="60" w:after="60" w:line="240" w:lineRule="auto"/>
            </w:pPr>
            <w:r>
              <w:t>Min:</w:t>
            </w:r>
            <w:r w:rsidR="00DB783D">
              <w:t xml:space="preserve"> N/A</w:t>
            </w:r>
          </w:p>
          <w:p w14:paraId="6FDC85A2" w14:textId="07AB7444" w:rsidR="005F6C1E" w:rsidRDefault="005F6C1E" w:rsidP="005F6C1E">
            <w:pPr>
              <w:pStyle w:val="Body"/>
              <w:keepNext/>
              <w:spacing w:before="60" w:after="60" w:line="240" w:lineRule="auto"/>
            </w:pPr>
            <w:r>
              <w:t>Max:</w:t>
            </w:r>
            <w:r w:rsidR="00DB783D">
              <w:t xml:space="preserve"> N/A</w:t>
            </w:r>
          </w:p>
          <w:p w14:paraId="0928E575" w14:textId="7CD251A6" w:rsidR="005F6C1E" w:rsidRPr="00E6110F" w:rsidRDefault="005F6C1E" w:rsidP="005F6C1E">
            <w:pPr>
              <w:pStyle w:val="Body"/>
              <w:keepNext/>
              <w:spacing w:before="60" w:after="60" w:line="240" w:lineRule="auto"/>
            </w:pPr>
            <w:r>
              <w:t>Stdev:</w:t>
            </w:r>
            <w:r w:rsidR="00DB783D">
              <w:t xml:space="preserve"> N/A</w:t>
            </w:r>
          </w:p>
        </w:tc>
      </w:tr>
    </w:tbl>
    <w:p w14:paraId="681A98EE" w14:textId="77777777" w:rsidR="00C008A8" w:rsidRPr="00E6110F" w:rsidRDefault="00C008A8" w:rsidP="00C008A8">
      <w:pPr>
        <w:pStyle w:val="Body"/>
      </w:pPr>
    </w:p>
    <w:p w14:paraId="5F69C644" w14:textId="3E547FD4" w:rsidR="00C008A8" w:rsidRPr="00E6110F" w:rsidRDefault="00C008A8" w:rsidP="00C008A8">
      <w:pPr>
        <w:pStyle w:val="Body"/>
      </w:pPr>
    </w:p>
    <w:p w14:paraId="387213FB" w14:textId="77777777" w:rsidR="00437714" w:rsidRPr="00E6110F" w:rsidRDefault="00437714">
      <w:pPr>
        <w:rPr>
          <w:rFonts w:ascii="Calibri-Bold" w:hAnsi="Calibri-Bold" w:cs="Calibri-Bold"/>
          <w:b/>
          <w:bCs/>
          <w:color w:val="486886"/>
          <w:sz w:val="22"/>
          <w:szCs w:val="22"/>
          <w:lang w:val="en-GB"/>
        </w:rPr>
      </w:pPr>
      <w:r w:rsidRPr="00E6110F">
        <w:br w:type="page"/>
      </w:r>
    </w:p>
    <w:p w14:paraId="37C8C6B3" w14:textId="6B9419DA" w:rsidR="00372DB4" w:rsidRPr="00E6110F" w:rsidRDefault="00A41C9E" w:rsidP="00A41C9E">
      <w:pPr>
        <w:pStyle w:val="Heading3"/>
      </w:pPr>
      <w:bookmarkStart w:id="311" w:name="_Ref470859468"/>
      <w:bookmarkStart w:id="312" w:name="_Toc494444541"/>
      <w:r w:rsidRPr="00E6110F">
        <w:t>Particle t</w:t>
      </w:r>
      <w:r w:rsidR="00A43521" w:rsidRPr="00E6110F">
        <w:t>racking analysis for the Surat B</w:t>
      </w:r>
      <w:r w:rsidRPr="00E6110F">
        <w:t>asin</w:t>
      </w:r>
      <w:bookmarkEnd w:id="311"/>
      <w:bookmarkEnd w:id="312"/>
    </w:p>
    <w:p w14:paraId="466E9D93" w14:textId="1D6D68DB" w:rsidR="00D950EC" w:rsidRPr="00E6110F" w:rsidRDefault="00913E8D" w:rsidP="00D950EC">
      <w:pPr>
        <w:pStyle w:val="Body"/>
      </w:pPr>
      <w:r>
        <w:t>T</w:t>
      </w:r>
      <w:r w:rsidRPr="00E6110F">
        <w:t>he Dawson River in the northern part of the Surat Basin</w:t>
      </w:r>
      <w:r>
        <w:t>, Queensland (</w:t>
      </w:r>
      <w:r w:rsidRPr="00E6110F">
        <w:fldChar w:fldCharType="begin" w:fldLock="1"/>
      </w:r>
      <w:r w:rsidRPr="00E6110F">
        <w:instrText xml:space="preserve"> REF _Ref450151261 \h </w:instrText>
      </w:r>
      <w:r>
        <w:instrText xml:space="preserve"> \* MERGEFORMAT </w:instrText>
      </w:r>
      <w:r w:rsidRPr="00E6110F">
        <w:fldChar w:fldCharType="separate"/>
      </w:r>
      <w:r w:rsidR="00335E79" w:rsidRPr="00E6110F">
        <w:t xml:space="preserve">Figure </w:t>
      </w:r>
      <w:r w:rsidR="00335E79">
        <w:rPr>
          <w:noProof/>
        </w:rPr>
        <w:t>2</w:t>
      </w:r>
      <w:r w:rsidR="00335E79">
        <w:rPr>
          <w:noProof/>
        </w:rPr>
        <w:noBreakHyphen/>
        <w:t>64</w:t>
      </w:r>
      <w:r w:rsidRPr="00E6110F">
        <w:fldChar w:fldCharType="end"/>
      </w:r>
      <w:r>
        <w:t xml:space="preserve">), was selected as second test case area to undertake particle tracking analyses. </w:t>
      </w:r>
      <w:r w:rsidR="00D950EC" w:rsidRPr="00E6110F">
        <w:t>The reasoning for selecting this area is</w:t>
      </w:r>
      <w:r>
        <w:t xml:space="preserve"> as follows</w:t>
      </w:r>
      <w:r w:rsidR="00D950EC" w:rsidRPr="00E6110F">
        <w:t>:</w:t>
      </w:r>
    </w:p>
    <w:p w14:paraId="3BCAD6A3" w14:textId="5784D424" w:rsidR="00D950EC" w:rsidRPr="00E6110F" w:rsidRDefault="00384DFA" w:rsidP="00C117A3">
      <w:pPr>
        <w:pStyle w:val="Body"/>
        <w:numPr>
          <w:ilvl w:val="0"/>
          <w:numId w:val="35"/>
        </w:numPr>
      </w:pPr>
      <w:r>
        <w:t>T</w:t>
      </w:r>
      <w:r w:rsidR="00D950EC" w:rsidRPr="00E6110F">
        <w:t xml:space="preserve">here are many significant </w:t>
      </w:r>
      <w:r w:rsidR="00913E8D">
        <w:t>Great Artesian Basin (</w:t>
      </w:r>
      <w:r w:rsidR="00D950EC" w:rsidRPr="00E6110F">
        <w:t>GAB</w:t>
      </w:r>
      <w:r w:rsidR="00913E8D">
        <w:t>)</w:t>
      </w:r>
      <w:r w:rsidR="00D950EC" w:rsidRPr="00E6110F">
        <w:t xml:space="preserve"> springs in this area, </w:t>
      </w:r>
      <w:r w:rsidR="00781222">
        <w:t xml:space="preserve">for </w:t>
      </w:r>
      <w:r w:rsidR="00D950EC" w:rsidRPr="00E6110F">
        <w:t xml:space="preserve">which comprehensive conceptual models </w:t>
      </w:r>
      <w:r w:rsidR="00781222">
        <w:t xml:space="preserve">have been </w:t>
      </w:r>
      <w:r w:rsidR="00D950EC" w:rsidRPr="00E6110F">
        <w:t xml:space="preserve">developed by </w:t>
      </w:r>
      <w:r w:rsidR="006B0B94">
        <w:t xml:space="preserve">QWC (2012) and </w:t>
      </w:r>
      <w:r w:rsidR="00D950EC" w:rsidRPr="00E6110F">
        <w:t>OGIA</w:t>
      </w:r>
      <w:r w:rsidR="00781222">
        <w:t xml:space="preserve"> (</w:t>
      </w:r>
      <w:r w:rsidR="006B0B94" w:rsidRPr="006B0B94">
        <w:t>2016</w:t>
      </w:r>
      <w:r w:rsidR="00781222">
        <w:t>)</w:t>
      </w:r>
      <w:r w:rsidR="00D950EC" w:rsidRPr="00E6110F">
        <w:t xml:space="preserve">. </w:t>
      </w:r>
      <w:r w:rsidR="00781222">
        <w:t xml:space="preserve">Other CSG areas, such as </w:t>
      </w:r>
      <w:r w:rsidR="00781222" w:rsidRPr="00E6110F">
        <w:t>the Condamine River area</w:t>
      </w:r>
      <w:r w:rsidR="00781222">
        <w:t>,</w:t>
      </w:r>
      <w:r w:rsidR="00781222" w:rsidRPr="00E6110F">
        <w:t xml:space="preserve"> </w:t>
      </w:r>
      <w:r w:rsidR="00781222">
        <w:t>have no mapped GAB springs;</w:t>
      </w:r>
    </w:p>
    <w:p w14:paraId="6F991037" w14:textId="1DCB4A30" w:rsidR="00D950EC" w:rsidRPr="00E6110F" w:rsidRDefault="00384DFA" w:rsidP="00C117A3">
      <w:pPr>
        <w:pStyle w:val="Body"/>
        <w:numPr>
          <w:ilvl w:val="0"/>
          <w:numId w:val="35"/>
        </w:numPr>
      </w:pPr>
      <w:r>
        <w:t>T</w:t>
      </w:r>
      <w:r w:rsidR="00D950EC" w:rsidRPr="00E6110F">
        <w:t xml:space="preserve">his area is of great interest to many stakeholders, particularly due to the on-going conceptual uncertainties on groundwater flow directions in the key aquifers such as the Hutton Sandstone. There has been considerable </w:t>
      </w:r>
      <w:r w:rsidR="00F90159">
        <w:t>research</w:t>
      </w:r>
      <w:r w:rsidR="00D950EC" w:rsidRPr="00E6110F">
        <w:t xml:space="preserve"> done on this </w:t>
      </w:r>
      <w:r w:rsidR="00CB2E30" w:rsidRPr="00E6110F">
        <w:t xml:space="preserve">area </w:t>
      </w:r>
      <w:r w:rsidR="00D950EC" w:rsidRPr="00E6110F">
        <w:t>as part of the first phase of GISERA</w:t>
      </w:r>
      <w:r w:rsidR="00CF0567">
        <w:t xml:space="preserve"> (</w:t>
      </w:r>
      <w:r w:rsidR="00E6376D">
        <w:t>Suckow et al. 2016</w:t>
      </w:r>
      <w:r w:rsidR="00CF0567">
        <w:t>)</w:t>
      </w:r>
      <w:r w:rsidR="00D950EC" w:rsidRPr="00E6110F">
        <w:t xml:space="preserve">. This area is also the focus of the </w:t>
      </w:r>
      <w:r w:rsidR="00E6376D">
        <w:t xml:space="preserve">continuation of </w:t>
      </w:r>
      <w:r w:rsidR="00D950EC" w:rsidRPr="00E6110F">
        <w:t>GISERA</w:t>
      </w:r>
      <w:r w:rsidR="00E6376D">
        <w:t>-funded</w:t>
      </w:r>
      <w:r w:rsidR="00D950EC" w:rsidRPr="00E6110F">
        <w:t xml:space="preserve"> </w:t>
      </w:r>
      <w:r w:rsidR="00E6376D">
        <w:t xml:space="preserve">research </w:t>
      </w:r>
      <w:r w:rsidR="00D950EC" w:rsidRPr="00E6110F">
        <w:t>in Q</w:t>
      </w:r>
      <w:r w:rsidR="00E6376D">
        <w:t>ueensland</w:t>
      </w:r>
      <w:r w:rsidR="00D950EC" w:rsidRPr="00E6110F">
        <w:t>. </w:t>
      </w:r>
    </w:p>
    <w:p w14:paraId="5E10087D" w14:textId="30918D8C" w:rsidR="00D950EC" w:rsidRPr="00E6110F" w:rsidRDefault="00384DFA" w:rsidP="00C117A3">
      <w:pPr>
        <w:pStyle w:val="Body"/>
        <w:numPr>
          <w:ilvl w:val="0"/>
          <w:numId w:val="35"/>
        </w:numPr>
      </w:pPr>
      <w:r>
        <w:t>T</w:t>
      </w:r>
      <w:r w:rsidR="00D950EC" w:rsidRPr="00E6110F">
        <w:t xml:space="preserve">here is a significant alluvial aquifer system of the Dawson River within this area. In comparison to the Condamine River alluvium, this alluvial aquifer system is much thinner and not as wide. The Dawson River has cut into the Walloon Coal Measures (in </w:t>
      </w:r>
      <w:r w:rsidR="00C42C4E">
        <w:fldChar w:fldCharType="begin" w:fldLock="1"/>
      </w:r>
      <w:r w:rsidR="00C42C4E">
        <w:instrText xml:space="preserve"> REF _Ref450151261 \h </w:instrText>
      </w:r>
      <w:r w:rsidR="00C42C4E">
        <w:fldChar w:fldCharType="separate"/>
      </w:r>
      <w:r w:rsidR="00335E79" w:rsidRPr="00E6110F">
        <w:t xml:space="preserve">Figure </w:t>
      </w:r>
      <w:r w:rsidR="00335E79">
        <w:rPr>
          <w:noProof/>
        </w:rPr>
        <w:t>2</w:t>
      </w:r>
      <w:r w:rsidR="00335E79">
        <w:noBreakHyphen/>
      </w:r>
      <w:r w:rsidR="00335E79">
        <w:rPr>
          <w:noProof/>
        </w:rPr>
        <w:t>64</w:t>
      </w:r>
      <w:r w:rsidR="00C42C4E">
        <w:fldChar w:fldCharType="end"/>
      </w:r>
      <w:r w:rsidR="00C42C4E">
        <w:t xml:space="preserve"> these</w:t>
      </w:r>
      <w:r w:rsidR="00D950EC" w:rsidRPr="00E6110F">
        <w:t xml:space="preserve"> form </w:t>
      </w:r>
      <w:r w:rsidR="00C42C4E">
        <w:t xml:space="preserve">a </w:t>
      </w:r>
      <w:r w:rsidR="00D950EC" w:rsidRPr="00E6110F">
        <w:t xml:space="preserve">part of the Injune Creek Group) and </w:t>
      </w:r>
      <w:r w:rsidR="00A43521" w:rsidRPr="00E6110F">
        <w:t xml:space="preserve">other sedimentary bedrock units, and </w:t>
      </w:r>
      <w:r w:rsidR="00D950EC" w:rsidRPr="00E6110F">
        <w:t>there may be a close connection between alluvium, s</w:t>
      </w:r>
      <w:r w:rsidR="00CB2E30" w:rsidRPr="00E6110F">
        <w:t xml:space="preserve">urface </w:t>
      </w:r>
      <w:r w:rsidR="00D950EC" w:rsidRPr="00E6110F">
        <w:t>w</w:t>
      </w:r>
      <w:r w:rsidR="00CB2E30" w:rsidRPr="00E6110F">
        <w:t>ater</w:t>
      </w:r>
      <w:r w:rsidR="00D950EC" w:rsidRPr="00E6110F">
        <w:t xml:space="preserve"> and the W</w:t>
      </w:r>
      <w:r w:rsidR="00A43521" w:rsidRPr="00E6110F">
        <w:t xml:space="preserve">alloon </w:t>
      </w:r>
      <w:r w:rsidR="00D950EC" w:rsidRPr="00E6110F">
        <w:t>C</w:t>
      </w:r>
      <w:r w:rsidR="00A43521" w:rsidRPr="00E6110F">
        <w:t xml:space="preserve">oal </w:t>
      </w:r>
      <w:r w:rsidR="00D950EC" w:rsidRPr="00E6110F">
        <w:t>M</w:t>
      </w:r>
      <w:r w:rsidR="00A43521" w:rsidRPr="00E6110F">
        <w:t>easures</w:t>
      </w:r>
      <w:r w:rsidR="00D950EC" w:rsidRPr="00E6110F">
        <w:t>.</w:t>
      </w:r>
    </w:p>
    <w:p w14:paraId="10C22335" w14:textId="6E15E7BC" w:rsidR="00D950EC" w:rsidRPr="00E6110F" w:rsidRDefault="008B723C" w:rsidP="00D950EC">
      <w:pPr>
        <w:rPr>
          <w:lang w:val="en-GB"/>
        </w:rPr>
      </w:pPr>
      <w:r w:rsidRPr="008B723C">
        <w:rPr>
          <w:noProof/>
          <w:lang w:val="en-AU" w:eastAsia="en-AU"/>
        </w:rPr>
        <w:t xml:space="preserve"> </w:t>
      </w:r>
      <w:r w:rsidRPr="008B723C">
        <w:rPr>
          <w:noProof/>
          <w:lang w:val="en-AU" w:eastAsia="en-AU"/>
        </w:rPr>
        <w:drawing>
          <wp:inline distT="0" distB="0" distL="0" distR="0" wp14:anchorId="0372B23D" wp14:editId="76B1672E">
            <wp:extent cx="5727700" cy="5546090"/>
            <wp:effectExtent l="0" t="0" r="6350" b="0"/>
            <wp:docPr id="548" name="Picture 548" descr="Map of the selected study area in the Surat Basin.  CSG wells and surface geology." title="Fig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5727700" cy="5546090"/>
                    </a:xfrm>
                    <a:prstGeom prst="rect">
                      <a:avLst/>
                    </a:prstGeom>
                  </pic:spPr>
                </pic:pic>
              </a:graphicData>
            </a:graphic>
          </wp:inline>
        </w:drawing>
      </w:r>
    </w:p>
    <w:p w14:paraId="02AFF424" w14:textId="05274B9E" w:rsidR="00A26596" w:rsidRPr="00E6110F" w:rsidRDefault="00A26596" w:rsidP="00A26596">
      <w:pPr>
        <w:pStyle w:val="Imagecaption"/>
      </w:pPr>
      <w:bookmarkStart w:id="313" w:name="_Ref450151261"/>
      <w:bookmarkStart w:id="314" w:name="_Toc477347596"/>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64</w:t>
      </w:r>
      <w:r w:rsidR="00254026">
        <w:fldChar w:fldCharType="end"/>
      </w:r>
      <w:bookmarkEnd w:id="313"/>
      <w:r w:rsidRPr="00E6110F">
        <w:t xml:space="preserve"> Selected case study area for the Surat Basin.</w:t>
      </w:r>
      <w:r w:rsidR="008B723C">
        <w:t xml:space="preserve"> See Figure 2-65 for cross-section.</w:t>
      </w:r>
      <w:bookmarkEnd w:id="314"/>
    </w:p>
    <w:p w14:paraId="612994E9" w14:textId="77777777" w:rsidR="00A41C9E" w:rsidRPr="00E6110F" w:rsidRDefault="00A41C9E" w:rsidP="00A41C9E">
      <w:pPr>
        <w:pStyle w:val="Heading3"/>
        <w:numPr>
          <w:ilvl w:val="3"/>
          <w:numId w:val="1"/>
        </w:numPr>
      </w:pPr>
      <w:bookmarkStart w:id="315" w:name="_Ref458950126"/>
      <w:bookmarkStart w:id="316" w:name="_Toc494444542"/>
      <w:r w:rsidRPr="00E6110F">
        <w:t>Hydrogeology</w:t>
      </w:r>
      <w:bookmarkEnd w:id="315"/>
      <w:bookmarkEnd w:id="316"/>
    </w:p>
    <w:p w14:paraId="05EEF1A5" w14:textId="0B513CEB" w:rsidR="00A43521" w:rsidRPr="00E6110F" w:rsidRDefault="00A43521" w:rsidP="00A43521">
      <w:pPr>
        <w:pStyle w:val="Body"/>
      </w:pPr>
      <w:r w:rsidRPr="00E6110F">
        <w:t>The Queensland Water Commission (now known as Office of Groundwater Impact Assessment, OGIA) commissioned GHD to develop a groundwater model in 2012 (GHD 2012) to predict the cumulative groundwater impacts of Coal Seam Gas development in the Surat Cumulative Management Area. The predictive modelling using this model informed identification of immediately affected areas and long-term affected areas in Queensland Government’s Underground Water Impact Report (QWC 2012). This groundwater model is used in the present study to undertake particle tracking analysis.</w:t>
      </w:r>
      <w:r w:rsidR="00021865">
        <w:t xml:space="preserve"> At the time when this analysis was undertaken an updated groundwater model and impact assessments was being prepared by OGIA; this model was not available at the time the particle tracking analysis were undertaken.</w:t>
      </w:r>
      <w:r w:rsidRPr="00E6110F">
        <w:t xml:space="preserve"> </w:t>
      </w:r>
    </w:p>
    <w:p w14:paraId="3AB8F014" w14:textId="48A51E65" w:rsidR="00A43521" w:rsidRPr="00E6110F" w:rsidRDefault="00A43521" w:rsidP="00A43521">
      <w:pPr>
        <w:pStyle w:val="Body"/>
      </w:pPr>
      <w:r w:rsidRPr="00E6110F">
        <w:t>In this model, the model layers represent either a single geological unit (e.g., Gubburamanda Sandstone) or a combination of multiple units (e.g., layer 3) (</w:t>
      </w:r>
      <w:r w:rsidR="00470577">
        <w:fldChar w:fldCharType="begin" w:fldLock="1"/>
      </w:r>
      <w:r w:rsidR="00470577">
        <w:instrText xml:space="preserve"> REF _Ref476586454 \h  \* MERGEFORMAT </w:instrText>
      </w:r>
      <w:r w:rsidR="00470577">
        <w:fldChar w:fldCharType="separate"/>
      </w:r>
      <w:r w:rsidR="00335E79" w:rsidRPr="00F34532">
        <w:t>Table 2</w:t>
      </w:r>
      <w:r w:rsidR="00335E79" w:rsidRPr="00F34532">
        <w:noBreakHyphen/>
        <w:t>25</w:t>
      </w:r>
      <w:r w:rsidR="00470577">
        <w:fldChar w:fldCharType="end"/>
      </w:r>
      <w:r w:rsidRPr="00E6110F">
        <w:t>). Before the numerical discretisation of the geological layers (column 2) was undertaken, further aggregation or disaggregation was applied (column 1</w:t>
      </w:r>
      <w:r w:rsidR="00021865">
        <w:t xml:space="preserve"> in </w:t>
      </w:r>
      <w:r w:rsidR="00021865">
        <w:fldChar w:fldCharType="begin" w:fldLock="1"/>
      </w:r>
      <w:r w:rsidR="00021865">
        <w:instrText xml:space="preserve"> REF _Ref422388099 \h </w:instrText>
      </w:r>
      <w:r w:rsidR="00021865">
        <w:fldChar w:fldCharType="separate"/>
      </w:r>
      <w:r w:rsidR="00335E79" w:rsidRPr="00E6110F">
        <w:t xml:space="preserve">Table </w:t>
      </w:r>
      <w:r w:rsidR="00335E79">
        <w:rPr>
          <w:noProof/>
        </w:rPr>
        <w:t>2</w:t>
      </w:r>
      <w:r w:rsidR="00335E79">
        <w:noBreakHyphen/>
      </w:r>
      <w:r w:rsidR="00335E79">
        <w:rPr>
          <w:noProof/>
        </w:rPr>
        <w:t>20</w:t>
      </w:r>
      <w:r w:rsidR="00021865">
        <w:fldChar w:fldCharType="end"/>
      </w:r>
      <w:r w:rsidRPr="00E6110F">
        <w:t xml:space="preserve">). For example, the Walloon Coal Measures is represented as 2 layers in the numerical model. </w:t>
      </w:r>
    </w:p>
    <w:p w14:paraId="63DEFE63" w14:textId="649F3E3D" w:rsidR="00A43521" w:rsidRDefault="00A43521" w:rsidP="00A43521">
      <w:pPr>
        <w:pStyle w:val="Body"/>
      </w:pPr>
      <w:r w:rsidRPr="00E6110F">
        <w:t>For the purpose of particle tracking analysis, the main hydrostratigraphic unit of interests are the Walloon Coal Measures and the sandstone aquifers above the Walloon Coal Measures - the Gubburamanda Sandstone and Springbok Sandstone.  As the representation of the Alluvium in this model is very coarse</w:t>
      </w:r>
      <w:r w:rsidR="00201D4F">
        <w:t>,</w:t>
      </w:r>
      <w:r w:rsidRPr="00E6110F">
        <w:t xml:space="preserve"> particle tracking analysis is not explicitly done for this layer.</w:t>
      </w:r>
    </w:p>
    <w:p w14:paraId="21A88AD0" w14:textId="77777777" w:rsidR="004458D1" w:rsidRPr="00E6110F" w:rsidRDefault="004458D1" w:rsidP="00A43521">
      <w:pPr>
        <w:pStyle w:val="Body"/>
      </w:pPr>
    </w:p>
    <w:p w14:paraId="18BD0405" w14:textId="7DEA5414" w:rsidR="00A43521" w:rsidRPr="004458D1" w:rsidRDefault="00470577" w:rsidP="00470577">
      <w:pPr>
        <w:pStyle w:val="Caption"/>
        <w:rPr>
          <w:rFonts w:ascii="Calibri" w:hAnsi="Calibri" w:cs="Calibri"/>
          <w:b w:val="0"/>
          <w:bCs w:val="0"/>
          <w:i/>
          <w:color w:val="000000"/>
          <w:sz w:val="14"/>
          <w:szCs w:val="14"/>
          <w:lang w:val="en-GB"/>
        </w:rPr>
      </w:pPr>
      <w:bookmarkStart w:id="317" w:name="_Ref476586454"/>
      <w:bookmarkStart w:id="318" w:name="_Toc494444715"/>
      <w:r w:rsidRPr="00470577">
        <w:rPr>
          <w:rFonts w:ascii="Calibri" w:hAnsi="Calibri" w:cs="Calibri"/>
          <w:b w:val="0"/>
          <w:bCs w:val="0"/>
          <w:i/>
          <w:color w:val="000000"/>
          <w:sz w:val="14"/>
          <w:szCs w:val="14"/>
          <w:lang w:val="en-GB"/>
        </w:rPr>
        <w:t xml:space="preserve">Table </w:t>
      </w:r>
      <w:r w:rsidRPr="00470577">
        <w:rPr>
          <w:rFonts w:ascii="Calibri" w:hAnsi="Calibri" w:cs="Calibri"/>
          <w:b w:val="0"/>
          <w:bCs w:val="0"/>
          <w:i/>
          <w:color w:val="000000"/>
          <w:sz w:val="14"/>
          <w:szCs w:val="14"/>
          <w:lang w:val="en-GB"/>
        </w:rPr>
        <w:fldChar w:fldCharType="begin" w:fldLock="1"/>
      </w:r>
      <w:r w:rsidRPr="00470577">
        <w:rPr>
          <w:rFonts w:ascii="Calibri" w:hAnsi="Calibri" w:cs="Calibri"/>
          <w:b w:val="0"/>
          <w:bCs w:val="0"/>
          <w:i/>
          <w:color w:val="000000"/>
          <w:sz w:val="14"/>
          <w:szCs w:val="14"/>
          <w:lang w:val="en-GB"/>
        </w:rPr>
        <w:instrText xml:space="preserve"> STYLEREF 1 \s </w:instrText>
      </w:r>
      <w:r w:rsidRPr="00470577">
        <w:rPr>
          <w:rFonts w:ascii="Calibri" w:hAnsi="Calibri" w:cs="Calibri"/>
          <w:b w:val="0"/>
          <w:bCs w:val="0"/>
          <w:i/>
          <w:color w:val="000000"/>
          <w:sz w:val="14"/>
          <w:szCs w:val="14"/>
          <w:lang w:val="en-GB"/>
        </w:rPr>
        <w:fldChar w:fldCharType="separate"/>
      </w:r>
      <w:r w:rsidR="00335E79">
        <w:rPr>
          <w:rFonts w:ascii="Calibri" w:hAnsi="Calibri" w:cs="Calibri"/>
          <w:b w:val="0"/>
          <w:bCs w:val="0"/>
          <w:i/>
          <w:noProof/>
          <w:color w:val="000000"/>
          <w:sz w:val="14"/>
          <w:szCs w:val="14"/>
          <w:lang w:val="en-GB"/>
        </w:rPr>
        <w:t>2</w:t>
      </w:r>
      <w:r w:rsidRPr="00470577">
        <w:rPr>
          <w:rFonts w:ascii="Calibri" w:hAnsi="Calibri" w:cs="Calibri"/>
          <w:b w:val="0"/>
          <w:bCs w:val="0"/>
          <w:i/>
          <w:color w:val="000000"/>
          <w:sz w:val="14"/>
          <w:szCs w:val="14"/>
          <w:lang w:val="en-GB"/>
        </w:rPr>
        <w:fldChar w:fldCharType="end"/>
      </w:r>
      <w:r w:rsidRPr="00470577">
        <w:rPr>
          <w:rFonts w:ascii="Calibri" w:hAnsi="Calibri" w:cs="Calibri"/>
          <w:b w:val="0"/>
          <w:bCs w:val="0"/>
          <w:i/>
          <w:color w:val="000000"/>
          <w:sz w:val="14"/>
          <w:szCs w:val="14"/>
          <w:lang w:val="en-GB"/>
        </w:rPr>
        <w:noBreakHyphen/>
      </w:r>
      <w:r w:rsidRPr="00470577">
        <w:rPr>
          <w:rFonts w:ascii="Calibri" w:hAnsi="Calibri" w:cs="Calibri"/>
          <w:b w:val="0"/>
          <w:bCs w:val="0"/>
          <w:i/>
          <w:color w:val="000000"/>
          <w:sz w:val="14"/>
          <w:szCs w:val="14"/>
          <w:lang w:val="en-GB"/>
        </w:rPr>
        <w:fldChar w:fldCharType="begin"/>
      </w:r>
      <w:r w:rsidRPr="00470577">
        <w:rPr>
          <w:rFonts w:ascii="Calibri" w:hAnsi="Calibri" w:cs="Calibri"/>
          <w:b w:val="0"/>
          <w:bCs w:val="0"/>
          <w:i/>
          <w:color w:val="000000"/>
          <w:sz w:val="14"/>
          <w:szCs w:val="14"/>
          <w:lang w:val="en-GB"/>
        </w:rPr>
        <w:instrText xml:space="preserve"> SEQ Table \* ARABIC \s 1 </w:instrText>
      </w:r>
      <w:r w:rsidRPr="00470577">
        <w:rPr>
          <w:rFonts w:ascii="Calibri" w:hAnsi="Calibri" w:cs="Calibri"/>
          <w:b w:val="0"/>
          <w:bCs w:val="0"/>
          <w:i/>
          <w:color w:val="000000"/>
          <w:sz w:val="14"/>
          <w:szCs w:val="14"/>
          <w:lang w:val="en-GB"/>
        </w:rPr>
        <w:fldChar w:fldCharType="separate"/>
      </w:r>
      <w:r w:rsidR="00951AFC">
        <w:rPr>
          <w:rFonts w:ascii="Calibri" w:hAnsi="Calibri" w:cs="Calibri"/>
          <w:b w:val="0"/>
          <w:bCs w:val="0"/>
          <w:i/>
          <w:noProof/>
          <w:color w:val="000000"/>
          <w:sz w:val="14"/>
          <w:szCs w:val="14"/>
          <w:lang w:val="en-GB"/>
        </w:rPr>
        <w:t>25</w:t>
      </w:r>
      <w:r w:rsidRPr="00470577">
        <w:rPr>
          <w:rFonts w:ascii="Calibri" w:hAnsi="Calibri" w:cs="Calibri"/>
          <w:b w:val="0"/>
          <w:bCs w:val="0"/>
          <w:i/>
          <w:color w:val="000000"/>
          <w:sz w:val="14"/>
          <w:szCs w:val="14"/>
          <w:lang w:val="en-GB"/>
        </w:rPr>
        <w:fldChar w:fldCharType="end"/>
      </w:r>
      <w:bookmarkEnd w:id="317"/>
      <w:r w:rsidRPr="00470577">
        <w:rPr>
          <w:rFonts w:ascii="Calibri" w:hAnsi="Calibri" w:cs="Calibri"/>
          <w:b w:val="0"/>
          <w:bCs w:val="0"/>
          <w:i/>
          <w:color w:val="000000"/>
          <w:sz w:val="14"/>
          <w:szCs w:val="14"/>
          <w:lang w:val="en-GB"/>
        </w:rPr>
        <w:t xml:space="preserve"> </w:t>
      </w:r>
      <w:r w:rsidR="00A43521" w:rsidRPr="00470577">
        <w:rPr>
          <w:rFonts w:ascii="Calibri" w:hAnsi="Calibri" w:cs="Calibri"/>
          <w:b w:val="0"/>
          <w:bCs w:val="0"/>
          <w:i/>
          <w:color w:val="000000"/>
          <w:sz w:val="14"/>
          <w:szCs w:val="14"/>
          <w:lang w:val="en-GB"/>
        </w:rPr>
        <w:t xml:space="preserve"> Summary </w:t>
      </w:r>
      <w:r w:rsidR="00A43521" w:rsidRPr="004458D1">
        <w:rPr>
          <w:rFonts w:ascii="Calibri" w:hAnsi="Calibri" w:cs="Calibri"/>
          <w:b w:val="0"/>
          <w:bCs w:val="0"/>
          <w:i/>
          <w:color w:val="000000"/>
          <w:sz w:val="14"/>
          <w:szCs w:val="14"/>
          <w:lang w:val="en-GB"/>
        </w:rPr>
        <w:t xml:space="preserve">of geological units, hydrostratigraphic units and groundwater flow model layers represented in Office of Groundwater Impact </w:t>
      </w:r>
      <w:r w:rsidR="00235EC9" w:rsidRPr="004458D1">
        <w:rPr>
          <w:rFonts w:ascii="Calibri" w:hAnsi="Calibri" w:cs="Calibri"/>
          <w:b w:val="0"/>
          <w:bCs w:val="0"/>
          <w:i/>
          <w:color w:val="000000"/>
          <w:sz w:val="14"/>
          <w:szCs w:val="14"/>
          <w:lang w:val="en-GB"/>
        </w:rPr>
        <w:t>Assessment</w:t>
      </w:r>
      <w:r w:rsidR="00A43521" w:rsidRPr="004458D1">
        <w:rPr>
          <w:rFonts w:ascii="Calibri" w:hAnsi="Calibri" w:cs="Calibri"/>
          <w:b w:val="0"/>
          <w:bCs w:val="0"/>
          <w:i/>
          <w:color w:val="000000"/>
          <w:sz w:val="14"/>
          <w:szCs w:val="14"/>
          <w:lang w:val="en-GB"/>
        </w:rPr>
        <w:t xml:space="preserve"> (OGIA) flow model (GHD 2012).</w:t>
      </w:r>
      <w:bookmarkEnd w:id="318"/>
    </w:p>
    <w:p w14:paraId="264FEC64" w14:textId="281C789F" w:rsidR="00A43521" w:rsidRPr="00E6110F" w:rsidRDefault="009D10DF" w:rsidP="00A43521">
      <w:pPr>
        <w:rPr>
          <w:lang w:val="en-GB"/>
        </w:rPr>
      </w:pPr>
      <w:r w:rsidRPr="009D10DF">
        <w:rPr>
          <w:noProof/>
          <w:lang w:val="en-AU" w:eastAsia="en-AU"/>
        </w:rPr>
        <w:drawing>
          <wp:inline distT="0" distB="0" distL="0" distR="0" wp14:anchorId="674C25AE" wp14:editId="07FCEE32">
            <wp:extent cx="5727700" cy="6687820"/>
            <wp:effectExtent l="0" t="0" r="6350" b="0"/>
            <wp:docPr id="567" name="Picture 567" descr="Summary table of geological, hydrostratigraphic and model layers represented in the OGIA flow model." title="Tabl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5727700" cy="6687820"/>
                    </a:xfrm>
                    <a:prstGeom prst="rect">
                      <a:avLst/>
                    </a:prstGeom>
                  </pic:spPr>
                </pic:pic>
              </a:graphicData>
            </a:graphic>
          </wp:inline>
        </w:drawing>
      </w:r>
    </w:p>
    <w:p w14:paraId="0CA1ACF4" w14:textId="77777777" w:rsidR="00154A97" w:rsidRPr="00E6110F" w:rsidRDefault="00154A97" w:rsidP="00A43521">
      <w:pPr>
        <w:rPr>
          <w:rFonts w:asciiTheme="majorHAnsi" w:hAnsiTheme="majorHAnsi"/>
          <w:sz w:val="18"/>
          <w:szCs w:val="18"/>
          <w:lang w:val="en-GB"/>
        </w:rPr>
      </w:pPr>
    </w:p>
    <w:p w14:paraId="632C711F" w14:textId="77777777" w:rsidR="00A43521" w:rsidRPr="00E6110F" w:rsidRDefault="00A43521" w:rsidP="00235EC9">
      <w:pPr>
        <w:pStyle w:val="Body"/>
      </w:pPr>
      <w:r w:rsidRPr="00E6110F">
        <w:t>The Surat Basin comprises sequences of alternating layers of sandstones, siltstones and mudstones. The sandstone aquifers in the basin are the Mooga Sandstone, Springbok Sandstone, Hutton Sandstone and the Precipice Sandstone. The fine to medium-grained, often clayey sandstones, siltstones and mudstones of the Springbok Sandstone overlie the Walloon Coal Measures.</w:t>
      </w:r>
    </w:p>
    <w:p w14:paraId="4C08FC05" w14:textId="5444E8BD" w:rsidR="00A43521" w:rsidRPr="00E6110F" w:rsidRDefault="00A43521" w:rsidP="00235EC9">
      <w:pPr>
        <w:pStyle w:val="Body"/>
      </w:pPr>
      <w:r w:rsidRPr="00E6110F">
        <w:t xml:space="preserve">Outcrop of different formations </w:t>
      </w:r>
      <w:r w:rsidR="00470577">
        <w:t xml:space="preserve">is </w:t>
      </w:r>
      <w:r w:rsidRPr="00E6110F">
        <w:t>as represented in the OGIA model (GHD 2012). All the formations outcrop along the north-eastern margin of the Surat Basin. A cross-section through the northern part of the Surat Basin highlights spatial relationships between different formations (</w:t>
      </w:r>
      <w:r w:rsidR="00FE5988">
        <w:fldChar w:fldCharType="begin"/>
      </w:r>
      <w:r w:rsidR="00FE5988">
        <w:instrText xml:space="preserve"> REF _Ref454474925 \h </w:instrText>
      </w:r>
      <w:r w:rsidR="00FE5988">
        <w:fldChar w:fldCharType="separate"/>
      </w:r>
      <w:r w:rsidR="00951AFC" w:rsidRPr="00E6110F">
        <w:t xml:space="preserve">Figure </w:t>
      </w:r>
      <w:r w:rsidR="00951AFC">
        <w:rPr>
          <w:noProof/>
        </w:rPr>
        <w:t>2</w:t>
      </w:r>
      <w:r w:rsidR="00951AFC">
        <w:noBreakHyphen/>
      </w:r>
      <w:r w:rsidR="00951AFC">
        <w:rPr>
          <w:noProof/>
        </w:rPr>
        <w:t>65</w:t>
      </w:r>
      <w:r w:rsidR="00FE5988">
        <w:fldChar w:fldCharType="end"/>
      </w:r>
      <w:r w:rsidRPr="00E6110F">
        <w:t>). In this northern part of the Surat Basin (Mimosa Syncline), the Dawson River has cut into the underlying bedrock. Although one would intuitively assume that groundwater flows from the northern outcrop beds to the central deeper parts of the Surat Basin, a recent study by Hodkinson and Grigorescu (201</w:t>
      </w:r>
      <w:r w:rsidR="00154A97" w:rsidRPr="00E6110F">
        <w:t>1</w:t>
      </w:r>
      <w:r w:rsidRPr="00E6110F">
        <w:t xml:space="preserve">) indicates that groundwater flow in key aquifers such as the Hutton Sandstone is towards the north in this area. </w:t>
      </w:r>
    </w:p>
    <w:p w14:paraId="0FB9395D" w14:textId="77777777" w:rsidR="00A43521" w:rsidRPr="00E6110F" w:rsidRDefault="00A43521" w:rsidP="00A43521">
      <w:pPr>
        <w:rPr>
          <w:rFonts w:asciiTheme="majorHAnsi" w:hAnsiTheme="majorHAnsi"/>
          <w:sz w:val="18"/>
          <w:szCs w:val="18"/>
        </w:rPr>
      </w:pPr>
    </w:p>
    <w:p w14:paraId="4FDA6DB1" w14:textId="77777777" w:rsidR="00A43521" w:rsidRPr="00E6110F" w:rsidRDefault="00A43521" w:rsidP="00A43521">
      <w:pPr>
        <w:rPr>
          <w:rFonts w:asciiTheme="majorHAnsi" w:hAnsiTheme="majorHAnsi"/>
          <w:sz w:val="18"/>
          <w:szCs w:val="18"/>
          <w:lang w:val="en-GB"/>
        </w:rPr>
      </w:pPr>
      <w:r w:rsidRPr="00E6110F">
        <w:rPr>
          <w:rFonts w:asciiTheme="majorHAnsi" w:hAnsiTheme="majorHAnsi"/>
          <w:noProof/>
          <w:sz w:val="18"/>
          <w:szCs w:val="18"/>
          <w:lang w:val="en-AU" w:eastAsia="en-AU"/>
        </w:rPr>
        <w:drawing>
          <wp:inline distT="0" distB="0" distL="0" distR="0" wp14:anchorId="06199E47" wp14:editId="0FB99CD5">
            <wp:extent cx="5727700" cy="2311400"/>
            <wp:effectExtent l="0" t="0" r="6350" b="0"/>
            <wp:docPr id="551" name="Picture 551" descr="Cross-section through the northern part of the Surat Basin study area." title="Fig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oss_sectionDawson River 2.png"/>
                    <pic:cNvPicPr/>
                  </pic:nvPicPr>
                  <pic:blipFill>
                    <a:blip r:embed="rId107" cstate="email">
                      <a:extLst>
                        <a:ext uri="{28A0092B-C50C-407E-A947-70E740481C1C}">
                          <a14:useLocalDpi xmlns:a14="http://schemas.microsoft.com/office/drawing/2010/main"/>
                        </a:ext>
                      </a:extLst>
                    </a:blip>
                    <a:stretch>
                      <a:fillRect/>
                    </a:stretch>
                  </pic:blipFill>
                  <pic:spPr>
                    <a:xfrm>
                      <a:off x="0" y="0"/>
                      <a:ext cx="5727700" cy="2311400"/>
                    </a:xfrm>
                    <a:prstGeom prst="rect">
                      <a:avLst/>
                    </a:prstGeom>
                  </pic:spPr>
                </pic:pic>
              </a:graphicData>
            </a:graphic>
          </wp:inline>
        </w:drawing>
      </w:r>
    </w:p>
    <w:p w14:paraId="09AEEF07" w14:textId="08591AE7" w:rsidR="00A43521" w:rsidRPr="00E6110F" w:rsidRDefault="00A43521" w:rsidP="00A43521">
      <w:pPr>
        <w:pStyle w:val="Imagecaption"/>
      </w:pPr>
      <w:bookmarkStart w:id="319" w:name="_Ref454474925"/>
      <w:bookmarkStart w:id="320" w:name="_Toc477347597"/>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65</w:t>
      </w:r>
      <w:r w:rsidR="00254026">
        <w:fldChar w:fldCharType="end"/>
      </w:r>
      <w:bookmarkEnd w:id="319"/>
      <w:r w:rsidRPr="00E6110F">
        <w:t xml:space="preserve"> Cross-section through the northern part of the Surat Basin showing aquifer-aquitard sequence.</w:t>
      </w:r>
      <w:bookmarkEnd w:id="320"/>
      <w:r w:rsidR="00AF018C">
        <w:t xml:space="preserve"> For location of cross-section, see Figure 2-64.</w:t>
      </w:r>
    </w:p>
    <w:p w14:paraId="32987B13" w14:textId="77777777" w:rsidR="00154A97" w:rsidRPr="00E6110F" w:rsidRDefault="00154A97" w:rsidP="00A43521">
      <w:pPr>
        <w:rPr>
          <w:rFonts w:asciiTheme="majorHAnsi" w:hAnsiTheme="majorHAnsi"/>
          <w:sz w:val="18"/>
          <w:szCs w:val="18"/>
          <w:lang w:val="en-GB"/>
        </w:rPr>
      </w:pPr>
    </w:p>
    <w:p w14:paraId="3A1BC9C7" w14:textId="6DA8A629" w:rsidR="00CF40CC" w:rsidRPr="00E6110F" w:rsidRDefault="00A43521" w:rsidP="00CF40CC">
      <w:pPr>
        <w:pStyle w:val="Body"/>
      </w:pPr>
      <w:r w:rsidRPr="00E6110F">
        <w:t xml:space="preserve">Although </w:t>
      </w:r>
      <w:r w:rsidR="004977F2">
        <w:t xml:space="preserve">geological </w:t>
      </w:r>
      <w:r w:rsidRPr="00E6110F">
        <w:t xml:space="preserve">formations are often </w:t>
      </w:r>
      <w:r w:rsidR="004977F2">
        <w:t>represented</w:t>
      </w:r>
      <w:r w:rsidRPr="00E6110F">
        <w:t xml:space="preserve"> as a single layer</w:t>
      </w:r>
      <w:r w:rsidR="004977F2">
        <w:t xml:space="preserve"> </w:t>
      </w:r>
      <w:r w:rsidR="004977F2" w:rsidRPr="00E6110F">
        <w:t>for modelling purposes</w:t>
      </w:r>
      <w:r w:rsidRPr="00E6110F">
        <w:t xml:space="preserve">, there is generally a high degree of lithological heterogeneity within most formations. Within the Walloon Coal Measures, for instance, there are alternating sequences of sandstone, siltstone, mudstone, carbonate shale and clay, and only a comparatively small proportion of the overall thickness is coal, as highlighted in </w:t>
      </w:r>
      <w:r w:rsidRPr="00E6110F">
        <w:fldChar w:fldCharType="begin" w:fldLock="1"/>
      </w:r>
      <w:r w:rsidRPr="00E6110F">
        <w:instrText xml:space="preserve"> REF _Ref454267958 \h  \* MERGEFORMAT </w:instrText>
      </w:r>
      <w:r w:rsidRPr="00E6110F">
        <w:fldChar w:fldCharType="separate"/>
      </w:r>
      <w:r w:rsidR="00335E79" w:rsidRPr="00E6110F">
        <w:t xml:space="preserve">Figure </w:t>
      </w:r>
      <w:r w:rsidR="00335E79">
        <w:t>2</w:t>
      </w:r>
      <w:r w:rsidR="00335E79">
        <w:noBreakHyphen/>
        <w:t>67</w:t>
      </w:r>
      <w:r w:rsidRPr="00E6110F">
        <w:fldChar w:fldCharType="end"/>
      </w:r>
      <w:r w:rsidR="002A04FA">
        <w:t xml:space="preserve"> and </w:t>
      </w:r>
      <w:r w:rsidR="002A04FA">
        <w:fldChar w:fldCharType="begin" w:fldLock="1"/>
      </w:r>
      <w:r w:rsidR="002A04FA">
        <w:instrText xml:space="preserve"> REF _Ref454269790 \h </w:instrText>
      </w:r>
      <w:r w:rsidR="002A04FA">
        <w:fldChar w:fldCharType="separate"/>
      </w:r>
      <w:r w:rsidR="00335E79" w:rsidRPr="00E6110F">
        <w:t xml:space="preserve">Figure </w:t>
      </w:r>
      <w:r w:rsidR="00335E79">
        <w:rPr>
          <w:noProof/>
        </w:rPr>
        <w:t>2</w:t>
      </w:r>
      <w:r w:rsidR="00335E79">
        <w:noBreakHyphen/>
      </w:r>
      <w:r w:rsidR="00335E79">
        <w:rPr>
          <w:noProof/>
        </w:rPr>
        <w:t>68</w:t>
      </w:r>
      <w:r w:rsidR="002A04FA">
        <w:fldChar w:fldCharType="end"/>
      </w:r>
      <w:r w:rsidR="00384DFA">
        <w:t>.</w:t>
      </w:r>
      <w:r w:rsidR="005917BA">
        <w:t xml:space="preserve"> </w:t>
      </w:r>
      <w:r w:rsidR="00CF40CC" w:rsidRPr="005917BA">
        <w:t xml:space="preserve">The coal seams are generally the more-permeable units </w:t>
      </w:r>
      <w:r w:rsidR="005917BA" w:rsidRPr="005917BA">
        <w:t>that</w:t>
      </w:r>
      <w:r w:rsidR="00CF40CC" w:rsidRPr="005917BA">
        <w:t xml:space="preserve"> sit within a sequence of</w:t>
      </w:r>
      <w:r w:rsidR="0050240D" w:rsidRPr="005917BA">
        <w:t xml:space="preserve"> </w:t>
      </w:r>
      <w:r w:rsidR="00CF40CC" w:rsidRPr="005917BA">
        <w:t xml:space="preserve">mainly low-permeability mudstones, siltstones or fine-grained sandstones. As shown in </w:t>
      </w:r>
      <w:r w:rsidR="005917BA" w:rsidRPr="005917BA">
        <w:fldChar w:fldCharType="begin" w:fldLock="1"/>
      </w:r>
      <w:r w:rsidR="005917BA" w:rsidRPr="005917BA">
        <w:instrText xml:space="preserve"> REF _Ref454267958 \h </w:instrText>
      </w:r>
      <w:r w:rsidR="005917BA">
        <w:instrText xml:space="preserve"> \* MERGEFORMAT </w:instrText>
      </w:r>
      <w:r w:rsidR="005917BA" w:rsidRPr="005917BA">
        <w:fldChar w:fldCharType="separate"/>
      </w:r>
      <w:r w:rsidR="00335E79" w:rsidRPr="00E6110F">
        <w:t xml:space="preserve">Figure </w:t>
      </w:r>
      <w:r w:rsidR="00335E79">
        <w:rPr>
          <w:noProof/>
        </w:rPr>
        <w:t>2</w:t>
      </w:r>
      <w:r w:rsidR="00335E79">
        <w:rPr>
          <w:noProof/>
        </w:rPr>
        <w:noBreakHyphen/>
        <w:t>67</w:t>
      </w:r>
      <w:r w:rsidR="005917BA" w:rsidRPr="005917BA">
        <w:fldChar w:fldCharType="end"/>
      </w:r>
      <w:r w:rsidR="00CF40CC" w:rsidRPr="005917BA">
        <w:t>, most of</w:t>
      </w:r>
      <w:r w:rsidR="0050240D" w:rsidRPr="005917BA">
        <w:t xml:space="preserve"> </w:t>
      </w:r>
      <w:r w:rsidR="00CF40CC" w:rsidRPr="005917BA">
        <w:t xml:space="preserve">the coal seams comprise </w:t>
      </w:r>
      <w:r w:rsidR="005917BA" w:rsidRPr="005917BA">
        <w:t>multiple</w:t>
      </w:r>
      <w:r w:rsidR="00CF40CC" w:rsidRPr="005917BA">
        <w:t xml:space="preserve"> thin lenses separated by </w:t>
      </w:r>
      <w:r w:rsidR="005917BA" w:rsidRPr="005917BA">
        <w:t>layers</w:t>
      </w:r>
      <w:r w:rsidR="00CF40CC" w:rsidRPr="005917BA">
        <w:t xml:space="preserve"> of low-permeability sediments. The coal thickness </w:t>
      </w:r>
      <w:r w:rsidR="005917BA" w:rsidRPr="005917BA">
        <w:t xml:space="preserve">typically </w:t>
      </w:r>
      <w:r w:rsidR="00CF40CC" w:rsidRPr="005917BA">
        <w:t>makes</w:t>
      </w:r>
      <w:r w:rsidR="0050240D" w:rsidRPr="005917BA">
        <w:t xml:space="preserve"> </w:t>
      </w:r>
      <w:r w:rsidR="00CF40CC" w:rsidRPr="005917BA">
        <w:t>up less than 10 per cent of the total thickness of the Walloon Coal Measures.</w:t>
      </w:r>
    </w:p>
    <w:p w14:paraId="0CDFE6E7" w14:textId="004367BB" w:rsidR="00A43521" w:rsidRPr="00E6110F" w:rsidRDefault="00195CBF" w:rsidP="00A43521">
      <w:pPr>
        <w:rPr>
          <w:rFonts w:asciiTheme="majorHAnsi" w:hAnsiTheme="majorHAnsi"/>
          <w:sz w:val="18"/>
          <w:szCs w:val="18"/>
          <w:lang w:val="en-GB"/>
        </w:rPr>
      </w:pPr>
      <w:r w:rsidRPr="00195CBF">
        <w:rPr>
          <w:noProof/>
          <w:lang w:val="en-AU" w:eastAsia="en-AU"/>
        </w:rPr>
        <w:drawing>
          <wp:inline distT="0" distB="0" distL="0" distR="0" wp14:anchorId="34EF12A7" wp14:editId="3AB2154F">
            <wp:extent cx="4102311" cy="6953607"/>
            <wp:effectExtent l="0" t="0" r="0" b="0"/>
            <wp:docPr id="46" name="Picture 46" descr="Stratigraphic diagram showing lithilogical variability in the Walloon Coal Measures." title="Fig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4102311" cy="6953607"/>
                    </a:xfrm>
                    <a:prstGeom prst="rect">
                      <a:avLst/>
                    </a:prstGeom>
                  </pic:spPr>
                </pic:pic>
              </a:graphicData>
            </a:graphic>
          </wp:inline>
        </w:drawing>
      </w:r>
    </w:p>
    <w:p w14:paraId="04A9EDEF" w14:textId="2641DB0A" w:rsidR="00A43521" w:rsidRPr="00E6110F" w:rsidRDefault="00A43521" w:rsidP="00A43521">
      <w:pPr>
        <w:pStyle w:val="Imagecaption"/>
      </w:pPr>
      <w:bookmarkStart w:id="321" w:name="_Ref454267958"/>
      <w:bookmarkStart w:id="322" w:name="_Toc477347598"/>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66</w:t>
      </w:r>
      <w:r w:rsidR="00254026">
        <w:fldChar w:fldCharType="end"/>
      </w:r>
      <w:bookmarkEnd w:id="321"/>
      <w:r w:rsidRPr="00E6110F">
        <w:t xml:space="preserve"> Lithological variability within th</w:t>
      </w:r>
      <w:r w:rsidR="00154A97" w:rsidRPr="00E6110F">
        <w:t>e Walloon Coal Measures (OGIA</w:t>
      </w:r>
      <w:r w:rsidRPr="00E6110F">
        <w:t xml:space="preserve"> 2016)</w:t>
      </w:r>
      <w:r w:rsidR="005917BA">
        <w:t>.</w:t>
      </w:r>
      <w:bookmarkEnd w:id="322"/>
    </w:p>
    <w:p w14:paraId="789D5A32" w14:textId="506BD930" w:rsidR="00A43521" w:rsidRPr="00E6110F" w:rsidRDefault="000067A9" w:rsidP="00A43521">
      <w:r w:rsidRPr="000067A9">
        <w:rPr>
          <w:noProof/>
          <w:lang w:val="en-AU" w:eastAsia="en-AU"/>
        </w:rPr>
        <w:drawing>
          <wp:inline distT="0" distB="0" distL="0" distR="0" wp14:anchorId="6029B9F2" wp14:editId="4355561D">
            <wp:extent cx="5740400" cy="5940140"/>
            <wp:effectExtent l="0" t="0" r="0" b="3810"/>
            <wp:docPr id="45" name="Picture 45" descr="Example charts of lithological composition in Westbourne Formation, Springbok Sandstone and Walloon Coal Measures." title="Fig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745556" cy="5945475"/>
                    </a:xfrm>
                    <a:prstGeom prst="rect">
                      <a:avLst/>
                    </a:prstGeom>
                    <a:noFill/>
                    <a:ln>
                      <a:noFill/>
                    </a:ln>
                  </pic:spPr>
                </pic:pic>
              </a:graphicData>
            </a:graphic>
          </wp:inline>
        </w:drawing>
      </w:r>
    </w:p>
    <w:p w14:paraId="479A3A8E" w14:textId="477CC508" w:rsidR="00A43521" w:rsidRPr="00E6110F" w:rsidRDefault="00A43521" w:rsidP="00A43521">
      <w:pPr>
        <w:pStyle w:val="Imagecaption"/>
      </w:pPr>
      <w:bookmarkStart w:id="323" w:name="_Ref454269790"/>
      <w:bookmarkStart w:id="324" w:name="_Toc477347599"/>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67</w:t>
      </w:r>
      <w:r w:rsidR="00254026">
        <w:fldChar w:fldCharType="end"/>
      </w:r>
      <w:bookmarkEnd w:id="323"/>
      <w:r w:rsidRPr="00E6110F">
        <w:t xml:space="preserve"> Example of lithological composition in Westbourne Formation, Springbok Sandstone and Walloon Coal Measures (herein represented by Durabilla Formation, Taroom Coal Measures, Tangalooma Sandstone and Juandah Coal Measures) in selected Surat Basin wells (Est</w:t>
      </w:r>
      <w:r w:rsidR="00154A97" w:rsidRPr="00E6110F">
        <w:t>erle et al.</w:t>
      </w:r>
      <w:r w:rsidRPr="00E6110F">
        <w:t xml:space="preserve"> 2013)</w:t>
      </w:r>
      <w:bookmarkEnd w:id="324"/>
    </w:p>
    <w:p w14:paraId="2B41DCB6" w14:textId="77777777" w:rsidR="00A43521" w:rsidRPr="00E6110F" w:rsidRDefault="00A43521" w:rsidP="00A43521">
      <w:pPr>
        <w:pStyle w:val="Body"/>
      </w:pPr>
    </w:p>
    <w:p w14:paraId="5F59751E" w14:textId="77777777" w:rsidR="00A43521" w:rsidRPr="00E6110F" w:rsidRDefault="00A43521" w:rsidP="00A43521">
      <w:pPr>
        <w:pStyle w:val="Body"/>
      </w:pPr>
    </w:p>
    <w:p w14:paraId="13429646" w14:textId="77777777" w:rsidR="00A41C9E" w:rsidRPr="00E6110F" w:rsidRDefault="00A41C9E" w:rsidP="00A41C9E">
      <w:pPr>
        <w:pStyle w:val="Heading3"/>
        <w:numPr>
          <w:ilvl w:val="3"/>
          <w:numId w:val="1"/>
        </w:numPr>
      </w:pPr>
      <w:bookmarkStart w:id="325" w:name="_Toc494444543"/>
      <w:r w:rsidRPr="00E6110F">
        <w:t>Groundwater flow model</w:t>
      </w:r>
      <w:bookmarkEnd w:id="325"/>
    </w:p>
    <w:p w14:paraId="63D63092" w14:textId="0F4740FF" w:rsidR="00FA57E3" w:rsidRPr="00E6110F" w:rsidRDefault="00FA57E3" w:rsidP="00FA57E3">
      <w:pPr>
        <w:pStyle w:val="Body"/>
      </w:pPr>
      <w:r w:rsidRPr="00E6110F">
        <w:rPr>
          <w:rFonts w:asciiTheme="majorHAnsi" w:hAnsiTheme="majorHAnsi"/>
        </w:rPr>
        <w:t>The OGIA groundwater model (GHD 2012) is a</w:t>
      </w:r>
      <w:r w:rsidRPr="00E6110F">
        <w:t xml:space="preserve"> regional-scale numerical groundwater flow model of the Surat and Bowen Basins. This model was developed for quantifying the groundwater Impacts of CSG development within the Surat Cumulative Management Area (CMA). The major CSG proponents within the CMA are APLNG, QGC, Santos and Arrow Energy. The CSG development by all these proponents target the coal seams within the Walloon Coal Measures. The groundwater model was used by Queensland Water Commission to identify the immediately affected areas and long-term affected areas. Simulations of water extraction from the coal seams provided</w:t>
      </w:r>
      <w:r w:rsidR="00CD3078">
        <w:t xml:space="preserve"> regional</w:t>
      </w:r>
      <w:r w:rsidRPr="00E6110F">
        <w:t>-scale predictions of depressurisation and drawdown of hydraulic head within the Surat and Bowen Basins and the associated induced flows between groundwater sources and hydrostratigraphic units. The same model has been used in this study for the particle tracking analysis.</w:t>
      </w:r>
      <w:r w:rsidR="00F27018">
        <w:t xml:space="preserve"> </w:t>
      </w:r>
      <w:r w:rsidR="00F27018" w:rsidRPr="00FA7F1D">
        <w:t>Porosity values used are in the range 0.1 to 0.25, with a constant value per model layer (guestimated from a porostiy - perm relationship that was reported for Precipice Sandstone</w:t>
      </w:r>
      <w:r w:rsidR="00FA7F1D">
        <w:t xml:space="preserve"> (</w:t>
      </w:r>
      <w:r w:rsidR="00F72579" w:rsidRPr="00F72579">
        <w:t>Janardhanan</w:t>
      </w:r>
      <w:r w:rsidR="00F72579">
        <w:t xml:space="preserve"> </w:t>
      </w:r>
      <w:r w:rsidR="00FA7F1D">
        <w:t>and Moore 2015</w:t>
      </w:r>
      <w:r w:rsidR="00F27018" w:rsidRPr="00FA7F1D">
        <w:t>).</w:t>
      </w:r>
    </w:p>
    <w:p w14:paraId="146DBD97" w14:textId="572BD041" w:rsidR="00FA57E3" w:rsidRPr="00E6110F" w:rsidRDefault="00FA57E3" w:rsidP="00FA57E3">
      <w:pPr>
        <w:pStyle w:val="Body"/>
      </w:pPr>
      <w:r w:rsidRPr="00E6110F">
        <w:t xml:space="preserve">The groundwater model is a MODFLOW 2005 model, </w:t>
      </w:r>
      <w:r w:rsidR="00CD3078">
        <w:t xml:space="preserve">and </w:t>
      </w:r>
      <w:r w:rsidRPr="00E6110F">
        <w:t>comprises 441 rows by 365 columns.  For groundwater flow simulations, the geological domain was discretised using a combination of 1.5 km</w:t>
      </w:r>
      <w:r w:rsidRPr="00E6110F">
        <w:rPr>
          <w:vertAlign w:val="superscript"/>
        </w:rPr>
        <w:t>2</w:t>
      </w:r>
      <w:r w:rsidRPr="00E6110F">
        <w:t xml:space="preserve"> cells leading to up a maximum of 160,965 model cells in one layer. Vertically, the model is discretized into 19 layers (</w:t>
      </w:r>
      <w:r w:rsidR="00C229E3">
        <w:fldChar w:fldCharType="begin" w:fldLock="1"/>
      </w:r>
      <w:r w:rsidR="00C229E3">
        <w:instrText xml:space="preserve"> REF _Ref476586454 \h  \* MERGEFORMAT </w:instrText>
      </w:r>
      <w:r w:rsidR="00C229E3">
        <w:fldChar w:fldCharType="separate"/>
      </w:r>
      <w:r w:rsidR="00335E79" w:rsidRPr="00DF39DE">
        <w:t>Table 2</w:t>
      </w:r>
      <w:r w:rsidR="00335E79" w:rsidRPr="00DF39DE">
        <w:noBreakHyphen/>
        <w:t>25</w:t>
      </w:r>
      <w:r w:rsidR="00C229E3">
        <w:fldChar w:fldCharType="end"/>
      </w:r>
      <w:r w:rsidRPr="00E6110F">
        <w:t xml:space="preserve">). Coal seam gas production was simulated using </w:t>
      </w:r>
      <w:r w:rsidR="00CD3078">
        <w:t xml:space="preserve">the </w:t>
      </w:r>
      <w:r w:rsidRPr="00E6110F">
        <w:t xml:space="preserve">MODFLOW EVT package </w:t>
      </w:r>
      <w:r w:rsidR="00CD3078">
        <w:t xml:space="preserve">of </w:t>
      </w:r>
      <w:r w:rsidRPr="00E6110F">
        <w:t>th</w:t>
      </w:r>
      <w:r w:rsidR="00CD3078">
        <w:t>e</w:t>
      </w:r>
      <w:r w:rsidRPr="00E6110F">
        <w:t xml:space="preserve"> </w:t>
      </w:r>
      <w:r w:rsidR="00CD3078">
        <w:t xml:space="preserve">MODFLOW 2005 </w:t>
      </w:r>
      <w:r w:rsidRPr="00E6110F">
        <w:t xml:space="preserve">model. </w:t>
      </w:r>
      <w:r w:rsidR="00C229E3">
        <w:t>While the EVT package is normally used for calculating evapotranspiration, the OGIA model imposed water flux boundary conditions reflecting water abstraction through CSG wells by implementing the EVT package.</w:t>
      </w:r>
    </w:p>
    <w:p w14:paraId="510F184E" w14:textId="5FABAE08" w:rsidR="00FA57E3" w:rsidRPr="00E6110F" w:rsidRDefault="00FA57E3" w:rsidP="00FA57E3">
      <w:pPr>
        <w:pStyle w:val="Body"/>
      </w:pPr>
      <w:r w:rsidRPr="00E6110F">
        <w:t xml:space="preserve">Groundwater abstraction is implemented in the model explicitly using the MODFLOW well package. Diffuse recharge was implemented using the MODFLOW recharge package. Surface water – groundwater interaction within the modelled area is simulated using the MODFLOW Drain and River packages. The surface water courses are represented in such a way to act as discharge boundaries </w:t>
      </w:r>
      <w:r w:rsidR="00461233">
        <w:t xml:space="preserve">only </w:t>
      </w:r>
      <w:r w:rsidRPr="00E6110F">
        <w:t xml:space="preserve">in this model, and thus </w:t>
      </w:r>
      <w:r w:rsidR="00461233" w:rsidRPr="00E6110F">
        <w:t xml:space="preserve">surface water </w:t>
      </w:r>
      <w:proofErr w:type="gramStart"/>
      <w:r w:rsidR="00461233" w:rsidRPr="00E6110F">
        <w:t>bodies</w:t>
      </w:r>
      <w:proofErr w:type="gramEnd"/>
      <w:r w:rsidR="00461233" w:rsidRPr="00E6110F">
        <w:t xml:space="preserve"> </w:t>
      </w:r>
      <w:r w:rsidRPr="00E6110F">
        <w:t xml:space="preserve">water cannot </w:t>
      </w:r>
      <w:r w:rsidR="00461233">
        <w:t>recharge</w:t>
      </w:r>
      <w:r w:rsidRPr="00E6110F">
        <w:t xml:space="preserve"> into the groundwater system. The local scale effects of these assumptions and their impact on the flow system may impact the particle tracking. However, tracking of particles from the deeper model layers will not be largely affected by these approximations.</w:t>
      </w:r>
    </w:p>
    <w:p w14:paraId="4A111E40" w14:textId="77777777" w:rsidR="00FA57E3" w:rsidRPr="00E6110F" w:rsidRDefault="00FA57E3" w:rsidP="00FA57E3">
      <w:pPr>
        <w:pStyle w:val="Body"/>
      </w:pPr>
      <w:r w:rsidRPr="00E6110F">
        <w:t>The sinks for particles in the OGIA model are:</w:t>
      </w:r>
    </w:p>
    <w:p w14:paraId="0DC25F42" w14:textId="1A9304BC" w:rsidR="00FA57E3" w:rsidRPr="00E6110F" w:rsidRDefault="00FA57E3" w:rsidP="00A94455">
      <w:pPr>
        <w:pStyle w:val="Body"/>
        <w:numPr>
          <w:ilvl w:val="0"/>
          <w:numId w:val="45"/>
        </w:numPr>
      </w:pPr>
      <w:r w:rsidRPr="00E6110F">
        <w:t>river package and drain package cells representing rivers and other discharge boundaries</w:t>
      </w:r>
      <w:r w:rsidR="00501A24">
        <w:t>,</w:t>
      </w:r>
    </w:p>
    <w:p w14:paraId="7EDAFF03" w14:textId="4869F0DE" w:rsidR="00FA57E3" w:rsidRPr="00E6110F" w:rsidRDefault="00FA57E3" w:rsidP="00A94455">
      <w:pPr>
        <w:pStyle w:val="Body"/>
        <w:numPr>
          <w:ilvl w:val="0"/>
          <w:numId w:val="45"/>
        </w:numPr>
      </w:pPr>
      <w:r w:rsidRPr="00E6110F">
        <w:t>Well Package cells.</w:t>
      </w:r>
    </w:p>
    <w:p w14:paraId="7C8BB6EB" w14:textId="0F76C02F" w:rsidR="00A41C9E" w:rsidRPr="00E6110F" w:rsidRDefault="00D873DA" w:rsidP="00A41C9E">
      <w:pPr>
        <w:pStyle w:val="Heading3"/>
        <w:numPr>
          <w:ilvl w:val="3"/>
          <w:numId w:val="1"/>
        </w:numPr>
      </w:pPr>
      <w:bookmarkStart w:id="326" w:name="_Ref458947114"/>
      <w:bookmarkStart w:id="327" w:name="_Toc494444544"/>
      <w:r w:rsidRPr="00E6110F">
        <w:t>Forward p</w:t>
      </w:r>
      <w:r w:rsidR="00A41C9E" w:rsidRPr="00E6110F">
        <w:t>article tracking analysis</w:t>
      </w:r>
      <w:bookmarkEnd w:id="326"/>
      <w:bookmarkEnd w:id="327"/>
    </w:p>
    <w:p w14:paraId="075A197B" w14:textId="20E35C9A" w:rsidR="0031524A" w:rsidRPr="00E6110F" w:rsidRDefault="0031524A" w:rsidP="0031524A">
      <w:pPr>
        <w:pStyle w:val="Body"/>
      </w:pPr>
      <w:r w:rsidRPr="00E6110F">
        <w:t>CSG wells in the Combabula North, Combabula and Reedy Creek tenements were chosen for the preliminary particle tracking analysis. A 144</w:t>
      </w:r>
      <w:r w:rsidR="00E07FD7" w:rsidRPr="00E6110F">
        <w:t>×</w:t>
      </w:r>
      <w:r w:rsidRPr="00E6110F">
        <w:t>112 km</w:t>
      </w:r>
      <w:r w:rsidR="00501A24" w:rsidRPr="00501A24">
        <w:rPr>
          <w:vertAlign w:val="superscript"/>
        </w:rPr>
        <w:t>2</w:t>
      </w:r>
      <w:r w:rsidRPr="00E6110F">
        <w:t xml:space="preserve"> area around these tenements w</w:t>
      </w:r>
      <w:r w:rsidR="00E07FD7" w:rsidRPr="00E6110F">
        <w:t>as</w:t>
      </w:r>
      <w:r w:rsidRPr="00E6110F">
        <w:t xml:space="preserve"> chosen for the preliminary particle tracking analysis. The bounding coordinates of the chosen buffer area are (675449,</w:t>
      </w:r>
      <w:r w:rsidR="00E07FD7" w:rsidRPr="00E6110F">
        <w:t xml:space="preserve"> </w:t>
      </w:r>
      <w:r w:rsidRPr="00E6110F">
        <w:t>7052087) and (819534, 7164557) in Australia GDA94 Z55</w:t>
      </w:r>
      <w:r w:rsidR="005917BA">
        <w:t xml:space="preserve"> (</w:t>
      </w:r>
      <w:r w:rsidR="005917BA" w:rsidRPr="005917BA">
        <w:t>Geocentric Datum of Australia units</w:t>
      </w:r>
      <w:r w:rsidR="005917BA">
        <w:t>)</w:t>
      </w:r>
      <w:r w:rsidRPr="00E6110F">
        <w:t xml:space="preserve">. </w:t>
      </w:r>
      <w:r w:rsidR="00E07FD7" w:rsidRPr="00E6110F">
        <w:t xml:space="preserve">A 30-km </w:t>
      </w:r>
      <w:r w:rsidRPr="00E6110F">
        <w:t xml:space="preserve">buffer area was used in this study for limiting the spatial analysis to an area large enough to capture all pathways identified through particle tracking analysis. </w:t>
      </w:r>
    </w:p>
    <w:p w14:paraId="0BBD5A0C" w14:textId="77777777" w:rsidR="00FA57E3" w:rsidRPr="00E6110F" w:rsidRDefault="00FA57E3" w:rsidP="00FA57E3">
      <w:pPr>
        <w:pStyle w:val="Heading3"/>
        <w:numPr>
          <w:ilvl w:val="4"/>
          <w:numId w:val="1"/>
        </w:numPr>
      </w:pPr>
      <w:bookmarkStart w:id="328" w:name="_Ref467833995"/>
      <w:bookmarkStart w:id="329" w:name="_Toc494444545"/>
      <w:r w:rsidRPr="00E6110F">
        <w:t>Baseline case without hydraulic fracturing</w:t>
      </w:r>
      <w:bookmarkEnd w:id="328"/>
      <w:bookmarkEnd w:id="329"/>
    </w:p>
    <w:p w14:paraId="6756EA36" w14:textId="32C2C369" w:rsidR="00C72793" w:rsidRDefault="00C72793" w:rsidP="00FA57E3">
      <w:pPr>
        <w:pStyle w:val="Body"/>
      </w:pPr>
      <w:r>
        <w:t xml:space="preserve">Consistent with </w:t>
      </w:r>
      <w:r w:rsidR="00AA42C0">
        <w:t xml:space="preserve">Section </w:t>
      </w:r>
      <w:r w:rsidR="00CF40CC">
        <w:rPr>
          <w:highlight w:val="yellow"/>
        </w:rPr>
        <w:fldChar w:fldCharType="begin" w:fldLock="1"/>
      </w:r>
      <w:r w:rsidR="00CF40CC">
        <w:instrText xml:space="preserve"> REF _Ref467830830 \r \h </w:instrText>
      </w:r>
      <w:r w:rsidR="00CF40CC">
        <w:rPr>
          <w:highlight w:val="yellow"/>
        </w:rPr>
      </w:r>
      <w:r w:rsidR="00CF40CC">
        <w:rPr>
          <w:highlight w:val="yellow"/>
        </w:rPr>
        <w:fldChar w:fldCharType="separate"/>
      </w:r>
      <w:r w:rsidR="00335E79">
        <w:t>2.6.4.3.2</w:t>
      </w:r>
      <w:r w:rsidR="00CF40CC">
        <w:rPr>
          <w:highlight w:val="yellow"/>
        </w:rPr>
        <w:fldChar w:fldCharType="end"/>
      </w:r>
      <w:r>
        <w:t xml:space="preserve"> for the </w:t>
      </w:r>
      <w:r w:rsidR="00335E79">
        <w:t>study area</w:t>
      </w:r>
      <w:r>
        <w:t xml:space="preserve"> in New South Wales, the baseline case for the Surat explores whether any naturally occurring flowpaths exist between the main coal formations (i.e. Walloon Coal Measures) and the overlying aquifers. The analysis involves releasing particles within the Walloon Coal Measures layer and tracking their pathway until their final position. This calculation assumes there are no hydraulic fracturing induced pathways between the coal layers and the aquifers.</w:t>
      </w:r>
    </w:p>
    <w:p w14:paraId="7A343F8B" w14:textId="56E538D9" w:rsidR="00FA57E3" w:rsidRPr="00E6110F" w:rsidRDefault="00FA57E3" w:rsidP="00FA57E3">
      <w:pPr>
        <w:pStyle w:val="Body"/>
      </w:pPr>
      <w:r w:rsidRPr="00E6110F">
        <w:t>To test whether the buffer area was sufficiently inclusive of all pathways, a preliminary particle tracking analysis was undertaken by releasing particles from 362 CSG well locations within the Combabula North, Combabula and Reedy Creek tenements (</w:t>
      </w:r>
      <w:r w:rsidRPr="00E6110F">
        <w:fldChar w:fldCharType="begin" w:fldLock="1"/>
      </w:r>
      <w:r w:rsidRPr="00E6110F">
        <w:instrText xml:space="preserve"> REF _Ref451790315 \h </w:instrText>
      </w:r>
      <w:r w:rsidR="00E6110F">
        <w:instrText xml:space="preserve"> \* MERGEFORMAT </w:instrText>
      </w:r>
      <w:r w:rsidRPr="00E6110F">
        <w:fldChar w:fldCharType="separate"/>
      </w:r>
      <w:r w:rsidR="00335E79" w:rsidRPr="00E6110F">
        <w:t xml:space="preserve">Figure </w:t>
      </w:r>
      <w:r w:rsidR="00335E79">
        <w:rPr>
          <w:noProof/>
        </w:rPr>
        <w:t>2</w:t>
      </w:r>
      <w:r w:rsidR="00335E79">
        <w:rPr>
          <w:noProof/>
        </w:rPr>
        <w:noBreakHyphen/>
        <w:t>69</w:t>
      </w:r>
      <w:r w:rsidRPr="00E6110F">
        <w:fldChar w:fldCharType="end"/>
      </w:r>
      <w:r w:rsidRPr="00E6110F">
        <w:t xml:space="preserve">). </w:t>
      </w:r>
      <w:r w:rsidR="009B3D3E">
        <w:t xml:space="preserve">During these calculations pumping from CSG wells is disabled. </w:t>
      </w:r>
      <w:r w:rsidRPr="00E6110F">
        <w:t>Based on these calculations, all the particles’ travel distance over a period of 100,000 years are within th</w:t>
      </w:r>
      <w:r w:rsidR="008F4E8B">
        <w:t>e 30-km</w:t>
      </w:r>
      <w:r w:rsidRPr="00E6110F">
        <w:t xml:space="preserve"> buffer zone (not shown).</w:t>
      </w:r>
      <w:r w:rsidR="004E76E7">
        <w:t xml:space="preserve">  </w:t>
      </w:r>
    </w:p>
    <w:p w14:paraId="6C6F02F5" w14:textId="77777777" w:rsidR="00FA57E3" w:rsidRPr="00A43652" w:rsidRDefault="00FA57E3" w:rsidP="00A43652">
      <w:pPr>
        <w:pStyle w:val="Body"/>
      </w:pPr>
    </w:p>
    <w:p w14:paraId="0B9C6CCF" w14:textId="77777777" w:rsidR="00A94455" w:rsidRDefault="004E76E7" w:rsidP="00A94455">
      <w:pPr>
        <w:pStyle w:val="Body"/>
        <w:rPr>
          <w:noProof/>
          <w:lang w:eastAsia="en-AU"/>
        </w:rPr>
      </w:pPr>
      <w:r w:rsidRPr="004E76E7">
        <w:rPr>
          <w:noProof/>
          <w:lang w:eastAsia="en-AU"/>
        </w:rPr>
        <w:t xml:space="preserve"> </w:t>
      </w:r>
      <w:bookmarkStart w:id="330" w:name="_Ref451790315"/>
      <w:bookmarkStart w:id="331" w:name="_Toc453171890"/>
      <w:r w:rsidR="00366CD9" w:rsidRPr="00366CD9">
        <w:rPr>
          <w:noProof/>
          <w:lang w:val="en-AU" w:eastAsia="en-AU"/>
        </w:rPr>
        <w:drawing>
          <wp:inline distT="0" distB="0" distL="0" distR="0" wp14:anchorId="39CC420B" wp14:editId="4E8D7BCA">
            <wp:extent cx="5721350" cy="4396105"/>
            <wp:effectExtent l="0" t="0" r="0" b="4445"/>
            <wp:docPr id="95" name="Picture 95" descr="Map of selected CSG wells and model grid." title="Fig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721350" cy="4396105"/>
                    </a:xfrm>
                    <a:prstGeom prst="rect">
                      <a:avLst/>
                    </a:prstGeom>
                    <a:noFill/>
                    <a:ln>
                      <a:noFill/>
                    </a:ln>
                  </pic:spPr>
                </pic:pic>
              </a:graphicData>
            </a:graphic>
          </wp:inline>
        </w:drawing>
      </w:r>
    </w:p>
    <w:p w14:paraId="71A07F34" w14:textId="12F39904" w:rsidR="00FA57E3" w:rsidRPr="00A94455" w:rsidRDefault="00FA57E3" w:rsidP="00A94455">
      <w:pPr>
        <w:pStyle w:val="Body"/>
        <w:rPr>
          <w:i/>
          <w:sz w:val="14"/>
          <w:szCs w:val="14"/>
        </w:rPr>
      </w:pPr>
      <w:bookmarkStart w:id="332" w:name="_Toc477347600"/>
      <w:r w:rsidRPr="00A94455">
        <w:rPr>
          <w:i/>
          <w:sz w:val="14"/>
          <w:szCs w:val="14"/>
        </w:rPr>
        <w:t xml:space="preserve">Figure </w:t>
      </w:r>
      <w:r w:rsidR="00254026" w:rsidRPr="00A94455">
        <w:rPr>
          <w:i/>
          <w:sz w:val="14"/>
          <w:szCs w:val="14"/>
        </w:rPr>
        <w:fldChar w:fldCharType="begin" w:fldLock="1"/>
      </w:r>
      <w:r w:rsidR="00254026" w:rsidRPr="00A94455">
        <w:rPr>
          <w:i/>
          <w:sz w:val="14"/>
          <w:szCs w:val="14"/>
        </w:rPr>
        <w:instrText xml:space="preserve"> STYLEREF 1 \s </w:instrText>
      </w:r>
      <w:r w:rsidR="00254026" w:rsidRPr="00A94455">
        <w:rPr>
          <w:i/>
          <w:sz w:val="14"/>
          <w:szCs w:val="14"/>
        </w:rPr>
        <w:fldChar w:fldCharType="separate"/>
      </w:r>
      <w:r w:rsidR="00335E79" w:rsidRPr="00A94455">
        <w:rPr>
          <w:i/>
          <w:sz w:val="14"/>
          <w:szCs w:val="14"/>
        </w:rPr>
        <w:t>2</w:t>
      </w:r>
      <w:r w:rsidR="00254026" w:rsidRPr="00A94455">
        <w:rPr>
          <w:i/>
          <w:sz w:val="14"/>
          <w:szCs w:val="14"/>
        </w:rPr>
        <w:fldChar w:fldCharType="end"/>
      </w:r>
      <w:r w:rsidR="00254026" w:rsidRPr="00A94455">
        <w:rPr>
          <w:i/>
          <w:sz w:val="14"/>
          <w:szCs w:val="14"/>
        </w:rPr>
        <w:noBreakHyphen/>
      </w:r>
      <w:r w:rsidR="00254026" w:rsidRPr="00A94455">
        <w:rPr>
          <w:i/>
          <w:sz w:val="14"/>
          <w:szCs w:val="14"/>
        </w:rPr>
        <w:fldChar w:fldCharType="begin"/>
      </w:r>
      <w:r w:rsidR="00254026" w:rsidRPr="00A94455">
        <w:rPr>
          <w:i/>
          <w:sz w:val="14"/>
          <w:szCs w:val="14"/>
        </w:rPr>
        <w:instrText xml:space="preserve"> SEQ Figure \* ARABIC \s 1 </w:instrText>
      </w:r>
      <w:r w:rsidR="00254026" w:rsidRPr="00A94455">
        <w:rPr>
          <w:i/>
          <w:sz w:val="14"/>
          <w:szCs w:val="14"/>
        </w:rPr>
        <w:fldChar w:fldCharType="separate"/>
      </w:r>
      <w:r w:rsidR="00951AFC">
        <w:rPr>
          <w:i/>
          <w:noProof/>
          <w:sz w:val="14"/>
          <w:szCs w:val="14"/>
        </w:rPr>
        <w:t>68</w:t>
      </w:r>
      <w:r w:rsidR="00254026" w:rsidRPr="00A94455">
        <w:rPr>
          <w:i/>
          <w:sz w:val="14"/>
          <w:szCs w:val="14"/>
        </w:rPr>
        <w:fldChar w:fldCharType="end"/>
      </w:r>
      <w:bookmarkEnd w:id="330"/>
      <w:r w:rsidR="00501A24" w:rsidRPr="00A94455">
        <w:rPr>
          <w:i/>
          <w:sz w:val="14"/>
          <w:szCs w:val="14"/>
        </w:rPr>
        <w:t xml:space="preserve"> Selected CSG wells </w:t>
      </w:r>
      <w:r w:rsidRPr="00A94455">
        <w:rPr>
          <w:i/>
          <w:sz w:val="14"/>
          <w:szCs w:val="14"/>
        </w:rPr>
        <w:t>and an overlay of the flow model grid.</w:t>
      </w:r>
      <w:bookmarkEnd w:id="331"/>
      <w:r w:rsidR="008F4E8B" w:rsidRPr="00A94455">
        <w:rPr>
          <w:i/>
          <w:sz w:val="14"/>
          <w:szCs w:val="14"/>
        </w:rPr>
        <w:t xml:space="preserve"> Particle tracks from particles released in the Walloon Coal Measures.</w:t>
      </w:r>
      <w:bookmarkEnd w:id="332"/>
    </w:p>
    <w:p w14:paraId="08404A9E" w14:textId="691FA800" w:rsidR="009561A7" w:rsidRDefault="009561A7" w:rsidP="004458D1">
      <w:pPr>
        <w:pStyle w:val="Heading3"/>
        <w:numPr>
          <w:ilvl w:val="4"/>
          <w:numId w:val="1"/>
        </w:numPr>
      </w:pPr>
      <w:bookmarkStart w:id="333" w:name="_Toc494444546"/>
      <w:r>
        <w:t>Hydraulic fracturing induced pathways</w:t>
      </w:r>
      <w:bookmarkEnd w:id="333"/>
    </w:p>
    <w:p w14:paraId="721A76F0" w14:textId="6B7B1F55" w:rsidR="004E76E7" w:rsidRDefault="00FA57E3" w:rsidP="004E76E7">
      <w:pPr>
        <w:pStyle w:val="Body"/>
      </w:pPr>
      <w:r w:rsidRPr="00E6110F">
        <w:t xml:space="preserve">Subsequently </w:t>
      </w:r>
      <w:r w:rsidR="004E76E7">
        <w:t xml:space="preserve">particle tracking analyses are undertaken under the assumption that due to hydraulic fracturing additional pathways have been generated that connect the hydraulically stimulated coal formations with overlying aquifers. To better understand the connectivity between the key </w:t>
      </w:r>
      <w:r w:rsidR="004E76E7" w:rsidRPr="00E6110F">
        <w:t>aquifer formatio</w:t>
      </w:r>
      <w:r w:rsidR="004E76E7">
        <w:t xml:space="preserve">ns – the Gubberamunda Sandstone, </w:t>
      </w:r>
      <w:r w:rsidR="004E76E7" w:rsidRPr="00E6110F">
        <w:t>the Springbok Sandstone</w:t>
      </w:r>
      <w:r w:rsidR="004E76E7">
        <w:t>, and the Hutton Sandstone</w:t>
      </w:r>
      <w:r w:rsidR="004E76E7" w:rsidRPr="00E6110F">
        <w:t xml:space="preserve"> </w:t>
      </w:r>
      <w:r w:rsidR="004E76E7">
        <w:t xml:space="preserve">– and the </w:t>
      </w:r>
      <w:r w:rsidR="004E76E7" w:rsidRPr="00E6110F">
        <w:t>Walloon Coal Measures</w:t>
      </w:r>
      <w:r w:rsidR="004E76E7">
        <w:t>, which is</w:t>
      </w:r>
      <w:r w:rsidR="004E76E7" w:rsidRPr="00E6110F">
        <w:t xml:space="preserve"> the primary coal seam gas target formation</w:t>
      </w:r>
      <w:r w:rsidR="004E76E7">
        <w:t>, particles are now released in these aquifers.</w:t>
      </w:r>
    </w:p>
    <w:p w14:paraId="42828400" w14:textId="1C8F3D62" w:rsidR="00FA57E3" w:rsidRPr="00E6110F" w:rsidRDefault="00C72793" w:rsidP="00FA57E3">
      <w:pPr>
        <w:pStyle w:val="Body"/>
      </w:pPr>
      <w:r>
        <w:t>T</w:t>
      </w:r>
      <w:r w:rsidR="00FA57E3" w:rsidRPr="00E6110F">
        <w:t xml:space="preserve">he 362 CSG well locations were inputted into the groundwater model. The ADV2 package of MODLFOW was used for simulating the particle tracks (Anderman and Hill 2001). Advective transport of particles in the forward direction was simulated by releasing particles in each model cell containing the CSG wells. This forward analysis has its particle source at the well locations and the particles are tracked for a simulation time period of up to 100,000 years. For the three different simulations (one for each aquifer), the source of the particles was considered to be in the model cell at the bottom of the formation. The resulting particle tracks for each formation are shown in </w:t>
      </w:r>
      <w:r w:rsidR="00FA57E3" w:rsidRPr="00E6110F">
        <w:fldChar w:fldCharType="begin" w:fldLock="1"/>
      </w:r>
      <w:r w:rsidR="00FA57E3" w:rsidRPr="00E6110F">
        <w:instrText xml:space="preserve"> REF _Ref451790764 \h </w:instrText>
      </w:r>
      <w:r w:rsidR="00E6110F">
        <w:instrText xml:space="preserve"> \* MERGEFORMAT </w:instrText>
      </w:r>
      <w:r w:rsidR="00FA57E3" w:rsidRPr="00E6110F">
        <w:fldChar w:fldCharType="separate"/>
      </w:r>
      <w:r w:rsidR="00335E79" w:rsidRPr="00E6110F">
        <w:t xml:space="preserve">Figure </w:t>
      </w:r>
      <w:r w:rsidR="00335E79">
        <w:rPr>
          <w:noProof/>
        </w:rPr>
        <w:t>2</w:t>
      </w:r>
      <w:r w:rsidR="00335E79">
        <w:rPr>
          <w:noProof/>
        </w:rPr>
        <w:noBreakHyphen/>
        <w:t>70</w:t>
      </w:r>
      <w:r w:rsidR="00FA57E3" w:rsidRPr="00E6110F">
        <w:fldChar w:fldCharType="end"/>
      </w:r>
      <w:r w:rsidR="00FA57E3" w:rsidRPr="00E6110F">
        <w:t xml:space="preserve"> for the Gubberamunda Formation, </w:t>
      </w:r>
      <w:r w:rsidR="00FA57E3" w:rsidRPr="00E6110F">
        <w:fldChar w:fldCharType="begin" w:fldLock="1"/>
      </w:r>
      <w:r w:rsidR="00FA57E3" w:rsidRPr="00E6110F">
        <w:instrText xml:space="preserve"> REF _Ref451790768 \h </w:instrText>
      </w:r>
      <w:r w:rsidR="00E6110F">
        <w:instrText xml:space="preserve"> \* MERGEFORMAT </w:instrText>
      </w:r>
      <w:r w:rsidR="00FA57E3" w:rsidRPr="00E6110F">
        <w:fldChar w:fldCharType="separate"/>
      </w:r>
      <w:r w:rsidR="00335E79" w:rsidRPr="00E6110F">
        <w:t xml:space="preserve">Figure </w:t>
      </w:r>
      <w:r w:rsidR="00335E79">
        <w:rPr>
          <w:noProof/>
        </w:rPr>
        <w:t>2</w:t>
      </w:r>
      <w:r w:rsidR="00335E79">
        <w:rPr>
          <w:noProof/>
        </w:rPr>
        <w:noBreakHyphen/>
        <w:t>71</w:t>
      </w:r>
      <w:r w:rsidR="00FA57E3" w:rsidRPr="00E6110F">
        <w:fldChar w:fldCharType="end"/>
      </w:r>
      <w:r w:rsidR="00FA57E3" w:rsidRPr="00E6110F">
        <w:t xml:space="preserve"> for the Springbok Sandstone, and </w:t>
      </w:r>
      <w:r w:rsidR="00A43652">
        <w:fldChar w:fldCharType="begin" w:fldLock="1"/>
      </w:r>
      <w:r w:rsidR="00A43652">
        <w:instrText xml:space="preserve"> REF _Ref477084957 \h </w:instrText>
      </w:r>
      <w:r w:rsidR="00A43652">
        <w:fldChar w:fldCharType="separate"/>
      </w:r>
      <w:r w:rsidR="00A43652" w:rsidRPr="00E6110F">
        <w:t xml:space="preserve">Figure </w:t>
      </w:r>
      <w:r w:rsidR="00A43652">
        <w:rPr>
          <w:noProof/>
        </w:rPr>
        <w:t>2</w:t>
      </w:r>
      <w:r w:rsidR="00A43652">
        <w:noBreakHyphen/>
      </w:r>
      <w:r w:rsidR="00A43652">
        <w:rPr>
          <w:noProof/>
        </w:rPr>
        <w:t>72</w:t>
      </w:r>
      <w:r w:rsidR="00A43652">
        <w:fldChar w:fldCharType="end"/>
      </w:r>
      <w:r w:rsidR="00A43652">
        <w:t xml:space="preserve"> </w:t>
      </w:r>
      <w:r w:rsidR="00FA57E3" w:rsidRPr="00E6110F">
        <w:t xml:space="preserve">for the </w:t>
      </w:r>
      <w:r w:rsidR="004E76E7">
        <w:t>Hutton Sandstone</w:t>
      </w:r>
      <w:r w:rsidR="00FA57E3" w:rsidRPr="00E6110F">
        <w:t>.</w:t>
      </w:r>
    </w:p>
    <w:p w14:paraId="240EC18E" w14:textId="6826CBE8" w:rsidR="00FA57E3" w:rsidRPr="00E6110F" w:rsidRDefault="00B630A0" w:rsidP="00FA57E3">
      <w:pPr>
        <w:pStyle w:val="Body"/>
      </w:pPr>
      <w:r w:rsidRPr="00B630A0">
        <w:rPr>
          <w:noProof/>
          <w:lang w:val="en-AU" w:eastAsia="en-AU"/>
        </w:rPr>
        <w:drawing>
          <wp:inline distT="0" distB="0" distL="0" distR="0" wp14:anchorId="2D167E1B" wp14:editId="3E210DB7">
            <wp:extent cx="5719445" cy="4419600"/>
            <wp:effectExtent l="0" t="0" r="0" b="0"/>
            <wp:docPr id="49" name="Picture 49" descr="Map of particle tracks that originate from the Gubbermunda formation." title="Fig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719445" cy="4419600"/>
                    </a:xfrm>
                    <a:prstGeom prst="rect">
                      <a:avLst/>
                    </a:prstGeom>
                    <a:noFill/>
                    <a:ln>
                      <a:noFill/>
                    </a:ln>
                  </pic:spPr>
                </pic:pic>
              </a:graphicData>
            </a:graphic>
          </wp:inline>
        </w:drawing>
      </w:r>
    </w:p>
    <w:p w14:paraId="652417FC" w14:textId="5B87432D" w:rsidR="00FA57E3" w:rsidRPr="00E6110F" w:rsidRDefault="00FA57E3" w:rsidP="00FA57E3">
      <w:pPr>
        <w:pStyle w:val="Imagecaption"/>
      </w:pPr>
      <w:bookmarkStart w:id="334" w:name="_Ref451790764"/>
      <w:bookmarkStart w:id="335" w:name="_Toc453171891"/>
      <w:bookmarkStart w:id="336" w:name="_Toc477347601"/>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69</w:t>
      </w:r>
      <w:r w:rsidR="00254026">
        <w:fldChar w:fldCharType="end"/>
      </w:r>
      <w:bookmarkEnd w:id="334"/>
      <w:r w:rsidRPr="00E6110F">
        <w:t xml:space="preserve"> Plan view of the particle tracks originating from the Gubberamunda formation.</w:t>
      </w:r>
      <w:bookmarkEnd w:id="335"/>
      <w:bookmarkEnd w:id="336"/>
    </w:p>
    <w:p w14:paraId="34B90F9D" w14:textId="12B68F4A" w:rsidR="00FA57E3" w:rsidRPr="00E6110F" w:rsidRDefault="00B630A0" w:rsidP="00FA57E3">
      <w:r w:rsidRPr="00B630A0">
        <w:rPr>
          <w:noProof/>
          <w:lang w:val="en-AU" w:eastAsia="en-AU"/>
        </w:rPr>
        <w:drawing>
          <wp:inline distT="0" distB="0" distL="0" distR="0" wp14:anchorId="18E5B972" wp14:editId="288BCB47">
            <wp:extent cx="5719445" cy="4428490"/>
            <wp:effectExtent l="0" t="0" r="0" b="0"/>
            <wp:docPr id="57" name="Picture 57" descr="Map of particle tracks originating from the Springbok Sandstone." title="Fig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719445" cy="4428490"/>
                    </a:xfrm>
                    <a:prstGeom prst="rect">
                      <a:avLst/>
                    </a:prstGeom>
                    <a:noFill/>
                    <a:ln>
                      <a:noFill/>
                    </a:ln>
                  </pic:spPr>
                </pic:pic>
              </a:graphicData>
            </a:graphic>
          </wp:inline>
        </w:drawing>
      </w:r>
    </w:p>
    <w:p w14:paraId="3A98D78C" w14:textId="6F29000B" w:rsidR="00FA57E3" w:rsidRPr="00E6110F" w:rsidRDefault="00FA57E3" w:rsidP="00FA57E3">
      <w:pPr>
        <w:pStyle w:val="Imagecaption"/>
      </w:pPr>
      <w:bookmarkStart w:id="337" w:name="_Ref451790768"/>
      <w:bookmarkStart w:id="338" w:name="_Toc453171892"/>
      <w:bookmarkStart w:id="339" w:name="_Toc477347602"/>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70</w:t>
      </w:r>
      <w:r w:rsidR="00254026">
        <w:fldChar w:fldCharType="end"/>
      </w:r>
      <w:bookmarkEnd w:id="337"/>
      <w:r w:rsidRPr="00E6110F">
        <w:t xml:space="preserve"> Plan view of the particle tracks originating from the Springbok Sandstone aquifer.</w:t>
      </w:r>
      <w:bookmarkEnd w:id="338"/>
      <w:bookmarkEnd w:id="339"/>
    </w:p>
    <w:p w14:paraId="1491E3B6" w14:textId="77777777" w:rsidR="00FA57E3" w:rsidRPr="00E6110F" w:rsidRDefault="00FA57E3" w:rsidP="00FA57E3">
      <w:pPr>
        <w:pStyle w:val="Body"/>
      </w:pPr>
    </w:p>
    <w:p w14:paraId="3BD98C64" w14:textId="43D68A07" w:rsidR="00FA57E3" w:rsidRPr="00E6110F" w:rsidRDefault="00FA57E3" w:rsidP="00FA57E3">
      <w:pPr>
        <w:pStyle w:val="Body"/>
      </w:pPr>
      <w:r w:rsidRPr="00E6110F">
        <w:t xml:space="preserve">The preliminary analysis indicated that particles released in the Gubberamunda Formation tend to travel towards the Springbok Sandstone formations that is underlying the Gubberamunda. Near the chosen tenements </w:t>
      </w:r>
      <w:r w:rsidR="00921F0D">
        <w:t xml:space="preserve">the </w:t>
      </w:r>
      <w:r w:rsidRPr="00E6110F">
        <w:t>Gubberamunda Sandstone is outcropping. Similarly</w:t>
      </w:r>
      <w:r w:rsidR="00921F0D">
        <w:t>,</w:t>
      </w:r>
      <w:r w:rsidRPr="00E6110F">
        <w:t xml:space="preserve"> the particles released in the Springbok Sandstone travels towards the Walloon Coal Measures underlying the Springbok Sandstone. However, the majority of the particles released in the Walloon Coal Measures travelled only within the same formation. This is primarily because in the flow model the Walloon Coal Measures </w:t>
      </w:r>
      <w:r w:rsidR="00C72793">
        <w:t>are</w:t>
      </w:r>
      <w:r w:rsidRPr="00E6110F">
        <w:t xml:space="preserve"> conceptuali</w:t>
      </w:r>
      <w:r w:rsidR="00C72793">
        <w:t>s</w:t>
      </w:r>
      <w:r w:rsidRPr="00E6110F">
        <w:t xml:space="preserve">ed using three </w:t>
      </w:r>
      <w:r w:rsidR="00C72793">
        <w:t xml:space="preserve">numerical model </w:t>
      </w:r>
      <w:r w:rsidRPr="00E6110F">
        <w:t xml:space="preserve">layers (layers 9, 10 and 11) </w:t>
      </w:r>
      <w:r w:rsidR="00C72793">
        <w:t>where</w:t>
      </w:r>
      <w:r w:rsidRPr="00E6110F">
        <w:t xml:space="preserve"> the layers 9 and 11 were conceptuali</w:t>
      </w:r>
      <w:r w:rsidR="00C72793">
        <w:t>s</w:t>
      </w:r>
      <w:r w:rsidRPr="00E6110F">
        <w:t xml:space="preserve">ed as aquitards. The particles </w:t>
      </w:r>
      <w:r w:rsidR="00C72793">
        <w:t xml:space="preserve">that </w:t>
      </w:r>
      <w:r w:rsidRPr="00E6110F">
        <w:t>were released into the layer 10</w:t>
      </w:r>
      <w:r w:rsidR="00C72793">
        <w:t xml:space="preserve"> never exited that layer within 100,000 years run time</w:t>
      </w:r>
      <w:r w:rsidRPr="00E6110F">
        <w:t xml:space="preserve">. </w:t>
      </w:r>
    </w:p>
    <w:p w14:paraId="333E80B1" w14:textId="6E995DEA" w:rsidR="00FA57E3" w:rsidRPr="00E6110F" w:rsidRDefault="005A6B55" w:rsidP="00FA57E3">
      <w:r w:rsidRPr="005A6B55">
        <w:rPr>
          <w:noProof/>
          <w:lang w:val="en-AU" w:eastAsia="en-AU"/>
        </w:rPr>
        <w:drawing>
          <wp:inline distT="0" distB="0" distL="0" distR="0" wp14:anchorId="6B08742E" wp14:editId="4FC5787C">
            <wp:extent cx="5719445" cy="4473575"/>
            <wp:effectExtent l="0" t="0" r="0" b="3175"/>
            <wp:docPr id="92" name="Picture 92" descr="Map of particle tracks originating from the Hutton Sandstone." title="Fig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719445" cy="4473575"/>
                    </a:xfrm>
                    <a:prstGeom prst="rect">
                      <a:avLst/>
                    </a:prstGeom>
                    <a:noFill/>
                    <a:ln>
                      <a:noFill/>
                    </a:ln>
                  </pic:spPr>
                </pic:pic>
              </a:graphicData>
            </a:graphic>
          </wp:inline>
        </w:drawing>
      </w:r>
    </w:p>
    <w:p w14:paraId="7FDBC802" w14:textId="39646519" w:rsidR="00FA57E3" w:rsidRPr="00E6110F" w:rsidRDefault="00FA57E3" w:rsidP="00F0337B">
      <w:pPr>
        <w:pStyle w:val="Imagecaption"/>
      </w:pPr>
      <w:bookmarkStart w:id="340" w:name="_Ref477084957"/>
      <w:bookmarkStart w:id="341" w:name="_Toc477347603"/>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71</w:t>
      </w:r>
      <w:r w:rsidR="00254026">
        <w:fldChar w:fldCharType="end"/>
      </w:r>
      <w:bookmarkEnd w:id="340"/>
      <w:r w:rsidRPr="00E6110F">
        <w:t xml:space="preserve"> Plan view of the particle tracks originating from the </w:t>
      </w:r>
      <w:r w:rsidR="00F468AB">
        <w:t>Hutton Sandstone</w:t>
      </w:r>
      <w:r w:rsidR="006B07EA">
        <w:t>.</w:t>
      </w:r>
      <w:bookmarkEnd w:id="341"/>
    </w:p>
    <w:p w14:paraId="2D950065" w14:textId="4614736C" w:rsidR="00FA57E3" w:rsidRPr="00E6110F" w:rsidRDefault="006D47C3" w:rsidP="00FA57E3">
      <w:r w:rsidRPr="006D47C3">
        <w:rPr>
          <w:noProof/>
          <w:lang w:val="en-AU" w:eastAsia="en-AU"/>
        </w:rPr>
        <w:drawing>
          <wp:inline distT="0" distB="0" distL="0" distR="0" wp14:anchorId="2D180AAC" wp14:editId="7039F941">
            <wp:extent cx="5727700" cy="5611489"/>
            <wp:effectExtent l="0" t="0" r="6350" b="8890"/>
            <wp:docPr id="29" name="Picture 29" descr="Charts of particle distance travelled." title="Fig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27700" cy="5611489"/>
                    </a:xfrm>
                    <a:prstGeom prst="rect">
                      <a:avLst/>
                    </a:prstGeom>
                    <a:noFill/>
                    <a:ln>
                      <a:noFill/>
                    </a:ln>
                  </pic:spPr>
                </pic:pic>
              </a:graphicData>
            </a:graphic>
          </wp:inline>
        </w:drawing>
      </w:r>
    </w:p>
    <w:p w14:paraId="483CEC59" w14:textId="041F21E8" w:rsidR="00FA57E3" w:rsidRPr="00E6110F" w:rsidRDefault="0024387F" w:rsidP="00F0337B">
      <w:pPr>
        <w:pStyle w:val="Imagecaption"/>
      </w:pPr>
      <w:bookmarkStart w:id="342" w:name="_Ref476591824"/>
      <w:bookmarkStart w:id="343" w:name="_Toc477347604"/>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72</w:t>
      </w:r>
      <w:r w:rsidR="00254026">
        <w:fldChar w:fldCharType="end"/>
      </w:r>
      <w:bookmarkEnd w:id="342"/>
      <w:r w:rsidRPr="00E6110F">
        <w:t xml:space="preserve"> </w:t>
      </w:r>
      <w:r w:rsidR="00FA57E3" w:rsidRPr="00E6110F">
        <w:t>Distributions of particle travel distance</w:t>
      </w:r>
      <w:r w:rsidR="006B07EA">
        <w:t>.</w:t>
      </w:r>
      <w:bookmarkEnd w:id="343"/>
      <w:r w:rsidR="00FA57E3" w:rsidRPr="00E6110F">
        <w:t xml:space="preserve"> </w:t>
      </w:r>
    </w:p>
    <w:p w14:paraId="6443DB03" w14:textId="77777777" w:rsidR="00FA57E3" w:rsidRPr="00E6110F" w:rsidRDefault="00FA57E3" w:rsidP="00FA57E3"/>
    <w:p w14:paraId="1A35E346" w14:textId="71E59319" w:rsidR="00FA57E3" w:rsidRPr="00E6110F" w:rsidRDefault="00FA57E3" w:rsidP="00F0337B">
      <w:pPr>
        <w:pStyle w:val="Body"/>
      </w:pPr>
      <w:r w:rsidRPr="00E6110F">
        <w:t>Particles, in general, travelled larger distances in the aquifer formations compared to the Walloon Coal Measures</w:t>
      </w:r>
      <w:r w:rsidR="00F468AB">
        <w:t xml:space="preserve"> (</w:t>
      </w:r>
      <w:r w:rsidR="00F468AB">
        <w:fldChar w:fldCharType="begin" w:fldLock="1"/>
      </w:r>
      <w:r w:rsidR="00F468AB">
        <w:instrText xml:space="preserve"> REF _Ref476591824 \h </w:instrText>
      </w:r>
      <w:r w:rsidR="00F468AB">
        <w:fldChar w:fldCharType="separate"/>
      </w:r>
      <w:r w:rsidR="00335E79" w:rsidRPr="00E6110F">
        <w:t xml:space="preserve">Figure </w:t>
      </w:r>
      <w:r w:rsidR="00335E79">
        <w:rPr>
          <w:noProof/>
        </w:rPr>
        <w:t>2</w:t>
      </w:r>
      <w:r w:rsidR="00335E79">
        <w:noBreakHyphen/>
      </w:r>
      <w:r w:rsidR="00335E79">
        <w:rPr>
          <w:noProof/>
        </w:rPr>
        <w:t>73</w:t>
      </w:r>
      <w:r w:rsidR="00F468AB">
        <w:fldChar w:fldCharType="end"/>
      </w:r>
      <w:r w:rsidR="00F468AB">
        <w:t>)</w:t>
      </w:r>
      <w:r w:rsidRPr="00E6110F">
        <w:t xml:space="preserve">. Among the sandstone formations, the particles released in the Hutton Sandstone tended to travel towards </w:t>
      </w:r>
      <w:r w:rsidR="006B07EA">
        <w:t xml:space="preserve">the </w:t>
      </w:r>
      <w:r w:rsidRPr="00E6110F">
        <w:t>north along uniform flow paths</w:t>
      </w:r>
      <w:r w:rsidR="006B07EA">
        <w:t>; these particles</w:t>
      </w:r>
      <w:r w:rsidRPr="00E6110F">
        <w:t xml:space="preserve"> travelled </w:t>
      </w:r>
      <w:r w:rsidR="006B07EA">
        <w:t xml:space="preserve">the </w:t>
      </w:r>
      <w:r w:rsidRPr="00E6110F">
        <w:t xml:space="preserve">longest distances </w:t>
      </w:r>
      <w:r w:rsidR="006B07EA">
        <w:t xml:space="preserve">among all aquifers, </w:t>
      </w:r>
      <w:r w:rsidRPr="00E6110F">
        <w:t xml:space="preserve">indicating higher flow velocities in this </w:t>
      </w:r>
      <w:r w:rsidR="006B07EA">
        <w:t xml:space="preserve">particular </w:t>
      </w:r>
      <w:r w:rsidRPr="00E6110F">
        <w:t>aquifer. Particles travelled shorter distances in the Springbok Sandstone reflecting low hydraulic conductivities of this formation.</w:t>
      </w:r>
    </w:p>
    <w:p w14:paraId="205CBE76" w14:textId="2DA39FD0" w:rsidR="00FA57E3" w:rsidRPr="00E6110F" w:rsidRDefault="00284242" w:rsidP="00FA57E3">
      <w:r w:rsidRPr="00284242">
        <w:rPr>
          <w:noProof/>
          <w:lang w:val="en-AU" w:eastAsia="en-AU"/>
        </w:rPr>
        <w:drawing>
          <wp:inline distT="0" distB="0" distL="0" distR="0" wp14:anchorId="0AFEC7D3" wp14:editId="1BE471AA">
            <wp:extent cx="5727700" cy="5476683"/>
            <wp:effectExtent l="0" t="0" r="6350" b="0"/>
            <wp:docPr id="53" name="Picture 53" descr="Charts of distributions of particle travel times." title="Fig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727700" cy="5476683"/>
                    </a:xfrm>
                    <a:prstGeom prst="rect">
                      <a:avLst/>
                    </a:prstGeom>
                    <a:noFill/>
                    <a:ln>
                      <a:noFill/>
                    </a:ln>
                  </pic:spPr>
                </pic:pic>
              </a:graphicData>
            </a:graphic>
          </wp:inline>
        </w:drawing>
      </w:r>
    </w:p>
    <w:p w14:paraId="21037A07" w14:textId="2062A9F7" w:rsidR="00FA57E3" w:rsidRPr="00E6110F" w:rsidRDefault="00823A92" w:rsidP="00F0337B">
      <w:pPr>
        <w:pStyle w:val="Imagecaption"/>
      </w:pPr>
      <w:bookmarkStart w:id="344" w:name="_Ref476592044"/>
      <w:bookmarkStart w:id="345" w:name="_Toc477347605"/>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73</w:t>
      </w:r>
      <w:r w:rsidR="00254026">
        <w:fldChar w:fldCharType="end"/>
      </w:r>
      <w:bookmarkEnd w:id="344"/>
      <w:r w:rsidR="00FA57E3" w:rsidRPr="00E6110F">
        <w:t xml:space="preserve"> Distribution of particle travel times</w:t>
      </w:r>
      <w:r w:rsidR="00F0337B" w:rsidRPr="00E6110F">
        <w:t>.</w:t>
      </w:r>
      <w:bookmarkEnd w:id="345"/>
    </w:p>
    <w:p w14:paraId="1D6D2B1F" w14:textId="77777777" w:rsidR="00FA57E3" w:rsidRPr="00E6110F" w:rsidRDefault="00FA57E3" w:rsidP="00FA57E3">
      <w:pPr>
        <w:rPr>
          <w:rFonts w:asciiTheme="majorHAnsi" w:hAnsiTheme="majorHAnsi"/>
          <w:sz w:val="14"/>
          <w:szCs w:val="14"/>
        </w:rPr>
      </w:pPr>
    </w:p>
    <w:p w14:paraId="001C102B" w14:textId="15CBA9B7" w:rsidR="00FA57E3" w:rsidRPr="00E6110F" w:rsidRDefault="00FA57E3" w:rsidP="00731521">
      <w:pPr>
        <w:pStyle w:val="Body"/>
      </w:pPr>
      <w:r w:rsidRPr="00E6110F">
        <w:t>Distribution o</w:t>
      </w:r>
      <w:r w:rsidR="00B607A7">
        <w:t>f travel times for the Gubberamu</w:t>
      </w:r>
      <w:r w:rsidRPr="00E6110F">
        <w:t>nda Sandstone and Hutton Sandstone varied over a smaller range compared to the Springbok Sandstone and the Walloon Coal Measures</w:t>
      </w:r>
      <w:r w:rsidR="00AB3EBB">
        <w:t xml:space="preserve"> (</w:t>
      </w:r>
      <w:r w:rsidR="00AB3EBB">
        <w:fldChar w:fldCharType="begin" w:fldLock="1"/>
      </w:r>
      <w:r w:rsidR="00AB3EBB">
        <w:instrText xml:space="preserve"> REF _Ref476592044 \h </w:instrText>
      </w:r>
      <w:r w:rsidR="00AB3EBB">
        <w:fldChar w:fldCharType="separate"/>
      </w:r>
      <w:r w:rsidR="00335E79" w:rsidRPr="00E6110F">
        <w:t xml:space="preserve">Figure </w:t>
      </w:r>
      <w:r w:rsidR="00335E79">
        <w:rPr>
          <w:noProof/>
        </w:rPr>
        <w:t>2</w:t>
      </w:r>
      <w:r w:rsidR="00335E79">
        <w:noBreakHyphen/>
      </w:r>
      <w:r w:rsidR="00335E79">
        <w:rPr>
          <w:noProof/>
        </w:rPr>
        <w:t>74</w:t>
      </w:r>
      <w:r w:rsidR="00AB3EBB">
        <w:fldChar w:fldCharType="end"/>
      </w:r>
      <w:r w:rsidR="00AB3EBB">
        <w:t>)</w:t>
      </w:r>
      <w:r w:rsidRPr="00E6110F">
        <w:t xml:space="preserve">. Walloon Coal Measures and Springbok Sandstone, on the other hand showed a wide range of travel times indicative of more complex travel paths and more variable aquifer hydraulic properties.  The statistics of travel time and distances for the forward particle tracking analysis are shown in </w:t>
      </w:r>
      <w:r w:rsidR="006B07EA">
        <w:fldChar w:fldCharType="begin" w:fldLock="1"/>
      </w:r>
      <w:r w:rsidR="006B07EA">
        <w:instrText xml:space="preserve"> REF _Ref458337224 \h </w:instrText>
      </w:r>
      <w:r w:rsidR="006B07EA">
        <w:fldChar w:fldCharType="separate"/>
      </w:r>
      <w:r w:rsidR="00335E79">
        <w:t xml:space="preserve">Table </w:t>
      </w:r>
      <w:r w:rsidR="00335E79">
        <w:rPr>
          <w:noProof/>
        </w:rPr>
        <w:t>2</w:t>
      </w:r>
      <w:r w:rsidR="00335E79">
        <w:noBreakHyphen/>
      </w:r>
      <w:r w:rsidR="00335E79">
        <w:rPr>
          <w:noProof/>
        </w:rPr>
        <w:t>26</w:t>
      </w:r>
      <w:r w:rsidR="006B07EA">
        <w:fldChar w:fldCharType="end"/>
      </w:r>
      <w:r w:rsidR="006B07EA">
        <w:t>.</w:t>
      </w:r>
      <w:r w:rsidRPr="00E6110F">
        <w:t xml:space="preserve"> </w:t>
      </w:r>
    </w:p>
    <w:p w14:paraId="6EB482EE" w14:textId="77777777" w:rsidR="00FA57E3" w:rsidRPr="00E6110F" w:rsidRDefault="00FA57E3" w:rsidP="004458D1">
      <w:pPr>
        <w:pStyle w:val="Body"/>
      </w:pPr>
    </w:p>
    <w:p w14:paraId="1E0FD874" w14:textId="77777777" w:rsidR="00FA57E3" w:rsidRPr="00E6110F" w:rsidRDefault="00FA57E3" w:rsidP="004458D1">
      <w:pPr>
        <w:pStyle w:val="Body"/>
      </w:pPr>
    </w:p>
    <w:p w14:paraId="60EF9482" w14:textId="77777777" w:rsidR="00FA57E3" w:rsidRPr="00E6110F" w:rsidRDefault="00FA57E3" w:rsidP="004458D1">
      <w:pPr>
        <w:pStyle w:val="Body"/>
      </w:pPr>
    </w:p>
    <w:p w14:paraId="62212C2C" w14:textId="77777777" w:rsidR="00FA57E3" w:rsidRPr="00E6110F" w:rsidRDefault="00FA57E3" w:rsidP="004458D1">
      <w:pPr>
        <w:pStyle w:val="Body"/>
      </w:pPr>
    </w:p>
    <w:p w14:paraId="2DA871DF" w14:textId="77777777" w:rsidR="00FA57E3" w:rsidRPr="00E6110F" w:rsidRDefault="00FA57E3" w:rsidP="004458D1">
      <w:pPr>
        <w:pStyle w:val="Body"/>
      </w:pPr>
    </w:p>
    <w:p w14:paraId="32254257" w14:textId="77777777" w:rsidR="00FA57E3" w:rsidRPr="00E6110F" w:rsidRDefault="00FA57E3" w:rsidP="004458D1">
      <w:pPr>
        <w:pStyle w:val="Body"/>
      </w:pPr>
    </w:p>
    <w:p w14:paraId="5A6EE4A3" w14:textId="77777777" w:rsidR="00FA57E3" w:rsidRPr="00E6110F" w:rsidRDefault="00FA57E3" w:rsidP="004458D1">
      <w:pPr>
        <w:pStyle w:val="Body"/>
      </w:pPr>
    </w:p>
    <w:p w14:paraId="5B09D60A" w14:textId="5FB18A07" w:rsidR="00FA57E3" w:rsidRPr="00E6110F" w:rsidRDefault="00EA3AC5" w:rsidP="00DA539C">
      <w:pPr>
        <w:pStyle w:val="Imagecaption"/>
        <w:keepNext/>
        <w:pBdr>
          <w:top w:val="none" w:sz="0" w:space="0" w:color="auto"/>
        </w:pBdr>
      </w:pPr>
      <w:bookmarkStart w:id="346" w:name="_Ref458337224"/>
      <w:bookmarkStart w:id="347" w:name="_Toc494444716"/>
      <w:r>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26</w:t>
      </w:r>
      <w:r w:rsidR="00470577">
        <w:fldChar w:fldCharType="end"/>
      </w:r>
      <w:bookmarkEnd w:id="346"/>
      <w:r>
        <w:t xml:space="preserve"> </w:t>
      </w:r>
      <w:r w:rsidR="00FA57E3" w:rsidRPr="00E6110F">
        <w:t>Statistics of travel times and distances from the forward particle tracking analysis for the Surat Basin</w:t>
      </w:r>
      <w:bookmarkEnd w:id="347"/>
    </w:p>
    <w:tbl>
      <w:tblPr>
        <w:tblW w:w="7928" w:type="dxa"/>
        <w:tblCellMar>
          <w:left w:w="0" w:type="dxa"/>
          <w:right w:w="0" w:type="dxa"/>
        </w:tblCellMar>
        <w:tblLook w:val="04A0" w:firstRow="1" w:lastRow="0" w:firstColumn="1" w:lastColumn="0" w:noHBand="0" w:noVBand="1"/>
      </w:tblPr>
      <w:tblGrid>
        <w:gridCol w:w="2684"/>
        <w:gridCol w:w="2693"/>
        <w:gridCol w:w="2551"/>
      </w:tblGrid>
      <w:tr w:rsidR="00FA57E3" w:rsidRPr="00E6110F" w14:paraId="6125563C" w14:textId="77777777" w:rsidTr="001673D0">
        <w:trPr>
          <w:trHeight w:val="547"/>
        </w:trPr>
        <w:tc>
          <w:tcPr>
            <w:tcW w:w="2684" w:type="dxa"/>
            <w:tcBorders>
              <w:top w:val="single" w:sz="4" w:space="0" w:color="auto"/>
              <w:left w:val="single" w:sz="4" w:space="0" w:color="auto"/>
              <w:bottom w:val="single" w:sz="4" w:space="0" w:color="auto"/>
              <w:right w:val="single" w:sz="4" w:space="0" w:color="auto"/>
            </w:tcBorders>
            <w:shd w:val="clear" w:color="auto" w:fill="F2F2F2"/>
            <w:tcMar>
              <w:top w:w="15" w:type="dxa"/>
              <w:left w:w="108" w:type="dxa"/>
              <w:bottom w:w="0" w:type="dxa"/>
              <w:right w:w="108" w:type="dxa"/>
            </w:tcMar>
            <w:vAlign w:val="center"/>
            <w:hideMark/>
          </w:tcPr>
          <w:p w14:paraId="23652243" w14:textId="77777777" w:rsidR="00FA57E3" w:rsidRPr="00E6110F" w:rsidRDefault="00FA57E3" w:rsidP="002C1849">
            <w:pPr>
              <w:pStyle w:val="Body"/>
              <w:rPr>
                <w:lang w:val="en-AU"/>
              </w:rPr>
            </w:pPr>
            <w:r w:rsidRPr="00E6110F">
              <w:t xml:space="preserve">  Release formation</w:t>
            </w:r>
          </w:p>
        </w:tc>
        <w:tc>
          <w:tcPr>
            <w:tcW w:w="2693" w:type="dxa"/>
            <w:tcBorders>
              <w:top w:val="single" w:sz="4" w:space="0" w:color="auto"/>
              <w:left w:val="single" w:sz="4" w:space="0" w:color="auto"/>
              <w:bottom w:val="single" w:sz="4" w:space="0" w:color="auto"/>
              <w:right w:val="single" w:sz="4" w:space="0" w:color="auto"/>
            </w:tcBorders>
            <w:shd w:val="clear" w:color="auto" w:fill="F2F2F2"/>
            <w:tcMar>
              <w:top w:w="15" w:type="dxa"/>
              <w:left w:w="108" w:type="dxa"/>
              <w:bottom w:w="0" w:type="dxa"/>
              <w:right w:w="108" w:type="dxa"/>
            </w:tcMar>
            <w:vAlign w:val="center"/>
            <w:hideMark/>
          </w:tcPr>
          <w:p w14:paraId="79E03C01" w14:textId="77777777" w:rsidR="00FA57E3" w:rsidRPr="00E6110F" w:rsidRDefault="00FA57E3" w:rsidP="002C1849">
            <w:pPr>
              <w:pStyle w:val="Body"/>
              <w:rPr>
                <w:lang w:val="en-AU"/>
              </w:rPr>
            </w:pPr>
            <w:r w:rsidRPr="00E6110F">
              <w:t xml:space="preserve">  Travel time statistics (years)</w:t>
            </w:r>
          </w:p>
        </w:tc>
        <w:tc>
          <w:tcPr>
            <w:tcW w:w="2551" w:type="dxa"/>
            <w:tcBorders>
              <w:top w:val="single" w:sz="4" w:space="0" w:color="auto"/>
              <w:left w:val="single" w:sz="4" w:space="0" w:color="auto"/>
              <w:bottom w:val="single" w:sz="4" w:space="0" w:color="auto"/>
              <w:right w:val="single" w:sz="4" w:space="0" w:color="auto"/>
            </w:tcBorders>
            <w:shd w:val="clear" w:color="auto" w:fill="F2F2F2"/>
            <w:tcMar>
              <w:top w:w="15" w:type="dxa"/>
              <w:left w:w="108" w:type="dxa"/>
              <w:bottom w:w="0" w:type="dxa"/>
              <w:right w:w="108" w:type="dxa"/>
            </w:tcMar>
            <w:vAlign w:val="center"/>
            <w:hideMark/>
          </w:tcPr>
          <w:p w14:paraId="2A6AE023" w14:textId="77777777" w:rsidR="00FA57E3" w:rsidRPr="00E6110F" w:rsidRDefault="00FA57E3" w:rsidP="002C1849">
            <w:pPr>
              <w:pStyle w:val="Body"/>
              <w:rPr>
                <w:lang w:val="en-AU"/>
              </w:rPr>
            </w:pPr>
            <w:r w:rsidRPr="00E6110F">
              <w:rPr>
                <w:lang w:val="en-AU"/>
              </w:rPr>
              <w:t>Travel distance statistics (km)</w:t>
            </w:r>
          </w:p>
        </w:tc>
      </w:tr>
      <w:tr w:rsidR="00FA57E3" w:rsidRPr="00E6110F" w14:paraId="05F2F745" w14:textId="77777777" w:rsidTr="001673D0">
        <w:trPr>
          <w:trHeight w:val="1393"/>
        </w:trPr>
        <w:tc>
          <w:tcPr>
            <w:tcW w:w="268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706A2C7D" w14:textId="09A038DA" w:rsidR="00FA57E3" w:rsidRPr="00E6110F" w:rsidRDefault="00B607A7" w:rsidP="002C1849">
            <w:pPr>
              <w:pStyle w:val="Body"/>
              <w:rPr>
                <w:lang w:val="en-AU"/>
              </w:rPr>
            </w:pPr>
            <w:r>
              <w:t>Gubberamu</w:t>
            </w:r>
            <w:r w:rsidR="00FA57E3" w:rsidRPr="00E6110F">
              <w:t>nda Sandstone</w:t>
            </w:r>
          </w:p>
        </w:tc>
        <w:tc>
          <w:tcPr>
            <w:tcW w:w="269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34399871" w14:textId="77777777" w:rsidR="00FA57E3" w:rsidRPr="00E6110F" w:rsidRDefault="00FA57E3" w:rsidP="002C1849">
            <w:pPr>
              <w:pStyle w:val="Body"/>
              <w:rPr>
                <w:lang w:val="en-AU"/>
              </w:rPr>
            </w:pPr>
            <w:r w:rsidRPr="00E6110F">
              <w:t xml:space="preserve">  Min: </w:t>
            </w:r>
            <w:r w:rsidRPr="00E6110F">
              <w:rPr>
                <w:lang w:val="en-AU"/>
              </w:rPr>
              <w:t>0</w:t>
            </w:r>
          </w:p>
          <w:p w14:paraId="209A0995" w14:textId="6ABEAF95" w:rsidR="00FA57E3" w:rsidRPr="00E6110F" w:rsidRDefault="00FA57E3" w:rsidP="002C1849">
            <w:pPr>
              <w:pStyle w:val="Body"/>
              <w:rPr>
                <w:lang w:val="en-AU"/>
              </w:rPr>
            </w:pPr>
            <w:r w:rsidRPr="00E6110F">
              <w:t xml:space="preserve">  Max: </w:t>
            </w:r>
            <w:r w:rsidRPr="00E6110F">
              <w:rPr>
                <w:lang w:val="en-AU"/>
              </w:rPr>
              <w:t>105</w:t>
            </w:r>
            <w:r w:rsidR="00CD2A24">
              <w:rPr>
                <w:lang w:val="en-AU"/>
              </w:rPr>
              <w:t>,</w:t>
            </w:r>
            <w:r w:rsidRPr="00E6110F">
              <w:rPr>
                <w:lang w:val="en-AU"/>
              </w:rPr>
              <w:t>326</w:t>
            </w:r>
          </w:p>
          <w:p w14:paraId="506E6D7F" w14:textId="5D62B8C6" w:rsidR="00FA57E3" w:rsidRPr="00E6110F" w:rsidRDefault="00FA57E3" w:rsidP="002C1849">
            <w:pPr>
              <w:pStyle w:val="Body"/>
              <w:rPr>
                <w:lang w:val="en-AU"/>
              </w:rPr>
            </w:pPr>
            <w:r w:rsidRPr="00E6110F">
              <w:t xml:space="preserve">  Mean: </w:t>
            </w:r>
            <w:r w:rsidRPr="00E6110F">
              <w:rPr>
                <w:lang w:val="en-AU"/>
              </w:rPr>
              <w:t>46</w:t>
            </w:r>
            <w:r w:rsidR="00CD2A24">
              <w:rPr>
                <w:lang w:val="en-AU"/>
              </w:rPr>
              <w:t>,</w:t>
            </w:r>
            <w:r w:rsidRPr="00E6110F">
              <w:rPr>
                <w:lang w:val="en-AU"/>
              </w:rPr>
              <w:t>411</w:t>
            </w:r>
          </w:p>
          <w:p w14:paraId="376B8F35" w14:textId="47AF097A" w:rsidR="00FA57E3" w:rsidRPr="00E6110F" w:rsidRDefault="00FA57E3" w:rsidP="00CD2A24">
            <w:pPr>
              <w:pStyle w:val="Body"/>
              <w:rPr>
                <w:lang w:val="en-AU"/>
              </w:rPr>
            </w:pPr>
            <w:r w:rsidRPr="00E6110F">
              <w:t xml:space="preserve">  Stdev: 34</w:t>
            </w:r>
            <w:r w:rsidR="00CD2A24">
              <w:t>,</w:t>
            </w:r>
            <w:r w:rsidRPr="00E6110F">
              <w:t>686</w:t>
            </w:r>
          </w:p>
        </w:tc>
        <w:tc>
          <w:tcPr>
            <w:tcW w:w="2551"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3461B793" w14:textId="77777777" w:rsidR="00FA57E3" w:rsidRPr="00E6110F" w:rsidRDefault="00FA57E3" w:rsidP="002C1849">
            <w:pPr>
              <w:pStyle w:val="Body"/>
              <w:rPr>
                <w:lang w:val="en-AU"/>
              </w:rPr>
            </w:pPr>
            <w:r w:rsidRPr="00E6110F">
              <w:t xml:space="preserve">  Min: </w:t>
            </w:r>
            <w:r w:rsidRPr="00E6110F">
              <w:rPr>
                <w:lang w:val="en-AU"/>
              </w:rPr>
              <w:t>0</w:t>
            </w:r>
          </w:p>
          <w:p w14:paraId="23CC5BA5" w14:textId="77777777" w:rsidR="00FA57E3" w:rsidRPr="00E6110F" w:rsidRDefault="00FA57E3" w:rsidP="002C1849">
            <w:pPr>
              <w:pStyle w:val="Body"/>
              <w:rPr>
                <w:lang w:val="en-AU"/>
              </w:rPr>
            </w:pPr>
            <w:r w:rsidRPr="00E6110F">
              <w:t xml:space="preserve">  Max: </w:t>
            </w:r>
            <w:r w:rsidRPr="00E6110F">
              <w:rPr>
                <w:lang w:val="en-AU"/>
              </w:rPr>
              <w:t>39</w:t>
            </w:r>
          </w:p>
          <w:p w14:paraId="71E4893A" w14:textId="77777777" w:rsidR="00FA57E3" w:rsidRPr="00E6110F" w:rsidRDefault="00FA57E3" w:rsidP="002C1849">
            <w:pPr>
              <w:pStyle w:val="Body"/>
              <w:rPr>
                <w:lang w:val="en-AU"/>
              </w:rPr>
            </w:pPr>
            <w:r w:rsidRPr="00E6110F">
              <w:t xml:space="preserve">  Mean: </w:t>
            </w:r>
            <w:r w:rsidRPr="00E6110F">
              <w:rPr>
                <w:lang w:val="en-AU"/>
              </w:rPr>
              <w:t>14</w:t>
            </w:r>
          </w:p>
          <w:p w14:paraId="6771706D" w14:textId="77777777" w:rsidR="00FA57E3" w:rsidRPr="00E6110F" w:rsidRDefault="00FA57E3" w:rsidP="002C1849">
            <w:pPr>
              <w:pStyle w:val="Body"/>
              <w:rPr>
                <w:lang w:val="en-AU"/>
              </w:rPr>
            </w:pPr>
            <w:r w:rsidRPr="00E6110F">
              <w:t xml:space="preserve">  Stdev: 12</w:t>
            </w:r>
          </w:p>
        </w:tc>
      </w:tr>
      <w:tr w:rsidR="00FA57E3" w:rsidRPr="00E6110F" w14:paraId="46ED1FEE" w14:textId="77777777" w:rsidTr="001673D0">
        <w:trPr>
          <w:trHeight w:val="1393"/>
        </w:trPr>
        <w:tc>
          <w:tcPr>
            <w:tcW w:w="268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5504B43C" w14:textId="77777777" w:rsidR="00FA57E3" w:rsidRPr="00E6110F" w:rsidRDefault="00FA57E3" w:rsidP="002C1849">
            <w:pPr>
              <w:pStyle w:val="Body"/>
              <w:rPr>
                <w:lang w:val="en-AU"/>
              </w:rPr>
            </w:pPr>
            <w:r w:rsidRPr="00E6110F">
              <w:t xml:space="preserve">  Springbok Sandstone</w:t>
            </w:r>
          </w:p>
        </w:tc>
        <w:tc>
          <w:tcPr>
            <w:tcW w:w="269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3083350B" w14:textId="77777777" w:rsidR="00FA57E3" w:rsidRPr="00E6110F" w:rsidRDefault="00FA57E3" w:rsidP="002C1849">
            <w:pPr>
              <w:pStyle w:val="Body"/>
              <w:rPr>
                <w:lang w:val="en-AU"/>
              </w:rPr>
            </w:pPr>
            <w:r w:rsidRPr="00E6110F">
              <w:t xml:space="preserve">  Min: </w:t>
            </w:r>
            <w:r w:rsidRPr="00E6110F">
              <w:rPr>
                <w:lang w:val="en-AU"/>
              </w:rPr>
              <w:t>0</w:t>
            </w:r>
          </w:p>
          <w:p w14:paraId="3496B945" w14:textId="614E6FEA" w:rsidR="00FA57E3" w:rsidRPr="00E6110F" w:rsidRDefault="00FA57E3" w:rsidP="002C1849">
            <w:pPr>
              <w:pStyle w:val="Body"/>
              <w:rPr>
                <w:lang w:val="en-AU"/>
              </w:rPr>
            </w:pPr>
            <w:r w:rsidRPr="00E6110F">
              <w:t xml:space="preserve">  Max: </w:t>
            </w:r>
            <w:r w:rsidRPr="00E6110F">
              <w:rPr>
                <w:lang w:val="en-AU"/>
              </w:rPr>
              <w:t>1</w:t>
            </w:r>
            <w:r w:rsidR="00CD2A24">
              <w:rPr>
                <w:lang w:val="en-AU"/>
              </w:rPr>
              <w:t>,</w:t>
            </w:r>
            <w:r w:rsidRPr="00E6110F">
              <w:rPr>
                <w:lang w:val="en-AU"/>
              </w:rPr>
              <w:t>421</w:t>
            </w:r>
            <w:r w:rsidR="00CD2A24">
              <w:rPr>
                <w:lang w:val="en-AU"/>
              </w:rPr>
              <w:t>,</w:t>
            </w:r>
            <w:r w:rsidRPr="00E6110F">
              <w:rPr>
                <w:lang w:val="en-AU"/>
              </w:rPr>
              <w:t>397</w:t>
            </w:r>
          </w:p>
          <w:p w14:paraId="154E507B" w14:textId="3C518C08" w:rsidR="00FA57E3" w:rsidRPr="00E6110F" w:rsidRDefault="00FA57E3" w:rsidP="002C1849">
            <w:pPr>
              <w:pStyle w:val="Body"/>
              <w:rPr>
                <w:lang w:val="en-AU"/>
              </w:rPr>
            </w:pPr>
            <w:r w:rsidRPr="00E6110F">
              <w:t xml:space="preserve">  Mean: </w:t>
            </w:r>
            <w:r w:rsidRPr="00E6110F">
              <w:rPr>
                <w:lang w:val="en-AU"/>
              </w:rPr>
              <w:t>478</w:t>
            </w:r>
            <w:r w:rsidR="00CD2A24">
              <w:rPr>
                <w:lang w:val="en-AU"/>
              </w:rPr>
              <w:t>,</w:t>
            </w:r>
            <w:r w:rsidRPr="00E6110F">
              <w:rPr>
                <w:lang w:val="en-AU"/>
              </w:rPr>
              <w:t>349</w:t>
            </w:r>
          </w:p>
          <w:p w14:paraId="78722BF0" w14:textId="0AC7A98B" w:rsidR="00FA57E3" w:rsidRPr="00E6110F" w:rsidRDefault="00FA57E3" w:rsidP="00CD2A24">
            <w:pPr>
              <w:pStyle w:val="Body"/>
              <w:rPr>
                <w:lang w:val="en-AU"/>
              </w:rPr>
            </w:pPr>
            <w:r w:rsidRPr="00E6110F">
              <w:t xml:space="preserve">  Stdev: 316</w:t>
            </w:r>
            <w:r w:rsidR="00CD2A24">
              <w:t>,</w:t>
            </w:r>
            <w:r w:rsidRPr="00E6110F">
              <w:t>078</w:t>
            </w:r>
          </w:p>
        </w:tc>
        <w:tc>
          <w:tcPr>
            <w:tcW w:w="2551"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4F0C8B4D" w14:textId="77777777" w:rsidR="00FA57E3" w:rsidRPr="00E6110F" w:rsidRDefault="00FA57E3" w:rsidP="002C1849">
            <w:pPr>
              <w:pStyle w:val="Body"/>
              <w:rPr>
                <w:lang w:val="en-AU"/>
              </w:rPr>
            </w:pPr>
            <w:r w:rsidRPr="00E6110F">
              <w:t xml:space="preserve">  Min: </w:t>
            </w:r>
            <w:r w:rsidRPr="00E6110F">
              <w:rPr>
                <w:lang w:val="en-AU"/>
              </w:rPr>
              <w:t>0</w:t>
            </w:r>
          </w:p>
          <w:p w14:paraId="2F48DF37" w14:textId="77777777" w:rsidR="00FA57E3" w:rsidRPr="00E6110F" w:rsidRDefault="00FA57E3" w:rsidP="002C1849">
            <w:pPr>
              <w:pStyle w:val="Body"/>
              <w:rPr>
                <w:lang w:val="en-AU"/>
              </w:rPr>
            </w:pPr>
            <w:r w:rsidRPr="00E6110F">
              <w:t xml:space="preserve">  Max: </w:t>
            </w:r>
            <w:r w:rsidRPr="00E6110F">
              <w:rPr>
                <w:lang w:val="en-AU"/>
              </w:rPr>
              <w:t>33</w:t>
            </w:r>
          </w:p>
          <w:p w14:paraId="19A81D72" w14:textId="77777777" w:rsidR="00FA57E3" w:rsidRPr="00E6110F" w:rsidRDefault="00FA57E3" w:rsidP="002C1849">
            <w:pPr>
              <w:pStyle w:val="Body"/>
              <w:rPr>
                <w:lang w:val="en-AU"/>
              </w:rPr>
            </w:pPr>
            <w:r w:rsidRPr="00E6110F">
              <w:t xml:space="preserve">  Mean: </w:t>
            </w:r>
            <w:r w:rsidRPr="00E6110F">
              <w:rPr>
                <w:lang w:val="en-AU"/>
              </w:rPr>
              <w:t>10</w:t>
            </w:r>
          </w:p>
          <w:p w14:paraId="617E576F" w14:textId="77777777" w:rsidR="00FA57E3" w:rsidRPr="00E6110F" w:rsidRDefault="00FA57E3" w:rsidP="002C1849">
            <w:pPr>
              <w:pStyle w:val="Body"/>
              <w:rPr>
                <w:lang w:val="en-AU"/>
              </w:rPr>
            </w:pPr>
            <w:r w:rsidRPr="00E6110F">
              <w:t xml:space="preserve">  Stdev: 6</w:t>
            </w:r>
          </w:p>
        </w:tc>
      </w:tr>
      <w:tr w:rsidR="00FA57E3" w:rsidRPr="00E6110F" w14:paraId="208FA08C" w14:textId="77777777" w:rsidTr="001673D0">
        <w:trPr>
          <w:trHeight w:val="1184"/>
        </w:trPr>
        <w:tc>
          <w:tcPr>
            <w:tcW w:w="268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11EEC8CD" w14:textId="77777777" w:rsidR="00FA57E3" w:rsidRPr="00E6110F" w:rsidRDefault="00FA57E3" w:rsidP="002C1849">
            <w:pPr>
              <w:pStyle w:val="Body"/>
              <w:rPr>
                <w:lang w:val="en-AU"/>
              </w:rPr>
            </w:pPr>
            <w:r w:rsidRPr="00E6110F">
              <w:t xml:space="preserve">  Walloon Coal Measures</w:t>
            </w:r>
          </w:p>
        </w:tc>
        <w:tc>
          <w:tcPr>
            <w:tcW w:w="269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109A2410" w14:textId="77777777" w:rsidR="00FA57E3" w:rsidRPr="00E6110F" w:rsidRDefault="00FA57E3" w:rsidP="002C1849">
            <w:pPr>
              <w:pStyle w:val="Body"/>
              <w:rPr>
                <w:lang w:val="en-AU"/>
              </w:rPr>
            </w:pPr>
            <w:r w:rsidRPr="00E6110F">
              <w:t xml:space="preserve">  Min: </w:t>
            </w:r>
            <w:r w:rsidRPr="00E6110F">
              <w:rPr>
                <w:lang w:val="en-AU"/>
              </w:rPr>
              <w:t>0</w:t>
            </w:r>
          </w:p>
          <w:p w14:paraId="04662726" w14:textId="35320E9A" w:rsidR="00FA57E3" w:rsidRPr="00E6110F" w:rsidRDefault="00FA57E3" w:rsidP="002C1849">
            <w:pPr>
              <w:pStyle w:val="Body"/>
              <w:rPr>
                <w:lang w:val="en-AU"/>
              </w:rPr>
            </w:pPr>
            <w:r w:rsidRPr="00E6110F">
              <w:t xml:space="preserve">  Max: </w:t>
            </w:r>
            <w:r w:rsidRPr="00E6110F">
              <w:rPr>
                <w:lang w:val="en-AU"/>
              </w:rPr>
              <w:t>4</w:t>
            </w:r>
            <w:r w:rsidR="00CD2A24">
              <w:rPr>
                <w:lang w:val="en-AU"/>
              </w:rPr>
              <w:t>,</w:t>
            </w:r>
            <w:r w:rsidRPr="00E6110F">
              <w:rPr>
                <w:lang w:val="en-AU"/>
              </w:rPr>
              <w:t>615</w:t>
            </w:r>
            <w:r w:rsidR="00CD2A24">
              <w:rPr>
                <w:lang w:val="en-AU"/>
              </w:rPr>
              <w:t>,</w:t>
            </w:r>
            <w:r w:rsidRPr="00E6110F">
              <w:rPr>
                <w:lang w:val="en-AU"/>
              </w:rPr>
              <w:t>268</w:t>
            </w:r>
          </w:p>
          <w:p w14:paraId="5DF88C28" w14:textId="774844D8" w:rsidR="00FA57E3" w:rsidRPr="00E6110F" w:rsidRDefault="00FA57E3" w:rsidP="002C1849">
            <w:pPr>
              <w:pStyle w:val="Body"/>
              <w:rPr>
                <w:lang w:val="en-AU"/>
              </w:rPr>
            </w:pPr>
            <w:r w:rsidRPr="00E6110F">
              <w:t xml:space="preserve">  Mean: </w:t>
            </w:r>
            <w:r w:rsidRPr="00E6110F">
              <w:rPr>
                <w:lang w:val="en-AU"/>
              </w:rPr>
              <w:t>994</w:t>
            </w:r>
            <w:r w:rsidR="00CD2A24">
              <w:rPr>
                <w:lang w:val="en-AU"/>
              </w:rPr>
              <w:t>,</w:t>
            </w:r>
            <w:r w:rsidRPr="00E6110F">
              <w:rPr>
                <w:lang w:val="en-AU"/>
              </w:rPr>
              <w:t>938</w:t>
            </w:r>
          </w:p>
          <w:p w14:paraId="2325D2F1" w14:textId="52303C11" w:rsidR="00FA57E3" w:rsidRPr="00E6110F" w:rsidRDefault="00FA57E3" w:rsidP="00CD2A24">
            <w:pPr>
              <w:pStyle w:val="Body"/>
              <w:rPr>
                <w:lang w:val="en-AU"/>
              </w:rPr>
            </w:pPr>
            <w:r w:rsidRPr="00E6110F">
              <w:t xml:space="preserve">  Stdev: 1</w:t>
            </w:r>
            <w:r w:rsidR="00CD2A24">
              <w:t>,</w:t>
            </w:r>
            <w:r w:rsidRPr="00E6110F">
              <w:t>082</w:t>
            </w:r>
            <w:r w:rsidR="00CD2A24">
              <w:t>,</w:t>
            </w:r>
            <w:r w:rsidRPr="00E6110F">
              <w:t>862</w:t>
            </w:r>
          </w:p>
        </w:tc>
        <w:tc>
          <w:tcPr>
            <w:tcW w:w="2551"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7D1A3D6A" w14:textId="77777777" w:rsidR="00FA57E3" w:rsidRPr="00E6110F" w:rsidRDefault="00FA57E3" w:rsidP="002C1849">
            <w:pPr>
              <w:pStyle w:val="Body"/>
              <w:rPr>
                <w:lang w:val="en-AU"/>
              </w:rPr>
            </w:pPr>
            <w:r w:rsidRPr="00E6110F">
              <w:t xml:space="preserve">  Min: </w:t>
            </w:r>
            <w:r w:rsidRPr="00E6110F">
              <w:rPr>
                <w:lang w:val="en-AU"/>
              </w:rPr>
              <w:t>0</w:t>
            </w:r>
          </w:p>
          <w:p w14:paraId="72B311DA" w14:textId="77777777" w:rsidR="00FA57E3" w:rsidRPr="00E6110F" w:rsidRDefault="00FA57E3" w:rsidP="002C1849">
            <w:pPr>
              <w:pStyle w:val="Body"/>
              <w:rPr>
                <w:lang w:val="en-AU"/>
              </w:rPr>
            </w:pPr>
            <w:r w:rsidRPr="00E6110F">
              <w:t xml:space="preserve">  Max: </w:t>
            </w:r>
            <w:r w:rsidRPr="00E6110F">
              <w:rPr>
                <w:lang w:val="en-AU"/>
              </w:rPr>
              <w:t>69</w:t>
            </w:r>
          </w:p>
          <w:p w14:paraId="5AC0CC42" w14:textId="77777777" w:rsidR="00FA57E3" w:rsidRPr="00E6110F" w:rsidRDefault="00FA57E3" w:rsidP="002C1849">
            <w:pPr>
              <w:pStyle w:val="Body"/>
              <w:rPr>
                <w:lang w:val="en-AU"/>
              </w:rPr>
            </w:pPr>
            <w:r w:rsidRPr="00E6110F">
              <w:t xml:space="preserve">  Mean: </w:t>
            </w:r>
            <w:r w:rsidRPr="00E6110F">
              <w:rPr>
                <w:lang w:val="en-AU"/>
              </w:rPr>
              <w:t>11</w:t>
            </w:r>
          </w:p>
          <w:p w14:paraId="3168E7C1" w14:textId="77777777" w:rsidR="00FA57E3" w:rsidRPr="00E6110F" w:rsidRDefault="00FA57E3" w:rsidP="002C1849">
            <w:pPr>
              <w:pStyle w:val="Body"/>
              <w:rPr>
                <w:lang w:val="en-AU"/>
              </w:rPr>
            </w:pPr>
            <w:r w:rsidRPr="00E6110F">
              <w:t xml:space="preserve">  Stdev: 10</w:t>
            </w:r>
          </w:p>
        </w:tc>
      </w:tr>
      <w:tr w:rsidR="00FA57E3" w:rsidRPr="00E6110F" w14:paraId="0B9216BA" w14:textId="77777777" w:rsidTr="001673D0">
        <w:trPr>
          <w:trHeight w:val="374"/>
        </w:trPr>
        <w:tc>
          <w:tcPr>
            <w:tcW w:w="2684"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410ECEA3" w14:textId="77777777" w:rsidR="00FA57E3" w:rsidRPr="00E6110F" w:rsidRDefault="00FA57E3" w:rsidP="002C1849">
            <w:pPr>
              <w:pStyle w:val="Body"/>
              <w:rPr>
                <w:lang w:val="en-AU"/>
              </w:rPr>
            </w:pPr>
            <w:r w:rsidRPr="00E6110F">
              <w:rPr>
                <w:lang w:val="en-AU"/>
              </w:rPr>
              <w:t>Hutton Sandstone</w:t>
            </w:r>
          </w:p>
        </w:tc>
        <w:tc>
          <w:tcPr>
            <w:tcW w:w="2693"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701A0A65" w14:textId="77777777" w:rsidR="00FA57E3" w:rsidRPr="00E6110F" w:rsidRDefault="00FA57E3" w:rsidP="002C1849">
            <w:pPr>
              <w:pStyle w:val="Body"/>
              <w:rPr>
                <w:lang w:val="en-AU"/>
              </w:rPr>
            </w:pPr>
            <w:r w:rsidRPr="00E6110F">
              <w:t xml:space="preserve"> Min: </w:t>
            </w:r>
            <w:r w:rsidRPr="00E6110F">
              <w:rPr>
                <w:lang w:val="en-AU"/>
              </w:rPr>
              <w:t>0</w:t>
            </w:r>
          </w:p>
          <w:p w14:paraId="320DB3F6" w14:textId="24950B5B" w:rsidR="00FA57E3" w:rsidRPr="00E6110F" w:rsidRDefault="00FA57E3" w:rsidP="002C1849">
            <w:pPr>
              <w:pStyle w:val="Body"/>
              <w:rPr>
                <w:lang w:val="en-AU"/>
              </w:rPr>
            </w:pPr>
            <w:r w:rsidRPr="00E6110F">
              <w:t xml:space="preserve">  Max: </w:t>
            </w:r>
            <w:r w:rsidRPr="00E6110F">
              <w:rPr>
                <w:lang w:val="en-AU"/>
              </w:rPr>
              <w:t>280</w:t>
            </w:r>
            <w:r w:rsidR="00CD2A24">
              <w:rPr>
                <w:lang w:val="en-AU"/>
              </w:rPr>
              <w:t>,</w:t>
            </w:r>
            <w:r w:rsidRPr="00E6110F">
              <w:rPr>
                <w:lang w:val="en-AU"/>
              </w:rPr>
              <w:t>092</w:t>
            </w:r>
          </w:p>
          <w:p w14:paraId="52BDB42A" w14:textId="5547872C" w:rsidR="00FA57E3" w:rsidRPr="00E6110F" w:rsidRDefault="00FA57E3" w:rsidP="002C1849">
            <w:pPr>
              <w:pStyle w:val="Body"/>
              <w:rPr>
                <w:lang w:val="en-AU"/>
              </w:rPr>
            </w:pPr>
            <w:r w:rsidRPr="00E6110F">
              <w:t xml:space="preserve">  Mean: </w:t>
            </w:r>
            <w:r w:rsidRPr="00E6110F">
              <w:rPr>
                <w:lang w:val="en-AU"/>
              </w:rPr>
              <w:t>128</w:t>
            </w:r>
            <w:r w:rsidR="00CD2A24">
              <w:rPr>
                <w:lang w:val="en-AU"/>
              </w:rPr>
              <w:t>,</w:t>
            </w:r>
            <w:r w:rsidRPr="00E6110F">
              <w:rPr>
                <w:lang w:val="en-AU"/>
              </w:rPr>
              <w:t>192</w:t>
            </w:r>
          </w:p>
          <w:p w14:paraId="52B59A41" w14:textId="50BC9D7D" w:rsidR="00FA57E3" w:rsidRPr="00E6110F" w:rsidRDefault="00FA57E3" w:rsidP="00CD2A24">
            <w:pPr>
              <w:pStyle w:val="Body"/>
              <w:rPr>
                <w:lang w:val="en-AU"/>
              </w:rPr>
            </w:pPr>
            <w:r w:rsidRPr="00E6110F">
              <w:t xml:space="preserve">  Stdev: </w:t>
            </w:r>
            <w:r w:rsidRPr="00E6110F">
              <w:rPr>
                <w:lang w:val="en-AU"/>
              </w:rPr>
              <w:t>62</w:t>
            </w:r>
            <w:r w:rsidR="00CD2A24">
              <w:rPr>
                <w:lang w:val="en-AU"/>
              </w:rPr>
              <w:t>,</w:t>
            </w:r>
            <w:r w:rsidRPr="00E6110F">
              <w:rPr>
                <w:lang w:val="en-AU"/>
              </w:rPr>
              <w:t>086</w:t>
            </w:r>
          </w:p>
        </w:tc>
        <w:tc>
          <w:tcPr>
            <w:tcW w:w="2551"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14:paraId="1BEB9824" w14:textId="77777777" w:rsidR="00FA57E3" w:rsidRPr="00E6110F" w:rsidRDefault="00FA57E3" w:rsidP="002C1849">
            <w:pPr>
              <w:pStyle w:val="Body"/>
              <w:rPr>
                <w:lang w:val="en-AU"/>
              </w:rPr>
            </w:pPr>
            <w:r w:rsidRPr="00E6110F">
              <w:t xml:space="preserve"> Min: </w:t>
            </w:r>
            <w:r w:rsidRPr="00E6110F">
              <w:rPr>
                <w:lang w:val="en-AU"/>
              </w:rPr>
              <w:t>0</w:t>
            </w:r>
          </w:p>
          <w:p w14:paraId="38385F77" w14:textId="77777777" w:rsidR="00FA57E3" w:rsidRPr="00E6110F" w:rsidRDefault="00FA57E3" w:rsidP="002C1849">
            <w:pPr>
              <w:pStyle w:val="Body"/>
              <w:rPr>
                <w:lang w:val="en-AU"/>
              </w:rPr>
            </w:pPr>
            <w:r w:rsidRPr="00E6110F">
              <w:t xml:space="preserve">  Max: </w:t>
            </w:r>
            <w:r w:rsidRPr="00E6110F">
              <w:rPr>
                <w:lang w:val="en-AU"/>
              </w:rPr>
              <w:t>69</w:t>
            </w:r>
          </w:p>
          <w:p w14:paraId="65B32F85" w14:textId="77777777" w:rsidR="00FA57E3" w:rsidRPr="00E6110F" w:rsidRDefault="00FA57E3" w:rsidP="002C1849">
            <w:pPr>
              <w:pStyle w:val="Body"/>
              <w:rPr>
                <w:lang w:val="en-AU"/>
              </w:rPr>
            </w:pPr>
            <w:r w:rsidRPr="00E6110F">
              <w:t xml:space="preserve">  Mean: </w:t>
            </w:r>
            <w:r w:rsidRPr="00E6110F">
              <w:rPr>
                <w:lang w:val="en-AU"/>
              </w:rPr>
              <w:t>33</w:t>
            </w:r>
          </w:p>
          <w:p w14:paraId="2632F29C" w14:textId="77777777" w:rsidR="00FA57E3" w:rsidRPr="00E6110F" w:rsidRDefault="00FA57E3" w:rsidP="002C1849">
            <w:pPr>
              <w:pStyle w:val="Body"/>
              <w:rPr>
                <w:lang w:val="en-AU"/>
              </w:rPr>
            </w:pPr>
            <w:r w:rsidRPr="00E6110F">
              <w:t xml:space="preserve">  Stdev: </w:t>
            </w:r>
            <w:r w:rsidRPr="00E6110F">
              <w:rPr>
                <w:lang w:val="en-AU"/>
              </w:rPr>
              <w:t>11</w:t>
            </w:r>
          </w:p>
        </w:tc>
      </w:tr>
    </w:tbl>
    <w:p w14:paraId="7E7E9F0E" w14:textId="77777777" w:rsidR="00FA57E3" w:rsidRPr="00E6110F" w:rsidRDefault="00FA57E3" w:rsidP="00FA57E3">
      <w:pPr>
        <w:rPr>
          <w:lang w:val="en-GB"/>
        </w:rPr>
      </w:pPr>
    </w:p>
    <w:p w14:paraId="5AA8D2D9" w14:textId="77777777" w:rsidR="00FA57E3" w:rsidRPr="00E6110F" w:rsidRDefault="00FA57E3" w:rsidP="00FA57E3">
      <w:pPr>
        <w:rPr>
          <w:lang w:val="en-GB"/>
        </w:rPr>
      </w:pPr>
    </w:p>
    <w:p w14:paraId="19ADA4ED" w14:textId="77777777" w:rsidR="00FA57E3" w:rsidRPr="00E6110F" w:rsidRDefault="00FA57E3" w:rsidP="00FA57E3">
      <w:pPr>
        <w:rPr>
          <w:lang w:val="en-GB"/>
        </w:rPr>
      </w:pPr>
    </w:p>
    <w:p w14:paraId="359CE6A0" w14:textId="77777777" w:rsidR="00FA57E3" w:rsidRPr="00E6110F" w:rsidRDefault="00FA57E3" w:rsidP="00FA57E3">
      <w:pPr>
        <w:rPr>
          <w:lang w:val="en-GB"/>
        </w:rPr>
      </w:pPr>
    </w:p>
    <w:p w14:paraId="5F484963" w14:textId="77777777" w:rsidR="00FA57E3" w:rsidRPr="00E6110F" w:rsidRDefault="00FA57E3" w:rsidP="00FA57E3">
      <w:pPr>
        <w:rPr>
          <w:lang w:val="en-GB"/>
        </w:rPr>
      </w:pPr>
    </w:p>
    <w:p w14:paraId="73343CD2" w14:textId="77777777" w:rsidR="00FA57E3" w:rsidRPr="00E6110F" w:rsidRDefault="00FA57E3" w:rsidP="00FA57E3">
      <w:pPr>
        <w:rPr>
          <w:lang w:val="en-GB"/>
        </w:rPr>
      </w:pPr>
    </w:p>
    <w:p w14:paraId="360E26AC" w14:textId="77777777" w:rsidR="00FA57E3" w:rsidRPr="00E6110F" w:rsidRDefault="00FA57E3" w:rsidP="00FA57E3">
      <w:pPr>
        <w:rPr>
          <w:lang w:val="en-GB"/>
        </w:rPr>
      </w:pPr>
    </w:p>
    <w:p w14:paraId="57EE5AFE" w14:textId="77777777" w:rsidR="00FA57E3" w:rsidRPr="00E6110F" w:rsidRDefault="00FA57E3" w:rsidP="00FA57E3">
      <w:pPr>
        <w:rPr>
          <w:lang w:val="en-GB"/>
        </w:rPr>
      </w:pPr>
    </w:p>
    <w:p w14:paraId="6E259930" w14:textId="77777777" w:rsidR="00FA57E3" w:rsidRPr="00E6110F" w:rsidRDefault="00FA57E3" w:rsidP="00FA57E3">
      <w:pPr>
        <w:rPr>
          <w:lang w:val="en-GB"/>
        </w:rPr>
      </w:pPr>
    </w:p>
    <w:p w14:paraId="3372BB40" w14:textId="77777777" w:rsidR="00FA57E3" w:rsidRPr="00E6110F" w:rsidRDefault="00FA57E3" w:rsidP="00FA57E3">
      <w:pPr>
        <w:rPr>
          <w:lang w:val="en-GB"/>
        </w:rPr>
      </w:pPr>
    </w:p>
    <w:p w14:paraId="538666FB" w14:textId="77777777" w:rsidR="00FA57E3" w:rsidRPr="00E6110F" w:rsidRDefault="00FA57E3" w:rsidP="00FA57E3">
      <w:pPr>
        <w:rPr>
          <w:lang w:val="en-GB"/>
        </w:rPr>
      </w:pPr>
    </w:p>
    <w:p w14:paraId="66299821" w14:textId="77777777" w:rsidR="00FA57E3" w:rsidRPr="00E6110F" w:rsidRDefault="00FA57E3" w:rsidP="00FA57E3">
      <w:pPr>
        <w:rPr>
          <w:lang w:val="en-GB"/>
        </w:rPr>
      </w:pPr>
    </w:p>
    <w:p w14:paraId="64BE07DF" w14:textId="77777777" w:rsidR="00FA57E3" w:rsidRPr="00E6110F" w:rsidRDefault="00FA57E3" w:rsidP="00FA57E3">
      <w:pPr>
        <w:rPr>
          <w:lang w:val="en-GB"/>
        </w:rPr>
      </w:pPr>
    </w:p>
    <w:p w14:paraId="31F54BAE" w14:textId="77777777" w:rsidR="004A2572" w:rsidRPr="00235EC9" w:rsidRDefault="00D873DA" w:rsidP="00D873DA">
      <w:pPr>
        <w:pStyle w:val="Heading3"/>
        <w:numPr>
          <w:ilvl w:val="3"/>
          <w:numId w:val="1"/>
        </w:numPr>
      </w:pPr>
      <w:bookmarkStart w:id="348" w:name="_Ref467744861"/>
      <w:bookmarkStart w:id="349" w:name="_Toc494444547"/>
      <w:bookmarkStart w:id="350" w:name="_Ref446665996"/>
      <w:r w:rsidRPr="00E6110F">
        <w:t>Backward particle tracking analysis</w:t>
      </w:r>
      <w:bookmarkEnd w:id="348"/>
      <w:bookmarkEnd w:id="349"/>
    </w:p>
    <w:p w14:paraId="5A5F76DC" w14:textId="19250AEF" w:rsidR="00DC7420" w:rsidRDefault="00DC7420" w:rsidP="00DC7420">
      <w:pPr>
        <w:pStyle w:val="Body"/>
        <w:rPr>
          <w:b/>
        </w:rPr>
      </w:pPr>
      <w:r>
        <w:t>Backward particle tracking analysis was undertaken to analyse the travel distances and travel times for particles reaching specified receptor</w:t>
      </w:r>
      <w:r w:rsidR="00B607A7">
        <w:t xml:space="preserve"> bore locations in the Gubberamu</w:t>
      </w:r>
      <w:r>
        <w:t>nda Sandstone. A total of 119 pumping w</w:t>
      </w:r>
      <w:r w:rsidR="00B24108">
        <w:t>ater bores</w:t>
      </w:r>
      <w:r w:rsidR="00B607A7">
        <w:t xml:space="preserve"> in the Gubberamu</w:t>
      </w:r>
      <w:r>
        <w:t>nda Sandstone that are within and around the CSG well field were chosen for backward particle tracking analysis. In order t</w:t>
      </w:r>
      <w:r w:rsidR="00B24108">
        <w:t>o avoid the pumping water bores</w:t>
      </w:r>
      <w:r>
        <w:t xml:space="preserve"> acting as sinks and resulting in the immediate exit of the particles through these si</w:t>
      </w:r>
      <w:r w:rsidR="00B24108">
        <w:t>nks, simulation of pumping water bores</w:t>
      </w:r>
      <w:r>
        <w:t xml:space="preserve"> was turned off in the backward particle tracking analysis.</w:t>
      </w:r>
    </w:p>
    <w:p w14:paraId="5B6B7D35" w14:textId="3848E6A7" w:rsidR="004A2572" w:rsidRPr="00E6110F" w:rsidRDefault="00A94455" w:rsidP="00D95B91">
      <w:pPr>
        <w:pStyle w:val="Body"/>
      </w:pPr>
      <w:r w:rsidRPr="00A94455">
        <w:rPr>
          <w:noProof/>
          <w:lang w:val="en-AU" w:eastAsia="en-AU"/>
        </w:rPr>
        <w:drawing>
          <wp:inline distT="0" distB="0" distL="0" distR="0" wp14:anchorId="5341D617" wp14:editId="3195EBBF">
            <wp:extent cx="5725795" cy="4430395"/>
            <wp:effectExtent l="0" t="0" r="8255" b="8255"/>
            <wp:docPr id="96" name="Picture 96" descr="Map of backwards particle tracks for the Gubberamunda Sandstone." title="Fig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725795" cy="4430395"/>
                    </a:xfrm>
                    <a:prstGeom prst="rect">
                      <a:avLst/>
                    </a:prstGeom>
                    <a:noFill/>
                    <a:ln>
                      <a:noFill/>
                    </a:ln>
                  </pic:spPr>
                </pic:pic>
              </a:graphicData>
            </a:graphic>
          </wp:inline>
        </w:drawing>
      </w:r>
    </w:p>
    <w:p w14:paraId="45AF34EB" w14:textId="71553DC2" w:rsidR="004A2572" w:rsidRPr="00E6110F" w:rsidRDefault="004A2572" w:rsidP="004A2572">
      <w:pPr>
        <w:pStyle w:val="Imagecaption"/>
        <w:rPr>
          <w:rFonts w:asciiTheme="minorHAnsi" w:hAnsiTheme="minorHAnsi"/>
          <w:b/>
          <w:color w:val="auto"/>
          <w:sz w:val="24"/>
          <w:szCs w:val="24"/>
        </w:rPr>
      </w:pPr>
      <w:bookmarkStart w:id="351" w:name="_Ref454475631"/>
      <w:bookmarkStart w:id="352" w:name="_Toc477347606"/>
      <w:r w:rsidRPr="00E6110F">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74</w:t>
      </w:r>
      <w:r w:rsidR="00254026">
        <w:fldChar w:fldCharType="end"/>
      </w:r>
      <w:bookmarkEnd w:id="351"/>
      <w:r w:rsidRPr="00E6110F">
        <w:t xml:space="preserve"> Backward particle tracks for </w:t>
      </w:r>
      <w:r w:rsidR="00962539">
        <w:t xml:space="preserve">particles released within </w:t>
      </w:r>
      <w:r w:rsidRPr="00E6110F">
        <w:t xml:space="preserve">the </w:t>
      </w:r>
      <w:r w:rsidR="00EA3AC5">
        <w:t>Gubberamunda Sandstone.</w:t>
      </w:r>
      <w:bookmarkEnd w:id="352"/>
    </w:p>
    <w:p w14:paraId="5E6B84FE" w14:textId="77777777" w:rsidR="00EA3AC5" w:rsidRDefault="00EA3AC5" w:rsidP="00EA3AC5">
      <w:pPr>
        <w:pStyle w:val="Heading3"/>
        <w:numPr>
          <w:ilvl w:val="0"/>
          <w:numId w:val="0"/>
        </w:numPr>
        <w:spacing w:before="0" w:after="0" w:line="360" w:lineRule="auto"/>
        <w:ind w:left="142"/>
        <w:rPr>
          <w:rFonts w:asciiTheme="minorHAnsi" w:hAnsiTheme="minorHAnsi"/>
          <w:b w:val="0"/>
          <w:color w:val="auto"/>
          <w:sz w:val="24"/>
          <w:szCs w:val="24"/>
        </w:rPr>
      </w:pPr>
    </w:p>
    <w:p w14:paraId="7AB07453" w14:textId="204B50CD" w:rsidR="00EA3AC5" w:rsidRDefault="00962539" w:rsidP="00EA3AC5">
      <w:pPr>
        <w:pStyle w:val="Body"/>
      </w:pPr>
      <w:r>
        <w:t xml:space="preserve">The </w:t>
      </w:r>
      <w:r w:rsidR="00EA3AC5">
        <w:t xml:space="preserve">Gubburamanda </w:t>
      </w:r>
      <w:r w:rsidR="00EA3AC5" w:rsidRPr="00EA3AC5">
        <w:rPr>
          <w:rStyle w:val="BodyChar"/>
        </w:rPr>
        <w:t>Sandstone outcrops in the region where the CSG wells are present. It was found that the</w:t>
      </w:r>
      <w:r w:rsidR="00EA3AC5">
        <w:t xml:space="preserve"> particles from the receptor bores located towards the west of the CSG well field track backwards in the northwest direction and </w:t>
      </w:r>
      <w:r>
        <w:t xml:space="preserve">the </w:t>
      </w:r>
      <w:r w:rsidR="00EA3AC5">
        <w:t xml:space="preserve">majority of the particles from receptor bores located towards </w:t>
      </w:r>
      <w:r>
        <w:t xml:space="preserve">the </w:t>
      </w:r>
      <w:r w:rsidR="00EA3AC5">
        <w:t xml:space="preserve">east of the CSG well field tracked back in the south west direction. Contours of the modelled heads for the Gubburamanda Sandstone </w:t>
      </w:r>
      <w:r>
        <w:t>are</w:t>
      </w:r>
      <w:r w:rsidR="00EA3AC5">
        <w:t xml:space="preserve"> also shown </w:t>
      </w:r>
      <w:r w:rsidR="00EA3AC5">
        <w:fldChar w:fldCharType="begin" w:fldLock="1"/>
      </w:r>
      <w:r w:rsidR="00EA3AC5">
        <w:instrText xml:space="preserve"> REF _Ref454475631 \h </w:instrText>
      </w:r>
      <w:r w:rsidR="00EA3AC5">
        <w:fldChar w:fldCharType="separate"/>
      </w:r>
      <w:r w:rsidR="00335E79" w:rsidRPr="00E6110F">
        <w:t xml:space="preserve">Figure </w:t>
      </w:r>
      <w:r w:rsidR="00335E79">
        <w:rPr>
          <w:noProof/>
        </w:rPr>
        <w:t>2</w:t>
      </w:r>
      <w:r w:rsidR="00335E79">
        <w:noBreakHyphen/>
      </w:r>
      <w:r w:rsidR="00335E79">
        <w:rPr>
          <w:noProof/>
        </w:rPr>
        <w:t>75</w:t>
      </w:r>
      <w:r w:rsidR="00EA3AC5">
        <w:fldChar w:fldCharType="end"/>
      </w:r>
      <w:r w:rsidR="00EA3AC5">
        <w:t xml:space="preserve">. </w:t>
      </w:r>
    </w:p>
    <w:p w14:paraId="7D9FD397" w14:textId="2B6E1596" w:rsidR="00EA3AC5" w:rsidRDefault="00EA3AC5" w:rsidP="00EA3AC5">
      <w:pPr>
        <w:pStyle w:val="Body"/>
      </w:pPr>
      <w:r>
        <w:t xml:space="preserve">The distributions of particle travel distances and times from the backward particle tracking for Gubburamanda Sandstone </w:t>
      </w:r>
      <w:r w:rsidR="00962539">
        <w:t>are</w:t>
      </w:r>
      <w:r>
        <w:t xml:space="preserve"> shown in </w:t>
      </w:r>
      <w:r>
        <w:fldChar w:fldCharType="begin" w:fldLock="1"/>
      </w:r>
      <w:r>
        <w:instrText xml:space="preserve"> REF _Ref454476025 \h </w:instrText>
      </w:r>
      <w:r>
        <w:fldChar w:fldCharType="separate"/>
      </w:r>
      <w:r w:rsidR="00335E79">
        <w:t xml:space="preserve">Figure </w:t>
      </w:r>
      <w:r w:rsidR="00335E79">
        <w:rPr>
          <w:noProof/>
        </w:rPr>
        <w:t>2</w:t>
      </w:r>
      <w:r w:rsidR="00335E79">
        <w:noBreakHyphen/>
      </w:r>
      <w:r w:rsidR="00335E79">
        <w:rPr>
          <w:noProof/>
        </w:rPr>
        <w:t>76</w:t>
      </w:r>
      <w:r>
        <w:fldChar w:fldCharType="end"/>
      </w:r>
      <w:r>
        <w:t xml:space="preserve"> and the relevant statistics are s</w:t>
      </w:r>
      <w:r w:rsidR="00962539">
        <w:t>ummarised</w:t>
      </w:r>
      <w:r>
        <w:t xml:space="preserve"> in </w:t>
      </w:r>
      <w:r>
        <w:fldChar w:fldCharType="begin" w:fldLock="1"/>
      </w:r>
      <w:r>
        <w:instrText xml:space="preserve"> REF _Ref454476026 \h </w:instrText>
      </w:r>
      <w:r>
        <w:fldChar w:fldCharType="separate"/>
      </w:r>
      <w:r w:rsidR="00335E79">
        <w:t xml:space="preserve">Table </w:t>
      </w:r>
      <w:r w:rsidR="00335E79">
        <w:rPr>
          <w:noProof/>
        </w:rPr>
        <w:t>2</w:t>
      </w:r>
      <w:r w:rsidR="00335E79">
        <w:noBreakHyphen/>
      </w:r>
      <w:r w:rsidR="00335E79">
        <w:rPr>
          <w:noProof/>
        </w:rPr>
        <w:t>27</w:t>
      </w:r>
      <w:r>
        <w:fldChar w:fldCharType="end"/>
      </w:r>
      <w:r>
        <w:t>.</w:t>
      </w:r>
      <w:r w:rsidR="00577BD0">
        <w:t xml:space="preserve"> Wheneve</w:t>
      </w:r>
      <w:r w:rsidR="00BE43DE">
        <w:t>r</w:t>
      </w:r>
      <w:r w:rsidR="00577BD0">
        <w:t xml:space="preserve"> particles have a zero travel distance the particle has not moved from its starting position (i.e. the water bore). </w:t>
      </w:r>
    </w:p>
    <w:p w14:paraId="0D5B2B7B" w14:textId="77777777" w:rsidR="00EA3AC5" w:rsidRDefault="00EA3AC5" w:rsidP="00EA3AC5">
      <w:pPr>
        <w:pStyle w:val="Body"/>
        <w:rPr>
          <w:b/>
        </w:rPr>
      </w:pPr>
    </w:p>
    <w:p w14:paraId="2C257EAA" w14:textId="3D3B85E9" w:rsidR="004A2572" w:rsidRPr="00E6110F" w:rsidRDefault="00DC7420" w:rsidP="0003258E">
      <w:pPr>
        <w:pStyle w:val="Body"/>
      </w:pPr>
      <w:r>
        <w:rPr>
          <w:noProof/>
          <w:lang w:val="en-AU" w:eastAsia="en-AU"/>
        </w:rPr>
        <w:drawing>
          <wp:inline distT="0" distB="0" distL="0" distR="0" wp14:anchorId="2F8D16AF" wp14:editId="0B1E2A8A">
            <wp:extent cx="5486400" cy="3200400"/>
            <wp:effectExtent l="0" t="0" r="0" b="0"/>
            <wp:docPr id="629" name="Gubberamunda_PT_CDF_backward_v01.png" descr="Chart of distributions of travel times for the backwards particle tracking analysis." title="Figure 2-75"/>
            <wp:cNvGraphicFramePr/>
            <a:graphic xmlns:a="http://schemas.openxmlformats.org/drawingml/2006/main">
              <a:graphicData uri="http://schemas.openxmlformats.org/drawingml/2006/picture">
                <pic:pic xmlns:pic="http://schemas.openxmlformats.org/drawingml/2006/picture">
                  <pic:nvPicPr>
                    <pic:cNvPr id="629" name="Gubberamunda_PT_CDF_backward_v01.png"/>
                    <pic:cNvPicPr/>
                  </pic:nvPicPr>
                  <pic:blipFill>
                    <a:blip r:embed="rId117" cstate="email">
                      <a:extLst>
                        <a:ext uri="{28A0092B-C50C-407E-A947-70E740481C1C}">
                          <a14:useLocalDpi xmlns:a14="http://schemas.microsoft.com/office/drawing/2010/main"/>
                        </a:ext>
                      </a:extLst>
                    </a:blip>
                    <a:stretch>
                      <a:fillRect/>
                    </a:stretch>
                  </pic:blipFill>
                  <pic:spPr>
                    <a:xfrm>
                      <a:off x="0" y="0"/>
                      <a:ext cx="5727700" cy="4295775"/>
                    </a:xfrm>
                    <a:prstGeom prst="rect">
                      <a:avLst/>
                    </a:prstGeom>
                  </pic:spPr>
                </pic:pic>
              </a:graphicData>
            </a:graphic>
          </wp:inline>
        </w:drawing>
      </w:r>
      <w:r w:rsidR="004A2572" w:rsidRPr="00E6110F">
        <w:t xml:space="preserve"> </w:t>
      </w:r>
    </w:p>
    <w:p w14:paraId="35791088" w14:textId="6E2F1C6E" w:rsidR="004A2572" w:rsidRPr="00E6110F" w:rsidRDefault="00EA3AC5" w:rsidP="00EA3AC5">
      <w:pPr>
        <w:pStyle w:val="Imagecaption"/>
      </w:pPr>
      <w:bookmarkStart w:id="353" w:name="_Ref454476025"/>
      <w:bookmarkStart w:id="354" w:name="_Toc477347607"/>
      <w:r>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75</w:t>
      </w:r>
      <w:r w:rsidR="00254026">
        <w:fldChar w:fldCharType="end"/>
      </w:r>
      <w:bookmarkEnd w:id="353"/>
      <w:r>
        <w:t xml:space="preserve"> </w:t>
      </w:r>
      <w:r w:rsidR="004A2572" w:rsidRPr="00E6110F">
        <w:t>Distribution of travel times for the backward particle tracking analysis</w:t>
      </w:r>
      <w:r w:rsidR="00962539">
        <w:t>.</w:t>
      </w:r>
      <w:bookmarkEnd w:id="354"/>
    </w:p>
    <w:p w14:paraId="007C03E8" w14:textId="77777777" w:rsidR="004A2572" w:rsidRPr="00E6110F" w:rsidRDefault="004A2572" w:rsidP="004A2572">
      <w:pPr>
        <w:rPr>
          <w:lang w:val="en-GB"/>
        </w:rPr>
      </w:pPr>
    </w:p>
    <w:p w14:paraId="679ACC14" w14:textId="00E0953D" w:rsidR="004A2572" w:rsidRPr="00DA539C" w:rsidRDefault="00EA3AC5" w:rsidP="00DA539C">
      <w:pPr>
        <w:pStyle w:val="Imagecaption"/>
        <w:keepNext/>
        <w:pBdr>
          <w:top w:val="none" w:sz="0" w:space="0" w:color="auto"/>
        </w:pBdr>
      </w:pPr>
      <w:bookmarkStart w:id="355" w:name="_Ref454476026"/>
      <w:bookmarkStart w:id="356" w:name="_Toc494444717"/>
      <w:r>
        <w:t xml:space="preserve">Table </w:t>
      </w:r>
      <w:r w:rsidR="00470577">
        <w:fldChar w:fldCharType="begin" w:fldLock="1"/>
      </w:r>
      <w:r w:rsidR="00470577">
        <w:instrText xml:space="preserve"> STYLEREF 1 \s </w:instrText>
      </w:r>
      <w:r w:rsidR="00470577">
        <w:fldChar w:fldCharType="separate"/>
      </w:r>
      <w:r w:rsidR="00335E79">
        <w:rPr>
          <w:noProof/>
        </w:rPr>
        <w:t>2</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27</w:t>
      </w:r>
      <w:r w:rsidR="00470577">
        <w:fldChar w:fldCharType="end"/>
      </w:r>
      <w:bookmarkEnd w:id="355"/>
      <w:r>
        <w:t xml:space="preserve"> </w:t>
      </w:r>
      <w:r w:rsidR="004A2572" w:rsidRPr="00E6110F">
        <w:t>Travel time and distance statistics for the backward particle tracking</w:t>
      </w:r>
      <w:r w:rsidR="00B607A7">
        <w:t xml:space="preserve"> for particles released in the Gubberamunda Sandstone.</w:t>
      </w:r>
      <w:bookmarkEnd w:id="356"/>
    </w:p>
    <w:tbl>
      <w:tblPr>
        <w:tblStyle w:val="TableGrid"/>
        <w:tblW w:w="0" w:type="auto"/>
        <w:tblLook w:val="04A0" w:firstRow="1" w:lastRow="0" w:firstColumn="1" w:lastColumn="0" w:noHBand="0" w:noVBand="1"/>
      </w:tblPr>
      <w:tblGrid>
        <w:gridCol w:w="1625"/>
        <w:gridCol w:w="2299"/>
        <w:gridCol w:w="2564"/>
        <w:gridCol w:w="2522"/>
      </w:tblGrid>
      <w:tr w:rsidR="005E2337" w14:paraId="0DE8E7E8" w14:textId="3FF6A8FA" w:rsidTr="005E2337">
        <w:tc>
          <w:tcPr>
            <w:tcW w:w="162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8EECFB4" w14:textId="77777777" w:rsidR="005E2337" w:rsidRDefault="005E2337" w:rsidP="0087029C">
            <w:pPr>
              <w:pStyle w:val="Body"/>
            </w:pPr>
            <w:r>
              <w:t>Travel time class #</w:t>
            </w:r>
          </w:p>
        </w:tc>
        <w:tc>
          <w:tcPr>
            <w:tcW w:w="229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CA2F1EC" w14:textId="77777777" w:rsidR="005E2337" w:rsidRDefault="005E2337" w:rsidP="0087029C">
            <w:pPr>
              <w:pStyle w:val="Body"/>
            </w:pPr>
            <w:r>
              <w:t xml:space="preserve">Travel time </w:t>
            </w:r>
          </w:p>
        </w:tc>
        <w:tc>
          <w:tcPr>
            <w:tcW w:w="2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227DA27" w14:textId="77777777" w:rsidR="005E2337" w:rsidRDefault="005E2337" w:rsidP="0087029C">
            <w:pPr>
              <w:pStyle w:val="Body"/>
            </w:pPr>
            <w:r>
              <w:t>Particle travel distance (km)</w:t>
            </w:r>
          </w:p>
        </w:tc>
        <w:tc>
          <w:tcPr>
            <w:tcW w:w="252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4BD5450" w14:textId="6A6DA39F" w:rsidR="005E2337" w:rsidRDefault="005E2337" w:rsidP="0087029C">
            <w:pPr>
              <w:pStyle w:val="Body"/>
            </w:pPr>
            <w:r>
              <w:t>Particle velocity (m/day)</w:t>
            </w:r>
          </w:p>
        </w:tc>
      </w:tr>
      <w:tr w:rsidR="005E2337" w14:paraId="758A19FD" w14:textId="1E586492" w:rsidTr="005E2337">
        <w:tc>
          <w:tcPr>
            <w:tcW w:w="1625" w:type="dxa"/>
            <w:tcBorders>
              <w:top w:val="single" w:sz="4" w:space="0" w:color="auto"/>
              <w:left w:val="single" w:sz="4" w:space="0" w:color="auto"/>
              <w:bottom w:val="single" w:sz="4" w:space="0" w:color="auto"/>
              <w:right w:val="single" w:sz="4" w:space="0" w:color="auto"/>
            </w:tcBorders>
            <w:hideMark/>
          </w:tcPr>
          <w:p w14:paraId="3B156BAD" w14:textId="77777777" w:rsidR="005E2337" w:rsidRDefault="005E2337" w:rsidP="0087029C">
            <w:pPr>
              <w:pStyle w:val="Body"/>
            </w:pPr>
            <w:r>
              <w:t>1</w:t>
            </w:r>
          </w:p>
        </w:tc>
        <w:tc>
          <w:tcPr>
            <w:tcW w:w="2299" w:type="dxa"/>
            <w:tcBorders>
              <w:top w:val="single" w:sz="4" w:space="0" w:color="auto"/>
              <w:left w:val="single" w:sz="4" w:space="0" w:color="auto"/>
              <w:bottom w:val="single" w:sz="4" w:space="0" w:color="auto"/>
              <w:right w:val="single" w:sz="4" w:space="0" w:color="auto"/>
            </w:tcBorders>
            <w:hideMark/>
          </w:tcPr>
          <w:p w14:paraId="3FD08EC2" w14:textId="77777777" w:rsidR="005E2337" w:rsidRDefault="005E2337" w:rsidP="0087029C">
            <w:pPr>
              <w:pStyle w:val="Body"/>
            </w:pPr>
            <w:r>
              <w:rPr>
                <w:i/>
              </w:rPr>
              <w:t>t</w:t>
            </w:r>
            <w:r>
              <w:t xml:space="preserve"> &lt; 100 year</w:t>
            </w:r>
          </w:p>
        </w:tc>
        <w:tc>
          <w:tcPr>
            <w:tcW w:w="2564" w:type="dxa"/>
            <w:tcBorders>
              <w:top w:val="single" w:sz="4" w:space="0" w:color="auto"/>
              <w:left w:val="single" w:sz="4" w:space="0" w:color="auto"/>
              <w:bottom w:val="single" w:sz="4" w:space="0" w:color="auto"/>
              <w:right w:val="single" w:sz="4" w:space="0" w:color="auto"/>
            </w:tcBorders>
            <w:hideMark/>
          </w:tcPr>
          <w:p w14:paraId="3F018A2F" w14:textId="77777777" w:rsidR="005E2337" w:rsidRDefault="005E2337" w:rsidP="0087029C">
            <w:pPr>
              <w:pStyle w:val="Body"/>
            </w:pPr>
            <w:r>
              <w:t>Mean: 0.00</w:t>
            </w:r>
          </w:p>
          <w:p w14:paraId="5F8C2CFC" w14:textId="7BADA612" w:rsidR="00B91B81" w:rsidRDefault="00B91B81" w:rsidP="0087029C">
            <w:pPr>
              <w:pStyle w:val="Body"/>
            </w:pPr>
            <w:r>
              <w:t>Min: 0.0</w:t>
            </w:r>
          </w:p>
          <w:p w14:paraId="1FA6B842" w14:textId="4FC8F98C" w:rsidR="00B91B81" w:rsidRDefault="00B91B81" w:rsidP="0087029C">
            <w:pPr>
              <w:pStyle w:val="Body"/>
            </w:pPr>
            <w:r>
              <w:t>Max: 0.0</w:t>
            </w:r>
          </w:p>
          <w:p w14:paraId="391F0185" w14:textId="77777777" w:rsidR="005E2337" w:rsidRDefault="005E2337" w:rsidP="0087029C">
            <w:pPr>
              <w:pStyle w:val="Body"/>
            </w:pPr>
            <w:r>
              <w:t>Stdev: 0.00</w:t>
            </w:r>
          </w:p>
        </w:tc>
        <w:tc>
          <w:tcPr>
            <w:tcW w:w="2522" w:type="dxa"/>
            <w:tcBorders>
              <w:top w:val="single" w:sz="4" w:space="0" w:color="auto"/>
              <w:left w:val="single" w:sz="4" w:space="0" w:color="auto"/>
              <w:bottom w:val="single" w:sz="4" w:space="0" w:color="auto"/>
              <w:right w:val="single" w:sz="4" w:space="0" w:color="auto"/>
            </w:tcBorders>
          </w:tcPr>
          <w:p w14:paraId="3EE0C316" w14:textId="74C002AA" w:rsidR="005E2337" w:rsidRDefault="005E2337" w:rsidP="005E2337">
            <w:pPr>
              <w:pStyle w:val="Body"/>
            </w:pPr>
            <w:r>
              <w:t xml:space="preserve">Mean: </w:t>
            </w:r>
            <w:r w:rsidR="009B5D66">
              <w:t>0</w:t>
            </w:r>
          </w:p>
          <w:p w14:paraId="43C20317" w14:textId="05333397" w:rsidR="005E2337" w:rsidRDefault="005E2337" w:rsidP="0087029C">
            <w:pPr>
              <w:pStyle w:val="Body"/>
            </w:pPr>
            <w:r>
              <w:t xml:space="preserve">Min: </w:t>
            </w:r>
            <w:r w:rsidR="009B5D66">
              <w:t>0</w:t>
            </w:r>
          </w:p>
          <w:p w14:paraId="089EF5DE" w14:textId="184ED6D7" w:rsidR="005E2337" w:rsidRDefault="005E2337" w:rsidP="0087029C">
            <w:pPr>
              <w:pStyle w:val="Body"/>
            </w:pPr>
            <w:r>
              <w:t xml:space="preserve">Max: </w:t>
            </w:r>
            <w:r w:rsidR="009B5D66">
              <w:t>0</w:t>
            </w:r>
          </w:p>
          <w:p w14:paraId="4016F0E8" w14:textId="2394A550" w:rsidR="005E2337" w:rsidRDefault="005E2337" w:rsidP="009B5D66">
            <w:pPr>
              <w:pStyle w:val="Body"/>
            </w:pPr>
            <w:r>
              <w:t xml:space="preserve">Stdev: </w:t>
            </w:r>
            <w:r w:rsidR="009B5D66">
              <w:t>0</w:t>
            </w:r>
          </w:p>
        </w:tc>
      </w:tr>
      <w:tr w:rsidR="005E2337" w14:paraId="6A811A2D" w14:textId="4B24D324" w:rsidTr="005E2337">
        <w:tc>
          <w:tcPr>
            <w:tcW w:w="1625" w:type="dxa"/>
            <w:tcBorders>
              <w:top w:val="single" w:sz="4" w:space="0" w:color="auto"/>
              <w:left w:val="single" w:sz="4" w:space="0" w:color="auto"/>
              <w:bottom w:val="single" w:sz="4" w:space="0" w:color="auto"/>
              <w:right w:val="single" w:sz="4" w:space="0" w:color="auto"/>
            </w:tcBorders>
            <w:hideMark/>
          </w:tcPr>
          <w:p w14:paraId="4E13F479" w14:textId="59F7875A" w:rsidR="005E2337" w:rsidRDefault="005E2337" w:rsidP="0087029C">
            <w:pPr>
              <w:pStyle w:val="Body"/>
            </w:pPr>
            <w:r>
              <w:t>2</w:t>
            </w:r>
          </w:p>
        </w:tc>
        <w:tc>
          <w:tcPr>
            <w:tcW w:w="2299" w:type="dxa"/>
            <w:tcBorders>
              <w:top w:val="single" w:sz="4" w:space="0" w:color="auto"/>
              <w:left w:val="single" w:sz="4" w:space="0" w:color="auto"/>
              <w:bottom w:val="single" w:sz="4" w:space="0" w:color="auto"/>
              <w:right w:val="single" w:sz="4" w:space="0" w:color="auto"/>
            </w:tcBorders>
            <w:hideMark/>
          </w:tcPr>
          <w:p w14:paraId="6E969FA5" w14:textId="77777777" w:rsidR="005E2337" w:rsidRDefault="005E2337" w:rsidP="0087029C">
            <w:pPr>
              <w:pStyle w:val="Body"/>
            </w:pPr>
            <w:r>
              <w:t xml:space="preserve">100 &lt; </w:t>
            </w:r>
            <w:r>
              <w:rPr>
                <w:i/>
              </w:rPr>
              <w:t>t</w:t>
            </w:r>
            <w:r>
              <w:t xml:space="preserve"> &lt; 1,000 year</w:t>
            </w:r>
          </w:p>
        </w:tc>
        <w:tc>
          <w:tcPr>
            <w:tcW w:w="2564" w:type="dxa"/>
            <w:tcBorders>
              <w:top w:val="single" w:sz="4" w:space="0" w:color="auto"/>
              <w:left w:val="single" w:sz="4" w:space="0" w:color="auto"/>
              <w:bottom w:val="single" w:sz="4" w:space="0" w:color="auto"/>
              <w:right w:val="single" w:sz="4" w:space="0" w:color="auto"/>
            </w:tcBorders>
            <w:hideMark/>
          </w:tcPr>
          <w:p w14:paraId="2377670B" w14:textId="77777777" w:rsidR="005E2337" w:rsidRDefault="005E2337" w:rsidP="0087029C">
            <w:pPr>
              <w:pStyle w:val="Body"/>
            </w:pPr>
            <w:r>
              <w:t>Mean: 0.09</w:t>
            </w:r>
          </w:p>
          <w:p w14:paraId="36B8CC44" w14:textId="77777777" w:rsidR="005E2337" w:rsidRDefault="005E2337" w:rsidP="0087029C">
            <w:pPr>
              <w:pStyle w:val="Body"/>
            </w:pPr>
            <w:r>
              <w:t>Stdev: 0.08</w:t>
            </w:r>
          </w:p>
        </w:tc>
        <w:tc>
          <w:tcPr>
            <w:tcW w:w="2522" w:type="dxa"/>
            <w:tcBorders>
              <w:top w:val="single" w:sz="4" w:space="0" w:color="auto"/>
              <w:left w:val="single" w:sz="4" w:space="0" w:color="auto"/>
              <w:bottom w:val="single" w:sz="4" w:space="0" w:color="auto"/>
              <w:right w:val="single" w:sz="4" w:space="0" w:color="auto"/>
            </w:tcBorders>
          </w:tcPr>
          <w:p w14:paraId="447B8EF8" w14:textId="6EB2060C" w:rsidR="005E2337" w:rsidRDefault="005E2337" w:rsidP="005E2337">
            <w:pPr>
              <w:pStyle w:val="Body"/>
            </w:pPr>
            <w:r>
              <w:t>Mean:</w:t>
            </w:r>
            <w:r w:rsidR="00B91B81">
              <w:t xml:space="preserve"> </w:t>
            </w:r>
            <w:r w:rsidR="009B5D66">
              <w:t>6.13E-04</w:t>
            </w:r>
          </w:p>
          <w:p w14:paraId="53289895" w14:textId="2817F541" w:rsidR="005E2337" w:rsidRDefault="005E2337" w:rsidP="005E2337">
            <w:pPr>
              <w:pStyle w:val="Body"/>
            </w:pPr>
            <w:r>
              <w:t xml:space="preserve">Min: </w:t>
            </w:r>
            <w:r w:rsidR="009B5D66">
              <w:t>6.08E-05</w:t>
            </w:r>
          </w:p>
          <w:p w14:paraId="577279D3" w14:textId="6E27FEFD" w:rsidR="005E2337" w:rsidRDefault="005E2337" w:rsidP="005E2337">
            <w:pPr>
              <w:pStyle w:val="Body"/>
            </w:pPr>
            <w:r>
              <w:t>Max:</w:t>
            </w:r>
            <w:r w:rsidR="009B5D66">
              <w:t xml:space="preserve"> 1.19E-03</w:t>
            </w:r>
          </w:p>
          <w:p w14:paraId="5EC4E444" w14:textId="5C825CFA" w:rsidR="005E2337" w:rsidRDefault="005E2337" w:rsidP="005E2337">
            <w:pPr>
              <w:pStyle w:val="Body"/>
            </w:pPr>
            <w:r>
              <w:t>Stdev:</w:t>
            </w:r>
            <w:r w:rsidR="009B5D66">
              <w:t xml:space="preserve"> 4.89E-04</w:t>
            </w:r>
          </w:p>
        </w:tc>
      </w:tr>
      <w:tr w:rsidR="005E2337" w14:paraId="22CB9847" w14:textId="4275FCE3" w:rsidTr="005E2337">
        <w:tc>
          <w:tcPr>
            <w:tcW w:w="1625" w:type="dxa"/>
            <w:tcBorders>
              <w:top w:val="single" w:sz="4" w:space="0" w:color="auto"/>
              <w:left w:val="single" w:sz="4" w:space="0" w:color="auto"/>
              <w:bottom w:val="single" w:sz="4" w:space="0" w:color="auto"/>
              <w:right w:val="single" w:sz="4" w:space="0" w:color="auto"/>
            </w:tcBorders>
            <w:hideMark/>
          </w:tcPr>
          <w:p w14:paraId="75D62981" w14:textId="77777777" w:rsidR="005E2337" w:rsidRDefault="005E2337" w:rsidP="0087029C">
            <w:pPr>
              <w:pStyle w:val="Body"/>
            </w:pPr>
            <w:r>
              <w:t>3</w:t>
            </w:r>
          </w:p>
        </w:tc>
        <w:tc>
          <w:tcPr>
            <w:tcW w:w="2299" w:type="dxa"/>
            <w:tcBorders>
              <w:top w:val="single" w:sz="4" w:space="0" w:color="auto"/>
              <w:left w:val="single" w:sz="4" w:space="0" w:color="auto"/>
              <w:bottom w:val="single" w:sz="4" w:space="0" w:color="auto"/>
              <w:right w:val="single" w:sz="4" w:space="0" w:color="auto"/>
            </w:tcBorders>
            <w:hideMark/>
          </w:tcPr>
          <w:p w14:paraId="34032F0D" w14:textId="77777777" w:rsidR="005E2337" w:rsidRDefault="005E2337" w:rsidP="0087029C">
            <w:pPr>
              <w:pStyle w:val="Body"/>
            </w:pPr>
            <w:r>
              <w:t xml:space="preserve">1000 &lt; </w:t>
            </w:r>
            <w:r>
              <w:rPr>
                <w:i/>
              </w:rPr>
              <w:t>t</w:t>
            </w:r>
            <w:r>
              <w:t xml:space="preserve"> &lt; 10,000 year</w:t>
            </w:r>
          </w:p>
        </w:tc>
        <w:tc>
          <w:tcPr>
            <w:tcW w:w="2564" w:type="dxa"/>
            <w:tcBorders>
              <w:top w:val="single" w:sz="4" w:space="0" w:color="auto"/>
              <w:left w:val="single" w:sz="4" w:space="0" w:color="auto"/>
              <w:bottom w:val="single" w:sz="4" w:space="0" w:color="auto"/>
              <w:right w:val="single" w:sz="4" w:space="0" w:color="auto"/>
            </w:tcBorders>
            <w:hideMark/>
          </w:tcPr>
          <w:p w14:paraId="7930E2DB" w14:textId="77777777" w:rsidR="005E2337" w:rsidRDefault="005E2337" w:rsidP="0087029C">
            <w:pPr>
              <w:pStyle w:val="Body"/>
            </w:pPr>
            <w:r>
              <w:t>Mean: 0.87</w:t>
            </w:r>
          </w:p>
          <w:p w14:paraId="637BE34B" w14:textId="77777777" w:rsidR="005E2337" w:rsidRDefault="005E2337" w:rsidP="0087029C">
            <w:pPr>
              <w:pStyle w:val="Body"/>
            </w:pPr>
            <w:r>
              <w:t>Stdev: 1.25</w:t>
            </w:r>
          </w:p>
        </w:tc>
        <w:tc>
          <w:tcPr>
            <w:tcW w:w="2522" w:type="dxa"/>
            <w:tcBorders>
              <w:top w:val="single" w:sz="4" w:space="0" w:color="auto"/>
              <w:left w:val="single" w:sz="4" w:space="0" w:color="auto"/>
              <w:bottom w:val="single" w:sz="4" w:space="0" w:color="auto"/>
              <w:right w:val="single" w:sz="4" w:space="0" w:color="auto"/>
            </w:tcBorders>
          </w:tcPr>
          <w:p w14:paraId="06DA519F" w14:textId="1035CBCC" w:rsidR="005E2337" w:rsidRDefault="005E2337" w:rsidP="005E2337">
            <w:pPr>
              <w:pStyle w:val="Body"/>
            </w:pPr>
            <w:r>
              <w:t>Mean:</w:t>
            </w:r>
            <w:r w:rsidR="009B5D66">
              <w:t xml:space="preserve"> 8.57E-04</w:t>
            </w:r>
          </w:p>
          <w:p w14:paraId="0079FF2E" w14:textId="7AD816F0" w:rsidR="005E2337" w:rsidRDefault="005E2337" w:rsidP="005E2337">
            <w:pPr>
              <w:pStyle w:val="Body"/>
            </w:pPr>
            <w:r>
              <w:t xml:space="preserve">Min: </w:t>
            </w:r>
            <w:r w:rsidR="009B5D66">
              <w:t>1.77E-04</w:t>
            </w:r>
          </w:p>
          <w:p w14:paraId="633F46F3" w14:textId="4EF5007B" w:rsidR="005E2337" w:rsidRDefault="005E2337" w:rsidP="005E2337">
            <w:pPr>
              <w:pStyle w:val="Body"/>
            </w:pPr>
            <w:r>
              <w:t>Max:</w:t>
            </w:r>
            <w:r w:rsidR="009B5D66">
              <w:t xml:space="preserve"> 2.14E-03</w:t>
            </w:r>
          </w:p>
          <w:p w14:paraId="437377CB" w14:textId="28203BF0" w:rsidR="005E2337" w:rsidRDefault="005E2337" w:rsidP="005E2337">
            <w:pPr>
              <w:pStyle w:val="Body"/>
            </w:pPr>
            <w:r>
              <w:t>Stdev:</w:t>
            </w:r>
            <w:r w:rsidR="009B5D66">
              <w:t xml:space="preserve"> 5.83E-04</w:t>
            </w:r>
          </w:p>
        </w:tc>
      </w:tr>
      <w:tr w:rsidR="005E2337" w14:paraId="1DB77C7D" w14:textId="3FC76CBB" w:rsidTr="005E2337">
        <w:tc>
          <w:tcPr>
            <w:tcW w:w="1625" w:type="dxa"/>
            <w:tcBorders>
              <w:top w:val="single" w:sz="4" w:space="0" w:color="auto"/>
              <w:left w:val="single" w:sz="4" w:space="0" w:color="auto"/>
              <w:bottom w:val="single" w:sz="4" w:space="0" w:color="auto"/>
              <w:right w:val="single" w:sz="4" w:space="0" w:color="auto"/>
            </w:tcBorders>
            <w:hideMark/>
          </w:tcPr>
          <w:p w14:paraId="779DA213" w14:textId="77777777" w:rsidR="005E2337" w:rsidRDefault="005E2337" w:rsidP="0087029C">
            <w:pPr>
              <w:pStyle w:val="Body"/>
            </w:pPr>
            <w:r>
              <w:t>4</w:t>
            </w:r>
          </w:p>
        </w:tc>
        <w:tc>
          <w:tcPr>
            <w:tcW w:w="2299" w:type="dxa"/>
            <w:tcBorders>
              <w:top w:val="single" w:sz="4" w:space="0" w:color="auto"/>
              <w:left w:val="single" w:sz="4" w:space="0" w:color="auto"/>
              <w:bottom w:val="single" w:sz="4" w:space="0" w:color="auto"/>
              <w:right w:val="single" w:sz="4" w:space="0" w:color="auto"/>
            </w:tcBorders>
            <w:hideMark/>
          </w:tcPr>
          <w:p w14:paraId="755F9B46" w14:textId="77777777" w:rsidR="005E2337" w:rsidRDefault="005E2337" w:rsidP="0087029C">
            <w:pPr>
              <w:pStyle w:val="Body"/>
            </w:pPr>
            <w:r>
              <w:t xml:space="preserve">10,000 &lt; </w:t>
            </w:r>
            <w:r>
              <w:rPr>
                <w:i/>
              </w:rPr>
              <w:t>t</w:t>
            </w:r>
            <w:r>
              <w:t xml:space="preserve"> &lt; 100,000 year</w:t>
            </w:r>
          </w:p>
        </w:tc>
        <w:tc>
          <w:tcPr>
            <w:tcW w:w="2564" w:type="dxa"/>
            <w:tcBorders>
              <w:top w:val="single" w:sz="4" w:space="0" w:color="auto"/>
              <w:left w:val="single" w:sz="4" w:space="0" w:color="auto"/>
              <w:bottom w:val="single" w:sz="4" w:space="0" w:color="auto"/>
              <w:right w:val="single" w:sz="4" w:space="0" w:color="auto"/>
            </w:tcBorders>
            <w:hideMark/>
          </w:tcPr>
          <w:p w14:paraId="6FD4CDAE" w14:textId="77777777" w:rsidR="005E2337" w:rsidRDefault="005E2337" w:rsidP="0087029C">
            <w:pPr>
              <w:pStyle w:val="Body"/>
            </w:pPr>
            <w:r>
              <w:t>Mean: 3.70</w:t>
            </w:r>
          </w:p>
          <w:p w14:paraId="51E372C9" w14:textId="77777777" w:rsidR="005E2337" w:rsidRDefault="005E2337" w:rsidP="0087029C">
            <w:pPr>
              <w:pStyle w:val="Body"/>
            </w:pPr>
            <w:r>
              <w:t>Stdev: 1.80</w:t>
            </w:r>
          </w:p>
        </w:tc>
        <w:tc>
          <w:tcPr>
            <w:tcW w:w="2522" w:type="dxa"/>
            <w:tcBorders>
              <w:top w:val="single" w:sz="4" w:space="0" w:color="auto"/>
              <w:left w:val="single" w:sz="4" w:space="0" w:color="auto"/>
              <w:bottom w:val="single" w:sz="4" w:space="0" w:color="auto"/>
              <w:right w:val="single" w:sz="4" w:space="0" w:color="auto"/>
            </w:tcBorders>
          </w:tcPr>
          <w:p w14:paraId="2B2B71DC" w14:textId="77A82413" w:rsidR="005E2337" w:rsidRDefault="005E2337" w:rsidP="005E2337">
            <w:pPr>
              <w:pStyle w:val="Body"/>
            </w:pPr>
            <w:r>
              <w:t>Mean:</w:t>
            </w:r>
            <w:r w:rsidR="009B5D66">
              <w:t xml:space="preserve"> 3.71E-04</w:t>
            </w:r>
          </w:p>
          <w:p w14:paraId="3CBBDF96" w14:textId="087CEE75" w:rsidR="005E2337" w:rsidRDefault="005E2337" w:rsidP="005E2337">
            <w:pPr>
              <w:pStyle w:val="Body"/>
            </w:pPr>
            <w:r>
              <w:t xml:space="preserve">Min: </w:t>
            </w:r>
            <w:r w:rsidR="009B5D66">
              <w:t>3.86E-06</w:t>
            </w:r>
          </w:p>
          <w:p w14:paraId="0E7D4F18" w14:textId="3BD4B43A" w:rsidR="005E2337" w:rsidRDefault="005E2337" w:rsidP="005E2337">
            <w:pPr>
              <w:pStyle w:val="Body"/>
            </w:pPr>
            <w:r>
              <w:t>Max:</w:t>
            </w:r>
            <w:r w:rsidR="009B5D66">
              <w:t xml:space="preserve"> 7.91E-04</w:t>
            </w:r>
          </w:p>
          <w:p w14:paraId="60A30E6F" w14:textId="6A12F7F9" w:rsidR="005E2337" w:rsidRDefault="005E2337" w:rsidP="005E2337">
            <w:pPr>
              <w:pStyle w:val="Body"/>
            </w:pPr>
            <w:r>
              <w:t>Stdev:</w:t>
            </w:r>
            <w:r w:rsidR="009B5D66">
              <w:t xml:space="preserve"> 1.69E-04</w:t>
            </w:r>
          </w:p>
        </w:tc>
      </w:tr>
    </w:tbl>
    <w:p w14:paraId="25180128" w14:textId="77777777" w:rsidR="00D72D97" w:rsidRDefault="00D72D97" w:rsidP="00965FCE">
      <w:pPr>
        <w:pStyle w:val="Body"/>
      </w:pPr>
    </w:p>
    <w:p w14:paraId="24F11EE5" w14:textId="77777777" w:rsidR="00D72D97" w:rsidRDefault="00D72D97" w:rsidP="00965FCE">
      <w:pPr>
        <w:pStyle w:val="Body"/>
      </w:pPr>
    </w:p>
    <w:p w14:paraId="72BD3A35" w14:textId="015575FA" w:rsidR="00860584" w:rsidRDefault="00965FCE" w:rsidP="00965FCE">
      <w:pPr>
        <w:pStyle w:val="Body"/>
      </w:pPr>
      <w:r w:rsidRPr="00965FCE">
        <w:t>A s</w:t>
      </w:r>
      <w:r>
        <w:t xml:space="preserve">econd backward tracking analysis was undertaken by considering only receptors (i.e. water bores) within the Walloon Coal Measures. Particles were released within the Walloon Coal Measures at the location of the water bores and their pathway recorded. As is evident from </w:t>
      </w:r>
      <w:r>
        <w:fldChar w:fldCharType="begin" w:fldLock="1"/>
      </w:r>
      <w:r>
        <w:instrText xml:space="preserve"> REF _Ref467684432 \h </w:instrText>
      </w:r>
      <w:r>
        <w:fldChar w:fldCharType="separate"/>
      </w:r>
      <w:r w:rsidR="00335E79">
        <w:t xml:space="preserve">Figure </w:t>
      </w:r>
      <w:r w:rsidR="00335E79">
        <w:rPr>
          <w:noProof/>
        </w:rPr>
        <w:t>2</w:t>
      </w:r>
      <w:r w:rsidR="00335E79">
        <w:noBreakHyphen/>
      </w:r>
      <w:r w:rsidR="00335E79">
        <w:rPr>
          <w:noProof/>
        </w:rPr>
        <w:t>77</w:t>
      </w:r>
      <w:r>
        <w:fldChar w:fldCharType="end"/>
      </w:r>
      <w:r>
        <w:t>, none of the pathlines is connect with any of the CSG wells. In other words, the CSG wells are hydraulically disconnected from the water bores such that it becomes very unlikely that any chemicals potential</w:t>
      </w:r>
      <w:r w:rsidR="00C00400">
        <w:t>ly</w:t>
      </w:r>
      <w:r>
        <w:t xml:space="preserve"> released from the CSG wells will flow into these water bores. </w:t>
      </w:r>
      <w:r w:rsidR="00154C39">
        <w:t>Furthermore, the groundwater velocity is very small; based on the particle travel time and distance output, the statistics of the pore-water velocity are as follows: minimum = 9.5×10</w:t>
      </w:r>
      <w:r w:rsidR="00154C39" w:rsidRPr="00154C39">
        <w:rPr>
          <w:vertAlign w:val="superscript"/>
        </w:rPr>
        <w:t>-5</w:t>
      </w:r>
      <w:r w:rsidR="00154C39">
        <w:t xml:space="preserve"> m/d, mean = 4.6×10</w:t>
      </w:r>
      <w:r w:rsidR="00154C39" w:rsidRPr="00154C39">
        <w:rPr>
          <w:vertAlign w:val="superscript"/>
        </w:rPr>
        <w:t>-4</w:t>
      </w:r>
      <w:r w:rsidR="00154C39">
        <w:t xml:space="preserve"> m/d, maximum = 5.4×10</w:t>
      </w:r>
      <w:r w:rsidR="00154C39" w:rsidRPr="00154C39">
        <w:rPr>
          <w:vertAlign w:val="superscript"/>
        </w:rPr>
        <w:t>-3</w:t>
      </w:r>
      <w:r w:rsidR="00154C39">
        <w:t xml:space="preserve"> m/d and standard deviation = 9.4×10</w:t>
      </w:r>
      <w:r w:rsidR="00154C39" w:rsidRPr="00154C39">
        <w:rPr>
          <w:vertAlign w:val="superscript"/>
        </w:rPr>
        <w:t>-4</w:t>
      </w:r>
      <w:r w:rsidR="00154C39">
        <w:t xml:space="preserve"> m/d.</w:t>
      </w:r>
      <w:r w:rsidR="009B5D66">
        <w:t xml:space="preserve"> the mean velocity of 4.6×10</w:t>
      </w:r>
      <w:r w:rsidR="009B5D66" w:rsidRPr="00154C39">
        <w:rPr>
          <w:vertAlign w:val="superscript"/>
        </w:rPr>
        <w:t>-4</w:t>
      </w:r>
      <w:r w:rsidR="009B5D66">
        <w:t xml:space="preserve"> m/d falls within the range of mean values derived for the Gubberamunda aquifer (i.e. from 6.13×10</w:t>
      </w:r>
      <w:r w:rsidR="009B5D66" w:rsidRPr="00154C39">
        <w:rPr>
          <w:vertAlign w:val="superscript"/>
        </w:rPr>
        <w:t>-4</w:t>
      </w:r>
      <w:r w:rsidR="009B5D66">
        <w:t xml:space="preserve"> m/d – 3.71×10</w:t>
      </w:r>
      <w:r w:rsidR="009B5D66" w:rsidRPr="00154C39">
        <w:rPr>
          <w:vertAlign w:val="superscript"/>
        </w:rPr>
        <w:t>-4</w:t>
      </w:r>
      <w:r w:rsidR="009B5D66">
        <w:t xml:space="preserve"> m/d) (</w:t>
      </w:r>
      <w:r w:rsidR="009B5D66">
        <w:fldChar w:fldCharType="begin" w:fldLock="1"/>
      </w:r>
      <w:r w:rsidR="009B5D66">
        <w:instrText xml:space="preserve"> REF _Ref454476026 \h </w:instrText>
      </w:r>
      <w:r w:rsidR="009B5D66">
        <w:fldChar w:fldCharType="separate"/>
      </w:r>
      <w:r w:rsidR="00335E79">
        <w:t xml:space="preserve">Table </w:t>
      </w:r>
      <w:r w:rsidR="00335E79">
        <w:rPr>
          <w:noProof/>
        </w:rPr>
        <w:t>2</w:t>
      </w:r>
      <w:r w:rsidR="00335E79">
        <w:noBreakHyphen/>
      </w:r>
      <w:r w:rsidR="00335E79">
        <w:rPr>
          <w:noProof/>
        </w:rPr>
        <w:t>27</w:t>
      </w:r>
      <w:r w:rsidR="009B5D66">
        <w:fldChar w:fldCharType="end"/>
      </w:r>
      <w:r w:rsidR="009B5D66">
        <w:t>).</w:t>
      </w:r>
    </w:p>
    <w:p w14:paraId="5E21AA57" w14:textId="77777777" w:rsidR="00154C39" w:rsidRPr="00965FCE" w:rsidRDefault="00154C39" w:rsidP="00965FCE">
      <w:pPr>
        <w:pStyle w:val="Body"/>
      </w:pPr>
    </w:p>
    <w:p w14:paraId="232F775E" w14:textId="4F838550" w:rsidR="00EA3AC5" w:rsidRDefault="00A94455" w:rsidP="004A2572">
      <w:pPr>
        <w:pStyle w:val="Body"/>
        <w:rPr>
          <w:color w:val="00AEEF"/>
          <w:sz w:val="30"/>
          <w:szCs w:val="30"/>
        </w:rPr>
      </w:pPr>
      <w:r w:rsidRPr="00A94455">
        <w:rPr>
          <w:noProof/>
          <w:lang w:val="en-AU" w:eastAsia="en-AU"/>
        </w:rPr>
        <w:drawing>
          <wp:inline distT="0" distB="0" distL="0" distR="0" wp14:anchorId="125A08E4" wp14:editId="07F064BA">
            <wp:extent cx="5727700" cy="4360231"/>
            <wp:effectExtent l="0" t="0" r="6350" b="2540"/>
            <wp:docPr id="549" name="Picture 549" descr="Map of backwards particle tracks for particles released in the Walloon Coal Measures." title="Fig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727700" cy="4360231"/>
                    </a:xfrm>
                    <a:prstGeom prst="rect">
                      <a:avLst/>
                    </a:prstGeom>
                    <a:noFill/>
                    <a:ln>
                      <a:noFill/>
                    </a:ln>
                  </pic:spPr>
                </pic:pic>
              </a:graphicData>
            </a:graphic>
          </wp:inline>
        </w:drawing>
      </w:r>
    </w:p>
    <w:p w14:paraId="7EEA7175" w14:textId="19807D57" w:rsidR="00965FCE" w:rsidRPr="00965FCE" w:rsidRDefault="00965FCE" w:rsidP="00965FCE">
      <w:pPr>
        <w:pStyle w:val="Imagecaption"/>
      </w:pPr>
      <w:bookmarkStart w:id="357" w:name="_Ref467684432"/>
      <w:bookmarkStart w:id="358" w:name="_Toc477347608"/>
      <w:r>
        <w:t xml:space="preserve">Figure </w:t>
      </w:r>
      <w:r w:rsidR="00254026">
        <w:fldChar w:fldCharType="begin" w:fldLock="1"/>
      </w:r>
      <w:r w:rsidR="00254026">
        <w:instrText xml:space="preserve"> STYLEREF 1 \s </w:instrText>
      </w:r>
      <w:r w:rsidR="00254026">
        <w:fldChar w:fldCharType="separate"/>
      </w:r>
      <w:r w:rsidR="00335E79">
        <w:rPr>
          <w:noProof/>
        </w:rPr>
        <w:t>2</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76</w:t>
      </w:r>
      <w:r w:rsidR="00254026">
        <w:fldChar w:fldCharType="end"/>
      </w:r>
      <w:bookmarkEnd w:id="357"/>
      <w:r>
        <w:t xml:space="preserve"> </w:t>
      </w:r>
      <w:r w:rsidRPr="00E6110F">
        <w:t xml:space="preserve">Backward particle tracks for </w:t>
      </w:r>
      <w:r>
        <w:t xml:space="preserve">particles released within </w:t>
      </w:r>
      <w:r w:rsidRPr="00E6110F">
        <w:t xml:space="preserve">the </w:t>
      </w:r>
      <w:r>
        <w:t>Walloon Coal Measures. Receptors represent water bores.</w:t>
      </w:r>
      <w:bookmarkEnd w:id="358"/>
    </w:p>
    <w:p w14:paraId="31C3B604" w14:textId="3320858D" w:rsidR="00E76C93" w:rsidRPr="002A6599" w:rsidRDefault="002A6599" w:rsidP="002A6599">
      <w:pPr>
        <w:rPr>
          <w:rFonts w:ascii="Calibri-Bold" w:hAnsi="Calibri-Bold" w:cs="Calibri-Bold"/>
          <w:b/>
          <w:bCs/>
          <w:color w:val="00AEEF"/>
          <w:sz w:val="30"/>
          <w:szCs w:val="30"/>
          <w:lang w:val="en-GB"/>
        </w:rPr>
      </w:pPr>
      <w:bookmarkStart w:id="359" w:name="_Ref448859559"/>
      <w:r>
        <w:br w:type="page"/>
      </w:r>
    </w:p>
    <w:bookmarkEnd w:id="283"/>
    <w:bookmarkEnd w:id="350"/>
    <w:bookmarkEnd w:id="359"/>
    <w:p w14:paraId="6B0D7AE3" w14:textId="77777777" w:rsidR="00F356FB" w:rsidRPr="00E6110F" w:rsidRDefault="00F356FB" w:rsidP="00F356FB">
      <w:pPr>
        <w:pStyle w:val="Body"/>
      </w:pPr>
    </w:p>
    <w:p w14:paraId="75394644" w14:textId="2FCD0371" w:rsidR="00E8296A" w:rsidRPr="00E6110F" w:rsidRDefault="00872939" w:rsidP="00A63DFB">
      <w:pPr>
        <w:pStyle w:val="Heading1"/>
        <w:spacing w:line="240" w:lineRule="auto"/>
        <w:ind w:left="357" w:hanging="357"/>
      </w:pPr>
      <w:bookmarkStart w:id="360" w:name="_Ref476571948"/>
      <w:bookmarkStart w:id="361" w:name="_Toc494444548"/>
      <w:r w:rsidRPr="00E6110F">
        <w:t xml:space="preserve">Spatial analyses of CSG extraction activities, hydraulic fracturing operations, and relevant </w:t>
      </w:r>
      <w:r w:rsidR="00681AF6" w:rsidRPr="00E6110F">
        <w:t>assets</w:t>
      </w:r>
      <w:bookmarkEnd w:id="360"/>
      <w:bookmarkEnd w:id="361"/>
      <w:r w:rsidR="00E8296A" w:rsidRPr="00E6110F">
        <w:t xml:space="preserve"> </w:t>
      </w:r>
    </w:p>
    <w:p w14:paraId="31652A87" w14:textId="0DD3EC70" w:rsidR="00253BDE" w:rsidRPr="00E6110F" w:rsidRDefault="000879F3" w:rsidP="00A57ACD">
      <w:pPr>
        <w:pStyle w:val="Body"/>
      </w:pPr>
      <w:r w:rsidRPr="00E6110F">
        <w:t>The hazard screening methodology requires informa</w:t>
      </w:r>
      <w:r w:rsidR="00A7008F">
        <w:t>tion on linear distance from coal seam gas</w:t>
      </w:r>
      <w:r w:rsidRPr="00E6110F">
        <w:t xml:space="preserve"> extraction activities (the potential contaminant source in deeper groundwater) to relevant assets (water bores for bulk and municipal drinking water off-takes, surface water assets such as springs, streams, wetlands, and sites of historical or cultural significance) in order to assign a likelihood class to a chemical-specific DAF. In this way the DAFs can be interpreted in a spatial risk framework, i.e. while the DAF itself is a measure of consequence (dividing a source concentration by a DAF results in a predicted environmental concentration), the spatial analysis assigns a probability to each DAF by which the initial hazard screening (and hazard ranking based on </w:t>
      </w:r>
      <w:r w:rsidR="00D52A5D">
        <w:t xml:space="preserve">a </w:t>
      </w:r>
      <w:r w:rsidRPr="00E6110F">
        <w:t>chemical’s DAF) becomes extended to a risk screening.</w:t>
      </w:r>
      <w:r w:rsidR="00DC602A" w:rsidRPr="00E6110F">
        <w:t xml:space="preserve"> </w:t>
      </w:r>
      <w:r w:rsidR="0091598A" w:rsidRPr="00E6110F">
        <w:t xml:space="preserve"> </w:t>
      </w:r>
      <w:r w:rsidR="00253BDE" w:rsidRPr="00E6110F">
        <w:t xml:space="preserve">  </w:t>
      </w:r>
    </w:p>
    <w:p w14:paraId="089BF04E" w14:textId="77777777" w:rsidR="00C17BD9" w:rsidRPr="00E6110F" w:rsidRDefault="00C17BD9" w:rsidP="00C17BD9">
      <w:pPr>
        <w:pStyle w:val="Heading2"/>
      </w:pPr>
      <w:bookmarkStart w:id="362" w:name="_Ref449112478"/>
      <w:bookmarkStart w:id="363" w:name="_Toc494444549"/>
      <w:r w:rsidRPr="00E6110F">
        <w:t>Methodology</w:t>
      </w:r>
      <w:bookmarkEnd w:id="362"/>
      <w:bookmarkEnd w:id="363"/>
    </w:p>
    <w:p w14:paraId="5F229676" w14:textId="3FC41381" w:rsidR="002A6599" w:rsidRDefault="000879F3" w:rsidP="000879F3">
      <w:pPr>
        <w:pStyle w:val="Body"/>
      </w:pPr>
      <w:r w:rsidRPr="00E6110F">
        <w:t>The approach is based on a similar spatial analysis undertaken for the Namoi alluvial as part of the National CSG Chemicals Assessment Project – Phase 1 (Mallants et al. 201</w:t>
      </w:r>
      <w:r w:rsidR="000A133D">
        <w:t>7</w:t>
      </w:r>
      <w:r w:rsidR="00F80BEA">
        <w:t>a</w:t>
      </w:r>
      <w:r w:rsidRPr="00E6110F">
        <w:t>). This analysis resulted in region-specific frequency-proximity</w:t>
      </w:r>
      <w:r w:rsidR="00F579FC">
        <w:rPr>
          <w:rFonts w:ascii="ZWAdobeF" w:hAnsi="ZWAdobeF" w:cs="ZWAdobeF"/>
          <w:color w:val="auto"/>
          <w:sz w:val="2"/>
          <w:szCs w:val="2"/>
        </w:rPr>
        <w:t>15F</w:t>
      </w:r>
      <w:r w:rsidRPr="00E6110F">
        <w:rPr>
          <w:rStyle w:val="FootnoteReference"/>
        </w:rPr>
        <w:footnoteReference w:id="14"/>
      </w:r>
      <w:r w:rsidRPr="00E6110F">
        <w:t xml:space="preserve"> relationships that quantified the probability of encountering a water bore within 1 km from a CSG well (</w:t>
      </w:r>
      <w:r w:rsidR="002A6599">
        <w:t xml:space="preserve">see </w:t>
      </w:r>
      <w:r w:rsidRPr="00E6110F">
        <w:fldChar w:fldCharType="begin" w:fldLock="1"/>
      </w:r>
      <w:r w:rsidRPr="00E6110F">
        <w:instrText xml:space="preserve"> REF _Ref446093106 \h </w:instrText>
      </w:r>
      <w:r w:rsidR="00E6110F">
        <w:instrText xml:space="preserve"> \* MERGEFORMAT </w:instrText>
      </w:r>
      <w:r w:rsidRPr="00E6110F">
        <w:fldChar w:fldCharType="separate"/>
      </w:r>
      <w:r w:rsidR="00335E79" w:rsidRPr="00E6110F">
        <w:t xml:space="preserve">Figure </w:t>
      </w:r>
      <w:r w:rsidR="00335E79">
        <w:rPr>
          <w:noProof/>
        </w:rPr>
        <w:t>3</w:t>
      </w:r>
      <w:r w:rsidR="00335E79">
        <w:rPr>
          <w:noProof/>
        </w:rPr>
        <w:noBreakHyphen/>
        <w:t>1</w:t>
      </w:r>
      <w:r w:rsidRPr="00E6110F">
        <w:fldChar w:fldCharType="end"/>
      </w:r>
      <w:r w:rsidR="002A6599">
        <w:t xml:space="preserve"> for a theoretical example</w:t>
      </w:r>
      <w:r w:rsidRPr="00E6110F">
        <w:t xml:space="preserve">). </w:t>
      </w:r>
      <w:r w:rsidR="002A6599" w:rsidRPr="002A6599">
        <w:t xml:space="preserve">Further, </w:t>
      </w:r>
      <w:r w:rsidR="002A6599">
        <w:fldChar w:fldCharType="begin" w:fldLock="1"/>
      </w:r>
      <w:r w:rsidR="002A6599">
        <w:instrText xml:space="preserve"> REF _Ref446093106 \h </w:instrText>
      </w:r>
      <w:r w:rsidR="002A6599">
        <w:fldChar w:fldCharType="separate"/>
      </w:r>
      <w:r w:rsidR="00335E79" w:rsidRPr="00E6110F">
        <w:t xml:space="preserve">Figure </w:t>
      </w:r>
      <w:r w:rsidR="00335E79">
        <w:rPr>
          <w:noProof/>
        </w:rPr>
        <w:t>3</w:t>
      </w:r>
      <w:r w:rsidR="00335E79">
        <w:noBreakHyphen/>
      </w:r>
      <w:r w:rsidR="00335E79">
        <w:rPr>
          <w:noProof/>
        </w:rPr>
        <w:t>1</w:t>
      </w:r>
      <w:r w:rsidR="002A6599">
        <w:fldChar w:fldCharType="end"/>
      </w:r>
      <w:r w:rsidR="002A6599">
        <w:t xml:space="preserve"> </w:t>
      </w:r>
      <w:r w:rsidR="002A6599" w:rsidRPr="002A6599">
        <w:t>depicts the methods for linking DAF classes to a probability value</w:t>
      </w:r>
      <w:r w:rsidR="002A6599">
        <w:t>s or</w:t>
      </w:r>
      <w:r w:rsidR="002A6599" w:rsidRPr="002A6599">
        <w:t xml:space="preserve"> class</w:t>
      </w:r>
      <w:r w:rsidR="002A6599">
        <w:t>es</w:t>
      </w:r>
      <w:r w:rsidR="002A6599" w:rsidRPr="002A6599">
        <w:t xml:space="preserve">. </w:t>
      </w:r>
    </w:p>
    <w:p w14:paraId="382F6F45" w14:textId="7DF5C363" w:rsidR="000879F3" w:rsidRPr="00E6110F" w:rsidRDefault="000879F3" w:rsidP="000879F3">
      <w:pPr>
        <w:pStyle w:val="Body"/>
      </w:pPr>
      <w:r w:rsidRPr="00E6110F">
        <w:t xml:space="preserve">Similar </w:t>
      </w:r>
      <w:r w:rsidR="00784848" w:rsidRPr="00E6110F">
        <w:t xml:space="preserve">frequency-proximity </w:t>
      </w:r>
      <w:r w:rsidRPr="00E6110F">
        <w:t>relationships were determined for aquatic ecosystems</w:t>
      </w:r>
      <w:r w:rsidR="00784848">
        <w:t xml:space="preserve"> (Mallants et al. 201</w:t>
      </w:r>
      <w:r w:rsidR="000A133D">
        <w:t>7</w:t>
      </w:r>
      <w:r w:rsidR="00784848">
        <w:t>a)</w:t>
      </w:r>
      <w:r w:rsidRPr="00E6110F">
        <w:t xml:space="preserve">. In addition to being a key element of assigning probabilities to DAF values, the frequency-proximity relationships may also be used to derive a setback distance for any of the receptors, e.g. water bores, beyond which impacts can be demonstrated to be negligible. </w:t>
      </w:r>
    </w:p>
    <w:p w14:paraId="0ECC791E" w14:textId="18DD86E2" w:rsidR="000879F3" w:rsidRPr="00E6110F" w:rsidRDefault="000879F3" w:rsidP="000879F3">
      <w:pPr>
        <w:pStyle w:val="Body"/>
      </w:pPr>
      <w:r w:rsidRPr="00E6110F">
        <w:t>It was previously determined by CDM</w:t>
      </w:r>
      <w:r w:rsidR="00676F03" w:rsidRPr="00E6110F">
        <w:t xml:space="preserve"> </w:t>
      </w:r>
      <w:r w:rsidRPr="00E6110F">
        <w:t xml:space="preserve">Smith (2014) that any potential </w:t>
      </w:r>
      <w:r w:rsidR="00C548F3">
        <w:t>depressurisation</w:t>
      </w:r>
      <w:r w:rsidRPr="00E6110F">
        <w:t xml:space="preserve"> relating to CSG operations would not extend beyond 30 km of any CSG well. Therefore, the proximity analysis was constrained to within this distance in the current study. The proximity analysis was constrained according to angle from CGS wells. </w:t>
      </w:r>
      <w:r w:rsidR="00DF0798">
        <w:t>For the Gunnedah Basin, p</w:t>
      </w:r>
      <w:r w:rsidRPr="00E6110F">
        <w:t>article tracking analysis revealed travel from CSG wells was expected to be in a generally northerly direction but ranging from east to west (</w:t>
      </w:r>
      <w:r w:rsidRPr="00E6110F">
        <w:fldChar w:fldCharType="begin" w:fldLock="1"/>
      </w:r>
      <w:r w:rsidRPr="00E6110F">
        <w:instrText xml:space="preserve"> REF _Ref446092785 \h  \* MERGEFORMAT </w:instrText>
      </w:r>
      <w:r w:rsidRPr="00E6110F">
        <w:fldChar w:fldCharType="separate"/>
      </w:r>
      <w:r w:rsidR="00335E79" w:rsidRPr="00E6110F">
        <w:t xml:space="preserve">Figure </w:t>
      </w:r>
      <w:r w:rsidR="00335E79">
        <w:t>2</w:t>
      </w:r>
      <w:r w:rsidR="00335E79">
        <w:noBreakHyphen/>
        <w:t>54</w:t>
      </w:r>
      <w:r w:rsidRPr="00E6110F">
        <w:fldChar w:fldCharType="end"/>
      </w:r>
      <w:r w:rsidRPr="00E6110F">
        <w:t>). The proximity analysis was therefore conducted on elements located within angles from 270° (due west) through to 90° (due east) degrees (either to north or south depending if analysis was from CSG well to receptor – forward tracking – or visa versa – backward tracking). In other words, proximities will be calculated in the direction of the main groundwater flow; no proximities will be calculated in the direction opposite to groundwater flow.</w:t>
      </w:r>
      <w:r w:rsidR="00465741">
        <w:t xml:space="preserve"> A similar approach was adopted for the Surat Basin.</w:t>
      </w:r>
    </w:p>
    <w:p w14:paraId="1021A8DD" w14:textId="058C5144" w:rsidR="00A57ACD" w:rsidRPr="00E6110F" w:rsidRDefault="000879F3" w:rsidP="000879F3">
      <w:pPr>
        <w:pStyle w:val="Body"/>
      </w:pPr>
      <w:r w:rsidRPr="00E6110F">
        <w:t>Contaminant source-asset frequency-proximity relationships were determined using the geographical information systems (GIS) ArcGIS</w:t>
      </w:r>
      <w:r w:rsidRPr="00E6110F">
        <w:rPr>
          <w:vertAlign w:val="superscript"/>
        </w:rPr>
        <w:t>TM</w:t>
      </w:r>
      <w:r w:rsidRPr="00E6110F">
        <w:t xml:space="preserve"> and relevant databases with key assets (where data is accessible for this project).  The study areas involved are a subset of the Surat Cumulative Management Area (CMA) covered by OGIA’s groundwater model and </w:t>
      </w:r>
      <w:r w:rsidR="003F2101">
        <w:t xml:space="preserve">an area in the Gunnedah Basin near Narrabri, NSW, </w:t>
      </w:r>
      <w:r w:rsidRPr="00E6110F">
        <w:t>covered by the CDM</w:t>
      </w:r>
      <w:r w:rsidR="00676F03" w:rsidRPr="00E6110F">
        <w:t xml:space="preserve"> </w:t>
      </w:r>
      <w:r w:rsidRPr="00E6110F">
        <w:t>Smith (2014) groundwater model.</w:t>
      </w:r>
      <w:r w:rsidR="00A57ACD" w:rsidRPr="00E6110F">
        <w:t xml:space="preserve"> </w:t>
      </w:r>
    </w:p>
    <w:p w14:paraId="14155C03" w14:textId="1C7EF25B" w:rsidR="00676F03" w:rsidRPr="00E6110F" w:rsidRDefault="00676F03" w:rsidP="00676F03">
      <w:pPr>
        <w:pStyle w:val="Body"/>
      </w:pPr>
      <w:r w:rsidRPr="00E6110F">
        <w:t xml:space="preserve">The methodology for linking frequency-proximity relationships with DAF is summarised in </w:t>
      </w:r>
      <w:r w:rsidRPr="00E6110F">
        <w:fldChar w:fldCharType="begin" w:fldLock="1"/>
      </w:r>
      <w:r w:rsidRPr="00E6110F">
        <w:instrText xml:space="preserve"> REF _Ref446093106 \h </w:instrText>
      </w:r>
      <w:r w:rsidR="00E6110F">
        <w:instrText xml:space="preserve"> \* MERGEFORMAT </w:instrText>
      </w:r>
      <w:r w:rsidRPr="00E6110F">
        <w:fldChar w:fldCharType="separate"/>
      </w:r>
      <w:r w:rsidR="00335E79" w:rsidRPr="00E6110F">
        <w:t xml:space="preserve">Figure </w:t>
      </w:r>
      <w:r w:rsidR="00335E79">
        <w:rPr>
          <w:noProof/>
        </w:rPr>
        <w:t>3</w:t>
      </w:r>
      <w:r w:rsidR="00335E79">
        <w:rPr>
          <w:noProof/>
        </w:rPr>
        <w:noBreakHyphen/>
        <w:t>1</w:t>
      </w:r>
      <w:r w:rsidRPr="00E6110F">
        <w:fldChar w:fldCharType="end"/>
      </w:r>
      <w:r w:rsidRPr="00E6110F">
        <w:t>. It involves the following steps:</w:t>
      </w:r>
    </w:p>
    <w:p w14:paraId="12778B3A" w14:textId="4455386D" w:rsidR="00676F03" w:rsidRPr="00E6110F" w:rsidRDefault="00676F03" w:rsidP="00C117A3">
      <w:pPr>
        <w:pStyle w:val="Body"/>
        <w:numPr>
          <w:ilvl w:val="0"/>
          <w:numId w:val="15"/>
        </w:numPr>
      </w:pPr>
      <w:r w:rsidRPr="00E6110F">
        <w:t>Determine proximity (linear distance) – frequency (probability of non-exceedance) relationsh</w:t>
      </w:r>
      <w:r w:rsidR="00A7008F">
        <w:t>ip based on distance between coal seam gas</w:t>
      </w:r>
      <w:r w:rsidRPr="00E6110F">
        <w:t xml:space="preserve"> wells and assets (within a distance of 30 km from any </w:t>
      </w:r>
      <w:r w:rsidR="00A7008F">
        <w:t>coal seam gas</w:t>
      </w:r>
      <w:r w:rsidRPr="00E6110F">
        <w:t xml:space="preserve"> well)</w:t>
      </w:r>
      <w:r w:rsidR="00852ED3">
        <w:t>. Note this probability expresses purely the likelihood of encountering a certain asset within a given distance from a CSG well; effects of CSG operations (e.g. whether the well is fractured or not) are not considered</w:t>
      </w:r>
      <w:r w:rsidRPr="00E6110F">
        <w:t>,</w:t>
      </w:r>
    </w:p>
    <w:p w14:paraId="23316FA7" w14:textId="0A0771A1" w:rsidR="00495914" w:rsidRPr="00E6110F" w:rsidRDefault="00A7008F" w:rsidP="00C117A3">
      <w:pPr>
        <w:pStyle w:val="Body"/>
        <w:numPr>
          <w:ilvl w:val="0"/>
          <w:numId w:val="15"/>
        </w:numPr>
      </w:pPr>
      <w:r>
        <w:t>Calculate travel time from coal seam gas</w:t>
      </w:r>
      <w:r w:rsidR="00676F03" w:rsidRPr="00E6110F">
        <w:t xml:space="preserve"> wells to assets that have a demonstrated connection via groundwater using solute particle tracking analysis. Because several pathlin</w:t>
      </w:r>
      <w:r>
        <w:t>es originating from multiple coal seam gas</w:t>
      </w:r>
      <w:r w:rsidR="00676F03" w:rsidRPr="00E6110F">
        <w:t xml:space="preserve"> wells can end in one and the same asset, a travel time probability density function is derived for each asset.</w:t>
      </w:r>
      <w:r w:rsidR="00151E29" w:rsidRPr="00E6110F">
        <w:t xml:space="preserve"> </w:t>
      </w:r>
      <w:r w:rsidR="00AF0051" w:rsidRPr="00E6110F">
        <w:t xml:space="preserve"> </w:t>
      </w:r>
    </w:p>
    <w:p w14:paraId="77C309AB" w14:textId="10480E40" w:rsidR="00676F03" w:rsidRPr="00E6110F" w:rsidRDefault="00676F03" w:rsidP="00C117A3">
      <w:pPr>
        <w:pStyle w:val="Body"/>
        <w:numPr>
          <w:ilvl w:val="0"/>
          <w:numId w:val="15"/>
        </w:numPr>
      </w:pPr>
      <w:r w:rsidRPr="00E6110F">
        <w:t>Aggregate travel times in classes as a means to summarise the travel time data, e.g. from 1-5 years, 5-10 years, 10-50 years, etc. Each class is characterised in terms of</w:t>
      </w:r>
      <w:r w:rsidR="00A7008F">
        <w:t xml:space="preserve"> a </w:t>
      </w:r>
      <w:r w:rsidR="00A7008F" w:rsidRPr="00E6110F">
        <w:t>probability density function</w:t>
      </w:r>
      <w:r w:rsidRPr="00E6110F">
        <w:t xml:space="preserve"> with its mean, standard deviation, and percentiles.</w:t>
      </w:r>
    </w:p>
    <w:p w14:paraId="1056EB65" w14:textId="77777777" w:rsidR="00676F03" w:rsidRPr="00E6110F" w:rsidRDefault="00676F03" w:rsidP="00C117A3">
      <w:pPr>
        <w:pStyle w:val="Body"/>
        <w:numPr>
          <w:ilvl w:val="0"/>
          <w:numId w:val="15"/>
        </w:numPr>
      </w:pPr>
      <w:r w:rsidRPr="00E6110F">
        <w:t>Calculate chemical-specific DAFs by using travel time to calculate biological/chemical attenuation (transformation/degradation) linked with geological attenuation (sorption)</w:t>
      </w:r>
    </w:p>
    <w:p w14:paraId="249DA35D" w14:textId="71914859" w:rsidR="00164086" w:rsidRPr="00E6110F" w:rsidRDefault="00676F03" w:rsidP="00C117A3">
      <w:pPr>
        <w:pStyle w:val="Body"/>
        <w:numPr>
          <w:ilvl w:val="0"/>
          <w:numId w:val="15"/>
        </w:numPr>
      </w:pPr>
      <w:r w:rsidRPr="00E6110F">
        <w:t>Define likelihood for DAF classes by linking travel time class to its respective linear distance-frequency</w:t>
      </w:r>
      <w:r w:rsidR="008F3EBC" w:rsidRPr="00E6110F">
        <w:t xml:space="preserve">. </w:t>
      </w:r>
      <w:r w:rsidR="00164086" w:rsidRPr="00E6110F">
        <w:t xml:space="preserve">  </w:t>
      </w:r>
    </w:p>
    <w:p w14:paraId="13979D51" w14:textId="77777777" w:rsidR="005010E7" w:rsidRPr="00E6110F" w:rsidRDefault="005010E7" w:rsidP="005010E7">
      <w:pPr>
        <w:pStyle w:val="Body"/>
        <w:ind w:left="400"/>
      </w:pPr>
    </w:p>
    <w:p w14:paraId="173FCED8" w14:textId="49628CA8" w:rsidR="005010E7" w:rsidRPr="00E6110F" w:rsidRDefault="005010E7" w:rsidP="005010E7">
      <w:pPr>
        <w:pStyle w:val="Body"/>
        <w:ind w:left="400"/>
      </w:pPr>
      <w:r w:rsidRPr="00E6110F">
        <w:t xml:space="preserve"> </w:t>
      </w:r>
    </w:p>
    <w:p w14:paraId="0128819E" w14:textId="0A014452" w:rsidR="00A57ACD" w:rsidRPr="00E6110F" w:rsidRDefault="00A57ACD" w:rsidP="00A57ACD">
      <w:pPr>
        <w:pStyle w:val="Body"/>
      </w:pPr>
      <w:r w:rsidRPr="00E6110F">
        <w:rPr>
          <w:noProof/>
          <w:lang w:val="en-AU" w:eastAsia="en-AU"/>
        </w:rPr>
        <w:drawing>
          <wp:inline distT="0" distB="0" distL="0" distR="0" wp14:anchorId="6DA6C0EC" wp14:editId="29077DFD">
            <wp:extent cx="5727700" cy="4968110"/>
            <wp:effectExtent l="0" t="0" r="6350" b="4445"/>
            <wp:docPr id="17" name="Picture 5" descr="Diagram of methodology for linking DAF classes to probabilities."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727700" cy="4968110"/>
                    </a:xfrm>
                    <a:prstGeom prst="rect">
                      <a:avLst/>
                    </a:prstGeom>
                    <a:noFill/>
                    <a:ln w="9525">
                      <a:noFill/>
                      <a:miter lim="800000"/>
                      <a:headEnd/>
                      <a:tailEnd/>
                    </a:ln>
                  </pic:spPr>
                </pic:pic>
              </a:graphicData>
            </a:graphic>
          </wp:inline>
        </w:drawing>
      </w:r>
    </w:p>
    <w:p w14:paraId="166ED603" w14:textId="32BAD92C" w:rsidR="00A57ACD" w:rsidRPr="00E6110F" w:rsidRDefault="00A57ACD" w:rsidP="00A57ACD">
      <w:pPr>
        <w:pStyle w:val="Imagecaption"/>
      </w:pPr>
      <w:bookmarkStart w:id="364" w:name="_Ref446093106"/>
      <w:bookmarkStart w:id="365" w:name="_Toc477347609"/>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w:t>
      </w:r>
      <w:r w:rsidR="00254026">
        <w:fldChar w:fldCharType="end"/>
      </w:r>
      <w:bookmarkEnd w:id="364"/>
      <w:r w:rsidRPr="00E6110F">
        <w:t xml:space="preserve"> Methodology for linking DAF classes to probability (likelihood)</w:t>
      </w:r>
      <w:r w:rsidR="00567AEA" w:rsidRPr="00E6110F">
        <w:t>.</w:t>
      </w:r>
      <w:r w:rsidR="008D1679">
        <w:t xml:space="preserve"> Top panel shows for a set of CSG wells and water bores i) frequency distribution of CSG well – bore distances based on spatial analysis and ii) frequency distribution of CSG well – bore travel times based on particle tracking analysis. </w:t>
      </w:r>
      <w:r w:rsidR="0054095A">
        <w:t>Middle panel shows cumulative frequency of CSG well – bore distances and table with travel time characteristics (mean and standard deviation for travel time distribution) for water bores. Bottom panel shows calculated dilution attenuation factors (DAF) for a given chemical. DAF values are assigned a likelihood based on the travel distance – probability curve.</w:t>
      </w:r>
      <w:bookmarkEnd w:id="365"/>
    </w:p>
    <w:p w14:paraId="3AB5F209" w14:textId="77777777" w:rsidR="009C3575" w:rsidRPr="00E6110F" w:rsidRDefault="009C3575" w:rsidP="00A57ACD">
      <w:pPr>
        <w:pStyle w:val="Body"/>
      </w:pPr>
    </w:p>
    <w:p w14:paraId="2FEDAD84" w14:textId="77777777" w:rsidR="00676F03" w:rsidRPr="00E6110F" w:rsidRDefault="00676F03" w:rsidP="00676F03">
      <w:p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Three analytical methods for determining the distribution of proximity relationships were tested in order of complexity and computational demand: </w:t>
      </w:r>
    </w:p>
    <w:p w14:paraId="4C26728D" w14:textId="2EF2A810" w:rsidR="00676F03" w:rsidRPr="00E6110F" w:rsidRDefault="00676F03" w:rsidP="00C117A3">
      <w:pPr>
        <w:numPr>
          <w:ilvl w:val="0"/>
          <w:numId w:val="36"/>
        </w:num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Distribution of proximities of a</w:t>
      </w:r>
      <w:r w:rsidR="00A7008F">
        <w:rPr>
          <w:rFonts w:ascii="Calibri" w:hAnsi="Calibri" w:cs="Calibri"/>
          <w:color w:val="000000"/>
          <w:sz w:val="18"/>
          <w:szCs w:val="18"/>
          <w:lang w:val="en-GB"/>
        </w:rPr>
        <w:t>sset features to the nearest coal seam gas</w:t>
      </w:r>
      <w:r w:rsidRPr="00E6110F">
        <w:rPr>
          <w:rFonts w:ascii="Calibri" w:hAnsi="Calibri" w:cs="Calibri"/>
          <w:color w:val="000000"/>
          <w:sz w:val="18"/>
          <w:szCs w:val="18"/>
          <w:lang w:val="en-GB"/>
        </w:rPr>
        <w:t xml:space="preserve"> well for each asset group, subgroup and class:</w:t>
      </w:r>
    </w:p>
    <w:p w14:paraId="7A055DA4" w14:textId="5111A78E" w:rsidR="00676F03" w:rsidRPr="00E6110F" w:rsidRDefault="00676F03" w:rsidP="00C117A3">
      <w:pPr>
        <w:numPr>
          <w:ilvl w:val="0"/>
          <w:numId w:val="16"/>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identify the distance between any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assets (for each asset class) and the nearest (and only nearest) </w:t>
      </w:r>
      <w:r w:rsidR="00A7008F">
        <w:rPr>
          <w:rFonts w:ascii="Calibri" w:hAnsi="Calibri" w:cs="Calibri"/>
          <w:color w:val="000000"/>
          <w:sz w:val="18"/>
          <w:szCs w:val="18"/>
          <w:lang w:val="en-GB"/>
        </w:rPr>
        <w:t>coal seam gas</w:t>
      </w:r>
      <w:r w:rsidRPr="00E6110F">
        <w:rPr>
          <w:rFonts w:ascii="Calibri" w:hAnsi="Calibri" w:cs="Calibri"/>
          <w:color w:val="000000"/>
          <w:sz w:val="18"/>
          <w:szCs w:val="18"/>
          <w:lang w:val="en-GB"/>
        </w:rPr>
        <w:t xml:space="preserve"> well within a radius of 30 km from each asset feature, resulting in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nearest distances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is the sample size of the data set),</w:t>
      </w:r>
    </w:p>
    <w:p w14:paraId="3AE6554A" w14:textId="24AAB541" w:rsidR="00676F03" w:rsidRPr="00E6110F" w:rsidRDefault="00676F03" w:rsidP="00C117A3">
      <w:pPr>
        <w:numPr>
          <w:ilvl w:val="0"/>
          <w:numId w:val="16"/>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exclude records of distances to </w:t>
      </w:r>
      <w:r w:rsidR="00A7008F">
        <w:rPr>
          <w:rFonts w:ascii="Calibri" w:hAnsi="Calibri" w:cs="Calibri"/>
          <w:color w:val="000000"/>
          <w:sz w:val="18"/>
          <w:szCs w:val="18"/>
          <w:lang w:val="en-GB"/>
        </w:rPr>
        <w:t>coal seam gas</w:t>
      </w:r>
      <w:r w:rsidRPr="00E6110F">
        <w:rPr>
          <w:rFonts w:ascii="Calibri" w:hAnsi="Calibri" w:cs="Calibri"/>
          <w:color w:val="000000"/>
          <w:sz w:val="18"/>
          <w:szCs w:val="18"/>
          <w:lang w:val="en-GB"/>
        </w:rPr>
        <w:t xml:space="preserve"> wells located north of assets (and hence not in a potential pathway with the asset based on the particle tracking analysis),</w:t>
      </w:r>
    </w:p>
    <w:p w14:paraId="3162C356" w14:textId="77777777" w:rsidR="00676F03" w:rsidRPr="00E6110F" w:rsidRDefault="00676F03" w:rsidP="00C117A3">
      <w:pPr>
        <w:numPr>
          <w:ilvl w:val="0"/>
          <w:numId w:val="16"/>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rank the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nearest distances from smallest to largest,</w:t>
      </w:r>
    </w:p>
    <w:p w14:paraId="34EC90B6" w14:textId="590B4BD2" w:rsidR="00676F03" w:rsidRPr="00E6110F" w:rsidRDefault="00676F03" w:rsidP="00C117A3">
      <w:pPr>
        <w:numPr>
          <w:ilvl w:val="0"/>
          <w:numId w:val="16"/>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assign a rank number (i) to each of the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distances, from 1 </w:t>
      </w:r>
      <w:r w:rsidR="00DF5D79">
        <w:rPr>
          <w:rFonts w:ascii="Calibri" w:hAnsi="Calibri" w:cs="Calibri"/>
          <w:color w:val="000000"/>
          <w:sz w:val="18"/>
          <w:szCs w:val="18"/>
          <w:lang w:val="en-GB"/>
        </w:rPr>
        <w:t>for</w:t>
      </w:r>
      <w:r w:rsidRPr="00E6110F">
        <w:rPr>
          <w:rFonts w:ascii="Calibri" w:hAnsi="Calibri" w:cs="Calibri"/>
          <w:color w:val="000000"/>
          <w:sz w:val="18"/>
          <w:szCs w:val="18"/>
          <w:lang w:val="en-GB"/>
        </w:rPr>
        <w:t xml:space="preserve"> the smallest to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for the largest distance,</w:t>
      </w:r>
    </w:p>
    <w:p w14:paraId="7278611E" w14:textId="36D8D677" w:rsidR="00676F03" w:rsidRPr="00E6110F" w:rsidRDefault="00676F03" w:rsidP="00C117A3">
      <w:pPr>
        <w:numPr>
          <w:ilvl w:val="0"/>
          <w:numId w:val="16"/>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proofErr w:type="gramStart"/>
      <w:r w:rsidRPr="00E6110F">
        <w:rPr>
          <w:rFonts w:ascii="Calibri" w:hAnsi="Calibri" w:cs="Calibri"/>
          <w:color w:val="000000"/>
          <w:sz w:val="18"/>
          <w:szCs w:val="18"/>
          <w:lang w:val="en-GB"/>
        </w:rPr>
        <w:t>calculate</w:t>
      </w:r>
      <w:proofErr w:type="gramEnd"/>
      <w:r w:rsidRPr="00E6110F">
        <w:rPr>
          <w:rFonts w:ascii="Calibri" w:hAnsi="Calibri" w:cs="Calibri"/>
          <w:color w:val="000000"/>
          <w:sz w:val="18"/>
          <w:szCs w:val="18"/>
          <w:lang w:val="en-GB"/>
        </w:rPr>
        <w:t xml:space="preserve"> the cumulative empirical probability (or cumulative distribution function – cdf) </w:t>
      </w:r>
      <w:r w:rsidRPr="00E6110F">
        <w:rPr>
          <w:rFonts w:ascii="Calibri" w:hAnsi="Calibri" w:cs="Calibri"/>
          <w:i/>
          <w:color w:val="000000"/>
          <w:sz w:val="18"/>
          <w:szCs w:val="18"/>
          <w:lang w:val="en-GB"/>
        </w:rPr>
        <w:t>i</w:t>
      </w:r>
      <w:r w:rsidRPr="00E6110F">
        <w:rPr>
          <w:rFonts w:ascii="Calibri" w:hAnsi="Calibri" w:cs="Calibri"/>
          <w:color w:val="000000"/>
          <w:sz w:val="18"/>
          <w:szCs w:val="18"/>
          <w:lang w:val="en-GB"/>
        </w:rPr>
        <w:t>/</w:t>
      </w:r>
      <w:r w:rsidRPr="00E6110F">
        <w:rPr>
          <w:rFonts w:ascii="Calibri" w:hAnsi="Calibri" w:cs="Calibri"/>
          <w:i/>
          <w:color w:val="000000"/>
          <w:sz w:val="18"/>
          <w:szCs w:val="18"/>
          <w:lang w:val="en-GB"/>
        </w:rPr>
        <w:t>N</w:t>
      </w:r>
      <w:r w:rsidR="00DF5D79">
        <w:rPr>
          <w:rFonts w:ascii="Calibri" w:hAnsi="Calibri" w:cs="Calibri"/>
          <w:color w:val="000000"/>
          <w:sz w:val="18"/>
          <w:szCs w:val="18"/>
          <w:lang w:val="en-GB"/>
        </w:rPr>
        <w:t>, or the probability that</w:t>
      </w:r>
      <w:r w:rsidRPr="00E6110F">
        <w:rPr>
          <w:rFonts w:ascii="Calibri" w:hAnsi="Calibri" w:cs="Calibri"/>
          <w:color w:val="000000"/>
          <w:sz w:val="18"/>
          <w:szCs w:val="18"/>
          <w:lang w:val="en-GB"/>
        </w:rPr>
        <w:t xml:space="preserve"> </w:t>
      </w:r>
      <w:r w:rsidR="00DF5D79">
        <w:rPr>
          <w:rFonts w:ascii="Calibri" w:hAnsi="Calibri" w:cs="Calibri"/>
          <w:color w:val="000000"/>
          <w:sz w:val="18"/>
          <w:szCs w:val="18"/>
          <w:lang w:val="en-GB"/>
        </w:rPr>
        <w:t>the distance is</w:t>
      </w:r>
      <w:r w:rsidRPr="00E6110F">
        <w:rPr>
          <w:rFonts w:ascii="Calibri" w:hAnsi="Calibri" w:cs="Calibri"/>
          <w:color w:val="000000"/>
          <w:sz w:val="18"/>
          <w:szCs w:val="18"/>
          <w:lang w:val="en-GB"/>
        </w:rPr>
        <w:t xml:space="preserve"> less than or equal to th</w:t>
      </w:r>
      <w:r w:rsidR="00DF5D79">
        <w:rPr>
          <w:rFonts w:ascii="Calibri" w:hAnsi="Calibri" w:cs="Calibri"/>
          <w:color w:val="000000"/>
          <w:sz w:val="18"/>
          <w:szCs w:val="18"/>
          <w:lang w:val="en-GB"/>
        </w:rPr>
        <w:t>e</w:t>
      </w:r>
      <w:r w:rsidRPr="00E6110F">
        <w:rPr>
          <w:rFonts w:ascii="Calibri" w:hAnsi="Calibri" w:cs="Calibri"/>
          <w:color w:val="000000"/>
          <w:sz w:val="18"/>
          <w:szCs w:val="18"/>
          <w:lang w:val="en-GB"/>
        </w:rPr>
        <w:t xml:space="preserve"> </w:t>
      </w:r>
      <w:r w:rsidR="00DF5D79">
        <w:rPr>
          <w:rFonts w:ascii="Calibri" w:hAnsi="Calibri" w:cs="Calibri"/>
          <w:color w:val="000000"/>
          <w:sz w:val="18"/>
          <w:szCs w:val="18"/>
          <w:lang w:val="en-GB"/>
        </w:rPr>
        <w:t xml:space="preserve">value associated with distance </w:t>
      </w:r>
      <w:r w:rsidR="00DF5D79" w:rsidRPr="00DF5D79">
        <w:rPr>
          <w:rFonts w:ascii="Calibri" w:hAnsi="Calibri" w:cs="Calibri"/>
          <w:i/>
          <w:color w:val="000000"/>
          <w:sz w:val="18"/>
          <w:szCs w:val="18"/>
          <w:lang w:val="en-GB"/>
        </w:rPr>
        <w:t>i</w:t>
      </w:r>
      <w:r w:rsidRPr="00E6110F">
        <w:rPr>
          <w:rFonts w:ascii="Calibri" w:hAnsi="Calibri" w:cs="Calibri"/>
          <w:color w:val="000000"/>
          <w:sz w:val="18"/>
          <w:szCs w:val="18"/>
          <w:lang w:val="en-GB"/>
        </w:rPr>
        <w:t>. In doing so the largest observation will have</w:t>
      </w:r>
      <w:r w:rsidR="00DF5D79">
        <w:rPr>
          <w:rFonts w:ascii="Calibri" w:hAnsi="Calibri" w:cs="Calibri"/>
          <w:color w:val="000000"/>
          <w:sz w:val="18"/>
          <w:szCs w:val="18"/>
          <w:lang w:val="en-GB"/>
        </w:rPr>
        <w:t xml:space="preserve"> a cumulative probability</w:t>
      </w:r>
      <w:r w:rsidRPr="00E6110F">
        <w:rPr>
          <w:rFonts w:ascii="Calibri" w:hAnsi="Calibri" w:cs="Calibri"/>
          <w:color w:val="000000"/>
          <w:sz w:val="18"/>
          <w:szCs w:val="18"/>
          <w:lang w:val="en-GB"/>
        </w:rPr>
        <w:t xml:space="preserve"> </w:t>
      </w:r>
      <w:r w:rsidRPr="00E6110F">
        <w:rPr>
          <w:rFonts w:ascii="Calibri" w:hAnsi="Calibri" w:cs="Calibri"/>
          <w:i/>
          <w:color w:val="000000"/>
          <w:sz w:val="18"/>
          <w:szCs w:val="18"/>
          <w:lang w:val="en-GB"/>
        </w:rPr>
        <w:t>i</w:t>
      </w:r>
      <w:r w:rsidRPr="00E6110F">
        <w:rPr>
          <w:rFonts w:ascii="Calibri" w:hAnsi="Calibri" w:cs="Calibri"/>
          <w:color w:val="000000"/>
          <w:sz w:val="18"/>
          <w:szCs w:val="18"/>
          <w:lang w:val="en-GB"/>
        </w:rPr>
        <w:t>/</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 1, and therefore has a </w:t>
      </w:r>
      <w:r w:rsidR="002334BC">
        <w:rPr>
          <w:rFonts w:ascii="Calibri" w:hAnsi="Calibri" w:cs="Calibri"/>
          <w:color w:val="000000"/>
          <w:sz w:val="18"/>
          <w:szCs w:val="18"/>
          <w:lang w:val="en-GB"/>
        </w:rPr>
        <w:t xml:space="preserve">(theoretical) </w:t>
      </w:r>
      <w:r w:rsidRPr="00E6110F">
        <w:rPr>
          <w:rFonts w:ascii="Calibri" w:hAnsi="Calibri" w:cs="Calibri"/>
          <w:color w:val="000000"/>
          <w:sz w:val="18"/>
          <w:szCs w:val="18"/>
          <w:lang w:val="en-GB"/>
        </w:rPr>
        <w:t xml:space="preserve">zero probability of being exceeded. </w:t>
      </w:r>
      <w:r w:rsidR="002334BC">
        <w:rPr>
          <w:rFonts w:ascii="Calibri" w:hAnsi="Calibri" w:cs="Calibri"/>
          <w:color w:val="000000"/>
          <w:sz w:val="18"/>
          <w:szCs w:val="18"/>
          <w:lang w:val="en-GB"/>
        </w:rPr>
        <w:t>To allow f</w:t>
      </w:r>
      <w:r w:rsidRPr="00E6110F">
        <w:rPr>
          <w:rFonts w:ascii="Calibri" w:hAnsi="Calibri" w:cs="Calibri"/>
          <w:color w:val="000000"/>
          <w:sz w:val="18"/>
          <w:szCs w:val="18"/>
          <w:lang w:val="en-GB"/>
        </w:rPr>
        <w:t xml:space="preserve">or a non-zero probability of exceeding the largest value observed </w:t>
      </w:r>
      <w:r w:rsidR="00DF5D79">
        <w:rPr>
          <w:rFonts w:ascii="Calibri" w:hAnsi="Calibri" w:cs="Calibri"/>
          <w:color w:val="000000"/>
          <w:sz w:val="18"/>
          <w:szCs w:val="18"/>
          <w:lang w:val="en-GB"/>
        </w:rPr>
        <w:t xml:space="preserve">in </w:t>
      </w:r>
      <w:r w:rsidR="00AB74BF">
        <w:rPr>
          <w:rFonts w:ascii="Calibri" w:hAnsi="Calibri" w:cs="Calibri"/>
          <w:color w:val="000000"/>
          <w:sz w:val="18"/>
          <w:szCs w:val="18"/>
          <w:lang w:val="en-GB"/>
        </w:rPr>
        <w:t xml:space="preserve">a sample, </w:t>
      </w:r>
      <w:r w:rsidRPr="00E6110F">
        <w:rPr>
          <w:rFonts w:ascii="Calibri" w:hAnsi="Calibri" w:cs="Calibri"/>
          <w:color w:val="000000"/>
          <w:sz w:val="18"/>
          <w:szCs w:val="18"/>
          <w:lang w:val="en-GB"/>
        </w:rPr>
        <w:t>so-called plotting position</w:t>
      </w:r>
      <w:r w:rsidR="00AB74BF">
        <w:rPr>
          <w:rFonts w:ascii="Calibri" w:hAnsi="Calibri" w:cs="Calibri"/>
          <w:color w:val="000000"/>
          <w:sz w:val="18"/>
          <w:szCs w:val="18"/>
          <w:lang w:val="en-GB"/>
        </w:rPr>
        <w:t>s are used</w:t>
      </w:r>
      <w:r w:rsidRPr="00E6110F">
        <w:rPr>
          <w:rFonts w:ascii="Calibri" w:hAnsi="Calibri" w:cs="Calibri"/>
          <w:color w:val="000000"/>
          <w:sz w:val="18"/>
          <w:szCs w:val="18"/>
          <w:lang w:val="en-GB"/>
        </w:rPr>
        <w:t xml:space="preserve">, </w:t>
      </w:r>
      <w:r w:rsidR="00DF5D79">
        <w:rPr>
          <w:rFonts w:ascii="Calibri" w:hAnsi="Calibri" w:cs="Calibri"/>
          <w:color w:val="000000"/>
          <w:sz w:val="18"/>
          <w:szCs w:val="18"/>
          <w:lang w:val="en-GB"/>
        </w:rPr>
        <w:t>rather than using</w:t>
      </w:r>
      <w:r w:rsidRPr="00E6110F">
        <w:rPr>
          <w:rFonts w:ascii="Calibri" w:hAnsi="Calibri" w:cs="Calibri"/>
          <w:color w:val="000000"/>
          <w:sz w:val="18"/>
          <w:szCs w:val="18"/>
          <w:lang w:val="en-GB"/>
        </w:rPr>
        <w:t xml:space="preserve"> </w:t>
      </w:r>
      <w:r w:rsidRPr="00E6110F">
        <w:rPr>
          <w:rFonts w:ascii="Calibri" w:hAnsi="Calibri" w:cs="Calibri"/>
          <w:i/>
          <w:color w:val="000000"/>
          <w:sz w:val="18"/>
          <w:szCs w:val="18"/>
          <w:lang w:val="en-GB"/>
        </w:rPr>
        <w:t>i</w:t>
      </w:r>
      <w:r w:rsidRPr="00E6110F">
        <w:rPr>
          <w:rFonts w:ascii="Calibri" w:hAnsi="Calibri" w:cs="Calibri"/>
          <w:color w:val="000000"/>
          <w:sz w:val="18"/>
          <w:szCs w:val="18"/>
          <w:lang w:val="en-GB"/>
        </w:rPr>
        <w:t>/</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w:t>
      </w:r>
      <w:r w:rsidR="0087753A">
        <w:rPr>
          <w:rFonts w:ascii="Calibri" w:hAnsi="Calibri" w:cs="Calibri"/>
          <w:color w:val="000000"/>
          <w:sz w:val="18"/>
          <w:szCs w:val="18"/>
          <w:lang w:val="en-GB"/>
        </w:rPr>
        <w:t>Here t</w:t>
      </w:r>
      <w:r w:rsidRPr="00E6110F">
        <w:rPr>
          <w:rFonts w:ascii="Calibri" w:hAnsi="Calibri" w:cs="Calibri"/>
          <w:color w:val="000000"/>
          <w:sz w:val="18"/>
          <w:szCs w:val="18"/>
          <w:lang w:val="en-GB"/>
        </w:rPr>
        <w:t xml:space="preserve">he Weibull plotting position formula was applied (probability = </w:t>
      </w:r>
      <w:r w:rsidRPr="00E6110F">
        <w:rPr>
          <w:rFonts w:ascii="Calibri" w:hAnsi="Calibri" w:cs="Calibri"/>
          <w:i/>
          <w:color w:val="000000"/>
          <w:sz w:val="18"/>
          <w:szCs w:val="18"/>
          <w:lang w:val="en-GB"/>
        </w:rPr>
        <w:t>i</w:t>
      </w:r>
      <w:r w:rsidRPr="00E6110F">
        <w:rPr>
          <w:rFonts w:ascii="Calibri" w:hAnsi="Calibri" w:cs="Calibri"/>
          <w:color w:val="000000"/>
          <w:sz w:val="18"/>
          <w:szCs w:val="18"/>
          <w:lang w:val="en-GB"/>
        </w:rPr>
        <w:t>/</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+1)</w:t>
      </w:r>
      <w:r w:rsidR="0087753A">
        <w:rPr>
          <w:rFonts w:ascii="Calibri" w:hAnsi="Calibri" w:cs="Calibri"/>
          <w:color w:val="000000"/>
          <w:sz w:val="18"/>
          <w:szCs w:val="18"/>
          <w:lang w:val="en-GB"/>
        </w:rPr>
        <w:t xml:space="preserve"> rather than </w:t>
      </w:r>
      <w:r w:rsidR="0087753A" w:rsidRPr="00E6110F">
        <w:rPr>
          <w:rFonts w:ascii="Calibri" w:hAnsi="Calibri" w:cs="Calibri"/>
          <w:i/>
          <w:color w:val="000000"/>
          <w:sz w:val="18"/>
          <w:szCs w:val="18"/>
          <w:lang w:val="en-GB"/>
        </w:rPr>
        <w:t>i</w:t>
      </w:r>
      <w:r w:rsidR="0087753A" w:rsidRPr="00E6110F">
        <w:rPr>
          <w:rFonts w:ascii="Calibri" w:hAnsi="Calibri" w:cs="Calibri"/>
          <w:color w:val="000000"/>
          <w:sz w:val="18"/>
          <w:szCs w:val="18"/>
          <w:lang w:val="en-GB"/>
        </w:rPr>
        <w:t>/</w:t>
      </w:r>
      <w:r w:rsidR="0087753A"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The Weibull formula has long been used by hydrologists in the United States for plotting flow duration and flood-frequency curves (Helsel and Hirsch 2002).</w:t>
      </w:r>
      <w:r w:rsidR="00AB74BF" w:rsidRPr="00AB74BF">
        <w:rPr>
          <w:rFonts w:ascii="Calibri" w:hAnsi="Calibri" w:cs="Calibri"/>
          <w:color w:val="000000"/>
          <w:sz w:val="18"/>
          <w:szCs w:val="18"/>
          <w:lang w:val="en-GB"/>
        </w:rPr>
        <w:t xml:space="preserve"> </w:t>
      </w:r>
      <w:r w:rsidR="00AB74BF">
        <w:rPr>
          <w:rFonts w:ascii="Calibri" w:hAnsi="Calibri" w:cs="Calibri"/>
          <w:color w:val="000000"/>
          <w:sz w:val="18"/>
          <w:szCs w:val="18"/>
          <w:lang w:val="en-GB"/>
        </w:rPr>
        <w:t xml:space="preserve">In doing so, the </w:t>
      </w:r>
      <w:r w:rsidR="00AB74BF" w:rsidRPr="00E6110F">
        <w:rPr>
          <w:rFonts w:ascii="Calibri" w:hAnsi="Calibri" w:cs="Calibri"/>
          <w:color w:val="000000"/>
          <w:sz w:val="18"/>
          <w:szCs w:val="18"/>
          <w:lang w:val="en-GB"/>
        </w:rPr>
        <w:t>empirical c</w:t>
      </w:r>
      <w:r w:rsidR="00AB74BF">
        <w:rPr>
          <w:rFonts w:ascii="Calibri" w:hAnsi="Calibri" w:cs="Calibri"/>
          <w:color w:val="000000"/>
          <w:sz w:val="18"/>
          <w:szCs w:val="18"/>
          <w:lang w:val="en-GB"/>
        </w:rPr>
        <w:t>umulative distribution function</w:t>
      </w:r>
      <w:r w:rsidR="00AB74BF" w:rsidRPr="00E6110F">
        <w:rPr>
          <w:rFonts w:ascii="Calibri" w:hAnsi="Calibri" w:cs="Calibri"/>
          <w:color w:val="000000"/>
          <w:sz w:val="18"/>
          <w:szCs w:val="18"/>
          <w:lang w:val="en-GB"/>
        </w:rPr>
        <w:t xml:space="preserve"> will more closely mimic the underlying population c</w:t>
      </w:r>
      <w:r w:rsidR="00AB74BF">
        <w:rPr>
          <w:rFonts w:ascii="Calibri" w:hAnsi="Calibri" w:cs="Calibri"/>
          <w:color w:val="000000"/>
          <w:sz w:val="18"/>
          <w:szCs w:val="18"/>
          <w:lang w:val="en-GB"/>
        </w:rPr>
        <w:t>umulative distribution function</w:t>
      </w:r>
      <w:r w:rsidR="00AB74BF" w:rsidRPr="00E6110F">
        <w:rPr>
          <w:rFonts w:ascii="Calibri" w:hAnsi="Calibri" w:cs="Calibri"/>
          <w:color w:val="000000"/>
          <w:sz w:val="18"/>
          <w:szCs w:val="18"/>
          <w:lang w:val="en-GB"/>
        </w:rPr>
        <w:t>.</w:t>
      </w:r>
    </w:p>
    <w:p w14:paraId="0F32B549" w14:textId="5AF384BD" w:rsidR="00676F03" w:rsidRPr="00E6110F" w:rsidRDefault="00676F03" w:rsidP="00C117A3">
      <w:pPr>
        <w:numPr>
          <w:ilvl w:val="0"/>
          <w:numId w:val="36"/>
        </w:num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Distribution of proximities of asset features to the nearest 5 </w:t>
      </w:r>
      <w:r w:rsidR="00A7008F">
        <w:rPr>
          <w:rFonts w:ascii="Calibri" w:hAnsi="Calibri" w:cs="Calibri"/>
          <w:color w:val="000000"/>
          <w:sz w:val="18"/>
          <w:szCs w:val="18"/>
          <w:lang w:val="en-GB"/>
        </w:rPr>
        <w:t>coal seam gas</w:t>
      </w:r>
      <w:r w:rsidRPr="00E6110F">
        <w:rPr>
          <w:rFonts w:ascii="Calibri" w:hAnsi="Calibri" w:cs="Calibri"/>
          <w:color w:val="000000"/>
          <w:sz w:val="18"/>
          <w:szCs w:val="18"/>
          <w:lang w:val="en-GB"/>
        </w:rPr>
        <w:t xml:space="preserve"> wells for each asset group, subgroup and class:</w:t>
      </w:r>
    </w:p>
    <w:p w14:paraId="27616EE3" w14:textId="6F92FCF5" w:rsidR="00676F03" w:rsidRPr="00E6110F" w:rsidRDefault="00676F03" w:rsidP="00C117A3">
      <w:pPr>
        <w:numPr>
          <w:ilvl w:val="0"/>
          <w:numId w:val="37"/>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identify the distances between any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assets (for each asset class) and the nearest 5 </w:t>
      </w:r>
      <w:r w:rsidR="00A7008F">
        <w:rPr>
          <w:rFonts w:ascii="Calibri" w:hAnsi="Calibri" w:cs="Calibri"/>
          <w:color w:val="000000"/>
          <w:sz w:val="18"/>
          <w:szCs w:val="18"/>
          <w:lang w:val="en-GB"/>
        </w:rPr>
        <w:t>coal seam gas</w:t>
      </w:r>
      <w:r w:rsidRPr="00E6110F">
        <w:rPr>
          <w:rFonts w:ascii="Calibri" w:hAnsi="Calibri" w:cs="Calibri"/>
          <w:color w:val="000000"/>
          <w:sz w:val="18"/>
          <w:szCs w:val="18"/>
          <w:lang w:val="en-GB"/>
        </w:rPr>
        <w:t xml:space="preserve"> wells within a radius of 30 km from each asset feature, </w:t>
      </w:r>
    </w:p>
    <w:p w14:paraId="5FE7CB3C" w14:textId="7B051093" w:rsidR="00676F03" w:rsidRPr="00E6110F" w:rsidRDefault="00676F03" w:rsidP="00C117A3">
      <w:pPr>
        <w:numPr>
          <w:ilvl w:val="0"/>
          <w:numId w:val="37"/>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exc</w:t>
      </w:r>
      <w:r w:rsidR="00A7008F">
        <w:rPr>
          <w:rFonts w:ascii="Calibri" w:hAnsi="Calibri" w:cs="Calibri"/>
          <w:color w:val="000000"/>
          <w:sz w:val="18"/>
          <w:szCs w:val="18"/>
          <w:lang w:val="en-GB"/>
        </w:rPr>
        <w:t>lude records of distances to coal seam gas</w:t>
      </w:r>
      <w:r w:rsidRPr="00E6110F">
        <w:rPr>
          <w:rFonts w:ascii="Calibri" w:hAnsi="Calibri" w:cs="Calibri"/>
          <w:color w:val="000000"/>
          <w:sz w:val="18"/>
          <w:szCs w:val="18"/>
          <w:lang w:val="en-GB"/>
        </w:rPr>
        <w:t xml:space="preserve"> wells located north of assets (and hence not in a potential pathway with the asset based on the particle tracking analysis),</w:t>
      </w:r>
    </w:p>
    <w:p w14:paraId="5A6CB5A8" w14:textId="77777777" w:rsidR="00676F03" w:rsidRPr="00E6110F" w:rsidRDefault="00676F03" w:rsidP="00C117A3">
      <w:pPr>
        <w:numPr>
          <w:ilvl w:val="0"/>
          <w:numId w:val="37"/>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rank the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nearest distances from smallest to largest,</w:t>
      </w:r>
    </w:p>
    <w:p w14:paraId="1781C759" w14:textId="77777777" w:rsidR="00676F03" w:rsidRPr="00E6110F" w:rsidRDefault="00676F03" w:rsidP="00C117A3">
      <w:pPr>
        <w:numPr>
          <w:ilvl w:val="0"/>
          <w:numId w:val="37"/>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assign a rank number (i) to each of the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distances, from 1 to the smallest to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for the largest distance,</w:t>
      </w:r>
    </w:p>
    <w:p w14:paraId="68C96896" w14:textId="65AF6003" w:rsidR="00676F03" w:rsidRPr="00E6110F" w:rsidRDefault="00676F03" w:rsidP="00C117A3">
      <w:pPr>
        <w:numPr>
          <w:ilvl w:val="0"/>
          <w:numId w:val="37"/>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proofErr w:type="gramStart"/>
      <w:r w:rsidRPr="00E6110F">
        <w:rPr>
          <w:rFonts w:ascii="Calibri" w:hAnsi="Calibri" w:cs="Calibri"/>
          <w:color w:val="000000"/>
          <w:sz w:val="18"/>
          <w:szCs w:val="18"/>
          <w:lang w:val="en-GB"/>
        </w:rPr>
        <w:t>apply</w:t>
      </w:r>
      <w:proofErr w:type="gramEnd"/>
      <w:r w:rsidRPr="00E6110F">
        <w:rPr>
          <w:rFonts w:ascii="Calibri" w:hAnsi="Calibri" w:cs="Calibri"/>
          <w:color w:val="000000"/>
          <w:sz w:val="18"/>
          <w:szCs w:val="18"/>
          <w:lang w:val="en-GB"/>
        </w:rPr>
        <w:t xml:space="preserve"> Weibull plotting position formula (probability = </w:t>
      </w:r>
      <w:r w:rsidRPr="00E6110F">
        <w:rPr>
          <w:rFonts w:ascii="Calibri" w:hAnsi="Calibri" w:cs="Calibri"/>
          <w:i/>
          <w:color w:val="000000"/>
          <w:sz w:val="18"/>
          <w:szCs w:val="18"/>
          <w:lang w:val="en-GB"/>
        </w:rPr>
        <w:t>i</w:t>
      </w:r>
      <w:r w:rsidRPr="00E6110F">
        <w:rPr>
          <w:rFonts w:ascii="Calibri" w:hAnsi="Calibri" w:cs="Calibri"/>
          <w:color w:val="000000"/>
          <w:sz w:val="18"/>
          <w:szCs w:val="18"/>
          <w:lang w:val="en-GB"/>
        </w:rPr>
        <w:t>/</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+1) and calculate </w:t>
      </w:r>
      <w:r w:rsidR="00A7008F">
        <w:rPr>
          <w:rFonts w:ascii="Calibri" w:hAnsi="Calibri" w:cs="Calibri"/>
          <w:color w:val="000000"/>
          <w:sz w:val="18"/>
          <w:szCs w:val="18"/>
          <w:lang w:val="en-GB"/>
        </w:rPr>
        <w:t>cumulative distribution function</w:t>
      </w:r>
      <w:r w:rsidRPr="00E6110F">
        <w:rPr>
          <w:rFonts w:ascii="Calibri" w:hAnsi="Calibri" w:cs="Calibri"/>
          <w:color w:val="000000"/>
          <w:sz w:val="18"/>
          <w:szCs w:val="18"/>
          <w:lang w:val="en-GB"/>
        </w:rPr>
        <w:t>.</w:t>
      </w:r>
    </w:p>
    <w:p w14:paraId="11BE38BB" w14:textId="4367E741" w:rsidR="00676F03" w:rsidRPr="00E6110F" w:rsidRDefault="00676F03" w:rsidP="00C117A3">
      <w:pPr>
        <w:numPr>
          <w:ilvl w:val="0"/>
          <w:numId w:val="36"/>
        </w:num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Distribution </w:t>
      </w:r>
      <w:r w:rsidR="00A7008F">
        <w:rPr>
          <w:rFonts w:ascii="Calibri" w:hAnsi="Calibri" w:cs="Calibri"/>
          <w:color w:val="000000"/>
          <w:sz w:val="18"/>
          <w:szCs w:val="18"/>
          <w:lang w:val="en-GB"/>
        </w:rPr>
        <w:t>of proximities of each (424</w:t>
      </w:r>
      <w:r w:rsidR="00EA277C">
        <w:rPr>
          <w:rFonts w:ascii="Calibri" w:hAnsi="Calibri" w:cs="Calibri"/>
          <w:color w:val="000000"/>
          <w:sz w:val="18"/>
          <w:szCs w:val="18"/>
          <w:lang w:val="en-GB"/>
        </w:rPr>
        <w:t xml:space="preserve"> in case of the Gunnedah Basin</w:t>
      </w:r>
      <w:r w:rsidR="00A7008F">
        <w:rPr>
          <w:rFonts w:ascii="Calibri" w:hAnsi="Calibri" w:cs="Calibri"/>
          <w:color w:val="000000"/>
          <w:sz w:val="18"/>
          <w:szCs w:val="18"/>
          <w:lang w:val="en-GB"/>
        </w:rPr>
        <w:t>) coal seam gas</w:t>
      </w:r>
      <w:r w:rsidRPr="00E6110F">
        <w:rPr>
          <w:rFonts w:ascii="Calibri" w:hAnsi="Calibri" w:cs="Calibri"/>
          <w:color w:val="000000"/>
          <w:sz w:val="18"/>
          <w:szCs w:val="18"/>
          <w:lang w:val="en-GB"/>
        </w:rPr>
        <w:t xml:space="preserve"> well pairs to all asset features for each asset group, subgroup and class:</w:t>
      </w:r>
    </w:p>
    <w:p w14:paraId="49932989" w14:textId="27E96D43" w:rsidR="00676F03" w:rsidRPr="00E6110F" w:rsidRDefault="00676F03" w:rsidP="00C117A3">
      <w:pPr>
        <w:numPr>
          <w:ilvl w:val="0"/>
          <w:numId w:val="38"/>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identi</w:t>
      </w:r>
      <w:r w:rsidR="00A7008F">
        <w:rPr>
          <w:rFonts w:ascii="Calibri" w:hAnsi="Calibri" w:cs="Calibri"/>
          <w:color w:val="000000"/>
          <w:sz w:val="18"/>
          <w:szCs w:val="18"/>
          <w:lang w:val="en-GB"/>
        </w:rPr>
        <w:t>fy the distances between all coal seam</w:t>
      </w:r>
      <w:r w:rsidR="00267348">
        <w:rPr>
          <w:rFonts w:ascii="Calibri" w:hAnsi="Calibri" w:cs="Calibri"/>
          <w:color w:val="000000"/>
          <w:sz w:val="18"/>
          <w:szCs w:val="18"/>
          <w:lang w:val="en-GB"/>
        </w:rPr>
        <w:t xml:space="preserve"> well pairs (N </w:t>
      </w:r>
      <w:r w:rsidRPr="00E6110F">
        <w:rPr>
          <w:rFonts w:ascii="Calibri" w:hAnsi="Calibri" w:cs="Calibri"/>
          <w:color w:val="000000"/>
          <w:sz w:val="18"/>
          <w:szCs w:val="18"/>
          <w:lang w:val="en-GB"/>
        </w:rPr>
        <w:t>=</w:t>
      </w:r>
      <w:r w:rsidR="00267348">
        <w:rPr>
          <w:rFonts w:ascii="Calibri" w:hAnsi="Calibri" w:cs="Calibri"/>
          <w:color w:val="000000"/>
          <w:sz w:val="18"/>
          <w:szCs w:val="18"/>
          <w:lang w:val="en-GB"/>
        </w:rPr>
        <w:t xml:space="preserve"> </w:t>
      </w:r>
      <w:r w:rsidRPr="00E6110F">
        <w:rPr>
          <w:rFonts w:ascii="Calibri" w:hAnsi="Calibri" w:cs="Calibri"/>
          <w:color w:val="000000"/>
          <w:sz w:val="18"/>
          <w:szCs w:val="18"/>
          <w:lang w:val="en-GB"/>
        </w:rPr>
        <w:t xml:space="preserve">424) and any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assets (for each asset class) within a radius of 30 km from each asset feature, </w:t>
      </w:r>
    </w:p>
    <w:p w14:paraId="2DAD512D" w14:textId="0520F82D" w:rsidR="00676F03" w:rsidRPr="00E6110F" w:rsidRDefault="00676F03" w:rsidP="00C117A3">
      <w:pPr>
        <w:numPr>
          <w:ilvl w:val="0"/>
          <w:numId w:val="38"/>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exclude records of distances to assets located south of </w:t>
      </w:r>
      <w:r w:rsidR="00A7008F">
        <w:rPr>
          <w:rFonts w:ascii="Calibri" w:hAnsi="Calibri" w:cs="Calibri"/>
          <w:color w:val="000000"/>
          <w:sz w:val="18"/>
          <w:szCs w:val="18"/>
          <w:lang w:val="en-GB"/>
        </w:rPr>
        <w:t>coal seam gas</w:t>
      </w:r>
      <w:r w:rsidRPr="00E6110F">
        <w:rPr>
          <w:rFonts w:ascii="Calibri" w:hAnsi="Calibri" w:cs="Calibri"/>
          <w:color w:val="000000"/>
          <w:sz w:val="18"/>
          <w:szCs w:val="18"/>
          <w:lang w:val="en-GB"/>
        </w:rPr>
        <w:t xml:space="preserve"> wells (and hence not in potential pathway with the asset based on the particle tracking analysis),</w:t>
      </w:r>
    </w:p>
    <w:p w14:paraId="6D0FEE1B" w14:textId="77777777" w:rsidR="00676F03" w:rsidRPr="00E6110F" w:rsidRDefault="00676F03" w:rsidP="00C117A3">
      <w:pPr>
        <w:numPr>
          <w:ilvl w:val="0"/>
          <w:numId w:val="38"/>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rank the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nearest distances from smallest to largest,</w:t>
      </w:r>
    </w:p>
    <w:p w14:paraId="172E7BF2" w14:textId="77777777" w:rsidR="00676F03" w:rsidRPr="00E6110F" w:rsidRDefault="00676F03" w:rsidP="00C117A3">
      <w:pPr>
        <w:numPr>
          <w:ilvl w:val="0"/>
          <w:numId w:val="38"/>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assign a rank number (i) to each of the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distances, from 1 to the smallest to </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for the largest distance,</w:t>
      </w:r>
    </w:p>
    <w:p w14:paraId="6D55A962" w14:textId="1BE8D288" w:rsidR="00676F03" w:rsidRPr="00E6110F" w:rsidRDefault="00676F03" w:rsidP="00C117A3">
      <w:pPr>
        <w:numPr>
          <w:ilvl w:val="0"/>
          <w:numId w:val="38"/>
        </w:numPr>
        <w:suppressAutoHyphens/>
        <w:autoSpaceDE w:val="0"/>
        <w:autoSpaceDN w:val="0"/>
        <w:adjustRightInd w:val="0"/>
        <w:spacing w:after="113" w:line="280" w:lineRule="atLeast"/>
        <w:ind w:left="1134"/>
        <w:textAlignment w:val="center"/>
        <w:rPr>
          <w:rFonts w:ascii="Calibri" w:hAnsi="Calibri" w:cs="Calibri"/>
          <w:color w:val="000000"/>
          <w:sz w:val="18"/>
          <w:szCs w:val="18"/>
          <w:lang w:val="en-GB"/>
        </w:rPr>
      </w:pPr>
      <w:proofErr w:type="gramStart"/>
      <w:r w:rsidRPr="00E6110F">
        <w:rPr>
          <w:rFonts w:ascii="Calibri" w:hAnsi="Calibri" w:cs="Calibri"/>
          <w:color w:val="000000"/>
          <w:sz w:val="18"/>
          <w:szCs w:val="18"/>
          <w:lang w:val="en-GB"/>
        </w:rPr>
        <w:t>apply</w:t>
      </w:r>
      <w:proofErr w:type="gramEnd"/>
      <w:r w:rsidRPr="00E6110F">
        <w:rPr>
          <w:rFonts w:ascii="Calibri" w:hAnsi="Calibri" w:cs="Calibri"/>
          <w:color w:val="000000"/>
          <w:sz w:val="18"/>
          <w:szCs w:val="18"/>
          <w:lang w:val="en-GB"/>
        </w:rPr>
        <w:t xml:space="preserve"> Weibull plotting position formula (probability = </w:t>
      </w:r>
      <w:r w:rsidRPr="00E6110F">
        <w:rPr>
          <w:rFonts w:ascii="Calibri" w:hAnsi="Calibri" w:cs="Calibri"/>
          <w:i/>
          <w:color w:val="000000"/>
          <w:sz w:val="18"/>
          <w:szCs w:val="18"/>
          <w:lang w:val="en-GB"/>
        </w:rPr>
        <w:t>i</w:t>
      </w:r>
      <w:r w:rsidRPr="00E6110F">
        <w:rPr>
          <w:rFonts w:ascii="Calibri" w:hAnsi="Calibri" w:cs="Calibri"/>
          <w:color w:val="000000"/>
          <w:sz w:val="18"/>
          <w:szCs w:val="18"/>
          <w:lang w:val="en-GB"/>
        </w:rPr>
        <w:t>/</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+1) and calculate </w:t>
      </w:r>
      <w:r w:rsidR="00A7008F">
        <w:rPr>
          <w:rFonts w:ascii="Calibri" w:hAnsi="Calibri" w:cs="Calibri"/>
          <w:color w:val="000000"/>
          <w:sz w:val="18"/>
          <w:szCs w:val="18"/>
          <w:lang w:val="en-GB"/>
        </w:rPr>
        <w:t>the cumulative distribution function</w:t>
      </w:r>
      <w:r w:rsidRPr="00E6110F">
        <w:rPr>
          <w:rFonts w:ascii="Calibri" w:hAnsi="Calibri" w:cs="Calibri"/>
          <w:color w:val="000000"/>
          <w:sz w:val="18"/>
          <w:szCs w:val="18"/>
          <w:lang w:val="en-GB"/>
        </w:rPr>
        <w:t>.</w:t>
      </w:r>
    </w:p>
    <w:p w14:paraId="3D88912B" w14:textId="3378DABB" w:rsidR="00676F03" w:rsidRPr="00E6110F" w:rsidRDefault="00676F03" w:rsidP="00676F03">
      <w:pPr>
        <w:suppressAutoHyphens/>
        <w:autoSpaceDE w:val="0"/>
        <w:autoSpaceDN w:val="0"/>
        <w:adjustRightInd w:val="0"/>
        <w:spacing w:after="113" w:line="280" w:lineRule="atLeast"/>
        <w:textAlignment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Note that in the first approach only the distance to the nearest </w:t>
      </w:r>
      <w:r w:rsidR="00A7008F">
        <w:rPr>
          <w:rFonts w:ascii="Calibri" w:hAnsi="Calibri" w:cs="Calibri"/>
          <w:color w:val="000000"/>
          <w:sz w:val="18"/>
          <w:szCs w:val="18"/>
          <w:lang w:val="en-GB"/>
        </w:rPr>
        <w:t>coal seam gas</w:t>
      </w:r>
      <w:r w:rsidRPr="00E6110F">
        <w:rPr>
          <w:rFonts w:ascii="Calibri" w:hAnsi="Calibri" w:cs="Calibri"/>
          <w:color w:val="000000"/>
          <w:sz w:val="18"/>
          <w:szCs w:val="18"/>
          <w:lang w:val="en-GB"/>
        </w:rPr>
        <w:t xml:space="preserve"> well is accounted for, and therefore uses only a (relatively small) subset of all pos</w:t>
      </w:r>
      <w:r w:rsidR="00A7008F">
        <w:rPr>
          <w:rFonts w:ascii="Calibri" w:hAnsi="Calibri" w:cs="Calibri"/>
          <w:color w:val="000000"/>
          <w:sz w:val="18"/>
          <w:szCs w:val="18"/>
          <w:lang w:val="en-GB"/>
        </w:rPr>
        <w:t>sible distances</w:t>
      </w:r>
      <w:r w:rsidR="00034FD7">
        <w:rPr>
          <w:rFonts w:ascii="Calibri" w:hAnsi="Calibri" w:cs="Calibri"/>
          <w:color w:val="000000"/>
          <w:sz w:val="18"/>
          <w:szCs w:val="18"/>
          <w:lang w:val="en-GB"/>
        </w:rPr>
        <w:t xml:space="preserve"> (a total of 1*</w:t>
      </w:r>
      <w:r w:rsidR="00034FD7" w:rsidRPr="00706B3C">
        <w:rPr>
          <w:rFonts w:ascii="Calibri" w:hAnsi="Calibri" w:cs="Calibri"/>
          <w:i/>
          <w:color w:val="000000"/>
          <w:sz w:val="18"/>
          <w:szCs w:val="18"/>
          <w:lang w:val="en-GB"/>
        </w:rPr>
        <w:t>N</w:t>
      </w:r>
      <w:r w:rsidR="00034FD7">
        <w:rPr>
          <w:rFonts w:ascii="Calibri" w:hAnsi="Calibri" w:cs="Calibri"/>
          <w:color w:val="000000"/>
          <w:sz w:val="18"/>
          <w:szCs w:val="18"/>
          <w:lang w:val="en-GB"/>
        </w:rPr>
        <w:t xml:space="preserve"> distances is considered)</w:t>
      </w:r>
      <w:r w:rsidR="00A7008F">
        <w:rPr>
          <w:rFonts w:ascii="Calibri" w:hAnsi="Calibri" w:cs="Calibri"/>
          <w:color w:val="000000"/>
          <w:sz w:val="18"/>
          <w:szCs w:val="18"/>
          <w:lang w:val="en-GB"/>
        </w:rPr>
        <w:t xml:space="preserve">. </w:t>
      </w:r>
      <w:r w:rsidR="00EA277C">
        <w:rPr>
          <w:rFonts w:ascii="Calibri" w:hAnsi="Calibri" w:cs="Calibri"/>
          <w:color w:val="000000"/>
          <w:sz w:val="18"/>
          <w:szCs w:val="18"/>
          <w:lang w:val="en-GB"/>
        </w:rPr>
        <w:t xml:space="preserve">For example, in the case of the Gunnedah Basin, </w:t>
      </w:r>
      <w:r w:rsidR="00A7008F">
        <w:rPr>
          <w:rFonts w:ascii="Calibri" w:hAnsi="Calibri" w:cs="Calibri"/>
          <w:color w:val="000000"/>
          <w:sz w:val="18"/>
          <w:szCs w:val="18"/>
          <w:lang w:val="en-GB"/>
        </w:rPr>
        <w:t>424 coal seam gas</w:t>
      </w:r>
      <w:r w:rsidRPr="00E6110F">
        <w:rPr>
          <w:rFonts w:ascii="Calibri" w:hAnsi="Calibri" w:cs="Calibri"/>
          <w:color w:val="000000"/>
          <w:sz w:val="18"/>
          <w:szCs w:val="18"/>
          <w:lang w:val="en-GB"/>
        </w:rPr>
        <w:t xml:space="preserve"> wells are considered in the spatial analysis</w:t>
      </w:r>
      <w:r w:rsidR="00EA277C">
        <w:rPr>
          <w:rFonts w:ascii="Calibri" w:hAnsi="Calibri" w:cs="Calibri"/>
          <w:color w:val="000000"/>
          <w:sz w:val="18"/>
          <w:szCs w:val="18"/>
          <w:lang w:val="en-GB"/>
        </w:rPr>
        <w:t>. As a result of this method</w:t>
      </w:r>
      <w:r w:rsidRPr="00E6110F">
        <w:rPr>
          <w:rFonts w:ascii="Calibri" w:hAnsi="Calibri" w:cs="Calibri"/>
          <w:color w:val="000000"/>
          <w:sz w:val="18"/>
          <w:szCs w:val="18"/>
          <w:lang w:val="en-GB"/>
        </w:rPr>
        <w:t xml:space="preserve">, the subset for any asset class represents a 1/424 fraction of all possible distances. In the second approach the </w:t>
      </w:r>
      <w:r w:rsidR="00034FD7">
        <w:rPr>
          <w:rFonts w:ascii="Calibri" w:hAnsi="Calibri" w:cs="Calibri"/>
          <w:color w:val="000000"/>
          <w:sz w:val="18"/>
          <w:szCs w:val="18"/>
          <w:lang w:val="en-GB"/>
        </w:rPr>
        <w:t xml:space="preserve">theoretical maximum </w:t>
      </w:r>
      <w:r w:rsidRPr="00E6110F">
        <w:rPr>
          <w:rFonts w:ascii="Calibri" w:hAnsi="Calibri" w:cs="Calibri"/>
          <w:color w:val="000000"/>
          <w:sz w:val="18"/>
          <w:szCs w:val="18"/>
          <w:lang w:val="en-GB"/>
        </w:rPr>
        <w:t xml:space="preserve">number of distances </w:t>
      </w:r>
      <w:r w:rsidR="00034FD7">
        <w:rPr>
          <w:rFonts w:ascii="Calibri" w:hAnsi="Calibri" w:cs="Calibri"/>
          <w:color w:val="000000"/>
          <w:sz w:val="18"/>
          <w:szCs w:val="18"/>
          <w:lang w:val="en-GB"/>
        </w:rPr>
        <w:t xml:space="preserve">is </w:t>
      </w:r>
      <w:r w:rsidR="00034FD7" w:rsidRPr="00E6110F">
        <w:rPr>
          <w:rFonts w:ascii="Calibri" w:hAnsi="Calibri" w:cs="Calibri"/>
          <w:color w:val="000000"/>
          <w:sz w:val="18"/>
          <w:szCs w:val="18"/>
          <w:lang w:val="en-GB"/>
        </w:rPr>
        <w:t>5*</w:t>
      </w:r>
      <w:r w:rsidR="00034FD7" w:rsidRPr="00E6110F">
        <w:rPr>
          <w:rFonts w:ascii="Calibri" w:hAnsi="Calibri" w:cs="Calibri"/>
          <w:i/>
          <w:color w:val="000000"/>
          <w:sz w:val="18"/>
          <w:szCs w:val="18"/>
          <w:lang w:val="en-GB"/>
        </w:rPr>
        <w:t>N</w:t>
      </w:r>
      <w:r w:rsidR="00034FD7" w:rsidRPr="00034FD7">
        <w:rPr>
          <w:rFonts w:ascii="Calibri" w:hAnsi="Calibri" w:cs="Calibri"/>
          <w:color w:val="000000"/>
          <w:sz w:val="18"/>
          <w:szCs w:val="18"/>
          <w:lang w:val="en-GB"/>
        </w:rPr>
        <w:t>.</w:t>
      </w:r>
      <w:r w:rsidR="00034FD7" w:rsidRPr="00706B3C">
        <w:rPr>
          <w:rFonts w:ascii="Calibri" w:hAnsi="Calibri" w:cs="Calibri"/>
          <w:color w:val="000000"/>
          <w:sz w:val="18"/>
          <w:szCs w:val="18"/>
          <w:lang w:val="en-GB"/>
        </w:rPr>
        <w:t xml:space="preserve"> </w:t>
      </w:r>
      <w:r w:rsidR="00034FD7">
        <w:rPr>
          <w:rFonts w:ascii="Calibri" w:hAnsi="Calibri" w:cs="Calibri"/>
          <w:color w:val="000000"/>
          <w:sz w:val="18"/>
          <w:szCs w:val="18"/>
          <w:lang w:val="en-GB"/>
        </w:rPr>
        <w:t>F</w:t>
      </w:r>
      <w:r w:rsidR="00034FD7" w:rsidRPr="00706B3C">
        <w:rPr>
          <w:rFonts w:ascii="Calibri" w:hAnsi="Calibri" w:cs="Calibri"/>
          <w:color w:val="000000"/>
          <w:sz w:val="18"/>
          <w:szCs w:val="18"/>
          <w:lang w:val="en-GB"/>
        </w:rPr>
        <w:t>or the practical case of the Gunnedah Basin,</w:t>
      </w:r>
      <w:r w:rsidR="00034FD7" w:rsidRPr="00E6110F">
        <w:rPr>
          <w:rFonts w:ascii="Calibri" w:hAnsi="Calibri" w:cs="Calibri"/>
          <w:color w:val="000000"/>
          <w:sz w:val="18"/>
          <w:szCs w:val="18"/>
          <w:lang w:val="en-GB"/>
        </w:rPr>
        <w:t xml:space="preserve"> </w:t>
      </w:r>
      <w:r w:rsidR="00034FD7">
        <w:rPr>
          <w:rFonts w:ascii="Calibri" w:hAnsi="Calibri" w:cs="Calibri"/>
          <w:color w:val="000000"/>
          <w:sz w:val="18"/>
          <w:szCs w:val="18"/>
          <w:lang w:val="en-GB"/>
        </w:rPr>
        <w:t xml:space="preserve">the number of distances </w:t>
      </w:r>
      <w:r w:rsidRPr="00E6110F">
        <w:rPr>
          <w:rFonts w:ascii="Calibri" w:hAnsi="Calibri" w:cs="Calibri"/>
          <w:color w:val="000000"/>
          <w:sz w:val="18"/>
          <w:szCs w:val="18"/>
          <w:lang w:val="en-GB"/>
        </w:rPr>
        <w:t>recorded was less than 5*</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as distances to any of the nearest 5 </w:t>
      </w:r>
      <w:r w:rsidR="00A7008F">
        <w:rPr>
          <w:rFonts w:ascii="Calibri" w:hAnsi="Calibri" w:cs="Calibri"/>
          <w:color w:val="000000"/>
          <w:sz w:val="18"/>
          <w:szCs w:val="18"/>
          <w:lang w:val="en-GB"/>
        </w:rPr>
        <w:t>coal seam gas</w:t>
      </w:r>
      <w:r w:rsidRPr="00E6110F">
        <w:rPr>
          <w:rFonts w:ascii="Calibri" w:hAnsi="Calibri" w:cs="Calibri"/>
          <w:color w:val="000000"/>
          <w:sz w:val="18"/>
          <w:szCs w:val="18"/>
          <w:lang w:val="en-GB"/>
        </w:rPr>
        <w:t xml:space="preserve"> wells located north of assets were filtered out. </w:t>
      </w:r>
      <w:r w:rsidR="00386F04">
        <w:rPr>
          <w:rFonts w:ascii="Calibri" w:hAnsi="Calibri" w:cs="Calibri"/>
          <w:color w:val="000000"/>
          <w:sz w:val="18"/>
          <w:szCs w:val="18"/>
          <w:lang w:val="en-GB"/>
        </w:rPr>
        <w:t xml:space="preserve">The third method considers all possible distances and was therefore selected here for the spatial analysis; the first and second method severely underestimate the number of connections which may introduce bias in the data set. </w:t>
      </w:r>
      <w:r w:rsidRPr="00E6110F">
        <w:rPr>
          <w:rFonts w:ascii="Calibri" w:hAnsi="Calibri" w:cs="Calibri"/>
          <w:color w:val="000000"/>
          <w:sz w:val="18"/>
          <w:szCs w:val="18"/>
          <w:lang w:val="en-GB"/>
        </w:rPr>
        <w:t>For the same reason</w:t>
      </w:r>
      <w:r w:rsidR="00386F04">
        <w:rPr>
          <w:rFonts w:ascii="Calibri" w:hAnsi="Calibri" w:cs="Calibri"/>
          <w:color w:val="000000"/>
          <w:sz w:val="18"/>
          <w:szCs w:val="18"/>
          <w:lang w:val="en-GB"/>
        </w:rPr>
        <w:t xml:space="preserve"> as for the second method</w:t>
      </w:r>
      <w:r w:rsidR="00E60D2B">
        <w:rPr>
          <w:rFonts w:ascii="Calibri" w:hAnsi="Calibri" w:cs="Calibri"/>
          <w:color w:val="000000"/>
          <w:sz w:val="18"/>
          <w:szCs w:val="18"/>
          <w:lang w:val="en-GB"/>
        </w:rPr>
        <w:t>,</w:t>
      </w:r>
      <w:r w:rsidRPr="00E6110F">
        <w:rPr>
          <w:rFonts w:ascii="Calibri" w:hAnsi="Calibri" w:cs="Calibri"/>
          <w:color w:val="000000"/>
          <w:sz w:val="18"/>
          <w:szCs w:val="18"/>
          <w:lang w:val="en-GB"/>
        </w:rPr>
        <w:t xml:space="preserve"> the number of distances recorded for the third approach was less than</w:t>
      </w:r>
      <w:r w:rsidR="00386F04">
        <w:rPr>
          <w:rFonts w:ascii="Calibri" w:hAnsi="Calibri" w:cs="Calibri"/>
          <w:color w:val="000000"/>
          <w:sz w:val="18"/>
          <w:szCs w:val="18"/>
          <w:lang w:val="en-GB"/>
        </w:rPr>
        <w:t xml:space="preserve"> the theoretical maximum</w:t>
      </w:r>
      <w:r w:rsidRPr="00E6110F">
        <w:rPr>
          <w:rFonts w:ascii="Calibri" w:hAnsi="Calibri" w:cs="Calibri"/>
          <w:color w:val="000000"/>
          <w:sz w:val="18"/>
          <w:szCs w:val="18"/>
          <w:lang w:val="en-GB"/>
        </w:rPr>
        <w:t xml:space="preserve"> 424*</w:t>
      </w:r>
      <w:r w:rsidRPr="00E6110F">
        <w:rPr>
          <w:rFonts w:ascii="Calibri" w:hAnsi="Calibri" w:cs="Calibri"/>
          <w:i/>
          <w:color w:val="000000"/>
          <w:sz w:val="18"/>
          <w:szCs w:val="18"/>
          <w:lang w:val="en-GB"/>
        </w:rPr>
        <w:t>N</w:t>
      </w:r>
      <w:r w:rsidRPr="00E6110F">
        <w:rPr>
          <w:rFonts w:ascii="Calibri" w:hAnsi="Calibri" w:cs="Calibri"/>
          <w:color w:val="000000"/>
          <w:sz w:val="18"/>
          <w:szCs w:val="18"/>
          <w:lang w:val="en-GB"/>
        </w:rPr>
        <w:t xml:space="preserve">. </w:t>
      </w:r>
    </w:p>
    <w:p w14:paraId="43910D79" w14:textId="308773C2" w:rsidR="00681AF6" w:rsidRDefault="00676F03" w:rsidP="00676F03">
      <w:pPr>
        <w:pStyle w:val="Body"/>
        <w:rPr>
          <w:lang w:val="en-US"/>
        </w:rPr>
      </w:pPr>
      <w:r w:rsidRPr="00E6110F">
        <w:rPr>
          <w:lang w:val="en-US"/>
        </w:rPr>
        <w:t xml:space="preserve">For spatial analyses the GIS shape type of the elements in the Asset Register was an important consideration. Within the Namoi Asset Register geodatabase, point, line and polygon feature types were stored as multipart features, i.e. unique features comprised one or more parts (spatial units). The proximity analysis measures the distance from the source feature (in this case the CSG wells) to the nearest part of unique target features (in this case elements) thus disregarding any other spatially discrete parts of a multipart feature. It was considered important to account for distances to discrete features of elements (i.e. features occurring at more than one location). Multipart features were therefore converted or disaggregated to singlepart features so that distances to each element or element part would be measured and included in the frequency-proximity analysis. This conversion preserves the attributes of the input features while each </w:t>
      </w:r>
      <w:r w:rsidRPr="00E6110F">
        <w:t>individual</w:t>
      </w:r>
      <w:r w:rsidRPr="00E6110F">
        <w:rPr>
          <w:lang w:val="en-US"/>
        </w:rPr>
        <w:t xml:space="preserve"> feature part is assigned a new object identifier and becomes a discrete spatial unit (</w:t>
      </w:r>
      <w:r w:rsidRPr="00E6110F">
        <w:rPr>
          <w:lang w:val="en-US"/>
        </w:rPr>
        <w:fldChar w:fldCharType="begin" w:fldLock="1"/>
      </w:r>
      <w:r w:rsidRPr="00E6110F">
        <w:rPr>
          <w:lang w:val="en-US"/>
        </w:rPr>
        <w:instrText xml:space="preserve"> REF _Ref450061345 \h </w:instrText>
      </w:r>
      <w:r w:rsidR="00E6110F">
        <w:rPr>
          <w:lang w:val="en-US"/>
        </w:rPr>
        <w:instrText xml:space="preserve"> \* MERGEFORMAT </w:instrText>
      </w:r>
      <w:r w:rsidRPr="00E6110F">
        <w:rPr>
          <w:lang w:val="en-US"/>
        </w:rPr>
      </w:r>
      <w:r w:rsidRPr="00E6110F">
        <w:rPr>
          <w:lang w:val="en-US"/>
        </w:rPr>
        <w:fldChar w:fldCharType="separate"/>
      </w:r>
      <w:r w:rsidR="00335E79" w:rsidRPr="00E6110F">
        <w:t xml:space="preserve">Figure </w:t>
      </w:r>
      <w:r w:rsidR="00335E79">
        <w:rPr>
          <w:noProof/>
        </w:rPr>
        <w:t>3</w:t>
      </w:r>
      <w:r w:rsidR="00335E79">
        <w:rPr>
          <w:noProof/>
        </w:rPr>
        <w:noBreakHyphen/>
        <w:t>2</w:t>
      </w:r>
      <w:r w:rsidRPr="00E6110F">
        <w:rPr>
          <w:lang w:val="en-US"/>
        </w:rPr>
        <w:fldChar w:fldCharType="end"/>
      </w:r>
      <w:r w:rsidRPr="00E6110F">
        <w:rPr>
          <w:lang w:val="en-US"/>
        </w:rPr>
        <w:t xml:space="preserve"> and </w:t>
      </w:r>
      <w:r w:rsidRPr="00E6110F">
        <w:rPr>
          <w:lang w:val="en-US"/>
        </w:rPr>
        <w:fldChar w:fldCharType="begin" w:fldLock="1"/>
      </w:r>
      <w:r w:rsidRPr="00E6110F">
        <w:rPr>
          <w:lang w:val="en-US"/>
        </w:rPr>
        <w:instrText xml:space="preserve"> REF _Ref449617183 \h </w:instrText>
      </w:r>
      <w:r w:rsidR="00E6110F">
        <w:rPr>
          <w:lang w:val="en-US"/>
        </w:rPr>
        <w:instrText xml:space="preserve"> \* MERGEFORMAT </w:instrText>
      </w:r>
      <w:r w:rsidRPr="00E6110F">
        <w:rPr>
          <w:lang w:val="en-US"/>
        </w:rPr>
      </w:r>
      <w:r w:rsidRPr="00E6110F">
        <w:rPr>
          <w:lang w:val="en-US"/>
        </w:rPr>
        <w:fldChar w:fldCharType="separate"/>
      </w:r>
      <w:r w:rsidR="00335E79" w:rsidRPr="00E6110F">
        <w:t xml:space="preserve">Figure </w:t>
      </w:r>
      <w:r w:rsidR="00335E79">
        <w:rPr>
          <w:noProof/>
        </w:rPr>
        <w:t>3</w:t>
      </w:r>
      <w:r w:rsidR="00335E79">
        <w:rPr>
          <w:noProof/>
        </w:rPr>
        <w:noBreakHyphen/>
        <w:t>3</w:t>
      </w:r>
      <w:r w:rsidRPr="00E6110F">
        <w:rPr>
          <w:lang w:val="en-US"/>
        </w:rPr>
        <w:fldChar w:fldCharType="end"/>
      </w:r>
      <w:r w:rsidRPr="00E6110F">
        <w:rPr>
          <w:lang w:val="en-US"/>
        </w:rPr>
        <w:t>). The method used to split multipart features does not necessarily rely on spatial separation, as elements of multipart features can overlap, intersect and share boundaries. The split occurs only on multipart features; features that are already singlepart will not be affected. Singlepart features, by definition, are a single discrete spatial object part (point, line segment or enclosed polygon). Disaggregation of features in the Namoi Asset List database (Version 5) resulted in 10 multipart line features becoming 119 singlepart features, 2</w:t>
      </w:r>
      <w:r w:rsidR="00CD2A24">
        <w:rPr>
          <w:lang w:val="en-US"/>
        </w:rPr>
        <w:t>,</w:t>
      </w:r>
      <w:r w:rsidRPr="00E6110F">
        <w:rPr>
          <w:lang w:val="en-US"/>
        </w:rPr>
        <w:t>074 multipart polygon features becoming 12,862 singlepart features, and 89 multipart point features becoming 8,894 singlepart features.</w:t>
      </w:r>
    </w:p>
    <w:p w14:paraId="5770B26A" w14:textId="77777777" w:rsidR="00D72D97" w:rsidRPr="00E6110F" w:rsidRDefault="00D72D97" w:rsidP="00676F03">
      <w:pPr>
        <w:pStyle w:val="Body"/>
      </w:pPr>
    </w:p>
    <w:p w14:paraId="2EBEC0DC" w14:textId="77777777" w:rsidR="00681AF6" w:rsidRPr="00E6110F" w:rsidRDefault="00681AF6" w:rsidP="001673D0">
      <w:pPr>
        <w:pStyle w:val="Body"/>
        <w:keepNext/>
        <w:jc w:val="center"/>
      </w:pPr>
      <w:r w:rsidRPr="00E6110F">
        <w:rPr>
          <w:noProof/>
          <w:lang w:val="en-AU" w:eastAsia="en-AU"/>
        </w:rPr>
        <w:drawing>
          <wp:inline distT="0" distB="0" distL="0" distR="0" wp14:anchorId="4F6B6FA7" wp14:editId="7FCCE9E7">
            <wp:extent cx="4607765" cy="2497667"/>
            <wp:effectExtent l="0" t="0" r="2540" b="0"/>
            <wp:docPr id="7" name="Picture 7" descr="Schematice representation of spatial multipart features and singlepart features."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16510" cy="2502407"/>
                    </a:xfrm>
                    <a:prstGeom prst="rect">
                      <a:avLst/>
                    </a:prstGeom>
                  </pic:spPr>
                </pic:pic>
              </a:graphicData>
            </a:graphic>
          </wp:inline>
        </w:drawing>
      </w:r>
    </w:p>
    <w:p w14:paraId="66F992F5" w14:textId="5AC2E199" w:rsidR="00681AF6" w:rsidRPr="00E6110F" w:rsidRDefault="007E5A7A" w:rsidP="007E5A7A">
      <w:pPr>
        <w:pStyle w:val="Imagecaption"/>
      </w:pPr>
      <w:bookmarkStart w:id="366" w:name="_Ref450061345"/>
      <w:bookmarkStart w:id="367" w:name="_Toc477347610"/>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w:t>
      </w:r>
      <w:r w:rsidR="00254026">
        <w:fldChar w:fldCharType="end"/>
      </w:r>
      <w:bookmarkEnd w:id="366"/>
      <w:r w:rsidRPr="00E6110F">
        <w:t xml:space="preserve"> </w:t>
      </w:r>
      <w:r w:rsidR="00681AF6" w:rsidRPr="00E6110F">
        <w:t>Schematic representation of multipart and singlepart features in ArcGIS (from ArcGIS Resource Centre).</w:t>
      </w:r>
      <w:bookmarkEnd w:id="367"/>
    </w:p>
    <w:p w14:paraId="78E8207F" w14:textId="77777777" w:rsidR="007E5A7A" w:rsidRPr="00E6110F" w:rsidRDefault="007E5A7A" w:rsidP="007E5A7A">
      <w:pPr>
        <w:pStyle w:val="Body"/>
      </w:pPr>
    </w:p>
    <w:p w14:paraId="0F87B572" w14:textId="77777777" w:rsidR="00681AF6" w:rsidRPr="00E6110F" w:rsidRDefault="00681AF6" w:rsidP="001673D0">
      <w:pPr>
        <w:pStyle w:val="Body"/>
        <w:keepNext/>
        <w:jc w:val="center"/>
      </w:pPr>
      <w:r w:rsidRPr="00E6110F">
        <w:rPr>
          <w:noProof/>
          <w:lang w:val="en-AU" w:eastAsia="en-AU"/>
        </w:rPr>
        <w:drawing>
          <wp:inline distT="0" distB="0" distL="0" distR="0" wp14:anchorId="1561490A" wp14:editId="31F1D677">
            <wp:extent cx="4321810" cy="2880995"/>
            <wp:effectExtent l="0" t="0" r="2540" b="0"/>
            <wp:docPr id="11" name="Picture 11" descr="Diagram of multipart and singlepart line features."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n029\Documents\CSG_HazardScreeningProject\Multipart vs Singlepart Schematic.pn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4321810" cy="2880995"/>
                    </a:xfrm>
                    <a:prstGeom prst="rect">
                      <a:avLst/>
                    </a:prstGeom>
                    <a:noFill/>
                    <a:ln>
                      <a:noFill/>
                    </a:ln>
                  </pic:spPr>
                </pic:pic>
              </a:graphicData>
            </a:graphic>
          </wp:inline>
        </w:drawing>
      </w:r>
    </w:p>
    <w:p w14:paraId="27B1429D" w14:textId="3D8844CD" w:rsidR="00681AF6" w:rsidRPr="00E6110F" w:rsidRDefault="00681AF6" w:rsidP="007E5A7A">
      <w:pPr>
        <w:pStyle w:val="Imagecaption"/>
      </w:pPr>
      <w:bookmarkStart w:id="368" w:name="_Ref449617183"/>
      <w:bookmarkStart w:id="369" w:name="_Toc477347611"/>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w:t>
      </w:r>
      <w:r w:rsidR="00254026">
        <w:fldChar w:fldCharType="end"/>
      </w:r>
      <w:bookmarkEnd w:id="368"/>
      <w:r w:rsidRPr="00E6110F">
        <w:t xml:space="preserve"> Multipart and singlepart line feature representation; line segment representing a single line feature highlighted in singlepart pane</w:t>
      </w:r>
      <w:r w:rsidR="002B71C4" w:rsidRPr="00E6110F">
        <w:t>l</w:t>
      </w:r>
      <w:r w:rsidRPr="00E6110F">
        <w:t xml:space="preserve"> is part of one multipart line feature shown highlighted in the multipart pane</w:t>
      </w:r>
      <w:r w:rsidR="002B71C4" w:rsidRPr="00E6110F">
        <w:t>l</w:t>
      </w:r>
      <w:r w:rsidR="007E5A7A" w:rsidRPr="00E6110F">
        <w:t>.</w:t>
      </w:r>
      <w:bookmarkEnd w:id="369"/>
    </w:p>
    <w:p w14:paraId="3059DB39" w14:textId="1F8CC317" w:rsidR="001A17F1" w:rsidRPr="00E6110F" w:rsidRDefault="001A17F1" w:rsidP="00681AF6">
      <w:pPr>
        <w:pStyle w:val="Body"/>
      </w:pPr>
    </w:p>
    <w:p w14:paraId="7A706D10" w14:textId="2822BD1E" w:rsidR="00EF6A83" w:rsidRPr="00E6110F" w:rsidRDefault="00B06755" w:rsidP="00120137">
      <w:pPr>
        <w:pStyle w:val="Body"/>
      </w:pPr>
      <w:r w:rsidRPr="00E6110F">
        <w:t>The proximity – frequency relationship can also be used for hypothesis testing, in that a test can be performed on whether the possibility of a hypothesised impact occurring can be rejected with a high probability. For instance, a typical hypothesis could be one that considers contamination of a domestic bore 500 m from the coal seam gas well. Hypothesis testing enables the rejection of the possibility of such an occurrence with high probabilities such as 95 or 99%.</w:t>
      </w:r>
      <w:r w:rsidR="00EF6A83" w:rsidRPr="00E6110F">
        <w:t xml:space="preserve"> </w:t>
      </w:r>
    </w:p>
    <w:p w14:paraId="4EA1877E" w14:textId="16224428" w:rsidR="00C17BD9" w:rsidRPr="00E6110F" w:rsidRDefault="00C17BD9" w:rsidP="00C17BD9">
      <w:pPr>
        <w:pStyle w:val="Heading2"/>
      </w:pPr>
      <w:bookmarkStart w:id="370" w:name="_Ref470859374"/>
      <w:bookmarkStart w:id="371" w:name="_Toc494444550"/>
      <w:r w:rsidRPr="00E6110F">
        <w:t xml:space="preserve">Frequency-proximity relationships for Gunnedah </w:t>
      </w:r>
      <w:r w:rsidR="00E60D2B">
        <w:t>B</w:t>
      </w:r>
      <w:r w:rsidRPr="00E6110F">
        <w:t>asin</w:t>
      </w:r>
      <w:bookmarkEnd w:id="370"/>
      <w:bookmarkEnd w:id="371"/>
    </w:p>
    <w:p w14:paraId="6A65F347" w14:textId="7F5D608A" w:rsidR="005072A9" w:rsidRPr="00E6110F" w:rsidRDefault="00C17BD9" w:rsidP="00C17BD9">
      <w:pPr>
        <w:pStyle w:val="Heading3"/>
      </w:pPr>
      <w:bookmarkStart w:id="372" w:name="_Toc494444551"/>
      <w:r w:rsidRPr="00E6110F">
        <w:t>Ecological assets</w:t>
      </w:r>
      <w:bookmarkEnd w:id="372"/>
    </w:p>
    <w:p w14:paraId="05BE5287" w14:textId="05F2AB83" w:rsidR="00681AF6" w:rsidRPr="00E6110F" w:rsidRDefault="00681AF6" w:rsidP="00224D36">
      <w:pPr>
        <w:pStyle w:val="Heading3"/>
        <w:numPr>
          <w:ilvl w:val="3"/>
          <w:numId w:val="1"/>
        </w:numPr>
      </w:pPr>
      <w:bookmarkStart w:id="373" w:name="_Toc494444552"/>
      <w:r w:rsidRPr="00E6110F">
        <w:t xml:space="preserve">Groundwater </w:t>
      </w:r>
      <w:r w:rsidR="00E60D2B">
        <w:t>d</w:t>
      </w:r>
      <w:r w:rsidR="00E60D2B" w:rsidRPr="00E6110F">
        <w:t xml:space="preserve">ependent </w:t>
      </w:r>
      <w:r w:rsidR="00E60D2B">
        <w:t>e</w:t>
      </w:r>
      <w:r w:rsidR="00E60D2B" w:rsidRPr="00E6110F">
        <w:t xml:space="preserve">cosystem </w:t>
      </w:r>
      <w:r w:rsidRPr="00E6110F">
        <w:t>asset class</w:t>
      </w:r>
      <w:bookmarkEnd w:id="373"/>
    </w:p>
    <w:p w14:paraId="2430D1C9" w14:textId="0E220479" w:rsidR="00BF0531" w:rsidRDefault="00681AF6" w:rsidP="00681AF6">
      <w:pPr>
        <w:pStyle w:val="Body"/>
      </w:pPr>
      <w:r w:rsidRPr="00E6110F">
        <w:t xml:space="preserve">Cumulative probability plots of </w:t>
      </w:r>
      <w:r w:rsidR="00294D25">
        <w:t xml:space="preserve">horizontal </w:t>
      </w:r>
      <w:r w:rsidRPr="00E6110F">
        <w:t xml:space="preserve">distance of assets from CSG wells for the GDE asset class determined through the </w:t>
      </w:r>
      <w:r w:rsidR="00A56360" w:rsidRPr="00E6110F">
        <w:t>three</w:t>
      </w:r>
      <w:r w:rsidRPr="00E6110F">
        <w:t xml:space="preserve"> </w:t>
      </w:r>
      <w:r w:rsidR="00A56360" w:rsidRPr="00E6110F">
        <w:t>approaches</w:t>
      </w:r>
      <w:r w:rsidRPr="00E6110F">
        <w:t xml:space="preserve"> are shown in </w:t>
      </w:r>
      <w:r w:rsidRPr="00E6110F">
        <w:fldChar w:fldCharType="begin" w:fldLock="1"/>
      </w:r>
      <w:r w:rsidRPr="00E6110F">
        <w:instrText xml:space="preserve"> REF _Ref446091079 \h </w:instrText>
      </w:r>
      <w:r w:rsidR="00E6110F">
        <w:instrText xml:space="preserve"> \* MERGEFORMAT </w:instrText>
      </w:r>
      <w:r w:rsidRPr="00E6110F">
        <w:fldChar w:fldCharType="separate"/>
      </w:r>
      <w:r w:rsidR="00335E79" w:rsidRPr="00E6110F">
        <w:t xml:space="preserve">Figure </w:t>
      </w:r>
      <w:r w:rsidR="00335E79">
        <w:rPr>
          <w:noProof/>
        </w:rPr>
        <w:t>3</w:t>
      </w:r>
      <w:r w:rsidR="00335E79">
        <w:rPr>
          <w:noProof/>
        </w:rPr>
        <w:noBreakHyphen/>
        <w:t>4</w:t>
      </w:r>
      <w:r w:rsidRPr="00E6110F">
        <w:fldChar w:fldCharType="end"/>
      </w:r>
      <w:r w:rsidRPr="00E6110F">
        <w:t xml:space="preserve"> to </w:t>
      </w:r>
      <w:r w:rsidRPr="00E6110F">
        <w:fldChar w:fldCharType="begin" w:fldLock="1"/>
      </w:r>
      <w:r w:rsidRPr="00E6110F">
        <w:instrText xml:space="preserve"> REF _Ref449953854 \h </w:instrText>
      </w:r>
      <w:r w:rsidR="00E6110F">
        <w:instrText xml:space="preserve"> \* MERGEFORMAT </w:instrText>
      </w:r>
      <w:r w:rsidRPr="00E6110F">
        <w:fldChar w:fldCharType="separate"/>
      </w:r>
      <w:r w:rsidR="00335E79" w:rsidRPr="00E6110F">
        <w:t xml:space="preserve">Figure </w:t>
      </w:r>
      <w:r w:rsidR="00335E79">
        <w:rPr>
          <w:noProof/>
        </w:rPr>
        <w:t>3</w:t>
      </w:r>
      <w:r w:rsidR="00335E79">
        <w:rPr>
          <w:noProof/>
        </w:rPr>
        <w:noBreakHyphen/>
        <w:t>6</w:t>
      </w:r>
      <w:r w:rsidRPr="00E6110F">
        <w:fldChar w:fldCharType="end"/>
      </w:r>
      <w:r w:rsidRPr="00E6110F">
        <w:t xml:space="preserve">. Distances of zero </w:t>
      </w:r>
      <w:r w:rsidR="00BF0531">
        <w:t xml:space="preserve">m </w:t>
      </w:r>
      <w:r w:rsidRPr="00E6110F">
        <w:t xml:space="preserve">(i.e. features </w:t>
      </w:r>
      <w:r w:rsidR="001B2D1B">
        <w:t xml:space="preserve">– primarily large polygons that occur throughout the </w:t>
      </w:r>
      <w:r w:rsidR="00211393">
        <w:t>study area</w:t>
      </w:r>
      <w:r w:rsidR="001B2D1B">
        <w:t xml:space="preserve">, see </w:t>
      </w:r>
      <w:r w:rsidR="00294D25">
        <w:fldChar w:fldCharType="begin" w:fldLock="1"/>
      </w:r>
      <w:r w:rsidR="00294D25">
        <w:instrText xml:space="preserve"> REF _Ref449112169 \h </w:instrText>
      </w:r>
      <w:r w:rsidR="00294D25">
        <w:fldChar w:fldCharType="separate"/>
      </w:r>
      <w:r w:rsidR="00335E79" w:rsidRPr="00E6110F">
        <w:t xml:space="preserve">Figure </w:t>
      </w:r>
      <w:r w:rsidR="00335E79">
        <w:rPr>
          <w:noProof/>
        </w:rPr>
        <w:t>2</w:t>
      </w:r>
      <w:r w:rsidR="00335E79">
        <w:noBreakHyphen/>
      </w:r>
      <w:r w:rsidR="00335E79">
        <w:rPr>
          <w:noProof/>
        </w:rPr>
        <w:t>18</w:t>
      </w:r>
      <w:r w:rsidR="00294D25">
        <w:fldChar w:fldCharType="end"/>
      </w:r>
      <w:r w:rsidR="00294D25">
        <w:t xml:space="preserve"> </w:t>
      </w:r>
      <w:r w:rsidR="001B2D1B">
        <w:t xml:space="preserve">- </w:t>
      </w:r>
      <w:r w:rsidRPr="00E6110F">
        <w:t xml:space="preserve">directly interesting with CSG well locations) are not shown on </w:t>
      </w:r>
      <w:r w:rsidR="004147E8" w:rsidRPr="00E6110F">
        <w:t xml:space="preserve">the </w:t>
      </w:r>
      <w:r w:rsidRPr="00E6110F">
        <w:t>log</w:t>
      </w:r>
      <w:r w:rsidRPr="00E6110F">
        <w:rPr>
          <w:vertAlign w:val="subscript"/>
        </w:rPr>
        <w:t>10</w:t>
      </w:r>
      <w:r w:rsidRPr="00E6110F">
        <w:t xml:space="preserve"> scale plots</w:t>
      </w:r>
      <w:r w:rsidR="00A56360" w:rsidRPr="00E6110F">
        <w:t>,</w:t>
      </w:r>
      <w:r w:rsidRPr="00E6110F">
        <w:t xml:space="preserve"> however</w:t>
      </w:r>
      <w:r w:rsidR="00E60D2B">
        <w:t>,</w:t>
      </w:r>
      <w:r w:rsidRPr="00E6110F">
        <w:t xml:space="preserve"> their distributional parameters are accounted for. </w:t>
      </w:r>
      <w:r w:rsidR="00BF0531">
        <w:t>As a result, the probability associated with the first non-zero distance is often relatively large, e.g. several percentages. This explains why the cumulative probability curve deviates from a more or less straight line.</w:t>
      </w:r>
    </w:p>
    <w:p w14:paraId="7170B059" w14:textId="3F83D7EF" w:rsidR="00681AF6" w:rsidRPr="00E6110F" w:rsidRDefault="00681AF6" w:rsidP="00681AF6">
      <w:pPr>
        <w:pStyle w:val="Body"/>
      </w:pPr>
      <w:r w:rsidRPr="00E6110F">
        <w:t xml:space="preserve">Assets directly intersecting CSG wells included groundwater dependent vegetation features (mainly native vegetation) and other undefined ecosystems (GDE1 and GDE5) in the Asset Register (see </w:t>
      </w:r>
      <w:r w:rsidR="00A56360" w:rsidRPr="00E6110F">
        <w:fldChar w:fldCharType="begin" w:fldLock="1"/>
      </w:r>
      <w:r w:rsidR="00A56360" w:rsidRPr="00E6110F">
        <w:instrText xml:space="preserve"> REF _Ref449112169 \h </w:instrText>
      </w:r>
      <w:r w:rsidR="00E6110F">
        <w:instrText xml:space="preserve"> \* MERGEFORMAT </w:instrText>
      </w:r>
      <w:r w:rsidR="00A56360" w:rsidRPr="00E6110F">
        <w:fldChar w:fldCharType="separate"/>
      </w:r>
      <w:r w:rsidR="00335E79" w:rsidRPr="00E6110F">
        <w:t xml:space="preserve">Figure </w:t>
      </w:r>
      <w:r w:rsidR="00335E79">
        <w:rPr>
          <w:noProof/>
        </w:rPr>
        <w:t>2</w:t>
      </w:r>
      <w:r w:rsidR="00335E79">
        <w:rPr>
          <w:noProof/>
        </w:rPr>
        <w:noBreakHyphen/>
        <w:t>18</w:t>
      </w:r>
      <w:r w:rsidR="00A56360" w:rsidRPr="00E6110F">
        <w:fldChar w:fldCharType="end"/>
      </w:r>
      <w:r w:rsidRPr="00E6110F">
        <w:t>). The River GDE on Bohena Creek was found at ~2m and Eather Spring and Hardys Spring GDEs were found at ~2.5km.</w:t>
      </w:r>
    </w:p>
    <w:p w14:paraId="48AB2794" w14:textId="77777777" w:rsidR="004147E8" w:rsidRPr="00E6110F" w:rsidRDefault="004147E8" w:rsidP="00681AF6">
      <w:pPr>
        <w:pStyle w:val="Body"/>
      </w:pPr>
    </w:p>
    <w:p w14:paraId="6FCF884A" w14:textId="77777777" w:rsidR="00681AF6" w:rsidRPr="00E6110F" w:rsidRDefault="00681AF6" w:rsidP="00681AF6">
      <w:pPr>
        <w:pStyle w:val="Body"/>
      </w:pPr>
      <w:r w:rsidRPr="00E6110F">
        <w:rPr>
          <w:noProof/>
          <w:lang w:val="en-AU" w:eastAsia="en-AU"/>
        </w:rPr>
        <w:drawing>
          <wp:inline distT="0" distB="0" distL="0" distR="0" wp14:anchorId="6C967E3D" wp14:editId="717F22DD">
            <wp:extent cx="5230749" cy="3600000"/>
            <wp:effectExtent l="0" t="0" r="8255" b="635"/>
            <wp:docPr id="15" name="Picture 15" descr="Chart of cumulative probability and proximity to the nearest CSG well of assets in the GDE class."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n029\Documents\CSG_HazardScreeningProject\CumulativeProbPlots\GDE.PN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230749" cy="3600000"/>
                    </a:xfrm>
                    <a:prstGeom prst="rect">
                      <a:avLst/>
                    </a:prstGeom>
                    <a:noFill/>
                    <a:ln>
                      <a:noFill/>
                    </a:ln>
                  </pic:spPr>
                </pic:pic>
              </a:graphicData>
            </a:graphic>
          </wp:inline>
        </w:drawing>
      </w:r>
    </w:p>
    <w:p w14:paraId="07AC77F8" w14:textId="3BE94968" w:rsidR="00681AF6" w:rsidRPr="00E6110F" w:rsidRDefault="00681AF6" w:rsidP="00681AF6">
      <w:pPr>
        <w:pStyle w:val="Imagecaption"/>
      </w:pPr>
      <w:bookmarkStart w:id="374" w:name="_Ref446091079"/>
      <w:bookmarkStart w:id="375" w:name="_Toc477347612"/>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w:t>
      </w:r>
      <w:r w:rsidR="00254026">
        <w:fldChar w:fldCharType="end"/>
      </w:r>
      <w:bookmarkEnd w:id="374"/>
      <w:r w:rsidRPr="00E6110F">
        <w:t xml:space="preserve"> Cumulative probability of the proximity of the nearest CSG well (in m) to assets (Approach #1) in the Groundwater Dependent Ecosystems Class (Ecological Assets, Vegetation Subgroup) within a distance of 30 km and an angle north between 90°E and 270°W from CSG wells.</w:t>
      </w:r>
      <w:bookmarkEnd w:id="375"/>
    </w:p>
    <w:p w14:paraId="7A457539" w14:textId="77777777" w:rsidR="00D72D97" w:rsidRDefault="00D72D97" w:rsidP="0019762C">
      <w:pPr>
        <w:pStyle w:val="Body"/>
      </w:pPr>
    </w:p>
    <w:p w14:paraId="5ACAEAEB" w14:textId="27581C61" w:rsidR="0019762C" w:rsidRPr="00E6110F" w:rsidRDefault="0019762C" w:rsidP="0019762C">
      <w:pPr>
        <w:pStyle w:val="Body"/>
      </w:pPr>
      <w:r w:rsidRPr="00E6110F">
        <w:t>The cumulative probability distribution based on Approach #1 and #2 is highly affected in the lower percentiles where less observations (distances) are included resulting in over-estimation of the probability when compared to Approach #3 (</w:t>
      </w:r>
      <w:r w:rsidRPr="00E6110F">
        <w:fldChar w:fldCharType="begin" w:fldLock="1"/>
      </w:r>
      <w:r w:rsidRPr="00E6110F">
        <w:instrText xml:space="preserve"> REF _Ref449953854 \h </w:instrText>
      </w:r>
      <w:r>
        <w:instrText xml:space="preserve"> \* MERGEFORMAT </w:instrText>
      </w:r>
      <w:r w:rsidRPr="00E6110F">
        <w:fldChar w:fldCharType="separate"/>
      </w:r>
      <w:r w:rsidR="00335E79" w:rsidRPr="00E6110F">
        <w:t xml:space="preserve">Figure </w:t>
      </w:r>
      <w:r w:rsidR="00335E79">
        <w:rPr>
          <w:noProof/>
        </w:rPr>
        <w:t>3</w:t>
      </w:r>
      <w:r w:rsidR="00335E79">
        <w:rPr>
          <w:noProof/>
        </w:rPr>
        <w:noBreakHyphen/>
        <w:t>6</w:t>
      </w:r>
      <w:r w:rsidRPr="00E6110F">
        <w:fldChar w:fldCharType="end"/>
      </w:r>
      <w:r w:rsidRPr="00E6110F">
        <w:t>). The overall shapes of the distribution curves are similar across methods, however especially the short-distance proximities become much more accurate. Also, the influence of zero distance values is reduced through the inclusion of more observation with non-zero values in Approach #3 (and to a lesser extent Approach #2). Although all probabilities decrease when more data points are added to the sample, the largest effect is noticed for smallest probabilities. Because Approach #3 provides a more accurate description of the frequency-proximity relationship at shorter distance, which is the most critical distance in terms of risk, Approach #3 was used throughout all further analyses.</w:t>
      </w:r>
    </w:p>
    <w:p w14:paraId="7E832CF2" w14:textId="77777777" w:rsidR="00681AF6" w:rsidRPr="00E6110F" w:rsidRDefault="00681AF6" w:rsidP="00681AF6">
      <w:pPr>
        <w:pStyle w:val="Body"/>
      </w:pPr>
    </w:p>
    <w:p w14:paraId="0960478A" w14:textId="77777777" w:rsidR="00681AF6" w:rsidRPr="00E6110F" w:rsidRDefault="00681AF6" w:rsidP="00681AF6">
      <w:pPr>
        <w:pStyle w:val="Body"/>
        <w:keepNext/>
      </w:pPr>
      <w:r w:rsidRPr="00E6110F">
        <w:rPr>
          <w:noProof/>
          <w:lang w:val="en-AU" w:eastAsia="en-AU"/>
        </w:rPr>
        <w:drawing>
          <wp:inline distT="0" distB="0" distL="0" distR="0" wp14:anchorId="15E15AAF" wp14:editId="291940E9">
            <wp:extent cx="5230749" cy="3600000"/>
            <wp:effectExtent l="0" t="0" r="8255" b="635"/>
            <wp:docPr id="16" name="Picture 16" descr="Chart of cumulative probability and proximity to up to 5 CSG well of assets in the GDE class." title="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n029\Documents\CSG_HazardScreeningProject\Gunnedah\CumulativeProbPlots\GDE2.PN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230749" cy="3600000"/>
                    </a:xfrm>
                    <a:prstGeom prst="rect">
                      <a:avLst/>
                    </a:prstGeom>
                    <a:noFill/>
                    <a:ln>
                      <a:noFill/>
                    </a:ln>
                  </pic:spPr>
                </pic:pic>
              </a:graphicData>
            </a:graphic>
          </wp:inline>
        </w:drawing>
      </w:r>
    </w:p>
    <w:p w14:paraId="4DA523EB" w14:textId="107FB900" w:rsidR="00681AF6" w:rsidRPr="00E6110F" w:rsidRDefault="00681AF6" w:rsidP="00681AF6">
      <w:pPr>
        <w:pStyle w:val="Imagecaption"/>
      </w:pPr>
      <w:bookmarkStart w:id="376" w:name="_Ref449957894"/>
      <w:bookmarkStart w:id="377" w:name="_Toc477347613"/>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w:t>
      </w:r>
      <w:r w:rsidR="00254026">
        <w:fldChar w:fldCharType="end"/>
      </w:r>
      <w:bookmarkEnd w:id="376"/>
      <w:r w:rsidRPr="00E6110F">
        <w:t xml:space="preserve"> Cumulative probability of the proximity of up to 5 of the nearest CSG wells </w:t>
      </w:r>
      <w:r w:rsidR="00A56360" w:rsidRPr="00E6110F">
        <w:t>to</w:t>
      </w:r>
      <w:r w:rsidRPr="00E6110F">
        <w:t xml:space="preserve"> assets (Approach #2) in the Groundwater Dependent Ecosystems Class (Ecological Assets, Vegetation Subgroup) within a distance of 30 km and an angle south between 90°E and 270°W from assets.</w:t>
      </w:r>
      <w:bookmarkEnd w:id="377"/>
    </w:p>
    <w:p w14:paraId="7F68A9C4" w14:textId="77777777" w:rsidR="00586F81" w:rsidRPr="00E6110F" w:rsidRDefault="00586F81" w:rsidP="00586F81">
      <w:pPr>
        <w:pStyle w:val="Body"/>
      </w:pPr>
    </w:p>
    <w:p w14:paraId="535FBD58" w14:textId="77777777" w:rsidR="00681AF6" w:rsidRPr="00E6110F" w:rsidRDefault="00681AF6" w:rsidP="007E5A7A">
      <w:pPr>
        <w:pStyle w:val="Body"/>
        <w:keepNext/>
      </w:pPr>
      <w:r w:rsidRPr="00E6110F">
        <w:rPr>
          <w:noProof/>
          <w:lang w:val="en-AU" w:eastAsia="en-AU"/>
        </w:rPr>
        <w:drawing>
          <wp:inline distT="0" distB="0" distL="0" distR="0" wp14:anchorId="71F0B0D5" wp14:editId="02723B11">
            <wp:extent cx="5226238" cy="3600000"/>
            <wp:effectExtent l="0" t="0" r="0" b="635"/>
            <wp:docPr id="515" name="Picture 515" descr="Chart of cumulative probability and proximity to all CSG well of assets in the GDE class." title="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n029\Documents\CSG_HazardScreeningProject\Gunnedah\CumulativeProbPlots\GDE3.PN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226238" cy="3600000"/>
                    </a:xfrm>
                    <a:prstGeom prst="rect">
                      <a:avLst/>
                    </a:prstGeom>
                    <a:noFill/>
                    <a:ln>
                      <a:noFill/>
                    </a:ln>
                  </pic:spPr>
                </pic:pic>
              </a:graphicData>
            </a:graphic>
          </wp:inline>
        </w:drawing>
      </w:r>
    </w:p>
    <w:p w14:paraId="1AEFC40B" w14:textId="170B36FD" w:rsidR="00681AF6" w:rsidRPr="00E6110F" w:rsidRDefault="00681AF6" w:rsidP="007E5A7A">
      <w:pPr>
        <w:pStyle w:val="Imagecaption"/>
      </w:pPr>
      <w:bookmarkStart w:id="378" w:name="_Ref449953854"/>
      <w:bookmarkStart w:id="379" w:name="_Toc477347614"/>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w:t>
      </w:r>
      <w:r w:rsidR="00254026">
        <w:fldChar w:fldCharType="end"/>
      </w:r>
      <w:bookmarkEnd w:id="378"/>
      <w:r w:rsidRPr="00E6110F">
        <w:t xml:space="preserve"> Cumulative probability of the proximity of all CSG well</w:t>
      </w:r>
      <w:r w:rsidR="00A56360" w:rsidRPr="00E6110F">
        <w:t>s</w:t>
      </w:r>
      <w:r w:rsidRPr="00E6110F">
        <w:t xml:space="preserve"> </w:t>
      </w:r>
      <w:r w:rsidR="00A56360" w:rsidRPr="00E6110F">
        <w:t xml:space="preserve">to assets </w:t>
      </w:r>
      <w:r w:rsidRPr="00E6110F">
        <w:t>(Approach #3) in the Groundwater Dependent Ecosystems Class (Ecological Assets, Vegetation Subgroup) within a distance of 30 km and an angle north between 90°E and 270°W from CSG wells.</w:t>
      </w:r>
      <w:bookmarkEnd w:id="379"/>
    </w:p>
    <w:p w14:paraId="5DAFDF78" w14:textId="77777777" w:rsidR="00586F81" w:rsidRPr="00E6110F" w:rsidRDefault="00586F81">
      <w:pPr>
        <w:rPr>
          <w:rFonts w:asciiTheme="majorHAnsi" w:eastAsiaTheme="majorEastAsia" w:hAnsiTheme="majorHAnsi" w:cstheme="majorBidi"/>
          <w:b/>
          <w:bCs/>
          <w:i/>
          <w:iCs/>
          <w:color w:val="00A9CE" w:themeColor="accent1"/>
        </w:rPr>
      </w:pPr>
      <w:r w:rsidRPr="00E6110F">
        <w:br w:type="page"/>
      </w:r>
    </w:p>
    <w:p w14:paraId="7B40A31F" w14:textId="6ECA3067" w:rsidR="00681AF6" w:rsidRPr="00E6110F" w:rsidRDefault="00681AF6" w:rsidP="00234895">
      <w:pPr>
        <w:pStyle w:val="Heading3"/>
        <w:numPr>
          <w:ilvl w:val="3"/>
          <w:numId w:val="1"/>
        </w:numPr>
      </w:pPr>
      <w:bookmarkStart w:id="380" w:name="_Toc494444553"/>
      <w:r w:rsidRPr="00E6110F">
        <w:t>Aquifer, geological feature, alluvium or stratum asset class</w:t>
      </w:r>
      <w:bookmarkEnd w:id="380"/>
    </w:p>
    <w:p w14:paraId="79BEE740" w14:textId="0DEF0327" w:rsidR="00681AF6" w:rsidRPr="00E6110F" w:rsidRDefault="00B53543" w:rsidP="00681AF6">
      <w:pPr>
        <w:pStyle w:val="Body"/>
      </w:pPr>
      <w:r w:rsidRPr="00E6110F">
        <w:t>The c</w:t>
      </w:r>
      <w:r w:rsidR="00681AF6" w:rsidRPr="00E6110F">
        <w:t xml:space="preserve">umulative probability distribution of </w:t>
      </w:r>
      <w:r w:rsidRPr="00E6110F">
        <w:t>proximities</w:t>
      </w:r>
      <w:r w:rsidR="00681AF6" w:rsidRPr="00E6110F">
        <w:t xml:space="preserve"> of </w:t>
      </w:r>
      <w:r w:rsidR="00E60D2B">
        <w:t>a</w:t>
      </w:r>
      <w:r w:rsidR="00E60D2B" w:rsidRPr="00E6110F">
        <w:t xml:space="preserve">ssets </w:t>
      </w:r>
      <w:r w:rsidR="00681AF6" w:rsidRPr="00E6110F">
        <w:t xml:space="preserve">in the </w:t>
      </w:r>
      <w:r w:rsidR="00E60D2B">
        <w:t>a</w:t>
      </w:r>
      <w:r w:rsidR="00E60D2B" w:rsidRPr="00E6110F">
        <w:t>quifer</w:t>
      </w:r>
      <w:r w:rsidR="00681AF6" w:rsidRPr="00E6110F">
        <w:t xml:space="preserve">, geological feature, alluvium or stratum Class (Ecological Assets, groundwater feature subgroup) from CSG wells are shown in </w:t>
      </w:r>
      <w:r w:rsidR="00681AF6" w:rsidRPr="00E6110F">
        <w:fldChar w:fldCharType="begin" w:fldLock="1"/>
      </w:r>
      <w:r w:rsidR="00681AF6" w:rsidRPr="00E6110F">
        <w:instrText xml:space="preserve"> REF _Ref449963047 \h </w:instrText>
      </w:r>
      <w:r w:rsidR="00E6110F">
        <w:instrText xml:space="preserve"> \* MERGEFORMAT </w:instrText>
      </w:r>
      <w:r w:rsidR="00681AF6" w:rsidRPr="00E6110F">
        <w:fldChar w:fldCharType="separate"/>
      </w:r>
      <w:r w:rsidR="00335E79" w:rsidRPr="00E6110F">
        <w:t xml:space="preserve">Figure </w:t>
      </w:r>
      <w:r w:rsidR="00335E79">
        <w:rPr>
          <w:noProof/>
        </w:rPr>
        <w:t>3</w:t>
      </w:r>
      <w:r w:rsidR="00335E79">
        <w:rPr>
          <w:noProof/>
        </w:rPr>
        <w:noBreakHyphen/>
        <w:t>7</w:t>
      </w:r>
      <w:r w:rsidR="00681AF6" w:rsidRPr="00E6110F">
        <w:fldChar w:fldCharType="end"/>
      </w:r>
      <w:r w:rsidR="00681AF6" w:rsidRPr="00E6110F">
        <w:t xml:space="preserve">. Several assets directly intersected proposed CSG wells; these included Cadna-Owie Hooray Equivalent Gab Recharge, Great Artesian Basin Groundwater Management Zone, Narrabri Water Table Aquifer, and Westbourne Formation. These assets accounted for &gt;40% </w:t>
      </w:r>
      <w:r w:rsidRPr="00E6110F">
        <w:t xml:space="preserve">of all </w:t>
      </w:r>
      <w:r w:rsidR="00681AF6" w:rsidRPr="00E6110F">
        <w:t xml:space="preserve">distances recorded between CSG wells and asset features in this Class. </w:t>
      </w:r>
      <w:r w:rsidRPr="00E6110F">
        <w:t xml:space="preserve">This explains why the cumulative distribution for the first proximity asset at 6 m has a value of just over 40%; indeed, all the zero-distance assets account for 40%. </w:t>
      </w:r>
      <w:r w:rsidR="00681AF6" w:rsidRPr="00E6110F">
        <w:t>These assets were also the only ones found within ~2.5</w:t>
      </w:r>
      <w:r w:rsidR="00E60D2B">
        <w:t xml:space="preserve"> </w:t>
      </w:r>
      <w:r w:rsidR="00681AF6" w:rsidRPr="00E6110F">
        <w:t>km</w:t>
      </w:r>
      <w:r w:rsidRPr="00E6110F">
        <w:t>,</w:t>
      </w:r>
      <w:r w:rsidR="00681AF6" w:rsidRPr="00E6110F">
        <w:t xml:space="preserve"> </w:t>
      </w:r>
      <w:r w:rsidRPr="00E6110F">
        <w:t>while</w:t>
      </w:r>
      <w:r w:rsidR="00681AF6" w:rsidRPr="00E6110F">
        <w:t xml:space="preserve"> beyond this distance the Gunnedah Basin Groundwater Management Zone and Upper Namoi Alluvium were found at ~7</w:t>
      </w:r>
      <w:r w:rsidR="00E60D2B">
        <w:t xml:space="preserve"> </w:t>
      </w:r>
      <w:r w:rsidR="00681AF6" w:rsidRPr="00E6110F">
        <w:t>km. Riverine Plain Alluvium and Tertiary Volcanics assets were found at distances &gt;28</w:t>
      </w:r>
      <w:r w:rsidR="00E60D2B">
        <w:t xml:space="preserve"> </w:t>
      </w:r>
      <w:r w:rsidR="00681AF6" w:rsidRPr="00E6110F">
        <w:t xml:space="preserve">km from CSG wells.  </w:t>
      </w:r>
    </w:p>
    <w:p w14:paraId="2BBA805B" w14:textId="77777777" w:rsidR="00681AF6" w:rsidRPr="00E6110F" w:rsidRDefault="00681AF6" w:rsidP="00681AF6">
      <w:r w:rsidRPr="00E6110F">
        <w:rPr>
          <w:noProof/>
          <w:lang w:val="en-AU" w:eastAsia="en-AU"/>
        </w:rPr>
        <w:t xml:space="preserve"> </w:t>
      </w:r>
      <w:r w:rsidRPr="00E6110F">
        <w:rPr>
          <w:noProof/>
          <w:lang w:val="en-AU" w:eastAsia="en-AU"/>
        </w:rPr>
        <w:drawing>
          <wp:inline distT="0" distB="0" distL="0" distR="0" wp14:anchorId="1C46AB98" wp14:editId="7F11C4DE">
            <wp:extent cx="5226925" cy="3600000"/>
            <wp:effectExtent l="0" t="0" r="0" b="635"/>
            <wp:docPr id="518" name="Picture 518" descr="Chart of cumulative probability of the proximity of all assets to each CSG well pair for assets in the Aquifer, geological feature, alluvium or stratum Class (Ecological Assets, groundwater feature subgroup)." title="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n029\Documents\CSG_HazardScreeningProject\Gunnedah\CumulativeProbPlots\Aquifer3.PN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226925" cy="3600000"/>
                    </a:xfrm>
                    <a:prstGeom prst="rect">
                      <a:avLst/>
                    </a:prstGeom>
                    <a:noFill/>
                    <a:ln>
                      <a:noFill/>
                    </a:ln>
                  </pic:spPr>
                </pic:pic>
              </a:graphicData>
            </a:graphic>
          </wp:inline>
        </w:drawing>
      </w:r>
    </w:p>
    <w:p w14:paraId="2CDAF183" w14:textId="0366EDA7" w:rsidR="00681AF6" w:rsidRPr="00E6110F" w:rsidRDefault="00681AF6" w:rsidP="00681AF6">
      <w:pPr>
        <w:pStyle w:val="Imagecaption"/>
      </w:pPr>
      <w:bookmarkStart w:id="381" w:name="_Ref449963047"/>
      <w:bookmarkStart w:id="382" w:name="_Toc477347615"/>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w:t>
      </w:r>
      <w:r w:rsidR="00254026">
        <w:fldChar w:fldCharType="end"/>
      </w:r>
      <w:bookmarkEnd w:id="381"/>
      <w:r w:rsidRPr="00E6110F">
        <w:t xml:space="preserve"> Cumulative probability of the proximity of all assets to each CSG well pair (Approach #3) for assets in the Aquifer, geological feature, alluvium or stratum Class (Ecological Assets, groundwater feature subgroup) within a distance of 30 km and an angle north between 90°E and 270°W from CSG wells.</w:t>
      </w:r>
      <w:bookmarkEnd w:id="382"/>
    </w:p>
    <w:p w14:paraId="666FE8E2" w14:textId="77777777" w:rsidR="00681AF6" w:rsidRPr="00E6110F" w:rsidRDefault="00681AF6" w:rsidP="00586F81">
      <w:pPr>
        <w:pStyle w:val="Body"/>
      </w:pPr>
    </w:p>
    <w:p w14:paraId="6E460C14" w14:textId="77777777" w:rsidR="00681AF6" w:rsidRPr="00E6110F" w:rsidRDefault="00681AF6" w:rsidP="00B53543">
      <w:pPr>
        <w:pStyle w:val="Heading3"/>
        <w:numPr>
          <w:ilvl w:val="3"/>
          <w:numId w:val="1"/>
        </w:numPr>
      </w:pPr>
      <w:bookmarkStart w:id="383" w:name="_Toc494444554"/>
      <w:r w:rsidRPr="00E6110F">
        <w:t>Habitat (Potential Species Distribution) asset class</w:t>
      </w:r>
      <w:bookmarkEnd w:id="383"/>
    </w:p>
    <w:p w14:paraId="104A3D46" w14:textId="7CD97E9F" w:rsidR="00681AF6" w:rsidRPr="00E6110F" w:rsidRDefault="00681AF6" w:rsidP="00681AF6">
      <w:pPr>
        <w:pStyle w:val="Body"/>
      </w:pPr>
      <w:r w:rsidRPr="00E6110F">
        <w:t xml:space="preserve">Cumulative probability distribution of distances of assets in the Habitat (Potential Species Distribution) asset class from CSG wells are shown in </w:t>
      </w:r>
      <w:r w:rsidRPr="00E6110F">
        <w:fldChar w:fldCharType="begin" w:fldLock="1"/>
      </w:r>
      <w:r w:rsidRPr="00E6110F">
        <w:instrText xml:space="preserve"> REF _Ref449966743 \h </w:instrText>
      </w:r>
      <w:r w:rsidR="00E6110F">
        <w:instrText xml:space="preserve"> \* MERGEFORMAT </w:instrText>
      </w:r>
      <w:r w:rsidRPr="00E6110F">
        <w:fldChar w:fldCharType="separate"/>
      </w:r>
      <w:r w:rsidR="00335E79" w:rsidRPr="00E6110F">
        <w:t xml:space="preserve">Figure </w:t>
      </w:r>
      <w:r w:rsidR="00335E79">
        <w:rPr>
          <w:noProof/>
        </w:rPr>
        <w:t>3</w:t>
      </w:r>
      <w:r w:rsidR="00335E79">
        <w:rPr>
          <w:noProof/>
        </w:rPr>
        <w:noBreakHyphen/>
        <w:t>8</w:t>
      </w:r>
      <w:r w:rsidRPr="00E6110F">
        <w:fldChar w:fldCharType="end"/>
      </w:r>
      <w:r w:rsidRPr="00E6110F">
        <w:t xml:space="preserve">. A number of these directly intersected CSG well locations. These included </w:t>
      </w:r>
      <w:r w:rsidRPr="00E6110F">
        <w:rPr>
          <w:i/>
        </w:rPr>
        <w:t>Philotheca ericifolia</w:t>
      </w:r>
      <w:r w:rsidRPr="00E6110F">
        <w:t>, Brigalow Park Nature Reserve, Cattle Egret (</w:t>
      </w:r>
      <w:r w:rsidRPr="00E6110F">
        <w:rPr>
          <w:i/>
        </w:rPr>
        <w:t>Ardea ibis</w:t>
      </w:r>
      <w:r w:rsidRPr="00E6110F">
        <w:t>), Coolibah - Black Box Woodlands Of The Darling Riverine Plains And The Brigalow Belt South Bioregions, Great Egret, White Egret (</w:t>
      </w:r>
      <w:r w:rsidRPr="00E6110F">
        <w:rPr>
          <w:i/>
        </w:rPr>
        <w:t>Ardea spp</w:t>
      </w:r>
      <w:r w:rsidRPr="00E6110F">
        <w:t>.), Koala (</w:t>
      </w:r>
      <w:r w:rsidRPr="00E6110F">
        <w:rPr>
          <w:i/>
        </w:rPr>
        <w:t>Phascolarctos cinereus</w:t>
      </w:r>
      <w:r w:rsidRPr="00E6110F">
        <w:t>), Pilliga</w:t>
      </w:r>
      <w:r w:rsidRPr="00E6110F">
        <w:rPr>
          <w:i/>
        </w:rPr>
        <w:t xml:space="preserve"> </w:t>
      </w:r>
      <w:r w:rsidRPr="00E6110F">
        <w:t>important bird area (IBA), Potential Distribution Of South-Eastern Long-Eared Bat (</w:t>
      </w:r>
      <w:r w:rsidRPr="00E6110F">
        <w:rPr>
          <w:i/>
        </w:rPr>
        <w:t>Nyctophilus corbeni</w:t>
      </w:r>
      <w:r w:rsidRPr="00E6110F">
        <w:t>), Regent Honeyeater (</w:t>
      </w:r>
      <w:r w:rsidRPr="00E6110F">
        <w:rPr>
          <w:i/>
        </w:rPr>
        <w:t>Anthochaera phrygia</w:t>
      </w:r>
      <w:r w:rsidRPr="00E6110F">
        <w:t>), Spiny Pepper-Cress (</w:t>
      </w:r>
      <w:r w:rsidRPr="00E6110F">
        <w:rPr>
          <w:i/>
        </w:rPr>
        <w:t>Lepidium aschersonii</w:t>
      </w:r>
      <w:r w:rsidRPr="00E6110F">
        <w:t>), White-Bellied Sea-Eagle (</w:t>
      </w:r>
      <w:r w:rsidRPr="00E6110F">
        <w:rPr>
          <w:i/>
        </w:rPr>
        <w:t>Haliaeetus leucogaster</w:t>
      </w:r>
      <w:r w:rsidRPr="00E6110F">
        <w:t xml:space="preserve">). These </w:t>
      </w:r>
      <w:r w:rsidR="00B3557C" w:rsidRPr="00E6110F">
        <w:t xml:space="preserve">zero-distance assets </w:t>
      </w:r>
      <w:r w:rsidRPr="00E6110F">
        <w:t xml:space="preserve">accounted for ~11% of </w:t>
      </w:r>
      <w:r w:rsidR="00B3557C" w:rsidRPr="00E6110F">
        <w:t xml:space="preserve">all </w:t>
      </w:r>
      <w:r w:rsidRPr="00E6110F">
        <w:t>distances observed. The Natural Grasslands on Basalt And Fine-Textured Alluvial Plains of Northern New South Wales and Southern Queensland w</w:t>
      </w:r>
      <w:r w:rsidR="00B3557C" w:rsidRPr="00E6110F">
        <w:t>e</w:t>
      </w:r>
      <w:r w:rsidRPr="00E6110F">
        <w:t>re found at ~3</w:t>
      </w:r>
      <w:r w:rsidR="00E60D2B">
        <w:t xml:space="preserve"> </w:t>
      </w:r>
      <w:r w:rsidRPr="00E6110F">
        <w:t>km and the potential habitat of the Australian Painted Snipe (</w:t>
      </w:r>
      <w:r w:rsidRPr="00E6110F">
        <w:rPr>
          <w:i/>
        </w:rPr>
        <w:t>Rostratula australis</w:t>
      </w:r>
      <w:r w:rsidRPr="00E6110F">
        <w:t>) was found at ~4</w:t>
      </w:r>
      <w:r w:rsidR="00E60D2B">
        <w:t xml:space="preserve"> </w:t>
      </w:r>
      <w:r w:rsidRPr="00E6110F">
        <w:t>km. Remaining assets in this class were &gt;11</w:t>
      </w:r>
      <w:r w:rsidR="00E60D2B">
        <w:t xml:space="preserve"> </w:t>
      </w:r>
      <w:r w:rsidRPr="00E6110F">
        <w:t>km from CSG wells and comprised mainly of conservation areas, woodlands, flora reserves and National parks.</w:t>
      </w:r>
    </w:p>
    <w:p w14:paraId="0B1D7063" w14:textId="77777777" w:rsidR="00681AF6" w:rsidRPr="00E6110F" w:rsidRDefault="00681AF6" w:rsidP="00681AF6">
      <w:r w:rsidRPr="00E6110F">
        <w:rPr>
          <w:noProof/>
          <w:lang w:val="en-AU" w:eastAsia="en-AU"/>
        </w:rPr>
        <w:drawing>
          <wp:inline distT="0" distB="0" distL="0" distR="0" wp14:anchorId="31A55F08" wp14:editId="3CD8D21D">
            <wp:extent cx="5226923" cy="3600000"/>
            <wp:effectExtent l="0" t="0" r="0" b="635"/>
            <wp:docPr id="519" name="Picture 519" descr="Cumulative probability of the proximity of all assets to each CSG well pair (Approach #3) for assets in the Habitat (Potential Species Distribution) Class (Ecological Assets, Vegetation subgroup)." title="Fig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on029\Documents\CSG_HazardScreeningProject\Gunnedah\CumulativeProbPlots\Habitat3.PN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226923" cy="3600000"/>
                    </a:xfrm>
                    <a:prstGeom prst="rect">
                      <a:avLst/>
                    </a:prstGeom>
                    <a:noFill/>
                    <a:ln>
                      <a:noFill/>
                    </a:ln>
                  </pic:spPr>
                </pic:pic>
              </a:graphicData>
            </a:graphic>
          </wp:inline>
        </w:drawing>
      </w:r>
    </w:p>
    <w:p w14:paraId="036D4429" w14:textId="511ABDA9" w:rsidR="00681AF6" w:rsidRPr="00E6110F" w:rsidRDefault="00681AF6" w:rsidP="00681AF6">
      <w:pPr>
        <w:pStyle w:val="Imagecaption"/>
      </w:pPr>
      <w:bookmarkStart w:id="384" w:name="_Ref449966743"/>
      <w:bookmarkStart w:id="385" w:name="_Toc477347616"/>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8</w:t>
      </w:r>
      <w:r w:rsidR="00254026">
        <w:fldChar w:fldCharType="end"/>
      </w:r>
      <w:bookmarkEnd w:id="384"/>
      <w:r w:rsidRPr="00E6110F">
        <w:t xml:space="preserve"> Cumulative probability of the proximity of all assets to each CSG well pair (Approach #3) for assets in the Habitat (Potential Species Distribution) Class (Ecological Assets, Vegetation subgroup) within a distance of 30 km and an angle north between 90°E and 270°W from CSG wells.</w:t>
      </w:r>
      <w:bookmarkEnd w:id="385"/>
    </w:p>
    <w:p w14:paraId="3F1CE8C4" w14:textId="77777777" w:rsidR="00586F81" w:rsidRPr="00E6110F" w:rsidRDefault="00586F81" w:rsidP="00586F81">
      <w:pPr>
        <w:pStyle w:val="Body"/>
      </w:pPr>
    </w:p>
    <w:p w14:paraId="11DC833B" w14:textId="6F5A303F" w:rsidR="00681AF6" w:rsidRPr="00E6110F" w:rsidRDefault="00681AF6" w:rsidP="00B3557C">
      <w:pPr>
        <w:pStyle w:val="Heading3"/>
        <w:numPr>
          <w:ilvl w:val="3"/>
          <w:numId w:val="1"/>
        </w:numPr>
      </w:pPr>
      <w:bookmarkStart w:id="386" w:name="_Toc494444555"/>
      <w:r w:rsidRPr="00E6110F">
        <w:t xml:space="preserve">Surface </w:t>
      </w:r>
      <w:r w:rsidR="00E60D2B">
        <w:t>w</w:t>
      </w:r>
      <w:r w:rsidR="00E60D2B" w:rsidRPr="00E6110F">
        <w:t xml:space="preserve">ater </w:t>
      </w:r>
      <w:r w:rsidR="00E60D2B">
        <w:t>f</w:t>
      </w:r>
      <w:r w:rsidR="00E60D2B" w:rsidRPr="00E6110F">
        <w:t xml:space="preserve">eature </w:t>
      </w:r>
      <w:r w:rsidRPr="00E6110F">
        <w:t>asset subgroup</w:t>
      </w:r>
      <w:bookmarkEnd w:id="386"/>
    </w:p>
    <w:p w14:paraId="53A339F6" w14:textId="7D8BB992" w:rsidR="00681AF6" w:rsidRPr="00E6110F" w:rsidRDefault="00A3377E" w:rsidP="00681AF6">
      <w:pPr>
        <w:pStyle w:val="Body"/>
      </w:pPr>
      <w:r w:rsidRPr="00E6110F">
        <w:t>The c</w:t>
      </w:r>
      <w:r w:rsidR="00681AF6" w:rsidRPr="00E6110F">
        <w:t xml:space="preserve">umulative probability distribution of distances of assets in the </w:t>
      </w:r>
      <w:r w:rsidR="00E60D2B" w:rsidRPr="00E6110F">
        <w:t xml:space="preserve">surface water feature </w:t>
      </w:r>
      <w:r w:rsidR="00681AF6" w:rsidRPr="00E6110F">
        <w:t xml:space="preserve">asset subgroup from CSG wells are shown in </w:t>
      </w:r>
      <w:r w:rsidR="00681AF6" w:rsidRPr="00E6110F">
        <w:fldChar w:fldCharType="begin" w:fldLock="1"/>
      </w:r>
      <w:r w:rsidR="00681AF6" w:rsidRPr="00E6110F">
        <w:instrText xml:space="preserve"> REF _Ref446940065 \h </w:instrText>
      </w:r>
      <w:r w:rsidR="00E6110F">
        <w:instrText xml:space="preserve"> \* MERGEFORMAT </w:instrText>
      </w:r>
      <w:r w:rsidR="00681AF6" w:rsidRPr="00E6110F">
        <w:fldChar w:fldCharType="separate"/>
      </w:r>
      <w:r w:rsidR="00335E79" w:rsidRPr="00E6110F">
        <w:t xml:space="preserve">Figure </w:t>
      </w:r>
      <w:r w:rsidR="00335E79">
        <w:rPr>
          <w:noProof/>
        </w:rPr>
        <w:t>3</w:t>
      </w:r>
      <w:r w:rsidR="00335E79">
        <w:rPr>
          <w:noProof/>
        </w:rPr>
        <w:noBreakHyphen/>
        <w:t>9</w:t>
      </w:r>
      <w:r w:rsidR="00681AF6" w:rsidRPr="00E6110F">
        <w:fldChar w:fldCharType="end"/>
      </w:r>
      <w:r w:rsidR="00E00001" w:rsidRPr="00E6110F">
        <w:t xml:space="preserve"> </w:t>
      </w:r>
      <w:r w:rsidR="00681AF6" w:rsidRPr="00E6110F">
        <w:t xml:space="preserve">. This subgroup includes the </w:t>
      </w:r>
      <w:r w:rsidR="00B3557C" w:rsidRPr="00E6110F">
        <w:t xml:space="preserve">following </w:t>
      </w:r>
      <w:r w:rsidRPr="00E6110F">
        <w:t>asset classes: r</w:t>
      </w:r>
      <w:r w:rsidR="00681AF6" w:rsidRPr="00E6110F">
        <w:t xml:space="preserve">iver or stream reach, tributary, anabranch or bend; </w:t>
      </w:r>
      <w:r w:rsidRPr="00E6110F">
        <w:t>f</w:t>
      </w:r>
      <w:r w:rsidR="00681AF6" w:rsidRPr="00E6110F">
        <w:t xml:space="preserve">loodplain; </w:t>
      </w:r>
      <w:r w:rsidRPr="00E6110F">
        <w:t>w</w:t>
      </w:r>
      <w:r w:rsidR="00681AF6" w:rsidRPr="00E6110F">
        <w:t xml:space="preserve">etland, wetland complex or swamp; </w:t>
      </w:r>
      <w:r w:rsidRPr="00E6110F">
        <w:t>l</w:t>
      </w:r>
      <w:r w:rsidR="00681AF6" w:rsidRPr="00E6110F">
        <w:t xml:space="preserve">ake, reservoir, lagoon or estuary; </w:t>
      </w:r>
      <w:r w:rsidRPr="00E6110F">
        <w:t>m</w:t>
      </w:r>
      <w:r w:rsidR="00681AF6" w:rsidRPr="00E6110F">
        <w:t>arsh, sedgeland, bog, spring or soak. A number of these directly intersected CSG well locations and included local catchments for the Bibblewindi, Bohena, Bullock, Cowallah, Eulah, Killen Mount Pleasant, Sandy, Sawpit, Womera, and Yellow Spring Creeks. Also intersected were the Reedy Gully, Bohena, Brigalow, and Bundock sub-catchments, the Bundock Floodplain, Cowallah Creek and the EEC on the Namoi-Gwydir River. At distances of 8</w:t>
      </w:r>
      <w:r w:rsidR="00E00001" w:rsidRPr="00E6110F">
        <w:t xml:space="preserve"> </w:t>
      </w:r>
      <w:r w:rsidR="00681AF6" w:rsidRPr="00E6110F">
        <w:t>to 230</w:t>
      </w:r>
      <w:r w:rsidR="00E00001" w:rsidRPr="00E6110F">
        <w:t xml:space="preserve"> </w:t>
      </w:r>
      <w:r w:rsidR="00681AF6" w:rsidRPr="00E6110F">
        <w:t>m, Sawpit, Pine, Mount Pleasant, Yellow Spring, Mollee, Jacks, Bundock, Bibblewindi, Sandy, Bohena and Killen Creeks are intersected. From 230</w:t>
      </w:r>
      <w:r w:rsidR="00E00001" w:rsidRPr="00E6110F">
        <w:t xml:space="preserve"> </w:t>
      </w:r>
      <w:r w:rsidR="00681AF6" w:rsidRPr="00E6110F">
        <w:t>m to 1</w:t>
      </w:r>
      <w:r w:rsidR="00E00001" w:rsidRPr="00E6110F">
        <w:t xml:space="preserve"> </w:t>
      </w:r>
      <w:r w:rsidR="00681AF6" w:rsidRPr="00E6110F">
        <w:t>km (800</w:t>
      </w:r>
      <w:r w:rsidR="00E00001" w:rsidRPr="00E6110F">
        <w:t xml:space="preserve"> </w:t>
      </w:r>
      <w:r w:rsidR="00681AF6" w:rsidRPr="00E6110F">
        <w:t>m), Tributary of Bibblewindi Creek, Dead Bullock and Tuppiari Creeks, Other Wetland 166 and Reedy Gully were intersected.</w:t>
      </w:r>
    </w:p>
    <w:p w14:paraId="37F36FCE" w14:textId="77777777" w:rsidR="00681AF6" w:rsidRPr="00E6110F" w:rsidRDefault="00681AF6" w:rsidP="00681AF6">
      <w:pPr>
        <w:pStyle w:val="Body"/>
      </w:pPr>
      <w:r w:rsidRPr="00E6110F">
        <w:rPr>
          <w:noProof/>
          <w:lang w:val="en-AU" w:eastAsia="en-AU"/>
        </w:rPr>
        <w:drawing>
          <wp:inline distT="0" distB="0" distL="0" distR="0" wp14:anchorId="78BB7BE8" wp14:editId="0A9FB07B">
            <wp:extent cx="5230016" cy="3600000"/>
            <wp:effectExtent l="0" t="0" r="8890" b="635"/>
            <wp:docPr id="189" name="Picture 189" descr="Cumulative probability of the proximity of all assets to each CSG well pair (Approach #3) for assets in the River or stream reach, tributary, anabranch or bend; Floodplain; Wetland, wetland complex or swamp; Lake, reservoir, lagoon or estuary; Marsh, sedgeland, bog, spring or soak Classes (Ecological Assets, Surface Water Feature subgroup)." title="Fig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n029\Documents\CSG_HazardScreeningProject\Gunnedah\CumulativeProbPlots\SW Feature3.PN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230016" cy="3600000"/>
                    </a:xfrm>
                    <a:prstGeom prst="rect">
                      <a:avLst/>
                    </a:prstGeom>
                    <a:noFill/>
                    <a:ln>
                      <a:noFill/>
                    </a:ln>
                  </pic:spPr>
                </pic:pic>
              </a:graphicData>
            </a:graphic>
          </wp:inline>
        </w:drawing>
      </w:r>
    </w:p>
    <w:p w14:paraId="1114F8B9" w14:textId="72AE44DB" w:rsidR="00681AF6" w:rsidRPr="00E6110F" w:rsidRDefault="00681AF6" w:rsidP="00681AF6">
      <w:pPr>
        <w:pStyle w:val="Imagecaption"/>
      </w:pPr>
      <w:bookmarkStart w:id="387" w:name="_Ref446940065"/>
      <w:bookmarkStart w:id="388" w:name="_Toc477347617"/>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9</w:t>
      </w:r>
      <w:r w:rsidR="00254026">
        <w:fldChar w:fldCharType="end"/>
      </w:r>
      <w:bookmarkEnd w:id="387"/>
      <w:r w:rsidRPr="00E6110F">
        <w:t xml:space="preserve"> Cumulative probability of the proximity of all assets to each CSG well pair (Approach #3) for assets in the River or stream reach, tributary, anabranch or bend; Floodplain; Wetland, wetland complex or swamp; Lake, reservoir, lagoon or estuary; Marsh, sedgeland, bog, spring or soak Classes (Ecological Assets, Surface Water Feature subgroup) within a distance of 30 km and an angle north between 90°E and 270°W from CSG wells.</w:t>
      </w:r>
      <w:bookmarkEnd w:id="388"/>
    </w:p>
    <w:p w14:paraId="6753541F" w14:textId="77777777" w:rsidR="004870AA" w:rsidRPr="00E6110F" w:rsidRDefault="004870AA" w:rsidP="008A0A39">
      <w:pPr>
        <w:pStyle w:val="Body"/>
      </w:pPr>
    </w:p>
    <w:p w14:paraId="673D25D0" w14:textId="40287239" w:rsidR="00EA7FD2" w:rsidRPr="00E6110F" w:rsidRDefault="008A0A39" w:rsidP="004870AA">
      <w:pPr>
        <w:pStyle w:val="Heading3"/>
      </w:pPr>
      <w:r w:rsidRPr="00E6110F">
        <w:t xml:space="preserve">  </w:t>
      </w:r>
      <w:bookmarkStart w:id="389" w:name="_Toc494444556"/>
      <w:r w:rsidR="00EA7FD2" w:rsidRPr="00E6110F">
        <w:t>Economic assets</w:t>
      </w:r>
      <w:bookmarkEnd w:id="389"/>
    </w:p>
    <w:p w14:paraId="2DADD05B" w14:textId="77777777" w:rsidR="00CE3498" w:rsidRPr="00E6110F" w:rsidRDefault="00CE3498" w:rsidP="00B3557C">
      <w:pPr>
        <w:pStyle w:val="Heading3"/>
        <w:numPr>
          <w:ilvl w:val="3"/>
          <w:numId w:val="1"/>
        </w:numPr>
      </w:pPr>
      <w:bookmarkStart w:id="390" w:name="_Toc494444557"/>
      <w:r w:rsidRPr="00E6110F">
        <w:t>Groundwater management zone subgroup</w:t>
      </w:r>
      <w:bookmarkEnd w:id="390"/>
    </w:p>
    <w:p w14:paraId="001F046F" w14:textId="2FD938EA" w:rsidR="00CE3498" w:rsidRPr="00E6110F" w:rsidRDefault="00CE3498" w:rsidP="00CE3498">
      <w:pPr>
        <w:pStyle w:val="Body"/>
      </w:pPr>
      <w:r w:rsidRPr="00E6110F">
        <w:t>Cumulative probability distribution of distances of assets in the Water Access Right class (</w:t>
      </w:r>
      <w:r w:rsidR="00E60D2B">
        <w:t>e</w:t>
      </w:r>
      <w:r w:rsidR="00E60D2B" w:rsidRPr="00E6110F">
        <w:t xml:space="preserve">conomic </w:t>
      </w:r>
      <w:r w:rsidRPr="00E6110F">
        <w:t xml:space="preserve">group, </w:t>
      </w:r>
      <w:r w:rsidR="00E60D2B">
        <w:t>g</w:t>
      </w:r>
      <w:r w:rsidR="00E60D2B" w:rsidRPr="00E6110F">
        <w:t xml:space="preserve">roundwater </w:t>
      </w:r>
      <w:r w:rsidRPr="00E6110F">
        <w:t xml:space="preserve">management zone subgroup) from CSG wells are shown in </w:t>
      </w:r>
      <w:r w:rsidRPr="00E6110F">
        <w:fldChar w:fldCharType="begin" w:fldLock="1"/>
      </w:r>
      <w:r w:rsidRPr="00E6110F">
        <w:instrText xml:space="preserve"> REF _Ref446940126 \h </w:instrText>
      </w:r>
      <w:r w:rsidR="00E6110F">
        <w:instrText xml:space="preserve"> \* MERGEFORMAT </w:instrText>
      </w:r>
      <w:r w:rsidRPr="00E6110F">
        <w:fldChar w:fldCharType="separate"/>
      </w:r>
      <w:r w:rsidR="00335E79" w:rsidRPr="00E6110F">
        <w:t xml:space="preserve">Figure </w:t>
      </w:r>
      <w:r w:rsidR="00335E79">
        <w:rPr>
          <w:noProof/>
        </w:rPr>
        <w:t>3</w:t>
      </w:r>
      <w:r w:rsidR="00335E79">
        <w:rPr>
          <w:noProof/>
        </w:rPr>
        <w:noBreakHyphen/>
        <w:t>10</w:t>
      </w:r>
      <w:r w:rsidRPr="00E6110F">
        <w:fldChar w:fldCharType="end"/>
      </w:r>
      <w:r w:rsidRPr="00E6110F">
        <w:t>. Within a distance of 1</w:t>
      </w:r>
      <w:r w:rsidR="00B24DC5" w:rsidRPr="00E6110F">
        <w:t xml:space="preserve"> </w:t>
      </w:r>
      <w:r w:rsidRPr="00E6110F">
        <w:t xml:space="preserve">km (and up to ~8.3km) all assets were named ‘Water Access Right Southern Recharge Groundwater Source’. These assets include groundwater bores for purposes including aquaculture, domestic, stock, farming, industrial, firefighting, mineral water extraction, irrigation, and recreation; and the Water Access Right </w:t>
      </w:r>
      <w:r w:rsidR="00E60D2B">
        <w:t>i</w:t>
      </w:r>
      <w:r w:rsidRPr="00E6110F">
        <w:t xml:space="preserve">n Upper Zone 4, Namoi Valley (Keepit Dam </w:t>
      </w:r>
      <w:proofErr w:type="gramStart"/>
      <w:r w:rsidRPr="00E6110F">
        <w:t>To</w:t>
      </w:r>
      <w:proofErr w:type="gramEnd"/>
      <w:r w:rsidRPr="00E6110F">
        <w:t xml:space="preserve"> Gin'S Leap) Groundwater Source area.</w:t>
      </w:r>
    </w:p>
    <w:p w14:paraId="40F9D3D7" w14:textId="77777777" w:rsidR="00CE3498" w:rsidRPr="00E6110F" w:rsidRDefault="00CE3498" w:rsidP="00CE3498">
      <w:pPr>
        <w:pStyle w:val="Body"/>
      </w:pPr>
    </w:p>
    <w:p w14:paraId="4B40BDD1" w14:textId="77777777" w:rsidR="00CE3498" w:rsidRPr="00E6110F" w:rsidRDefault="00CE3498" w:rsidP="00CE3498">
      <w:r w:rsidRPr="00E6110F">
        <w:rPr>
          <w:noProof/>
          <w:lang w:val="en-AU" w:eastAsia="en-AU"/>
        </w:rPr>
        <w:drawing>
          <wp:inline distT="0" distB="0" distL="0" distR="0" wp14:anchorId="149D4C89" wp14:editId="020F10D3">
            <wp:extent cx="5232216" cy="3600000"/>
            <wp:effectExtent l="0" t="0" r="6985" b="635"/>
            <wp:docPr id="190" name="Picture 190" descr="Cumulative probability of the proximity of all assets to each CSG well pair (Approach #3) for assets in the Water Access Right Class (Economic Assets, Groundwater management zone subgroup)." title="Fig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on029\Documents\CSG_HazardScreeningProject\Gunnedah\CumulativeProbPlots\Econ GW Water Access Right3.PN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232216" cy="3600000"/>
                    </a:xfrm>
                    <a:prstGeom prst="rect">
                      <a:avLst/>
                    </a:prstGeom>
                    <a:noFill/>
                    <a:ln>
                      <a:noFill/>
                    </a:ln>
                  </pic:spPr>
                </pic:pic>
              </a:graphicData>
            </a:graphic>
          </wp:inline>
        </w:drawing>
      </w:r>
    </w:p>
    <w:p w14:paraId="0DBED392" w14:textId="1F21AB3A" w:rsidR="00CE3498" w:rsidRPr="00E6110F" w:rsidRDefault="00CE3498" w:rsidP="00CE3498">
      <w:pPr>
        <w:pStyle w:val="Imagecaption"/>
      </w:pPr>
      <w:bookmarkStart w:id="391" w:name="_Ref446940126"/>
      <w:bookmarkStart w:id="392" w:name="_Toc477347618"/>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10</w:t>
      </w:r>
      <w:r w:rsidR="00254026">
        <w:fldChar w:fldCharType="end"/>
      </w:r>
      <w:bookmarkEnd w:id="391"/>
      <w:r w:rsidRPr="00E6110F">
        <w:t xml:space="preserve"> Cumulative probability of the proximity of all assets to each CSG well pair (Approach #3) for assets in the Water Access Right Class (Economic Assets, Groundwater management zone subgroup) within a distance of 30 km and an angle north between 90°E and 270°W from CSG wells. Assets include groundwater bores for purposes including aquaculture, domestic, stock, farming, industrial, fire fighting, mineral water extraction, irrigation, and recreation; and the Water Access Right In Upper Zone 4, Namoi Valley (Keepit Dam To Gin'</w:t>
      </w:r>
      <w:r w:rsidR="00E60D2B">
        <w:t>s</w:t>
      </w:r>
      <w:r w:rsidRPr="00E6110F">
        <w:t xml:space="preserve"> Leap) Groundwater Source area.</w:t>
      </w:r>
      <w:bookmarkEnd w:id="392"/>
    </w:p>
    <w:p w14:paraId="531A8FCD" w14:textId="77777777" w:rsidR="00586F81" w:rsidRPr="00E6110F" w:rsidRDefault="00586F81" w:rsidP="00CE3498">
      <w:pPr>
        <w:pStyle w:val="Body"/>
      </w:pPr>
    </w:p>
    <w:p w14:paraId="6CC736F1" w14:textId="18D2B4DA" w:rsidR="00CE3498" w:rsidRPr="00E6110F" w:rsidRDefault="00CE3498" w:rsidP="00CE3498">
      <w:pPr>
        <w:pStyle w:val="Body"/>
      </w:pPr>
      <w:r w:rsidRPr="00E6110F">
        <w:t>Cumulative probability distribution of distances of assets in the Basic Water Right class (</w:t>
      </w:r>
      <w:r w:rsidR="00E60D2B">
        <w:t>e</w:t>
      </w:r>
      <w:r w:rsidRPr="00E6110F">
        <w:t xml:space="preserve">conomic group, </w:t>
      </w:r>
      <w:r w:rsidR="00E60D2B">
        <w:t>g</w:t>
      </w:r>
      <w:r w:rsidR="00E60D2B" w:rsidRPr="00E6110F">
        <w:t xml:space="preserve">roundwater </w:t>
      </w:r>
      <w:r w:rsidRPr="00E6110F">
        <w:t xml:space="preserve">management zone subgroup) from CSG wells are shown in </w:t>
      </w:r>
      <w:r w:rsidRPr="00E6110F">
        <w:fldChar w:fldCharType="begin" w:fldLock="1"/>
      </w:r>
      <w:r w:rsidRPr="00E6110F">
        <w:instrText xml:space="preserve"> REF _Ref446091080 \h </w:instrText>
      </w:r>
      <w:r w:rsidR="00E6110F">
        <w:instrText xml:space="preserve"> \* MERGEFORMAT </w:instrText>
      </w:r>
      <w:r w:rsidRPr="00E6110F">
        <w:fldChar w:fldCharType="separate"/>
      </w:r>
      <w:r w:rsidR="00335E79" w:rsidRPr="00E6110F">
        <w:t xml:space="preserve">Figure </w:t>
      </w:r>
      <w:r w:rsidR="00335E79">
        <w:rPr>
          <w:noProof/>
        </w:rPr>
        <w:t>3</w:t>
      </w:r>
      <w:r w:rsidR="00335E79">
        <w:rPr>
          <w:noProof/>
        </w:rPr>
        <w:noBreakHyphen/>
        <w:t>11</w:t>
      </w:r>
      <w:r w:rsidRPr="00E6110F">
        <w:fldChar w:fldCharType="end"/>
      </w:r>
      <w:r w:rsidRPr="00E6110F">
        <w:t>. Assets include groundwater bores for purposes including water conservation, domestic, stock, teaching and ‘unknown’; and Groundwater Management Plan areas for the Upper and Lower Namoi sources, NSW GAB, and the NSW MDB Fractured and NSW MDB Porous Rock sources. The latter 3 plan areas intersect directly with proposed CSG well locations. From ~50m bores within the Basic Access Right Southern Recharge Groundwater Source were located. Bores within the Basic Access Right Gunnedah-Oxley Basin MDB Groundwater Source were located from ~4</w:t>
      </w:r>
      <w:r w:rsidR="00E60D2B">
        <w:t xml:space="preserve"> </w:t>
      </w:r>
      <w:r w:rsidRPr="00E6110F">
        <w:t>km from CSG wells. Bores in the Lower Namoi and Upper Namoi Zone 5 Namoi Valley (Gins Leap to Narrabri) Groundwater Source were located from ~7</w:t>
      </w:r>
      <w:r w:rsidR="00E60D2B">
        <w:t xml:space="preserve"> </w:t>
      </w:r>
      <w:r w:rsidRPr="00E6110F">
        <w:t>km and ~7.5</w:t>
      </w:r>
      <w:r w:rsidR="00E60D2B">
        <w:t xml:space="preserve"> </w:t>
      </w:r>
      <w:r w:rsidRPr="00E6110F">
        <w:t>km from CSG wells respectively. Bores within the Upper Namoi Zone 11 Maules Creek Groundwater Source were located from ~18</w:t>
      </w:r>
      <w:r w:rsidR="00E60D2B">
        <w:t xml:space="preserve"> </w:t>
      </w:r>
      <w:r w:rsidRPr="00E6110F">
        <w:t>km from CSG wells.</w:t>
      </w:r>
    </w:p>
    <w:p w14:paraId="3193B084" w14:textId="77777777" w:rsidR="00CE3498" w:rsidRPr="00E6110F" w:rsidRDefault="00CE3498" w:rsidP="00CE3498">
      <w:r w:rsidRPr="00E6110F">
        <w:rPr>
          <w:noProof/>
          <w:lang w:val="en-AU" w:eastAsia="en-AU"/>
        </w:rPr>
        <w:drawing>
          <wp:inline distT="0" distB="0" distL="0" distR="0" wp14:anchorId="6A4AD4C3" wp14:editId="2BE8A3E1">
            <wp:extent cx="5232216" cy="3600000"/>
            <wp:effectExtent l="0" t="0" r="6985" b="635"/>
            <wp:docPr id="191" name="Picture 191" descr="Cumulative probability of the proximity of all assets to each CSG well pair (Approach #3) for assets in the Basic Water Right (stock and domestic) Class (Economic Assets, Groundwater management zone subgroup) " title="Fig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n029\Documents\CSG_HazardScreeningProject\Gunnedah\CumulativeProbPlots\Econ GW Basic Access Right3.PN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232216" cy="3600000"/>
                    </a:xfrm>
                    <a:prstGeom prst="rect">
                      <a:avLst/>
                    </a:prstGeom>
                    <a:noFill/>
                    <a:ln>
                      <a:noFill/>
                    </a:ln>
                  </pic:spPr>
                </pic:pic>
              </a:graphicData>
            </a:graphic>
          </wp:inline>
        </w:drawing>
      </w:r>
    </w:p>
    <w:p w14:paraId="09E78043" w14:textId="38166366" w:rsidR="00CE3498" w:rsidRPr="00E6110F" w:rsidRDefault="00CE3498" w:rsidP="00CE3498">
      <w:pPr>
        <w:pStyle w:val="Imagecaption"/>
      </w:pPr>
      <w:bookmarkStart w:id="393" w:name="_Ref446091080"/>
      <w:bookmarkStart w:id="394" w:name="_Toc477347619"/>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11</w:t>
      </w:r>
      <w:r w:rsidR="00254026">
        <w:fldChar w:fldCharType="end"/>
      </w:r>
      <w:bookmarkEnd w:id="393"/>
      <w:r w:rsidRPr="00E6110F">
        <w:t xml:space="preserve"> Cumulative probability of the proximity of all assets to each CSG well pair (Approach #3) for assets in the Basic Water Right (stock and domestic) Class (Economic Assets, Groundwater management zone subgroup) within a distance of 30 km and an angle north between 90°E and 270°W from CSG wells. Assets include groundwater bores for purposes including water conservation, domestic, stock, teaching and ‘unknown’; and Groundwater Management Plan areas for the Upper and Lower Namoi sources, NSW GAB, and the NSW MDB Fractured and NSW MDB Porous Rock sources (the latter 3 intersect directly with the proposed CSG wells).</w:t>
      </w:r>
      <w:bookmarkEnd w:id="394"/>
    </w:p>
    <w:p w14:paraId="113048AF" w14:textId="77777777" w:rsidR="00CE3498" w:rsidRPr="00E6110F" w:rsidRDefault="00CE3498" w:rsidP="00F2149A">
      <w:pPr>
        <w:pStyle w:val="Heading3"/>
        <w:numPr>
          <w:ilvl w:val="3"/>
          <w:numId w:val="1"/>
        </w:numPr>
      </w:pPr>
      <w:bookmarkStart w:id="395" w:name="_Toc494444558"/>
      <w:r w:rsidRPr="00E6110F">
        <w:t>Surface water management zone subgroup</w:t>
      </w:r>
      <w:bookmarkEnd w:id="395"/>
    </w:p>
    <w:p w14:paraId="046119D9" w14:textId="6929AC82" w:rsidR="00CE3498" w:rsidRPr="00E6110F" w:rsidRDefault="00CE3498" w:rsidP="00CE3498">
      <w:pPr>
        <w:pStyle w:val="Body"/>
      </w:pPr>
      <w:r w:rsidRPr="00E6110F">
        <w:t>Cumulative probability distribution of distances of assets in the Water Access Right class (</w:t>
      </w:r>
      <w:r w:rsidR="00E60D2B">
        <w:t>e</w:t>
      </w:r>
      <w:r w:rsidR="00E60D2B" w:rsidRPr="00E6110F">
        <w:t xml:space="preserve">conomic </w:t>
      </w:r>
      <w:r w:rsidRPr="00E6110F">
        <w:t xml:space="preserve">group, </w:t>
      </w:r>
      <w:r w:rsidR="00E60D2B">
        <w:t>s</w:t>
      </w:r>
      <w:r w:rsidR="00E60D2B" w:rsidRPr="00E6110F">
        <w:t xml:space="preserve">urface </w:t>
      </w:r>
      <w:r w:rsidRPr="00E6110F">
        <w:t xml:space="preserve">water management zone subgroup) from CSG wells are shown in </w:t>
      </w:r>
      <w:r w:rsidRPr="00E6110F">
        <w:fldChar w:fldCharType="begin" w:fldLock="1"/>
      </w:r>
      <w:r w:rsidRPr="00E6110F">
        <w:instrText xml:space="preserve"> REF _Ref450037867 \h </w:instrText>
      </w:r>
      <w:r w:rsidR="00E6110F">
        <w:instrText xml:space="preserve"> \* MERGEFORMAT </w:instrText>
      </w:r>
      <w:r w:rsidRPr="00E6110F">
        <w:fldChar w:fldCharType="separate"/>
      </w:r>
      <w:r w:rsidR="00335E79" w:rsidRPr="00E6110F">
        <w:t xml:space="preserve">Figure </w:t>
      </w:r>
      <w:r w:rsidR="00335E79">
        <w:rPr>
          <w:noProof/>
        </w:rPr>
        <w:t>3</w:t>
      </w:r>
      <w:r w:rsidR="00335E79">
        <w:rPr>
          <w:noProof/>
        </w:rPr>
        <w:noBreakHyphen/>
        <w:t>12</w:t>
      </w:r>
      <w:r w:rsidRPr="00E6110F">
        <w:fldChar w:fldCharType="end"/>
      </w:r>
      <w:r w:rsidRPr="00E6110F">
        <w:t>. Assets located from ~900</w:t>
      </w:r>
      <w:r w:rsidR="00E60D2B">
        <w:t xml:space="preserve"> </w:t>
      </w:r>
      <w:r w:rsidRPr="00E6110F">
        <w:t>m include water sources for Bohena and Eulah Creeks. From ~9</w:t>
      </w:r>
      <w:r w:rsidR="00E60D2B">
        <w:t xml:space="preserve"> </w:t>
      </w:r>
      <w:r w:rsidRPr="00E6110F">
        <w:t>km water access right Lower Namoi Regulated River Water source were located and from ~17km to ~23km water access right locations for the Bundock, Maules, Brigalow and Pian Creek water sources were located. Purposes for this asset class include augmentation, domestic, irrigation, stock, farming, horticulture, industrial, mining, recreation, and recirculation and contained both low and high security water access rights.</w:t>
      </w:r>
    </w:p>
    <w:p w14:paraId="1C295D1F" w14:textId="77777777" w:rsidR="00CE3498" w:rsidRPr="00E6110F" w:rsidRDefault="00CE3498" w:rsidP="00CE3498">
      <w:pPr>
        <w:pStyle w:val="Body"/>
        <w:keepNext/>
      </w:pPr>
      <w:r w:rsidRPr="00E6110F">
        <w:rPr>
          <w:noProof/>
          <w:lang w:val="en-AU" w:eastAsia="en-AU"/>
        </w:rPr>
        <w:drawing>
          <wp:inline distT="0" distB="0" distL="0" distR="0" wp14:anchorId="1B53B55D" wp14:editId="73FF3528">
            <wp:extent cx="5226235" cy="3600000"/>
            <wp:effectExtent l="0" t="0" r="0" b="635"/>
            <wp:docPr id="544" name="Picture 544" descr="Cumulative probability of the proximity of all assets to each CSG well pair (Approach #3) for assets in the Water Access Right Class (Economic Assets, Surface water management zone subgroup)." title="Fig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n029\Documents\CSG_HazardScreeningProject\Gunnedah\CumulativeProbPlots\Econ SW Water Access Right3.PNG"/>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5226235" cy="3600000"/>
                    </a:xfrm>
                    <a:prstGeom prst="rect">
                      <a:avLst/>
                    </a:prstGeom>
                    <a:noFill/>
                    <a:ln>
                      <a:noFill/>
                    </a:ln>
                  </pic:spPr>
                </pic:pic>
              </a:graphicData>
            </a:graphic>
          </wp:inline>
        </w:drawing>
      </w:r>
    </w:p>
    <w:p w14:paraId="0D4FD9D6" w14:textId="015BBCCB" w:rsidR="00CE3498" w:rsidRPr="00E6110F" w:rsidRDefault="00CE3498" w:rsidP="00CE3498">
      <w:pPr>
        <w:pStyle w:val="Imagecaption"/>
      </w:pPr>
      <w:bookmarkStart w:id="396" w:name="_Ref450037867"/>
      <w:bookmarkStart w:id="397" w:name="_Toc477347620"/>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12</w:t>
      </w:r>
      <w:r w:rsidR="00254026">
        <w:fldChar w:fldCharType="end"/>
      </w:r>
      <w:bookmarkEnd w:id="396"/>
      <w:r w:rsidRPr="00E6110F">
        <w:t xml:space="preserve"> Cumulative probability of the proximity of all assets to each CSG well pair (Approach #3) for assets in the Water Access Right Class (Economic Assets, Surface water management zone subgroup) within a distance of 30 km and an angle north between 90°E and 270°W from CSG wells. Assets include Water Access Right locations for the Lower Namoi River and the Bohena, Brigalow, Bundock, Eulah, </w:t>
      </w:r>
      <w:proofErr w:type="gramStart"/>
      <w:r w:rsidRPr="00E6110F">
        <w:t>Spring</w:t>
      </w:r>
      <w:proofErr w:type="gramEnd"/>
      <w:r w:rsidRPr="00E6110F">
        <w:t>, Bobbiwaa, Maules, Pian, and Millie Creeks.</w:t>
      </w:r>
      <w:bookmarkEnd w:id="397"/>
    </w:p>
    <w:p w14:paraId="4B6490ED" w14:textId="77777777" w:rsidR="00CE3498" w:rsidRPr="00E6110F" w:rsidRDefault="00CE3498" w:rsidP="00CE3498">
      <w:pPr>
        <w:pStyle w:val="Body"/>
      </w:pPr>
    </w:p>
    <w:p w14:paraId="6C18B80D" w14:textId="2BF06D19" w:rsidR="00CE3498" w:rsidRPr="00E6110F" w:rsidRDefault="00CE3498" w:rsidP="00CE3498">
      <w:pPr>
        <w:pStyle w:val="Body"/>
      </w:pPr>
      <w:r w:rsidRPr="00E6110F">
        <w:t xml:space="preserve">Cumulative probability distribution of distances of assets in the Water Access Right class (Economic group, Surface water management zone subgroup) from CSG wells are shown in </w:t>
      </w:r>
      <w:r w:rsidRPr="00E6110F">
        <w:fldChar w:fldCharType="begin" w:fldLock="1"/>
      </w:r>
      <w:r w:rsidRPr="00E6110F">
        <w:instrText xml:space="preserve"> REF _Ref447200898 \h  \* MERGEFORMAT </w:instrText>
      </w:r>
      <w:r w:rsidRPr="00E6110F">
        <w:fldChar w:fldCharType="separate"/>
      </w:r>
      <w:r w:rsidR="00335E79" w:rsidRPr="00E6110F">
        <w:t xml:space="preserve">Figure </w:t>
      </w:r>
      <w:r w:rsidR="00335E79">
        <w:t>3</w:t>
      </w:r>
      <w:r w:rsidR="00335E79">
        <w:noBreakHyphen/>
        <w:t>13</w:t>
      </w:r>
      <w:r w:rsidRPr="00E6110F">
        <w:fldChar w:fldCharType="end"/>
      </w:r>
      <w:r w:rsidRPr="00E6110F">
        <w:t>. This asset class included source locations within water sharing plan areas. Four of these plan areas directly intersected the proposed CSG well locations, these were the Water Sharing Plan areas for the Namoi Unregulated and Alluvial Water Sources including Bohena Creek Water Source, Brigalow Creek Water Source, Bundock Creek Water Source, and the Eulah Creek Water Source. The Coghill Creek Water Source Water Sharing Plan area was located from ~2.7</w:t>
      </w:r>
      <w:r w:rsidR="00E60D2B">
        <w:t xml:space="preserve"> </w:t>
      </w:r>
      <w:r w:rsidRPr="00E6110F">
        <w:t>km. From ~9 to ~29</w:t>
      </w:r>
      <w:r w:rsidR="00E60D2B">
        <w:t xml:space="preserve"> </w:t>
      </w:r>
      <w:r w:rsidRPr="00E6110F">
        <w:t>km, water access right locations were located within Lower Namoi Regulated River Water Source, Spring and Bobbiwaa Creeks Water Source, Spring And Bobbiwaa Creeks Water Source, Maules Creek Water Source, Bluevale Water Source and the Pian and Millie Creeks Plan areas.</w:t>
      </w:r>
    </w:p>
    <w:p w14:paraId="0B59B067" w14:textId="77777777" w:rsidR="00CE3498" w:rsidRPr="00E6110F" w:rsidRDefault="00CE3498" w:rsidP="00CE3498">
      <w:pPr>
        <w:keepNext/>
      </w:pPr>
      <w:r w:rsidRPr="00E6110F">
        <w:rPr>
          <w:noProof/>
          <w:lang w:val="en-AU" w:eastAsia="en-AU"/>
        </w:rPr>
        <w:drawing>
          <wp:inline distT="0" distB="0" distL="0" distR="0" wp14:anchorId="3552E460" wp14:editId="13991986">
            <wp:extent cx="5226235" cy="3600000"/>
            <wp:effectExtent l="0" t="0" r="0" b="635"/>
            <wp:docPr id="545" name="Picture 545" descr="Cumulative probability of the proximity of all assets to each CSG well pair (Approach #3) for assets in the Basic Water Right (stock and domestic) Class (Economic Assets, Surface water management zone subgroup)." title="Fig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n029\Documents\CSG_HazardScreeningProject\Gunnedah\CumulativeProbPlots\Econ SW Basic Access Right3.PNG"/>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5226235" cy="3600000"/>
                    </a:xfrm>
                    <a:prstGeom prst="rect">
                      <a:avLst/>
                    </a:prstGeom>
                    <a:noFill/>
                    <a:ln>
                      <a:noFill/>
                    </a:ln>
                  </pic:spPr>
                </pic:pic>
              </a:graphicData>
            </a:graphic>
          </wp:inline>
        </w:drawing>
      </w:r>
    </w:p>
    <w:p w14:paraId="0AD125A1" w14:textId="0CF288D4" w:rsidR="00CE3498" w:rsidRPr="00E6110F" w:rsidRDefault="00CE3498" w:rsidP="00CE3498">
      <w:pPr>
        <w:pStyle w:val="Imagecaption"/>
      </w:pPr>
      <w:bookmarkStart w:id="398" w:name="_Ref447200898"/>
      <w:bookmarkStart w:id="399" w:name="_Toc477347621"/>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13</w:t>
      </w:r>
      <w:r w:rsidR="00254026">
        <w:fldChar w:fldCharType="end"/>
      </w:r>
      <w:bookmarkEnd w:id="398"/>
      <w:r w:rsidRPr="00E6110F">
        <w:t xml:space="preserve"> Cumulative probability of the proximity of all assets to each CSG well pair (Approach #3) for assets in the Basic Water Right (stock and domestic) Class (Economic Assets, Surface water management zone subgroup) within a distance of 30 km and an angle north between 90°E and 270°W from CSG wells.</w:t>
      </w:r>
      <w:r w:rsidRPr="00E6110F">
        <w:rPr>
          <w:color w:val="auto"/>
          <w:sz w:val="24"/>
          <w:szCs w:val="24"/>
        </w:rPr>
        <w:t xml:space="preserve"> </w:t>
      </w:r>
      <w:r w:rsidRPr="00E6110F">
        <w:t xml:space="preserve">Assets include Water Sharing Plan areas (management zones) for Basic Water Rights (stock and domestic) for the Lower Namoi River and the Bohena, Brigalow, Bundock, Eulah, </w:t>
      </w:r>
      <w:proofErr w:type="gramStart"/>
      <w:r w:rsidRPr="00E6110F">
        <w:t>Spring</w:t>
      </w:r>
      <w:proofErr w:type="gramEnd"/>
      <w:r w:rsidRPr="00E6110F">
        <w:t>, Bobbiwaa, Maules, Pian, and Millie Creeks.</w:t>
      </w:r>
      <w:bookmarkEnd w:id="399"/>
    </w:p>
    <w:p w14:paraId="0B2F80A2" w14:textId="77777777" w:rsidR="005010E7" w:rsidRPr="00E6110F" w:rsidRDefault="005010E7" w:rsidP="00497D3D">
      <w:pPr>
        <w:pStyle w:val="Body"/>
      </w:pPr>
    </w:p>
    <w:p w14:paraId="14351B76" w14:textId="77777777" w:rsidR="00D15FE8" w:rsidRPr="001673D0" w:rsidRDefault="005010E7" w:rsidP="005010E7">
      <w:pPr>
        <w:pStyle w:val="Heading3"/>
      </w:pPr>
      <w:bookmarkStart w:id="400" w:name="_Toc494444559"/>
      <w:r w:rsidRPr="00E6110F">
        <w:t>Sociocultural assets</w:t>
      </w:r>
      <w:bookmarkEnd w:id="400"/>
    </w:p>
    <w:p w14:paraId="2D9A361B" w14:textId="6EC9D0BD" w:rsidR="007E5A7A" w:rsidRPr="00E6110F" w:rsidRDefault="007E5A7A" w:rsidP="007E5A7A">
      <w:pPr>
        <w:pStyle w:val="Body"/>
      </w:pPr>
      <w:r w:rsidRPr="00E6110F">
        <w:t xml:space="preserve">Cumulative probability distribution of distances of assets in the </w:t>
      </w:r>
      <w:r w:rsidR="00E60D2B">
        <w:t>s</w:t>
      </w:r>
      <w:r w:rsidRPr="00E6110F">
        <w:t xml:space="preserve">ociocultural asset group from CSG wells are shown in </w:t>
      </w:r>
      <w:r w:rsidRPr="00E6110F">
        <w:fldChar w:fldCharType="begin" w:fldLock="1"/>
      </w:r>
      <w:r w:rsidRPr="00E6110F">
        <w:instrText xml:space="preserve"> REF _Ref447202473 \h  \* MERGEFORMAT </w:instrText>
      </w:r>
      <w:r w:rsidRPr="00E6110F">
        <w:fldChar w:fldCharType="separate"/>
      </w:r>
      <w:r w:rsidR="00335E79" w:rsidRPr="00E6110F">
        <w:t xml:space="preserve">Figure </w:t>
      </w:r>
      <w:r w:rsidR="00335E79">
        <w:t>3</w:t>
      </w:r>
      <w:r w:rsidR="00335E79">
        <w:noBreakHyphen/>
        <w:t>14</w:t>
      </w:r>
      <w:r w:rsidRPr="00E6110F">
        <w:fldChar w:fldCharType="end"/>
      </w:r>
      <w:r w:rsidRPr="00E6110F">
        <w:t xml:space="preserve">. These assets comprised heritage and indigenous site asset classes. One of the 8 heritage sites within the 30 km </w:t>
      </w:r>
      <w:r w:rsidR="00211393">
        <w:t>study area</w:t>
      </w:r>
      <w:r w:rsidRPr="00E6110F">
        <w:t xml:space="preserve"> buffer area was excluded from proximity analysis due to its position south of the proposed CSG wells (</w:t>
      </w:r>
      <w:r w:rsidRPr="00E6110F">
        <w:fldChar w:fldCharType="begin" w:fldLock="1"/>
      </w:r>
      <w:r w:rsidRPr="00E6110F">
        <w:instrText xml:space="preserve"> REF _Ref446858354 \h </w:instrText>
      </w:r>
      <w:r w:rsidR="00E6110F">
        <w:instrText xml:space="preserve"> \* MERGEFORMAT </w:instrText>
      </w:r>
      <w:r w:rsidRPr="00E6110F">
        <w:fldChar w:fldCharType="separate"/>
      </w:r>
      <w:r w:rsidR="00335E79" w:rsidRPr="00E6110F">
        <w:t xml:space="preserve">Figure </w:t>
      </w:r>
      <w:r w:rsidR="00335E79">
        <w:rPr>
          <w:noProof/>
        </w:rPr>
        <w:t>2</w:t>
      </w:r>
      <w:r w:rsidR="00335E79">
        <w:rPr>
          <w:noProof/>
        </w:rPr>
        <w:noBreakHyphen/>
        <w:t>22</w:t>
      </w:r>
      <w:r w:rsidRPr="00E6110F">
        <w:fldChar w:fldCharType="end"/>
      </w:r>
      <w:r w:rsidRPr="00E6110F">
        <w:t>). The remaining 7 hertitage sites and 1 indigenous site were &gt;13</w:t>
      </w:r>
      <w:r w:rsidR="00E60D2B">
        <w:t xml:space="preserve"> </w:t>
      </w:r>
      <w:r w:rsidRPr="00E6110F">
        <w:t>km from the nearest CSG well location (</w:t>
      </w:r>
      <w:r w:rsidRPr="00E6110F">
        <w:fldChar w:fldCharType="begin" w:fldLock="1"/>
      </w:r>
      <w:r w:rsidRPr="00E6110F">
        <w:instrText xml:space="preserve"> REF _Ref447202473 \h  \* MERGEFORMAT </w:instrText>
      </w:r>
      <w:r w:rsidRPr="00E6110F">
        <w:fldChar w:fldCharType="separate"/>
      </w:r>
      <w:r w:rsidR="00335E79" w:rsidRPr="00E6110F">
        <w:t xml:space="preserve">Figure </w:t>
      </w:r>
      <w:r w:rsidR="00335E79">
        <w:t>3</w:t>
      </w:r>
      <w:r w:rsidR="00335E79">
        <w:noBreakHyphen/>
        <w:t>14</w:t>
      </w:r>
      <w:r w:rsidRPr="00E6110F">
        <w:fldChar w:fldCharType="end"/>
      </w:r>
      <w:r w:rsidRPr="00E6110F">
        <w:t>). The Collins Park Grandstand, Police Residence, Narrabri Gaol (former), Narrabri Post Office and Former Telegraph Office and Narrabri Public School heritage sites were located 13.2 to 13.7</w:t>
      </w:r>
      <w:r w:rsidR="00E60D2B">
        <w:t xml:space="preserve"> </w:t>
      </w:r>
      <w:r w:rsidRPr="00E6110F">
        <w:t>km from proposed CSG well locations. At distances of 23.8 to 26.9</w:t>
      </w:r>
      <w:r w:rsidR="00E60D2B">
        <w:t xml:space="preserve"> </w:t>
      </w:r>
      <w:r w:rsidRPr="00E6110F">
        <w:t>km, the Bullawa Creek Area indigenous site and Wee Waa Courthouse and Mount Kaputar National Park hertitage sites were located.</w:t>
      </w:r>
    </w:p>
    <w:p w14:paraId="101A81ED" w14:textId="77777777" w:rsidR="007E5A7A" w:rsidRPr="00E6110F" w:rsidRDefault="007E5A7A" w:rsidP="007E5A7A">
      <w:pPr>
        <w:pStyle w:val="Body"/>
        <w:keepNext/>
      </w:pPr>
    </w:p>
    <w:p w14:paraId="63F72BF3" w14:textId="77777777" w:rsidR="007E5A7A" w:rsidRPr="00E6110F" w:rsidRDefault="007E5A7A" w:rsidP="007E5A7A">
      <w:pPr>
        <w:pStyle w:val="Body"/>
        <w:keepNext/>
      </w:pPr>
      <w:r w:rsidRPr="00E6110F">
        <w:rPr>
          <w:noProof/>
          <w:lang w:val="en-AU" w:eastAsia="en-AU"/>
        </w:rPr>
        <w:drawing>
          <wp:inline distT="0" distB="0" distL="0" distR="0" wp14:anchorId="5B82492D" wp14:editId="6C8293DB">
            <wp:extent cx="5226235" cy="3600000"/>
            <wp:effectExtent l="0" t="0" r="0" b="635"/>
            <wp:docPr id="546" name="Picture 546" descr="Cumulative probability of the proximity of all assets to each CSG well pair (Approach #3) for assets in the Sociocultural Assets (cultural subgroup)." title="Fig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n029\Documents\CSG_HazardScreeningProject\Gunnedah\CumulativeProbPlots\Sociocultural3.PN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226235" cy="3600000"/>
                    </a:xfrm>
                    <a:prstGeom prst="rect">
                      <a:avLst/>
                    </a:prstGeom>
                    <a:noFill/>
                    <a:ln>
                      <a:noFill/>
                    </a:ln>
                  </pic:spPr>
                </pic:pic>
              </a:graphicData>
            </a:graphic>
          </wp:inline>
        </w:drawing>
      </w:r>
    </w:p>
    <w:p w14:paraId="1C5DF4BA" w14:textId="0FAF6B2F" w:rsidR="007E5A7A" w:rsidRPr="00E6110F" w:rsidRDefault="007E5A7A" w:rsidP="007E5A7A">
      <w:pPr>
        <w:pStyle w:val="Imagecaption"/>
        <w:sectPr w:rsidR="007E5A7A" w:rsidRPr="00E6110F" w:rsidSect="00022A94">
          <w:headerReference w:type="default" r:id="rId133"/>
          <w:pgSz w:w="11900" w:h="16840" w:code="9"/>
          <w:pgMar w:top="1440" w:right="1440" w:bottom="1440" w:left="1440" w:header="0" w:footer="0" w:gutter="0"/>
          <w:cols w:space="284"/>
          <w:noEndnote/>
          <w:docGrid w:linePitch="326"/>
        </w:sectPr>
      </w:pPr>
      <w:bookmarkStart w:id="401" w:name="_Ref447202473"/>
      <w:bookmarkStart w:id="402" w:name="_Toc477347622"/>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14</w:t>
      </w:r>
      <w:r w:rsidR="00254026">
        <w:fldChar w:fldCharType="end"/>
      </w:r>
      <w:bookmarkEnd w:id="401"/>
      <w:r w:rsidRPr="00E6110F">
        <w:t xml:space="preserve">  Cumulative probability of the proximity of all assets to each CSG well pair (Approach #3) for assets in the Sociocultural Assets (cultural subgroup). Assets include heritage and indigenous sites asset classes.</w:t>
      </w:r>
      <w:bookmarkEnd w:id="402"/>
    </w:p>
    <w:p w14:paraId="1624E613" w14:textId="14514D23" w:rsidR="005010E7" w:rsidRPr="00E6110F" w:rsidRDefault="005010E7" w:rsidP="005010E7">
      <w:pPr>
        <w:pStyle w:val="Heading2"/>
      </w:pPr>
      <w:bookmarkStart w:id="403" w:name="_Ref470859400"/>
      <w:bookmarkStart w:id="404" w:name="_Toc494444560"/>
      <w:r w:rsidRPr="00E6110F">
        <w:t xml:space="preserve">Frequency-proximity relationships for </w:t>
      </w:r>
      <w:r w:rsidR="00E60D2B">
        <w:t xml:space="preserve">the </w:t>
      </w:r>
      <w:r w:rsidRPr="00E6110F">
        <w:t xml:space="preserve">Surat </w:t>
      </w:r>
      <w:r w:rsidR="00E60D2B">
        <w:t>B</w:t>
      </w:r>
      <w:r w:rsidRPr="00E6110F">
        <w:t>asin</w:t>
      </w:r>
      <w:bookmarkEnd w:id="403"/>
      <w:bookmarkEnd w:id="404"/>
    </w:p>
    <w:p w14:paraId="209B1E47" w14:textId="77777777" w:rsidR="005010E7" w:rsidRPr="00E6110F" w:rsidRDefault="005010E7" w:rsidP="005010E7">
      <w:pPr>
        <w:pStyle w:val="Heading3"/>
      </w:pPr>
      <w:bookmarkStart w:id="405" w:name="_Toc494444561"/>
      <w:r w:rsidRPr="00E6110F">
        <w:t>Ecological assets</w:t>
      </w:r>
      <w:bookmarkEnd w:id="405"/>
    </w:p>
    <w:p w14:paraId="134A37D8" w14:textId="77777777" w:rsidR="00E72341" w:rsidRPr="00E6110F" w:rsidRDefault="00E72341" w:rsidP="00E72341">
      <w:pPr>
        <w:pStyle w:val="Heading3"/>
        <w:numPr>
          <w:ilvl w:val="3"/>
          <w:numId w:val="1"/>
        </w:numPr>
      </w:pPr>
      <w:bookmarkStart w:id="406" w:name="_Toc494444562"/>
      <w:r w:rsidRPr="00E6110F">
        <w:t>Surface Water Feature</w:t>
      </w:r>
      <w:bookmarkEnd w:id="406"/>
    </w:p>
    <w:p w14:paraId="6B296738" w14:textId="49597AAF" w:rsidR="0090017D" w:rsidRPr="00E6110F" w:rsidRDefault="002A77A8" w:rsidP="0090017D">
      <w:pPr>
        <w:pStyle w:val="Body"/>
      </w:pPr>
      <w:r w:rsidRPr="00E6110F">
        <w:t>The c</w:t>
      </w:r>
      <w:r w:rsidR="0090017D" w:rsidRPr="00E6110F">
        <w:t xml:space="preserve">umulative probability distribution of distances of assets in the Surface Water Feature asset subgroup from CSG wells </w:t>
      </w:r>
      <w:r w:rsidR="00CB06B5" w:rsidRPr="00E6110F">
        <w:t>is</w:t>
      </w:r>
      <w:r w:rsidR="0090017D" w:rsidRPr="00E6110F">
        <w:t xml:space="preserve"> shown in</w:t>
      </w:r>
      <w:r w:rsidR="007B3B70" w:rsidRPr="00E6110F">
        <w:t xml:space="preserve"> </w:t>
      </w:r>
      <w:r w:rsidR="007B3B70" w:rsidRPr="00E6110F">
        <w:fldChar w:fldCharType="begin" w:fldLock="1"/>
      </w:r>
      <w:r w:rsidR="007B3B70" w:rsidRPr="00E6110F">
        <w:instrText xml:space="preserve"> REF _Ref453346394 \h </w:instrText>
      </w:r>
      <w:r w:rsidR="00E6110F">
        <w:instrText xml:space="preserve"> \* MERGEFORMAT </w:instrText>
      </w:r>
      <w:r w:rsidR="007B3B70" w:rsidRPr="00E6110F">
        <w:fldChar w:fldCharType="separate"/>
      </w:r>
      <w:r w:rsidR="00335E79" w:rsidRPr="00E6110F">
        <w:t xml:space="preserve">Figure </w:t>
      </w:r>
      <w:r w:rsidR="00335E79">
        <w:rPr>
          <w:noProof/>
        </w:rPr>
        <w:t>3</w:t>
      </w:r>
      <w:r w:rsidR="00335E79">
        <w:rPr>
          <w:noProof/>
        </w:rPr>
        <w:noBreakHyphen/>
        <w:t>15</w:t>
      </w:r>
      <w:r w:rsidR="007B3B70" w:rsidRPr="00E6110F">
        <w:fldChar w:fldCharType="end"/>
      </w:r>
      <w:r w:rsidR="0090017D" w:rsidRPr="00E6110F">
        <w:t>. This subgroup include</w:t>
      </w:r>
      <w:r w:rsidR="009A18FA" w:rsidRPr="00E6110F">
        <w:t>s the following asset classes: r</w:t>
      </w:r>
      <w:r w:rsidR="0090017D" w:rsidRPr="00E6110F">
        <w:t xml:space="preserve">iver or stream reach, tributary, anabranch or bend; </w:t>
      </w:r>
      <w:r w:rsidRPr="00E6110F">
        <w:t>f</w:t>
      </w:r>
      <w:r w:rsidR="0090017D" w:rsidRPr="00E6110F">
        <w:t xml:space="preserve">loodplain; </w:t>
      </w:r>
      <w:r w:rsidRPr="00E6110F">
        <w:t>w</w:t>
      </w:r>
      <w:r w:rsidR="0090017D" w:rsidRPr="00E6110F">
        <w:t xml:space="preserve">etland, wetland complex or swamp; </w:t>
      </w:r>
      <w:r w:rsidRPr="00E6110F">
        <w:t>l</w:t>
      </w:r>
      <w:r w:rsidR="0090017D" w:rsidRPr="00E6110F">
        <w:t xml:space="preserve">ake, reservoir, lagoon or estuary; </w:t>
      </w:r>
      <w:r w:rsidRPr="00E6110F">
        <w:t>m</w:t>
      </w:r>
      <w:r w:rsidR="0090017D" w:rsidRPr="00E6110F">
        <w:t>arsh, sedgeland, bog, spring or soak. The majority of these assets were stream systems and water courses and wetlands. A total of 36 assets were located within 1</w:t>
      </w:r>
      <w:r w:rsidR="001E773B" w:rsidRPr="00E6110F">
        <w:t xml:space="preserve"> </w:t>
      </w:r>
      <w:r w:rsidR="0090017D" w:rsidRPr="00E6110F">
        <w:t>km of CSG wells. These included various non</w:t>
      </w:r>
      <w:r w:rsidRPr="00E6110F">
        <w:t>-</w:t>
      </w:r>
      <w:r w:rsidR="0090017D" w:rsidRPr="00E6110F">
        <w:t>perennial water courses and creeks, and wetlands within the Dawson River catchment.</w:t>
      </w:r>
    </w:p>
    <w:p w14:paraId="3491B2B5" w14:textId="77777777" w:rsidR="00691A0E" w:rsidRPr="00E6110F" w:rsidRDefault="00691A0E" w:rsidP="00594474">
      <w:pPr>
        <w:pStyle w:val="Body"/>
      </w:pPr>
    </w:p>
    <w:p w14:paraId="1D95BF37" w14:textId="77777777" w:rsidR="00F427D6" w:rsidRPr="00E6110F" w:rsidRDefault="00F427D6" w:rsidP="00F427D6">
      <w:pPr>
        <w:pStyle w:val="Body"/>
        <w:keepNext/>
      </w:pPr>
      <w:r w:rsidRPr="00E6110F">
        <w:rPr>
          <w:noProof/>
          <w:lang w:val="en-AU" w:eastAsia="en-AU"/>
        </w:rPr>
        <w:drawing>
          <wp:inline distT="0" distB="0" distL="0" distR="0" wp14:anchorId="5A601848" wp14:editId="3EDEA438">
            <wp:extent cx="5706533" cy="3928004"/>
            <wp:effectExtent l="0" t="0" r="8890" b="0"/>
            <wp:docPr id="80" name="Picture 80" descr="Cumulative probability of the proximity of all assets to the nearest CSG well for assets in the River or stream reach, tributary, anabranch or bend; floodplain; wetland, wetland complex or swamp; lake, reservoir, lagoon or estuary; marsh, sedgeland, bog, spring or soak Classes (Ecological Assets, Surface Water Feature Subgroup)." title="Fig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n029\Documents\CSG_HazardScreeningProject\Surat_MBC\CumulativeProbabilityPlots\Ecol_SW_Feat.PNG"/>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714771" cy="3933675"/>
                    </a:xfrm>
                    <a:prstGeom prst="rect">
                      <a:avLst/>
                    </a:prstGeom>
                    <a:noFill/>
                    <a:ln>
                      <a:noFill/>
                    </a:ln>
                  </pic:spPr>
                </pic:pic>
              </a:graphicData>
            </a:graphic>
          </wp:inline>
        </w:drawing>
      </w:r>
    </w:p>
    <w:p w14:paraId="14D56A6A" w14:textId="1948461A" w:rsidR="00F427D6" w:rsidRPr="00E6110F" w:rsidRDefault="0086648F" w:rsidP="00F427D6">
      <w:pPr>
        <w:pStyle w:val="Imagecaption"/>
      </w:pPr>
      <w:bookmarkStart w:id="407" w:name="_Ref453346394"/>
      <w:bookmarkStart w:id="408" w:name="_Toc477347623"/>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15</w:t>
      </w:r>
      <w:r w:rsidR="00254026">
        <w:fldChar w:fldCharType="end"/>
      </w:r>
      <w:bookmarkEnd w:id="407"/>
      <w:r w:rsidRPr="00E6110F">
        <w:t xml:space="preserve">  </w:t>
      </w:r>
      <w:r w:rsidR="00F427D6" w:rsidRPr="00E6110F">
        <w:t xml:space="preserve">Cumulative probability of the proximity of assets to CSG wells for assets in the River or stream reach, tributary, anabranch or bend; </w:t>
      </w:r>
      <w:r w:rsidR="002A77A8" w:rsidRPr="00E6110F">
        <w:t>f</w:t>
      </w:r>
      <w:r w:rsidR="00F427D6" w:rsidRPr="00E6110F">
        <w:t xml:space="preserve">loodplain; </w:t>
      </w:r>
      <w:r w:rsidR="002A77A8" w:rsidRPr="00E6110F">
        <w:t>w</w:t>
      </w:r>
      <w:r w:rsidR="00F427D6" w:rsidRPr="00E6110F">
        <w:t xml:space="preserve">etland, wetland complex or swamp; </w:t>
      </w:r>
      <w:r w:rsidR="002A77A8" w:rsidRPr="00E6110F">
        <w:t>l</w:t>
      </w:r>
      <w:r w:rsidR="00F427D6" w:rsidRPr="00E6110F">
        <w:t xml:space="preserve">ake, reservoir, lagoon or estuary; </w:t>
      </w:r>
      <w:r w:rsidR="002A77A8" w:rsidRPr="00E6110F">
        <w:t>m</w:t>
      </w:r>
      <w:r w:rsidR="00F427D6" w:rsidRPr="00E6110F">
        <w:t>arsh, sedgeland, bog, spring or soak Classes (Ecological Assets, Surface Water Feature Subgroup) within a distance of 30 km and an angle between 180°S and 90°E from CSG wells in the Surat Basin.</w:t>
      </w:r>
      <w:bookmarkEnd w:id="408"/>
    </w:p>
    <w:p w14:paraId="7D51506A" w14:textId="77777777" w:rsidR="00E72341" w:rsidRPr="00E6110F" w:rsidRDefault="00E72341" w:rsidP="00F427D6">
      <w:pPr>
        <w:pStyle w:val="Imagecaption"/>
      </w:pPr>
    </w:p>
    <w:p w14:paraId="3386FE1A" w14:textId="77777777" w:rsidR="00E72341" w:rsidRPr="00E6110F" w:rsidRDefault="00E72341" w:rsidP="00F427D6">
      <w:pPr>
        <w:pStyle w:val="Imagecaption"/>
      </w:pPr>
    </w:p>
    <w:p w14:paraId="09953B07" w14:textId="7D4F7391" w:rsidR="00E72341" w:rsidRPr="00E6110F" w:rsidRDefault="00E72341" w:rsidP="00E72341">
      <w:pPr>
        <w:pStyle w:val="Heading3"/>
        <w:numPr>
          <w:ilvl w:val="3"/>
          <w:numId w:val="1"/>
        </w:numPr>
      </w:pPr>
      <w:bookmarkStart w:id="409" w:name="_Toc494444563"/>
      <w:r w:rsidRPr="00E6110F">
        <w:t>Groundwater Dependent Ecosystems</w:t>
      </w:r>
      <w:r w:rsidR="00AA668B" w:rsidRPr="00E6110F">
        <w:t xml:space="preserve"> asset class</w:t>
      </w:r>
      <w:bookmarkEnd w:id="409"/>
    </w:p>
    <w:p w14:paraId="29AE6687" w14:textId="4C561826" w:rsidR="001E773B" w:rsidRPr="00E6110F" w:rsidRDefault="00CB06B5" w:rsidP="001E773B">
      <w:pPr>
        <w:pStyle w:val="Body"/>
      </w:pPr>
      <w:r w:rsidRPr="00E6110F">
        <w:t>The c</w:t>
      </w:r>
      <w:r w:rsidR="001E773B" w:rsidRPr="00E6110F">
        <w:t xml:space="preserve">umulative probability distribution of distances of assets in the GDE class of the Vegetation asset subgroup to CSG wells </w:t>
      </w:r>
      <w:r w:rsidRPr="00E6110F">
        <w:t>is</w:t>
      </w:r>
      <w:r w:rsidR="001E773B" w:rsidRPr="00E6110F">
        <w:t xml:space="preserve"> shown in</w:t>
      </w:r>
      <w:r w:rsidR="007B3B70" w:rsidRPr="00E6110F">
        <w:t xml:space="preserve"> </w:t>
      </w:r>
      <w:r w:rsidR="007B3B70" w:rsidRPr="00E6110F">
        <w:fldChar w:fldCharType="begin" w:fldLock="1"/>
      </w:r>
      <w:r w:rsidR="007B3B70" w:rsidRPr="00E6110F">
        <w:instrText xml:space="preserve"> REF _Ref453346418 \h </w:instrText>
      </w:r>
      <w:r w:rsidR="00E6110F">
        <w:instrText xml:space="preserve"> \* MERGEFORMAT </w:instrText>
      </w:r>
      <w:r w:rsidR="007B3B70" w:rsidRPr="00E6110F">
        <w:fldChar w:fldCharType="separate"/>
      </w:r>
      <w:r w:rsidR="00335E79" w:rsidRPr="00E6110F">
        <w:t xml:space="preserve">Figure </w:t>
      </w:r>
      <w:r w:rsidR="00335E79">
        <w:rPr>
          <w:noProof/>
        </w:rPr>
        <w:t>3</w:t>
      </w:r>
      <w:r w:rsidR="00335E79">
        <w:rPr>
          <w:noProof/>
        </w:rPr>
        <w:noBreakHyphen/>
        <w:t>16</w:t>
      </w:r>
      <w:r w:rsidR="007B3B70" w:rsidRPr="00E6110F">
        <w:fldChar w:fldCharType="end"/>
      </w:r>
      <w:r w:rsidR="001E773B" w:rsidRPr="00E6110F">
        <w:t>. Within close proximity of CSG wells (e.g. &lt;2</w:t>
      </w:r>
      <w:r w:rsidR="00E60D2B">
        <w:t xml:space="preserve"> </w:t>
      </w:r>
      <w:r w:rsidR="001E773B" w:rsidRPr="00E6110F">
        <w:t>km), these GDEs mainly comprised native vegetation areas (eucalypt woodlands and open forests, Acacia and Casuarina forests and woodlands</w:t>
      </w:r>
      <w:r w:rsidRPr="00E6110F">
        <w:t>)</w:t>
      </w:r>
      <w:r w:rsidR="001E773B" w:rsidRPr="00E6110F">
        <w:t>. Other GDEs were identified as GDEs with high potential for groundwater interaction on certain water courses and creek lines e.g. Fitzroy River and Yuleba Creek.</w:t>
      </w:r>
    </w:p>
    <w:p w14:paraId="5CCEEE34" w14:textId="77777777" w:rsidR="00E72341" w:rsidRPr="00E6110F" w:rsidRDefault="00E72341" w:rsidP="00E72341">
      <w:pPr>
        <w:pStyle w:val="Body"/>
      </w:pPr>
    </w:p>
    <w:p w14:paraId="71779CC4" w14:textId="77777777" w:rsidR="00F427D6" w:rsidRPr="00E6110F" w:rsidRDefault="00F427D6" w:rsidP="00F427D6">
      <w:pPr>
        <w:pStyle w:val="Body"/>
        <w:keepNext/>
      </w:pPr>
      <w:r w:rsidRPr="00E6110F">
        <w:rPr>
          <w:noProof/>
          <w:lang w:val="en-AU" w:eastAsia="en-AU"/>
        </w:rPr>
        <w:drawing>
          <wp:inline distT="0" distB="0" distL="0" distR="0" wp14:anchorId="0D8ADCB4" wp14:editId="08BB1F14">
            <wp:extent cx="5723467" cy="3939661"/>
            <wp:effectExtent l="0" t="0" r="0" b="3810"/>
            <wp:docPr id="82" name="Picture 82" descr="Cumulative probability of the proximity of all assets to the nearest CSG well for assets in the Groundwater Dependent Ecosystems Class (Ecological Assets, Vegetation Subgroup)." title="Fig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n029\Documents\CSG_HazardScreeningProject\Surat_MBC\CumulativeProbabilityPlots\Ecol_Veg_GDE.PN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730863" cy="3944752"/>
                    </a:xfrm>
                    <a:prstGeom prst="rect">
                      <a:avLst/>
                    </a:prstGeom>
                    <a:noFill/>
                    <a:ln>
                      <a:noFill/>
                    </a:ln>
                  </pic:spPr>
                </pic:pic>
              </a:graphicData>
            </a:graphic>
          </wp:inline>
        </w:drawing>
      </w:r>
    </w:p>
    <w:p w14:paraId="14C6111A" w14:textId="1680DEB9" w:rsidR="00F427D6" w:rsidRPr="00E6110F" w:rsidRDefault="0086648F" w:rsidP="00F427D6">
      <w:pPr>
        <w:pStyle w:val="Imagecaption"/>
      </w:pPr>
      <w:bookmarkStart w:id="410" w:name="_Ref453346418"/>
      <w:bookmarkStart w:id="411" w:name="_Toc477347624"/>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16</w:t>
      </w:r>
      <w:r w:rsidR="00254026">
        <w:fldChar w:fldCharType="end"/>
      </w:r>
      <w:bookmarkEnd w:id="410"/>
      <w:r w:rsidRPr="00E6110F">
        <w:t xml:space="preserve"> </w:t>
      </w:r>
      <w:r w:rsidR="00F427D6" w:rsidRPr="00E6110F">
        <w:t>Cumulative probability of the proximity of assets to CSG wells for assets in the Groundwater Dependent Ecosystems Class (Ecological Assets, Vegetation Subgroup) within a distance of 30 km and an angle between 180°S and 90°E from CSG wells in the Surat Basin.</w:t>
      </w:r>
      <w:bookmarkEnd w:id="411"/>
    </w:p>
    <w:p w14:paraId="1821AAE4" w14:textId="56F87829" w:rsidR="00E72341" w:rsidRPr="00E6110F" w:rsidRDefault="00357505" w:rsidP="00E72341">
      <w:pPr>
        <w:pStyle w:val="Heading3"/>
        <w:numPr>
          <w:ilvl w:val="3"/>
          <w:numId w:val="1"/>
        </w:numPr>
      </w:pPr>
      <w:bookmarkStart w:id="412" w:name="_Toc494444564"/>
      <w:r w:rsidRPr="00E6110F">
        <w:t>Aquifer, geological</w:t>
      </w:r>
      <w:r w:rsidR="00E72341" w:rsidRPr="00E6110F">
        <w:t xml:space="preserve"> </w:t>
      </w:r>
      <w:r w:rsidRPr="00E6110F">
        <w:t>f</w:t>
      </w:r>
      <w:r w:rsidR="00E72341" w:rsidRPr="00E6110F">
        <w:t>eature,</w:t>
      </w:r>
      <w:r w:rsidRPr="00E6110F">
        <w:t xml:space="preserve"> alluvium or stratum asset class</w:t>
      </w:r>
      <w:bookmarkEnd w:id="412"/>
      <w:r w:rsidR="00E72341" w:rsidRPr="00E6110F">
        <w:t xml:space="preserve"> </w:t>
      </w:r>
    </w:p>
    <w:p w14:paraId="7A9729EF" w14:textId="72BC7DD9" w:rsidR="00CB06B5" w:rsidRPr="00E6110F" w:rsidRDefault="00024F8B" w:rsidP="00CB06B5">
      <w:pPr>
        <w:pStyle w:val="Body"/>
      </w:pPr>
      <w:r w:rsidRPr="00E6110F">
        <w:t>The c</w:t>
      </w:r>
      <w:r w:rsidR="00CB06B5" w:rsidRPr="00E6110F">
        <w:t xml:space="preserve">umulative probability distribution of distances of assets in the Aquifer, geological feature, </w:t>
      </w:r>
      <w:proofErr w:type="gramStart"/>
      <w:r w:rsidR="00CB06B5" w:rsidRPr="00E6110F">
        <w:t>alluvium</w:t>
      </w:r>
      <w:proofErr w:type="gramEnd"/>
      <w:r w:rsidR="00CB06B5" w:rsidRPr="00E6110F">
        <w:t xml:space="preserve"> or stratum class of the Groundwater Feature asset subgroup to CSG wells </w:t>
      </w:r>
      <w:r w:rsidRPr="00E6110F">
        <w:t>is</w:t>
      </w:r>
      <w:r w:rsidR="00CB06B5" w:rsidRPr="00E6110F">
        <w:t xml:space="preserve"> shown in</w:t>
      </w:r>
      <w:r w:rsidR="007B3B70" w:rsidRPr="00E6110F">
        <w:t xml:space="preserve"> </w:t>
      </w:r>
      <w:r w:rsidR="007B3B70" w:rsidRPr="00E6110F">
        <w:fldChar w:fldCharType="begin" w:fldLock="1"/>
      </w:r>
      <w:r w:rsidR="007B3B70" w:rsidRPr="00E6110F">
        <w:instrText xml:space="preserve"> REF _Ref453346437 \h </w:instrText>
      </w:r>
      <w:r w:rsidR="00E6110F">
        <w:instrText xml:space="preserve"> \* MERGEFORMAT </w:instrText>
      </w:r>
      <w:r w:rsidR="007B3B70" w:rsidRPr="00E6110F">
        <w:fldChar w:fldCharType="separate"/>
      </w:r>
      <w:r w:rsidR="00335E79" w:rsidRPr="00E6110F">
        <w:t xml:space="preserve">Figure </w:t>
      </w:r>
      <w:r w:rsidR="00335E79">
        <w:rPr>
          <w:noProof/>
        </w:rPr>
        <w:t>3</w:t>
      </w:r>
      <w:r w:rsidR="00335E79">
        <w:rPr>
          <w:noProof/>
        </w:rPr>
        <w:noBreakHyphen/>
        <w:t>17</w:t>
      </w:r>
      <w:r w:rsidR="007B3B70" w:rsidRPr="00E6110F">
        <w:fldChar w:fldCharType="end"/>
      </w:r>
      <w:r w:rsidR="00CB06B5" w:rsidRPr="00E6110F">
        <w:t xml:space="preserve">. All nine assets within the 30 km search area directly intersected with CSG wells. Assets included Cadna-owie Hooray Equivalent GAB recharge area, Gubberamunda Sandstone, Hutton/Marburg </w:t>
      </w:r>
      <w:r w:rsidR="004A7452">
        <w:t>and</w:t>
      </w:r>
      <w:r w:rsidR="00CB06B5" w:rsidRPr="00E6110F">
        <w:t xml:space="preserve"> Evergreen Sandstone, Permian of the Bowen Basin, Precipice Sandstone, Springbrok Sandstone, Walloon Coal Measures, </w:t>
      </w:r>
      <w:r w:rsidR="004314AA" w:rsidRPr="00E6110F">
        <w:t xml:space="preserve">and </w:t>
      </w:r>
      <w:r w:rsidR="00CB06B5" w:rsidRPr="00E6110F">
        <w:t>Wandoan Formation.</w:t>
      </w:r>
    </w:p>
    <w:p w14:paraId="37C83EE5" w14:textId="77777777" w:rsidR="00E72341" w:rsidRPr="00E6110F" w:rsidRDefault="00E72341" w:rsidP="00E72341">
      <w:pPr>
        <w:pStyle w:val="Body"/>
      </w:pPr>
    </w:p>
    <w:p w14:paraId="2E039664" w14:textId="77777777" w:rsidR="00F427D6" w:rsidRPr="00E6110F" w:rsidRDefault="00F427D6" w:rsidP="00F427D6">
      <w:pPr>
        <w:pStyle w:val="Body"/>
        <w:keepNext/>
      </w:pPr>
      <w:r w:rsidRPr="00E6110F">
        <w:rPr>
          <w:noProof/>
          <w:lang w:val="en-AU" w:eastAsia="en-AU"/>
        </w:rPr>
        <w:drawing>
          <wp:inline distT="0" distB="0" distL="0" distR="0" wp14:anchorId="438BE96F" wp14:editId="23A7D5F8">
            <wp:extent cx="5757306" cy="3962400"/>
            <wp:effectExtent l="0" t="0" r="0" b="0"/>
            <wp:docPr id="85" name="Picture 85" descr="Cumulative probability of the proximity of all assets to the nearest CSG well for assets in the Aquifer, geological feature, alluvium or stratum Class (Ecological Assets, Groundwater feature (subsurface) Subgroup)." title="Fig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n029\Documents\CSG_HazardScreeningProject\Surat_MBC\CumulativeProbabilityPlots\Ecol_GW_Aquifer.PN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762102" cy="3965701"/>
                    </a:xfrm>
                    <a:prstGeom prst="rect">
                      <a:avLst/>
                    </a:prstGeom>
                    <a:noFill/>
                    <a:ln>
                      <a:noFill/>
                    </a:ln>
                  </pic:spPr>
                </pic:pic>
              </a:graphicData>
            </a:graphic>
          </wp:inline>
        </w:drawing>
      </w:r>
    </w:p>
    <w:p w14:paraId="5AAD4063" w14:textId="3744F99F" w:rsidR="00F427D6" w:rsidRPr="00E6110F" w:rsidRDefault="0086648F" w:rsidP="00F427D6">
      <w:pPr>
        <w:pStyle w:val="Imagecaption"/>
      </w:pPr>
      <w:bookmarkStart w:id="413" w:name="_Ref453346437"/>
      <w:bookmarkStart w:id="414" w:name="_Toc477347625"/>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17</w:t>
      </w:r>
      <w:r w:rsidR="00254026">
        <w:fldChar w:fldCharType="end"/>
      </w:r>
      <w:bookmarkEnd w:id="413"/>
      <w:r w:rsidRPr="00E6110F">
        <w:t xml:space="preserve">  </w:t>
      </w:r>
      <w:r w:rsidR="00F427D6" w:rsidRPr="00E6110F">
        <w:t>Cumulative probability of the proximity of assets to CSG wells for assets in the Aquifer, geological feature, alluvium or stratum Class (Ecological Assets, Groundwater feature (subsurface) Subgroup) within a distance of 30 km and an angle between 180°S and 90°E from CSG wells in the Surat Basin.</w:t>
      </w:r>
      <w:bookmarkEnd w:id="414"/>
    </w:p>
    <w:p w14:paraId="150F8FBC" w14:textId="77777777" w:rsidR="00236007" w:rsidRPr="00E6110F" w:rsidRDefault="00236007" w:rsidP="00236007">
      <w:pPr>
        <w:pStyle w:val="Heading3"/>
        <w:numPr>
          <w:ilvl w:val="3"/>
          <w:numId w:val="1"/>
        </w:numPr>
      </w:pPr>
      <w:bookmarkStart w:id="415" w:name="_Toc494444565"/>
      <w:r w:rsidRPr="00E6110F">
        <w:t>Vegetation, Habitat Potential Species Distribution</w:t>
      </w:r>
      <w:bookmarkEnd w:id="415"/>
    </w:p>
    <w:p w14:paraId="13608B4C" w14:textId="77DBD7C0" w:rsidR="004314AA" w:rsidRPr="00E6110F" w:rsidRDefault="00D948F7" w:rsidP="004314AA">
      <w:pPr>
        <w:pStyle w:val="Body"/>
      </w:pPr>
      <w:r w:rsidRPr="00E6110F">
        <w:t>The c</w:t>
      </w:r>
      <w:r w:rsidR="004314AA" w:rsidRPr="00E6110F">
        <w:t xml:space="preserve">umulative probability distribution of distances of assets in the Habitat Potential Species Distribution class of the Vegetation asset subgroup to CSG wells </w:t>
      </w:r>
      <w:r w:rsidRPr="00E6110F">
        <w:t>is</w:t>
      </w:r>
      <w:r w:rsidR="004314AA" w:rsidRPr="00E6110F">
        <w:t xml:space="preserve"> shown in</w:t>
      </w:r>
      <w:r w:rsidR="007B3B70" w:rsidRPr="00E6110F">
        <w:t xml:space="preserve"> </w:t>
      </w:r>
      <w:r w:rsidR="007B3B70" w:rsidRPr="00E6110F">
        <w:fldChar w:fldCharType="begin" w:fldLock="1"/>
      </w:r>
      <w:r w:rsidR="007B3B70" w:rsidRPr="00E6110F">
        <w:instrText xml:space="preserve"> REF _Ref453346466 \h </w:instrText>
      </w:r>
      <w:r w:rsidR="00E6110F">
        <w:instrText xml:space="preserve"> \* MERGEFORMAT </w:instrText>
      </w:r>
      <w:r w:rsidR="007B3B70" w:rsidRPr="00E6110F">
        <w:fldChar w:fldCharType="separate"/>
      </w:r>
      <w:r w:rsidR="00335E79" w:rsidRPr="00E6110F">
        <w:t xml:space="preserve">Figure </w:t>
      </w:r>
      <w:r w:rsidR="00335E79">
        <w:rPr>
          <w:noProof/>
        </w:rPr>
        <w:t>3</w:t>
      </w:r>
      <w:r w:rsidR="00335E79">
        <w:rPr>
          <w:noProof/>
        </w:rPr>
        <w:noBreakHyphen/>
        <w:t>18</w:t>
      </w:r>
      <w:r w:rsidR="007B3B70" w:rsidRPr="00E6110F">
        <w:fldChar w:fldCharType="end"/>
      </w:r>
      <w:r w:rsidR="004314AA" w:rsidRPr="00E6110F">
        <w:t xml:space="preserve">. A number </w:t>
      </w:r>
      <w:r w:rsidR="007B6AAD" w:rsidRPr="00E6110F">
        <w:t xml:space="preserve">of </w:t>
      </w:r>
      <w:r w:rsidR="004314AA" w:rsidRPr="00E6110F">
        <w:t>assets (21) directly intersected with CSG wells and a further 7 were within 1 km of the wells. These included potential distribution of a various native animals (mainly birds) and vegetation (Acacia and Eucalypt species). Several threatened or endangered habitats intersected CSG wells</w:t>
      </w:r>
      <w:r w:rsidR="007B6AAD" w:rsidRPr="00E6110F">
        <w:t>,</w:t>
      </w:r>
      <w:r w:rsidR="004314AA" w:rsidRPr="00E6110F">
        <w:t xml:space="preserve"> including the Acacia harpophylla and/or Casuarina cristata open forest on fine-grained sedimentary rocks Endangered Regional Ecosystem (as dominant component), Weeping Myall Woodlands Threatened Ecological Community, Brigalow (Acacia harpophylla dominant and co-dominant) Threatened Ecological Community, and the Semi-evergreen vine thickets of the Brigalow Belt (North and South) and Nandewar Bioregions Threatened Ecological Community. The Eucalyptus populnea, Acacia harpophylla open forest on fine-grained sedimentary rocks Endangered Regional Ecosystem (as dominant component) and the Semi-evergreen vine thicket or Acacia harpophylla with a semi-evergreen vine thicket understorey on fine-grained sedimentary rocks Endangered Regional Ecosystem (as dominant component) habitats were located within 1 km of CSG wells.</w:t>
      </w:r>
      <w:r w:rsidR="00CA2B9B">
        <w:t xml:space="preserve"> A detailed overview of habitat (potential species distribution) within the 30 km buffer zone is given in Appendix </w:t>
      </w:r>
      <w:r w:rsidR="0064625A">
        <w:t>4</w:t>
      </w:r>
      <w:r w:rsidR="00CA2B9B">
        <w:t xml:space="preserve">. </w:t>
      </w:r>
    </w:p>
    <w:p w14:paraId="11C03074" w14:textId="77777777" w:rsidR="00236007" w:rsidRPr="00E6110F" w:rsidRDefault="00236007" w:rsidP="00236007">
      <w:pPr>
        <w:pStyle w:val="Body"/>
      </w:pPr>
    </w:p>
    <w:p w14:paraId="4AA7FD59" w14:textId="77777777" w:rsidR="00F427D6" w:rsidRPr="00E6110F" w:rsidRDefault="00F427D6" w:rsidP="00F427D6">
      <w:pPr>
        <w:pStyle w:val="Body"/>
        <w:keepNext/>
      </w:pPr>
      <w:r w:rsidRPr="00E6110F">
        <w:rPr>
          <w:noProof/>
          <w:lang w:val="en-AU" w:eastAsia="en-AU"/>
        </w:rPr>
        <w:drawing>
          <wp:inline distT="0" distB="0" distL="0" distR="0" wp14:anchorId="3F5C8806" wp14:editId="1CFDAC37">
            <wp:extent cx="5708098" cy="3928533"/>
            <wp:effectExtent l="0" t="0" r="6985" b="0"/>
            <wp:docPr id="89" name="Picture 89" descr="Cumulative probability of the proximity of all assets to the nearest CSG well for assets in the Habitat Potential Species Distribution Class (Ecological Assets, Vegetation Subgroup)." title="Fig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on029\Documents\CSG_HazardScreeningProject\Surat_MBC\CumulativeProbabilityPlots\Ecol Veg Habitat.PNG"/>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717074" cy="3934711"/>
                    </a:xfrm>
                    <a:prstGeom prst="rect">
                      <a:avLst/>
                    </a:prstGeom>
                    <a:noFill/>
                    <a:ln>
                      <a:noFill/>
                    </a:ln>
                  </pic:spPr>
                </pic:pic>
              </a:graphicData>
            </a:graphic>
          </wp:inline>
        </w:drawing>
      </w:r>
    </w:p>
    <w:p w14:paraId="29AF2649" w14:textId="0E9DE160" w:rsidR="00F427D6" w:rsidRPr="00E6110F" w:rsidRDefault="0086648F" w:rsidP="00F427D6">
      <w:pPr>
        <w:pStyle w:val="Imagecaption"/>
      </w:pPr>
      <w:bookmarkStart w:id="416" w:name="_Ref453346466"/>
      <w:bookmarkStart w:id="417" w:name="_Toc477347626"/>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18</w:t>
      </w:r>
      <w:r w:rsidR="00254026">
        <w:fldChar w:fldCharType="end"/>
      </w:r>
      <w:bookmarkEnd w:id="416"/>
      <w:r w:rsidRPr="00E6110F">
        <w:t xml:space="preserve">  </w:t>
      </w:r>
      <w:r w:rsidR="00F427D6" w:rsidRPr="00E6110F">
        <w:t>Cumulative probability of the proximity of assets to CSG wells for assets in the Habitat Potential Species Distribution Class (Ecological Assets, Vegetation Subgroup) within a distance of 30 km and an angle between 180°S and 90°E from CSG wells in the Surat Basin</w:t>
      </w:r>
      <w:r w:rsidR="00BF581F" w:rsidRPr="00E6110F">
        <w:t>.</w:t>
      </w:r>
      <w:bookmarkEnd w:id="417"/>
    </w:p>
    <w:p w14:paraId="7758D447" w14:textId="25D4B123" w:rsidR="005010E7" w:rsidRPr="00E6110F" w:rsidRDefault="005010E7" w:rsidP="005010E7">
      <w:pPr>
        <w:pStyle w:val="Heading3"/>
      </w:pPr>
      <w:bookmarkStart w:id="418" w:name="_Toc494444566"/>
      <w:r w:rsidRPr="00E6110F">
        <w:t>Economic assets</w:t>
      </w:r>
      <w:bookmarkEnd w:id="418"/>
    </w:p>
    <w:p w14:paraId="602BF8A5" w14:textId="622C5D5A" w:rsidR="00236007" w:rsidRPr="00E6110F" w:rsidRDefault="00B62977" w:rsidP="00236007">
      <w:pPr>
        <w:pStyle w:val="Heading3"/>
        <w:numPr>
          <w:ilvl w:val="3"/>
          <w:numId w:val="1"/>
        </w:numPr>
      </w:pPr>
      <w:bookmarkStart w:id="419" w:name="_Toc494444567"/>
      <w:r w:rsidRPr="00E6110F">
        <w:t>Groundwater management z</w:t>
      </w:r>
      <w:r w:rsidR="00236007" w:rsidRPr="00E6110F">
        <w:t>one</w:t>
      </w:r>
      <w:r w:rsidRPr="00E6110F">
        <w:t xml:space="preserve"> subgroup</w:t>
      </w:r>
      <w:bookmarkEnd w:id="419"/>
    </w:p>
    <w:p w14:paraId="4C66031A" w14:textId="57DA539E" w:rsidR="00C70A86" w:rsidRPr="00E6110F" w:rsidRDefault="00C54058" w:rsidP="00C70A86">
      <w:pPr>
        <w:pStyle w:val="Body"/>
      </w:pPr>
      <w:r w:rsidRPr="00E6110F">
        <w:t>The c</w:t>
      </w:r>
      <w:r w:rsidR="00C70A86" w:rsidRPr="00E6110F">
        <w:t>umulative probability distribution of distances of assets in the Water Access Right class of the Groundwater Management Zone asset subgroup to CSG wells are shown in</w:t>
      </w:r>
      <w:r w:rsidR="007B3B70" w:rsidRPr="00E6110F">
        <w:t xml:space="preserve"> </w:t>
      </w:r>
      <w:r w:rsidR="007B3B70" w:rsidRPr="00E6110F">
        <w:fldChar w:fldCharType="begin" w:fldLock="1"/>
      </w:r>
      <w:r w:rsidR="007B3B70" w:rsidRPr="00E6110F">
        <w:instrText xml:space="preserve"> REF _Ref453346489 \h </w:instrText>
      </w:r>
      <w:r w:rsidR="00E6110F">
        <w:instrText xml:space="preserve"> \* MERGEFORMAT </w:instrText>
      </w:r>
      <w:r w:rsidR="007B3B70" w:rsidRPr="00E6110F">
        <w:fldChar w:fldCharType="separate"/>
      </w:r>
      <w:r w:rsidR="00335E79" w:rsidRPr="00E6110F">
        <w:t xml:space="preserve">Figure </w:t>
      </w:r>
      <w:r w:rsidR="00335E79">
        <w:rPr>
          <w:noProof/>
        </w:rPr>
        <w:t>3</w:t>
      </w:r>
      <w:r w:rsidR="00335E79">
        <w:rPr>
          <w:noProof/>
        </w:rPr>
        <w:noBreakHyphen/>
        <w:t>19</w:t>
      </w:r>
      <w:r w:rsidR="007B3B70" w:rsidRPr="00E6110F">
        <w:fldChar w:fldCharType="end"/>
      </w:r>
      <w:r w:rsidR="00C70A86" w:rsidRPr="00E6110F">
        <w:t>. These assets included groundwater bores for purposes including aquaculture, domestic, stock, farming, industrial, firefighting, mineral water extraction, irrigation, and recreation. The closest asset to CSG wells (distance of 600 m) was the Water Access Right in Surat 4 Management Unit Subgroup Area. The rest were located between 17 and 30 km from CSG wells and included the Water Access Right in Surat 3 Management Unit Subgroup Area, Water Access Right in R</w:t>
      </w:r>
      <w:r w:rsidRPr="00E6110F">
        <w:t>o</w:t>
      </w:r>
      <w:r w:rsidR="00C70A86" w:rsidRPr="00E6110F">
        <w:t xml:space="preserve">ma Not Assigned Subgroup Area, Water Access Right in Surat North 2 Management Unit Subgroup Area, </w:t>
      </w:r>
      <w:r w:rsidRPr="00E6110F">
        <w:t xml:space="preserve">and </w:t>
      </w:r>
      <w:r w:rsidR="00C70A86" w:rsidRPr="00E6110F">
        <w:t>Water Access Right in Surat North 3 Management Unit Subgroup Area.</w:t>
      </w:r>
    </w:p>
    <w:p w14:paraId="36D3DEC0" w14:textId="77777777" w:rsidR="0086648F" w:rsidRPr="00E6110F" w:rsidRDefault="0086648F" w:rsidP="0086648F">
      <w:pPr>
        <w:pStyle w:val="Body"/>
      </w:pPr>
    </w:p>
    <w:p w14:paraId="79154BA8" w14:textId="77777777" w:rsidR="0086648F" w:rsidRPr="00E6110F" w:rsidRDefault="0086648F" w:rsidP="0086648F">
      <w:pPr>
        <w:pStyle w:val="Body"/>
        <w:keepNext/>
      </w:pPr>
      <w:r w:rsidRPr="00E6110F">
        <w:rPr>
          <w:noProof/>
          <w:lang w:val="en-AU" w:eastAsia="en-AU"/>
        </w:rPr>
        <w:drawing>
          <wp:inline distT="0" distB="0" distL="0" distR="0" wp14:anchorId="5C047578" wp14:editId="14EE497C">
            <wp:extent cx="5682701" cy="3911600"/>
            <wp:effectExtent l="0" t="0" r="0" b="0"/>
            <wp:docPr id="90" name="Picture 90" descr="Cumulative probability of the proximity of all assets to the nearest CSG well for assets in the Water Access Right Class (Economic Assets, Groundwater Management Zone Subgroup)." title="Fig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n029\Documents\CSG_HazardScreeningProject\Surat_MBC\CumulativeProbabilityPlots\Econ GWMZ Wat Acc Right.PN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689120" cy="3916018"/>
                    </a:xfrm>
                    <a:prstGeom prst="rect">
                      <a:avLst/>
                    </a:prstGeom>
                    <a:noFill/>
                    <a:ln>
                      <a:noFill/>
                    </a:ln>
                  </pic:spPr>
                </pic:pic>
              </a:graphicData>
            </a:graphic>
          </wp:inline>
        </w:drawing>
      </w:r>
    </w:p>
    <w:p w14:paraId="4104590D" w14:textId="78F93673" w:rsidR="0086648F" w:rsidRPr="00E6110F" w:rsidRDefault="0086648F" w:rsidP="0086648F">
      <w:pPr>
        <w:pStyle w:val="Imagecaption"/>
      </w:pPr>
      <w:bookmarkStart w:id="420" w:name="_Ref453346489"/>
      <w:bookmarkStart w:id="421" w:name="_Toc477347627"/>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19</w:t>
      </w:r>
      <w:r w:rsidR="00254026">
        <w:fldChar w:fldCharType="end"/>
      </w:r>
      <w:bookmarkEnd w:id="420"/>
      <w:r w:rsidRPr="00E6110F">
        <w:t xml:space="preserve"> Cumulative probability of the proximity of assets to CSG wells for assets in the Water Access Right Class (Economic Assets, Groundwater Management Zone Subgroup) within a distance of 30 km and an angle between 180°S and 90°E from CSG wells in the Surat Basin</w:t>
      </w:r>
      <w:r w:rsidR="00BF581F" w:rsidRPr="00E6110F">
        <w:t>.</w:t>
      </w:r>
      <w:bookmarkEnd w:id="421"/>
    </w:p>
    <w:p w14:paraId="14522AE2" w14:textId="77777777" w:rsidR="00BE112B" w:rsidRPr="00E6110F" w:rsidRDefault="00BE112B" w:rsidP="000C5F7C">
      <w:pPr>
        <w:pStyle w:val="Body"/>
      </w:pPr>
    </w:p>
    <w:p w14:paraId="156B8D5D" w14:textId="0FB2D037" w:rsidR="000C5F7C" w:rsidRPr="00E6110F" w:rsidRDefault="00BE112B" w:rsidP="000C5F7C">
      <w:pPr>
        <w:pStyle w:val="Body"/>
      </w:pPr>
      <w:r w:rsidRPr="00E6110F">
        <w:t>The c</w:t>
      </w:r>
      <w:r w:rsidR="000C5F7C" w:rsidRPr="00E6110F">
        <w:t xml:space="preserve">umulative probability distribution of distances of assets in the Basic Water Access Right (Stock and Domestic) class of the Groundwater Management Zone asset subgroup to CSG wells </w:t>
      </w:r>
      <w:r w:rsidRPr="00E6110F">
        <w:t>is</w:t>
      </w:r>
      <w:r w:rsidR="000C5F7C" w:rsidRPr="00E6110F">
        <w:t xml:space="preserve"> shown in </w:t>
      </w:r>
      <w:r w:rsidR="007B3B70" w:rsidRPr="00E6110F">
        <w:fldChar w:fldCharType="begin" w:fldLock="1"/>
      </w:r>
      <w:r w:rsidR="007B3B70" w:rsidRPr="00E6110F">
        <w:instrText xml:space="preserve"> REF _Ref453346545 \h </w:instrText>
      </w:r>
      <w:r w:rsidR="00E6110F">
        <w:instrText xml:space="preserve"> \* MERGEFORMAT </w:instrText>
      </w:r>
      <w:r w:rsidR="007B3B70" w:rsidRPr="00E6110F">
        <w:fldChar w:fldCharType="separate"/>
      </w:r>
      <w:r w:rsidR="00335E79" w:rsidRPr="00E6110F">
        <w:t xml:space="preserve">Figure </w:t>
      </w:r>
      <w:r w:rsidR="00335E79">
        <w:rPr>
          <w:noProof/>
        </w:rPr>
        <w:t>3</w:t>
      </w:r>
      <w:r w:rsidR="00335E79">
        <w:rPr>
          <w:noProof/>
        </w:rPr>
        <w:noBreakHyphen/>
        <w:t>20</w:t>
      </w:r>
      <w:r w:rsidR="007B3B70" w:rsidRPr="00E6110F">
        <w:fldChar w:fldCharType="end"/>
      </w:r>
      <w:r w:rsidR="000C5F7C" w:rsidRPr="00E6110F">
        <w:t xml:space="preserve">. Assets included groundwater bores for purposes including water conservation, domestic, stock and ‘unknown’. Within 1 km of CSG wells assets included bores within the BASIC RIGHT in Surat 4 Management Unit Subgroup Area, BASIC RIGHT in Surat 5 Management Unit Subgroup Area, and the BASIC RIGHT in Surat North 1 Management Unit Subgroup Area. From 1 </w:t>
      </w:r>
      <w:r w:rsidR="00E60D2B">
        <w:t>t</w:t>
      </w:r>
      <w:r w:rsidR="000C5F7C" w:rsidRPr="00E6110F">
        <w:t>o 10 km from CSG wells assets included bores within the BASIC RIGHT in Surat 3 Management Unit Subgroup Area, BASIC RIGHT in Surat North 3 Management Unit Subgroup Area, BASIC RIGHT in Surat 7 Management Unit Subgroup Area, BASIC RIGHT in R</w:t>
      </w:r>
      <w:r w:rsidR="00B24DC5" w:rsidRPr="00E6110F">
        <w:t>o</w:t>
      </w:r>
      <w:r w:rsidR="000C5F7C" w:rsidRPr="00E6110F">
        <w:t>ma Not Assigned Subgroup Area, and the BASIC RIGHT in Surat 2 Management Unit Subgroup Area. The remaining assets bores (4418</w:t>
      </w:r>
      <w:r w:rsidRPr="00E6110F">
        <w:t xml:space="preserve"> in total</w:t>
      </w:r>
      <w:r w:rsidR="000C5F7C" w:rsidRPr="00E6110F">
        <w:t>) were located &gt;12 km from CSG wells.</w:t>
      </w:r>
    </w:p>
    <w:p w14:paraId="34764B80" w14:textId="77777777" w:rsidR="00236007" w:rsidRPr="00E6110F" w:rsidRDefault="00236007" w:rsidP="00236007">
      <w:pPr>
        <w:pStyle w:val="Body"/>
      </w:pPr>
    </w:p>
    <w:p w14:paraId="5ED92CA6" w14:textId="77777777" w:rsidR="0086648F" w:rsidRPr="00E6110F" w:rsidRDefault="0086648F" w:rsidP="0086648F">
      <w:pPr>
        <w:pStyle w:val="Body"/>
        <w:keepNext/>
      </w:pPr>
      <w:r w:rsidRPr="00E6110F">
        <w:rPr>
          <w:noProof/>
          <w:lang w:val="en-AU" w:eastAsia="en-AU"/>
        </w:rPr>
        <w:drawing>
          <wp:inline distT="0" distB="0" distL="0" distR="0" wp14:anchorId="602B56D6" wp14:editId="1485D3D2">
            <wp:extent cx="5753735" cy="3960495"/>
            <wp:effectExtent l="0" t="0" r="0" b="1905"/>
            <wp:docPr id="521" name="Picture 521" descr="Cumulative probability of the proximity of all assets to the nearest CSG well for assets in the Basic Water Right Class (Stock and Domestic) (Economic Assets, Groundwater Management Zone Subgroup)." title="Fig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n029\Documents\CSG_HazardScreeningProject\Surat_MBC\CumulativeProbabilityPlots\Econ GWMZ Basic Acc Right.PN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753735" cy="3960495"/>
                    </a:xfrm>
                    <a:prstGeom prst="rect">
                      <a:avLst/>
                    </a:prstGeom>
                    <a:noFill/>
                    <a:ln>
                      <a:noFill/>
                    </a:ln>
                  </pic:spPr>
                </pic:pic>
              </a:graphicData>
            </a:graphic>
          </wp:inline>
        </w:drawing>
      </w:r>
    </w:p>
    <w:p w14:paraId="4C92CFD8" w14:textId="3DD94005" w:rsidR="0086648F" w:rsidRPr="00E6110F" w:rsidRDefault="0086648F" w:rsidP="0086648F">
      <w:pPr>
        <w:pStyle w:val="Imagecaption"/>
      </w:pPr>
      <w:bookmarkStart w:id="422" w:name="_Ref453346545"/>
      <w:bookmarkStart w:id="423" w:name="_Toc477347628"/>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20</w:t>
      </w:r>
      <w:r w:rsidR="00254026">
        <w:fldChar w:fldCharType="end"/>
      </w:r>
      <w:bookmarkEnd w:id="422"/>
      <w:r w:rsidRPr="00E6110F">
        <w:t xml:space="preserve">  Cumulative probability of the proximity of assets to CSG wells for assets in the Basic Water Right Class (Stock and Domestic) (Economic Assets, Groundwater Management Zone Subgroup) within a distance of 30 km and an angle between 180°S and 90°E from CSG wells in the Surat Basin</w:t>
      </w:r>
      <w:r w:rsidR="00BF581F" w:rsidRPr="00E6110F">
        <w:t>.</w:t>
      </w:r>
      <w:bookmarkEnd w:id="423"/>
    </w:p>
    <w:p w14:paraId="07A75A38" w14:textId="77777777" w:rsidR="00236007" w:rsidRPr="00E6110F" w:rsidRDefault="00236007" w:rsidP="00236007">
      <w:pPr>
        <w:pStyle w:val="Heading3"/>
        <w:numPr>
          <w:ilvl w:val="3"/>
          <w:numId w:val="1"/>
        </w:numPr>
      </w:pPr>
      <w:bookmarkStart w:id="424" w:name="_Toc494444568"/>
      <w:r w:rsidRPr="00E6110F">
        <w:t>Surface Water Management Zone, Water Access Right</w:t>
      </w:r>
      <w:bookmarkEnd w:id="424"/>
    </w:p>
    <w:p w14:paraId="3814D296" w14:textId="71124502" w:rsidR="00BA60C3" w:rsidRPr="00E6110F" w:rsidRDefault="000D1BD0" w:rsidP="00BA60C3">
      <w:pPr>
        <w:pStyle w:val="Body"/>
      </w:pPr>
      <w:r w:rsidRPr="00E6110F">
        <w:t>The c</w:t>
      </w:r>
      <w:r w:rsidR="00BA60C3" w:rsidRPr="00E6110F">
        <w:t xml:space="preserve">umulative probability distribution of distances of assets in the Water Access Right class of the Surface Water Management Zone asset subgroup to CSG wells </w:t>
      </w:r>
      <w:r w:rsidRPr="00E6110F">
        <w:t>is</w:t>
      </w:r>
      <w:r w:rsidR="00BA60C3" w:rsidRPr="00E6110F">
        <w:t xml:space="preserve"> shown in </w:t>
      </w:r>
      <w:r w:rsidR="007B3B70" w:rsidRPr="00E6110F">
        <w:fldChar w:fldCharType="begin" w:fldLock="1"/>
      </w:r>
      <w:r w:rsidR="007B3B70" w:rsidRPr="00E6110F">
        <w:instrText xml:space="preserve"> REF _Ref453346584 \h </w:instrText>
      </w:r>
      <w:r w:rsidR="00E6110F">
        <w:instrText xml:space="preserve"> \* MERGEFORMAT </w:instrText>
      </w:r>
      <w:r w:rsidR="007B3B70" w:rsidRPr="00E6110F">
        <w:fldChar w:fldCharType="separate"/>
      </w:r>
      <w:r w:rsidR="00335E79" w:rsidRPr="00E6110F">
        <w:t xml:space="preserve">Figure </w:t>
      </w:r>
      <w:r w:rsidR="00335E79">
        <w:rPr>
          <w:noProof/>
        </w:rPr>
        <w:t>3</w:t>
      </w:r>
      <w:r w:rsidR="00335E79">
        <w:rPr>
          <w:noProof/>
        </w:rPr>
        <w:noBreakHyphen/>
        <w:t>21</w:t>
      </w:r>
      <w:r w:rsidR="007B3B70" w:rsidRPr="00E6110F">
        <w:fldChar w:fldCharType="end"/>
      </w:r>
      <w:r w:rsidR="00BA60C3" w:rsidRPr="00E6110F">
        <w:t>. Purposes for this asset class include augmentation, domestic, irrigation, stock, farming, horticulture, industrial, mining, recreation, and recirculation and contained both low and high security water access rights. There was only one asset (Water access right Slatehill Creek water source) located 29 km from the nearest CSG well and was within the 30 km search distance to 9 CSG wells in total.</w:t>
      </w:r>
      <w:r w:rsidR="00CA2B9B">
        <w:t xml:space="preserve"> Details about the type of bores encountered within 500 m of CSG wells is provided in Appendix </w:t>
      </w:r>
      <w:r w:rsidR="0064625A">
        <w:t>4</w:t>
      </w:r>
      <w:r w:rsidR="00CA2B9B">
        <w:t>.</w:t>
      </w:r>
    </w:p>
    <w:p w14:paraId="11DF90C6" w14:textId="359D926E" w:rsidR="00BA60C3" w:rsidRPr="00E6110F" w:rsidRDefault="00BA60C3" w:rsidP="00BA60C3">
      <w:pPr>
        <w:pStyle w:val="Body"/>
      </w:pPr>
      <w:r w:rsidRPr="00E6110F">
        <w:t>There were no assets in the Basic Water Access Right (Stock and Domestic) class of the Surface Water Management Zone asset subgroup within the 30 km buffer zone around the maximum extent of particle tracking movement (see</w:t>
      </w:r>
      <w:r w:rsidR="007B3B70" w:rsidRPr="00E6110F">
        <w:t xml:space="preserve"> </w:t>
      </w:r>
      <w:r w:rsidR="007B3B70" w:rsidRPr="00E6110F">
        <w:fldChar w:fldCharType="begin" w:fldLock="1"/>
      </w:r>
      <w:r w:rsidR="007B3B70" w:rsidRPr="00E6110F">
        <w:instrText xml:space="preserve"> REF _Ref453345196 \h </w:instrText>
      </w:r>
      <w:r w:rsidR="00E6110F">
        <w:instrText xml:space="preserve"> \* MERGEFORMAT </w:instrText>
      </w:r>
      <w:r w:rsidR="007B3B70" w:rsidRPr="00E6110F">
        <w:fldChar w:fldCharType="separate"/>
      </w:r>
      <w:r w:rsidR="00335E79" w:rsidRPr="00E6110F">
        <w:t xml:space="preserve">Table </w:t>
      </w:r>
      <w:r w:rsidR="00335E79">
        <w:rPr>
          <w:noProof/>
        </w:rPr>
        <w:t>2</w:t>
      </w:r>
      <w:r w:rsidR="00335E79">
        <w:rPr>
          <w:noProof/>
        </w:rPr>
        <w:noBreakHyphen/>
        <w:t>13</w:t>
      </w:r>
      <w:r w:rsidR="007B3B70" w:rsidRPr="00E6110F">
        <w:fldChar w:fldCharType="end"/>
      </w:r>
      <w:r w:rsidRPr="00E6110F">
        <w:t>).</w:t>
      </w:r>
    </w:p>
    <w:p w14:paraId="4CD62749" w14:textId="77777777" w:rsidR="00236007" w:rsidRPr="00E6110F" w:rsidRDefault="00236007" w:rsidP="00236007">
      <w:pPr>
        <w:pStyle w:val="Body"/>
      </w:pPr>
    </w:p>
    <w:p w14:paraId="373C6EC1" w14:textId="77777777" w:rsidR="0086648F" w:rsidRPr="00E6110F" w:rsidRDefault="0086648F" w:rsidP="0086648F">
      <w:pPr>
        <w:pStyle w:val="Body"/>
        <w:keepNext/>
      </w:pPr>
      <w:r w:rsidRPr="00E6110F">
        <w:rPr>
          <w:noProof/>
          <w:lang w:val="en-AU" w:eastAsia="en-AU"/>
        </w:rPr>
        <w:drawing>
          <wp:inline distT="0" distB="0" distL="0" distR="0" wp14:anchorId="52536E59" wp14:editId="6D1BD47C">
            <wp:extent cx="5682702" cy="3911600"/>
            <wp:effectExtent l="0" t="0" r="0" b="0"/>
            <wp:docPr id="535" name="Picture 535" descr="Cumulative probability of the proximity of all assets to the nearest CSG well for assets in the Water Access Right Class (Economic Assets, Surface Water Management Zone Subgroup)." title="Fig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n029\Documents\CSG_HazardScreeningProject\Surat_MBC\CumulativeProbabilityPlots\Econ SWMZ Wat Acc Right.PN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692471" cy="3918324"/>
                    </a:xfrm>
                    <a:prstGeom prst="rect">
                      <a:avLst/>
                    </a:prstGeom>
                    <a:noFill/>
                    <a:ln>
                      <a:noFill/>
                    </a:ln>
                  </pic:spPr>
                </pic:pic>
              </a:graphicData>
            </a:graphic>
          </wp:inline>
        </w:drawing>
      </w:r>
    </w:p>
    <w:p w14:paraId="2471C16D" w14:textId="38D36B15" w:rsidR="0086648F" w:rsidRPr="00E6110F" w:rsidRDefault="0086648F" w:rsidP="0086648F">
      <w:pPr>
        <w:pStyle w:val="Imagecaption"/>
      </w:pPr>
      <w:bookmarkStart w:id="425" w:name="_Ref453346584"/>
      <w:bookmarkStart w:id="426" w:name="_Toc477347629"/>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21</w:t>
      </w:r>
      <w:r w:rsidR="00254026">
        <w:fldChar w:fldCharType="end"/>
      </w:r>
      <w:bookmarkEnd w:id="425"/>
      <w:r w:rsidRPr="00E6110F">
        <w:t xml:space="preserve"> Cumulative probability of the proximity of assets to CSG wells for assets in the Water Access Right Class (Economic Assets, Surface Water Management Zone Subgroup) within a distance of 30 km and an angle between 180°S and 90°E from CSG wells in the Surat Basin</w:t>
      </w:r>
      <w:r w:rsidR="00BF581F" w:rsidRPr="00E6110F">
        <w:t>.</w:t>
      </w:r>
      <w:bookmarkEnd w:id="426"/>
    </w:p>
    <w:p w14:paraId="25DC021B" w14:textId="04497A0A" w:rsidR="005010E7" w:rsidRPr="00E6110F" w:rsidRDefault="005010E7" w:rsidP="005010E7">
      <w:pPr>
        <w:pStyle w:val="Heading3"/>
      </w:pPr>
      <w:bookmarkStart w:id="427" w:name="_Toc494444569"/>
      <w:r w:rsidRPr="00E6110F">
        <w:t>Sociocultural assets</w:t>
      </w:r>
      <w:bookmarkEnd w:id="427"/>
    </w:p>
    <w:p w14:paraId="4912F354" w14:textId="47AAE972" w:rsidR="000D1BD0" w:rsidRPr="00E6110F" w:rsidRDefault="000D1BD0" w:rsidP="000D1BD0">
      <w:pPr>
        <w:pStyle w:val="Body"/>
      </w:pPr>
      <w:r w:rsidRPr="00E6110F">
        <w:t>There were no sociocultural assets located within 30 km of any CSG well. However, within the 30 km buffer zone around the maximum extent of particle tracking movement there were 2 assets (see</w:t>
      </w:r>
      <w:r w:rsidR="007B3B70" w:rsidRPr="00E6110F">
        <w:t xml:space="preserve"> </w:t>
      </w:r>
      <w:r w:rsidR="007B3B70" w:rsidRPr="00E6110F">
        <w:fldChar w:fldCharType="begin" w:fldLock="1"/>
      </w:r>
      <w:r w:rsidR="007B3B70" w:rsidRPr="00E6110F">
        <w:instrText xml:space="preserve"> REF _Ref453346672 \h </w:instrText>
      </w:r>
      <w:r w:rsidR="00E6110F">
        <w:instrText xml:space="preserve"> \* MERGEFORMAT </w:instrText>
      </w:r>
      <w:r w:rsidR="007B3B70" w:rsidRPr="00E6110F">
        <w:fldChar w:fldCharType="separate"/>
      </w:r>
      <w:r w:rsidR="00335E79" w:rsidRPr="00E6110F">
        <w:t xml:space="preserve">Figure </w:t>
      </w:r>
      <w:r w:rsidR="00335E79">
        <w:rPr>
          <w:noProof/>
        </w:rPr>
        <w:t>3</w:t>
      </w:r>
      <w:r w:rsidR="00335E79">
        <w:rPr>
          <w:noProof/>
        </w:rPr>
        <w:noBreakHyphen/>
        <w:t>22</w:t>
      </w:r>
      <w:r w:rsidR="007B3B70" w:rsidRPr="00E6110F">
        <w:fldChar w:fldCharType="end"/>
      </w:r>
      <w:r w:rsidRPr="00E6110F">
        <w:t xml:space="preserve">); Carraba Environmental Park- Roma Taroom Rd, Taroom (Recreation Area asset class) and Hornet Bank Homestead- Hornet Bank Rd, Taroom (Hertitage Site asset class). These assets were located 43 </w:t>
      </w:r>
      <w:r w:rsidR="00E60D2B">
        <w:t>a</w:t>
      </w:r>
      <w:r w:rsidRPr="00E6110F">
        <w:t>nd 47 km respectively from the nearest CSG well.</w:t>
      </w:r>
    </w:p>
    <w:p w14:paraId="4C35AD66" w14:textId="77777777" w:rsidR="0086648F" w:rsidRPr="00E6110F" w:rsidRDefault="0086648F" w:rsidP="0086648F">
      <w:pPr>
        <w:pStyle w:val="Body"/>
      </w:pPr>
    </w:p>
    <w:p w14:paraId="2988466E" w14:textId="77777777" w:rsidR="0086648F" w:rsidRPr="00E6110F" w:rsidRDefault="0086648F" w:rsidP="0086648F">
      <w:pPr>
        <w:pStyle w:val="Body"/>
        <w:keepNext/>
      </w:pPr>
      <w:r w:rsidRPr="00E6110F">
        <w:rPr>
          <w:noProof/>
          <w:lang w:val="en-AU" w:eastAsia="en-AU"/>
        </w:rPr>
        <w:drawing>
          <wp:inline distT="0" distB="0" distL="0" distR="0" wp14:anchorId="3BC33ED5" wp14:editId="5FB397E6">
            <wp:extent cx="5723467" cy="3939661"/>
            <wp:effectExtent l="0" t="0" r="0" b="3810"/>
            <wp:docPr id="540" name="Picture 540" descr="Cumulative probability of the proximity of all assets to the nearest CSG well for assets in the Sociocultural asset group." title="Fig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on029\Documents\CSG_HazardScreeningProject\Surat_MBC\CumulativeProbabilityPlots\Sociocultural.PN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5729645" cy="3943914"/>
                    </a:xfrm>
                    <a:prstGeom prst="rect">
                      <a:avLst/>
                    </a:prstGeom>
                    <a:noFill/>
                    <a:ln>
                      <a:noFill/>
                    </a:ln>
                  </pic:spPr>
                </pic:pic>
              </a:graphicData>
            </a:graphic>
          </wp:inline>
        </w:drawing>
      </w:r>
    </w:p>
    <w:p w14:paraId="6C02A00F" w14:textId="694EA35E" w:rsidR="0086648F" w:rsidRPr="00E6110F" w:rsidRDefault="0086648F" w:rsidP="0086648F">
      <w:pPr>
        <w:pStyle w:val="Imagecaption"/>
      </w:pPr>
      <w:bookmarkStart w:id="428" w:name="_Ref453346672"/>
      <w:bookmarkStart w:id="429" w:name="_Toc477347630"/>
      <w:r w:rsidRPr="00E6110F">
        <w:t xml:space="preserve">Figure </w:t>
      </w:r>
      <w:r w:rsidR="00254026">
        <w:fldChar w:fldCharType="begin" w:fldLock="1"/>
      </w:r>
      <w:r w:rsidR="00254026">
        <w:instrText xml:space="preserve"> STYLEREF 1 \s </w:instrText>
      </w:r>
      <w:r w:rsidR="00254026">
        <w:fldChar w:fldCharType="separate"/>
      </w:r>
      <w:r w:rsidR="00335E79">
        <w:rPr>
          <w:noProof/>
        </w:rPr>
        <w:t>3</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22</w:t>
      </w:r>
      <w:r w:rsidR="00254026">
        <w:fldChar w:fldCharType="end"/>
      </w:r>
      <w:bookmarkEnd w:id="428"/>
      <w:r w:rsidRPr="00E6110F">
        <w:t xml:space="preserve">  Cumulative probability of the proximity of assets to CSG wells for assets in the Sociocultural asset group within the particle tracking buffer zone and an angle between 180°S and 90°E from CSG wells in the Surat Basin</w:t>
      </w:r>
      <w:r w:rsidR="00BF581F" w:rsidRPr="00E6110F">
        <w:t>.</w:t>
      </w:r>
      <w:bookmarkEnd w:id="429"/>
    </w:p>
    <w:p w14:paraId="4249EFFB" w14:textId="77777777" w:rsidR="0086648F" w:rsidRPr="00E6110F" w:rsidRDefault="0086648F" w:rsidP="0086648F">
      <w:pPr>
        <w:rPr>
          <w:lang w:val="en-GB"/>
        </w:rPr>
        <w:sectPr w:rsidR="0086648F" w:rsidRPr="00E6110F" w:rsidSect="00022A94">
          <w:headerReference w:type="default" r:id="rId142"/>
          <w:pgSz w:w="11900" w:h="16840" w:code="9"/>
          <w:pgMar w:top="1440" w:right="1440" w:bottom="1440" w:left="1440" w:header="0" w:footer="0" w:gutter="0"/>
          <w:cols w:space="284"/>
          <w:noEndnote/>
          <w:docGrid w:linePitch="326"/>
        </w:sectPr>
      </w:pPr>
    </w:p>
    <w:p w14:paraId="0FC751D0" w14:textId="64E1F81A" w:rsidR="005072A9" w:rsidRPr="00E6110F" w:rsidRDefault="005072A9" w:rsidP="0032201E">
      <w:pPr>
        <w:suppressAutoHyphens/>
        <w:autoSpaceDE w:val="0"/>
        <w:autoSpaceDN w:val="0"/>
        <w:adjustRightInd w:val="0"/>
        <w:spacing w:after="113" w:line="280" w:lineRule="atLeast"/>
        <w:textAlignment w:val="center"/>
        <w:rPr>
          <w:rFonts w:ascii="Calibri" w:hAnsi="Calibri" w:cs="Calibri"/>
          <w:color w:val="000000"/>
          <w:sz w:val="18"/>
          <w:szCs w:val="18"/>
          <w:lang w:val="en-GB"/>
        </w:rPr>
      </w:pPr>
    </w:p>
    <w:p w14:paraId="432B26FA" w14:textId="0038812F" w:rsidR="00A57ACD" w:rsidRPr="00E6110F" w:rsidRDefault="00A57ACD" w:rsidP="00563D0F">
      <w:pPr>
        <w:pStyle w:val="Heading1"/>
      </w:pPr>
      <w:bookmarkStart w:id="430" w:name="_Ref446702857"/>
      <w:bookmarkStart w:id="431" w:name="_Toc494444570"/>
      <w:r w:rsidRPr="00E6110F">
        <w:t>Chemical</w:t>
      </w:r>
      <w:r w:rsidR="004E7E69" w:rsidRPr="00E6110F">
        <w:t>,</w:t>
      </w:r>
      <w:r w:rsidRPr="00E6110F">
        <w:t xml:space="preserve"> biological and geological attenuation processes</w:t>
      </w:r>
      <w:bookmarkEnd w:id="430"/>
      <w:bookmarkEnd w:id="431"/>
    </w:p>
    <w:p w14:paraId="156A514D" w14:textId="7CC34CE4" w:rsidR="00E94D52" w:rsidRPr="00E6110F" w:rsidRDefault="00F56198" w:rsidP="00E94D52">
      <w:pPr>
        <w:pStyle w:val="Body"/>
      </w:pPr>
      <w:r>
        <w:t>C</w:t>
      </w:r>
      <w:r w:rsidRPr="00E6110F">
        <w:t xml:space="preserve">hemical/biological attenuation </w:t>
      </w:r>
      <w:r>
        <w:t>(</w:t>
      </w:r>
      <w:r w:rsidRPr="00E6110F">
        <w:t>chemical/biological degradation</w:t>
      </w:r>
      <w:r>
        <w:t xml:space="preserve">) and </w:t>
      </w:r>
      <w:r w:rsidRPr="00E6110F">
        <w:t xml:space="preserve">geological attenuation </w:t>
      </w:r>
      <w:r>
        <w:t>(</w:t>
      </w:r>
      <w:r w:rsidRPr="00E6110F">
        <w:t>adsorption</w:t>
      </w:r>
      <w:r>
        <w:t xml:space="preserve">) all contribute to natural attenuation. </w:t>
      </w:r>
      <w:r w:rsidR="00E94D52" w:rsidRPr="00E6110F">
        <w:t>“Natural Attenuation” refers to naturally-occurri</w:t>
      </w:r>
      <w:r w:rsidR="005725E0" w:rsidRPr="00E6110F">
        <w:t>ng processes in soil and ground</w:t>
      </w:r>
      <w:r w:rsidR="00E94D52" w:rsidRPr="00E6110F">
        <w:t>water environments that act without human intervention to reduce the mass, toxicity, mobility, volume, or concentration of contaminants in those media. These in-situ processes include biotransformation, dispersion, dilution, adsorption, volatili</w:t>
      </w:r>
      <w:r w:rsidR="00E60D2B">
        <w:t>s</w:t>
      </w:r>
      <w:r w:rsidR="00E94D52" w:rsidRPr="00E6110F">
        <w:t>ation, and chemical or biological stabili</w:t>
      </w:r>
      <w:r w:rsidR="00E60D2B">
        <w:t>s</w:t>
      </w:r>
      <w:r w:rsidR="00E94D52" w:rsidRPr="00E6110F">
        <w:t>ation or de</w:t>
      </w:r>
      <w:r w:rsidR="00BE10E9" w:rsidRPr="00E6110F">
        <w:t>gradation</w:t>
      </w:r>
      <w:r w:rsidR="00E94D52" w:rsidRPr="00E6110F">
        <w:t xml:space="preserve"> of contaminants (US EPA 1998</w:t>
      </w:r>
      <w:r w:rsidR="007655AD" w:rsidRPr="00E6110F">
        <w:t>a</w:t>
      </w:r>
      <w:r w:rsidR="00E94D52" w:rsidRPr="00E6110F">
        <w:t>).</w:t>
      </w:r>
      <w:r w:rsidR="005725E0" w:rsidRPr="00E6110F">
        <w:t xml:space="preserve"> </w:t>
      </w:r>
    </w:p>
    <w:p w14:paraId="05D664B1" w14:textId="17A73B8B" w:rsidR="00A57ACD" w:rsidRPr="00E6110F" w:rsidRDefault="00D009B2" w:rsidP="00A57ACD">
      <w:pPr>
        <w:pStyle w:val="Body"/>
      </w:pPr>
      <w:r w:rsidRPr="00E6110F">
        <w:t xml:space="preserve">In this section </w:t>
      </w:r>
      <w:r w:rsidR="002668D5" w:rsidRPr="00E6110F">
        <w:t>of the study</w:t>
      </w:r>
      <w:r w:rsidR="00E60D2B">
        <w:t>,</w:t>
      </w:r>
      <w:r w:rsidR="002668D5" w:rsidRPr="00E6110F">
        <w:t xml:space="preserve"> details are provided regarding the approach to integrate </w:t>
      </w:r>
      <w:r w:rsidR="002C4EB3" w:rsidRPr="00E6110F">
        <w:t xml:space="preserve">geological and chemical or </w:t>
      </w:r>
      <w:r w:rsidR="00882A1B" w:rsidRPr="00E6110F">
        <w:t>(</w:t>
      </w:r>
      <w:r w:rsidR="002C4EB3" w:rsidRPr="00E6110F">
        <w:t>micro</w:t>
      </w:r>
      <w:proofErr w:type="gramStart"/>
      <w:r w:rsidR="00882A1B" w:rsidRPr="00E6110F">
        <w:t>)</w:t>
      </w:r>
      <w:r w:rsidR="002C4EB3" w:rsidRPr="00E6110F">
        <w:t>biological</w:t>
      </w:r>
      <w:proofErr w:type="gramEnd"/>
      <w:r w:rsidR="002C4EB3" w:rsidRPr="00E6110F">
        <w:t xml:space="preserve"> </w:t>
      </w:r>
      <w:r w:rsidR="002668D5" w:rsidRPr="00E6110F">
        <w:t xml:space="preserve">attenuation processes into a single metric for attenuation </w:t>
      </w:r>
      <w:r w:rsidR="002C4EB3" w:rsidRPr="00E6110F">
        <w:t xml:space="preserve">of substances </w:t>
      </w:r>
      <w:r w:rsidR="002668D5" w:rsidRPr="00E6110F">
        <w:t>(</w:t>
      </w:r>
      <w:r w:rsidR="00E60D2B">
        <w:t>S</w:t>
      </w:r>
      <w:r w:rsidR="002668D5" w:rsidRPr="00E6110F">
        <w:t xml:space="preserve">ection </w:t>
      </w:r>
      <w:r w:rsidR="002668D5" w:rsidRPr="00E6110F">
        <w:fldChar w:fldCharType="begin" w:fldLock="1"/>
      </w:r>
      <w:r w:rsidR="002668D5" w:rsidRPr="00E6110F">
        <w:instrText xml:space="preserve"> REF _Ref446953913 \r \h </w:instrText>
      </w:r>
      <w:r w:rsidR="00AB0783" w:rsidRPr="00E6110F">
        <w:instrText xml:space="preserve"> \* MERGEFORMAT </w:instrText>
      </w:r>
      <w:r w:rsidR="002668D5" w:rsidRPr="00E6110F">
        <w:fldChar w:fldCharType="separate"/>
      </w:r>
      <w:r w:rsidR="00335E79">
        <w:t>4.1</w:t>
      </w:r>
      <w:r w:rsidR="002668D5" w:rsidRPr="00E6110F">
        <w:fldChar w:fldCharType="end"/>
      </w:r>
      <w:r w:rsidR="002668D5" w:rsidRPr="00E6110F">
        <w:t xml:space="preserve">). </w:t>
      </w:r>
      <w:r w:rsidR="00A34D85" w:rsidRPr="00E6110F">
        <w:t xml:space="preserve">Transformation or degradation pathways </w:t>
      </w:r>
      <w:r w:rsidR="002C4EB3" w:rsidRPr="00E6110F">
        <w:t xml:space="preserve">and half-lives </w:t>
      </w:r>
      <w:r w:rsidR="00A34D85" w:rsidRPr="00E6110F">
        <w:t>are identified as a means to ensure the analysis is sufficiently comprehensive, and accounts for both parent chemical compounds and their transformation products whose properties, including toxicity, may be quite different from their parents (</w:t>
      </w:r>
      <w:r w:rsidR="00E60D2B">
        <w:t>S</w:t>
      </w:r>
      <w:r w:rsidR="00A34D85" w:rsidRPr="00E6110F">
        <w:t xml:space="preserve">ection </w:t>
      </w:r>
      <w:r w:rsidR="00A34D85" w:rsidRPr="00E6110F">
        <w:fldChar w:fldCharType="begin" w:fldLock="1"/>
      </w:r>
      <w:r w:rsidR="00A34D85" w:rsidRPr="00E6110F">
        <w:instrText xml:space="preserve"> REF _Ref446954117 \r \h </w:instrText>
      </w:r>
      <w:r w:rsidR="00AB0783" w:rsidRPr="00E6110F">
        <w:instrText xml:space="preserve"> \* MERGEFORMAT </w:instrText>
      </w:r>
      <w:r w:rsidR="00A34D85" w:rsidRPr="00E6110F">
        <w:fldChar w:fldCharType="separate"/>
      </w:r>
      <w:r w:rsidR="00335E79">
        <w:t>4.2</w:t>
      </w:r>
      <w:r w:rsidR="00A34D85" w:rsidRPr="00E6110F">
        <w:fldChar w:fldCharType="end"/>
      </w:r>
      <w:r w:rsidR="00A34D85" w:rsidRPr="00E6110F">
        <w:t xml:space="preserve">). </w:t>
      </w:r>
      <w:r w:rsidR="002668D5" w:rsidRPr="00E6110F">
        <w:t xml:space="preserve">Next, </w:t>
      </w:r>
      <w:r w:rsidR="00A57ACD" w:rsidRPr="00E6110F">
        <w:t xml:space="preserve">information </w:t>
      </w:r>
      <w:r w:rsidR="002668D5" w:rsidRPr="00E6110F">
        <w:t xml:space="preserve">is collated </w:t>
      </w:r>
      <w:r w:rsidR="00A57ACD" w:rsidRPr="00E6110F">
        <w:t xml:space="preserve">on </w:t>
      </w:r>
      <w:r w:rsidR="002668D5" w:rsidRPr="00E6110F">
        <w:t xml:space="preserve">chemical mobility (retardation) </w:t>
      </w:r>
      <w:r w:rsidR="002C4EB3" w:rsidRPr="00E6110F">
        <w:t xml:space="preserve">for organic substances </w:t>
      </w:r>
      <w:r w:rsidR="002668D5" w:rsidRPr="00E6110F">
        <w:t>(</w:t>
      </w:r>
      <w:r w:rsidR="00E60D2B">
        <w:t>S</w:t>
      </w:r>
      <w:r w:rsidR="002668D5" w:rsidRPr="00E6110F">
        <w:t xml:space="preserve">ection </w:t>
      </w:r>
      <w:r w:rsidR="002668D5" w:rsidRPr="00E6110F">
        <w:fldChar w:fldCharType="begin" w:fldLock="1"/>
      </w:r>
      <w:r w:rsidR="002668D5" w:rsidRPr="00E6110F">
        <w:instrText xml:space="preserve"> REF _Ref446953816 \r \h </w:instrText>
      </w:r>
      <w:r w:rsidR="00AB0783" w:rsidRPr="00E6110F">
        <w:instrText xml:space="preserve"> \* MERGEFORMAT </w:instrText>
      </w:r>
      <w:r w:rsidR="002668D5" w:rsidRPr="00E6110F">
        <w:fldChar w:fldCharType="separate"/>
      </w:r>
      <w:r w:rsidR="00335E79">
        <w:t>4.3</w:t>
      </w:r>
      <w:r w:rsidR="002668D5" w:rsidRPr="00E6110F">
        <w:fldChar w:fldCharType="end"/>
      </w:r>
      <w:r w:rsidR="00B31B95" w:rsidRPr="00E6110F">
        <w:t xml:space="preserve">) and </w:t>
      </w:r>
      <w:r w:rsidR="002C4EB3" w:rsidRPr="00E6110F">
        <w:t>inorganic substances (</w:t>
      </w:r>
      <w:r w:rsidR="00E60D2B">
        <w:t>S</w:t>
      </w:r>
      <w:r w:rsidR="002C4EB3" w:rsidRPr="00E6110F">
        <w:t xml:space="preserve">ection </w:t>
      </w:r>
      <w:r w:rsidR="002C4EB3" w:rsidRPr="00E6110F">
        <w:fldChar w:fldCharType="begin" w:fldLock="1"/>
      </w:r>
      <w:r w:rsidR="002C4EB3" w:rsidRPr="00E6110F">
        <w:instrText xml:space="preserve"> REF _Ref452822681 \r \h </w:instrText>
      </w:r>
      <w:r w:rsidR="00AB0783" w:rsidRPr="00E6110F">
        <w:instrText xml:space="preserve"> \* MERGEFORMAT </w:instrText>
      </w:r>
      <w:r w:rsidR="002C4EB3" w:rsidRPr="00E6110F">
        <w:fldChar w:fldCharType="separate"/>
      </w:r>
      <w:r w:rsidR="00335E79">
        <w:t>4.4</w:t>
      </w:r>
      <w:r w:rsidR="002C4EB3" w:rsidRPr="00E6110F">
        <w:fldChar w:fldCharType="end"/>
      </w:r>
      <w:r w:rsidR="002C4EB3" w:rsidRPr="00E6110F">
        <w:t>). The combination of sorption parameter and half-lives will</w:t>
      </w:r>
      <w:r w:rsidR="00A57ACD" w:rsidRPr="00E6110F">
        <w:t xml:space="preserve"> improve understanding of attenuation processes and </w:t>
      </w:r>
      <w:r w:rsidR="002C4EB3" w:rsidRPr="00E6110F">
        <w:t>underpins</w:t>
      </w:r>
      <w:r w:rsidR="00A57ACD" w:rsidRPr="00E6110F">
        <w:t xml:space="preserve"> determin</w:t>
      </w:r>
      <w:r w:rsidR="002C4EB3" w:rsidRPr="00E6110F">
        <w:t>ation</w:t>
      </w:r>
      <w:r w:rsidR="00A57ACD" w:rsidRPr="00E6110F">
        <w:t xml:space="preserve"> remaining concentration</w:t>
      </w:r>
      <w:r w:rsidR="00B31B95" w:rsidRPr="00E6110F">
        <w:t>s</w:t>
      </w:r>
      <w:r w:rsidR="00A57ACD" w:rsidRPr="00E6110F">
        <w:t xml:space="preserve"> at the receptor for indicator chemicals</w:t>
      </w:r>
      <w:r w:rsidR="002668D5" w:rsidRPr="00E6110F">
        <w:t>. Toxicity of individual chemicals will also be compiled to complete the data collation process required for the hazard screening (</w:t>
      </w:r>
      <w:r w:rsidR="00E60D2B">
        <w:t>S</w:t>
      </w:r>
      <w:r w:rsidR="002668D5" w:rsidRPr="00E6110F">
        <w:t>ection</w:t>
      </w:r>
      <w:r w:rsidR="002950E1">
        <w:t xml:space="preserve"> </w:t>
      </w:r>
      <w:r w:rsidR="002950E1">
        <w:fldChar w:fldCharType="begin" w:fldLock="1"/>
      </w:r>
      <w:r w:rsidR="002950E1">
        <w:instrText xml:space="preserve"> REF _Ref458342328 \r \h </w:instrText>
      </w:r>
      <w:r w:rsidR="002950E1">
        <w:fldChar w:fldCharType="separate"/>
      </w:r>
      <w:r w:rsidR="00335E79">
        <w:t>4.5</w:t>
      </w:r>
      <w:r w:rsidR="002950E1">
        <w:fldChar w:fldCharType="end"/>
      </w:r>
      <w:r w:rsidR="002668D5" w:rsidRPr="00E6110F">
        <w:t>).</w:t>
      </w:r>
      <w:r w:rsidR="00A57ACD" w:rsidRPr="00E6110F">
        <w:t xml:space="preserve"> </w:t>
      </w:r>
    </w:p>
    <w:p w14:paraId="4311A816" w14:textId="77777777" w:rsidR="00A57ACD" w:rsidRPr="00E6110F" w:rsidRDefault="00A57ACD" w:rsidP="002668D5">
      <w:pPr>
        <w:pStyle w:val="Heading2"/>
      </w:pPr>
      <w:bookmarkStart w:id="432" w:name="_Ref446953913"/>
      <w:bookmarkStart w:id="433" w:name="_Toc494444571"/>
      <w:r w:rsidRPr="00E6110F">
        <w:t>Methodology</w:t>
      </w:r>
      <w:bookmarkEnd w:id="432"/>
      <w:bookmarkEnd w:id="433"/>
    </w:p>
    <w:p w14:paraId="0348432B" w14:textId="05A41313" w:rsidR="0009548E" w:rsidRPr="00E6110F" w:rsidRDefault="00A57ACD" w:rsidP="00A57ACD">
      <w:pPr>
        <w:pStyle w:val="Body"/>
      </w:pPr>
      <w:r w:rsidRPr="00E6110F">
        <w:t xml:space="preserve">The hazard screening </w:t>
      </w:r>
      <w:r w:rsidR="002C6BFE" w:rsidRPr="00E6110F">
        <w:t xml:space="preserve">methodology </w:t>
      </w:r>
      <w:r w:rsidRPr="00E6110F">
        <w:t xml:space="preserve">uses information on chemical persistence (half-life) and mobility (retardation) to </w:t>
      </w:r>
      <w:r w:rsidR="00AC3979" w:rsidRPr="00E6110F">
        <w:t xml:space="preserve">first </w:t>
      </w:r>
      <w:r w:rsidRPr="00E6110F">
        <w:t xml:space="preserve">determine the </w:t>
      </w:r>
      <w:r w:rsidR="00AC3979" w:rsidRPr="00E6110F">
        <w:t xml:space="preserve">transport time from source to receptor from which subsequently the </w:t>
      </w:r>
      <w:r w:rsidRPr="00E6110F">
        <w:t xml:space="preserve">remaining concentration at the receptor </w:t>
      </w:r>
      <w:r w:rsidR="002C4EB3" w:rsidRPr="00E6110F">
        <w:t xml:space="preserve">location </w:t>
      </w:r>
      <w:r w:rsidR="00AC3979" w:rsidRPr="00E6110F">
        <w:t xml:space="preserve">is determined </w:t>
      </w:r>
      <w:r w:rsidRPr="00E6110F">
        <w:t>(</w:t>
      </w:r>
      <w:r w:rsidR="00AC3979" w:rsidRPr="00E6110F">
        <w:t>the travel time defines how much of the chemical will</w:t>
      </w:r>
      <w:r w:rsidRPr="00E6110F">
        <w:t xml:space="preserve"> degrade to X% of </w:t>
      </w:r>
      <w:r w:rsidR="00593073" w:rsidRPr="00E6110F">
        <w:t xml:space="preserve">the </w:t>
      </w:r>
      <w:r w:rsidRPr="00E6110F">
        <w:t xml:space="preserve">initial concentration). Chemical, </w:t>
      </w:r>
      <w:r w:rsidR="00CA4027" w:rsidRPr="00E6110F">
        <w:t>micro</w:t>
      </w:r>
      <w:r w:rsidRPr="00E6110F">
        <w:t xml:space="preserve">biological, and geological attenuation processes relevant for deeper groundwater pathways </w:t>
      </w:r>
      <w:r w:rsidR="002C6BFE" w:rsidRPr="00E6110F">
        <w:t xml:space="preserve">have </w:t>
      </w:r>
      <w:r w:rsidRPr="00E6110F">
        <w:t>be</w:t>
      </w:r>
      <w:r w:rsidR="002C6BFE" w:rsidRPr="00E6110F">
        <w:t>en</w:t>
      </w:r>
      <w:r w:rsidRPr="00E6110F">
        <w:t xml:space="preserve"> reviewed</w:t>
      </w:r>
      <w:r w:rsidR="00CA4027" w:rsidRPr="00E6110F">
        <w:t xml:space="preserve"> (</w:t>
      </w:r>
      <w:r w:rsidR="00E60D2B">
        <w:t>S</w:t>
      </w:r>
      <w:r w:rsidR="00CA4027" w:rsidRPr="00E6110F">
        <w:t xml:space="preserve">ection </w:t>
      </w:r>
      <w:r w:rsidR="00CA4027" w:rsidRPr="00E6110F">
        <w:fldChar w:fldCharType="begin" w:fldLock="1"/>
      </w:r>
      <w:r w:rsidR="00CA4027" w:rsidRPr="00E6110F">
        <w:instrText xml:space="preserve"> REF _Ref452823556 \r \h </w:instrText>
      </w:r>
      <w:r w:rsidR="00AB0783" w:rsidRPr="00E6110F">
        <w:instrText xml:space="preserve"> \* MERGEFORMAT </w:instrText>
      </w:r>
      <w:r w:rsidR="00CA4027" w:rsidRPr="00E6110F">
        <w:fldChar w:fldCharType="separate"/>
      </w:r>
      <w:r w:rsidR="00335E79">
        <w:t>4.2</w:t>
      </w:r>
      <w:r w:rsidR="00CA4027" w:rsidRPr="00E6110F">
        <w:fldChar w:fldCharType="end"/>
      </w:r>
      <w:r w:rsidR="00CA4027" w:rsidRPr="00E6110F">
        <w:t>)</w:t>
      </w:r>
      <w:r w:rsidRPr="00E6110F">
        <w:t xml:space="preserve">. Parameters for each of these processes </w:t>
      </w:r>
      <w:r w:rsidR="002C6BFE" w:rsidRPr="00E6110F">
        <w:t>have</w:t>
      </w:r>
      <w:r w:rsidRPr="00E6110F">
        <w:t xml:space="preserve"> be</w:t>
      </w:r>
      <w:r w:rsidR="002C6BFE" w:rsidRPr="00E6110F">
        <w:t>en</w:t>
      </w:r>
      <w:r w:rsidRPr="00E6110F">
        <w:t xml:space="preserve"> collated from </w:t>
      </w:r>
      <w:r w:rsidR="002C6BFE" w:rsidRPr="00E6110F">
        <w:t>a</w:t>
      </w:r>
      <w:r w:rsidRPr="00E6110F">
        <w:t xml:space="preserve"> literature review for characteristic chemicals (</w:t>
      </w:r>
      <w:r w:rsidR="006515B4" w:rsidRPr="00E6110F">
        <w:t xml:space="preserve">chemicals have been </w:t>
      </w:r>
      <w:r w:rsidRPr="00E6110F">
        <w:t xml:space="preserve">defined in </w:t>
      </w:r>
      <w:r w:rsidR="00E60D2B">
        <w:t>S</w:t>
      </w:r>
      <w:r w:rsidR="002C6BFE" w:rsidRPr="00E6110F">
        <w:t xml:space="preserve">ection </w:t>
      </w:r>
      <w:r w:rsidR="002C6BFE" w:rsidRPr="00E6110F">
        <w:fldChar w:fldCharType="begin" w:fldLock="1"/>
      </w:r>
      <w:r w:rsidR="002C6BFE" w:rsidRPr="00E6110F">
        <w:instrText xml:space="preserve"> REF _Ref446708098 \r \h </w:instrText>
      </w:r>
      <w:r w:rsidR="00AB0783" w:rsidRPr="00E6110F">
        <w:instrText xml:space="preserve"> \* MERGEFORMAT </w:instrText>
      </w:r>
      <w:r w:rsidR="002C6BFE" w:rsidRPr="00E6110F">
        <w:fldChar w:fldCharType="separate"/>
      </w:r>
      <w:r w:rsidR="00335E79">
        <w:t>2.3</w:t>
      </w:r>
      <w:r w:rsidR="002C6BFE" w:rsidRPr="00E6110F">
        <w:fldChar w:fldCharType="end"/>
      </w:r>
      <w:r w:rsidRPr="00E6110F">
        <w:t xml:space="preserve">). </w:t>
      </w:r>
      <w:r w:rsidR="002C6BFE" w:rsidRPr="00E6110F">
        <w:t xml:space="preserve">Chemical or </w:t>
      </w:r>
      <w:r w:rsidR="006515B4" w:rsidRPr="00E6110F">
        <w:t>micro</w:t>
      </w:r>
      <w:r w:rsidR="002C6BFE" w:rsidRPr="00E6110F">
        <w:t>biological d</w:t>
      </w:r>
      <w:r w:rsidRPr="00E6110F">
        <w:t xml:space="preserve">egradation data </w:t>
      </w:r>
      <w:r w:rsidR="002C6BFE" w:rsidRPr="00E6110F">
        <w:t>has been</w:t>
      </w:r>
      <w:r w:rsidRPr="00E6110F">
        <w:t xml:space="preserve"> sourced from groundwater attenuation studies in </w:t>
      </w:r>
      <w:r w:rsidR="00067F5A" w:rsidRPr="00E6110F">
        <w:t xml:space="preserve">aerobic and </w:t>
      </w:r>
      <w:r w:rsidRPr="00E6110F">
        <w:t>anaerobic environments</w:t>
      </w:r>
      <w:r w:rsidR="00067F5A" w:rsidRPr="00E6110F">
        <w:t xml:space="preserve">. Aerobic environments may be more appropriate for the transport pathways in unconfined and alluvial aquifers, while anaerobic transport pathways are more </w:t>
      </w:r>
      <w:r w:rsidRPr="00E6110F">
        <w:t xml:space="preserve">appropriate for the </w:t>
      </w:r>
      <w:r w:rsidR="00067F5A" w:rsidRPr="00E6110F">
        <w:t>deeper confined aquifers and coal formations</w:t>
      </w:r>
      <w:r w:rsidRPr="00E6110F">
        <w:t xml:space="preserve">. If </w:t>
      </w:r>
      <w:r w:rsidR="00067F5A" w:rsidRPr="00E6110F">
        <w:t xml:space="preserve">such data was </w:t>
      </w:r>
      <w:r w:rsidRPr="00E6110F">
        <w:t xml:space="preserve">not available, alternative methods </w:t>
      </w:r>
      <w:r w:rsidR="002C6BFE" w:rsidRPr="00E6110F">
        <w:t>have been</w:t>
      </w:r>
      <w:r w:rsidRPr="00E6110F">
        <w:t xml:space="preserve"> used to estimate degradation rates using, e.g. the EPA BIOWIN-4 model.</w:t>
      </w:r>
    </w:p>
    <w:p w14:paraId="678A7EEA" w14:textId="375174DD" w:rsidR="002624C5" w:rsidRPr="00E6110F" w:rsidRDefault="002624C5" w:rsidP="002624C5">
      <w:pPr>
        <w:pStyle w:val="Body"/>
      </w:pPr>
      <w:r w:rsidRPr="00E6110F">
        <w:t>In groundwater</w:t>
      </w:r>
      <w:r w:rsidR="00BF0CC5" w:rsidRPr="00E6110F">
        <w:t xml:space="preserve"> sediments</w:t>
      </w:r>
      <w:r w:rsidRPr="00E6110F">
        <w:t xml:space="preserve">, </w:t>
      </w:r>
      <w:r w:rsidR="00BF0CC5" w:rsidRPr="00E6110F">
        <w:t xml:space="preserve">coal formations and interburden rocks, </w:t>
      </w:r>
      <w:r w:rsidRPr="00E6110F">
        <w:t>chemicals are temporarily removed from the water phase by an interaction with the solid matrix by chemical, physical or electrostatic forces. This process is generally called sorption (US EPA 1999</w:t>
      </w:r>
      <w:r w:rsidR="007C00CF" w:rsidRPr="00E6110F">
        <w:t>b</w:t>
      </w:r>
      <w:r w:rsidRPr="00E6110F">
        <w:t>)</w:t>
      </w:r>
      <w:r w:rsidR="00BF0CC5" w:rsidRPr="00E6110F">
        <w:t>, and is referred-to here as geological attenuation</w:t>
      </w:r>
      <w:r w:rsidRPr="00E6110F">
        <w:t>. Two sorption phenomena are typically distinguished: adsorption/desorption and absorption. Adsorption refers to the processes in which the chemical accumulates on the surface of a solid particle (i.e. grains, organic matter). Desorption is the reverse of adsorption - chemicals are released from the solid particles back into the porewater. Absorption describes processes in which the contaminant becomes incorporated into the surface layer of a mineral structure.</w:t>
      </w:r>
    </w:p>
    <w:p w14:paraId="3C1560ED" w14:textId="7A9B8973" w:rsidR="009F35E6" w:rsidRPr="00E6110F" w:rsidRDefault="002C6BFE" w:rsidP="009F35E6">
      <w:pPr>
        <w:pStyle w:val="Body"/>
      </w:pPr>
      <w:r w:rsidRPr="00E6110F">
        <w:t>Geological attenuation determin</w:t>
      </w:r>
      <w:r w:rsidR="0009548E" w:rsidRPr="00E6110F">
        <w:t>es</w:t>
      </w:r>
      <w:r w:rsidRPr="00E6110F">
        <w:t xml:space="preserve"> a c</w:t>
      </w:r>
      <w:r w:rsidR="00A57ACD" w:rsidRPr="00E6110F">
        <w:t>hemical</w:t>
      </w:r>
      <w:r w:rsidRPr="00E6110F">
        <w:t>’s</w:t>
      </w:r>
      <w:r w:rsidR="00A57ACD" w:rsidRPr="00E6110F">
        <w:t xml:space="preserve"> mobility </w:t>
      </w:r>
      <w:r w:rsidR="0009548E" w:rsidRPr="00E6110F">
        <w:t xml:space="preserve">and requires estimation of the </w:t>
      </w:r>
      <w:r w:rsidR="00D55C93">
        <w:t>sorption or retention behaviour</w:t>
      </w:r>
      <w:r w:rsidR="009F35E6">
        <w:t xml:space="preserve">. </w:t>
      </w:r>
      <w:r w:rsidR="009F35E6" w:rsidRPr="00E6110F">
        <w:t>The Freundlich equation or sorption isotherm is the simplest conceptualisation to quantify the behaviour of retention of reactive solutes with the soil or rock matrix.  It has been used widely to describe solute retention by soils and aquifer sediments (Helfferich 1962; Sposito 1984; among others). The Freundlich equation is expressed as:</w:t>
      </w:r>
    </w:p>
    <w:p w14:paraId="1B342FA1" w14:textId="7E9B6637" w:rsidR="009F35E6" w:rsidRPr="00E6110F" w:rsidRDefault="009F35E6" w:rsidP="009F35E6">
      <w:pPr>
        <w:pStyle w:val="Body"/>
        <w:tabs>
          <w:tab w:val="center" w:pos="4253"/>
          <w:tab w:val="right" w:pos="8789"/>
        </w:tabs>
      </w:pPr>
      <w:r w:rsidRPr="00E6110F">
        <w:tab/>
      </w:r>
      <m:oMath>
        <m:sSub>
          <m:sSubPr>
            <m:ctrlPr>
              <w:rPr>
                <w:rFonts w:ascii="Cambria Math" w:hAnsi="Cambria Math"/>
                <w:i/>
              </w:rPr>
            </m:ctrlPr>
          </m:sSubPr>
          <m:e>
            <m:r>
              <w:rPr>
                <w:rFonts w:ascii="Cambria Math" w:hAnsi="Cambria Math"/>
              </w:rPr>
              <m:t>C</m:t>
            </m:r>
          </m:e>
          <m:sub>
            <m:r>
              <w:rPr>
                <w:rFonts w:ascii="Cambria Math" w:hAnsi="Cambria Math"/>
              </w:rPr>
              <m:t>ads</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sSubSup>
          <m:sSubSupPr>
            <m:ctrlPr>
              <w:rPr>
                <w:rFonts w:ascii="Cambria Math" w:hAnsi="Cambria Math"/>
                <w:i/>
              </w:rPr>
            </m:ctrlPr>
          </m:sSubSupPr>
          <m:e>
            <m:r>
              <w:rPr>
                <w:rFonts w:ascii="Cambria Math" w:hAnsi="Cambria Math"/>
              </w:rPr>
              <m:t>C</m:t>
            </m:r>
          </m:e>
          <m:sub>
            <m:r>
              <w:rPr>
                <w:rFonts w:ascii="Cambria Math" w:hAnsi="Cambria Math"/>
              </w:rPr>
              <m:t>liq</m:t>
            </m:r>
          </m:sub>
          <m:sup>
            <m:r>
              <w:rPr>
                <w:rFonts w:ascii="Cambria Math" w:hAnsi="Cambria Math"/>
              </w:rPr>
              <m:t>b</m:t>
            </m:r>
          </m:sup>
        </m:sSubSup>
      </m:oMath>
      <w:r w:rsidRPr="00E6110F">
        <w:tab/>
        <w:t>(</w:t>
      </w:r>
      <w:r w:rsidR="008C6A38">
        <w:t>1</w:t>
      </w:r>
      <w:r w:rsidRPr="00E6110F">
        <w:t>)</w:t>
      </w:r>
    </w:p>
    <w:p w14:paraId="150B46AA" w14:textId="77777777" w:rsidR="004A65B6" w:rsidRDefault="009F35E6" w:rsidP="009F35E6">
      <w:pPr>
        <w:pStyle w:val="Body"/>
      </w:pPr>
      <w:proofErr w:type="gramStart"/>
      <w:r w:rsidRPr="00E6110F">
        <w:t>where</w:t>
      </w:r>
      <w:proofErr w:type="gramEnd"/>
      <w:r w:rsidRPr="00E6110F">
        <w:t xml:space="preserve"> </w:t>
      </w:r>
      <w:r w:rsidRPr="00E6110F">
        <w:rPr>
          <w:i/>
        </w:rPr>
        <w:t>C</w:t>
      </w:r>
      <w:r w:rsidRPr="00E6110F">
        <w:rPr>
          <w:vertAlign w:val="subscript"/>
        </w:rPr>
        <w:t>ads</w:t>
      </w:r>
      <w:r w:rsidRPr="00E6110F">
        <w:t xml:space="preserve"> is the concentration of solute retained by the sediment in mg/g of dry sediment, </w:t>
      </w:r>
      <w:r w:rsidRPr="00E6110F">
        <w:rPr>
          <w:i/>
        </w:rPr>
        <w:t>C</w:t>
      </w:r>
      <w:r w:rsidRPr="00E6110F">
        <w:rPr>
          <w:vertAlign w:val="subscript"/>
        </w:rPr>
        <w:t>liq</w:t>
      </w:r>
      <w:r w:rsidRPr="00E6110F">
        <w:t xml:space="preserve"> is the solute concentration in solution in mg/ml, </w:t>
      </w:r>
      <w:r w:rsidR="00D55C93" w:rsidRPr="00706B3C">
        <w:rPr>
          <w:i/>
        </w:rPr>
        <w:t>K</w:t>
      </w:r>
      <w:r w:rsidR="00D55C93" w:rsidRPr="00706B3C">
        <w:rPr>
          <w:vertAlign w:val="subscript"/>
        </w:rPr>
        <w:t>d</w:t>
      </w:r>
      <w:r w:rsidR="00D55C93">
        <w:t xml:space="preserve"> is the solid-liquid partition coefficient in L/kg, </w:t>
      </w:r>
      <w:r w:rsidRPr="00E6110F">
        <w:t xml:space="preserve">and the parameter </w:t>
      </w:r>
      <w:r w:rsidRPr="00E6110F">
        <w:rPr>
          <w:i/>
        </w:rPr>
        <w:t>b</w:t>
      </w:r>
      <w:r w:rsidRPr="00E6110F">
        <w:t xml:space="preserve"> is dimensionless and typically has a value of </w:t>
      </w:r>
      <w:r w:rsidRPr="00E6110F">
        <w:rPr>
          <w:i/>
        </w:rPr>
        <w:t>b</w:t>
      </w:r>
      <w:r w:rsidRPr="00E6110F">
        <w:t xml:space="preserve"> &lt; 1. </w:t>
      </w:r>
    </w:p>
    <w:p w14:paraId="4740805A" w14:textId="2AAD3D6C" w:rsidR="009F35E6" w:rsidRDefault="009F35E6" w:rsidP="009F35E6">
      <w:pPr>
        <w:pStyle w:val="Body"/>
      </w:pPr>
      <w:r w:rsidRPr="00E6110F">
        <w:t xml:space="preserve">For </w:t>
      </w:r>
      <w:r w:rsidRPr="00E6110F">
        <w:rPr>
          <w:i/>
        </w:rPr>
        <w:t xml:space="preserve">b </w:t>
      </w:r>
      <w:r w:rsidRPr="00E6110F">
        <w:t xml:space="preserve">= 1, the (nonlinear) Freundlich equation reduces to a linear sorption equation. The </w:t>
      </w:r>
      <w:proofErr w:type="gramStart"/>
      <w:r w:rsidRPr="00E6110F">
        <w:rPr>
          <w:i/>
        </w:rPr>
        <w:t>K</w:t>
      </w:r>
      <w:r w:rsidRPr="00E6110F">
        <w:rPr>
          <w:vertAlign w:val="subscript"/>
        </w:rPr>
        <w:t>d</w:t>
      </w:r>
      <w:proofErr w:type="gramEnd"/>
      <w:r w:rsidRPr="00E6110F">
        <w:t xml:space="preserve"> parameter </w:t>
      </w:r>
      <w:r w:rsidR="004A65B6">
        <w:t xml:space="preserve">then </w:t>
      </w:r>
      <w:r w:rsidRPr="00E6110F">
        <w:t>quantifies instantaneous, linear and reversible sorption, and depends on the type of porous medium and on the chemical element (Thibault et al. 1990). It</w:t>
      </w:r>
      <w:r w:rsidRPr="00E6110F">
        <w:rPr>
          <w:sz w:val="24"/>
          <w:szCs w:val="24"/>
        </w:rPr>
        <w:t xml:space="preserve"> </w:t>
      </w:r>
      <w:r w:rsidRPr="00E6110F">
        <w:t xml:space="preserve">describes the capacity of a solid to remove a dissolved chemical from the liquid phase to the solid phase. If sorption is fast compared to the groundwater flow velocity, the element will reach an equilibrium condition between liquid and solid phase. In other words, sorption is almost instantaneous and thus time-independent. This is called equilibrium sorption. </w:t>
      </w:r>
    </w:p>
    <w:p w14:paraId="0738C3EE" w14:textId="15FD47D6" w:rsidR="009F35E6" w:rsidRPr="00E6110F" w:rsidRDefault="009F35E6" w:rsidP="009F35E6">
      <w:pPr>
        <w:pStyle w:val="Body"/>
      </w:pPr>
      <w:r w:rsidRPr="00E6110F">
        <w:t xml:space="preserve">Inherent in the </w:t>
      </w:r>
      <w:proofErr w:type="gramStart"/>
      <w:r w:rsidRPr="00E6110F">
        <w:rPr>
          <w:i/>
        </w:rPr>
        <w:t>K</w:t>
      </w:r>
      <w:r w:rsidRPr="00E6110F">
        <w:rPr>
          <w:vertAlign w:val="subscript"/>
        </w:rPr>
        <w:t>d</w:t>
      </w:r>
      <w:proofErr w:type="gramEnd"/>
      <w:r w:rsidRPr="00E6110F">
        <w:t xml:space="preserve"> – type ’linear isotherm’ is the assumption that the </w:t>
      </w:r>
      <w:r w:rsidRPr="00E6110F">
        <w:rPr>
          <w:i/>
        </w:rPr>
        <w:t>K</w:t>
      </w:r>
      <w:r w:rsidRPr="00E6110F">
        <w:rPr>
          <w:vertAlign w:val="subscript"/>
        </w:rPr>
        <w:t>d</w:t>
      </w:r>
      <w:r w:rsidRPr="00E6110F">
        <w:t xml:space="preserve"> of the element of interest is independent of its concentration in the aqueous phase. In other words, </w:t>
      </w:r>
      <w:proofErr w:type="gramStart"/>
      <w:r w:rsidRPr="00E6110F">
        <w:rPr>
          <w:i/>
        </w:rPr>
        <w:t>K</w:t>
      </w:r>
      <w:r w:rsidRPr="00E6110F">
        <w:rPr>
          <w:vertAlign w:val="subscript"/>
        </w:rPr>
        <w:t>d</w:t>
      </w:r>
      <w:proofErr w:type="gramEnd"/>
      <w:r w:rsidRPr="00E6110F">
        <w:t xml:space="preserve"> is a constant accounting for solute uptake processes that are kinetically fast and reversible. Linear sorption generally takes place at a low solute concentration where the sorption capacity of the sorbing solid is large relative to the available chemicals for sorption. Linear isotherms have been widely used as an approximation of the dilute end of the adsorption isotherm (US EPA 1999b).</w:t>
      </w:r>
      <w:r w:rsidR="00DF3C07">
        <w:t xml:space="preserve"> </w:t>
      </w:r>
      <w:r w:rsidR="00DF3C07" w:rsidRPr="00E6110F">
        <w:t>It has been used widely to describe solute retention by soils and aquifer sediments (Helfferich 1962; Sposito 1984; among others)</w:t>
      </w:r>
      <w:r w:rsidR="00A51CD7">
        <w:t>.</w:t>
      </w:r>
    </w:p>
    <w:p w14:paraId="070FDD3E" w14:textId="4EBC33C2" w:rsidR="009F35E6" w:rsidRPr="00E6110F" w:rsidRDefault="009F35E6" w:rsidP="009F35E6">
      <w:pPr>
        <w:pStyle w:val="Body"/>
      </w:pPr>
      <w:r w:rsidRPr="00E6110F">
        <w:t xml:space="preserve">At low concentrations, sorption of most elements can </w:t>
      </w:r>
      <w:r>
        <w:t xml:space="preserve">indeed </w:t>
      </w:r>
      <w:r w:rsidRPr="00E6110F">
        <w:t>be described by means of the linear equilibrium sorption approach (</w:t>
      </w:r>
      <w:r w:rsidR="00594474">
        <w:fldChar w:fldCharType="begin" w:fldLock="1"/>
      </w:r>
      <w:r w:rsidR="00594474">
        <w:instrText xml:space="preserve"> REF _Ref477085591 \h </w:instrText>
      </w:r>
      <w:r w:rsidR="00594474">
        <w:fldChar w:fldCharType="separate"/>
      </w:r>
      <w:r w:rsidR="00594474" w:rsidRPr="00E6110F">
        <w:t xml:space="preserve">Figure </w:t>
      </w:r>
      <w:r w:rsidR="00594474">
        <w:rPr>
          <w:noProof/>
        </w:rPr>
        <w:t>4</w:t>
      </w:r>
      <w:r w:rsidR="00594474">
        <w:noBreakHyphen/>
      </w:r>
      <w:r w:rsidR="00594474">
        <w:rPr>
          <w:noProof/>
        </w:rPr>
        <w:t>1</w:t>
      </w:r>
      <w:r w:rsidR="00594474">
        <w:fldChar w:fldCharType="end"/>
      </w:r>
      <w:r w:rsidRPr="00E6110F">
        <w:t xml:space="preserve">). At higher concentrations, the sorption sites become saturated and non-linear sorption isotherms such as the Freundlich equation with </w:t>
      </w:r>
      <w:r w:rsidRPr="00E6110F">
        <w:rPr>
          <w:i/>
        </w:rPr>
        <w:t>b</w:t>
      </w:r>
      <w:r w:rsidRPr="00E6110F">
        <w:t xml:space="preserve"> ≠ 1 may need to be considered. Further increasing the liquid phase concentrations does no longer increase the concentration on the solid phase. At a given point, the solubility limit of the element in the liquid phase is reached, and a precipitate (inorganics) or insoluble phase (organics) is formed. The maximum concentration in the liquid phase beyond which precipitation occurs is called the solubility limit, </w:t>
      </w:r>
      <w:r w:rsidRPr="00E6110F">
        <w:rPr>
          <w:i/>
        </w:rPr>
        <w:t>C</w:t>
      </w:r>
      <w:r w:rsidRPr="00E6110F">
        <w:rPr>
          <w:vertAlign w:val="subscript"/>
        </w:rPr>
        <w:t>s</w:t>
      </w:r>
      <w:r w:rsidRPr="00E6110F">
        <w:t xml:space="preserve">. The solubility of organic and inorganic compounds may be affected (e.g. decrease) as a result of presence of certain chemicals in hydraulic fracturing fluids. </w:t>
      </w:r>
    </w:p>
    <w:p w14:paraId="06A74D72" w14:textId="77777777" w:rsidR="009F35E6" w:rsidRPr="00E6110F" w:rsidRDefault="009F35E6" w:rsidP="009F35E6">
      <w:pPr>
        <w:pStyle w:val="Body"/>
      </w:pPr>
    </w:p>
    <w:p w14:paraId="5B52D18C" w14:textId="65F9FC99" w:rsidR="009F35E6" w:rsidRPr="00E6110F" w:rsidRDefault="009F35E6" w:rsidP="009F35E6">
      <w:pPr>
        <w:spacing w:after="0"/>
        <w:jc w:val="center"/>
      </w:pPr>
      <w:r w:rsidRPr="00E6110F">
        <w:rPr>
          <w:noProof/>
          <w:lang w:val="en-AU" w:eastAsia="en-AU"/>
        </w:rPr>
        <w:drawing>
          <wp:inline distT="0" distB="0" distL="0" distR="0" wp14:anchorId="478C900A" wp14:editId="07D74054">
            <wp:extent cx="3534833" cy="2686843"/>
            <wp:effectExtent l="0" t="0" r="8890" b="0"/>
            <wp:docPr id="36" name="Picture 23" descr="Chart of general sorption isotherms"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3569271" cy="2713020"/>
                    </a:xfrm>
                    <a:prstGeom prst="rect">
                      <a:avLst/>
                    </a:prstGeom>
                    <a:noFill/>
                    <a:ln w="9525">
                      <a:noFill/>
                      <a:miter lim="800000"/>
                      <a:headEnd/>
                      <a:tailEnd/>
                    </a:ln>
                  </pic:spPr>
                </pic:pic>
              </a:graphicData>
            </a:graphic>
          </wp:inline>
        </w:drawing>
      </w:r>
    </w:p>
    <w:p w14:paraId="133DDE79" w14:textId="77777777" w:rsidR="009F35E6" w:rsidRPr="00E6110F" w:rsidRDefault="009F35E6" w:rsidP="009F35E6">
      <w:pPr>
        <w:pStyle w:val="Imagecaption"/>
      </w:pPr>
      <w:bookmarkStart w:id="434" w:name="_Ref477085591"/>
      <w:bookmarkStart w:id="435" w:name="_Toc477347631"/>
      <w:r w:rsidRPr="00E6110F">
        <w:t xml:space="preserve">Figure </w:t>
      </w:r>
      <w:r>
        <w:fldChar w:fldCharType="begin" w:fldLock="1"/>
      </w:r>
      <w:r>
        <w:instrText xml:space="preserve"> STYLEREF 1 \s </w:instrText>
      </w:r>
      <w:r>
        <w:fldChar w:fldCharType="separate"/>
      </w:r>
      <w:r w:rsidR="00335E79">
        <w:rPr>
          <w:noProof/>
        </w:rPr>
        <w:t>4</w:t>
      </w:r>
      <w:r>
        <w:fldChar w:fldCharType="end"/>
      </w:r>
      <w:r>
        <w:noBreakHyphen/>
      </w:r>
      <w:r>
        <w:fldChar w:fldCharType="begin"/>
      </w:r>
      <w:r>
        <w:instrText xml:space="preserve"> SEQ Figure \* ARABIC \s 1 </w:instrText>
      </w:r>
      <w:r>
        <w:fldChar w:fldCharType="separate"/>
      </w:r>
      <w:r w:rsidR="00951AFC">
        <w:rPr>
          <w:noProof/>
        </w:rPr>
        <w:t>1</w:t>
      </w:r>
      <w:r>
        <w:fldChar w:fldCharType="end"/>
      </w:r>
      <w:bookmarkEnd w:id="434"/>
      <w:r w:rsidRPr="00E6110F">
        <w:t xml:space="preserve"> General sorption isotherm representation, showing differences between linear (indicated as "K</w:t>
      </w:r>
      <w:r w:rsidRPr="00E6110F">
        <w:rPr>
          <w:vertAlign w:val="subscript"/>
        </w:rPr>
        <w:t>d</w:t>
      </w:r>
      <w:r w:rsidRPr="00E6110F">
        <w:t>" region) and non-linear sorption (indicated as "Freundlich" region), a transition period left of the precipitation threshold, and solute precipitation (indicated as "precipitation" region).  Vertical axis (C</w:t>
      </w:r>
      <w:r w:rsidRPr="00E6110F">
        <w:rPr>
          <w:vertAlign w:val="subscript"/>
        </w:rPr>
        <w:t>s</w:t>
      </w:r>
      <w:r w:rsidRPr="00E6110F">
        <w:t>) and horizontal axis (C</w:t>
      </w:r>
      <w:r w:rsidRPr="00E6110F">
        <w:rPr>
          <w:vertAlign w:val="subscript"/>
        </w:rPr>
        <w:t>l</w:t>
      </w:r>
      <w:r w:rsidRPr="00E6110F">
        <w:t>) are, respectively, the sorbed concentration (on solid phases) and the dissolved concentration (in the liquid phase). Source: Wang et al. (2009).</w:t>
      </w:r>
      <w:bookmarkEnd w:id="435"/>
    </w:p>
    <w:p w14:paraId="2BC20CD0" w14:textId="12AE1983" w:rsidR="009F35E6" w:rsidRDefault="009F35E6" w:rsidP="00A57ACD">
      <w:pPr>
        <w:pStyle w:val="Body"/>
      </w:pPr>
    </w:p>
    <w:p w14:paraId="74041E03" w14:textId="57C5365E" w:rsidR="0009548E" w:rsidRPr="00E6110F" w:rsidRDefault="00D55C93" w:rsidP="00A57ACD">
      <w:pPr>
        <w:pStyle w:val="Body"/>
      </w:pPr>
      <w:r>
        <w:t xml:space="preserve">The </w:t>
      </w:r>
      <w:proofErr w:type="gramStart"/>
      <w:r w:rsidRPr="00AD74B9">
        <w:rPr>
          <w:i/>
        </w:rPr>
        <w:t>K</w:t>
      </w:r>
      <w:r w:rsidRPr="00AD74B9">
        <w:rPr>
          <w:vertAlign w:val="subscript"/>
        </w:rPr>
        <w:t>d</w:t>
      </w:r>
      <w:proofErr w:type="gramEnd"/>
      <w:r>
        <w:t xml:space="preserve"> is used </w:t>
      </w:r>
      <w:r w:rsidR="0009548E" w:rsidRPr="00E6110F">
        <w:t>together with the rock bulk density</w:t>
      </w:r>
      <w:r w:rsidR="00142FE4" w:rsidRPr="00E6110F">
        <w:t>,</w:t>
      </w:r>
      <w:r w:rsidR="0009548E" w:rsidRPr="00E6110F">
        <w:t xml:space="preserve"> </w:t>
      </w:r>
      <w:r w:rsidR="0009548E" w:rsidRPr="00E6110F">
        <w:rPr>
          <w:i/>
        </w:rPr>
        <w:t>ρ</w:t>
      </w:r>
      <w:r w:rsidR="0009548E" w:rsidRPr="00E6110F">
        <w:rPr>
          <w:vertAlign w:val="subscript"/>
        </w:rPr>
        <w:t>b</w:t>
      </w:r>
      <w:r w:rsidR="00075E47" w:rsidRPr="00E6110F">
        <w:t xml:space="preserve"> (g/cm</w:t>
      </w:r>
      <w:r w:rsidR="00075E47" w:rsidRPr="00E6110F">
        <w:rPr>
          <w:vertAlign w:val="superscript"/>
        </w:rPr>
        <w:t>3</w:t>
      </w:r>
      <w:r w:rsidR="00075E47" w:rsidRPr="00E6110F">
        <w:t>),</w:t>
      </w:r>
      <w:r w:rsidR="00142FE4" w:rsidRPr="00E6110F">
        <w:t xml:space="preserve"> </w:t>
      </w:r>
      <w:r w:rsidR="0009548E" w:rsidRPr="00E6110F">
        <w:t>and porosity</w:t>
      </w:r>
      <w:r w:rsidR="00142FE4" w:rsidRPr="00E6110F">
        <w:t>,</w:t>
      </w:r>
      <w:r w:rsidR="0009548E" w:rsidRPr="00E6110F">
        <w:t xml:space="preserve"> </w:t>
      </w:r>
      <w:r w:rsidR="00142FE4" w:rsidRPr="00E6110F">
        <w:rPr>
          <w:i/>
        </w:rPr>
        <w:t>η</w:t>
      </w:r>
      <w:r w:rsidR="00075E47" w:rsidRPr="00E6110F">
        <w:t xml:space="preserve"> (cm</w:t>
      </w:r>
      <w:r w:rsidR="00075E47" w:rsidRPr="00E6110F">
        <w:rPr>
          <w:vertAlign w:val="superscript"/>
        </w:rPr>
        <w:t>3</w:t>
      </w:r>
      <w:r w:rsidR="00075E47" w:rsidRPr="00E6110F">
        <w:t>/cm</w:t>
      </w:r>
      <w:r w:rsidR="00075E47" w:rsidRPr="00E6110F">
        <w:rPr>
          <w:vertAlign w:val="superscript"/>
        </w:rPr>
        <w:t>3</w:t>
      </w:r>
      <w:r w:rsidR="00075E47" w:rsidRPr="00E6110F">
        <w:t>),</w:t>
      </w:r>
      <w:r w:rsidR="00142FE4" w:rsidRPr="00E6110F">
        <w:t xml:space="preserve"> </w:t>
      </w:r>
      <w:r w:rsidR="0009548E" w:rsidRPr="00E6110F">
        <w:t xml:space="preserve">to calculate the </w:t>
      </w:r>
      <w:r w:rsidR="00A57ACD" w:rsidRPr="00E6110F">
        <w:t>retardation coefficient</w:t>
      </w:r>
      <w:r w:rsidR="002C6BFE" w:rsidRPr="00E6110F">
        <w:t xml:space="preserve"> </w:t>
      </w:r>
      <w:r w:rsidR="007B3DC4" w:rsidRPr="00E6110F">
        <w:rPr>
          <w:i/>
        </w:rPr>
        <w:t>R</w:t>
      </w:r>
      <w:r w:rsidR="007B3DC4" w:rsidRPr="007B3DC4">
        <w:rPr>
          <w:i/>
          <w:vertAlign w:val="subscript"/>
        </w:rPr>
        <w:t>f</w:t>
      </w:r>
      <w:r w:rsidR="007B3DC4" w:rsidRPr="00E6110F">
        <w:t xml:space="preserve"> </w:t>
      </w:r>
      <w:r w:rsidR="00075E47" w:rsidRPr="00E6110F">
        <w:t>(dimensionless)</w:t>
      </w:r>
    </w:p>
    <w:p w14:paraId="3D353202" w14:textId="43A32C9F" w:rsidR="00142FE4" w:rsidRPr="00E6110F" w:rsidRDefault="00142FE4" w:rsidP="00142FE4">
      <w:pPr>
        <w:pStyle w:val="Body"/>
        <w:tabs>
          <w:tab w:val="center" w:pos="4253"/>
          <w:tab w:val="right" w:pos="8789"/>
        </w:tabs>
      </w:pPr>
      <w:r w:rsidRPr="00E6110F">
        <w:tab/>
      </w:r>
      <m:oMath>
        <m:sSub>
          <m:sSubPr>
            <m:ctrlPr>
              <w:rPr>
                <w:rFonts w:ascii="Cambria Math" w:hAnsi="Cambria Math"/>
                <w:i/>
              </w:rPr>
            </m:ctrlPr>
          </m:sSubPr>
          <m:e>
            <m:r>
              <w:rPr>
                <w:rFonts w:ascii="Cambria Math" w:hAnsi="Cambria Math"/>
              </w:rPr>
              <m:t>R</m:t>
            </m:r>
          </m:e>
          <m:sub>
            <m:r>
              <w:rPr>
                <w:rFonts w:ascii="Cambria Math" w:hAnsi="Cambria Math"/>
              </w:rPr>
              <m:t>f</m:t>
            </m:r>
          </m:sub>
        </m:sSub>
        <m:r>
          <w:rPr>
            <w:rFonts w:ascii="Cambria Math" w:hAns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b</m:t>
                </m:r>
              </m:sub>
            </m:sSub>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η</m:t>
            </m:r>
          </m:den>
        </m:f>
      </m:oMath>
      <w:r w:rsidRPr="00E6110F">
        <w:tab/>
        <w:t>(</w:t>
      </w:r>
      <w:r w:rsidR="008C6A38">
        <w:t>2</w:t>
      </w:r>
      <w:r w:rsidRPr="00E6110F">
        <w:t>)</w:t>
      </w:r>
    </w:p>
    <w:p w14:paraId="1AF429BD" w14:textId="4275653A" w:rsidR="00792495" w:rsidRPr="00E6110F" w:rsidRDefault="00792495" w:rsidP="00A57ACD">
      <w:pPr>
        <w:pStyle w:val="Body"/>
      </w:pPr>
      <w:r w:rsidRPr="00E6110F">
        <w:t xml:space="preserve">The retardation factor </w:t>
      </w:r>
      <w:r w:rsidRPr="00E6110F">
        <w:rPr>
          <w:i/>
        </w:rPr>
        <w:t>R</w:t>
      </w:r>
      <w:r w:rsidR="007B3DC4" w:rsidRPr="007B3DC4">
        <w:rPr>
          <w:i/>
          <w:vertAlign w:val="subscript"/>
        </w:rPr>
        <w:t>f</w:t>
      </w:r>
      <w:r w:rsidRPr="007B3DC4">
        <w:rPr>
          <w:vertAlign w:val="subscript"/>
        </w:rPr>
        <w:t xml:space="preserve"> </w:t>
      </w:r>
      <w:r w:rsidRPr="00E6110F">
        <w:t xml:space="preserve">defines the transport velocity of a retarded chemical relative to the transport velocity of a water molecule; for instance, a chemical substance with an </w:t>
      </w:r>
      <w:r w:rsidR="007B3DC4" w:rsidRPr="00E6110F">
        <w:rPr>
          <w:i/>
        </w:rPr>
        <w:t>R</w:t>
      </w:r>
      <w:r w:rsidR="007B3DC4" w:rsidRPr="007B3DC4">
        <w:rPr>
          <w:i/>
          <w:vertAlign w:val="subscript"/>
        </w:rPr>
        <w:t>f</w:t>
      </w:r>
      <w:r w:rsidR="007B3DC4" w:rsidRPr="00E6110F">
        <w:t xml:space="preserve"> </w:t>
      </w:r>
      <w:r w:rsidRPr="00E6110F">
        <w:t>value of 10 will have a ten times slower transport velocity than a water molecule.</w:t>
      </w:r>
    </w:p>
    <w:p w14:paraId="26870C2C" w14:textId="0B41FECB" w:rsidR="006C2CE1" w:rsidRPr="00E6110F" w:rsidRDefault="00792495" w:rsidP="00A57ACD">
      <w:pPr>
        <w:pStyle w:val="Body"/>
      </w:pPr>
      <w:r w:rsidRPr="00E6110F">
        <w:t>F</w:t>
      </w:r>
      <w:r w:rsidR="00A57ACD" w:rsidRPr="00E6110F">
        <w:t xml:space="preserve">or organic compounds </w:t>
      </w:r>
      <w:r w:rsidR="00E23A29" w:rsidRPr="00E6110F">
        <w:t xml:space="preserve">sorption and retardation </w:t>
      </w:r>
      <w:r w:rsidR="00A57ACD" w:rsidRPr="00E6110F">
        <w:t>will be determined from the fraction of organic carbon</w:t>
      </w:r>
      <w:r w:rsidR="006C2CE1" w:rsidRPr="00E6110F">
        <w:t xml:space="preserve">, </w:t>
      </w:r>
      <w:r w:rsidR="006C2CE1" w:rsidRPr="00E6110F">
        <w:rPr>
          <w:i/>
        </w:rPr>
        <w:t>f</w:t>
      </w:r>
      <w:r w:rsidR="006C2CE1" w:rsidRPr="00E6110F">
        <w:rPr>
          <w:vertAlign w:val="subscript"/>
        </w:rPr>
        <w:t>OC</w:t>
      </w:r>
      <w:r w:rsidR="00E242E2" w:rsidRPr="00E6110F">
        <w:t xml:space="preserve"> (g/g),</w:t>
      </w:r>
      <w:r w:rsidR="00A57ACD" w:rsidRPr="00E6110F">
        <w:t xml:space="preserve"> </w:t>
      </w:r>
      <w:r w:rsidR="00E23A29" w:rsidRPr="00E6110F">
        <w:t>within</w:t>
      </w:r>
      <w:r w:rsidR="00A57ACD" w:rsidRPr="00E6110F">
        <w:t xml:space="preserve"> geological formations </w:t>
      </w:r>
      <w:r w:rsidR="00E23A29" w:rsidRPr="00E6110F">
        <w:t xml:space="preserve">available to adsorb organic compounds </w:t>
      </w:r>
      <w:r w:rsidR="00A57ACD" w:rsidRPr="00E6110F">
        <w:t xml:space="preserve">and the organic carbon partition coefficient </w:t>
      </w:r>
      <w:r w:rsidR="00A57ACD" w:rsidRPr="00E6110F">
        <w:rPr>
          <w:i/>
        </w:rPr>
        <w:t>K</w:t>
      </w:r>
      <w:r w:rsidR="00A57ACD" w:rsidRPr="00E6110F">
        <w:rPr>
          <w:vertAlign w:val="subscript"/>
        </w:rPr>
        <w:t>OC</w:t>
      </w:r>
      <w:r w:rsidR="003A54AC" w:rsidRPr="00E6110F">
        <w:t xml:space="preserve"> (L/kg):</w:t>
      </w:r>
    </w:p>
    <w:p w14:paraId="10DB8592" w14:textId="394A8A2E" w:rsidR="00075E47" w:rsidRPr="00E6110F" w:rsidRDefault="00075E47" w:rsidP="00075E47">
      <w:pPr>
        <w:pStyle w:val="Body"/>
        <w:tabs>
          <w:tab w:val="center" w:pos="4253"/>
          <w:tab w:val="right" w:pos="8789"/>
        </w:tabs>
      </w:pPr>
      <w:r w:rsidRPr="00E6110F">
        <w:tab/>
      </w:r>
      <m:oMath>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OC</m:t>
            </m:r>
          </m:sub>
        </m:sSub>
        <m:sSub>
          <m:sSubPr>
            <m:ctrlPr>
              <w:rPr>
                <w:rFonts w:ascii="Cambria Math" w:hAnsi="Cambria Math"/>
                <w:i/>
              </w:rPr>
            </m:ctrlPr>
          </m:sSubPr>
          <m:e>
            <m:r>
              <w:rPr>
                <w:rFonts w:ascii="Cambria Math" w:hAnsi="Cambria Math"/>
              </w:rPr>
              <m:t>K</m:t>
            </m:r>
          </m:e>
          <m:sub>
            <m:r>
              <w:rPr>
                <w:rFonts w:ascii="Cambria Math" w:hAnsi="Cambria Math"/>
              </w:rPr>
              <m:t>OC</m:t>
            </m:r>
          </m:sub>
        </m:sSub>
      </m:oMath>
      <w:r w:rsidRPr="00E6110F">
        <w:tab/>
        <w:t>(</w:t>
      </w:r>
      <w:r w:rsidR="00EA72EE" w:rsidRPr="00E6110F">
        <w:t>3</w:t>
      </w:r>
      <w:r w:rsidRPr="00E6110F">
        <w:t>)</w:t>
      </w:r>
    </w:p>
    <w:p w14:paraId="16A355B1" w14:textId="224FA2CB" w:rsidR="00623CB1" w:rsidRPr="00E6110F" w:rsidRDefault="006C2CE1" w:rsidP="00A57ACD">
      <w:pPr>
        <w:pStyle w:val="Body"/>
      </w:pPr>
      <w:r w:rsidRPr="00E6110F">
        <w:t>W</w:t>
      </w:r>
      <w:r w:rsidR="002C6BFE" w:rsidRPr="00E6110F">
        <w:t>here</w:t>
      </w:r>
      <w:r w:rsidR="00A57ACD" w:rsidRPr="00E6110F">
        <w:t xml:space="preserve"> experimental values of </w:t>
      </w:r>
      <w:r w:rsidR="00A57ACD" w:rsidRPr="00E6110F">
        <w:rPr>
          <w:i/>
        </w:rPr>
        <w:t>K</w:t>
      </w:r>
      <w:r w:rsidR="00A57ACD" w:rsidRPr="00E6110F">
        <w:rPr>
          <w:vertAlign w:val="subscript"/>
        </w:rPr>
        <w:t>OC</w:t>
      </w:r>
      <w:r w:rsidR="00A57ACD" w:rsidRPr="00E6110F">
        <w:t xml:space="preserve"> </w:t>
      </w:r>
      <w:r w:rsidR="00623CB1" w:rsidRPr="00E6110F">
        <w:t>a</w:t>
      </w:r>
      <w:r w:rsidR="002C6BFE" w:rsidRPr="00E6110F">
        <w:t>re</w:t>
      </w:r>
      <w:r w:rsidR="00A57ACD" w:rsidRPr="00E6110F">
        <w:t xml:space="preserve"> not available, estimation methods based on the octanol-water partition coefficient </w:t>
      </w:r>
      <w:r w:rsidR="00A57ACD" w:rsidRPr="00E6110F">
        <w:rPr>
          <w:i/>
        </w:rPr>
        <w:t>K</w:t>
      </w:r>
      <w:r w:rsidR="00A57ACD" w:rsidRPr="00E6110F">
        <w:rPr>
          <w:vertAlign w:val="subscript"/>
        </w:rPr>
        <w:t>OW</w:t>
      </w:r>
      <w:r w:rsidR="00A57ACD" w:rsidRPr="00E6110F">
        <w:t xml:space="preserve"> </w:t>
      </w:r>
      <w:r w:rsidR="003A54AC" w:rsidRPr="00E6110F">
        <w:t xml:space="preserve">(L/kg) </w:t>
      </w:r>
      <w:r w:rsidR="002C6BFE" w:rsidRPr="00E6110F">
        <w:t>have been</w:t>
      </w:r>
      <w:r w:rsidR="00A57ACD" w:rsidRPr="00E6110F">
        <w:t xml:space="preserve"> used (e.g., using the US EPA EPI-Suite – US EPA 2012</w:t>
      </w:r>
      <w:r w:rsidR="00882A1B" w:rsidRPr="00E6110F">
        <w:t>b</w:t>
      </w:r>
      <w:r w:rsidR="00A57ACD" w:rsidRPr="00E6110F">
        <w:t xml:space="preserve">).  </w:t>
      </w:r>
    </w:p>
    <w:p w14:paraId="176A3687" w14:textId="059B6545" w:rsidR="00A57ACD" w:rsidRPr="00E6110F" w:rsidRDefault="00A57ACD" w:rsidP="00A57ACD">
      <w:pPr>
        <w:pStyle w:val="Body"/>
      </w:pPr>
      <w:r w:rsidRPr="00E6110F">
        <w:t xml:space="preserve">Alternative strategies </w:t>
      </w:r>
      <w:r w:rsidR="000A4AB6" w:rsidRPr="00E6110F">
        <w:t xml:space="preserve">have </w:t>
      </w:r>
      <w:r w:rsidRPr="00E6110F">
        <w:t>be</w:t>
      </w:r>
      <w:r w:rsidR="000A4AB6" w:rsidRPr="00E6110F">
        <w:t>en</w:t>
      </w:r>
      <w:r w:rsidRPr="00E6110F">
        <w:t xml:space="preserve"> developed for inorganic chemicals</w:t>
      </w:r>
      <w:r w:rsidR="008F636E" w:rsidRPr="00E6110F">
        <w:t xml:space="preserve"> (section </w:t>
      </w:r>
      <w:r w:rsidR="008F636E" w:rsidRPr="00E6110F">
        <w:fldChar w:fldCharType="begin" w:fldLock="1"/>
      </w:r>
      <w:r w:rsidR="008F636E" w:rsidRPr="00E6110F">
        <w:instrText xml:space="preserve"> REF _Ref452833606 \r \h </w:instrText>
      </w:r>
      <w:r w:rsidR="00AB0783" w:rsidRPr="00E6110F">
        <w:instrText xml:space="preserve"> \* MERGEFORMAT </w:instrText>
      </w:r>
      <w:r w:rsidR="008F636E" w:rsidRPr="00E6110F">
        <w:fldChar w:fldCharType="separate"/>
      </w:r>
      <w:r w:rsidR="00335E79">
        <w:t>4.4</w:t>
      </w:r>
      <w:r w:rsidR="008F636E" w:rsidRPr="00E6110F">
        <w:fldChar w:fldCharType="end"/>
      </w:r>
      <w:r w:rsidR="008F636E" w:rsidRPr="00E6110F">
        <w:t>)</w:t>
      </w:r>
      <w:r w:rsidRPr="00E6110F">
        <w:t xml:space="preserve">. Possible interactions with geogenic components </w:t>
      </w:r>
      <w:r w:rsidR="000A4AB6" w:rsidRPr="00E6110F">
        <w:t>have</w:t>
      </w:r>
      <w:r w:rsidRPr="00E6110F">
        <w:t xml:space="preserve"> be</w:t>
      </w:r>
      <w:r w:rsidR="000A4AB6" w:rsidRPr="00E6110F">
        <w:t>en</w:t>
      </w:r>
      <w:r w:rsidRPr="00E6110F">
        <w:t xml:space="preserve"> explored, as the hydrochemical background conditions may affect mobility and persistence.</w:t>
      </w:r>
    </w:p>
    <w:p w14:paraId="60BA870C" w14:textId="027C6FA3" w:rsidR="00A57ACD" w:rsidRPr="00E6110F" w:rsidRDefault="00A57ACD" w:rsidP="00EE595F">
      <w:pPr>
        <w:pStyle w:val="Body"/>
      </w:pPr>
      <w:r w:rsidRPr="00E6110F">
        <w:t>Given the extreme conditions of temperature</w:t>
      </w:r>
      <w:r w:rsidR="006F28D5" w:rsidRPr="00E6110F">
        <w:t>, pressure</w:t>
      </w:r>
      <w:r w:rsidRPr="00E6110F">
        <w:t xml:space="preserve"> and redox, auxiliary determinations </w:t>
      </w:r>
      <w:r w:rsidR="006F28D5" w:rsidRPr="00E6110F">
        <w:t>have been explored</w:t>
      </w:r>
      <w:r w:rsidRPr="00E6110F">
        <w:t xml:space="preserve"> to establish </w:t>
      </w:r>
      <w:r w:rsidR="006F28D5" w:rsidRPr="00E6110F">
        <w:t>any potential</w:t>
      </w:r>
      <w:r w:rsidRPr="00E6110F">
        <w:t xml:space="preserve"> temperature</w:t>
      </w:r>
      <w:r w:rsidR="006F28D5" w:rsidRPr="00E6110F">
        <w:t>, pressure</w:t>
      </w:r>
      <w:r w:rsidRPr="00E6110F">
        <w:t xml:space="preserve"> and redox effects on chemical persistence and mobility</w:t>
      </w:r>
      <w:r w:rsidR="006F28D5" w:rsidRPr="00E6110F">
        <w:t xml:space="preserve"> (</w:t>
      </w:r>
      <w:r w:rsidR="00AF176B">
        <w:t>S</w:t>
      </w:r>
      <w:r w:rsidR="006F28D5" w:rsidRPr="00E6110F">
        <w:t>ection</w:t>
      </w:r>
      <w:r w:rsidR="00AF176B">
        <w:t>s</w:t>
      </w:r>
      <w:r w:rsidR="006F28D5" w:rsidRPr="00E6110F">
        <w:t xml:space="preserve"> </w:t>
      </w:r>
      <w:r w:rsidR="006F28D5" w:rsidRPr="00E6110F">
        <w:fldChar w:fldCharType="begin" w:fldLock="1"/>
      </w:r>
      <w:r w:rsidR="006F28D5" w:rsidRPr="00E6110F">
        <w:instrText xml:space="preserve"> REF _Ref446954676 \r \h </w:instrText>
      </w:r>
      <w:r w:rsidR="00AB0783" w:rsidRPr="00E6110F">
        <w:instrText xml:space="preserve"> \* MERGEFORMAT </w:instrText>
      </w:r>
      <w:r w:rsidR="006F28D5" w:rsidRPr="00E6110F">
        <w:fldChar w:fldCharType="separate"/>
      </w:r>
      <w:r w:rsidR="00335E79">
        <w:t>4.1.1.2</w:t>
      </w:r>
      <w:r w:rsidR="006F28D5" w:rsidRPr="00E6110F">
        <w:fldChar w:fldCharType="end"/>
      </w:r>
      <w:r w:rsidR="000130B3">
        <w:t xml:space="preserve"> and </w:t>
      </w:r>
      <w:r w:rsidR="000130B3">
        <w:fldChar w:fldCharType="begin" w:fldLock="1"/>
      </w:r>
      <w:r w:rsidR="000130B3">
        <w:instrText xml:space="preserve"> REF _Ref458344344 \r \h </w:instrText>
      </w:r>
      <w:r w:rsidR="000130B3">
        <w:fldChar w:fldCharType="separate"/>
      </w:r>
      <w:r w:rsidR="00335E79">
        <w:t>4.1.4</w:t>
      </w:r>
      <w:r w:rsidR="000130B3">
        <w:fldChar w:fldCharType="end"/>
      </w:r>
      <w:r w:rsidR="006F28D5" w:rsidRPr="00E6110F">
        <w:t>)</w:t>
      </w:r>
      <w:r w:rsidRPr="00E6110F">
        <w:t>.</w:t>
      </w:r>
    </w:p>
    <w:p w14:paraId="4F52C6D2" w14:textId="3CBD85A5" w:rsidR="007B0BE4" w:rsidRPr="00E6110F" w:rsidRDefault="007B0BE4" w:rsidP="00937CCA">
      <w:pPr>
        <w:pStyle w:val="Heading3"/>
      </w:pPr>
      <w:bookmarkStart w:id="436" w:name="_Ref470782316"/>
      <w:bookmarkStart w:id="437" w:name="_Toc494444572"/>
      <w:r w:rsidRPr="00E6110F">
        <w:t xml:space="preserve">Defining the </w:t>
      </w:r>
      <w:r w:rsidR="00F6676D" w:rsidRPr="00E6110F">
        <w:t>hydro</w:t>
      </w:r>
      <w:r w:rsidRPr="00E6110F">
        <w:t>chemical conditions of deep groundwater</w:t>
      </w:r>
      <w:r w:rsidR="00FF6469" w:rsidRPr="00E6110F">
        <w:t>: Gunnedah Basin</w:t>
      </w:r>
      <w:bookmarkEnd w:id="436"/>
      <w:bookmarkEnd w:id="437"/>
    </w:p>
    <w:p w14:paraId="754FB6EA" w14:textId="0E29227A" w:rsidR="00916F1F" w:rsidRPr="00E6110F" w:rsidRDefault="00916F1F" w:rsidP="00916F1F">
      <w:pPr>
        <w:pStyle w:val="Heading3"/>
        <w:numPr>
          <w:ilvl w:val="3"/>
          <w:numId w:val="1"/>
        </w:numPr>
      </w:pPr>
      <w:bookmarkStart w:id="438" w:name="_Toc494444573"/>
      <w:r w:rsidRPr="00E6110F">
        <w:t xml:space="preserve">General </w:t>
      </w:r>
      <w:proofErr w:type="gramStart"/>
      <w:r w:rsidRPr="00E6110F">
        <w:t>hydrochemical</w:t>
      </w:r>
      <w:proofErr w:type="gramEnd"/>
      <w:r w:rsidRPr="00E6110F">
        <w:t xml:space="preserve"> parameters</w:t>
      </w:r>
      <w:bookmarkEnd w:id="438"/>
    </w:p>
    <w:p w14:paraId="35D79EEA" w14:textId="4AA38C73" w:rsidR="00F6676D" w:rsidRPr="00E6110F" w:rsidRDefault="00863143" w:rsidP="00863143">
      <w:pPr>
        <w:pStyle w:val="Body"/>
      </w:pPr>
      <w:r w:rsidRPr="00E6110F">
        <w:t>Hydrochemical conditions were estimated for the main groundwater formations that are likely contributing to transport of hydraulic fracturing substances or geogenics. A summary of parameters based on a compilation of literature data is provided in</w:t>
      </w:r>
      <w:r w:rsidR="009B676B" w:rsidRPr="00E6110F">
        <w:t xml:space="preserve"> </w:t>
      </w:r>
      <w:r w:rsidR="009B676B" w:rsidRPr="00E6110F">
        <w:fldChar w:fldCharType="begin" w:fldLock="1"/>
      </w:r>
      <w:r w:rsidR="009B676B" w:rsidRPr="00E6110F">
        <w:instrText xml:space="preserve"> REF _Ref452898998 \h </w:instrText>
      </w:r>
      <w:r w:rsidR="00AB0783" w:rsidRPr="00E6110F">
        <w:instrText xml:space="preserve"> \* MERGEFORMAT </w:instrText>
      </w:r>
      <w:r w:rsidR="009B676B" w:rsidRPr="00E6110F">
        <w:fldChar w:fldCharType="separate"/>
      </w:r>
      <w:r w:rsidR="00335E79" w:rsidRPr="00E6110F">
        <w:t xml:space="preserve">Table </w:t>
      </w:r>
      <w:r w:rsidR="00335E79">
        <w:rPr>
          <w:noProof/>
        </w:rPr>
        <w:t>4</w:t>
      </w:r>
      <w:r w:rsidR="00335E79">
        <w:rPr>
          <w:noProof/>
        </w:rPr>
        <w:noBreakHyphen/>
        <w:t>1</w:t>
      </w:r>
      <w:r w:rsidR="009B676B" w:rsidRPr="00E6110F">
        <w:fldChar w:fldCharType="end"/>
      </w:r>
      <w:r w:rsidRPr="00E6110F">
        <w:t xml:space="preserve">. </w:t>
      </w:r>
      <w:r w:rsidR="005D49FD" w:rsidRPr="00E6110F">
        <w:t xml:space="preserve">Most of the data </w:t>
      </w:r>
      <w:r w:rsidR="00AF176B">
        <w:t xml:space="preserve">are </w:t>
      </w:r>
      <w:r w:rsidR="005D49FD" w:rsidRPr="00E6110F">
        <w:t xml:space="preserve">from CDM Smith (2014), unless otherwise indicated. </w:t>
      </w:r>
      <w:r w:rsidRPr="00E6110F">
        <w:t>Further details about the assumptions behind the parameter values are discussed here.</w:t>
      </w:r>
    </w:p>
    <w:p w14:paraId="32859B92" w14:textId="77777777" w:rsidR="0007085E" w:rsidRPr="00E6110F" w:rsidRDefault="00CC4E96" w:rsidP="00C552E1">
      <w:pPr>
        <w:pStyle w:val="Body"/>
      </w:pPr>
      <w:r w:rsidRPr="00E6110F">
        <w:rPr>
          <w:u w:val="single"/>
        </w:rPr>
        <w:t>Namoi alluvium</w:t>
      </w:r>
      <w:r w:rsidRPr="00E6110F">
        <w:t>:</w:t>
      </w:r>
      <w:r w:rsidR="00C552E1" w:rsidRPr="00E6110F">
        <w:t xml:space="preserve"> </w:t>
      </w:r>
    </w:p>
    <w:p w14:paraId="54C6127F" w14:textId="1D2D7266" w:rsidR="007F53D3" w:rsidRPr="00E6110F" w:rsidRDefault="005D49FD" w:rsidP="00C117A3">
      <w:pPr>
        <w:pStyle w:val="Body"/>
        <w:numPr>
          <w:ilvl w:val="0"/>
          <w:numId w:val="40"/>
        </w:numPr>
      </w:pPr>
      <w:r w:rsidRPr="00E6110F">
        <w:t xml:space="preserve">The fraction of organic carbon </w:t>
      </w:r>
      <w:r w:rsidR="00F934E7" w:rsidRPr="00E6110F">
        <w:t>(</w:t>
      </w:r>
      <w:r w:rsidR="00AF176B" w:rsidRPr="00A63DFB">
        <w:rPr>
          <w:i/>
        </w:rPr>
        <w:t>f</w:t>
      </w:r>
      <w:r w:rsidR="00F934E7" w:rsidRPr="00A63DFB">
        <w:rPr>
          <w:vertAlign w:val="subscript"/>
        </w:rPr>
        <w:t>OC</w:t>
      </w:r>
      <w:r w:rsidR="00F934E7" w:rsidRPr="00E6110F">
        <w:t xml:space="preserve">) </w:t>
      </w:r>
      <w:r w:rsidRPr="00E6110F">
        <w:t>available for sorption was estimated as follows. Assume s</w:t>
      </w:r>
      <w:r w:rsidR="0014309C" w:rsidRPr="00E6110F">
        <w:t xml:space="preserve">oil </w:t>
      </w:r>
      <w:r w:rsidRPr="00E6110F">
        <w:t>organic c</w:t>
      </w:r>
      <w:r w:rsidR="0014309C" w:rsidRPr="00E6110F">
        <w:t xml:space="preserve">arbon </w:t>
      </w:r>
      <w:r w:rsidRPr="00E6110F">
        <w:t xml:space="preserve">equal to </w:t>
      </w:r>
      <w:r w:rsidR="0014309C" w:rsidRPr="00E6110F">
        <w:t>1-2% (</w:t>
      </w:r>
      <w:r w:rsidR="00F934E7" w:rsidRPr="00E6110F">
        <w:t xml:space="preserve">Ward 1999, </w:t>
      </w:r>
      <w:r w:rsidR="0014309C" w:rsidRPr="00E6110F">
        <w:t xml:space="preserve">Table 14). Assume 1% OC in </w:t>
      </w:r>
      <w:r w:rsidR="007F53D3" w:rsidRPr="00E6110F">
        <w:t>the soil surface layer, while</w:t>
      </w:r>
      <w:r w:rsidR="0014309C" w:rsidRPr="00E6110F">
        <w:t xml:space="preserve"> at </w:t>
      </w:r>
      <w:r w:rsidR="007F53D3" w:rsidRPr="00E6110F">
        <w:t xml:space="preserve">a </w:t>
      </w:r>
      <w:r w:rsidR="0014309C" w:rsidRPr="00E6110F">
        <w:t xml:space="preserve">depth of 1 m </w:t>
      </w:r>
      <w:r w:rsidR="007F53D3" w:rsidRPr="00E6110F">
        <w:t>only</w:t>
      </w:r>
      <w:r w:rsidR="0014309C" w:rsidRPr="00E6110F">
        <w:t xml:space="preserve"> </w:t>
      </w:r>
      <w:r w:rsidR="00D03F76" w:rsidRPr="00E6110F">
        <w:t xml:space="preserve">10% of surface </w:t>
      </w:r>
      <w:r w:rsidR="007F53D3" w:rsidRPr="00E6110F">
        <w:t xml:space="preserve">amount remains </w:t>
      </w:r>
      <w:r w:rsidR="00D03F76" w:rsidRPr="00E6110F">
        <w:t>(i.e. %OC = 0.1)</w:t>
      </w:r>
      <w:r w:rsidR="007F53D3" w:rsidRPr="00E6110F">
        <w:t xml:space="preserve">. The 0.1% </w:t>
      </w:r>
      <w:r w:rsidR="00D87C55" w:rsidRPr="00E6110F">
        <w:t xml:space="preserve">(or </w:t>
      </w:r>
      <w:r w:rsidR="00D87C55" w:rsidRPr="00E6110F">
        <w:rPr>
          <w:i/>
        </w:rPr>
        <w:t>f</w:t>
      </w:r>
      <w:r w:rsidR="00D87C55" w:rsidRPr="00E6110F">
        <w:rPr>
          <w:vertAlign w:val="subscript"/>
        </w:rPr>
        <w:t>OC</w:t>
      </w:r>
      <w:r w:rsidR="00D87C55" w:rsidRPr="00E6110F">
        <w:t xml:space="preserve"> = 0.001 g/g) </w:t>
      </w:r>
      <w:r w:rsidR="007F53D3" w:rsidRPr="00E6110F">
        <w:t>is then considered constant with depth.</w:t>
      </w:r>
    </w:p>
    <w:p w14:paraId="05165616" w14:textId="2D7927CC" w:rsidR="005D49FD" w:rsidRPr="00E6110F" w:rsidRDefault="0014309C" w:rsidP="00C117A3">
      <w:pPr>
        <w:pStyle w:val="Body"/>
        <w:numPr>
          <w:ilvl w:val="0"/>
          <w:numId w:val="40"/>
        </w:numPr>
      </w:pPr>
      <w:r w:rsidRPr="00E6110F">
        <w:t>Sand = quartz, therefore same assumptions as sa</w:t>
      </w:r>
      <w:r w:rsidR="00D03F76" w:rsidRPr="00E6110F">
        <w:t xml:space="preserve">ndstone (i.e. minimal sorption); </w:t>
      </w:r>
      <w:r w:rsidRPr="00E6110F">
        <w:t>Gravel may have basalt – some iron/ Al oxides and smec</w:t>
      </w:r>
      <w:r w:rsidR="00D03F76" w:rsidRPr="00E6110F">
        <w:t xml:space="preserve">tite; </w:t>
      </w:r>
      <w:r w:rsidRPr="00E6110F">
        <w:t>Alluvial plains soils (mean 44% clay)</w:t>
      </w:r>
      <w:r w:rsidR="00D03F76" w:rsidRPr="00E6110F">
        <w:t xml:space="preserve">; </w:t>
      </w:r>
      <w:r w:rsidRPr="00E6110F">
        <w:t>Clays in some soil is about 25% from basalt and 8-10% from sandstone parent materials</w:t>
      </w:r>
      <w:r w:rsidR="00093360">
        <w:t>.</w:t>
      </w:r>
      <w:r w:rsidR="005D49FD" w:rsidRPr="00E6110F">
        <w:t xml:space="preserve"> </w:t>
      </w:r>
    </w:p>
    <w:p w14:paraId="2B3DAA54" w14:textId="44F13C45" w:rsidR="005D49FD" w:rsidRPr="00E6110F" w:rsidRDefault="005D49FD" w:rsidP="00C117A3">
      <w:pPr>
        <w:pStyle w:val="Body"/>
        <w:numPr>
          <w:ilvl w:val="0"/>
          <w:numId w:val="40"/>
        </w:numPr>
      </w:pPr>
      <w:r w:rsidRPr="00E6110F">
        <w:t xml:space="preserve">Redox potential measurements in Narrabri and Gunnedah Formation groundwater bores were positive (median values of respectively 92 and 109 mV) (NSW Office of Water 2011). </w:t>
      </w:r>
    </w:p>
    <w:p w14:paraId="50134518" w14:textId="77777777" w:rsidR="0007085E" w:rsidRPr="00E6110F" w:rsidRDefault="0014309C" w:rsidP="00C552E1">
      <w:pPr>
        <w:pStyle w:val="Body"/>
      </w:pPr>
      <w:r w:rsidRPr="00E6110F">
        <w:rPr>
          <w:u w:val="single"/>
        </w:rPr>
        <w:t>Pilliga sandstone</w:t>
      </w:r>
      <w:r w:rsidRPr="00E6110F">
        <w:t>:</w:t>
      </w:r>
      <w:r w:rsidR="00D03F76" w:rsidRPr="00E6110F">
        <w:t xml:space="preserve"> </w:t>
      </w:r>
    </w:p>
    <w:p w14:paraId="6A22083F" w14:textId="68975AC8" w:rsidR="00C552E1" w:rsidRPr="00E6110F" w:rsidRDefault="00D03F76" w:rsidP="00C117A3">
      <w:pPr>
        <w:pStyle w:val="Body"/>
        <w:numPr>
          <w:ilvl w:val="0"/>
          <w:numId w:val="41"/>
        </w:numPr>
      </w:pPr>
      <w:r w:rsidRPr="00E6110F">
        <w:t>Small amount of carbon is likely to be in carbonate form (Zheng et al</w:t>
      </w:r>
      <w:r w:rsidR="00F41F01" w:rsidRPr="00E6110F">
        <w:t>.</w:t>
      </w:r>
      <w:r w:rsidRPr="00E6110F">
        <w:t xml:space="preserve"> 2015)</w:t>
      </w:r>
      <w:r w:rsidR="00A93F5D" w:rsidRPr="00E6110F">
        <w:t>,</w:t>
      </w:r>
      <w:r w:rsidRPr="00E6110F">
        <w:t xml:space="preserve"> therefore assume little contribution of OC. Dominant constituents are quartz (~50%), Feldspar (~35%), Mica (~10%), chlorite and montmorillonite (1%)</w:t>
      </w:r>
      <w:r w:rsidR="00A93F5D" w:rsidRPr="00E6110F">
        <w:t>.</w:t>
      </w:r>
      <w:r w:rsidRPr="00E6110F">
        <w:t xml:space="preserve"> The most substantial proportion of reactive clay is mica. Higher sorption </w:t>
      </w:r>
      <w:r w:rsidR="00A93F5D" w:rsidRPr="00E6110F">
        <w:t xml:space="preserve">occurs </w:t>
      </w:r>
      <w:r w:rsidRPr="00E6110F">
        <w:t>on low charge density clays with low hydration cations (Boyd et al. 2011)</w:t>
      </w:r>
      <w:r w:rsidR="00A93F5D" w:rsidRPr="00E6110F">
        <w:t>, where</w:t>
      </w:r>
      <w:r w:rsidRPr="00E6110F">
        <w:t xml:space="preserve"> Ca and Na hydration radii could limit sorption</w:t>
      </w:r>
      <w:r w:rsidR="00A93F5D" w:rsidRPr="00E6110F">
        <w:t xml:space="preserve">. </w:t>
      </w:r>
      <w:r w:rsidRPr="00E6110F">
        <w:t xml:space="preserve">Nitroaromatics </w:t>
      </w:r>
      <w:r w:rsidR="00A93F5D" w:rsidRPr="00E6110F">
        <w:t xml:space="preserve">are </w:t>
      </w:r>
      <w:r w:rsidRPr="00E6110F">
        <w:t>strongly adsorbed by smectites (e.g. Handerlein and Schwerzenbach 1993)</w:t>
      </w:r>
      <w:r w:rsidR="00A93F5D" w:rsidRPr="00E6110F">
        <w:t>,</w:t>
      </w:r>
      <w:r w:rsidRPr="00E6110F">
        <w:t xml:space="preserve"> but its content is low</w:t>
      </w:r>
      <w:r w:rsidR="00A93F5D" w:rsidRPr="00E6110F">
        <w:t>.</w:t>
      </w:r>
      <w:r w:rsidR="00F41F01" w:rsidRPr="00E6110F">
        <w:t xml:space="preserve"> </w:t>
      </w:r>
      <w:r w:rsidR="00A93F5D" w:rsidRPr="00E6110F">
        <w:t>Boyd et al. (2011) s</w:t>
      </w:r>
      <w:r w:rsidRPr="00E6110F">
        <w:t>uggest</w:t>
      </w:r>
      <w:r w:rsidR="00A93F5D" w:rsidRPr="00E6110F">
        <w:t>s</w:t>
      </w:r>
      <w:r w:rsidRPr="00E6110F">
        <w:t xml:space="preserve"> complex formation with cations</w:t>
      </w:r>
      <w:r w:rsidR="00C552E1" w:rsidRPr="00E6110F">
        <w:t xml:space="preserve">. The above two </w:t>
      </w:r>
      <w:r w:rsidR="00A93F5D" w:rsidRPr="00E6110F">
        <w:t xml:space="preserve">processes </w:t>
      </w:r>
      <w:r w:rsidR="00C552E1" w:rsidRPr="00E6110F">
        <w:t>could compensate for each other. HM</w:t>
      </w:r>
      <w:r w:rsidR="00A93F5D" w:rsidRPr="00E6110F">
        <w:t>X has similar properties to RDX</w:t>
      </w:r>
      <w:r w:rsidR="00C552E1" w:rsidRPr="00E6110F">
        <w:t xml:space="preserve">; Jarramillo et al. </w:t>
      </w:r>
      <w:r w:rsidR="00A93F5D" w:rsidRPr="00E6110F">
        <w:t>(</w:t>
      </w:r>
      <w:r w:rsidR="00C552E1" w:rsidRPr="00E6110F">
        <w:t>2011</w:t>
      </w:r>
      <w:r w:rsidR="00A93F5D" w:rsidRPr="00E6110F">
        <w:t>)</w:t>
      </w:r>
      <w:r w:rsidR="00C552E1" w:rsidRPr="00E6110F">
        <w:t xml:space="preserve"> suggest no sorption of HMX on mica and quartz.</w:t>
      </w:r>
    </w:p>
    <w:p w14:paraId="39363D49" w14:textId="77777777" w:rsidR="0007085E" w:rsidRPr="00E6110F" w:rsidRDefault="00C552E1" w:rsidP="00C552E1">
      <w:pPr>
        <w:pStyle w:val="Body"/>
      </w:pPr>
      <w:r w:rsidRPr="00E6110F">
        <w:rPr>
          <w:u w:val="single"/>
        </w:rPr>
        <w:t>Blythesdale Group</w:t>
      </w:r>
      <w:r w:rsidRPr="00E6110F">
        <w:t xml:space="preserve">: </w:t>
      </w:r>
    </w:p>
    <w:p w14:paraId="16BEF7C4" w14:textId="7AE6DD55" w:rsidR="00285673" w:rsidRPr="00E6110F" w:rsidRDefault="00285673" w:rsidP="00C117A3">
      <w:pPr>
        <w:pStyle w:val="Body"/>
        <w:numPr>
          <w:ilvl w:val="0"/>
          <w:numId w:val="41"/>
        </w:numPr>
        <w:rPr>
          <w:lang w:val="en-AU"/>
        </w:rPr>
      </w:pPr>
      <w:r w:rsidRPr="00E6110F">
        <w:rPr>
          <w:lang w:val="en-AU"/>
        </w:rPr>
        <w:t xml:space="preserve">Blythesdale Group—composed of the Orallo Formation, Mooga Sandstone and Bungil Formation—contain predominantly fine grained sediments that are considered to be </w:t>
      </w:r>
      <w:r w:rsidR="008B6D81" w:rsidRPr="00E6110F">
        <w:rPr>
          <w:lang w:val="en-AU"/>
        </w:rPr>
        <w:t>n</w:t>
      </w:r>
      <w:r w:rsidR="0063080E" w:rsidRPr="00E6110F">
        <w:rPr>
          <w:lang w:val="en-AU"/>
        </w:rPr>
        <w:t xml:space="preserve">egligibly </w:t>
      </w:r>
      <w:r w:rsidR="008B6D81" w:rsidRPr="00E6110F">
        <w:rPr>
          <w:lang w:val="en-AU"/>
        </w:rPr>
        <w:t>transmissive units</w:t>
      </w:r>
      <w:r w:rsidR="0063080E" w:rsidRPr="00E6110F">
        <w:rPr>
          <w:lang w:val="en-AU"/>
        </w:rPr>
        <w:t xml:space="preserve"> (CDM Smith 2014)</w:t>
      </w:r>
      <w:r w:rsidR="008B6D81" w:rsidRPr="00E6110F">
        <w:rPr>
          <w:lang w:val="en-AU"/>
        </w:rPr>
        <w:t>.</w:t>
      </w:r>
    </w:p>
    <w:p w14:paraId="746CEB64" w14:textId="77777777" w:rsidR="008B6D81" w:rsidRPr="00E6110F" w:rsidRDefault="008B6D81" w:rsidP="00C117A3">
      <w:pPr>
        <w:pStyle w:val="Body"/>
        <w:numPr>
          <w:ilvl w:val="0"/>
          <w:numId w:val="41"/>
        </w:numPr>
        <w:rPr>
          <w:lang w:val="en-AU"/>
        </w:rPr>
      </w:pPr>
      <w:r w:rsidRPr="00E6110F">
        <w:rPr>
          <w:lang w:val="en-AU"/>
        </w:rPr>
        <w:t>Lithology is clayey to quartzose sandstone, subordinate siltstone and conglomerate. For the purpose of assigning hydrochemical parameters, Blythesdale Group is considered similar to Pilliga Sandstone</w:t>
      </w:r>
      <w:r w:rsidR="00C552E1" w:rsidRPr="00E6110F">
        <w:rPr>
          <w:lang w:val="en-AU"/>
        </w:rPr>
        <w:t xml:space="preserve">. </w:t>
      </w:r>
    </w:p>
    <w:p w14:paraId="67672406" w14:textId="1BF88365" w:rsidR="0014309C" w:rsidRPr="00E6110F" w:rsidRDefault="00C552E1" w:rsidP="00C117A3">
      <w:pPr>
        <w:pStyle w:val="Body"/>
        <w:numPr>
          <w:ilvl w:val="0"/>
          <w:numId w:val="41"/>
        </w:numPr>
        <w:rPr>
          <w:lang w:val="en-AU"/>
        </w:rPr>
      </w:pPr>
      <w:r w:rsidRPr="00E6110F">
        <w:rPr>
          <w:lang w:val="en-AU"/>
        </w:rPr>
        <w:t>Shales and siltstone will have some organic carbon; average for all shale 0.8 % TOC; assume 10% shale in the formation (i.e. %OC = 0.08)</w:t>
      </w:r>
      <w:r w:rsidR="003A2D12" w:rsidRPr="00E6110F">
        <w:rPr>
          <w:lang w:val="en-AU"/>
        </w:rPr>
        <w:t>.</w:t>
      </w:r>
    </w:p>
    <w:p w14:paraId="673E94F2" w14:textId="6345CBA8" w:rsidR="006E4E1D" w:rsidRPr="00E6110F" w:rsidRDefault="00C552E1" w:rsidP="00ED0360">
      <w:pPr>
        <w:pStyle w:val="Body"/>
      </w:pPr>
      <w:r w:rsidRPr="00E6110F">
        <w:rPr>
          <w:u w:val="single"/>
        </w:rPr>
        <w:t>Hoskisson se</w:t>
      </w:r>
      <w:r w:rsidR="00676490" w:rsidRPr="00E6110F">
        <w:rPr>
          <w:u w:val="single"/>
        </w:rPr>
        <w:t>am</w:t>
      </w:r>
      <w:r w:rsidRPr="00E6110F">
        <w:t xml:space="preserve">: </w:t>
      </w:r>
    </w:p>
    <w:p w14:paraId="40EAF870" w14:textId="602D0511" w:rsidR="00ED0360" w:rsidRPr="00E6110F" w:rsidRDefault="00C552E1" w:rsidP="00C117A3">
      <w:pPr>
        <w:pStyle w:val="Body"/>
        <w:numPr>
          <w:ilvl w:val="0"/>
          <w:numId w:val="42"/>
        </w:numPr>
      </w:pPr>
      <w:r w:rsidRPr="00E6110F">
        <w:t>C content in bituminous coal = 65-80%, anthrac</w:t>
      </w:r>
      <w:r w:rsidR="00FA3C17">
        <w:t>ite = 85-95% and lignite 55-70%</w:t>
      </w:r>
      <w:r w:rsidRPr="00E6110F">
        <w:t xml:space="preserve"> (Simane et al. 2016)</w:t>
      </w:r>
      <w:r w:rsidR="00FA3C17">
        <w:t>.</w:t>
      </w:r>
      <w:r w:rsidRPr="00E6110F">
        <w:t xml:space="preserve"> Assume </w:t>
      </w:r>
      <w:r w:rsidR="00FA3C17">
        <w:t>C content is</w:t>
      </w:r>
      <w:r w:rsidRPr="00E6110F">
        <w:t xml:space="preserve"> 75% as an average or 55% as a conservative value (not all C will participate in sorption due to diffusion limited kinetics</w:t>
      </w:r>
      <w:r w:rsidR="008D0523">
        <w:t>, a process where sorption or uptake is time-dependent and generally slow,</w:t>
      </w:r>
      <w:r w:rsidRPr="00E6110F">
        <w:t xml:space="preserve"> </w:t>
      </w:r>
      <w:r w:rsidR="008D0523">
        <w:t>hence sorption will</w:t>
      </w:r>
      <w:r w:rsidRPr="00E6110F">
        <w:t xml:space="preserve"> depend on residence time and flow conditions). Due to coals </w:t>
      </w:r>
      <w:r w:rsidR="00593717">
        <w:t>generally having surface areas</w:t>
      </w:r>
      <w:r w:rsidR="00F579FC">
        <w:rPr>
          <w:rFonts w:ascii="ZWAdobeF" w:hAnsi="ZWAdobeF" w:cs="ZWAdobeF"/>
          <w:color w:val="auto"/>
          <w:sz w:val="2"/>
          <w:szCs w:val="2"/>
        </w:rPr>
        <w:t>16F</w:t>
      </w:r>
      <w:r w:rsidR="00593717">
        <w:rPr>
          <w:rStyle w:val="FootnoteReference"/>
        </w:rPr>
        <w:footnoteReference w:id="15"/>
      </w:r>
      <w:r w:rsidR="00593717">
        <w:t xml:space="preserve"> around </w:t>
      </w:r>
      <w:r w:rsidRPr="00E6110F">
        <w:t>200 m</w:t>
      </w:r>
      <w:r w:rsidRPr="00E6110F">
        <w:rPr>
          <w:vertAlign w:val="superscript"/>
        </w:rPr>
        <w:t>2</w:t>
      </w:r>
      <w:r w:rsidR="003A2D12" w:rsidRPr="00E6110F">
        <w:t>/g</w:t>
      </w:r>
      <w:r w:rsidR="008D0523">
        <w:t xml:space="preserve"> (</w:t>
      </w:r>
      <w:r w:rsidR="00593717">
        <w:t xml:space="preserve">Thomas and </w:t>
      </w:r>
      <w:r w:rsidR="00593717" w:rsidRPr="00593717">
        <w:t>Damberger 1976, Mahajan 1984, Linge 1989</w:t>
      </w:r>
      <w:r w:rsidR="008D0523">
        <w:t>)</w:t>
      </w:r>
      <w:r w:rsidR="003A2D12" w:rsidRPr="00E6110F">
        <w:t xml:space="preserve">, the </w:t>
      </w:r>
      <w:r w:rsidR="003A2D12" w:rsidRPr="00E6110F">
        <w:rPr>
          <w:i/>
        </w:rPr>
        <w:t>K</w:t>
      </w:r>
      <w:r w:rsidR="003A2D12" w:rsidRPr="00E6110F">
        <w:rPr>
          <w:vertAlign w:val="subscript"/>
        </w:rPr>
        <w:t>OC</w:t>
      </w:r>
      <w:r w:rsidRPr="00E6110F">
        <w:t xml:space="preserve"> of carbonaceous materials </w:t>
      </w:r>
      <w:r w:rsidR="003A2D12" w:rsidRPr="00E6110F">
        <w:t>is</w:t>
      </w:r>
      <w:r w:rsidRPr="00E6110F">
        <w:t xml:space="preserve"> likely to be higher by 1-2 order of magnitude </w:t>
      </w:r>
      <w:r w:rsidR="00CE3A8D">
        <w:t xml:space="preserve">than non-coal carbon materials </w:t>
      </w:r>
      <w:r w:rsidRPr="00E6110F">
        <w:t>– which to an extent could compensate</w:t>
      </w:r>
      <w:r w:rsidR="00ED0360" w:rsidRPr="00E6110F">
        <w:t xml:space="preserve"> for </w:t>
      </w:r>
      <w:r w:rsidR="00CE3A8D">
        <w:t xml:space="preserve">the </w:t>
      </w:r>
      <w:r w:rsidR="00ED0360" w:rsidRPr="00E6110F">
        <w:t xml:space="preserve">kinetics effect </w:t>
      </w:r>
      <w:r w:rsidR="00CE3A8D">
        <w:t xml:space="preserve">that </w:t>
      </w:r>
      <w:r w:rsidR="00ED0360" w:rsidRPr="00E6110F">
        <w:t>limit sorption.</w:t>
      </w:r>
    </w:p>
    <w:p w14:paraId="71A29364" w14:textId="3E6415DD" w:rsidR="00ED0360" w:rsidRPr="00E6110F" w:rsidRDefault="00ED0360" w:rsidP="00C117A3">
      <w:pPr>
        <w:pStyle w:val="Body"/>
        <w:numPr>
          <w:ilvl w:val="0"/>
          <w:numId w:val="42"/>
        </w:numPr>
      </w:pPr>
      <w:r w:rsidRPr="00E6110F">
        <w:t xml:space="preserve">The seam is not 100% coal but lenses of coal in geological formation – assume 50% coal (i.e. 50% OC). Higher TDS </w:t>
      </w:r>
      <w:r w:rsidR="003A2D12" w:rsidRPr="00E6110F">
        <w:t>means</w:t>
      </w:r>
      <w:r w:rsidRPr="00E6110F">
        <w:t xml:space="preserve"> lower solubility and higher sorption but </w:t>
      </w:r>
      <w:r w:rsidR="003A2D12" w:rsidRPr="00E6110F">
        <w:t xml:space="preserve">this is </w:t>
      </w:r>
      <w:r w:rsidRPr="00E6110F">
        <w:t>expected to be a small effect – especially where solubility is either low</w:t>
      </w:r>
      <w:r w:rsidR="003A2D12" w:rsidRPr="00E6110F">
        <w:t>.</w:t>
      </w:r>
      <w:r w:rsidRPr="00E6110F">
        <w:t xml:space="preserve"> Sorption on carbonaceous materials is often non-linear but since the concentrations of chemicals </w:t>
      </w:r>
      <w:r w:rsidR="003A2D12" w:rsidRPr="00E6110F">
        <w:t>are</w:t>
      </w:r>
      <w:r w:rsidRPr="00E6110F">
        <w:t xml:space="preserve"> likely to be low (high volume of water) – or high (net effect small) </w:t>
      </w:r>
      <w:r w:rsidR="003A2D12" w:rsidRPr="00E6110F">
        <w:t xml:space="preserve">– we therefore </w:t>
      </w:r>
      <w:r w:rsidRPr="00E6110F">
        <w:t>assume linearity.</w:t>
      </w:r>
      <w:r w:rsidR="0040053B" w:rsidRPr="00E6110F">
        <w:t xml:space="preserve"> Based on six exploration wells, the average thickness of Hoskissons and Maules Creek coal seam is 7.3</w:t>
      </w:r>
      <w:r w:rsidR="003A2D12" w:rsidRPr="00E6110F">
        <w:t xml:space="preserve"> </w:t>
      </w:r>
      <w:r w:rsidR="0040053B" w:rsidRPr="00E6110F">
        <w:t xml:space="preserve">and 4.3 m, respectively (Eastern Star Gas 2008). </w:t>
      </w:r>
    </w:p>
    <w:p w14:paraId="47B84E38" w14:textId="77777777" w:rsidR="006E4E1D" w:rsidRPr="00E6110F" w:rsidRDefault="00ED0360" w:rsidP="00ED0360">
      <w:pPr>
        <w:pStyle w:val="Body"/>
        <w:rPr>
          <w:u w:val="single"/>
        </w:rPr>
      </w:pPr>
      <w:r w:rsidRPr="00E6110F">
        <w:rPr>
          <w:u w:val="single"/>
        </w:rPr>
        <w:t xml:space="preserve">Maules Creek Formation (upper): </w:t>
      </w:r>
    </w:p>
    <w:p w14:paraId="2C70AA74" w14:textId="2702EFBD" w:rsidR="00ED0360" w:rsidRPr="00E6110F" w:rsidRDefault="008D0F04" w:rsidP="00C117A3">
      <w:pPr>
        <w:pStyle w:val="Body"/>
        <w:numPr>
          <w:ilvl w:val="0"/>
          <w:numId w:val="42"/>
        </w:numPr>
      </w:pPr>
      <w:r w:rsidRPr="00E6110F">
        <w:t>N</w:t>
      </w:r>
      <w:r w:rsidR="001873BE" w:rsidRPr="00E6110F">
        <w:t xml:space="preserve">o hydrochemistry data </w:t>
      </w:r>
      <w:r w:rsidR="00AF176B" w:rsidRPr="00E6110F">
        <w:t>w</w:t>
      </w:r>
      <w:r w:rsidR="00AF176B">
        <w:t>ere</w:t>
      </w:r>
      <w:r w:rsidR="00AF176B" w:rsidRPr="00E6110F">
        <w:t xml:space="preserve"> </w:t>
      </w:r>
      <w:r w:rsidR="001873BE" w:rsidRPr="00E6110F">
        <w:t>found for this formation. Be</w:t>
      </w:r>
      <w:r w:rsidR="00665A27" w:rsidRPr="00E6110F">
        <w:t>cause its lithology is similar to the underlying Maules Creek Formation (coal measures), its hydrochemistry is also considered similar. Its organic carbon content is tr</w:t>
      </w:r>
      <w:r w:rsidR="00ED0360" w:rsidRPr="00E6110F">
        <w:t>eat</w:t>
      </w:r>
      <w:r w:rsidR="00665A27" w:rsidRPr="00E6110F">
        <w:t>ed</w:t>
      </w:r>
      <w:r w:rsidR="00ED0360" w:rsidRPr="00E6110F">
        <w:t xml:space="preserve"> </w:t>
      </w:r>
      <w:r w:rsidR="00665A27" w:rsidRPr="00E6110F">
        <w:t>as per Pilliga S</w:t>
      </w:r>
      <w:r w:rsidR="00ED0360" w:rsidRPr="00E6110F">
        <w:t>andstone</w:t>
      </w:r>
      <w:r w:rsidR="00665A27" w:rsidRPr="00E6110F">
        <w:t>.</w:t>
      </w:r>
    </w:p>
    <w:p w14:paraId="039C5486" w14:textId="5CCF93FD" w:rsidR="00206939" w:rsidRPr="00E6110F" w:rsidRDefault="00672A14" w:rsidP="00C117A3">
      <w:pPr>
        <w:pStyle w:val="Body"/>
        <w:numPr>
          <w:ilvl w:val="0"/>
          <w:numId w:val="42"/>
        </w:numPr>
      </w:pPr>
      <w:r>
        <w:rPr>
          <w:lang w:val="en-AU"/>
        </w:rPr>
        <w:t>To allow for temperature corrections of sorption parameters, the t</w:t>
      </w:r>
      <w:r w:rsidR="00206939" w:rsidRPr="00E6110F">
        <w:rPr>
          <w:lang w:val="en-AU"/>
        </w:rPr>
        <w:t xml:space="preserve">emperature range </w:t>
      </w:r>
      <w:r>
        <w:rPr>
          <w:lang w:val="en-AU"/>
        </w:rPr>
        <w:t xml:space="preserve">was </w:t>
      </w:r>
      <w:r w:rsidR="00206939" w:rsidRPr="00E6110F">
        <w:rPr>
          <w:lang w:val="en-AU"/>
        </w:rPr>
        <w:t xml:space="preserve">estimated </w:t>
      </w:r>
      <w:r w:rsidR="008C6A38">
        <w:rPr>
          <w:lang w:val="en-AU"/>
        </w:rPr>
        <w:t xml:space="preserve">based on a selection of </w:t>
      </w:r>
      <w:r w:rsidR="008C6A38" w:rsidRPr="00E6110F">
        <w:t xml:space="preserve">wells located within the </w:t>
      </w:r>
      <w:r w:rsidR="00335E79">
        <w:t>study area</w:t>
      </w:r>
      <w:r w:rsidR="008C6A38" w:rsidRPr="00E6110F">
        <w:t xml:space="preserve"> (</w:t>
      </w:r>
      <w:r w:rsidR="008C6A38" w:rsidRPr="00E6110F">
        <w:fldChar w:fldCharType="begin" w:fldLock="1"/>
      </w:r>
      <w:r w:rsidR="008C6A38" w:rsidRPr="00E6110F">
        <w:instrText xml:space="preserve"> REF _Ref452897805 \h  \* MERGEFORMAT </w:instrText>
      </w:r>
      <w:r w:rsidR="008C6A38" w:rsidRPr="00E6110F">
        <w:fldChar w:fldCharType="separate"/>
      </w:r>
      <w:r w:rsidR="00335E79" w:rsidRPr="00E6110F">
        <w:t xml:space="preserve">Figure </w:t>
      </w:r>
      <w:r w:rsidR="00335E79">
        <w:rPr>
          <w:noProof/>
        </w:rPr>
        <w:t>4</w:t>
      </w:r>
      <w:r w:rsidR="00335E79">
        <w:rPr>
          <w:noProof/>
        </w:rPr>
        <w:noBreakHyphen/>
        <w:t>2</w:t>
      </w:r>
      <w:r w:rsidR="008C6A38" w:rsidRPr="00E6110F">
        <w:fldChar w:fldCharType="end"/>
      </w:r>
      <w:r w:rsidR="008C6A38" w:rsidRPr="00E6110F">
        <w:t>)</w:t>
      </w:r>
      <w:r w:rsidR="008C6A38">
        <w:t xml:space="preserve">, </w:t>
      </w:r>
      <w:r w:rsidR="00206939" w:rsidRPr="00E6110F">
        <w:rPr>
          <w:lang w:val="en-AU"/>
        </w:rPr>
        <w:t>assuming i) an average thickness of 50 m overlying the Bohena coal measures (</w:t>
      </w:r>
      <w:r w:rsidR="00DE26E3" w:rsidRPr="00E6110F">
        <w:rPr>
          <w:lang w:val="en-AU"/>
        </w:rPr>
        <w:t>Eastern Star Gas 2008</w:t>
      </w:r>
      <w:r w:rsidR="00206939" w:rsidRPr="00E6110F">
        <w:rPr>
          <w:lang w:val="en-AU"/>
        </w:rPr>
        <w:t xml:space="preserve">), and ii) an average temperature gradient of 18.3 °C/km from surface to </w:t>
      </w:r>
      <w:r>
        <w:rPr>
          <w:lang w:val="en-AU"/>
        </w:rPr>
        <w:t>8</w:t>
      </w:r>
      <w:r w:rsidR="00206939" w:rsidRPr="00E6110F">
        <w:rPr>
          <w:lang w:val="en-AU"/>
        </w:rPr>
        <w:t>00 m</w:t>
      </w:r>
      <w:r w:rsidR="00DE26E3" w:rsidRPr="00E6110F">
        <w:rPr>
          <w:lang w:val="en-AU"/>
        </w:rPr>
        <w:t xml:space="preserve"> (</w:t>
      </w:r>
      <w:r w:rsidR="00206939" w:rsidRPr="00E6110F">
        <w:rPr>
          <w:lang w:val="en-AU"/>
        </w:rPr>
        <w:t xml:space="preserve">see </w:t>
      </w:r>
      <w:r w:rsidR="00206939" w:rsidRPr="00E6110F">
        <w:rPr>
          <w:lang w:val="en-AU"/>
        </w:rPr>
        <w:fldChar w:fldCharType="begin" w:fldLock="1"/>
      </w:r>
      <w:r w:rsidR="00206939" w:rsidRPr="00E6110F">
        <w:rPr>
          <w:lang w:val="en-AU"/>
        </w:rPr>
        <w:instrText xml:space="preserve"> REF _Ref452895571 \h </w:instrText>
      </w:r>
      <w:r w:rsidR="00AB0783" w:rsidRPr="00E6110F">
        <w:rPr>
          <w:lang w:val="en-AU"/>
        </w:rPr>
        <w:instrText xml:space="preserve"> \* MERGEFORMAT </w:instrText>
      </w:r>
      <w:r w:rsidR="00206939" w:rsidRPr="00E6110F">
        <w:rPr>
          <w:lang w:val="en-AU"/>
        </w:rPr>
      </w:r>
      <w:r w:rsidR="00206939" w:rsidRPr="00E6110F">
        <w:rPr>
          <w:lang w:val="en-AU"/>
        </w:rPr>
        <w:fldChar w:fldCharType="separate"/>
      </w:r>
      <w:r w:rsidR="00335E79" w:rsidRPr="00E6110F">
        <w:t xml:space="preserve">Figure </w:t>
      </w:r>
      <w:r w:rsidR="00335E79">
        <w:rPr>
          <w:noProof/>
        </w:rPr>
        <w:t>4</w:t>
      </w:r>
      <w:r w:rsidR="00335E79">
        <w:rPr>
          <w:noProof/>
        </w:rPr>
        <w:noBreakHyphen/>
        <w:t>3</w:t>
      </w:r>
      <w:r w:rsidR="00206939" w:rsidRPr="00E6110F">
        <w:rPr>
          <w:lang w:val="en-AU"/>
        </w:rPr>
        <w:fldChar w:fldCharType="end"/>
      </w:r>
      <w:r w:rsidR="00206939" w:rsidRPr="00E6110F">
        <w:rPr>
          <w:lang w:val="en-AU"/>
        </w:rPr>
        <w:t>)</w:t>
      </w:r>
      <w:r w:rsidR="00DE26E3" w:rsidRPr="00E6110F">
        <w:rPr>
          <w:lang w:val="en-AU"/>
        </w:rPr>
        <w:t xml:space="preserve"> and 42.5°C/km from 800 to 1200 m (see </w:t>
      </w:r>
      <w:r w:rsidR="00DE26E3" w:rsidRPr="00E6110F">
        <w:rPr>
          <w:lang w:val="en-AU"/>
        </w:rPr>
        <w:fldChar w:fldCharType="begin" w:fldLock="1"/>
      </w:r>
      <w:r w:rsidR="00DE26E3" w:rsidRPr="00E6110F">
        <w:rPr>
          <w:lang w:val="en-AU"/>
        </w:rPr>
        <w:instrText xml:space="preserve"> REF _Ref452895571 \h </w:instrText>
      </w:r>
      <w:r w:rsidR="00AB0783" w:rsidRPr="00E6110F">
        <w:rPr>
          <w:lang w:val="en-AU"/>
        </w:rPr>
        <w:instrText xml:space="preserve"> \* MERGEFORMAT </w:instrText>
      </w:r>
      <w:r w:rsidR="00DE26E3" w:rsidRPr="00E6110F">
        <w:rPr>
          <w:lang w:val="en-AU"/>
        </w:rPr>
      </w:r>
      <w:r w:rsidR="00DE26E3" w:rsidRPr="00E6110F">
        <w:rPr>
          <w:lang w:val="en-AU"/>
        </w:rPr>
        <w:fldChar w:fldCharType="separate"/>
      </w:r>
      <w:r w:rsidR="00335E79" w:rsidRPr="00E6110F">
        <w:t xml:space="preserve">Figure </w:t>
      </w:r>
      <w:r w:rsidR="00335E79">
        <w:rPr>
          <w:noProof/>
        </w:rPr>
        <w:t>4</w:t>
      </w:r>
      <w:r w:rsidR="00335E79">
        <w:rPr>
          <w:noProof/>
        </w:rPr>
        <w:noBreakHyphen/>
        <w:t>3</w:t>
      </w:r>
      <w:r w:rsidR="00DE26E3" w:rsidRPr="00E6110F">
        <w:rPr>
          <w:lang w:val="en-AU"/>
        </w:rPr>
        <w:fldChar w:fldCharType="end"/>
      </w:r>
      <w:r w:rsidR="00DE26E3" w:rsidRPr="00E6110F">
        <w:rPr>
          <w:lang w:val="en-AU"/>
        </w:rPr>
        <w:t>).</w:t>
      </w:r>
    </w:p>
    <w:p w14:paraId="0132F9CB" w14:textId="6988D754" w:rsidR="006E4E1D" w:rsidRPr="00E6110F" w:rsidRDefault="00ED0360" w:rsidP="00ED0360">
      <w:pPr>
        <w:pStyle w:val="Body"/>
        <w:rPr>
          <w:u w:val="single"/>
        </w:rPr>
      </w:pPr>
      <w:r w:rsidRPr="00E6110F">
        <w:rPr>
          <w:u w:val="single"/>
        </w:rPr>
        <w:t>Maules Creek Formation (</w:t>
      </w:r>
      <w:r w:rsidR="00BE717C" w:rsidRPr="00E6110F">
        <w:rPr>
          <w:u w:val="single"/>
        </w:rPr>
        <w:t xml:space="preserve">Bohena </w:t>
      </w:r>
      <w:r w:rsidRPr="00E6110F">
        <w:rPr>
          <w:u w:val="single"/>
        </w:rPr>
        <w:t xml:space="preserve">coal measures): </w:t>
      </w:r>
    </w:p>
    <w:p w14:paraId="1149C731" w14:textId="2F94C33F" w:rsidR="00ED0360" w:rsidRPr="00E6110F" w:rsidRDefault="00FD3D7A" w:rsidP="00C117A3">
      <w:pPr>
        <w:pStyle w:val="Body"/>
        <w:numPr>
          <w:ilvl w:val="0"/>
          <w:numId w:val="42"/>
        </w:numPr>
      </w:pPr>
      <w:r w:rsidRPr="00E6110F">
        <w:rPr>
          <w:lang w:val="en-AU"/>
        </w:rPr>
        <w:t xml:space="preserve">Generally contains eleven </w:t>
      </w:r>
      <w:r w:rsidR="00ED0360" w:rsidRPr="00E6110F">
        <w:rPr>
          <w:lang w:val="en-AU"/>
        </w:rPr>
        <w:t>distinct coal seam</w:t>
      </w:r>
      <w:r w:rsidR="00DE26E3" w:rsidRPr="00E6110F">
        <w:rPr>
          <w:lang w:val="en-AU"/>
        </w:rPr>
        <w:t>,</w:t>
      </w:r>
      <w:r w:rsidR="00ED0360" w:rsidRPr="00E6110F">
        <w:rPr>
          <w:lang w:val="en-AU"/>
        </w:rPr>
        <w:t xml:space="preserve"> 1.5 to 3.5 m</w:t>
      </w:r>
      <w:r w:rsidR="00DE26E3" w:rsidRPr="00E6110F">
        <w:rPr>
          <w:lang w:val="en-AU"/>
        </w:rPr>
        <w:t xml:space="preserve"> thick</w:t>
      </w:r>
      <w:r w:rsidR="00ED0360" w:rsidRPr="00E6110F">
        <w:rPr>
          <w:lang w:val="en-AU"/>
        </w:rPr>
        <w:t xml:space="preserve">; </w:t>
      </w:r>
      <w:r w:rsidR="008D0F04" w:rsidRPr="00E6110F">
        <w:rPr>
          <w:lang w:val="en-AU"/>
        </w:rPr>
        <w:t>assume coal seam represents half the formation</w:t>
      </w:r>
      <w:r w:rsidR="00ED0360" w:rsidRPr="00E6110F">
        <w:rPr>
          <w:lang w:val="en-AU"/>
        </w:rPr>
        <w:t xml:space="preserve"> thickness. Assume similar conditions to Hoskisson seam</w:t>
      </w:r>
      <w:r w:rsidR="007A1516" w:rsidRPr="00E6110F">
        <w:rPr>
          <w:lang w:val="en-AU"/>
        </w:rPr>
        <w:t>.</w:t>
      </w:r>
    </w:p>
    <w:p w14:paraId="41B98DE7" w14:textId="757C2096" w:rsidR="00BE717C" w:rsidRPr="00E6110F" w:rsidRDefault="00672A14" w:rsidP="00C117A3">
      <w:pPr>
        <w:pStyle w:val="Body"/>
        <w:numPr>
          <w:ilvl w:val="0"/>
          <w:numId w:val="42"/>
        </w:numPr>
      </w:pPr>
      <w:r>
        <w:rPr>
          <w:lang w:val="en-AU"/>
        </w:rPr>
        <w:t>To allow for temperature corrections of sorption parameters, the</w:t>
      </w:r>
      <w:r w:rsidRPr="00E6110F">
        <w:rPr>
          <w:lang w:val="en-AU"/>
        </w:rPr>
        <w:t xml:space="preserve"> </w:t>
      </w:r>
      <w:r>
        <w:rPr>
          <w:lang w:val="en-AU"/>
        </w:rPr>
        <w:t>t</w:t>
      </w:r>
      <w:r w:rsidR="00BE717C" w:rsidRPr="00E6110F">
        <w:rPr>
          <w:lang w:val="en-AU"/>
        </w:rPr>
        <w:t xml:space="preserve">emperature </w:t>
      </w:r>
      <w:r w:rsidR="00415711" w:rsidRPr="00E6110F">
        <w:rPr>
          <w:lang w:val="en-AU"/>
        </w:rPr>
        <w:t xml:space="preserve">range </w:t>
      </w:r>
      <w:r>
        <w:rPr>
          <w:lang w:val="en-AU"/>
        </w:rPr>
        <w:t xml:space="preserve">was </w:t>
      </w:r>
      <w:r w:rsidR="00BE717C" w:rsidRPr="00E6110F">
        <w:rPr>
          <w:lang w:val="en-AU"/>
        </w:rPr>
        <w:t xml:space="preserve">estimated </w:t>
      </w:r>
      <w:r w:rsidR="00415711" w:rsidRPr="00E6110F">
        <w:rPr>
          <w:lang w:val="en-AU"/>
        </w:rPr>
        <w:t>a</w:t>
      </w:r>
      <w:r w:rsidR="00BE717C" w:rsidRPr="00E6110F">
        <w:rPr>
          <w:lang w:val="en-AU"/>
        </w:rPr>
        <w:t>ssum</w:t>
      </w:r>
      <w:r w:rsidR="00415711" w:rsidRPr="00E6110F">
        <w:rPr>
          <w:lang w:val="en-AU"/>
        </w:rPr>
        <w:t>ing</w:t>
      </w:r>
      <w:r w:rsidR="00BE717C" w:rsidRPr="00E6110F">
        <w:rPr>
          <w:lang w:val="en-AU"/>
        </w:rPr>
        <w:t xml:space="preserve"> </w:t>
      </w:r>
      <w:r w:rsidR="00415711" w:rsidRPr="00E6110F">
        <w:rPr>
          <w:lang w:val="en-AU"/>
        </w:rPr>
        <w:t xml:space="preserve">i) </w:t>
      </w:r>
      <w:r w:rsidR="00BE717C" w:rsidRPr="00E6110F">
        <w:rPr>
          <w:lang w:val="en-AU"/>
        </w:rPr>
        <w:t xml:space="preserve">that the Bohena coal measures occupy depths ranging from 500 to 1000 m (CDM Smith 2014), and ii) an average temperature gradient of </w:t>
      </w:r>
      <w:r w:rsidR="00F05A07" w:rsidRPr="00E6110F">
        <w:rPr>
          <w:lang w:val="en-AU"/>
        </w:rPr>
        <w:t xml:space="preserve">18.3°C/km from surface to </w:t>
      </w:r>
      <w:r w:rsidR="00DE26E3" w:rsidRPr="00E6110F">
        <w:rPr>
          <w:lang w:val="en-AU"/>
        </w:rPr>
        <w:t>8</w:t>
      </w:r>
      <w:r w:rsidR="00F05A07" w:rsidRPr="00E6110F">
        <w:rPr>
          <w:lang w:val="en-AU"/>
        </w:rPr>
        <w:t>00 m</w:t>
      </w:r>
      <w:r w:rsidR="00DE26E3" w:rsidRPr="00E6110F">
        <w:rPr>
          <w:lang w:val="en-AU"/>
        </w:rPr>
        <w:t xml:space="preserve"> (</w:t>
      </w:r>
      <w:r w:rsidR="00403EEC" w:rsidRPr="00E6110F">
        <w:rPr>
          <w:lang w:val="en-AU"/>
        </w:rPr>
        <w:t xml:space="preserve">see </w:t>
      </w:r>
      <w:r w:rsidR="00403EEC" w:rsidRPr="00E6110F">
        <w:rPr>
          <w:lang w:val="en-AU"/>
        </w:rPr>
        <w:fldChar w:fldCharType="begin" w:fldLock="1"/>
      </w:r>
      <w:r w:rsidR="00403EEC" w:rsidRPr="00E6110F">
        <w:rPr>
          <w:lang w:val="en-AU"/>
        </w:rPr>
        <w:instrText xml:space="preserve"> REF _Ref452895571 \h </w:instrText>
      </w:r>
      <w:r w:rsidR="00AB0783" w:rsidRPr="00E6110F">
        <w:rPr>
          <w:lang w:val="en-AU"/>
        </w:rPr>
        <w:instrText xml:space="preserve"> \* MERGEFORMAT </w:instrText>
      </w:r>
      <w:r w:rsidR="00403EEC" w:rsidRPr="00E6110F">
        <w:rPr>
          <w:lang w:val="en-AU"/>
        </w:rPr>
      </w:r>
      <w:r w:rsidR="00403EEC" w:rsidRPr="00E6110F">
        <w:rPr>
          <w:lang w:val="en-AU"/>
        </w:rPr>
        <w:fldChar w:fldCharType="separate"/>
      </w:r>
      <w:r w:rsidR="00335E79" w:rsidRPr="00E6110F">
        <w:t xml:space="preserve">Figure </w:t>
      </w:r>
      <w:r w:rsidR="00335E79">
        <w:rPr>
          <w:noProof/>
        </w:rPr>
        <w:t>4</w:t>
      </w:r>
      <w:r w:rsidR="00335E79">
        <w:rPr>
          <w:noProof/>
        </w:rPr>
        <w:noBreakHyphen/>
        <w:t>3</w:t>
      </w:r>
      <w:r w:rsidR="00403EEC" w:rsidRPr="00E6110F">
        <w:rPr>
          <w:lang w:val="en-AU"/>
        </w:rPr>
        <w:fldChar w:fldCharType="end"/>
      </w:r>
      <w:r w:rsidR="00F05A07" w:rsidRPr="00E6110F">
        <w:rPr>
          <w:lang w:val="en-AU"/>
        </w:rPr>
        <w:t>)</w:t>
      </w:r>
      <w:r w:rsidR="00DE26E3" w:rsidRPr="00E6110F">
        <w:rPr>
          <w:lang w:val="en-AU"/>
        </w:rPr>
        <w:t xml:space="preserve"> and 42.5°C/km from 800 to 1200 m (see </w:t>
      </w:r>
      <w:r w:rsidR="00DE26E3" w:rsidRPr="00E6110F">
        <w:rPr>
          <w:lang w:val="en-AU"/>
        </w:rPr>
        <w:fldChar w:fldCharType="begin" w:fldLock="1"/>
      </w:r>
      <w:r w:rsidR="00DE26E3" w:rsidRPr="00E6110F">
        <w:rPr>
          <w:lang w:val="en-AU"/>
        </w:rPr>
        <w:instrText xml:space="preserve"> REF _Ref452895571 \h </w:instrText>
      </w:r>
      <w:r w:rsidR="00AB0783" w:rsidRPr="00E6110F">
        <w:rPr>
          <w:lang w:val="en-AU"/>
        </w:rPr>
        <w:instrText xml:space="preserve"> \* MERGEFORMAT </w:instrText>
      </w:r>
      <w:r w:rsidR="00DE26E3" w:rsidRPr="00E6110F">
        <w:rPr>
          <w:lang w:val="en-AU"/>
        </w:rPr>
      </w:r>
      <w:r w:rsidR="00DE26E3" w:rsidRPr="00E6110F">
        <w:rPr>
          <w:lang w:val="en-AU"/>
        </w:rPr>
        <w:fldChar w:fldCharType="separate"/>
      </w:r>
      <w:r w:rsidR="00335E79" w:rsidRPr="00E6110F">
        <w:t xml:space="preserve">Figure </w:t>
      </w:r>
      <w:r w:rsidR="00335E79">
        <w:rPr>
          <w:noProof/>
        </w:rPr>
        <w:t>4</w:t>
      </w:r>
      <w:r w:rsidR="00335E79">
        <w:rPr>
          <w:noProof/>
        </w:rPr>
        <w:noBreakHyphen/>
        <w:t>3</w:t>
      </w:r>
      <w:r w:rsidR="00DE26E3" w:rsidRPr="00E6110F">
        <w:rPr>
          <w:lang w:val="en-AU"/>
        </w:rPr>
        <w:fldChar w:fldCharType="end"/>
      </w:r>
      <w:r w:rsidR="00DE26E3" w:rsidRPr="00E6110F">
        <w:rPr>
          <w:lang w:val="en-AU"/>
        </w:rPr>
        <w:t>).</w:t>
      </w:r>
    </w:p>
    <w:p w14:paraId="3EFE86F7" w14:textId="77777777" w:rsidR="006E4E1D" w:rsidRPr="00E6110F" w:rsidRDefault="00ED0360" w:rsidP="00ED0360">
      <w:pPr>
        <w:pStyle w:val="Body"/>
        <w:rPr>
          <w:u w:val="single"/>
        </w:rPr>
      </w:pPr>
      <w:r w:rsidRPr="00E6110F">
        <w:rPr>
          <w:u w:val="single"/>
        </w:rPr>
        <w:t xml:space="preserve">Maules Creek Formation (lower): </w:t>
      </w:r>
    </w:p>
    <w:p w14:paraId="6DA3A5FF" w14:textId="6C96461A" w:rsidR="00ED0360" w:rsidRPr="00E6110F" w:rsidRDefault="00ED0360" w:rsidP="00C117A3">
      <w:pPr>
        <w:pStyle w:val="Body"/>
        <w:numPr>
          <w:ilvl w:val="0"/>
          <w:numId w:val="42"/>
        </w:numPr>
      </w:pPr>
      <w:r w:rsidRPr="00E6110F">
        <w:t>Treat as per Pilliga sandstone</w:t>
      </w:r>
      <w:r w:rsidR="008D0F04" w:rsidRPr="00E6110F">
        <w:t>.</w:t>
      </w:r>
    </w:p>
    <w:p w14:paraId="4617ABD0" w14:textId="5D561609" w:rsidR="00DE26E3" w:rsidRPr="00E6110F" w:rsidRDefault="00672A14" w:rsidP="00C117A3">
      <w:pPr>
        <w:pStyle w:val="Body"/>
        <w:numPr>
          <w:ilvl w:val="0"/>
          <w:numId w:val="42"/>
        </w:numPr>
      </w:pPr>
      <w:r>
        <w:rPr>
          <w:lang w:val="en-AU"/>
        </w:rPr>
        <w:t>To allow for temperature corrections of sorption parameters, the</w:t>
      </w:r>
      <w:r w:rsidRPr="00E6110F">
        <w:rPr>
          <w:lang w:val="en-AU"/>
        </w:rPr>
        <w:t xml:space="preserve"> </w:t>
      </w:r>
      <w:r>
        <w:rPr>
          <w:lang w:val="en-AU"/>
        </w:rPr>
        <w:t>t</w:t>
      </w:r>
      <w:r w:rsidR="00DE26E3" w:rsidRPr="00E6110F">
        <w:rPr>
          <w:lang w:val="en-AU"/>
        </w:rPr>
        <w:t xml:space="preserve">emperature range </w:t>
      </w:r>
      <w:r>
        <w:rPr>
          <w:lang w:val="en-AU"/>
        </w:rPr>
        <w:t xml:space="preserve">was </w:t>
      </w:r>
      <w:r w:rsidR="00DE26E3" w:rsidRPr="00E6110F">
        <w:rPr>
          <w:lang w:val="en-AU"/>
        </w:rPr>
        <w:t xml:space="preserve">estimated assuming i) an average thickness of 50 m underlying the Bohena coal measures (Eastern Star Gas 2008), and ii) an average temperature gradient of 18.3°C/km from surface to 800 m (see </w:t>
      </w:r>
      <w:r w:rsidR="00DE26E3" w:rsidRPr="00E6110F">
        <w:rPr>
          <w:lang w:val="en-AU"/>
        </w:rPr>
        <w:fldChar w:fldCharType="begin" w:fldLock="1"/>
      </w:r>
      <w:r w:rsidR="00DE26E3" w:rsidRPr="00E6110F">
        <w:rPr>
          <w:lang w:val="en-AU"/>
        </w:rPr>
        <w:instrText xml:space="preserve"> REF _Ref452895571 \h </w:instrText>
      </w:r>
      <w:r w:rsidR="00AB0783" w:rsidRPr="00E6110F">
        <w:rPr>
          <w:lang w:val="en-AU"/>
        </w:rPr>
        <w:instrText xml:space="preserve"> \* MERGEFORMAT </w:instrText>
      </w:r>
      <w:r w:rsidR="00DE26E3" w:rsidRPr="00E6110F">
        <w:rPr>
          <w:lang w:val="en-AU"/>
        </w:rPr>
      </w:r>
      <w:r w:rsidR="00DE26E3" w:rsidRPr="00E6110F">
        <w:rPr>
          <w:lang w:val="en-AU"/>
        </w:rPr>
        <w:fldChar w:fldCharType="separate"/>
      </w:r>
      <w:r w:rsidR="00335E79" w:rsidRPr="00E6110F">
        <w:t xml:space="preserve">Figure </w:t>
      </w:r>
      <w:r w:rsidR="00335E79">
        <w:rPr>
          <w:noProof/>
        </w:rPr>
        <w:t>4</w:t>
      </w:r>
      <w:r w:rsidR="00335E79">
        <w:rPr>
          <w:noProof/>
        </w:rPr>
        <w:noBreakHyphen/>
        <w:t>3</w:t>
      </w:r>
      <w:r w:rsidR="00DE26E3" w:rsidRPr="00E6110F">
        <w:rPr>
          <w:lang w:val="en-AU"/>
        </w:rPr>
        <w:fldChar w:fldCharType="end"/>
      </w:r>
      <w:r w:rsidR="00DE26E3" w:rsidRPr="00E6110F">
        <w:rPr>
          <w:lang w:val="en-AU"/>
        </w:rPr>
        <w:t xml:space="preserve">) and 42.5°C/km from 800 to 1200 m (see </w:t>
      </w:r>
      <w:r w:rsidR="00DE26E3" w:rsidRPr="00E6110F">
        <w:rPr>
          <w:lang w:val="en-AU"/>
        </w:rPr>
        <w:fldChar w:fldCharType="begin" w:fldLock="1"/>
      </w:r>
      <w:r w:rsidR="00DE26E3" w:rsidRPr="00E6110F">
        <w:rPr>
          <w:lang w:val="en-AU"/>
        </w:rPr>
        <w:instrText xml:space="preserve"> REF _Ref452895571 \h </w:instrText>
      </w:r>
      <w:r w:rsidR="00AB0783" w:rsidRPr="00E6110F">
        <w:rPr>
          <w:lang w:val="en-AU"/>
        </w:rPr>
        <w:instrText xml:space="preserve"> \* MERGEFORMAT </w:instrText>
      </w:r>
      <w:r w:rsidR="00DE26E3" w:rsidRPr="00E6110F">
        <w:rPr>
          <w:lang w:val="en-AU"/>
        </w:rPr>
      </w:r>
      <w:r w:rsidR="00DE26E3" w:rsidRPr="00E6110F">
        <w:rPr>
          <w:lang w:val="en-AU"/>
        </w:rPr>
        <w:fldChar w:fldCharType="separate"/>
      </w:r>
      <w:r w:rsidR="00335E79" w:rsidRPr="00E6110F">
        <w:t xml:space="preserve">Figure </w:t>
      </w:r>
      <w:r w:rsidR="00335E79">
        <w:rPr>
          <w:noProof/>
        </w:rPr>
        <w:t>4</w:t>
      </w:r>
      <w:r w:rsidR="00335E79">
        <w:rPr>
          <w:noProof/>
        </w:rPr>
        <w:noBreakHyphen/>
        <w:t>3</w:t>
      </w:r>
      <w:r w:rsidR="00DE26E3" w:rsidRPr="00E6110F">
        <w:rPr>
          <w:lang w:val="en-AU"/>
        </w:rPr>
        <w:fldChar w:fldCharType="end"/>
      </w:r>
      <w:r w:rsidR="00DE26E3" w:rsidRPr="00E6110F">
        <w:rPr>
          <w:lang w:val="en-AU"/>
        </w:rPr>
        <w:t xml:space="preserve">). </w:t>
      </w:r>
    </w:p>
    <w:p w14:paraId="2479DE48" w14:textId="77777777" w:rsidR="00DE26E3" w:rsidRPr="00E6110F" w:rsidRDefault="00DE26E3" w:rsidP="007A1516">
      <w:pPr>
        <w:pStyle w:val="Body"/>
        <w:ind w:left="720"/>
        <w:sectPr w:rsidR="00DE26E3" w:rsidRPr="00E6110F" w:rsidSect="008A1135">
          <w:headerReference w:type="even" r:id="rId144"/>
          <w:headerReference w:type="default" r:id="rId145"/>
          <w:footerReference w:type="even" r:id="rId146"/>
          <w:footerReference w:type="default" r:id="rId147"/>
          <w:headerReference w:type="first" r:id="rId148"/>
          <w:pgSz w:w="11900" w:h="16840"/>
          <w:pgMar w:top="1440" w:right="1440" w:bottom="1440" w:left="1440" w:header="0" w:footer="0" w:gutter="0"/>
          <w:cols w:space="284"/>
          <w:noEndnote/>
          <w:docGrid w:linePitch="326"/>
        </w:sectPr>
      </w:pPr>
    </w:p>
    <w:p w14:paraId="3F3787CD" w14:textId="2A41BB46" w:rsidR="0082472A" w:rsidRPr="00E6110F" w:rsidRDefault="009B676B" w:rsidP="0082472A">
      <w:pPr>
        <w:pStyle w:val="Imagecaption"/>
        <w:keepNext/>
        <w:pBdr>
          <w:top w:val="none" w:sz="0" w:space="0" w:color="auto"/>
        </w:pBdr>
      </w:pPr>
      <w:bookmarkStart w:id="439" w:name="_Ref452898998"/>
      <w:bookmarkStart w:id="440" w:name="_Toc494444718"/>
      <w:r w:rsidRPr="00E6110F">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w:t>
      </w:r>
      <w:r w:rsidR="00470577">
        <w:fldChar w:fldCharType="end"/>
      </w:r>
      <w:bookmarkEnd w:id="439"/>
      <w:r w:rsidRPr="00E6110F">
        <w:t xml:space="preserve"> </w:t>
      </w:r>
      <w:r w:rsidR="00627EAD" w:rsidRPr="00E6110F">
        <w:t xml:space="preserve"> Summary of hydrochemical conditions for Gunnedah basin geology</w:t>
      </w:r>
      <w:r w:rsidR="009A3F0A" w:rsidRPr="00E6110F">
        <w:t xml:space="preserve"> (Well completion report)</w:t>
      </w:r>
      <w:r w:rsidR="0082472A" w:rsidRPr="00E6110F">
        <w:t>.</w:t>
      </w:r>
      <w:r w:rsidR="00DD4E2F">
        <w:t xml:space="preserve"> Hydrostatic pressure based on 15 locations within </w:t>
      </w:r>
      <w:r w:rsidR="00211393">
        <w:t>the study area</w:t>
      </w:r>
      <w:r w:rsidR="00DD4E2F">
        <w:t xml:space="preserve">. </w:t>
      </w:r>
      <w:r w:rsidR="00510412" w:rsidRPr="00E6110F">
        <w:t>* = median</w:t>
      </w:r>
      <w:r w:rsidR="0087049B" w:rsidRPr="00E6110F">
        <w:t>; # = mean</w:t>
      </w:r>
      <w:r w:rsidR="00DC76D2" w:rsidRPr="00E6110F">
        <w:t xml:space="preserve">; </w:t>
      </w:r>
      <w:r w:rsidR="00BE0D06" w:rsidRPr="00E6110F">
        <w:t xml:space="preserve">@ = estimated; </w:t>
      </w:r>
      <w:r w:rsidR="00DC76D2" w:rsidRPr="00E6110F">
        <w:t>n.d. = no data</w:t>
      </w:r>
      <w:r w:rsidR="007679C9">
        <w:t>.</w:t>
      </w:r>
      <w:bookmarkEnd w:id="440"/>
      <w:r w:rsidR="007679C9">
        <w:t xml:space="preserve"> </w:t>
      </w:r>
    </w:p>
    <w:tbl>
      <w:tblPr>
        <w:tblStyle w:val="TableGrid"/>
        <w:tblW w:w="14596" w:type="dxa"/>
        <w:tblLayout w:type="fixed"/>
        <w:tblLook w:val="04A0" w:firstRow="1" w:lastRow="0" w:firstColumn="1" w:lastColumn="0" w:noHBand="0" w:noVBand="1"/>
      </w:tblPr>
      <w:tblGrid>
        <w:gridCol w:w="1696"/>
        <w:gridCol w:w="1560"/>
        <w:gridCol w:w="1701"/>
        <w:gridCol w:w="992"/>
        <w:gridCol w:w="1276"/>
        <w:gridCol w:w="1275"/>
        <w:gridCol w:w="1418"/>
        <w:gridCol w:w="1417"/>
        <w:gridCol w:w="1276"/>
        <w:gridCol w:w="1985"/>
      </w:tblGrid>
      <w:tr w:rsidR="008003F4" w:rsidRPr="00E6110F" w14:paraId="41FBE1B5" w14:textId="77777777" w:rsidTr="00F6676D">
        <w:tc>
          <w:tcPr>
            <w:tcW w:w="1696" w:type="dxa"/>
            <w:shd w:val="clear" w:color="auto" w:fill="F2F2F2" w:themeFill="background1" w:themeFillShade="F2"/>
          </w:tcPr>
          <w:p w14:paraId="50619020" w14:textId="77777777" w:rsidR="008003F4" w:rsidRPr="00E6110F" w:rsidRDefault="008003F4" w:rsidP="00CC4E96">
            <w:r w:rsidRPr="00E6110F">
              <w:rPr>
                <w:rFonts w:ascii="Calibri" w:hAnsi="Calibri" w:cs="Calibri"/>
                <w:color w:val="000000"/>
                <w:sz w:val="18"/>
                <w:szCs w:val="18"/>
                <w:lang w:val="en-GB"/>
              </w:rPr>
              <w:t>Geology</w:t>
            </w:r>
          </w:p>
        </w:tc>
        <w:tc>
          <w:tcPr>
            <w:tcW w:w="1560" w:type="dxa"/>
            <w:shd w:val="clear" w:color="auto" w:fill="F2F2F2" w:themeFill="background1" w:themeFillShade="F2"/>
          </w:tcPr>
          <w:p w14:paraId="49E2EE7F" w14:textId="77777777" w:rsidR="008003F4" w:rsidRPr="00E6110F" w:rsidRDefault="008003F4" w:rsidP="00CE15FD">
            <w:pPr>
              <w:rPr>
                <w:rFonts w:ascii="Calibri" w:hAnsi="Calibri" w:cs="Calibri"/>
                <w:color w:val="000000"/>
                <w:sz w:val="18"/>
                <w:szCs w:val="18"/>
                <w:lang w:val="en-GB"/>
              </w:rPr>
            </w:pPr>
            <w:r w:rsidRPr="00E6110F">
              <w:rPr>
                <w:rFonts w:ascii="Calibri" w:hAnsi="Calibri" w:cs="Calibri"/>
                <w:color w:val="000000"/>
                <w:sz w:val="18"/>
                <w:szCs w:val="18"/>
                <w:lang w:val="en-GB"/>
              </w:rPr>
              <w:t>Lithology</w:t>
            </w:r>
          </w:p>
        </w:tc>
        <w:tc>
          <w:tcPr>
            <w:tcW w:w="1701" w:type="dxa"/>
            <w:shd w:val="clear" w:color="auto" w:fill="F2F2F2" w:themeFill="background1" w:themeFillShade="F2"/>
          </w:tcPr>
          <w:p w14:paraId="21E453EF" w14:textId="77777777" w:rsidR="008003F4" w:rsidRPr="00E6110F" w:rsidRDefault="008003F4" w:rsidP="00CE15FD">
            <w:pPr>
              <w:rPr>
                <w:rFonts w:ascii="Calibri" w:hAnsi="Calibri" w:cs="Calibri"/>
                <w:color w:val="000000"/>
                <w:sz w:val="18"/>
                <w:szCs w:val="18"/>
                <w:lang w:val="en-GB"/>
              </w:rPr>
            </w:pPr>
            <w:r w:rsidRPr="00E6110F">
              <w:rPr>
                <w:rFonts w:ascii="Calibri" w:hAnsi="Calibri" w:cs="Calibri"/>
                <w:color w:val="000000"/>
                <w:sz w:val="18"/>
                <w:szCs w:val="18"/>
                <w:lang w:val="en-GB"/>
              </w:rPr>
              <w:t>Relative proportion Mineral /clay type</w:t>
            </w:r>
          </w:p>
        </w:tc>
        <w:tc>
          <w:tcPr>
            <w:tcW w:w="992" w:type="dxa"/>
            <w:shd w:val="clear" w:color="auto" w:fill="F2F2F2" w:themeFill="background1" w:themeFillShade="F2"/>
          </w:tcPr>
          <w:p w14:paraId="4F74AA7A" w14:textId="77777777" w:rsidR="008003F4" w:rsidRPr="00E6110F" w:rsidRDefault="008003F4" w:rsidP="00CE15FD">
            <w:pPr>
              <w:rPr>
                <w:rFonts w:ascii="Calibri" w:hAnsi="Calibri" w:cs="Calibri"/>
                <w:color w:val="000000"/>
                <w:sz w:val="18"/>
                <w:szCs w:val="18"/>
                <w:lang w:val="en-GB"/>
              </w:rPr>
            </w:pPr>
            <w:r w:rsidRPr="00E6110F">
              <w:rPr>
                <w:rFonts w:ascii="Calibri" w:hAnsi="Calibri" w:cs="Calibri"/>
                <w:color w:val="000000"/>
                <w:sz w:val="18"/>
                <w:szCs w:val="18"/>
                <w:lang w:val="en-GB"/>
              </w:rPr>
              <w:t>pH</w:t>
            </w:r>
          </w:p>
        </w:tc>
        <w:tc>
          <w:tcPr>
            <w:tcW w:w="1276" w:type="dxa"/>
            <w:shd w:val="clear" w:color="auto" w:fill="F2F2F2" w:themeFill="background1" w:themeFillShade="F2"/>
          </w:tcPr>
          <w:p w14:paraId="49BCDC11" w14:textId="77777777" w:rsidR="008003F4" w:rsidRPr="00E6110F" w:rsidRDefault="008003F4" w:rsidP="00CE15FD">
            <w:pPr>
              <w:rPr>
                <w:rFonts w:ascii="Calibri" w:hAnsi="Calibri" w:cs="Calibri"/>
                <w:color w:val="000000"/>
                <w:sz w:val="18"/>
                <w:szCs w:val="18"/>
                <w:lang w:val="en-GB"/>
              </w:rPr>
            </w:pPr>
            <w:r w:rsidRPr="00E6110F">
              <w:rPr>
                <w:rFonts w:ascii="Calibri" w:hAnsi="Calibri" w:cs="Calibri"/>
                <w:color w:val="000000"/>
                <w:sz w:val="18"/>
                <w:szCs w:val="18"/>
                <w:lang w:val="en-GB"/>
              </w:rPr>
              <w:t>TDS (mg/L)</w:t>
            </w:r>
          </w:p>
        </w:tc>
        <w:tc>
          <w:tcPr>
            <w:tcW w:w="1275" w:type="dxa"/>
            <w:shd w:val="clear" w:color="auto" w:fill="F2F2F2" w:themeFill="background1" w:themeFillShade="F2"/>
          </w:tcPr>
          <w:p w14:paraId="6D535888" w14:textId="1043B9C6" w:rsidR="008003F4" w:rsidRPr="00E6110F" w:rsidRDefault="008003F4" w:rsidP="00501FBE">
            <w:pPr>
              <w:rPr>
                <w:rFonts w:ascii="Calibri" w:hAnsi="Calibri" w:cs="Calibri"/>
                <w:color w:val="000000"/>
                <w:sz w:val="18"/>
                <w:szCs w:val="18"/>
                <w:lang w:val="en-GB"/>
              </w:rPr>
            </w:pPr>
            <w:r w:rsidRPr="00E6110F">
              <w:rPr>
                <w:rFonts w:ascii="Calibri" w:hAnsi="Calibri" w:cs="Calibri"/>
                <w:color w:val="000000"/>
                <w:sz w:val="18"/>
                <w:szCs w:val="18"/>
                <w:lang w:val="en-GB"/>
              </w:rPr>
              <w:t>Temp</w:t>
            </w:r>
            <w:r w:rsidR="00501FBE" w:rsidRPr="00E6110F">
              <w:rPr>
                <w:rFonts w:ascii="Calibri" w:hAnsi="Calibri" w:cs="Calibri"/>
                <w:color w:val="000000"/>
                <w:sz w:val="18"/>
                <w:szCs w:val="18"/>
                <w:lang w:val="en-GB"/>
              </w:rPr>
              <w:t>erature (°C)</w:t>
            </w:r>
          </w:p>
        </w:tc>
        <w:tc>
          <w:tcPr>
            <w:tcW w:w="1418" w:type="dxa"/>
            <w:shd w:val="clear" w:color="auto" w:fill="F2F2F2" w:themeFill="background1" w:themeFillShade="F2"/>
          </w:tcPr>
          <w:p w14:paraId="317849E0" w14:textId="3A2848C6" w:rsidR="008003F4" w:rsidRPr="00E6110F" w:rsidRDefault="007679C9" w:rsidP="007679C9">
            <w:pPr>
              <w:rPr>
                <w:rFonts w:ascii="Calibri" w:hAnsi="Calibri" w:cs="Calibri"/>
                <w:color w:val="000000"/>
                <w:sz w:val="18"/>
                <w:szCs w:val="18"/>
                <w:lang w:val="en-GB"/>
              </w:rPr>
            </w:pPr>
            <w:r>
              <w:rPr>
                <w:rFonts w:ascii="Calibri" w:hAnsi="Calibri" w:cs="Calibri"/>
                <w:color w:val="000000"/>
                <w:sz w:val="18"/>
                <w:szCs w:val="18"/>
                <w:lang w:val="en-GB"/>
              </w:rPr>
              <w:t>Hydrostatic p</w:t>
            </w:r>
            <w:r w:rsidR="008003F4" w:rsidRPr="00E6110F">
              <w:rPr>
                <w:rFonts w:ascii="Calibri" w:hAnsi="Calibri" w:cs="Calibri"/>
                <w:color w:val="000000"/>
                <w:sz w:val="18"/>
                <w:szCs w:val="18"/>
                <w:lang w:val="en-GB"/>
              </w:rPr>
              <w:t>ressure</w:t>
            </w:r>
            <w:r w:rsidR="00F579FC">
              <w:rPr>
                <w:rFonts w:ascii="ZWAdobeF" w:hAnsi="ZWAdobeF" w:cs="ZWAdobeF"/>
                <w:sz w:val="2"/>
                <w:szCs w:val="2"/>
                <w:lang w:val="en-GB"/>
              </w:rPr>
              <w:t>17F</w:t>
            </w:r>
            <w:r>
              <w:rPr>
                <w:rStyle w:val="FootnoteReference"/>
                <w:rFonts w:ascii="Calibri" w:hAnsi="Calibri" w:cs="Calibri"/>
                <w:color w:val="000000"/>
                <w:sz w:val="18"/>
                <w:szCs w:val="18"/>
                <w:lang w:val="en-GB"/>
              </w:rPr>
              <w:footnoteReference w:id="16"/>
            </w:r>
            <w:r w:rsidR="00DF7141" w:rsidRPr="00E6110F">
              <w:rPr>
                <w:rFonts w:ascii="Calibri" w:hAnsi="Calibri" w:cs="Calibri"/>
                <w:color w:val="000000"/>
                <w:sz w:val="18"/>
                <w:szCs w:val="18"/>
                <w:lang w:val="en-GB"/>
              </w:rPr>
              <w:t xml:space="preserve"> (m)</w:t>
            </w:r>
          </w:p>
        </w:tc>
        <w:tc>
          <w:tcPr>
            <w:tcW w:w="1417" w:type="dxa"/>
            <w:shd w:val="clear" w:color="auto" w:fill="F2F2F2" w:themeFill="background1" w:themeFillShade="F2"/>
          </w:tcPr>
          <w:p w14:paraId="6EB6E293" w14:textId="77777777" w:rsidR="008003F4" w:rsidRPr="00E6110F" w:rsidRDefault="008003F4" w:rsidP="00CE15FD">
            <w:pPr>
              <w:rPr>
                <w:rFonts w:ascii="Calibri" w:hAnsi="Calibri" w:cs="Calibri"/>
                <w:color w:val="000000"/>
                <w:sz w:val="18"/>
                <w:szCs w:val="18"/>
                <w:lang w:val="en-GB"/>
              </w:rPr>
            </w:pPr>
            <w:r w:rsidRPr="00E6110F">
              <w:rPr>
                <w:rFonts w:ascii="Calibri" w:hAnsi="Calibri" w:cs="Calibri"/>
                <w:color w:val="000000"/>
                <w:sz w:val="18"/>
                <w:szCs w:val="18"/>
                <w:lang w:val="en-GB"/>
              </w:rPr>
              <w:t>Carbon content (%)</w:t>
            </w:r>
          </w:p>
        </w:tc>
        <w:tc>
          <w:tcPr>
            <w:tcW w:w="1276" w:type="dxa"/>
            <w:shd w:val="clear" w:color="auto" w:fill="F2F2F2" w:themeFill="background1" w:themeFillShade="F2"/>
          </w:tcPr>
          <w:p w14:paraId="791F1730" w14:textId="77777777" w:rsidR="008003F4" w:rsidRPr="00E6110F" w:rsidRDefault="008003F4" w:rsidP="00CE15FD">
            <w:pPr>
              <w:rPr>
                <w:rFonts w:ascii="Calibri" w:hAnsi="Calibri" w:cs="Calibri"/>
                <w:color w:val="000000"/>
                <w:sz w:val="18"/>
                <w:szCs w:val="18"/>
                <w:lang w:val="en-GB"/>
              </w:rPr>
            </w:pPr>
            <w:r w:rsidRPr="00E6110F">
              <w:rPr>
                <w:rFonts w:ascii="Calibri" w:hAnsi="Calibri" w:cs="Calibri"/>
                <w:color w:val="000000"/>
                <w:sz w:val="18"/>
                <w:szCs w:val="18"/>
                <w:lang w:val="en-GB"/>
              </w:rPr>
              <w:t>Redox status</w:t>
            </w:r>
          </w:p>
        </w:tc>
        <w:tc>
          <w:tcPr>
            <w:tcW w:w="1985" w:type="dxa"/>
            <w:shd w:val="clear" w:color="auto" w:fill="F2F2F2" w:themeFill="background1" w:themeFillShade="F2"/>
          </w:tcPr>
          <w:p w14:paraId="38C97AF5" w14:textId="3A8F7C06" w:rsidR="008003F4" w:rsidRPr="00E6110F" w:rsidRDefault="008003F4" w:rsidP="00CE15FD">
            <w:pPr>
              <w:rPr>
                <w:rFonts w:ascii="Calibri" w:hAnsi="Calibri" w:cs="Calibri"/>
                <w:color w:val="000000"/>
                <w:sz w:val="18"/>
                <w:szCs w:val="18"/>
                <w:lang w:val="en-GB"/>
              </w:rPr>
            </w:pPr>
            <w:r w:rsidRPr="00E6110F">
              <w:rPr>
                <w:rFonts w:ascii="Calibri" w:hAnsi="Calibri" w:cs="Calibri"/>
                <w:color w:val="000000"/>
                <w:sz w:val="18"/>
                <w:szCs w:val="18"/>
                <w:lang w:val="en-GB"/>
              </w:rPr>
              <w:t>Microbial activity status (low, medium, high)</w:t>
            </w:r>
          </w:p>
        </w:tc>
      </w:tr>
      <w:tr w:rsidR="00132DA9" w:rsidRPr="00E6110F" w14:paraId="147111CB" w14:textId="77777777" w:rsidTr="00F6676D">
        <w:tc>
          <w:tcPr>
            <w:tcW w:w="1696" w:type="dxa"/>
          </w:tcPr>
          <w:p w14:paraId="5F974828" w14:textId="77777777" w:rsidR="00132DA9" w:rsidRPr="00E6110F" w:rsidRDefault="00132DA9" w:rsidP="00132DA9">
            <w:pPr>
              <w:pStyle w:val="Body"/>
            </w:pPr>
            <w:r w:rsidRPr="00E6110F">
              <w:t>Namoi alluvium</w:t>
            </w:r>
          </w:p>
        </w:tc>
        <w:tc>
          <w:tcPr>
            <w:tcW w:w="1560" w:type="dxa"/>
          </w:tcPr>
          <w:p w14:paraId="49B81DBE" w14:textId="77777777" w:rsidR="00132DA9" w:rsidRPr="00E6110F" w:rsidRDefault="00132DA9" w:rsidP="00132DA9">
            <w:pPr>
              <w:pStyle w:val="Body"/>
            </w:pPr>
            <w:r w:rsidRPr="00E6110F">
              <w:t>gravel/sand</w:t>
            </w:r>
          </w:p>
        </w:tc>
        <w:tc>
          <w:tcPr>
            <w:tcW w:w="1701" w:type="dxa"/>
          </w:tcPr>
          <w:p w14:paraId="3759DB7D" w14:textId="3906582F" w:rsidR="00132DA9" w:rsidRPr="00E6110F" w:rsidRDefault="00132DA9" w:rsidP="00132DA9">
            <w:pPr>
              <w:pStyle w:val="Body"/>
            </w:pPr>
            <w:r w:rsidRPr="00E6110F">
              <w:t>mostly quartz</w:t>
            </w:r>
          </w:p>
        </w:tc>
        <w:tc>
          <w:tcPr>
            <w:tcW w:w="992" w:type="dxa"/>
          </w:tcPr>
          <w:p w14:paraId="563744F0" w14:textId="289A61A9" w:rsidR="00132DA9" w:rsidRPr="00E6110F" w:rsidRDefault="00132DA9" w:rsidP="00132DA9">
            <w:pPr>
              <w:pStyle w:val="Body"/>
            </w:pPr>
            <w:r w:rsidRPr="00E6110F">
              <w:t>7–9 (8</w:t>
            </w:r>
            <w:r w:rsidRPr="00E6110F">
              <w:rPr>
                <w:vertAlign w:val="superscript"/>
              </w:rPr>
              <w:t>*</w:t>
            </w:r>
            <w:r w:rsidRPr="00E6110F">
              <w:t>)</w:t>
            </w:r>
          </w:p>
        </w:tc>
        <w:tc>
          <w:tcPr>
            <w:tcW w:w="1276" w:type="dxa"/>
          </w:tcPr>
          <w:p w14:paraId="215C9DE8" w14:textId="77777777" w:rsidR="00132DA9" w:rsidRPr="00E6110F" w:rsidRDefault="00132DA9" w:rsidP="00132DA9">
            <w:pPr>
              <w:pStyle w:val="Body"/>
            </w:pPr>
            <w:r w:rsidRPr="00E6110F">
              <w:t>300–3,000</w:t>
            </w:r>
          </w:p>
          <w:p w14:paraId="79228447" w14:textId="0F660AD1" w:rsidR="00132DA9" w:rsidRPr="00E6110F" w:rsidRDefault="00132DA9" w:rsidP="00132DA9">
            <w:pPr>
              <w:pStyle w:val="Body"/>
            </w:pPr>
            <w:r w:rsidRPr="00E6110F">
              <w:t>(700</w:t>
            </w:r>
            <w:r w:rsidRPr="00E6110F">
              <w:rPr>
                <w:vertAlign w:val="superscript"/>
              </w:rPr>
              <w:t>*</w:t>
            </w:r>
            <w:r w:rsidRPr="00E6110F">
              <w:t>)</w:t>
            </w:r>
          </w:p>
        </w:tc>
        <w:tc>
          <w:tcPr>
            <w:tcW w:w="1275" w:type="dxa"/>
          </w:tcPr>
          <w:p w14:paraId="3C397E12" w14:textId="61C0C9D7" w:rsidR="00132DA9" w:rsidRPr="00E6110F" w:rsidRDefault="00132DA9" w:rsidP="00132DA9">
            <w:pPr>
              <w:pStyle w:val="Body"/>
            </w:pPr>
            <w:r w:rsidRPr="00E6110F">
              <w:t>Assume surface</w:t>
            </w:r>
            <w:r w:rsidR="005D49FD" w:rsidRPr="00E6110F">
              <w:t xml:space="preserve"> conditions</w:t>
            </w:r>
          </w:p>
        </w:tc>
        <w:tc>
          <w:tcPr>
            <w:tcW w:w="1418" w:type="dxa"/>
          </w:tcPr>
          <w:p w14:paraId="365B6F51" w14:textId="4F97C333" w:rsidR="00132DA9" w:rsidRPr="00E6110F" w:rsidRDefault="00814C44" w:rsidP="00814C44">
            <w:pPr>
              <w:pStyle w:val="Body"/>
            </w:pPr>
            <w:r>
              <w:rPr>
                <w:color w:val="000000" w:themeColor="text1"/>
              </w:rPr>
              <w:t>64</w:t>
            </w:r>
            <w:r w:rsidR="00186A83" w:rsidRPr="004F28A8">
              <w:rPr>
                <w:color w:val="000000" w:themeColor="text1"/>
              </w:rPr>
              <w:t xml:space="preserve"> – 1</w:t>
            </w:r>
            <w:r>
              <w:rPr>
                <w:color w:val="000000" w:themeColor="text1"/>
              </w:rPr>
              <w:t>23</w:t>
            </w:r>
            <w:r w:rsidR="00186A83" w:rsidRPr="004F28A8">
              <w:rPr>
                <w:color w:val="000000" w:themeColor="text1"/>
              </w:rPr>
              <w:t xml:space="preserve"> </w:t>
            </w:r>
            <w:r w:rsidR="00132DA9" w:rsidRPr="00E6110F">
              <w:t>(</w:t>
            </w:r>
            <w:r>
              <w:t>88</w:t>
            </w:r>
            <w:r w:rsidR="00132DA9" w:rsidRPr="00E6110F">
              <w:rPr>
                <w:vertAlign w:val="superscript"/>
              </w:rPr>
              <w:t>*</w:t>
            </w:r>
            <w:r w:rsidR="00132DA9" w:rsidRPr="00E6110F">
              <w:t>)</w:t>
            </w:r>
          </w:p>
        </w:tc>
        <w:tc>
          <w:tcPr>
            <w:tcW w:w="1417" w:type="dxa"/>
          </w:tcPr>
          <w:p w14:paraId="6CCA397C" w14:textId="77777777" w:rsidR="00132DA9" w:rsidRPr="00E6110F" w:rsidRDefault="00132DA9" w:rsidP="00132DA9">
            <w:pPr>
              <w:pStyle w:val="Body"/>
            </w:pPr>
            <w:r w:rsidRPr="00E6110F">
              <w:t>0.1</w:t>
            </w:r>
          </w:p>
        </w:tc>
        <w:tc>
          <w:tcPr>
            <w:tcW w:w="1276" w:type="dxa"/>
          </w:tcPr>
          <w:p w14:paraId="250C39B1" w14:textId="2F76A37A" w:rsidR="00132DA9" w:rsidRPr="00E6110F" w:rsidRDefault="00132DA9" w:rsidP="00132DA9">
            <w:pPr>
              <w:pStyle w:val="Body"/>
            </w:pPr>
            <w:r w:rsidRPr="00E6110F">
              <w:t>Oxidising</w:t>
            </w:r>
          </w:p>
        </w:tc>
        <w:tc>
          <w:tcPr>
            <w:tcW w:w="1985" w:type="dxa"/>
          </w:tcPr>
          <w:p w14:paraId="610E07A7" w14:textId="46B67ACE" w:rsidR="00132DA9" w:rsidRPr="00E6110F" w:rsidRDefault="00132DA9" w:rsidP="00F6676D">
            <w:pPr>
              <w:pStyle w:val="Body"/>
            </w:pPr>
            <w:r w:rsidRPr="00E6110F">
              <w:t xml:space="preserve">Medium </w:t>
            </w:r>
            <w:r w:rsidR="00F6676D" w:rsidRPr="00E6110F">
              <w:t>(aerobic for shallow groundwater, anaerobic for deeper groundwater)</w:t>
            </w:r>
          </w:p>
        </w:tc>
      </w:tr>
      <w:tr w:rsidR="00132DA9" w:rsidRPr="00E6110F" w14:paraId="5C11257C" w14:textId="77777777" w:rsidTr="00F6676D">
        <w:tc>
          <w:tcPr>
            <w:tcW w:w="1696" w:type="dxa"/>
          </w:tcPr>
          <w:p w14:paraId="50C44939" w14:textId="77777777" w:rsidR="00132DA9" w:rsidRPr="00E6110F" w:rsidRDefault="00132DA9" w:rsidP="00132DA9">
            <w:pPr>
              <w:pStyle w:val="Body"/>
            </w:pPr>
            <w:r w:rsidRPr="00E6110F">
              <w:t>Pilliga sandstone</w:t>
            </w:r>
          </w:p>
        </w:tc>
        <w:tc>
          <w:tcPr>
            <w:tcW w:w="1560" w:type="dxa"/>
          </w:tcPr>
          <w:p w14:paraId="1539FD8E" w14:textId="150D347C" w:rsidR="00132DA9" w:rsidRPr="00E6110F" w:rsidRDefault="00433AC7" w:rsidP="00132DA9">
            <w:pPr>
              <w:pStyle w:val="Body"/>
            </w:pPr>
            <w:r w:rsidRPr="00E6110F">
              <w:t>S</w:t>
            </w:r>
            <w:r w:rsidR="00132DA9" w:rsidRPr="00E6110F">
              <w:t>andstone</w:t>
            </w:r>
          </w:p>
        </w:tc>
        <w:tc>
          <w:tcPr>
            <w:tcW w:w="1701" w:type="dxa"/>
          </w:tcPr>
          <w:p w14:paraId="6CC0EF00" w14:textId="279A9D68" w:rsidR="00132DA9" w:rsidRPr="00E6110F" w:rsidRDefault="00132DA9" w:rsidP="00132DA9">
            <w:pPr>
              <w:pStyle w:val="Body"/>
            </w:pPr>
            <w:r w:rsidRPr="00E6110F">
              <w:t>mostly quartz with conglomerates (silica), minor silt</w:t>
            </w:r>
          </w:p>
        </w:tc>
        <w:tc>
          <w:tcPr>
            <w:tcW w:w="992" w:type="dxa"/>
          </w:tcPr>
          <w:p w14:paraId="7DBFD178" w14:textId="1DE86043" w:rsidR="00132DA9" w:rsidRPr="00E6110F" w:rsidRDefault="00132DA9" w:rsidP="00132DA9">
            <w:pPr>
              <w:pStyle w:val="Body"/>
            </w:pPr>
            <w:r w:rsidRPr="00E6110F">
              <w:t>7–8 (7.6</w:t>
            </w:r>
            <w:r w:rsidRPr="00E6110F">
              <w:rPr>
                <w:vertAlign w:val="superscript"/>
              </w:rPr>
              <w:t>*</w:t>
            </w:r>
            <w:r w:rsidRPr="00E6110F">
              <w:t>)</w:t>
            </w:r>
          </w:p>
        </w:tc>
        <w:tc>
          <w:tcPr>
            <w:tcW w:w="1276" w:type="dxa"/>
          </w:tcPr>
          <w:p w14:paraId="42D3ED84" w14:textId="77777777" w:rsidR="00132DA9" w:rsidRPr="00E6110F" w:rsidRDefault="00132DA9" w:rsidP="00132DA9">
            <w:pPr>
              <w:pStyle w:val="Body"/>
            </w:pPr>
            <w:r w:rsidRPr="00E6110F">
              <w:t>500-6,000</w:t>
            </w:r>
          </w:p>
          <w:p w14:paraId="574BC3C8" w14:textId="0A46296E" w:rsidR="00132DA9" w:rsidRPr="00E6110F" w:rsidRDefault="00132DA9" w:rsidP="00132DA9">
            <w:pPr>
              <w:pStyle w:val="Body"/>
            </w:pPr>
            <w:r w:rsidRPr="00E6110F">
              <w:t>(900</w:t>
            </w:r>
            <w:r w:rsidRPr="00E6110F">
              <w:rPr>
                <w:vertAlign w:val="superscript"/>
              </w:rPr>
              <w:t>*</w:t>
            </w:r>
            <w:r w:rsidRPr="00E6110F">
              <w:t>)</w:t>
            </w:r>
          </w:p>
        </w:tc>
        <w:tc>
          <w:tcPr>
            <w:tcW w:w="1275" w:type="dxa"/>
          </w:tcPr>
          <w:p w14:paraId="4EA8B824" w14:textId="0725BFE2" w:rsidR="00132DA9" w:rsidRPr="00E6110F" w:rsidRDefault="00132DA9" w:rsidP="00132DA9">
            <w:pPr>
              <w:pStyle w:val="Body"/>
            </w:pPr>
            <w:r w:rsidRPr="00E6110F">
              <w:t>20-58 (40</w:t>
            </w:r>
            <w:r w:rsidRPr="00E6110F">
              <w:rPr>
                <w:vertAlign w:val="superscript"/>
              </w:rPr>
              <w:t>#</w:t>
            </w:r>
            <w:r w:rsidRPr="00E6110F">
              <w:t>)</w:t>
            </w:r>
          </w:p>
        </w:tc>
        <w:tc>
          <w:tcPr>
            <w:tcW w:w="1418" w:type="dxa"/>
          </w:tcPr>
          <w:p w14:paraId="3C8E53B6" w14:textId="35D5CF00" w:rsidR="00132DA9" w:rsidRPr="00E6110F" w:rsidRDefault="00814C44" w:rsidP="00814C44">
            <w:pPr>
              <w:pStyle w:val="Body"/>
            </w:pPr>
            <w:r>
              <w:rPr>
                <w:color w:val="000000" w:themeColor="text1"/>
              </w:rPr>
              <w:t>67</w:t>
            </w:r>
            <w:r w:rsidRPr="004F28A8">
              <w:rPr>
                <w:color w:val="000000" w:themeColor="text1"/>
              </w:rPr>
              <w:t xml:space="preserve"> – </w:t>
            </w:r>
            <w:r>
              <w:rPr>
                <w:color w:val="000000" w:themeColor="text1"/>
              </w:rPr>
              <w:t>427</w:t>
            </w:r>
            <w:r w:rsidRPr="004F28A8">
              <w:rPr>
                <w:color w:val="000000" w:themeColor="text1"/>
              </w:rPr>
              <w:t xml:space="preserve"> </w:t>
            </w:r>
            <w:r w:rsidRPr="00E6110F">
              <w:t>(</w:t>
            </w:r>
            <w:r>
              <w:t>125</w:t>
            </w:r>
            <w:r w:rsidRPr="00E6110F">
              <w:rPr>
                <w:vertAlign w:val="superscript"/>
              </w:rPr>
              <w:t>*</w:t>
            </w:r>
            <w:r w:rsidRPr="00E6110F">
              <w:t>)</w:t>
            </w:r>
          </w:p>
        </w:tc>
        <w:tc>
          <w:tcPr>
            <w:tcW w:w="1417" w:type="dxa"/>
          </w:tcPr>
          <w:p w14:paraId="3B2E489B" w14:textId="77777777" w:rsidR="00132DA9" w:rsidRPr="00E6110F" w:rsidRDefault="00132DA9" w:rsidP="00132DA9">
            <w:pPr>
              <w:pStyle w:val="Body"/>
            </w:pPr>
            <w:r w:rsidRPr="00E6110F">
              <w:t>0</w:t>
            </w:r>
          </w:p>
        </w:tc>
        <w:tc>
          <w:tcPr>
            <w:tcW w:w="1276" w:type="dxa"/>
          </w:tcPr>
          <w:p w14:paraId="79A433D4" w14:textId="58FDDDD4" w:rsidR="00132DA9" w:rsidRPr="00E6110F" w:rsidRDefault="00132DA9" w:rsidP="00132DA9">
            <w:pPr>
              <w:pStyle w:val="Body"/>
            </w:pPr>
            <w:r w:rsidRPr="00E6110F">
              <w:t>Oxidising/</w:t>
            </w:r>
            <w:r w:rsidR="00F6676D" w:rsidRPr="00E6110F">
              <w:t xml:space="preserve"> </w:t>
            </w:r>
            <w:r w:rsidRPr="00E6110F">
              <w:t>Reducing</w:t>
            </w:r>
          </w:p>
        </w:tc>
        <w:tc>
          <w:tcPr>
            <w:tcW w:w="1985" w:type="dxa"/>
          </w:tcPr>
          <w:p w14:paraId="2B653DD5" w14:textId="23FC0C7B" w:rsidR="00132DA9" w:rsidRPr="00E6110F" w:rsidRDefault="00132DA9" w:rsidP="00132DA9">
            <w:pPr>
              <w:pStyle w:val="Body"/>
            </w:pPr>
            <w:r w:rsidRPr="00E6110F">
              <w:t>Low</w:t>
            </w:r>
            <w:r w:rsidR="00F6676D" w:rsidRPr="00E6110F">
              <w:t xml:space="preserve"> (anaerobic)</w:t>
            </w:r>
          </w:p>
        </w:tc>
      </w:tr>
      <w:tr w:rsidR="00132DA9" w:rsidRPr="00E6110F" w14:paraId="3C89798E" w14:textId="77777777" w:rsidTr="00F6676D">
        <w:tc>
          <w:tcPr>
            <w:tcW w:w="1696" w:type="dxa"/>
          </w:tcPr>
          <w:p w14:paraId="18D7E848" w14:textId="77777777" w:rsidR="00132DA9" w:rsidRPr="00E6110F" w:rsidRDefault="00132DA9" w:rsidP="00132DA9">
            <w:pPr>
              <w:pStyle w:val="Body"/>
              <w:rPr>
                <w:strike/>
              </w:rPr>
            </w:pPr>
            <w:r w:rsidRPr="00E6110F">
              <w:t>Blythesdale Group</w:t>
            </w:r>
          </w:p>
        </w:tc>
        <w:tc>
          <w:tcPr>
            <w:tcW w:w="1560" w:type="dxa"/>
          </w:tcPr>
          <w:p w14:paraId="2DF6CAA7" w14:textId="4467B563" w:rsidR="00132DA9" w:rsidRPr="00E6110F" w:rsidRDefault="00132DA9" w:rsidP="00132DA9">
            <w:pPr>
              <w:pStyle w:val="Body"/>
            </w:pPr>
            <w:r w:rsidRPr="00E6110F">
              <w:t xml:space="preserve">medium- to coarse-grained sandstone, siltstone </w:t>
            </w:r>
            <w:r w:rsidR="004A7452">
              <w:t>and</w:t>
            </w:r>
            <w:r w:rsidRPr="00E6110F">
              <w:t xml:space="preserve"> shale</w:t>
            </w:r>
          </w:p>
        </w:tc>
        <w:tc>
          <w:tcPr>
            <w:tcW w:w="1701" w:type="dxa"/>
          </w:tcPr>
          <w:p w14:paraId="6FC940DB" w14:textId="6D6DE4A6" w:rsidR="00132DA9" w:rsidRPr="00E6110F" w:rsidRDefault="00132DA9" w:rsidP="00132DA9">
            <w:pPr>
              <w:pStyle w:val="Body"/>
            </w:pPr>
            <w:r w:rsidRPr="00E6110F">
              <w:t>mostly quartz with conglomerates (silica), minor silt and mudstone</w:t>
            </w:r>
          </w:p>
        </w:tc>
        <w:tc>
          <w:tcPr>
            <w:tcW w:w="992" w:type="dxa"/>
          </w:tcPr>
          <w:p w14:paraId="16CA09BF" w14:textId="3A44FE4E" w:rsidR="00132DA9" w:rsidRPr="00E6110F" w:rsidRDefault="00285673" w:rsidP="00132DA9">
            <w:pPr>
              <w:rPr>
                <w:rFonts w:ascii="Calibri" w:hAnsi="Calibri" w:cs="Calibri"/>
                <w:color w:val="000000"/>
                <w:sz w:val="18"/>
                <w:szCs w:val="18"/>
                <w:lang w:val="en-GB"/>
              </w:rPr>
            </w:pPr>
            <w:r w:rsidRPr="00E6110F">
              <w:rPr>
                <w:rFonts w:ascii="Calibri" w:hAnsi="Calibri" w:cs="Calibri"/>
                <w:color w:val="000000"/>
                <w:sz w:val="18"/>
                <w:szCs w:val="18"/>
                <w:lang w:val="en-GB"/>
              </w:rPr>
              <w:t>n.d.</w:t>
            </w:r>
          </w:p>
        </w:tc>
        <w:tc>
          <w:tcPr>
            <w:tcW w:w="1276" w:type="dxa"/>
          </w:tcPr>
          <w:p w14:paraId="5FE4A559" w14:textId="1A460156" w:rsidR="00132DA9" w:rsidRPr="00E6110F" w:rsidRDefault="00285673" w:rsidP="00132DA9">
            <w:pPr>
              <w:rPr>
                <w:rFonts w:ascii="Calibri" w:hAnsi="Calibri" w:cs="Calibri"/>
                <w:color w:val="000000"/>
                <w:sz w:val="18"/>
                <w:szCs w:val="18"/>
                <w:lang w:val="en-GB"/>
              </w:rPr>
            </w:pPr>
            <w:r w:rsidRPr="00E6110F">
              <w:rPr>
                <w:rFonts w:ascii="Calibri" w:hAnsi="Calibri" w:cs="Calibri"/>
                <w:color w:val="000000"/>
                <w:sz w:val="18"/>
                <w:szCs w:val="18"/>
                <w:lang w:val="en-GB"/>
              </w:rPr>
              <w:t>n.d.</w:t>
            </w:r>
          </w:p>
        </w:tc>
        <w:tc>
          <w:tcPr>
            <w:tcW w:w="1275" w:type="dxa"/>
          </w:tcPr>
          <w:p w14:paraId="0CD366B7" w14:textId="2741AF6B" w:rsidR="00132DA9" w:rsidRPr="00E6110F" w:rsidRDefault="00132DA9" w:rsidP="00132DA9">
            <w:pPr>
              <w:pStyle w:val="Body"/>
            </w:pPr>
            <w:r w:rsidRPr="00E6110F">
              <w:t>28-28.5 (28.3</w:t>
            </w:r>
            <w:r w:rsidRPr="00E6110F">
              <w:rPr>
                <w:vertAlign w:val="superscript"/>
              </w:rPr>
              <w:t>#</w:t>
            </w:r>
            <w:r w:rsidRPr="00E6110F">
              <w:t>)</w:t>
            </w:r>
          </w:p>
        </w:tc>
        <w:tc>
          <w:tcPr>
            <w:tcW w:w="1418" w:type="dxa"/>
          </w:tcPr>
          <w:p w14:paraId="409FE3C3" w14:textId="667304D2" w:rsidR="00132DA9" w:rsidRPr="00E6110F" w:rsidRDefault="00814C44" w:rsidP="00814C44">
            <w:pPr>
              <w:pStyle w:val="Body"/>
            </w:pPr>
            <w:r>
              <w:rPr>
                <w:color w:val="000000" w:themeColor="text1"/>
              </w:rPr>
              <w:t>1</w:t>
            </w:r>
            <w:r w:rsidRPr="004F28A8">
              <w:rPr>
                <w:color w:val="000000" w:themeColor="text1"/>
              </w:rPr>
              <w:t xml:space="preserve"> – </w:t>
            </w:r>
            <w:r>
              <w:rPr>
                <w:color w:val="000000" w:themeColor="text1"/>
              </w:rPr>
              <w:t>197</w:t>
            </w:r>
            <w:r w:rsidRPr="004F28A8">
              <w:rPr>
                <w:color w:val="000000" w:themeColor="text1"/>
              </w:rPr>
              <w:t xml:space="preserve"> </w:t>
            </w:r>
            <w:r w:rsidRPr="00E6110F">
              <w:t>(</w:t>
            </w:r>
            <w:r>
              <w:t>39</w:t>
            </w:r>
            <w:r w:rsidRPr="00E6110F">
              <w:rPr>
                <w:vertAlign w:val="superscript"/>
              </w:rPr>
              <w:t>*</w:t>
            </w:r>
            <w:r w:rsidRPr="00E6110F">
              <w:t>)</w:t>
            </w:r>
          </w:p>
        </w:tc>
        <w:tc>
          <w:tcPr>
            <w:tcW w:w="1417" w:type="dxa"/>
          </w:tcPr>
          <w:p w14:paraId="50F188A1" w14:textId="77777777" w:rsidR="00132DA9" w:rsidRPr="00E6110F" w:rsidRDefault="00132DA9" w:rsidP="00132DA9">
            <w:pPr>
              <w:pStyle w:val="Body"/>
            </w:pPr>
            <w:r w:rsidRPr="00E6110F">
              <w:t>0.083</w:t>
            </w:r>
          </w:p>
        </w:tc>
        <w:tc>
          <w:tcPr>
            <w:tcW w:w="1276" w:type="dxa"/>
          </w:tcPr>
          <w:p w14:paraId="5D136BB1" w14:textId="08DA8EE0" w:rsidR="00132DA9" w:rsidRPr="00E6110F" w:rsidRDefault="00132DA9" w:rsidP="00132DA9">
            <w:pPr>
              <w:pStyle w:val="Body"/>
            </w:pPr>
            <w:r w:rsidRPr="00E6110F">
              <w:t>Reducing</w:t>
            </w:r>
          </w:p>
        </w:tc>
        <w:tc>
          <w:tcPr>
            <w:tcW w:w="1985" w:type="dxa"/>
          </w:tcPr>
          <w:p w14:paraId="4D175205" w14:textId="71972497" w:rsidR="00132DA9" w:rsidRPr="00E6110F" w:rsidRDefault="00132DA9" w:rsidP="00132DA9">
            <w:pPr>
              <w:pStyle w:val="Body"/>
            </w:pPr>
            <w:r w:rsidRPr="00E6110F">
              <w:t>Low</w:t>
            </w:r>
            <w:r w:rsidR="00F6676D" w:rsidRPr="00E6110F">
              <w:t xml:space="preserve"> (anaerobic)</w:t>
            </w:r>
          </w:p>
        </w:tc>
      </w:tr>
      <w:tr w:rsidR="008003F4" w:rsidRPr="00E6110F" w14:paraId="78D0BB93" w14:textId="77777777" w:rsidTr="00F6676D">
        <w:tc>
          <w:tcPr>
            <w:tcW w:w="1696" w:type="dxa"/>
          </w:tcPr>
          <w:p w14:paraId="010919E0" w14:textId="1635229D" w:rsidR="008003F4" w:rsidRPr="00E6110F" w:rsidRDefault="008A5596" w:rsidP="008A5596">
            <w:pPr>
              <w:pStyle w:val="Body"/>
            </w:pPr>
            <w:r w:rsidRPr="00E6110F">
              <w:t>Hoskisson seam</w:t>
            </w:r>
          </w:p>
        </w:tc>
        <w:tc>
          <w:tcPr>
            <w:tcW w:w="1560" w:type="dxa"/>
          </w:tcPr>
          <w:p w14:paraId="55325F52" w14:textId="269A0EAB" w:rsidR="008003F4" w:rsidRPr="00E6110F" w:rsidRDefault="00FF0320" w:rsidP="00CE15FD">
            <w:pPr>
              <w:pStyle w:val="Body"/>
            </w:pPr>
            <w:r w:rsidRPr="00E6110F">
              <w:t>c</w:t>
            </w:r>
            <w:r w:rsidR="008003F4" w:rsidRPr="00E6110F">
              <w:t>oal and mudstone</w:t>
            </w:r>
          </w:p>
        </w:tc>
        <w:tc>
          <w:tcPr>
            <w:tcW w:w="1701" w:type="dxa"/>
          </w:tcPr>
          <w:p w14:paraId="087FA86E" w14:textId="4358AD74" w:rsidR="008003F4" w:rsidRPr="00E6110F" w:rsidRDefault="00485271" w:rsidP="00485271">
            <w:pPr>
              <w:pStyle w:val="Body"/>
            </w:pPr>
            <w:r w:rsidRPr="00E6110F">
              <w:t>interbedded coals, silts and quartzose channel sands</w:t>
            </w:r>
          </w:p>
        </w:tc>
        <w:tc>
          <w:tcPr>
            <w:tcW w:w="992" w:type="dxa"/>
          </w:tcPr>
          <w:p w14:paraId="0F83F7E0" w14:textId="390ACD6C" w:rsidR="008003F4" w:rsidRPr="00E6110F" w:rsidRDefault="00510412" w:rsidP="00510412">
            <w:pPr>
              <w:pStyle w:val="Body"/>
            </w:pPr>
            <w:r w:rsidRPr="00E6110F">
              <w:t>7-</w:t>
            </w:r>
            <w:r w:rsidR="008003F4" w:rsidRPr="00E6110F">
              <w:t>9</w:t>
            </w:r>
            <w:r w:rsidRPr="00E6110F">
              <w:t xml:space="preserve"> (</w:t>
            </w:r>
            <w:r w:rsidR="008003F4" w:rsidRPr="00E6110F">
              <w:t>7.7</w:t>
            </w:r>
            <w:r w:rsidRPr="00E6110F">
              <w:rPr>
                <w:vertAlign w:val="superscript"/>
              </w:rPr>
              <w:t>*</w:t>
            </w:r>
            <w:r w:rsidRPr="00E6110F">
              <w:t>)</w:t>
            </w:r>
          </w:p>
        </w:tc>
        <w:tc>
          <w:tcPr>
            <w:tcW w:w="1276" w:type="dxa"/>
          </w:tcPr>
          <w:p w14:paraId="54C912E2" w14:textId="77777777" w:rsidR="008003F4" w:rsidRPr="00E6110F" w:rsidRDefault="008003F4" w:rsidP="008003F4">
            <w:pPr>
              <w:pStyle w:val="Body"/>
            </w:pPr>
            <w:r w:rsidRPr="00E6110F">
              <w:t>600-18520</w:t>
            </w:r>
          </w:p>
          <w:p w14:paraId="40E63F05" w14:textId="29A9067B" w:rsidR="008003F4" w:rsidRPr="00E6110F" w:rsidRDefault="00332040" w:rsidP="008003F4">
            <w:pPr>
              <w:pStyle w:val="Body"/>
            </w:pPr>
            <w:r w:rsidRPr="00E6110F">
              <w:t>(</w:t>
            </w:r>
            <w:r w:rsidR="008003F4" w:rsidRPr="00E6110F">
              <w:t>11,800</w:t>
            </w:r>
            <w:r w:rsidRPr="00E6110F">
              <w:rPr>
                <w:vertAlign w:val="superscript"/>
              </w:rPr>
              <w:t>*</w:t>
            </w:r>
            <w:r w:rsidRPr="00E6110F">
              <w:t>)</w:t>
            </w:r>
          </w:p>
        </w:tc>
        <w:tc>
          <w:tcPr>
            <w:tcW w:w="1275" w:type="dxa"/>
          </w:tcPr>
          <w:p w14:paraId="5C0C7144" w14:textId="77777777" w:rsidR="008003F4" w:rsidRPr="00E6110F" w:rsidRDefault="008003F4" w:rsidP="008003F4">
            <w:pPr>
              <w:pStyle w:val="Body"/>
            </w:pPr>
            <w:r w:rsidRPr="00E6110F">
              <w:t>46.9-47.8</w:t>
            </w:r>
          </w:p>
          <w:p w14:paraId="64621E5C" w14:textId="2080E7EB" w:rsidR="008003F4" w:rsidRPr="00E6110F" w:rsidRDefault="0087049B" w:rsidP="008003F4">
            <w:pPr>
              <w:pStyle w:val="Body"/>
            </w:pPr>
            <w:r w:rsidRPr="00E6110F">
              <w:t>(</w:t>
            </w:r>
            <w:r w:rsidR="008003F4" w:rsidRPr="00E6110F">
              <w:t>47.4</w:t>
            </w:r>
            <w:r w:rsidRPr="00E6110F">
              <w:rPr>
                <w:vertAlign w:val="superscript"/>
              </w:rPr>
              <w:t>#</w:t>
            </w:r>
            <w:r w:rsidRPr="00E6110F">
              <w:t>)</w:t>
            </w:r>
          </w:p>
        </w:tc>
        <w:tc>
          <w:tcPr>
            <w:tcW w:w="1418" w:type="dxa"/>
          </w:tcPr>
          <w:p w14:paraId="062DCBC5" w14:textId="13BE5A38" w:rsidR="008003F4" w:rsidRPr="00E6110F" w:rsidRDefault="00814C44" w:rsidP="00814C44">
            <w:pPr>
              <w:pStyle w:val="Body"/>
            </w:pPr>
            <w:r>
              <w:t>362</w:t>
            </w:r>
            <w:r w:rsidR="004F28A8" w:rsidRPr="004F28A8">
              <w:t xml:space="preserve"> – 8</w:t>
            </w:r>
            <w:r>
              <w:t>15</w:t>
            </w:r>
            <w:r w:rsidR="004F28A8" w:rsidRPr="004F28A8">
              <w:t xml:space="preserve"> </w:t>
            </w:r>
            <w:r w:rsidR="008645C9" w:rsidRPr="00E6110F">
              <w:t>(</w:t>
            </w:r>
            <w:r>
              <w:t>708</w:t>
            </w:r>
            <w:r w:rsidR="008645C9" w:rsidRPr="00E6110F">
              <w:rPr>
                <w:vertAlign w:val="superscript"/>
              </w:rPr>
              <w:t>*</w:t>
            </w:r>
            <w:r w:rsidR="008645C9" w:rsidRPr="00E6110F">
              <w:t>)</w:t>
            </w:r>
          </w:p>
        </w:tc>
        <w:tc>
          <w:tcPr>
            <w:tcW w:w="1417" w:type="dxa"/>
          </w:tcPr>
          <w:p w14:paraId="25EF02C2" w14:textId="77777777" w:rsidR="008003F4" w:rsidRPr="00E6110F" w:rsidRDefault="008003F4" w:rsidP="008003F4">
            <w:pPr>
              <w:pStyle w:val="Body"/>
            </w:pPr>
            <w:r w:rsidRPr="00E6110F">
              <w:t>55</w:t>
            </w:r>
          </w:p>
        </w:tc>
        <w:tc>
          <w:tcPr>
            <w:tcW w:w="1276" w:type="dxa"/>
          </w:tcPr>
          <w:p w14:paraId="5D499D2C" w14:textId="66B456E6" w:rsidR="008003F4" w:rsidRPr="00E6110F" w:rsidRDefault="004A5DE1" w:rsidP="008003F4">
            <w:pPr>
              <w:pStyle w:val="Body"/>
            </w:pPr>
            <w:r w:rsidRPr="00E6110F">
              <w:t>Reducing</w:t>
            </w:r>
          </w:p>
        </w:tc>
        <w:tc>
          <w:tcPr>
            <w:tcW w:w="1985" w:type="dxa"/>
          </w:tcPr>
          <w:p w14:paraId="6C1F92DF" w14:textId="5F2654A6" w:rsidR="008003F4" w:rsidRPr="00E6110F" w:rsidRDefault="008003F4" w:rsidP="008003F4">
            <w:pPr>
              <w:pStyle w:val="Body"/>
            </w:pPr>
            <w:r w:rsidRPr="00E6110F">
              <w:t>Low</w:t>
            </w:r>
            <w:r w:rsidR="00F6676D" w:rsidRPr="00E6110F">
              <w:t xml:space="preserve"> (anaerobic)</w:t>
            </w:r>
          </w:p>
        </w:tc>
      </w:tr>
      <w:tr w:rsidR="008003F4" w:rsidRPr="00E6110F" w14:paraId="280C4393" w14:textId="77777777" w:rsidTr="00F6676D">
        <w:tc>
          <w:tcPr>
            <w:tcW w:w="1696" w:type="dxa"/>
          </w:tcPr>
          <w:p w14:paraId="7AB8FB2C" w14:textId="77777777" w:rsidR="008003F4" w:rsidRPr="00E6110F" w:rsidRDefault="008003F4" w:rsidP="00CE15FD">
            <w:pPr>
              <w:pStyle w:val="Body"/>
            </w:pPr>
            <w:r w:rsidRPr="00E6110F">
              <w:t>Maules Creek Formation (upper)</w:t>
            </w:r>
          </w:p>
        </w:tc>
        <w:tc>
          <w:tcPr>
            <w:tcW w:w="1560" w:type="dxa"/>
          </w:tcPr>
          <w:p w14:paraId="2588C218" w14:textId="29645973" w:rsidR="008003F4" w:rsidRPr="00E6110F" w:rsidRDefault="00FF0320" w:rsidP="008003F4">
            <w:pPr>
              <w:pStyle w:val="Body"/>
            </w:pPr>
            <w:r w:rsidRPr="00E6110F">
              <w:t>s</w:t>
            </w:r>
            <w:r w:rsidR="008003F4" w:rsidRPr="00E6110F">
              <w:t>iltstone, sandstone and mudstone</w:t>
            </w:r>
          </w:p>
        </w:tc>
        <w:tc>
          <w:tcPr>
            <w:tcW w:w="1701" w:type="dxa"/>
          </w:tcPr>
          <w:p w14:paraId="0A8AD6FB" w14:textId="5B62E8B6" w:rsidR="008003F4" w:rsidRPr="00E6110F" w:rsidRDefault="00485271" w:rsidP="008003F4">
            <w:pPr>
              <w:pStyle w:val="Body"/>
            </w:pPr>
            <w:r w:rsidRPr="00E6110F">
              <w:t>m</w:t>
            </w:r>
            <w:r w:rsidR="008003F4" w:rsidRPr="00E6110F">
              <w:t>ostly quartz, feldspar, and lithic conglomerates</w:t>
            </w:r>
          </w:p>
        </w:tc>
        <w:tc>
          <w:tcPr>
            <w:tcW w:w="992" w:type="dxa"/>
          </w:tcPr>
          <w:p w14:paraId="0B6620DF" w14:textId="46E20EC3" w:rsidR="008003F4" w:rsidRPr="00E6110F" w:rsidRDefault="00DC76D2" w:rsidP="008003F4">
            <w:pPr>
              <w:pStyle w:val="Body"/>
            </w:pPr>
            <w:r w:rsidRPr="00E6110F">
              <w:t>n.d.</w:t>
            </w:r>
          </w:p>
        </w:tc>
        <w:tc>
          <w:tcPr>
            <w:tcW w:w="1276" w:type="dxa"/>
          </w:tcPr>
          <w:p w14:paraId="6807BBA3" w14:textId="76B18205" w:rsidR="008003F4" w:rsidRPr="00E6110F" w:rsidRDefault="00DC76D2" w:rsidP="008003F4">
            <w:pPr>
              <w:pStyle w:val="Body"/>
            </w:pPr>
            <w:r w:rsidRPr="00E6110F">
              <w:t>n.d.</w:t>
            </w:r>
          </w:p>
        </w:tc>
        <w:tc>
          <w:tcPr>
            <w:tcW w:w="1275" w:type="dxa"/>
          </w:tcPr>
          <w:p w14:paraId="0BB65800" w14:textId="1DE82F0D" w:rsidR="008003F4" w:rsidRPr="00E6110F" w:rsidRDefault="00776933" w:rsidP="008003F4">
            <w:pPr>
              <w:pStyle w:val="Body"/>
            </w:pPr>
            <w:r w:rsidRPr="00E6110F">
              <w:t xml:space="preserve">36 </w:t>
            </w:r>
            <w:r w:rsidR="00BE0D06" w:rsidRPr="00E6110F">
              <w:t>–</w:t>
            </w:r>
            <w:r w:rsidR="00DE26E3" w:rsidRPr="00E6110F">
              <w:t xml:space="preserve"> 49</w:t>
            </w:r>
            <w:r w:rsidR="00BE0D06" w:rsidRPr="00E6110F">
              <w:rPr>
                <w:vertAlign w:val="superscript"/>
              </w:rPr>
              <w:t>@</w:t>
            </w:r>
          </w:p>
        </w:tc>
        <w:tc>
          <w:tcPr>
            <w:tcW w:w="1418" w:type="dxa"/>
          </w:tcPr>
          <w:p w14:paraId="768B25E0" w14:textId="7E010927" w:rsidR="008003F4" w:rsidRPr="00E6110F" w:rsidRDefault="00814C44" w:rsidP="00814C44">
            <w:pPr>
              <w:pStyle w:val="Body"/>
            </w:pPr>
            <w:r>
              <w:t>282</w:t>
            </w:r>
            <w:r w:rsidR="004F28A8" w:rsidRPr="004F28A8">
              <w:t xml:space="preserve"> – 1</w:t>
            </w:r>
            <w:r>
              <w:t>010</w:t>
            </w:r>
            <w:r w:rsidR="004F28A8" w:rsidRPr="004F28A8">
              <w:t xml:space="preserve"> </w:t>
            </w:r>
            <w:r w:rsidR="008645C9" w:rsidRPr="00E6110F">
              <w:t>(</w:t>
            </w:r>
            <w:r>
              <w:t>827</w:t>
            </w:r>
            <w:r w:rsidR="008645C9" w:rsidRPr="00E6110F">
              <w:rPr>
                <w:vertAlign w:val="superscript"/>
              </w:rPr>
              <w:t>*</w:t>
            </w:r>
            <w:r w:rsidR="008645C9" w:rsidRPr="00E6110F">
              <w:t>)</w:t>
            </w:r>
          </w:p>
        </w:tc>
        <w:tc>
          <w:tcPr>
            <w:tcW w:w="1417" w:type="dxa"/>
          </w:tcPr>
          <w:p w14:paraId="5338EC06" w14:textId="77777777" w:rsidR="008003F4" w:rsidRPr="00E6110F" w:rsidRDefault="008003F4" w:rsidP="008003F4">
            <w:pPr>
              <w:pStyle w:val="Body"/>
            </w:pPr>
            <w:r w:rsidRPr="00E6110F">
              <w:t>0</w:t>
            </w:r>
          </w:p>
        </w:tc>
        <w:tc>
          <w:tcPr>
            <w:tcW w:w="1276" w:type="dxa"/>
          </w:tcPr>
          <w:p w14:paraId="49C38084" w14:textId="56774AA6" w:rsidR="008003F4" w:rsidRPr="00E6110F" w:rsidRDefault="004A5DE1" w:rsidP="008003F4">
            <w:pPr>
              <w:pStyle w:val="Body"/>
            </w:pPr>
            <w:r w:rsidRPr="00E6110F">
              <w:t>Reducing</w:t>
            </w:r>
          </w:p>
        </w:tc>
        <w:tc>
          <w:tcPr>
            <w:tcW w:w="1985" w:type="dxa"/>
          </w:tcPr>
          <w:p w14:paraId="6C2615BA" w14:textId="4258D6C1" w:rsidR="008003F4" w:rsidRPr="00E6110F" w:rsidRDefault="008003F4" w:rsidP="008003F4">
            <w:pPr>
              <w:pStyle w:val="Body"/>
            </w:pPr>
            <w:r w:rsidRPr="00E6110F">
              <w:t>Low</w:t>
            </w:r>
            <w:r w:rsidR="00F6676D" w:rsidRPr="00E6110F">
              <w:t xml:space="preserve"> (anaerobic)</w:t>
            </w:r>
          </w:p>
        </w:tc>
      </w:tr>
      <w:tr w:rsidR="008003F4" w:rsidRPr="00E6110F" w14:paraId="1A0DCA17" w14:textId="77777777" w:rsidTr="00F6676D">
        <w:tc>
          <w:tcPr>
            <w:tcW w:w="1696" w:type="dxa"/>
          </w:tcPr>
          <w:p w14:paraId="79891A6B" w14:textId="2F1C5666" w:rsidR="008003F4" w:rsidRPr="00E6110F" w:rsidRDefault="008003F4" w:rsidP="00CE15FD">
            <w:pPr>
              <w:pStyle w:val="Body"/>
            </w:pPr>
            <w:r w:rsidRPr="00E6110F">
              <w:t>Maules Creek Formation (</w:t>
            </w:r>
            <w:r w:rsidR="008A5596" w:rsidRPr="00E6110F">
              <w:t xml:space="preserve">Bohena </w:t>
            </w:r>
            <w:r w:rsidRPr="00E6110F">
              <w:t>coal measures)</w:t>
            </w:r>
          </w:p>
        </w:tc>
        <w:tc>
          <w:tcPr>
            <w:tcW w:w="1560" w:type="dxa"/>
          </w:tcPr>
          <w:p w14:paraId="1BC767AB" w14:textId="29DF1D86" w:rsidR="008003F4" w:rsidRPr="00E6110F" w:rsidRDefault="008A5596" w:rsidP="008003F4">
            <w:pPr>
              <w:pStyle w:val="Body"/>
            </w:pPr>
            <w:r w:rsidRPr="00E6110F">
              <w:t>Coal and mudstone</w:t>
            </w:r>
          </w:p>
        </w:tc>
        <w:tc>
          <w:tcPr>
            <w:tcW w:w="1701" w:type="dxa"/>
          </w:tcPr>
          <w:p w14:paraId="4BE0DB12" w14:textId="4C20CA3C" w:rsidR="008003F4" w:rsidRPr="00E6110F" w:rsidRDefault="00485271" w:rsidP="008003F4">
            <w:pPr>
              <w:pStyle w:val="Body"/>
            </w:pPr>
            <w:r w:rsidRPr="00E6110F">
              <w:t>m</w:t>
            </w:r>
            <w:r w:rsidR="008003F4" w:rsidRPr="00E6110F">
              <w:t>ostly quartz, feldspar, and lithic conglomerates</w:t>
            </w:r>
          </w:p>
        </w:tc>
        <w:tc>
          <w:tcPr>
            <w:tcW w:w="992" w:type="dxa"/>
          </w:tcPr>
          <w:p w14:paraId="37AD5675" w14:textId="7E08C39F" w:rsidR="008003F4" w:rsidRPr="00E6110F" w:rsidRDefault="00510412" w:rsidP="00510412">
            <w:pPr>
              <w:pStyle w:val="Body"/>
            </w:pPr>
            <w:r w:rsidRPr="00E6110F">
              <w:t>6-</w:t>
            </w:r>
            <w:r w:rsidR="008003F4" w:rsidRPr="00E6110F">
              <w:t>9.4</w:t>
            </w:r>
            <w:r w:rsidRPr="00E6110F">
              <w:t xml:space="preserve"> (</w:t>
            </w:r>
            <w:r w:rsidR="008003F4" w:rsidRPr="00E6110F">
              <w:t>7.6</w:t>
            </w:r>
            <w:r w:rsidRPr="00E6110F">
              <w:rPr>
                <w:vertAlign w:val="superscript"/>
              </w:rPr>
              <w:t>*</w:t>
            </w:r>
            <w:r w:rsidRPr="00E6110F">
              <w:t>)</w:t>
            </w:r>
          </w:p>
        </w:tc>
        <w:tc>
          <w:tcPr>
            <w:tcW w:w="1276" w:type="dxa"/>
          </w:tcPr>
          <w:p w14:paraId="0FDA89A5" w14:textId="77777777" w:rsidR="008003F4" w:rsidRPr="00E6110F" w:rsidRDefault="008003F4" w:rsidP="008003F4">
            <w:pPr>
              <w:pStyle w:val="Body"/>
            </w:pPr>
            <w:r w:rsidRPr="00E6110F">
              <w:t>300-1,780</w:t>
            </w:r>
          </w:p>
          <w:p w14:paraId="4DDF28D3" w14:textId="34DD8B8E" w:rsidR="008003F4" w:rsidRPr="00E6110F" w:rsidRDefault="00332040" w:rsidP="00332040">
            <w:pPr>
              <w:pStyle w:val="Body"/>
            </w:pPr>
            <w:r w:rsidRPr="00E6110F">
              <w:t>(</w:t>
            </w:r>
            <w:r w:rsidR="008003F4" w:rsidRPr="00E6110F">
              <w:t>677</w:t>
            </w:r>
            <w:r w:rsidRPr="00E6110F">
              <w:rPr>
                <w:vertAlign w:val="superscript"/>
              </w:rPr>
              <w:t>*</w:t>
            </w:r>
            <w:r w:rsidRPr="00E6110F">
              <w:t>)</w:t>
            </w:r>
          </w:p>
        </w:tc>
        <w:tc>
          <w:tcPr>
            <w:tcW w:w="1275" w:type="dxa"/>
          </w:tcPr>
          <w:p w14:paraId="052E151A" w14:textId="5FAD45A6" w:rsidR="008003F4" w:rsidRPr="00E6110F" w:rsidRDefault="00120583" w:rsidP="008003F4">
            <w:pPr>
              <w:pStyle w:val="Body"/>
            </w:pPr>
            <w:r w:rsidRPr="00E6110F">
              <w:t xml:space="preserve">37 </w:t>
            </w:r>
            <w:r w:rsidR="00BE0D06" w:rsidRPr="00E6110F">
              <w:t>–</w:t>
            </w:r>
            <w:r w:rsidRPr="00E6110F">
              <w:t xml:space="preserve"> 51</w:t>
            </w:r>
            <w:r w:rsidR="007A1516" w:rsidRPr="00E6110F">
              <w:rPr>
                <w:vertAlign w:val="superscript"/>
              </w:rPr>
              <w:t>@</w:t>
            </w:r>
          </w:p>
        </w:tc>
        <w:tc>
          <w:tcPr>
            <w:tcW w:w="1418" w:type="dxa"/>
          </w:tcPr>
          <w:p w14:paraId="3B49D5D3" w14:textId="549D9E8B" w:rsidR="008003F4" w:rsidRPr="00E6110F" w:rsidRDefault="00814C44" w:rsidP="00814C44">
            <w:pPr>
              <w:pStyle w:val="Body"/>
            </w:pPr>
            <w:r>
              <w:t>602</w:t>
            </w:r>
            <w:r w:rsidR="004F28A8" w:rsidRPr="004F28A8">
              <w:t xml:space="preserve"> – 10</w:t>
            </w:r>
            <w:r>
              <w:t>19</w:t>
            </w:r>
            <w:r w:rsidR="004F28A8" w:rsidRPr="004F28A8">
              <w:t xml:space="preserve"> </w:t>
            </w:r>
            <w:r w:rsidR="008645C9" w:rsidRPr="00E6110F">
              <w:t>(</w:t>
            </w:r>
            <w:r>
              <w:t>908</w:t>
            </w:r>
            <w:r w:rsidR="008645C9" w:rsidRPr="00E6110F">
              <w:rPr>
                <w:vertAlign w:val="superscript"/>
              </w:rPr>
              <w:t>*</w:t>
            </w:r>
            <w:r w:rsidR="008645C9" w:rsidRPr="00E6110F">
              <w:t>)</w:t>
            </w:r>
          </w:p>
        </w:tc>
        <w:tc>
          <w:tcPr>
            <w:tcW w:w="1417" w:type="dxa"/>
          </w:tcPr>
          <w:p w14:paraId="1A9CC20B" w14:textId="24B9FFAA" w:rsidR="008003F4" w:rsidRPr="00E6110F" w:rsidRDefault="00033B57" w:rsidP="008003F4">
            <w:pPr>
              <w:pStyle w:val="Body"/>
            </w:pPr>
            <w:r w:rsidRPr="00E6110F">
              <w:t>55</w:t>
            </w:r>
          </w:p>
        </w:tc>
        <w:tc>
          <w:tcPr>
            <w:tcW w:w="1276" w:type="dxa"/>
          </w:tcPr>
          <w:p w14:paraId="0ACCD0EE" w14:textId="2ABB35BE" w:rsidR="008003F4" w:rsidRPr="00E6110F" w:rsidRDefault="004A5DE1" w:rsidP="008003F4">
            <w:pPr>
              <w:pStyle w:val="Body"/>
            </w:pPr>
            <w:r w:rsidRPr="00E6110F">
              <w:t>Reducing</w:t>
            </w:r>
          </w:p>
        </w:tc>
        <w:tc>
          <w:tcPr>
            <w:tcW w:w="1985" w:type="dxa"/>
          </w:tcPr>
          <w:p w14:paraId="6E77DF06" w14:textId="052BCFE0" w:rsidR="008003F4" w:rsidRPr="00E6110F" w:rsidRDefault="008003F4" w:rsidP="008003F4">
            <w:pPr>
              <w:pStyle w:val="Body"/>
            </w:pPr>
            <w:r w:rsidRPr="00E6110F">
              <w:t>Low</w:t>
            </w:r>
            <w:r w:rsidR="00F6676D" w:rsidRPr="00E6110F">
              <w:t xml:space="preserve"> (anaerobic)</w:t>
            </w:r>
          </w:p>
        </w:tc>
      </w:tr>
      <w:tr w:rsidR="008003F4" w:rsidRPr="00E6110F" w14:paraId="20019830" w14:textId="77777777" w:rsidTr="00F6676D">
        <w:tc>
          <w:tcPr>
            <w:tcW w:w="1696" w:type="dxa"/>
          </w:tcPr>
          <w:p w14:paraId="1E0E9D30" w14:textId="77777777" w:rsidR="008003F4" w:rsidRPr="00E6110F" w:rsidRDefault="008003F4" w:rsidP="00CE15FD">
            <w:pPr>
              <w:pStyle w:val="Body"/>
            </w:pPr>
            <w:r w:rsidRPr="00E6110F">
              <w:t>Maules Creek Formation (lower)</w:t>
            </w:r>
          </w:p>
        </w:tc>
        <w:tc>
          <w:tcPr>
            <w:tcW w:w="1560" w:type="dxa"/>
          </w:tcPr>
          <w:p w14:paraId="31B10332" w14:textId="2629E5E3" w:rsidR="008003F4" w:rsidRPr="00E6110F" w:rsidRDefault="00FF0320" w:rsidP="008003F4">
            <w:pPr>
              <w:pStyle w:val="Body"/>
            </w:pPr>
            <w:r w:rsidRPr="00E6110F">
              <w:t>s</w:t>
            </w:r>
            <w:r w:rsidR="008003F4" w:rsidRPr="00E6110F">
              <w:t>iltstone, sandstone and mudstone</w:t>
            </w:r>
          </w:p>
        </w:tc>
        <w:tc>
          <w:tcPr>
            <w:tcW w:w="1701" w:type="dxa"/>
          </w:tcPr>
          <w:p w14:paraId="6ED456F3" w14:textId="61B96A0E" w:rsidR="008003F4" w:rsidRPr="00E6110F" w:rsidRDefault="00485271" w:rsidP="008003F4">
            <w:pPr>
              <w:pStyle w:val="Body"/>
            </w:pPr>
            <w:r w:rsidRPr="00E6110F">
              <w:t>m</w:t>
            </w:r>
            <w:r w:rsidR="008003F4" w:rsidRPr="00E6110F">
              <w:t>ostly quartz, feldspar, and lithic conglomerates</w:t>
            </w:r>
          </w:p>
        </w:tc>
        <w:tc>
          <w:tcPr>
            <w:tcW w:w="992" w:type="dxa"/>
          </w:tcPr>
          <w:p w14:paraId="6318948C" w14:textId="695D1BF0" w:rsidR="008003F4" w:rsidRPr="00E6110F" w:rsidRDefault="00DC76D2" w:rsidP="008003F4">
            <w:pPr>
              <w:pStyle w:val="Body"/>
            </w:pPr>
            <w:r w:rsidRPr="00E6110F">
              <w:t>n.d.</w:t>
            </w:r>
          </w:p>
        </w:tc>
        <w:tc>
          <w:tcPr>
            <w:tcW w:w="1276" w:type="dxa"/>
          </w:tcPr>
          <w:p w14:paraId="4107AAD5" w14:textId="12D5F800" w:rsidR="008003F4" w:rsidRPr="00E6110F" w:rsidRDefault="00DC76D2" w:rsidP="008003F4">
            <w:pPr>
              <w:pStyle w:val="Body"/>
            </w:pPr>
            <w:r w:rsidRPr="00E6110F">
              <w:t>n.d.</w:t>
            </w:r>
          </w:p>
        </w:tc>
        <w:tc>
          <w:tcPr>
            <w:tcW w:w="1275" w:type="dxa"/>
          </w:tcPr>
          <w:p w14:paraId="5E317D67" w14:textId="1C452891" w:rsidR="008003F4" w:rsidRPr="00E6110F" w:rsidRDefault="00DE26E3" w:rsidP="008003F4">
            <w:pPr>
              <w:pStyle w:val="Body"/>
            </w:pPr>
            <w:r w:rsidRPr="00E6110F">
              <w:t>38</w:t>
            </w:r>
            <w:r w:rsidR="00BE0D06" w:rsidRPr="00E6110F">
              <w:t>–</w:t>
            </w:r>
            <w:r w:rsidR="00776933" w:rsidRPr="00E6110F">
              <w:t xml:space="preserve"> 53</w:t>
            </w:r>
            <w:r w:rsidR="00BE0D06" w:rsidRPr="00E6110F">
              <w:rPr>
                <w:vertAlign w:val="superscript"/>
              </w:rPr>
              <w:t>@</w:t>
            </w:r>
          </w:p>
        </w:tc>
        <w:tc>
          <w:tcPr>
            <w:tcW w:w="1418" w:type="dxa"/>
          </w:tcPr>
          <w:p w14:paraId="41E39522" w14:textId="56FF794F" w:rsidR="008003F4" w:rsidRPr="00E6110F" w:rsidRDefault="00814C44" w:rsidP="00814C44">
            <w:pPr>
              <w:pStyle w:val="Body"/>
            </w:pPr>
            <w:r>
              <w:t>283</w:t>
            </w:r>
            <w:r w:rsidR="004F28A8" w:rsidRPr="004F28A8">
              <w:t xml:space="preserve"> – 1</w:t>
            </w:r>
            <w:r>
              <w:t>058</w:t>
            </w:r>
            <w:r w:rsidR="004F28A8" w:rsidRPr="004F28A8">
              <w:t xml:space="preserve"> </w:t>
            </w:r>
            <w:r w:rsidR="008645C9" w:rsidRPr="00E6110F">
              <w:t>(</w:t>
            </w:r>
            <w:r>
              <w:t>828</w:t>
            </w:r>
            <w:r w:rsidR="008645C9" w:rsidRPr="00E6110F">
              <w:rPr>
                <w:vertAlign w:val="superscript"/>
              </w:rPr>
              <w:t>*</w:t>
            </w:r>
            <w:r w:rsidR="008645C9" w:rsidRPr="00E6110F">
              <w:t>)</w:t>
            </w:r>
          </w:p>
        </w:tc>
        <w:tc>
          <w:tcPr>
            <w:tcW w:w="1417" w:type="dxa"/>
          </w:tcPr>
          <w:p w14:paraId="52DD0614" w14:textId="77777777" w:rsidR="008003F4" w:rsidRPr="00E6110F" w:rsidRDefault="008003F4" w:rsidP="008003F4">
            <w:pPr>
              <w:pStyle w:val="Body"/>
            </w:pPr>
            <w:r w:rsidRPr="00E6110F">
              <w:t>0</w:t>
            </w:r>
          </w:p>
        </w:tc>
        <w:tc>
          <w:tcPr>
            <w:tcW w:w="1276" w:type="dxa"/>
          </w:tcPr>
          <w:p w14:paraId="043F071C" w14:textId="6B09815A" w:rsidR="008003F4" w:rsidRPr="00E6110F" w:rsidRDefault="004A5DE1" w:rsidP="008003F4">
            <w:pPr>
              <w:pStyle w:val="Body"/>
            </w:pPr>
            <w:r w:rsidRPr="00E6110F">
              <w:t>Reducing</w:t>
            </w:r>
          </w:p>
        </w:tc>
        <w:tc>
          <w:tcPr>
            <w:tcW w:w="1985" w:type="dxa"/>
          </w:tcPr>
          <w:p w14:paraId="0100687C" w14:textId="32244E2B" w:rsidR="008003F4" w:rsidRPr="00E6110F" w:rsidRDefault="008003F4" w:rsidP="008003F4">
            <w:pPr>
              <w:pStyle w:val="Body"/>
            </w:pPr>
            <w:r w:rsidRPr="00E6110F">
              <w:t>Low</w:t>
            </w:r>
            <w:r w:rsidR="00F6676D" w:rsidRPr="00E6110F">
              <w:t xml:space="preserve"> (anaerobic)</w:t>
            </w:r>
          </w:p>
        </w:tc>
      </w:tr>
    </w:tbl>
    <w:p w14:paraId="617C11CE" w14:textId="77777777" w:rsidR="003E2F49" w:rsidRPr="00E6110F" w:rsidRDefault="003E2F49" w:rsidP="0082472A">
      <w:pPr>
        <w:rPr>
          <w:sz w:val="18"/>
          <w:szCs w:val="18"/>
        </w:rPr>
        <w:sectPr w:rsidR="003E2F49" w:rsidRPr="00E6110F" w:rsidSect="003E2F49">
          <w:pgSz w:w="16840" w:h="11900" w:orient="landscape"/>
          <w:pgMar w:top="1440" w:right="1440" w:bottom="1440" w:left="1440" w:header="0" w:footer="0" w:gutter="0"/>
          <w:cols w:space="284"/>
          <w:noEndnote/>
          <w:docGrid w:linePitch="326"/>
        </w:sectPr>
      </w:pPr>
    </w:p>
    <w:p w14:paraId="3CAF7956" w14:textId="77777777" w:rsidR="00C03C79" w:rsidRPr="00E6110F" w:rsidRDefault="00C03C79" w:rsidP="00C03C79">
      <w:pPr>
        <w:pStyle w:val="Heading3"/>
        <w:numPr>
          <w:ilvl w:val="3"/>
          <w:numId w:val="1"/>
        </w:numPr>
      </w:pPr>
      <w:bookmarkStart w:id="441" w:name="_Ref446954676"/>
      <w:bookmarkStart w:id="442" w:name="_Toc494444574"/>
      <w:r w:rsidRPr="00E6110F">
        <w:t>Defining temperature and pressure conditions of deep groundwater</w:t>
      </w:r>
      <w:bookmarkEnd w:id="441"/>
      <w:bookmarkEnd w:id="442"/>
    </w:p>
    <w:p w14:paraId="2D0702A2" w14:textId="77777777" w:rsidR="00ED12A3" w:rsidRPr="00E6110F" w:rsidRDefault="00B20F1E" w:rsidP="00ED12A3">
      <w:pPr>
        <w:pStyle w:val="Body"/>
      </w:pPr>
      <w:r w:rsidRPr="00E6110F">
        <w:t xml:space="preserve">Temperature and pressure conditions of groundwater formations that are likely contributing to transport of hydraulic fracturing substances or geogenics are important variables as they determine properties such as </w:t>
      </w:r>
      <w:r w:rsidR="00DB4D2C" w:rsidRPr="00E6110F">
        <w:t xml:space="preserve">chemical </w:t>
      </w:r>
      <w:r w:rsidRPr="00E6110F">
        <w:t>solubility</w:t>
      </w:r>
      <w:r w:rsidR="00AC1B2D" w:rsidRPr="00E6110F">
        <w:t xml:space="preserve"> of dissolved gases</w:t>
      </w:r>
      <w:r w:rsidR="00DB4D2C" w:rsidRPr="00E6110F">
        <w:t>, general reactivity (adsorption/desorption), and microbiological transformation processes.</w:t>
      </w:r>
      <w:r w:rsidR="00AC1B2D" w:rsidRPr="00E6110F">
        <w:t xml:space="preserve"> </w:t>
      </w:r>
      <w:r w:rsidR="00ED12A3" w:rsidRPr="00E6110F">
        <w:t>Abiotic processes are expected to increase proportionally with temperature so that an increasing temperature will lead to an increase in hydrolysis rates.</w:t>
      </w:r>
    </w:p>
    <w:p w14:paraId="5A041E56" w14:textId="4A98524D" w:rsidR="00AC1B2D" w:rsidRPr="00E6110F" w:rsidRDefault="00AC1B2D" w:rsidP="00AC1B2D">
      <w:pPr>
        <w:pStyle w:val="Body"/>
      </w:pPr>
      <w:r w:rsidRPr="00E6110F">
        <w:t>For instance, gas solubility decreases with increasing temperature and salinity and increases with increasing pressure. The effects are non‐linear in all cases. For methane</w:t>
      </w:r>
      <w:r w:rsidR="00AF176B">
        <w:t>, a</w:t>
      </w:r>
      <w:r w:rsidRPr="00E6110F">
        <w:t xml:space="preserve"> temperature difference of 20°C (e.g. between 10 and 30°C) for fresh water (zero salinity) results in a difference in solubility of 10 mg/L/atm. At 20°C, methane solubility ranges from 25 mg/L for fresh water to 19.3 mg/L at 40,000 mg/L salinity (Mallants et al. 2016).</w:t>
      </w:r>
    </w:p>
    <w:p w14:paraId="5AA00304" w14:textId="69561289" w:rsidR="00DB4D2C" w:rsidRPr="00E6110F" w:rsidRDefault="0035725F" w:rsidP="00B20F1E">
      <w:pPr>
        <w:pStyle w:val="Body"/>
      </w:pPr>
      <w:r w:rsidRPr="00E6110F">
        <w:t xml:space="preserve">Temperature profiles were obtained from well completion reports listed on the NSW online Digital Imaging of Geological System (DIGS) database. </w:t>
      </w:r>
      <w:r w:rsidRPr="00E6110F">
        <w:fldChar w:fldCharType="begin" w:fldLock="1"/>
      </w:r>
      <w:r w:rsidRPr="00E6110F">
        <w:instrText xml:space="preserve"> REF _Ref452897805 \h </w:instrText>
      </w:r>
      <w:r w:rsidR="00AB0783" w:rsidRPr="00E6110F">
        <w:instrText xml:space="preserve"> \* MERGEFORMAT </w:instrText>
      </w:r>
      <w:r w:rsidRPr="00E6110F">
        <w:fldChar w:fldCharType="separate"/>
      </w:r>
      <w:r w:rsidR="00335E79" w:rsidRPr="00E6110F">
        <w:t xml:space="preserve">Figure </w:t>
      </w:r>
      <w:r w:rsidR="00335E79">
        <w:rPr>
          <w:noProof/>
        </w:rPr>
        <w:t>4</w:t>
      </w:r>
      <w:r w:rsidR="00335E79">
        <w:rPr>
          <w:noProof/>
        </w:rPr>
        <w:noBreakHyphen/>
        <w:t>2</w:t>
      </w:r>
      <w:r w:rsidRPr="00E6110F">
        <w:fldChar w:fldCharType="end"/>
      </w:r>
      <w:r w:rsidRPr="00E6110F">
        <w:t xml:space="preserve"> shows nearly one hundred boreholes with temperature profiles within the CDM Smith groundwater model area. A subset of five boreholes was selected for detailed analysis; all wells are located within the </w:t>
      </w:r>
      <w:r w:rsidR="00335E79">
        <w:t>study area</w:t>
      </w:r>
      <w:r w:rsidRPr="00E6110F">
        <w:t xml:space="preserve"> (</w:t>
      </w:r>
      <w:r w:rsidRPr="00E6110F">
        <w:fldChar w:fldCharType="begin" w:fldLock="1"/>
      </w:r>
      <w:r w:rsidRPr="00E6110F">
        <w:instrText xml:space="preserve"> REF _Ref452897805 \h </w:instrText>
      </w:r>
      <w:r w:rsidR="00AB0783" w:rsidRPr="00E6110F">
        <w:instrText xml:space="preserve"> \* MERGEFORMAT </w:instrText>
      </w:r>
      <w:r w:rsidRPr="00E6110F">
        <w:fldChar w:fldCharType="separate"/>
      </w:r>
      <w:r w:rsidR="00335E79" w:rsidRPr="00E6110F">
        <w:t xml:space="preserve">Figure </w:t>
      </w:r>
      <w:r w:rsidR="00335E79">
        <w:rPr>
          <w:noProof/>
        </w:rPr>
        <w:t>4</w:t>
      </w:r>
      <w:r w:rsidR="00335E79">
        <w:rPr>
          <w:noProof/>
        </w:rPr>
        <w:noBreakHyphen/>
        <w:t>2</w:t>
      </w:r>
      <w:r w:rsidRPr="00E6110F">
        <w:fldChar w:fldCharType="end"/>
      </w:r>
      <w:r w:rsidRPr="00E6110F">
        <w:t xml:space="preserve">). The recorded temperature profiles from these five wells are combined in </w:t>
      </w:r>
      <w:r w:rsidRPr="00E6110F">
        <w:fldChar w:fldCharType="begin" w:fldLock="1"/>
      </w:r>
      <w:r w:rsidRPr="00E6110F">
        <w:instrText xml:space="preserve"> REF _Ref452895571 \h </w:instrText>
      </w:r>
      <w:r w:rsidR="00AB0783" w:rsidRPr="00E6110F">
        <w:instrText xml:space="preserve"> \* MERGEFORMAT </w:instrText>
      </w:r>
      <w:r w:rsidRPr="00E6110F">
        <w:fldChar w:fldCharType="separate"/>
      </w:r>
      <w:r w:rsidR="00335E79" w:rsidRPr="00E6110F">
        <w:t xml:space="preserve">Figure </w:t>
      </w:r>
      <w:r w:rsidR="00335E79">
        <w:rPr>
          <w:noProof/>
        </w:rPr>
        <w:t>4</w:t>
      </w:r>
      <w:r w:rsidR="00335E79">
        <w:rPr>
          <w:noProof/>
        </w:rPr>
        <w:noBreakHyphen/>
        <w:t>3</w:t>
      </w:r>
      <w:r w:rsidRPr="00E6110F">
        <w:fldChar w:fldCharType="end"/>
      </w:r>
      <w:r w:rsidRPr="00E6110F">
        <w:t>. Average temperature gradients were calculated from surface to 800 m depth and from 800 to 1200 m depth; at 800 m depth a break in the temperature slope is evident</w:t>
      </w:r>
      <w:r w:rsidR="00D417FC" w:rsidRPr="00E6110F">
        <w:t>, which was the reason for calculating two temperature gradients</w:t>
      </w:r>
      <w:r w:rsidRPr="00E6110F">
        <w:t>.</w:t>
      </w:r>
      <w:r w:rsidR="00D417FC" w:rsidRPr="00E6110F">
        <w:t xml:space="preserve"> From surface to 800 m the gradient is 18.3°C/km, while from 800 to 1200 m it is 42.5°C/km.</w:t>
      </w:r>
      <w:r w:rsidR="000130B3">
        <w:t xml:space="preserve"> The methodology to estimate temperature effects on sorption parameters is discussed in </w:t>
      </w:r>
      <w:r w:rsidR="00AF176B">
        <w:t>S</w:t>
      </w:r>
      <w:r w:rsidR="000130B3">
        <w:t>ection</w:t>
      </w:r>
      <w:r w:rsidR="00AF176B">
        <w:t>s</w:t>
      </w:r>
      <w:r w:rsidR="000130B3">
        <w:t xml:space="preserve"> </w:t>
      </w:r>
      <w:r w:rsidR="000130B3">
        <w:fldChar w:fldCharType="begin" w:fldLock="1"/>
      </w:r>
      <w:r w:rsidR="000130B3">
        <w:instrText xml:space="preserve"> REF _Ref458344446 \r \h </w:instrText>
      </w:r>
      <w:r w:rsidR="000130B3">
        <w:fldChar w:fldCharType="separate"/>
      </w:r>
      <w:r w:rsidR="00335E79">
        <w:t>4.1.4.1</w:t>
      </w:r>
      <w:r w:rsidR="000130B3">
        <w:fldChar w:fldCharType="end"/>
      </w:r>
      <w:r w:rsidR="007A0394">
        <w:t xml:space="preserve"> and </w:t>
      </w:r>
      <w:r w:rsidR="000130B3">
        <w:fldChar w:fldCharType="begin" w:fldLock="1"/>
      </w:r>
      <w:r w:rsidR="000130B3">
        <w:instrText xml:space="preserve"> REF _Ref458344466 \r \h </w:instrText>
      </w:r>
      <w:r w:rsidR="000130B3">
        <w:fldChar w:fldCharType="separate"/>
      </w:r>
      <w:r w:rsidR="00335E79">
        <w:t>4.1.4.3.3</w:t>
      </w:r>
      <w:r w:rsidR="000130B3">
        <w:fldChar w:fldCharType="end"/>
      </w:r>
      <w:r w:rsidR="000130B3">
        <w:t>.</w:t>
      </w:r>
      <w:r w:rsidRPr="00E6110F">
        <w:t xml:space="preserve"> </w:t>
      </w:r>
    </w:p>
    <w:p w14:paraId="3F4F4BE7" w14:textId="3D2CC359" w:rsidR="004E35FF" w:rsidRPr="00E6110F" w:rsidRDefault="004E35FF" w:rsidP="00B20F1E">
      <w:pPr>
        <w:pStyle w:val="Body"/>
      </w:pPr>
      <w:r w:rsidRPr="00E6110F">
        <w:t xml:space="preserve">The pore pressure – depth relationship was derived from simulated hydraulic head values using the CDM Smith groundwater model. </w:t>
      </w:r>
    </w:p>
    <w:p w14:paraId="32CEA7F8" w14:textId="2E8ADEC7" w:rsidR="00C03C79" w:rsidRPr="00E6110F" w:rsidRDefault="002573B5" w:rsidP="00C03C79">
      <w:pPr>
        <w:rPr>
          <w:lang w:val="en-GB"/>
        </w:rPr>
      </w:pPr>
      <w:r w:rsidRPr="002573B5">
        <w:rPr>
          <w:noProof/>
          <w:lang w:val="en-AU" w:eastAsia="en-AU"/>
        </w:rPr>
        <w:t xml:space="preserve"> </w:t>
      </w:r>
      <w:r w:rsidRPr="002573B5">
        <w:rPr>
          <w:noProof/>
          <w:lang w:val="en-AU" w:eastAsia="en-AU"/>
        </w:rPr>
        <w:drawing>
          <wp:inline distT="0" distB="0" distL="0" distR="0" wp14:anchorId="4D767AED" wp14:editId="67CB8DF6">
            <wp:extent cx="5727700" cy="4032885"/>
            <wp:effectExtent l="0" t="0" r="6350" b="5715"/>
            <wp:docPr id="12" name="Picture 12" descr="Maps of boreholes with available temperature profiles in the Gunnedah study area."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email">
                      <a:extLst>
                        <a:ext uri="{28A0092B-C50C-407E-A947-70E740481C1C}">
                          <a14:useLocalDpi xmlns:a14="http://schemas.microsoft.com/office/drawing/2010/main"/>
                        </a:ext>
                      </a:extLst>
                    </a:blip>
                    <a:stretch>
                      <a:fillRect/>
                    </a:stretch>
                  </pic:blipFill>
                  <pic:spPr>
                    <a:xfrm>
                      <a:off x="0" y="0"/>
                      <a:ext cx="5727700" cy="4032885"/>
                    </a:xfrm>
                    <a:prstGeom prst="rect">
                      <a:avLst/>
                    </a:prstGeom>
                  </pic:spPr>
                </pic:pic>
              </a:graphicData>
            </a:graphic>
          </wp:inline>
        </w:drawing>
      </w:r>
    </w:p>
    <w:p w14:paraId="3D0E92C3" w14:textId="09DCB1BC" w:rsidR="00C03C79" w:rsidRPr="00E6110F" w:rsidRDefault="00C03C79" w:rsidP="00C03C79">
      <w:pPr>
        <w:pStyle w:val="Imagecaption"/>
      </w:pPr>
      <w:bookmarkStart w:id="443" w:name="_Ref452897805"/>
      <w:bookmarkStart w:id="444" w:name="_Toc477347632"/>
      <w:r w:rsidRPr="00E6110F">
        <w:t xml:space="preserve">Figure </w:t>
      </w:r>
      <w:r w:rsidR="00254026">
        <w:fldChar w:fldCharType="begin" w:fldLock="1"/>
      </w:r>
      <w:r w:rsidR="00254026">
        <w:instrText xml:space="preserve"> STYLEREF 1 \s </w:instrText>
      </w:r>
      <w:r w:rsidR="00254026">
        <w:fldChar w:fldCharType="separate"/>
      </w:r>
      <w:r w:rsidR="00335E79">
        <w:rPr>
          <w:noProof/>
        </w:rPr>
        <w:t>4</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w:t>
      </w:r>
      <w:r w:rsidR="00254026">
        <w:fldChar w:fldCharType="end"/>
      </w:r>
      <w:bookmarkEnd w:id="443"/>
      <w:r w:rsidRPr="00E6110F">
        <w:t xml:space="preserve"> Left: Boreholes with available temperature profiles in the CDM Smith groundwater model area. Right: five boreholes with temperature profile selected for the current study (orange </w:t>
      </w:r>
      <w:r w:rsidR="009E7FE1">
        <w:t>polygon</w:t>
      </w:r>
      <w:r w:rsidRPr="00E6110F">
        <w:t>).</w:t>
      </w:r>
      <w:bookmarkEnd w:id="444"/>
    </w:p>
    <w:p w14:paraId="7321091F" w14:textId="21BE0EB8" w:rsidR="00C03C79" w:rsidRPr="00E6110F" w:rsidRDefault="007A1516" w:rsidP="00C03C79">
      <w:pPr>
        <w:jc w:val="center"/>
        <w:rPr>
          <w:lang w:val="en-GB"/>
        </w:rPr>
      </w:pPr>
      <w:r w:rsidRPr="00E6110F">
        <w:rPr>
          <w:noProof/>
          <w:lang w:val="en-AU" w:eastAsia="en-AU"/>
        </w:rPr>
        <w:drawing>
          <wp:inline distT="0" distB="0" distL="0" distR="0" wp14:anchorId="27753271" wp14:editId="07120018">
            <wp:extent cx="4053840" cy="3870960"/>
            <wp:effectExtent l="0" t="0" r="3810" b="0"/>
            <wp:docPr id="86" name="Picture 86" descr="Chart of borehole temperature profiles."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4053840" cy="3870960"/>
                    </a:xfrm>
                    <a:prstGeom prst="rect">
                      <a:avLst/>
                    </a:prstGeom>
                    <a:noFill/>
                    <a:ln>
                      <a:noFill/>
                    </a:ln>
                  </pic:spPr>
                </pic:pic>
              </a:graphicData>
            </a:graphic>
          </wp:inline>
        </w:drawing>
      </w:r>
    </w:p>
    <w:p w14:paraId="5567D2A3" w14:textId="6D021212" w:rsidR="00C03C79" w:rsidRPr="00E6110F" w:rsidRDefault="00C03C79" w:rsidP="00C03C79">
      <w:pPr>
        <w:pStyle w:val="Imagecaption"/>
      </w:pPr>
      <w:bookmarkStart w:id="445" w:name="_Ref452895571"/>
      <w:bookmarkStart w:id="446" w:name="_Toc477347633"/>
      <w:r w:rsidRPr="00E6110F">
        <w:t xml:space="preserve">Figure </w:t>
      </w:r>
      <w:r w:rsidR="00254026">
        <w:fldChar w:fldCharType="begin" w:fldLock="1"/>
      </w:r>
      <w:r w:rsidR="00254026">
        <w:instrText xml:space="preserve"> STYLEREF 1 \s </w:instrText>
      </w:r>
      <w:r w:rsidR="00254026">
        <w:fldChar w:fldCharType="separate"/>
      </w:r>
      <w:r w:rsidR="00335E79">
        <w:rPr>
          <w:noProof/>
        </w:rPr>
        <w:t>4</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w:t>
      </w:r>
      <w:r w:rsidR="00254026">
        <w:fldChar w:fldCharType="end"/>
      </w:r>
      <w:bookmarkEnd w:id="445"/>
      <w:r w:rsidRPr="00E6110F">
        <w:t xml:space="preserve"> Measured temperature profiles for five boreholes within the </w:t>
      </w:r>
      <w:r w:rsidR="00211393">
        <w:t>study area</w:t>
      </w:r>
      <w:r w:rsidRPr="00E6110F">
        <w:t>.</w:t>
      </w:r>
      <w:bookmarkEnd w:id="446"/>
    </w:p>
    <w:p w14:paraId="5AC799F2" w14:textId="0E3F03E9" w:rsidR="00FF6469" w:rsidRPr="00E6110F" w:rsidRDefault="00FF6469" w:rsidP="00916F1F">
      <w:pPr>
        <w:pStyle w:val="Heading3"/>
      </w:pPr>
      <w:bookmarkStart w:id="447" w:name="_Ref470782774"/>
      <w:bookmarkStart w:id="448" w:name="_Toc494444575"/>
      <w:r w:rsidRPr="00E6110F">
        <w:t>Defining the hydrochemical c</w:t>
      </w:r>
      <w:r w:rsidR="00916F1F" w:rsidRPr="00E6110F">
        <w:t>onditions of deep groundwater: Surat</w:t>
      </w:r>
      <w:r w:rsidRPr="00E6110F">
        <w:t xml:space="preserve"> Basin</w:t>
      </w:r>
      <w:bookmarkEnd w:id="447"/>
      <w:bookmarkEnd w:id="448"/>
    </w:p>
    <w:p w14:paraId="5DB32021" w14:textId="3BE48587" w:rsidR="00617805" w:rsidRPr="00E6110F" w:rsidRDefault="00617805" w:rsidP="00617805">
      <w:pPr>
        <w:pStyle w:val="Heading3"/>
        <w:numPr>
          <w:ilvl w:val="3"/>
          <w:numId w:val="1"/>
        </w:numPr>
      </w:pPr>
      <w:bookmarkStart w:id="449" w:name="_Toc494444576"/>
      <w:r w:rsidRPr="00E6110F">
        <w:t xml:space="preserve">General </w:t>
      </w:r>
      <w:proofErr w:type="gramStart"/>
      <w:r w:rsidRPr="00E6110F">
        <w:t>hydrochemical</w:t>
      </w:r>
      <w:proofErr w:type="gramEnd"/>
      <w:r w:rsidRPr="00E6110F">
        <w:t xml:space="preserve"> parameters</w:t>
      </w:r>
      <w:bookmarkEnd w:id="449"/>
    </w:p>
    <w:p w14:paraId="740E7C5B" w14:textId="3DF6BCC3" w:rsidR="007A5FB5" w:rsidRPr="00E6110F" w:rsidRDefault="007A5FB5" w:rsidP="007A5FB5">
      <w:pPr>
        <w:pStyle w:val="Body"/>
      </w:pPr>
      <w:r w:rsidRPr="00E6110F">
        <w:t xml:space="preserve">Hydrochemical conditions were estimated for the main groundwater formations in the Surat Basin that </w:t>
      </w:r>
      <w:r w:rsidR="00FE7E65" w:rsidRPr="00E6110F">
        <w:t xml:space="preserve">potentially </w:t>
      </w:r>
      <w:r w:rsidR="00FC0482" w:rsidRPr="00E6110F">
        <w:t>c</w:t>
      </w:r>
      <w:r w:rsidR="00FE7E65" w:rsidRPr="00E6110F">
        <w:t xml:space="preserve">ould </w:t>
      </w:r>
      <w:r w:rsidR="00FC0482" w:rsidRPr="00E6110F">
        <w:t xml:space="preserve">provide a pathway for </w:t>
      </w:r>
      <w:r w:rsidRPr="00E6110F">
        <w:t xml:space="preserve">transport of hydraulic fracturing substances or geogenics. </w:t>
      </w:r>
      <w:r w:rsidR="00FC0482" w:rsidRPr="00E6110F">
        <w:t>In the selected test case area, the following major aquifers were identi</w:t>
      </w:r>
      <w:r w:rsidR="00697DF5" w:rsidRPr="00E6110F">
        <w:t>f</w:t>
      </w:r>
      <w:r w:rsidR="00FC0482" w:rsidRPr="00E6110F">
        <w:t xml:space="preserve">ied as being of relevance for the current assessment: Dawson River alluvium, </w:t>
      </w:r>
      <w:r w:rsidR="004E1FB0" w:rsidRPr="00E6110F">
        <w:t xml:space="preserve">BMO Formations, </w:t>
      </w:r>
      <w:r w:rsidR="00FC0482" w:rsidRPr="00E6110F">
        <w:t xml:space="preserve">Gubberamunda Sandstone, Westbourne Formation, Springbok Formation, Walloon Coal Measures, and Hutton Sandstone. </w:t>
      </w:r>
      <w:r w:rsidR="00697DF5" w:rsidRPr="00E6110F">
        <w:t xml:space="preserve">Underlying the Hutton Sandstone is the Evergreen Formation, a low-permeability formation that is considered an aquitard (i.e. does not contribute to groundwater flow). </w:t>
      </w:r>
      <w:r w:rsidR="009B002F" w:rsidRPr="00E6110F">
        <w:t xml:space="preserve">Because of its separating properties, the Evergreen Formation is an effective barrier against chemical substances ending up in the underlying Precipice aquifer; for this reason the Precipice is not considered in the current analysis. </w:t>
      </w:r>
      <w:r w:rsidRPr="00E6110F">
        <w:t xml:space="preserve">A summary of parameters </w:t>
      </w:r>
      <w:r w:rsidR="00FC0482" w:rsidRPr="00E6110F">
        <w:t xml:space="preserve">for these formations </w:t>
      </w:r>
      <w:r w:rsidRPr="00E6110F">
        <w:t xml:space="preserve">based on a compilation of literature data is provided in </w:t>
      </w:r>
      <w:r w:rsidRPr="00E6110F">
        <w:fldChar w:fldCharType="begin" w:fldLock="1"/>
      </w:r>
      <w:r w:rsidRPr="00E6110F">
        <w:instrText xml:space="preserve"> REF _Ref452898998 \h </w:instrText>
      </w:r>
      <w:r w:rsidR="00AB0783" w:rsidRPr="00E6110F">
        <w:instrText xml:space="preserve"> \* MERGEFORMAT </w:instrText>
      </w:r>
      <w:r w:rsidRPr="00E6110F">
        <w:fldChar w:fldCharType="separate"/>
      </w:r>
      <w:r w:rsidR="00335E79" w:rsidRPr="00E6110F">
        <w:t xml:space="preserve">Table </w:t>
      </w:r>
      <w:r w:rsidR="00335E79">
        <w:rPr>
          <w:noProof/>
        </w:rPr>
        <w:t>4</w:t>
      </w:r>
      <w:r w:rsidR="00335E79">
        <w:rPr>
          <w:noProof/>
        </w:rPr>
        <w:noBreakHyphen/>
        <w:t>1</w:t>
      </w:r>
      <w:r w:rsidRPr="00E6110F">
        <w:fldChar w:fldCharType="end"/>
      </w:r>
      <w:r w:rsidRPr="00E6110F">
        <w:t xml:space="preserve">. All data on the mineralogy of groundwater formations </w:t>
      </w:r>
      <w:r w:rsidR="00AF176B">
        <w:t>are</w:t>
      </w:r>
      <w:r w:rsidR="00AF176B" w:rsidRPr="00E6110F">
        <w:t xml:space="preserve"> </w:t>
      </w:r>
      <w:r w:rsidRPr="00E6110F">
        <w:t>derived from Grigorescu (2011) unless stated otherwise.  Further details about the assumptions behind the parameter values are discussed here.</w:t>
      </w:r>
    </w:p>
    <w:p w14:paraId="6AC5B674" w14:textId="77777777" w:rsidR="007A5FB5" w:rsidRPr="00E6110F" w:rsidRDefault="007A5FB5" w:rsidP="007A5FB5">
      <w:pPr>
        <w:pStyle w:val="Body"/>
        <w:rPr>
          <w:u w:val="single"/>
        </w:rPr>
      </w:pPr>
    </w:p>
    <w:p w14:paraId="3DF562AC" w14:textId="77777777" w:rsidR="007A5FB5" w:rsidRPr="00E6110F" w:rsidRDefault="007A5FB5" w:rsidP="007A5FB5">
      <w:pPr>
        <w:pStyle w:val="Body"/>
      </w:pPr>
      <w:r w:rsidRPr="00E6110F">
        <w:rPr>
          <w:u w:val="single"/>
        </w:rPr>
        <w:t>Dawson River alluvium</w:t>
      </w:r>
      <w:r w:rsidRPr="00E6110F">
        <w:t xml:space="preserve">: </w:t>
      </w:r>
    </w:p>
    <w:p w14:paraId="09D734EF" w14:textId="77777777" w:rsidR="007A5FB5" w:rsidRPr="00E6110F" w:rsidRDefault="007A5FB5" w:rsidP="00C117A3">
      <w:pPr>
        <w:pStyle w:val="Body"/>
        <w:numPr>
          <w:ilvl w:val="0"/>
          <w:numId w:val="40"/>
        </w:numPr>
      </w:pPr>
      <w:r w:rsidRPr="00E6110F">
        <w:t xml:space="preserve">The fraction of organic carbon (OC) available for sorption was estimated as following the example of the Namoi River alluvium in the Gunnedah Basin. Assume soil organic carbon equal to 1-2% (Ward 1999, Table 14). Assume 1% OC in the soil surface layer, while at a depth of 1 m only 10% of surface amount remains (i.e. %OC = 0.1). The 0.1% (or </w:t>
      </w:r>
      <w:r w:rsidRPr="00E6110F">
        <w:rPr>
          <w:i/>
        </w:rPr>
        <w:t>f</w:t>
      </w:r>
      <w:r w:rsidRPr="00E6110F">
        <w:rPr>
          <w:vertAlign w:val="subscript"/>
        </w:rPr>
        <w:t>OC</w:t>
      </w:r>
      <w:r w:rsidRPr="00E6110F">
        <w:t xml:space="preserve"> = 0.001 g/g) is then considered constant with depth.</w:t>
      </w:r>
    </w:p>
    <w:p w14:paraId="20165D23" w14:textId="5AA9BED3" w:rsidR="007A5FB5" w:rsidRPr="00E6110F" w:rsidRDefault="007A0394" w:rsidP="00C117A3">
      <w:pPr>
        <w:pStyle w:val="Body"/>
        <w:numPr>
          <w:ilvl w:val="0"/>
          <w:numId w:val="40"/>
        </w:numPr>
      </w:pPr>
      <w:r>
        <w:t>Sand is mainly</w:t>
      </w:r>
      <w:r w:rsidR="007A5FB5" w:rsidRPr="00E6110F">
        <w:t xml:space="preserve"> quartz, therefore </w:t>
      </w:r>
      <w:r>
        <w:t xml:space="preserve">use </w:t>
      </w:r>
      <w:r w:rsidR="007A5FB5" w:rsidRPr="00E6110F">
        <w:t xml:space="preserve">same assumptions as </w:t>
      </w:r>
      <w:r>
        <w:t xml:space="preserve">for </w:t>
      </w:r>
      <w:r w:rsidR="007A5FB5" w:rsidRPr="00E6110F">
        <w:t>sand</w:t>
      </w:r>
      <w:r>
        <w:t>stone (i.e. minimal sorption); g</w:t>
      </w:r>
      <w:r w:rsidR="007A5FB5" w:rsidRPr="00E6110F">
        <w:t>ravel may have basalt</w:t>
      </w:r>
      <w:r>
        <w:t>, some iron/</w:t>
      </w:r>
      <w:r w:rsidR="00AF176B">
        <w:t>aluminium</w:t>
      </w:r>
      <w:r>
        <w:t xml:space="preserve"> oxides and smectite; a</w:t>
      </w:r>
      <w:r w:rsidR="007A5FB5" w:rsidRPr="00E6110F">
        <w:t>lluvial</w:t>
      </w:r>
      <w:r>
        <w:t xml:space="preserve"> plains soils (contain on average 44% clay); c</w:t>
      </w:r>
      <w:r w:rsidR="007A5FB5" w:rsidRPr="00E6110F">
        <w:t>lays in some soil is about 25% from basalt and 8-10% from sandstone parent materials</w:t>
      </w:r>
      <w:r w:rsidR="00DF1A7A" w:rsidRPr="00E6110F">
        <w:t>.</w:t>
      </w:r>
      <w:r w:rsidR="007A5FB5" w:rsidRPr="00E6110F">
        <w:t xml:space="preserve"> </w:t>
      </w:r>
    </w:p>
    <w:p w14:paraId="14FFD6EB" w14:textId="3D0A8888" w:rsidR="007A5FB5" w:rsidRPr="00E6110F" w:rsidRDefault="007A5FB5" w:rsidP="00C117A3">
      <w:pPr>
        <w:pStyle w:val="Body"/>
        <w:numPr>
          <w:ilvl w:val="0"/>
          <w:numId w:val="40"/>
        </w:numPr>
      </w:pPr>
      <w:r w:rsidRPr="00E6110F">
        <w:t xml:space="preserve">No redox potential </w:t>
      </w:r>
      <w:r w:rsidR="00B25003">
        <w:t xml:space="preserve">data </w:t>
      </w:r>
      <w:r w:rsidRPr="00E6110F">
        <w:t>(E</w:t>
      </w:r>
      <w:r w:rsidRPr="00B25003">
        <w:rPr>
          <w:vertAlign w:val="subscript"/>
        </w:rPr>
        <w:t>h</w:t>
      </w:r>
      <w:r w:rsidRPr="00E6110F">
        <w:t>) are available on the Dawson River alluvial groundwaters in the Q</w:t>
      </w:r>
      <w:r w:rsidR="00B25003">
        <w:t>ueensland</w:t>
      </w:r>
      <w:r w:rsidRPr="00E6110F">
        <w:t xml:space="preserve"> </w:t>
      </w:r>
      <w:r w:rsidR="00B25003">
        <w:t>Department of Natural Resources and Mines (</w:t>
      </w:r>
      <w:r w:rsidRPr="00E6110F">
        <w:t>DNRM</w:t>
      </w:r>
      <w:r w:rsidR="00B25003">
        <w:t>)</w:t>
      </w:r>
      <w:r w:rsidRPr="00E6110F">
        <w:t xml:space="preserve"> groundwat</w:t>
      </w:r>
      <w:r w:rsidR="00DF1A7A" w:rsidRPr="00E6110F">
        <w:t>er database (201</w:t>
      </w:r>
      <w:r w:rsidR="00DE217C" w:rsidRPr="00E6110F">
        <w:t>5</w:t>
      </w:r>
      <w:r w:rsidR="00DF1A7A" w:rsidRPr="00E6110F">
        <w:t>). Redox-sensi</w:t>
      </w:r>
      <w:r w:rsidRPr="00E6110F">
        <w:t xml:space="preserve">tive parameters such as </w:t>
      </w:r>
      <w:r w:rsidR="00AF176B">
        <w:t>iron and manganese</w:t>
      </w:r>
      <w:r w:rsidRPr="00E6110F">
        <w:t xml:space="preserve"> appear to be very low (i.e. below the detection limit). Together with the shallow depth of the Dawson River alluvium, it is assumed that redox conditions in the Dawson River alluvium are generally positive</w:t>
      </w:r>
      <w:r w:rsidR="00DF1A7A" w:rsidRPr="00E6110F">
        <w:t xml:space="preserve"> (i.e. oxidising)</w:t>
      </w:r>
      <w:r w:rsidRPr="00E6110F">
        <w:t xml:space="preserve">. </w:t>
      </w:r>
    </w:p>
    <w:p w14:paraId="35E4A89F" w14:textId="36EC7292" w:rsidR="007A5FB5" w:rsidRPr="00E6110F" w:rsidRDefault="007A5FB5" w:rsidP="00C117A3">
      <w:pPr>
        <w:pStyle w:val="Body"/>
        <w:numPr>
          <w:ilvl w:val="0"/>
          <w:numId w:val="40"/>
        </w:numPr>
      </w:pPr>
      <w:r w:rsidRPr="00E6110F">
        <w:t>Groundwater quality in the Dawson River alluvium ranges from fresh to saline (101-10</w:t>
      </w:r>
      <w:r w:rsidR="00DF1A7A" w:rsidRPr="00E6110F">
        <w:t>,</w:t>
      </w:r>
      <w:r w:rsidRPr="00E6110F">
        <w:t>281 mg/L, with a median of 411 mg/L; QLD DNRM groundwater database, 2015).</w:t>
      </w:r>
    </w:p>
    <w:p w14:paraId="2025BEE5" w14:textId="77777777" w:rsidR="007A5FB5" w:rsidRPr="00E6110F" w:rsidRDefault="007A5FB5" w:rsidP="007A5FB5">
      <w:pPr>
        <w:pStyle w:val="Body"/>
      </w:pPr>
      <w:r w:rsidRPr="00E6110F">
        <w:rPr>
          <w:u w:val="single"/>
        </w:rPr>
        <w:t>Gubberamunda Sandstone</w:t>
      </w:r>
      <w:r w:rsidRPr="00E6110F">
        <w:t xml:space="preserve">: </w:t>
      </w:r>
    </w:p>
    <w:p w14:paraId="63191694" w14:textId="0959460D" w:rsidR="007A5FB5" w:rsidRPr="00E6110F" w:rsidRDefault="007A5FB5" w:rsidP="00C117A3">
      <w:pPr>
        <w:pStyle w:val="Body"/>
        <w:numPr>
          <w:ilvl w:val="0"/>
          <w:numId w:val="41"/>
        </w:numPr>
      </w:pPr>
      <w:r w:rsidRPr="00E6110F">
        <w:t>The Gubberamunda Sandstone, together with the Westbourne Formation and Springbok Sandstone, is considered as the lateral equivalent to the Pilliga Sand</w:t>
      </w:r>
      <w:r w:rsidR="00DF1A7A" w:rsidRPr="00E6110F">
        <w:t>stone (Totterdell et al.</w:t>
      </w:r>
      <w:r w:rsidRPr="00E6110F">
        <w:t xml:space="preserve"> 2009). </w:t>
      </w:r>
      <w:r w:rsidR="00DF1A7A" w:rsidRPr="00E6110F">
        <w:t>A s</w:t>
      </w:r>
      <w:r w:rsidRPr="00E6110F">
        <w:t>mall amount of carbon is likely to be in carbonate form (Zheng et al</w:t>
      </w:r>
      <w:r w:rsidR="00DF1A7A" w:rsidRPr="00E6110F">
        <w:t>.</w:t>
      </w:r>
      <w:r w:rsidRPr="00E6110F">
        <w:t xml:space="preserve"> 2015)</w:t>
      </w:r>
      <w:r w:rsidR="00B25003">
        <w:t>,</w:t>
      </w:r>
      <w:r w:rsidRPr="00E6110F">
        <w:t xml:space="preserve"> therefore assume little contribution of OC. Dominant constituents are quartz (~30-90%) and kaolinite is the dominant clay mineral (up to 30%). Feldspar varies between ~8-28%, and plagioclase is always dominant over K-feldspar. The concentration of mica is highly variable, and can reach up to 20% in some wells; siderite and hematite-rich units are rare, and calcite was not detected. </w:t>
      </w:r>
    </w:p>
    <w:p w14:paraId="54841F3B" w14:textId="3DB44A73" w:rsidR="007A5FB5" w:rsidRPr="00E6110F" w:rsidRDefault="007A5FB5" w:rsidP="00C117A3">
      <w:pPr>
        <w:pStyle w:val="Body"/>
        <w:numPr>
          <w:ilvl w:val="0"/>
          <w:numId w:val="41"/>
        </w:numPr>
      </w:pPr>
      <w:r w:rsidRPr="00E6110F">
        <w:t>Groundwater quality in the Gubberamunda Formation ranges from fresh to brackish, with TDS concentrations in the range from 215-5</w:t>
      </w:r>
      <w:r w:rsidR="00DF1A7A" w:rsidRPr="00E6110F">
        <w:t>,</w:t>
      </w:r>
      <w:r w:rsidRPr="00E6110F">
        <w:t>900 mg/L (median 770) (Mallants et al. 2016).</w:t>
      </w:r>
    </w:p>
    <w:p w14:paraId="6BAEF0C0" w14:textId="77777777" w:rsidR="007A5FB5" w:rsidRPr="00E6110F" w:rsidRDefault="007A5FB5" w:rsidP="007A5FB5">
      <w:pPr>
        <w:pStyle w:val="Body"/>
      </w:pPr>
      <w:r w:rsidRPr="00E6110F">
        <w:rPr>
          <w:u w:val="single"/>
        </w:rPr>
        <w:t>Westbourne Formation</w:t>
      </w:r>
      <w:r w:rsidRPr="00E6110F">
        <w:t xml:space="preserve">: </w:t>
      </w:r>
    </w:p>
    <w:p w14:paraId="3156D92E" w14:textId="5824A81D" w:rsidR="007A5FB5" w:rsidRPr="00E6110F" w:rsidRDefault="007A5FB5" w:rsidP="00C117A3">
      <w:pPr>
        <w:pStyle w:val="Body"/>
        <w:numPr>
          <w:ilvl w:val="0"/>
          <w:numId w:val="41"/>
        </w:numPr>
      </w:pPr>
      <w:r w:rsidRPr="00E6110F">
        <w:t xml:space="preserve">The dominant constituents of the Westbourne Formation are quartz (~18-80%) and </w:t>
      </w:r>
      <w:r w:rsidR="00AF176B">
        <w:t>f</w:t>
      </w:r>
      <w:r w:rsidR="00AF176B" w:rsidRPr="00E6110F">
        <w:t xml:space="preserve">eldspar </w:t>
      </w:r>
      <w:r w:rsidRPr="00E6110F">
        <w:t>(~12-40%; plagioclase is always dominant). Kaolinite (up to 30%) is the dominant clay mineral. The concentration of mica is generally less than 5%, but can be higher (up to 14%) in some sample</w:t>
      </w:r>
      <w:r w:rsidR="00B25003">
        <w:t>s</w:t>
      </w:r>
      <w:r w:rsidRPr="00E6110F">
        <w:t xml:space="preserve">. Chlorite is present in some samples and siderite and hematite-rich bands are frequent, whereas calcite occurrence is rare. </w:t>
      </w:r>
    </w:p>
    <w:p w14:paraId="6BD6950C" w14:textId="4898EDCD" w:rsidR="007A5FB5" w:rsidRPr="00E6110F" w:rsidRDefault="007A5FB5" w:rsidP="00C117A3">
      <w:pPr>
        <w:pStyle w:val="Body"/>
        <w:numPr>
          <w:ilvl w:val="0"/>
          <w:numId w:val="41"/>
        </w:numPr>
      </w:pPr>
      <w:r w:rsidRPr="00E6110F">
        <w:t>Groundwater quality in the Westbourne Formation ranges from fresh to saline, with TDS concentrations in the range from 228-17</w:t>
      </w:r>
      <w:r w:rsidR="00DF1A7A" w:rsidRPr="00E6110F">
        <w:t>,</w:t>
      </w:r>
      <w:r w:rsidRPr="00E6110F">
        <w:t>700 mg/L (median 1070) (Mallants et al. 2016).</w:t>
      </w:r>
    </w:p>
    <w:p w14:paraId="2220D74F" w14:textId="77777777" w:rsidR="007A5FB5" w:rsidRPr="00E6110F" w:rsidRDefault="007A5FB5" w:rsidP="007A5FB5">
      <w:pPr>
        <w:pStyle w:val="Body"/>
      </w:pPr>
      <w:r w:rsidRPr="00E6110F">
        <w:rPr>
          <w:u w:val="single"/>
        </w:rPr>
        <w:t>Springbok Sandstone</w:t>
      </w:r>
      <w:r w:rsidRPr="00E6110F">
        <w:t>:</w:t>
      </w:r>
    </w:p>
    <w:p w14:paraId="60F0C58B" w14:textId="77777777" w:rsidR="007A5FB5" w:rsidRPr="00E6110F" w:rsidRDefault="007A5FB5" w:rsidP="00C117A3">
      <w:pPr>
        <w:pStyle w:val="Body"/>
        <w:numPr>
          <w:ilvl w:val="0"/>
          <w:numId w:val="41"/>
        </w:numPr>
      </w:pPr>
      <w:r w:rsidRPr="00E6110F">
        <w:t xml:space="preserve">The dominant constituents of the Springbok Sandstone are quartz (~17-71%) and feldspars (5-46%). Kaolinite is the dominant clay mineral (5-25%). Plagioclase is always higher than other feldspars and can comprise up to 36%. The concentration of mica is generally below 5%, but reaches 17% in one sample. Chlorite occurs only as traces with up to 2% in a few samples. Siderite and hematite-rich bands are frequent, whereas calcite veins are rare. </w:t>
      </w:r>
    </w:p>
    <w:p w14:paraId="0FD74927" w14:textId="2DE7AB03" w:rsidR="007A5FB5" w:rsidRPr="00E6110F" w:rsidRDefault="007A5FB5" w:rsidP="00C117A3">
      <w:pPr>
        <w:pStyle w:val="Body"/>
        <w:numPr>
          <w:ilvl w:val="0"/>
          <w:numId w:val="41"/>
        </w:numPr>
      </w:pPr>
      <w:r w:rsidRPr="00E6110F">
        <w:t>Groundwater quality in the Springbok Sandstone ranges from fresh to saline, with TDS concentrations in the range from 600-12</w:t>
      </w:r>
      <w:r w:rsidR="00DF1A7A" w:rsidRPr="00E6110F">
        <w:t>,</w:t>
      </w:r>
      <w:r w:rsidRPr="00E6110F">
        <w:t>200 mg/L (median 1540) (Mallants et al. 2016).</w:t>
      </w:r>
    </w:p>
    <w:p w14:paraId="511E26F9" w14:textId="77777777" w:rsidR="007A5FB5" w:rsidRPr="00E6110F" w:rsidRDefault="007A5FB5" w:rsidP="007A5FB5">
      <w:pPr>
        <w:pStyle w:val="Body"/>
        <w:rPr>
          <w:u w:val="single"/>
        </w:rPr>
      </w:pPr>
      <w:r w:rsidRPr="00E6110F">
        <w:rPr>
          <w:u w:val="single"/>
        </w:rPr>
        <w:t>Walloon Coal Measures:</w:t>
      </w:r>
    </w:p>
    <w:p w14:paraId="0CC9F514" w14:textId="1E001F3C" w:rsidR="007A5FB5" w:rsidRPr="00E6110F" w:rsidRDefault="007A5FB5" w:rsidP="00C117A3">
      <w:pPr>
        <w:pStyle w:val="Body"/>
        <w:numPr>
          <w:ilvl w:val="0"/>
          <w:numId w:val="42"/>
        </w:numPr>
        <w:jc w:val="both"/>
      </w:pPr>
      <w:r w:rsidRPr="00E6110F">
        <w:t>Quartz is generally the main component (6-65%) and kaolinite the dominant clay mineral (2-68%). Feldspars vary significantly (2-57%). Plagioclase is generally dominant (up to 47%). In some samples, plagioclase also dominates over quartz. The concentration of mica is generally low but reaches up to 14% in some samples. Chlorite is generally minor (up to 5%). Siderite is ubiquitous and calcite veins are common. M</w:t>
      </w:r>
      <w:r w:rsidR="00AF176B">
        <w:t xml:space="preserve">agnesium </w:t>
      </w:r>
      <w:r w:rsidRPr="00E6110F">
        <w:t xml:space="preserve">carbonates (dolomite and ankerite) are also present within the Walloon Coal Measures. Within the Walloon Coal Measures, there appear to be distinct differences of the mineralogy related to the depositional environment (channel, floodplain and peat/swamp). Channel sediments contain more quartz and have lower concentrations of clay minerals than the floodplain sediments. Mires are generally clay-rich (25-75%).   </w:t>
      </w:r>
    </w:p>
    <w:p w14:paraId="3ACBB2D8" w14:textId="482BDEDF" w:rsidR="007A5FB5" w:rsidRPr="00E6110F" w:rsidRDefault="007A5FB5" w:rsidP="00C117A3">
      <w:pPr>
        <w:pStyle w:val="Body"/>
        <w:numPr>
          <w:ilvl w:val="0"/>
          <w:numId w:val="42"/>
        </w:numPr>
        <w:rPr>
          <w:lang w:val="en-US"/>
        </w:rPr>
      </w:pPr>
      <w:r w:rsidRPr="00E6110F">
        <w:t>Fixed carbon content of the Walloon Coal Measures ranges from 4.3-46.7 weight %, wit</w:t>
      </w:r>
      <w:r w:rsidR="00DF1A7A" w:rsidRPr="00E6110F">
        <w:t>h a mean of 31.5% (Scott et al.</w:t>
      </w:r>
      <w:r w:rsidRPr="00E6110F">
        <w:t xml:space="preserve"> 2007).  Scott </w:t>
      </w:r>
      <w:r w:rsidRPr="00E6110F">
        <w:rPr>
          <w:lang w:val="en-US"/>
        </w:rPr>
        <w:t>et al. (2007) described the coals of the Walloon Coal Measures in the Surat Basin as dull, and rich in carbon (&gt;80% dry, ash-free). They have a high volatile matter content (&gt;30% as received), and the coal rank ranges from sub-bituminous to high</w:t>
      </w:r>
      <w:r w:rsidRPr="00E6110F">
        <w:rPr>
          <w:lang w:val="en-US"/>
        </w:rPr>
        <w:noBreakHyphen/>
        <w:t xml:space="preserve">volatile bituminous. </w:t>
      </w:r>
    </w:p>
    <w:p w14:paraId="3398D340" w14:textId="6C548758" w:rsidR="007A5FB5" w:rsidRPr="00E6110F" w:rsidRDefault="007A5FB5" w:rsidP="00C117A3">
      <w:pPr>
        <w:pStyle w:val="Body"/>
        <w:numPr>
          <w:ilvl w:val="0"/>
          <w:numId w:val="42"/>
        </w:numPr>
      </w:pPr>
      <w:r w:rsidRPr="00E6110F">
        <w:t>The lithological composition of the Walloon Coal Measures is highly variable (e.g. Grigo</w:t>
      </w:r>
      <w:r w:rsidR="00DF1A7A" w:rsidRPr="00E6110F">
        <w:t>rescu (2011) and Esterle et al.</w:t>
      </w:r>
      <w:r w:rsidRPr="00E6110F">
        <w:t xml:space="preserve"> 2013) due to a variable depositional environment (channel, floodplain and mires). Papendick et al. (2011) suggested that average wells near Roma have a net coal thickness of 15 m, which </w:t>
      </w:r>
      <w:r w:rsidR="00DF1A7A" w:rsidRPr="00E6110F">
        <w:t>increases to 20-30 m near Dalby</w:t>
      </w:r>
      <w:r w:rsidRPr="00E6110F">
        <w:t xml:space="preserve"> over a thickness of approximately 250-500 m. </w:t>
      </w:r>
    </w:p>
    <w:p w14:paraId="08ECFC5F" w14:textId="2B986E41" w:rsidR="007A5FB5" w:rsidRPr="00E6110F" w:rsidRDefault="007A5FB5" w:rsidP="00C117A3">
      <w:pPr>
        <w:pStyle w:val="Body"/>
        <w:numPr>
          <w:ilvl w:val="0"/>
          <w:numId w:val="42"/>
        </w:numPr>
      </w:pPr>
      <w:r w:rsidRPr="00E6110F">
        <w:t>Groundwater quality in the Walloon Coal Measures in the northern Surat Basin is spatially highly variable depending on the regional processes (e.g. groundwater recharge). It is generally in the range from fresh to saline, with TDS concentrations in the range from 109-16</w:t>
      </w:r>
      <w:r w:rsidR="00DF1A7A" w:rsidRPr="00E6110F">
        <w:t>,</w:t>
      </w:r>
      <w:r w:rsidRPr="00E6110F">
        <w:t>800 mg/L</w:t>
      </w:r>
      <w:r w:rsidR="004860BD" w:rsidRPr="00E6110F">
        <w:t xml:space="preserve"> (median 1700) (Mallants et al.</w:t>
      </w:r>
      <w:r w:rsidRPr="00E6110F">
        <w:t xml:space="preserve"> 2016; APLNG 2015).</w:t>
      </w:r>
    </w:p>
    <w:p w14:paraId="069A6BE2" w14:textId="77777777" w:rsidR="007A5FB5" w:rsidRPr="00E6110F" w:rsidRDefault="007A5FB5" w:rsidP="007A5FB5">
      <w:pPr>
        <w:pStyle w:val="Body"/>
        <w:rPr>
          <w:u w:val="single"/>
        </w:rPr>
      </w:pPr>
      <w:r w:rsidRPr="00E6110F">
        <w:rPr>
          <w:u w:val="single"/>
        </w:rPr>
        <w:t xml:space="preserve">Hutton Sandstone: </w:t>
      </w:r>
    </w:p>
    <w:p w14:paraId="6D296662" w14:textId="64EF8206" w:rsidR="007A5FB5" w:rsidRPr="00E6110F" w:rsidRDefault="007A5FB5" w:rsidP="00C117A3">
      <w:pPr>
        <w:pStyle w:val="Body"/>
        <w:numPr>
          <w:ilvl w:val="0"/>
          <w:numId w:val="42"/>
        </w:numPr>
        <w:jc w:val="both"/>
      </w:pPr>
      <w:r w:rsidRPr="00E6110F">
        <w:t>Quartz is generally the main component (25-94%) and kaolinite is the dominant clay mineral (2-37%). Feldspar var</w:t>
      </w:r>
      <w:r w:rsidR="00FE7E65" w:rsidRPr="00E6110F">
        <w:t>ies</w:t>
      </w:r>
      <w:r w:rsidRPr="00E6110F">
        <w:t xml:space="preserve"> throughout the formation (2-23%), and with few exceptions, plagioclase is the dominant feldspars </w:t>
      </w:r>
      <w:r w:rsidR="00FE7E65" w:rsidRPr="00E6110F">
        <w:t xml:space="preserve">but </w:t>
      </w:r>
      <w:r w:rsidRPr="00E6110F">
        <w:t xml:space="preserve">vary significantly (2-57%). The concentration of mica is highly variable and can be up to 27%; siderite and calcite veins are also present. </w:t>
      </w:r>
    </w:p>
    <w:p w14:paraId="6849C106" w14:textId="3B8C9053" w:rsidR="007A5FB5" w:rsidRPr="00E6110F" w:rsidRDefault="007A5FB5" w:rsidP="00C117A3">
      <w:pPr>
        <w:pStyle w:val="Body"/>
        <w:numPr>
          <w:ilvl w:val="0"/>
          <w:numId w:val="42"/>
        </w:numPr>
        <w:jc w:val="both"/>
      </w:pPr>
      <w:r w:rsidRPr="00E6110F">
        <w:t>Similar to the Walloon Coal Measures, the lithological composition of the Hutton Sandstone is highly variable in accordance with its deposition</w:t>
      </w:r>
      <w:r w:rsidR="00FE7E65" w:rsidRPr="00E6110F">
        <w:t>, i.e.</w:t>
      </w:r>
      <w:r w:rsidRPr="00E6110F">
        <w:t xml:space="preserve"> </w:t>
      </w:r>
      <w:r w:rsidR="00FE7E65" w:rsidRPr="00E6110F">
        <w:rPr>
          <w:lang w:val="en-AU"/>
        </w:rPr>
        <w:t>fluvial and tidally</w:t>
      </w:r>
      <w:r w:rsidRPr="00E6110F">
        <w:rPr>
          <w:lang w:val="en-AU"/>
        </w:rPr>
        <w:t xml:space="preserve">-influenced deltaic channels, crevasse splay and floodplain </w:t>
      </w:r>
      <w:r w:rsidR="00FE7E65" w:rsidRPr="00E6110F">
        <w:rPr>
          <w:lang w:val="en-AU"/>
        </w:rPr>
        <w:t>environments (Guiton et al.</w:t>
      </w:r>
      <w:r w:rsidRPr="00E6110F">
        <w:rPr>
          <w:lang w:val="en-AU"/>
        </w:rPr>
        <w:t xml:space="preserve"> 2015).</w:t>
      </w:r>
    </w:p>
    <w:p w14:paraId="630C29EA" w14:textId="042E23D1" w:rsidR="00BB1986" w:rsidRPr="00E6110F" w:rsidRDefault="007A5FB5" w:rsidP="00C117A3">
      <w:pPr>
        <w:pStyle w:val="Body"/>
        <w:numPr>
          <w:ilvl w:val="0"/>
          <w:numId w:val="42"/>
        </w:numPr>
        <w:jc w:val="both"/>
      </w:pPr>
      <w:r w:rsidRPr="00E6110F">
        <w:t>Groundwater quality in the Hutton Sandstone in the northern Surat Basin is fresh to saline, with TDS concentrations ranging from 96-10</w:t>
      </w:r>
      <w:r w:rsidR="00FE7E65" w:rsidRPr="00E6110F">
        <w:t>,</w:t>
      </w:r>
      <w:r w:rsidRPr="00E6110F">
        <w:t>200 mg/L (median 590) (APLNG 2015).</w:t>
      </w:r>
    </w:p>
    <w:p w14:paraId="6C83A020" w14:textId="77777777" w:rsidR="0056316E" w:rsidRDefault="0056316E" w:rsidP="003C18FF">
      <w:pPr>
        <w:pStyle w:val="Body"/>
      </w:pPr>
    </w:p>
    <w:p w14:paraId="10A2DE45" w14:textId="77777777" w:rsidR="0056316E" w:rsidRDefault="0056316E" w:rsidP="003C18FF">
      <w:pPr>
        <w:pStyle w:val="Body"/>
      </w:pPr>
    </w:p>
    <w:p w14:paraId="452BF1CF" w14:textId="77777777" w:rsidR="0056316E" w:rsidRPr="003C18FF" w:rsidRDefault="0056316E" w:rsidP="003C18FF">
      <w:pPr>
        <w:pStyle w:val="Body"/>
        <w:sectPr w:rsidR="0056316E" w:rsidRPr="003C18FF" w:rsidSect="00043887">
          <w:headerReference w:type="even" r:id="rId151"/>
          <w:headerReference w:type="default" r:id="rId152"/>
          <w:footerReference w:type="even" r:id="rId153"/>
          <w:footerReference w:type="default" r:id="rId154"/>
          <w:headerReference w:type="first" r:id="rId155"/>
          <w:pgSz w:w="11900" w:h="16840"/>
          <w:pgMar w:top="1440" w:right="1440" w:bottom="1440" w:left="1440" w:header="0" w:footer="0" w:gutter="0"/>
          <w:cols w:space="284"/>
          <w:noEndnote/>
          <w:docGrid w:linePitch="326"/>
        </w:sectPr>
      </w:pPr>
    </w:p>
    <w:p w14:paraId="4ABB6088" w14:textId="75C4BDFB" w:rsidR="0056316E" w:rsidRDefault="0056316E" w:rsidP="00BC42E2">
      <w:pPr>
        <w:pStyle w:val="Imagecaption"/>
        <w:keepNext/>
        <w:pBdr>
          <w:top w:val="none" w:sz="0" w:space="0" w:color="auto"/>
        </w:pBdr>
      </w:pPr>
      <w:bookmarkStart w:id="450" w:name="_Ref470869247"/>
      <w:bookmarkStart w:id="451" w:name="_Toc494444719"/>
      <w:r w:rsidRPr="00E6110F">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w:t>
      </w:r>
      <w:r w:rsidR="00470577">
        <w:fldChar w:fldCharType="end"/>
      </w:r>
      <w:bookmarkEnd w:id="450"/>
      <w:r w:rsidRPr="00E6110F">
        <w:t xml:space="preserve">  Summary of hydrochemical conditions for Surat basin geology</w:t>
      </w:r>
      <w:r w:rsidR="00464D75">
        <w:t>.</w:t>
      </w:r>
      <w:r w:rsidRPr="00E6110F">
        <w:t xml:space="preserve"> 1 = Grigorescu (2011); 2 = Gopalakrishan et al. (2015); 3 = Esterle et al. (2013). 4 = Mallants et al. (2016). 5 = Scott et al. (2007). 6 = APLNG (2015); 7 = Papendick et al. (2011). 8 = Queensland Department of Natural Resources and Mines (2015).</w:t>
      </w:r>
      <w:bookmarkEnd w:id="451"/>
    </w:p>
    <w:tbl>
      <w:tblPr>
        <w:tblStyle w:val="TableGrid"/>
        <w:tblpPr w:leftFromText="180" w:rightFromText="180" w:vertAnchor="text" w:horzAnchor="page" w:tblpX="1477" w:tblpY="290"/>
        <w:tblW w:w="4927" w:type="pct"/>
        <w:tblLook w:val="04A0" w:firstRow="1" w:lastRow="0" w:firstColumn="1" w:lastColumn="0" w:noHBand="0" w:noVBand="1"/>
      </w:tblPr>
      <w:tblGrid>
        <w:gridCol w:w="1367"/>
        <w:gridCol w:w="2596"/>
        <w:gridCol w:w="2696"/>
        <w:gridCol w:w="1416"/>
        <w:gridCol w:w="1276"/>
        <w:gridCol w:w="1276"/>
        <w:gridCol w:w="1275"/>
        <w:gridCol w:w="851"/>
        <w:gridCol w:w="993"/>
      </w:tblGrid>
      <w:tr w:rsidR="0056316E" w:rsidRPr="00E6110F" w14:paraId="2C11C286" w14:textId="77777777" w:rsidTr="0056316E">
        <w:tc>
          <w:tcPr>
            <w:tcW w:w="1367" w:type="dxa"/>
            <w:shd w:val="clear" w:color="auto" w:fill="F2F2F2" w:themeFill="background1" w:themeFillShade="F2"/>
          </w:tcPr>
          <w:p w14:paraId="63B226F1" w14:textId="77777777" w:rsidR="0056316E" w:rsidRPr="00E6110F" w:rsidRDefault="0056316E" w:rsidP="0056316E">
            <w:pPr>
              <w:pStyle w:val="Body"/>
            </w:pPr>
            <w:bookmarkStart w:id="452" w:name="_Ref454269944"/>
            <w:r w:rsidRPr="00E6110F">
              <w:t>Geology</w:t>
            </w:r>
          </w:p>
        </w:tc>
        <w:tc>
          <w:tcPr>
            <w:tcW w:w="2596" w:type="dxa"/>
            <w:shd w:val="clear" w:color="auto" w:fill="F2F2F2" w:themeFill="background1" w:themeFillShade="F2"/>
          </w:tcPr>
          <w:p w14:paraId="448CCCF5" w14:textId="77777777" w:rsidR="0056316E" w:rsidRPr="00E6110F" w:rsidRDefault="0056316E" w:rsidP="0056316E">
            <w:pPr>
              <w:pStyle w:val="Body"/>
              <w:rPr>
                <w:rFonts w:cs="Arial"/>
              </w:rPr>
            </w:pPr>
            <w:r w:rsidRPr="00E6110F">
              <w:rPr>
                <w:rFonts w:cs="Arial"/>
              </w:rPr>
              <w:t>Lithology</w:t>
            </w:r>
          </w:p>
        </w:tc>
        <w:tc>
          <w:tcPr>
            <w:tcW w:w="2696" w:type="dxa"/>
            <w:shd w:val="clear" w:color="auto" w:fill="F2F2F2" w:themeFill="background1" w:themeFillShade="F2"/>
          </w:tcPr>
          <w:p w14:paraId="689FB1F0" w14:textId="77777777" w:rsidR="0056316E" w:rsidRPr="00E6110F" w:rsidRDefault="0056316E" w:rsidP="0056316E">
            <w:pPr>
              <w:pStyle w:val="Body"/>
            </w:pPr>
            <w:r w:rsidRPr="00E6110F">
              <w:rPr>
                <w:rFonts w:cs="Arial"/>
              </w:rPr>
              <w:t>Relative proportion:</w:t>
            </w:r>
            <w:r w:rsidRPr="00E6110F">
              <w:t xml:space="preserve"> Mineral /clay type</w:t>
            </w:r>
          </w:p>
        </w:tc>
        <w:tc>
          <w:tcPr>
            <w:tcW w:w="1416" w:type="dxa"/>
            <w:shd w:val="clear" w:color="auto" w:fill="F2F2F2" w:themeFill="background1" w:themeFillShade="F2"/>
          </w:tcPr>
          <w:p w14:paraId="517A2358" w14:textId="77777777" w:rsidR="0056316E" w:rsidRPr="00E6110F" w:rsidRDefault="0056316E" w:rsidP="0056316E">
            <w:pPr>
              <w:pStyle w:val="Body"/>
            </w:pPr>
            <w:r w:rsidRPr="00E6110F">
              <w:t>pH</w:t>
            </w:r>
          </w:p>
        </w:tc>
        <w:tc>
          <w:tcPr>
            <w:tcW w:w="1276" w:type="dxa"/>
            <w:shd w:val="clear" w:color="auto" w:fill="F2F2F2" w:themeFill="background1" w:themeFillShade="F2"/>
          </w:tcPr>
          <w:p w14:paraId="55AADB08" w14:textId="77777777" w:rsidR="0056316E" w:rsidRPr="00E6110F" w:rsidRDefault="0056316E" w:rsidP="0056316E">
            <w:pPr>
              <w:pStyle w:val="Body"/>
            </w:pPr>
            <w:r w:rsidRPr="00E6110F">
              <w:t>TDS</w:t>
            </w:r>
          </w:p>
          <w:p w14:paraId="16A1A99C" w14:textId="77777777" w:rsidR="0056316E" w:rsidRPr="00E6110F" w:rsidRDefault="0056316E" w:rsidP="0056316E">
            <w:pPr>
              <w:pStyle w:val="Body"/>
            </w:pPr>
            <w:r w:rsidRPr="00E6110F">
              <w:t>(mg/L)</w:t>
            </w:r>
          </w:p>
        </w:tc>
        <w:tc>
          <w:tcPr>
            <w:tcW w:w="1276" w:type="dxa"/>
            <w:shd w:val="clear" w:color="auto" w:fill="F2F2F2" w:themeFill="background1" w:themeFillShade="F2"/>
          </w:tcPr>
          <w:p w14:paraId="52F48822" w14:textId="77777777" w:rsidR="0056316E" w:rsidRPr="00E6110F" w:rsidRDefault="0056316E" w:rsidP="0056316E">
            <w:pPr>
              <w:pStyle w:val="Body"/>
            </w:pPr>
            <w:r w:rsidRPr="00E6110F">
              <w:t>Temp.</w:t>
            </w:r>
          </w:p>
        </w:tc>
        <w:tc>
          <w:tcPr>
            <w:tcW w:w="1275" w:type="dxa"/>
            <w:shd w:val="clear" w:color="auto" w:fill="F2F2F2" w:themeFill="background1" w:themeFillShade="F2"/>
          </w:tcPr>
          <w:p w14:paraId="0A175E9D" w14:textId="367CA77A" w:rsidR="0056316E" w:rsidRPr="00E6110F" w:rsidRDefault="0056316E" w:rsidP="0056316E">
            <w:pPr>
              <w:pStyle w:val="Body"/>
              <w:rPr>
                <w:b/>
              </w:rPr>
            </w:pPr>
            <w:r>
              <w:t>Hydrostatic p</w:t>
            </w:r>
            <w:r w:rsidRPr="00E6110F">
              <w:t>ressure</w:t>
            </w:r>
            <w:r w:rsidR="00F579FC">
              <w:rPr>
                <w:rFonts w:ascii="ZWAdobeF" w:hAnsi="ZWAdobeF" w:cs="ZWAdobeF"/>
                <w:color w:val="auto"/>
                <w:sz w:val="2"/>
                <w:szCs w:val="2"/>
              </w:rPr>
              <w:t>18F</w:t>
            </w:r>
            <w:r>
              <w:rPr>
                <w:rStyle w:val="FootnoteReference"/>
              </w:rPr>
              <w:footnoteReference w:id="17"/>
            </w:r>
            <w:r w:rsidRPr="00E6110F">
              <w:t xml:space="preserve"> (m)</w:t>
            </w:r>
          </w:p>
        </w:tc>
        <w:tc>
          <w:tcPr>
            <w:tcW w:w="851" w:type="dxa"/>
            <w:shd w:val="clear" w:color="auto" w:fill="F2F2F2" w:themeFill="background1" w:themeFillShade="F2"/>
          </w:tcPr>
          <w:p w14:paraId="3D9573D8" w14:textId="77777777" w:rsidR="0056316E" w:rsidRPr="00E6110F" w:rsidRDefault="0056316E" w:rsidP="0056316E">
            <w:pPr>
              <w:pStyle w:val="Body"/>
            </w:pPr>
            <w:r w:rsidRPr="00E6110F">
              <w:t>Carbon content (%)</w:t>
            </w:r>
          </w:p>
        </w:tc>
        <w:tc>
          <w:tcPr>
            <w:tcW w:w="993" w:type="dxa"/>
            <w:shd w:val="clear" w:color="auto" w:fill="F2F2F2" w:themeFill="background1" w:themeFillShade="F2"/>
          </w:tcPr>
          <w:p w14:paraId="2989F1E6" w14:textId="77777777" w:rsidR="0056316E" w:rsidRPr="00E6110F" w:rsidRDefault="0056316E" w:rsidP="0056316E">
            <w:pPr>
              <w:pStyle w:val="Body"/>
            </w:pPr>
            <w:r w:rsidRPr="00E6110F">
              <w:t>Redox status</w:t>
            </w:r>
          </w:p>
        </w:tc>
      </w:tr>
      <w:tr w:rsidR="0056316E" w:rsidRPr="00E6110F" w14:paraId="2E6C0AFB" w14:textId="77777777" w:rsidTr="0056316E">
        <w:tc>
          <w:tcPr>
            <w:tcW w:w="1367" w:type="dxa"/>
          </w:tcPr>
          <w:p w14:paraId="40604A79" w14:textId="77777777" w:rsidR="0056316E" w:rsidRPr="00E6110F" w:rsidRDefault="0056316E" w:rsidP="0056316E">
            <w:pPr>
              <w:pStyle w:val="Body"/>
            </w:pPr>
            <w:r w:rsidRPr="00E6110F">
              <w:t>Dawson River alluvium</w:t>
            </w:r>
          </w:p>
        </w:tc>
        <w:tc>
          <w:tcPr>
            <w:tcW w:w="2596" w:type="dxa"/>
          </w:tcPr>
          <w:p w14:paraId="4915DBD9" w14:textId="77777777" w:rsidR="0056316E" w:rsidRPr="00E6110F" w:rsidRDefault="0056316E" w:rsidP="0056316E">
            <w:pPr>
              <w:pStyle w:val="Body"/>
              <w:rPr>
                <w:rFonts w:cs="Arial"/>
              </w:rPr>
            </w:pPr>
            <w:r w:rsidRPr="00E6110F">
              <w:t>Gravel, silt, clay and sand</w:t>
            </w:r>
          </w:p>
        </w:tc>
        <w:tc>
          <w:tcPr>
            <w:tcW w:w="2696" w:type="dxa"/>
          </w:tcPr>
          <w:p w14:paraId="669FF024" w14:textId="77777777" w:rsidR="0056316E" w:rsidRPr="00E6110F" w:rsidRDefault="0056316E" w:rsidP="0056316E">
            <w:pPr>
              <w:pStyle w:val="Body"/>
            </w:pPr>
            <w:r w:rsidRPr="00E6110F">
              <w:t>Mostly quartz</w:t>
            </w:r>
          </w:p>
        </w:tc>
        <w:tc>
          <w:tcPr>
            <w:tcW w:w="1416" w:type="dxa"/>
          </w:tcPr>
          <w:p w14:paraId="20CC8CE4" w14:textId="77777777" w:rsidR="0056316E" w:rsidRPr="00E6110F" w:rsidRDefault="0056316E" w:rsidP="0056316E">
            <w:pPr>
              <w:pStyle w:val="Body"/>
            </w:pPr>
            <w:r w:rsidRPr="00E6110F">
              <w:t>6-8.9 (median 7.9)</w:t>
            </w:r>
            <w:r w:rsidRPr="00E6110F">
              <w:rPr>
                <w:vertAlign w:val="superscript"/>
              </w:rPr>
              <w:t>4</w:t>
            </w:r>
          </w:p>
        </w:tc>
        <w:tc>
          <w:tcPr>
            <w:tcW w:w="1276" w:type="dxa"/>
          </w:tcPr>
          <w:p w14:paraId="6245CB50" w14:textId="77777777" w:rsidR="0056316E" w:rsidRPr="00E6110F" w:rsidRDefault="0056316E" w:rsidP="0056316E">
            <w:pPr>
              <w:pStyle w:val="Body"/>
            </w:pPr>
            <w:r w:rsidRPr="00E6110F">
              <w:t>101-10,281 (median 411)</w:t>
            </w:r>
            <w:r w:rsidRPr="00E6110F">
              <w:rPr>
                <w:vertAlign w:val="superscript"/>
              </w:rPr>
              <w:t>8</w:t>
            </w:r>
          </w:p>
        </w:tc>
        <w:tc>
          <w:tcPr>
            <w:tcW w:w="1276" w:type="dxa"/>
          </w:tcPr>
          <w:p w14:paraId="2A9596A7" w14:textId="77777777" w:rsidR="0056316E" w:rsidRPr="00E6110F" w:rsidRDefault="0056316E" w:rsidP="0056316E">
            <w:pPr>
              <w:pStyle w:val="Body"/>
            </w:pPr>
            <w:r w:rsidRPr="00E6110F">
              <w:t>Surface conditions</w:t>
            </w:r>
          </w:p>
        </w:tc>
        <w:tc>
          <w:tcPr>
            <w:tcW w:w="1275" w:type="dxa"/>
          </w:tcPr>
          <w:p w14:paraId="47C14F4C" w14:textId="77777777" w:rsidR="0056316E" w:rsidRPr="00E6110F" w:rsidRDefault="0056316E" w:rsidP="0056316E">
            <w:pPr>
              <w:pStyle w:val="Body"/>
            </w:pPr>
          </w:p>
        </w:tc>
        <w:tc>
          <w:tcPr>
            <w:tcW w:w="851" w:type="dxa"/>
          </w:tcPr>
          <w:p w14:paraId="5E0BED26" w14:textId="77777777" w:rsidR="0056316E" w:rsidRPr="00E6110F" w:rsidRDefault="0056316E" w:rsidP="0056316E">
            <w:pPr>
              <w:pStyle w:val="Body"/>
            </w:pPr>
            <w:r w:rsidRPr="00E6110F">
              <w:t>0.1</w:t>
            </w:r>
          </w:p>
        </w:tc>
        <w:tc>
          <w:tcPr>
            <w:tcW w:w="993" w:type="dxa"/>
          </w:tcPr>
          <w:p w14:paraId="0A95C325" w14:textId="77777777" w:rsidR="0056316E" w:rsidRPr="00E6110F" w:rsidRDefault="0056316E" w:rsidP="0056316E">
            <w:pPr>
              <w:pStyle w:val="Body"/>
            </w:pPr>
            <w:r w:rsidRPr="00E6110F">
              <w:t>Oxidising</w:t>
            </w:r>
          </w:p>
        </w:tc>
      </w:tr>
      <w:tr w:rsidR="0056316E" w:rsidRPr="00E6110F" w14:paraId="41134FA7" w14:textId="77777777" w:rsidTr="0056316E">
        <w:tc>
          <w:tcPr>
            <w:tcW w:w="1367" w:type="dxa"/>
          </w:tcPr>
          <w:p w14:paraId="01EDFCEE" w14:textId="77777777" w:rsidR="0056316E" w:rsidRPr="00E6110F" w:rsidRDefault="0056316E" w:rsidP="0056316E">
            <w:pPr>
              <w:pStyle w:val="Body"/>
            </w:pPr>
            <w:r w:rsidRPr="00E6110F">
              <w:t>Bungil Formation-Mooga Sandstone-Orallo Formation (BMO Group)</w:t>
            </w:r>
          </w:p>
        </w:tc>
        <w:tc>
          <w:tcPr>
            <w:tcW w:w="2596" w:type="dxa"/>
          </w:tcPr>
          <w:p w14:paraId="220CDD5A" w14:textId="77777777" w:rsidR="0056316E" w:rsidRPr="00E6110F" w:rsidRDefault="0056316E" w:rsidP="0056316E">
            <w:pPr>
              <w:pStyle w:val="Body"/>
            </w:pPr>
            <w:r w:rsidRPr="00E6110F">
              <w:t>Orallo Formation: Sandstones are largely friable, medium to coarse-grained, partly calcareous; minor siltstone, mudstone and coal beds are present. The occurrence of bentonitic tuffs indicates</w:t>
            </w:r>
            <w:r>
              <w:t>.</w:t>
            </w:r>
            <w:r w:rsidRPr="00E6110F">
              <w:t xml:space="preserve"> </w:t>
            </w:r>
            <w:proofErr w:type="gramStart"/>
            <w:r w:rsidRPr="00E6110F">
              <w:t>contemporaneous</w:t>
            </w:r>
            <w:proofErr w:type="gramEnd"/>
            <w:r w:rsidRPr="00E6110F">
              <w:t xml:space="preserve"> volcanic activity</w:t>
            </w:r>
            <w:r w:rsidRPr="00E6110F">
              <w:rPr>
                <w:vertAlign w:val="superscript"/>
              </w:rPr>
              <w:t>1</w:t>
            </w:r>
            <w:r w:rsidRPr="00E6110F">
              <w:t>.</w:t>
            </w:r>
          </w:p>
          <w:p w14:paraId="62948396" w14:textId="77777777" w:rsidR="0056316E" w:rsidRPr="00E6110F" w:rsidRDefault="0056316E" w:rsidP="0056316E">
            <w:pPr>
              <w:pStyle w:val="Body"/>
            </w:pPr>
            <w:r w:rsidRPr="00E6110F">
              <w:t>Bungil Formation: this geological unit consists mainly of fine-grained lithic sandstones, interbedded with siltstones and mudstones. Minor sublabile to quartzose sandstones occur</w:t>
            </w:r>
            <w:r w:rsidRPr="00E6110F">
              <w:rPr>
                <w:vertAlign w:val="superscript"/>
              </w:rPr>
              <w:t>1</w:t>
            </w:r>
            <w:r w:rsidRPr="00E6110F">
              <w:t>.</w:t>
            </w:r>
          </w:p>
        </w:tc>
        <w:tc>
          <w:tcPr>
            <w:tcW w:w="2696" w:type="dxa"/>
          </w:tcPr>
          <w:p w14:paraId="768903AE" w14:textId="77777777" w:rsidR="0056316E" w:rsidRPr="00E6110F" w:rsidRDefault="0056316E" w:rsidP="0056316E">
            <w:pPr>
              <w:pStyle w:val="Body"/>
            </w:pPr>
            <w:r w:rsidRPr="00E6110F">
              <w:t>Orallo Formation: Quartz is the main component (30-68%) and kaolinite is the dominant clay mineral (up to 22%).</w:t>
            </w:r>
          </w:p>
          <w:p w14:paraId="015F2386" w14:textId="77777777" w:rsidR="0056316E" w:rsidRPr="00E6110F" w:rsidRDefault="0056316E" w:rsidP="0056316E">
            <w:pPr>
              <w:pStyle w:val="Body"/>
            </w:pPr>
            <w:r w:rsidRPr="00E6110F">
              <w:t>Bungil Formation</w:t>
            </w:r>
            <w:r w:rsidRPr="00E6110F">
              <w:rPr>
                <w:b/>
              </w:rPr>
              <w:t>:</w:t>
            </w:r>
            <w:r w:rsidRPr="00E6110F">
              <w:t xml:space="preserve"> Quartz ranges between 38-46%; the concentrations of fieldspars are very high (often more than 50%). Plagioclase is always dominant. Kaolinite can reach up to 20%. Mica is approximately 5%. No information was available for the Mooga Sandstone</w:t>
            </w:r>
            <w:r w:rsidRPr="00E6110F">
              <w:rPr>
                <w:vertAlign w:val="superscript"/>
              </w:rPr>
              <w:t>1</w:t>
            </w:r>
            <w:r w:rsidRPr="00A63DFB">
              <w:t>.</w:t>
            </w:r>
          </w:p>
        </w:tc>
        <w:tc>
          <w:tcPr>
            <w:tcW w:w="1416" w:type="dxa"/>
          </w:tcPr>
          <w:p w14:paraId="39E28227" w14:textId="77777777" w:rsidR="0056316E" w:rsidRPr="00E6110F" w:rsidRDefault="0056316E" w:rsidP="0056316E">
            <w:pPr>
              <w:pStyle w:val="Body"/>
            </w:pPr>
            <w:r w:rsidRPr="00E6110F">
              <w:t>1) 4.8-8.8 (median 7.5)</w:t>
            </w:r>
            <w:r w:rsidRPr="00E6110F">
              <w:rPr>
                <w:vertAlign w:val="superscript"/>
              </w:rPr>
              <w:t>4</w:t>
            </w:r>
          </w:p>
          <w:p w14:paraId="41A7EE08" w14:textId="77777777" w:rsidR="0056316E" w:rsidRPr="00E6110F" w:rsidRDefault="0056316E" w:rsidP="0056316E">
            <w:pPr>
              <w:pStyle w:val="Body"/>
            </w:pPr>
          </w:p>
          <w:p w14:paraId="6263825E" w14:textId="77777777" w:rsidR="0056316E" w:rsidRPr="00E6110F" w:rsidRDefault="0056316E" w:rsidP="0056316E">
            <w:pPr>
              <w:pStyle w:val="Body"/>
            </w:pPr>
            <w:r w:rsidRPr="00E6110F">
              <w:t>2) ~5.8-11.7 (median 8.5)</w:t>
            </w:r>
            <w:r w:rsidRPr="00E6110F">
              <w:rPr>
                <w:vertAlign w:val="superscript"/>
              </w:rPr>
              <w:t>6</w:t>
            </w:r>
          </w:p>
          <w:p w14:paraId="1E8D4BB5" w14:textId="77777777" w:rsidR="0056316E" w:rsidRPr="00E6110F" w:rsidRDefault="0056316E" w:rsidP="0056316E">
            <w:pPr>
              <w:rPr>
                <w:vertAlign w:val="superscript"/>
              </w:rPr>
            </w:pPr>
          </w:p>
          <w:p w14:paraId="2D9E2663" w14:textId="77777777" w:rsidR="0056316E" w:rsidRPr="00E6110F" w:rsidRDefault="0056316E" w:rsidP="0056316E">
            <w:pPr>
              <w:pStyle w:val="Body"/>
            </w:pPr>
          </w:p>
        </w:tc>
        <w:tc>
          <w:tcPr>
            <w:tcW w:w="1276" w:type="dxa"/>
          </w:tcPr>
          <w:p w14:paraId="27337052" w14:textId="77777777" w:rsidR="0056316E" w:rsidRPr="00E6110F" w:rsidRDefault="0056316E" w:rsidP="0056316E">
            <w:pPr>
              <w:pStyle w:val="Body"/>
            </w:pPr>
            <w:r w:rsidRPr="00E6110F">
              <w:t>1) 215-5900 (median 770)</w:t>
            </w:r>
            <w:r w:rsidRPr="00E6110F">
              <w:rPr>
                <w:vertAlign w:val="superscript"/>
              </w:rPr>
              <w:t>4</w:t>
            </w:r>
          </w:p>
          <w:p w14:paraId="7B68B0C8" w14:textId="77777777" w:rsidR="0056316E" w:rsidRPr="00E6110F" w:rsidRDefault="0056316E" w:rsidP="0056316E">
            <w:pPr>
              <w:pStyle w:val="Body"/>
            </w:pPr>
          </w:p>
        </w:tc>
        <w:tc>
          <w:tcPr>
            <w:tcW w:w="1276" w:type="dxa"/>
          </w:tcPr>
          <w:p w14:paraId="7A52F54B" w14:textId="77777777" w:rsidR="0056316E" w:rsidRPr="00E6110F" w:rsidRDefault="0056316E" w:rsidP="0056316E">
            <w:pPr>
              <w:pStyle w:val="Body"/>
            </w:pPr>
            <w:r w:rsidRPr="00E6110F">
              <w:t>16-36.5 (median 25.60)</w:t>
            </w:r>
            <w:r w:rsidRPr="00E6110F">
              <w:rPr>
                <w:vertAlign w:val="superscript"/>
              </w:rPr>
              <w:t>4</w:t>
            </w:r>
          </w:p>
        </w:tc>
        <w:tc>
          <w:tcPr>
            <w:tcW w:w="1275" w:type="dxa"/>
          </w:tcPr>
          <w:p w14:paraId="5B993C33" w14:textId="77777777" w:rsidR="0056316E" w:rsidRPr="00E6110F" w:rsidRDefault="0056316E" w:rsidP="0056316E">
            <w:pPr>
              <w:pStyle w:val="Body"/>
            </w:pPr>
            <w:r w:rsidRPr="00E6110F">
              <w:t>280-302</w:t>
            </w:r>
          </w:p>
        </w:tc>
        <w:tc>
          <w:tcPr>
            <w:tcW w:w="851" w:type="dxa"/>
          </w:tcPr>
          <w:p w14:paraId="20A75768" w14:textId="77777777" w:rsidR="0056316E" w:rsidRPr="00E6110F" w:rsidRDefault="0056316E" w:rsidP="0056316E">
            <w:pPr>
              <w:pStyle w:val="Body"/>
            </w:pPr>
            <w:r w:rsidRPr="00E6110F">
              <w:t>0</w:t>
            </w:r>
          </w:p>
        </w:tc>
        <w:tc>
          <w:tcPr>
            <w:tcW w:w="993" w:type="dxa"/>
          </w:tcPr>
          <w:p w14:paraId="4ED0F351" w14:textId="77777777" w:rsidR="0056316E" w:rsidRPr="00E6110F" w:rsidRDefault="0056316E" w:rsidP="0056316E">
            <w:pPr>
              <w:pStyle w:val="Body"/>
            </w:pPr>
            <w:r w:rsidRPr="00E6110F">
              <w:t>Reducing</w:t>
            </w:r>
          </w:p>
        </w:tc>
      </w:tr>
      <w:tr w:rsidR="0056316E" w:rsidRPr="00E6110F" w14:paraId="6A203B8D" w14:textId="77777777" w:rsidTr="0056316E">
        <w:tc>
          <w:tcPr>
            <w:tcW w:w="1367" w:type="dxa"/>
          </w:tcPr>
          <w:p w14:paraId="1CE3A2B8" w14:textId="77777777" w:rsidR="0056316E" w:rsidRPr="00E6110F" w:rsidRDefault="0056316E" w:rsidP="0056316E">
            <w:pPr>
              <w:pStyle w:val="Body"/>
            </w:pPr>
            <w:r w:rsidRPr="00E6110F">
              <w:t>Gubberamunda Sandstone</w:t>
            </w:r>
          </w:p>
        </w:tc>
        <w:tc>
          <w:tcPr>
            <w:tcW w:w="2596" w:type="dxa"/>
          </w:tcPr>
          <w:p w14:paraId="63E639A5" w14:textId="77777777" w:rsidR="0056316E" w:rsidRPr="00E6110F" w:rsidRDefault="0056316E" w:rsidP="0056316E">
            <w:pPr>
              <w:pStyle w:val="Body"/>
              <w:rPr>
                <w:rFonts w:cs="Arial"/>
              </w:rPr>
            </w:pPr>
            <w:r w:rsidRPr="00E6110F">
              <w:t>Medium- to coarse-grained, largely quartzose, poorly sorted sandstone with minor conglomerates and siltstones</w:t>
            </w:r>
            <w:r w:rsidRPr="00E6110F">
              <w:rPr>
                <w:vertAlign w:val="superscript"/>
              </w:rPr>
              <w:t>1</w:t>
            </w:r>
            <w:r w:rsidRPr="00A63DFB">
              <w:t>.</w:t>
            </w:r>
          </w:p>
        </w:tc>
        <w:tc>
          <w:tcPr>
            <w:tcW w:w="2696" w:type="dxa"/>
          </w:tcPr>
          <w:p w14:paraId="123E4FC0" w14:textId="77777777" w:rsidR="0056316E" w:rsidRPr="00E6110F" w:rsidRDefault="0056316E" w:rsidP="0056316E">
            <w:pPr>
              <w:pStyle w:val="Body"/>
            </w:pPr>
            <w:r w:rsidRPr="00E6110F">
              <w:t>Quartz is main component (30-90%); feldspars vary (8-28%) with plagioclase always dominant. Kaolinite (up to 30%) is the dominant clay mineral. Small concentrations (only a few percent) of mixed-layer clays are smectite-rich</w:t>
            </w:r>
            <w:r w:rsidRPr="00E6110F">
              <w:rPr>
                <w:vertAlign w:val="superscript"/>
              </w:rPr>
              <w:t>1</w:t>
            </w:r>
            <w:r w:rsidRPr="00A63DFB">
              <w:t>.</w:t>
            </w:r>
          </w:p>
        </w:tc>
        <w:tc>
          <w:tcPr>
            <w:tcW w:w="1416" w:type="dxa"/>
          </w:tcPr>
          <w:p w14:paraId="7B86464C" w14:textId="77777777" w:rsidR="0056316E" w:rsidRPr="00E6110F" w:rsidRDefault="0056316E" w:rsidP="0056316E">
            <w:pPr>
              <w:pStyle w:val="Body"/>
              <w:rPr>
                <w:vertAlign w:val="superscript"/>
              </w:rPr>
            </w:pPr>
            <w:r w:rsidRPr="00E6110F">
              <w:t>1) 5.7-8.8</w:t>
            </w:r>
            <w:r w:rsidRPr="00E6110F">
              <w:rPr>
                <w:vertAlign w:val="superscript"/>
              </w:rPr>
              <w:t xml:space="preserve"> </w:t>
            </w:r>
            <w:r w:rsidRPr="00E6110F">
              <w:t>(median 8.2)</w:t>
            </w:r>
            <w:r w:rsidRPr="00E6110F">
              <w:rPr>
                <w:vertAlign w:val="superscript"/>
              </w:rPr>
              <w:t>4</w:t>
            </w:r>
          </w:p>
          <w:p w14:paraId="6943D1BC" w14:textId="77777777" w:rsidR="0056316E" w:rsidRPr="00E6110F" w:rsidRDefault="0056316E" w:rsidP="0056316E">
            <w:pPr>
              <w:pStyle w:val="Body"/>
              <w:rPr>
                <w:vertAlign w:val="superscript"/>
              </w:rPr>
            </w:pPr>
          </w:p>
          <w:p w14:paraId="69D20A83" w14:textId="77777777" w:rsidR="0056316E" w:rsidRPr="00E6110F" w:rsidRDefault="0056316E" w:rsidP="0056316E">
            <w:pPr>
              <w:pStyle w:val="Body"/>
            </w:pPr>
            <w:r w:rsidRPr="00E6110F">
              <w:t>2) ~5.8-11.7 (median 8.5)</w:t>
            </w:r>
            <w:r w:rsidRPr="00E6110F">
              <w:rPr>
                <w:vertAlign w:val="superscript"/>
              </w:rPr>
              <w:t>6</w:t>
            </w:r>
          </w:p>
          <w:p w14:paraId="7C15128B" w14:textId="77777777" w:rsidR="0056316E" w:rsidRPr="00E6110F" w:rsidRDefault="0056316E" w:rsidP="0056316E">
            <w:pPr>
              <w:pStyle w:val="Body"/>
            </w:pPr>
          </w:p>
        </w:tc>
        <w:tc>
          <w:tcPr>
            <w:tcW w:w="1276" w:type="dxa"/>
          </w:tcPr>
          <w:p w14:paraId="4F755E66" w14:textId="77777777" w:rsidR="0056316E" w:rsidRPr="00E6110F" w:rsidRDefault="0056316E" w:rsidP="0056316E">
            <w:pPr>
              <w:pStyle w:val="Body"/>
              <w:rPr>
                <w:vertAlign w:val="superscript"/>
              </w:rPr>
            </w:pPr>
            <w:r w:rsidRPr="00E6110F">
              <w:t>1) 215-5,900 (median 770)</w:t>
            </w:r>
            <w:r w:rsidRPr="00E6110F">
              <w:rPr>
                <w:vertAlign w:val="superscript"/>
              </w:rPr>
              <w:t>4</w:t>
            </w:r>
          </w:p>
          <w:p w14:paraId="64B34B4A" w14:textId="77777777" w:rsidR="0056316E" w:rsidRPr="00E6110F" w:rsidRDefault="0056316E" w:rsidP="0056316E">
            <w:pPr>
              <w:pStyle w:val="Body"/>
              <w:rPr>
                <w:vertAlign w:val="superscript"/>
              </w:rPr>
            </w:pPr>
          </w:p>
          <w:p w14:paraId="4D5C46B9" w14:textId="77777777" w:rsidR="0056316E" w:rsidRPr="00E6110F" w:rsidRDefault="0056316E" w:rsidP="0056316E">
            <w:pPr>
              <w:pStyle w:val="Body"/>
            </w:pPr>
          </w:p>
        </w:tc>
        <w:tc>
          <w:tcPr>
            <w:tcW w:w="1276" w:type="dxa"/>
          </w:tcPr>
          <w:p w14:paraId="6812162C" w14:textId="77777777" w:rsidR="0056316E" w:rsidRPr="00E6110F" w:rsidRDefault="0056316E" w:rsidP="0056316E">
            <w:pPr>
              <w:pStyle w:val="Body"/>
            </w:pPr>
            <w:r w:rsidRPr="00E6110F">
              <w:t>16-36.5 (median 25.60)</w:t>
            </w:r>
            <w:r w:rsidRPr="00E6110F">
              <w:rPr>
                <w:vertAlign w:val="superscript"/>
              </w:rPr>
              <w:t>4</w:t>
            </w:r>
          </w:p>
        </w:tc>
        <w:tc>
          <w:tcPr>
            <w:tcW w:w="1275" w:type="dxa"/>
          </w:tcPr>
          <w:p w14:paraId="18E99690" w14:textId="77777777" w:rsidR="0056316E" w:rsidRPr="00E6110F" w:rsidRDefault="0056316E" w:rsidP="0056316E">
            <w:pPr>
              <w:pStyle w:val="Body"/>
            </w:pPr>
            <w:r w:rsidRPr="00E6110F">
              <w:t>280-302</w:t>
            </w:r>
          </w:p>
        </w:tc>
        <w:tc>
          <w:tcPr>
            <w:tcW w:w="851" w:type="dxa"/>
          </w:tcPr>
          <w:p w14:paraId="5441E076" w14:textId="77777777" w:rsidR="0056316E" w:rsidRPr="00E6110F" w:rsidRDefault="0056316E" w:rsidP="0056316E">
            <w:pPr>
              <w:pStyle w:val="Body"/>
            </w:pPr>
            <w:r w:rsidRPr="00E6110F">
              <w:t>0</w:t>
            </w:r>
          </w:p>
        </w:tc>
        <w:tc>
          <w:tcPr>
            <w:tcW w:w="993" w:type="dxa"/>
          </w:tcPr>
          <w:p w14:paraId="7E4CFA03" w14:textId="77777777" w:rsidR="0056316E" w:rsidRPr="00E6110F" w:rsidRDefault="0056316E" w:rsidP="0056316E">
            <w:pPr>
              <w:pStyle w:val="Body"/>
            </w:pPr>
            <w:r w:rsidRPr="00E6110F">
              <w:t>Reducing</w:t>
            </w:r>
          </w:p>
        </w:tc>
      </w:tr>
      <w:tr w:rsidR="0056316E" w:rsidRPr="00E6110F" w14:paraId="16B46FDF" w14:textId="77777777" w:rsidTr="0056316E">
        <w:tc>
          <w:tcPr>
            <w:tcW w:w="1367" w:type="dxa"/>
          </w:tcPr>
          <w:p w14:paraId="719970CD" w14:textId="77777777" w:rsidR="0056316E" w:rsidRPr="00E6110F" w:rsidRDefault="0056316E" w:rsidP="0056316E">
            <w:pPr>
              <w:pStyle w:val="Body"/>
            </w:pPr>
            <w:r w:rsidRPr="00E6110F">
              <w:t>Westbourne Formation</w:t>
            </w:r>
          </w:p>
        </w:tc>
        <w:tc>
          <w:tcPr>
            <w:tcW w:w="2596" w:type="dxa"/>
          </w:tcPr>
          <w:p w14:paraId="26896DD9" w14:textId="77777777" w:rsidR="0056316E" w:rsidRPr="00E6110F" w:rsidRDefault="0056316E" w:rsidP="0056316E">
            <w:pPr>
              <w:pStyle w:val="Body"/>
              <w:rPr>
                <w:rFonts w:cs="Arial"/>
              </w:rPr>
            </w:pPr>
            <w:r w:rsidRPr="00E6110F">
              <w:t>Very fine- to medium-grained, fairly to poorly sorted, sublabile to quartzose, often massive sandstones with laminated to thinly-bedded siltstones and shales</w:t>
            </w:r>
            <w:r w:rsidRPr="00E6110F">
              <w:rPr>
                <w:vertAlign w:val="superscript"/>
              </w:rPr>
              <w:t>1</w:t>
            </w:r>
            <w:r w:rsidRPr="00A63DFB">
              <w:t>.</w:t>
            </w:r>
          </w:p>
        </w:tc>
        <w:tc>
          <w:tcPr>
            <w:tcW w:w="2696" w:type="dxa"/>
          </w:tcPr>
          <w:p w14:paraId="0147DD9A" w14:textId="77777777" w:rsidR="0056316E" w:rsidRPr="00E6110F" w:rsidRDefault="0056316E" w:rsidP="0056316E">
            <w:pPr>
              <w:pStyle w:val="Body"/>
            </w:pPr>
            <w:r w:rsidRPr="00E6110F">
              <w:t>Quartz is main component (18-80%) with feldspars (12-40%); plagioclase is always dominant. Kaolinite (up to 33%) is the dominant clay mineral. The mixed-layer clays are highly variable</w:t>
            </w:r>
            <w:r w:rsidRPr="00E6110F">
              <w:rPr>
                <w:vertAlign w:val="superscript"/>
              </w:rPr>
              <w:t>1</w:t>
            </w:r>
            <w:r w:rsidRPr="00A63DFB">
              <w:t>.</w:t>
            </w:r>
          </w:p>
        </w:tc>
        <w:tc>
          <w:tcPr>
            <w:tcW w:w="1416" w:type="dxa"/>
          </w:tcPr>
          <w:p w14:paraId="3D0D002A" w14:textId="77777777" w:rsidR="0056316E" w:rsidRPr="00E6110F" w:rsidRDefault="0056316E" w:rsidP="0056316E">
            <w:pPr>
              <w:pStyle w:val="Body"/>
            </w:pPr>
            <w:r w:rsidRPr="00E6110F">
              <w:t>1) 6.8-8.6</w:t>
            </w:r>
            <w:r w:rsidRPr="00E6110F">
              <w:rPr>
                <w:vertAlign w:val="superscript"/>
              </w:rPr>
              <w:t xml:space="preserve"> </w:t>
            </w:r>
            <w:r w:rsidRPr="00E6110F">
              <w:t>(median 7.6)</w:t>
            </w:r>
            <w:r w:rsidRPr="00E6110F">
              <w:rPr>
                <w:vertAlign w:val="superscript"/>
              </w:rPr>
              <w:t>4</w:t>
            </w:r>
          </w:p>
          <w:p w14:paraId="36CC0CF9" w14:textId="77777777" w:rsidR="0056316E" w:rsidRPr="00E6110F" w:rsidRDefault="0056316E" w:rsidP="0056316E">
            <w:pPr>
              <w:pStyle w:val="Body"/>
              <w:rPr>
                <w:vertAlign w:val="superscript"/>
              </w:rPr>
            </w:pPr>
          </w:p>
          <w:p w14:paraId="4D1A76DC" w14:textId="77777777" w:rsidR="0056316E" w:rsidRPr="00E6110F" w:rsidRDefault="0056316E" w:rsidP="0056316E">
            <w:pPr>
              <w:pStyle w:val="Body"/>
            </w:pPr>
            <w:r w:rsidRPr="00E6110F">
              <w:t>2) ~8-9.3 (median 8.8)</w:t>
            </w:r>
            <w:r w:rsidRPr="00E6110F">
              <w:rPr>
                <w:vertAlign w:val="superscript"/>
              </w:rPr>
              <w:t>6</w:t>
            </w:r>
          </w:p>
        </w:tc>
        <w:tc>
          <w:tcPr>
            <w:tcW w:w="1276" w:type="dxa"/>
          </w:tcPr>
          <w:p w14:paraId="0B4EBDED" w14:textId="39CC4138" w:rsidR="0056316E" w:rsidRPr="00E6110F" w:rsidRDefault="0056316E" w:rsidP="0056316E">
            <w:pPr>
              <w:pStyle w:val="Body"/>
              <w:rPr>
                <w:vertAlign w:val="superscript"/>
              </w:rPr>
            </w:pPr>
            <w:r w:rsidRPr="00E6110F">
              <w:t>1) 228-17,700 (median 1</w:t>
            </w:r>
            <w:r w:rsidR="00464D75">
              <w:t>,</w:t>
            </w:r>
            <w:r w:rsidRPr="00E6110F">
              <w:t>070)</w:t>
            </w:r>
            <w:r w:rsidRPr="00E6110F">
              <w:rPr>
                <w:vertAlign w:val="superscript"/>
              </w:rPr>
              <w:t>4</w:t>
            </w:r>
          </w:p>
          <w:p w14:paraId="66D8E511" w14:textId="77777777" w:rsidR="0056316E" w:rsidRPr="00E6110F" w:rsidRDefault="0056316E" w:rsidP="0056316E">
            <w:pPr>
              <w:pStyle w:val="Body"/>
              <w:rPr>
                <w:vertAlign w:val="superscript"/>
              </w:rPr>
            </w:pPr>
          </w:p>
          <w:p w14:paraId="29D8B151" w14:textId="77777777" w:rsidR="0056316E" w:rsidRPr="00E6110F" w:rsidRDefault="0056316E" w:rsidP="0056316E">
            <w:pPr>
              <w:pStyle w:val="Body"/>
            </w:pPr>
          </w:p>
        </w:tc>
        <w:tc>
          <w:tcPr>
            <w:tcW w:w="1276" w:type="dxa"/>
          </w:tcPr>
          <w:p w14:paraId="791738BA" w14:textId="77777777" w:rsidR="0056316E" w:rsidRPr="00E6110F" w:rsidRDefault="0056316E" w:rsidP="0056316E">
            <w:pPr>
              <w:pStyle w:val="Body"/>
            </w:pPr>
            <w:r w:rsidRPr="00E6110F">
              <w:t>17.3-27.3 (median 23.45)</w:t>
            </w:r>
            <w:r w:rsidRPr="00E6110F">
              <w:rPr>
                <w:vertAlign w:val="superscript"/>
              </w:rPr>
              <w:t>4</w:t>
            </w:r>
          </w:p>
        </w:tc>
        <w:tc>
          <w:tcPr>
            <w:tcW w:w="1275" w:type="dxa"/>
          </w:tcPr>
          <w:p w14:paraId="0AE842A4" w14:textId="77777777" w:rsidR="0056316E" w:rsidRPr="00E6110F" w:rsidRDefault="0056316E" w:rsidP="0056316E">
            <w:pPr>
              <w:pStyle w:val="Body"/>
            </w:pPr>
            <w:r w:rsidRPr="00E6110F">
              <w:t>220-300</w:t>
            </w:r>
          </w:p>
        </w:tc>
        <w:tc>
          <w:tcPr>
            <w:tcW w:w="851" w:type="dxa"/>
          </w:tcPr>
          <w:p w14:paraId="0B5145DA" w14:textId="77777777" w:rsidR="0056316E" w:rsidRPr="00E6110F" w:rsidRDefault="0056316E" w:rsidP="0056316E">
            <w:pPr>
              <w:pStyle w:val="Body"/>
            </w:pPr>
            <w:r w:rsidRPr="00E6110F">
              <w:t>0</w:t>
            </w:r>
          </w:p>
        </w:tc>
        <w:tc>
          <w:tcPr>
            <w:tcW w:w="993" w:type="dxa"/>
          </w:tcPr>
          <w:p w14:paraId="47F17F7B" w14:textId="77777777" w:rsidR="0056316E" w:rsidRPr="00E6110F" w:rsidRDefault="0056316E" w:rsidP="0056316E">
            <w:pPr>
              <w:pStyle w:val="Body"/>
            </w:pPr>
            <w:r w:rsidRPr="00E6110F">
              <w:t>Reducing</w:t>
            </w:r>
          </w:p>
        </w:tc>
      </w:tr>
      <w:tr w:rsidR="0056316E" w:rsidRPr="00E6110F" w14:paraId="578F504A" w14:textId="77777777" w:rsidTr="0056316E">
        <w:tc>
          <w:tcPr>
            <w:tcW w:w="1367" w:type="dxa"/>
          </w:tcPr>
          <w:p w14:paraId="23347DDA" w14:textId="77777777" w:rsidR="0056316E" w:rsidRPr="00E6110F" w:rsidRDefault="0056316E" w:rsidP="0056316E">
            <w:pPr>
              <w:pStyle w:val="Body"/>
            </w:pPr>
            <w:r w:rsidRPr="00E6110F">
              <w:t>Springbok Sandstone</w:t>
            </w:r>
          </w:p>
        </w:tc>
        <w:tc>
          <w:tcPr>
            <w:tcW w:w="2596" w:type="dxa"/>
          </w:tcPr>
          <w:p w14:paraId="2FCCE4BF" w14:textId="77777777" w:rsidR="0056316E" w:rsidRPr="00E6110F" w:rsidRDefault="0056316E" w:rsidP="0056316E">
            <w:pPr>
              <w:pStyle w:val="Body"/>
              <w:rPr>
                <w:rFonts w:cs="Arial"/>
              </w:rPr>
            </w:pPr>
            <w:r w:rsidRPr="00E6110F">
              <w:t>Feldspathic sublabile to lithic sandstone, sometimes porous, friable, pebbly or with calcareous cement; andesitic debris and bentonitic tuffs from contemporaneous volcanism</w:t>
            </w:r>
            <w:r w:rsidRPr="00E6110F">
              <w:rPr>
                <w:vertAlign w:val="superscript"/>
              </w:rPr>
              <w:t>1</w:t>
            </w:r>
            <w:r w:rsidRPr="00A63DFB">
              <w:t>.</w:t>
            </w:r>
          </w:p>
        </w:tc>
        <w:tc>
          <w:tcPr>
            <w:tcW w:w="2696" w:type="dxa"/>
          </w:tcPr>
          <w:p w14:paraId="627030FA" w14:textId="77777777" w:rsidR="0056316E" w:rsidRPr="00E6110F" w:rsidRDefault="0056316E" w:rsidP="0056316E">
            <w:pPr>
              <w:pStyle w:val="Body"/>
            </w:pPr>
            <w:r w:rsidRPr="00E6110F">
              <w:t>Consists of quartz (17-71%) and plagioclase always the dominant feldspar. Kaolinite (5-25%) is the dominant clay mineral. Mixed-layer clays are smectite-dominant</w:t>
            </w:r>
            <w:r w:rsidRPr="00E6110F">
              <w:rPr>
                <w:vertAlign w:val="superscript"/>
              </w:rPr>
              <w:t>1</w:t>
            </w:r>
            <w:r w:rsidRPr="00A63DFB">
              <w:t>.</w:t>
            </w:r>
          </w:p>
        </w:tc>
        <w:tc>
          <w:tcPr>
            <w:tcW w:w="1416" w:type="dxa"/>
          </w:tcPr>
          <w:p w14:paraId="0513CC80" w14:textId="77777777" w:rsidR="0056316E" w:rsidRPr="00E6110F" w:rsidRDefault="0056316E" w:rsidP="0056316E">
            <w:pPr>
              <w:pStyle w:val="Body"/>
            </w:pPr>
            <w:r w:rsidRPr="00E6110F">
              <w:t>1) 6.7-8.1</w:t>
            </w:r>
            <w:r w:rsidRPr="00E6110F">
              <w:rPr>
                <w:vertAlign w:val="superscript"/>
              </w:rPr>
              <w:t xml:space="preserve"> </w:t>
            </w:r>
            <w:r w:rsidRPr="00E6110F">
              <w:t>(median 7.3)</w:t>
            </w:r>
            <w:r w:rsidRPr="00E6110F">
              <w:rPr>
                <w:vertAlign w:val="superscript"/>
              </w:rPr>
              <w:t>4</w:t>
            </w:r>
          </w:p>
          <w:p w14:paraId="639910A2" w14:textId="77777777" w:rsidR="0056316E" w:rsidRPr="00E6110F" w:rsidRDefault="0056316E" w:rsidP="0056316E">
            <w:pPr>
              <w:pStyle w:val="Body"/>
              <w:rPr>
                <w:vertAlign w:val="superscript"/>
              </w:rPr>
            </w:pPr>
          </w:p>
          <w:p w14:paraId="021FF14B" w14:textId="77777777" w:rsidR="0056316E" w:rsidRPr="00E6110F" w:rsidRDefault="0056316E" w:rsidP="0056316E">
            <w:pPr>
              <w:pStyle w:val="Body"/>
            </w:pPr>
            <w:r w:rsidRPr="00E6110F">
              <w:t>2) ~7.4-11.8 (median 8.5)</w:t>
            </w:r>
            <w:r w:rsidRPr="00E6110F">
              <w:rPr>
                <w:vertAlign w:val="superscript"/>
              </w:rPr>
              <w:t>6</w:t>
            </w:r>
          </w:p>
        </w:tc>
        <w:tc>
          <w:tcPr>
            <w:tcW w:w="1276" w:type="dxa"/>
          </w:tcPr>
          <w:p w14:paraId="1E7886F1" w14:textId="6BEED8EF" w:rsidR="0056316E" w:rsidRPr="00E6110F" w:rsidRDefault="0056316E" w:rsidP="0056316E">
            <w:pPr>
              <w:pStyle w:val="Body"/>
              <w:rPr>
                <w:vertAlign w:val="superscript"/>
              </w:rPr>
            </w:pPr>
            <w:r w:rsidRPr="00E6110F">
              <w:t>1) 600-12,200 (median 1</w:t>
            </w:r>
            <w:r w:rsidR="00464D75">
              <w:t>,</w:t>
            </w:r>
            <w:r w:rsidRPr="00E6110F">
              <w:t>540)</w:t>
            </w:r>
            <w:r w:rsidRPr="00E6110F">
              <w:rPr>
                <w:vertAlign w:val="superscript"/>
              </w:rPr>
              <w:t>4</w:t>
            </w:r>
          </w:p>
          <w:p w14:paraId="1D1CCFAF" w14:textId="77777777" w:rsidR="0056316E" w:rsidRPr="00E6110F" w:rsidRDefault="0056316E" w:rsidP="0056316E">
            <w:pPr>
              <w:pStyle w:val="Body"/>
            </w:pPr>
            <w:r w:rsidRPr="00E6110F">
              <w:t>2) 225-10,400 (median 1,820)</w:t>
            </w:r>
            <w:r w:rsidRPr="00E6110F">
              <w:rPr>
                <w:vertAlign w:val="superscript"/>
              </w:rPr>
              <w:t>6</w:t>
            </w:r>
          </w:p>
        </w:tc>
        <w:tc>
          <w:tcPr>
            <w:tcW w:w="1276" w:type="dxa"/>
          </w:tcPr>
          <w:p w14:paraId="75583973" w14:textId="77777777" w:rsidR="0056316E" w:rsidRPr="00E6110F" w:rsidRDefault="0056316E" w:rsidP="0056316E">
            <w:pPr>
              <w:pStyle w:val="Body"/>
            </w:pPr>
            <w:r w:rsidRPr="00E6110F">
              <w:t>22.7-28.9 (limited data)</w:t>
            </w:r>
            <w:r w:rsidRPr="00E6110F">
              <w:rPr>
                <w:vertAlign w:val="superscript"/>
              </w:rPr>
              <w:t>4</w:t>
            </w:r>
          </w:p>
        </w:tc>
        <w:tc>
          <w:tcPr>
            <w:tcW w:w="1275" w:type="dxa"/>
          </w:tcPr>
          <w:p w14:paraId="54A0D88D" w14:textId="77777777" w:rsidR="0056316E" w:rsidRPr="00E6110F" w:rsidRDefault="0056316E" w:rsidP="0056316E">
            <w:pPr>
              <w:pStyle w:val="Body"/>
            </w:pPr>
            <w:r w:rsidRPr="00E6110F">
              <w:t>217 - 284</w:t>
            </w:r>
          </w:p>
        </w:tc>
        <w:tc>
          <w:tcPr>
            <w:tcW w:w="851" w:type="dxa"/>
          </w:tcPr>
          <w:p w14:paraId="39A08917" w14:textId="77777777" w:rsidR="0056316E" w:rsidRPr="00E6110F" w:rsidRDefault="0056316E" w:rsidP="0056316E">
            <w:pPr>
              <w:pStyle w:val="Body"/>
            </w:pPr>
            <w:r w:rsidRPr="00E6110F">
              <w:t>0</w:t>
            </w:r>
          </w:p>
        </w:tc>
        <w:tc>
          <w:tcPr>
            <w:tcW w:w="993" w:type="dxa"/>
          </w:tcPr>
          <w:p w14:paraId="5EB81876" w14:textId="77777777" w:rsidR="0056316E" w:rsidRPr="00E6110F" w:rsidRDefault="0056316E" w:rsidP="0056316E">
            <w:pPr>
              <w:pStyle w:val="Body"/>
            </w:pPr>
            <w:r w:rsidRPr="00E6110F">
              <w:t>Reducing</w:t>
            </w:r>
          </w:p>
        </w:tc>
      </w:tr>
      <w:tr w:rsidR="0056316E" w:rsidRPr="00E6110F" w14:paraId="4E06FAF1" w14:textId="77777777" w:rsidTr="0056316E">
        <w:tc>
          <w:tcPr>
            <w:tcW w:w="1367" w:type="dxa"/>
          </w:tcPr>
          <w:p w14:paraId="30081687" w14:textId="77777777" w:rsidR="0056316E" w:rsidRPr="00E6110F" w:rsidRDefault="0056316E" w:rsidP="0056316E">
            <w:pPr>
              <w:pStyle w:val="Body"/>
            </w:pPr>
            <w:r w:rsidRPr="00E6110F">
              <w:t>Walloon Coal Measures</w:t>
            </w:r>
          </w:p>
        </w:tc>
        <w:tc>
          <w:tcPr>
            <w:tcW w:w="2596" w:type="dxa"/>
          </w:tcPr>
          <w:p w14:paraId="4155053F" w14:textId="77777777" w:rsidR="0056316E" w:rsidRPr="00E6110F" w:rsidRDefault="0056316E" w:rsidP="0056316E">
            <w:pPr>
              <w:pStyle w:val="Body"/>
            </w:pPr>
            <w:r w:rsidRPr="00E6110F">
              <w:t>Labile sandstone, siltstone, mudstone and coal, with lesser calcareous sandstone, impure limestone, tuff and ironstone nodules (siderite</w:t>
            </w:r>
            <w:proofErr w:type="gramStart"/>
            <w:r w:rsidRPr="00E6110F">
              <w:t>)</w:t>
            </w:r>
            <w:r w:rsidRPr="00E6110F">
              <w:rPr>
                <w:vertAlign w:val="superscript"/>
              </w:rPr>
              <w:t>2</w:t>
            </w:r>
            <w:proofErr w:type="gramEnd"/>
            <w:r w:rsidRPr="00E6110F">
              <w:rPr>
                <w:vertAlign w:val="superscript"/>
              </w:rPr>
              <w:t>, 3</w:t>
            </w:r>
            <w:r w:rsidRPr="00A63DFB">
              <w:t>.</w:t>
            </w:r>
          </w:p>
          <w:p w14:paraId="75B7114F" w14:textId="77777777" w:rsidR="0056316E" w:rsidRPr="00E6110F" w:rsidRDefault="0056316E" w:rsidP="0056316E">
            <w:pPr>
              <w:pStyle w:val="Body"/>
            </w:pPr>
          </w:p>
        </w:tc>
        <w:tc>
          <w:tcPr>
            <w:tcW w:w="2696" w:type="dxa"/>
          </w:tcPr>
          <w:p w14:paraId="0B1FF239" w14:textId="77777777" w:rsidR="0056316E" w:rsidRPr="00E6110F" w:rsidRDefault="0056316E" w:rsidP="0056316E">
            <w:pPr>
              <w:pStyle w:val="Body"/>
            </w:pPr>
            <w:r w:rsidRPr="00E6110F">
              <w:t>Quartz is generally the main component (6-65%) and kaolinite is the dominant clay mineral (2-68%). Feldspars vary significantly (2-57%). K-feldspars are usually around 5%. Plagioclase is consistently dominant (up to 47%) and sometimes dominates over quartz. Siderite is ubiquitous and calcite venes are common. M</w:t>
            </w:r>
            <w:r>
              <w:t xml:space="preserve">agnesium </w:t>
            </w:r>
            <w:r w:rsidRPr="00E6110F">
              <w:t>-carbonates (dolomite and ankerite) are also present</w:t>
            </w:r>
            <w:r w:rsidRPr="00E6110F">
              <w:rPr>
                <w:vertAlign w:val="superscript"/>
              </w:rPr>
              <w:t>1</w:t>
            </w:r>
            <w:r w:rsidRPr="00E6110F">
              <w:t>.</w:t>
            </w:r>
          </w:p>
        </w:tc>
        <w:tc>
          <w:tcPr>
            <w:tcW w:w="1416" w:type="dxa"/>
          </w:tcPr>
          <w:p w14:paraId="639C252F" w14:textId="77777777" w:rsidR="0056316E" w:rsidRPr="00E6110F" w:rsidRDefault="0056316E" w:rsidP="0056316E">
            <w:pPr>
              <w:pStyle w:val="Body"/>
              <w:rPr>
                <w:vertAlign w:val="superscript"/>
              </w:rPr>
            </w:pPr>
            <w:r w:rsidRPr="00E6110F">
              <w:t>1) 6.7-9.1 (median 8.0)</w:t>
            </w:r>
            <w:r w:rsidRPr="00E6110F">
              <w:rPr>
                <w:vertAlign w:val="superscript"/>
              </w:rPr>
              <w:t>4</w:t>
            </w:r>
          </w:p>
          <w:p w14:paraId="784B69EA" w14:textId="77777777" w:rsidR="0056316E" w:rsidRPr="00E6110F" w:rsidRDefault="0056316E" w:rsidP="0056316E">
            <w:pPr>
              <w:pStyle w:val="Body"/>
              <w:rPr>
                <w:vertAlign w:val="superscript"/>
              </w:rPr>
            </w:pPr>
          </w:p>
          <w:p w14:paraId="002B4127" w14:textId="77777777" w:rsidR="0056316E" w:rsidRPr="00E6110F" w:rsidRDefault="0056316E" w:rsidP="0056316E">
            <w:pPr>
              <w:pStyle w:val="Body"/>
            </w:pPr>
            <w:r w:rsidRPr="00E6110F">
              <w:t>2) ~7-9.8 (median 8.0)</w:t>
            </w:r>
            <w:r w:rsidRPr="00E6110F">
              <w:rPr>
                <w:vertAlign w:val="superscript"/>
              </w:rPr>
              <w:t>6</w:t>
            </w:r>
          </w:p>
        </w:tc>
        <w:tc>
          <w:tcPr>
            <w:tcW w:w="1276" w:type="dxa"/>
          </w:tcPr>
          <w:p w14:paraId="166F347C" w14:textId="45052FA0" w:rsidR="0056316E" w:rsidRPr="00E6110F" w:rsidRDefault="0056316E" w:rsidP="0056316E">
            <w:pPr>
              <w:pStyle w:val="Body"/>
              <w:rPr>
                <w:vertAlign w:val="superscript"/>
              </w:rPr>
            </w:pPr>
            <w:r w:rsidRPr="00E6110F">
              <w:t>1) 109-9,980 (median 1</w:t>
            </w:r>
            <w:r w:rsidR="00464D75">
              <w:t>,</w:t>
            </w:r>
            <w:r w:rsidRPr="00E6110F">
              <w:t>700)</w:t>
            </w:r>
            <w:r w:rsidRPr="00E6110F">
              <w:rPr>
                <w:vertAlign w:val="superscript"/>
              </w:rPr>
              <w:t>4</w:t>
            </w:r>
          </w:p>
          <w:p w14:paraId="433D3F2E" w14:textId="77777777" w:rsidR="0056316E" w:rsidRPr="00E6110F" w:rsidRDefault="0056316E" w:rsidP="0056316E">
            <w:pPr>
              <w:pStyle w:val="Body"/>
              <w:rPr>
                <w:vertAlign w:val="superscript"/>
              </w:rPr>
            </w:pPr>
          </w:p>
          <w:p w14:paraId="1FADB085" w14:textId="77777777" w:rsidR="0056316E" w:rsidRPr="00E6110F" w:rsidRDefault="0056316E" w:rsidP="0056316E">
            <w:pPr>
              <w:pStyle w:val="Body"/>
            </w:pPr>
            <w:r w:rsidRPr="00E6110F">
              <w:t>2) 90-16,800 (median 3,830)</w:t>
            </w:r>
            <w:r w:rsidRPr="00E6110F">
              <w:rPr>
                <w:vertAlign w:val="superscript"/>
              </w:rPr>
              <w:t>6</w:t>
            </w:r>
          </w:p>
        </w:tc>
        <w:tc>
          <w:tcPr>
            <w:tcW w:w="1276" w:type="dxa"/>
          </w:tcPr>
          <w:p w14:paraId="65599E14" w14:textId="77777777" w:rsidR="0056316E" w:rsidRPr="00E6110F" w:rsidRDefault="0056316E" w:rsidP="0056316E">
            <w:pPr>
              <w:pStyle w:val="Body"/>
            </w:pPr>
            <w:r w:rsidRPr="00E6110F">
              <w:t>21.8-39.1 (median 25.25)</w:t>
            </w:r>
            <w:r w:rsidRPr="00E6110F">
              <w:rPr>
                <w:vertAlign w:val="superscript"/>
              </w:rPr>
              <w:t>4</w:t>
            </w:r>
          </w:p>
        </w:tc>
        <w:tc>
          <w:tcPr>
            <w:tcW w:w="1275" w:type="dxa"/>
          </w:tcPr>
          <w:p w14:paraId="3A125536" w14:textId="77777777" w:rsidR="0056316E" w:rsidRPr="00E6110F" w:rsidRDefault="0056316E" w:rsidP="0056316E">
            <w:pPr>
              <w:pStyle w:val="Body"/>
            </w:pPr>
            <w:r w:rsidRPr="00E6110F">
              <w:t>216 - 300</w:t>
            </w:r>
          </w:p>
        </w:tc>
        <w:tc>
          <w:tcPr>
            <w:tcW w:w="851" w:type="dxa"/>
          </w:tcPr>
          <w:p w14:paraId="6C5BBA54" w14:textId="77777777" w:rsidR="0056316E" w:rsidRPr="00E6110F" w:rsidRDefault="0056316E" w:rsidP="0056316E">
            <w:pPr>
              <w:pStyle w:val="Body"/>
            </w:pPr>
            <w:r w:rsidRPr="00E6110F">
              <w:t>4.3-46.7 (mean 31.5)</w:t>
            </w:r>
            <w:r w:rsidRPr="00E6110F">
              <w:rPr>
                <w:vertAlign w:val="superscript"/>
              </w:rPr>
              <w:t>5</w:t>
            </w:r>
          </w:p>
        </w:tc>
        <w:tc>
          <w:tcPr>
            <w:tcW w:w="993" w:type="dxa"/>
          </w:tcPr>
          <w:p w14:paraId="16080DD2" w14:textId="77777777" w:rsidR="0056316E" w:rsidRPr="00E6110F" w:rsidRDefault="0056316E" w:rsidP="0056316E">
            <w:pPr>
              <w:pStyle w:val="Body"/>
            </w:pPr>
            <w:r w:rsidRPr="00E6110F">
              <w:t>Reducing</w:t>
            </w:r>
          </w:p>
        </w:tc>
      </w:tr>
      <w:tr w:rsidR="0056316E" w:rsidRPr="00E6110F" w14:paraId="5710B306" w14:textId="77777777" w:rsidTr="0056316E">
        <w:tc>
          <w:tcPr>
            <w:tcW w:w="1367" w:type="dxa"/>
          </w:tcPr>
          <w:p w14:paraId="7CD5DE97" w14:textId="77777777" w:rsidR="0056316E" w:rsidRPr="00E6110F" w:rsidRDefault="0056316E" w:rsidP="0056316E">
            <w:pPr>
              <w:pStyle w:val="Body"/>
            </w:pPr>
            <w:r w:rsidRPr="00E6110F">
              <w:t>Hutton Sandstone</w:t>
            </w:r>
          </w:p>
        </w:tc>
        <w:tc>
          <w:tcPr>
            <w:tcW w:w="2596" w:type="dxa"/>
          </w:tcPr>
          <w:p w14:paraId="33C94E67" w14:textId="77777777" w:rsidR="0056316E" w:rsidRPr="00E6110F" w:rsidRDefault="0056316E" w:rsidP="0056316E">
            <w:pPr>
              <w:pStyle w:val="Body"/>
            </w:pPr>
            <w:r w:rsidRPr="00E6110F">
              <w:t>White to light grey, fine- to medium-grained, sublabile to quartzose sandstone, with dark grey micaceous or carbonaceous siltstone interbeds</w:t>
            </w:r>
            <w:r w:rsidRPr="00E6110F">
              <w:rPr>
                <w:vertAlign w:val="superscript"/>
              </w:rPr>
              <w:t>1</w:t>
            </w:r>
            <w:r w:rsidRPr="00A63DFB">
              <w:t>.</w:t>
            </w:r>
          </w:p>
        </w:tc>
        <w:tc>
          <w:tcPr>
            <w:tcW w:w="2696" w:type="dxa"/>
          </w:tcPr>
          <w:p w14:paraId="4CD18F86" w14:textId="77777777" w:rsidR="0056316E" w:rsidRPr="00E6110F" w:rsidRDefault="0056316E" w:rsidP="0056316E">
            <w:pPr>
              <w:pStyle w:val="Body"/>
            </w:pPr>
            <w:r w:rsidRPr="00E6110F">
              <w:t>Quartz is the main component (25-94%) and kaolinite (2-37%) is the dominant clay mineral. Mixed-layer clays are smectite-rich</w:t>
            </w:r>
            <w:r w:rsidRPr="00E6110F">
              <w:rPr>
                <w:vertAlign w:val="superscript"/>
              </w:rPr>
              <w:t>1</w:t>
            </w:r>
            <w:r w:rsidRPr="00A63DFB">
              <w:t>.</w:t>
            </w:r>
          </w:p>
        </w:tc>
        <w:tc>
          <w:tcPr>
            <w:tcW w:w="1416" w:type="dxa"/>
          </w:tcPr>
          <w:p w14:paraId="1E7BD3CF" w14:textId="77777777" w:rsidR="0056316E" w:rsidRPr="00E6110F" w:rsidRDefault="0056316E" w:rsidP="0056316E">
            <w:pPr>
              <w:pStyle w:val="Body"/>
              <w:rPr>
                <w:vertAlign w:val="superscript"/>
              </w:rPr>
            </w:pPr>
            <w:r w:rsidRPr="00E6110F">
              <w:t>1) 6.5-9.3 (median 8.3)</w:t>
            </w:r>
            <w:r w:rsidRPr="00E6110F">
              <w:rPr>
                <w:vertAlign w:val="superscript"/>
              </w:rPr>
              <w:t>4</w:t>
            </w:r>
          </w:p>
          <w:p w14:paraId="0F7974A8" w14:textId="77777777" w:rsidR="0056316E" w:rsidRPr="00E6110F" w:rsidRDefault="0056316E" w:rsidP="0056316E">
            <w:pPr>
              <w:pStyle w:val="Body"/>
              <w:rPr>
                <w:vertAlign w:val="superscript"/>
              </w:rPr>
            </w:pPr>
          </w:p>
          <w:p w14:paraId="417D1D4F" w14:textId="77777777" w:rsidR="0056316E" w:rsidRPr="00E6110F" w:rsidRDefault="0056316E" w:rsidP="0056316E">
            <w:pPr>
              <w:pStyle w:val="Body"/>
            </w:pPr>
            <w:r w:rsidRPr="00E6110F">
              <w:t>2) ~6.4-10.9 (median 8.0)</w:t>
            </w:r>
            <w:r w:rsidRPr="00E6110F">
              <w:rPr>
                <w:vertAlign w:val="superscript"/>
              </w:rPr>
              <w:t>6</w:t>
            </w:r>
          </w:p>
        </w:tc>
        <w:tc>
          <w:tcPr>
            <w:tcW w:w="1276" w:type="dxa"/>
          </w:tcPr>
          <w:p w14:paraId="77DA3617" w14:textId="77777777" w:rsidR="0056316E" w:rsidRPr="00E6110F" w:rsidRDefault="0056316E" w:rsidP="0056316E">
            <w:pPr>
              <w:pStyle w:val="Body"/>
              <w:rPr>
                <w:vertAlign w:val="superscript"/>
              </w:rPr>
            </w:pPr>
            <w:r w:rsidRPr="00E6110F">
              <w:t>1) 119-3,260 (median 665)</w:t>
            </w:r>
            <w:r w:rsidRPr="00E6110F">
              <w:rPr>
                <w:vertAlign w:val="superscript"/>
              </w:rPr>
              <w:t>4</w:t>
            </w:r>
          </w:p>
          <w:p w14:paraId="0959FAC2" w14:textId="77777777" w:rsidR="0056316E" w:rsidRPr="00E6110F" w:rsidRDefault="0056316E" w:rsidP="0056316E">
            <w:pPr>
              <w:pStyle w:val="Body"/>
              <w:rPr>
                <w:vertAlign w:val="superscript"/>
              </w:rPr>
            </w:pPr>
          </w:p>
          <w:p w14:paraId="5BF59541" w14:textId="77777777" w:rsidR="0056316E" w:rsidRPr="00E6110F" w:rsidRDefault="0056316E" w:rsidP="0056316E">
            <w:pPr>
              <w:pStyle w:val="Body"/>
            </w:pPr>
            <w:r w:rsidRPr="00E6110F">
              <w:t>2) 96-10,200 (median 590)</w:t>
            </w:r>
            <w:r w:rsidRPr="00E6110F">
              <w:rPr>
                <w:vertAlign w:val="superscript"/>
              </w:rPr>
              <w:t>6</w:t>
            </w:r>
          </w:p>
        </w:tc>
        <w:tc>
          <w:tcPr>
            <w:tcW w:w="1276" w:type="dxa"/>
          </w:tcPr>
          <w:p w14:paraId="776BC1F7" w14:textId="77777777" w:rsidR="0056316E" w:rsidRPr="00E6110F" w:rsidRDefault="0056316E" w:rsidP="0056316E">
            <w:pPr>
              <w:pStyle w:val="Body"/>
            </w:pPr>
            <w:r w:rsidRPr="00E6110F">
              <w:t>19.6-46.9 (median 26.80)</w:t>
            </w:r>
            <w:r w:rsidRPr="00E6110F">
              <w:rPr>
                <w:vertAlign w:val="superscript"/>
              </w:rPr>
              <w:t>4</w:t>
            </w:r>
          </w:p>
        </w:tc>
        <w:tc>
          <w:tcPr>
            <w:tcW w:w="1275" w:type="dxa"/>
          </w:tcPr>
          <w:p w14:paraId="7BFD1B62" w14:textId="77777777" w:rsidR="0056316E" w:rsidRPr="00E6110F" w:rsidRDefault="0056316E" w:rsidP="0056316E">
            <w:pPr>
              <w:pStyle w:val="Body"/>
            </w:pPr>
            <w:r w:rsidRPr="00E6110F">
              <w:t>220 - 280</w:t>
            </w:r>
          </w:p>
        </w:tc>
        <w:tc>
          <w:tcPr>
            <w:tcW w:w="851" w:type="dxa"/>
          </w:tcPr>
          <w:p w14:paraId="38108C24" w14:textId="77777777" w:rsidR="0056316E" w:rsidRPr="00E6110F" w:rsidRDefault="0056316E" w:rsidP="0056316E">
            <w:pPr>
              <w:pStyle w:val="Body"/>
            </w:pPr>
            <w:r w:rsidRPr="00E6110F">
              <w:t>0</w:t>
            </w:r>
          </w:p>
        </w:tc>
        <w:tc>
          <w:tcPr>
            <w:tcW w:w="993" w:type="dxa"/>
          </w:tcPr>
          <w:p w14:paraId="6DDD1F8F" w14:textId="77777777" w:rsidR="0056316E" w:rsidRPr="00E6110F" w:rsidRDefault="0056316E" w:rsidP="0056316E">
            <w:pPr>
              <w:pStyle w:val="Body"/>
            </w:pPr>
            <w:r w:rsidRPr="00E6110F">
              <w:t>Reducing</w:t>
            </w:r>
          </w:p>
        </w:tc>
      </w:tr>
      <w:bookmarkEnd w:id="452"/>
    </w:tbl>
    <w:p w14:paraId="11732BE2" w14:textId="77777777" w:rsidR="0056316E" w:rsidRDefault="0056316E" w:rsidP="00E220E4">
      <w:pPr>
        <w:pStyle w:val="Body"/>
      </w:pPr>
    </w:p>
    <w:p w14:paraId="40E25650" w14:textId="77777777" w:rsidR="0056316E" w:rsidRDefault="0056316E" w:rsidP="00E220E4">
      <w:pPr>
        <w:pStyle w:val="Body"/>
      </w:pPr>
    </w:p>
    <w:p w14:paraId="46161BB8" w14:textId="77777777" w:rsidR="0056316E" w:rsidRDefault="0056316E" w:rsidP="00E220E4">
      <w:pPr>
        <w:pStyle w:val="Body"/>
        <w:sectPr w:rsidR="0056316E" w:rsidSect="0056316E">
          <w:pgSz w:w="16840" w:h="11900" w:orient="landscape"/>
          <w:pgMar w:top="1440" w:right="1440" w:bottom="1440" w:left="1440" w:header="0" w:footer="0" w:gutter="0"/>
          <w:cols w:space="284"/>
          <w:noEndnote/>
          <w:docGrid w:linePitch="326"/>
        </w:sectPr>
      </w:pPr>
    </w:p>
    <w:p w14:paraId="31B5AADC" w14:textId="77777777" w:rsidR="00617805" w:rsidRPr="00E6110F" w:rsidRDefault="00617805" w:rsidP="00617805">
      <w:pPr>
        <w:pStyle w:val="Heading3"/>
        <w:numPr>
          <w:ilvl w:val="3"/>
          <w:numId w:val="1"/>
        </w:numPr>
      </w:pPr>
      <w:bookmarkStart w:id="453" w:name="_Ref454208386"/>
      <w:bookmarkStart w:id="454" w:name="_Toc494444577"/>
      <w:r w:rsidRPr="00E6110F">
        <w:t>Defining temperature and pressure conditions of deep groundwater</w:t>
      </w:r>
      <w:bookmarkEnd w:id="453"/>
      <w:bookmarkEnd w:id="454"/>
    </w:p>
    <w:p w14:paraId="659C4BA1" w14:textId="67903746" w:rsidR="0082489C" w:rsidRPr="00E6110F" w:rsidRDefault="0082489C" w:rsidP="0082489C">
      <w:pPr>
        <w:pStyle w:val="Body"/>
      </w:pPr>
      <w:r w:rsidRPr="00E6110F">
        <w:t xml:space="preserve">Temperature profiles were obtained from well completion reports provided by QLD DNRM. </w:t>
      </w:r>
      <w:r w:rsidRPr="00E6110F">
        <w:fldChar w:fldCharType="begin" w:fldLock="1"/>
      </w:r>
      <w:r w:rsidRPr="00E6110F">
        <w:instrText xml:space="preserve"> REF _Ref453015650 \h </w:instrText>
      </w:r>
      <w:r w:rsidR="00AB0783" w:rsidRPr="00E6110F">
        <w:instrText xml:space="preserve"> \* MERGEFORMAT </w:instrText>
      </w:r>
      <w:r w:rsidRPr="00E6110F">
        <w:fldChar w:fldCharType="separate"/>
      </w:r>
      <w:r w:rsidR="00335E79" w:rsidRPr="00E6110F">
        <w:t xml:space="preserve">Figure </w:t>
      </w:r>
      <w:r w:rsidR="00335E79">
        <w:rPr>
          <w:noProof/>
        </w:rPr>
        <w:t>4</w:t>
      </w:r>
      <w:r w:rsidR="00335E79">
        <w:rPr>
          <w:noProof/>
        </w:rPr>
        <w:noBreakHyphen/>
        <w:t>4</w:t>
      </w:r>
      <w:r w:rsidRPr="00E6110F">
        <w:fldChar w:fldCharType="end"/>
      </w:r>
      <w:r w:rsidRPr="00E6110F">
        <w:t xml:space="preserve"> shows the recorded temperature profiles from three wells within the case study area. An average temperature gradient of 23°C/km was calculated from surface to 1000 m depth. </w:t>
      </w:r>
    </w:p>
    <w:p w14:paraId="79DC9D36" w14:textId="003E5811" w:rsidR="00E35434" w:rsidRPr="00E6110F" w:rsidRDefault="00E35434" w:rsidP="00E35434">
      <w:pPr>
        <w:pStyle w:val="Body"/>
      </w:pPr>
      <w:r w:rsidRPr="00E6110F">
        <w:t xml:space="preserve">The pore pressure – depth relationship was derived from simulated hydraulic head values using the OGIA groundwater model. </w:t>
      </w:r>
    </w:p>
    <w:p w14:paraId="37C7D313" w14:textId="41E624F0" w:rsidR="00617805" w:rsidRPr="00E6110F" w:rsidRDefault="00911C75" w:rsidP="0056316E">
      <w:pPr>
        <w:jc w:val="center"/>
        <w:rPr>
          <w:lang w:val="en-GB"/>
        </w:rPr>
      </w:pPr>
      <w:r w:rsidRPr="00E6110F">
        <w:rPr>
          <w:noProof/>
          <w:lang w:val="en-AU" w:eastAsia="en-AU"/>
        </w:rPr>
        <w:drawing>
          <wp:inline distT="0" distB="0" distL="0" distR="0" wp14:anchorId="0E8CF331" wp14:editId="42701F59">
            <wp:extent cx="4053205" cy="3872230"/>
            <wp:effectExtent l="0" t="0" r="4445" b="0"/>
            <wp:docPr id="60" name="Picture 60" descr="Chart of measured temperature profiles in the Surat study area." title="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4053205" cy="3872230"/>
                    </a:xfrm>
                    <a:prstGeom prst="rect">
                      <a:avLst/>
                    </a:prstGeom>
                    <a:noFill/>
                    <a:ln>
                      <a:noFill/>
                    </a:ln>
                  </pic:spPr>
                </pic:pic>
              </a:graphicData>
            </a:graphic>
          </wp:inline>
        </w:drawing>
      </w:r>
    </w:p>
    <w:p w14:paraId="3523F549" w14:textId="78F6B5B1" w:rsidR="00911C75" w:rsidRPr="00E6110F" w:rsidRDefault="00911C75" w:rsidP="00911C75">
      <w:pPr>
        <w:pStyle w:val="Imagecaption"/>
      </w:pPr>
      <w:bookmarkStart w:id="455" w:name="_Ref453015650"/>
      <w:bookmarkStart w:id="456" w:name="_Toc477347634"/>
      <w:r w:rsidRPr="00E6110F">
        <w:t xml:space="preserve">Figure </w:t>
      </w:r>
      <w:r w:rsidR="00254026">
        <w:fldChar w:fldCharType="begin" w:fldLock="1"/>
      </w:r>
      <w:r w:rsidR="00254026">
        <w:instrText xml:space="preserve"> STYLEREF 1 \s </w:instrText>
      </w:r>
      <w:r w:rsidR="00254026">
        <w:fldChar w:fldCharType="separate"/>
      </w:r>
      <w:r w:rsidR="00335E79">
        <w:rPr>
          <w:noProof/>
        </w:rPr>
        <w:t>4</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w:t>
      </w:r>
      <w:r w:rsidR="00254026">
        <w:fldChar w:fldCharType="end"/>
      </w:r>
      <w:bookmarkEnd w:id="455"/>
      <w:r w:rsidRPr="00E6110F">
        <w:t xml:space="preserve"> </w:t>
      </w:r>
      <w:proofErr w:type="gramStart"/>
      <w:r w:rsidRPr="00E6110F">
        <w:t>Measured</w:t>
      </w:r>
      <w:proofErr w:type="gramEnd"/>
      <w:r w:rsidRPr="00E6110F">
        <w:t xml:space="preserve"> temperature profiles for three boreholes within the Surat case study area</w:t>
      </w:r>
      <w:r w:rsidR="00C25382">
        <w:t xml:space="preserve"> (data source: Queensland DNRM)</w:t>
      </w:r>
      <w:r w:rsidRPr="00E6110F">
        <w:t>.</w:t>
      </w:r>
      <w:bookmarkEnd w:id="456"/>
    </w:p>
    <w:p w14:paraId="5D4F2027" w14:textId="3CC5E9C7" w:rsidR="00EE595F" w:rsidRPr="00E6110F" w:rsidRDefault="00EE595F" w:rsidP="00C03C79">
      <w:pPr>
        <w:pStyle w:val="Heading3"/>
      </w:pPr>
      <w:bookmarkStart w:id="457" w:name="_Toc494444578"/>
      <w:r w:rsidRPr="00E6110F">
        <w:t>Methodology for adapting the attenuation parameters obtained from literature</w:t>
      </w:r>
      <w:r w:rsidR="00765A0A">
        <w:t xml:space="preserve"> to site-specific values</w:t>
      </w:r>
      <w:bookmarkEnd w:id="457"/>
      <w:r w:rsidRPr="00E6110F">
        <w:t xml:space="preserve"> </w:t>
      </w:r>
    </w:p>
    <w:p w14:paraId="3F91662A" w14:textId="09E99EF7" w:rsidR="00EE595F" w:rsidRPr="00E6110F" w:rsidRDefault="00EE595F" w:rsidP="00EE595F">
      <w:pPr>
        <w:pStyle w:val="Body"/>
      </w:pPr>
      <w:r w:rsidRPr="00E6110F">
        <w:t xml:space="preserve">For some </w:t>
      </w:r>
      <w:r w:rsidR="00C54BB6">
        <w:t xml:space="preserve">organic </w:t>
      </w:r>
      <w:r w:rsidRPr="00E6110F">
        <w:t xml:space="preserve">compounds the literature values of key attenuation parameters (namely </w:t>
      </w:r>
      <w:r w:rsidRPr="00E6110F">
        <w:rPr>
          <w:i/>
        </w:rPr>
        <w:t>K</w:t>
      </w:r>
      <w:r w:rsidRPr="00E6110F">
        <w:rPr>
          <w:vertAlign w:val="subscript"/>
        </w:rPr>
        <w:t>OC</w:t>
      </w:r>
      <w:r w:rsidRPr="00E6110F">
        <w:t xml:space="preserve"> and half-life</w:t>
      </w:r>
      <w:r w:rsidR="00C00A51">
        <w:t xml:space="preserve"> </w:t>
      </w:r>
      <w:r w:rsidR="00C864D5" w:rsidRPr="00C864D5">
        <w:rPr>
          <w:i/>
        </w:rPr>
        <w:t>t</w:t>
      </w:r>
      <w:r w:rsidR="00C00A51" w:rsidRPr="00A63DFB">
        <w:rPr>
          <w:vertAlign w:val="subscript"/>
        </w:rPr>
        <w:t>1/2</w:t>
      </w:r>
      <w:r w:rsidRPr="00E6110F">
        <w:t xml:space="preserve">) are unlikely to have been obtained under the conditions truly reflective of the geology of the sites being investigated in this project. For example, the </w:t>
      </w:r>
      <w:r w:rsidRPr="00E6110F">
        <w:rPr>
          <w:i/>
        </w:rPr>
        <w:t>K</w:t>
      </w:r>
      <w:r w:rsidRPr="00E6110F">
        <w:rPr>
          <w:vertAlign w:val="subscript"/>
        </w:rPr>
        <w:t>OC</w:t>
      </w:r>
      <w:r w:rsidRPr="00E6110F">
        <w:t xml:space="preserve"> and half-life measured under controlled laboratory conditions in a surface soil, or even aquifer material, is unlikely to be representative of that in the geological formations and coal seams. Most published studies on organic compounds tend to be from soils or materials from shallow aquifers</w:t>
      </w:r>
      <w:r w:rsidR="00B2206C">
        <w:t>, w</w:t>
      </w:r>
      <w:r w:rsidRPr="00E6110F">
        <w:t xml:space="preserve">hereas the effective </w:t>
      </w:r>
      <w:r w:rsidRPr="00E6110F">
        <w:rPr>
          <w:i/>
        </w:rPr>
        <w:t>K</w:t>
      </w:r>
      <w:r w:rsidRPr="00E6110F">
        <w:rPr>
          <w:vertAlign w:val="subscript"/>
        </w:rPr>
        <w:t>OC</w:t>
      </w:r>
      <w:r w:rsidRPr="00E6110F">
        <w:t xml:space="preserve"> of an organic compound on highly carbonaceous materials under saline conditions is likely </w:t>
      </w:r>
      <w:r w:rsidR="00701A97" w:rsidRPr="00E6110F">
        <w:t xml:space="preserve">to </w:t>
      </w:r>
      <w:r w:rsidRPr="00E6110F">
        <w:t>be much higher than that estimated based on such studies. For some compounds such as nitro</w:t>
      </w:r>
      <w:r w:rsidR="00EA72EE" w:rsidRPr="00E6110F">
        <w:t>-</w:t>
      </w:r>
      <w:r w:rsidRPr="00E6110F">
        <w:t>aromatics (similar to HMX), clay minerals have been found to be highly sorptive (</w:t>
      </w:r>
      <w:r w:rsidR="00055F1D" w:rsidRPr="00E6110F">
        <w:t>Weissmahr</w:t>
      </w:r>
      <w:r w:rsidRPr="00E6110F">
        <w:t xml:space="preserve"> et al. 199</w:t>
      </w:r>
      <w:r w:rsidR="00055F1D" w:rsidRPr="00E6110F">
        <w:t>7</w:t>
      </w:r>
      <w:r w:rsidRPr="00E6110F">
        <w:t xml:space="preserve">). </w:t>
      </w:r>
      <w:r w:rsidR="00B2206C">
        <w:t>However, t</w:t>
      </w:r>
      <w:r w:rsidRPr="00E6110F">
        <w:t xml:space="preserve">he </w:t>
      </w:r>
      <w:r w:rsidRPr="00E6110F">
        <w:rPr>
          <w:i/>
        </w:rPr>
        <w:t>K</w:t>
      </w:r>
      <w:r w:rsidRPr="00E6110F">
        <w:rPr>
          <w:vertAlign w:val="subscript"/>
        </w:rPr>
        <w:t>OC</w:t>
      </w:r>
      <w:r w:rsidRPr="00E6110F">
        <w:t xml:space="preserve"> values from </w:t>
      </w:r>
      <w:r w:rsidR="00B2206C">
        <w:t xml:space="preserve">the </w:t>
      </w:r>
      <w:r w:rsidRPr="00E6110F">
        <w:t>literature may not reflect the contribution that clay and other mineral matters can make to the potential sorption of some organic compounds in a certain geological formation with limited organic carbon content. It is also noteworthy that on highly carbonaceous materials such as coals, the sorption of organic chemicals has often been found to be concentration dependent</w:t>
      </w:r>
      <w:r w:rsidR="00C54BB6">
        <w:t xml:space="preserve"> (</w:t>
      </w:r>
      <w:r w:rsidR="005D58DC">
        <w:t>Dell Site 201</w:t>
      </w:r>
      <w:r w:rsidR="00C54BB6">
        <w:t>)</w:t>
      </w:r>
      <w:r w:rsidRPr="00E6110F">
        <w:t xml:space="preserve">. However, since the concentrations of chemicals during the hydraulic fracturing operations are expected to be generally low, it is assumed that sorption is independent of concentration and hence the concept of </w:t>
      </w:r>
      <w:r w:rsidRPr="00E6110F">
        <w:rPr>
          <w:i/>
        </w:rPr>
        <w:t>K</w:t>
      </w:r>
      <w:r w:rsidRPr="00E6110F">
        <w:rPr>
          <w:vertAlign w:val="subscript"/>
        </w:rPr>
        <w:t>OC</w:t>
      </w:r>
      <w:r w:rsidRPr="00E6110F">
        <w:t xml:space="preserve"> </w:t>
      </w:r>
      <w:r w:rsidR="00C54BB6">
        <w:t xml:space="preserve">or better, </w:t>
      </w:r>
      <w:proofErr w:type="gramStart"/>
      <w:r w:rsidR="00C54BB6" w:rsidRPr="00C54BB6">
        <w:rPr>
          <w:i/>
        </w:rPr>
        <w:t>K</w:t>
      </w:r>
      <w:r w:rsidR="00C54BB6" w:rsidRPr="00C54BB6">
        <w:rPr>
          <w:vertAlign w:val="subscript"/>
        </w:rPr>
        <w:t>d</w:t>
      </w:r>
      <w:proofErr w:type="gramEnd"/>
      <w:r w:rsidR="00C54BB6">
        <w:t xml:space="preserve"> (linear reversible sorption) </w:t>
      </w:r>
      <w:r w:rsidRPr="00E6110F">
        <w:t xml:space="preserve">is acceptable. </w:t>
      </w:r>
      <w:r w:rsidR="00EA72EE" w:rsidRPr="00E6110F">
        <w:t xml:space="preserve">This is in line with the assumption of linear and reversible sorption discussed in </w:t>
      </w:r>
      <w:r w:rsidR="00B2206C">
        <w:t>S</w:t>
      </w:r>
      <w:r w:rsidR="00EA72EE" w:rsidRPr="00E6110F">
        <w:t xml:space="preserve">ection </w:t>
      </w:r>
      <w:r w:rsidR="00EA72EE" w:rsidRPr="00E6110F">
        <w:fldChar w:fldCharType="begin" w:fldLock="1"/>
      </w:r>
      <w:r w:rsidR="00EA72EE" w:rsidRPr="00E6110F">
        <w:instrText xml:space="preserve"> REF _Ref446953913 \r \h </w:instrText>
      </w:r>
      <w:r w:rsidR="00AB0783" w:rsidRPr="00E6110F">
        <w:instrText xml:space="preserve"> \* MERGEFORMAT </w:instrText>
      </w:r>
      <w:r w:rsidR="00EA72EE" w:rsidRPr="00E6110F">
        <w:fldChar w:fldCharType="separate"/>
      </w:r>
      <w:r w:rsidR="00335E79">
        <w:t>4.1</w:t>
      </w:r>
      <w:r w:rsidR="00EA72EE" w:rsidRPr="00E6110F">
        <w:fldChar w:fldCharType="end"/>
      </w:r>
      <w:r w:rsidR="00EA72EE" w:rsidRPr="00E6110F">
        <w:t>.</w:t>
      </w:r>
    </w:p>
    <w:p w14:paraId="1A95FCEB" w14:textId="1E586F91" w:rsidR="00EA72EE" w:rsidRPr="00E6110F" w:rsidRDefault="00EE595F" w:rsidP="00EE595F">
      <w:pPr>
        <w:pStyle w:val="Body"/>
      </w:pPr>
      <w:r w:rsidRPr="00E6110F">
        <w:t>Similarly</w:t>
      </w:r>
      <w:r w:rsidR="00C54BB6">
        <w:t>,</w:t>
      </w:r>
      <w:r w:rsidRPr="00E6110F">
        <w:t xml:space="preserve"> the rate of breakdown</w:t>
      </w:r>
      <w:r w:rsidR="00EA72EE" w:rsidRPr="00E6110F">
        <w:t xml:space="preserve"> of organic substances</w:t>
      </w:r>
      <w:r w:rsidRPr="00E6110F">
        <w:t xml:space="preserve"> (half-life) at depths in coal seams where hydraulic fracturing chemicals are introduced</w:t>
      </w:r>
      <w:r w:rsidR="00EA72EE" w:rsidRPr="00E6110F">
        <w:t>,</w:t>
      </w:r>
      <w:r w:rsidRPr="00E6110F">
        <w:t xml:space="preserve"> may be significantly different than that in surface soil due to their higher temperature, different microbial environment and redox status. </w:t>
      </w:r>
    </w:p>
    <w:p w14:paraId="71629E0D" w14:textId="628429DE" w:rsidR="00765A0A" w:rsidRDefault="00EA72EE" w:rsidP="00EE595F">
      <w:pPr>
        <w:pStyle w:val="Body"/>
      </w:pPr>
      <w:r w:rsidRPr="00E6110F">
        <w:t xml:space="preserve">Because of the specific geological and environmental conditions that determine sorption </w:t>
      </w:r>
      <w:r w:rsidR="00070A53" w:rsidRPr="00E6110F">
        <w:t xml:space="preserve">(organic and inorganic substances) </w:t>
      </w:r>
      <w:r w:rsidRPr="00E6110F">
        <w:t>and degradation</w:t>
      </w:r>
      <w:r w:rsidR="00070A53" w:rsidRPr="00E6110F">
        <w:t xml:space="preserve"> (organics only)</w:t>
      </w:r>
      <w:r w:rsidRPr="00E6110F">
        <w:t xml:space="preserve">, </w:t>
      </w:r>
      <w:r w:rsidR="00EE595F" w:rsidRPr="00E6110F">
        <w:t>the literature values need to be adapted for the specific conditions</w:t>
      </w:r>
      <w:r w:rsidR="00F90F2B">
        <w:t xml:space="preserve"> associated with the study site</w:t>
      </w:r>
      <w:r w:rsidR="00EE595F" w:rsidRPr="00E6110F">
        <w:t>.</w:t>
      </w:r>
      <w:r w:rsidRPr="00E6110F">
        <w:t xml:space="preserve"> The approach </w:t>
      </w:r>
      <w:r w:rsidR="00C54BB6">
        <w:t>adop</w:t>
      </w:r>
      <w:r w:rsidR="005D58DC">
        <w:t>t</w:t>
      </w:r>
      <w:r w:rsidR="00C54BB6">
        <w:t xml:space="preserve">ed here </w:t>
      </w:r>
      <w:r w:rsidRPr="00E6110F">
        <w:t>there</w:t>
      </w:r>
      <w:r w:rsidR="00070A53" w:rsidRPr="00E6110F">
        <w:t>fore</w:t>
      </w:r>
      <w:r w:rsidRPr="00E6110F">
        <w:t xml:space="preserve"> defines first a generic set of </w:t>
      </w:r>
      <w:r w:rsidR="009C61AB" w:rsidRPr="00E6110F">
        <w:t xml:space="preserve">default </w:t>
      </w:r>
      <w:r w:rsidRPr="00E6110F">
        <w:t>sorption and half-life parameters</w:t>
      </w:r>
      <w:r w:rsidR="00DB075B" w:rsidRPr="00E6110F">
        <w:t xml:space="preserve"> (</w:t>
      </w:r>
      <w:r w:rsidR="00B2206C">
        <w:t>S</w:t>
      </w:r>
      <w:r w:rsidR="00DB075B" w:rsidRPr="00E6110F">
        <w:t xml:space="preserve">ection </w:t>
      </w:r>
      <w:r w:rsidR="00EA4F75" w:rsidRPr="00E6110F">
        <w:fldChar w:fldCharType="begin" w:fldLock="1"/>
      </w:r>
      <w:r w:rsidR="00EA4F75" w:rsidRPr="00E6110F">
        <w:instrText xml:space="preserve"> REF _Ref452901284 \r \h </w:instrText>
      </w:r>
      <w:r w:rsidR="00AB0783" w:rsidRPr="00E6110F">
        <w:instrText xml:space="preserve"> \* MERGEFORMAT </w:instrText>
      </w:r>
      <w:r w:rsidR="00EA4F75" w:rsidRPr="00E6110F">
        <w:fldChar w:fldCharType="separate"/>
      </w:r>
      <w:r w:rsidR="00335E79">
        <w:t>4.3.3</w:t>
      </w:r>
      <w:r w:rsidR="00EA4F75" w:rsidRPr="00E6110F">
        <w:fldChar w:fldCharType="end"/>
      </w:r>
      <w:r w:rsidR="00DB075B" w:rsidRPr="00E6110F">
        <w:t>)</w:t>
      </w:r>
      <w:r w:rsidR="00070A53" w:rsidRPr="00E6110F">
        <w:t>, which are subsequently adapted to represent more site-specific conditions</w:t>
      </w:r>
      <w:r w:rsidR="00DB075B" w:rsidRPr="00E6110F">
        <w:t xml:space="preserve"> (</w:t>
      </w:r>
      <w:r w:rsidR="00B2206C" w:rsidRPr="00C00A51">
        <w:t>S</w:t>
      </w:r>
      <w:r w:rsidR="00DB075B" w:rsidRPr="00C00A51">
        <w:t>ection</w:t>
      </w:r>
      <w:r w:rsidR="00C00A51" w:rsidRPr="00A63DFB">
        <w:t xml:space="preserve"> </w:t>
      </w:r>
      <w:r w:rsidR="00C00A51" w:rsidRPr="00A63DFB">
        <w:fldChar w:fldCharType="begin" w:fldLock="1"/>
      </w:r>
      <w:r w:rsidR="00C00A51" w:rsidRPr="00A63DFB">
        <w:instrText xml:space="preserve"> REF _Ref469821485 \r \h </w:instrText>
      </w:r>
      <w:r w:rsidR="00C00A51">
        <w:instrText xml:space="preserve"> \* MERGEFORMAT </w:instrText>
      </w:r>
      <w:r w:rsidR="00C00A51" w:rsidRPr="00A63DFB">
        <w:fldChar w:fldCharType="separate"/>
      </w:r>
      <w:r w:rsidR="00335E79">
        <w:t>4.3.3.1</w:t>
      </w:r>
      <w:r w:rsidR="00C00A51" w:rsidRPr="00A63DFB">
        <w:fldChar w:fldCharType="end"/>
      </w:r>
      <w:r w:rsidR="00DB075B" w:rsidRPr="00E6110F">
        <w:t>)</w:t>
      </w:r>
      <w:r w:rsidR="00070A53" w:rsidRPr="00E6110F">
        <w:t>.</w:t>
      </w:r>
    </w:p>
    <w:p w14:paraId="49760C79" w14:textId="0FA64D17" w:rsidR="00765A0A" w:rsidRPr="00E6110F" w:rsidRDefault="00765A0A" w:rsidP="00765A0A">
      <w:pPr>
        <w:pStyle w:val="Heading3"/>
      </w:pPr>
      <w:bookmarkStart w:id="458" w:name="_Ref458344344"/>
      <w:bookmarkStart w:id="459" w:name="_Toc494444579"/>
      <w:r w:rsidRPr="00E6110F">
        <w:t>Effect of key physicochemical variables on contaminant attenuation</w:t>
      </w:r>
      <w:bookmarkEnd w:id="458"/>
      <w:r>
        <w:t xml:space="preserve"> parameters</w:t>
      </w:r>
      <w:bookmarkEnd w:id="459"/>
    </w:p>
    <w:p w14:paraId="50C9503A" w14:textId="5DCBFFAF" w:rsidR="00765A0A" w:rsidRDefault="00765A0A" w:rsidP="00765A0A">
      <w:pPr>
        <w:pStyle w:val="Body"/>
      </w:pPr>
      <w:r w:rsidRPr="00E6110F">
        <w:t>In this section</w:t>
      </w:r>
      <w:r w:rsidR="00B2206C">
        <w:t>,</w:t>
      </w:r>
      <w:r w:rsidRPr="00E6110F">
        <w:t xml:space="preserve"> the effects of key variables pressure, temperature and pH on attenuation processes affecting organic compounds and inorganic substances in deep groundwater systems are considered.  By their nature, inorganic non-radioactive substances are persistent </w:t>
      </w:r>
      <w:r>
        <w:t xml:space="preserve">and </w:t>
      </w:r>
      <w:r w:rsidRPr="00E6110F">
        <w:t>do not undergo degradation. Consequently, only the effects of pressure, temperature and pH on inorganic sorption reactions are considered.</w:t>
      </w:r>
    </w:p>
    <w:p w14:paraId="5617ABD8" w14:textId="77777777" w:rsidR="00765A0A" w:rsidRDefault="00765A0A" w:rsidP="00765A0A">
      <w:pPr>
        <w:pStyle w:val="Body"/>
      </w:pPr>
      <w:r>
        <w:t xml:space="preserve">The effects of these variables are considered with respect to two specific scenarios related to deep groundwater in this study. </w:t>
      </w:r>
    </w:p>
    <w:p w14:paraId="65285116" w14:textId="083C0847" w:rsidR="00765A0A" w:rsidRDefault="00765A0A" w:rsidP="00217A03">
      <w:pPr>
        <w:pStyle w:val="Body"/>
        <w:numPr>
          <w:ilvl w:val="0"/>
          <w:numId w:val="46"/>
        </w:numPr>
      </w:pPr>
      <w:r>
        <w:t xml:space="preserve">The effect of physico-chemical variables on the attenuation of geogenic contaminants that might be present in the coal seams. This represents an unperturbed system where the variables may impact on the dissolved concentrations of some geogenic contaminants. The temperature in deep groundwater systems is expected to be </w:t>
      </w:r>
      <w:r w:rsidRPr="006C1761">
        <w:t>as high as 60</w:t>
      </w:r>
      <w:r>
        <w:t xml:space="preserve">°C.  </w:t>
      </w:r>
    </w:p>
    <w:p w14:paraId="56BBAE1B" w14:textId="77777777" w:rsidR="00765A0A" w:rsidRDefault="00765A0A" w:rsidP="00217A03">
      <w:pPr>
        <w:pStyle w:val="Body"/>
        <w:numPr>
          <w:ilvl w:val="0"/>
          <w:numId w:val="46"/>
        </w:numPr>
      </w:pPr>
      <w:r>
        <w:t xml:space="preserve">The injection of hydraulic fracturing fluids that experience a much higher pressure at great depth than atmospheric pressure. It is expected that the in-situ pore pressure may reach up to </w:t>
      </w:r>
      <w:r w:rsidRPr="006C1761">
        <w:t>about 13 MPa</w:t>
      </w:r>
      <w:r>
        <w:t xml:space="preserve">. The effect of pressures associated with the hydraulic fracturing itself is likely to be localised and transitory in nature and considered to have a negligible effect.  </w:t>
      </w:r>
    </w:p>
    <w:p w14:paraId="791317F9" w14:textId="77777777" w:rsidR="00765A0A" w:rsidRPr="00E6110F" w:rsidRDefault="00765A0A" w:rsidP="00765A0A">
      <w:pPr>
        <w:pStyle w:val="Heading3"/>
        <w:numPr>
          <w:ilvl w:val="3"/>
          <w:numId w:val="1"/>
        </w:numPr>
        <w:rPr>
          <w:rFonts w:asciiTheme="majorHAnsi" w:hAnsiTheme="majorHAnsi" w:cs="Arial"/>
          <w:b w:val="0"/>
        </w:rPr>
      </w:pPr>
      <w:bookmarkStart w:id="460" w:name="_Ref458344446"/>
      <w:bookmarkStart w:id="461" w:name="_Toc494444580"/>
      <w:r w:rsidRPr="00E6110F">
        <w:rPr>
          <w:rFonts w:asciiTheme="majorHAnsi" w:hAnsiTheme="majorHAnsi" w:cs="Arial"/>
          <w:b w:val="0"/>
        </w:rPr>
        <w:t>Effect of temperature on degradation of organic compounds</w:t>
      </w:r>
      <w:bookmarkEnd w:id="460"/>
      <w:bookmarkEnd w:id="461"/>
    </w:p>
    <w:p w14:paraId="6C8BA750" w14:textId="316EC272" w:rsidR="00765A0A" w:rsidRPr="00E6110F" w:rsidRDefault="00765A0A" w:rsidP="00765A0A">
      <w:pPr>
        <w:pStyle w:val="Body"/>
      </w:pPr>
      <w:r w:rsidRPr="00E6110F">
        <w:t xml:space="preserve">The temperature dependence of reactions such as biodegradation and hydrolysis is well established and can be incorporated using the Arrhenius equation. This relationship states that the reaction rate constant </w:t>
      </w:r>
      <w:r w:rsidR="00267348" w:rsidRPr="00267348">
        <w:rPr>
          <w:rFonts w:ascii="Times New Roman" w:hAnsi="Times New Roman" w:cs="Times New Roman"/>
          <w:i/>
        </w:rPr>
        <w:t>κ</w:t>
      </w:r>
      <w:r w:rsidRPr="00E6110F">
        <w:t xml:space="preserve"> in homogeneous solutions and consequently the reaction half-life </w:t>
      </w:r>
      <w:r w:rsidR="00C864D5">
        <w:rPr>
          <w:i/>
        </w:rPr>
        <w:t>t</w:t>
      </w:r>
      <w:r w:rsidR="00DB5AA6">
        <w:rPr>
          <w:vertAlign w:val="subscript"/>
        </w:rPr>
        <w:t>1/2</w:t>
      </w:r>
      <w:r w:rsidRPr="00E6110F">
        <w:t xml:space="preserve"> (assuming first-order kinetics </w:t>
      </w:r>
      <w:r w:rsidR="00C864D5">
        <w:rPr>
          <w:i/>
          <w:iCs/>
        </w:rPr>
        <w:t>t</w:t>
      </w:r>
      <w:r w:rsidR="00DB5AA6">
        <w:rPr>
          <w:vertAlign w:val="subscript"/>
        </w:rPr>
        <w:t>1/2</w:t>
      </w:r>
      <w:r w:rsidRPr="00E6110F">
        <w:t xml:space="preserve"> = (ln 2)/</w:t>
      </w:r>
      <w:r w:rsidRPr="00E6110F">
        <w:rPr>
          <w:i/>
          <w:iCs/>
        </w:rPr>
        <w:t>k</w:t>
      </w:r>
      <w:r w:rsidRPr="00E6110F">
        <w:t xml:space="preserve">) depends on the activation energy </w:t>
      </w:r>
      <w:r w:rsidRPr="00E6110F">
        <w:rPr>
          <w:i/>
          <w:iCs/>
        </w:rPr>
        <w:t>E</w:t>
      </w:r>
      <w:r w:rsidRPr="00E6110F">
        <w:rPr>
          <w:vertAlign w:val="subscript"/>
        </w:rPr>
        <w:t>a</w:t>
      </w:r>
      <w:r w:rsidRPr="00E6110F">
        <w:t xml:space="preserve"> of the reaction and the temperature at which the reaction occurs. The Arrhenius relationship can be presented as (Stumm and Morgan 1981):</w:t>
      </w:r>
    </w:p>
    <w:p w14:paraId="449E8BA4" w14:textId="1957F62E" w:rsidR="00765A0A" w:rsidRPr="00E6110F" w:rsidRDefault="00765A0A" w:rsidP="00765A0A">
      <w:pPr>
        <w:pStyle w:val="Body"/>
        <w:tabs>
          <w:tab w:val="center" w:pos="4253"/>
          <w:tab w:val="right" w:pos="8789"/>
        </w:tabs>
        <w:rPr>
          <w:i/>
          <w:iCs/>
        </w:rPr>
      </w:pPr>
      <w:r w:rsidRPr="00E6110F">
        <w:rPr>
          <w:iCs/>
        </w:rPr>
        <w:tab/>
      </w:r>
      <m:oMath>
        <m:r>
          <w:rPr>
            <w:rFonts w:ascii="Cambria Math" w:hAnsi="Cambria Math"/>
          </w:rPr>
          <m:t>κ=A exp</m:t>
        </m:r>
        <m:d>
          <m:dPr>
            <m:ctrlPr>
              <w:rPr>
                <w:rFonts w:ascii="Cambria Math" w:hAnsi="Cambria Math"/>
                <w:i/>
                <w:iCs/>
              </w:rPr>
            </m:ctrlPr>
          </m:dPr>
          <m:e>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E</m:t>
                    </m:r>
                  </m:e>
                  <m:sub>
                    <m:r>
                      <w:rPr>
                        <w:rFonts w:ascii="Cambria Math" w:hAnsi="Cambria Math"/>
                      </w:rPr>
                      <m:t>a</m:t>
                    </m:r>
                  </m:sub>
                </m:sSub>
              </m:num>
              <m:den>
                <m:r>
                  <w:rPr>
                    <w:rFonts w:ascii="Cambria Math" w:hAnsi="Cambria Math"/>
                  </w:rPr>
                  <m:t>RT</m:t>
                </m:r>
              </m:den>
            </m:f>
          </m:e>
        </m:d>
      </m:oMath>
      <w:r w:rsidRPr="00E6110F">
        <w:rPr>
          <w:iCs/>
        </w:rPr>
        <w:tab/>
      </w:r>
      <w:r w:rsidRPr="00E6110F">
        <w:rPr>
          <w:i/>
          <w:iCs/>
        </w:rPr>
        <w:t xml:space="preserve"> </w:t>
      </w:r>
      <w:r w:rsidRPr="00E6110F">
        <w:t>(</w:t>
      </w:r>
      <w:r w:rsidR="000A63A5">
        <w:t>4</w:t>
      </w:r>
      <w:r w:rsidRPr="00E6110F">
        <w:t>)</w:t>
      </w:r>
    </w:p>
    <w:p w14:paraId="115FFBDB" w14:textId="03C792D0" w:rsidR="00765A0A" w:rsidRPr="00E6110F" w:rsidRDefault="00765A0A" w:rsidP="00765A0A">
      <w:pPr>
        <w:pStyle w:val="Body"/>
      </w:pPr>
      <w:proofErr w:type="gramStart"/>
      <w:r w:rsidRPr="00E6110F">
        <w:t>where</w:t>
      </w:r>
      <w:proofErr w:type="gramEnd"/>
      <w:r w:rsidRPr="00E6110F">
        <w:t xml:space="preserve"> </w:t>
      </w:r>
      <w:r w:rsidR="00267348" w:rsidRPr="00267348">
        <w:rPr>
          <w:rFonts w:ascii="Times New Roman" w:hAnsi="Times New Roman" w:cs="Times New Roman"/>
          <w:i/>
        </w:rPr>
        <w:t>κ</w:t>
      </w:r>
      <w:r w:rsidRPr="00E6110F">
        <w:rPr>
          <w:i/>
          <w:iCs/>
        </w:rPr>
        <w:t xml:space="preserve"> </w:t>
      </w:r>
      <w:r w:rsidRPr="00E6110F">
        <w:t xml:space="preserve">is </w:t>
      </w:r>
      <w:r w:rsidR="00B2206C">
        <w:t xml:space="preserve">the </w:t>
      </w:r>
      <w:r w:rsidRPr="00E6110F">
        <w:t xml:space="preserve">rate constant (1/day), </w:t>
      </w:r>
      <w:r w:rsidRPr="00E6110F">
        <w:rPr>
          <w:i/>
          <w:iCs/>
        </w:rPr>
        <w:t xml:space="preserve">A </w:t>
      </w:r>
      <w:r w:rsidRPr="00E6110F">
        <w:rPr>
          <w:iCs/>
        </w:rPr>
        <w:t>is</w:t>
      </w:r>
      <w:r w:rsidRPr="00E6110F">
        <w:rPr>
          <w:i/>
          <w:iCs/>
        </w:rPr>
        <w:t xml:space="preserve"> </w:t>
      </w:r>
      <w:r w:rsidR="00B2206C">
        <w:rPr>
          <w:i/>
          <w:iCs/>
        </w:rPr>
        <w:t xml:space="preserve">the </w:t>
      </w:r>
      <w:r w:rsidRPr="00E6110F">
        <w:t xml:space="preserve">rate coefficient at infinite temperature (1/day), </w:t>
      </w:r>
      <w:r w:rsidRPr="00E6110F">
        <w:rPr>
          <w:i/>
          <w:iCs/>
        </w:rPr>
        <w:t>E</w:t>
      </w:r>
      <w:r w:rsidRPr="00E6110F">
        <w:rPr>
          <w:vertAlign w:val="subscript"/>
        </w:rPr>
        <w:t>a</w:t>
      </w:r>
      <w:r w:rsidRPr="00E6110F">
        <w:t xml:space="preserve"> is activation energy (kJ/mol), </w:t>
      </w:r>
      <w:r w:rsidRPr="00E6110F">
        <w:rPr>
          <w:i/>
          <w:iCs/>
        </w:rPr>
        <w:t xml:space="preserve">R </w:t>
      </w:r>
      <w:r w:rsidRPr="00E6110F">
        <w:rPr>
          <w:iCs/>
        </w:rPr>
        <w:t>is</w:t>
      </w:r>
      <w:r w:rsidRPr="00E6110F">
        <w:t xml:space="preserve"> </w:t>
      </w:r>
      <w:r w:rsidR="00B2206C">
        <w:t xml:space="preserve">the </w:t>
      </w:r>
      <w:r w:rsidRPr="00E6110F">
        <w:t xml:space="preserve">gas constant (0.008314 kJ/K/mol) and </w:t>
      </w:r>
      <w:r w:rsidRPr="00E6110F">
        <w:rPr>
          <w:i/>
          <w:iCs/>
        </w:rPr>
        <w:t xml:space="preserve">T </w:t>
      </w:r>
      <w:r w:rsidRPr="00E6110F">
        <w:t>is absolute temperature (</w:t>
      </w:r>
      <w:r w:rsidRPr="00E6110F">
        <w:rPr>
          <w:i/>
        </w:rPr>
        <w:t>K</w:t>
      </w:r>
      <w:r w:rsidRPr="00E6110F">
        <w:t>).</w:t>
      </w:r>
    </w:p>
    <w:p w14:paraId="2A4DBBE7" w14:textId="1C10463B" w:rsidR="00765A0A" w:rsidRPr="00E6110F" w:rsidRDefault="00765A0A" w:rsidP="00765A0A">
      <w:pPr>
        <w:pStyle w:val="Body"/>
      </w:pPr>
      <w:r w:rsidRPr="00E6110F">
        <w:t>Based on first-order kinetics, Equation (</w:t>
      </w:r>
      <w:r w:rsidR="000A63A5">
        <w:t>4</w:t>
      </w:r>
      <w:r w:rsidRPr="00E6110F">
        <w:t>) can be reformulated to (EFSA 2008):</w:t>
      </w:r>
    </w:p>
    <w:p w14:paraId="2559FB76" w14:textId="628B0580" w:rsidR="00765A0A" w:rsidRPr="00E6110F" w:rsidRDefault="00765A0A" w:rsidP="00765A0A">
      <w:pPr>
        <w:pStyle w:val="Body"/>
        <w:tabs>
          <w:tab w:val="center" w:pos="4253"/>
          <w:tab w:val="right" w:pos="8789"/>
        </w:tabs>
      </w:pPr>
      <w:r w:rsidRPr="00E6110F">
        <w:rPr>
          <w:rFonts w:asciiTheme="minorHAnsi" w:hAnsiTheme="minorHAnsi" w:cs="Arial"/>
        </w:rPr>
        <w:tab/>
      </w:r>
      <m:oMath>
        <m:sSub>
          <m:sSubPr>
            <m:ctrlPr>
              <w:rPr>
                <w:rFonts w:ascii="Cambria Math" w:hAnsi="Cambria Math"/>
                <w:i/>
              </w:rPr>
            </m:ctrlPr>
          </m:sSubPr>
          <m:e>
            <m:r>
              <w:rPr>
                <w:rFonts w:ascii="Cambria Math" w:hAnsi="Cambria Math"/>
              </w:rPr>
              <m:t>t</m:t>
            </m:r>
          </m:e>
          <m:sub>
            <m:r>
              <w:rPr>
                <w:rFonts w:ascii="Cambria Math" w:hAnsi="Cambria Math"/>
              </w:rPr>
              <m:t>1/2,T1</m:t>
            </m:r>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1/2,T2</m:t>
            </m:r>
          </m:sub>
        </m:sSub>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a</m:t>
                    </m:r>
                  </m:sub>
                </m:sSub>
              </m:num>
              <m:den>
                <m:r>
                  <w:rPr>
                    <w:rFonts w:ascii="Cambria Math" w:hAnsi="Cambria Math"/>
                  </w:rPr>
                  <m:t>R</m:t>
                </m:r>
              </m:den>
            </m:f>
            <m:d>
              <m:dPr>
                <m:begChr m:val="["/>
                <m:endChr m:val="]"/>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w:rPr>
                            <w:rFonts w:ascii="Cambria Math" w:hAnsi="Cambria Math"/>
                          </w:rPr>
                          <m:t>2</m:t>
                        </m:r>
                      </m:sub>
                    </m:sSub>
                  </m:den>
                </m:f>
              </m:e>
            </m:d>
          </m:e>
        </m:d>
      </m:oMath>
      <w:r w:rsidRPr="00E6110F">
        <w:rPr>
          <w:rFonts w:asciiTheme="minorHAnsi" w:hAnsiTheme="minorHAnsi" w:cs="Arial"/>
        </w:rPr>
        <w:tab/>
      </w:r>
      <w:r w:rsidRPr="000A63A5">
        <w:t>(</w:t>
      </w:r>
      <w:r w:rsidR="000A63A5" w:rsidRPr="000A63A5">
        <w:t>5</w:t>
      </w:r>
      <w:r w:rsidRPr="00E6110F">
        <w:t>)</w:t>
      </w:r>
    </w:p>
    <w:p w14:paraId="0810AD13" w14:textId="2FC90AE4" w:rsidR="00765A0A" w:rsidRPr="00E6110F" w:rsidRDefault="00765A0A" w:rsidP="00765A0A">
      <w:pPr>
        <w:pStyle w:val="Body"/>
      </w:pPr>
      <w:proofErr w:type="gramStart"/>
      <w:r w:rsidRPr="00E6110F">
        <w:t>where</w:t>
      </w:r>
      <w:proofErr w:type="gramEnd"/>
      <w:r w:rsidRPr="00E6110F">
        <w:t xml:space="preserve"> </w:t>
      </w:r>
      <w:r w:rsidR="00C864D5">
        <w:rPr>
          <w:i/>
          <w:iCs/>
        </w:rPr>
        <w:t>t</w:t>
      </w:r>
      <w:r w:rsidR="00DB5AA6">
        <w:rPr>
          <w:i/>
          <w:iCs/>
          <w:vertAlign w:val="subscript"/>
        </w:rPr>
        <w:t>1/2</w:t>
      </w:r>
      <w:r w:rsidRPr="00E6110F">
        <w:rPr>
          <w:i/>
          <w:iCs/>
          <w:vertAlign w:val="subscript"/>
        </w:rPr>
        <w:t>,</w:t>
      </w:r>
      <w:r w:rsidRPr="00E6110F">
        <w:rPr>
          <w:vertAlign w:val="subscript"/>
        </w:rPr>
        <w:t>T1</w:t>
      </w:r>
      <w:r w:rsidRPr="00E6110F">
        <w:t xml:space="preserve"> and </w:t>
      </w:r>
      <w:r w:rsidR="00C864D5">
        <w:rPr>
          <w:i/>
          <w:iCs/>
        </w:rPr>
        <w:t>t</w:t>
      </w:r>
      <w:r w:rsidRPr="00E6110F">
        <w:rPr>
          <w:i/>
          <w:iCs/>
          <w:vertAlign w:val="subscript"/>
        </w:rPr>
        <w:t>5</w:t>
      </w:r>
      <w:r w:rsidR="00DB5AA6">
        <w:rPr>
          <w:i/>
          <w:iCs/>
          <w:vertAlign w:val="subscript"/>
        </w:rPr>
        <w:t>1/2</w:t>
      </w:r>
      <w:r w:rsidRPr="00E6110F">
        <w:rPr>
          <w:i/>
          <w:iCs/>
          <w:vertAlign w:val="subscript"/>
        </w:rPr>
        <w:t>,</w:t>
      </w:r>
      <w:r w:rsidRPr="00E6110F">
        <w:rPr>
          <w:vertAlign w:val="subscript"/>
        </w:rPr>
        <w:t>T2</w:t>
      </w:r>
      <w:r w:rsidRPr="00E6110F">
        <w:t xml:space="preserve"> are the half-lives at temperatures </w:t>
      </w:r>
      <w:r w:rsidRPr="00E6110F">
        <w:rPr>
          <w:i/>
          <w:iCs/>
        </w:rPr>
        <w:t>T</w:t>
      </w:r>
      <w:r w:rsidRPr="00E6110F">
        <w:rPr>
          <w:vertAlign w:val="subscript"/>
        </w:rPr>
        <w:t>1</w:t>
      </w:r>
      <w:r w:rsidRPr="00E6110F">
        <w:t xml:space="preserve"> and </w:t>
      </w:r>
      <w:r w:rsidRPr="00E6110F">
        <w:rPr>
          <w:i/>
          <w:iCs/>
        </w:rPr>
        <w:t>T</w:t>
      </w:r>
      <w:r w:rsidRPr="00E6110F">
        <w:rPr>
          <w:vertAlign w:val="subscript"/>
        </w:rPr>
        <w:t>2</w:t>
      </w:r>
      <w:r w:rsidRPr="00E6110F">
        <w:t xml:space="preserve">, respectively. </w:t>
      </w:r>
      <w:proofErr w:type="gramStart"/>
      <w:r w:rsidR="00C864D5">
        <w:rPr>
          <w:i/>
          <w:iCs/>
        </w:rPr>
        <w:t>t</w:t>
      </w:r>
      <w:r w:rsidR="00DB5AA6">
        <w:rPr>
          <w:i/>
          <w:iCs/>
          <w:vertAlign w:val="subscript"/>
        </w:rPr>
        <w:t>1/2</w:t>
      </w:r>
      <w:r w:rsidRPr="00E6110F">
        <w:rPr>
          <w:i/>
          <w:iCs/>
          <w:vertAlign w:val="subscript"/>
        </w:rPr>
        <w:t>,</w:t>
      </w:r>
      <w:proofErr w:type="gramEnd"/>
      <w:r w:rsidRPr="00E6110F">
        <w:rPr>
          <w:vertAlign w:val="subscript"/>
        </w:rPr>
        <w:t xml:space="preserve">T1 </w:t>
      </w:r>
      <w:r w:rsidRPr="00E6110F">
        <w:t>may also be written as:</w:t>
      </w:r>
    </w:p>
    <w:p w14:paraId="740426CF" w14:textId="45ECA20C" w:rsidR="00765A0A" w:rsidRPr="00E6110F" w:rsidRDefault="00765A0A" w:rsidP="00765A0A">
      <w:pPr>
        <w:pStyle w:val="Body"/>
        <w:tabs>
          <w:tab w:val="center" w:pos="4253"/>
          <w:tab w:val="right" w:pos="8789"/>
        </w:tabs>
        <w:rPr>
          <w:i/>
          <w:iCs/>
        </w:rPr>
      </w:pPr>
      <w:r w:rsidRPr="00E6110F">
        <w:tab/>
      </w:r>
      <m:oMath>
        <m:sSub>
          <m:sSubPr>
            <m:ctrlPr>
              <w:rPr>
                <w:rFonts w:ascii="Cambria Math" w:hAnsi="Cambria Math"/>
                <w:i/>
              </w:rPr>
            </m:ctrlPr>
          </m:sSubPr>
          <m:e>
            <m:r>
              <w:rPr>
                <w:rFonts w:ascii="Cambria Math" w:hAnsi="Cambria Math"/>
              </w:rPr>
              <m:t>t</m:t>
            </m:r>
          </m:e>
          <m:sub>
            <m:r>
              <w:rPr>
                <w:rFonts w:ascii="Cambria Math" w:hAnsi="Cambria Math"/>
              </w:rPr>
              <m:t>1/2,T1</m:t>
            </m:r>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1/2,T2</m:t>
            </m:r>
          </m:sub>
        </m:sSub>
        <m:r>
          <w:rPr>
            <w:rFonts w:ascii="Cambria Math" w:hAnsi="Cambria Math"/>
          </w:rPr>
          <m:t>exp</m:t>
        </m:r>
        <m:d>
          <m:dPr>
            <m:ctrlPr>
              <w:rPr>
                <w:rFonts w:ascii="Cambria Math" w:hAnsi="Cambria Math"/>
                <w:i/>
              </w:rPr>
            </m:ctrlPr>
          </m:dPr>
          <m:e>
            <m:r>
              <w:rPr>
                <w:rFonts w:ascii="Cambria Math" w:hAnsi="Cambria Math"/>
              </w:rPr>
              <m:t>ln</m:t>
            </m:r>
            <m:sSub>
              <m:sSubPr>
                <m:ctrlPr>
                  <w:rPr>
                    <w:rFonts w:ascii="Cambria Math" w:hAnsi="Cambria Math"/>
                    <w:i/>
                  </w:rPr>
                </m:ctrlPr>
              </m:sSubPr>
              <m:e>
                <m:r>
                  <w:rPr>
                    <w:rFonts w:ascii="Cambria Math" w:hAnsi="Cambria Math"/>
                  </w:rPr>
                  <m:t>Q</m:t>
                </m:r>
              </m:e>
              <m:sub>
                <m:r>
                  <w:rPr>
                    <w:rFonts w:ascii="Cambria Math" w:hAnsi="Cambria Math"/>
                  </w:rPr>
                  <m:t>10</m:t>
                </m:r>
              </m:sub>
            </m:sSub>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num>
                  <m:den>
                    <m:r>
                      <w:rPr>
                        <w:rFonts w:ascii="Cambria Math" w:hAnsi="Cambria Math"/>
                      </w:rPr>
                      <m:t>∆T</m:t>
                    </m:r>
                  </m:den>
                </m:f>
              </m:e>
            </m:d>
          </m:e>
        </m:d>
      </m:oMath>
      <w:r w:rsidR="000A63A5">
        <w:tab/>
        <w:t>(6</w:t>
      </w:r>
      <w:r w:rsidRPr="00E6110F">
        <w:t>)</w:t>
      </w:r>
    </w:p>
    <w:p w14:paraId="5E51B9C7" w14:textId="77777777" w:rsidR="00765A0A" w:rsidRPr="00E6110F" w:rsidRDefault="00765A0A" w:rsidP="00765A0A">
      <w:pPr>
        <w:pStyle w:val="Body"/>
      </w:pPr>
      <w:proofErr w:type="gramStart"/>
      <w:r w:rsidRPr="00E6110F">
        <w:t>where</w:t>
      </w:r>
      <w:proofErr w:type="gramEnd"/>
      <w:r w:rsidRPr="00E6110F">
        <w:t xml:space="preserve"> </w:t>
      </w:r>
      <w:r w:rsidRPr="00E6110F">
        <w:rPr>
          <w:i/>
          <w:iCs/>
        </w:rPr>
        <w:t>Q</w:t>
      </w:r>
      <w:r w:rsidRPr="00E6110F">
        <w:rPr>
          <w:vertAlign w:val="subscript"/>
        </w:rPr>
        <w:t>10</w:t>
      </w:r>
      <w:r w:rsidRPr="00E6110F">
        <w:t xml:space="preserve"> is defined as the ratio of pesticide degradation rate coefficients (</w:t>
      </w:r>
      <w:r w:rsidRPr="00E6110F">
        <w:rPr>
          <w:i/>
          <w:iCs/>
        </w:rPr>
        <w:t>k</w:t>
      </w:r>
      <w:r w:rsidRPr="00E6110F">
        <w:rPr>
          <w:vertAlign w:val="subscript"/>
        </w:rPr>
        <w:t>2</w:t>
      </w:r>
      <w:r w:rsidRPr="00E6110F">
        <w:t>/</w:t>
      </w:r>
      <w:r w:rsidRPr="00E6110F">
        <w:rPr>
          <w:i/>
          <w:iCs/>
        </w:rPr>
        <w:t>k</w:t>
      </w:r>
      <w:r w:rsidRPr="00E6110F">
        <w:rPr>
          <w:vertAlign w:val="subscript"/>
        </w:rPr>
        <w:t>1</w:t>
      </w:r>
      <w:r w:rsidRPr="00E6110F">
        <w:t xml:space="preserve">) at a temperature </w:t>
      </w:r>
      <w:r w:rsidRPr="00E6110F">
        <w:rPr>
          <w:i/>
        </w:rPr>
        <w:t>T</w:t>
      </w:r>
      <w:r w:rsidRPr="00E6110F">
        <w:rPr>
          <w:vertAlign w:val="subscript"/>
        </w:rPr>
        <w:t>1</w:t>
      </w:r>
      <w:r w:rsidRPr="00E6110F">
        <w:t xml:space="preserve"> that is 10°C lower than a temperature </w:t>
      </w:r>
      <w:r w:rsidRPr="00E6110F">
        <w:rPr>
          <w:i/>
          <w:iCs/>
        </w:rPr>
        <w:t>T</w:t>
      </w:r>
      <w:r w:rsidRPr="00E6110F">
        <w:rPr>
          <w:vertAlign w:val="subscript"/>
        </w:rPr>
        <w:t>2</w:t>
      </w:r>
      <w:r w:rsidRPr="00E6110F">
        <w:t xml:space="preserve">, i.e. where </w:t>
      </w:r>
      <w:r w:rsidRPr="00E6110F">
        <w:rPr>
          <w:rFonts w:eastAsia="SymbolMT"/>
        </w:rPr>
        <w:t>Δ</w:t>
      </w:r>
      <w:r w:rsidRPr="00E6110F">
        <w:rPr>
          <w:i/>
          <w:iCs/>
        </w:rPr>
        <w:t xml:space="preserve">T </w:t>
      </w:r>
      <w:r w:rsidRPr="00E6110F">
        <w:t>is equal to 10</w:t>
      </w:r>
      <w:r w:rsidRPr="00E6110F">
        <w:rPr>
          <w:vertAlign w:val="superscript"/>
        </w:rPr>
        <w:t>o</w:t>
      </w:r>
      <w:r w:rsidRPr="00E6110F">
        <w:t>C.</w:t>
      </w:r>
    </w:p>
    <w:p w14:paraId="0050EB54" w14:textId="72FDF15A" w:rsidR="00765A0A" w:rsidRPr="00E6110F" w:rsidRDefault="00765A0A" w:rsidP="00765A0A">
      <w:pPr>
        <w:pStyle w:val="Body"/>
      </w:pPr>
      <w:r w:rsidRPr="00E6110F">
        <w:t xml:space="preserve">Based on Equations </w:t>
      </w:r>
      <w:r w:rsidR="000A63A5">
        <w:t>(5)</w:t>
      </w:r>
      <w:r w:rsidRPr="00E6110F">
        <w:t xml:space="preserve"> and </w:t>
      </w:r>
      <w:r w:rsidR="000A63A5">
        <w:t>(6)</w:t>
      </w:r>
      <w:r w:rsidRPr="00E6110F">
        <w:t xml:space="preserve"> the following relationship can be derived between </w:t>
      </w:r>
      <w:r w:rsidRPr="00E6110F">
        <w:rPr>
          <w:i/>
          <w:iCs/>
        </w:rPr>
        <w:t>Q</w:t>
      </w:r>
      <w:r w:rsidRPr="00E6110F">
        <w:rPr>
          <w:vertAlign w:val="subscript"/>
        </w:rPr>
        <w:t>10</w:t>
      </w:r>
      <w:r w:rsidRPr="00E6110F">
        <w:t xml:space="preserve"> and </w:t>
      </w:r>
      <w:r w:rsidRPr="00E6110F">
        <w:rPr>
          <w:i/>
        </w:rPr>
        <w:t>E</w:t>
      </w:r>
      <w:r w:rsidRPr="00E6110F">
        <w:rPr>
          <w:i/>
          <w:vertAlign w:val="subscript"/>
        </w:rPr>
        <w:t>a</w:t>
      </w:r>
      <w:r w:rsidRPr="00E6110F">
        <w:t>:</w:t>
      </w:r>
    </w:p>
    <w:p w14:paraId="0351ABB4" w14:textId="7490D507" w:rsidR="00765A0A" w:rsidRPr="00E6110F" w:rsidRDefault="00765A0A" w:rsidP="00765A0A">
      <w:pPr>
        <w:tabs>
          <w:tab w:val="center" w:pos="4253"/>
          <w:tab w:val="right" w:pos="8789"/>
        </w:tabs>
        <w:autoSpaceDE w:val="0"/>
        <w:autoSpaceDN w:val="0"/>
        <w:adjustRightInd w:val="0"/>
        <w:spacing w:after="0"/>
        <w:rPr>
          <w:rFonts w:cs="Arial"/>
        </w:rPr>
      </w:pPr>
      <w:r w:rsidRPr="00E6110F">
        <w:rPr>
          <w:rFonts w:cs="Arial"/>
        </w:rPr>
        <w:tab/>
      </w:r>
      <m:oMath>
        <m:sSub>
          <m:sSubPr>
            <m:ctrlPr>
              <w:rPr>
                <w:rFonts w:ascii="Cambria Math" w:hAnsi="Cambria Math" w:cs="Arial"/>
                <w:i/>
                <w:sz w:val="18"/>
                <w:szCs w:val="18"/>
              </w:rPr>
            </m:ctrlPr>
          </m:sSubPr>
          <m:e>
            <m:r>
              <w:rPr>
                <w:rFonts w:ascii="Cambria Math" w:hAnsi="Cambria Math" w:cs="Arial"/>
                <w:sz w:val="18"/>
                <w:szCs w:val="18"/>
              </w:rPr>
              <m:t>Q</m:t>
            </m:r>
          </m:e>
          <m:sub>
            <m:r>
              <w:rPr>
                <w:rFonts w:ascii="Cambria Math" w:hAnsi="Cambria Math" w:cs="Arial"/>
                <w:sz w:val="18"/>
                <w:szCs w:val="18"/>
              </w:rPr>
              <m:t>10</m:t>
            </m:r>
          </m:sub>
        </m:sSub>
        <m:r>
          <w:rPr>
            <w:rFonts w:ascii="Cambria Math" w:hAnsi="Cambria Math" w:cs="Arial"/>
            <w:sz w:val="18"/>
            <w:szCs w:val="18"/>
          </w:rPr>
          <m:t>=exp</m:t>
        </m:r>
        <m:d>
          <m:dPr>
            <m:ctrlPr>
              <w:rPr>
                <w:rFonts w:ascii="Cambria Math" w:hAnsi="Cambria Math" w:cs="Arial"/>
                <w:i/>
                <w:sz w:val="18"/>
                <w:szCs w:val="18"/>
              </w:rPr>
            </m:ctrlPr>
          </m:dPr>
          <m:e>
            <m:f>
              <m:fPr>
                <m:ctrlPr>
                  <w:rPr>
                    <w:rFonts w:ascii="Cambria Math" w:hAnsi="Cambria Math" w:cs="Arial"/>
                    <w:i/>
                    <w:sz w:val="18"/>
                    <w:szCs w:val="18"/>
                  </w:rPr>
                </m:ctrlPr>
              </m:fPr>
              <m:num>
                <m:r>
                  <w:rPr>
                    <w:rFonts w:ascii="Cambria Math" w:hAnsi="Cambria Math" w:cs="Arial"/>
                    <w:sz w:val="18"/>
                    <w:szCs w:val="18"/>
                  </w:rPr>
                  <m:t>∆T</m:t>
                </m:r>
                <m:sSub>
                  <m:sSubPr>
                    <m:ctrlPr>
                      <w:rPr>
                        <w:rFonts w:ascii="Cambria Math" w:hAnsi="Cambria Math" w:cs="Arial"/>
                        <w:i/>
                        <w:sz w:val="18"/>
                        <w:szCs w:val="18"/>
                      </w:rPr>
                    </m:ctrlPr>
                  </m:sSubPr>
                  <m:e>
                    <m:r>
                      <w:rPr>
                        <w:rFonts w:ascii="Cambria Math" w:hAnsi="Cambria Math" w:cs="Arial"/>
                        <w:sz w:val="18"/>
                        <w:szCs w:val="18"/>
                      </w:rPr>
                      <m:t>E</m:t>
                    </m:r>
                  </m:e>
                  <m:sub>
                    <m:r>
                      <w:rPr>
                        <w:rFonts w:ascii="Cambria Math" w:hAnsi="Cambria Math" w:cs="Arial"/>
                        <w:sz w:val="18"/>
                        <w:szCs w:val="18"/>
                      </w:rPr>
                      <m:t>a</m:t>
                    </m:r>
                  </m:sub>
                </m:sSub>
              </m:num>
              <m:den>
                <m:r>
                  <w:rPr>
                    <w:rFonts w:ascii="Cambria Math" w:hAnsi="Cambria Math" w:cs="Arial"/>
                    <w:sz w:val="18"/>
                    <w:szCs w:val="18"/>
                  </w:rPr>
                  <m:t>R</m:t>
                </m:r>
                <m:sSub>
                  <m:sSubPr>
                    <m:ctrlPr>
                      <w:rPr>
                        <w:rFonts w:ascii="Cambria Math" w:hAnsi="Cambria Math" w:cs="Arial"/>
                        <w:i/>
                        <w:sz w:val="18"/>
                        <w:szCs w:val="18"/>
                      </w:rPr>
                    </m:ctrlPr>
                  </m:sSubPr>
                  <m:e>
                    <m:r>
                      <w:rPr>
                        <w:rFonts w:ascii="Cambria Math" w:hAnsi="Cambria Math" w:cs="Arial"/>
                        <w:sz w:val="18"/>
                        <w:szCs w:val="18"/>
                      </w:rPr>
                      <m:t>T</m:t>
                    </m:r>
                  </m:e>
                  <m:sub>
                    <m:r>
                      <w:rPr>
                        <w:rFonts w:ascii="Cambria Math" w:hAnsi="Cambria Math" w:cs="Arial"/>
                        <w:sz w:val="18"/>
                        <w:szCs w:val="18"/>
                      </w:rPr>
                      <m:t>1</m:t>
                    </m:r>
                  </m:sub>
                </m:sSub>
                <m:sSub>
                  <m:sSubPr>
                    <m:ctrlPr>
                      <w:rPr>
                        <w:rFonts w:ascii="Cambria Math" w:hAnsi="Cambria Math" w:cs="Arial"/>
                        <w:i/>
                        <w:sz w:val="18"/>
                        <w:szCs w:val="18"/>
                      </w:rPr>
                    </m:ctrlPr>
                  </m:sSubPr>
                  <m:e>
                    <m:r>
                      <w:rPr>
                        <w:rFonts w:ascii="Cambria Math" w:hAnsi="Cambria Math" w:cs="Arial"/>
                        <w:sz w:val="18"/>
                        <w:szCs w:val="18"/>
                      </w:rPr>
                      <m:t>T</m:t>
                    </m:r>
                  </m:e>
                  <m:sub>
                    <m:r>
                      <w:rPr>
                        <w:rFonts w:ascii="Cambria Math" w:hAnsi="Cambria Math" w:cs="Arial"/>
                        <w:sz w:val="18"/>
                        <w:szCs w:val="18"/>
                      </w:rPr>
                      <m:t>2</m:t>
                    </m:r>
                  </m:sub>
                </m:sSub>
              </m:den>
            </m:f>
          </m:e>
        </m:d>
      </m:oMath>
      <w:r w:rsidRPr="00E6110F">
        <w:rPr>
          <w:rFonts w:cs="Arial"/>
        </w:rPr>
        <w:tab/>
      </w:r>
      <w:r w:rsidRPr="00E6110F">
        <w:rPr>
          <w:rFonts w:ascii="Calibri" w:hAnsi="Calibri" w:cs="Calibri"/>
          <w:color w:val="000000"/>
          <w:sz w:val="18"/>
          <w:szCs w:val="18"/>
          <w:lang w:val="en-GB"/>
        </w:rPr>
        <w:t>(</w:t>
      </w:r>
      <w:r w:rsidR="000A63A5">
        <w:rPr>
          <w:rFonts w:ascii="Calibri" w:hAnsi="Calibri" w:cs="Calibri"/>
          <w:color w:val="000000"/>
          <w:sz w:val="18"/>
          <w:szCs w:val="18"/>
          <w:lang w:val="en-GB"/>
        </w:rPr>
        <w:t>7</w:t>
      </w:r>
      <w:r w:rsidRPr="00E6110F">
        <w:rPr>
          <w:rFonts w:ascii="Calibri" w:hAnsi="Calibri" w:cs="Calibri"/>
          <w:color w:val="000000"/>
          <w:sz w:val="18"/>
          <w:szCs w:val="18"/>
          <w:lang w:val="en-GB"/>
        </w:rPr>
        <w:t>)</w:t>
      </w:r>
    </w:p>
    <w:p w14:paraId="59CB1ACF" w14:textId="61CCC62E" w:rsidR="00765A0A" w:rsidRPr="00E6110F" w:rsidRDefault="00765A0A" w:rsidP="00765A0A">
      <w:pPr>
        <w:pStyle w:val="Body"/>
      </w:pPr>
      <w:r w:rsidRPr="00E6110F">
        <w:t xml:space="preserve">The Arrhenius relationship is based on ideal conditions. As the activation energy </w:t>
      </w:r>
      <w:r w:rsidRPr="00E6110F">
        <w:rPr>
          <w:i/>
        </w:rPr>
        <w:t>E</w:t>
      </w:r>
      <w:r w:rsidRPr="00E6110F">
        <w:rPr>
          <w:vertAlign w:val="subscript"/>
        </w:rPr>
        <w:t>a</w:t>
      </w:r>
      <w:r w:rsidRPr="00E6110F">
        <w:t xml:space="preserve"> of a particular compound varies, the </w:t>
      </w:r>
      <w:r w:rsidRPr="00E6110F">
        <w:rPr>
          <w:i/>
          <w:iCs/>
        </w:rPr>
        <w:t>Q</w:t>
      </w:r>
      <w:r w:rsidRPr="00E6110F">
        <w:rPr>
          <w:vertAlign w:val="subscript"/>
        </w:rPr>
        <w:t>10</w:t>
      </w:r>
      <w:r w:rsidRPr="00E6110F">
        <w:t xml:space="preserve"> will vary accordingly and also in different matrices (soil, water, sediment, etc.). Therefore, there is no universal value of </w:t>
      </w:r>
      <w:r w:rsidRPr="00E6110F">
        <w:rPr>
          <w:i/>
          <w:iCs/>
        </w:rPr>
        <w:t>Q</w:t>
      </w:r>
      <w:r w:rsidRPr="00E6110F">
        <w:rPr>
          <w:vertAlign w:val="subscript"/>
        </w:rPr>
        <w:t>10</w:t>
      </w:r>
      <w:r w:rsidRPr="00E6110F">
        <w:t xml:space="preserve"> for all compounds. However, the </w:t>
      </w:r>
      <w:r w:rsidRPr="00E6110F">
        <w:rPr>
          <w:i/>
        </w:rPr>
        <w:t>Q</w:t>
      </w:r>
      <w:r w:rsidRPr="00E6110F">
        <w:rPr>
          <w:vertAlign w:val="subscript"/>
        </w:rPr>
        <w:t>10</w:t>
      </w:r>
      <w:r w:rsidRPr="00E6110F">
        <w:t xml:space="preserve"> approach has commonly been used for predicting organic compounds behaviour in real environments. </w:t>
      </w:r>
      <w:r w:rsidR="005D58DC" w:rsidRPr="005D58DC">
        <w:t xml:space="preserve">The theory has been widely applied for certain organic compounds such as pesticides, where </w:t>
      </w:r>
      <w:r w:rsidR="005D58DC">
        <w:t xml:space="preserve">a </w:t>
      </w:r>
      <w:r w:rsidR="005D58DC" w:rsidRPr="005D58DC">
        <w:t>considerable body of literature exists on the effect of temperature on the rate of reaction to test the theory.</w:t>
      </w:r>
    </w:p>
    <w:p w14:paraId="5FD066C4" w14:textId="77777777" w:rsidR="00765A0A" w:rsidRPr="00E6110F" w:rsidRDefault="00765A0A" w:rsidP="00765A0A">
      <w:pPr>
        <w:pStyle w:val="Body"/>
      </w:pPr>
      <w:r w:rsidRPr="00E6110F">
        <w:t xml:space="preserve">In 2008, a European expert panel considered the compound specific </w:t>
      </w:r>
      <w:r w:rsidRPr="00E6110F">
        <w:rPr>
          <w:i/>
          <w:iCs/>
        </w:rPr>
        <w:t>E</w:t>
      </w:r>
      <w:r w:rsidRPr="00E6110F">
        <w:rPr>
          <w:vertAlign w:val="subscript"/>
        </w:rPr>
        <w:t>a</w:t>
      </w:r>
      <w:r w:rsidRPr="00E6110F">
        <w:t xml:space="preserve"> values of pesticides and based on actual measured data (99 dataset) for 53 pesticides suggested a </w:t>
      </w:r>
      <w:r w:rsidRPr="00E6110F">
        <w:rPr>
          <w:i/>
          <w:iCs/>
        </w:rPr>
        <w:t>Q</w:t>
      </w:r>
      <w:r w:rsidRPr="00E6110F">
        <w:rPr>
          <w:vertAlign w:val="subscript"/>
        </w:rPr>
        <w:t>10</w:t>
      </w:r>
      <w:r w:rsidRPr="00E6110F">
        <w:t xml:space="preserve"> value of 2.58 (EFSA 2008). This was essentially an update on a previous value of 2.2 that was used in modelling of pesticide fate in soil and groundwater since 1997. </w:t>
      </w:r>
    </w:p>
    <w:p w14:paraId="743F7B98" w14:textId="77777777" w:rsidR="00765A0A" w:rsidRPr="00E6110F" w:rsidRDefault="00765A0A" w:rsidP="00765A0A">
      <w:pPr>
        <w:pStyle w:val="Body"/>
      </w:pPr>
      <w:r w:rsidRPr="00E6110F">
        <w:t xml:space="preserve">For hydrocarbons a </w:t>
      </w:r>
      <w:r w:rsidRPr="00E6110F">
        <w:rPr>
          <w:i/>
          <w:iCs/>
        </w:rPr>
        <w:t>Q</w:t>
      </w:r>
      <w:r w:rsidRPr="00E6110F">
        <w:rPr>
          <w:vertAlign w:val="subscript"/>
        </w:rPr>
        <w:t>10</w:t>
      </w:r>
      <w:r w:rsidRPr="00E6110F">
        <w:t xml:space="preserve"> of 2.0 has been commonly used for degradation in groundwaters (van Stempvoort and Biggar 2008).  A more recent study (Bagi et al. 2013) based on 32 data sets on biodegradation of hydrocarbons in marine water suggested a large variation in </w:t>
      </w:r>
      <w:r w:rsidRPr="00E6110F">
        <w:rPr>
          <w:i/>
          <w:iCs/>
        </w:rPr>
        <w:t>Q</w:t>
      </w:r>
      <w:r w:rsidRPr="00E6110F">
        <w:rPr>
          <w:vertAlign w:val="subscript"/>
        </w:rPr>
        <w:t>10</w:t>
      </w:r>
      <w:r w:rsidRPr="00E6110F">
        <w:t xml:space="preserve"> values (1.1 to 16.2 with a mean of 2.8, with about half the cases falling below and the other half above 2.0). The same research group (Bagi et al. 2014), working on naphthalene degradation in Arctic and temperate seawaters at different temperatures (0-15</w:t>
      </w:r>
      <w:r w:rsidRPr="00E6110F">
        <w:rPr>
          <w:vertAlign w:val="superscript"/>
        </w:rPr>
        <w:t>o</w:t>
      </w:r>
      <w:r w:rsidRPr="00E6110F">
        <w:t xml:space="preserve">C), found that the naphthalene degradation showed similar </w:t>
      </w:r>
      <w:r w:rsidRPr="00E6110F">
        <w:rPr>
          <w:i/>
          <w:iCs/>
        </w:rPr>
        <w:t>Q</w:t>
      </w:r>
      <w:r w:rsidRPr="00E6110F">
        <w:rPr>
          <w:vertAlign w:val="subscript"/>
        </w:rPr>
        <w:t xml:space="preserve">10 </w:t>
      </w:r>
      <w:r w:rsidRPr="00E6110F">
        <w:t xml:space="preserve">ratios (3.3-3.5) in two different quality seawaters. The similarity in these values despite different microbial community compositions between two types of waters is possibly due to the narrow temperature range studied. They also noted that the temperature dependence of naphthalene was different to that of sodium-benzoate supporting the earlier observation about the compound-specific nature of </w:t>
      </w:r>
      <w:r w:rsidRPr="00E6110F">
        <w:rPr>
          <w:i/>
        </w:rPr>
        <w:t>E</w:t>
      </w:r>
      <w:r w:rsidRPr="00E6110F">
        <w:rPr>
          <w:i/>
          <w:vertAlign w:val="subscript"/>
        </w:rPr>
        <w:t>a</w:t>
      </w:r>
      <w:r w:rsidRPr="00E6110F">
        <w:t xml:space="preserve">. </w:t>
      </w:r>
    </w:p>
    <w:p w14:paraId="42757705" w14:textId="34B0E384" w:rsidR="00765A0A" w:rsidRPr="00E6110F" w:rsidRDefault="00765A0A" w:rsidP="00765A0A">
      <w:pPr>
        <w:pStyle w:val="Body"/>
      </w:pPr>
      <w:r w:rsidRPr="00E6110F">
        <w:t xml:space="preserve">The above discussion shows that a single value of </w:t>
      </w:r>
      <w:r w:rsidRPr="00E6110F">
        <w:rPr>
          <w:i/>
          <w:iCs/>
        </w:rPr>
        <w:t>Q</w:t>
      </w:r>
      <w:r w:rsidRPr="00E6110F">
        <w:rPr>
          <w:vertAlign w:val="subscript"/>
        </w:rPr>
        <w:t>10</w:t>
      </w:r>
      <w:r w:rsidRPr="00E6110F">
        <w:t xml:space="preserve"> for a range of organic compounds and extrapolation between different systems (soil versus water) is fraught with difficulties. Most of the studies in literature on </w:t>
      </w:r>
      <w:r w:rsidRPr="00E6110F">
        <w:rPr>
          <w:i/>
          <w:iCs/>
        </w:rPr>
        <w:t>Q</w:t>
      </w:r>
      <w:r w:rsidRPr="00E6110F">
        <w:rPr>
          <w:vertAlign w:val="subscript"/>
        </w:rPr>
        <w:t>10</w:t>
      </w:r>
      <w:r w:rsidRPr="00E6110F">
        <w:t xml:space="preserve"> have been generated to extrapolate data to colder climate (e.g. Arctic climate) rather than warmer conditions. The temperature gradient from the soil surface to deep ground waters is shown to range from 20 - 60</w:t>
      </w:r>
      <w:r w:rsidRPr="00E6110F">
        <w:rPr>
          <w:vertAlign w:val="superscript"/>
        </w:rPr>
        <w:t>o</w:t>
      </w:r>
      <w:r w:rsidRPr="00E6110F">
        <w:t>C (</w:t>
      </w:r>
      <w:r w:rsidR="00B2206C">
        <w:t>S</w:t>
      </w:r>
      <w:r w:rsidRPr="00E6110F">
        <w:t xml:space="preserve">ections </w:t>
      </w:r>
      <w:r w:rsidRPr="00E6110F">
        <w:fldChar w:fldCharType="begin" w:fldLock="1"/>
      </w:r>
      <w:r w:rsidRPr="00E6110F">
        <w:instrText xml:space="preserve"> REF _Ref446954676 \r \h </w:instrText>
      </w:r>
      <w:r>
        <w:instrText xml:space="preserve"> \* MERGEFORMAT </w:instrText>
      </w:r>
      <w:r w:rsidRPr="00E6110F">
        <w:fldChar w:fldCharType="separate"/>
      </w:r>
      <w:r w:rsidR="00335E79">
        <w:t>4.1.1.2</w:t>
      </w:r>
      <w:r w:rsidRPr="00E6110F">
        <w:fldChar w:fldCharType="end"/>
      </w:r>
      <w:r w:rsidRPr="00E6110F">
        <w:t xml:space="preserve"> and </w:t>
      </w:r>
      <w:r w:rsidRPr="00E6110F">
        <w:fldChar w:fldCharType="begin" w:fldLock="1"/>
      </w:r>
      <w:r w:rsidRPr="00E6110F">
        <w:instrText xml:space="preserve"> REF _Ref454208386 \r \h </w:instrText>
      </w:r>
      <w:r>
        <w:instrText xml:space="preserve"> \* MERGEFORMAT </w:instrText>
      </w:r>
      <w:r w:rsidRPr="00E6110F">
        <w:fldChar w:fldCharType="separate"/>
      </w:r>
      <w:r w:rsidR="00335E79">
        <w:t>4.1.2.2</w:t>
      </w:r>
      <w:r w:rsidRPr="00E6110F">
        <w:fldChar w:fldCharType="end"/>
      </w:r>
      <w:r w:rsidRPr="00E6110F">
        <w:t xml:space="preserve">), whereas some of the guidance in literature allow the use of </w:t>
      </w:r>
      <w:r w:rsidRPr="00E6110F">
        <w:rPr>
          <w:i/>
          <w:iCs/>
        </w:rPr>
        <w:t>Q</w:t>
      </w:r>
      <w:r w:rsidRPr="00E6110F">
        <w:rPr>
          <w:vertAlign w:val="subscript"/>
        </w:rPr>
        <w:t>10</w:t>
      </w:r>
      <w:r w:rsidRPr="00E6110F">
        <w:t xml:space="preserve"> to a maximum of 30</w:t>
      </w:r>
      <w:r w:rsidRPr="00E6110F">
        <w:rPr>
          <w:vertAlign w:val="superscript"/>
        </w:rPr>
        <w:t>o</w:t>
      </w:r>
      <w:r w:rsidRPr="00E6110F">
        <w:t xml:space="preserve">C, especially for biodegradation processes. </w:t>
      </w:r>
    </w:p>
    <w:p w14:paraId="2F63DDF3" w14:textId="77777777" w:rsidR="00765A0A" w:rsidRPr="00E6110F" w:rsidRDefault="00765A0A" w:rsidP="00765A0A">
      <w:pPr>
        <w:pStyle w:val="Body"/>
      </w:pPr>
      <w:r w:rsidRPr="00E6110F">
        <w:t>Given the complexity of the processes involved and the paucity of data on the effects of temperature on the degradation of a vast majority of compounds studied here, it was decided that the following approach be used for deep groundwater studies:</w:t>
      </w:r>
    </w:p>
    <w:p w14:paraId="254672AB" w14:textId="77777777" w:rsidR="00765A0A" w:rsidRPr="00E6110F" w:rsidRDefault="00765A0A" w:rsidP="00217A03">
      <w:pPr>
        <w:pStyle w:val="Body"/>
        <w:numPr>
          <w:ilvl w:val="0"/>
          <w:numId w:val="44"/>
        </w:numPr>
      </w:pPr>
      <w:r w:rsidRPr="00E6110F">
        <w:t xml:space="preserve">Use the </w:t>
      </w:r>
      <w:r w:rsidRPr="00E6110F">
        <w:rPr>
          <w:i/>
          <w:iCs/>
        </w:rPr>
        <w:t>Q</w:t>
      </w:r>
      <w:r w:rsidRPr="00E6110F">
        <w:rPr>
          <w:vertAlign w:val="subscript"/>
        </w:rPr>
        <w:t>10</w:t>
      </w:r>
      <w:r w:rsidRPr="00E6110F">
        <w:t xml:space="preserve"> values from water based systems (e.g. marine waters) rather than from surface soils.</w:t>
      </w:r>
    </w:p>
    <w:p w14:paraId="1AA9D73A" w14:textId="77777777" w:rsidR="00765A0A" w:rsidRPr="00E6110F" w:rsidRDefault="00765A0A" w:rsidP="00217A03">
      <w:pPr>
        <w:pStyle w:val="Body"/>
        <w:numPr>
          <w:ilvl w:val="0"/>
          <w:numId w:val="44"/>
        </w:numPr>
      </w:pPr>
      <w:r w:rsidRPr="00E6110F">
        <w:t xml:space="preserve">Use the </w:t>
      </w:r>
      <w:r w:rsidRPr="00E6110F">
        <w:rPr>
          <w:i/>
          <w:iCs/>
        </w:rPr>
        <w:t>Q</w:t>
      </w:r>
      <w:r w:rsidRPr="00E6110F">
        <w:rPr>
          <w:vertAlign w:val="subscript"/>
        </w:rPr>
        <w:t>10</w:t>
      </w:r>
      <w:r w:rsidRPr="00E6110F">
        <w:t xml:space="preserve"> default value of 2.0 commonly used in current models such as the oil spill contingency and response (OSCAR) model for marine water systems (Reed et al. 1994). </w:t>
      </w:r>
    </w:p>
    <w:p w14:paraId="00B27C07" w14:textId="01150E62" w:rsidR="00765A0A" w:rsidRPr="00E6110F" w:rsidRDefault="00765A0A" w:rsidP="00217A03">
      <w:pPr>
        <w:pStyle w:val="Body"/>
        <w:numPr>
          <w:ilvl w:val="0"/>
          <w:numId w:val="44"/>
        </w:numPr>
      </w:pPr>
      <w:r w:rsidRPr="00E6110F">
        <w:t>Only allow temperature adjustment of half-life to 30</w:t>
      </w:r>
      <w:r w:rsidRPr="00E6110F">
        <w:rPr>
          <w:vertAlign w:val="superscript"/>
        </w:rPr>
        <w:t>o</w:t>
      </w:r>
      <w:r w:rsidRPr="00E6110F">
        <w:t xml:space="preserve">C, beyond which it is assumed that rate of degradation does not increase proportionately to </w:t>
      </w:r>
      <w:r w:rsidRPr="00E6110F">
        <w:rPr>
          <w:i/>
          <w:iCs/>
        </w:rPr>
        <w:t>Q</w:t>
      </w:r>
      <w:r w:rsidRPr="00E6110F">
        <w:rPr>
          <w:vertAlign w:val="subscript"/>
        </w:rPr>
        <w:t>10</w:t>
      </w:r>
      <w:r w:rsidRPr="00E6110F">
        <w:t xml:space="preserve"> but is also not limited by temperature. This assumes no thermophilic community that is previously adapted to the chemical of interest and no detrimental impact of temperature on the microbial activity. </w:t>
      </w:r>
    </w:p>
    <w:p w14:paraId="5A4CD59C" w14:textId="77777777" w:rsidR="00765A0A" w:rsidRPr="00E6110F" w:rsidRDefault="00765A0A" w:rsidP="00765A0A">
      <w:pPr>
        <w:pStyle w:val="Body"/>
      </w:pPr>
      <w:r w:rsidRPr="00E6110F">
        <w:t>The above approach is likely to result in a conservative estimate of any increases in half-life at higher temperatures prevailing in deep ground waters. The higher the temperature increase, relative to the reference temperature, the greater the degree of conservatism.</w:t>
      </w:r>
    </w:p>
    <w:p w14:paraId="50AB9CEF" w14:textId="77777777" w:rsidR="00765A0A" w:rsidRDefault="00765A0A" w:rsidP="00765A0A">
      <w:pPr>
        <w:pStyle w:val="Body"/>
      </w:pPr>
      <w:r w:rsidRPr="00E6110F">
        <w:t>If the conservative estimate coupled with long travel times from the contaminant source to receptors allows sufficient attenuation of the compound than no further investigation is warranted.</w:t>
      </w:r>
    </w:p>
    <w:p w14:paraId="13C8B522" w14:textId="77777777" w:rsidR="0056316E" w:rsidRDefault="0056316E" w:rsidP="00765A0A">
      <w:pPr>
        <w:pStyle w:val="Body"/>
      </w:pPr>
    </w:p>
    <w:p w14:paraId="15D99645" w14:textId="77777777" w:rsidR="0056316E" w:rsidRPr="00E6110F" w:rsidRDefault="0056316E" w:rsidP="00765A0A">
      <w:pPr>
        <w:pStyle w:val="Body"/>
      </w:pPr>
    </w:p>
    <w:p w14:paraId="62B06B44" w14:textId="77777777" w:rsidR="00765A0A" w:rsidRPr="00E6110F" w:rsidRDefault="00765A0A" w:rsidP="00A63DFB">
      <w:pPr>
        <w:pStyle w:val="Heading3"/>
        <w:numPr>
          <w:ilvl w:val="3"/>
          <w:numId w:val="1"/>
        </w:numPr>
        <w:spacing w:line="240" w:lineRule="auto"/>
        <w:ind w:left="1723" w:hanging="646"/>
        <w:rPr>
          <w:rFonts w:asciiTheme="majorHAnsi" w:hAnsiTheme="majorHAnsi" w:cs="Arial"/>
          <w:b w:val="0"/>
        </w:rPr>
      </w:pPr>
      <w:bookmarkStart w:id="462" w:name="_Toc494444581"/>
      <w:r w:rsidRPr="00E6110F">
        <w:rPr>
          <w:rFonts w:asciiTheme="majorHAnsi" w:hAnsiTheme="majorHAnsi" w:cs="Arial"/>
          <w:b w:val="0"/>
        </w:rPr>
        <w:t>Effect of pH, temperature and pressure on sorption coefficients of organic compounds</w:t>
      </w:r>
      <w:bookmarkEnd w:id="462"/>
    </w:p>
    <w:p w14:paraId="251005DE" w14:textId="77777777" w:rsidR="00765A0A" w:rsidRPr="00E6110F" w:rsidRDefault="00765A0A" w:rsidP="00765A0A">
      <w:pPr>
        <w:pStyle w:val="Heading3"/>
        <w:numPr>
          <w:ilvl w:val="4"/>
          <w:numId w:val="1"/>
        </w:numPr>
        <w:rPr>
          <w:rFonts w:asciiTheme="majorHAnsi" w:hAnsiTheme="majorHAnsi" w:cs="Arial"/>
          <w:b w:val="0"/>
        </w:rPr>
      </w:pPr>
      <w:bookmarkStart w:id="463" w:name="_Toc494444582"/>
      <w:proofErr w:type="gramStart"/>
      <w:r w:rsidRPr="00E6110F">
        <w:rPr>
          <w:rFonts w:asciiTheme="majorHAnsi" w:hAnsiTheme="majorHAnsi" w:cs="Arial"/>
          <w:b w:val="0"/>
        </w:rPr>
        <w:t>pH</w:t>
      </w:r>
      <w:bookmarkEnd w:id="463"/>
      <w:proofErr w:type="gramEnd"/>
    </w:p>
    <w:p w14:paraId="72BDDA48" w14:textId="17885D7A" w:rsidR="00765A0A" w:rsidRPr="00E6110F" w:rsidRDefault="00765A0A" w:rsidP="00765A0A">
      <w:pPr>
        <w:pStyle w:val="Body"/>
      </w:pPr>
      <w:r w:rsidRPr="00E6110F">
        <w:t>Many organic compounds have varying degree of polarity and some are ionisable (e.g. phenols, amines) and therefore their sorption or partitioning behaviour between solid and solution phases are pH sensitive. The ionisation state of the chemical has a marked impact on its solubility, sorption, transport and bioavailability.  For example, an acidic compound on dissociation at a certain pH will produce an anion (negatively charged) which may have limited affinity to net negatively charged clay minerals or aquifer materials, whereas a basic compound in a cationic state (positively charged) is likely to be sorbed through cation exchange mechanism on such materials. In the neutral (undissociated) form</w:t>
      </w:r>
      <w:r w:rsidR="00B2206C">
        <w:t>,</w:t>
      </w:r>
      <w:r w:rsidRPr="00E6110F">
        <w:t xml:space="preserve"> an organic compound is likely to sorb or partition to organic matter through hydrophobic interactions and van der Waals forces. Therefore, a neutral form of an acidic compound and the protonated form (and thus positively charged) of a basic molecule are both most favourable to sorption onto aquifer materials. </w:t>
      </w:r>
    </w:p>
    <w:p w14:paraId="786BE4AE" w14:textId="77777777" w:rsidR="00765A0A" w:rsidRPr="00E6110F" w:rsidRDefault="00765A0A" w:rsidP="00765A0A">
      <w:pPr>
        <w:pStyle w:val="Body"/>
      </w:pPr>
      <w:r w:rsidRPr="00E6110F">
        <w:t>The ionisability of an organic compound is represented by its dissociation constant (</w:t>
      </w:r>
      <w:r w:rsidRPr="00A63DFB">
        <w:t>pKa</w:t>
      </w:r>
      <w:r w:rsidRPr="00E6110F">
        <w:t xml:space="preserve">), which determines its likely charge state (neutral or ionic) in the ambient environment being considered, i.e. deep groundwater in this study. At the pH equal to the specific </w:t>
      </w:r>
      <w:r w:rsidRPr="00A63DFB">
        <w:t>pKa</w:t>
      </w:r>
      <w:r w:rsidRPr="00B2206C">
        <w:t xml:space="preserve"> </w:t>
      </w:r>
      <w:r w:rsidRPr="00E6110F">
        <w:t xml:space="preserve">of a compound, 50% of the molecules are expected to be in the ionised form. As a thumb rule, a compound is responsive to the pH of the system approximately 2 pH units above and below its </w:t>
      </w:r>
      <w:r w:rsidRPr="00A63DFB">
        <w:t>pKa</w:t>
      </w:r>
      <w:r w:rsidRPr="00E6110F">
        <w:t xml:space="preserve"> value. For example, methyl-phenol being considered in the present study has a </w:t>
      </w:r>
      <w:r w:rsidRPr="00E6110F">
        <w:rPr>
          <w:i/>
        </w:rPr>
        <w:t>pKa</w:t>
      </w:r>
      <w:r w:rsidRPr="00E6110F">
        <w:t xml:space="preserve"> of 10.3, which means that in the deep groundwaters of the Gunnedah basin (with pH in the range of 7.6 to 8.0), only a very small fraction is expected to be in the anionic form that has little sorption affinity to aquifer material other than organic carbon. </w:t>
      </w:r>
    </w:p>
    <w:p w14:paraId="5E30D009" w14:textId="77777777" w:rsidR="00765A0A" w:rsidRDefault="00765A0A" w:rsidP="00765A0A">
      <w:pPr>
        <w:pStyle w:val="Body"/>
      </w:pPr>
      <w:r w:rsidRPr="00E6110F">
        <w:t xml:space="preserve">In this study the effect of pH on the sorption of the ionisable compound has been taken into consideration by choosing the values from the literature at the relevant pH or adjusting the </w:t>
      </w:r>
      <w:proofErr w:type="gramStart"/>
      <w:r w:rsidRPr="00DB5AA6">
        <w:rPr>
          <w:i/>
        </w:rPr>
        <w:t>K</w:t>
      </w:r>
      <w:r w:rsidRPr="00B2206C">
        <w:rPr>
          <w:vertAlign w:val="subscript"/>
        </w:rPr>
        <w:t>d</w:t>
      </w:r>
      <w:proofErr w:type="gramEnd"/>
      <w:r w:rsidRPr="00E6110F">
        <w:t xml:space="preserve"> based on their established pH relationship from literature, where available.</w:t>
      </w:r>
    </w:p>
    <w:p w14:paraId="07DBB8C4" w14:textId="5E834CEF" w:rsidR="005D58DC" w:rsidRPr="00E6110F" w:rsidRDefault="005D58DC" w:rsidP="00765A0A">
      <w:pPr>
        <w:pStyle w:val="Body"/>
      </w:pPr>
      <w:r w:rsidRPr="005D58DC">
        <w:t>The effect of pH perturbations associated with acidification pre-treatments of boreholes and pH modifiers in hydraulic fracturing fluids on the sorptio</w:t>
      </w:r>
      <w:r>
        <w:t xml:space="preserve">n of organic compounds (e.g. </w:t>
      </w:r>
      <w:r w:rsidRPr="005D58DC">
        <w:rPr>
          <w:i/>
        </w:rPr>
        <w:t>K</w:t>
      </w:r>
      <w:r w:rsidRPr="005D58DC">
        <w:rPr>
          <w:vertAlign w:val="subscript"/>
        </w:rPr>
        <w:t>OC</w:t>
      </w:r>
      <w:r w:rsidRPr="005D58DC">
        <w:t xml:space="preserve"> values) was not considered. These effects are likely to be short-lived as the introduced acidity will be neutralised by components of the </w:t>
      </w:r>
      <w:r>
        <w:t xml:space="preserve">coal, near-wellbore rock, and </w:t>
      </w:r>
      <w:r w:rsidRPr="005D58DC">
        <w:t xml:space="preserve">groundwater system </w:t>
      </w:r>
      <w:r>
        <w:t xml:space="preserve">(e.g. dissolution of carbonate </w:t>
      </w:r>
      <w:r w:rsidR="007023E5">
        <w:t>minerals and initiate fissures in the rock</w:t>
      </w:r>
      <w:r>
        <w:t xml:space="preserve">) </w:t>
      </w:r>
      <w:r w:rsidRPr="005D58DC">
        <w:t>and also attenuated by dilution.</w:t>
      </w:r>
    </w:p>
    <w:p w14:paraId="11A9C79B" w14:textId="77777777" w:rsidR="00765A0A" w:rsidRPr="00E6110F" w:rsidRDefault="00765A0A" w:rsidP="00765A0A">
      <w:pPr>
        <w:pStyle w:val="Heading3"/>
        <w:numPr>
          <w:ilvl w:val="4"/>
          <w:numId w:val="1"/>
        </w:numPr>
        <w:rPr>
          <w:rFonts w:asciiTheme="majorHAnsi" w:hAnsiTheme="majorHAnsi" w:cs="Arial"/>
          <w:b w:val="0"/>
        </w:rPr>
      </w:pPr>
      <w:bookmarkStart w:id="464" w:name="_Toc494444583"/>
      <w:r w:rsidRPr="00E6110F">
        <w:rPr>
          <w:rFonts w:asciiTheme="majorHAnsi" w:hAnsiTheme="majorHAnsi" w:cs="Arial"/>
          <w:b w:val="0"/>
        </w:rPr>
        <w:t>Temperature</w:t>
      </w:r>
      <w:bookmarkEnd w:id="464"/>
    </w:p>
    <w:p w14:paraId="395B5316" w14:textId="77777777" w:rsidR="00765A0A" w:rsidRPr="00E6110F" w:rsidRDefault="00765A0A" w:rsidP="00765A0A">
      <w:pPr>
        <w:pStyle w:val="Body"/>
      </w:pPr>
      <w:r w:rsidRPr="00E6110F">
        <w:t xml:space="preserve">Sorption of organic compounds to the solid phase (organic matter, clays, iron oxides etc.) is known to be temperature dependent and can be described by the Van’t Hoff equation: </w:t>
      </w:r>
    </w:p>
    <w:p w14:paraId="7F8F3B4B" w14:textId="77777777" w:rsidR="00765A0A" w:rsidRPr="00E6110F" w:rsidRDefault="00765A0A" w:rsidP="00765A0A">
      <w:pPr>
        <w:pStyle w:val="Body"/>
      </w:pPr>
    </w:p>
    <w:p w14:paraId="34E2B750" w14:textId="32F88131" w:rsidR="00765A0A" w:rsidRPr="00E6110F" w:rsidRDefault="00765A0A" w:rsidP="00765A0A">
      <w:pPr>
        <w:tabs>
          <w:tab w:val="center" w:pos="4253"/>
          <w:tab w:val="right" w:pos="8789"/>
        </w:tabs>
        <w:autoSpaceDE w:val="0"/>
        <w:autoSpaceDN w:val="0"/>
        <w:adjustRightInd w:val="0"/>
        <w:spacing w:after="0"/>
        <w:rPr>
          <w:rFonts w:cs="Arial"/>
          <w:sz w:val="18"/>
          <w:szCs w:val="18"/>
        </w:rPr>
      </w:pPr>
      <w:r w:rsidRPr="00E6110F">
        <w:rPr>
          <w:rFonts w:ascii="Calibri" w:hAnsi="Calibri" w:cs="Calibri"/>
        </w:rPr>
        <w:tab/>
      </w:r>
      <m:oMath>
        <m:r>
          <w:rPr>
            <w:rFonts w:ascii="Cambria Math" w:hAnsi="Cambria Math" w:cs="Arial"/>
            <w:sz w:val="18"/>
            <w:szCs w:val="18"/>
          </w:rPr>
          <m:t>ln</m:t>
        </m:r>
        <m:sSub>
          <m:sSubPr>
            <m:ctrlPr>
              <w:rPr>
                <w:rFonts w:ascii="Cambria Math" w:hAnsi="Cambria Math" w:cs="Arial"/>
                <w:i/>
                <w:sz w:val="18"/>
                <w:szCs w:val="18"/>
              </w:rPr>
            </m:ctrlPr>
          </m:sSubPr>
          <m:e>
            <m:r>
              <w:rPr>
                <w:rFonts w:ascii="Cambria Math" w:hAnsi="Cambria Math" w:cs="Arial"/>
                <w:sz w:val="18"/>
                <w:szCs w:val="18"/>
              </w:rPr>
              <m:t>K</m:t>
            </m:r>
          </m:e>
          <m:sub>
            <m:r>
              <w:rPr>
                <w:rFonts w:ascii="Cambria Math" w:hAnsi="Cambria Math" w:cs="Arial"/>
                <w:sz w:val="18"/>
                <w:szCs w:val="18"/>
              </w:rPr>
              <m:t>eq</m:t>
            </m:r>
          </m:sub>
        </m:sSub>
        <m:r>
          <w:rPr>
            <w:rFonts w:ascii="Cambria Math" w:hAnsi="Cambria Math" w:cs="Arial"/>
            <w:sz w:val="18"/>
            <w:szCs w:val="18"/>
          </w:rPr>
          <m:t>=-</m:t>
        </m:r>
        <m:f>
          <m:fPr>
            <m:ctrlPr>
              <w:rPr>
                <w:rFonts w:ascii="Cambria Math" w:hAnsi="Cambria Math" w:cs="Arial"/>
                <w:i/>
                <w:sz w:val="18"/>
                <w:szCs w:val="18"/>
              </w:rPr>
            </m:ctrlPr>
          </m:fPr>
          <m:num>
            <m:r>
              <w:rPr>
                <w:rFonts w:ascii="Cambria Math" w:hAnsi="Cambria Math" w:cs="Arial"/>
                <w:sz w:val="18"/>
                <w:szCs w:val="18"/>
              </w:rPr>
              <m:t>∆H</m:t>
            </m:r>
          </m:num>
          <m:den>
            <m:r>
              <w:rPr>
                <w:rFonts w:ascii="Cambria Math" w:hAnsi="Cambria Math" w:cs="Arial"/>
                <w:sz w:val="18"/>
                <w:szCs w:val="18"/>
              </w:rPr>
              <m:t>R</m:t>
            </m:r>
          </m:den>
        </m:f>
        <m:f>
          <m:fPr>
            <m:ctrlPr>
              <w:rPr>
                <w:rFonts w:ascii="Cambria Math" w:hAnsi="Cambria Math" w:cs="Arial"/>
                <w:i/>
                <w:sz w:val="18"/>
                <w:szCs w:val="18"/>
              </w:rPr>
            </m:ctrlPr>
          </m:fPr>
          <m:num>
            <m:r>
              <w:rPr>
                <w:rFonts w:ascii="Cambria Math" w:hAnsi="Cambria Math" w:cs="Arial"/>
                <w:sz w:val="18"/>
                <w:szCs w:val="18"/>
              </w:rPr>
              <m:t>1</m:t>
            </m:r>
          </m:num>
          <m:den>
            <m:r>
              <w:rPr>
                <w:rFonts w:ascii="Cambria Math" w:hAnsi="Cambria Math" w:cs="Arial"/>
                <w:sz w:val="18"/>
                <w:szCs w:val="18"/>
              </w:rPr>
              <m:t>T</m:t>
            </m:r>
          </m:den>
        </m:f>
        <m:r>
          <w:rPr>
            <w:rFonts w:ascii="Cambria Math" w:hAnsi="Cambria Math" w:cs="Arial"/>
            <w:sz w:val="18"/>
            <w:szCs w:val="18"/>
          </w:rPr>
          <m:t>+</m:t>
        </m:r>
        <m:f>
          <m:fPr>
            <m:ctrlPr>
              <w:rPr>
                <w:rFonts w:ascii="Cambria Math" w:hAnsi="Cambria Math" w:cs="Arial"/>
                <w:i/>
                <w:sz w:val="18"/>
                <w:szCs w:val="18"/>
              </w:rPr>
            </m:ctrlPr>
          </m:fPr>
          <m:num>
            <m:r>
              <w:rPr>
                <w:rFonts w:ascii="Cambria Math" w:hAnsi="Cambria Math" w:cs="Arial"/>
                <w:sz w:val="18"/>
                <w:szCs w:val="18"/>
              </w:rPr>
              <m:t>∆S</m:t>
            </m:r>
          </m:num>
          <m:den>
            <m:r>
              <w:rPr>
                <w:rFonts w:ascii="Cambria Math" w:hAnsi="Cambria Math" w:cs="Arial"/>
                <w:sz w:val="18"/>
                <w:szCs w:val="18"/>
              </w:rPr>
              <m:t>TR</m:t>
            </m:r>
          </m:den>
        </m:f>
      </m:oMath>
      <w:r w:rsidRPr="00E6110F">
        <w:rPr>
          <w:rFonts w:cs="Arial"/>
        </w:rPr>
        <w:tab/>
      </w:r>
      <w:r w:rsidRPr="000A63A5">
        <w:rPr>
          <w:rStyle w:val="BodyChar"/>
        </w:rPr>
        <w:t>(</w:t>
      </w:r>
      <w:r w:rsidR="000A63A5" w:rsidRPr="000A63A5">
        <w:rPr>
          <w:rStyle w:val="BodyChar"/>
        </w:rPr>
        <w:t>8</w:t>
      </w:r>
      <w:r w:rsidRPr="000A63A5">
        <w:rPr>
          <w:rStyle w:val="BodyChar"/>
        </w:rPr>
        <w:t>)</w:t>
      </w:r>
    </w:p>
    <w:p w14:paraId="13CDD451" w14:textId="2111BFD6" w:rsidR="00765A0A" w:rsidRPr="00E6110F" w:rsidRDefault="00765A0A" w:rsidP="00765A0A">
      <w:pPr>
        <w:pStyle w:val="Body"/>
      </w:pPr>
      <w:proofErr w:type="gramStart"/>
      <w:r w:rsidRPr="00E6110F">
        <w:t>where</w:t>
      </w:r>
      <w:proofErr w:type="gramEnd"/>
      <w:r w:rsidRPr="00E6110F">
        <w:t xml:space="preserve"> </w:t>
      </w:r>
      <w:r w:rsidRPr="00E6110F">
        <w:rPr>
          <w:i/>
        </w:rPr>
        <w:t>K</w:t>
      </w:r>
      <w:r w:rsidRPr="00E6110F">
        <w:rPr>
          <w:vertAlign w:val="subscript"/>
        </w:rPr>
        <w:t>eq</w:t>
      </w:r>
      <w:r w:rsidRPr="00E6110F">
        <w:t xml:space="preserve"> is </w:t>
      </w:r>
      <w:r w:rsidR="00B2206C">
        <w:t xml:space="preserve">the </w:t>
      </w:r>
      <w:r w:rsidRPr="00E6110F">
        <w:t xml:space="preserve">equilibrium partition coefficient at a given temperature (L/kg), ΔH is </w:t>
      </w:r>
      <w:r w:rsidR="00B2206C">
        <w:t xml:space="preserve">the </w:t>
      </w:r>
      <w:r w:rsidRPr="00E6110F">
        <w:t xml:space="preserve">change in enthalpy (KJ/mol), ΔS is </w:t>
      </w:r>
      <w:r w:rsidR="00B2206C">
        <w:t xml:space="preserve">the </w:t>
      </w:r>
      <w:r w:rsidRPr="00E6110F">
        <w:t xml:space="preserve">change in entropy (KJ/mol/K), </w:t>
      </w:r>
      <w:r w:rsidRPr="000A63A5">
        <w:rPr>
          <w:i/>
        </w:rPr>
        <w:t>T</w:t>
      </w:r>
      <w:r w:rsidRPr="00E6110F">
        <w:t xml:space="preserve"> is absolute temperature (</w:t>
      </w:r>
      <w:r w:rsidR="000A63A5">
        <w:t xml:space="preserve">degrees </w:t>
      </w:r>
      <w:r w:rsidRPr="00E6110F">
        <w:t>K</w:t>
      </w:r>
      <w:r w:rsidR="000A63A5">
        <w:t>elvin</w:t>
      </w:r>
      <w:r w:rsidRPr="00E6110F">
        <w:t xml:space="preserve">), </w:t>
      </w:r>
      <w:r w:rsidRPr="000A63A5">
        <w:rPr>
          <w:i/>
        </w:rPr>
        <w:t>R</w:t>
      </w:r>
      <w:r w:rsidRPr="00E6110F">
        <w:t xml:space="preserve"> is </w:t>
      </w:r>
      <w:r w:rsidR="00B2206C">
        <w:t xml:space="preserve">the </w:t>
      </w:r>
      <w:r w:rsidRPr="00E6110F">
        <w:t>universal gas constant (8.314 x 10</w:t>
      </w:r>
      <w:r w:rsidRPr="00E6110F">
        <w:rPr>
          <w:vertAlign w:val="superscript"/>
        </w:rPr>
        <w:t>-3</w:t>
      </w:r>
      <w:r w:rsidRPr="00E6110F">
        <w:t xml:space="preserve">  kJ/K/mol). </w:t>
      </w:r>
    </w:p>
    <w:p w14:paraId="5A56DF65" w14:textId="77777777" w:rsidR="00765A0A" w:rsidRPr="00E6110F" w:rsidRDefault="00765A0A" w:rsidP="00765A0A">
      <w:pPr>
        <w:pStyle w:val="Body"/>
      </w:pPr>
      <w:r w:rsidRPr="00E6110F">
        <w:t xml:space="preserve">The slope (ΔH/R) in the above equation is negative for an endothermic sorption and positive for an exothermic sorption and thus depends on the compound in question. </w:t>
      </w:r>
    </w:p>
    <w:p w14:paraId="51C519D4" w14:textId="1A917D43" w:rsidR="00765A0A" w:rsidRPr="00E6110F" w:rsidRDefault="00765A0A" w:rsidP="00765A0A">
      <w:pPr>
        <w:pStyle w:val="Body"/>
      </w:pPr>
      <w:r w:rsidRPr="00E6110F">
        <w:t xml:space="preserve">Sorption of </w:t>
      </w:r>
      <w:r w:rsidR="00DB5AA6">
        <w:t xml:space="preserve">particular </w:t>
      </w:r>
      <w:r w:rsidR="00B2206C">
        <w:t>PAHs</w:t>
      </w:r>
      <w:r w:rsidRPr="00E6110F">
        <w:t xml:space="preserve"> (naphthalene, phenanthrene and pyrene) on low organic carbon aquifer sediments has been found to be an exothermic process and as a result sorption was found to decrease with increasing temperatures, with changes in the order of 1.1 to 1.6 with an increase in temperature from 4 to 26</w:t>
      </w:r>
      <w:r w:rsidRPr="00E6110F">
        <w:rPr>
          <w:vertAlign w:val="superscript"/>
        </w:rPr>
        <w:t>o</w:t>
      </w:r>
      <w:r w:rsidRPr="00E6110F">
        <w:t>C (Piatt et al. 1996). Similarly, sorption of phenols on clays has been found to be exothermic (Snoyeink et al. 1969), but the temperature effect was noted to be relatively small in this case.</w:t>
      </w:r>
    </w:p>
    <w:p w14:paraId="117CC8B0" w14:textId="7B39CE00" w:rsidR="00765A0A" w:rsidRPr="00E6110F" w:rsidRDefault="00765A0A" w:rsidP="00765A0A">
      <w:pPr>
        <w:pStyle w:val="Body"/>
      </w:pPr>
      <w:r w:rsidRPr="00E6110F">
        <w:t>Most studies in the literature have been carried out at temperatures that do not cover the temperature range in deep groundwaters at our study sites (20-60</w:t>
      </w:r>
      <w:r w:rsidRPr="00E6110F">
        <w:rPr>
          <w:vertAlign w:val="superscript"/>
        </w:rPr>
        <w:t>o</w:t>
      </w:r>
      <w:r w:rsidRPr="00E6110F">
        <w:t>C). However, in a study on transport of hydrocarbons (naphthalene, toluene, perchloroethylene) through soil columns packed with silty gravel till aquifer material at 20, 50 and 90</w:t>
      </w:r>
      <w:r w:rsidRPr="00E6110F">
        <w:rPr>
          <w:vertAlign w:val="superscript"/>
        </w:rPr>
        <w:t>o</w:t>
      </w:r>
      <w:r w:rsidRPr="00E6110F">
        <w:t xml:space="preserve">C, Steep and McLure (2001) observed that retardation factors (by implication sorption) of naphthalene and perchloroethylene decreased by half when the temperature was raised from 22-25  to 90 </w:t>
      </w:r>
      <w:r w:rsidRPr="00E6110F">
        <w:rPr>
          <w:vertAlign w:val="superscript"/>
        </w:rPr>
        <w:t>o</w:t>
      </w:r>
      <w:r w:rsidRPr="00E6110F">
        <w:t xml:space="preserve">C. They noted the temperature effect increased with increasing molecular weight and decreasing solubility of the compound.  This indicates that the temperature effect is likely to have a greater impact on more hydrophobic compounds (e.g. PAHs) than the polar compounds (e.g. phenols) considered in the present study. </w:t>
      </w:r>
    </w:p>
    <w:p w14:paraId="7B2BC646" w14:textId="7769EB78" w:rsidR="00765A0A" w:rsidRPr="00E6110F" w:rsidRDefault="00765A0A" w:rsidP="00765A0A">
      <w:pPr>
        <w:pStyle w:val="Body"/>
      </w:pPr>
      <w:r w:rsidRPr="00E6110F">
        <w:t xml:space="preserve">Based on the above arguments it was decided here that the temperature adjustment is only likely </w:t>
      </w:r>
      <w:r w:rsidR="00B2206C">
        <w:t>to be of</w:t>
      </w:r>
      <w:r w:rsidRPr="00E6110F">
        <w:t xml:space="preserve"> any significant consequence on the compounds that have log </w:t>
      </w:r>
      <w:r w:rsidRPr="00DB5AA6">
        <w:rPr>
          <w:i/>
        </w:rPr>
        <w:t>K</w:t>
      </w:r>
      <w:r w:rsidRPr="00B2206C">
        <w:rPr>
          <w:vertAlign w:val="subscript"/>
        </w:rPr>
        <w:t>ow</w:t>
      </w:r>
      <w:r w:rsidRPr="00E6110F">
        <w:t xml:space="preserve"> &gt; 3.0 (e.g. naphthalene). Considering the relevance of Steep and McLure (2001) to the current study, a 10% reduction in sorption was assumed with every 10</w:t>
      </w:r>
      <w:r w:rsidRPr="00E6110F">
        <w:rPr>
          <w:vertAlign w:val="superscript"/>
        </w:rPr>
        <w:t>o</w:t>
      </w:r>
      <w:r w:rsidRPr="00E6110F">
        <w:t>C increase in temperature (above 20</w:t>
      </w:r>
      <w:r w:rsidRPr="00E6110F">
        <w:rPr>
          <w:vertAlign w:val="superscript"/>
        </w:rPr>
        <w:t>o</w:t>
      </w:r>
      <w:r w:rsidRPr="00E6110F">
        <w:t xml:space="preserve">C) in the geological model layers being considered, as a conservative estimate. </w:t>
      </w:r>
    </w:p>
    <w:p w14:paraId="5962706D" w14:textId="77777777" w:rsidR="00765A0A" w:rsidRPr="00E6110F" w:rsidRDefault="00765A0A" w:rsidP="00765A0A">
      <w:pPr>
        <w:pStyle w:val="Heading3"/>
        <w:numPr>
          <w:ilvl w:val="4"/>
          <w:numId w:val="1"/>
        </w:numPr>
        <w:rPr>
          <w:rFonts w:asciiTheme="majorHAnsi" w:hAnsiTheme="majorHAnsi" w:cs="Arial"/>
          <w:b w:val="0"/>
        </w:rPr>
      </w:pPr>
      <w:bookmarkStart w:id="465" w:name="_Toc494444584"/>
      <w:r w:rsidRPr="00E6110F">
        <w:rPr>
          <w:rFonts w:asciiTheme="majorHAnsi" w:hAnsiTheme="majorHAnsi" w:cs="Arial"/>
          <w:b w:val="0"/>
        </w:rPr>
        <w:t>Pressure</w:t>
      </w:r>
      <w:bookmarkEnd w:id="465"/>
    </w:p>
    <w:p w14:paraId="307FEF53" w14:textId="77777777" w:rsidR="00765A0A" w:rsidRPr="00E6110F" w:rsidRDefault="00765A0A" w:rsidP="00765A0A">
      <w:pPr>
        <w:pStyle w:val="Body"/>
      </w:pPr>
      <w:r w:rsidRPr="00E6110F">
        <w:t xml:space="preserve">Generally pressure has little effect on solubility of most liquids. However, for volatile compounds the effect of pressure on the solubility and sorption of compounds is determined by the impact on its vapour pressure. For example, effect of pressure on the solubility of a volatile hydrocarbon (e.g. benzene) in a liquid will be determined by the impact on its partial pressure according to Henry’s Law. Henry’s Law, in simple terms, states that a given temperature the solubility of a gas in liquid is determined by its partial pressure. </w:t>
      </w:r>
    </w:p>
    <w:p w14:paraId="370D01F1" w14:textId="55F5B146" w:rsidR="00765A0A" w:rsidRDefault="00765A0A" w:rsidP="00765A0A">
      <w:pPr>
        <w:pStyle w:val="Body"/>
      </w:pPr>
      <w:r>
        <w:t>Literature on the effect of pressure (at constant temperature) on the solubility of hydrocarbons, such as benzene and alkylbenzenes, in water have been found to increase with pressure and show a maxima in the range of 140-200 MPa (Sawamura et al. 1989). An increase was noted in the relative solubility of benzene and ethylbenzene from 1.0 to 1.035 and 1.037, respectively, with an increase in pressure from 0.1 to 25 MP</w:t>
      </w:r>
      <w:r w:rsidR="00B2206C">
        <w:t>a</w:t>
      </w:r>
      <w:r>
        <w:t>. The combined effect of temperature and pressure on solubilities of toluene showed that its relative solubility increased from 1.09 at 0.1 MPa and 298.2</w:t>
      </w:r>
      <w:r w:rsidR="00360F35" w:rsidRPr="00A63DFB">
        <w:rPr>
          <w:vertAlign w:val="superscript"/>
        </w:rPr>
        <w:t>o</w:t>
      </w:r>
      <w:r>
        <w:t>K to 1.23 at 25 MPa and 313.2</w:t>
      </w:r>
      <w:r w:rsidR="00360F35" w:rsidRPr="00A63DFB">
        <w:rPr>
          <w:vertAlign w:val="superscript"/>
        </w:rPr>
        <w:t>o</w:t>
      </w:r>
      <w:r>
        <w:t>K, indicating that temperature had a relatively greater effect than pressure on solubility (Sawamura et al. 2001).</w:t>
      </w:r>
    </w:p>
    <w:p w14:paraId="09105CA3" w14:textId="77777777" w:rsidR="00765A0A" w:rsidRPr="006E3C09" w:rsidRDefault="00765A0A" w:rsidP="00765A0A">
      <w:pPr>
        <w:pStyle w:val="Body"/>
      </w:pPr>
      <w:r>
        <w:t xml:space="preserve">Based on the above, the effect of pressure on solubility enhancement for such compounds is expected to be small in the pressure gradient expected in the deep groundwater studied here (maximum 13 MPa). Furthermore, the relationship between pressure and solubility of compounds is likely to be influenced by the presence of salts and other chemicals such as surfactants in water (e.g. Jaoui et al. 2002). </w:t>
      </w:r>
      <w:r w:rsidRPr="006E3C09">
        <w:t>The pressure impact during hydraulic fracking process is likely to be transitory in nature</w:t>
      </w:r>
      <w:r>
        <w:t>, considering the long travel times through the geological formations</w:t>
      </w:r>
      <w:r w:rsidRPr="006E3C09">
        <w:t xml:space="preserve">.  Therefore the effect of pressure on the set of organic compounds considered in the current study were deemed to be of relatively minor </w:t>
      </w:r>
      <w:r>
        <w:t>importance</w:t>
      </w:r>
      <w:r w:rsidRPr="006E3C09">
        <w:t xml:space="preserve"> compared to the uncertainty of the sorption parameters that are extrapolated from other systems.</w:t>
      </w:r>
    </w:p>
    <w:p w14:paraId="53BE83C6" w14:textId="77777777" w:rsidR="00765A0A" w:rsidRPr="00E6110F" w:rsidRDefault="00765A0A" w:rsidP="00765A0A">
      <w:pPr>
        <w:pStyle w:val="Body"/>
      </w:pPr>
    </w:p>
    <w:p w14:paraId="4ED2235D" w14:textId="77777777" w:rsidR="00765A0A" w:rsidRPr="00E6110F" w:rsidRDefault="00765A0A" w:rsidP="00A63DFB">
      <w:pPr>
        <w:pStyle w:val="Heading3"/>
        <w:numPr>
          <w:ilvl w:val="3"/>
          <w:numId w:val="1"/>
        </w:numPr>
        <w:spacing w:line="240" w:lineRule="auto"/>
        <w:ind w:left="1723" w:hanging="646"/>
        <w:rPr>
          <w:rFonts w:asciiTheme="majorHAnsi" w:hAnsiTheme="majorHAnsi" w:cs="Arial"/>
          <w:b w:val="0"/>
        </w:rPr>
      </w:pPr>
      <w:bookmarkStart w:id="466" w:name="_Toc494444585"/>
      <w:r w:rsidRPr="00E6110F">
        <w:rPr>
          <w:rFonts w:asciiTheme="majorHAnsi" w:hAnsiTheme="majorHAnsi" w:cs="Arial"/>
          <w:b w:val="0"/>
        </w:rPr>
        <w:t>Effect of pH, temperature and pressure on sorption coefficients for inorganic chemicals</w:t>
      </w:r>
      <w:bookmarkEnd w:id="466"/>
    </w:p>
    <w:p w14:paraId="6EA377DB" w14:textId="77777777" w:rsidR="00765A0A" w:rsidRPr="00E6110F" w:rsidRDefault="00765A0A" w:rsidP="00765A0A">
      <w:pPr>
        <w:pStyle w:val="Heading3"/>
        <w:numPr>
          <w:ilvl w:val="4"/>
          <w:numId w:val="1"/>
        </w:numPr>
        <w:rPr>
          <w:rFonts w:asciiTheme="majorHAnsi" w:hAnsiTheme="majorHAnsi" w:cs="Arial"/>
          <w:b w:val="0"/>
        </w:rPr>
      </w:pPr>
      <w:bookmarkStart w:id="467" w:name="_Toc494444586"/>
      <w:proofErr w:type="gramStart"/>
      <w:r w:rsidRPr="00E6110F">
        <w:rPr>
          <w:rFonts w:asciiTheme="majorHAnsi" w:hAnsiTheme="majorHAnsi" w:cs="Arial"/>
          <w:b w:val="0"/>
        </w:rPr>
        <w:t>pH</w:t>
      </w:r>
      <w:bookmarkEnd w:id="467"/>
      <w:proofErr w:type="gramEnd"/>
    </w:p>
    <w:p w14:paraId="1039FAEE" w14:textId="77777777" w:rsidR="00765A0A" w:rsidRDefault="00765A0A" w:rsidP="00765A0A">
      <w:pPr>
        <w:pStyle w:val="Body"/>
      </w:pPr>
      <w:r w:rsidRPr="00E6110F">
        <w:t>Changes in the pH of solutions may affect the extent of sorption processes by changing the aqueous speciation of chemicals in solution and by changing the surface charge of the mineral surfaces that possess ionisable functional groups (e.g. metal hydroxides). Surface ionisation is particularly important for adsorption reactions that are dominated by electrostatic interactions such as those involving alkali earth and alkali metals. The pH of zero charge (pZC) is an important parameter describing the ionisation properties of minerals in solution and the effects of pH (Stumm and Morgan 1996). In acidic solutions protons will also compete for binding sites.</w:t>
      </w:r>
    </w:p>
    <w:p w14:paraId="27D79409" w14:textId="18DE4881" w:rsidR="007023E5" w:rsidRPr="00E6110F" w:rsidRDefault="007023E5" w:rsidP="007023E5">
      <w:pPr>
        <w:pStyle w:val="Body"/>
      </w:pPr>
      <w:r>
        <w:t>Consistent with the approach for the organic chemicals, t</w:t>
      </w:r>
      <w:r w:rsidRPr="005D58DC">
        <w:t>he effect of pH perturbations associated with acidification pre-treatments of boreholes and pH modifiers in hydraulic fracturing fluids on the sorptio</w:t>
      </w:r>
      <w:r>
        <w:t>n of</w:t>
      </w:r>
      <w:r w:rsidR="008C1049">
        <w:t xml:space="preserve"> metals</w:t>
      </w:r>
      <w:r>
        <w:t xml:space="preserve"> </w:t>
      </w:r>
      <w:r w:rsidRPr="005D58DC">
        <w:t xml:space="preserve">was not considered. These effects are likely to be short-lived as the introduced acidity will be neutralised by components of the </w:t>
      </w:r>
      <w:r>
        <w:t xml:space="preserve">coal, near-wellbore rock, and </w:t>
      </w:r>
      <w:r w:rsidRPr="005D58DC">
        <w:t xml:space="preserve">groundwater system </w:t>
      </w:r>
      <w:r>
        <w:t xml:space="preserve">(e.g. dissolution of carbonate minerals and initiate fissures in the rock) </w:t>
      </w:r>
      <w:r w:rsidRPr="005D58DC">
        <w:t>and also attenuated by dilution.</w:t>
      </w:r>
    </w:p>
    <w:p w14:paraId="4D082FF7" w14:textId="7CA7834D" w:rsidR="0056316E" w:rsidRPr="00E6110F" w:rsidRDefault="0056316E" w:rsidP="0056316E">
      <w:pPr>
        <w:pStyle w:val="Body"/>
      </w:pPr>
      <w:r w:rsidRPr="00E6110F">
        <w:t xml:space="preserve">Examples of how pH affects the solution speciation of arsenic and uranium in solution are given in </w:t>
      </w:r>
      <w:r w:rsidRPr="00E6110F">
        <w:fldChar w:fldCharType="begin" w:fldLock="1"/>
      </w:r>
      <w:r w:rsidRPr="00E6110F">
        <w:instrText xml:space="preserve"> REF _Ref452648981 \h </w:instrText>
      </w:r>
      <w:r>
        <w:instrText xml:space="preserve"> \* MERGEFORMAT </w:instrText>
      </w:r>
      <w:r w:rsidRPr="00E6110F">
        <w:fldChar w:fldCharType="separate"/>
      </w:r>
      <w:r w:rsidR="00335E79" w:rsidRPr="00E6110F">
        <w:t xml:space="preserve">Figure </w:t>
      </w:r>
      <w:r w:rsidR="00335E79">
        <w:rPr>
          <w:noProof/>
        </w:rPr>
        <w:t>2</w:t>
      </w:r>
      <w:r w:rsidR="00335E79">
        <w:rPr>
          <w:noProof/>
        </w:rPr>
        <w:noBreakHyphen/>
        <w:t>14</w:t>
      </w:r>
      <w:r w:rsidRPr="00E6110F">
        <w:fldChar w:fldCharType="end"/>
      </w:r>
      <w:r w:rsidRPr="00E6110F">
        <w:t xml:space="preserve"> and </w:t>
      </w:r>
      <w:r w:rsidRPr="00E6110F">
        <w:fldChar w:fldCharType="begin" w:fldLock="1"/>
      </w:r>
      <w:r w:rsidRPr="00E6110F">
        <w:instrText xml:space="preserve"> REF _Ref452651588 \h </w:instrText>
      </w:r>
      <w:r>
        <w:instrText xml:space="preserve"> \* MERGEFORMAT </w:instrText>
      </w:r>
      <w:r w:rsidRPr="00E6110F">
        <w:fldChar w:fldCharType="separate"/>
      </w:r>
      <w:r w:rsidR="00335E79" w:rsidRPr="00E6110F">
        <w:t>Figure</w:t>
      </w:r>
      <w:r w:rsidR="00335E79" w:rsidRPr="00E6110F">
        <w:rPr>
          <w:noProof/>
        </w:rPr>
        <w:t xml:space="preserve"> </w:t>
      </w:r>
      <w:r w:rsidR="00335E79">
        <w:rPr>
          <w:noProof/>
        </w:rPr>
        <w:t>2</w:t>
      </w:r>
      <w:r w:rsidR="00335E79">
        <w:rPr>
          <w:noProof/>
        </w:rPr>
        <w:noBreakHyphen/>
        <w:t>15</w:t>
      </w:r>
      <w:r w:rsidRPr="00E6110F">
        <w:fldChar w:fldCharType="end"/>
      </w:r>
      <w:r w:rsidRPr="00E6110F">
        <w:t>, respectively. Similar speciation versus pH plots for most common trace metals are available in the scientific literature.</w:t>
      </w:r>
    </w:p>
    <w:p w14:paraId="0754AD0B" w14:textId="3FD5D7FB" w:rsidR="00765A0A" w:rsidRPr="00E6110F" w:rsidRDefault="00765A0A" w:rsidP="00765A0A">
      <w:pPr>
        <w:pStyle w:val="Body"/>
      </w:pPr>
      <w:r w:rsidRPr="00E6110F">
        <w:t>Understanding the effect of pH changes on inorganic adsorption reactions is complex and needs to be done on a case by case basis taking into account the physicochemical properties of the inorganic contaminant and the sorbing phases. There are</w:t>
      </w:r>
      <w:r w:rsidR="00360F35">
        <w:t>,</w:t>
      </w:r>
      <w:r w:rsidRPr="00E6110F">
        <w:t xml:space="preserve"> however</w:t>
      </w:r>
      <w:r w:rsidR="00360F35">
        <w:t>,</w:t>
      </w:r>
      <w:r w:rsidRPr="00E6110F">
        <w:t xml:space="preserve"> some generalities that can be drawn from previous research. For instance, it is well established that for many metals there is a minimum pH known as the ‘adsorption edge’ below which the extent of adsorption declines dramatically (Tessier 1992).  Typically, the adsorption edge lies in the pH range of 4 to 6 (Tessier 1992). In practice, the effects of pH will be minimal in the Gunnedah and Surat groundwater systems as monitoring data show that median pH for the various strata ranges from 7.6 to 8.0 for Gunnedah formations (</w:t>
      </w:r>
      <w:r w:rsidRPr="00E6110F">
        <w:fldChar w:fldCharType="begin" w:fldLock="1"/>
      </w:r>
      <w:r w:rsidRPr="00E6110F">
        <w:instrText xml:space="preserve"> REF _Ref452898998 \h </w:instrText>
      </w:r>
      <w:r>
        <w:instrText xml:space="preserve"> \* MERGEFORMAT </w:instrText>
      </w:r>
      <w:r w:rsidRPr="00E6110F">
        <w:fldChar w:fldCharType="separate"/>
      </w:r>
      <w:r w:rsidR="00335E79" w:rsidRPr="00E6110F">
        <w:t xml:space="preserve">Table </w:t>
      </w:r>
      <w:r w:rsidR="00335E79">
        <w:rPr>
          <w:noProof/>
        </w:rPr>
        <w:t>4</w:t>
      </w:r>
      <w:r w:rsidR="00335E79">
        <w:rPr>
          <w:noProof/>
        </w:rPr>
        <w:noBreakHyphen/>
        <w:t>1</w:t>
      </w:r>
      <w:r w:rsidRPr="00E6110F">
        <w:fldChar w:fldCharType="end"/>
      </w:r>
      <w:r w:rsidRPr="00E6110F">
        <w:t>) and from 7.3 to 8.8 for selected Surat formations (</w:t>
      </w:r>
      <w:r w:rsidR="003C18FF">
        <w:fldChar w:fldCharType="begin" w:fldLock="1"/>
      </w:r>
      <w:r w:rsidR="003C18FF">
        <w:instrText xml:space="preserve"> REF _Ref470869247 \h </w:instrText>
      </w:r>
      <w:r w:rsidR="003C18FF">
        <w:fldChar w:fldCharType="separate"/>
      </w:r>
      <w:r w:rsidR="00335E79" w:rsidRPr="00E6110F">
        <w:t xml:space="preserve">Table </w:t>
      </w:r>
      <w:r w:rsidR="00335E79">
        <w:rPr>
          <w:noProof/>
        </w:rPr>
        <w:t>4</w:t>
      </w:r>
      <w:r w:rsidR="00335E79">
        <w:noBreakHyphen/>
      </w:r>
      <w:r w:rsidR="00335E79">
        <w:rPr>
          <w:noProof/>
        </w:rPr>
        <w:t>2</w:t>
      </w:r>
      <w:r w:rsidR="003C18FF">
        <w:fldChar w:fldCharType="end"/>
      </w:r>
      <w:r w:rsidRPr="00E6110F">
        <w:t>).</w:t>
      </w:r>
    </w:p>
    <w:p w14:paraId="567F4547" w14:textId="77777777" w:rsidR="00765A0A" w:rsidRPr="00E6110F" w:rsidRDefault="00765A0A" w:rsidP="00A63DFB">
      <w:pPr>
        <w:pStyle w:val="Heading3"/>
        <w:numPr>
          <w:ilvl w:val="4"/>
          <w:numId w:val="1"/>
        </w:numPr>
        <w:spacing w:line="240" w:lineRule="auto"/>
        <w:ind w:left="2234" w:hanging="794"/>
        <w:rPr>
          <w:rFonts w:asciiTheme="majorHAnsi" w:hAnsiTheme="majorHAnsi" w:cs="Arial"/>
          <w:b w:val="0"/>
        </w:rPr>
      </w:pPr>
      <w:bookmarkStart w:id="468" w:name="_Toc494444587"/>
      <w:r w:rsidRPr="00E6110F">
        <w:rPr>
          <w:rFonts w:asciiTheme="majorHAnsi" w:hAnsiTheme="majorHAnsi" w:cs="Arial"/>
          <w:b w:val="0"/>
        </w:rPr>
        <w:t>Effect of pressure on sorption reactions involving inorganic chemicals</w:t>
      </w:r>
      <w:bookmarkEnd w:id="468"/>
    </w:p>
    <w:p w14:paraId="6B919D2A" w14:textId="77777777" w:rsidR="00765A0A" w:rsidRPr="00E6110F" w:rsidRDefault="00765A0A" w:rsidP="00765A0A">
      <w:pPr>
        <w:pStyle w:val="Body"/>
      </w:pPr>
      <w:r w:rsidRPr="00E6110F">
        <w:t>From a purely thermodynamic perspective, the fundamental equation describing the effect of pressure on chemical equilibria (Marquis and Matsumura 1978) is as follows:</w:t>
      </w:r>
    </w:p>
    <w:p w14:paraId="4C47556F" w14:textId="0B6F6C8C" w:rsidR="00765A0A" w:rsidRPr="00E6110F" w:rsidRDefault="00765A0A" w:rsidP="00765A0A">
      <w:pPr>
        <w:pStyle w:val="Body"/>
        <w:tabs>
          <w:tab w:val="center" w:pos="4253"/>
          <w:tab w:val="right" w:pos="8789"/>
        </w:tabs>
      </w:pPr>
      <w:r w:rsidRPr="00E6110F">
        <w:tab/>
      </w:r>
      <m:oMath>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r>
                      <w:rPr>
                        <w:rFonts w:ascii="Cambria Math" w:hAnsi="Cambria Math"/>
                      </w:rPr>
                      <m:t>∂ln</m:t>
                    </m:r>
                    <m:sSub>
                      <m:sSubPr>
                        <m:ctrlPr>
                          <w:rPr>
                            <w:rFonts w:ascii="Cambria Math" w:hAnsi="Cambria Math"/>
                            <w:i/>
                          </w:rPr>
                        </m:ctrlPr>
                      </m:sSubPr>
                      <m:e>
                        <m:r>
                          <w:rPr>
                            <w:rFonts w:ascii="Cambria Math" w:hAnsi="Cambria Math"/>
                          </w:rPr>
                          <m:t>K</m:t>
                        </m:r>
                      </m:e>
                      <m:sub>
                        <m:r>
                          <w:rPr>
                            <w:rFonts w:ascii="Cambria Math" w:hAnsi="Cambria Math"/>
                          </w:rPr>
                          <m:t>p</m:t>
                        </m:r>
                      </m:sub>
                    </m:sSub>
                  </m:num>
                  <m:den>
                    <m:r>
                      <w:rPr>
                        <w:rFonts w:ascii="Cambria Math" w:hAnsi="Cambria Math"/>
                      </w:rPr>
                      <m:t>∂P</m:t>
                    </m:r>
                  </m:den>
                </m:f>
              </m:e>
            </m:d>
          </m:e>
          <m:sub>
            <m:r>
              <w:rPr>
                <w:rFonts w:ascii="Cambria Math" w:hAnsi="Cambria Math"/>
              </w:rPr>
              <m:t>T</m:t>
            </m:r>
          </m:sub>
        </m:sSub>
        <m:r>
          <w:rPr>
            <w:rFonts w:ascii="Cambria Math" w:hAnsi="Cambria Math"/>
          </w:rPr>
          <m:t>=</m:t>
        </m:r>
        <m:f>
          <m:fPr>
            <m:type m:val="skw"/>
            <m:ctrlPr>
              <w:rPr>
                <w:rFonts w:ascii="Cambria Math" w:hAnsi="Cambria Math"/>
                <w:i/>
              </w:rPr>
            </m:ctrlPr>
          </m:fPr>
          <m:num>
            <m:r>
              <w:rPr>
                <w:rFonts w:ascii="Cambria Math" w:hAnsi="Cambria Math"/>
              </w:rPr>
              <m:t>-∆V</m:t>
            </m:r>
          </m:num>
          <m:den>
            <m:r>
              <w:rPr>
                <w:rFonts w:ascii="Cambria Math" w:hAnsi="Cambria Math"/>
              </w:rPr>
              <m:t>RT</m:t>
            </m:r>
          </m:den>
        </m:f>
      </m:oMath>
      <w:r w:rsidRPr="00E6110F">
        <w:tab/>
        <w:t>(</w:t>
      </w:r>
      <w:r w:rsidR="000A63A5">
        <w:t>9</w:t>
      </w:r>
      <w:r w:rsidRPr="00E6110F">
        <w:t>)</w:t>
      </w:r>
    </w:p>
    <w:p w14:paraId="67A562DB" w14:textId="41117D67" w:rsidR="00765A0A" w:rsidRPr="00E6110F" w:rsidRDefault="00765A0A" w:rsidP="00765A0A">
      <w:pPr>
        <w:pStyle w:val="Body"/>
      </w:pPr>
      <w:proofErr w:type="gramStart"/>
      <w:r w:rsidRPr="00E6110F">
        <w:t>where</w:t>
      </w:r>
      <w:proofErr w:type="gramEnd"/>
      <w:r w:rsidRPr="00E6110F">
        <w:t xml:space="preserve"> </w:t>
      </w:r>
      <w:r w:rsidRPr="00E6110F">
        <w:rPr>
          <w:i/>
        </w:rPr>
        <w:t>K</w:t>
      </w:r>
      <w:r w:rsidR="00267348" w:rsidRPr="00267348">
        <w:rPr>
          <w:vertAlign w:val="subscript"/>
        </w:rPr>
        <w:t>p</w:t>
      </w:r>
      <w:r w:rsidRPr="00E6110F">
        <w:t xml:space="preserve"> is the equilibrium constant (dimensionless), </w:t>
      </w:r>
      <w:r w:rsidRPr="00E6110F">
        <w:rPr>
          <w:i/>
        </w:rPr>
        <w:t>P</w:t>
      </w:r>
      <w:r w:rsidRPr="00E6110F">
        <w:t xml:space="preserve"> is the pressure (Pa), </w:t>
      </w:r>
      <w:r w:rsidRPr="00E6110F">
        <w:sym w:font="Symbol" w:char="F044"/>
      </w:r>
      <w:r w:rsidRPr="00E6110F">
        <w:t xml:space="preserve">V is the volume change of the reaction (mL), </w:t>
      </w:r>
      <w:r w:rsidRPr="00E6110F">
        <w:rPr>
          <w:i/>
        </w:rPr>
        <w:t>R</w:t>
      </w:r>
      <w:r w:rsidRPr="00E6110F">
        <w:t xml:space="preserve"> is the universal gas constant (8.314 x 10</w:t>
      </w:r>
      <w:r w:rsidRPr="00E6110F">
        <w:rPr>
          <w:vertAlign w:val="superscript"/>
        </w:rPr>
        <w:t>-3</w:t>
      </w:r>
      <w:r w:rsidRPr="00E6110F">
        <w:t xml:space="preserve">  kJ/K/mol) and </w:t>
      </w:r>
      <w:r w:rsidRPr="00E6110F">
        <w:rPr>
          <w:i/>
        </w:rPr>
        <w:t>T</w:t>
      </w:r>
      <w:r w:rsidRPr="00E6110F">
        <w:t xml:space="preserve"> is the temperature (</w:t>
      </w:r>
      <w:r w:rsidR="00360F35" w:rsidRPr="00A63DFB">
        <w:rPr>
          <w:vertAlign w:val="superscript"/>
        </w:rPr>
        <w:t>o</w:t>
      </w:r>
      <w:r w:rsidRPr="00E6110F">
        <w:t xml:space="preserve">K). </w:t>
      </w:r>
    </w:p>
    <w:p w14:paraId="4ECE5C1A" w14:textId="10D5D1BD" w:rsidR="00765A0A" w:rsidRPr="00E6110F" w:rsidRDefault="00765A0A" w:rsidP="00765A0A">
      <w:pPr>
        <w:pStyle w:val="Body"/>
      </w:pPr>
      <w:r w:rsidRPr="00E6110F">
        <w:t>T</w:t>
      </w:r>
      <w:r w:rsidR="000A63A5">
        <w:t>he negative sign in equation (9</w:t>
      </w:r>
      <w:r w:rsidRPr="00E6110F">
        <w:t xml:space="preserve">) means that if lnK for a given chemical equilibrium increases with increases in pressure then ΔV is negative. Most chemical reactions result in a volume change because the sum of the partial molar volumes of products is generally not equal to that of the reactants.  The volume change arises primarily from changes in the reacting species.  In addition there may be changes in the solvent or suspending medium that results in volume changes.  One of the most common examples is electrostriction of water in the vicinity of ions that results in contraction of the medium. The volume change </w:t>
      </w:r>
      <w:r w:rsidRPr="00E6110F">
        <w:sym w:font="Symbol" w:char="F044"/>
      </w:r>
      <w:r w:rsidRPr="00E6110F">
        <w:rPr>
          <w:i/>
        </w:rPr>
        <w:t>V</w:t>
      </w:r>
      <w:r w:rsidRPr="00E6110F">
        <w:t xml:space="preserve">, can be measured experimentally at controlled temperature and pressure.  Volume changes for simple, monomeric reactions are relatively small, less than 30 mL/mol (Marquis and Matsumura 1978).  </w:t>
      </w:r>
    </w:p>
    <w:p w14:paraId="5DB0248A" w14:textId="77777777" w:rsidR="00765A0A" w:rsidRPr="00E6110F" w:rsidRDefault="00765A0A" w:rsidP="00765A0A">
      <w:pPr>
        <w:pStyle w:val="Body"/>
      </w:pPr>
      <w:r w:rsidRPr="00E6110F">
        <w:t>The effect of pressure on the extent of adsorption reactions is not clear. Some information on the stability of various mineral phases is available from the oceanographic research literature because of the need to understand the effects of pressure in the deep oceans. Most biological reaction rates are greatly reduced at pressures &gt;300 atmospheres; many abiotic reactions, on the other hand, are accelerated.  In terms of inorganic reactions, high pressure will significantly affect proton equilibria and mineral dissolution.  For instance, the pH of seawater is 0.15 units lower at 4000 m depth than that at the ocean surface owing to pressure effects (Byrne and Laurie 1999).  Despite an extensive search of the scientific literature, no practical studies could be found where the effect of pressure on the sorption of inorganic chemicals onto solid surfaces has been studied over an appropriate pressure range that is relevant to this study. It was therefore not possible to draw any general conclusions from the available studies that are directly applicable to the Gunnedah and Surat Basin groundwater systems.</w:t>
      </w:r>
    </w:p>
    <w:p w14:paraId="4976ACD5" w14:textId="77777777" w:rsidR="00765A0A" w:rsidRPr="00E6110F" w:rsidRDefault="00765A0A" w:rsidP="00A63DFB">
      <w:pPr>
        <w:pStyle w:val="Heading3"/>
        <w:numPr>
          <w:ilvl w:val="4"/>
          <w:numId w:val="1"/>
        </w:numPr>
        <w:spacing w:line="240" w:lineRule="auto"/>
        <w:ind w:left="2234" w:hanging="794"/>
        <w:rPr>
          <w:rFonts w:asciiTheme="majorHAnsi" w:hAnsiTheme="majorHAnsi" w:cs="Arial"/>
          <w:b w:val="0"/>
        </w:rPr>
      </w:pPr>
      <w:bookmarkStart w:id="469" w:name="_Ref458344466"/>
      <w:bookmarkStart w:id="470" w:name="_Toc494444588"/>
      <w:r w:rsidRPr="00E6110F">
        <w:rPr>
          <w:rFonts w:asciiTheme="majorHAnsi" w:hAnsiTheme="majorHAnsi" w:cs="Arial"/>
          <w:b w:val="0"/>
        </w:rPr>
        <w:t>Effect of temperature on sorption reactions involving inorganic chemicals</w:t>
      </w:r>
      <w:bookmarkEnd w:id="469"/>
      <w:bookmarkEnd w:id="470"/>
    </w:p>
    <w:p w14:paraId="4809259C" w14:textId="6CB437C4" w:rsidR="00EE595F" w:rsidRPr="00E6110F" w:rsidRDefault="00765A0A" w:rsidP="00EE595F">
      <w:pPr>
        <w:pStyle w:val="Body"/>
      </w:pPr>
      <w:r w:rsidRPr="00E6110F">
        <w:t>In the Gunnedah Basin the geothermal gradient is quite significant and water temperature ranges from 25 - 30</w:t>
      </w:r>
      <w:r w:rsidRPr="00E6110F">
        <w:rPr>
          <w:vertAlign w:val="superscript"/>
        </w:rPr>
        <w:t>o</w:t>
      </w:r>
      <w:r w:rsidRPr="00E6110F">
        <w:t>C in surface strata to a maximum of 58</w:t>
      </w:r>
      <w:r w:rsidRPr="00E6110F">
        <w:rPr>
          <w:vertAlign w:val="superscript"/>
        </w:rPr>
        <w:t>o</w:t>
      </w:r>
      <w:r w:rsidRPr="00E6110F">
        <w:t xml:space="preserve">C at depths of 1200 m. </w:t>
      </w:r>
      <w:proofErr w:type="gramStart"/>
      <w:r w:rsidRPr="00E6110F">
        <w:t>Similar</w:t>
      </w:r>
      <w:proofErr w:type="gramEnd"/>
      <w:r w:rsidRPr="00E6110F">
        <w:t xml:space="preserve"> temperatures have been recorded in the Surat Basin, i.e. from 30</w:t>
      </w:r>
      <w:r w:rsidRPr="00E6110F">
        <w:rPr>
          <w:vertAlign w:val="superscript"/>
        </w:rPr>
        <w:t>o</w:t>
      </w:r>
      <w:r w:rsidRPr="00E6110F">
        <w:t>C at the surface to 50-50</w:t>
      </w:r>
      <w:r w:rsidRPr="00E6110F">
        <w:rPr>
          <w:vertAlign w:val="superscript"/>
        </w:rPr>
        <w:t xml:space="preserve"> o</w:t>
      </w:r>
      <w:r w:rsidRPr="00E6110F">
        <w:t xml:space="preserve">C at 1000 m depth. Temperature is therefore likely to exert an important effect on chemical reactions.  From a theoretical perspective, the effect of temperature on adsorption reactions will depend on the thermodynamics of the reactions involved. For elements where adsorption is an exothermic process, </w:t>
      </w:r>
      <w:proofErr w:type="gramStart"/>
      <w:r w:rsidRPr="00DB5AA6">
        <w:rPr>
          <w:i/>
        </w:rPr>
        <w:t>K</w:t>
      </w:r>
      <w:r w:rsidRPr="00360F35">
        <w:rPr>
          <w:vertAlign w:val="subscript"/>
        </w:rPr>
        <w:t>d</w:t>
      </w:r>
      <w:proofErr w:type="gramEnd"/>
      <w:r w:rsidRPr="00360F35">
        <w:t xml:space="preserve"> </w:t>
      </w:r>
      <w:r w:rsidRPr="00E6110F">
        <w:t xml:space="preserve">will decrease as temperature increases whereas for elements where adsorption is an endothermic process, </w:t>
      </w:r>
      <w:r w:rsidRPr="00DB5AA6">
        <w:rPr>
          <w:i/>
        </w:rPr>
        <w:t>K</w:t>
      </w:r>
      <w:r w:rsidRPr="00360F35">
        <w:rPr>
          <w:vertAlign w:val="subscript"/>
        </w:rPr>
        <w:t>d</w:t>
      </w:r>
      <w:r w:rsidRPr="00E6110F">
        <w:t xml:space="preserve"> will increase as temperature increases (Stumm and Morgan 1996).  Despite an extensive search of the scientific literature, very few practical studies could be found where the sorption of inorganics onto solid surfaces has been measured over an appropriate temperature range (e.g.  Ames et al. 1983). It was therefore not possible to draw any general conclusions from the available studies that are directly relevant to the Gunnedah and Surat Basin.</w:t>
      </w:r>
    </w:p>
    <w:p w14:paraId="5634C82C" w14:textId="3C99F66B" w:rsidR="00F83C37" w:rsidRPr="00E6110F" w:rsidRDefault="007B0BE4" w:rsidP="00937CCA">
      <w:pPr>
        <w:pStyle w:val="Heading3"/>
      </w:pPr>
      <w:bookmarkStart w:id="471" w:name="_Toc494444589"/>
      <w:r w:rsidRPr="00E6110F">
        <w:t xml:space="preserve">Integrating </w:t>
      </w:r>
      <w:r w:rsidR="005C6CBB" w:rsidRPr="00E6110F">
        <w:t>attenuation</w:t>
      </w:r>
      <w:r w:rsidRPr="00E6110F">
        <w:t xml:space="preserve"> parameters</w:t>
      </w:r>
      <w:r w:rsidR="00C169D9" w:rsidRPr="00E6110F">
        <w:t xml:space="preserve"> to calculate residual concentration</w:t>
      </w:r>
      <w:bookmarkEnd w:id="471"/>
    </w:p>
    <w:p w14:paraId="4435F364" w14:textId="4914AE22" w:rsidR="00A34E2A" w:rsidRPr="00E6110F" w:rsidRDefault="004E6DBC" w:rsidP="00665F4B">
      <w:pPr>
        <w:pStyle w:val="Body"/>
      </w:pPr>
      <w:r w:rsidRPr="00E6110F">
        <w:t xml:space="preserve">In order to </w:t>
      </w:r>
      <w:r w:rsidR="00F35B96" w:rsidRPr="00E6110F">
        <w:t>estimate</w:t>
      </w:r>
      <w:r w:rsidRPr="00E6110F">
        <w:t xml:space="preserve"> the residual </w:t>
      </w:r>
      <w:r w:rsidR="00782D2D" w:rsidRPr="00E6110F">
        <w:t xml:space="preserve">environmental </w:t>
      </w:r>
      <w:r w:rsidRPr="00E6110F">
        <w:t>concentration of a given chemical at a receptor location</w:t>
      </w:r>
      <w:r w:rsidR="00F35B96" w:rsidRPr="00E6110F">
        <w:t xml:space="preserve">, </w:t>
      </w:r>
      <w:r w:rsidR="00782D2D" w:rsidRPr="00E6110F">
        <w:t>attenuation due to transformation (chemical, biological, radioactive) and</w:t>
      </w:r>
      <w:r w:rsidR="00A83345" w:rsidRPr="00E6110F">
        <w:t xml:space="preserve"> sorption have been integrated in a single closed-from mathematical expression. </w:t>
      </w:r>
      <w:r w:rsidR="00A34E2A" w:rsidRPr="00E6110F">
        <w:t xml:space="preserve">A review of available analytical solutions was undertaken and the model best suited for the current study was selected (see Appendix </w:t>
      </w:r>
      <w:r w:rsidR="0064625A">
        <w:t>5</w:t>
      </w:r>
      <w:r w:rsidR="00A34E2A" w:rsidRPr="00E6110F">
        <w:t xml:space="preserve"> for a summary of the review). The requirements for this model are as follows:</w:t>
      </w:r>
    </w:p>
    <w:p w14:paraId="45A2AD33" w14:textId="6F108B3B" w:rsidR="00A34E2A" w:rsidRPr="00E6110F" w:rsidRDefault="00A34E2A" w:rsidP="00C117A3">
      <w:pPr>
        <w:pStyle w:val="Body"/>
        <w:numPr>
          <w:ilvl w:val="0"/>
          <w:numId w:val="17"/>
        </w:numPr>
      </w:pPr>
      <w:r w:rsidRPr="00E6110F">
        <w:t>Closed-form analytical expression allowing easy implementation in spreadsheets such as EXCEL</w:t>
      </w:r>
      <w:r w:rsidRPr="00E6110F">
        <w:rPr>
          <w:vertAlign w:val="superscript"/>
        </w:rPr>
        <w:t>TM</w:t>
      </w:r>
      <w:r w:rsidR="00DB5AA6">
        <w:t>.</w:t>
      </w:r>
    </w:p>
    <w:p w14:paraId="45737237" w14:textId="68BA5057" w:rsidR="00A34E2A" w:rsidRPr="00E6110F" w:rsidRDefault="00A34E2A" w:rsidP="00C117A3">
      <w:pPr>
        <w:pStyle w:val="Body"/>
        <w:numPr>
          <w:ilvl w:val="0"/>
          <w:numId w:val="17"/>
        </w:numPr>
      </w:pPr>
      <w:r w:rsidRPr="00E6110F">
        <w:t xml:space="preserve">Sequential </w:t>
      </w:r>
      <w:r w:rsidR="008C3417" w:rsidRPr="00E6110F">
        <w:t xml:space="preserve">coupled </w:t>
      </w:r>
      <w:r w:rsidRPr="00E6110F">
        <w:t xml:space="preserve">first-order transformation or decay allowing to link </w:t>
      </w:r>
      <w:r w:rsidR="008C3417" w:rsidRPr="00E6110F">
        <w:t xml:space="preserve">multi-species </w:t>
      </w:r>
      <w:r w:rsidRPr="00E6110F">
        <w:t>transformation productions</w:t>
      </w:r>
      <w:r w:rsidR="00DB5AA6">
        <w:t>.</w:t>
      </w:r>
    </w:p>
    <w:p w14:paraId="03E0EDB2" w14:textId="4EA907D3" w:rsidR="00A34E2A" w:rsidRPr="00E6110F" w:rsidRDefault="00A34E2A" w:rsidP="00C117A3">
      <w:pPr>
        <w:pStyle w:val="Body"/>
        <w:numPr>
          <w:ilvl w:val="0"/>
          <w:numId w:val="17"/>
        </w:numPr>
      </w:pPr>
      <w:r w:rsidRPr="00E6110F">
        <w:t>Linear equilibrium sorption</w:t>
      </w:r>
      <w:r w:rsidR="00804C86" w:rsidRPr="00E6110F">
        <w:t xml:space="preserve"> for each of the multiple species</w:t>
      </w:r>
      <w:r w:rsidR="00DB5AA6">
        <w:t>.</w:t>
      </w:r>
    </w:p>
    <w:p w14:paraId="3A768BF4" w14:textId="459E0AE9" w:rsidR="00A34E2A" w:rsidRPr="00E6110F" w:rsidRDefault="00A34E2A" w:rsidP="00C117A3">
      <w:pPr>
        <w:pStyle w:val="Body"/>
        <w:numPr>
          <w:ilvl w:val="0"/>
          <w:numId w:val="17"/>
        </w:numPr>
      </w:pPr>
      <w:r w:rsidRPr="00E6110F">
        <w:t>One-dimensi</w:t>
      </w:r>
      <w:r w:rsidR="008C3417" w:rsidRPr="00E6110F">
        <w:t>o</w:t>
      </w:r>
      <w:r w:rsidRPr="00E6110F">
        <w:t xml:space="preserve">nal </w:t>
      </w:r>
      <w:r w:rsidR="008C3417" w:rsidRPr="00E6110F">
        <w:t xml:space="preserve">advective transport </w:t>
      </w:r>
      <w:r w:rsidRPr="00E6110F">
        <w:t>with three-dimensional dispersion</w:t>
      </w:r>
      <w:r w:rsidR="00DB5AA6">
        <w:t>.</w:t>
      </w:r>
    </w:p>
    <w:p w14:paraId="23C3DDDE" w14:textId="5919BAF4" w:rsidR="005F6514" w:rsidRPr="00E6110F" w:rsidRDefault="00A34E2A" w:rsidP="00C117A3">
      <w:pPr>
        <w:pStyle w:val="Body"/>
        <w:numPr>
          <w:ilvl w:val="0"/>
          <w:numId w:val="17"/>
        </w:numPr>
      </w:pPr>
      <w:r w:rsidRPr="00E6110F">
        <w:t>Boundary condition for solute source representative of assumed geometry at aqui</w:t>
      </w:r>
      <w:r w:rsidR="005F6514" w:rsidRPr="00E6110F">
        <w:t>tard/aquifer interface (initial</w:t>
      </w:r>
      <w:r w:rsidRPr="00E6110F">
        <w:t xml:space="preserve"> value problem</w:t>
      </w:r>
      <w:r w:rsidR="005F6514" w:rsidRPr="00E6110F">
        <w:t xml:space="preserve"> - IVP</w:t>
      </w:r>
      <w:r w:rsidRPr="00E6110F">
        <w:t>)</w:t>
      </w:r>
      <w:r w:rsidR="005F6514" w:rsidRPr="00E6110F">
        <w:t>, and</w:t>
      </w:r>
    </w:p>
    <w:p w14:paraId="19BF61D2" w14:textId="4B2613DB" w:rsidR="00A34E2A" w:rsidRPr="00E6110F" w:rsidRDefault="005F6514" w:rsidP="00C117A3">
      <w:pPr>
        <w:pStyle w:val="Body"/>
        <w:numPr>
          <w:ilvl w:val="0"/>
          <w:numId w:val="17"/>
        </w:numPr>
      </w:pPr>
      <w:r w:rsidRPr="00E6110F">
        <w:t>Solutions exist in a rectangular coordinate system</w:t>
      </w:r>
      <w:r w:rsidR="00A34E2A" w:rsidRPr="00E6110F">
        <w:t xml:space="preserve">. </w:t>
      </w:r>
    </w:p>
    <w:p w14:paraId="658AA30C" w14:textId="0D1829D9" w:rsidR="00A83345" w:rsidRPr="00E6110F" w:rsidRDefault="00A83345" w:rsidP="00665F4B">
      <w:pPr>
        <w:pStyle w:val="Body"/>
      </w:pPr>
      <w:r w:rsidRPr="00E6110F">
        <w:t xml:space="preserve">The mathematical model </w:t>
      </w:r>
      <w:r w:rsidR="007E0ED0">
        <w:t>for calculation of the predicted</w:t>
      </w:r>
      <w:r w:rsidRPr="00E6110F">
        <w:t xml:space="preserve"> environmental concentration, C</w:t>
      </w:r>
      <w:r w:rsidR="00147A71" w:rsidRPr="00E6110F">
        <w:t xml:space="preserve"> (mg/L)</w:t>
      </w:r>
      <w:r w:rsidRPr="00E6110F">
        <w:t xml:space="preserve">, assumes first-order degradation or decay of the source concentration, </w:t>
      </w:r>
      <w:r w:rsidRPr="00E6110F">
        <w:rPr>
          <w:i/>
        </w:rPr>
        <w:t>C</w:t>
      </w:r>
      <w:r w:rsidRPr="00E6110F">
        <w:rPr>
          <w:vertAlign w:val="subscript"/>
        </w:rPr>
        <w:t>0</w:t>
      </w:r>
      <w:r w:rsidR="00147A71" w:rsidRPr="00E6110F">
        <w:t xml:space="preserve"> (mg/L),</w:t>
      </w:r>
      <w:r w:rsidRPr="00E6110F">
        <w:t xml:space="preserve"> based on the chemical’s half-life, </w:t>
      </w:r>
      <w:r w:rsidR="00360F35" w:rsidRPr="00DB5AA6">
        <w:rPr>
          <w:i/>
        </w:rPr>
        <w:t>t</w:t>
      </w:r>
      <w:r w:rsidR="00360F35" w:rsidRPr="00DB5AA6">
        <w:rPr>
          <w:vertAlign w:val="subscript"/>
        </w:rPr>
        <w:t>1</w:t>
      </w:r>
      <w:r w:rsidRPr="00E6110F">
        <w:rPr>
          <w:vertAlign w:val="subscript"/>
        </w:rPr>
        <w:t>/2</w:t>
      </w:r>
      <w:r w:rsidRPr="00E6110F">
        <w:t>, according to:</w:t>
      </w:r>
    </w:p>
    <w:p w14:paraId="4FAE6301" w14:textId="202EF8A6" w:rsidR="00A83345" w:rsidRPr="00E6110F" w:rsidRDefault="00A83345" w:rsidP="00A83345">
      <w:pPr>
        <w:pStyle w:val="Body"/>
        <w:tabs>
          <w:tab w:val="center" w:pos="4253"/>
          <w:tab w:val="right" w:pos="8789"/>
        </w:tabs>
      </w:pPr>
      <w:r w:rsidRPr="00E6110F">
        <w:tab/>
      </w:r>
      <m:oMath>
        <m:r>
          <w:rPr>
            <w:rFonts w:ascii="Cambria Math" w:hAnsi="Cambria Math"/>
          </w:rPr>
          <m:t>C=</m:t>
        </m:r>
        <m:sSub>
          <m:sSubPr>
            <m:ctrlPr>
              <w:rPr>
                <w:rFonts w:ascii="Cambria Math" w:hAnsi="Cambria Math"/>
                <w:i/>
              </w:rPr>
            </m:ctrlPr>
          </m:sSubPr>
          <m:e>
            <m:r>
              <w:rPr>
                <w:rFonts w:ascii="Cambria Math" w:hAnsi="Cambria Math"/>
              </w:rPr>
              <m:t>C</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-λt</m:t>
            </m:r>
          </m:sup>
        </m:sSup>
      </m:oMath>
      <w:r w:rsidRPr="00E6110F">
        <w:tab/>
        <w:t>(1</w:t>
      </w:r>
      <w:r w:rsidR="00A72415">
        <w:t>0</w:t>
      </w:r>
      <w:r w:rsidRPr="00E6110F">
        <w:t>)</w:t>
      </w:r>
    </w:p>
    <w:p w14:paraId="44F11FFE" w14:textId="7AD74E1A" w:rsidR="00665F4B" w:rsidRPr="00E6110F" w:rsidRDefault="00A83345" w:rsidP="00665F4B">
      <w:pPr>
        <w:pStyle w:val="Body"/>
      </w:pPr>
      <w:proofErr w:type="gramStart"/>
      <w:r w:rsidRPr="00E6110F">
        <w:t>where</w:t>
      </w:r>
      <w:proofErr w:type="gramEnd"/>
      <w:r w:rsidRPr="00E6110F">
        <w:t xml:space="preserve"> λ is first-order transformation or decay constant (day</w:t>
      </w:r>
      <w:r w:rsidRPr="00E6110F">
        <w:rPr>
          <w:vertAlign w:val="superscript"/>
        </w:rPr>
        <w:t>-1</w:t>
      </w:r>
      <w:r w:rsidRPr="00E6110F">
        <w:t>), and t is time (days).  The decay constant is defined as:</w:t>
      </w:r>
    </w:p>
    <w:p w14:paraId="19101A08" w14:textId="14DA12FD" w:rsidR="00A83345" w:rsidRPr="00E6110F" w:rsidRDefault="00147A71" w:rsidP="00147A71">
      <w:pPr>
        <w:pStyle w:val="Body"/>
        <w:tabs>
          <w:tab w:val="center" w:pos="4253"/>
          <w:tab w:val="right" w:pos="8789"/>
        </w:tabs>
      </w:pPr>
      <w:r w:rsidRPr="00E6110F">
        <w:tab/>
      </w:r>
      <m:oMath>
        <m:r>
          <w:rPr>
            <w:rFonts w:ascii="Cambria Math" w:hAnsi="Cambria Math"/>
          </w:rPr>
          <m:t xml:space="preserve">λ= </m:t>
        </m:r>
        <m:f>
          <m:fPr>
            <m:ctrlPr>
              <w:rPr>
                <w:rFonts w:ascii="Cambria Math" w:hAnsi="Cambria Math"/>
                <w:i/>
              </w:rPr>
            </m:ctrlPr>
          </m:fPr>
          <m:num>
            <m:r>
              <w:rPr>
                <w:rFonts w:ascii="Cambria Math" w:hAnsi="Cambria Math"/>
              </w:rPr>
              <m:t>ln2</m:t>
            </m:r>
          </m:num>
          <m:den>
            <m:sSub>
              <m:sSubPr>
                <m:ctrlPr>
                  <w:rPr>
                    <w:rFonts w:ascii="Cambria Math" w:hAnsi="Cambria Math"/>
                    <w:i/>
                  </w:rPr>
                </m:ctrlPr>
              </m:sSubPr>
              <m:e>
                <m:r>
                  <w:rPr>
                    <w:rFonts w:ascii="Cambria Math" w:hAnsi="Cambria Math"/>
                  </w:rPr>
                  <m:t>T</m:t>
                </m:r>
              </m:e>
              <m:sub>
                <m:r>
                  <w:rPr>
                    <w:rFonts w:ascii="Cambria Math" w:hAnsi="Cambria Math"/>
                  </w:rPr>
                  <m:t>1/2</m:t>
                </m:r>
              </m:sub>
            </m:sSub>
          </m:den>
        </m:f>
      </m:oMath>
      <w:r w:rsidR="00A72415">
        <w:t xml:space="preserve"> </w:t>
      </w:r>
      <w:r w:rsidR="00A72415">
        <w:tab/>
        <w:t>(11</w:t>
      </w:r>
      <w:r w:rsidRPr="00E6110F">
        <w:t>)</w:t>
      </w:r>
    </w:p>
    <w:p w14:paraId="77A967AF" w14:textId="630FB534" w:rsidR="00A83345" w:rsidRPr="00E6110F" w:rsidRDefault="00147A71" w:rsidP="00665F4B">
      <w:pPr>
        <w:pStyle w:val="Body"/>
      </w:pPr>
      <w:proofErr w:type="gramStart"/>
      <w:r w:rsidRPr="00E6110F">
        <w:t>where</w:t>
      </w:r>
      <w:proofErr w:type="gramEnd"/>
      <w:r w:rsidRPr="00E6110F">
        <w:t xml:space="preserve"> </w:t>
      </w:r>
      <w:r w:rsidR="00360F35">
        <w:rPr>
          <w:i/>
        </w:rPr>
        <w:t>t</w:t>
      </w:r>
      <w:r w:rsidR="00360F35" w:rsidRPr="00E6110F">
        <w:rPr>
          <w:vertAlign w:val="subscript"/>
        </w:rPr>
        <w:t>1</w:t>
      </w:r>
      <w:r w:rsidRPr="00E6110F">
        <w:rPr>
          <w:vertAlign w:val="subscript"/>
        </w:rPr>
        <w:t xml:space="preserve">/2 </w:t>
      </w:r>
      <w:r w:rsidRPr="00E6110F">
        <w:t xml:space="preserve">is chemical half-life (days). Typical </w:t>
      </w:r>
      <w:r w:rsidR="00772480" w:rsidRPr="00E6110F">
        <w:t xml:space="preserve">hypothetical </w:t>
      </w:r>
      <w:r w:rsidR="00FA4E49" w:rsidRPr="00E6110F">
        <w:t xml:space="preserve">concentration versus travel time curves are shown in </w:t>
      </w:r>
      <w:r w:rsidR="00FA4E49" w:rsidRPr="00E6110F">
        <w:fldChar w:fldCharType="begin" w:fldLock="1"/>
      </w:r>
      <w:r w:rsidR="00FA4E49" w:rsidRPr="00E6110F">
        <w:instrText xml:space="preserve"> REF _Ref446956012 \h </w:instrText>
      </w:r>
      <w:r w:rsidR="00AB0783" w:rsidRPr="00E6110F">
        <w:instrText xml:space="preserve"> \* MERGEFORMAT </w:instrText>
      </w:r>
      <w:r w:rsidR="00FA4E49" w:rsidRPr="00E6110F">
        <w:fldChar w:fldCharType="separate"/>
      </w:r>
      <w:r w:rsidR="00335E79" w:rsidRPr="00E6110F">
        <w:t xml:space="preserve">Figure </w:t>
      </w:r>
      <w:r w:rsidR="00335E79">
        <w:rPr>
          <w:noProof/>
        </w:rPr>
        <w:t>4</w:t>
      </w:r>
      <w:r w:rsidR="00335E79">
        <w:rPr>
          <w:noProof/>
        </w:rPr>
        <w:noBreakHyphen/>
        <w:t>5</w:t>
      </w:r>
      <w:r w:rsidR="00FA4E49" w:rsidRPr="00E6110F">
        <w:fldChar w:fldCharType="end"/>
      </w:r>
      <w:r w:rsidR="00772480" w:rsidRPr="00E6110F">
        <w:t xml:space="preserve"> for four hypothetical chemicals</w:t>
      </w:r>
      <w:r w:rsidR="00FA4E49" w:rsidRPr="00E6110F">
        <w:t>.</w:t>
      </w:r>
      <w:r w:rsidR="00772480" w:rsidRPr="00E6110F">
        <w:t xml:space="preserve"> </w:t>
      </w:r>
      <w:r w:rsidR="00FA4E49" w:rsidRPr="00E6110F">
        <w:t xml:space="preserve"> </w:t>
      </w:r>
      <w:r w:rsidR="00394A6F" w:rsidRPr="00E6110F">
        <w:t xml:space="preserve">The chemical with the shortest half-life (chemical 1 in the example of </w:t>
      </w:r>
      <w:r w:rsidR="00394A6F" w:rsidRPr="00E6110F">
        <w:fldChar w:fldCharType="begin" w:fldLock="1"/>
      </w:r>
      <w:r w:rsidR="00394A6F" w:rsidRPr="00E6110F">
        <w:instrText xml:space="preserve"> REF _Ref446956012 \h </w:instrText>
      </w:r>
      <w:r w:rsidR="00AB0783" w:rsidRPr="00E6110F">
        <w:instrText xml:space="preserve"> \* MERGEFORMAT </w:instrText>
      </w:r>
      <w:r w:rsidR="00394A6F" w:rsidRPr="00E6110F">
        <w:fldChar w:fldCharType="separate"/>
      </w:r>
      <w:r w:rsidR="00335E79" w:rsidRPr="00E6110F">
        <w:t xml:space="preserve">Figure </w:t>
      </w:r>
      <w:r w:rsidR="00335E79">
        <w:rPr>
          <w:noProof/>
        </w:rPr>
        <w:t>4</w:t>
      </w:r>
      <w:r w:rsidR="00335E79">
        <w:rPr>
          <w:noProof/>
        </w:rPr>
        <w:noBreakHyphen/>
        <w:t>5</w:t>
      </w:r>
      <w:r w:rsidR="00394A6F" w:rsidRPr="00E6110F">
        <w:fldChar w:fldCharType="end"/>
      </w:r>
      <w:r w:rsidR="00394A6F" w:rsidRPr="00E6110F">
        <w:t xml:space="preserve">) displays the fastest decrease </w:t>
      </w:r>
      <w:r w:rsidR="00065D2E" w:rsidRPr="00E6110F">
        <w:t xml:space="preserve">in concentration, while chemical 4 has the largest half-life hence its concentration decrease is the </w:t>
      </w:r>
      <w:r w:rsidR="003E18B8" w:rsidRPr="00E6110F">
        <w:t xml:space="preserve">slowest </w:t>
      </w:r>
      <w:r w:rsidR="00065D2E" w:rsidRPr="00E6110F">
        <w:t>of all</w:t>
      </w:r>
      <w:r w:rsidR="003E18B8" w:rsidRPr="00E6110F">
        <w:t xml:space="preserve">. </w:t>
      </w:r>
      <w:r w:rsidR="003E18B8" w:rsidRPr="00E6110F">
        <w:fldChar w:fldCharType="begin" w:fldLock="1"/>
      </w:r>
      <w:r w:rsidR="003E18B8" w:rsidRPr="00E6110F">
        <w:instrText xml:space="preserve"> REF _Ref446956012 \h </w:instrText>
      </w:r>
      <w:r w:rsidR="00AB0783" w:rsidRPr="00E6110F">
        <w:instrText xml:space="preserve"> \* MERGEFORMAT </w:instrText>
      </w:r>
      <w:r w:rsidR="003E18B8" w:rsidRPr="00E6110F">
        <w:fldChar w:fldCharType="separate"/>
      </w:r>
      <w:r w:rsidR="00335E79" w:rsidRPr="00E6110F">
        <w:t xml:space="preserve">Figure </w:t>
      </w:r>
      <w:r w:rsidR="00335E79">
        <w:rPr>
          <w:noProof/>
        </w:rPr>
        <w:t>4</w:t>
      </w:r>
      <w:r w:rsidR="00335E79">
        <w:rPr>
          <w:noProof/>
        </w:rPr>
        <w:noBreakHyphen/>
        <w:t>5</w:t>
      </w:r>
      <w:r w:rsidR="003E18B8" w:rsidRPr="00E6110F">
        <w:fldChar w:fldCharType="end"/>
      </w:r>
      <w:r w:rsidR="003E18B8" w:rsidRPr="00E6110F">
        <w:t xml:space="preserve"> also shows that with different exposure pathways correspond different travel times, hence the residual concentration will be different for different pathways as the difference in travel time produces different</w:t>
      </w:r>
      <w:r w:rsidR="00A72415">
        <w:t xml:space="preserve"> concentrations according to Equation</w:t>
      </w:r>
      <w:r w:rsidR="003E18B8" w:rsidRPr="00E6110F">
        <w:t xml:space="preserve"> 1</w:t>
      </w:r>
      <w:r w:rsidR="00A72415">
        <w:t>0</w:t>
      </w:r>
      <w:r w:rsidR="003E18B8" w:rsidRPr="00E6110F">
        <w:t>.</w:t>
      </w:r>
      <w:r w:rsidR="00065D2E" w:rsidRPr="00E6110F">
        <w:t xml:space="preserve">  </w:t>
      </w:r>
    </w:p>
    <w:p w14:paraId="295317C8" w14:textId="708D2EA4" w:rsidR="003E18B8" w:rsidRPr="00E6110F" w:rsidRDefault="003E18B8" w:rsidP="00665F4B">
      <w:pPr>
        <w:pStyle w:val="Body"/>
      </w:pPr>
      <w:r w:rsidRPr="00E6110F">
        <w:t xml:space="preserve">Next, geological attenuation or sorption onto organic matter and/or mineral fraction of the sediments </w:t>
      </w:r>
      <w:r w:rsidR="00F678C2" w:rsidRPr="00E6110F">
        <w:t xml:space="preserve">is taken into account in estimating the environmental concentration. </w:t>
      </w:r>
    </w:p>
    <w:p w14:paraId="46126DFA" w14:textId="5C455F34" w:rsidR="00F678C2" w:rsidRPr="00E6110F" w:rsidRDefault="00F678C2" w:rsidP="00665F4B">
      <w:pPr>
        <w:pStyle w:val="Body"/>
      </w:pPr>
      <w:r w:rsidRPr="00E6110F">
        <w:t xml:space="preserve">As </w:t>
      </w:r>
      <w:r w:rsidR="00DF3C07">
        <w:t xml:space="preserve">chemicals with </w:t>
      </w:r>
      <w:r w:rsidRPr="00E6110F">
        <w:t>retardation factor</w:t>
      </w:r>
      <w:r w:rsidR="00DF3C07">
        <w:t>s</w:t>
      </w:r>
      <w:r w:rsidRPr="00E6110F">
        <w:t xml:space="preserve"> </w:t>
      </w:r>
      <w:proofErr w:type="gramStart"/>
      <w:r w:rsidR="007B3DC4" w:rsidRPr="00E6110F">
        <w:rPr>
          <w:i/>
        </w:rPr>
        <w:t>R</w:t>
      </w:r>
      <w:r w:rsidR="007B3DC4" w:rsidRPr="007B3DC4">
        <w:rPr>
          <w:i/>
          <w:vertAlign w:val="subscript"/>
        </w:rPr>
        <w:t>f</w:t>
      </w:r>
      <w:proofErr w:type="gramEnd"/>
      <w:r w:rsidRPr="00E6110F">
        <w:t xml:space="preserve"> </w:t>
      </w:r>
      <w:r w:rsidR="00DF3C07">
        <w:t xml:space="preserve">&gt; 1 </w:t>
      </w:r>
      <w:r w:rsidRPr="00E6110F">
        <w:t>increas</w:t>
      </w:r>
      <w:r w:rsidR="00DF3C07">
        <w:t>e</w:t>
      </w:r>
      <w:r w:rsidRPr="00E6110F">
        <w:t xml:space="preserve"> the travel time </w:t>
      </w:r>
      <w:r w:rsidR="00DF3C07">
        <w:t>compared to unretarded chemicals (</w:t>
      </w:r>
      <w:r w:rsidR="00DF3C07" w:rsidRPr="001D35DA">
        <w:rPr>
          <w:i/>
        </w:rPr>
        <w:t>R</w:t>
      </w:r>
      <w:r w:rsidR="00DF3C07" w:rsidRPr="001D35DA">
        <w:rPr>
          <w:vertAlign w:val="subscript"/>
        </w:rPr>
        <w:t>f</w:t>
      </w:r>
      <w:r w:rsidR="00DF3C07">
        <w:t xml:space="preserve"> = 1), </w:t>
      </w:r>
      <w:r w:rsidRPr="00E6110F">
        <w:t xml:space="preserve">according to </w:t>
      </w:r>
      <w:r w:rsidRPr="00E6110F">
        <w:rPr>
          <w:i/>
        </w:rPr>
        <w:t>t</w:t>
      </w:r>
      <w:r w:rsidRPr="00E6110F">
        <w:rPr>
          <w:vertAlign w:val="subscript"/>
        </w:rPr>
        <w:t>R</w:t>
      </w:r>
      <w:r w:rsidRPr="00E6110F">
        <w:t xml:space="preserve"> = </w:t>
      </w:r>
      <w:r w:rsidRPr="00E6110F">
        <w:rPr>
          <w:i/>
        </w:rPr>
        <w:t>R</w:t>
      </w:r>
      <w:r w:rsidR="00DF3C07" w:rsidRPr="001D35DA">
        <w:rPr>
          <w:i/>
          <w:vertAlign w:val="subscript"/>
        </w:rPr>
        <w:t>f</w:t>
      </w:r>
      <w:r w:rsidRPr="00E6110F">
        <w:t>×</w:t>
      </w:r>
      <w:r w:rsidRPr="00E6110F">
        <w:rPr>
          <w:i/>
        </w:rPr>
        <w:t>t</w:t>
      </w:r>
      <w:r w:rsidRPr="00E6110F">
        <w:t>, the effect of re</w:t>
      </w:r>
      <w:r w:rsidR="00A72415">
        <w:t>tardation is incorporated in Equation</w:t>
      </w:r>
      <w:r w:rsidRPr="00E6110F">
        <w:t xml:space="preserve"> (1</w:t>
      </w:r>
      <w:r w:rsidR="00A72415">
        <w:t>0</w:t>
      </w:r>
      <w:r w:rsidRPr="00E6110F">
        <w:t>) as follows:</w:t>
      </w:r>
    </w:p>
    <w:p w14:paraId="73432FB4" w14:textId="1BA2C5BA" w:rsidR="00F678C2" w:rsidRPr="00E6110F" w:rsidRDefault="00F678C2" w:rsidP="00A63DFB">
      <w:pPr>
        <w:pStyle w:val="Body"/>
        <w:tabs>
          <w:tab w:val="left" w:pos="3568"/>
          <w:tab w:val="center" w:pos="4253"/>
          <w:tab w:val="right" w:pos="8789"/>
        </w:tabs>
      </w:pPr>
      <w:r w:rsidRPr="00E6110F">
        <w:tab/>
      </w:r>
      <w:r w:rsidR="00C864D5">
        <w:tab/>
      </w:r>
      <m:oMath>
        <m:r>
          <w:rPr>
            <w:rFonts w:ascii="Cambria Math" w:hAnsi="Cambria Math"/>
          </w:rPr>
          <m:t>C=</m:t>
        </m:r>
        <m:sSub>
          <m:sSubPr>
            <m:ctrlPr>
              <w:rPr>
                <w:rFonts w:ascii="Cambria Math" w:hAnsi="Cambria Math"/>
                <w:i/>
              </w:rPr>
            </m:ctrlPr>
          </m:sSubPr>
          <m:e>
            <m:r>
              <w:rPr>
                <w:rFonts w:ascii="Cambria Math" w:hAnsi="Cambria Math"/>
              </w:rPr>
              <m:t>C</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-λ</m:t>
            </m:r>
            <m:sSub>
              <m:sSubPr>
                <m:ctrlPr>
                  <w:rPr>
                    <w:rFonts w:ascii="Cambria Math" w:hAnsi="Cambria Math"/>
                    <w:i/>
                  </w:rPr>
                </m:ctrlPr>
              </m:sSubPr>
              <m:e>
                <m:r>
                  <w:rPr>
                    <w:rFonts w:ascii="Cambria Math" w:hAnsi="Cambria Math"/>
                  </w:rPr>
                  <m:t>R</m:t>
                </m:r>
              </m:e>
              <m:sub>
                <m:r>
                  <w:rPr>
                    <w:rFonts w:ascii="Cambria Math" w:hAnsi="Cambria Math"/>
                  </w:rPr>
                  <m:t>f</m:t>
                </m:r>
              </m:sub>
            </m:sSub>
            <m:r>
              <w:rPr>
                <w:rFonts w:ascii="Cambria Math" w:hAnsi="Cambria Math"/>
              </w:rPr>
              <m:t>t</m:t>
            </m:r>
          </m:sup>
        </m:sSup>
      </m:oMath>
      <w:r w:rsidR="00A72415">
        <w:tab/>
        <w:t>(12</w:t>
      </w:r>
      <w:r w:rsidRPr="00E6110F">
        <w:t>)</w:t>
      </w:r>
    </w:p>
    <w:p w14:paraId="41D74D66" w14:textId="26FD8D72" w:rsidR="00882DFF" w:rsidRPr="00E6110F" w:rsidRDefault="00882DFF" w:rsidP="00882DFF">
      <w:pPr>
        <w:pStyle w:val="Body"/>
      </w:pPr>
      <w:r w:rsidRPr="00E6110F">
        <w:t>Biodegradation involves biochemical reactions within the sub-surface environment through which a parent compound is changed or transformed to organic or inorganic end products or via a series of intermediates.  It is an important mechanism for the removal of o</w:t>
      </w:r>
      <w:r w:rsidR="0068597D" w:rsidRPr="00E6110F">
        <w:t>rganic compounds in soil (Loehr</w:t>
      </w:r>
      <w:r w:rsidRPr="00E6110F">
        <w:t xml:space="preserve"> 1989). Aerobic biotic degradation rates (half-life) and pathways for organic compounds in soils are influenced by many factors including; their initial concentration at the time of release to the environment, the toxicity of a given compound and its daughter compounds, the physical and chemical properties of the compound in question and the physical, chemical and biological properties of the soil (Scow and Johnson 1997). In the sections below, we briefly present and summarise the previously reported degradation pathways and aerobic and anaerobic biotic degradation half-lives where available, for some of the organic compounds reviewed in this assessment. Bot aerobic and anaerobic degradation rates are considered appropriate in the current assessment involving deeper groundwater and shallow groundwater (in discharge areas).  </w:t>
      </w:r>
    </w:p>
    <w:p w14:paraId="67311FD2" w14:textId="66F09F0B" w:rsidR="00147A71" w:rsidRPr="00E6110F" w:rsidRDefault="00882DFF" w:rsidP="00882DFF">
      <w:pPr>
        <w:pStyle w:val="Body"/>
      </w:pPr>
      <w:r w:rsidRPr="00E6110F">
        <w:t>Biodegradation studies and the parameters derived for modelling (e.g., biodegradation rate) often involve tests in solution culture and batch systems, with experimental conditions often different from those in groundwater. Two important questions arise: (i) whether biodegradation rates measured in solution culture are appropriate to groundwater, and (ii) whether parameters measured in batch systems can be extrapolated to dynamic flow systems such as real groundwater systems. The few comparative studies reported to date suggest differences in kinetic parameters are mainly due to indirect effects (differences in solution chemistry between solution cultures and solutions with soil or sediments present) rather than direct effects of sorbing surfaces on microorganisms (Scow and Johnson 1997). When batch-derived biodegradation parameters are applied to coupled flow and transport systems, mass-transfer limitations may occur which might require correction of the batch-derived parameters (Scow and Johnson 1997). To address these uncertainties around biodegradation parameters, introduced when solution cultures and batch systems are the primary source of degradation tests, we here define a range of parameter values rather than using single values and subsequently run the simulations multiple times (i.e. for minimum, mean, and maximum parameter values).</w:t>
      </w:r>
    </w:p>
    <w:p w14:paraId="07DC219C" w14:textId="77777777" w:rsidR="00882DFF" w:rsidRPr="00E6110F" w:rsidRDefault="00882DFF" w:rsidP="00882DFF">
      <w:pPr>
        <w:pStyle w:val="Body"/>
      </w:pPr>
    </w:p>
    <w:p w14:paraId="71652FA8" w14:textId="77777777" w:rsidR="00665F4B" w:rsidRPr="00E6110F" w:rsidRDefault="00665F4B" w:rsidP="00904780">
      <w:pPr>
        <w:pStyle w:val="Body"/>
        <w:jc w:val="center"/>
      </w:pPr>
      <w:r w:rsidRPr="00E6110F">
        <w:rPr>
          <w:noProof/>
          <w:lang w:val="en-AU" w:eastAsia="en-AU"/>
        </w:rPr>
        <w:drawing>
          <wp:inline distT="0" distB="0" distL="0" distR="0" wp14:anchorId="46BDC1A2" wp14:editId="08ED8CAD">
            <wp:extent cx="3519936" cy="4470400"/>
            <wp:effectExtent l="0" t="0" r="4445" b="6350"/>
            <wp:docPr id="44" name="Picture 44" descr="Diagram of hypothetical chemical concentrations as a function of travel time in deeper groundwater." title="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3526357" cy="4478555"/>
                    </a:xfrm>
                    <a:prstGeom prst="rect">
                      <a:avLst/>
                    </a:prstGeom>
                    <a:noFill/>
                    <a:ln>
                      <a:noFill/>
                    </a:ln>
                  </pic:spPr>
                </pic:pic>
              </a:graphicData>
            </a:graphic>
          </wp:inline>
        </w:drawing>
      </w:r>
    </w:p>
    <w:p w14:paraId="49D9B44D" w14:textId="3FECD827" w:rsidR="00307316" w:rsidRPr="00E6110F" w:rsidRDefault="00665F4B" w:rsidP="00665F4B">
      <w:pPr>
        <w:pStyle w:val="Imagecaption"/>
      </w:pPr>
      <w:bookmarkStart w:id="472" w:name="_Ref446956012"/>
      <w:bookmarkStart w:id="473" w:name="_Toc477347635"/>
      <w:r w:rsidRPr="00E6110F">
        <w:t xml:space="preserve">Figure </w:t>
      </w:r>
      <w:r w:rsidR="00254026">
        <w:fldChar w:fldCharType="begin" w:fldLock="1"/>
      </w:r>
      <w:r w:rsidR="00254026">
        <w:instrText xml:space="preserve"> STYLEREF 1 \s </w:instrText>
      </w:r>
      <w:r w:rsidR="00254026">
        <w:fldChar w:fldCharType="separate"/>
      </w:r>
      <w:r w:rsidR="00335E79">
        <w:rPr>
          <w:noProof/>
        </w:rPr>
        <w:t>4</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w:t>
      </w:r>
      <w:r w:rsidR="00254026">
        <w:fldChar w:fldCharType="end"/>
      </w:r>
      <w:bookmarkEnd w:id="472"/>
      <w:r w:rsidR="00394A6F" w:rsidRPr="00E6110F">
        <w:t xml:space="preserve"> Hypothetical example of chemical concentration as function of travel time in deeper groundwater</w:t>
      </w:r>
      <w:bookmarkEnd w:id="473"/>
    </w:p>
    <w:p w14:paraId="78FEDF53" w14:textId="77777777" w:rsidR="00307316" w:rsidRPr="00E6110F" w:rsidRDefault="00307316" w:rsidP="00307316">
      <w:pPr>
        <w:jc w:val="both"/>
      </w:pPr>
    </w:p>
    <w:p w14:paraId="078F540E" w14:textId="4A62C4D8" w:rsidR="000F6112" w:rsidRPr="00594474" w:rsidRDefault="00307316" w:rsidP="00A51CD7">
      <w:pPr>
        <w:pStyle w:val="Body"/>
      </w:pPr>
      <w:r w:rsidRPr="00E6110F">
        <w:t xml:space="preserve">When chemicals interact with the soil solid phases (organic carbon, clay, iron oxides), sorption has to be accounted for in the solute transport equation. The sorption process is usually described by means of the retardation factor </w:t>
      </w:r>
      <w:r w:rsidR="007B3DC4" w:rsidRPr="00E6110F">
        <w:rPr>
          <w:i/>
        </w:rPr>
        <w:t>R</w:t>
      </w:r>
      <w:r w:rsidR="007B3DC4" w:rsidRPr="007B3DC4">
        <w:rPr>
          <w:i/>
          <w:vertAlign w:val="subscript"/>
        </w:rPr>
        <w:t>f</w:t>
      </w:r>
      <w:r w:rsidRPr="00E6110F">
        <w:t xml:space="preserve">, defined </w:t>
      </w:r>
      <w:r w:rsidR="00623D00">
        <w:t>through Equation (1) and involves knowledge about the</w:t>
      </w:r>
      <w:r w:rsidRPr="00E6110F">
        <w:t xml:space="preserve"> solid density (</w:t>
      </w:r>
      <w:r w:rsidR="00623D00" w:rsidRPr="00623D00">
        <w:rPr>
          <w:i/>
        </w:rPr>
        <w:sym w:font="Symbol" w:char="F072"/>
      </w:r>
      <w:r w:rsidR="00623D00" w:rsidRPr="00623D00">
        <w:rPr>
          <w:vertAlign w:val="subscript"/>
        </w:rPr>
        <w:t>s</w:t>
      </w:r>
      <w:r w:rsidR="00623D00">
        <w:t xml:space="preserve">, </w:t>
      </w:r>
      <w:r w:rsidRPr="00E6110F">
        <w:t>g/cm</w:t>
      </w:r>
      <w:r w:rsidRPr="00623D00">
        <w:rPr>
          <w:vertAlign w:val="superscript"/>
        </w:rPr>
        <w:t>3</w:t>
      </w:r>
      <w:r w:rsidRPr="00E6110F">
        <w:t xml:space="preserve"> of solids), and the distribution coefficient for instantaneous, linear and reversible sorption (</w:t>
      </w:r>
      <w:r w:rsidR="00623D00" w:rsidRPr="00C864D5">
        <w:rPr>
          <w:i/>
        </w:rPr>
        <w:t>K</w:t>
      </w:r>
      <w:r w:rsidR="00623D00" w:rsidRPr="00360F35">
        <w:rPr>
          <w:vertAlign w:val="subscript"/>
        </w:rPr>
        <w:t>d</w:t>
      </w:r>
      <w:r w:rsidR="00623D00" w:rsidRPr="00360F35">
        <w:t>,</w:t>
      </w:r>
      <w:r w:rsidR="00623D00">
        <w:t xml:space="preserve"> </w:t>
      </w:r>
      <w:r w:rsidRPr="00E6110F">
        <w:t>L/kg</w:t>
      </w:r>
      <w:r w:rsidRPr="00594474">
        <w:t xml:space="preserve">). </w:t>
      </w:r>
    </w:p>
    <w:p w14:paraId="36F9BD34" w14:textId="7B41063C" w:rsidR="004F62BB" w:rsidRPr="00E6110F" w:rsidRDefault="004F62BB" w:rsidP="00C60913">
      <w:pPr>
        <w:pStyle w:val="Heading2"/>
      </w:pPr>
      <w:bookmarkStart w:id="474" w:name="_Ref446953689"/>
      <w:bookmarkStart w:id="475" w:name="_Ref446953701"/>
      <w:bookmarkStart w:id="476" w:name="_Ref446954117"/>
      <w:bookmarkStart w:id="477" w:name="_Ref452823556"/>
      <w:bookmarkStart w:id="478" w:name="_Ref452902736"/>
      <w:bookmarkStart w:id="479" w:name="_Toc494444590"/>
      <w:r w:rsidRPr="00E6110F">
        <w:t>Chemical transformation pathways</w:t>
      </w:r>
      <w:bookmarkEnd w:id="474"/>
      <w:bookmarkEnd w:id="475"/>
      <w:bookmarkEnd w:id="476"/>
      <w:r w:rsidR="002B0036" w:rsidRPr="00E6110F">
        <w:t xml:space="preserve"> and half-lives</w:t>
      </w:r>
      <w:bookmarkEnd w:id="477"/>
      <w:bookmarkEnd w:id="478"/>
      <w:bookmarkEnd w:id="479"/>
    </w:p>
    <w:p w14:paraId="4D3D1808" w14:textId="3BCFD228" w:rsidR="00366796" w:rsidRPr="00E6110F" w:rsidRDefault="00366796" w:rsidP="00366796">
      <w:pPr>
        <w:pStyle w:val="Heading3"/>
      </w:pPr>
      <w:bookmarkStart w:id="480" w:name="_Toc494444591"/>
      <w:r w:rsidRPr="00E6110F">
        <w:t>Conceptual model</w:t>
      </w:r>
      <w:bookmarkEnd w:id="480"/>
    </w:p>
    <w:p w14:paraId="08A56953" w14:textId="51CE0085" w:rsidR="00307316" w:rsidRPr="00E6110F" w:rsidRDefault="00307316" w:rsidP="00007E81">
      <w:pPr>
        <w:pStyle w:val="Body"/>
      </w:pPr>
      <w:r w:rsidRPr="00E6110F">
        <w:t>In case</w:t>
      </w:r>
      <w:r w:rsidR="00360F35">
        <w:t xml:space="preserve">s where </w:t>
      </w:r>
      <w:r w:rsidRPr="00E6110F">
        <w:t xml:space="preserve">chemicals are consecutively undergoing biodegradation and transformation, the rate of transformation is often described as a first-order process. Especially biodegradation kinetics (the time-dependent substrate removal and metabolism) in soil have conveniently been described by means of relatively simple mathematical models including first-order kinetics (Scow and Johnson 1997). In this case a biodegradation constant </w:t>
      </w:r>
      <w:r w:rsidRPr="00E6110F">
        <w:rPr>
          <w:i/>
        </w:rPr>
        <w:t>µ</w:t>
      </w:r>
      <w:r w:rsidRPr="00E6110F">
        <w:t xml:space="preserve"> (days</w:t>
      </w:r>
      <w:r w:rsidRPr="00E6110F">
        <w:rPr>
          <w:vertAlign w:val="superscript"/>
        </w:rPr>
        <w:t>-1</w:t>
      </w:r>
      <w:r w:rsidRPr="00E6110F">
        <w:t>) is calculated according to:</w:t>
      </w:r>
    </w:p>
    <w:p w14:paraId="4CC65C2F" w14:textId="4A267C91" w:rsidR="00307316" w:rsidRPr="00E6110F" w:rsidRDefault="00307316" w:rsidP="00307316">
      <w:pPr>
        <w:tabs>
          <w:tab w:val="center" w:pos="4253"/>
          <w:tab w:val="right" w:pos="8789"/>
        </w:tabs>
        <w:jc w:val="both"/>
      </w:pPr>
      <w:r w:rsidRPr="00E6110F">
        <w:tab/>
      </w:r>
      <w:r w:rsidR="001673D0" w:rsidRPr="001673D0">
        <w:rPr>
          <w:position w:val="-24"/>
          <w:sz w:val="18"/>
          <w:szCs w:val="18"/>
        </w:rPr>
        <w:object w:dxaOrig="1280" w:dyaOrig="540" w14:anchorId="715FB77F">
          <v:shape id="_x0000_i1025" type="#_x0000_t75" style="width:67.5pt;height:31.5pt" o:ole="" fillcolor="window">
            <v:imagedata r:id="rId158" o:title=""/>
          </v:shape>
          <o:OLEObject Type="Embed" ProgID="Equation.3" ShapeID="_x0000_i1025" DrawAspect="Content" ObjectID="_1568638156" r:id="rId159"/>
        </w:object>
      </w:r>
      <w:r w:rsidRPr="00E6110F">
        <w:tab/>
      </w:r>
      <w:r w:rsidR="00A72415">
        <w:rPr>
          <w:rFonts w:asciiTheme="majorHAnsi" w:hAnsiTheme="majorHAnsi"/>
          <w:sz w:val="18"/>
          <w:szCs w:val="18"/>
        </w:rPr>
        <w:t>(1</w:t>
      </w:r>
      <w:r w:rsidR="008F3125">
        <w:rPr>
          <w:rFonts w:asciiTheme="majorHAnsi" w:hAnsiTheme="majorHAnsi"/>
          <w:sz w:val="18"/>
          <w:szCs w:val="18"/>
        </w:rPr>
        <w:t>3</w:t>
      </w:r>
      <w:r w:rsidR="00007E81" w:rsidRPr="00E6110F">
        <w:rPr>
          <w:rFonts w:asciiTheme="majorHAnsi" w:hAnsiTheme="majorHAnsi"/>
          <w:sz w:val="18"/>
          <w:szCs w:val="18"/>
        </w:rPr>
        <w:t>)</w:t>
      </w:r>
    </w:p>
    <w:p w14:paraId="70CB5867" w14:textId="77777777" w:rsidR="00307316" w:rsidRPr="00E6110F" w:rsidRDefault="00307316" w:rsidP="00007E81">
      <w:pPr>
        <w:pStyle w:val="Body"/>
      </w:pPr>
      <w:proofErr w:type="gramStart"/>
      <w:r w:rsidRPr="00E6110F">
        <w:t>where</w:t>
      </w:r>
      <w:proofErr w:type="gramEnd"/>
      <w:r w:rsidRPr="00E6110F">
        <w:t xml:space="preserve"> </w:t>
      </w:r>
      <w:r w:rsidRPr="00E6110F">
        <w:rPr>
          <w:i/>
        </w:rPr>
        <w:t>t</w:t>
      </w:r>
      <w:r w:rsidRPr="00E6110F">
        <w:rPr>
          <w:vertAlign w:val="subscript"/>
        </w:rPr>
        <w:t xml:space="preserve">1/2 </w:t>
      </w:r>
      <w:r w:rsidRPr="00E6110F">
        <w:t>is the chemical half-life (days). In case several chemicals are involved in a sequential first-order decay or degradation chain (</w:t>
      </w:r>
      <w:r w:rsidRPr="00E6110F">
        <w:rPr>
          <w:i/>
        </w:rPr>
        <w:t>C</w:t>
      </w:r>
      <w:r w:rsidRPr="00E6110F">
        <w:rPr>
          <w:vertAlign w:val="subscript"/>
        </w:rPr>
        <w:t>i</w:t>
      </w:r>
      <w:r w:rsidRPr="00E6110F">
        <w:t xml:space="preserve">, i = 1, n):  </w:t>
      </w:r>
    </w:p>
    <w:p w14:paraId="440B65BF" w14:textId="4185A84F" w:rsidR="00307316" w:rsidRPr="00E6110F" w:rsidRDefault="00307316" w:rsidP="00307316">
      <w:pPr>
        <w:tabs>
          <w:tab w:val="center" w:pos="4253"/>
          <w:tab w:val="right" w:pos="8789"/>
        </w:tabs>
        <w:jc w:val="both"/>
      </w:pPr>
      <w:r w:rsidRPr="00E6110F">
        <w:tab/>
      </w:r>
      <w:r w:rsidR="001673D0" w:rsidRPr="001673D0">
        <w:rPr>
          <w:position w:val="-10"/>
          <w:sz w:val="18"/>
          <w:szCs w:val="18"/>
        </w:rPr>
        <w:object w:dxaOrig="1540" w:dyaOrig="279" w14:anchorId="000F7C73">
          <v:shape id="_x0000_i1026" type="#_x0000_t75" style="width:76.5pt;height:16.5pt" o:ole="" fillcolor="window">
            <v:imagedata r:id="rId160" o:title=""/>
          </v:shape>
          <o:OLEObject Type="Embed" ProgID="Equation.3" ShapeID="_x0000_i1026" DrawAspect="Content" ObjectID="_1568638157" r:id="rId161"/>
        </w:object>
      </w:r>
      <w:r w:rsidRPr="00E6110F">
        <w:tab/>
      </w:r>
      <w:r w:rsidR="00007E81" w:rsidRPr="00E6110F">
        <w:rPr>
          <w:rFonts w:asciiTheme="majorHAnsi" w:hAnsiTheme="majorHAnsi"/>
          <w:sz w:val="18"/>
          <w:szCs w:val="18"/>
        </w:rPr>
        <w:t>(</w:t>
      </w:r>
      <w:r w:rsidR="00A72415">
        <w:rPr>
          <w:rFonts w:asciiTheme="majorHAnsi" w:hAnsiTheme="majorHAnsi"/>
          <w:sz w:val="18"/>
          <w:szCs w:val="18"/>
        </w:rPr>
        <w:t>1</w:t>
      </w:r>
      <w:r w:rsidR="008F3125">
        <w:rPr>
          <w:rFonts w:asciiTheme="majorHAnsi" w:hAnsiTheme="majorHAnsi"/>
          <w:sz w:val="18"/>
          <w:szCs w:val="18"/>
        </w:rPr>
        <w:t>4</w:t>
      </w:r>
      <w:r w:rsidR="00007E81" w:rsidRPr="00E6110F">
        <w:rPr>
          <w:rFonts w:asciiTheme="majorHAnsi" w:hAnsiTheme="majorHAnsi"/>
          <w:sz w:val="18"/>
          <w:szCs w:val="18"/>
        </w:rPr>
        <w:t>)</w:t>
      </w:r>
    </w:p>
    <w:p w14:paraId="044B33D2" w14:textId="1C6FA31F" w:rsidR="00307316" w:rsidRPr="00E6110F" w:rsidRDefault="00307316" w:rsidP="00007E81">
      <w:pPr>
        <w:pStyle w:val="Body"/>
      </w:pPr>
      <w:proofErr w:type="gramStart"/>
      <w:r w:rsidRPr="00E6110F">
        <w:t>a</w:t>
      </w:r>
      <w:proofErr w:type="gramEnd"/>
      <w:r w:rsidRPr="00E6110F">
        <w:t xml:space="preserve"> set of coupled differential equations governing advection-dispersion, linear-equilibrium transport of a sequence of solutes consecutively undergoing biodegradation and transformation will be invoked. For two elements, </w:t>
      </w:r>
      <w:r w:rsidRPr="00E6110F">
        <w:rPr>
          <w:i/>
        </w:rPr>
        <w:t>C</w:t>
      </w:r>
      <w:r w:rsidRPr="00E6110F">
        <w:rPr>
          <w:vertAlign w:val="subscript"/>
        </w:rPr>
        <w:t>1</w:t>
      </w:r>
      <w:r w:rsidRPr="00E6110F">
        <w:t xml:space="preserve"> and </w:t>
      </w:r>
      <w:r w:rsidRPr="00E6110F">
        <w:rPr>
          <w:i/>
        </w:rPr>
        <w:t>C</w:t>
      </w:r>
      <w:r w:rsidRPr="00E6110F">
        <w:rPr>
          <w:vertAlign w:val="subscript"/>
        </w:rPr>
        <w:t>2</w:t>
      </w:r>
      <w:r w:rsidRPr="00E6110F">
        <w:t>, the coupled advection-dispersion equilibrium partitioning – first-order biodegradation equation becomes (van Genuchten 1985):</w:t>
      </w:r>
    </w:p>
    <w:p w14:paraId="540FB430" w14:textId="3F96AC2D" w:rsidR="00307316" w:rsidRPr="00E6110F" w:rsidRDefault="00307316" w:rsidP="00307316">
      <w:pPr>
        <w:tabs>
          <w:tab w:val="center" w:pos="4253"/>
          <w:tab w:val="right" w:pos="8789"/>
        </w:tabs>
        <w:jc w:val="both"/>
      </w:pPr>
      <w:r w:rsidRPr="00E6110F">
        <w:tab/>
      </w:r>
      <w:r w:rsidR="001673D0" w:rsidRPr="001673D0">
        <w:rPr>
          <w:position w:val="-24"/>
        </w:rPr>
        <w:object w:dxaOrig="3140" w:dyaOrig="580" w14:anchorId="6D25FE3F">
          <v:shape id="_x0000_i1027" type="#_x0000_t75" style="width:155.25pt;height:31.5pt" o:ole="" fillcolor="window">
            <v:imagedata r:id="rId162" o:title=""/>
          </v:shape>
          <o:OLEObject Type="Embed" ProgID="Equation.3" ShapeID="_x0000_i1027" DrawAspect="Content" ObjectID="_1568638158" r:id="rId163"/>
        </w:object>
      </w:r>
      <w:r w:rsidRPr="00E6110F">
        <w:tab/>
      </w:r>
      <w:r w:rsidR="009903B3" w:rsidRPr="00E6110F">
        <w:rPr>
          <w:rFonts w:asciiTheme="majorHAnsi" w:hAnsiTheme="majorHAnsi"/>
          <w:sz w:val="18"/>
          <w:szCs w:val="18"/>
        </w:rPr>
        <w:t>(</w:t>
      </w:r>
      <w:r w:rsidR="00A72415">
        <w:rPr>
          <w:rFonts w:asciiTheme="majorHAnsi" w:hAnsiTheme="majorHAnsi"/>
          <w:sz w:val="18"/>
          <w:szCs w:val="18"/>
        </w:rPr>
        <w:t>1</w:t>
      </w:r>
      <w:r w:rsidR="008F3125">
        <w:rPr>
          <w:rFonts w:asciiTheme="majorHAnsi" w:hAnsiTheme="majorHAnsi"/>
          <w:sz w:val="18"/>
          <w:szCs w:val="18"/>
        </w:rPr>
        <w:t>5</w:t>
      </w:r>
      <w:r w:rsidR="006454BB" w:rsidRPr="00E6110F">
        <w:rPr>
          <w:rFonts w:asciiTheme="majorHAnsi" w:hAnsiTheme="majorHAnsi"/>
          <w:sz w:val="18"/>
          <w:szCs w:val="18"/>
        </w:rPr>
        <w:t>)</w:t>
      </w:r>
    </w:p>
    <w:p w14:paraId="7980786A" w14:textId="77777777" w:rsidR="00307316" w:rsidRPr="00E6110F" w:rsidRDefault="00307316" w:rsidP="00307316">
      <w:pPr>
        <w:jc w:val="both"/>
      </w:pPr>
    </w:p>
    <w:p w14:paraId="509878B0" w14:textId="12580D26" w:rsidR="00307316" w:rsidRPr="00E6110F" w:rsidRDefault="00307316" w:rsidP="00307316">
      <w:pPr>
        <w:tabs>
          <w:tab w:val="center" w:pos="4253"/>
          <w:tab w:val="right" w:pos="8789"/>
        </w:tabs>
        <w:jc w:val="both"/>
      </w:pPr>
      <w:r w:rsidRPr="00E6110F">
        <w:tab/>
      </w:r>
      <w:r w:rsidR="001673D0" w:rsidRPr="001673D0">
        <w:rPr>
          <w:position w:val="-24"/>
        </w:rPr>
        <w:object w:dxaOrig="4180" w:dyaOrig="580" w14:anchorId="6597B91D">
          <v:shape id="_x0000_i1028" type="#_x0000_t75" style="width:211.5pt;height:31.5pt" o:ole="" fillcolor="window">
            <v:imagedata r:id="rId164" o:title=""/>
          </v:shape>
          <o:OLEObject Type="Embed" ProgID="Equation.3" ShapeID="_x0000_i1028" DrawAspect="Content" ObjectID="_1568638159" r:id="rId165"/>
        </w:object>
      </w:r>
      <w:r w:rsidRPr="00E6110F">
        <w:tab/>
      </w:r>
      <w:r w:rsidR="006454BB" w:rsidRPr="00E6110F">
        <w:rPr>
          <w:rFonts w:asciiTheme="majorHAnsi" w:hAnsiTheme="majorHAnsi"/>
          <w:sz w:val="18"/>
          <w:szCs w:val="18"/>
        </w:rPr>
        <w:t>(</w:t>
      </w:r>
      <w:r w:rsidR="00623D00">
        <w:rPr>
          <w:rFonts w:asciiTheme="majorHAnsi" w:hAnsiTheme="majorHAnsi"/>
          <w:sz w:val="18"/>
          <w:szCs w:val="18"/>
        </w:rPr>
        <w:t>1</w:t>
      </w:r>
      <w:r w:rsidR="008F3125">
        <w:rPr>
          <w:rFonts w:asciiTheme="majorHAnsi" w:hAnsiTheme="majorHAnsi"/>
          <w:sz w:val="18"/>
          <w:szCs w:val="18"/>
        </w:rPr>
        <w:t>6</w:t>
      </w:r>
      <w:r w:rsidR="006454BB" w:rsidRPr="00E6110F">
        <w:rPr>
          <w:rFonts w:asciiTheme="majorHAnsi" w:hAnsiTheme="majorHAnsi"/>
          <w:sz w:val="18"/>
          <w:szCs w:val="18"/>
        </w:rPr>
        <w:t>)</w:t>
      </w:r>
    </w:p>
    <w:p w14:paraId="0B8B5F8E" w14:textId="3A342270" w:rsidR="004F62BB" w:rsidRDefault="00307316" w:rsidP="00307316">
      <w:pPr>
        <w:pStyle w:val="Body"/>
      </w:pPr>
      <w:proofErr w:type="gramStart"/>
      <w:r w:rsidRPr="00E6110F">
        <w:t>where</w:t>
      </w:r>
      <w:proofErr w:type="gramEnd"/>
      <w:r w:rsidRPr="00E6110F">
        <w:t xml:space="preserve"> </w:t>
      </w:r>
      <w:r w:rsidRPr="00E6110F">
        <w:rPr>
          <w:i/>
        </w:rPr>
        <w:t>R</w:t>
      </w:r>
      <w:r w:rsidR="007B3DC4" w:rsidRPr="007B3DC4">
        <w:rPr>
          <w:i/>
          <w:vertAlign w:val="subscript"/>
        </w:rPr>
        <w:t>f</w:t>
      </w:r>
      <w:r w:rsidRPr="00E6110F">
        <w:rPr>
          <w:vertAlign w:val="subscript"/>
        </w:rPr>
        <w:t>1</w:t>
      </w:r>
      <w:r w:rsidRPr="00E6110F">
        <w:t xml:space="preserve"> and </w:t>
      </w:r>
      <w:r w:rsidRPr="00E6110F">
        <w:rPr>
          <w:i/>
        </w:rPr>
        <w:t>R</w:t>
      </w:r>
      <w:r w:rsidR="007B3DC4" w:rsidRPr="007B3DC4">
        <w:rPr>
          <w:i/>
          <w:vertAlign w:val="subscript"/>
        </w:rPr>
        <w:t>f</w:t>
      </w:r>
      <w:r w:rsidRPr="00E6110F">
        <w:rPr>
          <w:vertAlign w:val="subscript"/>
        </w:rPr>
        <w:t>2</w:t>
      </w:r>
      <w:r w:rsidRPr="00E6110F">
        <w:t xml:space="preserve"> are retardation factors for chemical C</w:t>
      </w:r>
      <w:r w:rsidRPr="00E6110F">
        <w:rPr>
          <w:vertAlign w:val="subscript"/>
        </w:rPr>
        <w:t>1</w:t>
      </w:r>
      <w:r w:rsidRPr="00E6110F">
        <w:t xml:space="preserve"> and C</w:t>
      </w:r>
      <w:r w:rsidRPr="00E6110F">
        <w:rPr>
          <w:vertAlign w:val="subscript"/>
        </w:rPr>
        <w:t>2</w:t>
      </w:r>
      <w:r w:rsidRPr="00E6110F">
        <w:t xml:space="preserve">, respectively and </w:t>
      </w:r>
      <w:r w:rsidRPr="00E6110F">
        <w:rPr>
          <w:i/>
        </w:rPr>
        <w:t>µ</w:t>
      </w:r>
      <w:r w:rsidRPr="00E6110F">
        <w:rPr>
          <w:vertAlign w:val="subscript"/>
        </w:rPr>
        <w:t xml:space="preserve">1 </w:t>
      </w:r>
      <w:r w:rsidRPr="00E6110F">
        <w:t xml:space="preserve">and </w:t>
      </w:r>
      <w:r w:rsidRPr="00E6110F">
        <w:rPr>
          <w:i/>
        </w:rPr>
        <w:t>µ</w:t>
      </w:r>
      <w:r w:rsidRPr="00E6110F">
        <w:rPr>
          <w:vertAlign w:val="subscript"/>
        </w:rPr>
        <w:t>2</w:t>
      </w:r>
      <w:r w:rsidRPr="00E6110F">
        <w:t xml:space="preserve"> are first-order biodegradation constants for chemical </w:t>
      </w:r>
      <w:r w:rsidRPr="00A34B35">
        <w:rPr>
          <w:i/>
        </w:rPr>
        <w:t>C</w:t>
      </w:r>
      <w:r w:rsidRPr="00E6110F">
        <w:rPr>
          <w:vertAlign w:val="subscript"/>
        </w:rPr>
        <w:t>1</w:t>
      </w:r>
      <w:r w:rsidRPr="00E6110F">
        <w:t xml:space="preserve"> and </w:t>
      </w:r>
      <w:r w:rsidRPr="00A34B35">
        <w:rPr>
          <w:i/>
        </w:rPr>
        <w:t>C</w:t>
      </w:r>
      <w:r w:rsidRPr="00E6110F">
        <w:rPr>
          <w:vertAlign w:val="subscript"/>
        </w:rPr>
        <w:t>2</w:t>
      </w:r>
      <w:r w:rsidRPr="00E6110F">
        <w:t>, respectively.</w:t>
      </w:r>
    </w:p>
    <w:p w14:paraId="2EBE2DE9" w14:textId="50F41444" w:rsidR="00366796" w:rsidRDefault="00366796" w:rsidP="00366796">
      <w:pPr>
        <w:pStyle w:val="Heading3"/>
      </w:pPr>
      <w:bookmarkStart w:id="481" w:name="_Toc494444592"/>
      <w:r w:rsidRPr="00E6110F">
        <w:t>Chemical-specific transformation pathways</w:t>
      </w:r>
      <w:bookmarkEnd w:id="481"/>
    </w:p>
    <w:p w14:paraId="30A1862C" w14:textId="333321E6" w:rsidR="00085E9E" w:rsidRPr="00085E9E" w:rsidRDefault="00085E9E" w:rsidP="00085E9E">
      <w:pPr>
        <w:pStyle w:val="Body"/>
      </w:pPr>
      <w:r>
        <w:t xml:space="preserve">Transformation pathways and rates (or half-lives) are discussed for all organic compounds. The majority of laboratory and field data is available for aerobic conditions, typical of soil and shallow groundwater. For a few compounds half-lives were available for anaerobic conditions, typical of deeper groundwater.  </w:t>
      </w:r>
    </w:p>
    <w:p w14:paraId="713F085F" w14:textId="5D239343" w:rsidR="0039686E" w:rsidRPr="00E6110F" w:rsidRDefault="0039686E" w:rsidP="0039686E">
      <w:pPr>
        <w:pStyle w:val="Heading3"/>
        <w:numPr>
          <w:ilvl w:val="3"/>
          <w:numId w:val="1"/>
        </w:numPr>
      </w:pPr>
      <w:bookmarkStart w:id="482" w:name="_Toc494444593"/>
      <w:r w:rsidRPr="00E6110F">
        <w:t>2-methylphenol</w:t>
      </w:r>
      <w:bookmarkEnd w:id="482"/>
    </w:p>
    <w:p w14:paraId="5219D10C" w14:textId="0A4AB1BD" w:rsidR="00F22D0F" w:rsidRDefault="0039686E" w:rsidP="0039686E">
      <w:pPr>
        <w:pStyle w:val="Body"/>
      </w:pPr>
      <w:r w:rsidRPr="00E6110F">
        <w:t xml:space="preserve">Ahamad et al. (2001) summarised literature reported metabolic pathways for </w:t>
      </w:r>
      <w:r w:rsidR="00A0322F">
        <w:t xml:space="preserve">2-methylphenol or </w:t>
      </w:r>
      <w:r w:rsidRPr="00E6110F">
        <w:t xml:space="preserve">o-cresol degradation by </w:t>
      </w:r>
      <w:r w:rsidRPr="00E6110F">
        <w:rPr>
          <w:i/>
        </w:rPr>
        <w:t>Pseudomonas</w:t>
      </w:r>
      <w:r w:rsidRPr="00E6110F">
        <w:t xml:space="preserve"> in soil (see</w:t>
      </w:r>
      <w:r w:rsidR="00A16E83" w:rsidRPr="00E6110F">
        <w:t xml:space="preserve"> </w:t>
      </w:r>
      <w:r w:rsidR="00A16E83" w:rsidRPr="00E6110F">
        <w:fldChar w:fldCharType="begin" w:fldLock="1"/>
      </w:r>
      <w:r w:rsidR="00A16E83" w:rsidRPr="00E6110F">
        <w:instrText xml:space="preserve"> REF _Ref447103226 \h </w:instrText>
      </w:r>
      <w:r w:rsidR="00AB0783" w:rsidRPr="00E6110F">
        <w:instrText xml:space="preserve"> \* MERGEFORMAT </w:instrText>
      </w:r>
      <w:r w:rsidR="00A16E83" w:rsidRPr="00E6110F">
        <w:fldChar w:fldCharType="separate"/>
      </w:r>
      <w:r w:rsidR="00335E79" w:rsidRPr="00E6110F">
        <w:t xml:space="preserve">Figure </w:t>
      </w:r>
      <w:r w:rsidR="00335E79">
        <w:rPr>
          <w:noProof/>
        </w:rPr>
        <w:t>4</w:t>
      </w:r>
      <w:r w:rsidR="00335E79">
        <w:rPr>
          <w:noProof/>
        </w:rPr>
        <w:noBreakHyphen/>
        <w:t>6</w:t>
      </w:r>
      <w:r w:rsidR="00A16E83" w:rsidRPr="00E6110F">
        <w:fldChar w:fldCharType="end"/>
      </w:r>
      <w:r w:rsidRPr="00E6110F">
        <w:t>). O-cresol initially degrades to 3-methylcatechol and subsequently degrades to form 2-hydroxy-6 ke</w:t>
      </w:r>
      <w:r w:rsidR="00360F35">
        <w:t>t</w:t>
      </w:r>
      <w:r w:rsidRPr="00E6110F">
        <w:t>ohepta-2</w:t>
      </w:r>
      <w:proofErr w:type="gramStart"/>
      <w:r w:rsidRPr="00E6110F">
        <w:t>,4</w:t>
      </w:r>
      <w:proofErr w:type="gramEnd"/>
      <w:r w:rsidRPr="00E6110F">
        <w:t xml:space="preserve"> dieonate, followed by 2-ketopent-4-eonate and 4-hydroxy-2-ketopentanoate. Degradation studies of o-cresol in agricultural soils Loehr (1989) determined half-lives ranging between 1.6 to 5.1 days. Similar to the other phenolic compounds discussed here, reported degradation rates appear to have been influenced by their initial concentration in soil, the pH of the soil and factors including cation exchange capacity (CEC) and organic carbon content of the test soils.  </w:t>
      </w:r>
    </w:p>
    <w:p w14:paraId="7AE25AC1" w14:textId="2E343F16" w:rsidR="00A0322F" w:rsidRPr="00E6110F" w:rsidRDefault="00A0322F" w:rsidP="0039686E">
      <w:pPr>
        <w:pStyle w:val="Body"/>
      </w:pPr>
      <w:r>
        <w:t>Aronson and H</w:t>
      </w:r>
      <w:r w:rsidR="00816B6F">
        <w:t>oward (1998</w:t>
      </w:r>
      <w:r>
        <w:t>) recommend a lower-limit half-life of 20 days (the sole reported field study) and an upper limit half-life of 1386 days</w:t>
      </w:r>
      <w:r w:rsidR="00360F35">
        <w:t xml:space="preserve"> for anaerobic conditions</w:t>
      </w:r>
      <w:r>
        <w:t>.</w:t>
      </w:r>
      <w:r w:rsidR="00816B6F">
        <w:t xml:space="preserve"> </w:t>
      </w:r>
    </w:p>
    <w:p w14:paraId="492227D6" w14:textId="37B9F8AA" w:rsidR="0039686E" w:rsidRPr="00E6110F" w:rsidRDefault="00584802" w:rsidP="00F22D0F">
      <w:pPr>
        <w:pStyle w:val="Body"/>
        <w:jc w:val="center"/>
      </w:pPr>
      <w:r>
        <w:rPr>
          <w:noProof/>
          <w:lang w:val="en-AU" w:eastAsia="en-AU"/>
        </w:rPr>
        <w:drawing>
          <wp:inline distT="0" distB="0" distL="0" distR="0" wp14:anchorId="76ABEE4B" wp14:editId="4E078046">
            <wp:extent cx="3381918" cy="4396154"/>
            <wp:effectExtent l="0" t="0" r="0" b="0"/>
            <wp:docPr id="30" name="Picture 30" descr="Diagram of metabolic degradation of o-cresol." title="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3393673" cy="4411434"/>
                    </a:xfrm>
                    <a:prstGeom prst="rect">
                      <a:avLst/>
                    </a:prstGeom>
                    <a:noFill/>
                  </pic:spPr>
                </pic:pic>
              </a:graphicData>
            </a:graphic>
          </wp:inline>
        </w:drawing>
      </w:r>
    </w:p>
    <w:p w14:paraId="778DA856" w14:textId="63984AAF" w:rsidR="00F22D0F" w:rsidRPr="00E6110F" w:rsidRDefault="00F22D0F" w:rsidP="00F22D0F">
      <w:pPr>
        <w:pStyle w:val="Imagecaption"/>
      </w:pPr>
      <w:bookmarkStart w:id="483" w:name="_Ref447103226"/>
      <w:bookmarkStart w:id="484" w:name="_Toc477347636"/>
      <w:r w:rsidRPr="00E6110F">
        <w:t xml:space="preserve">Figure </w:t>
      </w:r>
      <w:r w:rsidR="00254026">
        <w:fldChar w:fldCharType="begin" w:fldLock="1"/>
      </w:r>
      <w:r w:rsidR="00254026">
        <w:instrText xml:space="preserve"> STYLEREF 1 \s </w:instrText>
      </w:r>
      <w:r w:rsidR="00254026">
        <w:fldChar w:fldCharType="separate"/>
      </w:r>
      <w:r w:rsidR="00335E79">
        <w:rPr>
          <w:noProof/>
        </w:rPr>
        <w:t>4</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w:t>
      </w:r>
      <w:r w:rsidR="00254026">
        <w:fldChar w:fldCharType="end"/>
      </w:r>
      <w:bookmarkEnd w:id="483"/>
      <w:r w:rsidRPr="00E6110F">
        <w:t xml:space="preserve"> </w:t>
      </w:r>
      <w:r w:rsidR="00A16E83" w:rsidRPr="00E6110F">
        <w:t>Summary of reported metabolic degradation path</w:t>
      </w:r>
      <w:r w:rsidR="005D4978" w:rsidRPr="00E6110F">
        <w:t>way for o-cresol (</w:t>
      </w:r>
      <w:r w:rsidR="00000ED6">
        <w:t>based on</w:t>
      </w:r>
      <w:r w:rsidR="00693621">
        <w:t xml:space="preserve"> </w:t>
      </w:r>
      <w:r w:rsidR="005D4978" w:rsidRPr="00E6110F">
        <w:t>Ahamad et al.</w:t>
      </w:r>
      <w:r w:rsidR="00A16E83" w:rsidRPr="00E6110F">
        <w:t xml:space="preserve"> 2001).</w:t>
      </w:r>
      <w:bookmarkEnd w:id="484"/>
    </w:p>
    <w:p w14:paraId="0FE98185" w14:textId="0C1A919A" w:rsidR="00F22D0F" w:rsidRPr="00E6110F" w:rsidRDefault="00F22D0F" w:rsidP="00F22D0F">
      <w:pPr>
        <w:pStyle w:val="Heading3"/>
        <w:numPr>
          <w:ilvl w:val="3"/>
          <w:numId w:val="1"/>
        </w:numPr>
      </w:pPr>
      <w:bookmarkStart w:id="485" w:name="_Toc494444594"/>
      <w:r w:rsidRPr="00E6110F">
        <w:t>Naphthalene</w:t>
      </w:r>
      <w:bookmarkEnd w:id="485"/>
    </w:p>
    <w:p w14:paraId="619896FC" w14:textId="5B51B2EF" w:rsidR="00B5383B" w:rsidRDefault="00F22D0F" w:rsidP="00F22D0F">
      <w:pPr>
        <w:pStyle w:val="Body"/>
      </w:pPr>
      <w:r w:rsidRPr="00E6110F">
        <w:t>Naphthalene has been the subject of numerous degradation studies where bacteria in soil have degraded naphthalene to compounds such as naphthalene diol, salicylic acid, and catechol. Some pure culture studies have shown bacteria utilise naphthalene as a so</w:t>
      </w:r>
      <w:r w:rsidR="005D4978" w:rsidRPr="00E6110F">
        <w:t>urce of carbon (Treccani et al.</w:t>
      </w:r>
      <w:r w:rsidRPr="00E6110F">
        <w:t xml:space="preserve"> 1954), whilst others have emphasised the ability of fungi to</w:t>
      </w:r>
      <w:r w:rsidR="0021490D" w:rsidRPr="00E6110F">
        <w:t xml:space="preserve"> oxidise naphthalene (Cerniglia</w:t>
      </w:r>
      <w:r w:rsidRPr="00E6110F">
        <w:t xml:space="preserve"> 1984). Oxidation pathways for culture conditions published in Cerniglia (1984) include five metabolites of naphthalene along the degradation pathway: cis-1</w:t>
      </w:r>
      <w:proofErr w:type="gramStart"/>
      <w:r w:rsidRPr="00E6110F">
        <w:t>,2</w:t>
      </w:r>
      <w:proofErr w:type="gramEnd"/>
      <w:r w:rsidRPr="00E6110F">
        <w:t>-dihydroxy-1,2-dihydronaphthalene, 1,2-dihydroxynaphthalene, cis-o-hydroxybenzalpyruvic acid, salicylic acid, and catechol (</w:t>
      </w:r>
      <w:r w:rsidR="00D5501F" w:rsidRPr="00E6110F">
        <w:fldChar w:fldCharType="begin" w:fldLock="1"/>
      </w:r>
      <w:r w:rsidR="00D5501F" w:rsidRPr="00E6110F">
        <w:instrText xml:space="preserve"> REF _Ref447103370 \h </w:instrText>
      </w:r>
      <w:r w:rsidR="00AB0783" w:rsidRPr="00E6110F">
        <w:instrText xml:space="preserve"> \* MERGEFORMAT </w:instrText>
      </w:r>
      <w:r w:rsidR="00D5501F" w:rsidRPr="00E6110F">
        <w:fldChar w:fldCharType="separate"/>
      </w:r>
      <w:r w:rsidR="00335E79" w:rsidRPr="00E6110F">
        <w:t xml:space="preserve">Figure </w:t>
      </w:r>
      <w:r w:rsidR="00335E79">
        <w:rPr>
          <w:noProof/>
        </w:rPr>
        <w:t>4</w:t>
      </w:r>
      <w:r w:rsidR="00335E79">
        <w:rPr>
          <w:noProof/>
        </w:rPr>
        <w:noBreakHyphen/>
        <w:t>7</w:t>
      </w:r>
      <w:r w:rsidR="00D5501F" w:rsidRPr="00E6110F">
        <w:fldChar w:fldCharType="end"/>
      </w:r>
      <w:r w:rsidRPr="00E6110F">
        <w:t xml:space="preserve">). Biodegradation has been shown to remove naphthalene from soil, with an estimated half-life </w:t>
      </w:r>
      <w:r w:rsidR="00457090">
        <w:t xml:space="preserve">ranging from 2.1 days </w:t>
      </w:r>
      <w:r w:rsidR="00FB69DD">
        <w:t xml:space="preserve">in a sandy loam soil </w:t>
      </w:r>
      <w:r w:rsidR="00457090">
        <w:t xml:space="preserve">(Park et al. 1990) to </w:t>
      </w:r>
      <w:r w:rsidRPr="00E6110F">
        <w:t>more than 8</w:t>
      </w:r>
      <w:r w:rsidR="00457090">
        <w:t>8</w:t>
      </w:r>
      <w:r w:rsidRPr="00E6110F">
        <w:t xml:space="preserve"> days </w:t>
      </w:r>
      <w:r w:rsidR="00457090">
        <w:t xml:space="preserve">in pristine sediments </w:t>
      </w:r>
      <w:r w:rsidRPr="00E6110F">
        <w:t>(</w:t>
      </w:r>
      <w:r w:rsidR="00457090">
        <w:t>Herbes and Schwall 1978</w:t>
      </w:r>
      <w:r w:rsidRPr="00E6110F">
        <w:t xml:space="preserve">). </w:t>
      </w:r>
    </w:p>
    <w:p w14:paraId="315596C4" w14:textId="580A8C8C" w:rsidR="00B5383B" w:rsidRDefault="00B5383B" w:rsidP="00B5383B">
      <w:pPr>
        <w:pStyle w:val="Body"/>
      </w:pPr>
      <w:r>
        <w:t>Under anaerobic conditions the recommended half-life range is from 96 days (</w:t>
      </w:r>
      <w:r w:rsidRPr="00B5383B">
        <w:t>the mean value for the</w:t>
      </w:r>
      <w:r>
        <w:t xml:space="preserve"> </w:t>
      </w:r>
      <w:r w:rsidRPr="00B5383B">
        <w:t>entire field/in situ microcosm data set</w:t>
      </w:r>
      <w:r>
        <w:t xml:space="preserve">) </w:t>
      </w:r>
      <w:r w:rsidR="00FB69DD">
        <w:t xml:space="preserve">to not biodegradable anaerobically (i.e. zero degradation rate) </w:t>
      </w:r>
      <w:r>
        <w:t>(Aronson and Howard 1998).</w:t>
      </w:r>
    </w:p>
    <w:p w14:paraId="3CF4A1A1" w14:textId="6731BB19" w:rsidR="00F22D0F" w:rsidRPr="00E6110F" w:rsidRDefault="00F22D0F" w:rsidP="00F22D0F">
      <w:pPr>
        <w:pStyle w:val="Body"/>
      </w:pPr>
      <w:r w:rsidRPr="00E6110F">
        <w:t>Naphthalene is very toxic to aquatic organisms, with PNEC</w:t>
      </w:r>
      <w:r w:rsidR="00F579FC">
        <w:rPr>
          <w:rFonts w:ascii="ZWAdobeF" w:hAnsi="ZWAdobeF" w:cs="ZWAdobeF"/>
          <w:color w:val="auto"/>
          <w:sz w:val="2"/>
          <w:szCs w:val="2"/>
        </w:rPr>
        <w:t>19F</w:t>
      </w:r>
      <w:r w:rsidR="00693621">
        <w:rPr>
          <w:rStyle w:val="FootnoteReference"/>
        </w:rPr>
        <w:footnoteReference w:id="18"/>
      </w:r>
      <w:r w:rsidRPr="00E6110F">
        <w:t xml:space="preserve"> values of 2.4 </w:t>
      </w:r>
      <w:r w:rsidR="00046586">
        <w:t>µg</w:t>
      </w:r>
      <w:r w:rsidRPr="00E6110F">
        <w:t>/L (EC 2003). As far as human health is concerned, combined exposure may result in haemolytic anaemia, inhalation t</w:t>
      </w:r>
      <w:r w:rsidR="0021490D" w:rsidRPr="00E6110F">
        <w:t>oxicity and carcinogenicity (EC</w:t>
      </w:r>
      <w:r w:rsidRPr="00E6110F">
        <w:t xml:space="preserve"> 2003).</w:t>
      </w:r>
    </w:p>
    <w:p w14:paraId="6744DC23" w14:textId="5D6753FA" w:rsidR="00D5501F" w:rsidRPr="00E6110F" w:rsidRDefault="00D5501F" w:rsidP="00D5501F">
      <w:pPr>
        <w:pStyle w:val="Body"/>
        <w:jc w:val="center"/>
      </w:pPr>
      <w:r w:rsidRPr="00E6110F">
        <w:rPr>
          <w:noProof/>
          <w:lang w:val="en-AU" w:eastAsia="en-AU"/>
        </w:rPr>
        <w:drawing>
          <wp:inline distT="0" distB="0" distL="0" distR="0" wp14:anchorId="72FC7B44" wp14:editId="3BCFE670">
            <wp:extent cx="3573780" cy="3177540"/>
            <wp:effectExtent l="0" t="0" r="0" b="3810"/>
            <wp:docPr id="48" name="Picture 48" descr="Diagram of proposed catabolic pathway for napthalene in soil bacteria." title="Fig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3573780" cy="3177540"/>
                    </a:xfrm>
                    <a:prstGeom prst="rect">
                      <a:avLst/>
                    </a:prstGeom>
                    <a:noFill/>
                    <a:ln>
                      <a:noFill/>
                    </a:ln>
                  </pic:spPr>
                </pic:pic>
              </a:graphicData>
            </a:graphic>
          </wp:inline>
        </w:drawing>
      </w:r>
    </w:p>
    <w:p w14:paraId="58C13B3C" w14:textId="5ACB1CDB" w:rsidR="00D5501F" w:rsidRPr="00E6110F" w:rsidRDefault="00D5501F" w:rsidP="00D5501F">
      <w:pPr>
        <w:pStyle w:val="Imagecaption"/>
      </w:pPr>
      <w:bookmarkStart w:id="486" w:name="_Ref447103370"/>
      <w:bookmarkStart w:id="487" w:name="_Toc477347637"/>
      <w:r w:rsidRPr="00E6110F">
        <w:t xml:space="preserve">Figure </w:t>
      </w:r>
      <w:r w:rsidR="00254026">
        <w:fldChar w:fldCharType="begin" w:fldLock="1"/>
      </w:r>
      <w:r w:rsidR="00254026">
        <w:instrText xml:space="preserve"> STYLEREF 1 \s </w:instrText>
      </w:r>
      <w:r w:rsidR="00254026">
        <w:fldChar w:fldCharType="separate"/>
      </w:r>
      <w:r w:rsidR="00335E79">
        <w:rPr>
          <w:noProof/>
        </w:rPr>
        <w:t>4</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w:t>
      </w:r>
      <w:r w:rsidR="00254026">
        <w:fldChar w:fldCharType="end"/>
      </w:r>
      <w:bookmarkEnd w:id="486"/>
      <w:r w:rsidRPr="00E6110F">
        <w:t xml:space="preserve"> Proposed catabolic pathway for naphthalene </w:t>
      </w:r>
      <w:r w:rsidR="0021490D" w:rsidRPr="00E6110F">
        <w:t>by soil bacteria (</w:t>
      </w:r>
      <w:r w:rsidR="00000ED6">
        <w:t>based on</w:t>
      </w:r>
      <w:r w:rsidR="00693621">
        <w:t xml:space="preserve"> </w:t>
      </w:r>
      <w:r w:rsidR="0021490D" w:rsidRPr="00E6110F">
        <w:t>Denome et al. 1993; Kiyohara et al.</w:t>
      </w:r>
      <w:r w:rsidRPr="00E6110F">
        <w:t xml:space="preserve"> 1994; Goy</w:t>
      </w:r>
      <w:r w:rsidR="0021490D" w:rsidRPr="00E6110F">
        <w:t>al and Zylastra</w:t>
      </w:r>
      <w:r w:rsidRPr="00E6110F">
        <w:t xml:space="preserve"> 1997).</w:t>
      </w:r>
      <w:bookmarkEnd w:id="487"/>
    </w:p>
    <w:p w14:paraId="1B027A7F" w14:textId="718CA90B" w:rsidR="0039686E" w:rsidRPr="00E6110F" w:rsidRDefault="00F22D0F" w:rsidP="00F22D0F">
      <w:pPr>
        <w:pStyle w:val="Heading3"/>
        <w:numPr>
          <w:ilvl w:val="3"/>
          <w:numId w:val="1"/>
        </w:numPr>
      </w:pPr>
      <w:bookmarkStart w:id="488" w:name="_Toc494444595"/>
      <w:r w:rsidRPr="00E6110F">
        <w:t>2-butoxyethanol</w:t>
      </w:r>
      <w:bookmarkEnd w:id="488"/>
    </w:p>
    <w:p w14:paraId="3363AC6F" w14:textId="18BC1641" w:rsidR="00DA6B04" w:rsidRDefault="00F22D0F" w:rsidP="00F22D0F">
      <w:pPr>
        <w:pStyle w:val="Body"/>
      </w:pPr>
      <w:r w:rsidRPr="00E6110F">
        <w:t>Degradation studies of 2-butoxyethanol have received little attention in the literature and therefore a paucity of data exists. A review of the toxicological profile for 2-butoxyethanol by ATSDR (1998) did not identify any studies that report degradation products or known pathways. Hydrolysis of 2-butoxyethanol is unlikely, as it contains both alcohol and ether functional groups, which are generally resistant to hydrolysis (Harris 1990). Aerobic biodegradation studies of 2-butoxyethanol using sewage for inocula and mineralisation (of the compound to carbon dioxide and water) as a measure of biodegradation indicated, 5</w:t>
      </w:r>
      <w:r w:rsidR="00E36724" w:rsidRPr="00E6110F">
        <w:t>% mineralisation in 5 days (D</w:t>
      </w:r>
      <w:r w:rsidR="00F80BEA">
        <w:t>OW</w:t>
      </w:r>
      <w:r w:rsidRPr="00E6110F">
        <w:t xml:space="preserve"> 1993), 57-74% in 10 days (D</w:t>
      </w:r>
      <w:r w:rsidR="00F80BEA">
        <w:t>OW</w:t>
      </w:r>
      <w:r w:rsidRPr="00E6110F">
        <w:t xml:space="preserve"> 1993; Price et al. 1974), and 72-88% in 20 days (D</w:t>
      </w:r>
      <w:r w:rsidR="00F80BEA">
        <w:t>OW</w:t>
      </w:r>
      <w:r w:rsidRPr="00E6110F">
        <w:t xml:space="preserve"> 1993; Price et al. 1974). Waggy et al. (1994) determined the biodegradation of 2-butoxyethanol to be 47% in 5 days, 70% in 15 days and 75% in 28 days, using a closed bottle test with settled sewage as a microbial inoculum. </w:t>
      </w:r>
      <w:r w:rsidR="00DA6B04">
        <w:t xml:space="preserve">Based on these test procedures, all studies indicate that </w:t>
      </w:r>
      <w:r w:rsidR="00DA6B04" w:rsidRPr="00E6110F">
        <w:t>2-butoxyethanol</w:t>
      </w:r>
      <w:r w:rsidR="00DA6B04">
        <w:t xml:space="preserve"> is readily biodegradable.</w:t>
      </w:r>
    </w:p>
    <w:p w14:paraId="6AD7A3DE" w14:textId="77F50DD2" w:rsidR="00905F5C" w:rsidRDefault="00F22D0F" w:rsidP="00905F5C">
      <w:pPr>
        <w:pStyle w:val="Body"/>
      </w:pPr>
      <w:r w:rsidRPr="00E6110F">
        <w:t>The aerobic biodegradation half-life of 2-butoxyethanol in surface water has been estimated by Howard et al. (1991) to range between 7-28 days</w:t>
      </w:r>
      <w:r w:rsidR="001F6049">
        <w:t>.</w:t>
      </w:r>
      <w:r w:rsidR="00DA6B04">
        <w:t xml:space="preserve"> </w:t>
      </w:r>
      <w:r w:rsidR="006D1CDA" w:rsidRPr="006D1CDA">
        <w:t xml:space="preserve">The aerobic biodegradation half-life in groundwater has been estimated to range from 14 </w:t>
      </w:r>
      <w:r w:rsidR="0056316E">
        <w:t xml:space="preserve">to 56 </w:t>
      </w:r>
      <w:r w:rsidR="006D1CDA" w:rsidRPr="006D1CDA">
        <w:t xml:space="preserve">days </w:t>
      </w:r>
      <w:r w:rsidR="0056316E">
        <w:t>(or</w:t>
      </w:r>
      <w:r w:rsidR="006D1CDA" w:rsidRPr="006D1CDA">
        <w:t xml:space="preserve"> 8 weeks</w:t>
      </w:r>
      <w:r w:rsidR="0056316E">
        <w:t>)</w:t>
      </w:r>
      <w:r w:rsidR="006D1CDA" w:rsidRPr="006D1CDA">
        <w:t xml:space="preserve"> (Howard et al. 1991). </w:t>
      </w:r>
      <w:r w:rsidRPr="00E6110F">
        <w:t xml:space="preserve">An aerobic biodegradation half-life was also estimated as part of this assessment to be </w:t>
      </w:r>
      <w:r w:rsidR="0056316E">
        <w:t>17.33 days</w:t>
      </w:r>
      <w:r w:rsidR="0056316E" w:rsidRPr="00E6110F">
        <w:t xml:space="preserve"> </w:t>
      </w:r>
      <w:r w:rsidR="0056316E">
        <w:t>(</w:t>
      </w:r>
      <w:r w:rsidR="00E36724" w:rsidRPr="00E6110F">
        <w:t>~416 hours</w:t>
      </w:r>
      <w:r w:rsidR="00643FDB">
        <w:t>)</w:t>
      </w:r>
      <w:r w:rsidR="00E36724" w:rsidRPr="00E6110F">
        <w:t xml:space="preserve"> using BIOWIN (US EPA</w:t>
      </w:r>
      <w:r w:rsidRPr="00E6110F">
        <w:t xml:space="preserve"> 201</w:t>
      </w:r>
      <w:r w:rsidR="00E36724" w:rsidRPr="00E6110F">
        <w:t>2</w:t>
      </w:r>
      <w:r w:rsidRPr="00E6110F">
        <w:t xml:space="preserve">b). </w:t>
      </w:r>
      <w:r w:rsidR="00905F5C" w:rsidRPr="00905F5C">
        <w:t xml:space="preserve">However, as the availability of oxygen decreases with the increase in depth of soil or sediment, the rate of aerobic biotransformation decreases. </w:t>
      </w:r>
      <w:r w:rsidR="00905F5C">
        <w:t>As a result, this compound</w:t>
      </w:r>
      <w:r w:rsidR="00905F5C" w:rsidRPr="00905F5C">
        <w:t xml:space="preserve"> may persist longer in deeper soils and sediments</w:t>
      </w:r>
      <w:r w:rsidR="00905F5C">
        <w:t>.</w:t>
      </w:r>
    </w:p>
    <w:p w14:paraId="1BE3800A" w14:textId="535A5E0D" w:rsidR="00905F5C" w:rsidRDefault="008947C2" w:rsidP="00905F5C">
      <w:pPr>
        <w:pStyle w:val="Body"/>
      </w:pPr>
      <w:r w:rsidRPr="004A3CB5">
        <w:t>T</w:t>
      </w:r>
      <w:r w:rsidR="001F6049" w:rsidRPr="004A3CB5">
        <w:t xml:space="preserve">he </w:t>
      </w:r>
      <w:r w:rsidR="006D1CDA" w:rsidRPr="004A3CB5">
        <w:t xml:space="preserve">aqueous </w:t>
      </w:r>
      <w:r w:rsidR="00A65269">
        <w:t xml:space="preserve">and soil </w:t>
      </w:r>
      <w:r w:rsidR="001F6049" w:rsidRPr="004A3CB5">
        <w:t xml:space="preserve">anaerobic biodegradation half-life was estimated to range from 28 to </w:t>
      </w:r>
      <w:r w:rsidR="0056316E">
        <w:t xml:space="preserve">112 </w:t>
      </w:r>
      <w:r w:rsidR="0056316E" w:rsidRPr="004A3CB5">
        <w:t>days</w:t>
      </w:r>
      <w:r w:rsidR="0056316E">
        <w:t xml:space="preserve"> (or </w:t>
      </w:r>
      <w:r w:rsidR="001F6049" w:rsidRPr="004A3CB5">
        <w:t>16 weeks</w:t>
      </w:r>
      <w:r w:rsidR="0056316E">
        <w:t>)</w:t>
      </w:r>
      <w:r w:rsidR="001F6049" w:rsidRPr="004A3CB5">
        <w:t xml:space="preserve"> (Howard et al. </w:t>
      </w:r>
      <w:r w:rsidR="00A65269">
        <w:t xml:space="preserve">1991; </w:t>
      </w:r>
      <w:r w:rsidR="00905F5C">
        <w:t>ATSDR 1998)</w:t>
      </w:r>
      <w:r w:rsidR="00905F5C" w:rsidRPr="00905F5C">
        <w:t>.</w:t>
      </w:r>
    </w:p>
    <w:p w14:paraId="5CC0FD46" w14:textId="23A96BF0" w:rsidR="008F3671" w:rsidRDefault="008F3671" w:rsidP="00F22D0F">
      <w:pPr>
        <w:pStyle w:val="Body"/>
      </w:pPr>
      <w:r>
        <w:t xml:space="preserve">By invoking analogy to animal metabolism, </w:t>
      </w:r>
      <w:r w:rsidRPr="00E6110F">
        <w:t>2-butoxyethanol</w:t>
      </w:r>
      <w:r>
        <w:t xml:space="preserve"> may undergo enzymatic oxidation (e.g. via dehydrogenase) to 2-butoxyacetylaldehyde, then to 2-butoxyacetic acid and finally to CO</w:t>
      </w:r>
      <w:r w:rsidRPr="008F3671">
        <w:rPr>
          <w:vertAlign w:val="subscript"/>
        </w:rPr>
        <w:t>2</w:t>
      </w:r>
      <w:r>
        <w:t xml:space="preserve"> and water (ATSDR 1998).</w:t>
      </w:r>
    </w:p>
    <w:p w14:paraId="28F4D53E" w14:textId="469098EF" w:rsidR="00574DAB" w:rsidRDefault="00FD3322" w:rsidP="001B0320">
      <w:pPr>
        <w:pStyle w:val="Body"/>
        <w:jc w:val="center"/>
      </w:pPr>
      <w:r>
        <w:rPr>
          <w:noProof/>
          <w:lang w:val="en-AU" w:eastAsia="en-AU"/>
        </w:rPr>
        <w:drawing>
          <wp:inline distT="0" distB="0" distL="0" distR="0" wp14:anchorId="3447E237" wp14:editId="341BF84F">
            <wp:extent cx="3123445" cy="3426737"/>
            <wp:effectExtent l="0" t="0" r="0" b="0"/>
            <wp:docPr id="517" name="Picture 517" descr="Diagram of oxidiation of 2-butoxyethanol." title="Figure 4-8"/>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3140043" cy="3444946"/>
                    </a:xfrm>
                    <a:prstGeom prst="rect">
                      <a:avLst/>
                    </a:prstGeom>
                    <a:noFill/>
                  </pic:spPr>
                </pic:pic>
              </a:graphicData>
            </a:graphic>
          </wp:inline>
        </w:drawing>
      </w:r>
    </w:p>
    <w:p w14:paraId="0353DFBB" w14:textId="3FCA49D4" w:rsidR="00574DAB" w:rsidRPr="00574DAB" w:rsidRDefault="00574DAB" w:rsidP="00574DAB">
      <w:pPr>
        <w:pStyle w:val="Imagecaption"/>
        <w:rPr>
          <w:i w:val="0"/>
        </w:rPr>
      </w:pPr>
      <w:bookmarkStart w:id="489" w:name="_Toc477347638"/>
      <w:r w:rsidRPr="00574DAB">
        <w:rPr>
          <w:i w:val="0"/>
        </w:rPr>
        <w:t xml:space="preserve">Figure </w:t>
      </w:r>
      <w:r w:rsidR="00254026">
        <w:rPr>
          <w:i w:val="0"/>
        </w:rPr>
        <w:fldChar w:fldCharType="begin" w:fldLock="1"/>
      </w:r>
      <w:r w:rsidR="00254026">
        <w:rPr>
          <w:i w:val="0"/>
        </w:rPr>
        <w:instrText xml:space="preserve"> STYLEREF 1 \s </w:instrText>
      </w:r>
      <w:r w:rsidR="00254026">
        <w:rPr>
          <w:i w:val="0"/>
        </w:rPr>
        <w:fldChar w:fldCharType="separate"/>
      </w:r>
      <w:r w:rsidR="00335E79">
        <w:rPr>
          <w:i w:val="0"/>
          <w:noProof/>
        </w:rPr>
        <w:t>4</w:t>
      </w:r>
      <w:r w:rsidR="00254026">
        <w:rPr>
          <w:i w:val="0"/>
        </w:rPr>
        <w:fldChar w:fldCharType="end"/>
      </w:r>
      <w:r w:rsidR="00254026">
        <w:rPr>
          <w:i w:val="0"/>
        </w:rPr>
        <w:noBreakHyphen/>
      </w:r>
      <w:r w:rsidR="00254026">
        <w:rPr>
          <w:i w:val="0"/>
        </w:rPr>
        <w:fldChar w:fldCharType="begin"/>
      </w:r>
      <w:r w:rsidR="00254026">
        <w:rPr>
          <w:i w:val="0"/>
        </w:rPr>
        <w:instrText xml:space="preserve"> SEQ Figure \* ARABIC \s 1 </w:instrText>
      </w:r>
      <w:r w:rsidR="00254026">
        <w:rPr>
          <w:i w:val="0"/>
        </w:rPr>
        <w:fldChar w:fldCharType="separate"/>
      </w:r>
      <w:r w:rsidR="00951AFC">
        <w:rPr>
          <w:i w:val="0"/>
          <w:noProof/>
        </w:rPr>
        <w:t>8</w:t>
      </w:r>
      <w:r w:rsidR="00254026">
        <w:rPr>
          <w:i w:val="0"/>
        </w:rPr>
        <w:fldChar w:fldCharType="end"/>
      </w:r>
      <w:r w:rsidRPr="00574DAB">
        <w:rPr>
          <w:i w:val="0"/>
        </w:rPr>
        <w:t xml:space="preserve"> </w:t>
      </w:r>
      <w:r>
        <w:t xml:space="preserve">Enzymatic oxidation of </w:t>
      </w:r>
      <w:r w:rsidRPr="00E6110F">
        <w:t>2-butoxyethanol</w:t>
      </w:r>
      <w:r>
        <w:t xml:space="preserve"> (</w:t>
      </w:r>
      <w:r w:rsidR="00000ED6">
        <w:t>based on</w:t>
      </w:r>
      <w:r w:rsidR="00693621">
        <w:t xml:space="preserve"> </w:t>
      </w:r>
      <w:r w:rsidR="001B0320">
        <w:t>ATSDR 1998</w:t>
      </w:r>
      <w:r>
        <w:t>).</w:t>
      </w:r>
      <w:bookmarkEnd w:id="489"/>
    </w:p>
    <w:p w14:paraId="1A3105EC" w14:textId="65BCE74E" w:rsidR="0039686E" w:rsidRPr="00E6110F" w:rsidRDefault="0039686E" w:rsidP="0039686E">
      <w:pPr>
        <w:pStyle w:val="Heading3"/>
        <w:numPr>
          <w:ilvl w:val="3"/>
          <w:numId w:val="1"/>
        </w:numPr>
      </w:pPr>
      <w:bookmarkStart w:id="490" w:name="_Toc494444596"/>
      <w:r w:rsidRPr="00E6110F">
        <w:t>Bronopol</w:t>
      </w:r>
      <w:bookmarkEnd w:id="490"/>
    </w:p>
    <w:p w14:paraId="492BE986" w14:textId="77777777" w:rsidR="0007634A" w:rsidRDefault="004E2181" w:rsidP="004E2181">
      <w:pPr>
        <w:pStyle w:val="Body"/>
      </w:pPr>
      <w:r>
        <w:t xml:space="preserve">Bronopol, one of many possibly biocides, are essential components of hydraulic fracturing fluids used for unconventional gas extraction. Within the well environment, bacteria may cause bioclogging and inhibit gas extraction, produce toxic hydrogen sulfide, and induce corrosion leading to downhole equipment failure. Kahrilas et al. (2014) found that: </w:t>
      </w:r>
    </w:p>
    <w:p w14:paraId="3EFDBFE7" w14:textId="213136BE" w:rsidR="0007634A" w:rsidRDefault="004E2181" w:rsidP="00217A03">
      <w:pPr>
        <w:pStyle w:val="Body"/>
        <w:numPr>
          <w:ilvl w:val="0"/>
          <w:numId w:val="80"/>
        </w:numPr>
      </w:pPr>
      <w:r>
        <w:t>uncharged biocides will dominate in the aqueous phase and be subject to degradation and transport whereas charged biocides will sorb to solids and be less bioavailable</w:t>
      </w:r>
      <w:r w:rsidR="0007634A">
        <w:t>,</w:t>
      </w:r>
      <w:r>
        <w:t xml:space="preserve"> </w:t>
      </w:r>
    </w:p>
    <w:p w14:paraId="1D181B6A" w14:textId="26A32752" w:rsidR="0007634A" w:rsidRDefault="004E2181" w:rsidP="00217A03">
      <w:pPr>
        <w:pStyle w:val="Body"/>
        <w:numPr>
          <w:ilvl w:val="0"/>
          <w:numId w:val="80"/>
        </w:numPr>
      </w:pPr>
      <w:r>
        <w:t>many biocides are short-lived or degradable through abiotic and biotic processes, while some may transform into more toxic or persistent compounds</w:t>
      </w:r>
      <w:r w:rsidR="0007634A">
        <w:t>,</w:t>
      </w:r>
      <w:r>
        <w:t xml:space="preserve"> </w:t>
      </w:r>
    </w:p>
    <w:p w14:paraId="4C55284C" w14:textId="7721817F" w:rsidR="004E2181" w:rsidRDefault="004E2181" w:rsidP="00217A03">
      <w:pPr>
        <w:pStyle w:val="Body"/>
        <w:numPr>
          <w:ilvl w:val="0"/>
          <w:numId w:val="80"/>
        </w:numPr>
      </w:pPr>
      <w:proofErr w:type="gramStart"/>
      <w:r>
        <w:t>understanding</w:t>
      </w:r>
      <w:proofErr w:type="gramEnd"/>
      <w:r>
        <w:t xml:space="preserve"> of biocides’ fate under typical downhole conditions of high pressure, temperature, and salt and organic matter concentrations is limited.</w:t>
      </w:r>
    </w:p>
    <w:p w14:paraId="1FC0CCB4" w14:textId="6C00E6C1" w:rsidR="00501E53" w:rsidRDefault="00B3776E" w:rsidP="00B3776E">
      <w:pPr>
        <w:pStyle w:val="Body"/>
      </w:pPr>
      <w:r w:rsidRPr="00E6110F">
        <w:t xml:space="preserve">Bronopol can be stable to hydrolysis under normal/ambient conditions, but susceptible to hydrolysis when exposed to elevated temperatures </w:t>
      </w:r>
      <w:r w:rsidR="00E36724" w:rsidRPr="00E6110F">
        <w:t>and alkaline conditions (US EPA</w:t>
      </w:r>
      <w:r w:rsidRPr="00E6110F">
        <w:t xml:space="preserve"> 1995</w:t>
      </w:r>
      <w:r w:rsidR="00E36724" w:rsidRPr="00E6110F">
        <w:t>b</w:t>
      </w:r>
      <w:r w:rsidRPr="00E6110F">
        <w:t xml:space="preserve">). Degradation pathways for bronopol vary depending on the environmental conditions and medium. Bronopol has been found to degrade </w:t>
      </w:r>
      <w:r w:rsidR="005D0496">
        <w:t xml:space="preserve">(hydrolyse) </w:t>
      </w:r>
      <w:r w:rsidRPr="00E6110F">
        <w:t>to formaldehyde, 2-hydroxymethyl-2-nitropropane-1</w:t>
      </w:r>
      <w:proofErr w:type="gramStart"/>
      <w:r w:rsidRPr="00E6110F">
        <w:t>,3</w:t>
      </w:r>
      <w:proofErr w:type="gramEnd"/>
      <w:r w:rsidRPr="00E6110F">
        <w:t>-diol (tris) and 2-bromo-2-nitroethanol (BNE) in a review summarised by the United States Environm</w:t>
      </w:r>
      <w:r w:rsidR="00E36724" w:rsidRPr="00E6110F">
        <w:t>ental Protection Agency (US EPA</w:t>
      </w:r>
      <w:r w:rsidRPr="00E6110F">
        <w:t xml:space="preserve"> 1995</w:t>
      </w:r>
      <w:r w:rsidR="00E36724" w:rsidRPr="00E6110F">
        <w:t>b</w:t>
      </w:r>
      <w:r w:rsidRPr="00E6110F">
        <w:t>). Other degradation products have been reported and include bromonitromethane (BNM) and nitromethane (NM) (</w:t>
      </w:r>
      <w:r w:rsidR="00F22D0F" w:rsidRPr="00E6110F">
        <w:fldChar w:fldCharType="begin" w:fldLock="1"/>
      </w:r>
      <w:r w:rsidR="00F22D0F" w:rsidRPr="00E6110F">
        <w:instrText xml:space="preserve"> REF _Ref446092180 \h </w:instrText>
      </w:r>
      <w:r w:rsidR="00AB0783" w:rsidRPr="00E6110F">
        <w:instrText xml:space="preserve"> \* MERGEFORMAT </w:instrText>
      </w:r>
      <w:r w:rsidR="00F22D0F" w:rsidRPr="00E6110F">
        <w:fldChar w:fldCharType="separate"/>
      </w:r>
      <w:r w:rsidR="00335E79" w:rsidRPr="00E6110F">
        <w:t xml:space="preserve">Figure </w:t>
      </w:r>
      <w:r w:rsidR="00335E79">
        <w:rPr>
          <w:noProof/>
        </w:rPr>
        <w:t>4</w:t>
      </w:r>
      <w:r w:rsidR="00335E79">
        <w:rPr>
          <w:noProof/>
        </w:rPr>
        <w:noBreakHyphen/>
        <w:t>9</w:t>
      </w:r>
      <w:r w:rsidR="00F22D0F" w:rsidRPr="00E6110F">
        <w:fldChar w:fldCharType="end"/>
      </w:r>
      <w:r w:rsidRPr="00E6110F">
        <w:t xml:space="preserve">; Cui et al., 2011), bromo-nitroethane, bromo-ethanol, and </w:t>
      </w:r>
      <w:r w:rsidR="00E36724" w:rsidRPr="00E6110F">
        <w:t>bromo-nitroethanol (Wang et al.</w:t>
      </w:r>
      <w:r w:rsidRPr="00E6110F">
        <w:t xml:space="preserve"> 2002). </w:t>
      </w:r>
    </w:p>
    <w:p w14:paraId="5EEADF6B" w14:textId="16B5D38C" w:rsidR="00B3776E" w:rsidRPr="00E6110F" w:rsidRDefault="00B3776E" w:rsidP="00B3776E">
      <w:pPr>
        <w:pStyle w:val="Body"/>
      </w:pPr>
      <w:r w:rsidRPr="00E6110F">
        <w:t xml:space="preserve">In ambient laboratory conditions, the half-life for bronopol due to hydrolysis was determined to be approximately </w:t>
      </w:r>
      <w:r w:rsidR="0056316E">
        <w:t xml:space="preserve">6,570 days (or </w:t>
      </w:r>
      <w:r w:rsidRPr="00E6110F">
        <w:t>18 years</w:t>
      </w:r>
      <w:r w:rsidR="0056316E">
        <w:t>)</w:t>
      </w:r>
      <w:r w:rsidRPr="00E6110F">
        <w:t xml:space="preserve"> at pH 4, about </w:t>
      </w:r>
      <w:r w:rsidR="0056316E">
        <w:t xml:space="preserve">548 days (or </w:t>
      </w:r>
      <w:r w:rsidRPr="00E6110F">
        <w:t>1.5 years</w:t>
      </w:r>
      <w:r w:rsidR="0056316E">
        <w:t>)</w:t>
      </w:r>
      <w:r w:rsidRPr="00E6110F">
        <w:t xml:space="preserve"> at pH 6 and about </w:t>
      </w:r>
      <w:r w:rsidR="0056316E">
        <w:t xml:space="preserve">61 days (or </w:t>
      </w:r>
      <w:r w:rsidRPr="00E6110F">
        <w:t>2 months</w:t>
      </w:r>
      <w:r w:rsidR="0056316E">
        <w:t>)</w:t>
      </w:r>
      <w:r w:rsidRPr="00E6110F">
        <w:t xml:space="preserve"> at pH 8. </w:t>
      </w:r>
      <w:r w:rsidR="00571D8B">
        <w:t xml:space="preserve">At higher temperatures, hydrolysis is greatly accelerated. </w:t>
      </w:r>
      <w:r w:rsidRPr="00E6110F">
        <w:t>At an elevated temperature of 60</w:t>
      </w:r>
      <w:r w:rsidRPr="00E6110F">
        <w:rPr>
          <w:vertAlign w:val="superscript"/>
        </w:rPr>
        <w:t>o</w:t>
      </w:r>
      <w:r w:rsidRPr="00E6110F">
        <w:t xml:space="preserve">C and a pH of 4 and 8, half-lives were found to be much shorter, 4 </w:t>
      </w:r>
      <w:r w:rsidR="00A602CF">
        <w:t xml:space="preserve">and 0.125 </w:t>
      </w:r>
      <w:r w:rsidRPr="00E6110F">
        <w:t xml:space="preserve">days </w:t>
      </w:r>
      <w:r w:rsidR="00A602CF">
        <w:t xml:space="preserve">(or </w:t>
      </w:r>
      <w:r w:rsidRPr="00E6110F">
        <w:t>3 hours</w:t>
      </w:r>
      <w:r w:rsidR="00A602CF">
        <w:t>)</w:t>
      </w:r>
      <w:r w:rsidRPr="00E6110F">
        <w:t>, respectively (US EPA 1995</w:t>
      </w:r>
      <w:r w:rsidR="003C0176" w:rsidRPr="00E6110F">
        <w:t>b</w:t>
      </w:r>
      <w:r w:rsidRPr="00E6110F">
        <w:t>). For the purpose of this study, it was assumed that bronopol will degrade to formaldehyde.</w:t>
      </w:r>
    </w:p>
    <w:p w14:paraId="31DDF022" w14:textId="77777777" w:rsidR="00F22D0F" w:rsidRPr="00E6110F" w:rsidRDefault="00F22D0F" w:rsidP="00F22D0F">
      <w:pPr>
        <w:jc w:val="center"/>
      </w:pPr>
      <w:r w:rsidRPr="00E6110F">
        <w:rPr>
          <w:noProof/>
          <w:lang w:val="en-AU" w:eastAsia="en-AU"/>
        </w:rPr>
        <w:drawing>
          <wp:inline distT="0" distB="0" distL="0" distR="0" wp14:anchorId="05B21231" wp14:editId="33F11732">
            <wp:extent cx="3194539" cy="1226709"/>
            <wp:effectExtent l="0" t="0" r="0" b="0"/>
            <wp:docPr id="19" name="Picture 1" descr="Proposed degradation pathways for bronopol in natural waters." title="Figure 4-9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3199917" cy="1228774"/>
                    </a:xfrm>
                    <a:prstGeom prst="rect">
                      <a:avLst/>
                    </a:prstGeom>
                    <a:noFill/>
                  </pic:spPr>
                </pic:pic>
              </a:graphicData>
            </a:graphic>
          </wp:inline>
        </w:drawing>
      </w:r>
    </w:p>
    <w:p w14:paraId="2A521D9F" w14:textId="77777777" w:rsidR="00F22D0F" w:rsidRPr="00E6110F" w:rsidRDefault="00F22D0F" w:rsidP="00F22D0F">
      <w:pPr>
        <w:jc w:val="center"/>
      </w:pPr>
      <w:r w:rsidRPr="00E6110F">
        <w:rPr>
          <w:noProof/>
          <w:lang w:val="en-AU" w:eastAsia="en-AU"/>
        </w:rPr>
        <w:drawing>
          <wp:inline distT="0" distB="0" distL="0" distR="0" wp14:anchorId="4A71A713" wp14:editId="4313AA3D">
            <wp:extent cx="3193784" cy="885093"/>
            <wp:effectExtent l="0" t="0" r="0" b="0"/>
            <wp:docPr id="22" name="Picture 37" descr="Proposed degradation pathways for bronopol in natural waters" title="Figure 4-9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3195261" cy="885502"/>
                    </a:xfrm>
                    <a:prstGeom prst="rect">
                      <a:avLst/>
                    </a:prstGeom>
                    <a:noFill/>
                  </pic:spPr>
                </pic:pic>
              </a:graphicData>
            </a:graphic>
          </wp:inline>
        </w:drawing>
      </w:r>
    </w:p>
    <w:p w14:paraId="2B472B5D" w14:textId="77777777" w:rsidR="00F22D0F" w:rsidRPr="00E6110F" w:rsidRDefault="00F22D0F" w:rsidP="00F22D0F">
      <w:pPr>
        <w:jc w:val="center"/>
      </w:pPr>
      <w:r w:rsidRPr="00E6110F">
        <w:rPr>
          <w:noProof/>
          <w:lang w:val="en-AU" w:eastAsia="en-AU"/>
        </w:rPr>
        <w:drawing>
          <wp:inline distT="0" distB="0" distL="0" distR="0" wp14:anchorId="39FDE61E" wp14:editId="473ACDCB">
            <wp:extent cx="3153508" cy="841834"/>
            <wp:effectExtent l="0" t="0" r="0" b="0"/>
            <wp:docPr id="23" name="Picture 22" descr="Proposed degradation pathways for bronopol in natural waters" title="Figure 4-9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3154027" cy="841972"/>
                    </a:xfrm>
                    <a:prstGeom prst="rect">
                      <a:avLst/>
                    </a:prstGeom>
                    <a:noFill/>
                  </pic:spPr>
                </pic:pic>
              </a:graphicData>
            </a:graphic>
          </wp:inline>
        </w:drawing>
      </w:r>
    </w:p>
    <w:p w14:paraId="64575704" w14:textId="3982E48D" w:rsidR="00F22D0F" w:rsidRDefault="00F22D0F" w:rsidP="00F22D0F">
      <w:pPr>
        <w:pStyle w:val="Imagecaption"/>
      </w:pPr>
      <w:bookmarkStart w:id="491" w:name="_Ref446092180"/>
      <w:bookmarkStart w:id="492" w:name="_Toc477347639"/>
      <w:r w:rsidRPr="00E6110F">
        <w:t xml:space="preserve">Figure </w:t>
      </w:r>
      <w:r w:rsidR="00254026">
        <w:fldChar w:fldCharType="begin" w:fldLock="1"/>
      </w:r>
      <w:r w:rsidR="00254026">
        <w:instrText xml:space="preserve"> STYLEREF 1 \s </w:instrText>
      </w:r>
      <w:r w:rsidR="00254026">
        <w:fldChar w:fldCharType="separate"/>
      </w:r>
      <w:r w:rsidR="00335E79">
        <w:rPr>
          <w:noProof/>
        </w:rPr>
        <w:t>4</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9</w:t>
      </w:r>
      <w:r w:rsidR="00254026">
        <w:fldChar w:fldCharType="end"/>
      </w:r>
      <w:bookmarkEnd w:id="491"/>
      <w:r w:rsidRPr="00E6110F">
        <w:t xml:space="preserve"> Proposed degradation pathways for bronopo</w:t>
      </w:r>
      <w:r w:rsidR="003C0176" w:rsidRPr="00E6110F">
        <w:t>l in natural waters (</w:t>
      </w:r>
      <w:r w:rsidR="004B7279">
        <w:t xml:space="preserve">based on </w:t>
      </w:r>
      <w:r w:rsidR="003C0176" w:rsidRPr="00E6110F">
        <w:t>Cui et al.</w:t>
      </w:r>
      <w:r w:rsidRPr="00E6110F">
        <w:t xml:space="preserve"> 2011).</w:t>
      </w:r>
      <w:bookmarkEnd w:id="492"/>
    </w:p>
    <w:p w14:paraId="3A09BB6E" w14:textId="77777777" w:rsidR="00D63B76" w:rsidRPr="00E6110F" w:rsidRDefault="00D63B76" w:rsidP="00D63B76">
      <w:pPr>
        <w:pStyle w:val="Body"/>
      </w:pPr>
    </w:p>
    <w:p w14:paraId="3DE5FDAE" w14:textId="38C3287B" w:rsidR="006454BB" w:rsidRPr="00E6110F" w:rsidRDefault="00F22D0F" w:rsidP="00F22D0F">
      <w:pPr>
        <w:pStyle w:val="Heading3"/>
        <w:numPr>
          <w:ilvl w:val="3"/>
          <w:numId w:val="1"/>
        </w:numPr>
      </w:pPr>
      <w:bookmarkStart w:id="493" w:name="_Toc494444597"/>
      <w:r w:rsidRPr="00E6110F">
        <w:t>Limonene</w:t>
      </w:r>
      <w:bookmarkEnd w:id="493"/>
    </w:p>
    <w:p w14:paraId="3770CA8F" w14:textId="12EC5C73" w:rsidR="00B25C91" w:rsidRPr="00B25C91" w:rsidRDefault="00F22D0F" w:rsidP="00B25C91">
      <w:pPr>
        <w:pStyle w:val="Body"/>
      </w:pPr>
      <w:r w:rsidRPr="00E6110F">
        <w:t xml:space="preserve">Similar to 2-butoxyethanol, limonene does not have functional groups for hydrolysis, its cyclohexene ring and ethylene group are known to be resistant to hydrolysis and it therefore is an unlikely process in terrestrial </w:t>
      </w:r>
      <w:r w:rsidR="003C0176" w:rsidRPr="00E6110F">
        <w:t>or aquatic environments (US EPA</w:t>
      </w:r>
      <w:r w:rsidRPr="00E6110F">
        <w:t xml:space="preserve"> 1994</w:t>
      </w:r>
      <w:r w:rsidR="001B1F7F">
        <w:t>b</w:t>
      </w:r>
      <w:r w:rsidRPr="00E6110F">
        <w:t xml:space="preserve">). Biotic degradation of limonene by some species of microorganisms has been reported. For example, </w:t>
      </w:r>
      <w:r w:rsidRPr="00E6110F">
        <w:rPr>
          <w:i/>
        </w:rPr>
        <w:t>Penicillium digitatum, Corynespora cassiicola and Diplodia gossypina</w:t>
      </w:r>
      <w:r w:rsidR="003C0176" w:rsidRPr="00E6110F">
        <w:t xml:space="preserve"> (Abraham et al.</w:t>
      </w:r>
      <w:r w:rsidRPr="00E6110F">
        <w:t xml:space="preserve"> 1985), and a soil strain of </w:t>
      </w:r>
      <w:r w:rsidRPr="00E6110F">
        <w:rPr>
          <w:i/>
        </w:rPr>
        <w:t>Pseudomonas</w:t>
      </w:r>
      <w:r w:rsidRPr="00E6110F">
        <w:t xml:space="preserve"> sp. (PL strai</w:t>
      </w:r>
      <w:r w:rsidR="003C0176" w:rsidRPr="00E6110F">
        <w:t>n) (Dhavalikar and Bhattacharayya</w:t>
      </w:r>
      <w:r w:rsidRPr="00E6110F">
        <w:t xml:space="preserve"> 1966</w:t>
      </w:r>
      <w:r w:rsidR="003C0176" w:rsidRPr="00E6110F">
        <w:t>; Shulka and</w:t>
      </w:r>
      <w:r w:rsidRPr="00E6110F">
        <w:t xml:space="preserve"> Bhattacharayya 1968). MITI (1992) demonstrated that limonene was readily biodegradable with 41–98% degradation by biochemical oxygen demand in 14 days; testing was under aerobic conditions in a standard t</w:t>
      </w:r>
      <w:r w:rsidR="003C0176" w:rsidRPr="00E6110F">
        <w:t>est specified by the OECD (OECD</w:t>
      </w:r>
      <w:r w:rsidRPr="00E6110F">
        <w:t xml:space="preserve"> 1981).</w:t>
      </w:r>
      <w:r w:rsidR="00A92FE6" w:rsidRPr="00A92FE6">
        <w:t xml:space="preserve"> </w:t>
      </w:r>
      <w:r w:rsidR="00B25C91" w:rsidRPr="00B25C91">
        <w:t>An overview of microbial strains found to be capable of bioconversion of limonene yielding a mixture of oxidation products is available from Mikami (1988).</w:t>
      </w:r>
      <w:r w:rsidR="004D7802">
        <w:t xml:space="preserve"> Based on three pathways, the degradation products identified were carveol, perillyl alcohol, and limonene epoxide (</w:t>
      </w:r>
      <w:r w:rsidR="004D7802" w:rsidRPr="00B25C91">
        <w:t>Mikami</w:t>
      </w:r>
      <w:r w:rsidR="004D7802">
        <w:t xml:space="preserve"> 1988).</w:t>
      </w:r>
      <w:r w:rsidR="00FD22B0">
        <w:t xml:space="preserve"> A more recent review of biodegradation products is available from Duetz et al. (2001).</w:t>
      </w:r>
    </w:p>
    <w:p w14:paraId="120B4D9E" w14:textId="3E4A28B0" w:rsidR="00A92FE6" w:rsidRDefault="00A92FE6" w:rsidP="00A92FE6">
      <w:pPr>
        <w:pStyle w:val="Body"/>
      </w:pPr>
      <w:r>
        <w:t>While b</w:t>
      </w:r>
      <w:r w:rsidRPr="00A92FE6">
        <w:t>iodegradation occurs under aerobic</w:t>
      </w:r>
      <w:r>
        <w:t xml:space="preserve"> conditions</w:t>
      </w:r>
      <w:r w:rsidRPr="00A92FE6">
        <w:t xml:space="preserve">, </w:t>
      </w:r>
      <w:r>
        <w:t xml:space="preserve">it does not </w:t>
      </w:r>
      <w:r w:rsidR="005D3C37">
        <w:t xml:space="preserve">seem to </w:t>
      </w:r>
      <w:r>
        <w:t xml:space="preserve">occur under </w:t>
      </w:r>
      <w:r w:rsidRPr="00A92FE6">
        <w:t>anaerobic conditions</w:t>
      </w:r>
      <w:r>
        <w:t xml:space="preserve"> (WHO 1998</w:t>
      </w:r>
      <w:r w:rsidR="00A07866">
        <w:t>b</w:t>
      </w:r>
      <w:r>
        <w:t>)</w:t>
      </w:r>
      <w:r w:rsidRPr="00A92FE6">
        <w:t>.</w:t>
      </w:r>
    </w:p>
    <w:p w14:paraId="292206A7" w14:textId="0E92E1B6" w:rsidR="001B0320" w:rsidRDefault="00F9345A" w:rsidP="001B0320">
      <w:pPr>
        <w:pStyle w:val="Body"/>
        <w:jc w:val="center"/>
      </w:pPr>
      <w:r>
        <w:rPr>
          <w:noProof/>
          <w:lang w:val="en-AU" w:eastAsia="en-AU"/>
        </w:rPr>
        <w:drawing>
          <wp:inline distT="0" distB="0" distL="0" distR="0" wp14:anchorId="33E9B326" wp14:editId="4E984A21">
            <wp:extent cx="2784947" cy="4221480"/>
            <wp:effectExtent l="0" t="0" r="0" b="0"/>
            <wp:docPr id="78" name="Picture 78" descr="Diagram of the biodegradation for d-limonene." title="Fig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790541" cy="4229959"/>
                    </a:xfrm>
                    <a:prstGeom prst="rect">
                      <a:avLst/>
                    </a:prstGeom>
                    <a:noFill/>
                  </pic:spPr>
                </pic:pic>
              </a:graphicData>
            </a:graphic>
          </wp:inline>
        </w:drawing>
      </w:r>
    </w:p>
    <w:p w14:paraId="0EAA5D1F" w14:textId="48BC3136" w:rsidR="00F22D0F" w:rsidRDefault="001B0320" w:rsidP="001B0320">
      <w:pPr>
        <w:pStyle w:val="Imagecaption"/>
      </w:pPr>
      <w:bookmarkStart w:id="494" w:name="_Toc477347640"/>
      <w:r>
        <w:t xml:space="preserve">Figure </w:t>
      </w:r>
      <w:r w:rsidR="00254026">
        <w:fldChar w:fldCharType="begin" w:fldLock="1"/>
      </w:r>
      <w:r w:rsidR="00254026">
        <w:instrText xml:space="preserve"> STYLEREF 1 \s </w:instrText>
      </w:r>
      <w:r w:rsidR="00254026">
        <w:fldChar w:fldCharType="separate"/>
      </w:r>
      <w:r w:rsidR="00335E79">
        <w:rPr>
          <w:noProof/>
        </w:rPr>
        <w:t>4</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10</w:t>
      </w:r>
      <w:r w:rsidR="00254026">
        <w:fldChar w:fldCharType="end"/>
      </w:r>
      <w:r>
        <w:t xml:space="preserve"> Biodegradation pathways for d-limonene</w:t>
      </w:r>
      <w:r w:rsidR="00CB3AFD" w:rsidRPr="00CB3AFD">
        <w:t xml:space="preserve"> by a Pseudomonad. Pathway </w:t>
      </w:r>
      <w:r w:rsidR="009306AB">
        <w:t xml:space="preserve">1 </w:t>
      </w:r>
      <w:r w:rsidR="00CB3AFD" w:rsidRPr="00CB3AFD">
        <w:t>(P-1), pathway 2(P-2), pathway 3</w:t>
      </w:r>
      <w:r w:rsidR="00CB3AFD">
        <w:t xml:space="preserve"> </w:t>
      </w:r>
      <w:r w:rsidR="00CB3AFD" w:rsidRPr="00CB3AFD">
        <w:t>(P-3), limonene</w:t>
      </w:r>
      <w:r w:rsidR="00CB3AFD">
        <w:t xml:space="preserve"> </w:t>
      </w:r>
      <w:r w:rsidR="00CB3AFD" w:rsidRPr="00CB3AFD">
        <w:t>(1), carveo</w:t>
      </w:r>
      <w:r w:rsidR="00CB3AFD">
        <w:t xml:space="preserve">l </w:t>
      </w:r>
      <w:r w:rsidR="00CB3AFD" w:rsidRPr="00CB3AFD">
        <w:t>(2), carvone</w:t>
      </w:r>
      <w:r w:rsidR="00CB3AFD">
        <w:t xml:space="preserve"> </w:t>
      </w:r>
      <w:r w:rsidR="00CB3AFD" w:rsidRPr="00CB3AFD">
        <w:t xml:space="preserve">(3), </w:t>
      </w:r>
      <w:r w:rsidR="00E33C5F">
        <w:t xml:space="preserve">perillyl alcohol </w:t>
      </w:r>
      <w:r w:rsidR="00CB3AFD" w:rsidRPr="00CB3AFD">
        <w:t>(4), limonene epoxide</w:t>
      </w:r>
      <w:r w:rsidR="00CB3AFD">
        <w:t xml:space="preserve"> </w:t>
      </w:r>
      <w:r w:rsidR="00CB3AFD" w:rsidRPr="00CB3AFD">
        <w:t>(5)</w:t>
      </w:r>
      <w:r w:rsidR="00F9345A">
        <w:t xml:space="preserve">, </w:t>
      </w:r>
      <w:r w:rsidR="00E33C5F">
        <w:t>dihydrocarvone</w:t>
      </w:r>
      <w:r w:rsidR="00F9345A">
        <w:t xml:space="preserve"> (6)</w:t>
      </w:r>
      <w:r w:rsidR="009306AB">
        <w:t xml:space="preserve"> (based on Mikami 19</w:t>
      </w:r>
      <w:r w:rsidR="00F80BEA">
        <w:t>8</w:t>
      </w:r>
      <w:r w:rsidR="009306AB">
        <w:t>8).</w:t>
      </w:r>
      <w:bookmarkEnd w:id="494"/>
    </w:p>
    <w:p w14:paraId="273EA42E" w14:textId="77777777" w:rsidR="0062678C" w:rsidRPr="00E6110F" w:rsidRDefault="0062678C" w:rsidP="0062678C">
      <w:pPr>
        <w:pStyle w:val="Heading3"/>
        <w:numPr>
          <w:ilvl w:val="3"/>
          <w:numId w:val="1"/>
        </w:numPr>
      </w:pPr>
      <w:bookmarkStart w:id="495" w:name="_Toc494444598"/>
      <w:r w:rsidRPr="00E6110F">
        <w:t>HMX</w:t>
      </w:r>
      <w:bookmarkEnd w:id="495"/>
    </w:p>
    <w:p w14:paraId="6EA2E813" w14:textId="1CE85B41" w:rsidR="002A24CE" w:rsidRDefault="002A24CE" w:rsidP="002A24CE">
      <w:pPr>
        <w:pStyle w:val="Body"/>
        <w:rPr>
          <w:rFonts w:eastAsiaTheme="minorHAnsi" w:cs="AdvGulliv-R"/>
          <w:lang w:eastAsia="en-US"/>
        </w:rPr>
      </w:pPr>
      <w:r w:rsidRPr="00E6110F">
        <w:t xml:space="preserve">HMX has a relatively low affinity for particulate matter, with a correspondingly low log </w:t>
      </w:r>
      <w:r w:rsidRPr="00584802">
        <w:rPr>
          <w:i/>
        </w:rPr>
        <w:t>K</w:t>
      </w:r>
      <w:r w:rsidRPr="00E6110F">
        <w:rPr>
          <w:vertAlign w:val="subscript"/>
        </w:rPr>
        <w:t>OC</w:t>
      </w:r>
      <w:r w:rsidRPr="00E6110F">
        <w:t xml:space="preserve"> (~1-2) </w:t>
      </w:r>
      <w:r w:rsidRPr="00E6110F">
        <w:fldChar w:fldCharType="begin"/>
      </w:r>
      <w:r w:rsidRPr="00E6110F">
        <w:instrText xml:space="preserve"> ADDIN EN.CITE &lt;EndNote&gt;&lt;Cite&gt;&lt;Author&gt;Sharma&lt;/Author&gt;&lt;Year&gt;2013&lt;/Year&gt;&lt;RecNum&gt;3311&lt;/RecNum&gt;&lt;DisplayText&gt;(Sharma&lt;style face="italic"&gt; et al.&lt;/style&gt; 2013)&lt;/DisplayText&gt;&lt;record&gt;&lt;rec-number&gt;3311&lt;/rec-number&gt;&lt;foreign-keys&gt;&lt;key app="EN" db-id="d09sasz0sd22enex2rk5xrr7a5zsf0rvfsa5" timestamp="1464776464"&gt;3311&lt;/key&gt;&lt;/foreign-keys&gt;&lt;ref-type name="Journal Article"&gt;17&lt;/ref-type&gt;&lt;contributors&gt;&lt;authors&gt;&lt;author&gt;Sharma, P.&lt;/author&gt;&lt;author&gt;Mayes, M. A.&lt;/author&gt;&lt;author&gt;Tang, G.&lt;/author&gt;&lt;/authors&gt;&lt;/contributors&gt;&lt;auth-address&gt;Oak Ridge National Laboratory, Environmental Sciences Division, Oak Ridge, TN, United States&lt;/auth-address&gt;&lt;titles&gt;&lt;title&gt;Role of soil organic carbon and colloids in sorption and transport of TNT, RDX and HMX in training range soils&lt;/title&gt;&lt;secondary-title&gt;Chemosphere&lt;/secondary-title&gt;&lt;/titles&gt;&lt;periodical&gt;&lt;full-title&gt;Chemosphere&lt;/full-title&gt;&lt;abbr-1&gt;Chemosphere&lt;/abbr-1&gt;&lt;/periodical&gt;&lt;pages&gt;993-1000&lt;/pages&gt;&lt;volume&gt;92&lt;/volume&gt;&lt;number&gt;8&lt;/number&gt;&lt;keywords&gt;&lt;keyword&gt;Colloids&lt;/keyword&gt;&lt;keyword&gt;Column experiments&lt;/keyword&gt;&lt;keyword&gt;Explosives&lt;/keyword&gt;&lt;keyword&gt;Operational training range&lt;/keyword&gt;&lt;keyword&gt;Organic carbon&lt;/keyword&gt;&lt;/keywords&gt;&lt;dates&gt;&lt;year&gt;2013&lt;/year&gt;&lt;/dates&gt;&lt;work-type&gt;Article&lt;/work-type&gt;&lt;urls&gt;&lt;related-urls&gt;&lt;url&gt;https://www.scopus.com/inward/record.uri?eid=2-s2.0-84880037817&amp;amp;partnerID=40&amp;amp;md5=e3255443158ce85be1da9693b81c7723&lt;/url&gt;&lt;/related-urls&gt;&lt;/urls&gt;&lt;electronic-resource-num&gt;10.1016/j.chemosphere.2013.03.028&lt;/electronic-resource-num&gt;&lt;remote-database-name&gt;Scopus&lt;/remote-database-name&gt;&lt;/record&gt;&lt;/Cite&gt;&lt;/EndNote&gt;</w:instrText>
      </w:r>
      <w:r w:rsidRPr="00E6110F">
        <w:fldChar w:fldCharType="separate"/>
      </w:r>
      <w:r w:rsidRPr="00E6110F">
        <w:rPr>
          <w:noProof/>
        </w:rPr>
        <w:t>(Sharma</w:t>
      </w:r>
      <w:r w:rsidRPr="00E6110F">
        <w:rPr>
          <w:i/>
          <w:noProof/>
        </w:rPr>
        <w:t xml:space="preserve"> </w:t>
      </w:r>
      <w:r w:rsidRPr="00E6110F">
        <w:rPr>
          <w:noProof/>
        </w:rPr>
        <w:t>et al</w:t>
      </w:r>
      <w:r w:rsidRPr="00E6110F">
        <w:rPr>
          <w:i/>
          <w:noProof/>
        </w:rPr>
        <w:t>.</w:t>
      </w:r>
      <w:r w:rsidRPr="00E6110F">
        <w:rPr>
          <w:noProof/>
        </w:rPr>
        <w:t xml:space="preserve"> 2013)</w:t>
      </w:r>
      <w:r w:rsidRPr="00E6110F">
        <w:fldChar w:fldCharType="end"/>
      </w:r>
      <w:r w:rsidRPr="00E6110F">
        <w:t xml:space="preserve">. Sorption of HMX can be enhanced where there is a higher amount of organic matter, while having multiple nitro functional means an increasing clay content can also enhance its extent of sorption, although this effect is expected to be minimal </w:t>
      </w:r>
      <w:r w:rsidRPr="00E6110F">
        <w:fldChar w:fldCharType="begin">
          <w:fldData xml:space="preserve">PEVuZE5vdGU+PENpdGU+PEF1dGhvcj5TaGFybWE8L0F1dGhvcj48WWVhcj4yMDEzPC9ZZWFyPjxS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</w:fldData>
        </w:fldChar>
      </w:r>
      <w:r w:rsidRPr="00E6110F">
        <w:instrText xml:space="preserve"> ADDIN EN.CITE </w:instrText>
      </w:r>
      <w:r w:rsidRPr="00E6110F">
        <w:fldChar w:fldCharType="begin">
          <w:fldData xml:space="preserve">PEVuZE5vdGU+PENpdGU+PEF1dGhvcj5TaGFybWE8L0F1dGhvcj48WWVhcj4yMDEzPC9ZZWFyPjxS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</w:fldData>
        </w:fldChar>
      </w:r>
      <w:r w:rsidRPr="00E6110F">
        <w:instrText xml:space="preserve"> ADDIN EN.CITE.DATA </w:instrText>
      </w:r>
      <w:r w:rsidRPr="00E6110F">
        <w:fldChar w:fldCharType="end"/>
      </w:r>
      <w:r w:rsidRPr="00E6110F">
        <w:fldChar w:fldCharType="separate"/>
      </w:r>
      <w:r w:rsidRPr="00E6110F">
        <w:rPr>
          <w:noProof/>
        </w:rPr>
        <w:t>(Monteil-Rivera</w:t>
      </w:r>
      <w:r w:rsidRPr="00E6110F">
        <w:rPr>
          <w:i/>
          <w:noProof/>
        </w:rPr>
        <w:t xml:space="preserve"> </w:t>
      </w:r>
      <w:r w:rsidRPr="00E6110F">
        <w:rPr>
          <w:noProof/>
        </w:rPr>
        <w:t>et al</w:t>
      </w:r>
      <w:r w:rsidRPr="00E6110F">
        <w:rPr>
          <w:i/>
          <w:noProof/>
        </w:rPr>
        <w:t>.</w:t>
      </w:r>
      <w:r w:rsidRPr="00E6110F">
        <w:rPr>
          <w:noProof/>
        </w:rPr>
        <w:t xml:space="preserve"> 2003</w:t>
      </w:r>
      <w:r w:rsidR="00B5074A" w:rsidRPr="00E6110F">
        <w:rPr>
          <w:noProof/>
        </w:rPr>
        <w:t>;</w:t>
      </w:r>
      <w:r w:rsidRPr="00E6110F">
        <w:rPr>
          <w:noProof/>
        </w:rPr>
        <w:t xml:space="preserve"> Sharma</w:t>
      </w:r>
      <w:r w:rsidRPr="00E6110F">
        <w:rPr>
          <w:i/>
          <w:noProof/>
        </w:rPr>
        <w:t xml:space="preserve"> </w:t>
      </w:r>
      <w:r w:rsidRPr="00E6110F">
        <w:rPr>
          <w:noProof/>
        </w:rPr>
        <w:t>et al</w:t>
      </w:r>
      <w:r w:rsidRPr="00E6110F">
        <w:rPr>
          <w:i/>
          <w:noProof/>
        </w:rPr>
        <w:t>.</w:t>
      </w:r>
      <w:r w:rsidRPr="00E6110F">
        <w:rPr>
          <w:noProof/>
        </w:rPr>
        <w:t xml:space="preserve"> 2013)</w:t>
      </w:r>
      <w:r w:rsidRPr="00E6110F">
        <w:fldChar w:fldCharType="end"/>
      </w:r>
      <w:r w:rsidRPr="00E6110F">
        <w:rPr>
          <w:rFonts w:ascii="AdvGulliv-R" w:eastAsiaTheme="minorHAnsi" w:hAnsi="AdvGulliv-R" w:cs="AdvGulliv-R"/>
          <w:sz w:val="13"/>
          <w:szCs w:val="13"/>
          <w:lang w:val="en-AU" w:eastAsia="en-US"/>
        </w:rPr>
        <w:t xml:space="preserve">. </w:t>
      </w:r>
      <w:r w:rsidRPr="00E6110F">
        <w:rPr>
          <w:rFonts w:eastAsiaTheme="minorHAnsi" w:cs="AdvGulliv-R"/>
          <w:lang w:val="en-AU" w:eastAsia="en-US"/>
        </w:rPr>
        <w:t xml:space="preserve">Despite its low water solubility (5 mg/L), the mobility of HMX is therefore expected to be high in terrestrial environments (TOXNET). HMX is reasonably stable to biodegradation </w:t>
      </w:r>
      <w:r w:rsidR="007D097F">
        <w:rPr>
          <w:rFonts w:eastAsiaTheme="minorHAnsi" w:cs="AdvGulliv-R"/>
          <w:lang w:val="en-AU" w:eastAsia="en-US"/>
        </w:rPr>
        <w:t xml:space="preserve">(Pennington and Brannon 2002) </w:t>
      </w:r>
      <w:r w:rsidRPr="00E6110F">
        <w:rPr>
          <w:rFonts w:eastAsiaTheme="minorHAnsi" w:cs="AdvGulliv-R"/>
          <w:lang w:val="en-AU" w:eastAsia="en-US"/>
        </w:rPr>
        <w:t>and abiotic degradation, although some degradation (&lt;10%) can occur at very high pH (12) and elevated temperature (50⁰C), with degradation products including 4-NDAB (2</w:t>
      </w:r>
      <w:proofErr w:type="gramStart"/>
      <w:r w:rsidRPr="00E6110F">
        <w:rPr>
          <w:rFonts w:eastAsiaTheme="minorHAnsi" w:cs="AdvGulliv-R"/>
          <w:lang w:val="en-AU" w:eastAsia="en-US"/>
        </w:rPr>
        <w:t>,4</w:t>
      </w:r>
      <w:proofErr w:type="gramEnd"/>
      <w:r w:rsidRPr="00E6110F">
        <w:rPr>
          <w:rFonts w:eastAsiaTheme="minorHAnsi" w:cs="AdvGulliv-R"/>
          <w:lang w:val="en-AU" w:eastAsia="en-US"/>
        </w:rPr>
        <w:t>-diazabutanal),</w:t>
      </w:r>
      <w:r w:rsidR="00EA1DE6">
        <w:rPr>
          <w:rFonts w:eastAsiaTheme="minorHAnsi" w:cs="AdvGulliv-R"/>
          <w:lang w:val="en-AU" w:eastAsia="en-US"/>
        </w:rPr>
        <w:t xml:space="preserve"> </w:t>
      </w:r>
      <w:r w:rsidRPr="00E6110F">
        <w:rPr>
          <w:rFonts w:eastAsiaTheme="minorHAnsi" w:cs="AdvGulliv-R"/>
          <w:lang w:eastAsia="en-US"/>
        </w:rPr>
        <w:t>NO</w:t>
      </w:r>
      <w:r w:rsidRPr="00E6110F">
        <w:rPr>
          <w:rFonts w:eastAsiaTheme="minorHAnsi" w:cs="AdvGulliv-R"/>
          <w:vertAlign w:val="subscript"/>
          <w:lang w:eastAsia="en-US"/>
        </w:rPr>
        <w:t>2</w:t>
      </w:r>
      <w:r w:rsidRPr="00E6110F">
        <w:rPr>
          <w:rFonts w:eastAsiaTheme="minorHAnsi" w:cs="AdvGulliv-R"/>
          <w:lang w:eastAsia="en-US"/>
        </w:rPr>
        <w:t xml:space="preserve"> </w:t>
      </w:r>
      <w:r w:rsidRPr="00E6110F">
        <w:rPr>
          <w:rFonts w:eastAsiaTheme="minorHAnsi" w:cs="AdvGulliv-R"/>
          <w:vertAlign w:val="superscript"/>
          <w:lang w:eastAsia="en-US"/>
        </w:rPr>
        <w:t>-</w:t>
      </w:r>
      <w:r w:rsidRPr="00E6110F">
        <w:rPr>
          <w:rFonts w:eastAsiaTheme="minorHAnsi" w:cs="AdvGulliv-R"/>
          <w:lang w:eastAsia="en-US"/>
        </w:rPr>
        <w:t>, N</w:t>
      </w:r>
      <w:r w:rsidRPr="00E6110F">
        <w:rPr>
          <w:rFonts w:eastAsiaTheme="minorHAnsi" w:cs="AdvGulliv-R"/>
          <w:vertAlign w:val="subscript"/>
          <w:lang w:eastAsia="en-US"/>
        </w:rPr>
        <w:t>2</w:t>
      </w:r>
      <w:r w:rsidRPr="00E6110F">
        <w:rPr>
          <w:rFonts w:eastAsiaTheme="minorHAnsi" w:cs="AdvGulliv-R"/>
          <w:lang w:eastAsia="en-US"/>
        </w:rPr>
        <w:t>O, N</w:t>
      </w:r>
      <w:r w:rsidRPr="00E6110F">
        <w:rPr>
          <w:rFonts w:eastAsiaTheme="minorHAnsi" w:cs="AdvGulliv-R"/>
          <w:vertAlign w:val="subscript"/>
          <w:lang w:eastAsia="en-US"/>
        </w:rPr>
        <w:t>2</w:t>
      </w:r>
      <w:r w:rsidRPr="00E6110F">
        <w:rPr>
          <w:rFonts w:eastAsiaTheme="minorHAnsi" w:cs="AdvGulliv-R"/>
          <w:lang w:eastAsia="en-US"/>
        </w:rPr>
        <w:t xml:space="preserve">, and formaldehyde, in common with other cyclic nitramine explosives </w:t>
      </w:r>
      <w:r w:rsidRPr="00E6110F">
        <w:rPr>
          <w:rFonts w:eastAsiaTheme="minorHAnsi" w:cs="AdvGulliv-R"/>
          <w:lang w:val="en-AU" w:eastAsia="en-US"/>
        </w:rPr>
        <w:fldChar w:fldCharType="begin">
          <w:fldData xml:space="preserve">PEVuZE5vdGU+PENpdGU+PEF1dGhvcj5Nb250ZWlsLVJpdmVyYTwvQXV0aG9yPjxZZWFyPjIwMDM8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</w:fldData>
        </w:fldChar>
      </w:r>
      <w:r w:rsidRPr="00E6110F">
        <w:rPr>
          <w:rFonts w:eastAsiaTheme="minorHAnsi" w:cs="AdvGulliv-R"/>
          <w:lang w:val="en-AU" w:eastAsia="en-US"/>
        </w:rPr>
        <w:instrText xml:space="preserve"> ADDIN EN.CITE </w:instrText>
      </w:r>
      <w:r w:rsidRPr="00E6110F">
        <w:rPr>
          <w:rFonts w:eastAsiaTheme="minorHAnsi" w:cs="AdvGulliv-R"/>
          <w:lang w:val="en-AU" w:eastAsia="en-US"/>
        </w:rPr>
        <w:fldChar w:fldCharType="begin">
          <w:fldData xml:space="preserve">PEVuZE5vdGU+PENpdGU+PEF1dGhvcj5Nb250ZWlsLVJpdmVyYTwvQXV0aG9yPjxZZWFyPjIwMDM8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</w:fldData>
        </w:fldChar>
      </w:r>
      <w:r w:rsidRPr="00E6110F">
        <w:rPr>
          <w:rFonts w:eastAsiaTheme="minorHAnsi" w:cs="AdvGulliv-R"/>
          <w:lang w:val="en-AU" w:eastAsia="en-US"/>
        </w:rPr>
        <w:instrText xml:space="preserve"> ADDIN EN.CITE.DATA </w:instrText>
      </w:r>
      <w:r w:rsidRPr="00E6110F">
        <w:rPr>
          <w:rFonts w:eastAsiaTheme="minorHAnsi" w:cs="AdvGulliv-R"/>
          <w:lang w:val="en-AU" w:eastAsia="en-US"/>
        </w:rPr>
      </w:r>
      <w:r w:rsidRPr="00E6110F">
        <w:rPr>
          <w:rFonts w:eastAsiaTheme="minorHAnsi" w:cs="AdvGulliv-R"/>
          <w:lang w:val="en-AU" w:eastAsia="en-US"/>
        </w:rPr>
        <w:fldChar w:fldCharType="end"/>
      </w:r>
      <w:r w:rsidRPr="00E6110F">
        <w:rPr>
          <w:rFonts w:eastAsiaTheme="minorHAnsi" w:cs="AdvGulliv-R"/>
          <w:lang w:val="en-AU" w:eastAsia="en-US"/>
        </w:rPr>
      </w:r>
      <w:r w:rsidRPr="00E6110F">
        <w:rPr>
          <w:rFonts w:eastAsiaTheme="minorHAnsi" w:cs="AdvGulliv-R"/>
          <w:lang w:val="en-AU" w:eastAsia="en-US"/>
        </w:rPr>
        <w:fldChar w:fldCharType="separate"/>
      </w:r>
      <w:r w:rsidRPr="00E6110F">
        <w:rPr>
          <w:rFonts w:eastAsiaTheme="minorHAnsi" w:cs="AdvGulliv-R"/>
          <w:noProof/>
          <w:lang w:val="en-AU" w:eastAsia="en-US"/>
        </w:rPr>
        <w:t>(Balakrishnan</w:t>
      </w:r>
      <w:r w:rsidRPr="00E6110F">
        <w:rPr>
          <w:rFonts w:eastAsiaTheme="minorHAnsi" w:cs="AdvGulliv-R"/>
          <w:i/>
          <w:noProof/>
          <w:lang w:val="en-AU" w:eastAsia="en-US"/>
        </w:rPr>
        <w:t xml:space="preserve"> </w:t>
      </w:r>
      <w:r w:rsidRPr="00E6110F">
        <w:rPr>
          <w:rFonts w:eastAsiaTheme="minorHAnsi" w:cs="AdvGulliv-R"/>
          <w:noProof/>
          <w:lang w:val="en-AU" w:eastAsia="en-US"/>
        </w:rPr>
        <w:t>et al</w:t>
      </w:r>
      <w:r w:rsidRPr="00E6110F">
        <w:rPr>
          <w:rFonts w:eastAsiaTheme="minorHAnsi" w:cs="AdvGulliv-R"/>
          <w:i/>
          <w:noProof/>
          <w:lang w:val="en-AU" w:eastAsia="en-US"/>
        </w:rPr>
        <w:t>.</w:t>
      </w:r>
      <w:r w:rsidRPr="00E6110F">
        <w:rPr>
          <w:rFonts w:eastAsiaTheme="minorHAnsi" w:cs="AdvGulliv-R"/>
          <w:noProof/>
          <w:lang w:val="en-AU" w:eastAsia="en-US"/>
        </w:rPr>
        <w:t xml:space="preserve"> 2003, Monteil-Rivera</w:t>
      </w:r>
      <w:r w:rsidRPr="00E6110F">
        <w:rPr>
          <w:rFonts w:eastAsiaTheme="minorHAnsi" w:cs="AdvGulliv-R"/>
          <w:i/>
          <w:noProof/>
          <w:lang w:val="en-AU" w:eastAsia="en-US"/>
        </w:rPr>
        <w:t xml:space="preserve"> </w:t>
      </w:r>
      <w:r w:rsidRPr="00E6110F">
        <w:rPr>
          <w:rFonts w:eastAsiaTheme="minorHAnsi" w:cs="AdvGulliv-R"/>
          <w:noProof/>
          <w:lang w:val="en-AU" w:eastAsia="en-US"/>
        </w:rPr>
        <w:t>et al</w:t>
      </w:r>
      <w:r w:rsidRPr="00E6110F">
        <w:rPr>
          <w:rFonts w:eastAsiaTheme="minorHAnsi" w:cs="AdvGulliv-R"/>
          <w:i/>
          <w:noProof/>
          <w:lang w:val="en-AU" w:eastAsia="en-US"/>
        </w:rPr>
        <w:t>.</w:t>
      </w:r>
      <w:r w:rsidRPr="00E6110F">
        <w:rPr>
          <w:rFonts w:eastAsiaTheme="minorHAnsi" w:cs="AdvGulliv-R"/>
          <w:noProof/>
          <w:lang w:val="en-AU" w:eastAsia="en-US"/>
        </w:rPr>
        <w:t xml:space="preserve"> 2003)</w:t>
      </w:r>
      <w:r w:rsidRPr="00E6110F">
        <w:rPr>
          <w:rFonts w:eastAsiaTheme="minorHAnsi" w:cs="AdvGulliv-R"/>
          <w:lang w:val="en-AU" w:eastAsia="en-US"/>
        </w:rPr>
        <w:fldChar w:fldCharType="end"/>
      </w:r>
      <w:r w:rsidRPr="00E6110F">
        <w:rPr>
          <w:rFonts w:eastAsiaTheme="minorHAnsi" w:cs="AdvGulliv-R"/>
          <w:lang w:eastAsia="en-US"/>
        </w:rPr>
        <w:t>.</w:t>
      </w:r>
      <w:r w:rsidR="00BA762D">
        <w:rPr>
          <w:rFonts w:eastAsiaTheme="minorHAnsi" w:cs="AdvGulliv-R"/>
          <w:lang w:eastAsia="en-US"/>
        </w:rPr>
        <w:t xml:space="preserve"> </w:t>
      </w:r>
    </w:p>
    <w:p w14:paraId="4731ACB1" w14:textId="4B1A7BB6" w:rsidR="007A3DCE" w:rsidRDefault="00860462" w:rsidP="002A24CE">
      <w:pPr>
        <w:pStyle w:val="Body"/>
        <w:rPr>
          <w:rFonts w:eastAsiaTheme="minorHAnsi" w:cs="AdvGulliv-R"/>
          <w:lang w:eastAsia="en-US"/>
        </w:rPr>
      </w:pPr>
      <w:r>
        <w:rPr>
          <w:rFonts w:eastAsiaTheme="minorHAnsi" w:cs="AdvGulliv-R"/>
          <w:lang w:eastAsia="en-US"/>
        </w:rPr>
        <w:t xml:space="preserve">In the case of cyclic nitramines, </w:t>
      </w:r>
      <w:r w:rsidR="00CC21D3">
        <w:rPr>
          <w:rFonts w:eastAsiaTheme="minorHAnsi" w:cs="AdvGulliv-R"/>
          <w:lang w:eastAsia="en-US"/>
        </w:rPr>
        <w:t xml:space="preserve">such as HMX and RDX, </w:t>
      </w:r>
      <w:r>
        <w:rPr>
          <w:rFonts w:eastAsiaTheme="minorHAnsi" w:cs="AdvGulliv-R"/>
          <w:lang w:eastAsia="en-US"/>
        </w:rPr>
        <w:t xml:space="preserve">once an initial change/attack </w:t>
      </w:r>
      <w:r w:rsidR="00435E2B">
        <w:rPr>
          <w:rFonts w:eastAsiaTheme="minorHAnsi" w:cs="AdvGulliv-R"/>
          <w:lang w:eastAsia="en-US"/>
        </w:rPr>
        <w:t xml:space="preserve">by fungus, bacteria or other microorganisms </w:t>
      </w:r>
      <w:r>
        <w:rPr>
          <w:rFonts w:eastAsiaTheme="minorHAnsi" w:cs="AdvGulliv-R"/>
          <w:lang w:eastAsia="en-US"/>
        </w:rPr>
        <w:t>occurs</w:t>
      </w:r>
      <w:r w:rsidR="00CC21D3">
        <w:rPr>
          <w:rFonts w:eastAsiaTheme="minorHAnsi" w:cs="AdvGulliv-R"/>
          <w:lang w:eastAsia="en-US"/>
        </w:rPr>
        <w:t>,</w:t>
      </w:r>
      <w:r>
        <w:rPr>
          <w:rFonts w:eastAsiaTheme="minorHAnsi" w:cs="AdvGulliv-R"/>
          <w:lang w:eastAsia="en-US"/>
        </w:rPr>
        <w:t xml:space="preserve"> the molecule becomes unstable and undergoes spontaneous decomposition that may be nonenzymatic and </w:t>
      </w:r>
      <w:r w:rsidR="00CC21D3">
        <w:rPr>
          <w:rFonts w:eastAsiaTheme="minorHAnsi" w:cs="AdvGulliv-R"/>
          <w:lang w:eastAsia="en-US"/>
        </w:rPr>
        <w:t xml:space="preserve">ultimately </w:t>
      </w:r>
      <w:r>
        <w:rPr>
          <w:rFonts w:eastAsiaTheme="minorHAnsi" w:cs="AdvGulliv-R"/>
          <w:lang w:eastAsia="en-US"/>
        </w:rPr>
        <w:t>procudes N</w:t>
      </w:r>
      <w:r w:rsidR="00431C39" w:rsidRPr="00CC21D3">
        <w:rPr>
          <w:rFonts w:eastAsiaTheme="minorHAnsi" w:cs="AdvGulliv-R"/>
          <w:vertAlign w:val="subscript"/>
          <w:lang w:eastAsia="en-US"/>
        </w:rPr>
        <w:t>2</w:t>
      </w:r>
      <w:r>
        <w:rPr>
          <w:rFonts w:eastAsiaTheme="minorHAnsi" w:cs="AdvGulliv-R"/>
          <w:lang w:eastAsia="en-US"/>
        </w:rPr>
        <w:t>O and CO</w:t>
      </w:r>
      <w:r w:rsidRPr="00CC21D3">
        <w:rPr>
          <w:rFonts w:eastAsiaTheme="minorHAnsi" w:cs="AdvGulliv-R"/>
          <w:vertAlign w:val="subscript"/>
          <w:lang w:eastAsia="en-US"/>
        </w:rPr>
        <w:t>2</w:t>
      </w:r>
      <w:r>
        <w:rPr>
          <w:rFonts w:eastAsiaTheme="minorHAnsi" w:cs="AdvGulliv-R"/>
          <w:lang w:eastAsia="en-US"/>
        </w:rPr>
        <w:t>. In other words, HMX is believed to mineralise without production of intermediate metabolites.</w:t>
      </w:r>
      <w:r w:rsidR="00CC21D3">
        <w:rPr>
          <w:rFonts w:eastAsiaTheme="minorHAnsi" w:cs="AdvGulliv-R"/>
          <w:lang w:eastAsia="en-US"/>
        </w:rPr>
        <w:t xml:space="preserve"> </w:t>
      </w:r>
      <w:r w:rsidR="00431C39">
        <w:rPr>
          <w:rFonts w:eastAsiaTheme="minorHAnsi" w:cs="AdvGulliv-R"/>
          <w:lang w:eastAsia="en-US"/>
        </w:rPr>
        <w:t xml:space="preserve">There is </w:t>
      </w:r>
      <w:r w:rsidR="00CC21D3">
        <w:rPr>
          <w:rFonts w:eastAsiaTheme="minorHAnsi" w:cs="AdvGulliv-R"/>
          <w:lang w:eastAsia="en-US"/>
        </w:rPr>
        <w:t xml:space="preserve">indeed </w:t>
      </w:r>
      <w:r w:rsidR="00431C39">
        <w:rPr>
          <w:rFonts w:eastAsiaTheme="minorHAnsi" w:cs="AdvGulliv-R"/>
          <w:lang w:eastAsia="en-US"/>
        </w:rPr>
        <w:t>considerable experimental evidence that N</w:t>
      </w:r>
      <w:r w:rsidR="00CC21D3" w:rsidRPr="00CC21D3">
        <w:rPr>
          <w:rFonts w:eastAsiaTheme="minorHAnsi" w:cs="AdvGulliv-R"/>
          <w:vertAlign w:val="subscript"/>
          <w:lang w:eastAsia="en-US"/>
        </w:rPr>
        <w:t>2</w:t>
      </w:r>
      <w:r w:rsidR="00431C39">
        <w:rPr>
          <w:rFonts w:eastAsiaTheme="minorHAnsi" w:cs="AdvGulliv-R"/>
          <w:lang w:eastAsia="en-US"/>
        </w:rPr>
        <w:t xml:space="preserve">O is the main product from both aerobic and anaerobic biodegradation of RMX, and likely also </w:t>
      </w:r>
      <w:r w:rsidR="00CC21D3">
        <w:rPr>
          <w:rFonts w:eastAsiaTheme="minorHAnsi" w:cs="AdvGulliv-R"/>
          <w:lang w:eastAsia="en-US"/>
        </w:rPr>
        <w:t xml:space="preserve">of </w:t>
      </w:r>
      <w:r w:rsidR="00431C39">
        <w:rPr>
          <w:rFonts w:eastAsiaTheme="minorHAnsi" w:cs="AdvGulliv-R"/>
          <w:lang w:eastAsia="en-US"/>
        </w:rPr>
        <w:t xml:space="preserve">HMX. It is </w:t>
      </w:r>
      <w:r w:rsidR="00CC21D3">
        <w:rPr>
          <w:rFonts w:eastAsiaTheme="minorHAnsi" w:cs="AdvGulliv-R"/>
          <w:lang w:eastAsia="en-US"/>
        </w:rPr>
        <w:t xml:space="preserve">further </w:t>
      </w:r>
      <w:r w:rsidR="00431C39">
        <w:rPr>
          <w:rFonts w:eastAsiaTheme="minorHAnsi" w:cs="AdvGulliv-R"/>
          <w:lang w:eastAsia="en-US"/>
        </w:rPr>
        <w:t xml:space="preserve">believed that during the biodegradation </w:t>
      </w:r>
      <w:r w:rsidR="00CC21D3">
        <w:rPr>
          <w:rFonts w:eastAsiaTheme="minorHAnsi" w:cs="AdvGulliv-R"/>
          <w:lang w:eastAsia="en-US"/>
        </w:rPr>
        <w:t xml:space="preserve">of cyclic nitramines </w:t>
      </w:r>
      <w:r w:rsidR="00431C39">
        <w:rPr>
          <w:rFonts w:eastAsiaTheme="minorHAnsi" w:cs="AdvGulliv-R"/>
          <w:lang w:eastAsia="en-US"/>
        </w:rPr>
        <w:t>unstable intermediates are formed that also spontaneously decompose</w:t>
      </w:r>
      <w:r w:rsidR="007A3DCE">
        <w:rPr>
          <w:rFonts w:eastAsiaTheme="minorHAnsi" w:cs="AdvGulliv-R"/>
          <w:lang w:eastAsia="en-US"/>
        </w:rPr>
        <w:t>d</w:t>
      </w:r>
      <w:r w:rsidR="00431C39">
        <w:rPr>
          <w:rFonts w:eastAsiaTheme="minorHAnsi" w:cs="AdvGulliv-R"/>
          <w:lang w:eastAsia="en-US"/>
        </w:rPr>
        <w:t xml:space="preserve"> to N</w:t>
      </w:r>
      <w:r w:rsidR="00431C39" w:rsidRPr="00CC21D3">
        <w:rPr>
          <w:rFonts w:eastAsiaTheme="minorHAnsi" w:cs="AdvGulliv-R"/>
          <w:vertAlign w:val="subscript"/>
          <w:lang w:eastAsia="en-US"/>
        </w:rPr>
        <w:t>2</w:t>
      </w:r>
      <w:r w:rsidR="00431C39">
        <w:rPr>
          <w:rFonts w:eastAsiaTheme="minorHAnsi" w:cs="AdvGulliv-R"/>
          <w:lang w:eastAsia="en-US"/>
        </w:rPr>
        <w:t>O and CO</w:t>
      </w:r>
      <w:r w:rsidR="00431C39" w:rsidRPr="00CC21D3">
        <w:rPr>
          <w:rFonts w:eastAsiaTheme="minorHAnsi" w:cs="AdvGulliv-R"/>
          <w:vertAlign w:val="subscript"/>
          <w:lang w:eastAsia="en-US"/>
        </w:rPr>
        <w:t>2</w:t>
      </w:r>
      <w:r w:rsidR="00CC21D3" w:rsidRPr="00CC21D3">
        <w:rPr>
          <w:rFonts w:eastAsiaTheme="minorHAnsi" w:cs="AdvGulliv-R"/>
          <w:lang w:eastAsia="en-US"/>
        </w:rPr>
        <w:t xml:space="preserve"> </w:t>
      </w:r>
      <w:r w:rsidR="00CC21D3">
        <w:rPr>
          <w:rFonts w:eastAsiaTheme="minorHAnsi" w:cs="AdvGulliv-R"/>
          <w:lang w:eastAsia="en-US"/>
        </w:rPr>
        <w:t>(Hawari et al. 2000).</w:t>
      </w:r>
      <w:r w:rsidR="008D1D9C">
        <w:rPr>
          <w:rFonts w:eastAsiaTheme="minorHAnsi" w:cs="AdvGulliv-R"/>
          <w:lang w:eastAsia="en-US"/>
        </w:rPr>
        <w:t xml:space="preserve"> </w:t>
      </w:r>
      <w:r w:rsidR="007A3DCE">
        <w:rPr>
          <w:rFonts w:eastAsiaTheme="minorHAnsi" w:cs="AdvGulliv-R"/>
          <w:lang w:eastAsia="en-US"/>
        </w:rPr>
        <w:t xml:space="preserve">Using a strictly aerobic symbiotic bacterium culture, Van Aken et al. (2004) measured </w:t>
      </w:r>
      <w:r w:rsidR="009219D3">
        <w:rPr>
          <w:rFonts w:eastAsiaTheme="minorHAnsi" w:cs="AdvGulliv-R"/>
          <w:lang w:eastAsia="en-US"/>
        </w:rPr>
        <w:t xml:space="preserve">HMX </w:t>
      </w:r>
      <w:r w:rsidR="007A3DCE">
        <w:rPr>
          <w:rFonts w:eastAsiaTheme="minorHAnsi" w:cs="AdvGulliv-R"/>
          <w:lang w:eastAsia="en-US"/>
        </w:rPr>
        <w:t xml:space="preserve">biotransformation yielding </w:t>
      </w:r>
      <w:r w:rsidR="009219D3">
        <w:rPr>
          <w:rFonts w:eastAsiaTheme="minorHAnsi" w:cs="AdvGulliv-R"/>
          <w:lang w:eastAsia="en-US"/>
        </w:rPr>
        <w:t xml:space="preserve">a </w:t>
      </w:r>
      <w:r w:rsidR="007A3DCE">
        <w:rPr>
          <w:rFonts w:eastAsiaTheme="minorHAnsi" w:cs="AdvGulliv-R"/>
          <w:lang w:eastAsia="en-US"/>
        </w:rPr>
        <w:t>half-life of approximately 15 days.</w:t>
      </w:r>
    </w:p>
    <w:p w14:paraId="5FDCA558" w14:textId="19FB0C3E" w:rsidR="00BA762D" w:rsidRDefault="008D1D9C" w:rsidP="002A24CE">
      <w:pPr>
        <w:pStyle w:val="Body"/>
        <w:rPr>
          <w:rFonts w:eastAsiaTheme="minorHAnsi" w:cs="AdvGulliv-R"/>
          <w:lang w:eastAsia="en-US"/>
        </w:rPr>
      </w:pPr>
      <w:r>
        <w:rPr>
          <w:rFonts w:eastAsiaTheme="minorHAnsi" w:cs="AdvGulliv-R"/>
          <w:lang w:eastAsia="en-US"/>
        </w:rPr>
        <w:t>Anaerobic degradation has mainly been observed in sludge solutions, with some studies reporting biodegr</w:t>
      </w:r>
      <w:r w:rsidR="00D9113F">
        <w:rPr>
          <w:rFonts w:eastAsiaTheme="minorHAnsi" w:cs="AdvGulliv-R"/>
          <w:lang w:eastAsia="en-US"/>
        </w:rPr>
        <w:t>a</w:t>
      </w:r>
      <w:r>
        <w:rPr>
          <w:rFonts w:eastAsiaTheme="minorHAnsi" w:cs="AdvGulliv-R"/>
          <w:lang w:eastAsia="en-US"/>
        </w:rPr>
        <w:t>dation in soils.</w:t>
      </w:r>
      <w:r w:rsidR="00D9113F">
        <w:rPr>
          <w:rFonts w:eastAsiaTheme="minorHAnsi" w:cs="AdvGulliv-R"/>
          <w:lang w:eastAsia="en-US"/>
        </w:rPr>
        <w:t xml:space="preserve"> Using domestic anaerobic sludge, Hawari et al. (2001) measured HMX biotransformation yielding a half-life of approximately 2.3 days (presence or absence of glucose did not influence the half-life)</w:t>
      </w:r>
      <w:r w:rsidR="00B226D7">
        <w:rPr>
          <w:rFonts w:eastAsiaTheme="minorHAnsi" w:cs="AdvGulliv-R"/>
          <w:lang w:eastAsia="en-US"/>
        </w:rPr>
        <w:t xml:space="preserve"> (</w:t>
      </w:r>
      <w:r w:rsidR="00B226D7">
        <w:rPr>
          <w:rFonts w:eastAsiaTheme="minorHAnsi" w:cs="AdvGulliv-R"/>
          <w:lang w:eastAsia="en-US"/>
        </w:rPr>
        <w:fldChar w:fldCharType="begin" w:fldLock="1"/>
      </w:r>
      <w:r w:rsidR="00B226D7">
        <w:rPr>
          <w:rFonts w:eastAsiaTheme="minorHAnsi" w:cs="AdvGulliv-R"/>
          <w:lang w:eastAsia="en-US"/>
        </w:rPr>
        <w:instrText xml:space="preserve"> REF _Ref470278805 \h </w:instrText>
      </w:r>
      <w:r w:rsidR="00B226D7">
        <w:rPr>
          <w:rFonts w:eastAsiaTheme="minorHAnsi" w:cs="AdvGulliv-R"/>
          <w:lang w:eastAsia="en-US"/>
        </w:rPr>
      </w:r>
      <w:r w:rsidR="00B226D7">
        <w:rPr>
          <w:rFonts w:eastAsiaTheme="minorHAnsi" w:cs="AdvGulliv-R"/>
          <w:lang w:eastAsia="en-US"/>
        </w:rPr>
        <w:fldChar w:fldCharType="separate"/>
      </w:r>
      <w:r w:rsidR="00335E79">
        <w:t xml:space="preserve">Figure </w:t>
      </w:r>
      <w:r w:rsidR="00335E79">
        <w:rPr>
          <w:noProof/>
        </w:rPr>
        <w:t>4</w:t>
      </w:r>
      <w:r w:rsidR="00335E79">
        <w:noBreakHyphen/>
      </w:r>
      <w:r w:rsidR="00335E79">
        <w:rPr>
          <w:noProof/>
        </w:rPr>
        <w:t>11</w:t>
      </w:r>
      <w:r w:rsidR="00B226D7">
        <w:rPr>
          <w:rFonts w:eastAsiaTheme="minorHAnsi" w:cs="AdvGulliv-R"/>
          <w:lang w:eastAsia="en-US"/>
        </w:rPr>
        <w:fldChar w:fldCharType="end"/>
      </w:r>
      <w:r w:rsidR="00B226D7">
        <w:rPr>
          <w:rFonts w:eastAsiaTheme="minorHAnsi" w:cs="AdvGulliv-R"/>
          <w:lang w:eastAsia="en-US"/>
        </w:rPr>
        <w:t>)</w:t>
      </w:r>
      <w:r w:rsidR="00D9113F">
        <w:rPr>
          <w:rFonts w:eastAsiaTheme="minorHAnsi" w:cs="AdvGulliv-R"/>
          <w:lang w:eastAsia="en-US"/>
        </w:rPr>
        <w:t>.</w:t>
      </w:r>
      <w:r w:rsidR="007A3DCE">
        <w:rPr>
          <w:rFonts w:eastAsiaTheme="minorHAnsi" w:cs="AdvGulliv-R"/>
          <w:lang w:eastAsia="en-US"/>
        </w:rPr>
        <w:t xml:space="preserve"> </w:t>
      </w:r>
    </w:p>
    <w:p w14:paraId="01FDE08D" w14:textId="47160DFE" w:rsidR="001B0320" w:rsidRDefault="001B0320" w:rsidP="003013EC">
      <w:pPr>
        <w:pStyle w:val="Caption"/>
        <w:jc w:val="center"/>
        <w:rPr>
          <w:rFonts w:eastAsiaTheme="minorHAnsi" w:cs="AdvGulliv-R"/>
          <w:lang w:eastAsia="en-US"/>
        </w:rPr>
      </w:pPr>
      <w:r>
        <w:rPr>
          <w:noProof/>
          <w:lang w:val="en-AU" w:eastAsia="en-AU"/>
        </w:rPr>
        <w:drawing>
          <wp:inline distT="0" distB="0" distL="0" distR="0" wp14:anchorId="2403A3D5" wp14:editId="5FBE0ED2">
            <wp:extent cx="5744775" cy="6219731"/>
            <wp:effectExtent l="0" t="0" r="0" b="0"/>
            <wp:docPr id="193" name="Picture 193" descr="Diagram of biodegradation pathway for HMX." title="Fig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5760195" cy="6236425"/>
                    </a:xfrm>
                    <a:prstGeom prst="rect">
                      <a:avLst/>
                    </a:prstGeom>
                    <a:noFill/>
                  </pic:spPr>
                </pic:pic>
              </a:graphicData>
            </a:graphic>
          </wp:inline>
        </w:drawing>
      </w:r>
    </w:p>
    <w:p w14:paraId="3423B6E5" w14:textId="5CBBBD03" w:rsidR="001B0320" w:rsidRPr="001B0320" w:rsidRDefault="001B0320" w:rsidP="001B0320">
      <w:pPr>
        <w:pStyle w:val="Imagecaption"/>
      </w:pPr>
      <w:bookmarkStart w:id="496" w:name="_Ref470278805"/>
      <w:bookmarkStart w:id="497" w:name="_Toc477347641"/>
      <w:r>
        <w:t xml:space="preserve">Figure </w:t>
      </w:r>
      <w:r w:rsidR="00254026">
        <w:fldChar w:fldCharType="begin" w:fldLock="1"/>
      </w:r>
      <w:r w:rsidR="00254026">
        <w:instrText xml:space="preserve"> STYLEREF 1 \s </w:instrText>
      </w:r>
      <w:r w:rsidR="00254026">
        <w:fldChar w:fldCharType="separate"/>
      </w:r>
      <w:r w:rsidR="00335E79">
        <w:rPr>
          <w:noProof/>
        </w:rPr>
        <w:t>4</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11</w:t>
      </w:r>
      <w:r w:rsidR="00254026">
        <w:fldChar w:fldCharType="end"/>
      </w:r>
      <w:bookmarkEnd w:id="496"/>
      <w:r>
        <w:t xml:space="preserve"> </w:t>
      </w:r>
      <w:r w:rsidRPr="001B0320">
        <w:t>Potential biodegradation routes of HMX during treatment with anaerobic sludge. Path b: Ring cleavage followed by competing chemical and biochemical transformations. A square bracket indicates unidentified product whereas a question mark indicates potential presence that requires further experimental verification</w:t>
      </w:r>
      <w:r w:rsidR="003013EC">
        <w:t xml:space="preserve"> (</w:t>
      </w:r>
      <w:r w:rsidR="00000ED6">
        <w:t xml:space="preserve">based on </w:t>
      </w:r>
      <w:r w:rsidR="003013EC">
        <w:rPr>
          <w:rFonts w:eastAsiaTheme="minorHAnsi" w:cs="AdvGulliv-R"/>
          <w:lang w:eastAsia="en-US"/>
        </w:rPr>
        <w:t>Hawari et al. 2001)</w:t>
      </w:r>
      <w:r w:rsidRPr="001B0320">
        <w:t>.</w:t>
      </w:r>
      <w:bookmarkEnd w:id="497"/>
      <w:r w:rsidRPr="001B0320">
        <w:t xml:space="preserve"> </w:t>
      </w:r>
    </w:p>
    <w:p w14:paraId="7CBF8D4A" w14:textId="240AEEAA" w:rsidR="0062678C" w:rsidRPr="00E6110F" w:rsidRDefault="0062678C" w:rsidP="0062678C">
      <w:pPr>
        <w:pStyle w:val="Heading3"/>
        <w:numPr>
          <w:ilvl w:val="3"/>
          <w:numId w:val="1"/>
        </w:numPr>
      </w:pPr>
      <w:bookmarkStart w:id="498" w:name="_Toc494444599"/>
      <w:r w:rsidRPr="00E6110F">
        <w:t>Methylchloroisothiazolinone</w:t>
      </w:r>
      <w:bookmarkEnd w:id="498"/>
    </w:p>
    <w:p w14:paraId="6C416151" w14:textId="2CBCE526" w:rsidR="00EA1DE6" w:rsidRDefault="00A76E65" w:rsidP="00A76E65">
      <w:pPr>
        <w:pStyle w:val="Body"/>
      </w:pPr>
      <w:r w:rsidRPr="00E6110F">
        <w:t xml:space="preserve">Methylchloroisothiazolinone (MCI) has a very high water solubility and </w:t>
      </w:r>
      <w:r w:rsidR="00DB4AD2">
        <w:t xml:space="preserve">low </w:t>
      </w:r>
      <w:r w:rsidRPr="00E6110F">
        <w:t>lo</w:t>
      </w:r>
      <w:r w:rsidR="00DB4AD2">
        <w:t>g</w:t>
      </w:r>
      <w:r w:rsidRPr="00E6110F">
        <w:t xml:space="preserve"> </w:t>
      </w:r>
      <w:r w:rsidRPr="00454EA6">
        <w:rPr>
          <w:i/>
        </w:rPr>
        <w:t>K</w:t>
      </w:r>
      <w:r w:rsidRPr="00DB4AD2">
        <w:rPr>
          <w:vertAlign w:val="subscript"/>
        </w:rPr>
        <w:t>OC</w:t>
      </w:r>
      <w:r w:rsidRPr="00E6110F">
        <w:t xml:space="preserve"> (1.5-2.2) which suggests a high mobility is likely in the soil environment (US</w:t>
      </w:r>
      <w:r w:rsidR="00B5074A" w:rsidRPr="00E6110F">
        <w:t xml:space="preserve"> </w:t>
      </w:r>
      <w:r w:rsidRPr="00E6110F">
        <w:t>EPA</w:t>
      </w:r>
      <w:r w:rsidR="00B5074A" w:rsidRPr="00E6110F">
        <w:t xml:space="preserve"> 1998b</w:t>
      </w:r>
      <w:r w:rsidRPr="00E6110F">
        <w:t>). It is stable to hydrolysis at low to neutral pH but is susceptible to alkaline hydrolysis, with a half-life of 22 days at pH 9 (25⁰C) (US</w:t>
      </w:r>
      <w:r w:rsidR="00B5074A" w:rsidRPr="00E6110F">
        <w:t xml:space="preserve"> </w:t>
      </w:r>
      <w:r w:rsidRPr="00E6110F">
        <w:t>EPA 1998</w:t>
      </w:r>
      <w:r w:rsidR="00B5074A" w:rsidRPr="00E6110F">
        <w:t>b</w:t>
      </w:r>
      <w:r w:rsidRPr="00E6110F">
        <w:t xml:space="preserve">). </w:t>
      </w:r>
    </w:p>
    <w:p w14:paraId="664C532F" w14:textId="31327B6C" w:rsidR="00B94C64" w:rsidRDefault="00B94C64" w:rsidP="00A76E65">
      <w:pPr>
        <w:pStyle w:val="Body"/>
      </w:pPr>
      <w:r>
        <w:t>MCI was found to be readily degradable in a sandy loam soil (pH 4.9) under aerobic conditions (half-life</w:t>
      </w:r>
      <w:r w:rsidR="00A602CF">
        <w:t xml:space="preserve"> of 0.21 days or </w:t>
      </w:r>
      <w:r>
        <w:t>5 hours). Because of the low adsorption coefficient (</w:t>
      </w:r>
      <w:proofErr w:type="gramStart"/>
      <w:r w:rsidRPr="00B94C64">
        <w:rPr>
          <w:i/>
        </w:rPr>
        <w:t>K</w:t>
      </w:r>
      <w:r w:rsidRPr="00B94C64">
        <w:rPr>
          <w:vertAlign w:val="subscript"/>
        </w:rPr>
        <w:t>d</w:t>
      </w:r>
      <w:proofErr w:type="gramEnd"/>
      <w:r w:rsidR="009219D3">
        <w:rPr>
          <w:vertAlign w:val="subscript"/>
        </w:rPr>
        <w:t xml:space="preserve"> </w:t>
      </w:r>
      <w:r>
        <w:t>=</w:t>
      </w:r>
      <w:r w:rsidR="009219D3">
        <w:t xml:space="preserve"> </w:t>
      </w:r>
      <w:r>
        <w:t xml:space="preserve">0.1 - 4.9 L/kg or </w:t>
      </w:r>
      <w:r w:rsidRPr="009219D3">
        <w:rPr>
          <w:i/>
        </w:rPr>
        <w:t>K</w:t>
      </w:r>
      <w:r w:rsidRPr="00B94C64">
        <w:rPr>
          <w:vertAlign w:val="subscript"/>
        </w:rPr>
        <w:t>OC</w:t>
      </w:r>
      <w:r w:rsidR="009219D3">
        <w:rPr>
          <w:vertAlign w:val="subscript"/>
        </w:rPr>
        <w:t xml:space="preserve"> </w:t>
      </w:r>
      <w:r>
        <w:t>=</w:t>
      </w:r>
      <w:r w:rsidR="009219D3">
        <w:t xml:space="preserve"> </w:t>
      </w:r>
      <w:r>
        <w:t>30 - 310), the chemical is expected to be very mobile in soil (US EPA 1998</w:t>
      </w:r>
      <w:r w:rsidR="005905F6">
        <w:t>b</w:t>
      </w:r>
      <w:r>
        <w:t>).</w:t>
      </w:r>
    </w:p>
    <w:p w14:paraId="13C6E13A" w14:textId="0E82400B" w:rsidR="00A76E65" w:rsidRDefault="00A76E65" w:rsidP="00A76E65">
      <w:pPr>
        <w:pStyle w:val="Body"/>
      </w:pPr>
      <w:r w:rsidRPr="00E6110F">
        <w:t xml:space="preserve">There is evidence for </w:t>
      </w:r>
      <w:r w:rsidR="00B94C64">
        <w:t>MCI</w:t>
      </w:r>
      <w:r w:rsidRPr="00E6110F">
        <w:t xml:space="preserve"> biodegrading under anaerobic conditions, with a half-life of 5 days in river sediment </w:t>
      </w:r>
      <w:r w:rsidRPr="00E6110F">
        <w:fldChar w:fldCharType="begin"/>
      </w:r>
      <w:r w:rsidRPr="00E6110F">
        <w:instrText xml:space="preserve"> ADDIN EN.CITE &lt;EndNote&gt;&lt;Cite&gt;&lt;Author&gt;Jacobson&lt;/Author&gt;&lt;Year&gt;2000&lt;/Year&gt;&lt;RecNum&gt;3317&lt;/RecNum&gt;&lt;DisplayText&gt;(Jacobson and Williams 2000)&lt;/DisplayText&gt;&lt;record&gt;&lt;rec-number&gt;3317&lt;/rec-number&gt;&lt;foreign-keys&gt;&lt;key app="EN" db-id="d09sasz0sd22enex2rk5xrr7a5zsf0rvfsa5" timestamp="1464777087"&gt;3317&lt;/key&gt;&lt;/foreign-keys&gt;&lt;ref-type name="Journal Article"&gt;17&lt;/ref-type&gt;&lt;contributors&gt;&lt;authors&gt;&lt;author&gt;Jacobson, A.&lt;/author&gt;&lt;author&gt;Williams, T. M.&lt;/author&gt;&lt;/authors&gt;&lt;/contributors&gt;&lt;auth-address&gt;Rohm and Haas Company, Research Laboratory, 727 Norristown Road, Spring House, PA 19477, United States&lt;/auth-address&gt;&lt;titles&gt;&lt;title&gt;The environmental fate of isothiazolone biocides&lt;/title&gt;&lt;secondary-title&gt;Chimica Oggi&lt;/secondary-title&gt;&lt;/titles&gt;&lt;periodical&gt;&lt;full-title&gt;Chimica Oggi&lt;/full-title&gt;&lt;/periodical&gt;&lt;pages&gt;105-108&lt;/pages&gt;&lt;volume&gt;18&lt;/volume&gt;&lt;number&gt;10&lt;/number&gt;&lt;dates&gt;&lt;year&gt;2000&lt;/year&gt;&lt;/dates&gt;&lt;work-type&gt;Article&lt;/work-type&gt;&lt;urls&gt;&lt;related-urls&gt;&lt;url&gt;https://www.scopus.com/inward/record.uri?eid=2-s2.0-0034337057&amp;amp;partnerID=40&amp;amp;md5=e67c3506f272ae1ef79f82b8ee162e24&lt;/url&gt;&lt;/related-urls&gt;&lt;/urls&gt;&lt;remote-database-name&gt;Scopus&lt;/remote-database-name&gt;&lt;/record&gt;&lt;/Cite&gt;&lt;/EndNote&gt;</w:instrText>
      </w:r>
      <w:r w:rsidRPr="00E6110F">
        <w:fldChar w:fldCharType="separate"/>
      </w:r>
      <w:r w:rsidRPr="00E6110F">
        <w:rPr>
          <w:noProof/>
        </w:rPr>
        <w:t>(Jacobson and Williams 2000)</w:t>
      </w:r>
      <w:r w:rsidRPr="00E6110F">
        <w:fldChar w:fldCharType="end"/>
      </w:r>
      <w:r w:rsidRPr="00E6110F">
        <w:t>.</w:t>
      </w:r>
    </w:p>
    <w:p w14:paraId="316A0694" w14:textId="35D4E088" w:rsidR="003013EC" w:rsidRDefault="003013EC" w:rsidP="003013EC">
      <w:pPr>
        <w:pStyle w:val="Body"/>
        <w:jc w:val="center"/>
      </w:pPr>
      <w:r>
        <w:rPr>
          <w:noProof/>
          <w:lang w:val="en-AU" w:eastAsia="en-AU"/>
        </w:rPr>
        <w:drawing>
          <wp:inline distT="0" distB="0" distL="0" distR="0" wp14:anchorId="42B69DDE" wp14:editId="09A5F15A">
            <wp:extent cx="4259297" cy="1372901"/>
            <wp:effectExtent l="0" t="0" r="8255" b="0"/>
            <wp:docPr id="516" name="Picture 22" descr="Diagram of MCI biodegradation under anaerobic conditions." title="Fig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pic:nvPicPr>
                  <pic:blipFill>
                    <a:blip r:embed="rId174" cstate="email">
                      <a:extLst>
                        <a:ext uri="{28A0092B-C50C-407E-A947-70E740481C1C}">
                          <a14:useLocalDpi xmlns:a14="http://schemas.microsoft.com/office/drawing/2010/main"/>
                        </a:ext>
                      </a:extLst>
                    </a:blip>
                    <a:stretch>
                      <a:fillRect/>
                    </a:stretch>
                  </pic:blipFill>
                  <pic:spPr>
                    <a:xfrm>
                      <a:off x="0" y="0"/>
                      <a:ext cx="4312309" cy="1389989"/>
                    </a:xfrm>
                    <a:prstGeom prst="rect">
                      <a:avLst/>
                    </a:prstGeom>
                  </pic:spPr>
                </pic:pic>
              </a:graphicData>
            </a:graphic>
          </wp:inline>
        </w:drawing>
      </w:r>
    </w:p>
    <w:p w14:paraId="2A736E83" w14:textId="7C6306AD" w:rsidR="003013EC" w:rsidRPr="00E6110F" w:rsidRDefault="003013EC" w:rsidP="003013EC">
      <w:pPr>
        <w:pStyle w:val="Imagecaption"/>
      </w:pPr>
      <w:bookmarkStart w:id="499" w:name="_Toc477347642"/>
      <w:r w:rsidRPr="00053A80">
        <w:t xml:space="preserve">Figure </w:t>
      </w:r>
      <w:r w:rsidR="00254026">
        <w:fldChar w:fldCharType="begin" w:fldLock="1"/>
      </w:r>
      <w:r w:rsidR="00254026">
        <w:instrText xml:space="preserve"> STYLEREF 1 \s </w:instrText>
      </w:r>
      <w:r w:rsidR="00254026">
        <w:fldChar w:fldCharType="separate"/>
      </w:r>
      <w:r w:rsidR="00335E79">
        <w:rPr>
          <w:noProof/>
        </w:rPr>
        <w:t>4</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12</w:t>
      </w:r>
      <w:r w:rsidR="00254026">
        <w:fldChar w:fldCharType="end"/>
      </w:r>
      <w:r w:rsidRPr="00053A80">
        <w:t xml:space="preserve"> MCI biodegradation under anaerobic conditions</w:t>
      </w:r>
      <w:r w:rsidR="00053A80" w:rsidRPr="00053A80">
        <w:t xml:space="preserve"> (</w:t>
      </w:r>
      <w:r w:rsidR="00A34B35">
        <w:t>based on</w:t>
      </w:r>
      <w:r w:rsidR="00053A80" w:rsidRPr="00053A80">
        <w:t xml:space="preserve"> Jacobson and Williams 2000)</w:t>
      </w:r>
      <w:r w:rsidRPr="00053A80">
        <w:t>.</w:t>
      </w:r>
      <w:bookmarkEnd w:id="499"/>
    </w:p>
    <w:p w14:paraId="6E84CD25" w14:textId="67EBEFD4" w:rsidR="0062678C" w:rsidRPr="00E6110F" w:rsidRDefault="0062678C" w:rsidP="0062678C">
      <w:pPr>
        <w:pStyle w:val="Heading3"/>
        <w:numPr>
          <w:ilvl w:val="3"/>
          <w:numId w:val="1"/>
        </w:numPr>
      </w:pPr>
      <w:bookmarkStart w:id="500" w:name="_Toc494444600"/>
      <w:r w:rsidRPr="00E6110F">
        <w:t>Acrylamide polymer</w:t>
      </w:r>
      <w:bookmarkEnd w:id="500"/>
    </w:p>
    <w:p w14:paraId="661D372F" w14:textId="77777777" w:rsidR="00517390" w:rsidRDefault="00517390" w:rsidP="00F23DB0">
      <w:pPr>
        <w:pStyle w:val="Body"/>
      </w:pPr>
      <w:r w:rsidRPr="00C2536E">
        <w:t xml:space="preserve">Pure polyacrylamides are nontoxic, relatively stable to a variety of reaction conditions, and, most critically, do not undergo unzipping type reactions to form significant amounts of </w:t>
      </w:r>
      <w:r>
        <w:t xml:space="preserve">the neurotoxic </w:t>
      </w:r>
      <w:r w:rsidRPr="00C2536E">
        <w:t>acrylamide.</w:t>
      </w:r>
      <w:r>
        <w:t xml:space="preserve"> </w:t>
      </w:r>
      <w:r w:rsidRPr="00F1393B">
        <w:t>Acrylamide has been classified by the US EPA as a Group B2 probable carcinogen.</w:t>
      </w:r>
      <w:r>
        <w:t xml:space="preserve"> </w:t>
      </w:r>
      <w:r w:rsidRPr="00C2536E">
        <w:t xml:space="preserve">Degradation pathways of polyacrylamides were reviewed by Caulfield et al. (2002). </w:t>
      </w:r>
      <w:r>
        <w:t>These include t</w:t>
      </w:r>
      <w:r w:rsidRPr="00C2536E">
        <w:t>hermal, photo</w:t>
      </w:r>
      <w:r>
        <w:t>chemical</w:t>
      </w:r>
      <w:r w:rsidRPr="00C2536E">
        <w:t>, biological, chemical, and mechanical degradation</w:t>
      </w:r>
      <w:r>
        <w:t>, w</w:t>
      </w:r>
      <w:r w:rsidRPr="00C2536E">
        <w:t>here the degradation chemistry is dominated by the reactivity of the substituent amide group.</w:t>
      </w:r>
      <w:r>
        <w:t xml:space="preserve"> For example, photodegradation has been shown to degrade the polymer backbone into monomers. Microbial enzymes have been shown to facilitate biological hydrolysis of polyacrylamides into ammonia and an acid (Caulfield et al. </w:t>
      </w:r>
      <w:r w:rsidRPr="00C2536E">
        <w:t>2002</w:t>
      </w:r>
      <w:r>
        <w:t xml:space="preserve">). </w:t>
      </w:r>
    </w:p>
    <w:p w14:paraId="6516227C" w14:textId="52D793B2" w:rsidR="00A76E65" w:rsidRPr="00E6110F" w:rsidRDefault="00A76E65" w:rsidP="00A76E65">
      <w:pPr>
        <w:pStyle w:val="Body"/>
      </w:pPr>
      <w:r w:rsidRPr="00E6110F">
        <w:t xml:space="preserve">Polyacrylamide in its pure form has been found to be thermally stable below 200⁰C and resistant to biodegradation, while mechanical degradation of the polymer is likely to be a major fate pathway in the environment </w:t>
      </w:r>
      <w:r w:rsidRPr="00E6110F">
        <w:fldChar w:fldCharType="begin">
          <w:fldData xml:space="preserve">PEVuZE5vdGU+PENpdGU+PEF1dGhvcj5DYXVsZmllbGQ8L0F1dGhvcj48WWVhcj4yMDAyPC9ZZWFy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</w:fldData>
        </w:fldChar>
      </w:r>
      <w:r w:rsidRPr="00E6110F">
        <w:instrText xml:space="preserve"> ADDIN EN.CITE </w:instrText>
      </w:r>
      <w:r w:rsidRPr="00E6110F">
        <w:fldChar w:fldCharType="begin">
          <w:fldData xml:space="preserve">PEVuZE5vdGU+PENpdGU+PEF1dGhvcj5DYXVsZmllbGQ8L0F1dGhvcj48WWVhcj4yMDAyPC9ZZWFy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</w:fldData>
        </w:fldChar>
      </w:r>
      <w:r w:rsidRPr="00E6110F">
        <w:instrText xml:space="preserve"> ADDIN EN.CITE.DATA </w:instrText>
      </w:r>
      <w:r w:rsidRPr="00E6110F">
        <w:fldChar w:fldCharType="end"/>
      </w:r>
      <w:r w:rsidRPr="00E6110F">
        <w:fldChar w:fldCharType="separate"/>
      </w:r>
      <w:r w:rsidRPr="00E6110F">
        <w:rPr>
          <w:noProof/>
        </w:rPr>
        <w:t>(Seybold 1994, Caulfield et al. 2002)</w:t>
      </w:r>
      <w:r w:rsidRPr="00E6110F">
        <w:fldChar w:fldCharType="end"/>
      </w:r>
      <w:r w:rsidRPr="00E6110F">
        <w:t xml:space="preserve">. </w:t>
      </w:r>
      <w:proofErr w:type="gramStart"/>
      <w:r w:rsidRPr="00E6110F">
        <w:t>pH-dependent</w:t>
      </w:r>
      <w:proofErr w:type="gramEnd"/>
      <w:r w:rsidRPr="00E6110F">
        <w:t xml:space="preserve"> hydrolysis of polyacrylamide can occur through conversion of polyacrylamide to acrylic acid at acidic and basic pH values, although the rate is highly dependent on the degree of acrylic acid already present within the polymer </w:t>
      </w:r>
      <w:r w:rsidRPr="00E6110F">
        <w:fldChar w:fldCharType="begin">
          <w:fldData xml:space="preserve">PEVuZE5vdGU+PENpdGU+PEF1dGhvcj5DYXVsZmllbGQ8L0F1dGhvcj48WWVhcj4yMDAyPC9ZZWFy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</w:fldData>
        </w:fldChar>
      </w:r>
      <w:r w:rsidRPr="00E6110F">
        <w:instrText xml:space="preserve"> ADDIN EN.CITE </w:instrText>
      </w:r>
      <w:r w:rsidRPr="00E6110F">
        <w:fldChar w:fldCharType="begin">
          <w:fldData xml:space="preserve">PEVuZE5vdGU+PENpdGU+PEF1dGhvcj5DYXVsZmllbGQ8L0F1dGhvcj48WWVhcj4yMDAyPC9ZZWFy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</w:fldData>
        </w:fldChar>
      </w:r>
      <w:r w:rsidRPr="00E6110F">
        <w:instrText xml:space="preserve"> ADDIN EN.CITE.DATA </w:instrText>
      </w:r>
      <w:r w:rsidRPr="00E6110F">
        <w:fldChar w:fldCharType="end"/>
      </w:r>
      <w:r w:rsidRPr="00E6110F">
        <w:fldChar w:fldCharType="separate"/>
      </w:r>
      <w:r w:rsidRPr="00E6110F">
        <w:rPr>
          <w:noProof/>
        </w:rPr>
        <w:t>(Muller</w:t>
      </w:r>
      <w:r w:rsidRPr="00E6110F">
        <w:rPr>
          <w:i/>
          <w:noProof/>
        </w:rPr>
        <w:t xml:space="preserve"> </w:t>
      </w:r>
      <w:r w:rsidRPr="00E6110F">
        <w:rPr>
          <w:noProof/>
        </w:rPr>
        <w:t>et al</w:t>
      </w:r>
      <w:r w:rsidRPr="00E6110F">
        <w:rPr>
          <w:i/>
          <w:noProof/>
        </w:rPr>
        <w:t>.</w:t>
      </w:r>
      <w:r w:rsidRPr="00E6110F">
        <w:rPr>
          <w:noProof/>
        </w:rPr>
        <w:t xml:space="preserve"> 1980, Zurimendi</w:t>
      </w:r>
      <w:r w:rsidRPr="00E6110F">
        <w:rPr>
          <w:i/>
          <w:noProof/>
        </w:rPr>
        <w:t xml:space="preserve"> </w:t>
      </w:r>
      <w:r w:rsidRPr="00E6110F">
        <w:rPr>
          <w:noProof/>
        </w:rPr>
        <w:t>et al</w:t>
      </w:r>
      <w:r w:rsidRPr="00E6110F">
        <w:rPr>
          <w:i/>
          <w:noProof/>
        </w:rPr>
        <w:t>.</w:t>
      </w:r>
      <w:r w:rsidRPr="00E6110F">
        <w:rPr>
          <w:noProof/>
        </w:rPr>
        <w:t xml:space="preserve"> 1984, Caulfield</w:t>
      </w:r>
      <w:r w:rsidRPr="00E6110F">
        <w:rPr>
          <w:i/>
          <w:noProof/>
        </w:rPr>
        <w:t xml:space="preserve"> </w:t>
      </w:r>
      <w:r w:rsidRPr="00E6110F">
        <w:rPr>
          <w:noProof/>
        </w:rPr>
        <w:t>et al</w:t>
      </w:r>
      <w:r w:rsidRPr="00E6110F">
        <w:rPr>
          <w:i/>
          <w:noProof/>
        </w:rPr>
        <w:t>.</w:t>
      </w:r>
      <w:r w:rsidRPr="00E6110F">
        <w:rPr>
          <w:noProof/>
        </w:rPr>
        <w:t xml:space="preserve"> 2002)</w:t>
      </w:r>
      <w:r w:rsidRPr="00E6110F">
        <w:fldChar w:fldCharType="end"/>
      </w:r>
      <w:r w:rsidRPr="00E6110F">
        <w:t xml:space="preserve">. </w:t>
      </w:r>
      <w:r w:rsidR="00DD7FAA">
        <w:t xml:space="preserve">In the case of Muller et al. (1980), tests were done at 100 °C. </w:t>
      </w:r>
      <w:r w:rsidRPr="00E6110F">
        <w:t xml:space="preserve">Sorption of hydrolysed (acrylic acid-containing) polyacrylamide can occur mainly with clays, although the degree of sorption is highly dependent on the extent of acrylic acid within the polymer structure </w:t>
      </w:r>
      <w:r w:rsidRPr="00E6110F">
        <w:fldChar w:fldCharType="begin"/>
      </w:r>
      <w:r w:rsidRPr="00E6110F">
        <w:instrText xml:space="preserve"> ADDIN EN.CITE &lt;EndNote&gt;&lt;Cite&gt;&lt;Author&gt;Seybold&lt;/Author&gt;&lt;Year&gt;1994&lt;/Year&gt;&lt;RecNum&gt;3329&lt;/RecNum&gt;&lt;DisplayText&gt;(Seybold 1994)&lt;/DisplayText&gt;&lt;record&gt;&lt;rec-number&gt;3329&lt;/rec-number&gt;&lt;foreign-keys&gt;&lt;key app="EN" db-id="d09sasz0sd22enex2rk5xrr7a5zsf0rvfsa5" timestamp="1464934675"&gt;3329&lt;/key&gt;&lt;/foreign-keys&gt;&lt;ref-type name="Journal Article"&gt;17&lt;/ref-type&gt;&lt;contributors&gt;&lt;authors&gt;&lt;author&gt;Seybold, C. D.&lt;/author&gt;&lt;/authors&gt;&lt;/contributors&gt;&lt;auth-address&gt;Virginia State University, P.O. Box 9081, Petersburg, United States&lt;/auth-address&gt;&lt;titles&gt;&lt;title&gt;Polyacrylamide review: Soil conditioning and environmental fate&lt;/title&gt;&lt;secondary-title&gt;Communications in Soil Science and Plant Analysis&lt;/secondary-title&gt;&lt;/titles&gt;&lt;periodical&gt;&lt;full-title&gt;Communications in Soil Science and Plant Analysis&lt;/full-title&gt;&lt;/periodical&gt;&lt;pages&gt;2171-2185&lt;/pages&gt;&lt;volume&gt;25&lt;/volume&gt;&lt;number&gt;11-12&lt;/number&gt;&lt;dates&gt;&lt;year&gt;1994&lt;/year&gt;&lt;/dates&gt;&lt;work-type&gt;Article&lt;/work-type&gt;&lt;urls&gt;&lt;related-urls&gt;&lt;url&gt;https://www.scopus.com/inward/record.uri?eid=2-s2.0-0028159893&amp;amp;partnerID=40&amp;amp;md5=2bfb6b7d207b1bc4b1b3ba6c5a22318b&lt;/url&gt;&lt;/related-urls&gt;&lt;/urls&gt;&lt;electronic-resource-num&gt;10.1080/00103629409369180&lt;/electronic-resource-num&gt;&lt;remote-database-name&gt;Scopus&lt;/remote-database-name&gt;&lt;/record&gt;&lt;/Cite&gt;&lt;/EndNote&gt;</w:instrText>
      </w:r>
      <w:r w:rsidRPr="00E6110F">
        <w:fldChar w:fldCharType="separate"/>
      </w:r>
      <w:r w:rsidRPr="00E6110F">
        <w:rPr>
          <w:noProof/>
        </w:rPr>
        <w:t>(Seybold 1994)</w:t>
      </w:r>
      <w:r w:rsidRPr="00E6110F">
        <w:fldChar w:fldCharType="end"/>
      </w:r>
      <w:r w:rsidRPr="00E6110F">
        <w:t>. Polyacrylamide has a very high water solubility and, combined anionic nature, suggests that polyacrylamide is expected to be highly mobile in a soil environment (Caulfield et al.</w:t>
      </w:r>
      <w:r w:rsidRPr="00E6110F">
        <w:rPr>
          <w:i/>
        </w:rPr>
        <w:t xml:space="preserve"> </w:t>
      </w:r>
      <w:r w:rsidRPr="00E6110F">
        <w:t xml:space="preserve">2002, TOXNET), although polyacrylamide may irreversibly adsorb to soils under dry conditions. </w:t>
      </w:r>
    </w:p>
    <w:p w14:paraId="34CDAC02" w14:textId="0D79DBFC" w:rsidR="002B0036" w:rsidRPr="00E6110F" w:rsidRDefault="0070283D" w:rsidP="002B0036">
      <w:pPr>
        <w:pStyle w:val="Heading3"/>
      </w:pPr>
      <w:bookmarkStart w:id="501" w:name="_Ref446953833"/>
      <w:bookmarkStart w:id="502" w:name="_Toc494444601"/>
      <w:r>
        <w:t>Summary of c</w:t>
      </w:r>
      <w:r w:rsidR="002B0036" w:rsidRPr="00E6110F">
        <w:t>hemical half-life parameters</w:t>
      </w:r>
      <w:bookmarkEnd w:id="501"/>
      <w:bookmarkEnd w:id="502"/>
    </w:p>
    <w:p w14:paraId="6C6E75D5" w14:textId="20C268C3" w:rsidR="00EA1DE6" w:rsidRDefault="002B0036" w:rsidP="0070283D">
      <w:pPr>
        <w:pStyle w:val="Body"/>
      </w:pPr>
      <w:r w:rsidRPr="00E6110F">
        <w:t xml:space="preserve">Due to the assumed low levels of organic carbon </w:t>
      </w:r>
      <w:r w:rsidR="0070283D">
        <w:t xml:space="preserve">in all aquifers except </w:t>
      </w:r>
      <w:r w:rsidRPr="00E6110F">
        <w:t xml:space="preserve">the Namoi </w:t>
      </w:r>
      <w:r w:rsidR="0070283D">
        <w:t xml:space="preserve">and Dawson River </w:t>
      </w:r>
      <w:r w:rsidRPr="00E6110F">
        <w:t xml:space="preserve">alluvium, it was assumed that </w:t>
      </w:r>
      <w:r w:rsidR="0070283D">
        <w:t xml:space="preserve">abiotic degradation via </w:t>
      </w:r>
      <w:r w:rsidRPr="00E6110F">
        <w:t xml:space="preserve">hydrolysis would be the dominant degradation process. </w:t>
      </w:r>
      <w:r w:rsidR="00EA1DE6">
        <w:t>However, m</w:t>
      </w:r>
      <w:r w:rsidRPr="00E6110F">
        <w:t>ost of the organic chemicals selected do not have functional groups susceptible to hydrolysis, although bronopol and methylchloroisothiazolinone have been reported to degrade abiotically under alkaline conditions (US</w:t>
      </w:r>
      <w:r w:rsidR="00220C73" w:rsidRPr="00E6110F">
        <w:t xml:space="preserve"> </w:t>
      </w:r>
      <w:r w:rsidRPr="00E6110F">
        <w:t>EPA 1995b, 1998</w:t>
      </w:r>
      <w:r w:rsidR="00220C73" w:rsidRPr="00E6110F">
        <w:t>a</w:t>
      </w:r>
      <w:r w:rsidRPr="00E6110F">
        <w:t>).</w:t>
      </w:r>
      <w:r w:rsidR="00EA1DE6">
        <w:t xml:space="preserve"> HMX </w:t>
      </w:r>
      <w:r w:rsidR="003907A3">
        <w:t>was shown to hydrolyse under both fresh and saline conditions (Brannon et al. 2005).</w:t>
      </w:r>
    </w:p>
    <w:p w14:paraId="35A9B4F3" w14:textId="7318A7B7" w:rsidR="00FD274E" w:rsidRDefault="002B0036" w:rsidP="0070283D">
      <w:pPr>
        <w:pStyle w:val="Body"/>
      </w:pPr>
      <w:r w:rsidRPr="00E6110F">
        <w:t xml:space="preserve">Abiotic </w:t>
      </w:r>
      <w:r w:rsidR="0070283D">
        <w:t xml:space="preserve">degradation </w:t>
      </w:r>
      <w:r w:rsidRPr="00E6110F">
        <w:t xml:space="preserve">processes are expected to increase proportionally with temperature so that an increasing temperature will lead to an increase in hydrolysis rates, which can often be dramatic. For example, the half-life of bronopol at 20⁰C (pH 8) is around 60 days, while at 60⁰C it is </w:t>
      </w:r>
      <w:r w:rsidR="00A602CF">
        <w:t xml:space="preserve">0.125 days (or </w:t>
      </w:r>
      <w:r w:rsidRPr="00E6110F">
        <w:t>3 hours</w:t>
      </w:r>
      <w:r w:rsidR="00A602CF">
        <w:t>)</w:t>
      </w:r>
      <w:r w:rsidRPr="00E6110F">
        <w:t xml:space="preserve"> (US</w:t>
      </w:r>
      <w:r w:rsidR="00891097" w:rsidRPr="00E6110F">
        <w:t xml:space="preserve"> </w:t>
      </w:r>
      <w:r w:rsidRPr="00E6110F">
        <w:t xml:space="preserve">EPA 1995b). Bronopol would therefore not be expected to remain stable under the conditions experienced in the </w:t>
      </w:r>
      <w:r w:rsidR="0070283D">
        <w:t xml:space="preserve">deeper </w:t>
      </w:r>
      <w:r w:rsidRPr="00E6110F">
        <w:t xml:space="preserve">formations (high temperature and pH &gt;7). The hydrolysis </w:t>
      </w:r>
      <w:r w:rsidR="0070283D">
        <w:t>half-life</w:t>
      </w:r>
      <w:r w:rsidRPr="00E6110F">
        <w:t xml:space="preserve"> of methylchloroisothiazolinone is considerably shorter at pH 9 (22 days at 25⁰C) than for bronopol and it, too, would be expected to have a short half-life under elevated temperatures experienced within the </w:t>
      </w:r>
      <w:r w:rsidR="0070283D">
        <w:t xml:space="preserve">deeper </w:t>
      </w:r>
      <w:r w:rsidRPr="00E6110F">
        <w:t>formations.</w:t>
      </w:r>
      <w:r w:rsidR="0070283D">
        <w:t xml:space="preserve"> </w:t>
      </w:r>
    </w:p>
    <w:p w14:paraId="77762AF4" w14:textId="03B4B46A" w:rsidR="002B0036" w:rsidRDefault="0070283D" w:rsidP="0070283D">
      <w:pPr>
        <w:pStyle w:val="Body"/>
      </w:pPr>
      <w:r>
        <w:t>A summary of the half-life parameters is p</w:t>
      </w:r>
      <w:r w:rsidRPr="0070283D">
        <w:t xml:space="preserve">rovided in </w:t>
      </w:r>
      <w:r w:rsidRPr="0070283D">
        <w:fldChar w:fldCharType="begin" w:fldLock="1"/>
      </w:r>
      <w:r w:rsidRPr="0070283D">
        <w:instrText xml:space="preserve"> REF _Ref452901860 \h  \* MERGEFORMAT </w:instrText>
      </w:r>
      <w:r w:rsidRPr="0070283D">
        <w:fldChar w:fldCharType="separate"/>
      </w:r>
      <w:r w:rsidR="00335E79" w:rsidRPr="00DA539C">
        <w:t xml:space="preserve">Table </w:t>
      </w:r>
      <w:r w:rsidR="00335E79">
        <w:t>4</w:t>
      </w:r>
      <w:r w:rsidR="00335E79">
        <w:noBreakHyphen/>
        <w:t>4</w:t>
      </w:r>
      <w:r w:rsidRPr="0070283D">
        <w:fldChar w:fldCharType="end"/>
      </w:r>
      <w:r>
        <w:t>, while details of their deriv</w:t>
      </w:r>
      <w:r w:rsidR="00FD274E">
        <w:t>ation</w:t>
      </w:r>
      <w:r>
        <w:t xml:space="preserve"> </w:t>
      </w:r>
      <w:r w:rsidR="00BE0428">
        <w:t>are</w:t>
      </w:r>
      <w:r>
        <w:t xml:space="preserve"> available from Appendix </w:t>
      </w:r>
      <w:r w:rsidR="00FD274E">
        <w:t>5</w:t>
      </w:r>
      <w:r>
        <w:t>.</w:t>
      </w:r>
      <w:r w:rsidR="00FD274E">
        <w:t xml:space="preserve"> Due to the paucity of experimental </w:t>
      </w:r>
      <w:r w:rsidR="00FD274E" w:rsidRPr="00E6110F">
        <w:t xml:space="preserve">degradation </w:t>
      </w:r>
      <w:r w:rsidR="00FD274E">
        <w:t xml:space="preserve">data, chemical </w:t>
      </w:r>
      <w:r w:rsidR="00FD274E" w:rsidRPr="00E6110F">
        <w:t xml:space="preserve">half-life was also estimated </w:t>
      </w:r>
      <w:r w:rsidR="00FD274E">
        <w:t xml:space="preserve">using the EPI Suite </w:t>
      </w:r>
      <w:r w:rsidR="00FD274E" w:rsidRPr="00E6110F">
        <w:t>BIOWIN</w:t>
      </w:r>
      <w:r w:rsidR="00FD274E">
        <w:t xml:space="preserve"> model</w:t>
      </w:r>
      <w:r w:rsidR="00FD274E" w:rsidRPr="00E6110F">
        <w:t xml:space="preserve"> (US EPA 2012b).</w:t>
      </w:r>
      <w:r w:rsidR="00FD3322">
        <w:t xml:space="preserve"> BIOWIN provides the user with h</w:t>
      </w:r>
      <w:r w:rsidR="00FD274E">
        <w:t>alf-lives in categories of hours, days, weeks, or months.  These broad classes were converted into unique numerical half-life value using the conversion</w:t>
      </w:r>
      <w:r w:rsidR="00BE0428">
        <w:t>s</w:t>
      </w:r>
      <w:r w:rsidR="00FD274E">
        <w:t xml:space="preserve"> from</w:t>
      </w:r>
      <w:r w:rsidR="00217AFC">
        <w:t xml:space="preserve"> </w:t>
      </w:r>
      <w:r w:rsidR="00217AFC">
        <w:fldChar w:fldCharType="begin" w:fldLock="1"/>
      </w:r>
      <w:r w:rsidR="00217AFC">
        <w:instrText xml:space="preserve"> REF _Ref458348837 \h  \* MERGEFORMAT </w:instrText>
      </w:r>
      <w:r w:rsidR="00217AFC">
        <w:fldChar w:fldCharType="separate"/>
      </w:r>
      <w:r w:rsidR="00335E79" w:rsidRPr="00DA539C">
        <w:t xml:space="preserve">Table </w:t>
      </w:r>
      <w:r w:rsidR="00335E79">
        <w:t>4</w:t>
      </w:r>
      <w:r w:rsidR="00335E79">
        <w:noBreakHyphen/>
        <w:t>3</w:t>
      </w:r>
      <w:r w:rsidR="00217AFC">
        <w:fldChar w:fldCharType="end"/>
      </w:r>
      <w:r w:rsidR="00217AFC">
        <w:t>.</w:t>
      </w:r>
      <w:r w:rsidR="00FD274E">
        <w:t xml:space="preserve">  </w:t>
      </w:r>
      <w:r w:rsidR="00710DA5">
        <w:t xml:space="preserve">The following </w:t>
      </w:r>
      <w:r w:rsidR="00FA19D8">
        <w:t>abstract</w:t>
      </w:r>
      <w:r w:rsidR="00710DA5">
        <w:t xml:space="preserve"> from the EPI Suite </w:t>
      </w:r>
      <w:r w:rsidR="00710DA5" w:rsidRPr="00E6110F">
        <w:t>BIOWIN</w:t>
      </w:r>
      <w:r w:rsidR="00710DA5">
        <w:t xml:space="preserve"> model </w:t>
      </w:r>
      <w:r w:rsidR="00FA19D8">
        <w:t xml:space="preserve">briefly summarised the methodology </w:t>
      </w:r>
      <w:r w:rsidR="00710DA5">
        <w:t xml:space="preserve">in regards to </w:t>
      </w:r>
      <w:r w:rsidR="00710DA5">
        <w:fldChar w:fldCharType="begin" w:fldLock="1"/>
      </w:r>
      <w:r w:rsidR="00710DA5">
        <w:instrText xml:space="preserve"> REF _Ref458348837 \h  \* MERGEFORMAT </w:instrText>
      </w:r>
      <w:r w:rsidR="00710DA5">
        <w:fldChar w:fldCharType="separate"/>
      </w:r>
      <w:r w:rsidR="00335E79" w:rsidRPr="00DA539C">
        <w:t xml:space="preserve">Table </w:t>
      </w:r>
      <w:r w:rsidR="00335E79">
        <w:t>4</w:t>
      </w:r>
      <w:r w:rsidR="00335E79">
        <w:noBreakHyphen/>
        <w:t>3</w:t>
      </w:r>
      <w:r w:rsidR="00710DA5">
        <w:fldChar w:fldCharType="end"/>
      </w:r>
      <w:r w:rsidR="00710DA5">
        <w:t>:</w:t>
      </w:r>
    </w:p>
    <w:p w14:paraId="7B7A1418" w14:textId="74A7E91F" w:rsidR="008C6D31" w:rsidRPr="00594474" w:rsidRDefault="00710DA5" w:rsidP="0070283D">
      <w:pPr>
        <w:pStyle w:val="Body"/>
      </w:pPr>
      <w:r>
        <w:t>“</w:t>
      </w:r>
      <w:r w:rsidRPr="00594474">
        <w:t>These two models estimate the time required for "complete" ultimate [Biowin3] and primary [Biowin4] biodegradation.  Primary biodegradation is the transformation of a parent compound to an initial metabolite.  Ultimate biodegradation is the transformation of a parent compound to carbon dioxide and water, mineral oxides of any other elements present in the test compound, and new cell material.  The models are based upon a survey of 17 biodegradation experts conducted by EPA, in which the experts were asked to evaluate 200 compounds in terms of the time required to achieve ultimate and primary biodegradation in a typical or "evaluative" aquatic environment (</w:t>
      </w:r>
      <w:hyperlink r:id="rId175" w:history="1">
        <w:r w:rsidRPr="00594474">
          <w:rPr>
            <w:rStyle w:val="Hyperlink"/>
            <w:i/>
          </w:rPr>
          <w:t>Boethling et al. 1994</w:t>
        </w:r>
      </w:hyperlink>
      <w:r w:rsidRPr="00594474">
        <w:t xml:space="preserve">).  This survey followed a similar survey for 50 compounds, described by </w:t>
      </w:r>
      <w:hyperlink r:id="rId176" w:history="1">
        <w:r w:rsidRPr="00594474">
          <w:t>Boethling and Sabljic (1989)</w:t>
        </w:r>
      </w:hyperlink>
      <w:r w:rsidRPr="00594474">
        <w:t>.  In the second survey, each expert rated the ultimate and primary biodegradation of each compound on a scale of 1 to 5.  The ratings correspond to the following time units:   5 - hours</w:t>
      </w:r>
      <w:proofErr w:type="gramStart"/>
      <w:r w:rsidRPr="00594474">
        <w:t>;  4</w:t>
      </w:r>
      <w:proofErr w:type="gramEnd"/>
      <w:r w:rsidRPr="00594474">
        <w:t xml:space="preserve"> - days;  3 - weeks;  2 - months;  1 - longer.   It should be noted that the ratings are only semi-quantitative and are not half-lives.  Thus for example if the averaged expert rating for ultimate degradation of a compound is 2.5, it means the experts considered that the compound would biodegrade completely in a time frame somewhere between "a matter of weeks" and "a matter of months", with no exact time or half-life being applied.”</w:t>
      </w:r>
    </w:p>
    <w:p w14:paraId="6684BA22" w14:textId="77777777" w:rsidR="008C6D31" w:rsidRDefault="008C6D31" w:rsidP="0070283D">
      <w:pPr>
        <w:pStyle w:val="Body"/>
      </w:pPr>
    </w:p>
    <w:p w14:paraId="665C082C" w14:textId="2B0B959E" w:rsidR="00FD274E" w:rsidRPr="00DA539C" w:rsidRDefault="00217AFC" w:rsidP="00DA539C">
      <w:pPr>
        <w:pStyle w:val="Imagecaption"/>
        <w:keepNext/>
        <w:pBdr>
          <w:top w:val="none" w:sz="0" w:space="0" w:color="auto"/>
        </w:pBdr>
      </w:pPr>
      <w:bookmarkStart w:id="503" w:name="_Ref458348837"/>
      <w:bookmarkStart w:id="504" w:name="_Toc494444720"/>
      <w:r w:rsidRPr="00DA539C">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3</w:t>
      </w:r>
      <w:r w:rsidR="00470577">
        <w:fldChar w:fldCharType="end"/>
      </w:r>
      <w:bookmarkEnd w:id="503"/>
      <w:r w:rsidRPr="00DA539C">
        <w:t xml:space="preserve"> </w:t>
      </w:r>
      <w:r w:rsidR="00FD274E" w:rsidRPr="00DA539C">
        <w:t>Experimental</w:t>
      </w:r>
      <w:r w:rsidRPr="00DA539C">
        <w:t xml:space="preserve"> primary degradation half-lives</w:t>
      </w:r>
      <w:r w:rsidR="00FD274E" w:rsidRPr="00DA539C">
        <w:t xml:space="preserve"> vs</w:t>
      </w:r>
      <w:r w:rsidRPr="00DA539C">
        <w:t>. EPI Suite</w:t>
      </w:r>
      <w:r w:rsidR="00FD274E" w:rsidRPr="00DA539C">
        <w:t xml:space="preserve"> </w:t>
      </w:r>
      <w:r w:rsidRPr="00DA539C">
        <w:t>default</w:t>
      </w:r>
      <w:r w:rsidR="00FD274E" w:rsidRPr="00DA539C">
        <w:t xml:space="preserve"> half-li</w:t>
      </w:r>
      <w:r w:rsidRPr="00DA539C">
        <w:t>v</w:t>
      </w:r>
      <w:r w:rsidR="00FD274E" w:rsidRPr="00DA539C">
        <w:t>es</w:t>
      </w:r>
      <w:r w:rsidR="00955DEC" w:rsidRPr="00DA539C">
        <w:t xml:space="preserve"> (US EPA 2012b)</w:t>
      </w:r>
      <w:r w:rsidRPr="00DA539C">
        <w:t>.</w:t>
      </w:r>
      <w:bookmarkEnd w:id="504"/>
      <w:r w:rsidR="00175818" w:rsidRPr="00DA539C">
        <w:t xml:space="preserve"> </w:t>
      </w:r>
    </w:p>
    <w:tbl>
      <w:tblPr>
        <w:tblW w:w="9214" w:type="dxa"/>
        <w:tblBorders>
          <w:top w:val="single" w:sz="8" w:space="0" w:color="000000" w:themeColor="text1"/>
          <w:bottom w:val="single" w:sz="8" w:space="0" w:color="000000" w:themeColor="text1"/>
        </w:tblBorders>
        <w:tblLayout w:type="fixed"/>
        <w:tblLook w:val="0000" w:firstRow="0" w:lastRow="0" w:firstColumn="0" w:lastColumn="0" w:noHBand="0" w:noVBand="0"/>
      </w:tblPr>
      <w:tblGrid>
        <w:gridCol w:w="1277"/>
        <w:gridCol w:w="1417"/>
        <w:gridCol w:w="1134"/>
        <w:gridCol w:w="284"/>
        <w:gridCol w:w="1133"/>
        <w:gridCol w:w="851"/>
        <w:gridCol w:w="708"/>
        <w:gridCol w:w="1419"/>
        <w:gridCol w:w="991"/>
      </w:tblGrid>
      <w:tr w:rsidR="008C6D31" w:rsidRPr="00674AAA" w14:paraId="21F85BFC" w14:textId="77777777" w:rsidTr="00897C2F">
        <w:trPr>
          <w:trHeight w:val="563"/>
        </w:trPr>
        <w:tc>
          <w:tcPr>
            <w:tcW w:w="1277" w:type="dxa"/>
            <w:vMerge w:val="restart"/>
            <w:tcBorders>
              <w:top w:val="single" w:sz="8" w:space="0" w:color="000000" w:themeColor="text1"/>
            </w:tcBorders>
            <w:shd w:val="clear" w:color="auto" w:fill="F2F2F2" w:themeFill="background1" w:themeFillShade="F2"/>
          </w:tcPr>
          <w:p w14:paraId="32D215B8" w14:textId="4C1E401A" w:rsidR="008C6D31" w:rsidRPr="00485662" w:rsidRDefault="008C6D31" w:rsidP="008C6D31">
            <w:pPr>
              <w:spacing w:after="0"/>
              <w:rPr>
                <w:rFonts w:ascii="Calibri" w:hAnsi="Calibri" w:cs="Calibri"/>
                <w:color w:val="000000"/>
                <w:sz w:val="18"/>
                <w:szCs w:val="18"/>
                <w:lang w:val="en-GB"/>
              </w:rPr>
            </w:pPr>
            <w:r w:rsidRPr="00485662">
              <w:rPr>
                <w:rFonts w:ascii="Calibri" w:hAnsi="Calibri" w:cs="Calibri"/>
                <w:color w:val="000000"/>
                <w:sz w:val="18"/>
                <w:szCs w:val="18"/>
                <w:lang w:val="en-GB"/>
              </w:rPr>
              <w:t>No. of compounds</w:t>
            </w:r>
            <w:r w:rsidR="00FA19D8">
              <w:rPr>
                <w:rFonts w:ascii="Calibri" w:hAnsi="Calibri" w:cs="Calibri"/>
                <w:color w:val="000000"/>
                <w:sz w:val="18"/>
                <w:szCs w:val="18"/>
                <w:vertAlign w:val="superscript"/>
                <w:lang w:val="en-GB"/>
              </w:rPr>
              <w:t>d</w:t>
            </w:r>
          </w:p>
        </w:tc>
        <w:tc>
          <w:tcPr>
            <w:tcW w:w="2551" w:type="dxa"/>
            <w:gridSpan w:val="2"/>
            <w:tcBorders>
              <w:top w:val="single" w:sz="8" w:space="0" w:color="000000" w:themeColor="text1"/>
              <w:bottom w:val="single" w:sz="8" w:space="0" w:color="000000" w:themeColor="text1"/>
            </w:tcBorders>
            <w:shd w:val="clear" w:color="auto" w:fill="F2F2F2" w:themeFill="background1" w:themeFillShade="F2"/>
          </w:tcPr>
          <w:p w14:paraId="4097F123" w14:textId="1D71D689" w:rsidR="008C6D31" w:rsidRPr="00485662" w:rsidRDefault="008C6D31" w:rsidP="008C6D31">
            <w:pPr>
              <w:jc w:val="center"/>
              <w:rPr>
                <w:rFonts w:ascii="Calibri" w:hAnsi="Calibri" w:cs="Calibri"/>
                <w:color w:val="000000"/>
                <w:sz w:val="18"/>
                <w:szCs w:val="18"/>
                <w:lang w:val="en-GB"/>
              </w:rPr>
            </w:pPr>
            <w:r w:rsidRPr="00485662">
              <w:rPr>
                <w:rFonts w:ascii="Calibri" w:hAnsi="Calibri" w:cs="Calibri"/>
                <w:color w:val="000000"/>
                <w:sz w:val="18"/>
                <w:szCs w:val="18"/>
                <w:lang w:val="en-GB"/>
              </w:rPr>
              <w:t>BIOWIN3</w:t>
            </w:r>
            <w:r w:rsidR="00923AD6">
              <w:rPr>
                <w:rFonts w:ascii="Calibri" w:hAnsi="Calibri" w:cs="Calibri"/>
                <w:color w:val="000000"/>
                <w:sz w:val="18"/>
                <w:szCs w:val="18"/>
                <w:lang w:val="en-GB"/>
              </w:rPr>
              <w:t>/4</w:t>
            </w:r>
            <w:r w:rsidRPr="00485662">
              <w:rPr>
                <w:rFonts w:ascii="Calibri" w:hAnsi="Calibri" w:cs="Calibri"/>
                <w:color w:val="000000"/>
                <w:sz w:val="18"/>
                <w:szCs w:val="18"/>
                <w:lang w:val="en-GB"/>
              </w:rPr>
              <w:t xml:space="preserve"> category</w:t>
            </w:r>
          </w:p>
        </w:tc>
        <w:tc>
          <w:tcPr>
            <w:tcW w:w="284" w:type="dxa"/>
            <w:tcBorders>
              <w:top w:val="single" w:sz="8" w:space="0" w:color="000000" w:themeColor="text1"/>
              <w:bottom w:val="nil"/>
            </w:tcBorders>
            <w:shd w:val="clear" w:color="auto" w:fill="F2F2F2" w:themeFill="background1" w:themeFillShade="F2"/>
          </w:tcPr>
          <w:p w14:paraId="200A9586" w14:textId="77777777" w:rsidR="008C6D31" w:rsidRPr="00485662" w:rsidRDefault="008C6D31" w:rsidP="008C6D31">
            <w:pPr>
              <w:rPr>
                <w:rFonts w:ascii="Calibri" w:hAnsi="Calibri" w:cs="Calibri"/>
                <w:color w:val="000000"/>
                <w:sz w:val="18"/>
                <w:szCs w:val="18"/>
                <w:lang w:val="en-GB"/>
              </w:rPr>
            </w:pPr>
          </w:p>
        </w:tc>
        <w:tc>
          <w:tcPr>
            <w:tcW w:w="4111" w:type="dxa"/>
            <w:gridSpan w:val="4"/>
            <w:tcBorders>
              <w:top w:val="single" w:sz="8" w:space="0" w:color="000000" w:themeColor="text1"/>
              <w:bottom w:val="single" w:sz="8" w:space="0" w:color="000000" w:themeColor="text1"/>
            </w:tcBorders>
            <w:shd w:val="clear" w:color="auto" w:fill="F2F2F2" w:themeFill="background1" w:themeFillShade="F2"/>
          </w:tcPr>
          <w:p w14:paraId="5116E5EF" w14:textId="77777777" w:rsidR="008C6D31" w:rsidRPr="00485662" w:rsidRDefault="008C6D31" w:rsidP="008C6D31">
            <w:pPr>
              <w:jc w:val="center"/>
              <w:rPr>
                <w:rFonts w:ascii="Calibri" w:hAnsi="Calibri" w:cs="Calibri"/>
                <w:color w:val="000000"/>
                <w:sz w:val="18"/>
                <w:szCs w:val="18"/>
                <w:lang w:val="en-GB"/>
              </w:rPr>
            </w:pPr>
            <w:r w:rsidRPr="00485662">
              <w:rPr>
                <w:rFonts w:ascii="Calibri" w:hAnsi="Calibri" w:cs="Calibri"/>
                <w:color w:val="000000"/>
                <w:sz w:val="18"/>
                <w:szCs w:val="18"/>
                <w:lang w:val="en-GB"/>
              </w:rPr>
              <w:t>Experimental half-lives (days)</w:t>
            </w:r>
          </w:p>
        </w:tc>
        <w:tc>
          <w:tcPr>
            <w:tcW w:w="991" w:type="dxa"/>
            <w:vMerge w:val="restart"/>
            <w:tcBorders>
              <w:top w:val="single" w:sz="8" w:space="0" w:color="000000" w:themeColor="text1"/>
            </w:tcBorders>
            <w:shd w:val="clear" w:color="auto" w:fill="F2F2F2" w:themeFill="background1" w:themeFillShade="F2"/>
          </w:tcPr>
          <w:p w14:paraId="767FDAC3" w14:textId="77777777" w:rsidR="008C6D31" w:rsidRPr="00674AAA" w:rsidRDefault="008C6D31" w:rsidP="008C6D31">
            <w:pPr>
              <w:rPr>
                <w:rFonts w:ascii="Times New Roman" w:hAnsi="Times New Roman" w:cs="Times New Roman"/>
                <w:sz w:val="20"/>
                <w:szCs w:val="20"/>
              </w:rPr>
            </w:pPr>
            <w:r w:rsidRPr="00485662">
              <w:rPr>
                <w:rFonts w:ascii="Calibri" w:hAnsi="Calibri" w:cs="Calibri"/>
                <w:color w:val="000000"/>
                <w:sz w:val="18"/>
                <w:szCs w:val="18"/>
                <w:lang w:val="en-GB"/>
              </w:rPr>
              <w:t>EPIv3.12 default water half-life (days)</w:t>
            </w:r>
            <w:r w:rsidRPr="00485662">
              <w:rPr>
                <w:rFonts w:ascii="Calibri" w:hAnsi="Calibri" w:cs="Calibri"/>
                <w:color w:val="000000"/>
                <w:sz w:val="18"/>
                <w:szCs w:val="18"/>
                <w:vertAlign w:val="superscript"/>
                <w:lang w:val="en-GB"/>
              </w:rPr>
              <w:t>a</w:t>
            </w:r>
          </w:p>
        </w:tc>
      </w:tr>
      <w:tr w:rsidR="008C6D31" w:rsidRPr="00674AAA" w14:paraId="39E0C513" w14:textId="77777777" w:rsidTr="00A602CF">
        <w:trPr>
          <w:trHeight w:val="563"/>
        </w:trPr>
        <w:tc>
          <w:tcPr>
            <w:tcW w:w="1277" w:type="dxa"/>
            <w:vMerge/>
            <w:tcBorders>
              <w:bottom w:val="single" w:sz="8" w:space="0" w:color="000000" w:themeColor="text1"/>
            </w:tcBorders>
          </w:tcPr>
          <w:p w14:paraId="4FED90D0" w14:textId="77777777" w:rsidR="008C6D31" w:rsidRPr="00485662" w:rsidRDefault="008C6D31" w:rsidP="008C6D31">
            <w:pPr>
              <w:spacing w:after="0"/>
              <w:rPr>
                <w:rFonts w:ascii="Calibri" w:hAnsi="Calibri" w:cs="Calibri"/>
                <w:color w:val="000000"/>
                <w:sz w:val="18"/>
                <w:szCs w:val="18"/>
                <w:lang w:val="en-GB"/>
              </w:rPr>
            </w:pPr>
          </w:p>
        </w:tc>
        <w:tc>
          <w:tcPr>
            <w:tcW w:w="1417" w:type="dxa"/>
            <w:tcBorders>
              <w:top w:val="single" w:sz="8" w:space="0" w:color="000000" w:themeColor="text1"/>
              <w:bottom w:val="single" w:sz="8" w:space="0" w:color="000000" w:themeColor="text1"/>
            </w:tcBorders>
          </w:tcPr>
          <w:p w14:paraId="67D9533A" w14:textId="77777777" w:rsidR="008C6D31" w:rsidRPr="00485662" w:rsidRDefault="008C6D31" w:rsidP="008C6D31">
            <w:pPr>
              <w:rPr>
                <w:rFonts w:ascii="Calibri" w:hAnsi="Calibri" w:cs="Calibri"/>
                <w:color w:val="000000"/>
                <w:sz w:val="18"/>
                <w:szCs w:val="18"/>
                <w:lang w:val="en-GB"/>
              </w:rPr>
            </w:pPr>
            <w:r w:rsidRPr="00485662">
              <w:rPr>
                <w:rFonts w:ascii="Calibri" w:hAnsi="Calibri" w:cs="Calibri"/>
                <w:color w:val="000000"/>
                <w:sz w:val="18"/>
                <w:szCs w:val="18"/>
                <w:lang w:val="en-GB"/>
              </w:rPr>
              <w:t>Descriptor</w:t>
            </w:r>
          </w:p>
        </w:tc>
        <w:tc>
          <w:tcPr>
            <w:tcW w:w="1134" w:type="dxa"/>
            <w:tcBorders>
              <w:top w:val="single" w:sz="8" w:space="0" w:color="000000" w:themeColor="text1"/>
              <w:bottom w:val="single" w:sz="8" w:space="0" w:color="000000" w:themeColor="text1"/>
            </w:tcBorders>
          </w:tcPr>
          <w:p w14:paraId="175AC5D8" w14:textId="4522C9B8" w:rsidR="008C6D31" w:rsidRPr="00485662" w:rsidRDefault="008C6D31" w:rsidP="008C6D31">
            <w:pPr>
              <w:rPr>
                <w:rFonts w:ascii="Calibri" w:hAnsi="Calibri" w:cs="Calibri"/>
                <w:color w:val="000000"/>
                <w:sz w:val="18"/>
                <w:szCs w:val="18"/>
                <w:lang w:val="en-GB"/>
              </w:rPr>
            </w:pPr>
            <w:r w:rsidRPr="00485662">
              <w:rPr>
                <w:rFonts w:ascii="Calibri" w:hAnsi="Calibri" w:cs="Calibri"/>
                <w:color w:val="000000"/>
                <w:sz w:val="18"/>
                <w:szCs w:val="18"/>
                <w:lang w:val="en-GB"/>
              </w:rPr>
              <w:t>Model output</w:t>
            </w:r>
            <w:r w:rsidR="00FA19D8">
              <w:rPr>
                <w:rFonts w:ascii="Calibri" w:hAnsi="Calibri" w:cs="Calibri"/>
                <w:color w:val="000000"/>
                <w:sz w:val="18"/>
                <w:szCs w:val="18"/>
                <w:vertAlign w:val="superscript"/>
                <w:lang w:val="en-GB"/>
              </w:rPr>
              <w:t>e</w:t>
            </w:r>
          </w:p>
        </w:tc>
        <w:tc>
          <w:tcPr>
            <w:tcW w:w="284" w:type="dxa"/>
            <w:tcBorders>
              <w:top w:val="nil"/>
              <w:bottom w:val="single" w:sz="8" w:space="0" w:color="000000" w:themeColor="text1"/>
            </w:tcBorders>
          </w:tcPr>
          <w:p w14:paraId="1064A6EB" w14:textId="77777777" w:rsidR="008C6D31" w:rsidRPr="00485662" w:rsidRDefault="008C6D31" w:rsidP="008C6D31">
            <w:pPr>
              <w:rPr>
                <w:rFonts w:ascii="Calibri" w:hAnsi="Calibri" w:cs="Calibri"/>
                <w:color w:val="000000"/>
                <w:sz w:val="18"/>
                <w:szCs w:val="18"/>
                <w:lang w:val="en-GB"/>
              </w:rPr>
            </w:pPr>
          </w:p>
        </w:tc>
        <w:tc>
          <w:tcPr>
            <w:tcW w:w="1133" w:type="dxa"/>
            <w:tcBorders>
              <w:top w:val="single" w:sz="8" w:space="0" w:color="000000" w:themeColor="text1"/>
              <w:bottom w:val="single" w:sz="8" w:space="0" w:color="000000" w:themeColor="text1"/>
            </w:tcBorders>
          </w:tcPr>
          <w:p w14:paraId="006448BC" w14:textId="77777777" w:rsidR="008C6D31" w:rsidRPr="00485662" w:rsidRDefault="008C6D31" w:rsidP="008C6D31">
            <w:pPr>
              <w:rPr>
                <w:rFonts w:ascii="Calibri" w:hAnsi="Calibri" w:cs="Calibri"/>
                <w:color w:val="000000"/>
                <w:sz w:val="18"/>
                <w:szCs w:val="18"/>
                <w:lang w:val="en-GB"/>
              </w:rPr>
            </w:pPr>
            <w:r w:rsidRPr="00485662">
              <w:rPr>
                <w:rFonts w:ascii="Calibri" w:hAnsi="Calibri" w:cs="Calibri"/>
                <w:color w:val="000000"/>
                <w:sz w:val="18"/>
                <w:szCs w:val="18"/>
                <w:lang w:val="en-GB"/>
              </w:rPr>
              <w:t>Range</w:t>
            </w:r>
          </w:p>
        </w:tc>
        <w:tc>
          <w:tcPr>
            <w:tcW w:w="851" w:type="dxa"/>
            <w:tcBorders>
              <w:top w:val="single" w:sz="8" w:space="0" w:color="000000" w:themeColor="text1"/>
              <w:bottom w:val="single" w:sz="8" w:space="0" w:color="000000" w:themeColor="text1"/>
            </w:tcBorders>
          </w:tcPr>
          <w:p w14:paraId="22471317" w14:textId="77777777" w:rsidR="008C6D31" w:rsidRPr="00485662" w:rsidRDefault="008C6D31" w:rsidP="008C6D31">
            <w:pPr>
              <w:rPr>
                <w:rFonts w:ascii="Calibri" w:hAnsi="Calibri" w:cs="Calibri"/>
                <w:color w:val="000000"/>
                <w:sz w:val="18"/>
                <w:szCs w:val="18"/>
                <w:lang w:val="en-GB"/>
              </w:rPr>
            </w:pPr>
            <w:r w:rsidRPr="00485662">
              <w:rPr>
                <w:rFonts w:ascii="Calibri" w:hAnsi="Calibri" w:cs="Calibri"/>
                <w:color w:val="000000"/>
                <w:sz w:val="18"/>
                <w:szCs w:val="18"/>
                <w:lang w:val="en-GB"/>
              </w:rPr>
              <w:t>Median</w:t>
            </w:r>
          </w:p>
        </w:tc>
        <w:tc>
          <w:tcPr>
            <w:tcW w:w="708" w:type="dxa"/>
            <w:tcBorders>
              <w:top w:val="single" w:sz="8" w:space="0" w:color="000000" w:themeColor="text1"/>
              <w:bottom w:val="single" w:sz="8" w:space="0" w:color="000000" w:themeColor="text1"/>
            </w:tcBorders>
          </w:tcPr>
          <w:p w14:paraId="1BB41514" w14:textId="77777777" w:rsidR="008C6D31" w:rsidRPr="00485662" w:rsidRDefault="008C6D31" w:rsidP="008C6D31">
            <w:pPr>
              <w:rPr>
                <w:rFonts w:ascii="Calibri" w:hAnsi="Calibri" w:cs="Calibri"/>
                <w:color w:val="000000"/>
                <w:sz w:val="18"/>
                <w:szCs w:val="18"/>
                <w:lang w:val="en-GB"/>
              </w:rPr>
            </w:pPr>
            <w:r w:rsidRPr="00485662">
              <w:rPr>
                <w:rFonts w:ascii="Calibri" w:hAnsi="Calibri" w:cs="Calibri"/>
                <w:color w:val="000000"/>
                <w:sz w:val="18"/>
                <w:szCs w:val="18"/>
                <w:lang w:val="en-GB"/>
              </w:rPr>
              <w:t>Mean</w:t>
            </w:r>
          </w:p>
        </w:tc>
        <w:tc>
          <w:tcPr>
            <w:tcW w:w="1419" w:type="dxa"/>
            <w:tcBorders>
              <w:top w:val="single" w:sz="8" w:space="0" w:color="000000" w:themeColor="text1"/>
              <w:bottom w:val="single" w:sz="8" w:space="0" w:color="000000" w:themeColor="text1"/>
            </w:tcBorders>
          </w:tcPr>
          <w:p w14:paraId="66995936" w14:textId="77777777" w:rsidR="008C6D31" w:rsidRPr="00485662" w:rsidRDefault="008C6D31" w:rsidP="008C6D31">
            <w:pPr>
              <w:rPr>
                <w:rFonts w:ascii="Calibri" w:hAnsi="Calibri" w:cs="Calibri"/>
                <w:color w:val="000000"/>
                <w:sz w:val="18"/>
                <w:szCs w:val="18"/>
                <w:lang w:val="en-GB"/>
              </w:rPr>
            </w:pPr>
            <w:r w:rsidRPr="00485662">
              <w:rPr>
                <w:rFonts w:ascii="Calibri" w:hAnsi="Calibri" w:cs="Calibri"/>
                <w:color w:val="000000"/>
                <w:sz w:val="18"/>
                <w:szCs w:val="18"/>
                <w:lang w:val="en-GB"/>
              </w:rPr>
              <w:t>10% Trimmed mean</w:t>
            </w:r>
          </w:p>
        </w:tc>
        <w:tc>
          <w:tcPr>
            <w:tcW w:w="991" w:type="dxa"/>
            <w:vMerge/>
            <w:tcBorders>
              <w:bottom w:val="single" w:sz="8" w:space="0" w:color="000000" w:themeColor="text1"/>
            </w:tcBorders>
          </w:tcPr>
          <w:p w14:paraId="24004842" w14:textId="77777777" w:rsidR="008C6D31" w:rsidRPr="00674AAA" w:rsidRDefault="008C6D31" w:rsidP="008C6D31">
            <w:pPr>
              <w:rPr>
                <w:rFonts w:ascii="Times New Roman" w:hAnsi="Times New Roman" w:cs="Times New Roman"/>
                <w:sz w:val="20"/>
                <w:szCs w:val="20"/>
              </w:rPr>
            </w:pPr>
          </w:p>
        </w:tc>
      </w:tr>
      <w:tr w:rsidR="008C6D31" w:rsidRPr="00674AAA" w14:paraId="047800E1" w14:textId="77777777" w:rsidTr="00A602CF">
        <w:trPr>
          <w:trHeight w:val="488"/>
        </w:trPr>
        <w:tc>
          <w:tcPr>
            <w:tcW w:w="1277" w:type="dxa"/>
            <w:tcBorders>
              <w:top w:val="single" w:sz="8" w:space="0" w:color="000000" w:themeColor="text1"/>
            </w:tcBorders>
          </w:tcPr>
          <w:p w14:paraId="7EF52D1C"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0</w:t>
            </w:r>
          </w:p>
        </w:tc>
        <w:tc>
          <w:tcPr>
            <w:tcW w:w="1417" w:type="dxa"/>
            <w:tcBorders>
              <w:top w:val="single" w:sz="8" w:space="0" w:color="000000" w:themeColor="text1"/>
            </w:tcBorders>
          </w:tcPr>
          <w:p w14:paraId="1ED088C1"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Hours</w:t>
            </w:r>
          </w:p>
        </w:tc>
        <w:tc>
          <w:tcPr>
            <w:tcW w:w="1134" w:type="dxa"/>
            <w:tcBorders>
              <w:top w:val="single" w:sz="8" w:space="0" w:color="000000" w:themeColor="text1"/>
            </w:tcBorders>
          </w:tcPr>
          <w:p w14:paraId="411B1813" w14:textId="30D9390D" w:rsidR="008C6D31" w:rsidRPr="00485662" w:rsidRDefault="008C6D31" w:rsidP="00BE0428">
            <w:pPr>
              <w:jc w:val="center"/>
              <w:rPr>
                <w:rFonts w:ascii="Calibri" w:hAnsi="Calibri" w:cs="Calibri"/>
                <w:color w:val="000000"/>
                <w:sz w:val="18"/>
                <w:szCs w:val="18"/>
                <w:lang w:val="en-GB"/>
              </w:rPr>
            </w:pPr>
            <w:r w:rsidRPr="00485662">
              <w:rPr>
                <w:rFonts w:ascii="Calibri" w:hAnsi="Calibri" w:cs="Calibri"/>
                <w:color w:val="000000"/>
                <w:sz w:val="18"/>
                <w:szCs w:val="18"/>
                <w:lang w:val="en-GB"/>
              </w:rPr>
              <w:t>&gt;</w:t>
            </w:r>
            <w:r w:rsidR="00BE0428">
              <w:rPr>
                <w:rFonts w:ascii="Calibri" w:hAnsi="Calibri" w:cs="Calibri"/>
                <w:color w:val="000000"/>
                <w:sz w:val="18"/>
                <w:szCs w:val="18"/>
                <w:lang w:val="en-GB"/>
              </w:rPr>
              <w:t xml:space="preserve"> </w:t>
            </w:r>
            <w:r w:rsidRPr="00485662">
              <w:rPr>
                <w:rFonts w:ascii="Calibri" w:hAnsi="Calibri" w:cs="Calibri"/>
                <w:color w:val="000000"/>
                <w:sz w:val="18"/>
                <w:szCs w:val="18"/>
                <w:lang w:val="en-GB"/>
              </w:rPr>
              <w:t>4.75</w:t>
            </w:r>
          </w:p>
        </w:tc>
        <w:tc>
          <w:tcPr>
            <w:tcW w:w="284" w:type="dxa"/>
            <w:tcBorders>
              <w:top w:val="single" w:sz="8" w:space="0" w:color="000000" w:themeColor="text1"/>
            </w:tcBorders>
          </w:tcPr>
          <w:p w14:paraId="47776113" w14:textId="77777777" w:rsidR="008C6D31" w:rsidRPr="00485662" w:rsidRDefault="008C6D31" w:rsidP="00485662">
            <w:pPr>
              <w:rPr>
                <w:rFonts w:ascii="Calibri" w:hAnsi="Calibri" w:cs="Calibri"/>
                <w:color w:val="000000"/>
                <w:sz w:val="18"/>
                <w:szCs w:val="18"/>
                <w:lang w:val="en-GB"/>
              </w:rPr>
            </w:pPr>
          </w:p>
        </w:tc>
        <w:tc>
          <w:tcPr>
            <w:tcW w:w="1133" w:type="dxa"/>
            <w:tcBorders>
              <w:top w:val="single" w:sz="8" w:space="0" w:color="000000" w:themeColor="text1"/>
            </w:tcBorders>
          </w:tcPr>
          <w:p w14:paraId="49D3FD61"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851" w:type="dxa"/>
            <w:tcBorders>
              <w:top w:val="single" w:sz="8" w:space="0" w:color="000000" w:themeColor="text1"/>
            </w:tcBorders>
          </w:tcPr>
          <w:p w14:paraId="64AC4628"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708" w:type="dxa"/>
            <w:tcBorders>
              <w:top w:val="single" w:sz="8" w:space="0" w:color="000000" w:themeColor="text1"/>
            </w:tcBorders>
          </w:tcPr>
          <w:p w14:paraId="400C5728"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1419" w:type="dxa"/>
            <w:tcBorders>
              <w:top w:val="single" w:sz="8" w:space="0" w:color="000000" w:themeColor="text1"/>
            </w:tcBorders>
          </w:tcPr>
          <w:p w14:paraId="34785F37"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991" w:type="dxa"/>
            <w:tcBorders>
              <w:top w:val="single" w:sz="8" w:space="0" w:color="000000" w:themeColor="text1"/>
            </w:tcBorders>
          </w:tcPr>
          <w:p w14:paraId="08E997FA"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0.17</w:t>
            </w:r>
          </w:p>
        </w:tc>
      </w:tr>
      <w:tr w:rsidR="008C6D31" w:rsidRPr="00674AAA" w14:paraId="0BFBA418" w14:textId="77777777" w:rsidTr="00A602CF">
        <w:trPr>
          <w:trHeight w:val="538"/>
        </w:trPr>
        <w:tc>
          <w:tcPr>
            <w:tcW w:w="1277" w:type="dxa"/>
          </w:tcPr>
          <w:p w14:paraId="0AC66DEA"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0</w:t>
            </w:r>
          </w:p>
        </w:tc>
        <w:tc>
          <w:tcPr>
            <w:tcW w:w="1417" w:type="dxa"/>
          </w:tcPr>
          <w:p w14:paraId="797369FE"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Hours-days</w:t>
            </w:r>
          </w:p>
        </w:tc>
        <w:tc>
          <w:tcPr>
            <w:tcW w:w="1134" w:type="dxa"/>
          </w:tcPr>
          <w:p w14:paraId="5BB63A1F" w14:textId="5F99510A" w:rsidR="008C6D31" w:rsidRPr="00485662" w:rsidRDefault="008C6D31" w:rsidP="00BE0428">
            <w:pPr>
              <w:jc w:val="center"/>
              <w:rPr>
                <w:rFonts w:ascii="Calibri" w:hAnsi="Calibri" w:cs="Calibri"/>
                <w:color w:val="000000"/>
                <w:sz w:val="18"/>
                <w:szCs w:val="18"/>
                <w:lang w:val="en-GB"/>
              </w:rPr>
            </w:pPr>
            <w:r w:rsidRPr="00485662">
              <w:rPr>
                <w:rFonts w:ascii="Calibri" w:hAnsi="Calibri" w:cs="Calibri"/>
                <w:color w:val="000000"/>
                <w:sz w:val="18"/>
                <w:szCs w:val="18"/>
                <w:lang w:val="en-GB"/>
              </w:rPr>
              <w:t>4.25-4.75</w:t>
            </w:r>
          </w:p>
        </w:tc>
        <w:tc>
          <w:tcPr>
            <w:tcW w:w="284" w:type="dxa"/>
          </w:tcPr>
          <w:p w14:paraId="78E0930C" w14:textId="77777777" w:rsidR="008C6D31" w:rsidRPr="00485662" w:rsidRDefault="008C6D31" w:rsidP="00485662">
            <w:pPr>
              <w:rPr>
                <w:rFonts w:ascii="Calibri" w:hAnsi="Calibri" w:cs="Calibri"/>
                <w:color w:val="000000"/>
                <w:sz w:val="18"/>
                <w:szCs w:val="18"/>
                <w:lang w:val="en-GB"/>
              </w:rPr>
            </w:pPr>
          </w:p>
        </w:tc>
        <w:tc>
          <w:tcPr>
            <w:tcW w:w="1133" w:type="dxa"/>
          </w:tcPr>
          <w:p w14:paraId="5A7620C1"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851" w:type="dxa"/>
          </w:tcPr>
          <w:p w14:paraId="00D36D73"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708" w:type="dxa"/>
          </w:tcPr>
          <w:p w14:paraId="4A1A8661"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1419" w:type="dxa"/>
          </w:tcPr>
          <w:p w14:paraId="76A21A84"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991" w:type="dxa"/>
          </w:tcPr>
          <w:p w14:paraId="43E0391B"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1.25</w:t>
            </w:r>
          </w:p>
        </w:tc>
      </w:tr>
      <w:tr w:rsidR="008C6D31" w:rsidRPr="00674AAA" w14:paraId="130B71C9" w14:textId="77777777" w:rsidTr="00A602CF">
        <w:trPr>
          <w:trHeight w:val="550"/>
        </w:trPr>
        <w:tc>
          <w:tcPr>
            <w:tcW w:w="1277" w:type="dxa"/>
          </w:tcPr>
          <w:p w14:paraId="4FD2D3AE"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0</w:t>
            </w:r>
          </w:p>
        </w:tc>
        <w:tc>
          <w:tcPr>
            <w:tcW w:w="1417" w:type="dxa"/>
          </w:tcPr>
          <w:p w14:paraId="660FA56E"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Days</w:t>
            </w:r>
          </w:p>
        </w:tc>
        <w:tc>
          <w:tcPr>
            <w:tcW w:w="1134" w:type="dxa"/>
          </w:tcPr>
          <w:p w14:paraId="014A6A65" w14:textId="17C6CE44" w:rsidR="008C6D31" w:rsidRPr="00485662" w:rsidRDefault="008C6D31" w:rsidP="00BE0428">
            <w:pPr>
              <w:jc w:val="center"/>
              <w:rPr>
                <w:rFonts w:ascii="Calibri" w:hAnsi="Calibri" w:cs="Calibri"/>
                <w:color w:val="000000"/>
                <w:sz w:val="18"/>
                <w:szCs w:val="18"/>
                <w:lang w:val="en-GB"/>
              </w:rPr>
            </w:pPr>
            <w:r w:rsidRPr="00485662">
              <w:rPr>
                <w:rFonts w:ascii="Calibri" w:hAnsi="Calibri" w:cs="Calibri"/>
                <w:color w:val="000000"/>
                <w:sz w:val="18"/>
                <w:szCs w:val="18"/>
                <w:lang w:val="en-GB"/>
              </w:rPr>
              <w:t>3.75-4.25</w:t>
            </w:r>
          </w:p>
        </w:tc>
        <w:tc>
          <w:tcPr>
            <w:tcW w:w="284" w:type="dxa"/>
          </w:tcPr>
          <w:p w14:paraId="1EE05AB8" w14:textId="77777777" w:rsidR="008C6D31" w:rsidRPr="00485662" w:rsidRDefault="008C6D31" w:rsidP="00485662">
            <w:pPr>
              <w:rPr>
                <w:rFonts w:ascii="Calibri" w:hAnsi="Calibri" w:cs="Calibri"/>
                <w:color w:val="000000"/>
                <w:sz w:val="18"/>
                <w:szCs w:val="18"/>
                <w:lang w:val="en-GB"/>
              </w:rPr>
            </w:pPr>
          </w:p>
        </w:tc>
        <w:tc>
          <w:tcPr>
            <w:tcW w:w="1133" w:type="dxa"/>
          </w:tcPr>
          <w:p w14:paraId="2004F6E6"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851" w:type="dxa"/>
          </w:tcPr>
          <w:p w14:paraId="7980A16B"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708" w:type="dxa"/>
          </w:tcPr>
          <w:p w14:paraId="56BD6F7B"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1419" w:type="dxa"/>
          </w:tcPr>
          <w:p w14:paraId="3C6AAF9B"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991" w:type="dxa"/>
          </w:tcPr>
          <w:p w14:paraId="63DF92B1"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2.33</w:t>
            </w:r>
          </w:p>
        </w:tc>
      </w:tr>
      <w:tr w:rsidR="008C6D31" w:rsidRPr="00674AAA" w14:paraId="205872AA" w14:textId="77777777" w:rsidTr="00A602CF">
        <w:trPr>
          <w:trHeight w:val="538"/>
        </w:trPr>
        <w:tc>
          <w:tcPr>
            <w:tcW w:w="1277" w:type="dxa"/>
          </w:tcPr>
          <w:p w14:paraId="3918EB8F"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13</w:t>
            </w:r>
          </w:p>
        </w:tc>
        <w:tc>
          <w:tcPr>
            <w:tcW w:w="1417" w:type="dxa"/>
          </w:tcPr>
          <w:p w14:paraId="0C11A7FE"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Days-weeks</w:t>
            </w:r>
          </w:p>
        </w:tc>
        <w:tc>
          <w:tcPr>
            <w:tcW w:w="1134" w:type="dxa"/>
          </w:tcPr>
          <w:p w14:paraId="1C6662FD" w14:textId="40E3D42E" w:rsidR="008C6D31" w:rsidRPr="00485662" w:rsidRDefault="008C6D31" w:rsidP="00BE0428">
            <w:pPr>
              <w:jc w:val="center"/>
              <w:rPr>
                <w:rFonts w:ascii="Calibri" w:hAnsi="Calibri" w:cs="Calibri"/>
                <w:color w:val="000000"/>
                <w:sz w:val="18"/>
                <w:szCs w:val="18"/>
                <w:lang w:val="en-GB"/>
              </w:rPr>
            </w:pPr>
            <w:r w:rsidRPr="00485662">
              <w:rPr>
                <w:rFonts w:ascii="Calibri" w:hAnsi="Calibri" w:cs="Calibri"/>
                <w:color w:val="000000"/>
                <w:sz w:val="18"/>
                <w:szCs w:val="18"/>
                <w:lang w:val="en-GB"/>
              </w:rPr>
              <w:t>3.25-3.75</w:t>
            </w:r>
          </w:p>
        </w:tc>
        <w:tc>
          <w:tcPr>
            <w:tcW w:w="284" w:type="dxa"/>
          </w:tcPr>
          <w:p w14:paraId="1EF041BA" w14:textId="77777777" w:rsidR="008C6D31" w:rsidRPr="00485662" w:rsidRDefault="008C6D31" w:rsidP="00485662">
            <w:pPr>
              <w:rPr>
                <w:rFonts w:ascii="Calibri" w:hAnsi="Calibri" w:cs="Calibri"/>
                <w:color w:val="000000"/>
                <w:sz w:val="18"/>
                <w:szCs w:val="18"/>
                <w:lang w:val="en-GB"/>
              </w:rPr>
            </w:pPr>
          </w:p>
        </w:tc>
        <w:tc>
          <w:tcPr>
            <w:tcW w:w="1133" w:type="dxa"/>
          </w:tcPr>
          <w:p w14:paraId="021650CB"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0.13—26</w:t>
            </w:r>
          </w:p>
        </w:tc>
        <w:tc>
          <w:tcPr>
            <w:tcW w:w="851" w:type="dxa"/>
          </w:tcPr>
          <w:p w14:paraId="2D263584"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4.65</w:t>
            </w:r>
          </w:p>
        </w:tc>
        <w:tc>
          <w:tcPr>
            <w:tcW w:w="708" w:type="dxa"/>
          </w:tcPr>
          <w:p w14:paraId="2DDFE485"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7.30</w:t>
            </w:r>
          </w:p>
        </w:tc>
        <w:tc>
          <w:tcPr>
            <w:tcW w:w="1419" w:type="dxa"/>
          </w:tcPr>
          <w:p w14:paraId="014E8B73"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6.25</w:t>
            </w:r>
          </w:p>
        </w:tc>
        <w:tc>
          <w:tcPr>
            <w:tcW w:w="991" w:type="dxa"/>
          </w:tcPr>
          <w:p w14:paraId="3D48790B"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8.67</w:t>
            </w:r>
          </w:p>
        </w:tc>
      </w:tr>
      <w:tr w:rsidR="008C6D31" w:rsidRPr="00674AAA" w14:paraId="401EFC76" w14:textId="77777777" w:rsidTr="00A602CF">
        <w:trPr>
          <w:trHeight w:val="601"/>
        </w:trPr>
        <w:tc>
          <w:tcPr>
            <w:tcW w:w="1277" w:type="dxa"/>
          </w:tcPr>
          <w:p w14:paraId="7C33B6A0"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74</w:t>
            </w:r>
          </w:p>
        </w:tc>
        <w:tc>
          <w:tcPr>
            <w:tcW w:w="1417" w:type="dxa"/>
          </w:tcPr>
          <w:p w14:paraId="66F21447"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Weeks</w:t>
            </w:r>
          </w:p>
        </w:tc>
        <w:tc>
          <w:tcPr>
            <w:tcW w:w="1134" w:type="dxa"/>
          </w:tcPr>
          <w:p w14:paraId="7000E73E" w14:textId="7F4FBB81" w:rsidR="008C6D31" w:rsidRPr="00485662" w:rsidRDefault="008C6D31" w:rsidP="00BE0428">
            <w:pPr>
              <w:jc w:val="center"/>
              <w:rPr>
                <w:rFonts w:ascii="Calibri" w:hAnsi="Calibri" w:cs="Calibri"/>
                <w:color w:val="000000"/>
                <w:sz w:val="18"/>
                <w:szCs w:val="18"/>
                <w:lang w:val="en-GB"/>
              </w:rPr>
            </w:pPr>
            <w:r w:rsidRPr="00485662">
              <w:rPr>
                <w:rFonts w:ascii="Calibri" w:hAnsi="Calibri" w:cs="Calibri"/>
                <w:color w:val="000000"/>
                <w:sz w:val="18"/>
                <w:szCs w:val="18"/>
                <w:lang w:val="en-GB"/>
              </w:rPr>
              <w:t>2.75-3.25</w:t>
            </w:r>
          </w:p>
        </w:tc>
        <w:tc>
          <w:tcPr>
            <w:tcW w:w="284" w:type="dxa"/>
          </w:tcPr>
          <w:p w14:paraId="6DB43499" w14:textId="77777777" w:rsidR="008C6D31" w:rsidRPr="00485662" w:rsidRDefault="008C6D31" w:rsidP="00485662">
            <w:pPr>
              <w:rPr>
                <w:rFonts w:ascii="Calibri" w:hAnsi="Calibri" w:cs="Calibri"/>
                <w:color w:val="000000"/>
                <w:sz w:val="18"/>
                <w:szCs w:val="18"/>
                <w:lang w:val="en-GB"/>
              </w:rPr>
            </w:pPr>
          </w:p>
        </w:tc>
        <w:tc>
          <w:tcPr>
            <w:tcW w:w="1133" w:type="dxa"/>
          </w:tcPr>
          <w:p w14:paraId="3552D42F"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0.41—567</w:t>
            </w:r>
          </w:p>
        </w:tc>
        <w:tc>
          <w:tcPr>
            <w:tcW w:w="851" w:type="dxa"/>
          </w:tcPr>
          <w:p w14:paraId="45A2D9A1"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8.35</w:t>
            </w:r>
          </w:p>
        </w:tc>
        <w:tc>
          <w:tcPr>
            <w:tcW w:w="708" w:type="dxa"/>
          </w:tcPr>
          <w:p w14:paraId="1383C511"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26.4</w:t>
            </w:r>
          </w:p>
        </w:tc>
        <w:tc>
          <w:tcPr>
            <w:tcW w:w="1419" w:type="dxa"/>
          </w:tcPr>
          <w:p w14:paraId="412BCCE8"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12.4</w:t>
            </w:r>
          </w:p>
        </w:tc>
        <w:tc>
          <w:tcPr>
            <w:tcW w:w="991" w:type="dxa"/>
          </w:tcPr>
          <w:p w14:paraId="4860AECE"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15</w:t>
            </w:r>
          </w:p>
        </w:tc>
      </w:tr>
      <w:tr w:rsidR="008C6D31" w:rsidRPr="00674AAA" w14:paraId="5F910CD8" w14:textId="77777777" w:rsidTr="00A602CF">
        <w:trPr>
          <w:trHeight w:val="613"/>
        </w:trPr>
        <w:tc>
          <w:tcPr>
            <w:tcW w:w="1277" w:type="dxa"/>
          </w:tcPr>
          <w:p w14:paraId="7FC81CB8"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78</w:t>
            </w:r>
          </w:p>
        </w:tc>
        <w:tc>
          <w:tcPr>
            <w:tcW w:w="1417" w:type="dxa"/>
          </w:tcPr>
          <w:p w14:paraId="3B02C797"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Weeks-months</w:t>
            </w:r>
          </w:p>
        </w:tc>
        <w:tc>
          <w:tcPr>
            <w:tcW w:w="1134" w:type="dxa"/>
          </w:tcPr>
          <w:p w14:paraId="74AFB25C"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 xml:space="preserve">  2.25-2.75</w:t>
            </w:r>
          </w:p>
        </w:tc>
        <w:tc>
          <w:tcPr>
            <w:tcW w:w="284" w:type="dxa"/>
          </w:tcPr>
          <w:p w14:paraId="135A70B4" w14:textId="77777777" w:rsidR="008C6D31" w:rsidRPr="00485662" w:rsidRDefault="008C6D31" w:rsidP="00485662">
            <w:pPr>
              <w:rPr>
                <w:rFonts w:ascii="Calibri" w:hAnsi="Calibri" w:cs="Calibri"/>
                <w:color w:val="000000"/>
                <w:sz w:val="18"/>
                <w:szCs w:val="18"/>
                <w:lang w:val="en-GB"/>
              </w:rPr>
            </w:pPr>
          </w:p>
        </w:tc>
        <w:tc>
          <w:tcPr>
            <w:tcW w:w="1133" w:type="dxa"/>
          </w:tcPr>
          <w:p w14:paraId="0FA277D8"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0.3—1720</w:t>
            </w:r>
          </w:p>
        </w:tc>
        <w:tc>
          <w:tcPr>
            <w:tcW w:w="851" w:type="dxa"/>
          </w:tcPr>
          <w:p w14:paraId="66DC53C3"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14.9</w:t>
            </w:r>
          </w:p>
        </w:tc>
        <w:tc>
          <w:tcPr>
            <w:tcW w:w="708" w:type="dxa"/>
          </w:tcPr>
          <w:p w14:paraId="2D8645D2"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112</w:t>
            </w:r>
            <w:r w:rsidRPr="0049467E">
              <w:rPr>
                <w:rFonts w:ascii="Calibri" w:hAnsi="Calibri" w:cs="Calibri"/>
                <w:color w:val="000000"/>
                <w:sz w:val="18"/>
                <w:szCs w:val="18"/>
                <w:vertAlign w:val="superscript"/>
                <w:lang w:val="en-GB"/>
              </w:rPr>
              <w:t>b</w:t>
            </w:r>
          </w:p>
        </w:tc>
        <w:tc>
          <w:tcPr>
            <w:tcW w:w="1419" w:type="dxa"/>
          </w:tcPr>
          <w:p w14:paraId="133144EF"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37.6</w:t>
            </w:r>
          </w:p>
        </w:tc>
        <w:tc>
          <w:tcPr>
            <w:tcW w:w="991" w:type="dxa"/>
          </w:tcPr>
          <w:p w14:paraId="642E4EC7"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37.5</w:t>
            </w:r>
          </w:p>
        </w:tc>
      </w:tr>
      <w:tr w:rsidR="008C6D31" w:rsidRPr="00674AAA" w14:paraId="2C0228A9" w14:textId="77777777" w:rsidTr="00A602CF">
        <w:trPr>
          <w:trHeight w:val="463"/>
        </w:trPr>
        <w:tc>
          <w:tcPr>
            <w:tcW w:w="1277" w:type="dxa"/>
          </w:tcPr>
          <w:p w14:paraId="5AA6B187"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44</w:t>
            </w:r>
          </w:p>
        </w:tc>
        <w:tc>
          <w:tcPr>
            <w:tcW w:w="1417" w:type="dxa"/>
          </w:tcPr>
          <w:p w14:paraId="47F579EF"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Months</w:t>
            </w:r>
          </w:p>
        </w:tc>
        <w:tc>
          <w:tcPr>
            <w:tcW w:w="1134" w:type="dxa"/>
          </w:tcPr>
          <w:p w14:paraId="2F53A343" w14:textId="40A42362" w:rsidR="008C6D31" w:rsidRPr="00485662" w:rsidRDefault="008C6D31" w:rsidP="00BE0428">
            <w:pPr>
              <w:jc w:val="center"/>
              <w:rPr>
                <w:rFonts w:ascii="Calibri" w:hAnsi="Calibri" w:cs="Calibri"/>
                <w:color w:val="000000"/>
                <w:sz w:val="18"/>
                <w:szCs w:val="18"/>
                <w:lang w:val="en-GB"/>
              </w:rPr>
            </w:pPr>
            <w:r w:rsidRPr="00485662">
              <w:rPr>
                <w:rFonts w:ascii="Calibri" w:hAnsi="Calibri" w:cs="Calibri"/>
                <w:color w:val="000000"/>
                <w:sz w:val="18"/>
                <w:szCs w:val="18"/>
                <w:lang w:val="en-GB"/>
              </w:rPr>
              <w:t>1.75-2.25</w:t>
            </w:r>
          </w:p>
        </w:tc>
        <w:tc>
          <w:tcPr>
            <w:tcW w:w="284" w:type="dxa"/>
          </w:tcPr>
          <w:p w14:paraId="36AB0839" w14:textId="77777777" w:rsidR="008C6D31" w:rsidRPr="00485662" w:rsidRDefault="008C6D31" w:rsidP="00485662">
            <w:pPr>
              <w:rPr>
                <w:rFonts w:ascii="Calibri" w:hAnsi="Calibri" w:cs="Calibri"/>
                <w:color w:val="000000"/>
                <w:sz w:val="18"/>
                <w:szCs w:val="18"/>
                <w:lang w:val="en-GB"/>
              </w:rPr>
            </w:pPr>
          </w:p>
        </w:tc>
        <w:tc>
          <w:tcPr>
            <w:tcW w:w="1133" w:type="dxa"/>
          </w:tcPr>
          <w:p w14:paraId="5A67461A"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1—1420</w:t>
            </w:r>
          </w:p>
        </w:tc>
        <w:tc>
          <w:tcPr>
            <w:tcW w:w="851" w:type="dxa"/>
          </w:tcPr>
          <w:p w14:paraId="46F933A7"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85</w:t>
            </w:r>
          </w:p>
        </w:tc>
        <w:tc>
          <w:tcPr>
            <w:tcW w:w="708" w:type="dxa"/>
          </w:tcPr>
          <w:p w14:paraId="613F7032"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187</w:t>
            </w:r>
          </w:p>
        </w:tc>
        <w:tc>
          <w:tcPr>
            <w:tcW w:w="1419" w:type="dxa"/>
          </w:tcPr>
          <w:p w14:paraId="59C028E5"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126</w:t>
            </w:r>
          </w:p>
        </w:tc>
        <w:tc>
          <w:tcPr>
            <w:tcW w:w="991" w:type="dxa"/>
          </w:tcPr>
          <w:p w14:paraId="3BEDC743" w14:textId="0CE58AB6"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60 (120)</w:t>
            </w:r>
          </w:p>
        </w:tc>
      </w:tr>
      <w:tr w:rsidR="008C6D31" w:rsidRPr="00674AAA" w14:paraId="15CEE68B" w14:textId="77777777" w:rsidTr="00A602CF">
        <w:trPr>
          <w:trHeight w:val="475"/>
        </w:trPr>
        <w:tc>
          <w:tcPr>
            <w:tcW w:w="1277" w:type="dxa"/>
          </w:tcPr>
          <w:p w14:paraId="69DEB4A2"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19</w:t>
            </w:r>
          </w:p>
        </w:tc>
        <w:tc>
          <w:tcPr>
            <w:tcW w:w="1417" w:type="dxa"/>
          </w:tcPr>
          <w:p w14:paraId="1FC49181"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Recalcitrant</w:t>
            </w:r>
          </w:p>
        </w:tc>
        <w:tc>
          <w:tcPr>
            <w:tcW w:w="1134" w:type="dxa"/>
          </w:tcPr>
          <w:p w14:paraId="530ED5DB" w14:textId="77777777" w:rsidR="008C6D31" w:rsidRPr="00485662" w:rsidRDefault="008C6D31" w:rsidP="00BE0428">
            <w:pPr>
              <w:jc w:val="center"/>
              <w:rPr>
                <w:rFonts w:ascii="Calibri" w:hAnsi="Calibri" w:cs="Calibri"/>
                <w:color w:val="000000"/>
                <w:sz w:val="18"/>
                <w:szCs w:val="18"/>
                <w:lang w:val="en-GB"/>
              </w:rPr>
            </w:pPr>
            <w:r w:rsidRPr="00485662">
              <w:rPr>
                <w:rFonts w:ascii="Calibri" w:hAnsi="Calibri" w:cs="Calibri"/>
                <w:color w:val="000000"/>
                <w:sz w:val="18"/>
                <w:szCs w:val="18"/>
                <w:lang w:val="en-GB"/>
              </w:rPr>
              <w:t>&lt;1.75</w:t>
            </w:r>
          </w:p>
        </w:tc>
        <w:tc>
          <w:tcPr>
            <w:tcW w:w="284" w:type="dxa"/>
          </w:tcPr>
          <w:p w14:paraId="7B2F2426" w14:textId="77777777" w:rsidR="008C6D31" w:rsidRPr="00485662" w:rsidRDefault="008C6D31" w:rsidP="00485662">
            <w:pPr>
              <w:rPr>
                <w:rFonts w:ascii="Calibri" w:hAnsi="Calibri" w:cs="Calibri"/>
                <w:color w:val="000000"/>
                <w:sz w:val="18"/>
                <w:szCs w:val="18"/>
                <w:lang w:val="en-GB"/>
              </w:rPr>
            </w:pPr>
          </w:p>
        </w:tc>
        <w:tc>
          <w:tcPr>
            <w:tcW w:w="1133" w:type="dxa"/>
          </w:tcPr>
          <w:p w14:paraId="5A8AADBB"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5.6—3800</w:t>
            </w:r>
          </w:p>
        </w:tc>
        <w:tc>
          <w:tcPr>
            <w:tcW w:w="851" w:type="dxa"/>
          </w:tcPr>
          <w:p w14:paraId="1537B661"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120</w:t>
            </w:r>
          </w:p>
        </w:tc>
        <w:tc>
          <w:tcPr>
            <w:tcW w:w="708" w:type="dxa"/>
          </w:tcPr>
          <w:p w14:paraId="155C59BE"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508</w:t>
            </w:r>
          </w:p>
        </w:tc>
        <w:tc>
          <w:tcPr>
            <w:tcW w:w="1419" w:type="dxa"/>
          </w:tcPr>
          <w:p w14:paraId="12EB91D6"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255</w:t>
            </w:r>
          </w:p>
        </w:tc>
        <w:tc>
          <w:tcPr>
            <w:tcW w:w="991" w:type="dxa"/>
          </w:tcPr>
          <w:p w14:paraId="724680FA"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180</w:t>
            </w:r>
          </w:p>
        </w:tc>
      </w:tr>
      <w:tr w:rsidR="008C6D31" w:rsidRPr="00674AAA" w14:paraId="32F054AA" w14:textId="77777777" w:rsidTr="00A602CF">
        <w:trPr>
          <w:trHeight w:val="425"/>
        </w:trPr>
        <w:tc>
          <w:tcPr>
            <w:tcW w:w="1277" w:type="dxa"/>
          </w:tcPr>
          <w:p w14:paraId="3D6F0F61"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11</w:t>
            </w:r>
            <w:r w:rsidRPr="0049467E">
              <w:rPr>
                <w:rFonts w:ascii="Calibri" w:hAnsi="Calibri" w:cs="Calibri"/>
                <w:color w:val="000000"/>
                <w:sz w:val="18"/>
                <w:szCs w:val="18"/>
                <w:vertAlign w:val="superscript"/>
                <w:lang w:val="en-GB"/>
              </w:rPr>
              <w:t>c</w:t>
            </w:r>
          </w:p>
        </w:tc>
        <w:tc>
          <w:tcPr>
            <w:tcW w:w="1417" w:type="dxa"/>
          </w:tcPr>
          <w:p w14:paraId="68ADCE82"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softHyphen/>
              <w:t>—</w:t>
            </w:r>
          </w:p>
        </w:tc>
        <w:tc>
          <w:tcPr>
            <w:tcW w:w="1134" w:type="dxa"/>
          </w:tcPr>
          <w:p w14:paraId="6ED83BFF" w14:textId="73EE2FCE" w:rsidR="008C6D31" w:rsidRPr="00485662" w:rsidRDefault="008C6D31" w:rsidP="00BE0428">
            <w:pPr>
              <w:jc w:val="center"/>
              <w:rPr>
                <w:rFonts w:ascii="Calibri" w:hAnsi="Calibri" w:cs="Calibri"/>
                <w:color w:val="000000"/>
                <w:sz w:val="18"/>
                <w:szCs w:val="18"/>
                <w:lang w:val="en-GB"/>
              </w:rPr>
            </w:pPr>
            <w:r w:rsidRPr="00485662">
              <w:rPr>
                <w:rFonts w:ascii="Calibri" w:hAnsi="Calibri" w:cs="Calibri"/>
                <w:color w:val="000000"/>
                <w:sz w:val="18"/>
                <w:szCs w:val="18"/>
                <w:lang w:val="en-GB"/>
              </w:rPr>
              <w:t>1.25-1.75</w:t>
            </w:r>
          </w:p>
        </w:tc>
        <w:tc>
          <w:tcPr>
            <w:tcW w:w="284" w:type="dxa"/>
          </w:tcPr>
          <w:p w14:paraId="78829F9E" w14:textId="77777777" w:rsidR="008C6D31" w:rsidRPr="00485662" w:rsidRDefault="008C6D31" w:rsidP="00485662">
            <w:pPr>
              <w:rPr>
                <w:rFonts w:ascii="Calibri" w:hAnsi="Calibri" w:cs="Calibri"/>
                <w:color w:val="000000"/>
                <w:sz w:val="18"/>
                <w:szCs w:val="18"/>
                <w:lang w:val="en-GB"/>
              </w:rPr>
            </w:pPr>
          </w:p>
        </w:tc>
        <w:tc>
          <w:tcPr>
            <w:tcW w:w="1133" w:type="dxa"/>
          </w:tcPr>
          <w:p w14:paraId="46326583"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5.6—790</w:t>
            </w:r>
          </w:p>
        </w:tc>
        <w:tc>
          <w:tcPr>
            <w:tcW w:w="851" w:type="dxa"/>
          </w:tcPr>
          <w:p w14:paraId="166D28D6"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88</w:t>
            </w:r>
          </w:p>
        </w:tc>
        <w:tc>
          <w:tcPr>
            <w:tcW w:w="708" w:type="dxa"/>
          </w:tcPr>
          <w:p w14:paraId="74C44FD6"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190</w:t>
            </w:r>
          </w:p>
        </w:tc>
        <w:tc>
          <w:tcPr>
            <w:tcW w:w="1419" w:type="dxa"/>
          </w:tcPr>
          <w:p w14:paraId="2A37CA7E"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144</w:t>
            </w:r>
          </w:p>
        </w:tc>
        <w:tc>
          <w:tcPr>
            <w:tcW w:w="991" w:type="dxa"/>
          </w:tcPr>
          <w:p w14:paraId="39600017" w14:textId="5D073238"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180 (240)</w:t>
            </w:r>
          </w:p>
        </w:tc>
      </w:tr>
      <w:tr w:rsidR="008C6D31" w:rsidRPr="00674AAA" w14:paraId="297EAB30" w14:textId="77777777" w:rsidTr="00A602CF">
        <w:trPr>
          <w:trHeight w:val="413"/>
        </w:trPr>
        <w:tc>
          <w:tcPr>
            <w:tcW w:w="1277" w:type="dxa"/>
          </w:tcPr>
          <w:p w14:paraId="48ECBD39"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8</w:t>
            </w:r>
            <w:r w:rsidRPr="0049467E">
              <w:rPr>
                <w:rFonts w:ascii="Calibri" w:hAnsi="Calibri" w:cs="Calibri"/>
                <w:color w:val="000000"/>
                <w:sz w:val="18"/>
                <w:szCs w:val="18"/>
                <w:vertAlign w:val="superscript"/>
                <w:lang w:val="en-GB"/>
              </w:rPr>
              <w:t>c</w:t>
            </w:r>
          </w:p>
        </w:tc>
        <w:tc>
          <w:tcPr>
            <w:tcW w:w="1417" w:type="dxa"/>
          </w:tcPr>
          <w:p w14:paraId="3D2407C7"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w:t>
            </w:r>
          </w:p>
        </w:tc>
        <w:tc>
          <w:tcPr>
            <w:tcW w:w="1134" w:type="dxa"/>
          </w:tcPr>
          <w:p w14:paraId="2A4B2F7E" w14:textId="77777777" w:rsidR="008C6D31" w:rsidRPr="00485662" w:rsidRDefault="008C6D31" w:rsidP="00BE0428">
            <w:pPr>
              <w:jc w:val="center"/>
              <w:rPr>
                <w:rFonts w:ascii="Calibri" w:hAnsi="Calibri" w:cs="Calibri"/>
                <w:color w:val="000000"/>
                <w:sz w:val="18"/>
                <w:szCs w:val="18"/>
                <w:lang w:val="en-GB"/>
              </w:rPr>
            </w:pPr>
            <w:r w:rsidRPr="00485662">
              <w:rPr>
                <w:rFonts w:ascii="Calibri" w:hAnsi="Calibri" w:cs="Calibri"/>
                <w:color w:val="000000"/>
                <w:sz w:val="18"/>
                <w:szCs w:val="18"/>
                <w:lang w:val="en-GB"/>
              </w:rPr>
              <w:t>&lt;1.25</w:t>
            </w:r>
          </w:p>
        </w:tc>
        <w:tc>
          <w:tcPr>
            <w:tcW w:w="284" w:type="dxa"/>
          </w:tcPr>
          <w:p w14:paraId="2169B238" w14:textId="77777777" w:rsidR="008C6D31" w:rsidRPr="00485662" w:rsidRDefault="008C6D31" w:rsidP="00485662">
            <w:pPr>
              <w:rPr>
                <w:rFonts w:ascii="Calibri" w:hAnsi="Calibri" w:cs="Calibri"/>
                <w:color w:val="000000"/>
                <w:sz w:val="18"/>
                <w:szCs w:val="18"/>
                <w:lang w:val="en-GB"/>
              </w:rPr>
            </w:pPr>
          </w:p>
        </w:tc>
        <w:tc>
          <w:tcPr>
            <w:tcW w:w="1133" w:type="dxa"/>
          </w:tcPr>
          <w:p w14:paraId="6EE6BFB8"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25.5—3800</w:t>
            </w:r>
          </w:p>
        </w:tc>
        <w:tc>
          <w:tcPr>
            <w:tcW w:w="851" w:type="dxa"/>
          </w:tcPr>
          <w:p w14:paraId="2555EA96"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281</w:t>
            </w:r>
          </w:p>
        </w:tc>
        <w:tc>
          <w:tcPr>
            <w:tcW w:w="708" w:type="dxa"/>
          </w:tcPr>
          <w:p w14:paraId="6C152FF7"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945</w:t>
            </w:r>
          </w:p>
        </w:tc>
        <w:tc>
          <w:tcPr>
            <w:tcW w:w="1419" w:type="dxa"/>
          </w:tcPr>
          <w:p w14:paraId="03DE0EC5" w14:textId="77777777"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623</w:t>
            </w:r>
          </w:p>
        </w:tc>
        <w:tc>
          <w:tcPr>
            <w:tcW w:w="991" w:type="dxa"/>
          </w:tcPr>
          <w:p w14:paraId="78E94EBD" w14:textId="781E80D5" w:rsidR="008C6D31" w:rsidRPr="00485662" w:rsidRDefault="008C6D31" w:rsidP="00485662">
            <w:pPr>
              <w:rPr>
                <w:rFonts w:ascii="Calibri" w:hAnsi="Calibri" w:cs="Calibri"/>
                <w:color w:val="000000"/>
                <w:sz w:val="18"/>
                <w:szCs w:val="18"/>
                <w:lang w:val="en-GB"/>
              </w:rPr>
            </w:pPr>
            <w:r w:rsidRPr="00485662">
              <w:rPr>
                <w:rFonts w:ascii="Calibri" w:hAnsi="Calibri" w:cs="Calibri"/>
                <w:color w:val="000000"/>
                <w:sz w:val="18"/>
                <w:szCs w:val="18"/>
                <w:lang w:val="en-GB"/>
              </w:rPr>
              <w:t>180 (720)</w:t>
            </w:r>
          </w:p>
        </w:tc>
      </w:tr>
    </w:tbl>
    <w:p w14:paraId="686E16D8" w14:textId="41F20060" w:rsidR="008C6D31" w:rsidRDefault="008C6D31" w:rsidP="00FA19D8">
      <w:pPr>
        <w:pStyle w:val="Body"/>
      </w:pPr>
      <w:r w:rsidRPr="00924522">
        <w:rPr>
          <w:vertAlign w:val="superscript"/>
        </w:rPr>
        <w:t>a</w:t>
      </w:r>
      <w:r>
        <w:t xml:space="preserve"> Numbers in parentheses: suggested revised default half-lives</w:t>
      </w:r>
      <w:r w:rsidR="00594474">
        <w:t>;</w:t>
      </w:r>
      <w:r w:rsidR="00594474">
        <w:rPr>
          <w:vertAlign w:val="superscript"/>
        </w:rPr>
        <w:t xml:space="preserve"> </w:t>
      </w:r>
      <w:r w:rsidRPr="00924522">
        <w:rPr>
          <w:vertAlign w:val="superscript"/>
        </w:rPr>
        <w:t>b</w:t>
      </w:r>
      <w:r>
        <w:t xml:space="preserve"> One outlying observation was deleted: 25</w:t>
      </w:r>
      <w:r w:rsidR="00BE0428">
        <w:t>,</w:t>
      </w:r>
      <w:r>
        <w:t>045 d</w:t>
      </w:r>
      <w:r w:rsidR="00BE0428">
        <w:t>ays</w:t>
      </w:r>
      <w:r>
        <w:t xml:space="preserve"> for CAS no. 13029-08-8</w:t>
      </w:r>
      <w:r w:rsidR="00594474">
        <w:t xml:space="preserve">; </w:t>
      </w:r>
      <w:r w:rsidRPr="00924522">
        <w:rPr>
          <w:vertAlign w:val="superscript"/>
        </w:rPr>
        <w:t>c</w:t>
      </w:r>
      <w:r>
        <w:t xml:space="preserve"> </w:t>
      </w:r>
      <w:r w:rsidR="00924522">
        <w:t>Compounds in the 19-compound ‘recalcitrant’ category were divided into two groups with respect to BIOWIN3 output, as shown</w:t>
      </w:r>
      <w:r w:rsidR="00594474">
        <w:t xml:space="preserve">; </w:t>
      </w:r>
      <w:r w:rsidR="00FA19D8">
        <w:rPr>
          <w:vertAlign w:val="superscript"/>
        </w:rPr>
        <w:t>d</w:t>
      </w:r>
      <w:r w:rsidR="00FA19D8">
        <w:t xml:space="preserve"> N</w:t>
      </w:r>
      <w:r w:rsidR="00FA19D8" w:rsidRPr="00FA19D8">
        <w:t>umber of compounds used to estimate biodegradation</w:t>
      </w:r>
      <w:r w:rsidR="00594474">
        <w:t xml:space="preserve">; </w:t>
      </w:r>
      <w:r w:rsidR="00FA19D8" w:rsidRPr="00FA19D8">
        <w:rPr>
          <w:vertAlign w:val="superscript"/>
        </w:rPr>
        <w:t>e</w:t>
      </w:r>
      <w:r w:rsidR="00FA19D8">
        <w:t xml:space="preserve"> </w:t>
      </w:r>
      <w:r w:rsidR="00FA19D8" w:rsidRPr="00FA19D8">
        <w:t>Ratings are semi-quantitative and are not half-lives; they are based on expert surveys that rated compound biodegradation on a scale of 1 to 5.</w:t>
      </w:r>
    </w:p>
    <w:p w14:paraId="62A16804" w14:textId="2FE0745A" w:rsidR="00FA19D8" w:rsidRPr="008C6D31" w:rsidRDefault="00FA19D8" w:rsidP="00FA19D8">
      <w:pPr>
        <w:pStyle w:val="Body"/>
      </w:pPr>
    </w:p>
    <w:p w14:paraId="56C84D1D" w14:textId="5D432348" w:rsidR="000F6112" w:rsidRPr="0070283D" w:rsidRDefault="00A602CF" w:rsidP="0070283D">
      <w:pPr>
        <w:pStyle w:val="Body"/>
      </w:pPr>
      <w:r>
        <w:br w:type="page"/>
      </w:r>
    </w:p>
    <w:p w14:paraId="7CDD7D62" w14:textId="0663B800" w:rsidR="004F62BB" w:rsidRPr="00E6110F" w:rsidRDefault="002A1639" w:rsidP="00C60913">
      <w:pPr>
        <w:pStyle w:val="Heading2"/>
      </w:pPr>
      <w:bookmarkStart w:id="505" w:name="_Ref446953816"/>
      <w:bookmarkStart w:id="506" w:name="_Ref452902751"/>
      <w:bookmarkStart w:id="507" w:name="_Toc494444602"/>
      <w:r>
        <w:t>Attenuation</w:t>
      </w:r>
      <w:r w:rsidR="00C60913" w:rsidRPr="00E6110F">
        <w:t xml:space="preserve"> parameters</w:t>
      </w:r>
      <w:bookmarkEnd w:id="505"/>
      <w:r w:rsidR="00B939EB" w:rsidRPr="00E6110F">
        <w:t xml:space="preserve"> for organic substances</w:t>
      </w:r>
      <w:bookmarkEnd w:id="506"/>
      <w:bookmarkEnd w:id="507"/>
    </w:p>
    <w:p w14:paraId="0A45A316" w14:textId="0CD96B6F" w:rsidR="00D57FD5" w:rsidRPr="00E6110F" w:rsidRDefault="00D57FD5" w:rsidP="00D57FD5">
      <w:pPr>
        <w:pStyle w:val="Heading3"/>
      </w:pPr>
      <w:bookmarkStart w:id="508" w:name="_Toc494444603"/>
      <w:r w:rsidRPr="00E6110F">
        <w:t>Sorption onto organic carbon</w:t>
      </w:r>
      <w:bookmarkEnd w:id="508"/>
    </w:p>
    <w:p w14:paraId="522046A3" w14:textId="4D5DFECA" w:rsidR="00C24672" w:rsidRPr="00E6110F" w:rsidRDefault="00C24672" w:rsidP="00C24672">
      <w:pPr>
        <w:pStyle w:val="Body"/>
      </w:pPr>
      <w:r w:rsidRPr="00E6110F">
        <w:t xml:space="preserve">Organic carbon is important in binding organic contaminants and, generally, an increase in organic carbon will also lead to an increase in the sorption of organic contaminants. For this reason, </w:t>
      </w:r>
      <w:r w:rsidR="004E320F" w:rsidRPr="00E6110F">
        <w:t>measured liquid-solid</w:t>
      </w:r>
      <w:r w:rsidRPr="00E6110F">
        <w:t xml:space="preserve"> partition coefficient (</w:t>
      </w:r>
      <w:proofErr w:type="gramStart"/>
      <w:r w:rsidRPr="00E6110F">
        <w:rPr>
          <w:i/>
        </w:rPr>
        <w:t>K</w:t>
      </w:r>
      <w:r w:rsidRPr="00E6110F">
        <w:rPr>
          <w:vertAlign w:val="subscript"/>
        </w:rPr>
        <w:t>d</w:t>
      </w:r>
      <w:proofErr w:type="gramEnd"/>
      <w:r w:rsidRPr="00E6110F">
        <w:t xml:space="preserve">) values are </w:t>
      </w:r>
      <w:r w:rsidR="004E320F" w:rsidRPr="00E6110F">
        <w:t>gener</w:t>
      </w:r>
      <w:r w:rsidRPr="00E6110F">
        <w:t>ally normalised to the fraction of organic carbon (</w:t>
      </w:r>
      <w:r w:rsidR="004E320F" w:rsidRPr="00E6110F">
        <w:rPr>
          <w:i/>
        </w:rPr>
        <w:t>f</w:t>
      </w:r>
      <w:r w:rsidRPr="00E6110F">
        <w:rPr>
          <w:vertAlign w:val="subscript"/>
        </w:rPr>
        <w:t>OC</w:t>
      </w:r>
      <w:r w:rsidRPr="00E6110F">
        <w:t xml:space="preserve">) within a solid matrix, such that </w:t>
      </w:r>
      <w:r w:rsidRPr="00E6110F">
        <w:rPr>
          <w:i/>
        </w:rPr>
        <w:t>K</w:t>
      </w:r>
      <w:r w:rsidRPr="00E6110F">
        <w:rPr>
          <w:vertAlign w:val="subscript"/>
        </w:rPr>
        <w:t>OC</w:t>
      </w:r>
      <w:r w:rsidR="004E320F" w:rsidRPr="00E6110F">
        <w:rPr>
          <w:vertAlign w:val="subscript"/>
        </w:rPr>
        <w:t xml:space="preserve"> </w:t>
      </w:r>
      <w:r w:rsidRPr="00E6110F">
        <w:t>=</w:t>
      </w:r>
      <w:r w:rsidR="004E320F" w:rsidRPr="00E6110F">
        <w:t xml:space="preserve"> </w:t>
      </w:r>
      <w:r w:rsidRPr="00E6110F">
        <w:rPr>
          <w:i/>
        </w:rPr>
        <w:t>K</w:t>
      </w:r>
      <w:r w:rsidRPr="00E6110F">
        <w:rPr>
          <w:vertAlign w:val="subscript"/>
        </w:rPr>
        <w:t>d</w:t>
      </w:r>
      <w:r w:rsidRPr="00E6110F">
        <w:t xml:space="preserve"> </w:t>
      </w:r>
      <w:r w:rsidR="004E320F" w:rsidRPr="00E6110F">
        <w:t>/</w:t>
      </w:r>
      <w:r w:rsidRPr="00E6110F">
        <w:t xml:space="preserve"> </w:t>
      </w:r>
      <w:r w:rsidRPr="00E6110F">
        <w:rPr>
          <w:i/>
        </w:rPr>
        <w:t>f</w:t>
      </w:r>
      <w:r w:rsidRPr="00E6110F">
        <w:rPr>
          <w:vertAlign w:val="subscript"/>
        </w:rPr>
        <w:t>OC</w:t>
      </w:r>
      <w:r w:rsidRPr="00E6110F">
        <w:t xml:space="preserve"> (</w:t>
      </w:r>
      <w:r w:rsidRPr="00E6110F">
        <w:rPr>
          <w:i/>
        </w:rPr>
        <w:t>f</w:t>
      </w:r>
      <w:r w:rsidRPr="00E6110F">
        <w:rPr>
          <w:vertAlign w:val="subscript"/>
        </w:rPr>
        <w:t>OC</w:t>
      </w:r>
      <w:r w:rsidRPr="00E6110F">
        <w:t>= fraction of organic carbon</w:t>
      </w:r>
      <w:r w:rsidR="004E320F" w:rsidRPr="00E6110F">
        <w:t>, g</w:t>
      </w:r>
      <w:r w:rsidR="008361AB" w:rsidRPr="00E6110F">
        <w:t xml:space="preserve"> carbon </w:t>
      </w:r>
      <w:r w:rsidR="004E320F" w:rsidRPr="00E6110F">
        <w:t>/g</w:t>
      </w:r>
      <w:r w:rsidR="008361AB" w:rsidRPr="00E6110F">
        <w:t xml:space="preserve"> solid matrix</w:t>
      </w:r>
      <w:r w:rsidRPr="00E6110F">
        <w:t xml:space="preserve">). </w:t>
      </w:r>
      <w:r w:rsidR="00CA01B0" w:rsidRPr="00E6110F">
        <w:t>Except for the coal bearing formations, m</w:t>
      </w:r>
      <w:r w:rsidRPr="00E6110F">
        <w:t xml:space="preserve">ost of the layers within the formation </w:t>
      </w:r>
      <w:r w:rsidR="008361AB" w:rsidRPr="00E6110F">
        <w:t xml:space="preserve">in this study </w:t>
      </w:r>
      <w:r w:rsidRPr="00E6110F">
        <w:t xml:space="preserve">were dominated by sandstones, siltstone and mudstone, so the </w:t>
      </w:r>
      <w:r w:rsidRPr="00E6110F">
        <w:rPr>
          <w:i/>
        </w:rPr>
        <w:t>f</w:t>
      </w:r>
      <w:r w:rsidRPr="00E6110F">
        <w:rPr>
          <w:vertAlign w:val="subscript"/>
        </w:rPr>
        <w:t>OC</w:t>
      </w:r>
      <w:r w:rsidRPr="00E6110F">
        <w:t xml:space="preserve"> was assumed to be minimal and make a negligible contribution to sorption. The </w:t>
      </w:r>
      <w:r w:rsidR="008361AB" w:rsidRPr="00E6110F">
        <w:t xml:space="preserve">correction </w:t>
      </w:r>
      <w:r w:rsidRPr="00E6110F">
        <w:t>factor applied to</w:t>
      </w:r>
      <w:r w:rsidR="008361AB" w:rsidRPr="00E6110F">
        <w:t xml:space="preserve"> default</w:t>
      </w:r>
      <w:r w:rsidRPr="00E6110F">
        <w:t xml:space="preserve"> </w:t>
      </w:r>
      <w:r w:rsidRPr="00E6110F">
        <w:rPr>
          <w:i/>
        </w:rPr>
        <w:t>K</w:t>
      </w:r>
      <w:r w:rsidRPr="00E6110F">
        <w:rPr>
          <w:vertAlign w:val="subscript"/>
        </w:rPr>
        <w:t>OC</w:t>
      </w:r>
      <w:r w:rsidRPr="00E6110F">
        <w:t xml:space="preserve"> values in such cases was therefore 0, </w:t>
      </w:r>
      <w:r w:rsidR="008361AB" w:rsidRPr="00E6110F">
        <w:t xml:space="preserve">i.e. </w:t>
      </w:r>
      <w:r w:rsidRPr="00E6110F">
        <w:t xml:space="preserve">organic carbon was </w:t>
      </w:r>
      <w:r w:rsidR="008361AB" w:rsidRPr="00E6110F">
        <w:t xml:space="preserve">sufficiently low such that it was </w:t>
      </w:r>
      <w:r w:rsidRPr="00E6110F">
        <w:t>not expected to have any impact on sorption.</w:t>
      </w:r>
    </w:p>
    <w:p w14:paraId="50158152" w14:textId="296117C3" w:rsidR="00D57FD5" w:rsidRPr="00E6110F" w:rsidRDefault="00D57FD5" w:rsidP="00D57FD5">
      <w:pPr>
        <w:pStyle w:val="Heading3"/>
      </w:pPr>
      <w:bookmarkStart w:id="509" w:name="_Toc494444604"/>
      <w:r w:rsidRPr="00E6110F">
        <w:t>Sorption onto rock matrix</w:t>
      </w:r>
      <w:bookmarkEnd w:id="509"/>
    </w:p>
    <w:p w14:paraId="13AD3E93" w14:textId="5EE51EF7" w:rsidR="00C24672" w:rsidRPr="00E6110F" w:rsidRDefault="00C24672" w:rsidP="00C24672">
      <w:pPr>
        <w:pStyle w:val="Body"/>
      </w:pPr>
      <w:r w:rsidRPr="00E6110F">
        <w:t xml:space="preserve">Clays in soils and mineral formations can enhance the sorption of organic chemicals which contain cationic functional groups (e.g. amines and nitro) beyond what is predicted from </w:t>
      </w:r>
      <w:r w:rsidR="00877B73" w:rsidRPr="00E6110F">
        <w:t>the fraction of organic carbon</w:t>
      </w:r>
      <w:r w:rsidRPr="00E6110F">
        <w:t xml:space="preserve">. In this case, however, there was no evidence to suggest that the sorption of </w:t>
      </w:r>
      <w:r w:rsidR="00640607" w:rsidRPr="00E6110F">
        <w:t xml:space="preserve">organic substances such as </w:t>
      </w:r>
      <w:r w:rsidRPr="00E6110F">
        <w:t xml:space="preserve">HMX or bronopol would be enhanced beyond existing </w:t>
      </w:r>
      <w:r w:rsidRPr="00E6110F">
        <w:rPr>
          <w:i/>
        </w:rPr>
        <w:t>K</w:t>
      </w:r>
      <w:r w:rsidRPr="00E6110F">
        <w:rPr>
          <w:vertAlign w:val="subscript"/>
        </w:rPr>
        <w:t>OC</w:t>
      </w:r>
      <w:r w:rsidRPr="00E6110F">
        <w:t xml:space="preserve"> values through the increased proportion of clay in soils </w:t>
      </w:r>
      <w:r w:rsidRPr="00E6110F">
        <w:fldChar w:fldCharType="begin"/>
      </w:r>
      <w:r w:rsidRPr="00E6110F">
        <w:instrText xml:space="preserve"> ADDIN EN.CITE &lt;EndNote&gt;&lt;Cite&gt;&lt;Author&gt;Sharma&lt;/Author&gt;&lt;Year&gt;2013&lt;/Year&gt;&lt;RecNum&gt;3311&lt;/RecNum&gt;&lt;DisplayText&gt;(Sharma&lt;style face="italic"&gt; et al.&lt;/style&gt; 2013)&lt;/DisplayText&gt;&lt;record&gt;&lt;rec-number&gt;3311&lt;/rec-number&gt;&lt;foreign-keys&gt;&lt;key app="EN" db-id="d09sasz0sd22enex2rk5xrr7a5zsf0rvfsa5" timestamp="1464776464"&gt;3311&lt;/key&gt;&lt;/foreign-keys&gt;&lt;ref-type name="Journal Article"&gt;17&lt;/ref-type&gt;&lt;contributors&gt;&lt;authors&gt;&lt;author&gt;Sharma, P.&lt;/author&gt;&lt;author&gt;Mayes, M. A.&lt;/author&gt;&lt;author&gt;Tang, G.&lt;/author&gt;&lt;/authors&gt;&lt;/contributors&gt;&lt;auth-address&gt;Oak Ridge National Laboratory, Environmental Sciences Division, Oak Ridge, TN, United States&lt;/auth-address&gt;&lt;titles&gt;&lt;title&gt;Role of soil organic carbon and colloids in sorption and transport of TNT, RDX and HMX in training range soils&lt;/title&gt;&lt;secondary-title&gt;Chemosphere&lt;/secondary-title&gt;&lt;/titles&gt;&lt;periodical&gt;&lt;full-title&gt;Chemosphere&lt;/full-title&gt;&lt;abbr-1&gt;Chemosphere&lt;/abbr-1&gt;&lt;/periodical&gt;&lt;pages&gt;993-1000&lt;/pages&gt;&lt;volume&gt;92&lt;/volume&gt;&lt;number&gt;8&lt;/number&gt;&lt;keywords&gt;&lt;keyword&gt;Colloids&lt;/keyword&gt;&lt;keyword&gt;Column experiments&lt;/keyword&gt;&lt;keyword&gt;Explosives&lt;/keyword&gt;&lt;keyword&gt;Operational training range&lt;/keyword&gt;&lt;keyword&gt;Organic carbon&lt;/keyword&gt;&lt;/keywords&gt;&lt;dates&gt;&lt;year&gt;2013&lt;/year&gt;&lt;/dates&gt;&lt;work-type&gt;Article&lt;/work-type&gt;&lt;urls&gt;&lt;related-urls&gt;&lt;url&gt;https://www.scopus.com/inward/record.uri?eid=2-s2.0-84880037817&amp;amp;partnerID=40&amp;amp;md5=e3255443158ce85be1da9693b81c7723&lt;/url&gt;&lt;/related-urls&gt;&lt;/urls&gt;&lt;electronic-resource-num&gt;10.1016/j.chemosphere.2013.03.028&lt;/electronic-resource-num&gt;&lt;remote-database-name&gt;Scopus&lt;/remote-database-name&gt;&lt;/record&gt;&lt;/Cite&gt;&lt;/EndNote&gt;</w:instrText>
      </w:r>
      <w:r w:rsidRPr="00E6110F">
        <w:fldChar w:fldCharType="separate"/>
      </w:r>
      <w:r w:rsidRPr="00E6110F">
        <w:t>(Sharma et al. 2013)</w:t>
      </w:r>
      <w:r w:rsidRPr="00E6110F">
        <w:fldChar w:fldCharType="end"/>
      </w:r>
      <w:r w:rsidRPr="00E6110F">
        <w:t>.</w:t>
      </w:r>
    </w:p>
    <w:p w14:paraId="314D4E10" w14:textId="714F432A" w:rsidR="00863721" w:rsidRPr="00E6110F" w:rsidRDefault="00863721" w:rsidP="00863721">
      <w:pPr>
        <w:pStyle w:val="Heading3"/>
      </w:pPr>
      <w:bookmarkStart w:id="510" w:name="_Ref452901284"/>
      <w:bookmarkStart w:id="511" w:name="_Toc494444605"/>
      <w:r w:rsidRPr="00E6110F">
        <w:t>Default sorption (</w:t>
      </w:r>
      <w:proofErr w:type="gramStart"/>
      <w:r w:rsidRPr="00E6110F">
        <w:rPr>
          <w:i/>
        </w:rPr>
        <w:t>K</w:t>
      </w:r>
      <w:r w:rsidR="00877B73" w:rsidRPr="00E6110F">
        <w:rPr>
          <w:vertAlign w:val="subscript"/>
        </w:rPr>
        <w:t>d</w:t>
      </w:r>
      <w:proofErr w:type="gramEnd"/>
      <w:r w:rsidRPr="00E6110F">
        <w:t xml:space="preserve"> and </w:t>
      </w:r>
      <w:r w:rsidRPr="00E6110F">
        <w:rPr>
          <w:i/>
        </w:rPr>
        <w:t>K</w:t>
      </w:r>
      <w:r w:rsidRPr="00E6110F">
        <w:rPr>
          <w:vertAlign w:val="subscript"/>
        </w:rPr>
        <w:t>OC</w:t>
      </w:r>
      <w:r w:rsidRPr="00E6110F">
        <w:t>) and degradation (half-life) values</w:t>
      </w:r>
      <w:bookmarkEnd w:id="510"/>
      <w:bookmarkEnd w:id="511"/>
    </w:p>
    <w:p w14:paraId="7DB8811E" w14:textId="6868BC9B" w:rsidR="00863721" w:rsidRPr="00E6110F" w:rsidRDefault="00863721" w:rsidP="00863721">
      <w:pPr>
        <w:pStyle w:val="Body"/>
      </w:pPr>
      <w:r w:rsidRPr="00E6110F">
        <w:t xml:space="preserve">Default </w:t>
      </w:r>
      <w:r w:rsidRPr="00E6110F">
        <w:rPr>
          <w:i/>
        </w:rPr>
        <w:t>K</w:t>
      </w:r>
      <w:r w:rsidRPr="00E6110F">
        <w:rPr>
          <w:vertAlign w:val="subscript"/>
        </w:rPr>
        <w:t>OC</w:t>
      </w:r>
      <w:r w:rsidRPr="00E6110F">
        <w:t xml:space="preserve"> (organic substances) and degradation (half-life) values were compiled from the literature (</w:t>
      </w:r>
      <w:r w:rsidRPr="00E6110F">
        <w:fldChar w:fldCharType="begin" w:fldLock="1"/>
      </w:r>
      <w:r w:rsidRPr="00E6110F">
        <w:instrText xml:space="preserve"> REF _Ref452901860 \h  \* MERGEFORMAT </w:instrText>
      </w:r>
      <w:r w:rsidRPr="00E6110F">
        <w:fldChar w:fldCharType="separate"/>
      </w:r>
      <w:r w:rsidR="00335E79" w:rsidRPr="00DA539C">
        <w:t xml:space="preserve">Table </w:t>
      </w:r>
      <w:r w:rsidR="00335E79">
        <w:t>4</w:t>
      </w:r>
      <w:r w:rsidR="00335E79">
        <w:noBreakHyphen/>
        <w:t>4</w:t>
      </w:r>
      <w:r w:rsidRPr="00E6110F">
        <w:fldChar w:fldCharType="end"/>
      </w:r>
      <w:r w:rsidRPr="00E6110F">
        <w:t xml:space="preserve">). Details about derivation of </w:t>
      </w:r>
      <w:r w:rsidRPr="00E6110F">
        <w:rPr>
          <w:i/>
        </w:rPr>
        <w:t>K</w:t>
      </w:r>
      <w:r w:rsidRPr="00E6110F">
        <w:rPr>
          <w:vertAlign w:val="subscript"/>
        </w:rPr>
        <w:t>OC</w:t>
      </w:r>
      <w:r w:rsidR="00395F0D" w:rsidRPr="00E6110F">
        <w:t xml:space="preserve"> (and half-life) values are</w:t>
      </w:r>
      <w:r w:rsidRPr="00E6110F">
        <w:t xml:space="preserve"> provided in </w:t>
      </w:r>
      <w:r w:rsidR="009B38E3" w:rsidRPr="00E6110F">
        <w:t xml:space="preserve">Appendix </w:t>
      </w:r>
      <w:r w:rsidR="002A1639">
        <w:t>5</w:t>
      </w:r>
      <w:r w:rsidRPr="00E6110F">
        <w:t xml:space="preserve">. </w:t>
      </w:r>
    </w:p>
    <w:p w14:paraId="2A3E5CC7" w14:textId="77777777" w:rsidR="00863721" w:rsidRPr="00E6110F" w:rsidRDefault="00863721" w:rsidP="00863721">
      <w:pPr>
        <w:pStyle w:val="Body"/>
      </w:pPr>
    </w:p>
    <w:p w14:paraId="357A01F4" w14:textId="672320C0" w:rsidR="00863721" w:rsidRPr="00DA539C" w:rsidRDefault="00863721" w:rsidP="00DA539C">
      <w:pPr>
        <w:pStyle w:val="Imagecaption"/>
        <w:keepNext/>
        <w:pBdr>
          <w:top w:val="none" w:sz="0" w:space="0" w:color="auto"/>
        </w:pBdr>
      </w:pPr>
      <w:bookmarkStart w:id="512" w:name="_Ref452901860"/>
      <w:bookmarkStart w:id="513" w:name="_Toc494444721"/>
      <w:r w:rsidRPr="00DA539C">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4</w:t>
      </w:r>
      <w:r w:rsidR="00470577">
        <w:fldChar w:fldCharType="end"/>
      </w:r>
      <w:bookmarkEnd w:id="512"/>
      <w:r w:rsidRPr="00DA539C">
        <w:t xml:space="preserve"> Summary of default sorption and degradation parameters</w:t>
      </w:r>
      <w:r w:rsidR="00167CAE" w:rsidRPr="00DA539C">
        <w:t xml:space="preserve"> (minimum – maximum value)</w:t>
      </w:r>
      <w:r w:rsidRPr="00DA539C">
        <w:t>.</w:t>
      </w:r>
      <w:r w:rsidR="00577EA2" w:rsidRPr="00DA539C">
        <w:t xml:space="preserve"> n.a = not applicable; n.d. = not data</w:t>
      </w:r>
      <w:r w:rsidR="00B5383B" w:rsidRPr="00DA539C">
        <w:t>; nbd = not biodegradable</w:t>
      </w:r>
      <w:r w:rsidR="00167CAE" w:rsidRPr="00DA539C">
        <w:t xml:space="preserve"> (based on Appendix 5)</w:t>
      </w:r>
      <w:r w:rsidR="002A1639" w:rsidRPr="00DA539C">
        <w:t>.</w:t>
      </w:r>
      <w:bookmarkEnd w:id="513"/>
    </w:p>
    <w:tbl>
      <w:tblPr>
        <w:tblStyle w:val="TableGrid"/>
        <w:tblW w:w="8784" w:type="dxa"/>
        <w:tblLayout w:type="fixed"/>
        <w:tblLook w:val="04A0" w:firstRow="1" w:lastRow="0" w:firstColumn="1" w:lastColumn="0" w:noHBand="0" w:noVBand="1"/>
      </w:tblPr>
      <w:tblGrid>
        <w:gridCol w:w="694"/>
        <w:gridCol w:w="1428"/>
        <w:gridCol w:w="1134"/>
        <w:gridCol w:w="1417"/>
        <w:gridCol w:w="1134"/>
        <w:gridCol w:w="992"/>
        <w:gridCol w:w="1985"/>
      </w:tblGrid>
      <w:tr w:rsidR="00642FE3" w:rsidRPr="00E6110F" w14:paraId="6A09B5B7" w14:textId="77777777" w:rsidTr="006E524E">
        <w:trPr>
          <w:trHeight w:val="142"/>
        </w:trPr>
        <w:tc>
          <w:tcPr>
            <w:tcW w:w="694" w:type="dxa"/>
            <w:vMerge w:val="restart"/>
            <w:shd w:val="clear" w:color="auto" w:fill="F2F2F2" w:themeFill="background1" w:themeFillShade="F2"/>
          </w:tcPr>
          <w:p w14:paraId="24A9C84E" w14:textId="77777777" w:rsidR="00642FE3" w:rsidRPr="00E6110F" w:rsidRDefault="00642FE3" w:rsidP="00854519">
            <w:pPr>
              <w:pStyle w:val="Body"/>
            </w:pPr>
            <w:r w:rsidRPr="00E6110F">
              <w:t>No</w:t>
            </w:r>
          </w:p>
        </w:tc>
        <w:tc>
          <w:tcPr>
            <w:tcW w:w="1428" w:type="dxa"/>
            <w:vMerge w:val="restart"/>
            <w:shd w:val="clear" w:color="auto" w:fill="F2F2F2" w:themeFill="background1" w:themeFillShade="F2"/>
          </w:tcPr>
          <w:p w14:paraId="207629EF" w14:textId="77777777" w:rsidR="00642FE3" w:rsidRPr="00E6110F" w:rsidRDefault="00642FE3" w:rsidP="00854519">
            <w:pPr>
              <w:pStyle w:val="Body"/>
            </w:pPr>
            <w:r w:rsidRPr="00E6110F">
              <w:t>Substance name</w:t>
            </w:r>
          </w:p>
        </w:tc>
        <w:tc>
          <w:tcPr>
            <w:tcW w:w="1134" w:type="dxa"/>
            <w:vMerge w:val="restart"/>
            <w:shd w:val="clear" w:color="auto" w:fill="F2F2F2" w:themeFill="background1" w:themeFillShade="F2"/>
          </w:tcPr>
          <w:p w14:paraId="7033883E" w14:textId="77777777" w:rsidR="00642FE3" w:rsidRPr="00E6110F" w:rsidRDefault="00642FE3" w:rsidP="00854519">
            <w:pPr>
              <w:pStyle w:val="Body"/>
            </w:pPr>
            <w:r w:rsidRPr="00E6110F">
              <w:t>CAS Number</w:t>
            </w:r>
          </w:p>
        </w:tc>
        <w:tc>
          <w:tcPr>
            <w:tcW w:w="1417" w:type="dxa"/>
            <w:vMerge w:val="restart"/>
            <w:shd w:val="clear" w:color="auto" w:fill="F2F2F2" w:themeFill="background1" w:themeFillShade="F2"/>
          </w:tcPr>
          <w:p w14:paraId="03FEAB3D" w14:textId="50A5F24A" w:rsidR="00642FE3" w:rsidRPr="00E6110F" w:rsidRDefault="00642FE3" w:rsidP="00854519">
            <w:pPr>
              <w:pStyle w:val="Body"/>
            </w:pPr>
            <w:r w:rsidRPr="00E6110F">
              <w:t>Log</w:t>
            </w:r>
            <w:r w:rsidR="00491C6E">
              <w:t>[</w:t>
            </w:r>
            <w:r w:rsidRPr="00E6110F">
              <w:rPr>
                <w:i/>
              </w:rPr>
              <w:t xml:space="preserve"> K</w:t>
            </w:r>
            <w:r w:rsidRPr="00E6110F">
              <w:rPr>
                <w:vertAlign w:val="subscript"/>
              </w:rPr>
              <w:t>OC</w:t>
            </w:r>
            <w:r w:rsidRPr="00E6110F">
              <w:t xml:space="preserve"> (L/kg)</w:t>
            </w:r>
            <w:r w:rsidR="00491C6E">
              <w:t>]</w:t>
            </w:r>
          </w:p>
        </w:tc>
        <w:tc>
          <w:tcPr>
            <w:tcW w:w="4111" w:type="dxa"/>
            <w:gridSpan w:val="3"/>
            <w:shd w:val="clear" w:color="auto" w:fill="F2F2F2" w:themeFill="background1" w:themeFillShade="F2"/>
          </w:tcPr>
          <w:p w14:paraId="5BFBE840" w14:textId="77777777" w:rsidR="00642FE3" w:rsidRPr="00E6110F" w:rsidRDefault="00642FE3" w:rsidP="00642FE3">
            <w:pPr>
              <w:pStyle w:val="Body"/>
              <w:jc w:val="center"/>
            </w:pPr>
            <w:r w:rsidRPr="00E6110F">
              <w:t>Half-life (days)</w:t>
            </w:r>
          </w:p>
        </w:tc>
      </w:tr>
      <w:tr w:rsidR="00642FE3" w:rsidRPr="00E6110F" w14:paraId="306234D3" w14:textId="77777777" w:rsidTr="006E524E">
        <w:trPr>
          <w:trHeight w:val="141"/>
        </w:trPr>
        <w:tc>
          <w:tcPr>
            <w:tcW w:w="694" w:type="dxa"/>
            <w:vMerge/>
            <w:shd w:val="clear" w:color="auto" w:fill="F2F2F2" w:themeFill="background1" w:themeFillShade="F2"/>
          </w:tcPr>
          <w:p w14:paraId="18BBB55D" w14:textId="77777777" w:rsidR="00642FE3" w:rsidRPr="00E6110F" w:rsidRDefault="00642FE3" w:rsidP="00854519">
            <w:pPr>
              <w:pStyle w:val="Body"/>
            </w:pPr>
          </w:p>
        </w:tc>
        <w:tc>
          <w:tcPr>
            <w:tcW w:w="1428" w:type="dxa"/>
            <w:vMerge/>
            <w:shd w:val="clear" w:color="auto" w:fill="F2F2F2" w:themeFill="background1" w:themeFillShade="F2"/>
          </w:tcPr>
          <w:p w14:paraId="74297ABD" w14:textId="77777777" w:rsidR="00642FE3" w:rsidRPr="00E6110F" w:rsidRDefault="00642FE3" w:rsidP="00854519">
            <w:pPr>
              <w:pStyle w:val="Body"/>
            </w:pPr>
          </w:p>
        </w:tc>
        <w:tc>
          <w:tcPr>
            <w:tcW w:w="1134" w:type="dxa"/>
            <w:vMerge/>
            <w:shd w:val="clear" w:color="auto" w:fill="F2F2F2" w:themeFill="background1" w:themeFillShade="F2"/>
          </w:tcPr>
          <w:p w14:paraId="76568936" w14:textId="77777777" w:rsidR="00642FE3" w:rsidRPr="00E6110F" w:rsidRDefault="00642FE3" w:rsidP="00854519">
            <w:pPr>
              <w:pStyle w:val="Body"/>
            </w:pPr>
          </w:p>
        </w:tc>
        <w:tc>
          <w:tcPr>
            <w:tcW w:w="1417" w:type="dxa"/>
            <w:vMerge/>
            <w:shd w:val="clear" w:color="auto" w:fill="F2F2F2" w:themeFill="background1" w:themeFillShade="F2"/>
          </w:tcPr>
          <w:p w14:paraId="70DAD3D3" w14:textId="77777777" w:rsidR="00642FE3" w:rsidRPr="00E6110F" w:rsidRDefault="00642FE3" w:rsidP="00854519">
            <w:pPr>
              <w:pStyle w:val="Body"/>
            </w:pPr>
          </w:p>
        </w:tc>
        <w:tc>
          <w:tcPr>
            <w:tcW w:w="1134" w:type="dxa"/>
            <w:shd w:val="clear" w:color="auto" w:fill="F2F2F2" w:themeFill="background1" w:themeFillShade="F2"/>
          </w:tcPr>
          <w:p w14:paraId="59B095A8" w14:textId="10ADF184" w:rsidR="00642FE3" w:rsidRPr="00E6110F" w:rsidRDefault="00642FE3" w:rsidP="00854519">
            <w:pPr>
              <w:pStyle w:val="Body"/>
            </w:pPr>
            <w:r w:rsidRPr="00E6110F">
              <w:t>Anaerobic</w:t>
            </w:r>
          </w:p>
        </w:tc>
        <w:tc>
          <w:tcPr>
            <w:tcW w:w="992" w:type="dxa"/>
            <w:shd w:val="clear" w:color="auto" w:fill="F2F2F2" w:themeFill="background1" w:themeFillShade="F2"/>
          </w:tcPr>
          <w:p w14:paraId="666A222C" w14:textId="7C170E45" w:rsidR="00642FE3" w:rsidRPr="00E6110F" w:rsidRDefault="00642FE3" w:rsidP="00854519">
            <w:pPr>
              <w:pStyle w:val="Body"/>
            </w:pPr>
            <w:r w:rsidRPr="00E6110F">
              <w:t>Aerobic</w:t>
            </w:r>
          </w:p>
        </w:tc>
        <w:tc>
          <w:tcPr>
            <w:tcW w:w="1985" w:type="dxa"/>
            <w:shd w:val="clear" w:color="auto" w:fill="F2F2F2" w:themeFill="background1" w:themeFillShade="F2"/>
          </w:tcPr>
          <w:p w14:paraId="15FD458F" w14:textId="1B8B6B8C" w:rsidR="00642FE3" w:rsidRPr="00E6110F" w:rsidRDefault="00642FE3" w:rsidP="00854519">
            <w:pPr>
              <w:pStyle w:val="Body"/>
            </w:pPr>
            <w:r w:rsidRPr="00E6110F">
              <w:t>Hydrolysis</w:t>
            </w:r>
          </w:p>
        </w:tc>
      </w:tr>
      <w:tr w:rsidR="00E341BF" w:rsidRPr="00E6110F" w14:paraId="329F065B" w14:textId="77777777" w:rsidTr="006E524E">
        <w:tc>
          <w:tcPr>
            <w:tcW w:w="694" w:type="dxa"/>
          </w:tcPr>
          <w:p w14:paraId="0E82B7EE" w14:textId="77777777" w:rsidR="00E341BF" w:rsidRPr="00E6110F" w:rsidRDefault="00E341BF" w:rsidP="00854519">
            <w:pPr>
              <w:pStyle w:val="Body"/>
            </w:pPr>
            <w:r w:rsidRPr="00E6110F">
              <w:t>1</w:t>
            </w:r>
          </w:p>
        </w:tc>
        <w:tc>
          <w:tcPr>
            <w:tcW w:w="1428" w:type="dxa"/>
          </w:tcPr>
          <w:p w14:paraId="47D6CFF2" w14:textId="77777777" w:rsidR="00E341BF" w:rsidRPr="00E6110F" w:rsidRDefault="00E341BF" w:rsidP="00854519">
            <w:pPr>
              <w:pStyle w:val="Body"/>
            </w:pPr>
            <w:r w:rsidRPr="00E6110F">
              <w:t>2-methylphenol (o-cresol)</w:t>
            </w:r>
          </w:p>
        </w:tc>
        <w:tc>
          <w:tcPr>
            <w:tcW w:w="1134" w:type="dxa"/>
          </w:tcPr>
          <w:p w14:paraId="16F45062" w14:textId="77777777" w:rsidR="00E341BF" w:rsidRPr="00E6110F" w:rsidRDefault="00E341BF" w:rsidP="00854519">
            <w:pPr>
              <w:pStyle w:val="Body"/>
            </w:pPr>
            <w:r w:rsidRPr="00E6110F">
              <w:t>95-48-7</w:t>
            </w:r>
          </w:p>
        </w:tc>
        <w:tc>
          <w:tcPr>
            <w:tcW w:w="1417" w:type="dxa"/>
          </w:tcPr>
          <w:p w14:paraId="35BC6E6F" w14:textId="6C8F5A87" w:rsidR="00E341BF" w:rsidRPr="002D3A0D" w:rsidRDefault="00724C0D" w:rsidP="00181998">
            <w:pPr>
              <w:pStyle w:val="Body"/>
            </w:pPr>
            <w:r w:rsidRPr="002D3A0D">
              <w:t>1.34</w:t>
            </w:r>
            <w:r w:rsidR="00BB6170" w:rsidRPr="002D3A0D">
              <w:t xml:space="preserve"> – 2.39</w:t>
            </w:r>
          </w:p>
        </w:tc>
        <w:tc>
          <w:tcPr>
            <w:tcW w:w="1134" w:type="dxa"/>
          </w:tcPr>
          <w:p w14:paraId="24FB3675" w14:textId="526B0007" w:rsidR="00E341BF" w:rsidRPr="002D3A0D" w:rsidRDefault="00E341BF" w:rsidP="00854519">
            <w:pPr>
              <w:pStyle w:val="Body"/>
            </w:pPr>
            <w:r w:rsidRPr="002D3A0D">
              <w:t>20-1</w:t>
            </w:r>
            <w:r w:rsidR="005510E8">
              <w:t>,</w:t>
            </w:r>
            <w:r w:rsidRPr="002D3A0D">
              <w:t>386</w:t>
            </w:r>
          </w:p>
        </w:tc>
        <w:tc>
          <w:tcPr>
            <w:tcW w:w="992" w:type="dxa"/>
          </w:tcPr>
          <w:p w14:paraId="5464ECDC" w14:textId="22699A15" w:rsidR="00E341BF" w:rsidRPr="002D3A0D" w:rsidRDefault="005F7598" w:rsidP="00854519">
            <w:pPr>
              <w:pStyle w:val="Body"/>
            </w:pPr>
            <w:r w:rsidRPr="002D3A0D">
              <w:t>1.6-5.1</w:t>
            </w:r>
          </w:p>
        </w:tc>
        <w:tc>
          <w:tcPr>
            <w:tcW w:w="1985" w:type="dxa"/>
          </w:tcPr>
          <w:p w14:paraId="18E55FF5" w14:textId="78125350" w:rsidR="00E341BF" w:rsidRPr="002D3A0D" w:rsidRDefault="008E5B76" w:rsidP="00854519">
            <w:pPr>
              <w:pStyle w:val="Body"/>
            </w:pPr>
            <w:r w:rsidRPr="002D3A0D">
              <w:t>n.a.</w:t>
            </w:r>
          </w:p>
        </w:tc>
      </w:tr>
      <w:tr w:rsidR="00E341BF" w:rsidRPr="00E6110F" w14:paraId="458ED4E9" w14:textId="77777777" w:rsidTr="006E524E">
        <w:tc>
          <w:tcPr>
            <w:tcW w:w="694" w:type="dxa"/>
          </w:tcPr>
          <w:p w14:paraId="19C3AE6C" w14:textId="77777777" w:rsidR="00E341BF" w:rsidRPr="00E6110F" w:rsidRDefault="00E341BF" w:rsidP="00854519">
            <w:pPr>
              <w:pStyle w:val="Body"/>
            </w:pPr>
            <w:r w:rsidRPr="00E6110F">
              <w:t>2</w:t>
            </w:r>
          </w:p>
        </w:tc>
        <w:tc>
          <w:tcPr>
            <w:tcW w:w="1428" w:type="dxa"/>
          </w:tcPr>
          <w:p w14:paraId="03072527" w14:textId="77777777" w:rsidR="00E341BF" w:rsidRPr="00E6110F" w:rsidRDefault="00E341BF" w:rsidP="00854519">
            <w:pPr>
              <w:pStyle w:val="Body"/>
            </w:pPr>
            <w:r w:rsidRPr="00E6110F">
              <w:t>Naphthalene</w:t>
            </w:r>
          </w:p>
        </w:tc>
        <w:tc>
          <w:tcPr>
            <w:tcW w:w="1134" w:type="dxa"/>
          </w:tcPr>
          <w:p w14:paraId="4428FA52" w14:textId="77777777" w:rsidR="00E341BF" w:rsidRPr="00E6110F" w:rsidRDefault="00E341BF" w:rsidP="00854519">
            <w:pPr>
              <w:pStyle w:val="Body"/>
            </w:pPr>
            <w:r w:rsidRPr="00E6110F">
              <w:t>91-20-3</w:t>
            </w:r>
          </w:p>
        </w:tc>
        <w:tc>
          <w:tcPr>
            <w:tcW w:w="1417" w:type="dxa"/>
          </w:tcPr>
          <w:p w14:paraId="7317FB9F" w14:textId="72FE7AA1" w:rsidR="00E341BF" w:rsidRPr="002D3A0D" w:rsidRDefault="005F7598" w:rsidP="005F7598">
            <w:pPr>
              <w:pStyle w:val="Body"/>
            </w:pPr>
            <w:r w:rsidRPr="002D3A0D">
              <w:t xml:space="preserve">1.23 </w:t>
            </w:r>
            <w:r w:rsidR="00E341BF" w:rsidRPr="002D3A0D">
              <w:t xml:space="preserve">– </w:t>
            </w:r>
            <w:r w:rsidRPr="002D3A0D">
              <w:t>4.43</w:t>
            </w:r>
          </w:p>
        </w:tc>
        <w:tc>
          <w:tcPr>
            <w:tcW w:w="1134" w:type="dxa"/>
          </w:tcPr>
          <w:p w14:paraId="214388BA" w14:textId="3B4F4E0E" w:rsidR="00E341BF" w:rsidRPr="002D3A0D" w:rsidRDefault="00085E9E" w:rsidP="00085E9E">
            <w:pPr>
              <w:pStyle w:val="Body"/>
            </w:pPr>
            <w:r w:rsidRPr="002D3A0D">
              <w:t xml:space="preserve">96 </w:t>
            </w:r>
            <w:r w:rsidR="00B5383B" w:rsidRPr="002D3A0D">
              <w:t>–</w:t>
            </w:r>
            <w:r w:rsidRPr="002D3A0D">
              <w:t xml:space="preserve"> n</w:t>
            </w:r>
            <w:r w:rsidR="00B5383B" w:rsidRPr="002D3A0D">
              <w:t>bd</w:t>
            </w:r>
          </w:p>
        </w:tc>
        <w:tc>
          <w:tcPr>
            <w:tcW w:w="992" w:type="dxa"/>
          </w:tcPr>
          <w:p w14:paraId="36E11DAA" w14:textId="4F52968F" w:rsidR="00E341BF" w:rsidRPr="002D3A0D" w:rsidRDefault="005F7598" w:rsidP="00854519">
            <w:pPr>
              <w:pStyle w:val="Body"/>
            </w:pPr>
            <w:r w:rsidRPr="002D3A0D">
              <w:t>2.1</w:t>
            </w:r>
            <w:r w:rsidR="00AA0136" w:rsidRPr="002D3A0D">
              <w:t>-</w:t>
            </w:r>
            <w:r w:rsidRPr="002D3A0D">
              <w:t>88</w:t>
            </w:r>
          </w:p>
        </w:tc>
        <w:tc>
          <w:tcPr>
            <w:tcW w:w="1985" w:type="dxa"/>
          </w:tcPr>
          <w:p w14:paraId="7A1CFFD0" w14:textId="10F964B6" w:rsidR="00E341BF" w:rsidRPr="002D3A0D" w:rsidRDefault="008E5B76" w:rsidP="00854519">
            <w:pPr>
              <w:pStyle w:val="Body"/>
            </w:pPr>
            <w:r w:rsidRPr="002D3A0D">
              <w:t>n.a.</w:t>
            </w:r>
          </w:p>
        </w:tc>
      </w:tr>
      <w:tr w:rsidR="00E341BF" w:rsidRPr="00E6110F" w14:paraId="4FA448F5" w14:textId="77777777" w:rsidTr="006E524E">
        <w:tc>
          <w:tcPr>
            <w:tcW w:w="694" w:type="dxa"/>
          </w:tcPr>
          <w:p w14:paraId="138ABC59" w14:textId="77777777" w:rsidR="00E341BF" w:rsidRPr="00E6110F" w:rsidRDefault="00E341BF" w:rsidP="00854519">
            <w:pPr>
              <w:pStyle w:val="Body"/>
            </w:pPr>
            <w:r w:rsidRPr="00E6110F">
              <w:t>3</w:t>
            </w:r>
          </w:p>
        </w:tc>
        <w:tc>
          <w:tcPr>
            <w:tcW w:w="1428" w:type="dxa"/>
          </w:tcPr>
          <w:p w14:paraId="4C6863AB" w14:textId="77777777" w:rsidR="00E341BF" w:rsidRPr="00E6110F" w:rsidRDefault="00E341BF" w:rsidP="00854519">
            <w:pPr>
              <w:pStyle w:val="Body"/>
            </w:pPr>
            <w:r w:rsidRPr="00E6110F">
              <w:t>Limonene</w:t>
            </w:r>
          </w:p>
        </w:tc>
        <w:tc>
          <w:tcPr>
            <w:tcW w:w="1134" w:type="dxa"/>
          </w:tcPr>
          <w:p w14:paraId="5BC47FF2" w14:textId="77777777" w:rsidR="00E341BF" w:rsidRPr="00E6110F" w:rsidRDefault="00E341BF" w:rsidP="00854519">
            <w:pPr>
              <w:pStyle w:val="Body"/>
            </w:pPr>
            <w:r w:rsidRPr="00E6110F">
              <w:t>138-86-3</w:t>
            </w:r>
          </w:p>
        </w:tc>
        <w:tc>
          <w:tcPr>
            <w:tcW w:w="1417" w:type="dxa"/>
          </w:tcPr>
          <w:p w14:paraId="1C6D452D" w14:textId="5EDE63DD" w:rsidR="00E341BF" w:rsidRPr="002D3A0D" w:rsidRDefault="00E341BF" w:rsidP="00854519">
            <w:pPr>
              <w:pStyle w:val="Body"/>
            </w:pPr>
            <w:r w:rsidRPr="002D3A0D">
              <w:t xml:space="preserve">3.00 </w:t>
            </w:r>
            <w:r w:rsidR="005F7598" w:rsidRPr="002D3A0D">
              <w:t>– 4.77</w:t>
            </w:r>
          </w:p>
        </w:tc>
        <w:tc>
          <w:tcPr>
            <w:tcW w:w="1134" w:type="dxa"/>
          </w:tcPr>
          <w:p w14:paraId="7284386E" w14:textId="6154AC80" w:rsidR="00E341BF" w:rsidRPr="002D3A0D" w:rsidRDefault="008E5B76" w:rsidP="005D3C37">
            <w:pPr>
              <w:pStyle w:val="Body"/>
            </w:pPr>
            <w:r w:rsidRPr="002D3A0D">
              <w:t>n.</w:t>
            </w:r>
            <w:r w:rsidR="002D3A0D">
              <w:t>a</w:t>
            </w:r>
            <w:r w:rsidRPr="002D3A0D">
              <w:t>.</w:t>
            </w:r>
          </w:p>
        </w:tc>
        <w:tc>
          <w:tcPr>
            <w:tcW w:w="992" w:type="dxa"/>
          </w:tcPr>
          <w:p w14:paraId="5575DA02" w14:textId="754E3CE1" w:rsidR="00E341BF" w:rsidRPr="002D3A0D" w:rsidRDefault="008E5B76" w:rsidP="00854519">
            <w:pPr>
              <w:pStyle w:val="Body"/>
            </w:pPr>
            <w:r w:rsidRPr="002D3A0D">
              <w:t>2.3-18</w:t>
            </w:r>
          </w:p>
        </w:tc>
        <w:tc>
          <w:tcPr>
            <w:tcW w:w="1985" w:type="dxa"/>
          </w:tcPr>
          <w:p w14:paraId="27039628" w14:textId="55828883" w:rsidR="00E341BF" w:rsidRPr="002D3A0D" w:rsidRDefault="008E5B76" w:rsidP="00854519">
            <w:pPr>
              <w:pStyle w:val="Body"/>
            </w:pPr>
            <w:r w:rsidRPr="002D3A0D">
              <w:t>n.a.</w:t>
            </w:r>
          </w:p>
        </w:tc>
      </w:tr>
      <w:tr w:rsidR="00E341BF" w:rsidRPr="00E6110F" w14:paraId="037DEC49" w14:textId="77777777" w:rsidTr="006E524E">
        <w:tc>
          <w:tcPr>
            <w:tcW w:w="694" w:type="dxa"/>
          </w:tcPr>
          <w:p w14:paraId="6C8FC355" w14:textId="77777777" w:rsidR="00E341BF" w:rsidRPr="00E6110F" w:rsidRDefault="00E341BF" w:rsidP="00854519">
            <w:pPr>
              <w:pStyle w:val="Body"/>
            </w:pPr>
            <w:r w:rsidRPr="00E6110F">
              <w:t>4</w:t>
            </w:r>
          </w:p>
        </w:tc>
        <w:tc>
          <w:tcPr>
            <w:tcW w:w="1428" w:type="dxa"/>
          </w:tcPr>
          <w:p w14:paraId="62457609" w14:textId="77777777" w:rsidR="00E341BF" w:rsidRPr="00E6110F" w:rsidRDefault="00E341BF" w:rsidP="00854519">
            <w:pPr>
              <w:pStyle w:val="Body"/>
            </w:pPr>
            <w:r w:rsidRPr="00E6110F">
              <w:t>HMX</w:t>
            </w:r>
          </w:p>
        </w:tc>
        <w:tc>
          <w:tcPr>
            <w:tcW w:w="1134" w:type="dxa"/>
          </w:tcPr>
          <w:p w14:paraId="1DCE0F50" w14:textId="77777777" w:rsidR="00E341BF" w:rsidRPr="00E6110F" w:rsidRDefault="00900E5C" w:rsidP="00854519">
            <w:pPr>
              <w:pStyle w:val="Body"/>
            </w:pPr>
            <w:hyperlink r:id="rId177" w:history="1">
              <w:r w:rsidR="00E341BF" w:rsidRPr="00E6110F">
                <w:t>2691-41-0</w:t>
              </w:r>
            </w:hyperlink>
          </w:p>
        </w:tc>
        <w:tc>
          <w:tcPr>
            <w:tcW w:w="1417" w:type="dxa"/>
          </w:tcPr>
          <w:p w14:paraId="052E33F4" w14:textId="7AA7E7B2" w:rsidR="00E341BF" w:rsidRPr="002D3A0D" w:rsidRDefault="005F7598" w:rsidP="00854519">
            <w:pPr>
              <w:pStyle w:val="Body"/>
            </w:pPr>
            <w:r w:rsidRPr="002D3A0D">
              <w:t>1.50 – 3.1</w:t>
            </w:r>
            <w:r w:rsidR="00A66C09" w:rsidRPr="002D3A0D">
              <w:t>0</w:t>
            </w:r>
          </w:p>
        </w:tc>
        <w:tc>
          <w:tcPr>
            <w:tcW w:w="1134" w:type="dxa"/>
          </w:tcPr>
          <w:p w14:paraId="363C1D29" w14:textId="7F888FED" w:rsidR="00E341BF" w:rsidRPr="002D3A0D" w:rsidRDefault="00917944" w:rsidP="00854519">
            <w:pPr>
              <w:pStyle w:val="Body"/>
            </w:pPr>
            <w:r w:rsidRPr="002D3A0D">
              <w:t>2.3</w:t>
            </w:r>
          </w:p>
        </w:tc>
        <w:tc>
          <w:tcPr>
            <w:tcW w:w="992" w:type="dxa"/>
          </w:tcPr>
          <w:p w14:paraId="3B376D6F" w14:textId="510DB9E5" w:rsidR="00E341BF" w:rsidRPr="002D3A0D" w:rsidRDefault="00917944" w:rsidP="00854519">
            <w:pPr>
              <w:pStyle w:val="Body"/>
            </w:pPr>
            <w:r w:rsidRPr="002D3A0D">
              <w:t>15</w:t>
            </w:r>
          </w:p>
        </w:tc>
        <w:tc>
          <w:tcPr>
            <w:tcW w:w="1985" w:type="dxa"/>
          </w:tcPr>
          <w:p w14:paraId="588BBA7B" w14:textId="1F1923F5" w:rsidR="00E341BF" w:rsidRPr="002D3A0D" w:rsidRDefault="000D08C2" w:rsidP="00854519">
            <w:pPr>
              <w:pStyle w:val="Body"/>
            </w:pPr>
            <w:r w:rsidRPr="002D3A0D">
              <w:t>21.1-</w:t>
            </w:r>
            <w:r w:rsidR="00C526FA" w:rsidRPr="002D3A0D">
              <w:t>31.2</w:t>
            </w:r>
          </w:p>
        </w:tc>
      </w:tr>
      <w:tr w:rsidR="00E341BF" w:rsidRPr="00E6110F" w14:paraId="067E23F1" w14:textId="77777777" w:rsidTr="006E524E">
        <w:tc>
          <w:tcPr>
            <w:tcW w:w="694" w:type="dxa"/>
          </w:tcPr>
          <w:p w14:paraId="10DE59B4" w14:textId="77777777" w:rsidR="00E341BF" w:rsidRPr="00E6110F" w:rsidRDefault="00E341BF" w:rsidP="00854519">
            <w:pPr>
              <w:pStyle w:val="Body"/>
            </w:pPr>
            <w:r w:rsidRPr="00E6110F">
              <w:t>5</w:t>
            </w:r>
          </w:p>
        </w:tc>
        <w:tc>
          <w:tcPr>
            <w:tcW w:w="1428" w:type="dxa"/>
          </w:tcPr>
          <w:p w14:paraId="3D24162C" w14:textId="77777777" w:rsidR="00E341BF" w:rsidRPr="00E6110F" w:rsidRDefault="00E341BF" w:rsidP="00854519">
            <w:pPr>
              <w:pStyle w:val="Body"/>
            </w:pPr>
            <w:r w:rsidRPr="00E6110F">
              <w:t>2-butoxyethanol</w:t>
            </w:r>
          </w:p>
        </w:tc>
        <w:tc>
          <w:tcPr>
            <w:tcW w:w="1134" w:type="dxa"/>
          </w:tcPr>
          <w:p w14:paraId="2C737046" w14:textId="77777777" w:rsidR="00E341BF" w:rsidRPr="00E6110F" w:rsidRDefault="00E341BF" w:rsidP="00854519">
            <w:pPr>
              <w:pStyle w:val="Body"/>
            </w:pPr>
            <w:r w:rsidRPr="00E6110F">
              <w:t>111-76-2</w:t>
            </w:r>
          </w:p>
        </w:tc>
        <w:tc>
          <w:tcPr>
            <w:tcW w:w="1417" w:type="dxa"/>
          </w:tcPr>
          <w:p w14:paraId="63A7028C" w14:textId="7820D366" w:rsidR="00E341BF" w:rsidRPr="002D3A0D" w:rsidRDefault="00E341BF" w:rsidP="00854519">
            <w:pPr>
              <w:pStyle w:val="Body"/>
            </w:pPr>
            <w:r w:rsidRPr="002D3A0D">
              <w:t>0.46 - 0.90</w:t>
            </w:r>
          </w:p>
        </w:tc>
        <w:tc>
          <w:tcPr>
            <w:tcW w:w="1134" w:type="dxa"/>
          </w:tcPr>
          <w:p w14:paraId="63095A1D" w14:textId="6404BA8C" w:rsidR="00E341BF" w:rsidRPr="002D3A0D" w:rsidRDefault="005D3C37" w:rsidP="00854519">
            <w:pPr>
              <w:pStyle w:val="Body"/>
            </w:pPr>
            <w:r w:rsidRPr="002D3A0D">
              <w:t>28-112</w:t>
            </w:r>
          </w:p>
        </w:tc>
        <w:tc>
          <w:tcPr>
            <w:tcW w:w="992" w:type="dxa"/>
          </w:tcPr>
          <w:p w14:paraId="1673A0BE" w14:textId="77777777" w:rsidR="005D3C37" w:rsidRPr="002D3A0D" w:rsidRDefault="005D3C37" w:rsidP="00854519">
            <w:pPr>
              <w:pStyle w:val="Body"/>
            </w:pPr>
            <w:r w:rsidRPr="002D3A0D">
              <w:t>7-2</w:t>
            </w:r>
            <w:r w:rsidR="008E5B76" w:rsidRPr="002D3A0D">
              <w:t>8</w:t>
            </w:r>
            <w:r w:rsidRPr="002D3A0D">
              <w:rPr>
                <w:vertAlign w:val="superscript"/>
              </w:rPr>
              <w:t>#</w:t>
            </w:r>
          </w:p>
          <w:p w14:paraId="78D2F05C" w14:textId="6CEA5830" w:rsidR="00E341BF" w:rsidRPr="002D3A0D" w:rsidRDefault="005D3C37" w:rsidP="00854519">
            <w:pPr>
              <w:pStyle w:val="Body"/>
            </w:pPr>
            <w:r w:rsidRPr="002D3A0D">
              <w:t>14-56</w:t>
            </w:r>
            <w:r w:rsidRPr="002D3A0D">
              <w:rPr>
                <w:vertAlign w:val="superscript"/>
              </w:rPr>
              <w:t>$</w:t>
            </w:r>
          </w:p>
        </w:tc>
        <w:tc>
          <w:tcPr>
            <w:tcW w:w="1985" w:type="dxa"/>
          </w:tcPr>
          <w:p w14:paraId="19199BE3" w14:textId="15EB4EF7" w:rsidR="00E341BF" w:rsidRPr="002D3A0D" w:rsidRDefault="008E5B76" w:rsidP="00854519">
            <w:pPr>
              <w:pStyle w:val="Body"/>
            </w:pPr>
            <w:r w:rsidRPr="002D3A0D">
              <w:t>n.a.</w:t>
            </w:r>
          </w:p>
        </w:tc>
      </w:tr>
      <w:tr w:rsidR="00D563A2" w:rsidRPr="00E6110F" w14:paraId="6B5EC14B" w14:textId="77777777" w:rsidTr="006E524E">
        <w:tc>
          <w:tcPr>
            <w:tcW w:w="694" w:type="dxa"/>
          </w:tcPr>
          <w:p w14:paraId="30358B2D" w14:textId="77777777" w:rsidR="00D563A2" w:rsidRPr="00E6110F" w:rsidRDefault="00D563A2" w:rsidP="00854519">
            <w:pPr>
              <w:pStyle w:val="Body"/>
            </w:pPr>
            <w:r w:rsidRPr="00E6110F">
              <w:t>6</w:t>
            </w:r>
          </w:p>
        </w:tc>
        <w:tc>
          <w:tcPr>
            <w:tcW w:w="1428" w:type="dxa"/>
          </w:tcPr>
          <w:p w14:paraId="112900C9" w14:textId="77777777" w:rsidR="00D563A2" w:rsidRPr="00E6110F" w:rsidRDefault="00D563A2" w:rsidP="00854519">
            <w:pPr>
              <w:pStyle w:val="Body"/>
            </w:pPr>
            <w:r w:rsidRPr="00E6110F">
              <w:t>Bronopol</w:t>
            </w:r>
          </w:p>
        </w:tc>
        <w:tc>
          <w:tcPr>
            <w:tcW w:w="1134" w:type="dxa"/>
          </w:tcPr>
          <w:p w14:paraId="6D0FE4C6" w14:textId="77777777" w:rsidR="00D563A2" w:rsidRPr="00E6110F" w:rsidRDefault="00D563A2" w:rsidP="00854519">
            <w:pPr>
              <w:pStyle w:val="Body"/>
            </w:pPr>
            <w:r w:rsidRPr="00E6110F">
              <w:t>52-51-7</w:t>
            </w:r>
          </w:p>
        </w:tc>
        <w:tc>
          <w:tcPr>
            <w:tcW w:w="1417" w:type="dxa"/>
          </w:tcPr>
          <w:p w14:paraId="15C88442" w14:textId="4528D707" w:rsidR="00D563A2" w:rsidRPr="002D3A0D" w:rsidRDefault="000E57DC" w:rsidP="00854519">
            <w:pPr>
              <w:pStyle w:val="Body"/>
            </w:pPr>
            <w:r w:rsidRPr="002D3A0D">
              <w:t>-0.03 – 3.15</w:t>
            </w:r>
          </w:p>
        </w:tc>
        <w:tc>
          <w:tcPr>
            <w:tcW w:w="1134" w:type="dxa"/>
          </w:tcPr>
          <w:p w14:paraId="61477455" w14:textId="71E5636E" w:rsidR="00D563A2" w:rsidRPr="002D3A0D" w:rsidRDefault="00D563A2" w:rsidP="00854519">
            <w:pPr>
              <w:pStyle w:val="Body"/>
            </w:pPr>
            <w:r w:rsidRPr="002D3A0D">
              <w:t>n.d.</w:t>
            </w:r>
          </w:p>
        </w:tc>
        <w:tc>
          <w:tcPr>
            <w:tcW w:w="992" w:type="dxa"/>
          </w:tcPr>
          <w:p w14:paraId="0D46D851" w14:textId="6734B44F" w:rsidR="00D563A2" w:rsidRPr="002D3A0D" w:rsidRDefault="00D563A2" w:rsidP="00854519">
            <w:pPr>
              <w:pStyle w:val="Body"/>
            </w:pPr>
            <w:r w:rsidRPr="002D3A0D">
              <w:t>n.</w:t>
            </w:r>
            <w:r w:rsidR="009C79A7">
              <w:t>d</w:t>
            </w:r>
            <w:r w:rsidRPr="002D3A0D">
              <w:t>.</w:t>
            </w:r>
          </w:p>
        </w:tc>
        <w:tc>
          <w:tcPr>
            <w:tcW w:w="1985" w:type="dxa"/>
          </w:tcPr>
          <w:p w14:paraId="4F0E7919" w14:textId="77777777" w:rsidR="00D563A2" w:rsidRPr="002D3A0D" w:rsidRDefault="00D563A2" w:rsidP="00A66C09">
            <w:pPr>
              <w:pStyle w:val="Body"/>
            </w:pPr>
            <w:r w:rsidRPr="002D3A0D">
              <w:t xml:space="preserve">At 20 ⁰C: 18y </w:t>
            </w:r>
            <w:r w:rsidR="00A66C09" w:rsidRPr="002D3A0D">
              <w:t>(</w:t>
            </w:r>
            <w:r w:rsidRPr="002D3A0D">
              <w:t>pH4</w:t>
            </w:r>
            <w:r w:rsidR="00A66C09" w:rsidRPr="002D3A0D">
              <w:t>)</w:t>
            </w:r>
            <w:r w:rsidRPr="002D3A0D">
              <w:t xml:space="preserve">, 1.5y </w:t>
            </w:r>
            <w:r w:rsidR="00A66C09" w:rsidRPr="002D3A0D">
              <w:t>(</w:t>
            </w:r>
            <w:r w:rsidRPr="002D3A0D">
              <w:t>pH6</w:t>
            </w:r>
            <w:r w:rsidR="00A66C09" w:rsidRPr="002D3A0D">
              <w:t>)</w:t>
            </w:r>
            <w:r w:rsidRPr="002D3A0D">
              <w:t xml:space="preserve">, 2 months </w:t>
            </w:r>
            <w:r w:rsidR="00A66C09" w:rsidRPr="002D3A0D">
              <w:t>(</w:t>
            </w:r>
            <w:r w:rsidRPr="002D3A0D">
              <w:t>pH8</w:t>
            </w:r>
            <w:r w:rsidR="00A66C09" w:rsidRPr="002D3A0D">
              <w:t>)</w:t>
            </w:r>
            <w:r w:rsidRPr="002D3A0D">
              <w:t xml:space="preserve">; At 60⁰C: 4days </w:t>
            </w:r>
            <w:r w:rsidR="00A66C09" w:rsidRPr="002D3A0D">
              <w:t>(</w:t>
            </w:r>
            <w:r w:rsidRPr="002D3A0D">
              <w:t>pH4</w:t>
            </w:r>
            <w:r w:rsidR="00A66C09" w:rsidRPr="002D3A0D">
              <w:t>)</w:t>
            </w:r>
            <w:r w:rsidRPr="002D3A0D">
              <w:t xml:space="preserve">, 3h </w:t>
            </w:r>
            <w:r w:rsidR="00A66C09" w:rsidRPr="002D3A0D">
              <w:t>(</w:t>
            </w:r>
            <w:r w:rsidRPr="002D3A0D">
              <w:t>pH8</w:t>
            </w:r>
            <w:r w:rsidR="00A66C09" w:rsidRPr="002D3A0D">
              <w:t>)</w:t>
            </w:r>
          </w:p>
          <w:p w14:paraId="4886830F" w14:textId="05C05E6E" w:rsidR="00A66C09" w:rsidRPr="002D3A0D" w:rsidRDefault="00C270D0" w:rsidP="00A66C09">
            <w:pPr>
              <w:pStyle w:val="Body"/>
            </w:pPr>
            <w:r>
              <w:t>0.094-0.13 (surface waters</w:t>
            </w:r>
            <w:r w:rsidR="00A66C09" w:rsidRPr="002D3A0D">
              <w:t>,</w:t>
            </w:r>
            <w:r>
              <w:t xml:space="preserve"> </w:t>
            </w:r>
            <w:r w:rsidR="00A66C09" w:rsidRPr="002D3A0D">
              <w:t>pH 7.4-7.7)</w:t>
            </w:r>
          </w:p>
        </w:tc>
      </w:tr>
      <w:tr w:rsidR="00D563A2" w:rsidRPr="00E6110F" w14:paraId="2FA2B304" w14:textId="77777777" w:rsidTr="006E524E">
        <w:tc>
          <w:tcPr>
            <w:tcW w:w="694" w:type="dxa"/>
          </w:tcPr>
          <w:p w14:paraId="376811EE" w14:textId="5B6A25B9" w:rsidR="00D563A2" w:rsidRPr="00E6110F" w:rsidRDefault="00D1796D" w:rsidP="00D1796D">
            <w:pPr>
              <w:pStyle w:val="Body"/>
            </w:pPr>
            <w:r>
              <w:t>7</w:t>
            </w:r>
          </w:p>
        </w:tc>
        <w:tc>
          <w:tcPr>
            <w:tcW w:w="1428" w:type="dxa"/>
          </w:tcPr>
          <w:p w14:paraId="2E84973A" w14:textId="754607FE" w:rsidR="00D563A2" w:rsidRPr="00E6110F" w:rsidRDefault="00D563A2" w:rsidP="00854519">
            <w:pPr>
              <w:pStyle w:val="Body"/>
            </w:pPr>
            <w:r w:rsidRPr="00E6110F">
              <w:t>Methyl-chloro-isothiazolinone</w:t>
            </w:r>
            <w:r w:rsidR="005D3C37">
              <w:t xml:space="preserve"> (MCI)</w:t>
            </w:r>
          </w:p>
        </w:tc>
        <w:tc>
          <w:tcPr>
            <w:tcW w:w="1134" w:type="dxa"/>
          </w:tcPr>
          <w:p w14:paraId="2FAA55A7" w14:textId="77777777" w:rsidR="00D563A2" w:rsidRPr="00E6110F" w:rsidRDefault="00D563A2" w:rsidP="00854519">
            <w:pPr>
              <w:pStyle w:val="Body"/>
            </w:pPr>
            <w:r w:rsidRPr="00E6110F">
              <w:t>26172-55-4</w:t>
            </w:r>
          </w:p>
          <w:p w14:paraId="34A4A962" w14:textId="77777777" w:rsidR="00D563A2" w:rsidRPr="00E6110F" w:rsidRDefault="00D563A2" w:rsidP="00854519">
            <w:pPr>
              <w:pStyle w:val="Body"/>
            </w:pPr>
          </w:p>
        </w:tc>
        <w:tc>
          <w:tcPr>
            <w:tcW w:w="1417" w:type="dxa"/>
          </w:tcPr>
          <w:p w14:paraId="2C02D38B" w14:textId="77777777" w:rsidR="00D563A2" w:rsidRPr="002D3A0D" w:rsidRDefault="00D563A2" w:rsidP="00854519">
            <w:pPr>
              <w:pStyle w:val="Body"/>
            </w:pPr>
            <w:r w:rsidRPr="002D3A0D">
              <w:t>1.48 - 2.16</w:t>
            </w:r>
          </w:p>
        </w:tc>
        <w:tc>
          <w:tcPr>
            <w:tcW w:w="1134" w:type="dxa"/>
          </w:tcPr>
          <w:p w14:paraId="27D8EB71" w14:textId="00C00ACE" w:rsidR="00D563A2" w:rsidRPr="002D3A0D" w:rsidRDefault="00D563A2" w:rsidP="00D563A2">
            <w:pPr>
              <w:pStyle w:val="Body"/>
              <w:rPr>
                <w:vertAlign w:val="superscript"/>
              </w:rPr>
            </w:pPr>
            <w:r w:rsidRPr="002D3A0D">
              <w:t>5</w:t>
            </w:r>
          </w:p>
          <w:p w14:paraId="1F95EBC7" w14:textId="77777777" w:rsidR="00D563A2" w:rsidRPr="002D3A0D" w:rsidRDefault="00D563A2" w:rsidP="00854519">
            <w:pPr>
              <w:pStyle w:val="Body"/>
            </w:pPr>
          </w:p>
        </w:tc>
        <w:tc>
          <w:tcPr>
            <w:tcW w:w="992" w:type="dxa"/>
          </w:tcPr>
          <w:p w14:paraId="5582FF71" w14:textId="05050BFC" w:rsidR="00D563A2" w:rsidRPr="002D3A0D" w:rsidRDefault="0053655A" w:rsidP="00854519">
            <w:pPr>
              <w:pStyle w:val="Body"/>
            </w:pPr>
            <w:r w:rsidRPr="002D3A0D">
              <w:t>0.21</w:t>
            </w:r>
          </w:p>
        </w:tc>
        <w:tc>
          <w:tcPr>
            <w:tcW w:w="1985" w:type="dxa"/>
          </w:tcPr>
          <w:p w14:paraId="04BBB1DA" w14:textId="056479F9" w:rsidR="00D563A2" w:rsidRPr="002D3A0D" w:rsidRDefault="00D563A2" w:rsidP="00A66C09">
            <w:pPr>
              <w:pStyle w:val="Body"/>
            </w:pPr>
            <w:r w:rsidRPr="002D3A0D">
              <w:t xml:space="preserve">22 </w:t>
            </w:r>
            <w:r w:rsidR="00A66C09" w:rsidRPr="002D3A0D">
              <w:t>(</w:t>
            </w:r>
            <w:r w:rsidRPr="002D3A0D">
              <w:t>pH9</w:t>
            </w:r>
            <w:r w:rsidR="00A66C09" w:rsidRPr="002D3A0D">
              <w:t>,</w:t>
            </w:r>
            <w:r w:rsidRPr="002D3A0D">
              <w:t xml:space="preserve"> 25⁰C)</w:t>
            </w:r>
          </w:p>
        </w:tc>
      </w:tr>
      <w:tr w:rsidR="008E5B76" w:rsidRPr="00E6110F" w14:paraId="390BEF1C" w14:textId="77777777" w:rsidTr="006E524E">
        <w:tc>
          <w:tcPr>
            <w:tcW w:w="694" w:type="dxa"/>
            <w:tcBorders>
              <w:bottom w:val="single" w:sz="4" w:space="0" w:color="auto"/>
            </w:tcBorders>
          </w:tcPr>
          <w:p w14:paraId="0FBA6A7C" w14:textId="417C0189" w:rsidR="008E5B76" w:rsidRPr="00E6110F" w:rsidRDefault="00D1796D" w:rsidP="00854519">
            <w:pPr>
              <w:pStyle w:val="Body"/>
            </w:pPr>
            <w:r>
              <w:t>8</w:t>
            </w:r>
          </w:p>
        </w:tc>
        <w:tc>
          <w:tcPr>
            <w:tcW w:w="1428" w:type="dxa"/>
            <w:tcBorders>
              <w:bottom w:val="single" w:sz="4" w:space="0" w:color="auto"/>
            </w:tcBorders>
          </w:tcPr>
          <w:p w14:paraId="7D93DC34" w14:textId="77777777" w:rsidR="008E5B76" w:rsidRPr="00E6110F" w:rsidRDefault="008E5B76" w:rsidP="00854519">
            <w:pPr>
              <w:pStyle w:val="Body"/>
            </w:pPr>
            <w:r w:rsidRPr="00E6110F">
              <w:t>Acrylamide polymer</w:t>
            </w:r>
          </w:p>
        </w:tc>
        <w:tc>
          <w:tcPr>
            <w:tcW w:w="1134" w:type="dxa"/>
            <w:tcBorders>
              <w:bottom w:val="single" w:sz="4" w:space="0" w:color="auto"/>
            </w:tcBorders>
          </w:tcPr>
          <w:p w14:paraId="2C73A9D5" w14:textId="77777777" w:rsidR="008E5B76" w:rsidRPr="00E6110F" w:rsidRDefault="008E5B76" w:rsidP="00854519">
            <w:pPr>
              <w:pStyle w:val="Body"/>
            </w:pPr>
            <w:r w:rsidRPr="00E6110F">
              <w:t>9003-05-8</w:t>
            </w:r>
          </w:p>
        </w:tc>
        <w:tc>
          <w:tcPr>
            <w:tcW w:w="1417" w:type="dxa"/>
            <w:tcBorders>
              <w:bottom w:val="single" w:sz="4" w:space="0" w:color="auto"/>
            </w:tcBorders>
          </w:tcPr>
          <w:p w14:paraId="6C471C6E" w14:textId="56CC63D6" w:rsidR="008E5B76" w:rsidRPr="002D3A0D" w:rsidRDefault="008E5B76" w:rsidP="00854519">
            <w:pPr>
              <w:pStyle w:val="Body"/>
            </w:pPr>
            <w:r w:rsidRPr="002D3A0D">
              <w:t>1.40 - 2.60</w:t>
            </w:r>
          </w:p>
        </w:tc>
        <w:tc>
          <w:tcPr>
            <w:tcW w:w="1134" w:type="dxa"/>
            <w:tcBorders>
              <w:bottom w:val="single" w:sz="4" w:space="0" w:color="auto"/>
            </w:tcBorders>
          </w:tcPr>
          <w:p w14:paraId="2086A4BE" w14:textId="009C552C" w:rsidR="008E5B76" w:rsidRPr="002D3A0D" w:rsidRDefault="008E5B76" w:rsidP="00854519">
            <w:pPr>
              <w:pStyle w:val="Body"/>
            </w:pPr>
            <w:r w:rsidRPr="002D3A0D">
              <w:t>n.d.</w:t>
            </w:r>
          </w:p>
        </w:tc>
        <w:tc>
          <w:tcPr>
            <w:tcW w:w="992" w:type="dxa"/>
            <w:tcBorders>
              <w:bottom w:val="single" w:sz="4" w:space="0" w:color="auto"/>
            </w:tcBorders>
          </w:tcPr>
          <w:p w14:paraId="686ACA3D" w14:textId="087C2558" w:rsidR="008E5B76" w:rsidRPr="002D3A0D" w:rsidRDefault="008E5B76" w:rsidP="00854519">
            <w:pPr>
              <w:pStyle w:val="Body"/>
            </w:pPr>
            <w:r w:rsidRPr="002D3A0D">
              <w:t>n.d.</w:t>
            </w:r>
          </w:p>
        </w:tc>
        <w:tc>
          <w:tcPr>
            <w:tcW w:w="1985" w:type="dxa"/>
            <w:tcBorders>
              <w:bottom w:val="single" w:sz="4" w:space="0" w:color="auto"/>
            </w:tcBorders>
          </w:tcPr>
          <w:p w14:paraId="7F1A8FCF" w14:textId="1670983E" w:rsidR="008E5B76" w:rsidRPr="002D3A0D" w:rsidRDefault="00577EA2" w:rsidP="00854519">
            <w:pPr>
              <w:pStyle w:val="Body"/>
            </w:pPr>
            <w:r w:rsidRPr="002D3A0D">
              <w:t>n.a.</w:t>
            </w:r>
            <w:r w:rsidR="00A66C09" w:rsidRPr="002D3A0D">
              <w:t xml:space="preserve"> (likely inert)</w:t>
            </w:r>
          </w:p>
        </w:tc>
      </w:tr>
    </w:tbl>
    <w:p w14:paraId="390EEA48" w14:textId="21E2FA19" w:rsidR="005D3C37" w:rsidRDefault="005D3C37" w:rsidP="005D3C37">
      <w:pPr>
        <w:pStyle w:val="Body"/>
      </w:pPr>
      <w:bookmarkStart w:id="514" w:name="_Ref452901292"/>
      <w:r w:rsidRPr="005D3C37">
        <w:rPr>
          <w:vertAlign w:val="superscript"/>
        </w:rPr>
        <w:t>#</w:t>
      </w:r>
      <w:r>
        <w:t xml:space="preserve"> </w:t>
      </w:r>
      <w:proofErr w:type="gramStart"/>
      <w:r>
        <w:t>surface</w:t>
      </w:r>
      <w:proofErr w:type="gramEnd"/>
      <w:r>
        <w:t xml:space="preserve"> water; </w:t>
      </w:r>
      <w:r w:rsidRPr="005D3C37">
        <w:rPr>
          <w:vertAlign w:val="superscript"/>
        </w:rPr>
        <w:t>$</w:t>
      </w:r>
      <w:r>
        <w:t xml:space="preserve"> groundwater</w:t>
      </w:r>
    </w:p>
    <w:p w14:paraId="58F43845" w14:textId="77777777" w:rsidR="00863721" w:rsidRPr="00E6110F" w:rsidRDefault="00863721" w:rsidP="00863721">
      <w:pPr>
        <w:pStyle w:val="Heading3"/>
        <w:numPr>
          <w:ilvl w:val="3"/>
          <w:numId w:val="1"/>
        </w:numPr>
      </w:pPr>
      <w:bookmarkStart w:id="515" w:name="_Ref469821485"/>
      <w:bookmarkStart w:id="516" w:name="_Toc494444606"/>
      <w:r w:rsidRPr="00E6110F">
        <w:t xml:space="preserve">Adaptation of </w:t>
      </w:r>
      <w:r w:rsidRPr="00E6110F">
        <w:rPr>
          <w:i/>
        </w:rPr>
        <w:t>K</w:t>
      </w:r>
      <w:r w:rsidRPr="00E6110F">
        <w:rPr>
          <w:vertAlign w:val="subscript"/>
        </w:rPr>
        <w:t>OC</w:t>
      </w:r>
      <w:r w:rsidRPr="00E6110F">
        <w:t xml:space="preserve"> and half-life values</w:t>
      </w:r>
      <w:bookmarkEnd w:id="514"/>
      <w:r w:rsidRPr="00E6110F">
        <w:t xml:space="preserve"> for organic substances</w:t>
      </w:r>
      <w:bookmarkEnd w:id="515"/>
      <w:bookmarkEnd w:id="516"/>
    </w:p>
    <w:p w14:paraId="2C1F9F89" w14:textId="5D8D3DF3" w:rsidR="00863721" w:rsidRPr="00E6110F" w:rsidRDefault="00863721" w:rsidP="00863721">
      <w:pPr>
        <w:pStyle w:val="Body"/>
      </w:pPr>
      <w:r w:rsidRPr="00E6110F">
        <w:t xml:space="preserve">The effective value of the attenuation parameters to be used in the model will be determined as a product of a default value from literature and the scaling factor assigned for a particular geological layer in question. A scaling factor for each geological formation will be established based on the nature of the formation and conditions associated with it. For example, the scaling factor for </w:t>
      </w:r>
      <w:r w:rsidRPr="00E6110F">
        <w:rPr>
          <w:i/>
        </w:rPr>
        <w:t>K</w:t>
      </w:r>
      <w:r w:rsidRPr="00E6110F">
        <w:rPr>
          <w:vertAlign w:val="subscript"/>
        </w:rPr>
        <w:t>OC</w:t>
      </w:r>
      <w:r w:rsidRPr="00E6110F">
        <w:t xml:space="preserve"> for an individual geological layer (e.g. sandstone, coal seam) will be based on the type and contents of organic carbon and mineral matter as well as pH, EC and temperature. For coal seams (being highly carbonaceous) a scaling factor &gt; 1.0 may need to be used to allow enhanced sorptivity by coals especially under saline conditions, whereas for a sandstone (which is devoid of organic carbon and may have an alkaline pH) a scaling factor &lt; 1.0 may be assigned</w:t>
      </w:r>
      <w:r w:rsidR="00117C14">
        <w:t xml:space="preserve"> (i.e. reduced sorption relative to the default value)</w:t>
      </w:r>
      <w:r w:rsidRPr="00E6110F">
        <w:t xml:space="preserve">. </w:t>
      </w:r>
    </w:p>
    <w:p w14:paraId="543816E5" w14:textId="5379FDD9" w:rsidR="00863721" w:rsidRPr="00E6110F" w:rsidRDefault="00863721" w:rsidP="00863721">
      <w:pPr>
        <w:pStyle w:val="Body"/>
      </w:pPr>
      <w:r w:rsidRPr="00E6110F">
        <w:t xml:space="preserve">The literature value of half-life will similarly be adapted based on the redox state (aerobic or anaerobic), ambient temperature of the formation and its likely microbial status. Coal seams may be expected to support some microbial activity whereas a sandstone may essentially be devoid of microbial activity. The positive </w:t>
      </w:r>
      <w:r w:rsidR="00117C14">
        <w:t>or</w:t>
      </w:r>
      <w:r w:rsidRPr="00E6110F">
        <w:t xml:space="preserve"> negative effect of temperature on rate of degradation will be taken into account in assigning the scaling factor for a geological formation. Certain compounds that are not expected to degrade under anaerobic conditions may be assigned zero degradation rates in relevant geological layers during model simulations.</w:t>
      </w:r>
    </w:p>
    <w:p w14:paraId="378544FD" w14:textId="0EB47667" w:rsidR="00DD6211" w:rsidRPr="00E6110F" w:rsidRDefault="00DD6211" w:rsidP="00DD6211">
      <w:pPr>
        <w:pStyle w:val="Heading3"/>
        <w:numPr>
          <w:ilvl w:val="4"/>
          <w:numId w:val="1"/>
        </w:numPr>
      </w:pPr>
      <w:bookmarkStart w:id="517" w:name="_Toc494444607"/>
      <w:r w:rsidRPr="00E6110F">
        <w:t>Gunnedah Basin</w:t>
      </w:r>
      <w:bookmarkEnd w:id="517"/>
    </w:p>
    <w:p w14:paraId="726DB227" w14:textId="14CF113B" w:rsidR="00877B73" w:rsidRDefault="00877B73" w:rsidP="00877B73">
      <w:pPr>
        <w:pStyle w:val="Body"/>
      </w:pPr>
      <w:r w:rsidRPr="00E6110F">
        <w:t xml:space="preserve">In the Namoi alluvium layer, the mean soil organic carbon </w:t>
      </w:r>
      <w:r w:rsidR="00F8533E">
        <w:t xml:space="preserve">at the soil surface </w:t>
      </w:r>
      <w:r w:rsidRPr="00E6110F">
        <w:t>was assumed to be ~1% (Ward</w:t>
      </w:r>
      <w:r w:rsidR="008D72CA" w:rsidRPr="00E6110F">
        <w:t xml:space="preserve"> </w:t>
      </w:r>
      <w:r w:rsidRPr="00E6110F">
        <w:t xml:space="preserve">1999). This was expected to be the case until a depth of 1 m where soil organic carbon was expected to </w:t>
      </w:r>
      <w:r w:rsidR="00F8533E">
        <w:t>have decreased to</w:t>
      </w:r>
      <w:r w:rsidRPr="00E6110F">
        <w:t xml:space="preserve"> 10% of th</w:t>
      </w:r>
      <w:r w:rsidR="00F8533E">
        <w:t>e value at the soil surface</w:t>
      </w:r>
      <w:r w:rsidRPr="00E6110F">
        <w:t xml:space="preserve">, or 0.1% organic carbon. </w:t>
      </w:r>
      <w:r w:rsidR="00117C14">
        <w:t xml:space="preserve">The value of 0.1% organic carbon is assumed to be appropriate for the Namoi alluvium. </w:t>
      </w:r>
      <w:r w:rsidRPr="00E6110F">
        <w:t>Alluvial plains soils can contain a mean clay content of 44% (Ward</w:t>
      </w:r>
      <w:r w:rsidR="008D72CA" w:rsidRPr="00E6110F">
        <w:t xml:space="preserve"> </w:t>
      </w:r>
      <w:r w:rsidRPr="00E6110F">
        <w:t xml:space="preserve">1999). Clay in soils can enhance the sorption of organic chemicals which contain cationic functional groups (e.g. amines and nitro) beyond what is predicted from </w:t>
      </w:r>
      <w:r w:rsidRPr="00E6110F">
        <w:rPr>
          <w:i/>
        </w:rPr>
        <w:t>f</w:t>
      </w:r>
      <w:r w:rsidRPr="00E6110F">
        <w:rPr>
          <w:vertAlign w:val="subscript"/>
        </w:rPr>
        <w:t>OC</w:t>
      </w:r>
      <w:r w:rsidRPr="00E6110F">
        <w:t xml:space="preserve">. In this case, however, there was no evidence to suggest that the sorption of HMX or bronopol </w:t>
      </w:r>
      <w:r w:rsidR="00F8533E">
        <w:t xml:space="preserve">(both contain cationic functional groups) </w:t>
      </w:r>
      <w:r w:rsidRPr="00E6110F">
        <w:t xml:space="preserve">would be enhanced through the presence of clay in soils </w:t>
      </w:r>
      <w:r w:rsidRPr="00E6110F">
        <w:fldChar w:fldCharType="begin"/>
      </w:r>
      <w:r w:rsidRPr="00E6110F">
        <w:instrText xml:space="preserve"> ADDIN EN.CITE &lt;EndNote&gt;&lt;Cite&gt;&lt;Author&gt;Sharma&lt;/Author&gt;&lt;Year&gt;2013&lt;/Year&gt;&lt;RecNum&gt;3311&lt;/RecNum&gt;&lt;DisplayText&gt;(Sharma&lt;style face="italic"&gt; et al.&lt;/style&gt; 2013)&lt;/DisplayText&gt;&lt;record&gt;&lt;rec-number&gt;3311&lt;/rec-number&gt;&lt;foreign-keys&gt;&lt;key app="EN" db-id="d09sasz0sd22enex2rk5xrr7a5zsf0rvfsa5" timestamp="1464776464"&gt;3311&lt;/key&gt;&lt;/foreign-keys&gt;&lt;ref-type name="Journal Article"&gt;17&lt;/ref-type&gt;&lt;contributors&gt;&lt;authors&gt;&lt;author&gt;Sharma, P.&lt;/author&gt;&lt;author&gt;Mayes, M. A.&lt;/author&gt;&lt;author&gt;Tang, G.&lt;/author&gt;&lt;/authors&gt;&lt;/contributors&gt;&lt;auth-address&gt;Oak Ridge National Laboratory, Environmental Sciences Division, Oak Ridge, TN, United States&lt;/auth-address&gt;&lt;titles&gt;&lt;title&gt;Role of soil organic carbon and colloids in sorption and transport of TNT, RDX and HMX in training range soils&lt;/title&gt;&lt;secondary-title&gt;Chemosphere&lt;/secondary-title&gt;&lt;/titles&gt;&lt;periodical&gt;&lt;full-title&gt;Chemosphere&lt;/full-title&gt;&lt;abbr-1&gt;Chemosphere&lt;/abbr-1&gt;&lt;/periodical&gt;&lt;pages&gt;993-1000&lt;/pages&gt;&lt;volume&gt;92&lt;/volume&gt;&lt;number&gt;8&lt;/number&gt;&lt;keywords&gt;&lt;keyword&gt;Colloids&lt;/keyword&gt;&lt;keyword&gt;Column experiments&lt;/keyword&gt;&lt;keyword&gt;Explosives&lt;/keyword&gt;&lt;keyword&gt;Operational training range&lt;/keyword&gt;&lt;keyword&gt;Organic carbon&lt;/keyword&gt;&lt;/keywords&gt;&lt;dates&gt;&lt;year&gt;2013&lt;/year&gt;&lt;/dates&gt;&lt;work-type&gt;Article&lt;/work-type&gt;&lt;urls&gt;&lt;related-urls&gt;&lt;url&gt;https://www.scopus.com/inward/record.uri?eid=2-s2.0-84880037817&amp;amp;partnerID=40&amp;amp;md5=e3255443158ce85be1da9693b81c7723&lt;/url&gt;&lt;/related-urls&gt;&lt;/urls&gt;&lt;electronic-resource-num&gt;10.1016/j.chemosphere.2013.03.028&lt;/electronic-resource-num&gt;&lt;remote-database-name&gt;Scopus&lt;/remote-database-name&gt;&lt;/record&gt;&lt;/Cite&gt;&lt;/EndNote&gt;</w:instrText>
      </w:r>
      <w:r w:rsidRPr="00E6110F">
        <w:fldChar w:fldCharType="separate"/>
      </w:r>
      <w:r w:rsidRPr="00E6110F">
        <w:rPr>
          <w:noProof/>
        </w:rPr>
        <w:t>(Sharma et al. 2013)</w:t>
      </w:r>
      <w:r w:rsidRPr="00E6110F">
        <w:fldChar w:fldCharType="end"/>
      </w:r>
      <w:r w:rsidRPr="00E6110F">
        <w:t xml:space="preserve">. </w:t>
      </w:r>
    </w:p>
    <w:p w14:paraId="7D3501F6" w14:textId="426D509E" w:rsidR="00CF1E8F" w:rsidRPr="00E6110F" w:rsidRDefault="00CF1E8F" w:rsidP="00877B73">
      <w:pPr>
        <w:pStyle w:val="Body"/>
      </w:pPr>
      <w:r>
        <w:t>The Pilliga Sandstone and Upper and Lower Maules Creek formation are assumed to have a negligible organic carbon content</w:t>
      </w:r>
      <w:r w:rsidR="00F8533E">
        <w:t xml:space="preserve"> (see Section </w:t>
      </w:r>
      <w:r w:rsidR="00F8533E">
        <w:fldChar w:fldCharType="begin" w:fldLock="1"/>
      </w:r>
      <w:r w:rsidR="00F8533E">
        <w:instrText xml:space="preserve"> REF _Ref470782316 \r \h </w:instrText>
      </w:r>
      <w:r w:rsidR="00F8533E">
        <w:fldChar w:fldCharType="separate"/>
      </w:r>
      <w:r w:rsidR="00335E79">
        <w:t>4.1.1</w:t>
      </w:r>
      <w:r w:rsidR="00F8533E">
        <w:fldChar w:fldCharType="end"/>
      </w:r>
      <w:r w:rsidR="00F8533E">
        <w:t>)</w:t>
      </w:r>
      <w:r>
        <w:t xml:space="preserve">. The parameter </w:t>
      </w:r>
      <w:r w:rsidRPr="00E6110F">
        <w:rPr>
          <w:i/>
        </w:rPr>
        <w:t>f</w:t>
      </w:r>
      <w:r w:rsidRPr="00E6110F">
        <w:rPr>
          <w:vertAlign w:val="subscript"/>
        </w:rPr>
        <w:t>OC</w:t>
      </w:r>
      <w:r>
        <w:rPr>
          <w:vertAlign w:val="subscript"/>
        </w:rPr>
        <w:t xml:space="preserve"> </w:t>
      </w:r>
      <w:r w:rsidRPr="00CF1E8F">
        <w:t xml:space="preserve">is therefore </w:t>
      </w:r>
      <w:r>
        <w:t>zero for all these layers.</w:t>
      </w:r>
    </w:p>
    <w:p w14:paraId="2755DA32" w14:textId="4E8F5233" w:rsidR="00CF1E8F" w:rsidRPr="00E6110F" w:rsidRDefault="00CF1E8F" w:rsidP="00CF1E8F">
      <w:pPr>
        <w:pStyle w:val="Body"/>
        <w:rPr>
          <w:lang w:val="en-AU"/>
        </w:rPr>
      </w:pPr>
      <w:r w:rsidRPr="00E6110F">
        <w:rPr>
          <w:lang w:val="en-AU"/>
        </w:rPr>
        <w:t>Shales and siltstone</w:t>
      </w:r>
      <w:r w:rsidR="00594316">
        <w:rPr>
          <w:lang w:val="en-AU"/>
        </w:rPr>
        <w:t>s</w:t>
      </w:r>
      <w:r w:rsidRPr="00E6110F">
        <w:rPr>
          <w:lang w:val="en-AU"/>
        </w:rPr>
        <w:t xml:space="preserve"> </w:t>
      </w:r>
      <w:r>
        <w:rPr>
          <w:lang w:val="en-AU"/>
        </w:rPr>
        <w:t xml:space="preserve">of the </w:t>
      </w:r>
      <w:r>
        <w:t>Blythesdale Group</w:t>
      </w:r>
      <w:r w:rsidRPr="00E6110F">
        <w:rPr>
          <w:lang w:val="en-AU"/>
        </w:rPr>
        <w:t xml:space="preserve"> </w:t>
      </w:r>
      <w:r>
        <w:rPr>
          <w:lang w:val="en-AU"/>
        </w:rPr>
        <w:t xml:space="preserve">are assumed to </w:t>
      </w:r>
      <w:r w:rsidRPr="00E6110F">
        <w:rPr>
          <w:lang w:val="en-AU"/>
        </w:rPr>
        <w:t>have some organic carbon</w:t>
      </w:r>
      <w:r w:rsidR="00B9719A">
        <w:rPr>
          <w:lang w:val="en-AU"/>
        </w:rPr>
        <w:t xml:space="preserve"> (</w:t>
      </w:r>
      <w:r w:rsidR="00B9719A">
        <w:t xml:space="preserve">see Section </w:t>
      </w:r>
      <w:r w:rsidR="00B9719A">
        <w:fldChar w:fldCharType="begin" w:fldLock="1"/>
      </w:r>
      <w:r w:rsidR="00B9719A">
        <w:instrText xml:space="preserve"> REF _Ref470782316 \r \h </w:instrText>
      </w:r>
      <w:r w:rsidR="00B9719A">
        <w:fldChar w:fldCharType="separate"/>
      </w:r>
      <w:r w:rsidR="00335E79">
        <w:t>4.1.1</w:t>
      </w:r>
      <w:r w:rsidR="00B9719A">
        <w:fldChar w:fldCharType="end"/>
      </w:r>
      <w:r w:rsidR="00B9719A">
        <w:rPr>
          <w:lang w:val="en-AU"/>
        </w:rPr>
        <w:t>)</w:t>
      </w:r>
      <w:r>
        <w:rPr>
          <w:lang w:val="en-AU"/>
        </w:rPr>
        <w:t xml:space="preserve">, based on an </w:t>
      </w:r>
      <w:r w:rsidRPr="00E6110F">
        <w:rPr>
          <w:lang w:val="en-AU"/>
        </w:rPr>
        <w:t xml:space="preserve">average </w:t>
      </w:r>
      <w:r w:rsidR="00594316">
        <w:rPr>
          <w:lang w:val="en-AU"/>
        </w:rPr>
        <w:t xml:space="preserve">of </w:t>
      </w:r>
      <w:r w:rsidRPr="00E6110F">
        <w:rPr>
          <w:lang w:val="en-AU"/>
        </w:rPr>
        <w:t>0.8 % TOC</w:t>
      </w:r>
      <w:r>
        <w:rPr>
          <w:lang w:val="en-AU"/>
        </w:rPr>
        <w:t xml:space="preserve"> for shale and</w:t>
      </w:r>
      <w:r w:rsidRPr="00E6110F">
        <w:rPr>
          <w:lang w:val="en-AU"/>
        </w:rPr>
        <w:t xml:space="preserve"> 10% shale in the formation (i.e. %OC = 0.08</w:t>
      </w:r>
      <w:r w:rsidR="00594316">
        <w:rPr>
          <w:lang w:val="en-AU"/>
        </w:rPr>
        <w:t xml:space="preserve"> or </w:t>
      </w:r>
      <w:r w:rsidR="00594316" w:rsidRPr="00E6110F">
        <w:rPr>
          <w:i/>
        </w:rPr>
        <w:t>f</w:t>
      </w:r>
      <w:r w:rsidR="00594316" w:rsidRPr="00E6110F">
        <w:rPr>
          <w:vertAlign w:val="subscript"/>
        </w:rPr>
        <w:t>OC</w:t>
      </w:r>
      <w:r w:rsidR="00594316" w:rsidRPr="00594316">
        <w:t xml:space="preserve"> = 0.0008</w:t>
      </w:r>
      <w:r w:rsidRPr="00E6110F">
        <w:rPr>
          <w:lang w:val="en-AU"/>
        </w:rPr>
        <w:t>).</w:t>
      </w:r>
    </w:p>
    <w:p w14:paraId="144F45DA" w14:textId="156F18F0" w:rsidR="006C62CE" w:rsidRDefault="00877B73" w:rsidP="00863721">
      <w:pPr>
        <w:pStyle w:val="Body"/>
      </w:pPr>
      <w:r w:rsidRPr="00E6110F">
        <w:t xml:space="preserve">Organic carbon was assumed to be very high </w:t>
      </w:r>
      <w:r w:rsidR="00117C14">
        <w:t xml:space="preserve">(55%) </w:t>
      </w:r>
      <w:r w:rsidRPr="00E6110F">
        <w:t>w</w:t>
      </w:r>
      <w:r w:rsidR="008D72CA" w:rsidRPr="00E6110F">
        <w:t xml:space="preserve">ithin the coal seams (Hoskisson and </w:t>
      </w:r>
      <w:r w:rsidRPr="00E6110F">
        <w:t>Maules Creek</w:t>
      </w:r>
      <w:r w:rsidR="008D72CA" w:rsidRPr="00E6110F">
        <w:t>-Bohena</w:t>
      </w:r>
      <w:r w:rsidRPr="00E6110F">
        <w:t xml:space="preserve">), with half of the depth of </w:t>
      </w:r>
      <w:r w:rsidR="008D72CA" w:rsidRPr="00E6110F">
        <w:t>the seam being composed of coal</w:t>
      </w:r>
      <w:r w:rsidR="00B9719A">
        <w:t xml:space="preserve"> (see Section </w:t>
      </w:r>
      <w:r w:rsidR="00B9719A">
        <w:fldChar w:fldCharType="begin" w:fldLock="1"/>
      </w:r>
      <w:r w:rsidR="00B9719A">
        <w:instrText xml:space="preserve"> REF _Ref470782316 \r \h </w:instrText>
      </w:r>
      <w:r w:rsidR="00B9719A">
        <w:fldChar w:fldCharType="separate"/>
      </w:r>
      <w:r w:rsidR="00335E79">
        <w:t>4.1.1</w:t>
      </w:r>
      <w:r w:rsidR="00B9719A">
        <w:fldChar w:fldCharType="end"/>
      </w:r>
      <w:r w:rsidR="00B9719A">
        <w:t>)</w:t>
      </w:r>
      <w:r w:rsidR="008D72CA" w:rsidRPr="00E6110F">
        <w:t>, yielding a scaling factor of 0.5;</w:t>
      </w:r>
      <w:r w:rsidRPr="00E6110F">
        <w:t xml:space="preserve"> the OC values were adjusted accordingly</w:t>
      </w:r>
      <w:r w:rsidR="001B1758" w:rsidRPr="00E6110F">
        <w:t>, i.e. the adjusted</w:t>
      </w:r>
      <w:r w:rsidR="006C62CE">
        <w:t xml:space="preserve"> or rescaled</w:t>
      </w:r>
      <w:r w:rsidR="001B1758" w:rsidRPr="00E6110F">
        <w:t xml:space="preserve"> </w:t>
      </w:r>
      <w:r w:rsidR="006C62CE" w:rsidRPr="006C62CE">
        <w:rPr>
          <w:i/>
        </w:rPr>
        <w:t>f</w:t>
      </w:r>
      <w:r w:rsidR="001B1758" w:rsidRPr="006C62CE">
        <w:rPr>
          <w:vertAlign w:val="subscript"/>
        </w:rPr>
        <w:t>OC</w:t>
      </w:r>
      <w:r w:rsidR="006C62CE">
        <w:rPr>
          <w:vertAlign w:val="subscript"/>
        </w:rPr>
        <w:t>_</w:t>
      </w:r>
      <w:r w:rsidR="006C62CE" w:rsidRPr="006C62CE">
        <w:rPr>
          <w:vertAlign w:val="subscript"/>
        </w:rPr>
        <w:t>r</w:t>
      </w:r>
      <w:r w:rsidR="001B1758" w:rsidRPr="00E6110F">
        <w:t xml:space="preserve"> = 0.5×</w:t>
      </w:r>
      <w:r w:rsidR="006C62CE">
        <w:t>0.</w:t>
      </w:r>
      <w:r w:rsidR="001B1758" w:rsidRPr="00E6110F">
        <w:t>55</w:t>
      </w:r>
      <w:r w:rsidR="006C62CE">
        <w:t xml:space="preserve"> </w:t>
      </w:r>
      <w:r w:rsidR="001B1758" w:rsidRPr="00E6110F">
        <w:t xml:space="preserve">= </w:t>
      </w:r>
      <w:r w:rsidR="006C62CE">
        <w:t>0.</w:t>
      </w:r>
      <w:r w:rsidR="001B1758" w:rsidRPr="00E6110F">
        <w:t>275</w:t>
      </w:r>
      <w:r w:rsidRPr="00E6110F">
        <w:t xml:space="preserve">. </w:t>
      </w:r>
      <w:r w:rsidR="003C18FF">
        <w:t xml:space="preserve">For reasons of consistency the parameter </w:t>
      </w:r>
      <w:r w:rsidR="003C18FF" w:rsidRPr="006C62CE">
        <w:rPr>
          <w:i/>
        </w:rPr>
        <w:t>f</w:t>
      </w:r>
      <w:r w:rsidR="003C18FF" w:rsidRPr="006C62CE">
        <w:rPr>
          <w:vertAlign w:val="subscript"/>
        </w:rPr>
        <w:t>OC</w:t>
      </w:r>
      <w:r w:rsidR="003C18FF">
        <w:rPr>
          <w:vertAlign w:val="subscript"/>
        </w:rPr>
        <w:t>_</w:t>
      </w:r>
      <w:r w:rsidR="003C18FF" w:rsidRPr="006C62CE">
        <w:rPr>
          <w:vertAlign w:val="subscript"/>
        </w:rPr>
        <w:t>r</w:t>
      </w:r>
      <w:r w:rsidR="003C18FF">
        <w:t xml:space="preserve">  will also be used for the other non-coal bearing formations, the difference being that the scaling factor for these formations is assumed to be 1 as the organic matter is assumed to be uniformly distributed across the entire formation</w:t>
      </w:r>
      <w:r w:rsidR="008F3125">
        <w:t xml:space="preserve"> (i.e. </w:t>
      </w:r>
      <w:r w:rsidR="008F3125" w:rsidRPr="006C62CE">
        <w:rPr>
          <w:i/>
        </w:rPr>
        <w:t>f</w:t>
      </w:r>
      <w:r w:rsidR="008F3125" w:rsidRPr="006C62CE">
        <w:rPr>
          <w:vertAlign w:val="subscript"/>
        </w:rPr>
        <w:t>OC</w:t>
      </w:r>
      <w:r w:rsidR="008F3125">
        <w:rPr>
          <w:vertAlign w:val="subscript"/>
        </w:rPr>
        <w:t>_</w:t>
      </w:r>
      <w:r w:rsidR="008F3125" w:rsidRPr="006C62CE">
        <w:rPr>
          <w:vertAlign w:val="subscript"/>
        </w:rPr>
        <w:t>r</w:t>
      </w:r>
      <w:r w:rsidR="008F3125" w:rsidRPr="00E6110F">
        <w:t xml:space="preserve"> </w:t>
      </w:r>
      <w:r w:rsidR="008F3125">
        <w:t>= 1</w:t>
      </w:r>
      <w:r w:rsidR="008F3125" w:rsidRPr="00E6110F">
        <w:t>×</w:t>
      </w:r>
      <w:r w:rsidR="008F3125" w:rsidRPr="008F3125">
        <w:rPr>
          <w:i/>
        </w:rPr>
        <w:t xml:space="preserve"> </w:t>
      </w:r>
      <w:r w:rsidR="008F3125" w:rsidRPr="006C62CE">
        <w:rPr>
          <w:i/>
        </w:rPr>
        <w:t>f</w:t>
      </w:r>
      <w:r w:rsidR="008F3125" w:rsidRPr="006C62CE">
        <w:rPr>
          <w:vertAlign w:val="subscript"/>
        </w:rPr>
        <w:t>OC</w:t>
      </w:r>
      <w:r w:rsidR="008F3125" w:rsidRPr="001D35DA">
        <w:t>)</w:t>
      </w:r>
      <w:r w:rsidR="003C18FF">
        <w:t>.</w:t>
      </w:r>
    </w:p>
    <w:p w14:paraId="70FEC55D" w14:textId="742BAF7E" w:rsidR="00863721" w:rsidRDefault="007F737D" w:rsidP="00863721">
      <w:pPr>
        <w:pStyle w:val="Body"/>
      </w:pPr>
      <w:r w:rsidRPr="00E6110F">
        <w:t>With c</w:t>
      </w:r>
      <w:r w:rsidR="00877B73" w:rsidRPr="00E6110F">
        <w:rPr>
          <w:lang w:val="en-US"/>
        </w:rPr>
        <w:t xml:space="preserve">oal being a highly carbonaceous material with </w:t>
      </w:r>
      <w:r w:rsidRPr="00E6110F">
        <w:rPr>
          <w:lang w:val="en-US"/>
        </w:rPr>
        <w:t xml:space="preserve">a </w:t>
      </w:r>
      <w:r w:rsidR="00877B73" w:rsidRPr="00E6110F">
        <w:rPr>
          <w:lang w:val="en-US"/>
        </w:rPr>
        <w:t>high surface area, sorption of most organic compounds to coals on per unit mass basis is expected to be higher than that in soil organic matter (Simane et al. 2016).</w:t>
      </w:r>
      <w:r w:rsidR="00877B73" w:rsidRPr="00E6110F">
        <w:t>This adjustment factor could potentially be higher for naphthalene, HMX and limonene, due to their low water solubilities and the relatively high TDS leading to a “salting out” effect. Since this effect is concentration dependent for each chemical, however, an adjustment factor higher than that applied to the other chemicals was not given.</w:t>
      </w:r>
      <w:r w:rsidR="007804BD" w:rsidRPr="00E6110F">
        <w:t xml:space="preserve"> </w:t>
      </w:r>
      <w:r w:rsidR="00863721" w:rsidRPr="00E6110F">
        <w:t xml:space="preserve">Adjusted </w:t>
      </w:r>
      <w:r w:rsidR="007804BD" w:rsidRPr="00117C14">
        <w:rPr>
          <w:i/>
        </w:rPr>
        <w:t>f</w:t>
      </w:r>
      <w:r w:rsidR="00863721" w:rsidRPr="00E6110F">
        <w:rPr>
          <w:vertAlign w:val="subscript"/>
        </w:rPr>
        <w:t>OC</w:t>
      </w:r>
      <w:r w:rsidR="006C62CE">
        <w:rPr>
          <w:vertAlign w:val="subscript"/>
        </w:rPr>
        <w:t>_r</w:t>
      </w:r>
      <w:r w:rsidR="00863721" w:rsidRPr="00E6110F">
        <w:t xml:space="preserve"> and half-life values for organic substances are given in </w:t>
      </w:r>
      <w:r w:rsidR="00863721" w:rsidRPr="00E6110F">
        <w:fldChar w:fldCharType="begin" w:fldLock="1"/>
      </w:r>
      <w:r w:rsidR="00863721" w:rsidRPr="00E6110F">
        <w:instrText xml:space="preserve"> REF _Ref452903378 \h  \* MERGEFORMAT </w:instrText>
      </w:r>
      <w:r w:rsidR="00863721" w:rsidRPr="00E6110F">
        <w:fldChar w:fldCharType="separate"/>
      </w:r>
      <w:r w:rsidR="00335E79" w:rsidRPr="00DA539C">
        <w:t xml:space="preserve">Table </w:t>
      </w:r>
      <w:r w:rsidR="00335E79">
        <w:t>4</w:t>
      </w:r>
      <w:r w:rsidR="00335E79">
        <w:noBreakHyphen/>
        <w:t>5</w:t>
      </w:r>
      <w:r w:rsidR="00863721" w:rsidRPr="00E6110F">
        <w:fldChar w:fldCharType="end"/>
      </w:r>
      <w:r w:rsidR="00863721" w:rsidRPr="00E6110F">
        <w:t>.</w:t>
      </w:r>
    </w:p>
    <w:p w14:paraId="2D844A50" w14:textId="77777777" w:rsidR="003C18FF" w:rsidRPr="00E6110F" w:rsidRDefault="003C18FF" w:rsidP="00863721">
      <w:pPr>
        <w:pStyle w:val="Body"/>
      </w:pPr>
    </w:p>
    <w:p w14:paraId="78E67D8A" w14:textId="41A90A45" w:rsidR="00863721" w:rsidRPr="00DA539C" w:rsidRDefault="00863721" w:rsidP="00DA539C">
      <w:pPr>
        <w:pStyle w:val="Imagecaption"/>
        <w:keepNext/>
        <w:pBdr>
          <w:top w:val="none" w:sz="0" w:space="0" w:color="auto"/>
        </w:pBdr>
      </w:pPr>
      <w:bookmarkStart w:id="518" w:name="_Ref452903378"/>
      <w:bookmarkStart w:id="519" w:name="_Toc494444722"/>
      <w:r w:rsidRPr="00DA539C">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5</w:t>
      </w:r>
      <w:r w:rsidR="00470577">
        <w:fldChar w:fldCharType="end"/>
      </w:r>
      <w:bookmarkEnd w:id="518"/>
      <w:r w:rsidRPr="00DA539C">
        <w:t xml:space="preserve">  Table of fate parameters adjusted for Gunnedah basin geology (organic chemicals). A = 2-methylphenol, B = Naphthalene, </w:t>
      </w:r>
      <w:r w:rsidR="004101D2" w:rsidRPr="00DA539C">
        <w:t>C = d-Limonene; D</w:t>
      </w:r>
      <w:r w:rsidRPr="00DA539C">
        <w:t xml:space="preserve"> = HMX, </w:t>
      </w:r>
      <w:r w:rsidR="004101D2" w:rsidRPr="00DA539C">
        <w:t>E</w:t>
      </w:r>
      <w:r w:rsidRPr="00DA539C">
        <w:t xml:space="preserve"> = 2-butoxyethanol, </w:t>
      </w:r>
      <w:r w:rsidR="004101D2" w:rsidRPr="00DA539C">
        <w:t>F</w:t>
      </w:r>
      <w:r w:rsidRPr="00DA539C">
        <w:t xml:space="preserve"> = Bronopol, </w:t>
      </w:r>
      <w:r w:rsidR="004101D2" w:rsidRPr="00DA539C">
        <w:t>G</w:t>
      </w:r>
      <w:r w:rsidRPr="00DA539C">
        <w:t xml:space="preserve"> = Methylchloroisothiazolinone, </w:t>
      </w:r>
      <w:r w:rsidR="00BB6CDF" w:rsidRPr="00DA539C">
        <w:t>H</w:t>
      </w:r>
      <w:r w:rsidRPr="00DA539C">
        <w:t xml:space="preserve"> = Acrylamide polymer.  </w:t>
      </w:r>
      <w:r w:rsidRPr="001F5949">
        <w:rPr>
          <w:vertAlign w:val="superscript"/>
        </w:rPr>
        <w:t>#</w:t>
      </w:r>
      <w:r w:rsidRPr="00DA539C">
        <w:t xml:space="preserve"> Multiply default K</w:t>
      </w:r>
      <w:r w:rsidRPr="001F5949">
        <w:rPr>
          <w:vertAlign w:val="subscript"/>
        </w:rPr>
        <w:t>OC</w:t>
      </w:r>
      <w:r w:rsidRPr="00DA539C">
        <w:t xml:space="preserve"> by th</w:t>
      </w:r>
      <w:r w:rsidR="00117C14" w:rsidRPr="00DA539C">
        <w:t>e</w:t>
      </w:r>
      <w:r w:rsidRPr="00DA539C">
        <w:t xml:space="preserve"> factor</w:t>
      </w:r>
      <w:r w:rsidR="00117C14" w:rsidRPr="00DA539C">
        <w:t xml:space="preserve"> f</w:t>
      </w:r>
      <w:r w:rsidR="00117C14" w:rsidRPr="001F5949">
        <w:rPr>
          <w:vertAlign w:val="subscript"/>
        </w:rPr>
        <w:t>OC</w:t>
      </w:r>
      <w:r w:rsidR="003C18FF" w:rsidRPr="001F5949">
        <w:rPr>
          <w:vertAlign w:val="subscript"/>
        </w:rPr>
        <w:t>_</w:t>
      </w:r>
      <w:r w:rsidR="006C62CE" w:rsidRPr="001F5949">
        <w:rPr>
          <w:vertAlign w:val="subscript"/>
        </w:rPr>
        <w:t xml:space="preserve"> </w:t>
      </w:r>
      <w:proofErr w:type="gramStart"/>
      <w:r w:rsidR="006C62CE" w:rsidRPr="001F5949">
        <w:rPr>
          <w:vertAlign w:val="subscript"/>
        </w:rPr>
        <w:t>r</w:t>
      </w:r>
      <w:r w:rsidR="003C18FF" w:rsidRPr="001F5949">
        <w:rPr>
          <w:vertAlign w:val="subscript"/>
        </w:rPr>
        <w:t xml:space="preserve"> </w:t>
      </w:r>
      <w:r w:rsidR="008600D2" w:rsidRPr="001F5949">
        <w:rPr>
          <w:vertAlign w:val="subscript"/>
        </w:rPr>
        <w:t xml:space="preserve"> </w:t>
      </w:r>
      <w:r w:rsidR="008600D2" w:rsidRPr="00DA539C">
        <w:t>(</w:t>
      </w:r>
      <w:proofErr w:type="gramEnd"/>
      <w:r w:rsidR="008600D2" w:rsidRPr="00DA539C">
        <w:t>fraction of organic carbon × scaling factor)</w:t>
      </w:r>
      <w:r w:rsidRPr="00DA539C">
        <w:t>; a factor of 0 implies extent of sorption essentially approaching 0</w:t>
      </w:r>
      <w:r w:rsidR="00A07566" w:rsidRPr="00DA539C">
        <w:t>.</w:t>
      </w:r>
      <w:r w:rsidRPr="00DA539C">
        <w:t xml:space="preserve"> Value given is worst case of known abiotic or biotic degradation. Biotic degradation assumed to be minimal where minimal %OC; </w:t>
      </w:r>
      <w:r w:rsidRPr="001F5949">
        <w:rPr>
          <w:vertAlign w:val="superscript"/>
        </w:rPr>
        <w:t>@</w:t>
      </w:r>
      <w:r w:rsidRPr="00DA539C">
        <w:t xml:space="preserve"> “Salting out” likely to decrease water solubility – dependent on concentration of species i.e. approaching water solubility; </w:t>
      </w:r>
      <w:r w:rsidR="004A7452" w:rsidRPr="00DA539C">
        <w:t>and</w:t>
      </w:r>
      <w:r w:rsidRPr="00DA539C">
        <w:t xml:space="preserve"> Assume conditions as per Pilliga sandstone.</w:t>
      </w:r>
      <w:r w:rsidR="00B2207E" w:rsidRPr="00DA539C">
        <w:t xml:space="preserve"> NBD = not biodegradable; ND = No Data.</w:t>
      </w:r>
      <w:bookmarkEnd w:id="519"/>
    </w:p>
    <w:tbl>
      <w:tblPr>
        <w:tblStyle w:val="TableGrid"/>
        <w:tblW w:w="8926" w:type="dxa"/>
        <w:tblLayout w:type="fixed"/>
        <w:tblLook w:val="04A0" w:firstRow="1" w:lastRow="0" w:firstColumn="1" w:lastColumn="0" w:noHBand="0" w:noVBand="1"/>
      </w:tblPr>
      <w:tblGrid>
        <w:gridCol w:w="1412"/>
        <w:gridCol w:w="1985"/>
        <w:gridCol w:w="709"/>
        <w:gridCol w:w="709"/>
        <w:gridCol w:w="709"/>
        <w:gridCol w:w="708"/>
        <w:gridCol w:w="709"/>
        <w:gridCol w:w="709"/>
        <w:gridCol w:w="709"/>
        <w:gridCol w:w="567"/>
      </w:tblGrid>
      <w:tr w:rsidR="004101D2" w:rsidRPr="00E6110F" w14:paraId="01FE4D1B" w14:textId="77777777" w:rsidTr="003520B9">
        <w:trPr>
          <w:trHeight w:val="132"/>
        </w:trPr>
        <w:tc>
          <w:tcPr>
            <w:tcW w:w="1412" w:type="dxa"/>
            <w:vMerge w:val="restart"/>
            <w:shd w:val="clear" w:color="auto" w:fill="F2F2F2" w:themeFill="background1" w:themeFillShade="F2"/>
          </w:tcPr>
          <w:p w14:paraId="3D6B019B" w14:textId="77777777" w:rsidR="004101D2" w:rsidRPr="00E6110F" w:rsidRDefault="004101D2" w:rsidP="00854519">
            <w:pPr>
              <w:pStyle w:val="Body"/>
            </w:pPr>
            <w:r w:rsidRPr="00E6110F">
              <w:t>Geology</w:t>
            </w:r>
          </w:p>
        </w:tc>
        <w:tc>
          <w:tcPr>
            <w:tcW w:w="1985" w:type="dxa"/>
            <w:vMerge w:val="restart"/>
            <w:shd w:val="clear" w:color="auto" w:fill="F2F2F2" w:themeFill="background1" w:themeFillShade="F2"/>
          </w:tcPr>
          <w:p w14:paraId="4A8D48FA" w14:textId="5FFDAB5F" w:rsidR="004101D2" w:rsidRPr="00E6110F" w:rsidRDefault="004101D2" w:rsidP="007F737D">
            <w:pPr>
              <w:rPr>
                <w:rFonts w:ascii="Calibri" w:hAnsi="Calibri" w:cs="Calibri"/>
                <w:color w:val="000000"/>
                <w:sz w:val="18"/>
                <w:szCs w:val="18"/>
                <w:lang w:val="en-GB"/>
              </w:rPr>
            </w:pPr>
            <w:r w:rsidRPr="00E6110F">
              <w:rPr>
                <w:rFonts w:ascii="Calibri" w:hAnsi="Calibri" w:cs="Calibri"/>
                <w:color w:val="000000"/>
                <w:sz w:val="18"/>
                <w:szCs w:val="18"/>
                <w:lang w:val="en-GB"/>
              </w:rPr>
              <w:t xml:space="preserve">OC (%) and </w:t>
            </w:r>
            <w:r w:rsidRPr="00E6110F">
              <w:rPr>
                <w:rFonts w:ascii="Calibri" w:hAnsi="Calibri" w:cs="Calibri"/>
                <w:i/>
                <w:color w:val="000000"/>
                <w:sz w:val="18"/>
                <w:szCs w:val="18"/>
                <w:lang w:val="en-GB"/>
              </w:rPr>
              <w:t>f</w:t>
            </w:r>
            <w:r w:rsidRPr="00E6110F">
              <w:rPr>
                <w:rFonts w:ascii="Calibri" w:hAnsi="Calibri" w:cs="Calibri"/>
                <w:color w:val="000000"/>
                <w:sz w:val="18"/>
                <w:szCs w:val="18"/>
                <w:vertAlign w:val="subscript"/>
                <w:lang w:val="en-GB"/>
              </w:rPr>
              <w:t>OC</w:t>
            </w:r>
            <w:r w:rsidR="00932F9B">
              <w:rPr>
                <w:rFonts w:ascii="Calibri" w:hAnsi="Calibri" w:cs="Calibri"/>
                <w:color w:val="000000"/>
                <w:sz w:val="18"/>
                <w:szCs w:val="18"/>
                <w:vertAlign w:val="subscript"/>
                <w:lang w:val="en-GB"/>
              </w:rPr>
              <w:t>_</w:t>
            </w:r>
            <w:r w:rsidR="006C62CE">
              <w:rPr>
                <w:rFonts w:ascii="Calibri" w:hAnsi="Calibri" w:cs="Calibri"/>
                <w:color w:val="000000"/>
                <w:sz w:val="18"/>
                <w:szCs w:val="18"/>
                <w:vertAlign w:val="subscript"/>
                <w:lang w:val="en-GB"/>
              </w:rPr>
              <w:t>r</w:t>
            </w:r>
            <w:r w:rsidRPr="00E6110F">
              <w:rPr>
                <w:rFonts w:ascii="Calibri" w:hAnsi="Calibri" w:cs="Calibri"/>
                <w:color w:val="000000"/>
                <w:sz w:val="18"/>
                <w:szCs w:val="18"/>
                <w:lang w:val="en-GB"/>
              </w:rPr>
              <w:t xml:space="preserve"> </w:t>
            </w:r>
            <w:r w:rsidRPr="00E6110F">
              <w:rPr>
                <w:rFonts w:ascii="Calibri" w:hAnsi="Calibri" w:cs="Calibri"/>
                <w:color w:val="000000"/>
                <w:sz w:val="18"/>
                <w:szCs w:val="18"/>
                <w:vertAlign w:val="superscript"/>
                <w:lang w:val="en-GB"/>
              </w:rPr>
              <w:t>#</w:t>
            </w:r>
            <w:r w:rsidRPr="00E6110F">
              <w:rPr>
                <w:rFonts w:ascii="Calibri" w:hAnsi="Calibri" w:cs="Calibri"/>
                <w:color w:val="000000"/>
                <w:sz w:val="18"/>
                <w:szCs w:val="18"/>
                <w:lang w:val="en-GB"/>
              </w:rPr>
              <w:t xml:space="preserve"> (g/g)</w:t>
            </w:r>
          </w:p>
        </w:tc>
        <w:tc>
          <w:tcPr>
            <w:tcW w:w="709" w:type="dxa"/>
            <w:shd w:val="clear" w:color="auto" w:fill="F2F2F2" w:themeFill="background1" w:themeFillShade="F2"/>
          </w:tcPr>
          <w:p w14:paraId="533C15C0" w14:textId="77777777" w:rsidR="004101D2" w:rsidRPr="00E6110F" w:rsidRDefault="004101D2" w:rsidP="00A07566">
            <w:pPr>
              <w:jc w:val="center"/>
              <w:rPr>
                <w:rFonts w:ascii="Calibri" w:hAnsi="Calibri" w:cs="Calibri"/>
                <w:color w:val="000000"/>
                <w:sz w:val="18"/>
                <w:szCs w:val="18"/>
                <w:lang w:val="en-GB"/>
              </w:rPr>
            </w:pPr>
          </w:p>
        </w:tc>
        <w:tc>
          <w:tcPr>
            <w:tcW w:w="4820" w:type="dxa"/>
            <w:gridSpan w:val="7"/>
            <w:shd w:val="clear" w:color="auto" w:fill="F2F2F2" w:themeFill="background1" w:themeFillShade="F2"/>
          </w:tcPr>
          <w:p w14:paraId="29356F5F" w14:textId="603E5B29" w:rsidR="004101D2" w:rsidRPr="00E6110F" w:rsidRDefault="004101D2" w:rsidP="00A07566">
            <w:pPr>
              <w:jc w:val="center"/>
              <w:rPr>
                <w:rFonts w:ascii="Calibri" w:hAnsi="Calibri" w:cs="Calibri"/>
                <w:color w:val="000000"/>
                <w:sz w:val="18"/>
                <w:szCs w:val="18"/>
                <w:lang w:val="en-GB"/>
              </w:rPr>
            </w:pPr>
            <w:r w:rsidRPr="00E6110F">
              <w:rPr>
                <w:rFonts w:ascii="Calibri" w:hAnsi="Calibri" w:cs="Calibri"/>
                <w:color w:val="000000"/>
                <w:sz w:val="18"/>
                <w:szCs w:val="18"/>
                <w:lang w:val="en-GB"/>
              </w:rPr>
              <w:t>Adjusted half-life (days)</w:t>
            </w:r>
          </w:p>
        </w:tc>
      </w:tr>
      <w:tr w:rsidR="004101D2" w:rsidRPr="00E6110F" w14:paraId="4F59A138" w14:textId="77777777" w:rsidTr="003520B9">
        <w:trPr>
          <w:trHeight w:val="132"/>
        </w:trPr>
        <w:tc>
          <w:tcPr>
            <w:tcW w:w="1412" w:type="dxa"/>
            <w:vMerge/>
            <w:shd w:val="clear" w:color="auto" w:fill="F2F2F2" w:themeFill="background1" w:themeFillShade="F2"/>
          </w:tcPr>
          <w:p w14:paraId="459F8047" w14:textId="77777777" w:rsidR="004101D2" w:rsidRPr="00E6110F" w:rsidRDefault="004101D2" w:rsidP="004101D2">
            <w:pPr>
              <w:pStyle w:val="Body"/>
            </w:pPr>
          </w:p>
        </w:tc>
        <w:tc>
          <w:tcPr>
            <w:tcW w:w="1985" w:type="dxa"/>
            <w:vMerge/>
            <w:shd w:val="clear" w:color="auto" w:fill="F2F2F2" w:themeFill="background1" w:themeFillShade="F2"/>
          </w:tcPr>
          <w:p w14:paraId="1308F132" w14:textId="77777777" w:rsidR="004101D2" w:rsidRPr="00E6110F" w:rsidRDefault="004101D2" w:rsidP="004101D2">
            <w:pPr>
              <w:rPr>
                <w:rFonts w:ascii="Calibri" w:hAnsi="Calibri" w:cs="Calibri"/>
                <w:color w:val="000000"/>
                <w:sz w:val="18"/>
                <w:szCs w:val="18"/>
                <w:lang w:val="en-GB"/>
              </w:rPr>
            </w:pPr>
          </w:p>
        </w:tc>
        <w:tc>
          <w:tcPr>
            <w:tcW w:w="709" w:type="dxa"/>
            <w:shd w:val="clear" w:color="auto" w:fill="F2F2F2" w:themeFill="background1" w:themeFillShade="F2"/>
          </w:tcPr>
          <w:p w14:paraId="100B1FD4" w14:textId="1A67EF73" w:rsidR="004101D2" w:rsidRPr="00E6110F" w:rsidRDefault="004101D2" w:rsidP="004101D2">
            <w:pPr>
              <w:rPr>
                <w:rFonts w:ascii="Calibri" w:hAnsi="Calibri" w:cs="Calibri"/>
                <w:color w:val="000000"/>
                <w:sz w:val="18"/>
                <w:szCs w:val="18"/>
                <w:lang w:val="en-GB"/>
              </w:rPr>
            </w:pPr>
            <w:r>
              <w:rPr>
                <w:rFonts w:ascii="Calibri" w:hAnsi="Calibri" w:cs="Calibri"/>
                <w:color w:val="000000"/>
                <w:sz w:val="18"/>
                <w:szCs w:val="18"/>
                <w:lang w:val="en-GB"/>
              </w:rPr>
              <w:t>A</w:t>
            </w:r>
          </w:p>
        </w:tc>
        <w:tc>
          <w:tcPr>
            <w:tcW w:w="709" w:type="dxa"/>
            <w:shd w:val="clear" w:color="auto" w:fill="F2F2F2" w:themeFill="background1" w:themeFillShade="F2"/>
          </w:tcPr>
          <w:p w14:paraId="15D0C9CE" w14:textId="2059BBBD" w:rsidR="004101D2" w:rsidRPr="00E6110F" w:rsidRDefault="004101D2" w:rsidP="004101D2">
            <w:pPr>
              <w:rPr>
                <w:rFonts w:ascii="Calibri" w:hAnsi="Calibri" w:cs="Calibri"/>
                <w:color w:val="000000"/>
                <w:sz w:val="18"/>
                <w:szCs w:val="18"/>
                <w:lang w:val="en-GB"/>
              </w:rPr>
            </w:pPr>
            <w:r>
              <w:rPr>
                <w:rFonts w:ascii="Calibri" w:hAnsi="Calibri" w:cs="Calibri"/>
                <w:color w:val="000000"/>
                <w:sz w:val="18"/>
                <w:szCs w:val="18"/>
                <w:lang w:val="en-GB"/>
              </w:rPr>
              <w:t>B</w:t>
            </w:r>
          </w:p>
        </w:tc>
        <w:tc>
          <w:tcPr>
            <w:tcW w:w="709" w:type="dxa"/>
            <w:shd w:val="clear" w:color="auto" w:fill="F2F2F2" w:themeFill="background1" w:themeFillShade="F2"/>
          </w:tcPr>
          <w:p w14:paraId="05DAA9BF" w14:textId="2D83F48A" w:rsidR="004101D2" w:rsidRPr="00E6110F" w:rsidRDefault="004101D2" w:rsidP="004101D2">
            <w:pPr>
              <w:rPr>
                <w:rFonts w:ascii="Calibri" w:hAnsi="Calibri" w:cs="Calibri"/>
                <w:color w:val="000000"/>
                <w:sz w:val="18"/>
                <w:szCs w:val="18"/>
                <w:lang w:val="en-GB"/>
              </w:rPr>
            </w:pPr>
            <w:r>
              <w:rPr>
                <w:rFonts w:ascii="Calibri" w:hAnsi="Calibri" w:cs="Calibri"/>
                <w:color w:val="000000"/>
                <w:sz w:val="18"/>
                <w:szCs w:val="18"/>
                <w:lang w:val="en-GB"/>
              </w:rPr>
              <w:t>C</w:t>
            </w:r>
          </w:p>
        </w:tc>
        <w:tc>
          <w:tcPr>
            <w:tcW w:w="708" w:type="dxa"/>
            <w:shd w:val="clear" w:color="auto" w:fill="F2F2F2" w:themeFill="background1" w:themeFillShade="F2"/>
          </w:tcPr>
          <w:p w14:paraId="08D163CA" w14:textId="47EC1E64" w:rsidR="004101D2" w:rsidRDefault="004101D2" w:rsidP="004101D2">
            <w:pPr>
              <w:rPr>
                <w:rFonts w:ascii="Calibri" w:hAnsi="Calibri" w:cs="Calibri"/>
                <w:color w:val="000000"/>
                <w:sz w:val="18"/>
                <w:szCs w:val="18"/>
                <w:lang w:val="en-GB"/>
              </w:rPr>
            </w:pPr>
            <w:r>
              <w:rPr>
                <w:rFonts w:ascii="Calibri" w:hAnsi="Calibri" w:cs="Calibri"/>
                <w:color w:val="000000"/>
                <w:sz w:val="18"/>
                <w:szCs w:val="18"/>
                <w:lang w:val="en-GB"/>
              </w:rPr>
              <w:t>D</w:t>
            </w:r>
          </w:p>
        </w:tc>
        <w:tc>
          <w:tcPr>
            <w:tcW w:w="709" w:type="dxa"/>
            <w:shd w:val="clear" w:color="auto" w:fill="F2F2F2" w:themeFill="background1" w:themeFillShade="F2"/>
          </w:tcPr>
          <w:p w14:paraId="30AEC9EC" w14:textId="4856B905" w:rsidR="004101D2" w:rsidRPr="00E6110F" w:rsidRDefault="004101D2" w:rsidP="004101D2">
            <w:pPr>
              <w:rPr>
                <w:rFonts w:ascii="Calibri" w:hAnsi="Calibri" w:cs="Calibri"/>
                <w:color w:val="000000"/>
                <w:sz w:val="18"/>
                <w:szCs w:val="18"/>
                <w:lang w:val="en-GB"/>
              </w:rPr>
            </w:pPr>
            <w:r>
              <w:rPr>
                <w:rFonts w:ascii="Calibri" w:hAnsi="Calibri" w:cs="Calibri"/>
                <w:color w:val="000000"/>
                <w:sz w:val="18"/>
                <w:szCs w:val="18"/>
                <w:lang w:val="en-GB"/>
              </w:rPr>
              <w:t>E</w:t>
            </w:r>
          </w:p>
        </w:tc>
        <w:tc>
          <w:tcPr>
            <w:tcW w:w="709" w:type="dxa"/>
            <w:shd w:val="clear" w:color="auto" w:fill="F2F2F2" w:themeFill="background1" w:themeFillShade="F2"/>
          </w:tcPr>
          <w:p w14:paraId="3C852BCA" w14:textId="4204D4BA" w:rsidR="004101D2" w:rsidRPr="00E6110F" w:rsidRDefault="004101D2" w:rsidP="004101D2">
            <w:pPr>
              <w:rPr>
                <w:rFonts w:ascii="Calibri" w:hAnsi="Calibri" w:cs="Calibri"/>
                <w:color w:val="000000"/>
                <w:sz w:val="18"/>
                <w:szCs w:val="18"/>
                <w:lang w:val="en-GB"/>
              </w:rPr>
            </w:pPr>
            <w:r>
              <w:rPr>
                <w:rFonts w:ascii="Calibri" w:hAnsi="Calibri" w:cs="Calibri"/>
                <w:color w:val="000000"/>
                <w:sz w:val="18"/>
                <w:szCs w:val="18"/>
                <w:lang w:val="en-GB"/>
              </w:rPr>
              <w:t>F</w:t>
            </w:r>
          </w:p>
        </w:tc>
        <w:tc>
          <w:tcPr>
            <w:tcW w:w="709" w:type="dxa"/>
            <w:shd w:val="clear" w:color="auto" w:fill="F2F2F2" w:themeFill="background1" w:themeFillShade="F2"/>
          </w:tcPr>
          <w:p w14:paraId="5BEDC20B" w14:textId="4E61AA3A" w:rsidR="004101D2" w:rsidRPr="00E6110F" w:rsidRDefault="004101D2" w:rsidP="004101D2">
            <w:pPr>
              <w:rPr>
                <w:rFonts w:ascii="Calibri" w:hAnsi="Calibri" w:cs="Calibri"/>
                <w:color w:val="000000"/>
                <w:sz w:val="18"/>
                <w:szCs w:val="18"/>
                <w:lang w:val="en-GB"/>
              </w:rPr>
            </w:pPr>
            <w:r>
              <w:rPr>
                <w:rFonts w:ascii="Calibri" w:hAnsi="Calibri" w:cs="Calibri"/>
                <w:color w:val="000000"/>
                <w:sz w:val="18"/>
                <w:szCs w:val="18"/>
                <w:lang w:val="en-GB"/>
              </w:rPr>
              <w:t>G</w:t>
            </w:r>
          </w:p>
        </w:tc>
        <w:tc>
          <w:tcPr>
            <w:tcW w:w="567" w:type="dxa"/>
            <w:shd w:val="clear" w:color="auto" w:fill="F2F2F2" w:themeFill="background1" w:themeFillShade="F2"/>
          </w:tcPr>
          <w:p w14:paraId="5919D6FE" w14:textId="7305B3E1" w:rsidR="004101D2" w:rsidRPr="00E6110F" w:rsidRDefault="004101D2" w:rsidP="004101D2">
            <w:pPr>
              <w:rPr>
                <w:rFonts w:ascii="Calibri" w:hAnsi="Calibri" w:cs="Calibri"/>
                <w:color w:val="000000"/>
                <w:sz w:val="18"/>
                <w:szCs w:val="18"/>
                <w:lang w:val="en-GB"/>
              </w:rPr>
            </w:pPr>
            <w:r>
              <w:rPr>
                <w:rFonts w:ascii="Calibri" w:hAnsi="Calibri" w:cs="Calibri"/>
                <w:color w:val="000000"/>
                <w:sz w:val="18"/>
                <w:szCs w:val="18"/>
                <w:lang w:val="en-GB"/>
              </w:rPr>
              <w:t>H</w:t>
            </w:r>
          </w:p>
        </w:tc>
      </w:tr>
      <w:tr w:rsidR="004101D2" w:rsidRPr="00E6110F" w14:paraId="39FBA60E" w14:textId="77777777" w:rsidTr="003520B9">
        <w:tc>
          <w:tcPr>
            <w:tcW w:w="1412" w:type="dxa"/>
          </w:tcPr>
          <w:p w14:paraId="13E0C420" w14:textId="77777777" w:rsidR="004101D2" w:rsidRPr="00E6110F" w:rsidRDefault="004101D2" w:rsidP="004101D2">
            <w:pPr>
              <w:pStyle w:val="Body"/>
            </w:pPr>
            <w:r w:rsidRPr="00E6110F">
              <w:t>Namoi alluvium</w:t>
            </w:r>
          </w:p>
        </w:tc>
        <w:tc>
          <w:tcPr>
            <w:tcW w:w="1985" w:type="dxa"/>
          </w:tcPr>
          <w:p w14:paraId="7A7503C1" w14:textId="36F828D4" w:rsidR="004101D2" w:rsidRPr="00E6110F" w:rsidRDefault="004101D2" w:rsidP="004101D2">
            <w:pPr>
              <w:pStyle w:val="Body"/>
            </w:pPr>
            <w:r w:rsidRPr="00E6110F">
              <w:t xml:space="preserve">OC = 0.1; </w:t>
            </w:r>
            <w:r w:rsidRPr="00E6110F">
              <w:rPr>
                <w:i/>
              </w:rPr>
              <w:t>f</w:t>
            </w:r>
            <w:r w:rsidRPr="00E6110F">
              <w:rPr>
                <w:vertAlign w:val="subscript"/>
              </w:rPr>
              <w:t>OC</w:t>
            </w:r>
            <w:r w:rsidR="00932F9B">
              <w:rPr>
                <w:vertAlign w:val="subscript"/>
              </w:rPr>
              <w:t>_</w:t>
            </w:r>
            <w:r w:rsidR="006C62CE">
              <w:rPr>
                <w:vertAlign w:val="subscript"/>
              </w:rPr>
              <w:t>r</w:t>
            </w:r>
            <w:r w:rsidRPr="00E6110F">
              <w:t xml:space="preserve"> = 0.001</w:t>
            </w:r>
          </w:p>
          <w:p w14:paraId="543F94EB" w14:textId="6AEF32BB" w:rsidR="004101D2" w:rsidRPr="00E6110F" w:rsidRDefault="004101D2" w:rsidP="004101D2">
            <w:pPr>
              <w:pStyle w:val="Body"/>
            </w:pPr>
            <w:r w:rsidRPr="00E6110F">
              <w:t>(A, B, C, D, E, F, G)</w:t>
            </w:r>
          </w:p>
        </w:tc>
        <w:tc>
          <w:tcPr>
            <w:tcW w:w="709" w:type="dxa"/>
          </w:tcPr>
          <w:p w14:paraId="3B5C0951" w14:textId="404D0E18" w:rsidR="004101D2" w:rsidRPr="00E6110F" w:rsidRDefault="004101D2" w:rsidP="004101D2">
            <w:pPr>
              <w:pStyle w:val="Body"/>
            </w:pPr>
            <w:r>
              <w:t>5.1</w:t>
            </w:r>
          </w:p>
        </w:tc>
        <w:tc>
          <w:tcPr>
            <w:tcW w:w="709" w:type="dxa"/>
          </w:tcPr>
          <w:p w14:paraId="318EBC5F" w14:textId="4C77DD80" w:rsidR="004101D2" w:rsidRPr="00E6110F" w:rsidRDefault="004101D2" w:rsidP="004101D2">
            <w:pPr>
              <w:pStyle w:val="Body"/>
            </w:pPr>
            <w:r>
              <w:t>88</w:t>
            </w:r>
          </w:p>
        </w:tc>
        <w:tc>
          <w:tcPr>
            <w:tcW w:w="709" w:type="dxa"/>
          </w:tcPr>
          <w:p w14:paraId="57D0C5E2" w14:textId="096388C6" w:rsidR="004101D2" w:rsidRPr="00E6110F" w:rsidRDefault="004101D2" w:rsidP="004101D2">
            <w:pPr>
              <w:pStyle w:val="Body"/>
            </w:pPr>
            <w:r>
              <w:t>18</w:t>
            </w:r>
          </w:p>
        </w:tc>
        <w:tc>
          <w:tcPr>
            <w:tcW w:w="708" w:type="dxa"/>
          </w:tcPr>
          <w:p w14:paraId="389C2DAA" w14:textId="6F0D374E" w:rsidR="004101D2" w:rsidRDefault="004101D2" w:rsidP="004101D2">
            <w:pPr>
              <w:pStyle w:val="Body"/>
            </w:pPr>
            <w:r>
              <w:t xml:space="preserve">31.2 </w:t>
            </w:r>
          </w:p>
        </w:tc>
        <w:tc>
          <w:tcPr>
            <w:tcW w:w="709" w:type="dxa"/>
          </w:tcPr>
          <w:p w14:paraId="090CD169" w14:textId="63EDE5F7" w:rsidR="004101D2" w:rsidRPr="00E6110F" w:rsidRDefault="004101D2" w:rsidP="004101D2">
            <w:pPr>
              <w:pStyle w:val="Body"/>
            </w:pPr>
            <w:r>
              <w:t>56</w:t>
            </w:r>
          </w:p>
        </w:tc>
        <w:tc>
          <w:tcPr>
            <w:tcW w:w="709" w:type="dxa"/>
          </w:tcPr>
          <w:p w14:paraId="1CE3A160" w14:textId="313F36B3" w:rsidR="004101D2" w:rsidRPr="00E6110F" w:rsidRDefault="004101D2" w:rsidP="004101D2">
            <w:pPr>
              <w:pStyle w:val="Body"/>
            </w:pPr>
            <w:r>
              <w:t xml:space="preserve">60 </w:t>
            </w:r>
          </w:p>
          <w:p w14:paraId="2F857D92" w14:textId="3D7693B1" w:rsidR="004101D2" w:rsidRPr="00E6110F" w:rsidRDefault="004101D2" w:rsidP="004101D2">
            <w:pPr>
              <w:pStyle w:val="Body"/>
            </w:pPr>
          </w:p>
        </w:tc>
        <w:tc>
          <w:tcPr>
            <w:tcW w:w="709" w:type="dxa"/>
          </w:tcPr>
          <w:p w14:paraId="662F3391" w14:textId="3EE4D5E5" w:rsidR="004101D2" w:rsidRPr="00E6110F" w:rsidRDefault="004101D2" w:rsidP="004101D2">
            <w:pPr>
              <w:pStyle w:val="Body"/>
            </w:pPr>
            <w:r>
              <w:t>22</w:t>
            </w:r>
          </w:p>
        </w:tc>
        <w:tc>
          <w:tcPr>
            <w:tcW w:w="567" w:type="dxa"/>
          </w:tcPr>
          <w:p w14:paraId="20460A08" w14:textId="68DDE19E" w:rsidR="004101D2" w:rsidRPr="00E6110F" w:rsidRDefault="004101D2" w:rsidP="004101D2">
            <w:pPr>
              <w:pStyle w:val="Body"/>
            </w:pPr>
            <w:r>
              <w:t>ND</w:t>
            </w:r>
          </w:p>
        </w:tc>
      </w:tr>
      <w:tr w:rsidR="004101D2" w:rsidRPr="00E6110F" w14:paraId="0B3636FC" w14:textId="77777777" w:rsidTr="003520B9">
        <w:tc>
          <w:tcPr>
            <w:tcW w:w="1412" w:type="dxa"/>
          </w:tcPr>
          <w:p w14:paraId="061E3610" w14:textId="761DF394" w:rsidR="004101D2" w:rsidRPr="00E6110F" w:rsidRDefault="004101D2" w:rsidP="004101D2">
            <w:pPr>
              <w:pStyle w:val="Body"/>
            </w:pPr>
            <w:r w:rsidRPr="00E6110F">
              <w:t>Pilliga Sandstone</w:t>
            </w:r>
          </w:p>
        </w:tc>
        <w:tc>
          <w:tcPr>
            <w:tcW w:w="1985" w:type="dxa"/>
          </w:tcPr>
          <w:p w14:paraId="33D19B5E" w14:textId="5013F2C8" w:rsidR="004101D2" w:rsidRPr="00E6110F" w:rsidRDefault="004101D2" w:rsidP="004101D2">
            <w:pPr>
              <w:pStyle w:val="Body"/>
            </w:pPr>
            <w:r w:rsidRPr="00E6110F">
              <w:t xml:space="preserve">OC = 0; </w:t>
            </w:r>
            <w:r w:rsidRPr="00E6110F">
              <w:rPr>
                <w:i/>
              </w:rPr>
              <w:t>f</w:t>
            </w:r>
            <w:r w:rsidRPr="00E6110F">
              <w:rPr>
                <w:vertAlign w:val="subscript"/>
              </w:rPr>
              <w:t>OC</w:t>
            </w:r>
            <w:r w:rsidR="00932F9B">
              <w:rPr>
                <w:vertAlign w:val="subscript"/>
              </w:rPr>
              <w:t>_</w:t>
            </w:r>
            <w:r w:rsidR="006C62CE">
              <w:rPr>
                <w:vertAlign w:val="subscript"/>
              </w:rPr>
              <w:t>r</w:t>
            </w:r>
            <w:r w:rsidRPr="00E6110F">
              <w:t xml:space="preserve"> = 0 </w:t>
            </w:r>
          </w:p>
          <w:p w14:paraId="157585D0" w14:textId="310ADDD4" w:rsidR="004101D2" w:rsidRPr="00E6110F" w:rsidRDefault="004101D2" w:rsidP="004101D2">
            <w:pPr>
              <w:pStyle w:val="Body"/>
            </w:pPr>
            <w:r w:rsidRPr="00E6110F">
              <w:t>(A, B, C, D, E, F, G)</w:t>
            </w:r>
          </w:p>
        </w:tc>
        <w:tc>
          <w:tcPr>
            <w:tcW w:w="709" w:type="dxa"/>
          </w:tcPr>
          <w:p w14:paraId="6CFD23BE" w14:textId="6DECF909" w:rsidR="004101D2" w:rsidRPr="00E6110F" w:rsidRDefault="004101D2" w:rsidP="004101D2">
            <w:pPr>
              <w:pStyle w:val="Body"/>
            </w:pPr>
            <w:r>
              <w:t>1</w:t>
            </w:r>
            <w:r w:rsidR="005510E8">
              <w:t>,</w:t>
            </w:r>
            <w:r>
              <w:t>386</w:t>
            </w:r>
          </w:p>
        </w:tc>
        <w:tc>
          <w:tcPr>
            <w:tcW w:w="709" w:type="dxa"/>
          </w:tcPr>
          <w:p w14:paraId="0688EE94" w14:textId="2D796186" w:rsidR="004101D2" w:rsidRPr="00E6110F" w:rsidRDefault="004101D2" w:rsidP="004101D2">
            <w:pPr>
              <w:pStyle w:val="Body"/>
            </w:pPr>
            <w:r>
              <w:t>NBD</w:t>
            </w:r>
          </w:p>
        </w:tc>
        <w:tc>
          <w:tcPr>
            <w:tcW w:w="709" w:type="dxa"/>
          </w:tcPr>
          <w:p w14:paraId="7D91AA79" w14:textId="5DA92C9D" w:rsidR="004101D2" w:rsidRPr="00E6110F" w:rsidRDefault="004101D2" w:rsidP="004101D2">
            <w:pPr>
              <w:pStyle w:val="Body"/>
            </w:pPr>
            <w:r>
              <w:t>NBD</w:t>
            </w:r>
          </w:p>
        </w:tc>
        <w:tc>
          <w:tcPr>
            <w:tcW w:w="708" w:type="dxa"/>
          </w:tcPr>
          <w:p w14:paraId="7C317021" w14:textId="690F94D5" w:rsidR="004101D2" w:rsidRDefault="004101D2" w:rsidP="004101D2">
            <w:pPr>
              <w:pStyle w:val="Body"/>
            </w:pPr>
            <w:r>
              <w:t xml:space="preserve">31.2 </w:t>
            </w:r>
          </w:p>
        </w:tc>
        <w:tc>
          <w:tcPr>
            <w:tcW w:w="709" w:type="dxa"/>
          </w:tcPr>
          <w:p w14:paraId="2B6D2729" w14:textId="5A90B30A" w:rsidR="004101D2" w:rsidRPr="00E6110F" w:rsidRDefault="004101D2" w:rsidP="004101D2">
            <w:pPr>
              <w:pStyle w:val="Body"/>
            </w:pPr>
            <w:r>
              <w:t>112</w:t>
            </w:r>
          </w:p>
        </w:tc>
        <w:tc>
          <w:tcPr>
            <w:tcW w:w="709" w:type="dxa"/>
          </w:tcPr>
          <w:p w14:paraId="441A76B3" w14:textId="7896DB3C" w:rsidR="004101D2" w:rsidRPr="00E6110F" w:rsidRDefault="004101D2" w:rsidP="004101D2">
            <w:pPr>
              <w:pStyle w:val="Body"/>
            </w:pPr>
            <w:r>
              <w:t>60</w:t>
            </w:r>
          </w:p>
          <w:p w14:paraId="3CFC31DF" w14:textId="4BCA5008" w:rsidR="004101D2" w:rsidRPr="00E6110F" w:rsidRDefault="004101D2" w:rsidP="004101D2">
            <w:pPr>
              <w:pStyle w:val="Body"/>
            </w:pPr>
          </w:p>
        </w:tc>
        <w:tc>
          <w:tcPr>
            <w:tcW w:w="709" w:type="dxa"/>
          </w:tcPr>
          <w:p w14:paraId="3A52BDA2" w14:textId="3E12262D" w:rsidR="004101D2" w:rsidRPr="00E6110F" w:rsidRDefault="004101D2" w:rsidP="004101D2">
            <w:pPr>
              <w:pStyle w:val="Body"/>
            </w:pPr>
            <w:r>
              <w:t>22</w:t>
            </w:r>
          </w:p>
        </w:tc>
        <w:tc>
          <w:tcPr>
            <w:tcW w:w="567" w:type="dxa"/>
          </w:tcPr>
          <w:p w14:paraId="562CAEAE" w14:textId="23255326" w:rsidR="004101D2" w:rsidRPr="00E6110F" w:rsidRDefault="004101D2" w:rsidP="004101D2">
            <w:pPr>
              <w:pStyle w:val="Body"/>
            </w:pPr>
            <w:r>
              <w:t>ND</w:t>
            </w:r>
          </w:p>
        </w:tc>
      </w:tr>
      <w:tr w:rsidR="004101D2" w:rsidRPr="00E6110F" w14:paraId="35E7AD9A" w14:textId="77777777" w:rsidTr="003520B9">
        <w:tc>
          <w:tcPr>
            <w:tcW w:w="1412" w:type="dxa"/>
          </w:tcPr>
          <w:p w14:paraId="39E818FF" w14:textId="77777777" w:rsidR="004101D2" w:rsidRPr="00E6110F" w:rsidRDefault="004101D2" w:rsidP="004101D2">
            <w:pPr>
              <w:pStyle w:val="Body"/>
              <w:rPr>
                <w:strike/>
              </w:rPr>
            </w:pPr>
            <w:r w:rsidRPr="00E6110F">
              <w:t>Blythesdale Group</w:t>
            </w:r>
          </w:p>
        </w:tc>
        <w:tc>
          <w:tcPr>
            <w:tcW w:w="1985" w:type="dxa"/>
          </w:tcPr>
          <w:p w14:paraId="6C999570" w14:textId="7DC55371" w:rsidR="004101D2" w:rsidRPr="00E6110F" w:rsidRDefault="004101D2" w:rsidP="004101D2">
            <w:pPr>
              <w:pStyle w:val="Body"/>
            </w:pPr>
            <w:r w:rsidRPr="00E6110F">
              <w:t xml:space="preserve">OC = 0.08; </w:t>
            </w:r>
            <w:r w:rsidRPr="00E6110F">
              <w:rPr>
                <w:i/>
              </w:rPr>
              <w:t>f</w:t>
            </w:r>
            <w:r w:rsidRPr="00E6110F">
              <w:rPr>
                <w:vertAlign w:val="subscript"/>
              </w:rPr>
              <w:t>OC</w:t>
            </w:r>
            <w:r w:rsidR="00932F9B">
              <w:rPr>
                <w:vertAlign w:val="subscript"/>
              </w:rPr>
              <w:t>_</w:t>
            </w:r>
            <w:r w:rsidR="006C62CE">
              <w:rPr>
                <w:vertAlign w:val="subscript"/>
              </w:rPr>
              <w:t>r</w:t>
            </w:r>
            <w:r w:rsidRPr="00E6110F">
              <w:t xml:space="preserve"> = 0.0008 </w:t>
            </w:r>
          </w:p>
          <w:p w14:paraId="46A068CA" w14:textId="2C69EAFC" w:rsidR="004101D2" w:rsidRPr="00E6110F" w:rsidRDefault="004101D2" w:rsidP="004101D2">
            <w:pPr>
              <w:pStyle w:val="Body"/>
            </w:pPr>
            <w:r w:rsidRPr="00E6110F">
              <w:t>(A, B, C, D, E, F, G)</w:t>
            </w:r>
          </w:p>
        </w:tc>
        <w:tc>
          <w:tcPr>
            <w:tcW w:w="709" w:type="dxa"/>
          </w:tcPr>
          <w:p w14:paraId="3457CB5F" w14:textId="371ACF12" w:rsidR="004101D2" w:rsidRPr="00E6110F" w:rsidRDefault="004101D2" w:rsidP="004101D2">
            <w:pPr>
              <w:pStyle w:val="Body"/>
            </w:pPr>
            <w:r>
              <w:t>1</w:t>
            </w:r>
            <w:r w:rsidR="005510E8">
              <w:t>,</w:t>
            </w:r>
            <w:r>
              <w:t>386</w:t>
            </w:r>
          </w:p>
        </w:tc>
        <w:tc>
          <w:tcPr>
            <w:tcW w:w="709" w:type="dxa"/>
          </w:tcPr>
          <w:p w14:paraId="70356D9F" w14:textId="0B183AEC" w:rsidR="004101D2" w:rsidRPr="00E6110F" w:rsidRDefault="004101D2" w:rsidP="004101D2">
            <w:pPr>
              <w:pStyle w:val="Body"/>
            </w:pPr>
            <w:r>
              <w:t>NBD</w:t>
            </w:r>
          </w:p>
        </w:tc>
        <w:tc>
          <w:tcPr>
            <w:tcW w:w="709" w:type="dxa"/>
          </w:tcPr>
          <w:p w14:paraId="0B46568B" w14:textId="6AD5555D" w:rsidR="004101D2" w:rsidRPr="00E6110F" w:rsidRDefault="004101D2" w:rsidP="004101D2">
            <w:pPr>
              <w:pStyle w:val="Body"/>
            </w:pPr>
            <w:r>
              <w:t>NBD</w:t>
            </w:r>
          </w:p>
        </w:tc>
        <w:tc>
          <w:tcPr>
            <w:tcW w:w="708" w:type="dxa"/>
          </w:tcPr>
          <w:p w14:paraId="2B96141A" w14:textId="15CDA5FE" w:rsidR="004101D2" w:rsidRDefault="004101D2" w:rsidP="004101D2">
            <w:pPr>
              <w:pStyle w:val="Body"/>
            </w:pPr>
            <w:r>
              <w:t xml:space="preserve">31.2 </w:t>
            </w:r>
          </w:p>
        </w:tc>
        <w:tc>
          <w:tcPr>
            <w:tcW w:w="709" w:type="dxa"/>
          </w:tcPr>
          <w:p w14:paraId="0A75A0A5" w14:textId="0FA7989A" w:rsidR="004101D2" w:rsidRPr="00E6110F" w:rsidRDefault="004101D2" w:rsidP="004101D2">
            <w:pPr>
              <w:pStyle w:val="Body"/>
            </w:pPr>
            <w:r>
              <w:t>112</w:t>
            </w:r>
          </w:p>
        </w:tc>
        <w:tc>
          <w:tcPr>
            <w:tcW w:w="709" w:type="dxa"/>
          </w:tcPr>
          <w:p w14:paraId="0AED0B36" w14:textId="28D38B44" w:rsidR="004101D2" w:rsidRPr="00E6110F" w:rsidRDefault="004101D2" w:rsidP="004101D2">
            <w:pPr>
              <w:pStyle w:val="Body"/>
            </w:pPr>
            <w:r>
              <w:t>60</w:t>
            </w:r>
          </w:p>
          <w:p w14:paraId="77556B9E" w14:textId="15842B16" w:rsidR="004101D2" w:rsidRPr="00E6110F" w:rsidRDefault="004101D2" w:rsidP="004101D2">
            <w:pPr>
              <w:pStyle w:val="Body"/>
            </w:pPr>
          </w:p>
        </w:tc>
        <w:tc>
          <w:tcPr>
            <w:tcW w:w="709" w:type="dxa"/>
          </w:tcPr>
          <w:p w14:paraId="5D118669" w14:textId="5F56024E" w:rsidR="004101D2" w:rsidRPr="00E6110F" w:rsidRDefault="004101D2" w:rsidP="004101D2">
            <w:pPr>
              <w:pStyle w:val="Body"/>
            </w:pPr>
            <w:r w:rsidRPr="00E6110F">
              <w:t>2</w:t>
            </w:r>
            <w:r>
              <w:t>2</w:t>
            </w:r>
          </w:p>
        </w:tc>
        <w:tc>
          <w:tcPr>
            <w:tcW w:w="567" w:type="dxa"/>
          </w:tcPr>
          <w:p w14:paraId="5A4F7927" w14:textId="141AB78E" w:rsidR="004101D2" w:rsidRPr="00E6110F" w:rsidRDefault="004101D2" w:rsidP="004101D2">
            <w:pPr>
              <w:pStyle w:val="Body"/>
              <w:rPr>
                <w:vertAlign w:val="superscript"/>
              </w:rPr>
            </w:pPr>
            <w:r>
              <w:t>ND</w:t>
            </w:r>
          </w:p>
        </w:tc>
      </w:tr>
      <w:tr w:rsidR="004101D2" w:rsidRPr="00E6110F" w14:paraId="62DDEFCD" w14:textId="77777777" w:rsidTr="003520B9">
        <w:tc>
          <w:tcPr>
            <w:tcW w:w="1412" w:type="dxa"/>
          </w:tcPr>
          <w:p w14:paraId="13FBBE05" w14:textId="1472C32B" w:rsidR="004101D2" w:rsidRPr="00E6110F" w:rsidRDefault="004101D2" w:rsidP="004101D2">
            <w:pPr>
              <w:pStyle w:val="Body"/>
            </w:pPr>
            <w:r w:rsidRPr="00E6110F">
              <w:t xml:space="preserve">Hoskisson seam </w:t>
            </w:r>
          </w:p>
        </w:tc>
        <w:tc>
          <w:tcPr>
            <w:tcW w:w="1985" w:type="dxa"/>
          </w:tcPr>
          <w:p w14:paraId="4FA0E677" w14:textId="401E9EF3" w:rsidR="004101D2" w:rsidRPr="00E6110F" w:rsidRDefault="004101D2" w:rsidP="004101D2">
            <w:pPr>
              <w:pStyle w:val="Body"/>
            </w:pPr>
            <w:r w:rsidRPr="00E6110F">
              <w:t xml:space="preserve">OC = </w:t>
            </w:r>
            <w:r w:rsidR="008600D2">
              <w:t>55</w:t>
            </w:r>
            <w:r w:rsidRPr="00E6110F">
              <w:t xml:space="preserve">.5; </w:t>
            </w:r>
            <w:r w:rsidRPr="00E6110F">
              <w:rPr>
                <w:i/>
              </w:rPr>
              <w:t>f</w:t>
            </w:r>
            <w:r w:rsidRPr="00E6110F">
              <w:rPr>
                <w:vertAlign w:val="subscript"/>
              </w:rPr>
              <w:t>OC</w:t>
            </w:r>
            <w:r w:rsidR="00932F9B">
              <w:rPr>
                <w:vertAlign w:val="subscript"/>
              </w:rPr>
              <w:t>_</w:t>
            </w:r>
            <w:r w:rsidR="006C62CE">
              <w:rPr>
                <w:vertAlign w:val="subscript"/>
              </w:rPr>
              <w:t>r</w:t>
            </w:r>
            <w:r w:rsidRPr="00E6110F">
              <w:t xml:space="preserve"> = 0.275 </w:t>
            </w:r>
          </w:p>
          <w:p w14:paraId="3F0EA07C" w14:textId="1964388E" w:rsidR="004101D2" w:rsidRPr="00E6110F" w:rsidRDefault="004101D2" w:rsidP="004101D2">
            <w:pPr>
              <w:pStyle w:val="Body"/>
            </w:pPr>
            <w:r w:rsidRPr="00E6110F">
              <w:t>(A, D, E, F)</w:t>
            </w:r>
          </w:p>
          <w:p w14:paraId="2F2F7DCE" w14:textId="3CB77355" w:rsidR="004101D2" w:rsidRPr="00E6110F" w:rsidRDefault="004101D2" w:rsidP="004101D2">
            <w:pPr>
              <w:pStyle w:val="Body"/>
            </w:pPr>
            <w:r w:rsidRPr="00E6110F">
              <w:t xml:space="preserve">&gt;27.5 (B, C, </w:t>
            </w:r>
            <w:r>
              <w:t>G</w:t>
            </w:r>
            <w:r w:rsidRPr="00E6110F">
              <w:t>)</w:t>
            </w:r>
            <w:r w:rsidRPr="00E6110F">
              <w:rPr>
                <w:vertAlign w:val="superscript"/>
              </w:rPr>
              <w:t>@</w:t>
            </w:r>
          </w:p>
        </w:tc>
        <w:tc>
          <w:tcPr>
            <w:tcW w:w="709" w:type="dxa"/>
          </w:tcPr>
          <w:p w14:paraId="573C584A" w14:textId="1A86C8AC" w:rsidR="004101D2" w:rsidRPr="00E6110F" w:rsidRDefault="004101D2" w:rsidP="004101D2">
            <w:pPr>
              <w:pStyle w:val="Body"/>
            </w:pPr>
            <w:r>
              <w:t>1</w:t>
            </w:r>
            <w:r w:rsidR="005510E8">
              <w:t>,</w:t>
            </w:r>
            <w:r>
              <w:t>386</w:t>
            </w:r>
          </w:p>
        </w:tc>
        <w:tc>
          <w:tcPr>
            <w:tcW w:w="709" w:type="dxa"/>
          </w:tcPr>
          <w:p w14:paraId="4D898EE4" w14:textId="5C7493ED" w:rsidR="004101D2" w:rsidRPr="00E6110F" w:rsidRDefault="004101D2" w:rsidP="004101D2">
            <w:pPr>
              <w:pStyle w:val="Body"/>
            </w:pPr>
            <w:r>
              <w:t>NBD</w:t>
            </w:r>
          </w:p>
        </w:tc>
        <w:tc>
          <w:tcPr>
            <w:tcW w:w="709" w:type="dxa"/>
          </w:tcPr>
          <w:p w14:paraId="626F4FA3" w14:textId="5AA4BFBE" w:rsidR="004101D2" w:rsidRPr="00E6110F" w:rsidRDefault="004101D2" w:rsidP="004101D2">
            <w:pPr>
              <w:pStyle w:val="Body"/>
            </w:pPr>
            <w:r>
              <w:t>NBD</w:t>
            </w:r>
          </w:p>
        </w:tc>
        <w:tc>
          <w:tcPr>
            <w:tcW w:w="708" w:type="dxa"/>
          </w:tcPr>
          <w:p w14:paraId="5DAAFE7E" w14:textId="0D65C95C" w:rsidR="004101D2" w:rsidRDefault="004101D2" w:rsidP="004101D2">
            <w:pPr>
              <w:pStyle w:val="Body"/>
            </w:pPr>
            <w:r>
              <w:t xml:space="preserve">31.2 </w:t>
            </w:r>
          </w:p>
        </w:tc>
        <w:tc>
          <w:tcPr>
            <w:tcW w:w="709" w:type="dxa"/>
          </w:tcPr>
          <w:p w14:paraId="73AE8FEB" w14:textId="378E0037" w:rsidR="004101D2" w:rsidRPr="00E6110F" w:rsidRDefault="004101D2" w:rsidP="004101D2">
            <w:pPr>
              <w:pStyle w:val="Body"/>
            </w:pPr>
            <w:r>
              <w:t>112</w:t>
            </w:r>
          </w:p>
        </w:tc>
        <w:tc>
          <w:tcPr>
            <w:tcW w:w="709" w:type="dxa"/>
          </w:tcPr>
          <w:p w14:paraId="1FF8B4BB" w14:textId="73610F88" w:rsidR="004101D2" w:rsidRPr="00E6110F" w:rsidRDefault="004101D2" w:rsidP="004101D2">
            <w:pPr>
              <w:pStyle w:val="Body"/>
            </w:pPr>
            <w:r>
              <w:t>60</w:t>
            </w:r>
          </w:p>
          <w:p w14:paraId="005A1FF1" w14:textId="5DA08F83" w:rsidR="004101D2" w:rsidRPr="00E6110F" w:rsidRDefault="004101D2" w:rsidP="004101D2">
            <w:pPr>
              <w:pStyle w:val="Body"/>
            </w:pPr>
          </w:p>
        </w:tc>
        <w:tc>
          <w:tcPr>
            <w:tcW w:w="709" w:type="dxa"/>
          </w:tcPr>
          <w:p w14:paraId="34289542" w14:textId="4E30CA55" w:rsidR="004101D2" w:rsidRPr="00E6110F" w:rsidRDefault="004101D2" w:rsidP="004101D2">
            <w:pPr>
              <w:pStyle w:val="Body"/>
            </w:pPr>
            <w:r>
              <w:t>22</w:t>
            </w:r>
          </w:p>
        </w:tc>
        <w:tc>
          <w:tcPr>
            <w:tcW w:w="567" w:type="dxa"/>
          </w:tcPr>
          <w:p w14:paraId="52500508" w14:textId="60008EF0" w:rsidR="004101D2" w:rsidRPr="00E6110F" w:rsidRDefault="004101D2" w:rsidP="004101D2">
            <w:pPr>
              <w:pStyle w:val="Body"/>
            </w:pPr>
            <w:r>
              <w:t>ND</w:t>
            </w:r>
          </w:p>
        </w:tc>
      </w:tr>
      <w:tr w:rsidR="004101D2" w:rsidRPr="00E6110F" w14:paraId="650B2544" w14:textId="77777777" w:rsidTr="003520B9">
        <w:tc>
          <w:tcPr>
            <w:tcW w:w="1412" w:type="dxa"/>
          </w:tcPr>
          <w:p w14:paraId="77457AE3" w14:textId="77777777" w:rsidR="004101D2" w:rsidRPr="00E6110F" w:rsidRDefault="004101D2" w:rsidP="004101D2">
            <w:pPr>
              <w:pStyle w:val="Body"/>
            </w:pPr>
            <w:r w:rsidRPr="00E6110F">
              <w:t>Maules Creek Formation (upper)</w:t>
            </w:r>
          </w:p>
        </w:tc>
        <w:tc>
          <w:tcPr>
            <w:tcW w:w="1985" w:type="dxa"/>
          </w:tcPr>
          <w:p w14:paraId="71591292" w14:textId="1F7A4130" w:rsidR="004101D2" w:rsidRPr="00E6110F" w:rsidRDefault="004101D2" w:rsidP="004101D2">
            <w:pPr>
              <w:pStyle w:val="Body"/>
            </w:pPr>
            <w:r w:rsidRPr="00E6110F">
              <w:t xml:space="preserve">OC = 0; </w:t>
            </w:r>
            <w:r w:rsidRPr="00E6110F">
              <w:rPr>
                <w:i/>
              </w:rPr>
              <w:t>f</w:t>
            </w:r>
            <w:r w:rsidRPr="00E6110F">
              <w:rPr>
                <w:vertAlign w:val="subscript"/>
              </w:rPr>
              <w:t>OC</w:t>
            </w:r>
            <w:r w:rsidR="00932F9B">
              <w:rPr>
                <w:vertAlign w:val="subscript"/>
              </w:rPr>
              <w:t>_</w:t>
            </w:r>
            <w:r w:rsidR="006C62CE">
              <w:rPr>
                <w:vertAlign w:val="subscript"/>
              </w:rPr>
              <w:t>r</w:t>
            </w:r>
            <w:r w:rsidRPr="00E6110F">
              <w:t xml:space="preserve"> = 0 </w:t>
            </w:r>
          </w:p>
          <w:p w14:paraId="6D044958" w14:textId="5EBFB61E" w:rsidR="004101D2" w:rsidRPr="00E6110F" w:rsidRDefault="004101D2" w:rsidP="004101D2">
            <w:pPr>
              <w:pStyle w:val="Body"/>
            </w:pPr>
            <w:r w:rsidRPr="00E6110F">
              <w:t>(A, B, C, D, E, F, G)</w:t>
            </w:r>
          </w:p>
        </w:tc>
        <w:tc>
          <w:tcPr>
            <w:tcW w:w="709" w:type="dxa"/>
          </w:tcPr>
          <w:p w14:paraId="3621185E" w14:textId="3FCD2DE0" w:rsidR="004101D2" w:rsidRPr="00E6110F" w:rsidRDefault="004101D2" w:rsidP="004101D2">
            <w:pPr>
              <w:pStyle w:val="Body"/>
            </w:pPr>
            <w:r>
              <w:t>1</w:t>
            </w:r>
            <w:r w:rsidR="005510E8">
              <w:t>,</w:t>
            </w:r>
            <w:r>
              <w:t>386</w:t>
            </w:r>
          </w:p>
        </w:tc>
        <w:tc>
          <w:tcPr>
            <w:tcW w:w="709" w:type="dxa"/>
          </w:tcPr>
          <w:p w14:paraId="56C9025F" w14:textId="3FB3BF57" w:rsidR="004101D2" w:rsidRPr="00E6110F" w:rsidRDefault="004101D2" w:rsidP="004101D2">
            <w:pPr>
              <w:pStyle w:val="Body"/>
            </w:pPr>
            <w:r>
              <w:t>NBD</w:t>
            </w:r>
          </w:p>
        </w:tc>
        <w:tc>
          <w:tcPr>
            <w:tcW w:w="709" w:type="dxa"/>
          </w:tcPr>
          <w:p w14:paraId="685D16F0" w14:textId="0ED2D195" w:rsidR="004101D2" w:rsidRPr="00E6110F" w:rsidRDefault="004101D2" w:rsidP="004101D2">
            <w:pPr>
              <w:pStyle w:val="Body"/>
            </w:pPr>
            <w:r>
              <w:t>NBD</w:t>
            </w:r>
          </w:p>
        </w:tc>
        <w:tc>
          <w:tcPr>
            <w:tcW w:w="708" w:type="dxa"/>
          </w:tcPr>
          <w:p w14:paraId="78767BB6" w14:textId="5F223CC9" w:rsidR="004101D2" w:rsidRDefault="004101D2" w:rsidP="004101D2">
            <w:pPr>
              <w:pStyle w:val="Body"/>
            </w:pPr>
            <w:r>
              <w:t xml:space="preserve">31.2 </w:t>
            </w:r>
          </w:p>
        </w:tc>
        <w:tc>
          <w:tcPr>
            <w:tcW w:w="709" w:type="dxa"/>
          </w:tcPr>
          <w:p w14:paraId="08555C72" w14:textId="03F210AD" w:rsidR="004101D2" w:rsidRPr="00E6110F" w:rsidRDefault="004101D2" w:rsidP="004101D2">
            <w:pPr>
              <w:pStyle w:val="Body"/>
            </w:pPr>
            <w:r>
              <w:t>112</w:t>
            </w:r>
          </w:p>
        </w:tc>
        <w:tc>
          <w:tcPr>
            <w:tcW w:w="709" w:type="dxa"/>
          </w:tcPr>
          <w:p w14:paraId="7D0A2DF3" w14:textId="24A3872A" w:rsidR="004101D2" w:rsidRPr="00E6110F" w:rsidRDefault="004101D2" w:rsidP="004101D2">
            <w:pPr>
              <w:pStyle w:val="Body"/>
            </w:pPr>
            <w:r w:rsidRPr="00E6110F">
              <w:t>6</w:t>
            </w:r>
            <w:r>
              <w:t>0</w:t>
            </w:r>
          </w:p>
          <w:p w14:paraId="291C5D3F" w14:textId="0AD429D4" w:rsidR="004101D2" w:rsidRPr="00E6110F" w:rsidRDefault="004101D2" w:rsidP="004101D2">
            <w:pPr>
              <w:pStyle w:val="Body"/>
            </w:pPr>
          </w:p>
        </w:tc>
        <w:tc>
          <w:tcPr>
            <w:tcW w:w="709" w:type="dxa"/>
          </w:tcPr>
          <w:p w14:paraId="638695B2" w14:textId="48E50C78" w:rsidR="004101D2" w:rsidRPr="00E6110F" w:rsidRDefault="004101D2" w:rsidP="004101D2">
            <w:pPr>
              <w:pStyle w:val="Body"/>
            </w:pPr>
            <w:r>
              <w:t>22</w:t>
            </w:r>
          </w:p>
        </w:tc>
        <w:tc>
          <w:tcPr>
            <w:tcW w:w="567" w:type="dxa"/>
          </w:tcPr>
          <w:p w14:paraId="0F3E5337" w14:textId="10786A8D" w:rsidR="004101D2" w:rsidRPr="00E6110F" w:rsidRDefault="004101D2" w:rsidP="004101D2">
            <w:pPr>
              <w:pStyle w:val="Body"/>
            </w:pPr>
            <w:r>
              <w:t>ND</w:t>
            </w:r>
          </w:p>
        </w:tc>
      </w:tr>
      <w:tr w:rsidR="004101D2" w:rsidRPr="00E6110F" w14:paraId="356CD616" w14:textId="77777777" w:rsidTr="003520B9">
        <w:tc>
          <w:tcPr>
            <w:tcW w:w="1412" w:type="dxa"/>
          </w:tcPr>
          <w:p w14:paraId="77A19C0F" w14:textId="11B617F9" w:rsidR="004101D2" w:rsidRPr="00E6110F" w:rsidRDefault="004101D2" w:rsidP="004101D2">
            <w:pPr>
              <w:pStyle w:val="Body"/>
            </w:pPr>
            <w:r w:rsidRPr="00E6110F">
              <w:t>Maules Creek Formation (Bohena coal measures)</w:t>
            </w:r>
          </w:p>
        </w:tc>
        <w:tc>
          <w:tcPr>
            <w:tcW w:w="1985" w:type="dxa"/>
          </w:tcPr>
          <w:p w14:paraId="58764BEE" w14:textId="5DF97725" w:rsidR="004101D2" w:rsidRPr="00E6110F" w:rsidRDefault="004101D2" w:rsidP="004101D2">
            <w:pPr>
              <w:pStyle w:val="Body"/>
            </w:pPr>
            <w:r w:rsidRPr="00E6110F">
              <w:t xml:space="preserve">OC = </w:t>
            </w:r>
            <w:r w:rsidR="008600D2">
              <w:t>55</w:t>
            </w:r>
            <w:r w:rsidRPr="00E6110F">
              <w:t>.5;</w:t>
            </w:r>
            <w:r w:rsidRPr="00E6110F">
              <w:rPr>
                <w:i/>
              </w:rPr>
              <w:t xml:space="preserve"> f</w:t>
            </w:r>
            <w:r w:rsidRPr="00E6110F">
              <w:rPr>
                <w:vertAlign w:val="subscript"/>
              </w:rPr>
              <w:t>OC</w:t>
            </w:r>
            <w:r w:rsidR="00932F9B">
              <w:rPr>
                <w:vertAlign w:val="subscript"/>
              </w:rPr>
              <w:t>_</w:t>
            </w:r>
            <w:r w:rsidR="006C62CE">
              <w:rPr>
                <w:vertAlign w:val="subscript"/>
              </w:rPr>
              <w:t>r</w:t>
            </w:r>
            <w:r w:rsidRPr="00E6110F">
              <w:t xml:space="preserve"> = 0.275 </w:t>
            </w:r>
          </w:p>
          <w:p w14:paraId="52E8B08F" w14:textId="74E3B495" w:rsidR="004101D2" w:rsidRPr="00E6110F" w:rsidRDefault="004101D2" w:rsidP="004101D2">
            <w:pPr>
              <w:pStyle w:val="Body"/>
            </w:pPr>
            <w:r w:rsidRPr="00E6110F">
              <w:t>(A, B, C, D, E, F, G)</w:t>
            </w:r>
          </w:p>
        </w:tc>
        <w:tc>
          <w:tcPr>
            <w:tcW w:w="709" w:type="dxa"/>
          </w:tcPr>
          <w:p w14:paraId="49F888C8" w14:textId="3D65B77A" w:rsidR="004101D2" w:rsidRPr="00E6110F" w:rsidRDefault="004101D2" w:rsidP="004101D2">
            <w:pPr>
              <w:pStyle w:val="Body"/>
            </w:pPr>
            <w:r>
              <w:t>1</w:t>
            </w:r>
            <w:r w:rsidR="005510E8">
              <w:t>,</w:t>
            </w:r>
            <w:r>
              <w:t>386</w:t>
            </w:r>
          </w:p>
        </w:tc>
        <w:tc>
          <w:tcPr>
            <w:tcW w:w="709" w:type="dxa"/>
          </w:tcPr>
          <w:p w14:paraId="00654B2D" w14:textId="7A3B8F82" w:rsidR="004101D2" w:rsidRPr="00E6110F" w:rsidRDefault="004101D2" w:rsidP="004101D2">
            <w:pPr>
              <w:pStyle w:val="Body"/>
            </w:pPr>
            <w:r>
              <w:t>NBD</w:t>
            </w:r>
          </w:p>
        </w:tc>
        <w:tc>
          <w:tcPr>
            <w:tcW w:w="709" w:type="dxa"/>
          </w:tcPr>
          <w:p w14:paraId="500726FF" w14:textId="70053521" w:rsidR="004101D2" w:rsidRPr="00E6110F" w:rsidRDefault="004101D2" w:rsidP="004101D2">
            <w:pPr>
              <w:pStyle w:val="Body"/>
            </w:pPr>
            <w:r>
              <w:t>NBD</w:t>
            </w:r>
          </w:p>
        </w:tc>
        <w:tc>
          <w:tcPr>
            <w:tcW w:w="708" w:type="dxa"/>
          </w:tcPr>
          <w:p w14:paraId="427BE493" w14:textId="3F82CE3A" w:rsidR="004101D2" w:rsidRDefault="004101D2" w:rsidP="004101D2">
            <w:pPr>
              <w:pStyle w:val="Body"/>
            </w:pPr>
            <w:r>
              <w:t xml:space="preserve">31.2 </w:t>
            </w:r>
          </w:p>
        </w:tc>
        <w:tc>
          <w:tcPr>
            <w:tcW w:w="709" w:type="dxa"/>
          </w:tcPr>
          <w:p w14:paraId="16093056" w14:textId="7474DE2A" w:rsidR="004101D2" w:rsidRPr="00E6110F" w:rsidRDefault="004101D2" w:rsidP="004101D2">
            <w:pPr>
              <w:pStyle w:val="Body"/>
            </w:pPr>
            <w:r>
              <w:t>112</w:t>
            </w:r>
          </w:p>
        </w:tc>
        <w:tc>
          <w:tcPr>
            <w:tcW w:w="709" w:type="dxa"/>
          </w:tcPr>
          <w:p w14:paraId="7AF8E65F" w14:textId="597C873B" w:rsidR="004101D2" w:rsidRPr="00E6110F" w:rsidRDefault="004101D2" w:rsidP="004101D2">
            <w:pPr>
              <w:pStyle w:val="Body"/>
            </w:pPr>
            <w:r>
              <w:t>60</w:t>
            </w:r>
          </w:p>
          <w:p w14:paraId="5B1A8487" w14:textId="4DC83E41" w:rsidR="004101D2" w:rsidRPr="00E6110F" w:rsidRDefault="004101D2" w:rsidP="004101D2">
            <w:pPr>
              <w:pStyle w:val="Body"/>
            </w:pPr>
          </w:p>
        </w:tc>
        <w:tc>
          <w:tcPr>
            <w:tcW w:w="709" w:type="dxa"/>
          </w:tcPr>
          <w:p w14:paraId="059B088B" w14:textId="5E3922AE" w:rsidR="004101D2" w:rsidRPr="00E6110F" w:rsidRDefault="004101D2" w:rsidP="004101D2">
            <w:pPr>
              <w:pStyle w:val="Body"/>
            </w:pPr>
            <w:r>
              <w:t>22</w:t>
            </w:r>
          </w:p>
        </w:tc>
        <w:tc>
          <w:tcPr>
            <w:tcW w:w="567" w:type="dxa"/>
          </w:tcPr>
          <w:p w14:paraId="3F6C3653" w14:textId="769C6322" w:rsidR="004101D2" w:rsidRPr="00E6110F" w:rsidRDefault="004101D2" w:rsidP="004101D2">
            <w:pPr>
              <w:pStyle w:val="Body"/>
            </w:pPr>
            <w:r>
              <w:t>ND</w:t>
            </w:r>
          </w:p>
        </w:tc>
      </w:tr>
      <w:tr w:rsidR="004101D2" w:rsidRPr="00E6110F" w14:paraId="668AB6A2" w14:textId="77777777" w:rsidTr="003520B9">
        <w:tc>
          <w:tcPr>
            <w:tcW w:w="1412" w:type="dxa"/>
          </w:tcPr>
          <w:p w14:paraId="2B5DCBDB" w14:textId="77777777" w:rsidR="004101D2" w:rsidRPr="00E6110F" w:rsidRDefault="004101D2" w:rsidP="004101D2">
            <w:pPr>
              <w:pStyle w:val="Body"/>
            </w:pPr>
            <w:r w:rsidRPr="00E6110F">
              <w:t>Maules Creek Formation (lower)</w:t>
            </w:r>
          </w:p>
        </w:tc>
        <w:tc>
          <w:tcPr>
            <w:tcW w:w="1985" w:type="dxa"/>
          </w:tcPr>
          <w:p w14:paraId="15F843F9" w14:textId="69E8428D" w:rsidR="004101D2" w:rsidRPr="00E6110F" w:rsidRDefault="004101D2" w:rsidP="004101D2">
            <w:pPr>
              <w:pStyle w:val="Body"/>
            </w:pPr>
            <w:r w:rsidRPr="00E6110F">
              <w:t xml:space="preserve">OC = 0; </w:t>
            </w:r>
            <w:r w:rsidRPr="00E6110F">
              <w:rPr>
                <w:i/>
              </w:rPr>
              <w:t>f</w:t>
            </w:r>
            <w:r w:rsidRPr="00E6110F">
              <w:rPr>
                <w:vertAlign w:val="subscript"/>
              </w:rPr>
              <w:t>OC</w:t>
            </w:r>
            <w:r w:rsidR="00932F9B">
              <w:rPr>
                <w:vertAlign w:val="subscript"/>
              </w:rPr>
              <w:t>_</w:t>
            </w:r>
            <w:r w:rsidR="006C62CE">
              <w:rPr>
                <w:vertAlign w:val="subscript"/>
              </w:rPr>
              <w:t>r</w:t>
            </w:r>
            <w:r w:rsidRPr="00E6110F">
              <w:t xml:space="preserve"> = 0</w:t>
            </w:r>
          </w:p>
          <w:p w14:paraId="00A7531B" w14:textId="42471ECE" w:rsidR="004101D2" w:rsidRPr="00E6110F" w:rsidRDefault="004101D2" w:rsidP="004101D2">
            <w:pPr>
              <w:pStyle w:val="Body"/>
            </w:pPr>
            <w:r w:rsidRPr="00E6110F">
              <w:t>(A, B, C, D, E, F, G)</w:t>
            </w:r>
          </w:p>
        </w:tc>
        <w:tc>
          <w:tcPr>
            <w:tcW w:w="709" w:type="dxa"/>
          </w:tcPr>
          <w:p w14:paraId="5C53D818" w14:textId="023C99A4" w:rsidR="004101D2" w:rsidRPr="00E6110F" w:rsidRDefault="004101D2" w:rsidP="004101D2">
            <w:pPr>
              <w:pStyle w:val="Body"/>
            </w:pPr>
            <w:r>
              <w:t>1</w:t>
            </w:r>
            <w:r w:rsidR="005510E8">
              <w:t>,</w:t>
            </w:r>
            <w:r>
              <w:t>386</w:t>
            </w:r>
          </w:p>
        </w:tc>
        <w:tc>
          <w:tcPr>
            <w:tcW w:w="709" w:type="dxa"/>
          </w:tcPr>
          <w:p w14:paraId="5EC17928" w14:textId="6C46DC15" w:rsidR="004101D2" w:rsidRPr="00E6110F" w:rsidRDefault="004101D2" w:rsidP="004101D2">
            <w:pPr>
              <w:pStyle w:val="Body"/>
            </w:pPr>
            <w:r>
              <w:t>NBD</w:t>
            </w:r>
          </w:p>
        </w:tc>
        <w:tc>
          <w:tcPr>
            <w:tcW w:w="709" w:type="dxa"/>
          </w:tcPr>
          <w:p w14:paraId="0A997EC2" w14:textId="5ED18A4D" w:rsidR="004101D2" w:rsidRPr="00E6110F" w:rsidRDefault="004101D2" w:rsidP="004101D2">
            <w:pPr>
              <w:pStyle w:val="Body"/>
            </w:pPr>
            <w:r>
              <w:t>NBD</w:t>
            </w:r>
          </w:p>
        </w:tc>
        <w:tc>
          <w:tcPr>
            <w:tcW w:w="708" w:type="dxa"/>
          </w:tcPr>
          <w:p w14:paraId="6826FB32" w14:textId="182E4D6E" w:rsidR="004101D2" w:rsidRDefault="004101D2" w:rsidP="004101D2">
            <w:pPr>
              <w:pStyle w:val="Body"/>
            </w:pPr>
            <w:r>
              <w:t xml:space="preserve">31.2 </w:t>
            </w:r>
          </w:p>
        </w:tc>
        <w:tc>
          <w:tcPr>
            <w:tcW w:w="709" w:type="dxa"/>
          </w:tcPr>
          <w:p w14:paraId="28978D67" w14:textId="25FCA3DC" w:rsidR="004101D2" w:rsidRPr="00E6110F" w:rsidRDefault="004101D2" w:rsidP="004101D2">
            <w:pPr>
              <w:pStyle w:val="Body"/>
            </w:pPr>
            <w:r>
              <w:t>112</w:t>
            </w:r>
          </w:p>
        </w:tc>
        <w:tc>
          <w:tcPr>
            <w:tcW w:w="709" w:type="dxa"/>
          </w:tcPr>
          <w:p w14:paraId="23F9FCAF" w14:textId="1678D20D" w:rsidR="004101D2" w:rsidRPr="00E6110F" w:rsidRDefault="004101D2" w:rsidP="004101D2">
            <w:pPr>
              <w:pStyle w:val="Body"/>
            </w:pPr>
            <w:r>
              <w:t>60</w:t>
            </w:r>
          </w:p>
          <w:p w14:paraId="778D2AF8" w14:textId="79901C38" w:rsidR="004101D2" w:rsidRPr="00E6110F" w:rsidRDefault="004101D2" w:rsidP="004101D2">
            <w:pPr>
              <w:pStyle w:val="Body"/>
            </w:pPr>
          </w:p>
        </w:tc>
        <w:tc>
          <w:tcPr>
            <w:tcW w:w="709" w:type="dxa"/>
          </w:tcPr>
          <w:p w14:paraId="43AC9966" w14:textId="161C346F" w:rsidR="004101D2" w:rsidRPr="00E6110F" w:rsidRDefault="004101D2" w:rsidP="004101D2">
            <w:pPr>
              <w:pStyle w:val="Body"/>
            </w:pPr>
            <w:r>
              <w:t>22</w:t>
            </w:r>
          </w:p>
        </w:tc>
        <w:tc>
          <w:tcPr>
            <w:tcW w:w="567" w:type="dxa"/>
          </w:tcPr>
          <w:p w14:paraId="62B8CC83" w14:textId="68940D3B" w:rsidR="004101D2" w:rsidRPr="00E6110F" w:rsidRDefault="004101D2" w:rsidP="004101D2">
            <w:pPr>
              <w:pStyle w:val="Body"/>
            </w:pPr>
            <w:r>
              <w:t>ND</w:t>
            </w:r>
          </w:p>
        </w:tc>
      </w:tr>
    </w:tbl>
    <w:p w14:paraId="728D62BA" w14:textId="77777777" w:rsidR="00863721" w:rsidRPr="00E6110F" w:rsidRDefault="00863721" w:rsidP="00863721">
      <w:pPr>
        <w:rPr>
          <w:lang w:val="en-GB"/>
        </w:rPr>
      </w:pPr>
    </w:p>
    <w:p w14:paraId="1E892DF5" w14:textId="43EEF2AE" w:rsidR="00DD6211" w:rsidRPr="00E6110F" w:rsidRDefault="00DD6211" w:rsidP="00EA0000">
      <w:pPr>
        <w:pStyle w:val="Heading3"/>
        <w:numPr>
          <w:ilvl w:val="4"/>
          <w:numId w:val="1"/>
        </w:numPr>
      </w:pPr>
      <w:bookmarkStart w:id="520" w:name="_Ref477092383"/>
      <w:bookmarkStart w:id="521" w:name="_Toc494444608"/>
      <w:r w:rsidRPr="00E6110F">
        <w:t>Surat Basin</w:t>
      </w:r>
      <w:bookmarkEnd w:id="520"/>
      <w:bookmarkEnd w:id="521"/>
    </w:p>
    <w:p w14:paraId="3D0A7641" w14:textId="666B7065" w:rsidR="00594316" w:rsidRDefault="00594316" w:rsidP="00DD6211">
      <w:pPr>
        <w:pStyle w:val="Body"/>
      </w:pPr>
      <w:r>
        <w:t>For the Dawson River alluvium a value of 0.1% organic carbon is assumed to be appropriate, based on the reasoning developed for the Namoi alluvium.</w:t>
      </w:r>
    </w:p>
    <w:p w14:paraId="6CFB9FF6" w14:textId="313AA661" w:rsidR="00594316" w:rsidRPr="00E6110F" w:rsidRDefault="00594316" w:rsidP="00594316">
      <w:pPr>
        <w:pStyle w:val="Body"/>
      </w:pPr>
      <w:r>
        <w:t xml:space="preserve">The </w:t>
      </w:r>
      <w:r w:rsidRPr="00E6110F">
        <w:t>BMO Group</w:t>
      </w:r>
      <w:r>
        <w:t xml:space="preserve">, Westbourne, Springbok and Hutton Sandstone are all assumed to have a negligible organic carbon content. The parameter </w:t>
      </w:r>
      <w:r w:rsidRPr="00E6110F">
        <w:rPr>
          <w:i/>
        </w:rPr>
        <w:t>f</w:t>
      </w:r>
      <w:r w:rsidRPr="00E6110F">
        <w:rPr>
          <w:vertAlign w:val="subscript"/>
        </w:rPr>
        <w:t>OC</w:t>
      </w:r>
      <w:r>
        <w:rPr>
          <w:vertAlign w:val="subscript"/>
        </w:rPr>
        <w:t xml:space="preserve"> </w:t>
      </w:r>
      <w:r w:rsidRPr="00CF1E8F">
        <w:t xml:space="preserve">is therefore </w:t>
      </w:r>
      <w:r>
        <w:t>zero for all these layers.</w:t>
      </w:r>
    </w:p>
    <w:p w14:paraId="050A50C1" w14:textId="71BBE6CC" w:rsidR="00594316" w:rsidRDefault="00594316" w:rsidP="00DD6211">
      <w:pPr>
        <w:pStyle w:val="Body"/>
      </w:pPr>
      <w:r>
        <w:t>Gubberamunda Sandstone is considered to have similar characteristics as the Blythesdale Group, as far as organic carbon is assumed.</w:t>
      </w:r>
      <w:r w:rsidRPr="00E6110F">
        <w:rPr>
          <w:lang w:val="en-AU"/>
        </w:rPr>
        <w:t xml:space="preserve"> </w:t>
      </w:r>
      <w:r>
        <w:rPr>
          <w:lang w:val="en-AU"/>
        </w:rPr>
        <w:t xml:space="preserve">Based on an </w:t>
      </w:r>
      <w:r w:rsidRPr="00E6110F">
        <w:rPr>
          <w:lang w:val="en-AU"/>
        </w:rPr>
        <w:t xml:space="preserve">average </w:t>
      </w:r>
      <w:r>
        <w:rPr>
          <w:lang w:val="en-AU"/>
        </w:rPr>
        <w:t xml:space="preserve">of </w:t>
      </w:r>
      <w:r w:rsidRPr="00E6110F">
        <w:rPr>
          <w:lang w:val="en-AU"/>
        </w:rPr>
        <w:t>0.8 % TOC</w:t>
      </w:r>
      <w:r>
        <w:rPr>
          <w:lang w:val="en-AU"/>
        </w:rPr>
        <w:t xml:space="preserve"> for shale and</w:t>
      </w:r>
      <w:r w:rsidRPr="00E6110F">
        <w:rPr>
          <w:lang w:val="en-AU"/>
        </w:rPr>
        <w:t xml:space="preserve"> 10% shale in the formation</w:t>
      </w:r>
      <w:r>
        <w:rPr>
          <w:lang w:val="en-AU"/>
        </w:rPr>
        <w:t xml:space="preserve">, the parameter </w:t>
      </w:r>
      <w:r w:rsidRPr="00E6110F">
        <w:rPr>
          <w:i/>
        </w:rPr>
        <w:t>f</w:t>
      </w:r>
      <w:r w:rsidRPr="00E6110F">
        <w:rPr>
          <w:vertAlign w:val="subscript"/>
        </w:rPr>
        <w:t>OC</w:t>
      </w:r>
      <w:r w:rsidRPr="00594316">
        <w:t xml:space="preserve"> = 0.0008</w:t>
      </w:r>
      <w:r w:rsidRPr="00E6110F">
        <w:rPr>
          <w:lang w:val="en-AU"/>
        </w:rPr>
        <w:t>.</w:t>
      </w:r>
    </w:p>
    <w:p w14:paraId="0F02843D" w14:textId="663CC5A8" w:rsidR="00DD6211" w:rsidRPr="00E6110F" w:rsidRDefault="00DD6211" w:rsidP="00DD6211">
      <w:pPr>
        <w:pStyle w:val="Body"/>
      </w:pPr>
      <w:r w:rsidRPr="00E6110F">
        <w:t>Organic carbon was assumed to be very high within the coal seams</w:t>
      </w:r>
      <w:r w:rsidR="003520B9">
        <w:t>, i.e. 31.5%</w:t>
      </w:r>
      <w:r w:rsidRPr="00E6110F">
        <w:t xml:space="preserve"> (Walloon Coal Measures), with on average 15 m of net coal thickness for an average formation thickness of 375</w:t>
      </w:r>
      <w:r w:rsidR="003520B9">
        <w:t xml:space="preserve"> (see Section </w:t>
      </w:r>
      <w:r w:rsidR="003520B9">
        <w:fldChar w:fldCharType="begin" w:fldLock="1"/>
      </w:r>
      <w:r w:rsidR="003520B9">
        <w:instrText xml:space="preserve"> REF _Ref470782774 \r \h </w:instrText>
      </w:r>
      <w:r w:rsidR="003520B9">
        <w:fldChar w:fldCharType="separate"/>
      </w:r>
      <w:r w:rsidR="00335E79">
        <w:t>4.1.2</w:t>
      </w:r>
      <w:r w:rsidR="003520B9">
        <w:fldChar w:fldCharType="end"/>
      </w:r>
      <w:r w:rsidR="003520B9">
        <w:t>)</w:t>
      </w:r>
      <w:r w:rsidRPr="00E6110F">
        <w:t xml:space="preserve">, yielding a scaling factor of 15/375 = 0.04; the OC values were adjusted accordingly, i.e. the adjusted </w:t>
      </w:r>
      <w:r w:rsidR="003C18FF" w:rsidRPr="00E6110F">
        <w:rPr>
          <w:i/>
        </w:rPr>
        <w:t>f</w:t>
      </w:r>
      <w:r w:rsidR="003C18FF" w:rsidRPr="00E6110F">
        <w:rPr>
          <w:vertAlign w:val="subscript"/>
        </w:rPr>
        <w:t>OC</w:t>
      </w:r>
      <w:r w:rsidR="003C18FF">
        <w:rPr>
          <w:vertAlign w:val="subscript"/>
        </w:rPr>
        <w:t>_r</w:t>
      </w:r>
      <w:r w:rsidR="003C18FF" w:rsidRPr="00E6110F">
        <w:t xml:space="preserve"> </w:t>
      </w:r>
      <w:r w:rsidRPr="00E6110F">
        <w:t>= 0.04×</w:t>
      </w:r>
      <w:r w:rsidR="003C18FF">
        <w:t>0.</w:t>
      </w:r>
      <w:r w:rsidRPr="00E6110F">
        <w:t xml:space="preserve">31.5 </w:t>
      </w:r>
      <w:r w:rsidR="003C18FF" w:rsidRPr="00E6110F">
        <w:t>= 0.0126</w:t>
      </w:r>
      <w:r w:rsidRPr="00E6110F">
        <w:t xml:space="preserve">. </w:t>
      </w:r>
      <w:r w:rsidR="00594316">
        <w:t xml:space="preserve">Geology-specific value for </w:t>
      </w:r>
      <w:r w:rsidRPr="00E6110F">
        <w:rPr>
          <w:i/>
        </w:rPr>
        <w:t>f</w:t>
      </w:r>
      <w:r w:rsidRPr="00E6110F">
        <w:rPr>
          <w:vertAlign w:val="subscript"/>
        </w:rPr>
        <w:t>OC</w:t>
      </w:r>
      <w:r w:rsidR="003C18FF">
        <w:rPr>
          <w:vertAlign w:val="subscript"/>
        </w:rPr>
        <w:t>_r</w:t>
      </w:r>
      <w:r w:rsidRPr="00E6110F">
        <w:t xml:space="preserve"> and half-life for organic substances are given in</w:t>
      </w:r>
      <w:r w:rsidR="00345C30" w:rsidRPr="00E6110F">
        <w:t xml:space="preserve"> </w:t>
      </w:r>
      <w:r w:rsidR="00345C30" w:rsidRPr="00E6110F">
        <w:fldChar w:fldCharType="begin" w:fldLock="1"/>
      </w:r>
      <w:r w:rsidR="00345C30" w:rsidRPr="00E6110F">
        <w:instrText xml:space="preserve"> REF _Ref452906966 \h  \* MERGEFORMAT </w:instrText>
      </w:r>
      <w:r w:rsidR="00345C30" w:rsidRPr="00E6110F">
        <w:fldChar w:fldCharType="separate"/>
      </w:r>
      <w:r w:rsidR="00335E79" w:rsidRPr="00DA539C">
        <w:t xml:space="preserve">Table </w:t>
      </w:r>
      <w:r w:rsidR="00335E79">
        <w:t>4</w:t>
      </w:r>
      <w:r w:rsidR="00335E79">
        <w:noBreakHyphen/>
        <w:t>7</w:t>
      </w:r>
      <w:r w:rsidR="00345C30" w:rsidRPr="00E6110F">
        <w:fldChar w:fldCharType="end"/>
      </w:r>
      <w:r w:rsidRPr="00E6110F">
        <w:t>.</w:t>
      </w:r>
    </w:p>
    <w:p w14:paraId="76D0B96B" w14:textId="77777777" w:rsidR="003520B9" w:rsidRPr="00E6110F" w:rsidRDefault="003520B9" w:rsidP="00160004">
      <w:pPr>
        <w:pStyle w:val="Body"/>
      </w:pPr>
    </w:p>
    <w:p w14:paraId="4906D2A6" w14:textId="175C8112" w:rsidR="00160004" w:rsidRPr="00DA539C" w:rsidRDefault="00160004" w:rsidP="00DA539C">
      <w:pPr>
        <w:pStyle w:val="Imagecaption"/>
        <w:keepNext/>
        <w:pBdr>
          <w:top w:val="none" w:sz="0" w:space="0" w:color="auto"/>
        </w:pBdr>
      </w:pPr>
      <w:bookmarkStart w:id="522" w:name="_Ref467516820"/>
      <w:bookmarkStart w:id="523" w:name="_Toc494444723"/>
      <w:r w:rsidRPr="00DA539C">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6</w:t>
      </w:r>
      <w:r w:rsidR="00470577">
        <w:fldChar w:fldCharType="end"/>
      </w:r>
      <w:bookmarkEnd w:id="522"/>
      <w:r w:rsidRPr="00DA539C">
        <w:t xml:space="preserve">  Table of fate parameters adjusted for Surat Basin geology (organic chemicals). A = 2-methylphenol, B = Naphthalene, C = HMX, D = 2-butoxyethanol, E = Bronopol, </w:t>
      </w:r>
      <w:r w:rsidR="00BB6CDF" w:rsidRPr="00DA539C">
        <w:t>F</w:t>
      </w:r>
      <w:r w:rsidRPr="00DA539C">
        <w:t xml:space="preserve"> = Methylchloroisothiazolinone, </w:t>
      </w:r>
      <w:r w:rsidR="00BB6CDF" w:rsidRPr="00DA539C">
        <w:t>G</w:t>
      </w:r>
      <w:r w:rsidRPr="00DA539C">
        <w:t xml:space="preserve"> = d-Limonene, </w:t>
      </w:r>
      <w:r w:rsidR="00BB6CDF" w:rsidRPr="00DA539C">
        <w:t>H</w:t>
      </w:r>
      <w:r w:rsidRPr="00DA539C">
        <w:t xml:space="preserve"> = Acrylamide polymer.  </w:t>
      </w:r>
      <w:r w:rsidRPr="001F5949">
        <w:rPr>
          <w:vertAlign w:val="superscript"/>
        </w:rPr>
        <w:t>#</w:t>
      </w:r>
      <w:r w:rsidRPr="00DA539C">
        <w:t xml:space="preserve"> Multiply default K</w:t>
      </w:r>
      <w:r w:rsidRPr="001F5949">
        <w:rPr>
          <w:vertAlign w:val="subscript"/>
        </w:rPr>
        <w:t>OC</w:t>
      </w:r>
      <w:r w:rsidRPr="00DA539C">
        <w:t xml:space="preserve"> by </w:t>
      </w:r>
      <w:r w:rsidR="00594316" w:rsidRPr="00DA539C">
        <w:t>f</w:t>
      </w:r>
      <w:r w:rsidR="00594316" w:rsidRPr="001F5949">
        <w:rPr>
          <w:vertAlign w:val="subscript"/>
        </w:rPr>
        <w:t>OC</w:t>
      </w:r>
      <w:r w:rsidR="003C18FF" w:rsidRPr="001F5949">
        <w:rPr>
          <w:vertAlign w:val="subscript"/>
        </w:rPr>
        <w:t>_</w:t>
      </w:r>
      <w:proofErr w:type="gramStart"/>
      <w:r w:rsidR="003C18FF" w:rsidRPr="001F5949">
        <w:rPr>
          <w:vertAlign w:val="subscript"/>
        </w:rPr>
        <w:t xml:space="preserve">r </w:t>
      </w:r>
      <w:r w:rsidR="008600D2" w:rsidRPr="001F5949">
        <w:rPr>
          <w:vertAlign w:val="subscript"/>
        </w:rPr>
        <w:t xml:space="preserve"> </w:t>
      </w:r>
      <w:r w:rsidR="008600D2" w:rsidRPr="00DA539C">
        <w:t>(</w:t>
      </w:r>
      <w:proofErr w:type="gramEnd"/>
      <w:r w:rsidR="008600D2" w:rsidRPr="00DA539C">
        <w:t>fraction of organic carbon × scaling factor)</w:t>
      </w:r>
      <w:r w:rsidRPr="00DA539C">
        <w:t>; a factor of 0 implies extent of sorption essentially approaching 0</w:t>
      </w:r>
      <w:r w:rsidR="00F27344" w:rsidRPr="00DA539C">
        <w:t>.</w:t>
      </w:r>
      <w:r w:rsidRPr="00DA539C">
        <w:t xml:space="preserve"> Value given is worst case of known abiotic or biotic degradation. Biotic degradation assumed to be minimal where minimal %OC; </w:t>
      </w:r>
      <w:r w:rsidRPr="001F5949">
        <w:rPr>
          <w:vertAlign w:val="superscript"/>
        </w:rPr>
        <w:t>@</w:t>
      </w:r>
      <w:r w:rsidRPr="00DA539C">
        <w:t xml:space="preserve"> “Salting out” likely to decrease water solubility – dependent on concentration of species i.e. approaching water solubility; </w:t>
      </w:r>
      <w:r w:rsidR="004A7452" w:rsidRPr="00DA539C">
        <w:t>and</w:t>
      </w:r>
      <w:r w:rsidRPr="00DA539C">
        <w:t xml:space="preserve"> Assume conditions as per Pilliga sandstone.</w:t>
      </w:r>
      <w:bookmarkEnd w:id="523"/>
    </w:p>
    <w:tbl>
      <w:tblPr>
        <w:tblStyle w:val="TableGrid"/>
        <w:tblW w:w="9067" w:type="dxa"/>
        <w:tblLayout w:type="fixed"/>
        <w:tblLook w:val="04A0" w:firstRow="1" w:lastRow="0" w:firstColumn="1" w:lastColumn="0" w:noHBand="0" w:noVBand="1"/>
      </w:tblPr>
      <w:tblGrid>
        <w:gridCol w:w="1411"/>
        <w:gridCol w:w="1272"/>
        <w:gridCol w:w="856"/>
        <w:gridCol w:w="709"/>
        <w:gridCol w:w="850"/>
        <w:gridCol w:w="851"/>
        <w:gridCol w:w="850"/>
        <w:gridCol w:w="851"/>
        <w:gridCol w:w="709"/>
        <w:gridCol w:w="708"/>
      </w:tblGrid>
      <w:tr w:rsidR="00B2207E" w:rsidRPr="00E6110F" w14:paraId="55C1FC57" w14:textId="77777777" w:rsidTr="003520B9">
        <w:trPr>
          <w:trHeight w:val="115"/>
        </w:trPr>
        <w:tc>
          <w:tcPr>
            <w:tcW w:w="1411" w:type="dxa"/>
            <w:vMerge w:val="restart"/>
            <w:shd w:val="clear" w:color="auto" w:fill="F2F2F2" w:themeFill="background1" w:themeFillShade="F2"/>
          </w:tcPr>
          <w:p w14:paraId="25CBF9CE" w14:textId="77777777" w:rsidR="00B2207E" w:rsidRPr="00E6110F" w:rsidRDefault="00B2207E" w:rsidP="0018507D">
            <w:pPr>
              <w:pStyle w:val="Body"/>
            </w:pPr>
            <w:r w:rsidRPr="00E6110F">
              <w:t>Geology</w:t>
            </w:r>
          </w:p>
        </w:tc>
        <w:tc>
          <w:tcPr>
            <w:tcW w:w="1272" w:type="dxa"/>
            <w:vMerge w:val="restart"/>
            <w:shd w:val="clear" w:color="auto" w:fill="F2F2F2" w:themeFill="background1" w:themeFillShade="F2"/>
          </w:tcPr>
          <w:p w14:paraId="1D3B22F6" w14:textId="78EA7E8C" w:rsidR="00B2207E" w:rsidRPr="00E6110F" w:rsidRDefault="00B2207E" w:rsidP="0018507D">
            <w:pPr>
              <w:rPr>
                <w:rFonts w:ascii="Calibri" w:hAnsi="Calibri" w:cs="Calibri"/>
                <w:color w:val="000000"/>
                <w:sz w:val="18"/>
                <w:szCs w:val="18"/>
                <w:lang w:val="en-GB"/>
              </w:rPr>
            </w:pPr>
            <w:r w:rsidRPr="00E6110F">
              <w:rPr>
                <w:rFonts w:ascii="Calibri" w:hAnsi="Calibri" w:cs="Calibri"/>
                <w:color w:val="000000"/>
                <w:sz w:val="18"/>
                <w:szCs w:val="18"/>
                <w:lang w:val="en-GB"/>
              </w:rPr>
              <w:t xml:space="preserve">OC (%) and </w:t>
            </w:r>
            <w:r w:rsidRPr="00E6110F">
              <w:rPr>
                <w:rFonts w:ascii="Calibri" w:hAnsi="Calibri" w:cs="Calibri"/>
                <w:i/>
                <w:color w:val="000000"/>
                <w:sz w:val="18"/>
                <w:szCs w:val="18"/>
                <w:lang w:val="en-GB"/>
              </w:rPr>
              <w:t>f</w:t>
            </w:r>
            <w:r w:rsidRPr="00E6110F">
              <w:rPr>
                <w:rFonts w:ascii="Calibri" w:hAnsi="Calibri" w:cs="Calibri"/>
                <w:color w:val="000000"/>
                <w:sz w:val="18"/>
                <w:szCs w:val="18"/>
                <w:vertAlign w:val="subscript"/>
                <w:lang w:val="en-GB"/>
              </w:rPr>
              <w:t>OC</w:t>
            </w:r>
            <w:r w:rsidR="003C18FF">
              <w:rPr>
                <w:rFonts w:ascii="Calibri" w:hAnsi="Calibri" w:cs="Calibri"/>
                <w:color w:val="000000"/>
                <w:sz w:val="18"/>
                <w:szCs w:val="18"/>
                <w:vertAlign w:val="subscript"/>
                <w:lang w:val="en-GB"/>
              </w:rPr>
              <w:t>_r</w:t>
            </w:r>
            <w:r w:rsidRPr="00E6110F">
              <w:rPr>
                <w:rFonts w:ascii="Calibri" w:hAnsi="Calibri" w:cs="Calibri"/>
                <w:color w:val="000000"/>
                <w:sz w:val="18"/>
                <w:szCs w:val="18"/>
                <w:lang w:val="en-GB"/>
              </w:rPr>
              <w:t xml:space="preserve"> </w:t>
            </w:r>
            <w:r w:rsidRPr="00E6110F">
              <w:rPr>
                <w:rFonts w:ascii="Calibri" w:hAnsi="Calibri" w:cs="Calibri"/>
                <w:color w:val="000000"/>
                <w:sz w:val="18"/>
                <w:szCs w:val="18"/>
                <w:vertAlign w:val="superscript"/>
                <w:lang w:val="en-GB"/>
              </w:rPr>
              <w:t>#</w:t>
            </w:r>
            <w:r w:rsidRPr="00E6110F">
              <w:rPr>
                <w:rFonts w:ascii="Calibri" w:hAnsi="Calibri" w:cs="Calibri"/>
                <w:color w:val="000000"/>
                <w:sz w:val="18"/>
                <w:szCs w:val="18"/>
                <w:lang w:val="en-GB"/>
              </w:rPr>
              <w:t xml:space="preserve"> (g/g)</w:t>
            </w:r>
          </w:p>
        </w:tc>
        <w:tc>
          <w:tcPr>
            <w:tcW w:w="6384" w:type="dxa"/>
            <w:gridSpan w:val="8"/>
            <w:shd w:val="clear" w:color="auto" w:fill="F2F2F2" w:themeFill="background1" w:themeFillShade="F2"/>
          </w:tcPr>
          <w:p w14:paraId="00B90A04" w14:textId="73CA2ABA" w:rsidR="00B2207E" w:rsidRPr="00E6110F" w:rsidRDefault="003520B9" w:rsidP="00B2207E">
            <w:pPr>
              <w:jc w:val="center"/>
              <w:rPr>
                <w:rFonts w:ascii="Calibri" w:hAnsi="Calibri" w:cs="Calibri"/>
                <w:color w:val="000000"/>
                <w:sz w:val="18"/>
                <w:szCs w:val="18"/>
                <w:lang w:val="en-GB"/>
              </w:rPr>
            </w:pPr>
            <w:r>
              <w:rPr>
                <w:rFonts w:ascii="Calibri" w:hAnsi="Calibri" w:cs="Calibri"/>
                <w:color w:val="000000"/>
                <w:sz w:val="18"/>
                <w:szCs w:val="18"/>
                <w:lang w:val="en-GB"/>
              </w:rPr>
              <w:t>Adjusted half-life (days)</w:t>
            </w:r>
          </w:p>
        </w:tc>
      </w:tr>
      <w:tr w:rsidR="00B2207E" w:rsidRPr="00E6110F" w14:paraId="53D231D3" w14:textId="77777777" w:rsidTr="003520B9">
        <w:trPr>
          <w:trHeight w:val="114"/>
        </w:trPr>
        <w:tc>
          <w:tcPr>
            <w:tcW w:w="1411" w:type="dxa"/>
            <w:vMerge/>
            <w:shd w:val="clear" w:color="auto" w:fill="F2F2F2" w:themeFill="background1" w:themeFillShade="F2"/>
          </w:tcPr>
          <w:p w14:paraId="205429ED" w14:textId="77777777" w:rsidR="00B2207E" w:rsidRPr="00E6110F" w:rsidRDefault="00B2207E" w:rsidP="0018507D">
            <w:pPr>
              <w:pStyle w:val="Body"/>
            </w:pPr>
          </w:p>
        </w:tc>
        <w:tc>
          <w:tcPr>
            <w:tcW w:w="1272" w:type="dxa"/>
            <w:vMerge/>
            <w:shd w:val="clear" w:color="auto" w:fill="F2F2F2" w:themeFill="background1" w:themeFillShade="F2"/>
          </w:tcPr>
          <w:p w14:paraId="57D92052" w14:textId="77777777" w:rsidR="00B2207E" w:rsidRPr="00E6110F" w:rsidRDefault="00B2207E" w:rsidP="0018507D">
            <w:pPr>
              <w:rPr>
                <w:rFonts w:ascii="Calibri" w:hAnsi="Calibri" w:cs="Calibri"/>
                <w:color w:val="000000"/>
                <w:sz w:val="18"/>
                <w:szCs w:val="18"/>
                <w:lang w:val="en-GB"/>
              </w:rPr>
            </w:pPr>
          </w:p>
        </w:tc>
        <w:tc>
          <w:tcPr>
            <w:tcW w:w="856" w:type="dxa"/>
            <w:shd w:val="clear" w:color="auto" w:fill="F2F2F2" w:themeFill="background1" w:themeFillShade="F2"/>
          </w:tcPr>
          <w:p w14:paraId="4E5A339C" w14:textId="4388AEF8" w:rsidR="00B2207E" w:rsidRPr="00E6110F" w:rsidRDefault="00B2207E" w:rsidP="006E524E">
            <w:pPr>
              <w:jc w:val="center"/>
              <w:rPr>
                <w:rFonts w:ascii="Calibri" w:hAnsi="Calibri" w:cs="Calibri"/>
                <w:color w:val="000000"/>
                <w:sz w:val="18"/>
                <w:szCs w:val="18"/>
                <w:lang w:val="en-GB"/>
              </w:rPr>
            </w:pPr>
            <w:r>
              <w:rPr>
                <w:rFonts w:ascii="Calibri" w:hAnsi="Calibri" w:cs="Calibri"/>
                <w:color w:val="000000"/>
                <w:sz w:val="18"/>
                <w:szCs w:val="18"/>
                <w:lang w:val="en-GB"/>
              </w:rPr>
              <w:t>A</w:t>
            </w:r>
          </w:p>
        </w:tc>
        <w:tc>
          <w:tcPr>
            <w:tcW w:w="709" w:type="dxa"/>
            <w:shd w:val="clear" w:color="auto" w:fill="F2F2F2" w:themeFill="background1" w:themeFillShade="F2"/>
          </w:tcPr>
          <w:p w14:paraId="757AD1D8" w14:textId="6DAD4458" w:rsidR="00B2207E" w:rsidRPr="00E6110F" w:rsidRDefault="00B2207E" w:rsidP="006E524E">
            <w:pPr>
              <w:jc w:val="center"/>
              <w:rPr>
                <w:rFonts w:ascii="Calibri" w:hAnsi="Calibri" w:cs="Calibri"/>
                <w:color w:val="000000"/>
                <w:sz w:val="18"/>
                <w:szCs w:val="18"/>
                <w:lang w:val="en-GB"/>
              </w:rPr>
            </w:pPr>
            <w:r>
              <w:rPr>
                <w:rFonts w:ascii="Calibri" w:hAnsi="Calibri" w:cs="Calibri"/>
                <w:color w:val="000000"/>
                <w:sz w:val="18"/>
                <w:szCs w:val="18"/>
                <w:lang w:val="en-GB"/>
              </w:rPr>
              <w:t>B</w:t>
            </w:r>
          </w:p>
        </w:tc>
        <w:tc>
          <w:tcPr>
            <w:tcW w:w="850" w:type="dxa"/>
            <w:shd w:val="clear" w:color="auto" w:fill="F2F2F2" w:themeFill="background1" w:themeFillShade="F2"/>
          </w:tcPr>
          <w:p w14:paraId="03D13413" w14:textId="2B23E585" w:rsidR="00B2207E" w:rsidRPr="00E6110F" w:rsidRDefault="00B2207E" w:rsidP="006E524E">
            <w:pPr>
              <w:jc w:val="center"/>
              <w:rPr>
                <w:rFonts w:ascii="Calibri" w:hAnsi="Calibri" w:cs="Calibri"/>
                <w:color w:val="000000"/>
                <w:sz w:val="18"/>
                <w:szCs w:val="18"/>
                <w:lang w:val="en-GB"/>
              </w:rPr>
            </w:pPr>
            <w:r>
              <w:rPr>
                <w:rFonts w:ascii="Calibri" w:hAnsi="Calibri" w:cs="Calibri"/>
                <w:color w:val="000000"/>
                <w:sz w:val="18"/>
                <w:szCs w:val="18"/>
                <w:lang w:val="en-GB"/>
              </w:rPr>
              <w:t>C</w:t>
            </w:r>
          </w:p>
        </w:tc>
        <w:tc>
          <w:tcPr>
            <w:tcW w:w="851" w:type="dxa"/>
            <w:shd w:val="clear" w:color="auto" w:fill="F2F2F2" w:themeFill="background1" w:themeFillShade="F2"/>
          </w:tcPr>
          <w:p w14:paraId="0BC75FE6" w14:textId="1B28FB68" w:rsidR="00B2207E" w:rsidRPr="00E6110F" w:rsidRDefault="00B2207E" w:rsidP="006E524E">
            <w:pPr>
              <w:jc w:val="center"/>
              <w:rPr>
                <w:rFonts w:ascii="Calibri" w:hAnsi="Calibri" w:cs="Calibri"/>
                <w:color w:val="000000"/>
                <w:sz w:val="18"/>
                <w:szCs w:val="18"/>
                <w:lang w:val="en-GB"/>
              </w:rPr>
            </w:pPr>
            <w:r>
              <w:rPr>
                <w:rFonts w:ascii="Calibri" w:hAnsi="Calibri" w:cs="Calibri"/>
                <w:color w:val="000000"/>
                <w:sz w:val="18"/>
                <w:szCs w:val="18"/>
                <w:lang w:val="en-GB"/>
              </w:rPr>
              <w:t>D</w:t>
            </w:r>
          </w:p>
        </w:tc>
        <w:tc>
          <w:tcPr>
            <w:tcW w:w="850" w:type="dxa"/>
            <w:shd w:val="clear" w:color="auto" w:fill="F2F2F2" w:themeFill="background1" w:themeFillShade="F2"/>
          </w:tcPr>
          <w:p w14:paraId="7AB6A75C" w14:textId="0E418154" w:rsidR="00B2207E" w:rsidRPr="00E6110F" w:rsidRDefault="00B2207E" w:rsidP="006E524E">
            <w:pPr>
              <w:jc w:val="center"/>
              <w:rPr>
                <w:rFonts w:ascii="Calibri" w:hAnsi="Calibri" w:cs="Calibri"/>
                <w:color w:val="000000"/>
                <w:sz w:val="18"/>
                <w:szCs w:val="18"/>
                <w:lang w:val="en-GB"/>
              </w:rPr>
            </w:pPr>
            <w:r>
              <w:rPr>
                <w:rFonts w:ascii="Calibri" w:hAnsi="Calibri" w:cs="Calibri"/>
                <w:color w:val="000000"/>
                <w:sz w:val="18"/>
                <w:szCs w:val="18"/>
                <w:lang w:val="en-GB"/>
              </w:rPr>
              <w:t>E</w:t>
            </w:r>
          </w:p>
        </w:tc>
        <w:tc>
          <w:tcPr>
            <w:tcW w:w="851" w:type="dxa"/>
            <w:shd w:val="clear" w:color="auto" w:fill="F2F2F2" w:themeFill="background1" w:themeFillShade="F2"/>
          </w:tcPr>
          <w:p w14:paraId="4C3F6616" w14:textId="020B1E01" w:rsidR="00B2207E" w:rsidRPr="00E6110F" w:rsidRDefault="00B2207E" w:rsidP="006E524E">
            <w:pPr>
              <w:jc w:val="center"/>
              <w:rPr>
                <w:rFonts w:ascii="Calibri" w:hAnsi="Calibri" w:cs="Calibri"/>
                <w:color w:val="000000"/>
                <w:sz w:val="18"/>
                <w:szCs w:val="18"/>
                <w:lang w:val="en-GB"/>
              </w:rPr>
            </w:pPr>
            <w:r>
              <w:rPr>
                <w:rFonts w:ascii="Calibri" w:hAnsi="Calibri" w:cs="Calibri"/>
                <w:color w:val="000000"/>
                <w:sz w:val="18"/>
                <w:szCs w:val="18"/>
                <w:lang w:val="en-GB"/>
              </w:rPr>
              <w:t>F</w:t>
            </w:r>
          </w:p>
        </w:tc>
        <w:tc>
          <w:tcPr>
            <w:tcW w:w="709" w:type="dxa"/>
            <w:shd w:val="clear" w:color="auto" w:fill="F2F2F2" w:themeFill="background1" w:themeFillShade="F2"/>
          </w:tcPr>
          <w:p w14:paraId="373C48F6" w14:textId="7F8ABF76" w:rsidR="00B2207E" w:rsidRPr="00E6110F" w:rsidRDefault="00B2207E" w:rsidP="006E524E">
            <w:pPr>
              <w:jc w:val="center"/>
              <w:rPr>
                <w:rFonts w:ascii="Calibri" w:hAnsi="Calibri" w:cs="Calibri"/>
                <w:color w:val="000000"/>
                <w:sz w:val="18"/>
                <w:szCs w:val="18"/>
                <w:lang w:val="en-GB"/>
              </w:rPr>
            </w:pPr>
            <w:r>
              <w:rPr>
                <w:rFonts w:ascii="Calibri" w:hAnsi="Calibri" w:cs="Calibri"/>
                <w:color w:val="000000"/>
                <w:sz w:val="18"/>
                <w:szCs w:val="18"/>
                <w:lang w:val="en-GB"/>
              </w:rPr>
              <w:t>G</w:t>
            </w:r>
          </w:p>
        </w:tc>
        <w:tc>
          <w:tcPr>
            <w:tcW w:w="708" w:type="dxa"/>
            <w:shd w:val="clear" w:color="auto" w:fill="F2F2F2" w:themeFill="background1" w:themeFillShade="F2"/>
          </w:tcPr>
          <w:p w14:paraId="3FB9BE9C" w14:textId="08E00D6E" w:rsidR="00B2207E" w:rsidRPr="00E6110F" w:rsidRDefault="00B2207E" w:rsidP="006E524E">
            <w:pPr>
              <w:jc w:val="center"/>
              <w:rPr>
                <w:rFonts w:ascii="Calibri" w:hAnsi="Calibri" w:cs="Calibri"/>
                <w:color w:val="000000"/>
                <w:sz w:val="18"/>
                <w:szCs w:val="18"/>
                <w:lang w:val="en-GB"/>
              </w:rPr>
            </w:pPr>
            <w:r>
              <w:rPr>
                <w:rFonts w:ascii="Calibri" w:hAnsi="Calibri" w:cs="Calibri"/>
                <w:color w:val="000000"/>
                <w:sz w:val="18"/>
                <w:szCs w:val="18"/>
                <w:lang w:val="en-GB"/>
              </w:rPr>
              <w:t>H</w:t>
            </w:r>
          </w:p>
        </w:tc>
      </w:tr>
      <w:tr w:rsidR="00A71C39" w:rsidRPr="00E6110F" w14:paraId="6D30B076" w14:textId="77777777" w:rsidTr="003520B9">
        <w:tc>
          <w:tcPr>
            <w:tcW w:w="1411" w:type="dxa"/>
          </w:tcPr>
          <w:p w14:paraId="0DFA7AFD" w14:textId="6466760F" w:rsidR="00A71C39" w:rsidRPr="00E6110F" w:rsidRDefault="00A71C39" w:rsidP="00A71C39">
            <w:pPr>
              <w:pStyle w:val="Body"/>
            </w:pPr>
            <w:r w:rsidRPr="00E6110F">
              <w:t>Dawson River alluvium</w:t>
            </w:r>
          </w:p>
        </w:tc>
        <w:tc>
          <w:tcPr>
            <w:tcW w:w="1272" w:type="dxa"/>
          </w:tcPr>
          <w:p w14:paraId="5D4CF1A2" w14:textId="5705B752" w:rsidR="00A71C39" w:rsidRPr="00E6110F" w:rsidRDefault="00A71C39" w:rsidP="00A71C39">
            <w:pPr>
              <w:pStyle w:val="Body"/>
            </w:pPr>
            <w:r w:rsidRPr="00E6110F">
              <w:t xml:space="preserve">OC = 0.1; </w:t>
            </w:r>
            <w:r w:rsidRPr="00E6110F">
              <w:rPr>
                <w:i/>
              </w:rPr>
              <w:t>f</w:t>
            </w:r>
            <w:r w:rsidRPr="00E6110F">
              <w:rPr>
                <w:vertAlign w:val="subscript"/>
              </w:rPr>
              <w:t>OC</w:t>
            </w:r>
            <w:r w:rsidR="003C18FF">
              <w:rPr>
                <w:vertAlign w:val="subscript"/>
              </w:rPr>
              <w:t>_r</w:t>
            </w:r>
            <w:r w:rsidRPr="00E6110F">
              <w:t xml:space="preserve"> = 0.001</w:t>
            </w:r>
          </w:p>
          <w:p w14:paraId="6BDEB6C1" w14:textId="6AF0890C" w:rsidR="00A71C39" w:rsidRPr="00E6110F" w:rsidRDefault="00A71C39" w:rsidP="00A71C39">
            <w:pPr>
              <w:pStyle w:val="Body"/>
            </w:pPr>
            <w:r w:rsidRPr="00E6110F">
              <w:t>(A, B, C, D, E, F, G)</w:t>
            </w:r>
          </w:p>
        </w:tc>
        <w:tc>
          <w:tcPr>
            <w:tcW w:w="856" w:type="dxa"/>
          </w:tcPr>
          <w:p w14:paraId="210480B9" w14:textId="16FEF211" w:rsidR="00A71C39" w:rsidRPr="00DA0980" w:rsidRDefault="00A71C39" w:rsidP="006E524E">
            <w:pPr>
              <w:pStyle w:val="Body"/>
              <w:jc w:val="center"/>
              <w:rPr>
                <w:highlight w:val="yellow"/>
              </w:rPr>
            </w:pPr>
            <w:r w:rsidRPr="007B7D5F">
              <w:t>5.1</w:t>
            </w:r>
          </w:p>
        </w:tc>
        <w:tc>
          <w:tcPr>
            <w:tcW w:w="709" w:type="dxa"/>
          </w:tcPr>
          <w:p w14:paraId="25F246E5" w14:textId="0BBF70BA" w:rsidR="00A71C39" w:rsidRPr="00DA0980" w:rsidRDefault="00A71C39" w:rsidP="006E524E">
            <w:pPr>
              <w:pStyle w:val="Body"/>
              <w:jc w:val="center"/>
              <w:rPr>
                <w:highlight w:val="yellow"/>
              </w:rPr>
            </w:pPr>
            <w:r w:rsidRPr="007B7D5F">
              <w:t>88</w:t>
            </w:r>
          </w:p>
        </w:tc>
        <w:tc>
          <w:tcPr>
            <w:tcW w:w="850" w:type="dxa"/>
          </w:tcPr>
          <w:p w14:paraId="27AD0B50" w14:textId="1D3299D2" w:rsidR="00A71C39" w:rsidRPr="00DA0980" w:rsidRDefault="00A71C39" w:rsidP="006E524E">
            <w:pPr>
              <w:pStyle w:val="Body"/>
              <w:jc w:val="center"/>
              <w:rPr>
                <w:highlight w:val="yellow"/>
              </w:rPr>
            </w:pPr>
            <w:r w:rsidRPr="007B7D5F">
              <w:t>31.2</w:t>
            </w:r>
          </w:p>
        </w:tc>
        <w:tc>
          <w:tcPr>
            <w:tcW w:w="851" w:type="dxa"/>
          </w:tcPr>
          <w:p w14:paraId="6400B648" w14:textId="77105354" w:rsidR="00A71C39" w:rsidRPr="00DA0980" w:rsidRDefault="00A71C39" w:rsidP="006E524E">
            <w:pPr>
              <w:pStyle w:val="Body"/>
              <w:jc w:val="center"/>
              <w:rPr>
                <w:highlight w:val="yellow"/>
              </w:rPr>
            </w:pPr>
            <w:r w:rsidRPr="007B7D5F">
              <w:t>56</w:t>
            </w:r>
          </w:p>
        </w:tc>
        <w:tc>
          <w:tcPr>
            <w:tcW w:w="850" w:type="dxa"/>
          </w:tcPr>
          <w:p w14:paraId="392B4D00" w14:textId="1CC64951" w:rsidR="00A71C39" w:rsidRPr="00DA0980" w:rsidRDefault="00A71C39" w:rsidP="006E524E">
            <w:pPr>
              <w:pStyle w:val="Body"/>
              <w:jc w:val="center"/>
              <w:rPr>
                <w:highlight w:val="yellow"/>
              </w:rPr>
            </w:pPr>
            <w:r w:rsidRPr="007B7D5F">
              <w:t>60</w:t>
            </w:r>
          </w:p>
        </w:tc>
        <w:tc>
          <w:tcPr>
            <w:tcW w:w="851" w:type="dxa"/>
          </w:tcPr>
          <w:p w14:paraId="620A0B68" w14:textId="35B46249" w:rsidR="00A71C39" w:rsidRPr="00DA0980" w:rsidRDefault="00A71C39" w:rsidP="006E524E">
            <w:pPr>
              <w:pStyle w:val="Body"/>
              <w:jc w:val="center"/>
              <w:rPr>
                <w:highlight w:val="yellow"/>
              </w:rPr>
            </w:pPr>
            <w:r w:rsidRPr="007B7D5F">
              <w:t>5.1</w:t>
            </w:r>
          </w:p>
        </w:tc>
        <w:tc>
          <w:tcPr>
            <w:tcW w:w="709" w:type="dxa"/>
          </w:tcPr>
          <w:p w14:paraId="31B7D77B" w14:textId="6FB30F38" w:rsidR="00A71C39" w:rsidRPr="00DA0980" w:rsidRDefault="00A71C39" w:rsidP="006E524E">
            <w:pPr>
              <w:pStyle w:val="Body"/>
              <w:jc w:val="center"/>
              <w:rPr>
                <w:highlight w:val="yellow"/>
              </w:rPr>
            </w:pPr>
            <w:r w:rsidRPr="007B7D5F">
              <w:t>88</w:t>
            </w:r>
          </w:p>
        </w:tc>
        <w:tc>
          <w:tcPr>
            <w:tcW w:w="708" w:type="dxa"/>
          </w:tcPr>
          <w:p w14:paraId="193DA6B2" w14:textId="35F5C132" w:rsidR="00A71C39" w:rsidRPr="00DA0980" w:rsidRDefault="00A71C39" w:rsidP="006E524E">
            <w:pPr>
              <w:pStyle w:val="Body"/>
              <w:jc w:val="center"/>
              <w:rPr>
                <w:highlight w:val="yellow"/>
              </w:rPr>
            </w:pPr>
            <w:r w:rsidRPr="007B7D5F">
              <w:t>31.2</w:t>
            </w:r>
          </w:p>
        </w:tc>
      </w:tr>
      <w:tr w:rsidR="00A71C39" w:rsidRPr="00E6110F" w14:paraId="6B7C2002" w14:textId="77777777" w:rsidTr="003520B9">
        <w:tc>
          <w:tcPr>
            <w:tcW w:w="1411" w:type="dxa"/>
          </w:tcPr>
          <w:p w14:paraId="7FEE88BD" w14:textId="49CBF796" w:rsidR="00A71C39" w:rsidRPr="00E6110F" w:rsidRDefault="00A71C39" w:rsidP="00A71C39">
            <w:pPr>
              <w:pStyle w:val="Body"/>
            </w:pPr>
            <w:r w:rsidRPr="00E6110F">
              <w:t>Bungil Formation-Mooga Sandstone-Orallo Formation (BMO Group)</w:t>
            </w:r>
          </w:p>
        </w:tc>
        <w:tc>
          <w:tcPr>
            <w:tcW w:w="1272" w:type="dxa"/>
          </w:tcPr>
          <w:p w14:paraId="7D00ADD2" w14:textId="1156A560" w:rsidR="00A71C39" w:rsidRPr="00E6110F" w:rsidRDefault="00A71C39" w:rsidP="00A71C39">
            <w:pPr>
              <w:pStyle w:val="Body"/>
            </w:pPr>
            <w:r w:rsidRPr="00E6110F">
              <w:t xml:space="preserve">OC = 0; </w:t>
            </w:r>
            <w:r w:rsidRPr="00E6110F">
              <w:rPr>
                <w:i/>
              </w:rPr>
              <w:t>f</w:t>
            </w:r>
            <w:r w:rsidRPr="00E6110F">
              <w:rPr>
                <w:vertAlign w:val="subscript"/>
              </w:rPr>
              <w:t>OC</w:t>
            </w:r>
            <w:r w:rsidR="003C18FF">
              <w:rPr>
                <w:vertAlign w:val="subscript"/>
              </w:rPr>
              <w:t>_r</w:t>
            </w:r>
            <w:r w:rsidRPr="00E6110F">
              <w:t xml:space="preserve"> = 0 </w:t>
            </w:r>
          </w:p>
          <w:p w14:paraId="1E195889" w14:textId="3007DA62" w:rsidR="00A71C39" w:rsidRPr="00E6110F" w:rsidRDefault="00A71C39" w:rsidP="00A71C39">
            <w:pPr>
              <w:pStyle w:val="Body"/>
            </w:pPr>
            <w:r w:rsidRPr="00E6110F">
              <w:t>(A, B, C, D, E, F, G)</w:t>
            </w:r>
          </w:p>
        </w:tc>
        <w:tc>
          <w:tcPr>
            <w:tcW w:w="856" w:type="dxa"/>
          </w:tcPr>
          <w:p w14:paraId="37B5E972" w14:textId="7FC94E71" w:rsidR="00A71C39" w:rsidRPr="00DA0980" w:rsidRDefault="00A71C39" w:rsidP="006E524E">
            <w:pPr>
              <w:pStyle w:val="Body"/>
              <w:jc w:val="center"/>
              <w:rPr>
                <w:highlight w:val="yellow"/>
              </w:rPr>
            </w:pPr>
          </w:p>
        </w:tc>
        <w:tc>
          <w:tcPr>
            <w:tcW w:w="709" w:type="dxa"/>
          </w:tcPr>
          <w:p w14:paraId="5CC1CD5D" w14:textId="09F278F0" w:rsidR="00A71C39" w:rsidRPr="00DA0980" w:rsidRDefault="00A71C39" w:rsidP="006E524E">
            <w:pPr>
              <w:pStyle w:val="Body"/>
              <w:jc w:val="center"/>
              <w:rPr>
                <w:highlight w:val="yellow"/>
              </w:rPr>
            </w:pPr>
            <w:r w:rsidRPr="007B7D5F">
              <w:t>22</w:t>
            </w:r>
          </w:p>
        </w:tc>
        <w:tc>
          <w:tcPr>
            <w:tcW w:w="850" w:type="dxa"/>
          </w:tcPr>
          <w:p w14:paraId="40184F0A" w14:textId="0C9E413D" w:rsidR="00A71C39" w:rsidRPr="00DA0980" w:rsidRDefault="00A71C39" w:rsidP="006E524E">
            <w:pPr>
              <w:pStyle w:val="Body"/>
              <w:jc w:val="center"/>
              <w:rPr>
                <w:highlight w:val="yellow"/>
              </w:rPr>
            </w:pPr>
            <w:r w:rsidRPr="007B7D5F">
              <w:t>18</w:t>
            </w:r>
          </w:p>
        </w:tc>
        <w:tc>
          <w:tcPr>
            <w:tcW w:w="851" w:type="dxa"/>
          </w:tcPr>
          <w:p w14:paraId="4A835E53" w14:textId="6DB7FD53" w:rsidR="00A71C39" w:rsidRPr="00DA0980" w:rsidRDefault="00A71C39" w:rsidP="006E524E">
            <w:pPr>
              <w:pStyle w:val="Body"/>
              <w:jc w:val="center"/>
              <w:rPr>
                <w:highlight w:val="yellow"/>
              </w:rPr>
            </w:pPr>
            <w:r w:rsidRPr="007B7D5F">
              <w:t>ND</w:t>
            </w:r>
          </w:p>
        </w:tc>
        <w:tc>
          <w:tcPr>
            <w:tcW w:w="850" w:type="dxa"/>
          </w:tcPr>
          <w:p w14:paraId="21CFD758" w14:textId="467E4127" w:rsidR="00A71C39" w:rsidRPr="00DA0980" w:rsidRDefault="00A71C39" w:rsidP="006E524E">
            <w:pPr>
              <w:pStyle w:val="Body"/>
              <w:jc w:val="center"/>
              <w:rPr>
                <w:highlight w:val="yellow"/>
              </w:rPr>
            </w:pPr>
          </w:p>
        </w:tc>
        <w:tc>
          <w:tcPr>
            <w:tcW w:w="851" w:type="dxa"/>
          </w:tcPr>
          <w:p w14:paraId="46959431" w14:textId="30016A71" w:rsidR="00A71C39" w:rsidRPr="00DA0980" w:rsidRDefault="00A71C39" w:rsidP="006E524E">
            <w:pPr>
              <w:pStyle w:val="Body"/>
              <w:jc w:val="center"/>
              <w:rPr>
                <w:highlight w:val="yellow"/>
              </w:rPr>
            </w:pPr>
          </w:p>
        </w:tc>
        <w:tc>
          <w:tcPr>
            <w:tcW w:w="709" w:type="dxa"/>
          </w:tcPr>
          <w:p w14:paraId="467A5AC4" w14:textId="2E51D514" w:rsidR="00A71C39" w:rsidRPr="00DA0980" w:rsidRDefault="00A71C39" w:rsidP="006E524E">
            <w:pPr>
              <w:pStyle w:val="Body"/>
              <w:jc w:val="center"/>
              <w:rPr>
                <w:highlight w:val="yellow"/>
              </w:rPr>
            </w:pPr>
            <w:r w:rsidRPr="007B7D5F">
              <w:t>22</w:t>
            </w:r>
          </w:p>
        </w:tc>
        <w:tc>
          <w:tcPr>
            <w:tcW w:w="708" w:type="dxa"/>
          </w:tcPr>
          <w:p w14:paraId="69BF5065" w14:textId="79A19C7C" w:rsidR="00A71C39" w:rsidRPr="00DA0980" w:rsidRDefault="00A71C39" w:rsidP="006E524E">
            <w:pPr>
              <w:pStyle w:val="Body"/>
              <w:jc w:val="center"/>
              <w:rPr>
                <w:highlight w:val="yellow"/>
              </w:rPr>
            </w:pPr>
            <w:r w:rsidRPr="007B7D5F">
              <w:t>18</w:t>
            </w:r>
          </w:p>
        </w:tc>
      </w:tr>
      <w:tr w:rsidR="00A71C39" w:rsidRPr="00E6110F" w14:paraId="661B986C" w14:textId="77777777" w:rsidTr="003520B9">
        <w:tc>
          <w:tcPr>
            <w:tcW w:w="1411" w:type="dxa"/>
          </w:tcPr>
          <w:p w14:paraId="13E4ED75" w14:textId="30E6230A" w:rsidR="00A71C39" w:rsidRPr="00E6110F" w:rsidRDefault="00A71C39" w:rsidP="00A71C39">
            <w:pPr>
              <w:pStyle w:val="Body"/>
              <w:rPr>
                <w:strike/>
              </w:rPr>
            </w:pPr>
            <w:r w:rsidRPr="00E6110F">
              <w:t>Gubberamunda Sandstone</w:t>
            </w:r>
          </w:p>
        </w:tc>
        <w:tc>
          <w:tcPr>
            <w:tcW w:w="1272" w:type="dxa"/>
          </w:tcPr>
          <w:p w14:paraId="50765760" w14:textId="44130C85" w:rsidR="00A71C39" w:rsidRPr="00E6110F" w:rsidRDefault="00A71C39" w:rsidP="00A71C39">
            <w:pPr>
              <w:pStyle w:val="Body"/>
            </w:pPr>
            <w:r w:rsidRPr="00E6110F">
              <w:t xml:space="preserve">OC = 0.08; </w:t>
            </w:r>
            <w:r w:rsidRPr="00E6110F">
              <w:rPr>
                <w:i/>
              </w:rPr>
              <w:t>f</w:t>
            </w:r>
            <w:r w:rsidRPr="00E6110F">
              <w:rPr>
                <w:vertAlign w:val="subscript"/>
              </w:rPr>
              <w:t>OC</w:t>
            </w:r>
            <w:r w:rsidR="003C18FF">
              <w:rPr>
                <w:vertAlign w:val="subscript"/>
              </w:rPr>
              <w:t>_r</w:t>
            </w:r>
            <w:r w:rsidRPr="00E6110F">
              <w:t xml:space="preserve"> = 0.0008 </w:t>
            </w:r>
          </w:p>
          <w:p w14:paraId="6702EEB7" w14:textId="046D4D98" w:rsidR="00A71C39" w:rsidRPr="00E6110F" w:rsidRDefault="00A71C39" w:rsidP="00A71C39">
            <w:pPr>
              <w:pStyle w:val="Body"/>
            </w:pPr>
            <w:r w:rsidRPr="00E6110F">
              <w:t>(A, B, C, D, E, F, G)</w:t>
            </w:r>
          </w:p>
        </w:tc>
        <w:tc>
          <w:tcPr>
            <w:tcW w:w="856" w:type="dxa"/>
          </w:tcPr>
          <w:p w14:paraId="47383F92" w14:textId="69DEE5A4" w:rsidR="00A71C39" w:rsidRPr="00E6110F" w:rsidRDefault="00A71C39" w:rsidP="006E524E">
            <w:pPr>
              <w:pStyle w:val="Body"/>
              <w:jc w:val="center"/>
            </w:pPr>
            <w:r w:rsidRPr="007B7D5F">
              <w:t>1</w:t>
            </w:r>
            <w:r w:rsidR="005510E8">
              <w:t>,</w:t>
            </w:r>
            <w:r w:rsidRPr="007B7D5F">
              <w:t>386</w:t>
            </w:r>
          </w:p>
        </w:tc>
        <w:tc>
          <w:tcPr>
            <w:tcW w:w="709" w:type="dxa"/>
          </w:tcPr>
          <w:p w14:paraId="4BA889BC" w14:textId="0764E28D" w:rsidR="00A71C39" w:rsidRPr="00E6110F" w:rsidRDefault="00A71C39" w:rsidP="006E524E">
            <w:pPr>
              <w:pStyle w:val="Body"/>
              <w:jc w:val="center"/>
            </w:pPr>
            <w:r w:rsidRPr="007B7D5F">
              <w:t>NBD</w:t>
            </w:r>
          </w:p>
        </w:tc>
        <w:tc>
          <w:tcPr>
            <w:tcW w:w="850" w:type="dxa"/>
          </w:tcPr>
          <w:p w14:paraId="4539A38C" w14:textId="6274E0A5" w:rsidR="00A71C39" w:rsidRPr="00E6110F" w:rsidRDefault="00A71C39" w:rsidP="006E524E">
            <w:pPr>
              <w:pStyle w:val="Body"/>
              <w:jc w:val="center"/>
            </w:pPr>
            <w:r w:rsidRPr="007B7D5F">
              <w:t>31.2</w:t>
            </w:r>
          </w:p>
        </w:tc>
        <w:tc>
          <w:tcPr>
            <w:tcW w:w="851" w:type="dxa"/>
          </w:tcPr>
          <w:p w14:paraId="54D72887" w14:textId="481F53C5" w:rsidR="00A71C39" w:rsidRPr="00E6110F" w:rsidRDefault="00A71C39" w:rsidP="006E524E">
            <w:pPr>
              <w:pStyle w:val="Body"/>
              <w:jc w:val="center"/>
            </w:pPr>
            <w:r w:rsidRPr="007B7D5F">
              <w:t>112</w:t>
            </w:r>
          </w:p>
        </w:tc>
        <w:tc>
          <w:tcPr>
            <w:tcW w:w="850" w:type="dxa"/>
          </w:tcPr>
          <w:p w14:paraId="352D2A0A" w14:textId="70A55F05" w:rsidR="00A71C39" w:rsidRPr="00E6110F" w:rsidRDefault="00A71C39" w:rsidP="006E524E">
            <w:pPr>
              <w:pStyle w:val="Body"/>
              <w:jc w:val="center"/>
            </w:pPr>
            <w:r w:rsidRPr="007B7D5F">
              <w:t>60</w:t>
            </w:r>
          </w:p>
        </w:tc>
        <w:tc>
          <w:tcPr>
            <w:tcW w:w="851" w:type="dxa"/>
          </w:tcPr>
          <w:p w14:paraId="364E2810" w14:textId="561F6FA4" w:rsidR="00A71C39" w:rsidRPr="00E6110F" w:rsidRDefault="00A71C39" w:rsidP="006E524E">
            <w:pPr>
              <w:pStyle w:val="Body"/>
              <w:jc w:val="center"/>
            </w:pPr>
            <w:r w:rsidRPr="007B7D5F">
              <w:t>1386</w:t>
            </w:r>
          </w:p>
        </w:tc>
        <w:tc>
          <w:tcPr>
            <w:tcW w:w="709" w:type="dxa"/>
          </w:tcPr>
          <w:p w14:paraId="0D77E104" w14:textId="29230A74" w:rsidR="00A71C39" w:rsidRPr="00E6110F" w:rsidRDefault="00A71C39" w:rsidP="006E524E">
            <w:pPr>
              <w:pStyle w:val="Body"/>
              <w:jc w:val="center"/>
            </w:pPr>
            <w:r w:rsidRPr="007B7D5F">
              <w:t>NBD</w:t>
            </w:r>
          </w:p>
        </w:tc>
        <w:tc>
          <w:tcPr>
            <w:tcW w:w="708" w:type="dxa"/>
          </w:tcPr>
          <w:p w14:paraId="134C02FE" w14:textId="0E3D0CC1" w:rsidR="00A71C39" w:rsidRPr="00E6110F" w:rsidRDefault="00A71C39" w:rsidP="006E524E">
            <w:pPr>
              <w:pStyle w:val="Body"/>
              <w:jc w:val="center"/>
              <w:rPr>
                <w:vertAlign w:val="superscript"/>
              </w:rPr>
            </w:pPr>
            <w:r w:rsidRPr="007B7D5F">
              <w:t>31.2</w:t>
            </w:r>
          </w:p>
        </w:tc>
      </w:tr>
      <w:tr w:rsidR="00A71C39" w:rsidRPr="00E6110F" w14:paraId="37CC36DB" w14:textId="77777777" w:rsidTr="003520B9">
        <w:tc>
          <w:tcPr>
            <w:tcW w:w="1411" w:type="dxa"/>
          </w:tcPr>
          <w:p w14:paraId="4BB35262" w14:textId="07DAFF8B" w:rsidR="00A71C39" w:rsidRPr="00E6110F" w:rsidRDefault="00A71C39" w:rsidP="00A71C39">
            <w:pPr>
              <w:pStyle w:val="Body"/>
            </w:pPr>
            <w:r w:rsidRPr="00E6110F">
              <w:t>Westbourne Formation</w:t>
            </w:r>
          </w:p>
        </w:tc>
        <w:tc>
          <w:tcPr>
            <w:tcW w:w="1272" w:type="dxa"/>
          </w:tcPr>
          <w:p w14:paraId="396C49B3" w14:textId="29D43072" w:rsidR="00A71C39" w:rsidRPr="00E6110F" w:rsidRDefault="00A71C39" w:rsidP="00A71C39">
            <w:pPr>
              <w:pStyle w:val="Body"/>
            </w:pPr>
            <w:r w:rsidRPr="00E6110F">
              <w:t xml:space="preserve">OC = 0; </w:t>
            </w:r>
            <w:r w:rsidRPr="00E6110F">
              <w:rPr>
                <w:i/>
              </w:rPr>
              <w:t>f</w:t>
            </w:r>
            <w:r w:rsidRPr="00E6110F">
              <w:rPr>
                <w:vertAlign w:val="subscript"/>
              </w:rPr>
              <w:t>OC</w:t>
            </w:r>
            <w:r w:rsidR="003C18FF">
              <w:rPr>
                <w:vertAlign w:val="subscript"/>
              </w:rPr>
              <w:t>_r</w:t>
            </w:r>
            <w:r w:rsidRPr="00E6110F">
              <w:t xml:space="preserve"> = 0 </w:t>
            </w:r>
          </w:p>
          <w:p w14:paraId="0A54388A" w14:textId="574797A0" w:rsidR="00A71C39" w:rsidRPr="00E6110F" w:rsidRDefault="00A71C39" w:rsidP="00A71C39">
            <w:pPr>
              <w:pStyle w:val="Body"/>
            </w:pPr>
            <w:r w:rsidRPr="00E6110F">
              <w:t>(A, D, E, F)</w:t>
            </w:r>
          </w:p>
          <w:p w14:paraId="5C09B7CF" w14:textId="7D6EFF0A" w:rsidR="00A71C39" w:rsidRPr="00E6110F" w:rsidRDefault="00A71C39" w:rsidP="00A71C39">
            <w:pPr>
              <w:pStyle w:val="Body"/>
            </w:pPr>
            <w:r w:rsidRPr="00E6110F">
              <w:t xml:space="preserve">&gt;27.5 (B, C, </w:t>
            </w:r>
            <w:r>
              <w:t>G</w:t>
            </w:r>
            <w:r w:rsidRPr="00E6110F">
              <w:t>)</w:t>
            </w:r>
            <w:r w:rsidRPr="00E6110F">
              <w:rPr>
                <w:vertAlign w:val="superscript"/>
              </w:rPr>
              <w:t>@</w:t>
            </w:r>
          </w:p>
        </w:tc>
        <w:tc>
          <w:tcPr>
            <w:tcW w:w="856" w:type="dxa"/>
          </w:tcPr>
          <w:p w14:paraId="1231259C" w14:textId="133B40A0" w:rsidR="00A71C39" w:rsidRPr="00E6110F" w:rsidRDefault="00A71C39" w:rsidP="006E524E">
            <w:pPr>
              <w:pStyle w:val="Body"/>
              <w:jc w:val="center"/>
            </w:pPr>
          </w:p>
        </w:tc>
        <w:tc>
          <w:tcPr>
            <w:tcW w:w="709" w:type="dxa"/>
          </w:tcPr>
          <w:p w14:paraId="197B84BA" w14:textId="00C7802C" w:rsidR="00A71C39" w:rsidRPr="00E6110F" w:rsidRDefault="00A71C39" w:rsidP="006E524E">
            <w:pPr>
              <w:pStyle w:val="Body"/>
              <w:jc w:val="center"/>
            </w:pPr>
            <w:r w:rsidRPr="007B7D5F">
              <w:t>22</w:t>
            </w:r>
          </w:p>
        </w:tc>
        <w:tc>
          <w:tcPr>
            <w:tcW w:w="850" w:type="dxa"/>
          </w:tcPr>
          <w:p w14:paraId="7DCFC2BC" w14:textId="35FE6D2D" w:rsidR="00A71C39" w:rsidRPr="00E6110F" w:rsidRDefault="00A71C39" w:rsidP="006E524E">
            <w:pPr>
              <w:pStyle w:val="Body"/>
              <w:jc w:val="center"/>
            </w:pPr>
            <w:r w:rsidRPr="007B7D5F">
              <w:t>NBD</w:t>
            </w:r>
          </w:p>
        </w:tc>
        <w:tc>
          <w:tcPr>
            <w:tcW w:w="851" w:type="dxa"/>
          </w:tcPr>
          <w:p w14:paraId="3083EF07" w14:textId="683106E1" w:rsidR="00A71C39" w:rsidRPr="00E6110F" w:rsidRDefault="00A71C39" w:rsidP="006E524E">
            <w:pPr>
              <w:pStyle w:val="Body"/>
              <w:jc w:val="center"/>
            </w:pPr>
            <w:r w:rsidRPr="007B7D5F">
              <w:t>ND</w:t>
            </w:r>
          </w:p>
        </w:tc>
        <w:tc>
          <w:tcPr>
            <w:tcW w:w="850" w:type="dxa"/>
          </w:tcPr>
          <w:p w14:paraId="7E4E2AC6" w14:textId="3BE1D05D" w:rsidR="00A71C39" w:rsidRPr="00E6110F" w:rsidRDefault="00A71C39" w:rsidP="006E524E">
            <w:pPr>
              <w:pStyle w:val="Body"/>
              <w:jc w:val="center"/>
            </w:pPr>
          </w:p>
        </w:tc>
        <w:tc>
          <w:tcPr>
            <w:tcW w:w="851" w:type="dxa"/>
          </w:tcPr>
          <w:p w14:paraId="5F03C4F7" w14:textId="571EF8AA" w:rsidR="00A71C39" w:rsidRPr="00E6110F" w:rsidRDefault="00A71C39" w:rsidP="006E524E">
            <w:pPr>
              <w:pStyle w:val="Body"/>
              <w:jc w:val="center"/>
            </w:pPr>
          </w:p>
        </w:tc>
        <w:tc>
          <w:tcPr>
            <w:tcW w:w="709" w:type="dxa"/>
          </w:tcPr>
          <w:p w14:paraId="5EE25A98" w14:textId="78D56FB2" w:rsidR="00A71C39" w:rsidRPr="00E6110F" w:rsidRDefault="00A71C39" w:rsidP="006E524E">
            <w:pPr>
              <w:pStyle w:val="Body"/>
              <w:jc w:val="center"/>
            </w:pPr>
            <w:r w:rsidRPr="007B7D5F">
              <w:t>22</w:t>
            </w:r>
          </w:p>
        </w:tc>
        <w:tc>
          <w:tcPr>
            <w:tcW w:w="708" w:type="dxa"/>
          </w:tcPr>
          <w:p w14:paraId="784986FB" w14:textId="1BB8A6A9" w:rsidR="00A71C39" w:rsidRPr="00E6110F" w:rsidRDefault="00A71C39" w:rsidP="006E524E">
            <w:pPr>
              <w:pStyle w:val="Body"/>
              <w:jc w:val="center"/>
            </w:pPr>
            <w:r w:rsidRPr="007B7D5F">
              <w:t>NBD</w:t>
            </w:r>
          </w:p>
        </w:tc>
      </w:tr>
      <w:tr w:rsidR="00A71C39" w:rsidRPr="00E6110F" w14:paraId="36A66D80" w14:textId="77777777" w:rsidTr="003520B9">
        <w:tc>
          <w:tcPr>
            <w:tcW w:w="1411" w:type="dxa"/>
          </w:tcPr>
          <w:p w14:paraId="30614A26" w14:textId="778A20DA" w:rsidR="00A71C39" w:rsidRPr="00E6110F" w:rsidRDefault="00A71C39" w:rsidP="00A71C39">
            <w:pPr>
              <w:pStyle w:val="Body"/>
            </w:pPr>
            <w:r w:rsidRPr="00E6110F">
              <w:t>Springbok Sandstone</w:t>
            </w:r>
          </w:p>
        </w:tc>
        <w:tc>
          <w:tcPr>
            <w:tcW w:w="1272" w:type="dxa"/>
          </w:tcPr>
          <w:p w14:paraId="1F665E70" w14:textId="4C534EFE" w:rsidR="00A71C39" w:rsidRPr="00E6110F" w:rsidRDefault="00A71C39" w:rsidP="00A71C39">
            <w:pPr>
              <w:pStyle w:val="Body"/>
            </w:pPr>
            <w:r w:rsidRPr="00E6110F">
              <w:t xml:space="preserve">OC = 0; </w:t>
            </w:r>
            <w:r w:rsidRPr="00E6110F">
              <w:rPr>
                <w:i/>
              </w:rPr>
              <w:t>f</w:t>
            </w:r>
            <w:r w:rsidRPr="00E6110F">
              <w:rPr>
                <w:vertAlign w:val="subscript"/>
              </w:rPr>
              <w:t>OC</w:t>
            </w:r>
            <w:r w:rsidR="003C18FF">
              <w:rPr>
                <w:vertAlign w:val="subscript"/>
              </w:rPr>
              <w:t>_r</w:t>
            </w:r>
            <w:r w:rsidRPr="00E6110F">
              <w:t xml:space="preserve"> = 0 </w:t>
            </w:r>
          </w:p>
          <w:p w14:paraId="35419EDE" w14:textId="0F0260AE" w:rsidR="00A71C39" w:rsidRPr="00E6110F" w:rsidRDefault="00A71C39" w:rsidP="00A71C39">
            <w:pPr>
              <w:pStyle w:val="Body"/>
            </w:pPr>
            <w:r w:rsidRPr="00E6110F">
              <w:t>(A, B, C, D, E, F, G)</w:t>
            </w:r>
          </w:p>
        </w:tc>
        <w:tc>
          <w:tcPr>
            <w:tcW w:w="856" w:type="dxa"/>
          </w:tcPr>
          <w:p w14:paraId="00151D13" w14:textId="271CC635" w:rsidR="00A71C39" w:rsidRPr="00E6110F" w:rsidRDefault="00A71C39" w:rsidP="006E524E">
            <w:pPr>
              <w:pStyle w:val="Body"/>
              <w:jc w:val="center"/>
            </w:pPr>
            <w:r w:rsidRPr="007B7D5F">
              <w:t>1</w:t>
            </w:r>
            <w:r w:rsidR="005510E8">
              <w:t>,</w:t>
            </w:r>
            <w:r w:rsidRPr="007B7D5F">
              <w:t>386</w:t>
            </w:r>
          </w:p>
        </w:tc>
        <w:tc>
          <w:tcPr>
            <w:tcW w:w="709" w:type="dxa"/>
          </w:tcPr>
          <w:p w14:paraId="3125D9D4" w14:textId="40F2B52E" w:rsidR="00A71C39" w:rsidRPr="00E6110F" w:rsidRDefault="00A71C39" w:rsidP="006E524E">
            <w:pPr>
              <w:pStyle w:val="Body"/>
              <w:jc w:val="center"/>
            </w:pPr>
            <w:r w:rsidRPr="007B7D5F">
              <w:t>NBD</w:t>
            </w:r>
          </w:p>
        </w:tc>
        <w:tc>
          <w:tcPr>
            <w:tcW w:w="850" w:type="dxa"/>
          </w:tcPr>
          <w:p w14:paraId="7CA31D81" w14:textId="1A93204D" w:rsidR="00A71C39" w:rsidRPr="00E6110F" w:rsidRDefault="00A71C39" w:rsidP="006E524E">
            <w:pPr>
              <w:pStyle w:val="Body"/>
              <w:jc w:val="center"/>
            </w:pPr>
            <w:r w:rsidRPr="007B7D5F">
              <w:t>31.2</w:t>
            </w:r>
          </w:p>
        </w:tc>
        <w:tc>
          <w:tcPr>
            <w:tcW w:w="851" w:type="dxa"/>
          </w:tcPr>
          <w:p w14:paraId="4E4D422C" w14:textId="68663337" w:rsidR="00A71C39" w:rsidRPr="00E6110F" w:rsidRDefault="00A71C39" w:rsidP="006E524E">
            <w:pPr>
              <w:pStyle w:val="Body"/>
              <w:jc w:val="center"/>
            </w:pPr>
            <w:r w:rsidRPr="007B7D5F">
              <w:t>112</w:t>
            </w:r>
          </w:p>
        </w:tc>
        <w:tc>
          <w:tcPr>
            <w:tcW w:w="850" w:type="dxa"/>
          </w:tcPr>
          <w:p w14:paraId="04141058" w14:textId="0DE23BEB" w:rsidR="00A71C39" w:rsidRPr="00E6110F" w:rsidRDefault="00A71C39" w:rsidP="006E524E">
            <w:pPr>
              <w:pStyle w:val="Body"/>
              <w:jc w:val="center"/>
            </w:pPr>
            <w:r w:rsidRPr="007B7D5F">
              <w:t>60</w:t>
            </w:r>
          </w:p>
        </w:tc>
        <w:tc>
          <w:tcPr>
            <w:tcW w:w="851" w:type="dxa"/>
          </w:tcPr>
          <w:p w14:paraId="0043E4E3" w14:textId="15ECB2E0" w:rsidR="00A71C39" w:rsidRPr="00E6110F" w:rsidRDefault="00A71C39" w:rsidP="006E524E">
            <w:pPr>
              <w:pStyle w:val="Body"/>
              <w:jc w:val="center"/>
            </w:pPr>
            <w:r w:rsidRPr="007B7D5F">
              <w:t>1</w:t>
            </w:r>
            <w:r w:rsidR="005510E8">
              <w:t>,</w:t>
            </w:r>
            <w:r w:rsidRPr="007B7D5F">
              <w:t>386</w:t>
            </w:r>
          </w:p>
        </w:tc>
        <w:tc>
          <w:tcPr>
            <w:tcW w:w="709" w:type="dxa"/>
          </w:tcPr>
          <w:p w14:paraId="02EEB9AD" w14:textId="6DC73BA4" w:rsidR="00A71C39" w:rsidRPr="00E6110F" w:rsidRDefault="00A71C39" w:rsidP="006E524E">
            <w:pPr>
              <w:pStyle w:val="Body"/>
              <w:jc w:val="center"/>
            </w:pPr>
            <w:r w:rsidRPr="007B7D5F">
              <w:t>NBD</w:t>
            </w:r>
          </w:p>
        </w:tc>
        <w:tc>
          <w:tcPr>
            <w:tcW w:w="708" w:type="dxa"/>
          </w:tcPr>
          <w:p w14:paraId="7651AEA9" w14:textId="561301AF" w:rsidR="00A71C39" w:rsidRPr="00E6110F" w:rsidRDefault="00A71C39" w:rsidP="006E524E">
            <w:pPr>
              <w:pStyle w:val="Body"/>
              <w:jc w:val="center"/>
            </w:pPr>
            <w:r w:rsidRPr="007B7D5F">
              <w:t>31.2</w:t>
            </w:r>
          </w:p>
        </w:tc>
      </w:tr>
      <w:tr w:rsidR="00A71C39" w:rsidRPr="00E6110F" w14:paraId="6EFA4E43" w14:textId="77777777" w:rsidTr="003520B9">
        <w:tc>
          <w:tcPr>
            <w:tcW w:w="1411" w:type="dxa"/>
          </w:tcPr>
          <w:p w14:paraId="29C394C1" w14:textId="091B5597" w:rsidR="00A71C39" w:rsidRPr="00E6110F" w:rsidRDefault="00A71C39" w:rsidP="00A71C39">
            <w:pPr>
              <w:pStyle w:val="Body"/>
            </w:pPr>
            <w:r w:rsidRPr="00E6110F">
              <w:t>Walloon Coal Measures</w:t>
            </w:r>
          </w:p>
        </w:tc>
        <w:tc>
          <w:tcPr>
            <w:tcW w:w="1272" w:type="dxa"/>
          </w:tcPr>
          <w:p w14:paraId="4F2E6E01" w14:textId="330A4E5A" w:rsidR="00A71C39" w:rsidRPr="00E6110F" w:rsidRDefault="00A71C39" w:rsidP="00A71C39">
            <w:pPr>
              <w:pStyle w:val="Body"/>
            </w:pPr>
            <w:r w:rsidRPr="00E6110F">
              <w:t>OC = 31.5;</w:t>
            </w:r>
            <w:r w:rsidRPr="00E6110F">
              <w:rPr>
                <w:i/>
              </w:rPr>
              <w:t xml:space="preserve"> f</w:t>
            </w:r>
            <w:r w:rsidRPr="00E6110F">
              <w:rPr>
                <w:vertAlign w:val="subscript"/>
              </w:rPr>
              <w:t>OC</w:t>
            </w:r>
            <w:r w:rsidR="003C18FF">
              <w:rPr>
                <w:vertAlign w:val="subscript"/>
              </w:rPr>
              <w:t>_r</w:t>
            </w:r>
            <w:r w:rsidRPr="00E6110F">
              <w:t xml:space="preserve"> = 0.0126</w:t>
            </w:r>
          </w:p>
          <w:p w14:paraId="433EF78D" w14:textId="1B26CF6D" w:rsidR="00A71C39" w:rsidRPr="00E6110F" w:rsidRDefault="00A71C39" w:rsidP="00A71C39">
            <w:pPr>
              <w:pStyle w:val="Body"/>
            </w:pPr>
            <w:r w:rsidRPr="00E6110F">
              <w:t>(A, B, C, D, E, F, G)</w:t>
            </w:r>
          </w:p>
        </w:tc>
        <w:tc>
          <w:tcPr>
            <w:tcW w:w="856" w:type="dxa"/>
          </w:tcPr>
          <w:p w14:paraId="05E8510B" w14:textId="3B2166CF" w:rsidR="00A71C39" w:rsidRPr="00E6110F" w:rsidRDefault="00A71C39" w:rsidP="006E524E">
            <w:pPr>
              <w:pStyle w:val="Body"/>
              <w:jc w:val="center"/>
            </w:pPr>
          </w:p>
        </w:tc>
        <w:tc>
          <w:tcPr>
            <w:tcW w:w="709" w:type="dxa"/>
          </w:tcPr>
          <w:p w14:paraId="077E98D9" w14:textId="2DD5DC57" w:rsidR="00A71C39" w:rsidRPr="00E6110F" w:rsidRDefault="00A71C39" w:rsidP="006E524E">
            <w:pPr>
              <w:pStyle w:val="Body"/>
              <w:jc w:val="center"/>
            </w:pPr>
            <w:r w:rsidRPr="007B7D5F">
              <w:t>22</w:t>
            </w:r>
          </w:p>
        </w:tc>
        <w:tc>
          <w:tcPr>
            <w:tcW w:w="850" w:type="dxa"/>
          </w:tcPr>
          <w:p w14:paraId="2D03EE11" w14:textId="4C0682B2" w:rsidR="00A71C39" w:rsidRPr="00E6110F" w:rsidRDefault="00A71C39" w:rsidP="006E524E">
            <w:pPr>
              <w:pStyle w:val="Body"/>
              <w:jc w:val="center"/>
            </w:pPr>
            <w:r w:rsidRPr="007B7D5F">
              <w:t>NBD</w:t>
            </w:r>
          </w:p>
        </w:tc>
        <w:tc>
          <w:tcPr>
            <w:tcW w:w="851" w:type="dxa"/>
          </w:tcPr>
          <w:p w14:paraId="15A797DD" w14:textId="51D8049F" w:rsidR="00A71C39" w:rsidRPr="00E6110F" w:rsidRDefault="00A71C39" w:rsidP="006E524E">
            <w:pPr>
              <w:pStyle w:val="Body"/>
              <w:jc w:val="center"/>
            </w:pPr>
            <w:r w:rsidRPr="007B7D5F">
              <w:t>ND</w:t>
            </w:r>
          </w:p>
        </w:tc>
        <w:tc>
          <w:tcPr>
            <w:tcW w:w="850" w:type="dxa"/>
          </w:tcPr>
          <w:p w14:paraId="3D831CB3" w14:textId="67362B1D" w:rsidR="00A71C39" w:rsidRPr="00E6110F" w:rsidRDefault="00A71C39" w:rsidP="006E524E">
            <w:pPr>
              <w:pStyle w:val="Body"/>
              <w:jc w:val="center"/>
            </w:pPr>
          </w:p>
        </w:tc>
        <w:tc>
          <w:tcPr>
            <w:tcW w:w="851" w:type="dxa"/>
          </w:tcPr>
          <w:p w14:paraId="5C991B57" w14:textId="32347EBA" w:rsidR="00A71C39" w:rsidRPr="00E6110F" w:rsidRDefault="00A71C39" w:rsidP="006E524E">
            <w:pPr>
              <w:pStyle w:val="Body"/>
              <w:jc w:val="center"/>
            </w:pPr>
          </w:p>
        </w:tc>
        <w:tc>
          <w:tcPr>
            <w:tcW w:w="709" w:type="dxa"/>
          </w:tcPr>
          <w:p w14:paraId="487DD076" w14:textId="2F9E1338" w:rsidR="00A71C39" w:rsidRPr="00E6110F" w:rsidRDefault="00A71C39" w:rsidP="006E524E">
            <w:pPr>
              <w:pStyle w:val="Body"/>
              <w:jc w:val="center"/>
            </w:pPr>
            <w:r w:rsidRPr="007B7D5F">
              <w:t>22</w:t>
            </w:r>
          </w:p>
        </w:tc>
        <w:tc>
          <w:tcPr>
            <w:tcW w:w="708" w:type="dxa"/>
          </w:tcPr>
          <w:p w14:paraId="13C7B1BD" w14:textId="5A9F6AB7" w:rsidR="00A71C39" w:rsidRPr="00E6110F" w:rsidRDefault="00A71C39" w:rsidP="006E524E">
            <w:pPr>
              <w:pStyle w:val="Body"/>
              <w:jc w:val="center"/>
            </w:pPr>
            <w:r w:rsidRPr="007B7D5F">
              <w:t>NBD</w:t>
            </w:r>
          </w:p>
        </w:tc>
      </w:tr>
      <w:tr w:rsidR="00A71C39" w:rsidRPr="00E6110F" w14:paraId="415CA425" w14:textId="77777777" w:rsidTr="003520B9">
        <w:tc>
          <w:tcPr>
            <w:tcW w:w="1411" w:type="dxa"/>
          </w:tcPr>
          <w:p w14:paraId="13995FCC" w14:textId="78AF4836" w:rsidR="00A71C39" w:rsidRPr="00E6110F" w:rsidRDefault="00A71C39" w:rsidP="00A71C39">
            <w:pPr>
              <w:pStyle w:val="Body"/>
            </w:pPr>
            <w:r w:rsidRPr="00E6110F">
              <w:t>Hutton Sandstone</w:t>
            </w:r>
          </w:p>
        </w:tc>
        <w:tc>
          <w:tcPr>
            <w:tcW w:w="1272" w:type="dxa"/>
          </w:tcPr>
          <w:p w14:paraId="7DFCC788" w14:textId="2D6C91A3" w:rsidR="00A71C39" w:rsidRPr="00E6110F" w:rsidRDefault="00A71C39" w:rsidP="00A71C39">
            <w:pPr>
              <w:pStyle w:val="Body"/>
            </w:pPr>
            <w:r w:rsidRPr="00E6110F">
              <w:t xml:space="preserve">OC = 0; </w:t>
            </w:r>
            <w:r w:rsidRPr="00E6110F">
              <w:rPr>
                <w:i/>
              </w:rPr>
              <w:t>f</w:t>
            </w:r>
            <w:r w:rsidRPr="00E6110F">
              <w:rPr>
                <w:vertAlign w:val="subscript"/>
              </w:rPr>
              <w:t>OC</w:t>
            </w:r>
            <w:r w:rsidR="003C18FF">
              <w:rPr>
                <w:vertAlign w:val="subscript"/>
              </w:rPr>
              <w:t>_r</w:t>
            </w:r>
            <w:r w:rsidRPr="00E6110F">
              <w:t xml:space="preserve"> = 0</w:t>
            </w:r>
          </w:p>
          <w:p w14:paraId="657FB5F9" w14:textId="0CAFDC0D" w:rsidR="00A71C39" w:rsidRPr="00E6110F" w:rsidRDefault="00A71C39" w:rsidP="00A71C39">
            <w:pPr>
              <w:pStyle w:val="Body"/>
            </w:pPr>
            <w:r w:rsidRPr="00E6110F">
              <w:t>(A, B, C, D, E, F, G)</w:t>
            </w:r>
          </w:p>
        </w:tc>
        <w:tc>
          <w:tcPr>
            <w:tcW w:w="856" w:type="dxa"/>
          </w:tcPr>
          <w:p w14:paraId="28B40B21" w14:textId="34970A20" w:rsidR="00A71C39" w:rsidRPr="00E6110F" w:rsidRDefault="00A71C39" w:rsidP="006E524E">
            <w:pPr>
              <w:pStyle w:val="Body"/>
              <w:jc w:val="center"/>
            </w:pPr>
            <w:r w:rsidRPr="007B7D5F">
              <w:t>1</w:t>
            </w:r>
            <w:r w:rsidR="005510E8">
              <w:t>,</w:t>
            </w:r>
            <w:r w:rsidRPr="007B7D5F">
              <w:t>386</w:t>
            </w:r>
          </w:p>
        </w:tc>
        <w:tc>
          <w:tcPr>
            <w:tcW w:w="709" w:type="dxa"/>
          </w:tcPr>
          <w:p w14:paraId="722E2FF6" w14:textId="65158B49" w:rsidR="00A71C39" w:rsidRPr="00E6110F" w:rsidRDefault="00A71C39" w:rsidP="006E524E">
            <w:pPr>
              <w:pStyle w:val="Body"/>
              <w:jc w:val="center"/>
            </w:pPr>
            <w:r w:rsidRPr="007B7D5F">
              <w:t>NBD</w:t>
            </w:r>
          </w:p>
        </w:tc>
        <w:tc>
          <w:tcPr>
            <w:tcW w:w="850" w:type="dxa"/>
          </w:tcPr>
          <w:p w14:paraId="069019EB" w14:textId="77B6C3E6" w:rsidR="00A71C39" w:rsidRPr="00E6110F" w:rsidRDefault="00A71C39" w:rsidP="006E524E">
            <w:pPr>
              <w:pStyle w:val="Body"/>
              <w:jc w:val="center"/>
            </w:pPr>
            <w:r w:rsidRPr="007B7D5F">
              <w:t>31.2</w:t>
            </w:r>
          </w:p>
        </w:tc>
        <w:tc>
          <w:tcPr>
            <w:tcW w:w="851" w:type="dxa"/>
          </w:tcPr>
          <w:p w14:paraId="2C588157" w14:textId="6E0FD6AC" w:rsidR="00A71C39" w:rsidRPr="00E6110F" w:rsidRDefault="00A71C39" w:rsidP="006E524E">
            <w:pPr>
              <w:pStyle w:val="Body"/>
              <w:jc w:val="center"/>
            </w:pPr>
            <w:r w:rsidRPr="007B7D5F">
              <w:t>112</w:t>
            </w:r>
          </w:p>
        </w:tc>
        <w:tc>
          <w:tcPr>
            <w:tcW w:w="850" w:type="dxa"/>
          </w:tcPr>
          <w:p w14:paraId="587765EA" w14:textId="7DEBD2D1" w:rsidR="00A71C39" w:rsidRPr="00E6110F" w:rsidRDefault="00A71C39" w:rsidP="006E524E">
            <w:pPr>
              <w:pStyle w:val="Body"/>
              <w:jc w:val="center"/>
            </w:pPr>
            <w:r w:rsidRPr="007B7D5F">
              <w:t>60</w:t>
            </w:r>
          </w:p>
        </w:tc>
        <w:tc>
          <w:tcPr>
            <w:tcW w:w="851" w:type="dxa"/>
          </w:tcPr>
          <w:p w14:paraId="3144E415" w14:textId="216C43CB" w:rsidR="00A71C39" w:rsidRPr="00E6110F" w:rsidRDefault="00A71C39" w:rsidP="006E524E">
            <w:pPr>
              <w:pStyle w:val="Body"/>
              <w:jc w:val="center"/>
            </w:pPr>
            <w:r w:rsidRPr="007B7D5F">
              <w:t>1</w:t>
            </w:r>
            <w:r w:rsidR="005510E8">
              <w:t>,</w:t>
            </w:r>
            <w:r w:rsidRPr="007B7D5F">
              <w:t>386</w:t>
            </w:r>
          </w:p>
        </w:tc>
        <w:tc>
          <w:tcPr>
            <w:tcW w:w="709" w:type="dxa"/>
          </w:tcPr>
          <w:p w14:paraId="7CB3334F" w14:textId="58085A79" w:rsidR="00A71C39" w:rsidRPr="00E6110F" w:rsidRDefault="00A71C39" w:rsidP="006E524E">
            <w:pPr>
              <w:pStyle w:val="Body"/>
              <w:jc w:val="center"/>
            </w:pPr>
            <w:r w:rsidRPr="007B7D5F">
              <w:t>NBD</w:t>
            </w:r>
          </w:p>
        </w:tc>
        <w:tc>
          <w:tcPr>
            <w:tcW w:w="708" w:type="dxa"/>
          </w:tcPr>
          <w:p w14:paraId="7647F3B0" w14:textId="7F196C7C" w:rsidR="00A71C39" w:rsidRPr="00E6110F" w:rsidRDefault="00A71C39" w:rsidP="006E524E">
            <w:pPr>
              <w:pStyle w:val="Body"/>
              <w:jc w:val="center"/>
            </w:pPr>
            <w:r w:rsidRPr="007B7D5F">
              <w:t>31.2</w:t>
            </w:r>
          </w:p>
        </w:tc>
      </w:tr>
    </w:tbl>
    <w:p w14:paraId="1A11E700" w14:textId="77777777" w:rsidR="00160004" w:rsidRPr="00E6110F" w:rsidRDefault="00160004" w:rsidP="00160004">
      <w:pPr>
        <w:rPr>
          <w:lang w:val="en-GB"/>
        </w:rPr>
      </w:pPr>
    </w:p>
    <w:p w14:paraId="3A71589B" w14:textId="20E89544" w:rsidR="00B939EB" w:rsidRPr="00E6110F" w:rsidRDefault="00B939EB">
      <w:pPr>
        <w:rPr>
          <w:rFonts w:ascii="Calibri" w:hAnsi="Calibri" w:cs="Calibri"/>
          <w:color w:val="000000"/>
          <w:sz w:val="18"/>
          <w:szCs w:val="18"/>
          <w:lang w:val="en-GB"/>
        </w:rPr>
      </w:pPr>
      <w:r w:rsidRPr="00E6110F">
        <w:br w:type="page"/>
      </w:r>
    </w:p>
    <w:p w14:paraId="3B15BC09" w14:textId="50EC984E" w:rsidR="00B939EB" w:rsidRPr="00E6110F" w:rsidRDefault="005C7AF8" w:rsidP="00B939EB">
      <w:pPr>
        <w:pStyle w:val="Heading2"/>
      </w:pPr>
      <w:bookmarkStart w:id="524" w:name="_Ref452822681"/>
      <w:bookmarkStart w:id="525" w:name="_Ref452833606"/>
      <w:bookmarkStart w:id="526" w:name="_Ref452902749"/>
      <w:bookmarkStart w:id="527" w:name="_Toc494444609"/>
      <w:r>
        <w:t>Attenuation</w:t>
      </w:r>
      <w:r w:rsidR="00B939EB" w:rsidRPr="00E6110F">
        <w:t xml:space="preserve"> parameters for </w:t>
      </w:r>
      <w:r w:rsidR="00827F1F" w:rsidRPr="00E6110F">
        <w:t>in</w:t>
      </w:r>
      <w:r w:rsidR="00B939EB" w:rsidRPr="00E6110F">
        <w:t>organic substances</w:t>
      </w:r>
      <w:bookmarkEnd w:id="524"/>
      <w:bookmarkEnd w:id="525"/>
      <w:bookmarkEnd w:id="526"/>
      <w:bookmarkEnd w:id="527"/>
    </w:p>
    <w:p w14:paraId="4816AD1D" w14:textId="77777777" w:rsidR="00FE5C52" w:rsidRPr="00E6110F" w:rsidRDefault="00FE5C52" w:rsidP="004F62BB">
      <w:pPr>
        <w:pStyle w:val="Body"/>
      </w:pPr>
    </w:p>
    <w:p w14:paraId="74D1148C" w14:textId="6D18CFD1" w:rsidR="00B939EB" w:rsidRPr="00E6110F" w:rsidRDefault="00B939EB" w:rsidP="00B939EB">
      <w:pPr>
        <w:pStyle w:val="Body"/>
      </w:pPr>
      <w:r w:rsidRPr="00E6110F">
        <w:t>Selection of partition coefficients (</w:t>
      </w:r>
      <w:proofErr w:type="gramStart"/>
      <w:r w:rsidRPr="00E6110F">
        <w:rPr>
          <w:i/>
        </w:rPr>
        <w:t>K</w:t>
      </w:r>
      <w:r w:rsidRPr="00E6110F">
        <w:rPr>
          <w:vertAlign w:val="subscript"/>
        </w:rPr>
        <w:t>d</w:t>
      </w:r>
      <w:proofErr w:type="gramEnd"/>
      <w:r w:rsidRPr="00E6110F">
        <w:t>) for inorganic substances in deep groundwater matrices was undertaken. Partition coefficient (</w:t>
      </w:r>
      <w:proofErr w:type="gramStart"/>
      <w:r w:rsidRPr="00E6110F">
        <w:rPr>
          <w:i/>
        </w:rPr>
        <w:t>K</w:t>
      </w:r>
      <w:r w:rsidRPr="00E6110F">
        <w:rPr>
          <w:vertAlign w:val="subscript"/>
        </w:rPr>
        <w:t>d</w:t>
      </w:r>
      <w:proofErr w:type="gramEnd"/>
      <w:r w:rsidRPr="00E6110F">
        <w:t xml:space="preserve">) values were sought for arsenic, boron, barium and uranium. It is important to note that these elements are persistent inorganic chemicals </w:t>
      </w:r>
      <w:r w:rsidR="007F6CD5">
        <w:t xml:space="preserve">that </w:t>
      </w:r>
      <w:r w:rsidRPr="00E6110F">
        <w:t xml:space="preserve">do not undergo degradation (biotic or abiotic) in the same manner as organic chemicals. </w:t>
      </w:r>
      <w:r w:rsidR="00067A00" w:rsidRPr="00E6110F">
        <w:t xml:space="preserve">The exception is uranium, which is a radionuclide with a specific half-life depending on the isotope. For the most </w:t>
      </w:r>
      <w:r w:rsidR="0031738D" w:rsidRPr="00E6110F">
        <w:t>abundant</w:t>
      </w:r>
      <w:r w:rsidR="00067A00" w:rsidRPr="00E6110F">
        <w:t xml:space="preserve"> isotope </w:t>
      </w:r>
      <w:r w:rsidR="00067A00" w:rsidRPr="00E6110F">
        <w:rPr>
          <w:vertAlign w:val="superscript"/>
        </w:rPr>
        <w:t>238</w:t>
      </w:r>
      <w:r w:rsidR="00067A00" w:rsidRPr="00E6110F">
        <w:t xml:space="preserve">U the half-life is </w:t>
      </w:r>
      <w:r w:rsidR="0031738D" w:rsidRPr="00E6110F">
        <w:t>4.47×10</w:t>
      </w:r>
      <w:r w:rsidR="0031738D" w:rsidRPr="00E6110F">
        <w:rPr>
          <w:vertAlign w:val="superscript"/>
        </w:rPr>
        <w:t>9</w:t>
      </w:r>
      <w:r w:rsidR="0031738D" w:rsidRPr="00E6110F">
        <w:t xml:space="preserve"> years; because of this very long half-life, very little decay of </w:t>
      </w:r>
      <w:r w:rsidR="00657C4F" w:rsidRPr="00E6110F">
        <w:rPr>
          <w:vertAlign w:val="superscript"/>
        </w:rPr>
        <w:t>238</w:t>
      </w:r>
      <w:r w:rsidR="00657C4F" w:rsidRPr="00E6110F">
        <w:t xml:space="preserve">U </w:t>
      </w:r>
      <w:r w:rsidR="0031738D" w:rsidRPr="00E6110F">
        <w:t xml:space="preserve">will happen even in several thousand years. </w:t>
      </w:r>
      <w:r w:rsidRPr="00E6110F">
        <w:t>Consequently, half</w:t>
      </w:r>
      <w:r w:rsidR="00827F1F" w:rsidRPr="00E6110F">
        <w:t>-</w:t>
      </w:r>
      <w:r w:rsidRPr="00E6110F">
        <w:t xml:space="preserve">lives are not a relevant parameter for these chemicals.  Adsorption, whereby these substances adsorb onto rock surfaces, sediments and soils is </w:t>
      </w:r>
      <w:r w:rsidR="00EA33EF" w:rsidRPr="00E6110F">
        <w:t xml:space="preserve">one of </w:t>
      </w:r>
      <w:r w:rsidRPr="00E6110F">
        <w:t>the most important process</w:t>
      </w:r>
      <w:r w:rsidR="00EA33EF" w:rsidRPr="00E6110F">
        <w:t>es</w:t>
      </w:r>
      <w:r w:rsidRPr="00E6110F">
        <w:t xml:space="preserve"> attenuating groundwater concentrations. </w:t>
      </w:r>
    </w:p>
    <w:p w14:paraId="7FA7B0CD" w14:textId="4C217A17" w:rsidR="00B939EB" w:rsidRPr="00E6110F" w:rsidRDefault="00B939EB" w:rsidP="00B939EB">
      <w:pPr>
        <w:pStyle w:val="Body"/>
      </w:pPr>
      <w:r w:rsidRPr="00E6110F">
        <w:t xml:space="preserve">A literature survey was conducted using Google and Web of Science. Most of the literature found related to the determination of </w:t>
      </w:r>
      <w:proofErr w:type="gramStart"/>
      <w:r w:rsidRPr="00E6110F">
        <w:rPr>
          <w:i/>
        </w:rPr>
        <w:t>K</w:t>
      </w:r>
      <w:r w:rsidRPr="00E6110F">
        <w:rPr>
          <w:vertAlign w:val="subscript"/>
        </w:rPr>
        <w:t>d</w:t>
      </w:r>
      <w:proofErr w:type="gramEnd"/>
      <w:r w:rsidRPr="00E6110F">
        <w:t xml:space="preserve"> values for soils or alluvial sediments obtained from shallow depths. There was little </w:t>
      </w:r>
      <w:proofErr w:type="gramStart"/>
      <w:r w:rsidRPr="00E6110F">
        <w:rPr>
          <w:i/>
        </w:rPr>
        <w:t>K</w:t>
      </w:r>
      <w:r w:rsidRPr="00E6110F">
        <w:rPr>
          <w:vertAlign w:val="subscript"/>
        </w:rPr>
        <w:t>d</w:t>
      </w:r>
      <w:proofErr w:type="gramEnd"/>
      <w:r w:rsidRPr="00E6110F">
        <w:t xml:space="preserve"> data for hard rocks particularly of those matching the geological description of the Namoi </w:t>
      </w:r>
      <w:r w:rsidR="00EA33EF" w:rsidRPr="00E6110F">
        <w:t xml:space="preserve">or Surat </w:t>
      </w:r>
      <w:r w:rsidRPr="00E6110F">
        <w:t xml:space="preserve">strata. Surprisingly, given international concerns on groundwater contamination, there was only very limited data for arsenic adsorption onto rocks and soils.  Only a few studies have compared the relative adsorptive affinities of </w:t>
      </w:r>
      <w:proofErr w:type="gramStart"/>
      <w:r w:rsidRPr="00E6110F">
        <w:t>As(</w:t>
      </w:r>
      <w:proofErr w:type="gramEnd"/>
      <w:r w:rsidRPr="00E6110F">
        <w:t>III) and As(</w:t>
      </w:r>
      <w:r w:rsidR="00DF4AA2">
        <w:t>V</w:t>
      </w:r>
      <w:r w:rsidRPr="00E6110F">
        <w:t>) (Dixit and Hering 2003).</w:t>
      </w:r>
    </w:p>
    <w:p w14:paraId="4CE97E14" w14:textId="7F373EC0" w:rsidR="00B939EB" w:rsidRDefault="00B939EB" w:rsidP="00B939EB">
      <w:pPr>
        <w:pStyle w:val="Body"/>
      </w:pPr>
      <w:r w:rsidRPr="00E6110F">
        <w:t>A number of physico</w:t>
      </w:r>
      <w:r w:rsidR="00EA33EF" w:rsidRPr="00E6110F">
        <w:t>-</w:t>
      </w:r>
      <w:r w:rsidRPr="00E6110F">
        <w:t>chemical factors are likely to influence sediment</w:t>
      </w:r>
      <w:r w:rsidR="00EA33EF" w:rsidRPr="00E6110F">
        <w:t>-</w:t>
      </w:r>
      <w:r w:rsidRPr="00E6110F">
        <w:t>water partitioning in deep groundwater systems such as pH, groundwater composition, temperature and solid phase composition (</w:t>
      </w:r>
      <w:r w:rsidR="004D4584" w:rsidRPr="00E6110F">
        <w:fldChar w:fldCharType="begin" w:fldLock="1"/>
      </w:r>
      <w:r w:rsidR="004D4584" w:rsidRPr="00E6110F">
        <w:instrText xml:space="preserve"> REF _Ref452906966 \h  \* MERGEFORMAT </w:instrText>
      </w:r>
      <w:r w:rsidR="004D4584" w:rsidRPr="00E6110F">
        <w:fldChar w:fldCharType="separate"/>
      </w:r>
      <w:r w:rsidR="00335E79" w:rsidRPr="00DA539C">
        <w:t xml:space="preserve">Table </w:t>
      </w:r>
      <w:r w:rsidR="00335E79">
        <w:t>4</w:t>
      </w:r>
      <w:r w:rsidR="00335E79">
        <w:noBreakHyphen/>
        <w:t>7</w:t>
      </w:r>
      <w:r w:rsidR="004D4584" w:rsidRPr="00E6110F">
        <w:fldChar w:fldCharType="end"/>
      </w:r>
      <w:r w:rsidRPr="00E6110F">
        <w:t>). Initially</w:t>
      </w:r>
      <w:r w:rsidR="007F6CD5">
        <w:t>,</w:t>
      </w:r>
      <w:r w:rsidRPr="00E6110F">
        <w:t xml:space="preserve"> it was intended to develop scaling factors that allowed adjustment of </w:t>
      </w:r>
      <w:proofErr w:type="gramStart"/>
      <w:r w:rsidRPr="00E6110F">
        <w:rPr>
          <w:i/>
        </w:rPr>
        <w:t>K</w:t>
      </w:r>
      <w:r w:rsidRPr="00E6110F">
        <w:rPr>
          <w:vertAlign w:val="subscript"/>
        </w:rPr>
        <w:t>d</w:t>
      </w:r>
      <w:proofErr w:type="gramEnd"/>
      <w:r w:rsidRPr="00E6110F">
        <w:t xml:space="preserve"> for these factors. However</w:t>
      </w:r>
      <w:r w:rsidR="004D4584" w:rsidRPr="00E6110F">
        <w:t>,</w:t>
      </w:r>
      <w:r w:rsidRPr="00E6110F">
        <w:t xml:space="preserve"> this was not possible owing to the lack of established relationships between </w:t>
      </w:r>
      <w:proofErr w:type="gramStart"/>
      <w:r w:rsidRPr="00E6110F">
        <w:rPr>
          <w:i/>
        </w:rPr>
        <w:t>K</w:t>
      </w:r>
      <w:r w:rsidRPr="00E6110F">
        <w:rPr>
          <w:vertAlign w:val="subscript"/>
        </w:rPr>
        <w:t>d</w:t>
      </w:r>
      <w:proofErr w:type="gramEnd"/>
      <w:r w:rsidRPr="00E6110F">
        <w:t xml:space="preserve"> and the variables in question. </w:t>
      </w:r>
    </w:p>
    <w:p w14:paraId="459E3DE5" w14:textId="72A528EF" w:rsidR="001A4BD4" w:rsidRPr="00E6110F" w:rsidRDefault="001A4BD4" w:rsidP="001A4BD4">
      <w:pPr>
        <w:pStyle w:val="Body"/>
      </w:pPr>
      <w:r w:rsidRPr="00E6110F">
        <w:t>In reality</w:t>
      </w:r>
      <w:r>
        <w:t>,</w:t>
      </w:r>
      <w:r w:rsidRPr="00E6110F">
        <w:t xml:space="preserve"> the pH variability observ</w:t>
      </w:r>
      <w:r>
        <w:t>ed in groundwater from the Gunnedah</w:t>
      </w:r>
      <w:r w:rsidRPr="00E6110F">
        <w:t xml:space="preserve"> and Surat </w:t>
      </w:r>
      <w:r>
        <w:t>Basins</w:t>
      </w:r>
      <w:r w:rsidRPr="00E6110F">
        <w:t xml:space="preserve"> is not that great. As indicated in </w:t>
      </w:r>
      <w:r>
        <w:fldChar w:fldCharType="begin" w:fldLock="1"/>
      </w:r>
      <w:r>
        <w:instrText xml:space="preserve"> REF _Ref452898998 \h </w:instrText>
      </w:r>
      <w:r>
        <w:fldChar w:fldCharType="separate"/>
      </w:r>
      <w:r w:rsidR="00335E79" w:rsidRPr="00E6110F">
        <w:t xml:space="preserve">Table </w:t>
      </w:r>
      <w:r w:rsidR="00335E79">
        <w:rPr>
          <w:noProof/>
        </w:rPr>
        <w:t>4</w:t>
      </w:r>
      <w:r w:rsidR="00335E79">
        <w:noBreakHyphen/>
      </w:r>
      <w:r w:rsidR="00335E79">
        <w:rPr>
          <w:noProof/>
        </w:rPr>
        <w:t>1</w:t>
      </w:r>
      <w:r>
        <w:fldChar w:fldCharType="end"/>
      </w:r>
      <w:r>
        <w:t xml:space="preserve"> and</w:t>
      </w:r>
      <w:r w:rsidR="003C18FF">
        <w:t xml:space="preserve"> </w:t>
      </w:r>
      <w:r w:rsidR="003C18FF">
        <w:fldChar w:fldCharType="begin" w:fldLock="1"/>
      </w:r>
      <w:r w:rsidR="003C18FF">
        <w:instrText xml:space="preserve"> REF _Ref470869247 \h </w:instrText>
      </w:r>
      <w:r w:rsidR="003C18FF">
        <w:fldChar w:fldCharType="separate"/>
      </w:r>
      <w:r w:rsidR="00335E79" w:rsidRPr="00E6110F">
        <w:t xml:space="preserve">Table </w:t>
      </w:r>
      <w:r w:rsidR="00335E79">
        <w:rPr>
          <w:noProof/>
        </w:rPr>
        <w:t>4</w:t>
      </w:r>
      <w:r w:rsidR="00335E79">
        <w:noBreakHyphen/>
      </w:r>
      <w:r w:rsidR="00335E79">
        <w:rPr>
          <w:noProof/>
        </w:rPr>
        <w:t>2</w:t>
      </w:r>
      <w:r w:rsidR="003C18FF">
        <w:fldChar w:fldCharType="end"/>
      </w:r>
      <w:r>
        <w:t xml:space="preserve">, </w:t>
      </w:r>
      <w:r w:rsidRPr="00E6110F">
        <w:t xml:space="preserve">the median pH of the groundwater associated with </w:t>
      </w:r>
      <w:r>
        <w:t xml:space="preserve">the target coal </w:t>
      </w:r>
      <w:r w:rsidRPr="00E6110F">
        <w:t xml:space="preserve">seam </w:t>
      </w:r>
      <w:r>
        <w:t xml:space="preserve">formations </w:t>
      </w:r>
      <w:r w:rsidRPr="00E6110F">
        <w:t>varies from 7.</w:t>
      </w:r>
      <w:r>
        <w:t>6</w:t>
      </w:r>
      <w:r w:rsidRPr="00E6110F">
        <w:t xml:space="preserve"> </w:t>
      </w:r>
      <w:r>
        <w:t xml:space="preserve">(Gunnedah) </w:t>
      </w:r>
      <w:r w:rsidRPr="00E6110F">
        <w:t>to 8</w:t>
      </w:r>
      <w:r>
        <w:t xml:space="preserve"> (Surat)</w:t>
      </w:r>
      <w:r w:rsidRPr="00E6110F">
        <w:t xml:space="preserve">. The geothermal gradient is quite significant (section </w:t>
      </w:r>
      <w:r w:rsidRPr="00E6110F">
        <w:fldChar w:fldCharType="begin" w:fldLock="1"/>
      </w:r>
      <w:r w:rsidRPr="00E6110F">
        <w:instrText xml:space="preserve"> REF _Ref446954676 \r \h </w:instrText>
      </w:r>
      <w:r>
        <w:instrText xml:space="preserve"> \* MERGEFORMAT </w:instrText>
      </w:r>
      <w:r w:rsidRPr="00E6110F">
        <w:fldChar w:fldCharType="separate"/>
      </w:r>
      <w:r w:rsidR="00335E79">
        <w:t>4.1.1.2</w:t>
      </w:r>
      <w:r w:rsidRPr="00E6110F">
        <w:fldChar w:fldCharType="end"/>
      </w:r>
      <w:r w:rsidRPr="00E6110F">
        <w:t>) and water temperature ranges from 20</w:t>
      </w:r>
      <w:r w:rsidRPr="00E6110F">
        <w:rPr>
          <w:vertAlign w:val="superscript"/>
        </w:rPr>
        <w:t>o</w:t>
      </w:r>
      <w:r w:rsidRPr="00E6110F">
        <w:t>C in surface strata to a maximum of 58</w:t>
      </w:r>
      <w:r w:rsidRPr="00E6110F">
        <w:rPr>
          <w:vertAlign w:val="superscript"/>
        </w:rPr>
        <w:t>o</w:t>
      </w:r>
      <w:r w:rsidRPr="00E6110F">
        <w:t xml:space="preserve">C at depth. There is insufficient geochemical information on the Namoi and Surat strata that can further inform the selection of </w:t>
      </w:r>
      <w:r w:rsidRPr="00E6110F">
        <w:rPr>
          <w:i/>
        </w:rPr>
        <w:t>K</w:t>
      </w:r>
      <w:r w:rsidRPr="00E6110F">
        <w:rPr>
          <w:vertAlign w:val="subscript"/>
        </w:rPr>
        <w:t>d</w:t>
      </w:r>
      <w:r w:rsidRPr="00E6110F">
        <w:t xml:space="preserve"> values for the elements in question (i.e redox potential, detailed mineral composition, groundwater composition). </w:t>
      </w:r>
    </w:p>
    <w:p w14:paraId="62B96111" w14:textId="77777777" w:rsidR="001A4BD4" w:rsidRPr="00E6110F" w:rsidRDefault="001A4BD4" w:rsidP="001A4BD4">
      <w:pPr>
        <w:pStyle w:val="Body"/>
      </w:pPr>
      <w:r w:rsidRPr="00E6110F">
        <w:t xml:space="preserve">In view of the sparsity of appropriate data, the following selection criteria were applied in selecting </w:t>
      </w:r>
      <w:proofErr w:type="gramStart"/>
      <w:r w:rsidRPr="00E6110F">
        <w:rPr>
          <w:i/>
        </w:rPr>
        <w:t>K</w:t>
      </w:r>
      <w:r w:rsidRPr="00E6110F">
        <w:rPr>
          <w:vertAlign w:val="subscript"/>
        </w:rPr>
        <w:t>d</w:t>
      </w:r>
      <w:proofErr w:type="gramEnd"/>
      <w:r w:rsidRPr="00E6110F">
        <w:t xml:space="preserve"> values from literature:</w:t>
      </w:r>
    </w:p>
    <w:p w14:paraId="7CCDB212" w14:textId="77777777" w:rsidR="001A4BD4" w:rsidRPr="00E6110F" w:rsidRDefault="001A4BD4" w:rsidP="001A4BD4">
      <w:pPr>
        <w:pStyle w:val="Body"/>
        <w:numPr>
          <w:ilvl w:val="0"/>
          <w:numId w:val="39"/>
        </w:numPr>
      </w:pPr>
      <w:proofErr w:type="gramStart"/>
      <w:r w:rsidRPr="00E6110F">
        <w:rPr>
          <w:i/>
        </w:rPr>
        <w:t>K</w:t>
      </w:r>
      <w:r w:rsidRPr="00E6110F">
        <w:rPr>
          <w:vertAlign w:val="subscript"/>
        </w:rPr>
        <w:t>d</w:t>
      </w:r>
      <w:proofErr w:type="gramEnd"/>
      <w:r w:rsidRPr="00E6110F">
        <w:t xml:space="preserve"> values determined for rocks were preferred over soil and alluvial sediment data.</w:t>
      </w:r>
    </w:p>
    <w:p w14:paraId="7A356821" w14:textId="77777777" w:rsidR="001A4BD4" w:rsidRPr="00E6110F" w:rsidRDefault="001A4BD4" w:rsidP="001A4BD4">
      <w:pPr>
        <w:pStyle w:val="Body"/>
        <w:numPr>
          <w:ilvl w:val="0"/>
          <w:numId w:val="39"/>
        </w:numPr>
      </w:pPr>
      <w:r w:rsidRPr="00E6110F">
        <w:t xml:space="preserve">If no </w:t>
      </w:r>
      <w:proofErr w:type="gramStart"/>
      <w:r w:rsidRPr="00E6110F">
        <w:rPr>
          <w:i/>
        </w:rPr>
        <w:t>K</w:t>
      </w:r>
      <w:r w:rsidRPr="00E6110F">
        <w:rPr>
          <w:vertAlign w:val="subscript"/>
        </w:rPr>
        <w:t>d</w:t>
      </w:r>
      <w:proofErr w:type="gramEnd"/>
      <w:r w:rsidRPr="00E6110F">
        <w:t xml:space="preserve"> rock data available then use alluvial sediments data or, as a last resort, soil data.</w:t>
      </w:r>
    </w:p>
    <w:p w14:paraId="6DE8A31C" w14:textId="77777777" w:rsidR="001A4BD4" w:rsidRPr="00E6110F" w:rsidRDefault="001A4BD4" w:rsidP="001A4BD4">
      <w:pPr>
        <w:pStyle w:val="Body"/>
        <w:numPr>
          <w:ilvl w:val="0"/>
          <w:numId w:val="39"/>
        </w:numPr>
      </w:pPr>
      <w:r w:rsidRPr="00E6110F">
        <w:t xml:space="preserve">Where there is a range of </w:t>
      </w:r>
      <w:r w:rsidRPr="00E6110F">
        <w:rPr>
          <w:i/>
        </w:rPr>
        <w:t>K</w:t>
      </w:r>
      <w:r w:rsidRPr="00E6110F">
        <w:rPr>
          <w:vertAlign w:val="subscript"/>
        </w:rPr>
        <w:t>d</w:t>
      </w:r>
      <w:r w:rsidRPr="00E6110F">
        <w:t xml:space="preserve"> values, the lower values were selected (i.e. underestimate </w:t>
      </w:r>
      <w:r w:rsidRPr="00E6110F">
        <w:rPr>
          <w:i/>
        </w:rPr>
        <w:t>K</w:t>
      </w:r>
      <w:r w:rsidRPr="00E6110F">
        <w:rPr>
          <w:vertAlign w:val="subscript"/>
        </w:rPr>
        <w:t>d</w:t>
      </w:r>
      <w:r w:rsidRPr="00E6110F">
        <w:t xml:space="preserve"> rather than overestimate </w:t>
      </w:r>
      <w:r w:rsidRPr="00E6110F">
        <w:rPr>
          <w:i/>
        </w:rPr>
        <w:t>K</w:t>
      </w:r>
      <w:r w:rsidRPr="00E6110F">
        <w:rPr>
          <w:vertAlign w:val="subscript"/>
        </w:rPr>
        <w:t>d</w:t>
      </w:r>
      <w:r w:rsidRPr="00E6110F">
        <w:t>)</w:t>
      </w:r>
    </w:p>
    <w:p w14:paraId="10C66362" w14:textId="77777777" w:rsidR="001A4BD4" w:rsidRPr="00E6110F" w:rsidRDefault="001A4BD4" w:rsidP="001A4BD4">
      <w:pPr>
        <w:pStyle w:val="Body"/>
        <w:numPr>
          <w:ilvl w:val="0"/>
          <w:numId w:val="39"/>
        </w:numPr>
      </w:pPr>
      <w:r w:rsidRPr="00E6110F">
        <w:t xml:space="preserve">Select </w:t>
      </w:r>
      <w:proofErr w:type="gramStart"/>
      <w:r w:rsidRPr="00E6110F">
        <w:rPr>
          <w:i/>
        </w:rPr>
        <w:t>K</w:t>
      </w:r>
      <w:r w:rsidRPr="00E6110F">
        <w:rPr>
          <w:vertAlign w:val="subscript"/>
        </w:rPr>
        <w:t>d</w:t>
      </w:r>
      <w:proofErr w:type="gramEnd"/>
      <w:r w:rsidRPr="00E6110F">
        <w:t xml:space="preserve"> values determined at pH values of between 7 and 9.</w:t>
      </w:r>
    </w:p>
    <w:p w14:paraId="25DF63F8" w14:textId="77777777" w:rsidR="001A4BD4" w:rsidRPr="00E6110F" w:rsidRDefault="001A4BD4" w:rsidP="001A4BD4">
      <w:pPr>
        <w:pStyle w:val="Body"/>
        <w:numPr>
          <w:ilvl w:val="0"/>
          <w:numId w:val="39"/>
        </w:numPr>
      </w:pPr>
      <w:r w:rsidRPr="00E6110F">
        <w:t xml:space="preserve">Avoid pure mineral phases such as goethite and other iron minerals as they will overestimate </w:t>
      </w:r>
      <w:proofErr w:type="gramStart"/>
      <w:r w:rsidRPr="00E6110F">
        <w:rPr>
          <w:i/>
        </w:rPr>
        <w:t>K</w:t>
      </w:r>
      <w:r w:rsidRPr="00E6110F">
        <w:rPr>
          <w:vertAlign w:val="subscript"/>
        </w:rPr>
        <w:t>d</w:t>
      </w:r>
      <w:proofErr w:type="gramEnd"/>
      <w:r w:rsidRPr="00E6110F">
        <w:t xml:space="preserve"> for elements such as As and U.</w:t>
      </w:r>
    </w:p>
    <w:p w14:paraId="060AF1DF" w14:textId="77777777" w:rsidR="001A4BD4" w:rsidRPr="00E6110F" w:rsidRDefault="001A4BD4" w:rsidP="001A4BD4">
      <w:pPr>
        <w:pStyle w:val="Body"/>
        <w:numPr>
          <w:ilvl w:val="0"/>
          <w:numId w:val="39"/>
        </w:numPr>
      </w:pPr>
      <w:r w:rsidRPr="00E6110F">
        <w:t xml:space="preserve">Avoid </w:t>
      </w:r>
      <w:proofErr w:type="gramStart"/>
      <w:r w:rsidRPr="00E6110F">
        <w:rPr>
          <w:i/>
        </w:rPr>
        <w:t>K</w:t>
      </w:r>
      <w:r w:rsidRPr="00E6110F">
        <w:rPr>
          <w:vertAlign w:val="subscript"/>
        </w:rPr>
        <w:t>d</w:t>
      </w:r>
      <w:proofErr w:type="gramEnd"/>
      <w:r w:rsidRPr="00E6110F">
        <w:t xml:space="preserve"> data derived for quartz, as owing to its relative inertness, it likely to provide underestimates of </w:t>
      </w:r>
      <w:r w:rsidRPr="00E6110F">
        <w:rPr>
          <w:i/>
        </w:rPr>
        <w:t>K</w:t>
      </w:r>
      <w:r w:rsidRPr="00E6110F">
        <w:rPr>
          <w:vertAlign w:val="subscript"/>
        </w:rPr>
        <w:t>d</w:t>
      </w:r>
      <w:r w:rsidRPr="00E6110F">
        <w:t>.</w:t>
      </w:r>
    </w:p>
    <w:p w14:paraId="6CEDA424" w14:textId="77777777" w:rsidR="001A4BD4" w:rsidRPr="00E6110F" w:rsidRDefault="001A4BD4" w:rsidP="001A4BD4">
      <w:pPr>
        <w:pStyle w:val="Body"/>
        <w:numPr>
          <w:ilvl w:val="0"/>
          <w:numId w:val="39"/>
        </w:numPr>
      </w:pPr>
      <w:r w:rsidRPr="00E6110F">
        <w:t xml:space="preserve">Where there is sufficient data, select an upper and lower bound </w:t>
      </w:r>
      <w:proofErr w:type="gramStart"/>
      <w:r w:rsidRPr="00E6110F">
        <w:rPr>
          <w:i/>
        </w:rPr>
        <w:t>K</w:t>
      </w:r>
      <w:r w:rsidRPr="00E6110F">
        <w:rPr>
          <w:vertAlign w:val="subscript"/>
        </w:rPr>
        <w:t>d</w:t>
      </w:r>
      <w:proofErr w:type="gramEnd"/>
      <w:r w:rsidRPr="00E6110F">
        <w:t xml:space="preserve"> value.</w:t>
      </w:r>
    </w:p>
    <w:p w14:paraId="159B8940" w14:textId="77777777" w:rsidR="001A4BD4" w:rsidRDefault="001A4BD4" w:rsidP="001A4BD4">
      <w:pPr>
        <w:pStyle w:val="Body"/>
      </w:pPr>
    </w:p>
    <w:p w14:paraId="0059F1BD" w14:textId="6FF45E45" w:rsidR="001A4BD4" w:rsidRDefault="001A4BD4" w:rsidP="001A4BD4">
      <w:pPr>
        <w:pStyle w:val="Body"/>
      </w:pPr>
      <w:r w:rsidRPr="00E6110F">
        <w:t xml:space="preserve">Default </w:t>
      </w:r>
      <w:proofErr w:type="gramStart"/>
      <w:r w:rsidRPr="00E6110F">
        <w:rPr>
          <w:i/>
        </w:rPr>
        <w:t>K</w:t>
      </w:r>
      <w:r w:rsidRPr="00E6110F">
        <w:rPr>
          <w:vertAlign w:val="subscript"/>
        </w:rPr>
        <w:t>d</w:t>
      </w:r>
      <w:proofErr w:type="gramEnd"/>
      <w:r w:rsidRPr="00E6110F">
        <w:t xml:space="preserve"> (inorganic substances) values were compiled from the literature (</w:t>
      </w:r>
      <w:r>
        <w:fldChar w:fldCharType="begin" w:fldLock="1"/>
      </w:r>
      <w:r>
        <w:instrText xml:space="preserve"> REF _Ref467744601 \h  \* MERGEFORMAT </w:instrText>
      </w:r>
      <w:r>
        <w:fldChar w:fldCharType="separate"/>
      </w:r>
      <w:r w:rsidR="00335E79" w:rsidRPr="00DA539C">
        <w:t xml:space="preserve">Table </w:t>
      </w:r>
      <w:r w:rsidR="00335E79">
        <w:t>4</w:t>
      </w:r>
      <w:r w:rsidR="00335E79">
        <w:noBreakHyphen/>
        <w:t>8</w:t>
      </w:r>
      <w:r>
        <w:fldChar w:fldCharType="end"/>
      </w:r>
      <w:r w:rsidRPr="00E6110F">
        <w:t xml:space="preserve">). </w:t>
      </w:r>
      <w:r>
        <w:t>Note that it</w:t>
      </w:r>
      <w:r w:rsidRPr="00E6110F">
        <w:t xml:space="preserve"> was not possible to select different </w:t>
      </w:r>
      <w:proofErr w:type="gramStart"/>
      <w:r w:rsidRPr="00E6110F">
        <w:rPr>
          <w:i/>
        </w:rPr>
        <w:t>K</w:t>
      </w:r>
      <w:r w:rsidRPr="00E6110F">
        <w:rPr>
          <w:vertAlign w:val="subscript"/>
        </w:rPr>
        <w:t>d</w:t>
      </w:r>
      <w:proofErr w:type="gramEnd"/>
      <w:r w:rsidRPr="00E6110F">
        <w:t xml:space="preserve"> values for each stratum.</w:t>
      </w:r>
    </w:p>
    <w:p w14:paraId="77063EA5" w14:textId="77777777" w:rsidR="001A4BD4" w:rsidRPr="00E6110F" w:rsidRDefault="001A4BD4" w:rsidP="00B939EB">
      <w:pPr>
        <w:pStyle w:val="Body"/>
      </w:pPr>
    </w:p>
    <w:p w14:paraId="165F89D7" w14:textId="00795B9D" w:rsidR="00B939EB" w:rsidRPr="00E6110F" w:rsidRDefault="00B939EB" w:rsidP="00B939EB">
      <w:pPr>
        <w:pStyle w:val="Body"/>
      </w:pPr>
    </w:p>
    <w:p w14:paraId="6A37BAFE" w14:textId="1ED17CD1" w:rsidR="00B939EB" w:rsidRPr="00DA539C" w:rsidRDefault="00EA33EF" w:rsidP="00DA539C">
      <w:pPr>
        <w:pStyle w:val="Imagecaption"/>
        <w:keepNext/>
        <w:pBdr>
          <w:top w:val="none" w:sz="0" w:space="0" w:color="auto"/>
        </w:pBdr>
      </w:pPr>
      <w:bookmarkStart w:id="528" w:name="_Ref452906966"/>
      <w:bookmarkStart w:id="529" w:name="_Toc494444724"/>
      <w:r w:rsidRPr="00DA539C">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7</w:t>
      </w:r>
      <w:r w:rsidR="00470577">
        <w:fldChar w:fldCharType="end"/>
      </w:r>
      <w:bookmarkEnd w:id="528"/>
      <w:r w:rsidRPr="00DA539C">
        <w:t xml:space="preserve"> </w:t>
      </w:r>
      <w:r w:rsidR="00B939EB" w:rsidRPr="00DA539C">
        <w:t xml:space="preserve">Effect of various physicochemical variables on </w:t>
      </w:r>
      <w:proofErr w:type="gramStart"/>
      <w:r w:rsidR="00B939EB" w:rsidRPr="00DA539C">
        <w:t>K</w:t>
      </w:r>
      <w:r w:rsidR="00B939EB" w:rsidRPr="001F5949">
        <w:rPr>
          <w:vertAlign w:val="subscript"/>
        </w:rPr>
        <w:t>d</w:t>
      </w:r>
      <w:proofErr w:type="gramEnd"/>
      <w:r w:rsidR="00B939EB" w:rsidRPr="00DA539C">
        <w:t>.</w:t>
      </w:r>
      <w:bookmarkEnd w:id="529"/>
      <w:r w:rsidR="00B939EB" w:rsidRPr="00DA539C">
        <w:t xml:space="preserve"> </w:t>
      </w:r>
    </w:p>
    <w:tbl>
      <w:tblPr>
        <w:tblStyle w:val="TableGrid"/>
        <w:tblW w:w="0" w:type="auto"/>
        <w:tblLook w:val="04A0" w:firstRow="1" w:lastRow="0" w:firstColumn="1" w:lastColumn="0" w:noHBand="0" w:noVBand="1"/>
      </w:tblPr>
      <w:tblGrid>
        <w:gridCol w:w="2405"/>
        <w:gridCol w:w="6605"/>
      </w:tblGrid>
      <w:tr w:rsidR="00B939EB" w:rsidRPr="00E6110F" w14:paraId="3C76A2B2" w14:textId="77777777" w:rsidTr="001A4BD4">
        <w:tc>
          <w:tcPr>
            <w:tcW w:w="2405" w:type="dxa"/>
            <w:shd w:val="clear" w:color="auto" w:fill="F2F2F2" w:themeFill="background1" w:themeFillShade="F2"/>
          </w:tcPr>
          <w:p w14:paraId="770DA3D2" w14:textId="77777777" w:rsidR="00B939EB" w:rsidRPr="00E6110F" w:rsidRDefault="00B939EB" w:rsidP="00827F1F">
            <w:pPr>
              <w:pStyle w:val="Body"/>
            </w:pPr>
            <w:r w:rsidRPr="00E6110F">
              <w:t>Variable</w:t>
            </w:r>
          </w:p>
        </w:tc>
        <w:tc>
          <w:tcPr>
            <w:tcW w:w="6605" w:type="dxa"/>
            <w:shd w:val="clear" w:color="auto" w:fill="F2F2F2" w:themeFill="background1" w:themeFillShade="F2"/>
          </w:tcPr>
          <w:p w14:paraId="6152B1AA" w14:textId="77777777" w:rsidR="00B939EB" w:rsidRPr="00E6110F" w:rsidRDefault="00B939EB" w:rsidP="00827F1F">
            <w:pPr>
              <w:pStyle w:val="Body"/>
            </w:pPr>
            <w:r w:rsidRPr="00E6110F">
              <w:t xml:space="preserve">Effect on </w:t>
            </w:r>
            <w:r w:rsidRPr="00E6110F">
              <w:rPr>
                <w:i/>
              </w:rPr>
              <w:t>K</w:t>
            </w:r>
            <w:r w:rsidRPr="00E6110F">
              <w:rPr>
                <w:vertAlign w:val="subscript"/>
              </w:rPr>
              <w:t>d</w:t>
            </w:r>
          </w:p>
        </w:tc>
      </w:tr>
      <w:tr w:rsidR="00B939EB" w:rsidRPr="00E6110F" w14:paraId="1869AC45" w14:textId="77777777" w:rsidTr="001A4BD4">
        <w:tc>
          <w:tcPr>
            <w:tcW w:w="2405" w:type="dxa"/>
          </w:tcPr>
          <w:p w14:paraId="2E4C5BA2" w14:textId="77777777" w:rsidR="00B939EB" w:rsidRPr="00E6110F" w:rsidRDefault="00B939EB" w:rsidP="00827F1F">
            <w:pPr>
              <w:pStyle w:val="Body"/>
              <w:rPr>
                <w:szCs w:val="22"/>
                <w:lang w:val="en-AU" w:eastAsia="en-US"/>
              </w:rPr>
            </w:pPr>
            <w:r w:rsidRPr="00E6110F">
              <w:rPr>
                <w:szCs w:val="22"/>
                <w:lang w:val="en-AU" w:eastAsia="en-US"/>
              </w:rPr>
              <w:t>pH</w:t>
            </w:r>
          </w:p>
        </w:tc>
        <w:tc>
          <w:tcPr>
            <w:tcW w:w="6605" w:type="dxa"/>
          </w:tcPr>
          <w:p w14:paraId="42642EF1" w14:textId="4A08FDF4" w:rsidR="00B939EB" w:rsidRPr="00E6110F" w:rsidRDefault="00B939EB" w:rsidP="00827F1F">
            <w:pPr>
              <w:pStyle w:val="Body"/>
              <w:rPr>
                <w:szCs w:val="22"/>
                <w:lang w:val="en-AU" w:eastAsia="en-US"/>
              </w:rPr>
            </w:pPr>
            <w:r w:rsidRPr="00E6110F">
              <w:rPr>
                <w:szCs w:val="22"/>
                <w:lang w:val="en-AU" w:eastAsia="en-US"/>
              </w:rPr>
              <w:t>Complex interaction as pH governs the surface charge of mineral surfaces as well as influencing the speciation of elements in solution. In acidic solutions protons will also compete for binding sites.</w:t>
            </w:r>
            <w:r w:rsidR="00720A7F" w:rsidRPr="00E6110F">
              <w:rPr>
                <w:szCs w:val="22"/>
                <w:lang w:val="en-AU" w:eastAsia="en-US"/>
              </w:rPr>
              <w:t xml:space="preserve"> In alkaline solutions, hydroxyl and carbonate ions will form stable complexes with the inorganic elements and thus decrease sorption.</w:t>
            </w:r>
          </w:p>
        </w:tc>
      </w:tr>
      <w:tr w:rsidR="00B939EB" w:rsidRPr="00E6110F" w14:paraId="47A70B83" w14:textId="77777777" w:rsidTr="001A4BD4">
        <w:tc>
          <w:tcPr>
            <w:tcW w:w="2405" w:type="dxa"/>
          </w:tcPr>
          <w:p w14:paraId="290288F1" w14:textId="02892878" w:rsidR="00B939EB" w:rsidRPr="00E6110F" w:rsidRDefault="00B939EB" w:rsidP="00827F1F">
            <w:pPr>
              <w:pStyle w:val="Body"/>
              <w:rPr>
                <w:szCs w:val="22"/>
                <w:lang w:val="en-AU" w:eastAsia="en-US"/>
              </w:rPr>
            </w:pPr>
            <w:r w:rsidRPr="00E6110F">
              <w:rPr>
                <w:szCs w:val="22"/>
                <w:lang w:val="en-AU" w:eastAsia="en-US"/>
              </w:rPr>
              <w:t>Hardness</w:t>
            </w:r>
            <w:r w:rsidR="003520B9">
              <w:rPr>
                <w:szCs w:val="22"/>
                <w:lang w:val="en-AU" w:eastAsia="en-US"/>
              </w:rPr>
              <w:t xml:space="preserve"> (sum of the ions which can precipitate as ‘hard particles’ from water. Sum of Ca</w:t>
            </w:r>
            <w:r w:rsidR="003520B9" w:rsidRPr="00F6330E">
              <w:rPr>
                <w:szCs w:val="22"/>
                <w:vertAlign w:val="superscript"/>
                <w:lang w:val="en-AU" w:eastAsia="en-US"/>
              </w:rPr>
              <w:t>2+</w:t>
            </w:r>
            <w:r w:rsidR="003520B9">
              <w:rPr>
                <w:szCs w:val="22"/>
                <w:lang w:val="en-AU" w:eastAsia="en-US"/>
              </w:rPr>
              <w:t xml:space="preserve"> and Mg</w:t>
            </w:r>
            <w:r w:rsidR="003520B9" w:rsidRPr="00F6330E">
              <w:rPr>
                <w:szCs w:val="22"/>
                <w:vertAlign w:val="superscript"/>
                <w:lang w:val="en-AU" w:eastAsia="en-US"/>
              </w:rPr>
              <w:t>2+</w:t>
            </w:r>
            <w:r w:rsidR="003520B9">
              <w:rPr>
                <w:szCs w:val="22"/>
                <w:lang w:val="en-AU" w:eastAsia="en-US"/>
              </w:rPr>
              <w:t>, and sometimes F</w:t>
            </w:r>
            <w:r w:rsidR="00F6330E">
              <w:rPr>
                <w:szCs w:val="22"/>
                <w:lang w:val="en-AU" w:eastAsia="en-US"/>
              </w:rPr>
              <w:t>e</w:t>
            </w:r>
            <w:r w:rsidR="00F6330E" w:rsidRPr="00F6330E">
              <w:rPr>
                <w:szCs w:val="22"/>
                <w:vertAlign w:val="superscript"/>
                <w:lang w:val="en-AU" w:eastAsia="en-US"/>
              </w:rPr>
              <w:t>2+</w:t>
            </w:r>
            <w:r w:rsidR="00F6330E">
              <w:rPr>
                <w:szCs w:val="22"/>
                <w:lang w:val="en-AU" w:eastAsia="en-US"/>
              </w:rPr>
              <w:t>) (Appelo and Postma 2004)</w:t>
            </w:r>
          </w:p>
        </w:tc>
        <w:tc>
          <w:tcPr>
            <w:tcW w:w="6605" w:type="dxa"/>
          </w:tcPr>
          <w:p w14:paraId="614C5007" w14:textId="77777777" w:rsidR="00B939EB" w:rsidRPr="00E6110F" w:rsidRDefault="00B939EB" w:rsidP="00827F1F">
            <w:pPr>
              <w:pStyle w:val="Body"/>
              <w:rPr>
                <w:szCs w:val="22"/>
                <w:lang w:val="en-AU" w:eastAsia="en-US"/>
              </w:rPr>
            </w:pPr>
            <w:r w:rsidRPr="00E6110F">
              <w:rPr>
                <w:szCs w:val="22"/>
                <w:lang w:val="en-AU" w:eastAsia="en-US"/>
              </w:rPr>
              <w:t xml:space="preserve">For elements where electrostatic adsorption is important (e.g. Ba), Ca and Mg will compete with ions for binding sites. For these elements, </w:t>
            </w:r>
            <w:r w:rsidRPr="00E6110F">
              <w:rPr>
                <w:i/>
                <w:szCs w:val="22"/>
                <w:lang w:val="en-AU" w:eastAsia="en-US"/>
              </w:rPr>
              <w:t>K</w:t>
            </w:r>
            <w:r w:rsidRPr="00E6110F">
              <w:rPr>
                <w:szCs w:val="22"/>
                <w:vertAlign w:val="subscript"/>
                <w:lang w:val="en-AU" w:eastAsia="en-US"/>
              </w:rPr>
              <w:t>d</w:t>
            </w:r>
            <w:r w:rsidRPr="00E6110F">
              <w:rPr>
                <w:szCs w:val="22"/>
                <w:lang w:val="en-AU" w:eastAsia="en-US"/>
              </w:rPr>
              <w:t xml:space="preserve"> is expected to be lower in high hardness solutions.</w:t>
            </w:r>
          </w:p>
        </w:tc>
      </w:tr>
      <w:tr w:rsidR="00B939EB" w:rsidRPr="00E6110F" w14:paraId="79C2F4C4" w14:textId="77777777" w:rsidTr="001A4BD4">
        <w:tc>
          <w:tcPr>
            <w:tcW w:w="2405" w:type="dxa"/>
          </w:tcPr>
          <w:p w14:paraId="6E717ACD" w14:textId="77777777" w:rsidR="00B939EB" w:rsidRPr="00E6110F" w:rsidRDefault="00B939EB" w:rsidP="00827F1F">
            <w:pPr>
              <w:pStyle w:val="Body"/>
              <w:rPr>
                <w:szCs w:val="22"/>
                <w:lang w:val="en-AU" w:eastAsia="en-US"/>
              </w:rPr>
            </w:pPr>
            <w:r w:rsidRPr="00E6110F">
              <w:rPr>
                <w:szCs w:val="22"/>
                <w:lang w:val="en-AU" w:eastAsia="en-US"/>
              </w:rPr>
              <w:t>Solid phase composition</w:t>
            </w:r>
          </w:p>
        </w:tc>
        <w:tc>
          <w:tcPr>
            <w:tcW w:w="6605" w:type="dxa"/>
          </w:tcPr>
          <w:p w14:paraId="1280FEFD" w14:textId="77777777" w:rsidR="00B939EB" w:rsidRPr="00E6110F" w:rsidRDefault="00B939EB" w:rsidP="00827F1F">
            <w:pPr>
              <w:pStyle w:val="Body"/>
              <w:rPr>
                <w:szCs w:val="22"/>
                <w:lang w:val="en-AU" w:eastAsia="en-US"/>
              </w:rPr>
            </w:pPr>
            <w:r w:rsidRPr="00E6110F">
              <w:rPr>
                <w:szCs w:val="22"/>
                <w:lang w:val="en-AU" w:eastAsia="en-US"/>
              </w:rPr>
              <w:t>Critically important. Some elements such as As and U undergo chemisorption and form strong surface complexes with iron and manganese containing minerals.</w:t>
            </w:r>
          </w:p>
        </w:tc>
      </w:tr>
      <w:tr w:rsidR="00B939EB" w:rsidRPr="00E6110F" w14:paraId="04687352" w14:textId="77777777" w:rsidTr="001A4BD4">
        <w:tc>
          <w:tcPr>
            <w:tcW w:w="2405" w:type="dxa"/>
          </w:tcPr>
          <w:p w14:paraId="473500A2" w14:textId="77777777" w:rsidR="00B939EB" w:rsidRPr="00E6110F" w:rsidRDefault="00B939EB" w:rsidP="00827F1F">
            <w:pPr>
              <w:pStyle w:val="Body"/>
              <w:rPr>
                <w:szCs w:val="22"/>
                <w:lang w:val="en-AU" w:eastAsia="en-US"/>
              </w:rPr>
            </w:pPr>
            <w:r w:rsidRPr="00E6110F">
              <w:rPr>
                <w:szCs w:val="22"/>
                <w:lang w:val="en-AU" w:eastAsia="en-US"/>
              </w:rPr>
              <w:t>Redox potential</w:t>
            </w:r>
          </w:p>
        </w:tc>
        <w:tc>
          <w:tcPr>
            <w:tcW w:w="6605" w:type="dxa"/>
          </w:tcPr>
          <w:p w14:paraId="57662363" w14:textId="77777777" w:rsidR="00B939EB" w:rsidRPr="00E6110F" w:rsidRDefault="00B939EB" w:rsidP="00827F1F">
            <w:pPr>
              <w:pStyle w:val="Body"/>
              <w:rPr>
                <w:szCs w:val="22"/>
                <w:lang w:val="en-AU" w:eastAsia="en-US"/>
              </w:rPr>
            </w:pPr>
            <w:r w:rsidRPr="00E6110F">
              <w:rPr>
                <w:szCs w:val="22"/>
                <w:lang w:val="en-AU" w:eastAsia="en-US"/>
              </w:rPr>
              <w:t>Complex interaction. Redox potential will affect both mineral phase composition and speciation of redox sensitive elements such as As and U.</w:t>
            </w:r>
          </w:p>
        </w:tc>
      </w:tr>
      <w:tr w:rsidR="00B939EB" w:rsidRPr="00E6110F" w14:paraId="071A7F7D" w14:textId="77777777" w:rsidTr="001A4BD4">
        <w:tc>
          <w:tcPr>
            <w:tcW w:w="2405" w:type="dxa"/>
          </w:tcPr>
          <w:p w14:paraId="361CC8E9" w14:textId="77777777" w:rsidR="00B939EB" w:rsidRPr="00E6110F" w:rsidRDefault="00B939EB" w:rsidP="00827F1F">
            <w:pPr>
              <w:pStyle w:val="Body"/>
              <w:rPr>
                <w:szCs w:val="22"/>
                <w:lang w:val="en-AU" w:eastAsia="en-US"/>
              </w:rPr>
            </w:pPr>
            <w:r w:rsidRPr="00E6110F">
              <w:rPr>
                <w:szCs w:val="22"/>
                <w:lang w:val="en-AU" w:eastAsia="en-US"/>
              </w:rPr>
              <w:t>Temperature</w:t>
            </w:r>
          </w:p>
        </w:tc>
        <w:tc>
          <w:tcPr>
            <w:tcW w:w="6605" w:type="dxa"/>
          </w:tcPr>
          <w:p w14:paraId="09546E5C" w14:textId="56034AA3" w:rsidR="00B939EB" w:rsidRPr="00E6110F" w:rsidRDefault="00B939EB" w:rsidP="00827F1F">
            <w:pPr>
              <w:pStyle w:val="Body"/>
              <w:rPr>
                <w:szCs w:val="22"/>
                <w:lang w:val="en-AU" w:eastAsia="en-US"/>
              </w:rPr>
            </w:pPr>
            <w:r w:rsidRPr="00E6110F">
              <w:rPr>
                <w:szCs w:val="22"/>
                <w:lang w:val="en-AU" w:eastAsia="en-US"/>
              </w:rPr>
              <w:t xml:space="preserve">For elements where adsorption is an exothermic process, </w:t>
            </w:r>
            <w:r w:rsidRPr="00E6110F">
              <w:rPr>
                <w:i/>
                <w:szCs w:val="22"/>
                <w:lang w:val="en-AU" w:eastAsia="en-US"/>
              </w:rPr>
              <w:t>K</w:t>
            </w:r>
            <w:r w:rsidRPr="00E6110F">
              <w:rPr>
                <w:szCs w:val="22"/>
                <w:vertAlign w:val="subscript"/>
                <w:lang w:val="en-AU" w:eastAsia="en-US"/>
              </w:rPr>
              <w:t>d</w:t>
            </w:r>
            <w:r w:rsidRPr="00E6110F">
              <w:rPr>
                <w:szCs w:val="22"/>
                <w:lang w:val="en-AU" w:eastAsia="en-US"/>
              </w:rPr>
              <w:t xml:space="preserve"> will decrease as temperature increases. For elements where adsorption is an endothermic process, </w:t>
            </w:r>
            <w:r w:rsidRPr="00E6110F">
              <w:rPr>
                <w:i/>
                <w:szCs w:val="22"/>
                <w:lang w:val="en-AU" w:eastAsia="en-US"/>
              </w:rPr>
              <w:t>K</w:t>
            </w:r>
            <w:r w:rsidRPr="00E6110F">
              <w:rPr>
                <w:szCs w:val="22"/>
                <w:vertAlign w:val="subscript"/>
                <w:lang w:val="en-AU" w:eastAsia="en-US"/>
              </w:rPr>
              <w:t>d</w:t>
            </w:r>
            <w:r w:rsidRPr="00E6110F">
              <w:rPr>
                <w:szCs w:val="22"/>
                <w:lang w:val="en-AU" w:eastAsia="en-US"/>
              </w:rPr>
              <w:t xml:space="preserve"> will increase as temperature increases</w:t>
            </w:r>
            <w:r w:rsidR="00720A7F" w:rsidRPr="00E6110F">
              <w:rPr>
                <w:szCs w:val="22"/>
                <w:lang w:val="en-AU" w:eastAsia="en-US"/>
              </w:rPr>
              <w:t>.</w:t>
            </w:r>
          </w:p>
        </w:tc>
      </w:tr>
      <w:tr w:rsidR="00B939EB" w:rsidRPr="00E6110F" w14:paraId="491BCC28" w14:textId="77777777" w:rsidTr="001A4BD4">
        <w:tc>
          <w:tcPr>
            <w:tcW w:w="2405" w:type="dxa"/>
          </w:tcPr>
          <w:p w14:paraId="1E999D81" w14:textId="77777777" w:rsidR="00B939EB" w:rsidRPr="00E6110F" w:rsidRDefault="00B939EB" w:rsidP="00827F1F">
            <w:pPr>
              <w:pStyle w:val="Body"/>
            </w:pPr>
            <w:r w:rsidRPr="00E6110F">
              <w:t>Dissolved carbonate concentration</w:t>
            </w:r>
          </w:p>
        </w:tc>
        <w:tc>
          <w:tcPr>
            <w:tcW w:w="6605" w:type="dxa"/>
          </w:tcPr>
          <w:p w14:paraId="063C0F18" w14:textId="32861539" w:rsidR="00B939EB" w:rsidRPr="00E6110F" w:rsidRDefault="00B939EB" w:rsidP="00827F1F">
            <w:pPr>
              <w:pStyle w:val="Body"/>
            </w:pPr>
            <w:r w:rsidRPr="00E6110F">
              <w:t xml:space="preserve">For elements that form soluble carbonate complexes (e.g. U), </w:t>
            </w:r>
            <w:r w:rsidRPr="00E6110F">
              <w:rPr>
                <w:i/>
              </w:rPr>
              <w:t>K</w:t>
            </w:r>
            <w:r w:rsidRPr="00E6110F">
              <w:rPr>
                <w:vertAlign w:val="subscript"/>
              </w:rPr>
              <w:t>d</w:t>
            </w:r>
            <w:r w:rsidRPr="00E6110F">
              <w:t xml:space="preserve"> will be lower in carbonate containing solutions</w:t>
            </w:r>
            <w:r w:rsidR="006C2769" w:rsidRPr="00E6110F">
              <w:t>.</w:t>
            </w:r>
            <w:r w:rsidRPr="00E6110F">
              <w:t xml:space="preserve"> </w:t>
            </w:r>
          </w:p>
        </w:tc>
      </w:tr>
      <w:tr w:rsidR="00B939EB" w:rsidRPr="00E6110F" w14:paraId="19DF3AA8" w14:textId="77777777" w:rsidTr="001A4BD4">
        <w:tc>
          <w:tcPr>
            <w:tcW w:w="2405" w:type="dxa"/>
          </w:tcPr>
          <w:p w14:paraId="4A73FC76" w14:textId="77777777" w:rsidR="00B939EB" w:rsidRPr="00E6110F" w:rsidRDefault="00B939EB" w:rsidP="00827F1F">
            <w:pPr>
              <w:pStyle w:val="Body"/>
            </w:pPr>
            <w:r w:rsidRPr="00E6110F">
              <w:t>Dissolved organic matter concentration (DOM)</w:t>
            </w:r>
          </w:p>
        </w:tc>
        <w:tc>
          <w:tcPr>
            <w:tcW w:w="6605" w:type="dxa"/>
          </w:tcPr>
          <w:p w14:paraId="5EA92437" w14:textId="77777777" w:rsidR="00B939EB" w:rsidRPr="00E6110F" w:rsidRDefault="00B939EB" w:rsidP="00827F1F">
            <w:pPr>
              <w:pStyle w:val="Body"/>
            </w:pPr>
            <w:r w:rsidRPr="00E6110F">
              <w:t xml:space="preserve">For elements that form soluble complexes with DOM (e.g. U), </w:t>
            </w:r>
            <w:r w:rsidRPr="00E6110F">
              <w:rPr>
                <w:i/>
              </w:rPr>
              <w:t>K</w:t>
            </w:r>
            <w:r w:rsidRPr="00E6110F">
              <w:rPr>
                <w:vertAlign w:val="subscript"/>
              </w:rPr>
              <w:t>d</w:t>
            </w:r>
            <w:r w:rsidRPr="00E6110F">
              <w:t xml:space="preserve"> will be lower in the presence of DOM </w:t>
            </w:r>
          </w:p>
        </w:tc>
      </w:tr>
    </w:tbl>
    <w:p w14:paraId="5CE8F4B0" w14:textId="77777777" w:rsidR="006C2769" w:rsidRPr="00E6110F" w:rsidRDefault="006C2769" w:rsidP="00115176">
      <w:pPr>
        <w:pStyle w:val="Body"/>
      </w:pPr>
    </w:p>
    <w:p w14:paraId="3719783C" w14:textId="77777777" w:rsidR="003820BE" w:rsidRDefault="003820BE" w:rsidP="00DA539C">
      <w:pPr>
        <w:pStyle w:val="Imagecaption"/>
        <w:keepNext/>
        <w:pBdr>
          <w:top w:val="none" w:sz="0" w:space="0" w:color="auto"/>
        </w:pBdr>
      </w:pPr>
    </w:p>
    <w:p w14:paraId="5AFDF9DF" w14:textId="31165457" w:rsidR="003820BE" w:rsidRPr="00DA539C" w:rsidRDefault="003820BE" w:rsidP="00DA539C">
      <w:pPr>
        <w:pStyle w:val="Imagecaption"/>
        <w:keepNext/>
        <w:pBdr>
          <w:top w:val="none" w:sz="0" w:space="0" w:color="auto"/>
        </w:pBdr>
      </w:pPr>
      <w:bookmarkStart w:id="530" w:name="_Ref467744601"/>
      <w:bookmarkStart w:id="531" w:name="_Toc494444725"/>
      <w:r w:rsidRPr="00DA539C">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8</w:t>
      </w:r>
      <w:r w:rsidR="00470577">
        <w:fldChar w:fldCharType="end"/>
      </w:r>
      <w:bookmarkEnd w:id="530"/>
      <w:r w:rsidRPr="00DA539C">
        <w:t xml:space="preserve"> Summary of default sorp</w:t>
      </w:r>
      <w:r w:rsidR="009527A7" w:rsidRPr="00DA539C">
        <w:t>tion parameters for inorganic chemicals</w:t>
      </w:r>
      <w:r w:rsidRPr="00DA539C">
        <w:t>.</w:t>
      </w:r>
      <w:bookmarkEnd w:id="531"/>
    </w:p>
    <w:tbl>
      <w:tblPr>
        <w:tblStyle w:val="TableGrid"/>
        <w:tblW w:w="8926" w:type="dxa"/>
        <w:tblLayout w:type="fixed"/>
        <w:tblLook w:val="04A0" w:firstRow="1" w:lastRow="0" w:firstColumn="1" w:lastColumn="0" w:noHBand="0" w:noVBand="1"/>
      </w:tblPr>
      <w:tblGrid>
        <w:gridCol w:w="694"/>
        <w:gridCol w:w="1569"/>
        <w:gridCol w:w="1276"/>
        <w:gridCol w:w="1276"/>
        <w:gridCol w:w="4111"/>
      </w:tblGrid>
      <w:tr w:rsidR="003820BE" w:rsidRPr="00E6110F" w14:paraId="78F939B9" w14:textId="77777777" w:rsidTr="006E524E">
        <w:tc>
          <w:tcPr>
            <w:tcW w:w="694" w:type="dxa"/>
            <w:shd w:val="clear" w:color="auto" w:fill="F2F2F2" w:themeFill="background1" w:themeFillShade="F2"/>
          </w:tcPr>
          <w:p w14:paraId="7B396856" w14:textId="77777777" w:rsidR="003820BE" w:rsidRPr="00E6110F" w:rsidRDefault="003820BE" w:rsidP="0031677E">
            <w:pPr>
              <w:pStyle w:val="Body"/>
            </w:pPr>
            <w:r w:rsidRPr="00E6110F">
              <w:t>No</w:t>
            </w:r>
          </w:p>
        </w:tc>
        <w:tc>
          <w:tcPr>
            <w:tcW w:w="1569" w:type="dxa"/>
            <w:shd w:val="clear" w:color="auto" w:fill="F2F2F2" w:themeFill="background1" w:themeFillShade="F2"/>
          </w:tcPr>
          <w:p w14:paraId="646498B6" w14:textId="77777777" w:rsidR="003820BE" w:rsidRPr="00E6110F" w:rsidRDefault="003820BE" w:rsidP="0031677E">
            <w:pPr>
              <w:pStyle w:val="Body"/>
            </w:pPr>
            <w:r w:rsidRPr="00E6110F">
              <w:t>Substance name</w:t>
            </w:r>
          </w:p>
        </w:tc>
        <w:tc>
          <w:tcPr>
            <w:tcW w:w="1276" w:type="dxa"/>
            <w:shd w:val="clear" w:color="auto" w:fill="F2F2F2" w:themeFill="background1" w:themeFillShade="F2"/>
          </w:tcPr>
          <w:p w14:paraId="0243667F" w14:textId="77777777" w:rsidR="003820BE" w:rsidRPr="00E6110F" w:rsidRDefault="003820BE" w:rsidP="0031677E">
            <w:pPr>
              <w:pStyle w:val="Body"/>
            </w:pPr>
            <w:r w:rsidRPr="00E6110F">
              <w:t>CAS Number</w:t>
            </w:r>
          </w:p>
        </w:tc>
        <w:tc>
          <w:tcPr>
            <w:tcW w:w="1276" w:type="dxa"/>
            <w:shd w:val="clear" w:color="auto" w:fill="F2F2F2" w:themeFill="background1" w:themeFillShade="F2"/>
          </w:tcPr>
          <w:p w14:paraId="6EBFCA96" w14:textId="77777777" w:rsidR="003820BE" w:rsidRPr="00E6110F" w:rsidRDefault="003820BE" w:rsidP="0031677E">
            <w:pPr>
              <w:pStyle w:val="Body"/>
            </w:pPr>
            <w:r w:rsidRPr="00E6110F">
              <w:rPr>
                <w:i/>
              </w:rPr>
              <w:t>K</w:t>
            </w:r>
            <w:r w:rsidRPr="00E6110F">
              <w:rPr>
                <w:vertAlign w:val="subscript"/>
              </w:rPr>
              <w:t>d</w:t>
            </w:r>
            <w:r w:rsidRPr="00E6110F">
              <w:t xml:space="preserve"> (L/kg)</w:t>
            </w:r>
          </w:p>
        </w:tc>
        <w:tc>
          <w:tcPr>
            <w:tcW w:w="4111" w:type="dxa"/>
            <w:shd w:val="clear" w:color="auto" w:fill="F2F2F2" w:themeFill="background1" w:themeFillShade="F2"/>
          </w:tcPr>
          <w:p w14:paraId="4ECBBC07" w14:textId="77777777" w:rsidR="003820BE" w:rsidRPr="00E6110F" w:rsidRDefault="003820BE" w:rsidP="0031677E">
            <w:pPr>
              <w:pStyle w:val="Body"/>
            </w:pPr>
            <w:r w:rsidRPr="00E6110F">
              <w:t>Source</w:t>
            </w:r>
          </w:p>
        </w:tc>
      </w:tr>
      <w:tr w:rsidR="003820BE" w:rsidRPr="00E6110F" w14:paraId="7AE81C3E" w14:textId="77777777" w:rsidTr="006E524E">
        <w:tc>
          <w:tcPr>
            <w:tcW w:w="694" w:type="dxa"/>
          </w:tcPr>
          <w:p w14:paraId="44647B63" w14:textId="5168A89D" w:rsidR="003820BE" w:rsidRPr="00E6110F" w:rsidRDefault="003820BE" w:rsidP="0031677E">
            <w:pPr>
              <w:pStyle w:val="Body"/>
            </w:pPr>
            <w:r>
              <w:t>1</w:t>
            </w:r>
          </w:p>
        </w:tc>
        <w:tc>
          <w:tcPr>
            <w:tcW w:w="1569" w:type="dxa"/>
          </w:tcPr>
          <w:p w14:paraId="5DDE50DE" w14:textId="77777777" w:rsidR="003820BE" w:rsidRPr="00E6110F" w:rsidRDefault="003820BE" w:rsidP="0031677E">
            <w:pPr>
              <w:pStyle w:val="Body"/>
            </w:pPr>
            <w:r w:rsidRPr="00E6110F">
              <w:t>Boron (Boric acid, Borax)</w:t>
            </w:r>
          </w:p>
        </w:tc>
        <w:tc>
          <w:tcPr>
            <w:tcW w:w="1276" w:type="dxa"/>
          </w:tcPr>
          <w:p w14:paraId="34D12E90" w14:textId="77777777" w:rsidR="003820BE" w:rsidRPr="00E6110F" w:rsidRDefault="003820BE" w:rsidP="0031677E">
            <w:pPr>
              <w:pStyle w:val="Body"/>
            </w:pPr>
            <w:r w:rsidRPr="00E6110F">
              <w:t xml:space="preserve">10043-35-3, </w:t>
            </w:r>
            <w:hyperlink r:id="rId178" w:tooltip="1330-43-4" w:history="1">
              <w:r w:rsidRPr="00E6110F">
                <w:t>1303-96-4</w:t>
              </w:r>
            </w:hyperlink>
          </w:p>
        </w:tc>
        <w:tc>
          <w:tcPr>
            <w:tcW w:w="1276" w:type="dxa"/>
          </w:tcPr>
          <w:p w14:paraId="57F422F4" w14:textId="77777777" w:rsidR="003820BE" w:rsidRPr="00E6110F" w:rsidRDefault="003820BE" w:rsidP="0031677E">
            <w:pPr>
              <w:pStyle w:val="Body"/>
            </w:pPr>
            <w:r w:rsidRPr="00E6110F">
              <w:t>0.03 – 0.22</w:t>
            </w:r>
          </w:p>
        </w:tc>
        <w:tc>
          <w:tcPr>
            <w:tcW w:w="4111" w:type="dxa"/>
          </w:tcPr>
          <w:p w14:paraId="4BEDBFE9" w14:textId="77777777" w:rsidR="003820BE" w:rsidRPr="00E6110F" w:rsidRDefault="003820BE" w:rsidP="0031677E">
            <w:pPr>
              <w:pStyle w:val="Body"/>
            </w:pPr>
            <w:r w:rsidRPr="00E6110F">
              <w:t xml:space="preserve">Lower and upper values from Broerman et al. (1997).  </w:t>
            </w:r>
          </w:p>
        </w:tc>
      </w:tr>
      <w:tr w:rsidR="003820BE" w:rsidRPr="00E6110F" w14:paraId="5E63DFF7" w14:textId="77777777" w:rsidTr="006E524E">
        <w:tc>
          <w:tcPr>
            <w:tcW w:w="694" w:type="dxa"/>
          </w:tcPr>
          <w:p w14:paraId="3590651E" w14:textId="27F59B0F" w:rsidR="003820BE" w:rsidRPr="00E6110F" w:rsidRDefault="003820BE" w:rsidP="0031677E">
            <w:pPr>
              <w:pStyle w:val="Body"/>
            </w:pPr>
            <w:r>
              <w:t>2</w:t>
            </w:r>
          </w:p>
        </w:tc>
        <w:tc>
          <w:tcPr>
            <w:tcW w:w="1569" w:type="dxa"/>
          </w:tcPr>
          <w:p w14:paraId="7F840DA1" w14:textId="77777777" w:rsidR="003820BE" w:rsidRPr="00E6110F" w:rsidRDefault="003820BE" w:rsidP="0031677E">
            <w:pPr>
              <w:pStyle w:val="Body"/>
            </w:pPr>
            <w:r w:rsidRPr="00E6110F">
              <w:t xml:space="preserve">Uranium </w:t>
            </w:r>
          </w:p>
        </w:tc>
        <w:tc>
          <w:tcPr>
            <w:tcW w:w="1276" w:type="dxa"/>
          </w:tcPr>
          <w:p w14:paraId="080BE29C" w14:textId="77777777" w:rsidR="003820BE" w:rsidRPr="00E6110F" w:rsidRDefault="00900E5C" w:rsidP="0031677E">
            <w:pPr>
              <w:pStyle w:val="Body"/>
            </w:pPr>
            <w:hyperlink r:id="rId179" w:tooltip="7440-61-1" w:history="1">
              <w:r w:rsidR="003820BE" w:rsidRPr="00E6110F">
                <w:t>7440-61-1</w:t>
              </w:r>
            </w:hyperlink>
          </w:p>
        </w:tc>
        <w:tc>
          <w:tcPr>
            <w:tcW w:w="1276" w:type="dxa"/>
          </w:tcPr>
          <w:p w14:paraId="4B013DBB" w14:textId="5C3EEBB9" w:rsidR="003820BE" w:rsidRPr="00E6110F" w:rsidRDefault="003820BE" w:rsidP="0031677E">
            <w:pPr>
              <w:pStyle w:val="Body"/>
            </w:pPr>
            <w:r w:rsidRPr="00E6110F">
              <w:t xml:space="preserve">5 </w:t>
            </w:r>
            <w:r w:rsidR="00E220E4">
              <w:t>–</w:t>
            </w:r>
            <w:r w:rsidRPr="00E6110F">
              <w:t xml:space="preserve"> 5</w:t>
            </w:r>
            <w:r w:rsidR="00E220E4">
              <w:t>,</w:t>
            </w:r>
            <w:r w:rsidRPr="00E6110F">
              <w:t>000</w:t>
            </w:r>
          </w:p>
        </w:tc>
        <w:tc>
          <w:tcPr>
            <w:tcW w:w="4111" w:type="dxa"/>
          </w:tcPr>
          <w:p w14:paraId="09AA1E95" w14:textId="65DA2B34" w:rsidR="003820BE" w:rsidRPr="00E6110F" w:rsidRDefault="003820BE" w:rsidP="0031677E">
            <w:pPr>
              <w:pStyle w:val="Body"/>
            </w:pPr>
            <w:r w:rsidRPr="00E6110F">
              <w:t>Lower and upper limit based values on available data for crystalline rock samples (US EPA 1999a)</w:t>
            </w:r>
            <w:r w:rsidR="00B82F98">
              <w:t>.</w:t>
            </w:r>
          </w:p>
        </w:tc>
      </w:tr>
      <w:tr w:rsidR="003820BE" w:rsidRPr="00E6110F" w14:paraId="0969A747" w14:textId="77777777" w:rsidTr="006E524E">
        <w:tc>
          <w:tcPr>
            <w:tcW w:w="694" w:type="dxa"/>
          </w:tcPr>
          <w:p w14:paraId="3893FC85" w14:textId="02FD6E2D" w:rsidR="003820BE" w:rsidRPr="00E6110F" w:rsidRDefault="003820BE" w:rsidP="0031677E">
            <w:pPr>
              <w:pStyle w:val="Body"/>
            </w:pPr>
            <w:r>
              <w:t>3</w:t>
            </w:r>
          </w:p>
        </w:tc>
        <w:tc>
          <w:tcPr>
            <w:tcW w:w="1569" w:type="dxa"/>
          </w:tcPr>
          <w:p w14:paraId="204B427A" w14:textId="77777777" w:rsidR="003820BE" w:rsidRPr="00E6110F" w:rsidRDefault="003820BE" w:rsidP="0031677E">
            <w:pPr>
              <w:pStyle w:val="Body"/>
            </w:pPr>
            <w:r w:rsidRPr="00E6110F">
              <w:t>Barium</w:t>
            </w:r>
          </w:p>
        </w:tc>
        <w:tc>
          <w:tcPr>
            <w:tcW w:w="1276" w:type="dxa"/>
          </w:tcPr>
          <w:p w14:paraId="0241F2BA" w14:textId="77777777" w:rsidR="003820BE" w:rsidRPr="00E6110F" w:rsidRDefault="00900E5C" w:rsidP="0031677E">
            <w:pPr>
              <w:pStyle w:val="Body"/>
            </w:pPr>
            <w:hyperlink r:id="rId180" w:tooltip="7440-39-3" w:history="1">
              <w:r w:rsidR="003820BE" w:rsidRPr="00E6110F">
                <w:t>7440-39-3</w:t>
              </w:r>
            </w:hyperlink>
          </w:p>
        </w:tc>
        <w:tc>
          <w:tcPr>
            <w:tcW w:w="1276" w:type="dxa"/>
          </w:tcPr>
          <w:p w14:paraId="58BC3C49" w14:textId="77777777" w:rsidR="003820BE" w:rsidRDefault="003820BE" w:rsidP="0031677E">
            <w:pPr>
              <w:pStyle w:val="Body"/>
              <w:rPr>
                <w:vertAlign w:val="superscript"/>
              </w:rPr>
            </w:pPr>
            <w:r w:rsidRPr="00E6110F">
              <w:t>100</w:t>
            </w:r>
            <w:r w:rsidR="001F0AC6" w:rsidRPr="001F0AC6">
              <w:rPr>
                <w:vertAlign w:val="superscript"/>
              </w:rPr>
              <w:t>#</w:t>
            </w:r>
          </w:p>
          <w:p w14:paraId="0013C47E" w14:textId="77777777" w:rsidR="001F0AC6" w:rsidRDefault="001F0AC6" w:rsidP="004455C0">
            <w:pPr>
              <w:pStyle w:val="Body"/>
              <w:rPr>
                <w:vertAlign w:val="superscript"/>
              </w:rPr>
            </w:pPr>
            <w:r>
              <w:t>0.2-</w:t>
            </w:r>
            <w:r w:rsidR="004455C0">
              <w:t>0</w:t>
            </w:r>
            <w:r>
              <w:t>.6</w:t>
            </w:r>
            <w:r w:rsidR="004455C0" w:rsidRPr="004455C0">
              <w:rPr>
                <w:vertAlign w:val="superscript"/>
              </w:rPr>
              <w:t>@</w:t>
            </w:r>
          </w:p>
          <w:p w14:paraId="37098A16" w14:textId="086AD37D" w:rsidR="007B46E5" w:rsidRPr="007B46E5" w:rsidRDefault="007B46E5" w:rsidP="004455C0">
            <w:pPr>
              <w:pStyle w:val="Body"/>
            </w:pPr>
            <w:r w:rsidRPr="007B46E5">
              <w:t>164</w:t>
            </w:r>
            <w:r>
              <w:t>*</w:t>
            </w:r>
          </w:p>
        </w:tc>
        <w:tc>
          <w:tcPr>
            <w:tcW w:w="4111" w:type="dxa"/>
          </w:tcPr>
          <w:p w14:paraId="0540147C" w14:textId="77777777" w:rsidR="007B46E5" w:rsidRDefault="001F0AC6" w:rsidP="002026D6">
            <w:pPr>
              <w:pStyle w:val="Body"/>
            </w:pPr>
            <w:r w:rsidRPr="001F0AC6">
              <w:rPr>
                <w:vertAlign w:val="superscript"/>
              </w:rPr>
              <w:t>#</w:t>
            </w:r>
            <w:r>
              <w:t xml:space="preserve"> </w:t>
            </w:r>
            <w:r w:rsidR="003820BE" w:rsidRPr="00E6110F">
              <w:t>Recommended value for soils (Lintott and Tindall 2007).</w:t>
            </w:r>
          </w:p>
          <w:p w14:paraId="11C9213C" w14:textId="77777777" w:rsidR="007B46E5" w:rsidRDefault="004455C0" w:rsidP="002026D6">
            <w:pPr>
              <w:pStyle w:val="Body"/>
            </w:pPr>
            <w:r w:rsidRPr="004455C0">
              <w:rPr>
                <w:vertAlign w:val="superscript"/>
              </w:rPr>
              <w:t>@</w:t>
            </w:r>
            <w:r w:rsidR="00010823">
              <w:t xml:space="preserve">Hard rock </w:t>
            </w:r>
            <w:r w:rsidR="00010823" w:rsidRPr="00010823">
              <w:rPr>
                <w:i/>
              </w:rPr>
              <w:t>K</w:t>
            </w:r>
            <w:r w:rsidR="00010823" w:rsidRPr="00010823">
              <w:rPr>
                <w:vertAlign w:val="subscript"/>
              </w:rPr>
              <w:t>d</w:t>
            </w:r>
            <w:r w:rsidR="00010823">
              <w:t xml:space="preserve"> values from </w:t>
            </w:r>
            <w:r w:rsidR="001F0AC6">
              <w:t xml:space="preserve">diffusion experiments using </w:t>
            </w:r>
            <w:r w:rsidR="00010823">
              <w:t>granitic rocks and minerals</w:t>
            </w:r>
            <w:r w:rsidR="001F0AC6">
              <w:t xml:space="preserve"> </w:t>
            </w:r>
            <w:r w:rsidR="00010823">
              <w:t>(Muuri 2015).</w:t>
            </w:r>
            <w:r w:rsidR="002026D6">
              <w:t xml:space="preserve"> </w:t>
            </w:r>
          </w:p>
          <w:p w14:paraId="04033089" w14:textId="3F91AD91" w:rsidR="003820BE" w:rsidRPr="00E6110F" w:rsidRDefault="007B46E5" w:rsidP="002026D6">
            <w:pPr>
              <w:pStyle w:val="Body"/>
            </w:pPr>
            <w:r>
              <w:t>*</w:t>
            </w:r>
            <w:r w:rsidR="002026D6">
              <w:t>Erdal et al. (</w:t>
            </w:r>
            <w:r w:rsidR="006A761E">
              <w:t>1979</w:t>
            </w:r>
            <w:r w:rsidR="002026D6">
              <w:t xml:space="preserve">) reported batch sorption </w:t>
            </w:r>
            <w:r w:rsidR="002026D6" w:rsidRPr="00010823">
              <w:rPr>
                <w:i/>
              </w:rPr>
              <w:t>K</w:t>
            </w:r>
            <w:r w:rsidR="002026D6" w:rsidRPr="00010823">
              <w:rPr>
                <w:vertAlign w:val="subscript"/>
              </w:rPr>
              <w:t>d</w:t>
            </w:r>
            <w:r w:rsidR="002026D6">
              <w:rPr>
                <w:vertAlign w:val="subscript"/>
              </w:rPr>
              <w:t xml:space="preserve"> </w:t>
            </w:r>
            <w:r w:rsidR="006A761E">
              <w:t>on granite of 164 L</w:t>
            </w:r>
            <w:r w:rsidR="002026D6" w:rsidRPr="002026D6">
              <w:t xml:space="preserve">/kg at 22 </w:t>
            </w:r>
            <w:r w:rsidR="006A761E">
              <w:t>°</w:t>
            </w:r>
            <w:r w:rsidR="002026D6" w:rsidRPr="002026D6">
              <w:t xml:space="preserve">C and 718 L/kg at 70 </w:t>
            </w:r>
            <w:r w:rsidR="006A761E">
              <w:t>°</w:t>
            </w:r>
            <w:r w:rsidR="002026D6" w:rsidRPr="002026D6">
              <w:t>C</w:t>
            </w:r>
            <w:r w:rsidR="002026D6">
              <w:rPr>
                <w:vertAlign w:val="subscript"/>
              </w:rPr>
              <w:t>.</w:t>
            </w:r>
            <w:r w:rsidR="002026D6">
              <w:t xml:space="preserve"> </w:t>
            </w:r>
          </w:p>
        </w:tc>
      </w:tr>
      <w:tr w:rsidR="003820BE" w:rsidRPr="00E6110F" w14:paraId="22BCE8F5" w14:textId="77777777" w:rsidTr="006E524E">
        <w:tc>
          <w:tcPr>
            <w:tcW w:w="694" w:type="dxa"/>
          </w:tcPr>
          <w:p w14:paraId="3543086A" w14:textId="56D5569D" w:rsidR="003820BE" w:rsidRPr="00E6110F" w:rsidRDefault="003820BE" w:rsidP="0031677E">
            <w:pPr>
              <w:pStyle w:val="Body"/>
            </w:pPr>
            <w:r>
              <w:t>4</w:t>
            </w:r>
          </w:p>
        </w:tc>
        <w:tc>
          <w:tcPr>
            <w:tcW w:w="1569" w:type="dxa"/>
          </w:tcPr>
          <w:p w14:paraId="67A69822" w14:textId="77777777" w:rsidR="003820BE" w:rsidRPr="00E6110F" w:rsidRDefault="003820BE" w:rsidP="0031677E">
            <w:pPr>
              <w:pStyle w:val="Body"/>
            </w:pPr>
            <w:r w:rsidRPr="00E6110F">
              <w:t>Arsenic</w:t>
            </w:r>
          </w:p>
        </w:tc>
        <w:tc>
          <w:tcPr>
            <w:tcW w:w="1276" w:type="dxa"/>
          </w:tcPr>
          <w:p w14:paraId="7D273115" w14:textId="77777777" w:rsidR="003820BE" w:rsidRPr="00E6110F" w:rsidRDefault="00900E5C" w:rsidP="0031677E">
            <w:pPr>
              <w:pStyle w:val="Body"/>
            </w:pPr>
            <w:hyperlink r:id="rId181" w:tooltip="7440-38-2" w:history="1">
              <w:r w:rsidR="003820BE" w:rsidRPr="00E6110F">
                <w:t>7440-38-2</w:t>
              </w:r>
            </w:hyperlink>
          </w:p>
        </w:tc>
        <w:tc>
          <w:tcPr>
            <w:tcW w:w="1276" w:type="dxa"/>
          </w:tcPr>
          <w:p w14:paraId="6392DF93" w14:textId="77777777" w:rsidR="003820BE" w:rsidRPr="00E6110F" w:rsidRDefault="003820BE" w:rsidP="0031677E">
            <w:pPr>
              <w:pStyle w:val="Body"/>
            </w:pPr>
            <w:r w:rsidRPr="00E6110F">
              <w:t xml:space="preserve">2.90 – 17.3 </w:t>
            </w:r>
          </w:p>
        </w:tc>
        <w:tc>
          <w:tcPr>
            <w:tcW w:w="4111" w:type="dxa"/>
          </w:tcPr>
          <w:p w14:paraId="1497E871" w14:textId="77777777" w:rsidR="003820BE" w:rsidRPr="00E6110F" w:rsidRDefault="003820BE" w:rsidP="0031677E">
            <w:pPr>
              <w:pStyle w:val="Body"/>
            </w:pPr>
            <w:r w:rsidRPr="00E6110F">
              <w:t xml:space="preserve">Lower and upper values for </w:t>
            </w:r>
            <w:proofErr w:type="gramStart"/>
            <w:r w:rsidRPr="00E6110F">
              <w:t>As(</w:t>
            </w:r>
            <w:proofErr w:type="gramEnd"/>
            <w:r w:rsidRPr="00E6110F">
              <w:t>V) for Cornish siltstone (Adey 2005).</w:t>
            </w:r>
          </w:p>
        </w:tc>
      </w:tr>
    </w:tbl>
    <w:p w14:paraId="544AF74C" w14:textId="77777777" w:rsidR="003820BE" w:rsidRPr="00E6110F" w:rsidRDefault="003820BE" w:rsidP="00115176">
      <w:pPr>
        <w:pStyle w:val="Body"/>
      </w:pPr>
    </w:p>
    <w:p w14:paraId="659BFC08" w14:textId="601D7F47" w:rsidR="00863721" w:rsidRPr="00E6110F" w:rsidRDefault="00863721" w:rsidP="00C117A3">
      <w:pPr>
        <w:pStyle w:val="Heading3"/>
        <w:numPr>
          <w:ilvl w:val="3"/>
          <w:numId w:val="43"/>
        </w:numPr>
      </w:pPr>
      <w:bookmarkStart w:id="532" w:name="_Ref467687019"/>
      <w:bookmarkStart w:id="533" w:name="_Toc494444610"/>
      <w:r w:rsidRPr="00E6110F">
        <w:t xml:space="preserve">Adaptation of </w:t>
      </w:r>
      <w:proofErr w:type="gramStart"/>
      <w:r w:rsidRPr="00E6110F">
        <w:rPr>
          <w:i/>
        </w:rPr>
        <w:t>K</w:t>
      </w:r>
      <w:r w:rsidR="00BE33A6">
        <w:rPr>
          <w:vertAlign w:val="subscript"/>
        </w:rPr>
        <w:t>d</w:t>
      </w:r>
      <w:proofErr w:type="gramEnd"/>
      <w:r w:rsidRPr="00E6110F">
        <w:t xml:space="preserve"> values for inorganic substances</w:t>
      </w:r>
      <w:bookmarkEnd w:id="532"/>
      <w:bookmarkEnd w:id="533"/>
    </w:p>
    <w:p w14:paraId="2C20A855" w14:textId="3CCB792D" w:rsidR="00863721" w:rsidRPr="00E6110F" w:rsidRDefault="00863721" w:rsidP="00863721">
      <w:pPr>
        <w:pStyle w:val="Body"/>
      </w:pPr>
      <w:r w:rsidRPr="00E6110F">
        <w:t xml:space="preserve">Adjusted </w:t>
      </w:r>
      <w:proofErr w:type="gramStart"/>
      <w:r w:rsidRPr="00E6110F">
        <w:rPr>
          <w:i/>
        </w:rPr>
        <w:t>K</w:t>
      </w:r>
      <w:r w:rsidR="00AA36A3" w:rsidRPr="00E6110F">
        <w:rPr>
          <w:vertAlign w:val="subscript"/>
        </w:rPr>
        <w:t>d</w:t>
      </w:r>
      <w:proofErr w:type="gramEnd"/>
      <w:r w:rsidRPr="00E6110F">
        <w:t xml:space="preserve"> values for inorganic substances are given in </w:t>
      </w:r>
      <w:r w:rsidR="00542722" w:rsidRPr="00E6110F">
        <w:fldChar w:fldCharType="begin" w:fldLock="1"/>
      </w:r>
      <w:r w:rsidR="00542722" w:rsidRPr="00E6110F">
        <w:instrText xml:space="preserve"> REF _Ref453016727 \h </w:instrText>
      </w:r>
      <w:r w:rsidR="00E6110F">
        <w:instrText xml:space="preserve"> \* MERGEFORMAT </w:instrText>
      </w:r>
      <w:r w:rsidR="00542722" w:rsidRPr="00E6110F">
        <w:fldChar w:fldCharType="separate"/>
      </w:r>
      <w:r w:rsidR="00335E79" w:rsidRPr="00E6110F">
        <w:t xml:space="preserve">Table </w:t>
      </w:r>
      <w:r w:rsidR="00335E79">
        <w:rPr>
          <w:noProof/>
        </w:rPr>
        <w:t>4</w:t>
      </w:r>
      <w:r w:rsidR="00335E79">
        <w:rPr>
          <w:noProof/>
        </w:rPr>
        <w:noBreakHyphen/>
        <w:t>9</w:t>
      </w:r>
      <w:r w:rsidR="00542722" w:rsidRPr="00E6110F">
        <w:fldChar w:fldCharType="end"/>
      </w:r>
      <w:r w:rsidR="00542722" w:rsidRPr="00E6110F">
        <w:t xml:space="preserve"> for Gunnedah Basin and </w:t>
      </w:r>
      <w:r w:rsidR="00542722" w:rsidRPr="00E6110F">
        <w:fldChar w:fldCharType="begin" w:fldLock="1"/>
      </w:r>
      <w:r w:rsidR="00542722" w:rsidRPr="00E6110F">
        <w:instrText xml:space="preserve"> REF _Ref453016741 \h </w:instrText>
      </w:r>
      <w:r w:rsidR="00E6110F">
        <w:instrText xml:space="preserve"> \* MERGEFORMAT </w:instrText>
      </w:r>
      <w:r w:rsidR="00542722" w:rsidRPr="00E6110F">
        <w:fldChar w:fldCharType="separate"/>
      </w:r>
      <w:r w:rsidR="00335E79" w:rsidRPr="00E6110F">
        <w:t xml:space="preserve">Table </w:t>
      </w:r>
      <w:r w:rsidR="00335E79">
        <w:rPr>
          <w:noProof/>
        </w:rPr>
        <w:t>4</w:t>
      </w:r>
      <w:r w:rsidR="00335E79">
        <w:rPr>
          <w:noProof/>
        </w:rPr>
        <w:noBreakHyphen/>
        <w:t>10</w:t>
      </w:r>
      <w:r w:rsidR="00542722" w:rsidRPr="00E6110F">
        <w:fldChar w:fldCharType="end"/>
      </w:r>
      <w:r w:rsidR="00542722" w:rsidRPr="00E6110F">
        <w:t xml:space="preserve"> for Surat Basin</w:t>
      </w:r>
      <w:r w:rsidR="00C97999" w:rsidRPr="00E6110F">
        <w:t>.</w:t>
      </w:r>
      <w:r w:rsidR="00AA36A3" w:rsidRPr="00E6110F">
        <w:t xml:space="preserve"> Due to lack of hydrochemical and mineralogical data, no adjustments of the default values have been made.</w:t>
      </w:r>
      <w:r w:rsidR="00971A6C">
        <w:t xml:space="preserve"> </w:t>
      </w:r>
      <w:r w:rsidR="00D60FA9" w:rsidRPr="00E6110F">
        <w:t xml:space="preserve"> </w:t>
      </w:r>
    </w:p>
    <w:p w14:paraId="56E88718" w14:textId="77777777" w:rsidR="00863721" w:rsidRPr="00E6110F" w:rsidRDefault="00863721" w:rsidP="00863721">
      <w:pPr>
        <w:rPr>
          <w:sz w:val="18"/>
          <w:szCs w:val="18"/>
        </w:rPr>
      </w:pPr>
    </w:p>
    <w:p w14:paraId="31939995" w14:textId="08AD1764" w:rsidR="00863721" w:rsidRPr="00E6110F" w:rsidRDefault="00863721" w:rsidP="00863721">
      <w:pPr>
        <w:pStyle w:val="Imagecaption"/>
        <w:keepNext/>
        <w:pBdr>
          <w:top w:val="none" w:sz="0" w:space="0" w:color="auto"/>
        </w:pBdr>
      </w:pPr>
      <w:bookmarkStart w:id="534" w:name="_Ref453016727"/>
      <w:bookmarkStart w:id="535" w:name="_Toc494444726"/>
      <w:r w:rsidRPr="00E6110F">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9</w:t>
      </w:r>
      <w:r w:rsidR="00470577">
        <w:fldChar w:fldCharType="end"/>
      </w:r>
      <w:bookmarkEnd w:id="534"/>
      <w:r w:rsidRPr="00DA539C">
        <w:t xml:space="preserve">  </w:t>
      </w:r>
      <w:r w:rsidRPr="00E6110F">
        <w:t xml:space="preserve">Table of fate parameters adjusted for Gunnedah </w:t>
      </w:r>
      <w:r w:rsidR="00DF4AA2">
        <w:t>B</w:t>
      </w:r>
      <w:r w:rsidRPr="00E6110F">
        <w:t>asin geology (inorganic chemicals).</w:t>
      </w:r>
      <w:bookmarkEnd w:id="535"/>
    </w:p>
    <w:tbl>
      <w:tblPr>
        <w:tblStyle w:val="TableGrid"/>
        <w:tblW w:w="6514" w:type="dxa"/>
        <w:tblLayout w:type="fixed"/>
        <w:tblLook w:val="04A0" w:firstRow="1" w:lastRow="0" w:firstColumn="1" w:lastColumn="0" w:noHBand="0" w:noVBand="1"/>
      </w:tblPr>
      <w:tblGrid>
        <w:gridCol w:w="2122"/>
        <w:gridCol w:w="1134"/>
        <w:gridCol w:w="1134"/>
        <w:gridCol w:w="992"/>
        <w:gridCol w:w="1132"/>
      </w:tblGrid>
      <w:tr w:rsidR="006C1543" w:rsidRPr="00E6110F" w14:paraId="5AC758DF" w14:textId="77777777" w:rsidTr="00971A6C">
        <w:tc>
          <w:tcPr>
            <w:tcW w:w="2122" w:type="dxa"/>
            <w:shd w:val="clear" w:color="auto" w:fill="F2F2F2" w:themeFill="background1" w:themeFillShade="F2"/>
          </w:tcPr>
          <w:p w14:paraId="0677B842" w14:textId="77777777" w:rsidR="006C1543" w:rsidRPr="00E6110F" w:rsidRDefault="006C1543" w:rsidP="00854519">
            <w:pPr>
              <w:pStyle w:val="Body"/>
            </w:pPr>
            <w:r w:rsidRPr="00E6110F">
              <w:t>Geology</w:t>
            </w:r>
          </w:p>
        </w:tc>
        <w:tc>
          <w:tcPr>
            <w:tcW w:w="1134" w:type="dxa"/>
            <w:shd w:val="clear" w:color="auto" w:fill="F2F2F2" w:themeFill="background1" w:themeFillShade="F2"/>
          </w:tcPr>
          <w:p w14:paraId="0A80933B" w14:textId="77777777" w:rsidR="006C1543" w:rsidRPr="00E6110F" w:rsidRDefault="006C1543" w:rsidP="00067A00">
            <w:pPr>
              <w:jc w:val="center"/>
              <w:rPr>
                <w:rFonts w:ascii="Calibri" w:hAnsi="Calibri" w:cs="Calibri"/>
                <w:color w:val="000000"/>
                <w:sz w:val="18"/>
                <w:szCs w:val="18"/>
                <w:lang w:val="en-GB"/>
              </w:rPr>
            </w:pPr>
            <w:r w:rsidRPr="00E6110F">
              <w:rPr>
                <w:rFonts w:ascii="Calibri" w:hAnsi="Calibri" w:cs="Calibri"/>
                <w:color w:val="000000"/>
                <w:sz w:val="18"/>
                <w:szCs w:val="18"/>
                <w:lang w:val="en-GB"/>
              </w:rPr>
              <w:t>As</w:t>
            </w:r>
          </w:p>
          <w:p w14:paraId="019CFD74" w14:textId="77777777" w:rsidR="006C1543" w:rsidRPr="00E6110F" w:rsidRDefault="006C1543" w:rsidP="00067A00">
            <w:pPr>
              <w:jc w:val="center"/>
              <w:rPr>
                <w:rFonts w:ascii="Calibri" w:hAnsi="Calibri" w:cs="Calibri"/>
                <w:color w:val="000000"/>
                <w:sz w:val="18"/>
                <w:szCs w:val="18"/>
                <w:lang w:val="en-GB"/>
              </w:rPr>
            </w:pPr>
            <w:r w:rsidRPr="00E6110F">
              <w:rPr>
                <w:rFonts w:ascii="Calibri" w:hAnsi="Calibri" w:cs="Calibri"/>
                <w:i/>
                <w:color w:val="000000"/>
                <w:sz w:val="18"/>
                <w:szCs w:val="18"/>
                <w:lang w:val="en-GB"/>
              </w:rPr>
              <w:t>K</w:t>
            </w:r>
            <w:r w:rsidRPr="00E6110F">
              <w:rPr>
                <w:rFonts w:ascii="Calibri" w:hAnsi="Calibri" w:cs="Calibri"/>
                <w:color w:val="000000"/>
                <w:sz w:val="18"/>
                <w:szCs w:val="18"/>
                <w:vertAlign w:val="subscript"/>
                <w:lang w:val="en-GB"/>
              </w:rPr>
              <w:t>d</w:t>
            </w:r>
            <w:r w:rsidRPr="00E6110F">
              <w:rPr>
                <w:rFonts w:ascii="Calibri" w:hAnsi="Calibri" w:cs="Calibri"/>
                <w:color w:val="000000"/>
                <w:sz w:val="18"/>
                <w:szCs w:val="18"/>
                <w:lang w:val="en-GB"/>
              </w:rPr>
              <w:t xml:space="preserve"> (L/Kg)</w:t>
            </w:r>
          </w:p>
        </w:tc>
        <w:tc>
          <w:tcPr>
            <w:tcW w:w="1134" w:type="dxa"/>
            <w:shd w:val="clear" w:color="auto" w:fill="F2F2F2" w:themeFill="background1" w:themeFillShade="F2"/>
          </w:tcPr>
          <w:p w14:paraId="7EB3F566" w14:textId="77777777" w:rsidR="006C1543" w:rsidRPr="00E6110F" w:rsidRDefault="006C1543" w:rsidP="00067A00">
            <w:pPr>
              <w:jc w:val="center"/>
              <w:rPr>
                <w:rFonts w:ascii="Calibri" w:hAnsi="Calibri" w:cs="Calibri"/>
                <w:color w:val="000000"/>
                <w:sz w:val="18"/>
                <w:szCs w:val="18"/>
                <w:lang w:val="en-GB"/>
              </w:rPr>
            </w:pPr>
            <w:r w:rsidRPr="00E6110F">
              <w:rPr>
                <w:rFonts w:ascii="Calibri" w:hAnsi="Calibri" w:cs="Calibri"/>
                <w:color w:val="000000"/>
                <w:sz w:val="18"/>
                <w:szCs w:val="18"/>
                <w:lang w:val="en-GB"/>
              </w:rPr>
              <w:t>B</w:t>
            </w:r>
          </w:p>
          <w:p w14:paraId="58DA34FA" w14:textId="77777777" w:rsidR="006C1543" w:rsidRPr="00E6110F" w:rsidRDefault="006C1543" w:rsidP="00067A00">
            <w:pPr>
              <w:jc w:val="center"/>
              <w:rPr>
                <w:rFonts w:ascii="Calibri" w:hAnsi="Calibri" w:cs="Calibri"/>
                <w:color w:val="000000"/>
                <w:sz w:val="18"/>
                <w:szCs w:val="18"/>
                <w:lang w:val="en-GB"/>
              </w:rPr>
            </w:pPr>
            <w:r w:rsidRPr="00E6110F">
              <w:rPr>
                <w:rFonts w:ascii="Calibri" w:hAnsi="Calibri" w:cs="Calibri"/>
                <w:i/>
                <w:color w:val="000000"/>
                <w:sz w:val="18"/>
                <w:szCs w:val="18"/>
                <w:lang w:val="en-GB"/>
              </w:rPr>
              <w:t>K</w:t>
            </w:r>
            <w:r w:rsidRPr="00E6110F">
              <w:rPr>
                <w:rFonts w:ascii="Calibri" w:hAnsi="Calibri" w:cs="Calibri"/>
                <w:color w:val="000000"/>
                <w:sz w:val="18"/>
                <w:szCs w:val="18"/>
                <w:vertAlign w:val="subscript"/>
                <w:lang w:val="en-GB"/>
              </w:rPr>
              <w:t>d</w:t>
            </w:r>
            <w:r w:rsidRPr="00E6110F">
              <w:rPr>
                <w:rFonts w:ascii="Calibri" w:hAnsi="Calibri" w:cs="Calibri"/>
                <w:color w:val="000000"/>
                <w:sz w:val="18"/>
                <w:szCs w:val="18"/>
                <w:lang w:val="en-GB"/>
              </w:rPr>
              <w:t xml:space="preserve"> (L/Kg)</w:t>
            </w:r>
          </w:p>
        </w:tc>
        <w:tc>
          <w:tcPr>
            <w:tcW w:w="992" w:type="dxa"/>
            <w:shd w:val="clear" w:color="auto" w:fill="F2F2F2" w:themeFill="background1" w:themeFillShade="F2"/>
          </w:tcPr>
          <w:p w14:paraId="462F47FE" w14:textId="77777777" w:rsidR="006C1543" w:rsidRPr="00E6110F" w:rsidRDefault="006C1543" w:rsidP="00067A00">
            <w:pPr>
              <w:jc w:val="center"/>
              <w:rPr>
                <w:rFonts w:ascii="Calibri" w:hAnsi="Calibri" w:cs="Calibri"/>
                <w:color w:val="000000"/>
                <w:sz w:val="18"/>
                <w:szCs w:val="18"/>
                <w:lang w:val="en-GB"/>
              </w:rPr>
            </w:pPr>
            <w:r w:rsidRPr="00E6110F">
              <w:rPr>
                <w:rFonts w:ascii="Calibri" w:hAnsi="Calibri" w:cs="Calibri"/>
                <w:color w:val="000000"/>
                <w:sz w:val="18"/>
                <w:szCs w:val="18"/>
                <w:lang w:val="en-GB"/>
              </w:rPr>
              <w:t>Ba</w:t>
            </w:r>
          </w:p>
          <w:p w14:paraId="1EE9A7B4" w14:textId="77777777" w:rsidR="006C1543" w:rsidRPr="00E6110F" w:rsidRDefault="006C1543" w:rsidP="00067A00">
            <w:pPr>
              <w:jc w:val="center"/>
              <w:rPr>
                <w:rFonts w:ascii="Calibri" w:hAnsi="Calibri" w:cs="Calibri"/>
                <w:color w:val="000000"/>
                <w:sz w:val="18"/>
                <w:szCs w:val="18"/>
                <w:lang w:val="en-GB"/>
              </w:rPr>
            </w:pPr>
            <w:r w:rsidRPr="00E6110F">
              <w:rPr>
                <w:rFonts w:ascii="Calibri" w:hAnsi="Calibri" w:cs="Calibri"/>
                <w:i/>
                <w:color w:val="000000"/>
                <w:sz w:val="18"/>
                <w:szCs w:val="18"/>
                <w:lang w:val="en-GB"/>
              </w:rPr>
              <w:t>K</w:t>
            </w:r>
            <w:r w:rsidRPr="00E6110F">
              <w:rPr>
                <w:rFonts w:ascii="Calibri" w:hAnsi="Calibri" w:cs="Calibri"/>
                <w:color w:val="000000"/>
                <w:sz w:val="18"/>
                <w:szCs w:val="18"/>
                <w:vertAlign w:val="subscript"/>
                <w:lang w:val="en-GB"/>
              </w:rPr>
              <w:t>d</w:t>
            </w:r>
            <w:r w:rsidRPr="00E6110F">
              <w:rPr>
                <w:rFonts w:ascii="Calibri" w:hAnsi="Calibri" w:cs="Calibri"/>
                <w:color w:val="000000"/>
                <w:sz w:val="18"/>
                <w:szCs w:val="18"/>
                <w:lang w:val="en-GB"/>
              </w:rPr>
              <w:t xml:space="preserve"> (L/Kg)</w:t>
            </w:r>
          </w:p>
        </w:tc>
        <w:tc>
          <w:tcPr>
            <w:tcW w:w="1132" w:type="dxa"/>
            <w:shd w:val="clear" w:color="auto" w:fill="F2F2F2" w:themeFill="background1" w:themeFillShade="F2"/>
          </w:tcPr>
          <w:p w14:paraId="04D3625C" w14:textId="77777777" w:rsidR="006C1543" w:rsidRPr="00E6110F" w:rsidRDefault="006C1543" w:rsidP="00067A00">
            <w:pPr>
              <w:jc w:val="center"/>
              <w:rPr>
                <w:rFonts w:ascii="Calibri" w:hAnsi="Calibri" w:cs="Calibri"/>
                <w:color w:val="000000"/>
                <w:sz w:val="18"/>
                <w:szCs w:val="18"/>
                <w:lang w:val="en-GB"/>
              </w:rPr>
            </w:pPr>
            <w:r w:rsidRPr="00E6110F">
              <w:rPr>
                <w:rFonts w:ascii="Calibri" w:hAnsi="Calibri" w:cs="Calibri"/>
                <w:color w:val="000000"/>
                <w:sz w:val="18"/>
                <w:szCs w:val="18"/>
                <w:lang w:val="en-GB"/>
              </w:rPr>
              <w:t>U</w:t>
            </w:r>
          </w:p>
          <w:p w14:paraId="3C711F37" w14:textId="77777777" w:rsidR="006C1543" w:rsidRPr="00E6110F" w:rsidRDefault="006C1543" w:rsidP="00067A00">
            <w:pPr>
              <w:jc w:val="center"/>
              <w:rPr>
                <w:rFonts w:ascii="Calibri" w:hAnsi="Calibri" w:cs="Calibri"/>
                <w:color w:val="000000"/>
                <w:sz w:val="18"/>
                <w:szCs w:val="18"/>
                <w:lang w:val="en-GB"/>
              </w:rPr>
            </w:pPr>
            <w:r w:rsidRPr="00E6110F">
              <w:rPr>
                <w:rFonts w:ascii="Calibri" w:hAnsi="Calibri" w:cs="Calibri"/>
                <w:i/>
                <w:color w:val="000000"/>
                <w:sz w:val="18"/>
                <w:szCs w:val="18"/>
                <w:lang w:val="en-GB"/>
              </w:rPr>
              <w:t>K</w:t>
            </w:r>
            <w:r w:rsidRPr="00E6110F">
              <w:rPr>
                <w:rFonts w:ascii="Calibri" w:hAnsi="Calibri" w:cs="Calibri"/>
                <w:color w:val="000000"/>
                <w:sz w:val="18"/>
                <w:szCs w:val="18"/>
                <w:vertAlign w:val="subscript"/>
                <w:lang w:val="en-GB"/>
              </w:rPr>
              <w:t>d</w:t>
            </w:r>
            <w:r w:rsidRPr="00E6110F">
              <w:rPr>
                <w:rFonts w:ascii="Calibri" w:hAnsi="Calibri" w:cs="Calibri"/>
                <w:color w:val="000000"/>
                <w:sz w:val="18"/>
                <w:szCs w:val="18"/>
                <w:lang w:val="en-GB"/>
              </w:rPr>
              <w:t xml:space="preserve"> (L/Kg)</w:t>
            </w:r>
          </w:p>
        </w:tc>
      </w:tr>
      <w:tr w:rsidR="006C1543" w:rsidRPr="00E6110F" w14:paraId="43527F0A" w14:textId="77777777" w:rsidTr="00971A6C">
        <w:tc>
          <w:tcPr>
            <w:tcW w:w="2122" w:type="dxa"/>
          </w:tcPr>
          <w:p w14:paraId="2CA93F53" w14:textId="77777777" w:rsidR="006C1543" w:rsidRPr="00E6110F" w:rsidRDefault="006C1543" w:rsidP="00854519">
            <w:pPr>
              <w:pStyle w:val="Body"/>
            </w:pPr>
            <w:r w:rsidRPr="00E6110F">
              <w:t>Namoi alluvium</w:t>
            </w:r>
          </w:p>
        </w:tc>
        <w:tc>
          <w:tcPr>
            <w:tcW w:w="1134" w:type="dxa"/>
          </w:tcPr>
          <w:p w14:paraId="385BEC6E" w14:textId="77777777" w:rsidR="006C1543" w:rsidRPr="00E6110F" w:rsidRDefault="006C1543" w:rsidP="00AA36A3">
            <w:pPr>
              <w:jc w:val="center"/>
            </w:pPr>
            <w:r w:rsidRPr="00E6110F">
              <w:rPr>
                <w:rFonts w:ascii="Calibri" w:hAnsi="Calibri" w:cs="Calibri"/>
                <w:color w:val="000000"/>
                <w:sz w:val="18"/>
                <w:szCs w:val="18"/>
                <w:lang w:val="en-GB"/>
              </w:rPr>
              <w:t>2.9 – 17.3</w:t>
            </w:r>
          </w:p>
        </w:tc>
        <w:tc>
          <w:tcPr>
            <w:tcW w:w="1134" w:type="dxa"/>
          </w:tcPr>
          <w:p w14:paraId="398A12B3" w14:textId="77777777" w:rsidR="006C1543" w:rsidRPr="00E6110F" w:rsidRDefault="006C1543" w:rsidP="00AA36A3">
            <w:pPr>
              <w:jc w:val="center"/>
              <w:rPr>
                <w:rFonts w:ascii="Calibri" w:hAnsi="Calibri" w:cs="Calibri"/>
                <w:color w:val="000000"/>
                <w:sz w:val="18"/>
                <w:szCs w:val="18"/>
                <w:lang w:val="en-GB"/>
              </w:rPr>
            </w:pPr>
            <w:r w:rsidRPr="00E6110F">
              <w:rPr>
                <w:rFonts w:ascii="Calibri" w:hAnsi="Calibri" w:cs="Calibri"/>
                <w:color w:val="000000"/>
                <w:sz w:val="18"/>
                <w:szCs w:val="18"/>
                <w:lang w:val="en-GB"/>
              </w:rPr>
              <w:t>0.03 – 0.22</w:t>
            </w:r>
          </w:p>
        </w:tc>
        <w:tc>
          <w:tcPr>
            <w:tcW w:w="992" w:type="dxa"/>
          </w:tcPr>
          <w:p w14:paraId="00FC3599" w14:textId="6CA41292" w:rsidR="006C1543" w:rsidRPr="00E6110F" w:rsidRDefault="00971A6C" w:rsidP="00AA36A3">
            <w:pPr>
              <w:jc w:val="center"/>
              <w:rPr>
                <w:rFonts w:ascii="Calibri" w:hAnsi="Calibri" w:cs="Calibri"/>
                <w:color w:val="000000"/>
                <w:sz w:val="18"/>
                <w:szCs w:val="18"/>
                <w:lang w:val="en-GB"/>
              </w:rP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66A0D684" w14:textId="74E5F1E5" w:rsidR="006C1543" w:rsidRPr="00E6110F" w:rsidRDefault="006C1543" w:rsidP="00AA36A3">
            <w:pPr>
              <w:jc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5 </w:t>
            </w:r>
            <w:r w:rsidR="005D7925">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6C1543" w:rsidRPr="00E6110F" w14:paraId="07B132A1" w14:textId="77777777" w:rsidTr="00971A6C">
        <w:tc>
          <w:tcPr>
            <w:tcW w:w="2122" w:type="dxa"/>
          </w:tcPr>
          <w:p w14:paraId="4EE075F4" w14:textId="77777777" w:rsidR="006C1543" w:rsidRPr="00E6110F" w:rsidRDefault="006C1543" w:rsidP="00854519">
            <w:pPr>
              <w:pStyle w:val="Body"/>
            </w:pPr>
            <w:r w:rsidRPr="00E6110F">
              <w:t>Pilliga sandstone</w:t>
            </w:r>
          </w:p>
        </w:tc>
        <w:tc>
          <w:tcPr>
            <w:tcW w:w="1134" w:type="dxa"/>
          </w:tcPr>
          <w:p w14:paraId="4154A064" w14:textId="77777777" w:rsidR="006C1543" w:rsidRPr="00E6110F" w:rsidRDefault="006C1543" w:rsidP="00AA36A3">
            <w:pPr>
              <w:jc w:val="center"/>
            </w:pPr>
            <w:r w:rsidRPr="00E6110F">
              <w:rPr>
                <w:rFonts w:ascii="Calibri" w:hAnsi="Calibri" w:cs="Calibri"/>
                <w:color w:val="000000"/>
                <w:sz w:val="18"/>
                <w:szCs w:val="18"/>
                <w:lang w:val="en-GB"/>
              </w:rPr>
              <w:t>2.9 – 17.3</w:t>
            </w:r>
          </w:p>
        </w:tc>
        <w:tc>
          <w:tcPr>
            <w:tcW w:w="1134" w:type="dxa"/>
          </w:tcPr>
          <w:p w14:paraId="6699F052" w14:textId="77777777" w:rsidR="006C1543" w:rsidRPr="00E6110F" w:rsidRDefault="006C1543" w:rsidP="00AA36A3">
            <w:pPr>
              <w:jc w:val="center"/>
            </w:pPr>
            <w:r w:rsidRPr="00E6110F">
              <w:rPr>
                <w:rFonts w:ascii="Calibri" w:hAnsi="Calibri" w:cs="Calibri"/>
                <w:color w:val="000000"/>
                <w:sz w:val="18"/>
                <w:szCs w:val="18"/>
                <w:lang w:val="en-GB"/>
              </w:rPr>
              <w:t>0.03 – 0.22</w:t>
            </w:r>
          </w:p>
        </w:tc>
        <w:tc>
          <w:tcPr>
            <w:tcW w:w="992" w:type="dxa"/>
          </w:tcPr>
          <w:p w14:paraId="3AA56B62" w14:textId="00AE61F4" w:rsidR="006C1543" w:rsidRPr="00E6110F" w:rsidRDefault="00971A6C" w:rsidP="00AA36A3">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77155029" w14:textId="347DC84A" w:rsidR="006C1543" w:rsidRPr="00E6110F" w:rsidRDefault="006C1543" w:rsidP="00AA36A3">
            <w:pPr>
              <w:jc w:val="center"/>
            </w:pPr>
            <w:r w:rsidRPr="00E6110F">
              <w:rPr>
                <w:rFonts w:ascii="Calibri" w:hAnsi="Calibri" w:cs="Calibri"/>
                <w:color w:val="000000"/>
                <w:sz w:val="18"/>
                <w:szCs w:val="18"/>
                <w:lang w:val="en-GB"/>
              </w:rPr>
              <w:t xml:space="preserve">5 </w:t>
            </w:r>
            <w:r w:rsidR="005D7925">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6C1543" w:rsidRPr="00E6110F" w14:paraId="0180754F" w14:textId="77777777" w:rsidTr="00971A6C">
        <w:tc>
          <w:tcPr>
            <w:tcW w:w="2122" w:type="dxa"/>
          </w:tcPr>
          <w:p w14:paraId="33EFF62C" w14:textId="77777777" w:rsidR="006C1543" w:rsidRPr="00E6110F" w:rsidRDefault="006C1543" w:rsidP="00854519">
            <w:pPr>
              <w:pStyle w:val="Body"/>
              <w:rPr>
                <w:strike/>
              </w:rPr>
            </w:pPr>
            <w:r w:rsidRPr="00E6110F">
              <w:t>Blythesdale Group</w:t>
            </w:r>
          </w:p>
        </w:tc>
        <w:tc>
          <w:tcPr>
            <w:tcW w:w="1134" w:type="dxa"/>
          </w:tcPr>
          <w:p w14:paraId="4D704A2E" w14:textId="77777777" w:rsidR="006C1543" w:rsidRPr="00E6110F" w:rsidRDefault="006C1543" w:rsidP="00AA36A3">
            <w:pPr>
              <w:jc w:val="center"/>
            </w:pPr>
            <w:r w:rsidRPr="00E6110F">
              <w:rPr>
                <w:rFonts w:ascii="Calibri" w:hAnsi="Calibri" w:cs="Calibri"/>
                <w:color w:val="000000"/>
                <w:sz w:val="18"/>
                <w:szCs w:val="18"/>
                <w:lang w:val="en-GB"/>
              </w:rPr>
              <w:t>2.9 – 17.3</w:t>
            </w:r>
          </w:p>
        </w:tc>
        <w:tc>
          <w:tcPr>
            <w:tcW w:w="1134" w:type="dxa"/>
          </w:tcPr>
          <w:p w14:paraId="67DA9456" w14:textId="77777777" w:rsidR="006C1543" w:rsidRPr="00E6110F" w:rsidRDefault="006C1543" w:rsidP="00AA36A3">
            <w:pPr>
              <w:jc w:val="center"/>
            </w:pPr>
            <w:r w:rsidRPr="00E6110F">
              <w:rPr>
                <w:rFonts w:ascii="Calibri" w:hAnsi="Calibri" w:cs="Calibri"/>
                <w:color w:val="000000"/>
                <w:sz w:val="18"/>
                <w:szCs w:val="18"/>
                <w:lang w:val="en-GB"/>
              </w:rPr>
              <w:t>0.03 – 0.22</w:t>
            </w:r>
          </w:p>
        </w:tc>
        <w:tc>
          <w:tcPr>
            <w:tcW w:w="992" w:type="dxa"/>
          </w:tcPr>
          <w:p w14:paraId="477987F9" w14:textId="7184EE58" w:rsidR="006C1543" w:rsidRPr="00E6110F" w:rsidRDefault="00971A6C" w:rsidP="00AA36A3">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1C624868" w14:textId="5879A083" w:rsidR="006C1543" w:rsidRPr="00E6110F" w:rsidRDefault="006C1543" w:rsidP="00AA36A3">
            <w:pPr>
              <w:jc w:val="center"/>
            </w:pPr>
            <w:r w:rsidRPr="00E6110F">
              <w:rPr>
                <w:rFonts w:ascii="Calibri" w:hAnsi="Calibri" w:cs="Calibri"/>
                <w:color w:val="000000"/>
                <w:sz w:val="18"/>
                <w:szCs w:val="18"/>
                <w:lang w:val="en-GB"/>
              </w:rPr>
              <w:t xml:space="preserve">5 </w:t>
            </w:r>
            <w:r w:rsidR="005D7925">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6C1543" w:rsidRPr="00E6110F" w14:paraId="1ADC0720" w14:textId="77777777" w:rsidTr="00971A6C">
        <w:tc>
          <w:tcPr>
            <w:tcW w:w="2122" w:type="dxa"/>
          </w:tcPr>
          <w:p w14:paraId="3820FBAA" w14:textId="77777777" w:rsidR="006C1543" w:rsidRPr="00E6110F" w:rsidRDefault="006C1543" w:rsidP="00854519">
            <w:pPr>
              <w:pStyle w:val="Body"/>
            </w:pPr>
            <w:r w:rsidRPr="00E6110F">
              <w:t>Hoskisson seam / Bohena seam</w:t>
            </w:r>
          </w:p>
        </w:tc>
        <w:tc>
          <w:tcPr>
            <w:tcW w:w="1134" w:type="dxa"/>
          </w:tcPr>
          <w:p w14:paraId="59A9F84D" w14:textId="77777777" w:rsidR="006C1543" w:rsidRPr="00E6110F" w:rsidRDefault="006C1543" w:rsidP="00AA36A3">
            <w:pPr>
              <w:jc w:val="center"/>
            </w:pPr>
            <w:r w:rsidRPr="00E6110F">
              <w:rPr>
                <w:rFonts w:ascii="Calibri" w:hAnsi="Calibri" w:cs="Calibri"/>
                <w:color w:val="000000"/>
                <w:sz w:val="18"/>
                <w:szCs w:val="18"/>
                <w:lang w:val="en-GB"/>
              </w:rPr>
              <w:t>2.9 – 17.3</w:t>
            </w:r>
          </w:p>
        </w:tc>
        <w:tc>
          <w:tcPr>
            <w:tcW w:w="1134" w:type="dxa"/>
          </w:tcPr>
          <w:p w14:paraId="68A78DB8" w14:textId="77777777" w:rsidR="006C1543" w:rsidRPr="00E6110F" w:rsidRDefault="006C1543" w:rsidP="00AA36A3">
            <w:pPr>
              <w:jc w:val="center"/>
            </w:pPr>
            <w:r w:rsidRPr="00E6110F">
              <w:rPr>
                <w:rFonts w:ascii="Calibri" w:hAnsi="Calibri" w:cs="Calibri"/>
                <w:color w:val="000000"/>
                <w:sz w:val="18"/>
                <w:szCs w:val="18"/>
                <w:lang w:val="en-GB"/>
              </w:rPr>
              <w:t>0.03 – 0.22</w:t>
            </w:r>
          </w:p>
        </w:tc>
        <w:tc>
          <w:tcPr>
            <w:tcW w:w="992" w:type="dxa"/>
          </w:tcPr>
          <w:p w14:paraId="7EF4AD52" w14:textId="2D671C2F" w:rsidR="006C1543" w:rsidRPr="00E6110F" w:rsidRDefault="00971A6C" w:rsidP="00AA36A3">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0BAA2F0F" w14:textId="7359544C" w:rsidR="006C1543" w:rsidRPr="00E6110F" w:rsidRDefault="006C1543" w:rsidP="00AA36A3">
            <w:pPr>
              <w:jc w:val="cente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6C1543" w:rsidRPr="00E6110F" w14:paraId="7E920581" w14:textId="77777777" w:rsidTr="00971A6C">
        <w:tc>
          <w:tcPr>
            <w:tcW w:w="2122" w:type="dxa"/>
          </w:tcPr>
          <w:p w14:paraId="060A24B4" w14:textId="77777777" w:rsidR="006C1543" w:rsidRPr="00E6110F" w:rsidRDefault="006C1543" w:rsidP="00854519">
            <w:pPr>
              <w:pStyle w:val="Body"/>
            </w:pPr>
            <w:r w:rsidRPr="00E6110F">
              <w:t>Maules Creek Formation (upper)</w:t>
            </w:r>
          </w:p>
        </w:tc>
        <w:tc>
          <w:tcPr>
            <w:tcW w:w="1134" w:type="dxa"/>
          </w:tcPr>
          <w:p w14:paraId="74368478" w14:textId="77777777" w:rsidR="006C1543" w:rsidRPr="00E6110F" w:rsidRDefault="006C1543" w:rsidP="00AA36A3">
            <w:pPr>
              <w:jc w:val="center"/>
            </w:pPr>
            <w:r w:rsidRPr="00E6110F">
              <w:rPr>
                <w:rFonts w:ascii="Calibri" w:hAnsi="Calibri" w:cs="Calibri"/>
                <w:color w:val="000000"/>
                <w:sz w:val="18"/>
                <w:szCs w:val="18"/>
                <w:lang w:val="en-GB"/>
              </w:rPr>
              <w:t>2.9 – 17.3</w:t>
            </w:r>
          </w:p>
        </w:tc>
        <w:tc>
          <w:tcPr>
            <w:tcW w:w="1134" w:type="dxa"/>
          </w:tcPr>
          <w:p w14:paraId="6A84F616" w14:textId="77777777" w:rsidR="006C1543" w:rsidRPr="00E6110F" w:rsidRDefault="006C1543" w:rsidP="00AA36A3">
            <w:pPr>
              <w:jc w:val="center"/>
            </w:pPr>
            <w:r w:rsidRPr="00E6110F">
              <w:rPr>
                <w:rFonts w:ascii="Calibri" w:hAnsi="Calibri" w:cs="Calibri"/>
                <w:color w:val="000000"/>
                <w:sz w:val="18"/>
                <w:szCs w:val="18"/>
                <w:lang w:val="en-GB"/>
              </w:rPr>
              <w:t>0.03 – 0.22</w:t>
            </w:r>
          </w:p>
        </w:tc>
        <w:tc>
          <w:tcPr>
            <w:tcW w:w="992" w:type="dxa"/>
          </w:tcPr>
          <w:p w14:paraId="09E1ABFF" w14:textId="0D6FE35E" w:rsidR="006C1543" w:rsidRPr="00E6110F" w:rsidRDefault="00971A6C" w:rsidP="00AA36A3">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31900EBC" w14:textId="6057323F" w:rsidR="006C1543" w:rsidRPr="00E6110F" w:rsidRDefault="006C1543" w:rsidP="00AA36A3">
            <w:pPr>
              <w:jc w:val="cente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6C1543" w:rsidRPr="00E6110F" w14:paraId="729D4A92" w14:textId="77777777" w:rsidTr="00971A6C">
        <w:tc>
          <w:tcPr>
            <w:tcW w:w="2122" w:type="dxa"/>
          </w:tcPr>
          <w:p w14:paraId="42EA2371" w14:textId="77777777" w:rsidR="006C1543" w:rsidRPr="00E6110F" w:rsidRDefault="006C1543" w:rsidP="00854519">
            <w:pPr>
              <w:pStyle w:val="Body"/>
            </w:pPr>
            <w:r w:rsidRPr="00E6110F">
              <w:t>Maules Creek Formation (coal measures)</w:t>
            </w:r>
          </w:p>
        </w:tc>
        <w:tc>
          <w:tcPr>
            <w:tcW w:w="1134" w:type="dxa"/>
          </w:tcPr>
          <w:p w14:paraId="65D5830C" w14:textId="77777777" w:rsidR="006C1543" w:rsidRPr="00E6110F" w:rsidRDefault="006C1543" w:rsidP="00AA36A3">
            <w:pPr>
              <w:jc w:val="center"/>
            </w:pPr>
            <w:r w:rsidRPr="00E6110F">
              <w:rPr>
                <w:rFonts w:ascii="Calibri" w:hAnsi="Calibri" w:cs="Calibri"/>
                <w:color w:val="000000"/>
                <w:sz w:val="18"/>
                <w:szCs w:val="18"/>
                <w:lang w:val="en-GB"/>
              </w:rPr>
              <w:t>2.9 – 17.3</w:t>
            </w:r>
          </w:p>
        </w:tc>
        <w:tc>
          <w:tcPr>
            <w:tcW w:w="1134" w:type="dxa"/>
          </w:tcPr>
          <w:p w14:paraId="4B114AD6" w14:textId="77777777" w:rsidR="006C1543" w:rsidRPr="00E6110F" w:rsidRDefault="006C1543" w:rsidP="00AA36A3">
            <w:pPr>
              <w:jc w:val="center"/>
            </w:pPr>
            <w:r w:rsidRPr="00E6110F">
              <w:rPr>
                <w:rFonts w:ascii="Calibri" w:hAnsi="Calibri" w:cs="Calibri"/>
                <w:color w:val="000000"/>
                <w:sz w:val="18"/>
                <w:szCs w:val="18"/>
                <w:lang w:val="en-GB"/>
              </w:rPr>
              <w:t>0.03 – 0.22</w:t>
            </w:r>
          </w:p>
        </w:tc>
        <w:tc>
          <w:tcPr>
            <w:tcW w:w="992" w:type="dxa"/>
          </w:tcPr>
          <w:p w14:paraId="7170C7A9" w14:textId="7142F603" w:rsidR="006C1543" w:rsidRPr="00E6110F" w:rsidRDefault="00971A6C" w:rsidP="00AA36A3">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0EA88905" w14:textId="77CAA7D1" w:rsidR="006C1543" w:rsidRPr="00E6110F" w:rsidRDefault="006C1543" w:rsidP="00AA36A3">
            <w:pPr>
              <w:jc w:val="cente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6C1543" w:rsidRPr="00E6110F" w14:paraId="7E5151E7" w14:textId="77777777" w:rsidTr="00971A6C">
        <w:tc>
          <w:tcPr>
            <w:tcW w:w="2122" w:type="dxa"/>
          </w:tcPr>
          <w:p w14:paraId="1742C75E" w14:textId="77777777" w:rsidR="006C1543" w:rsidRPr="00E6110F" w:rsidRDefault="006C1543" w:rsidP="00854519">
            <w:pPr>
              <w:pStyle w:val="Body"/>
            </w:pPr>
            <w:r w:rsidRPr="00E6110F">
              <w:t>Maules Creek Formation (lower)</w:t>
            </w:r>
          </w:p>
        </w:tc>
        <w:tc>
          <w:tcPr>
            <w:tcW w:w="1134" w:type="dxa"/>
          </w:tcPr>
          <w:p w14:paraId="75CD1E47" w14:textId="77777777" w:rsidR="006C1543" w:rsidRPr="00E6110F" w:rsidRDefault="006C1543" w:rsidP="00854519">
            <w:r w:rsidRPr="00E6110F">
              <w:rPr>
                <w:rFonts w:ascii="Calibri" w:hAnsi="Calibri" w:cs="Calibri"/>
                <w:color w:val="000000"/>
                <w:sz w:val="18"/>
                <w:szCs w:val="18"/>
                <w:lang w:val="en-GB"/>
              </w:rPr>
              <w:t>2.9 – 17.3</w:t>
            </w:r>
          </w:p>
        </w:tc>
        <w:tc>
          <w:tcPr>
            <w:tcW w:w="1134" w:type="dxa"/>
          </w:tcPr>
          <w:p w14:paraId="590F8AE5" w14:textId="77777777" w:rsidR="006C1543" w:rsidRPr="00E6110F" w:rsidRDefault="006C1543" w:rsidP="00854519">
            <w:r w:rsidRPr="00E6110F">
              <w:rPr>
                <w:rFonts w:ascii="Calibri" w:hAnsi="Calibri" w:cs="Calibri"/>
                <w:color w:val="000000"/>
                <w:sz w:val="18"/>
                <w:szCs w:val="18"/>
                <w:lang w:val="en-GB"/>
              </w:rPr>
              <w:t>0.03 – 0.22</w:t>
            </w:r>
          </w:p>
        </w:tc>
        <w:tc>
          <w:tcPr>
            <w:tcW w:w="992" w:type="dxa"/>
          </w:tcPr>
          <w:p w14:paraId="44504BD5" w14:textId="5238BEDB" w:rsidR="006C1543" w:rsidRPr="00E6110F" w:rsidRDefault="00971A6C" w:rsidP="00D60FA9">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5779FFA5" w14:textId="6373FA01" w:rsidR="006C1543" w:rsidRPr="00E6110F" w:rsidRDefault="006C1543" w:rsidP="00D60FA9">
            <w:pPr>
              <w:jc w:val="cente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bl>
    <w:p w14:paraId="28FBFDE4" w14:textId="77777777" w:rsidR="00FE5C52" w:rsidRPr="00E6110F" w:rsidRDefault="00FE5C52" w:rsidP="00115176">
      <w:pPr>
        <w:pStyle w:val="Body"/>
      </w:pPr>
    </w:p>
    <w:p w14:paraId="6647CAD3" w14:textId="77777777" w:rsidR="00FE5C52" w:rsidRPr="00E6110F" w:rsidRDefault="00FE5C52" w:rsidP="004F62BB">
      <w:pPr>
        <w:pStyle w:val="Body"/>
      </w:pPr>
    </w:p>
    <w:p w14:paraId="13535AF1" w14:textId="77777777" w:rsidR="00542722" w:rsidRPr="00E6110F" w:rsidRDefault="00542722" w:rsidP="00542722">
      <w:pPr>
        <w:rPr>
          <w:sz w:val="18"/>
          <w:szCs w:val="18"/>
        </w:rPr>
      </w:pPr>
    </w:p>
    <w:p w14:paraId="7FD47C81" w14:textId="7CAC513F" w:rsidR="00542722" w:rsidRPr="00E6110F" w:rsidRDefault="00542722" w:rsidP="00542722">
      <w:pPr>
        <w:pStyle w:val="Imagecaption"/>
        <w:keepNext/>
        <w:pBdr>
          <w:top w:val="none" w:sz="0" w:space="0" w:color="auto"/>
        </w:pBdr>
      </w:pPr>
      <w:bookmarkStart w:id="536" w:name="_Ref453016741"/>
      <w:bookmarkStart w:id="537" w:name="_Toc494444727"/>
      <w:r w:rsidRPr="00E6110F">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10</w:t>
      </w:r>
      <w:r w:rsidR="00470577">
        <w:fldChar w:fldCharType="end"/>
      </w:r>
      <w:bookmarkEnd w:id="536"/>
      <w:r w:rsidRPr="00DA539C">
        <w:t xml:space="preserve">  </w:t>
      </w:r>
      <w:r w:rsidRPr="00E6110F">
        <w:t xml:space="preserve">Table of fate parameters adjusted for Surat </w:t>
      </w:r>
      <w:r w:rsidR="00DF4AA2">
        <w:t>B</w:t>
      </w:r>
      <w:r w:rsidRPr="00E6110F">
        <w:t>asin geology (inorganic chemicals).</w:t>
      </w:r>
      <w:bookmarkEnd w:id="537"/>
    </w:p>
    <w:tbl>
      <w:tblPr>
        <w:tblStyle w:val="TableGrid"/>
        <w:tblW w:w="6514" w:type="dxa"/>
        <w:tblLayout w:type="fixed"/>
        <w:tblLook w:val="04A0" w:firstRow="1" w:lastRow="0" w:firstColumn="1" w:lastColumn="0" w:noHBand="0" w:noVBand="1"/>
      </w:tblPr>
      <w:tblGrid>
        <w:gridCol w:w="2122"/>
        <w:gridCol w:w="1134"/>
        <w:gridCol w:w="1134"/>
        <w:gridCol w:w="992"/>
        <w:gridCol w:w="1132"/>
      </w:tblGrid>
      <w:tr w:rsidR="00542722" w:rsidRPr="00E6110F" w14:paraId="163E53F9" w14:textId="77777777" w:rsidTr="00971A6C">
        <w:tc>
          <w:tcPr>
            <w:tcW w:w="2122" w:type="dxa"/>
            <w:shd w:val="clear" w:color="auto" w:fill="F2F2F2" w:themeFill="background1" w:themeFillShade="F2"/>
          </w:tcPr>
          <w:p w14:paraId="15B96078" w14:textId="77777777" w:rsidR="00542722" w:rsidRPr="00E6110F" w:rsidRDefault="00542722" w:rsidP="0018507D">
            <w:pPr>
              <w:pStyle w:val="Body"/>
            </w:pPr>
            <w:r w:rsidRPr="00E6110F">
              <w:t>Geology</w:t>
            </w:r>
          </w:p>
        </w:tc>
        <w:tc>
          <w:tcPr>
            <w:tcW w:w="1134" w:type="dxa"/>
            <w:shd w:val="clear" w:color="auto" w:fill="F2F2F2" w:themeFill="background1" w:themeFillShade="F2"/>
          </w:tcPr>
          <w:p w14:paraId="03B69BF6" w14:textId="77777777" w:rsidR="00542722" w:rsidRPr="00E6110F" w:rsidRDefault="00542722" w:rsidP="0018507D">
            <w:pPr>
              <w:jc w:val="center"/>
              <w:rPr>
                <w:rFonts w:ascii="Calibri" w:hAnsi="Calibri" w:cs="Calibri"/>
                <w:color w:val="000000"/>
                <w:sz w:val="18"/>
                <w:szCs w:val="18"/>
                <w:lang w:val="en-GB"/>
              </w:rPr>
            </w:pPr>
            <w:r w:rsidRPr="00E6110F">
              <w:rPr>
                <w:rFonts w:ascii="Calibri" w:hAnsi="Calibri" w:cs="Calibri"/>
                <w:color w:val="000000"/>
                <w:sz w:val="18"/>
                <w:szCs w:val="18"/>
                <w:lang w:val="en-GB"/>
              </w:rPr>
              <w:t>As</w:t>
            </w:r>
          </w:p>
          <w:p w14:paraId="0F89E0F8" w14:textId="77777777" w:rsidR="00542722" w:rsidRPr="00E6110F" w:rsidRDefault="00542722" w:rsidP="0018507D">
            <w:pPr>
              <w:jc w:val="center"/>
              <w:rPr>
                <w:rFonts w:ascii="Calibri" w:hAnsi="Calibri" w:cs="Calibri"/>
                <w:color w:val="000000"/>
                <w:sz w:val="18"/>
                <w:szCs w:val="18"/>
                <w:lang w:val="en-GB"/>
              </w:rPr>
            </w:pPr>
            <w:r w:rsidRPr="00E6110F">
              <w:rPr>
                <w:rFonts w:ascii="Calibri" w:hAnsi="Calibri" w:cs="Calibri"/>
                <w:i/>
                <w:color w:val="000000"/>
                <w:sz w:val="18"/>
                <w:szCs w:val="18"/>
                <w:lang w:val="en-GB"/>
              </w:rPr>
              <w:t>K</w:t>
            </w:r>
            <w:r w:rsidRPr="00E6110F">
              <w:rPr>
                <w:rFonts w:ascii="Calibri" w:hAnsi="Calibri" w:cs="Calibri"/>
                <w:color w:val="000000"/>
                <w:sz w:val="18"/>
                <w:szCs w:val="18"/>
                <w:vertAlign w:val="subscript"/>
                <w:lang w:val="en-GB"/>
              </w:rPr>
              <w:t>d</w:t>
            </w:r>
            <w:r w:rsidRPr="00E6110F">
              <w:rPr>
                <w:rFonts w:ascii="Calibri" w:hAnsi="Calibri" w:cs="Calibri"/>
                <w:color w:val="000000"/>
                <w:sz w:val="18"/>
                <w:szCs w:val="18"/>
                <w:lang w:val="en-GB"/>
              </w:rPr>
              <w:t xml:space="preserve"> (L/Kg)</w:t>
            </w:r>
          </w:p>
        </w:tc>
        <w:tc>
          <w:tcPr>
            <w:tcW w:w="1134" w:type="dxa"/>
            <w:shd w:val="clear" w:color="auto" w:fill="F2F2F2" w:themeFill="background1" w:themeFillShade="F2"/>
          </w:tcPr>
          <w:p w14:paraId="37885134" w14:textId="77777777" w:rsidR="00542722" w:rsidRPr="00E6110F" w:rsidRDefault="00542722" w:rsidP="0018507D">
            <w:pPr>
              <w:jc w:val="center"/>
              <w:rPr>
                <w:rFonts w:ascii="Calibri" w:hAnsi="Calibri" w:cs="Calibri"/>
                <w:color w:val="000000"/>
                <w:sz w:val="18"/>
                <w:szCs w:val="18"/>
                <w:lang w:val="en-GB"/>
              </w:rPr>
            </w:pPr>
            <w:r w:rsidRPr="00E6110F">
              <w:rPr>
                <w:rFonts w:ascii="Calibri" w:hAnsi="Calibri" w:cs="Calibri"/>
                <w:color w:val="000000"/>
                <w:sz w:val="18"/>
                <w:szCs w:val="18"/>
                <w:lang w:val="en-GB"/>
              </w:rPr>
              <w:t>B</w:t>
            </w:r>
          </w:p>
          <w:p w14:paraId="039FF9D5" w14:textId="77777777" w:rsidR="00542722" w:rsidRPr="00E6110F" w:rsidRDefault="00542722" w:rsidP="0018507D">
            <w:pPr>
              <w:jc w:val="center"/>
              <w:rPr>
                <w:rFonts w:ascii="Calibri" w:hAnsi="Calibri" w:cs="Calibri"/>
                <w:color w:val="000000"/>
                <w:sz w:val="18"/>
                <w:szCs w:val="18"/>
                <w:lang w:val="en-GB"/>
              </w:rPr>
            </w:pPr>
            <w:r w:rsidRPr="00E6110F">
              <w:rPr>
                <w:rFonts w:ascii="Calibri" w:hAnsi="Calibri" w:cs="Calibri"/>
                <w:i/>
                <w:color w:val="000000"/>
                <w:sz w:val="18"/>
                <w:szCs w:val="18"/>
                <w:lang w:val="en-GB"/>
              </w:rPr>
              <w:t>K</w:t>
            </w:r>
            <w:r w:rsidRPr="00E6110F">
              <w:rPr>
                <w:rFonts w:ascii="Calibri" w:hAnsi="Calibri" w:cs="Calibri"/>
                <w:color w:val="000000"/>
                <w:sz w:val="18"/>
                <w:szCs w:val="18"/>
                <w:vertAlign w:val="subscript"/>
                <w:lang w:val="en-GB"/>
              </w:rPr>
              <w:t>d</w:t>
            </w:r>
            <w:r w:rsidRPr="00E6110F">
              <w:rPr>
                <w:rFonts w:ascii="Calibri" w:hAnsi="Calibri" w:cs="Calibri"/>
                <w:color w:val="000000"/>
                <w:sz w:val="18"/>
                <w:szCs w:val="18"/>
                <w:lang w:val="en-GB"/>
              </w:rPr>
              <w:t xml:space="preserve"> (L/Kg)</w:t>
            </w:r>
          </w:p>
        </w:tc>
        <w:tc>
          <w:tcPr>
            <w:tcW w:w="992" w:type="dxa"/>
            <w:shd w:val="clear" w:color="auto" w:fill="F2F2F2" w:themeFill="background1" w:themeFillShade="F2"/>
          </w:tcPr>
          <w:p w14:paraId="2B400DDD" w14:textId="77777777" w:rsidR="00542722" w:rsidRPr="00E6110F" w:rsidRDefault="00542722" w:rsidP="0018507D">
            <w:pPr>
              <w:jc w:val="center"/>
              <w:rPr>
                <w:rFonts w:ascii="Calibri" w:hAnsi="Calibri" w:cs="Calibri"/>
                <w:color w:val="000000"/>
                <w:sz w:val="18"/>
                <w:szCs w:val="18"/>
                <w:lang w:val="en-GB"/>
              </w:rPr>
            </w:pPr>
            <w:r w:rsidRPr="00E6110F">
              <w:rPr>
                <w:rFonts w:ascii="Calibri" w:hAnsi="Calibri" w:cs="Calibri"/>
                <w:color w:val="000000"/>
                <w:sz w:val="18"/>
                <w:szCs w:val="18"/>
                <w:lang w:val="en-GB"/>
              </w:rPr>
              <w:t>Ba</w:t>
            </w:r>
          </w:p>
          <w:p w14:paraId="53609493" w14:textId="77777777" w:rsidR="00542722" w:rsidRPr="00E6110F" w:rsidRDefault="00542722" w:rsidP="0018507D">
            <w:pPr>
              <w:jc w:val="center"/>
              <w:rPr>
                <w:rFonts w:ascii="Calibri" w:hAnsi="Calibri" w:cs="Calibri"/>
                <w:color w:val="000000"/>
                <w:sz w:val="18"/>
                <w:szCs w:val="18"/>
                <w:lang w:val="en-GB"/>
              </w:rPr>
            </w:pPr>
            <w:r w:rsidRPr="00E6110F">
              <w:rPr>
                <w:rFonts w:ascii="Calibri" w:hAnsi="Calibri" w:cs="Calibri"/>
                <w:i/>
                <w:color w:val="000000"/>
                <w:sz w:val="18"/>
                <w:szCs w:val="18"/>
                <w:lang w:val="en-GB"/>
              </w:rPr>
              <w:t>K</w:t>
            </w:r>
            <w:r w:rsidRPr="00E6110F">
              <w:rPr>
                <w:rFonts w:ascii="Calibri" w:hAnsi="Calibri" w:cs="Calibri"/>
                <w:color w:val="000000"/>
                <w:sz w:val="18"/>
                <w:szCs w:val="18"/>
                <w:vertAlign w:val="subscript"/>
                <w:lang w:val="en-GB"/>
              </w:rPr>
              <w:t>d</w:t>
            </w:r>
            <w:r w:rsidRPr="00E6110F">
              <w:rPr>
                <w:rFonts w:ascii="Calibri" w:hAnsi="Calibri" w:cs="Calibri"/>
                <w:color w:val="000000"/>
                <w:sz w:val="18"/>
                <w:szCs w:val="18"/>
                <w:lang w:val="en-GB"/>
              </w:rPr>
              <w:t xml:space="preserve"> (L/Kg)</w:t>
            </w:r>
          </w:p>
        </w:tc>
        <w:tc>
          <w:tcPr>
            <w:tcW w:w="1132" w:type="dxa"/>
            <w:shd w:val="clear" w:color="auto" w:fill="F2F2F2" w:themeFill="background1" w:themeFillShade="F2"/>
          </w:tcPr>
          <w:p w14:paraId="3B30BB92" w14:textId="77777777" w:rsidR="00542722" w:rsidRPr="00E6110F" w:rsidRDefault="00542722" w:rsidP="0018507D">
            <w:pPr>
              <w:jc w:val="center"/>
              <w:rPr>
                <w:rFonts w:ascii="Calibri" w:hAnsi="Calibri" w:cs="Calibri"/>
                <w:color w:val="000000"/>
                <w:sz w:val="18"/>
                <w:szCs w:val="18"/>
                <w:lang w:val="en-GB"/>
              </w:rPr>
            </w:pPr>
            <w:r w:rsidRPr="00E6110F">
              <w:rPr>
                <w:rFonts w:ascii="Calibri" w:hAnsi="Calibri" w:cs="Calibri"/>
                <w:color w:val="000000"/>
                <w:sz w:val="18"/>
                <w:szCs w:val="18"/>
                <w:lang w:val="en-GB"/>
              </w:rPr>
              <w:t>U</w:t>
            </w:r>
          </w:p>
          <w:p w14:paraId="5798A6A8" w14:textId="77777777" w:rsidR="00542722" w:rsidRPr="00E6110F" w:rsidRDefault="00542722" w:rsidP="0018507D">
            <w:pPr>
              <w:jc w:val="center"/>
              <w:rPr>
                <w:rFonts w:ascii="Calibri" w:hAnsi="Calibri" w:cs="Calibri"/>
                <w:color w:val="000000"/>
                <w:sz w:val="18"/>
                <w:szCs w:val="18"/>
                <w:lang w:val="en-GB"/>
              </w:rPr>
            </w:pPr>
            <w:r w:rsidRPr="00E6110F">
              <w:rPr>
                <w:rFonts w:ascii="Calibri" w:hAnsi="Calibri" w:cs="Calibri"/>
                <w:i/>
                <w:color w:val="000000"/>
                <w:sz w:val="18"/>
                <w:szCs w:val="18"/>
                <w:lang w:val="en-GB"/>
              </w:rPr>
              <w:t>K</w:t>
            </w:r>
            <w:r w:rsidRPr="00E6110F">
              <w:rPr>
                <w:rFonts w:ascii="Calibri" w:hAnsi="Calibri" w:cs="Calibri"/>
                <w:color w:val="000000"/>
                <w:sz w:val="18"/>
                <w:szCs w:val="18"/>
                <w:vertAlign w:val="subscript"/>
                <w:lang w:val="en-GB"/>
              </w:rPr>
              <w:t>d</w:t>
            </w:r>
            <w:r w:rsidRPr="00E6110F">
              <w:rPr>
                <w:rFonts w:ascii="Calibri" w:hAnsi="Calibri" w:cs="Calibri"/>
                <w:color w:val="000000"/>
                <w:sz w:val="18"/>
                <w:szCs w:val="18"/>
                <w:lang w:val="en-GB"/>
              </w:rPr>
              <w:t xml:space="preserve"> (L/Kg)</w:t>
            </w:r>
          </w:p>
        </w:tc>
      </w:tr>
      <w:tr w:rsidR="00542722" w:rsidRPr="00E6110F" w14:paraId="070CD061" w14:textId="77777777" w:rsidTr="00971A6C">
        <w:tc>
          <w:tcPr>
            <w:tcW w:w="2122" w:type="dxa"/>
          </w:tcPr>
          <w:p w14:paraId="7028423C" w14:textId="0571A89C" w:rsidR="00542722" w:rsidRPr="00E6110F" w:rsidRDefault="00070B95" w:rsidP="0018507D">
            <w:pPr>
              <w:pStyle w:val="Body"/>
            </w:pPr>
            <w:r w:rsidRPr="00E6110F">
              <w:t>Dawson River alluvium</w:t>
            </w:r>
          </w:p>
        </w:tc>
        <w:tc>
          <w:tcPr>
            <w:tcW w:w="1134" w:type="dxa"/>
          </w:tcPr>
          <w:p w14:paraId="5381DC46" w14:textId="77777777" w:rsidR="00542722" w:rsidRPr="00E6110F" w:rsidRDefault="00542722" w:rsidP="0018507D">
            <w:pPr>
              <w:jc w:val="center"/>
            </w:pPr>
            <w:r w:rsidRPr="00E6110F">
              <w:rPr>
                <w:rFonts w:ascii="Calibri" w:hAnsi="Calibri" w:cs="Calibri"/>
                <w:color w:val="000000"/>
                <w:sz w:val="18"/>
                <w:szCs w:val="18"/>
                <w:lang w:val="en-GB"/>
              </w:rPr>
              <w:t>2.9 – 17.3</w:t>
            </w:r>
          </w:p>
        </w:tc>
        <w:tc>
          <w:tcPr>
            <w:tcW w:w="1134" w:type="dxa"/>
          </w:tcPr>
          <w:p w14:paraId="37EC5999" w14:textId="77777777" w:rsidR="00542722" w:rsidRPr="00E6110F" w:rsidRDefault="00542722" w:rsidP="0018507D">
            <w:pPr>
              <w:jc w:val="center"/>
              <w:rPr>
                <w:rFonts w:ascii="Calibri" w:hAnsi="Calibri" w:cs="Calibri"/>
                <w:color w:val="000000"/>
                <w:sz w:val="18"/>
                <w:szCs w:val="18"/>
                <w:lang w:val="en-GB"/>
              </w:rPr>
            </w:pPr>
            <w:r w:rsidRPr="00E6110F">
              <w:rPr>
                <w:rFonts w:ascii="Calibri" w:hAnsi="Calibri" w:cs="Calibri"/>
                <w:color w:val="000000"/>
                <w:sz w:val="18"/>
                <w:szCs w:val="18"/>
                <w:lang w:val="en-GB"/>
              </w:rPr>
              <w:t>0.03 – 0.22</w:t>
            </w:r>
          </w:p>
        </w:tc>
        <w:tc>
          <w:tcPr>
            <w:tcW w:w="992" w:type="dxa"/>
          </w:tcPr>
          <w:p w14:paraId="01361934" w14:textId="7855774D" w:rsidR="00542722" w:rsidRPr="00E6110F" w:rsidRDefault="00971A6C" w:rsidP="0018507D">
            <w:pPr>
              <w:jc w:val="center"/>
              <w:rPr>
                <w:rFonts w:ascii="Calibri" w:hAnsi="Calibri" w:cs="Calibri"/>
                <w:color w:val="000000"/>
                <w:sz w:val="18"/>
                <w:szCs w:val="18"/>
                <w:lang w:val="en-GB"/>
              </w:rP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13719278" w14:textId="3DECC61E" w:rsidR="00542722" w:rsidRPr="00E6110F" w:rsidRDefault="00542722" w:rsidP="0018507D">
            <w:pPr>
              <w:jc w:val="center"/>
              <w:rPr>
                <w:rFonts w:ascii="Calibri" w:hAnsi="Calibri" w:cs="Calibri"/>
                <w:color w:val="000000"/>
                <w:sz w:val="18"/>
                <w:szCs w:val="18"/>
                <w:lang w:val="en-GB"/>
              </w:rP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542722" w:rsidRPr="00E6110F" w14:paraId="2051B91E" w14:textId="77777777" w:rsidTr="00971A6C">
        <w:tc>
          <w:tcPr>
            <w:tcW w:w="2122" w:type="dxa"/>
          </w:tcPr>
          <w:p w14:paraId="11A2BC7F" w14:textId="1CFEE670" w:rsidR="00542722" w:rsidRPr="00E6110F" w:rsidRDefault="00C54CDD" w:rsidP="0018507D">
            <w:pPr>
              <w:pStyle w:val="Body"/>
            </w:pPr>
            <w:r w:rsidRPr="00E6110F">
              <w:t>Bungil Formation-Mooga Sandstone-Orallo Formation (BMO Group)</w:t>
            </w:r>
          </w:p>
        </w:tc>
        <w:tc>
          <w:tcPr>
            <w:tcW w:w="1134" w:type="dxa"/>
          </w:tcPr>
          <w:p w14:paraId="2B260627" w14:textId="77777777" w:rsidR="00542722" w:rsidRPr="00E6110F" w:rsidRDefault="00542722" w:rsidP="0018507D">
            <w:pPr>
              <w:jc w:val="center"/>
            </w:pPr>
            <w:r w:rsidRPr="00E6110F">
              <w:rPr>
                <w:rFonts w:ascii="Calibri" w:hAnsi="Calibri" w:cs="Calibri"/>
                <w:color w:val="000000"/>
                <w:sz w:val="18"/>
                <w:szCs w:val="18"/>
                <w:lang w:val="en-GB"/>
              </w:rPr>
              <w:t>2.9 – 17.3</w:t>
            </w:r>
          </w:p>
        </w:tc>
        <w:tc>
          <w:tcPr>
            <w:tcW w:w="1134" w:type="dxa"/>
          </w:tcPr>
          <w:p w14:paraId="6CC6D63A" w14:textId="77777777" w:rsidR="00542722" w:rsidRPr="00E6110F" w:rsidRDefault="00542722" w:rsidP="0018507D">
            <w:pPr>
              <w:jc w:val="center"/>
            </w:pPr>
            <w:r w:rsidRPr="00E6110F">
              <w:rPr>
                <w:rFonts w:ascii="Calibri" w:hAnsi="Calibri" w:cs="Calibri"/>
                <w:color w:val="000000"/>
                <w:sz w:val="18"/>
                <w:szCs w:val="18"/>
                <w:lang w:val="en-GB"/>
              </w:rPr>
              <w:t>0.03 – 0.22</w:t>
            </w:r>
          </w:p>
        </w:tc>
        <w:tc>
          <w:tcPr>
            <w:tcW w:w="992" w:type="dxa"/>
          </w:tcPr>
          <w:p w14:paraId="23155F47" w14:textId="70AC2C57" w:rsidR="00542722" w:rsidRPr="00E6110F" w:rsidRDefault="00971A6C" w:rsidP="0018507D">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05F4EDC1" w14:textId="4CCFE740" w:rsidR="00542722" w:rsidRPr="00E6110F" w:rsidRDefault="00542722" w:rsidP="0018507D">
            <w:pPr>
              <w:jc w:val="cente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542722" w:rsidRPr="00E6110F" w14:paraId="51CD0012" w14:textId="77777777" w:rsidTr="00971A6C">
        <w:tc>
          <w:tcPr>
            <w:tcW w:w="2122" w:type="dxa"/>
          </w:tcPr>
          <w:p w14:paraId="7A37699E" w14:textId="228D6E11" w:rsidR="00542722" w:rsidRPr="00E6110F" w:rsidRDefault="00C54CDD" w:rsidP="0018507D">
            <w:pPr>
              <w:pStyle w:val="Body"/>
              <w:rPr>
                <w:strike/>
              </w:rPr>
            </w:pPr>
            <w:r w:rsidRPr="00E6110F">
              <w:t>Gubberamunda Sandstone</w:t>
            </w:r>
          </w:p>
        </w:tc>
        <w:tc>
          <w:tcPr>
            <w:tcW w:w="1134" w:type="dxa"/>
          </w:tcPr>
          <w:p w14:paraId="3ADBDBAB" w14:textId="77777777" w:rsidR="00542722" w:rsidRPr="00E6110F" w:rsidRDefault="00542722" w:rsidP="0018507D">
            <w:pPr>
              <w:jc w:val="center"/>
            </w:pPr>
            <w:r w:rsidRPr="00E6110F">
              <w:rPr>
                <w:rFonts w:ascii="Calibri" w:hAnsi="Calibri" w:cs="Calibri"/>
                <w:color w:val="000000"/>
                <w:sz w:val="18"/>
                <w:szCs w:val="18"/>
                <w:lang w:val="en-GB"/>
              </w:rPr>
              <w:t>2.9 – 17.3</w:t>
            </w:r>
          </w:p>
        </w:tc>
        <w:tc>
          <w:tcPr>
            <w:tcW w:w="1134" w:type="dxa"/>
          </w:tcPr>
          <w:p w14:paraId="1F86FFF9" w14:textId="77777777" w:rsidR="00542722" w:rsidRPr="00E6110F" w:rsidRDefault="00542722" w:rsidP="0018507D">
            <w:pPr>
              <w:jc w:val="center"/>
            </w:pPr>
            <w:r w:rsidRPr="00E6110F">
              <w:rPr>
                <w:rFonts w:ascii="Calibri" w:hAnsi="Calibri" w:cs="Calibri"/>
                <w:color w:val="000000"/>
                <w:sz w:val="18"/>
                <w:szCs w:val="18"/>
                <w:lang w:val="en-GB"/>
              </w:rPr>
              <w:t>0.03 – 0.22</w:t>
            </w:r>
          </w:p>
        </w:tc>
        <w:tc>
          <w:tcPr>
            <w:tcW w:w="992" w:type="dxa"/>
          </w:tcPr>
          <w:p w14:paraId="1916A690" w14:textId="387C60A2" w:rsidR="00542722" w:rsidRPr="00E6110F" w:rsidRDefault="00971A6C" w:rsidP="0018507D">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15009125" w14:textId="3672E3D2" w:rsidR="00542722" w:rsidRPr="00E6110F" w:rsidRDefault="00542722" w:rsidP="0018507D">
            <w:pPr>
              <w:jc w:val="cente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542722" w:rsidRPr="00E6110F" w14:paraId="5269EBBE" w14:textId="77777777" w:rsidTr="00971A6C">
        <w:tc>
          <w:tcPr>
            <w:tcW w:w="2122" w:type="dxa"/>
          </w:tcPr>
          <w:p w14:paraId="4088A541" w14:textId="50213EED" w:rsidR="00542722" w:rsidRPr="00E6110F" w:rsidRDefault="00C54CDD" w:rsidP="0018507D">
            <w:pPr>
              <w:pStyle w:val="Body"/>
            </w:pPr>
            <w:r w:rsidRPr="00E6110F">
              <w:t>Westbourne Formation</w:t>
            </w:r>
          </w:p>
        </w:tc>
        <w:tc>
          <w:tcPr>
            <w:tcW w:w="1134" w:type="dxa"/>
          </w:tcPr>
          <w:p w14:paraId="55388BF9" w14:textId="77777777" w:rsidR="00542722" w:rsidRPr="00E6110F" w:rsidRDefault="00542722" w:rsidP="0018507D">
            <w:pPr>
              <w:jc w:val="center"/>
            </w:pPr>
            <w:r w:rsidRPr="00E6110F">
              <w:rPr>
                <w:rFonts w:ascii="Calibri" w:hAnsi="Calibri" w:cs="Calibri"/>
                <w:color w:val="000000"/>
                <w:sz w:val="18"/>
                <w:szCs w:val="18"/>
                <w:lang w:val="en-GB"/>
              </w:rPr>
              <w:t>2.9 – 17.3</w:t>
            </w:r>
          </w:p>
        </w:tc>
        <w:tc>
          <w:tcPr>
            <w:tcW w:w="1134" w:type="dxa"/>
          </w:tcPr>
          <w:p w14:paraId="755EB5BB" w14:textId="77777777" w:rsidR="00542722" w:rsidRPr="00E6110F" w:rsidRDefault="00542722" w:rsidP="0018507D">
            <w:pPr>
              <w:jc w:val="center"/>
            </w:pPr>
            <w:r w:rsidRPr="00E6110F">
              <w:rPr>
                <w:rFonts w:ascii="Calibri" w:hAnsi="Calibri" w:cs="Calibri"/>
                <w:color w:val="000000"/>
                <w:sz w:val="18"/>
                <w:szCs w:val="18"/>
                <w:lang w:val="en-GB"/>
              </w:rPr>
              <w:t>0.03 – 0.22</w:t>
            </w:r>
          </w:p>
        </w:tc>
        <w:tc>
          <w:tcPr>
            <w:tcW w:w="992" w:type="dxa"/>
          </w:tcPr>
          <w:p w14:paraId="4D6EC4D0" w14:textId="43116455" w:rsidR="00542722" w:rsidRPr="00E6110F" w:rsidRDefault="00971A6C" w:rsidP="0018507D">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2D813F66" w14:textId="3AB70F00" w:rsidR="00542722" w:rsidRPr="00E6110F" w:rsidRDefault="00542722" w:rsidP="0018507D">
            <w:pPr>
              <w:jc w:val="cente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542722" w:rsidRPr="00E6110F" w14:paraId="1DA6B5B5" w14:textId="77777777" w:rsidTr="00971A6C">
        <w:tc>
          <w:tcPr>
            <w:tcW w:w="2122" w:type="dxa"/>
          </w:tcPr>
          <w:p w14:paraId="4485C0FF" w14:textId="633369DE" w:rsidR="00542722" w:rsidRPr="00E6110F" w:rsidRDefault="00C54CDD" w:rsidP="0018507D">
            <w:pPr>
              <w:pStyle w:val="Body"/>
            </w:pPr>
            <w:r w:rsidRPr="00E6110F">
              <w:t>Springbok Sandstone</w:t>
            </w:r>
          </w:p>
        </w:tc>
        <w:tc>
          <w:tcPr>
            <w:tcW w:w="1134" w:type="dxa"/>
          </w:tcPr>
          <w:p w14:paraId="5A49E2D5" w14:textId="77777777" w:rsidR="00542722" w:rsidRPr="00E6110F" w:rsidRDefault="00542722" w:rsidP="0018507D">
            <w:pPr>
              <w:jc w:val="center"/>
            </w:pPr>
            <w:r w:rsidRPr="00E6110F">
              <w:rPr>
                <w:rFonts w:ascii="Calibri" w:hAnsi="Calibri" w:cs="Calibri"/>
                <w:color w:val="000000"/>
                <w:sz w:val="18"/>
                <w:szCs w:val="18"/>
                <w:lang w:val="en-GB"/>
              </w:rPr>
              <w:t>2.9 – 17.3</w:t>
            </w:r>
          </w:p>
        </w:tc>
        <w:tc>
          <w:tcPr>
            <w:tcW w:w="1134" w:type="dxa"/>
          </w:tcPr>
          <w:p w14:paraId="5F8FEA4E" w14:textId="77777777" w:rsidR="00542722" w:rsidRPr="00E6110F" w:rsidRDefault="00542722" w:rsidP="0018507D">
            <w:pPr>
              <w:jc w:val="center"/>
            </w:pPr>
            <w:r w:rsidRPr="00E6110F">
              <w:rPr>
                <w:rFonts w:ascii="Calibri" w:hAnsi="Calibri" w:cs="Calibri"/>
                <w:color w:val="000000"/>
                <w:sz w:val="18"/>
                <w:szCs w:val="18"/>
                <w:lang w:val="en-GB"/>
              </w:rPr>
              <w:t>0.03 – 0.22</w:t>
            </w:r>
          </w:p>
        </w:tc>
        <w:tc>
          <w:tcPr>
            <w:tcW w:w="992" w:type="dxa"/>
          </w:tcPr>
          <w:p w14:paraId="2F1CA5E0" w14:textId="5A3F1182" w:rsidR="00542722" w:rsidRPr="00E6110F" w:rsidRDefault="00971A6C" w:rsidP="0018507D">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79145FA8" w14:textId="0822D49D" w:rsidR="00542722" w:rsidRPr="00E6110F" w:rsidRDefault="00542722" w:rsidP="0018507D">
            <w:pPr>
              <w:jc w:val="cente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542722" w:rsidRPr="00E6110F" w14:paraId="7861C961" w14:textId="77777777" w:rsidTr="00971A6C">
        <w:tc>
          <w:tcPr>
            <w:tcW w:w="2122" w:type="dxa"/>
          </w:tcPr>
          <w:p w14:paraId="1F959608" w14:textId="5155D1CB" w:rsidR="00542722" w:rsidRPr="00E6110F" w:rsidRDefault="00C54CDD" w:rsidP="0018507D">
            <w:pPr>
              <w:pStyle w:val="Body"/>
            </w:pPr>
            <w:r w:rsidRPr="00E6110F">
              <w:t>Walloon Coal Measures</w:t>
            </w:r>
          </w:p>
        </w:tc>
        <w:tc>
          <w:tcPr>
            <w:tcW w:w="1134" w:type="dxa"/>
          </w:tcPr>
          <w:p w14:paraId="48A96A00" w14:textId="77777777" w:rsidR="00542722" w:rsidRPr="00E6110F" w:rsidRDefault="00542722" w:rsidP="0018507D">
            <w:pPr>
              <w:jc w:val="center"/>
            </w:pPr>
            <w:r w:rsidRPr="00E6110F">
              <w:rPr>
                <w:rFonts w:ascii="Calibri" w:hAnsi="Calibri" w:cs="Calibri"/>
                <w:color w:val="000000"/>
                <w:sz w:val="18"/>
                <w:szCs w:val="18"/>
                <w:lang w:val="en-GB"/>
              </w:rPr>
              <w:t>2.9 – 17.3</w:t>
            </w:r>
          </w:p>
        </w:tc>
        <w:tc>
          <w:tcPr>
            <w:tcW w:w="1134" w:type="dxa"/>
          </w:tcPr>
          <w:p w14:paraId="26546B93" w14:textId="77777777" w:rsidR="00542722" w:rsidRPr="00E6110F" w:rsidRDefault="00542722" w:rsidP="0018507D">
            <w:pPr>
              <w:jc w:val="center"/>
            </w:pPr>
            <w:r w:rsidRPr="00E6110F">
              <w:rPr>
                <w:rFonts w:ascii="Calibri" w:hAnsi="Calibri" w:cs="Calibri"/>
                <w:color w:val="000000"/>
                <w:sz w:val="18"/>
                <w:szCs w:val="18"/>
                <w:lang w:val="en-GB"/>
              </w:rPr>
              <w:t>0.03 – 0.22</w:t>
            </w:r>
          </w:p>
        </w:tc>
        <w:tc>
          <w:tcPr>
            <w:tcW w:w="992" w:type="dxa"/>
          </w:tcPr>
          <w:p w14:paraId="0FAFBD9F" w14:textId="5D2CEFF5" w:rsidR="00542722" w:rsidRPr="00E6110F" w:rsidRDefault="00971A6C" w:rsidP="0018507D">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640A40B8" w14:textId="2DC9AB5E" w:rsidR="00542722" w:rsidRPr="00E6110F" w:rsidRDefault="00542722" w:rsidP="0018507D">
            <w:pPr>
              <w:jc w:val="cente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r w:rsidR="00542722" w:rsidRPr="00E6110F" w14:paraId="1F4547BC" w14:textId="77777777" w:rsidTr="00971A6C">
        <w:tc>
          <w:tcPr>
            <w:tcW w:w="2122" w:type="dxa"/>
          </w:tcPr>
          <w:p w14:paraId="5A7775B7" w14:textId="49344F6E" w:rsidR="00542722" w:rsidRPr="00E6110F" w:rsidRDefault="00C54CDD" w:rsidP="0018507D">
            <w:pPr>
              <w:pStyle w:val="Body"/>
            </w:pPr>
            <w:r w:rsidRPr="00E6110F">
              <w:t>Hutton Sandstone</w:t>
            </w:r>
          </w:p>
        </w:tc>
        <w:tc>
          <w:tcPr>
            <w:tcW w:w="1134" w:type="dxa"/>
          </w:tcPr>
          <w:p w14:paraId="33EBC17A" w14:textId="77777777" w:rsidR="00542722" w:rsidRPr="00E6110F" w:rsidRDefault="00542722" w:rsidP="00C54CDD">
            <w:pPr>
              <w:jc w:val="center"/>
            </w:pPr>
            <w:r w:rsidRPr="00E6110F">
              <w:rPr>
                <w:rFonts w:ascii="Calibri" w:hAnsi="Calibri" w:cs="Calibri"/>
                <w:color w:val="000000"/>
                <w:sz w:val="18"/>
                <w:szCs w:val="18"/>
                <w:lang w:val="en-GB"/>
              </w:rPr>
              <w:t>2.9 – 17.3</w:t>
            </w:r>
          </w:p>
        </w:tc>
        <w:tc>
          <w:tcPr>
            <w:tcW w:w="1134" w:type="dxa"/>
          </w:tcPr>
          <w:p w14:paraId="766A308C" w14:textId="77777777" w:rsidR="00542722" w:rsidRPr="00E6110F" w:rsidRDefault="00542722" w:rsidP="00C54CDD">
            <w:pPr>
              <w:jc w:val="center"/>
            </w:pPr>
            <w:r w:rsidRPr="00E6110F">
              <w:rPr>
                <w:rFonts w:ascii="Calibri" w:hAnsi="Calibri" w:cs="Calibri"/>
                <w:color w:val="000000"/>
                <w:sz w:val="18"/>
                <w:szCs w:val="18"/>
                <w:lang w:val="en-GB"/>
              </w:rPr>
              <w:t>0.03 – 0.22</w:t>
            </w:r>
          </w:p>
        </w:tc>
        <w:tc>
          <w:tcPr>
            <w:tcW w:w="992" w:type="dxa"/>
          </w:tcPr>
          <w:p w14:paraId="62D552C8" w14:textId="7FCA2A4C" w:rsidR="00542722" w:rsidRPr="00E6110F" w:rsidRDefault="00971A6C" w:rsidP="0018507D">
            <w:pPr>
              <w:jc w:val="center"/>
            </w:pPr>
            <w:r>
              <w:rPr>
                <w:rFonts w:ascii="Calibri" w:hAnsi="Calibri" w:cs="Calibri"/>
                <w:color w:val="000000"/>
                <w:sz w:val="18"/>
                <w:szCs w:val="18"/>
                <w:lang w:val="en-GB"/>
              </w:rPr>
              <w:t xml:space="preserve">0.2 </w:t>
            </w:r>
            <w:r w:rsidRPr="00E6110F">
              <w:rPr>
                <w:rFonts w:ascii="Calibri" w:hAnsi="Calibri" w:cs="Calibri"/>
                <w:color w:val="000000"/>
                <w:sz w:val="18"/>
                <w:szCs w:val="18"/>
                <w:lang w:val="en-GB"/>
              </w:rPr>
              <w:t>–</w:t>
            </w:r>
            <w:r>
              <w:rPr>
                <w:rFonts w:ascii="Calibri" w:hAnsi="Calibri" w:cs="Calibri"/>
                <w:color w:val="000000"/>
                <w:sz w:val="18"/>
                <w:szCs w:val="18"/>
                <w:lang w:val="en-GB"/>
              </w:rPr>
              <w:t xml:space="preserve"> </w:t>
            </w:r>
            <w:r w:rsidR="005D7925">
              <w:rPr>
                <w:rFonts w:ascii="Calibri" w:hAnsi="Calibri" w:cs="Calibri"/>
                <w:color w:val="000000"/>
                <w:sz w:val="18"/>
                <w:szCs w:val="18"/>
                <w:lang w:val="en-GB"/>
              </w:rPr>
              <w:t>164</w:t>
            </w:r>
          </w:p>
        </w:tc>
        <w:tc>
          <w:tcPr>
            <w:tcW w:w="1132" w:type="dxa"/>
          </w:tcPr>
          <w:p w14:paraId="2CD5C076" w14:textId="050062AD" w:rsidR="00542722" w:rsidRPr="00E6110F" w:rsidRDefault="00542722" w:rsidP="0018507D">
            <w:pPr>
              <w:jc w:val="center"/>
            </w:pPr>
            <w:r w:rsidRPr="00E6110F">
              <w:rPr>
                <w:rFonts w:ascii="Calibri" w:hAnsi="Calibri" w:cs="Calibri"/>
                <w:color w:val="000000"/>
                <w:sz w:val="18"/>
                <w:szCs w:val="18"/>
                <w:lang w:val="en-GB"/>
              </w:rPr>
              <w:t xml:space="preserve">5 </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 xml:space="preserve"> 5</w:t>
            </w:r>
            <w:r w:rsidR="00E220E4">
              <w:rPr>
                <w:rFonts w:ascii="Calibri" w:hAnsi="Calibri" w:cs="Calibri"/>
                <w:color w:val="000000"/>
                <w:sz w:val="18"/>
                <w:szCs w:val="18"/>
                <w:lang w:val="en-GB"/>
              </w:rPr>
              <w:t>,</w:t>
            </w:r>
            <w:r w:rsidRPr="00E6110F">
              <w:rPr>
                <w:rFonts w:ascii="Calibri" w:hAnsi="Calibri" w:cs="Calibri"/>
                <w:color w:val="000000"/>
                <w:sz w:val="18"/>
                <w:szCs w:val="18"/>
                <w:lang w:val="en-GB"/>
              </w:rPr>
              <w:t>000</w:t>
            </w:r>
          </w:p>
        </w:tc>
      </w:tr>
    </w:tbl>
    <w:p w14:paraId="3FDDBB1B" w14:textId="77777777" w:rsidR="00542722" w:rsidRPr="00E6110F" w:rsidRDefault="00542722" w:rsidP="00542722">
      <w:pPr>
        <w:pStyle w:val="Body"/>
      </w:pPr>
    </w:p>
    <w:p w14:paraId="385FE369" w14:textId="1C607627" w:rsidR="003E6DBA" w:rsidRDefault="003E6DBA">
      <w:pPr>
        <w:rPr>
          <w:rFonts w:ascii="Calibri" w:hAnsi="Calibri" w:cs="Calibri"/>
          <w:color w:val="000000"/>
          <w:sz w:val="18"/>
          <w:szCs w:val="18"/>
          <w:lang w:val="en-GB"/>
        </w:rPr>
      </w:pPr>
      <w:r>
        <w:br w:type="page"/>
      </w:r>
    </w:p>
    <w:p w14:paraId="1F9BC001" w14:textId="37283087" w:rsidR="005C7AF8" w:rsidRDefault="005C7AF8" w:rsidP="00A63DFB">
      <w:pPr>
        <w:pStyle w:val="Heading2"/>
        <w:spacing w:line="240" w:lineRule="auto"/>
        <w:ind w:left="788" w:hanging="431"/>
      </w:pPr>
      <w:bookmarkStart w:id="538" w:name="_Ref470964871"/>
      <w:bookmarkStart w:id="539" w:name="_Toc494444611"/>
      <w:bookmarkStart w:id="540" w:name="_Toc454455607"/>
      <w:bookmarkStart w:id="541" w:name="_Ref458342328"/>
      <w:r>
        <w:t>Interactions between hydraulic fracturing fluids and geogenics</w:t>
      </w:r>
      <w:bookmarkEnd w:id="538"/>
      <w:bookmarkEnd w:id="539"/>
    </w:p>
    <w:p w14:paraId="6D858ABC" w14:textId="77777777" w:rsidR="005C7AF8" w:rsidRDefault="005C7AF8" w:rsidP="005C7AF8">
      <w:pPr>
        <w:rPr>
          <w:lang w:val="en-GB"/>
        </w:rPr>
      </w:pPr>
    </w:p>
    <w:p w14:paraId="11C91345" w14:textId="19F03929" w:rsidR="003F4566" w:rsidRDefault="003F4566" w:rsidP="009C2EC4">
      <w:pPr>
        <w:pStyle w:val="Body"/>
      </w:pPr>
      <w:r>
        <w:t>C</w:t>
      </w:r>
      <w:r w:rsidRPr="002B01AB">
        <w:t>oal seams are</w:t>
      </w:r>
      <w:r>
        <w:t xml:space="preserve"> </w:t>
      </w:r>
      <w:r w:rsidRPr="002B01AB">
        <w:t xml:space="preserve">known to contain a number of contaminants that have the potential to be mobilised </w:t>
      </w:r>
      <w:r>
        <w:t>during</w:t>
      </w:r>
      <w:r w:rsidRPr="002B01AB">
        <w:t xml:space="preserve"> hydraulic fracturing activities</w:t>
      </w:r>
      <w:r>
        <w:t xml:space="preserve"> (Apte et al. 201</w:t>
      </w:r>
      <w:r w:rsidR="00865428">
        <w:t>7b</w:t>
      </w:r>
      <w:r>
        <w:t>)</w:t>
      </w:r>
      <w:r w:rsidRPr="002B01AB">
        <w:t>.</w:t>
      </w:r>
      <w:r>
        <w:t xml:space="preserve"> Mobilisation can occur because s</w:t>
      </w:r>
      <w:r w:rsidRPr="002B01AB">
        <w:t xml:space="preserve">ome chemicals used in hydraulic fracturing have the potential to release contaminants </w:t>
      </w:r>
      <w:r>
        <w:t>from</w:t>
      </w:r>
      <w:r w:rsidRPr="002B01AB">
        <w:t xml:space="preserve"> the coal seam, through the effects of</w:t>
      </w:r>
      <w:r>
        <w:t>, for example,</w:t>
      </w:r>
      <w:r w:rsidRPr="002B01AB">
        <w:t xml:space="preserve"> chelating agents, acids, surfactants</w:t>
      </w:r>
      <w:r>
        <w:t>,</w:t>
      </w:r>
      <w:r w:rsidRPr="002B01AB">
        <w:t xml:space="preserve"> and solvents. These geogenic contaminants include trace elements (</w:t>
      </w:r>
      <w:r>
        <w:t>e.g.</w:t>
      </w:r>
      <w:r w:rsidRPr="002B01AB">
        <w:t xml:space="preserve"> arsenic, manganese, barium, boron and zinc), radionuclides (</w:t>
      </w:r>
      <w:r>
        <w:t>e.g.</w:t>
      </w:r>
      <w:r w:rsidRPr="002B01AB">
        <w:t xml:space="preserve"> isotopes of radium, thorium</w:t>
      </w:r>
      <w:r>
        <w:t>,</w:t>
      </w:r>
      <w:r w:rsidRPr="002B01AB">
        <w:t xml:space="preserve"> and uranium) and organic contaminants such as hydrocarbons and phenols.</w:t>
      </w:r>
      <w:r>
        <w:t xml:space="preserve"> </w:t>
      </w:r>
      <w:r w:rsidRPr="002B01AB">
        <w:t xml:space="preserve">Their release into </w:t>
      </w:r>
      <w:r>
        <w:t>ground</w:t>
      </w:r>
      <w:r w:rsidRPr="002B01AB">
        <w:t xml:space="preserve">waters </w:t>
      </w:r>
      <w:r>
        <w:t xml:space="preserve">surrounding </w:t>
      </w:r>
      <w:r w:rsidRPr="002B01AB">
        <w:t>coal seams raises concerns for their potential impacts.</w:t>
      </w:r>
      <w:r>
        <w:t xml:space="preserve"> </w:t>
      </w:r>
    </w:p>
    <w:p w14:paraId="1D14AA9B" w14:textId="0EC44445" w:rsidR="00814F9C" w:rsidRPr="00B77A60" w:rsidRDefault="00235B43" w:rsidP="009C2EC4">
      <w:pPr>
        <w:pStyle w:val="Body"/>
      </w:pPr>
      <w:r>
        <w:t>A recent</w:t>
      </w:r>
      <w:r w:rsidR="00814F9C" w:rsidRPr="00B77A60">
        <w:t xml:space="preserve"> study investigate</w:t>
      </w:r>
      <w:r>
        <w:t>d</w:t>
      </w:r>
      <w:r w:rsidR="00814F9C" w:rsidRPr="00B77A60">
        <w:t xml:space="preserve"> the release of potential contaminants from selected coal samples representative of coal seams that are currently, or </w:t>
      </w:r>
      <w:r w:rsidR="00814F9C">
        <w:t xml:space="preserve">which </w:t>
      </w:r>
      <w:r w:rsidR="00814F9C" w:rsidRPr="00B77A60">
        <w:t>may in the future, be subject to gas extraction</w:t>
      </w:r>
      <w:r w:rsidR="008B4653">
        <w:t xml:space="preserve"> (Apte et al. 201</w:t>
      </w:r>
      <w:r w:rsidR="000A133D">
        <w:t>7</w:t>
      </w:r>
      <w:r w:rsidR="00865428">
        <w:t>a</w:t>
      </w:r>
      <w:r w:rsidR="008B4653">
        <w:t>)</w:t>
      </w:r>
      <w:r w:rsidR="00814F9C" w:rsidRPr="00B77A60">
        <w:t xml:space="preserve">. </w:t>
      </w:r>
      <w:r>
        <w:t>C</w:t>
      </w:r>
      <w:r w:rsidR="00814F9C" w:rsidRPr="00B77A60">
        <w:t xml:space="preserve">hemical leach tests were </w:t>
      </w:r>
      <w:r w:rsidR="00B80037">
        <w:t>undertaken</w:t>
      </w:r>
      <w:r>
        <w:t xml:space="preserve"> to simulate </w:t>
      </w:r>
      <w:r w:rsidR="00B80037">
        <w:t xml:space="preserve">interactions between coal and </w:t>
      </w:r>
      <w:r w:rsidR="00B80037" w:rsidRPr="00B77A60">
        <w:t>hydraulic fracturing fluid</w:t>
      </w:r>
      <w:r w:rsidR="00B80037">
        <w:t xml:space="preserve"> during the fracturing process</w:t>
      </w:r>
      <w:r w:rsidR="00814F9C" w:rsidRPr="00B77A60">
        <w:t xml:space="preserve">. </w:t>
      </w:r>
      <w:r w:rsidR="00814F9C">
        <w:t>The l</w:t>
      </w:r>
      <w:r w:rsidR="00814F9C" w:rsidRPr="007A4E15">
        <w:t xml:space="preserve">aboratory leaching tests </w:t>
      </w:r>
      <w:r w:rsidR="00B80037">
        <w:t xml:space="preserve">with dilute acid </w:t>
      </w:r>
      <w:r w:rsidR="00814F9C">
        <w:t>were designed to provide</w:t>
      </w:r>
      <w:r w:rsidR="00814F9C" w:rsidRPr="007A4E15">
        <w:t xml:space="preserve"> upper bound estimates </w:t>
      </w:r>
      <w:r w:rsidR="00814F9C">
        <w:t xml:space="preserve">for the release </w:t>
      </w:r>
      <w:r w:rsidR="00814F9C" w:rsidRPr="007A4E15">
        <w:t>of geogenic contaminant</w:t>
      </w:r>
      <w:r w:rsidR="00814F9C">
        <w:t xml:space="preserve">s. </w:t>
      </w:r>
      <w:r w:rsidR="00B80037">
        <w:t xml:space="preserve">These </w:t>
      </w:r>
      <w:r w:rsidR="00814F9C" w:rsidRPr="007A4E15">
        <w:t>deliberately</w:t>
      </w:r>
      <w:r w:rsidR="00814F9C">
        <w:t xml:space="preserve"> harsh conditions</w:t>
      </w:r>
      <w:r w:rsidR="00B80037">
        <w:t xml:space="preserve"> were considered sufficiently representative of </w:t>
      </w:r>
      <w:r w:rsidR="00814F9C">
        <w:t>an actual gas extraction operation</w:t>
      </w:r>
      <w:r w:rsidR="00814F9C" w:rsidRPr="007A4E15">
        <w:t>.</w:t>
      </w:r>
      <w:r w:rsidR="00814F9C" w:rsidRPr="00B77A60">
        <w:t xml:space="preserve"> </w:t>
      </w:r>
    </w:p>
    <w:p w14:paraId="7E9156A1" w14:textId="3E16C81F" w:rsidR="00814F9C" w:rsidRDefault="00814F9C" w:rsidP="009C2EC4">
      <w:pPr>
        <w:pStyle w:val="Body"/>
      </w:pPr>
      <w:r w:rsidRPr="00B77A60">
        <w:t>Over 65 trace elements were quantified in the leachate samples</w:t>
      </w:r>
      <w:r>
        <w:t xml:space="preserve">. </w:t>
      </w:r>
      <w:r w:rsidR="008B4653">
        <w:t>For at least 18 trace elements</w:t>
      </w:r>
      <w:r w:rsidR="00DF4AA2">
        <w:t>,</w:t>
      </w:r>
      <w:r w:rsidR="008B4653">
        <w:t xml:space="preserve"> measured concentrations exceeded the </w:t>
      </w:r>
      <w:r w:rsidR="008B4653" w:rsidRPr="00B77A60">
        <w:t>surface water quality benchmarks for aquatic ecosystem protection</w:t>
      </w:r>
      <w:r w:rsidR="008B4653">
        <w:t xml:space="preserve">: </w:t>
      </w:r>
      <w:r w:rsidRPr="00B77A60">
        <w:t>aluminium, arsenic, beryllium, boron, cadmium, chromium, cobalt, copper, gallium, lead, manganese, nickel, selenium, silver, thallium, uranium, vanadium and zinc.</w:t>
      </w:r>
      <w:r w:rsidR="00270CBE" w:rsidRPr="00270CBE">
        <w:t xml:space="preserve"> </w:t>
      </w:r>
      <w:r w:rsidR="00270CBE">
        <w:t>W</w:t>
      </w:r>
      <w:r w:rsidR="00270CBE" w:rsidRPr="00B77A60">
        <w:t xml:space="preserve">here water quality guideline values </w:t>
      </w:r>
      <w:r w:rsidR="00270CBE">
        <w:t xml:space="preserve">are </w:t>
      </w:r>
      <w:r w:rsidR="00270CBE" w:rsidRPr="00B77A60">
        <w:t>available</w:t>
      </w:r>
      <w:r w:rsidR="00270CBE">
        <w:t xml:space="preserve"> a comparison is made with elemental</w:t>
      </w:r>
      <w:r w:rsidR="00270CBE" w:rsidRPr="00B77A60">
        <w:t xml:space="preserve"> concentrations </w:t>
      </w:r>
      <w:r w:rsidR="00270CBE">
        <w:t xml:space="preserve">to demonstrate the effect of attenuation on contaminant concentrations (see </w:t>
      </w:r>
      <w:r w:rsidR="00DF4AA2">
        <w:t>S</w:t>
      </w:r>
      <w:r w:rsidR="00270CBE">
        <w:t xml:space="preserve">ection </w:t>
      </w:r>
      <w:r w:rsidR="00270CBE">
        <w:fldChar w:fldCharType="begin" w:fldLock="1"/>
      </w:r>
      <w:r w:rsidR="00270CBE">
        <w:instrText xml:space="preserve"> REF _Ref467871983 \r \h </w:instrText>
      </w:r>
      <w:r w:rsidR="009C2EC4">
        <w:instrText xml:space="preserve"> \* MERGEFORMAT </w:instrText>
      </w:r>
      <w:r w:rsidR="00270CBE">
        <w:fldChar w:fldCharType="separate"/>
      </w:r>
      <w:r w:rsidR="00335E79">
        <w:t>5.6.1</w:t>
      </w:r>
      <w:r w:rsidR="00270CBE">
        <w:fldChar w:fldCharType="end"/>
      </w:r>
      <w:r w:rsidR="00270CBE">
        <w:t>)</w:t>
      </w:r>
      <w:r w:rsidR="00270CBE" w:rsidRPr="00B77A60">
        <w:t>.</w:t>
      </w:r>
      <w:r w:rsidR="008C1049">
        <w:t xml:space="preserve"> </w:t>
      </w:r>
      <w:r w:rsidR="008C1049" w:rsidRPr="008C1049">
        <w:t>Comparisons of this nature are commonly made in screening level risk assessments in order to understand the potential impacts of contaminants on aquatic environments.</w:t>
      </w:r>
    </w:p>
    <w:p w14:paraId="0997F942" w14:textId="77777777" w:rsidR="005F3444" w:rsidRDefault="005F3444" w:rsidP="008B4653">
      <w:pPr>
        <w:pStyle w:val="OWSNormal11pt"/>
      </w:pPr>
    </w:p>
    <w:p w14:paraId="1BDA89FB" w14:textId="3AB54C5F" w:rsidR="005C7AF8" w:rsidRDefault="005C7AF8">
      <w:pPr>
        <w:rPr>
          <w:lang w:val="en-GB"/>
        </w:rPr>
      </w:pPr>
      <w:r>
        <w:rPr>
          <w:lang w:val="en-GB"/>
        </w:rPr>
        <w:br w:type="page"/>
      </w:r>
    </w:p>
    <w:p w14:paraId="3492CEF7" w14:textId="77777777" w:rsidR="00264454" w:rsidRDefault="00264454" w:rsidP="00A50CB5">
      <w:pPr>
        <w:pStyle w:val="Heading2"/>
      </w:pPr>
      <w:bookmarkStart w:id="542" w:name="_Ref472513464"/>
      <w:bookmarkStart w:id="543" w:name="_Toc494444612"/>
      <w:r>
        <w:t>Toxicity of Chemicals</w:t>
      </w:r>
      <w:bookmarkEnd w:id="540"/>
      <w:bookmarkEnd w:id="541"/>
      <w:bookmarkEnd w:id="542"/>
      <w:bookmarkEnd w:id="543"/>
      <w:r>
        <w:t xml:space="preserve"> </w:t>
      </w:r>
    </w:p>
    <w:p w14:paraId="683CF252" w14:textId="1F60A0AF" w:rsidR="006519D5" w:rsidRPr="006519D5" w:rsidRDefault="006519D5" w:rsidP="006519D5">
      <w:pPr>
        <w:pStyle w:val="Body"/>
      </w:pPr>
      <w:r>
        <w:t xml:space="preserve">In the subsequent sections ecotoxicity and human health hazards for selected chemicals are discussed based on national and international literature. For each chemical the predicted no effect concentrations (PNEC) for the protection of aquatic freshwater biota and drinking water guideline concentrations for Australia will be summarised (where available). The PNEC values will </w:t>
      </w:r>
      <w:r w:rsidR="00A003B6">
        <w:t xml:space="preserve">be </w:t>
      </w:r>
      <w:r>
        <w:t xml:space="preserve">used in Section </w:t>
      </w:r>
      <w:r>
        <w:fldChar w:fldCharType="begin" w:fldLock="1"/>
      </w:r>
      <w:r>
        <w:instrText xml:space="preserve"> REF _Ref472440224 \r \h </w:instrText>
      </w:r>
      <w:r>
        <w:fldChar w:fldCharType="separate"/>
      </w:r>
      <w:r w:rsidR="00335E79">
        <w:t>5.6</w:t>
      </w:r>
      <w:r>
        <w:fldChar w:fldCharType="end"/>
      </w:r>
      <w:r>
        <w:t xml:space="preserve"> to derive minimum separation distances between a chemical source and a potential receptor.</w:t>
      </w:r>
    </w:p>
    <w:p w14:paraId="7F1AAA6D" w14:textId="77777777" w:rsidR="00264454" w:rsidRDefault="00264454" w:rsidP="00A50CB5">
      <w:pPr>
        <w:pStyle w:val="Heading3"/>
      </w:pPr>
      <w:bookmarkStart w:id="544" w:name="_Toc454455608"/>
      <w:bookmarkStart w:id="545" w:name="_Toc494444613"/>
      <w:r>
        <w:t>2-methylphenol (o-cresol)</w:t>
      </w:r>
      <w:bookmarkEnd w:id="544"/>
      <w:bookmarkEnd w:id="545"/>
    </w:p>
    <w:p w14:paraId="3D09097D" w14:textId="09685E3B" w:rsidR="00264454" w:rsidRPr="00027987" w:rsidRDefault="00264454" w:rsidP="00A50CB5">
      <w:pPr>
        <w:pStyle w:val="Body"/>
      </w:pPr>
      <w:r>
        <w:t xml:space="preserve">Three isomers of </w:t>
      </w:r>
      <w:r w:rsidR="00E220E4">
        <w:t xml:space="preserve">the geogenic chemical </w:t>
      </w:r>
      <w:r>
        <w:t>cresol exist, 2-methylphenol (</w:t>
      </w:r>
      <w:r w:rsidRPr="000A531A">
        <w:rPr>
          <w:i/>
        </w:rPr>
        <w:t>o</w:t>
      </w:r>
      <w:r>
        <w:t>-cresol), 3-methylphenol (</w:t>
      </w:r>
      <w:r w:rsidRPr="000A531A">
        <w:rPr>
          <w:i/>
        </w:rPr>
        <w:t>m</w:t>
      </w:r>
      <w:r>
        <w:t>-cresol), and 4-methylphenol (</w:t>
      </w:r>
      <w:r w:rsidRPr="000A531A">
        <w:rPr>
          <w:i/>
        </w:rPr>
        <w:t>p</w:t>
      </w:r>
      <w:r>
        <w:t xml:space="preserve">-cresol). Due to their similar properties, the environmental and human health hazards for cresols compounds are occasional reported collectively.    </w:t>
      </w:r>
    </w:p>
    <w:p w14:paraId="1EBDDDD9"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46" w:name="_Toc494444614"/>
      <w:r>
        <w:t>Environmental Hazards</w:t>
      </w:r>
      <w:bookmarkEnd w:id="546"/>
    </w:p>
    <w:p w14:paraId="74F494B6" w14:textId="4CF163F3" w:rsidR="00264454" w:rsidRDefault="00264454" w:rsidP="00A50CB5">
      <w:pPr>
        <w:pStyle w:val="Body"/>
      </w:pPr>
      <w:r w:rsidRPr="00977260">
        <w:t>The US</w:t>
      </w:r>
      <w:r w:rsidR="00ED6F20" w:rsidRPr="00977260">
        <w:t xml:space="preserve"> </w:t>
      </w:r>
      <w:r w:rsidRPr="00977260">
        <w:t xml:space="preserve">EPA ECOTOX Database reports aquatic ecotoxicity of </w:t>
      </w:r>
      <w:r w:rsidRPr="00977260">
        <w:rPr>
          <w:i/>
        </w:rPr>
        <w:t>o</w:t>
      </w:r>
      <w:r w:rsidRPr="00977260">
        <w:t>-cresol for fish (LC50 5.6-66 mg/L), insects (LC50 46-80 mg/L), midge (LC50 34 mg/L), hydra and cilates (LC/EC50 31-213 mg/L) molluscs (snail LC50 160 mg/L) and worms (24-165 mg/L) (US</w:t>
      </w:r>
      <w:r w:rsidR="00ED6F20" w:rsidRPr="00977260">
        <w:t xml:space="preserve"> </w:t>
      </w:r>
      <w:r w:rsidRPr="00977260">
        <w:t>EPA 2016</w:t>
      </w:r>
      <w:r w:rsidR="00675C73">
        <w:t>c</w:t>
      </w:r>
      <w:r w:rsidRPr="00977260">
        <w:t xml:space="preserve">).  </w:t>
      </w:r>
      <w:r w:rsidR="00977260">
        <w:t>A c</w:t>
      </w:r>
      <w:r w:rsidR="006519D5">
        <w:t xml:space="preserve">hronic NOEC of 1 mg/L for </w:t>
      </w:r>
      <w:r w:rsidR="006519D5" w:rsidRPr="00A003B6">
        <w:rPr>
          <w:i/>
        </w:rPr>
        <w:t>Daphnia magna</w:t>
      </w:r>
      <w:r w:rsidR="006519D5">
        <w:t xml:space="preserve"> was reported by </w:t>
      </w:r>
      <w:r w:rsidR="00977260">
        <w:t xml:space="preserve">Kühn et al. </w:t>
      </w:r>
      <w:r w:rsidR="006519D5">
        <w:t>(</w:t>
      </w:r>
      <w:r w:rsidR="00977260">
        <w:t>1989</w:t>
      </w:r>
      <w:r w:rsidR="006519D5">
        <w:t>)</w:t>
      </w:r>
      <w:r w:rsidR="00977260">
        <w:t xml:space="preserve"> </w:t>
      </w:r>
      <w:r w:rsidR="00A003B6" w:rsidRPr="00A003B6">
        <w:t xml:space="preserve">and a chronic EC10 of 2.3-4.6 mg/L for the microalga </w:t>
      </w:r>
      <w:r w:rsidR="00A003B6" w:rsidRPr="00A003B6">
        <w:rPr>
          <w:i/>
        </w:rPr>
        <w:t>Scenedesmus subspicatus</w:t>
      </w:r>
      <w:r w:rsidR="00A003B6" w:rsidRPr="00A003B6">
        <w:t xml:space="preserve"> (K</w:t>
      </w:r>
      <w:r w:rsidR="00A003B6">
        <w:t>ühn and Pattard</w:t>
      </w:r>
      <w:r w:rsidR="00A003B6" w:rsidRPr="00A003B6">
        <w:t xml:space="preserve"> 1990)</w:t>
      </w:r>
      <w:r w:rsidR="00A003B6">
        <w:rPr>
          <w:rFonts w:ascii="Segoe UI" w:hAnsi="Segoe UI" w:cs="Segoe UI"/>
          <w:lang w:val="en-AU"/>
        </w:rPr>
        <w:t xml:space="preserve"> </w:t>
      </w:r>
      <w:r w:rsidR="00977260">
        <w:t>for p-cresol (the isomer of o-cresol)</w:t>
      </w:r>
      <w:r w:rsidR="006519D5">
        <w:t>.</w:t>
      </w:r>
    </w:p>
    <w:p w14:paraId="65FA03E0" w14:textId="1F04C655" w:rsidR="00264454" w:rsidRPr="00027987" w:rsidRDefault="00264454" w:rsidP="00A50CB5">
      <w:pPr>
        <w:pStyle w:val="Body"/>
      </w:pPr>
      <w:r>
        <w:t>The fate, transport and degradation of cresols in aquatic and terrestrial environments is summarised in AT</w:t>
      </w:r>
      <w:r w:rsidR="00BC1A61">
        <w:t>S</w:t>
      </w:r>
      <w:r>
        <w:t>DR (2008). The biodegradation of cresols occurs under aerobic conditions</w:t>
      </w:r>
      <w:r w:rsidR="00E220E4">
        <w:t>;</w:t>
      </w:r>
      <w:r>
        <w:t xml:space="preserve"> </w:t>
      </w:r>
      <w:r w:rsidR="00E220E4">
        <w:t xml:space="preserve">even </w:t>
      </w:r>
      <w:r>
        <w:t>under anaerobic conditions biodegradation should still be an important removal mechanism. The bioaccumulation and bioconcentration of cresols is expected to be small, or insignificant (A</w:t>
      </w:r>
      <w:r w:rsidR="00F80BEA">
        <w:t>T</w:t>
      </w:r>
      <w:r w:rsidR="00BC1A61">
        <w:t>S</w:t>
      </w:r>
      <w:r>
        <w:t>DR 2008).</w:t>
      </w:r>
    </w:p>
    <w:p w14:paraId="437388A8"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47" w:name="_Toc494444615"/>
      <w:r>
        <w:t>Human Health Hazards</w:t>
      </w:r>
      <w:bookmarkEnd w:id="547"/>
    </w:p>
    <w:p w14:paraId="424E7E88" w14:textId="57E23854" w:rsidR="00264454" w:rsidRDefault="00264454" w:rsidP="00A50CB5">
      <w:pPr>
        <w:pStyle w:val="Body"/>
      </w:pPr>
      <w:r>
        <w:t>Brief exposures to cresols in air cause nose and throat irritations (AT</w:t>
      </w:r>
      <w:r w:rsidR="00BC1A61">
        <w:t>S</w:t>
      </w:r>
      <w:r>
        <w:t>DR 2008). Ingestion of liquids containing cresols cause serious gastrointestinal damage and even death. Contact of cresols to the skin can cause sever skin damage and can also cause death. Comprehensive detail on the effect of cresols on humans, and animals, is summarised in AT</w:t>
      </w:r>
      <w:r w:rsidR="00BC1A61">
        <w:t>S</w:t>
      </w:r>
      <w:r>
        <w:t xml:space="preserve">DR (2008). </w:t>
      </w:r>
    </w:p>
    <w:p w14:paraId="5858F7A7" w14:textId="77777777" w:rsidR="00264454" w:rsidRPr="00B96F3F" w:rsidRDefault="00264454" w:rsidP="00A50CB5">
      <w:pPr>
        <w:pStyle w:val="Body"/>
      </w:pPr>
      <w:r>
        <w:t xml:space="preserve">There is no drinking water guideline for cresols in Australia. </w:t>
      </w:r>
    </w:p>
    <w:p w14:paraId="6821B01C" w14:textId="77777777" w:rsidR="00264454" w:rsidRDefault="00264454" w:rsidP="00A50CB5">
      <w:pPr>
        <w:pStyle w:val="Heading3"/>
      </w:pPr>
      <w:bookmarkStart w:id="548" w:name="_Toc454455609"/>
      <w:bookmarkStart w:id="549" w:name="_Toc494444616"/>
      <w:r>
        <w:t>Naphthalene</w:t>
      </w:r>
      <w:bookmarkEnd w:id="548"/>
      <w:bookmarkEnd w:id="549"/>
    </w:p>
    <w:p w14:paraId="6F6E1855"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50" w:name="_Toc494444617"/>
      <w:r>
        <w:t>Environmental Hazards</w:t>
      </w:r>
      <w:bookmarkEnd w:id="550"/>
    </w:p>
    <w:p w14:paraId="6DA85FE0" w14:textId="23852304" w:rsidR="00264454" w:rsidRDefault="00264454" w:rsidP="00A50CB5">
      <w:pPr>
        <w:pStyle w:val="Body"/>
      </w:pPr>
      <w:r>
        <w:t xml:space="preserve">The Australian Water Quality Guideline for </w:t>
      </w:r>
      <w:r w:rsidR="00E220E4">
        <w:t xml:space="preserve">the geogenic chemical </w:t>
      </w:r>
      <w:r>
        <w:t xml:space="preserve">naphthalene in freshwater is 16 µg/L and, 70 µg/L in marine water (ANZECC/ARMCANZ 2000). Freshwater acute toxicity data includes four fish species (LC50 120-7,900 µg/L), four crustaceans (LC50 2,160-57,520 µg/L), three insects (LC50 27-20,700 µg/L), and a mollusc (LC50 5,000 µg/L). Chronic toxicity data includes two fish (NOEC 450-2,300 µg/L) and a microalga (EC50 5,000 µg/L). Marine acute toxicity data includes four fish (LC50 750-5,300 µg/L), six crustaceans (LC50 850-5,700 µg/L), a mollusc (LC50 57,000 µg/L) and annelids (LC50 3,800 µg/L). Chronic marine toxicity data </w:t>
      </w:r>
      <w:r w:rsidR="00D843C0">
        <w:t xml:space="preserve">are </w:t>
      </w:r>
      <w:r>
        <w:t xml:space="preserve">available for two fish (NOEC 120-560 µg/L) and a crustacean (NOEC 21 µg/L) (ANZECC/ARMCANZ 2000). CCME (1999a) also summarise ecotoxicity data for freshwater and marine organisms and report a Canadian interim water quality guideline for naphthalene in freshwater of 1.1 µg/L, and 1.4 µg/L in marine water.   </w:t>
      </w:r>
    </w:p>
    <w:p w14:paraId="6F72FCE6" w14:textId="291AD4D8" w:rsidR="00264454" w:rsidRDefault="00264454" w:rsidP="00A50CB5">
      <w:pPr>
        <w:pStyle w:val="Body"/>
      </w:pPr>
      <w:r>
        <w:t>Sediment quality guidelines are also reported in Australia with interim guideline values of 160 mg/kg (low) and 2,100 mg/kg (high) (ANZECC/ARMCANZ 2000). Canada also report sediment quality guidelines (34.6 and 391 mg/kg fo</w:t>
      </w:r>
      <w:r w:rsidR="00A003B6">
        <w:t>r interim guideline and probable</w:t>
      </w:r>
      <w:r>
        <w:t xml:space="preserve"> effect levels respectively) (CCME 1999b).  </w:t>
      </w:r>
    </w:p>
    <w:p w14:paraId="295CEC62" w14:textId="3348E247" w:rsidR="00264454" w:rsidRDefault="00264454" w:rsidP="00A50CB5">
      <w:pPr>
        <w:pStyle w:val="Body"/>
      </w:pPr>
      <w:r>
        <w:t>The fate and behaviour of PAHs in aquatic systems is influenced by a number of physical, chemical and biological processes including; photo</w:t>
      </w:r>
      <w:r w:rsidR="00E220E4">
        <w:t>-</w:t>
      </w:r>
      <w:r>
        <w:t>oxidation, hydrolysis, biotransformation, biodegradation and mineralisation</w:t>
      </w:r>
      <w:r w:rsidR="00E220E4">
        <w:t>.</w:t>
      </w:r>
      <w:r>
        <w:t xml:space="preserve"> </w:t>
      </w:r>
      <w:r w:rsidR="00E220E4">
        <w:t xml:space="preserve">Such processes </w:t>
      </w:r>
      <w:r>
        <w:t>result in the transformation of PAHs into other substances; adsorption, desorption, solubilisation, volatilisation, resuspension, bioaccumulation and bioconcentration cycle these substances throughout the aquatic environment. These process are described in more detail</w:t>
      </w:r>
      <w:r w:rsidRPr="002B7ABD">
        <w:t xml:space="preserve"> </w:t>
      </w:r>
      <w:r>
        <w:t xml:space="preserve">in CCME (1999b). </w:t>
      </w:r>
    </w:p>
    <w:p w14:paraId="6CE52392" w14:textId="543D33EE" w:rsidR="00264454" w:rsidRDefault="00264454" w:rsidP="00A50CB5">
      <w:pPr>
        <w:pStyle w:val="Body"/>
      </w:pPr>
      <w:r>
        <w:t>Most PAHs are poorly soluble and a</w:t>
      </w:r>
      <w:r w:rsidR="000742E4">
        <w:t>d</w:t>
      </w:r>
      <w:r>
        <w:t>sorb strongly to sediment, suspended matter and organic matter (ANZECC/ARMCANZ, 2000). Naphthalene is the most soluble PAH with an octanol-water partition coefficient</w:t>
      </w:r>
      <w:r w:rsidR="00A003B6">
        <w:t xml:space="preserve"> (</w:t>
      </w:r>
      <w:r>
        <w:t>K</w:t>
      </w:r>
      <w:r w:rsidRPr="002B7ABD">
        <w:rPr>
          <w:vertAlign w:val="subscript"/>
        </w:rPr>
        <w:t>ow</w:t>
      </w:r>
      <w:r w:rsidR="00A003B6">
        <w:t xml:space="preserve">) </w:t>
      </w:r>
      <w:r>
        <w:t>of 3.4</w:t>
      </w:r>
      <w:r w:rsidR="009021FF">
        <w:t xml:space="preserve"> (</w:t>
      </w:r>
      <w:r>
        <w:t xml:space="preserve">ANZECC/ARMCANZ, 2000) and has the highest vapour pressure suggesting that volatilisation from the aquatic environment is probably an important removal mechanism.  </w:t>
      </w:r>
    </w:p>
    <w:p w14:paraId="2D928C2E" w14:textId="455EE3E9"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51" w:name="_Toc494444618"/>
      <w:r>
        <w:t xml:space="preserve">Human </w:t>
      </w:r>
      <w:r w:rsidR="00D843C0">
        <w:t>health hazards</w:t>
      </w:r>
      <w:bookmarkEnd w:id="551"/>
    </w:p>
    <w:p w14:paraId="6A18892A" w14:textId="7D66D69E" w:rsidR="00264454" w:rsidRDefault="00264454" w:rsidP="00A50CB5">
      <w:pPr>
        <w:pStyle w:val="Body"/>
      </w:pPr>
      <w:r>
        <w:t xml:space="preserve">Naphthalene enters the body by breathing air, drinking water and direct contact with skin. Once in the </w:t>
      </w:r>
      <w:r w:rsidR="000742E4">
        <w:t>body, naphthalene will dissolve</w:t>
      </w:r>
      <w:r>
        <w:t xml:space="preserve"> in blood. Exposure to large amounts of naphthalene causes haemolytic anaemia and may also cause nausea, vomiting, diarrhoea blood in urine and a yellowing of the skin. Most naphthalene leaves the body quickly. There is no direct evidence that naphthalene causes cancer; however, it is considered to be either reasonably anticipated, or, a possible carcinogenic depending on the governing body (ATSDR 2005). </w:t>
      </w:r>
    </w:p>
    <w:p w14:paraId="4A5302E6" w14:textId="6D447710" w:rsidR="00264454" w:rsidRPr="000F1953" w:rsidRDefault="00264454" w:rsidP="00A50CB5">
      <w:pPr>
        <w:pStyle w:val="Body"/>
      </w:pPr>
      <w:r>
        <w:t>There is no drinking water guideline in Australia for naphthalene. ATSDR (2005) report that the US</w:t>
      </w:r>
      <w:r w:rsidR="006374E2">
        <w:t xml:space="preserve"> </w:t>
      </w:r>
      <w:r>
        <w:t xml:space="preserve">EPA recommended drinking water contains no more than 100 µg/L. Naphthalene does not accumulate in food (flesh of animals and fish); however, it may transfer to milk and eggs from cows and hens (respectively) that have been exposed to naphthalene. Occupational exposure should be no more than 500 ppm in air. Above this level naphthalene is immediately dangerous to human health (ATSDR 2005).   </w:t>
      </w:r>
    </w:p>
    <w:p w14:paraId="6DA307F2" w14:textId="07B3E40B" w:rsidR="00264454" w:rsidRDefault="00264454" w:rsidP="00A50CB5">
      <w:pPr>
        <w:pStyle w:val="Heading3"/>
      </w:pPr>
      <w:bookmarkStart w:id="552" w:name="_Toc454455610"/>
      <w:bookmarkStart w:id="553" w:name="_Toc494444619"/>
      <w:r>
        <w:t>Limonene (</w:t>
      </w:r>
      <w:r w:rsidRPr="005A4836">
        <w:t>1-</w:t>
      </w:r>
      <w:r w:rsidR="00D843C0">
        <w:t>m</w:t>
      </w:r>
      <w:r w:rsidR="00D843C0" w:rsidRPr="005A4836">
        <w:t>ethyl</w:t>
      </w:r>
      <w:r w:rsidRPr="005A4836">
        <w:t>-4-(1-methylethenyl)-cyclohexene</w:t>
      </w:r>
      <w:r>
        <w:t>)</w:t>
      </w:r>
      <w:bookmarkEnd w:id="552"/>
      <w:bookmarkEnd w:id="553"/>
    </w:p>
    <w:p w14:paraId="2274B950" w14:textId="13E44A26"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54" w:name="_Toc494444620"/>
      <w:r>
        <w:t xml:space="preserve">Environmental </w:t>
      </w:r>
      <w:r w:rsidR="00D843C0">
        <w:t>hazards</w:t>
      </w:r>
      <w:bookmarkEnd w:id="554"/>
    </w:p>
    <w:p w14:paraId="72F60934" w14:textId="769890D4" w:rsidR="00264454" w:rsidRDefault="00264454" w:rsidP="00A50CB5">
      <w:pPr>
        <w:pStyle w:val="Body"/>
      </w:pPr>
      <w:r>
        <w:t xml:space="preserve">No water quality guidelines are reported for </w:t>
      </w:r>
      <w:r w:rsidR="000742E4">
        <w:t xml:space="preserve">the hydraulic fracturing chemical </w:t>
      </w:r>
      <w:r>
        <w:t>limonene. Toxicity of limonene to aquatic and terrestrial organisms is summarised in WHO (1998</w:t>
      </w:r>
      <w:r w:rsidR="00F054EA">
        <w:t>b</w:t>
      </w:r>
      <w:r>
        <w:t xml:space="preserve">). Aquatic toxicity includes cladocerans (acute EC50 0.42-39 mg/L and chronic NOEC 0.15 mg/L), fish (EC50 0.7-80 mg/L) and insects (LC50 7.7-30.6 mg/L). Terrestrial organisms include insects, a spider worm and birds (dietary exposure).  </w:t>
      </w:r>
    </w:p>
    <w:p w14:paraId="63CBF33E" w14:textId="71043707" w:rsidR="00264454" w:rsidRPr="003F26CB" w:rsidRDefault="00264454" w:rsidP="00A50CB5">
      <w:pPr>
        <w:pStyle w:val="Body"/>
      </w:pPr>
      <w:r>
        <w:t>Based on the physical and chemical properties of limonene, in the aquatic environment limonene is expected to absorb to sediment and suspended matter and to rapidly volatilize to the atmosphere. In groundwater, limonene is expected to have low mobility (WHO 1998). Further details on the environmental transport, distribution and transportation of limonene in the environment can be found in WHO (1998</w:t>
      </w:r>
      <w:r w:rsidR="00F054EA">
        <w:t>b</w:t>
      </w:r>
      <w:r>
        <w:t xml:space="preserve">).    </w:t>
      </w:r>
    </w:p>
    <w:p w14:paraId="223F8C55"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55" w:name="_Toc494444621"/>
      <w:r>
        <w:t>Human Health Hazards</w:t>
      </w:r>
      <w:bookmarkEnd w:id="555"/>
    </w:p>
    <w:p w14:paraId="7AF7678D" w14:textId="65694DFA" w:rsidR="00264454" w:rsidRPr="00361ECF" w:rsidRDefault="00264454" w:rsidP="00A50CB5">
      <w:pPr>
        <w:pStyle w:val="Body"/>
      </w:pPr>
      <w:r>
        <w:t>Limonene is essential</w:t>
      </w:r>
      <w:r w:rsidR="000742E4">
        <w:t>ly</w:t>
      </w:r>
      <w:r>
        <w:t xml:space="preserve"> non-toxic. Upon contact, l</w:t>
      </w:r>
      <w:r w:rsidRPr="00361ECF">
        <w:t>imonene can react to form small amounts of oxidation products</w:t>
      </w:r>
      <w:r>
        <w:t xml:space="preserve"> that </w:t>
      </w:r>
      <w:r w:rsidRPr="00361ECF">
        <w:t>can cause skin allergy. Contact with limonene or limonene products can cause eye and skin irritation</w:t>
      </w:r>
      <w:r>
        <w:t xml:space="preserve"> (WHO 1998)</w:t>
      </w:r>
      <w:r w:rsidRPr="00361ECF">
        <w:t>.</w:t>
      </w:r>
      <w:r>
        <w:t xml:space="preserve">  </w:t>
      </w:r>
    </w:p>
    <w:p w14:paraId="004C81CA" w14:textId="77777777" w:rsidR="00264454" w:rsidRDefault="00264454" w:rsidP="00A50CB5">
      <w:pPr>
        <w:pStyle w:val="Heading3"/>
      </w:pPr>
      <w:bookmarkStart w:id="556" w:name="_Toc454455611"/>
      <w:bookmarkStart w:id="557" w:name="_Toc494444622"/>
      <w:r>
        <w:t>HMX (</w:t>
      </w:r>
      <w:r w:rsidRPr="005A4836">
        <w:t>Octahydro-1</w:t>
      </w:r>
      <w:proofErr w:type="gramStart"/>
      <w:r w:rsidRPr="005A4836">
        <w:t>,3,5,7</w:t>
      </w:r>
      <w:proofErr w:type="gramEnd"/>
      <w:r w:rsidRPr="005A4836">
        <w:t>-tetranitro-1,3,5,7-tetrazocine</w:t>
      </w:r>
      <w:r>
        <w:t>)</w:t>
      </w:r>
      <w:bookmarkEnd w:id="556"/>
      <w:bookmarkEnd w:id="557"/>
    </w:p>
    <w:p w14:paraId="121BD5B6"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58" w:name="_Toc494444623"/>
      <w:r>
        <w:t>Environmental Hazards</w:t>
      </w:r>
      <w:bookmarkEnd w:id="558"/>
    </w:p>
    <w:p w14:paraId="50E26ADA" w14:textId="25FBEE4A" w:rsidR="00264454" w:rsidRPr="000A531A" w:rsidRDefault="00264454" w:rsidP="00A50CB5">
      <w:pPr>
        <w:pStyle w:val="Body"/>
      </w:pPr>
      <w:r w:rsidRPr="000A531A">
        <w:t>Aquatic ecotoxicity date for HMX is reported in the US</w:t>
      </w:r>
      <w:r w:rsidR="00F054EA">
        <w:t xml:space="preserve"> </w:t>
      </w:r>
      <w:r w:rsidRPr="000A531A">
        <w:t>EPA ECOTOX Database</w:t>
      </w:r>
      <w:r w:rsidR="00F054EA">
        <w:t xml:space="preserve"> (US EPA 2016</w:t>
      </w:r>
      <w:r w:rsidR="00675C73">
        <w:t>c</w:t>
      </w:r>
      <w:r w:rsidR="00F054EA">
        <w:t>)</w:t>
      </w:r>
      <w:r w:rsidRPr="000A531A">
        <w:t>. Toxicity data include freshwater fish (LC50 15 to &gt;30 mg/L) and midge (EC50 &gt;32 mg/L) with toxicity data also</w:t>
      </w:r>
      <w:r w:rsidR="000742E4">
        <w:t xml:space="preserve"> </w:t>
      </w:r>
      <w:r w:rsidR="00A003B6">
        <w:t xml:space="preserve">reported </w:t>
      </w:r>
      <w:r w:rsidRPr="000A531A">
        <w:t>for a range of endpoints for cladocerans, microalgae and bluegreen algae (US</w:t>
      </w:r>
      <w:r w:rsidR="00F054EA">
        <w:t xml:space="preserve"> </w:t>
      </w:r>
      <w:r w:rsidRPr="000A531A">
        <w:t>EPA 2016</w:t>
      </w:r>
      <w:r w:rsidR="00675C73">
        <w:t>c</w:t>
      </w:r>
      <w:r w:rsidRPr="000A531A">
        <w:t xml:space="preserve">). </w:t>
      </w:r>
    </w:p>
    <w:p w14:paraId="192A1D32" w14:textId="1C97D83E" w:rsidR="00264454" w:rsidRPr="00783F10" w:rsidRDefault="00264454" w:rsidP="00A50CB5">
      <w:pPr>
        <w:pStyle w:val="Body"/>
      </w:pPr>
      <w:r w:rsidRPr="000A531A">
        <w:t>HMX is relatively stable in the aquatic environment. Neither hydrolysis nor oxidation of HMX in water are expected to be important removal processes. Direct photolysis is probably the primary transformation</w:t>
      </w:r>
      <w:r>
        <w:t xml:space="preserve"> pathway for HMX in aquatic systems.</w:t>
      </w:r>
      <w:r w:rsidRPr="00783F10">
        <w:t xml:space="preserve"> </w:t>
      </w:r>
      <w:r>
        <w:t xml:space="preserve">No data were located regarding HMX transformation in soil or sediment. Based on data for RDX (similar compound to HMX) and HMX transformations in water, microbial degradation does not proceed rapidly and the chemical may be persistent in soil and sediments. </w:t>
      </w:r>
      <w:r w:rsidRPr="00783F10">
        <w:t>No data regarding the bioconcentration potential of HMX were located</w:t>
      </w:r>
      <w:r>
        <w:t xml:space="preserve"> (AT</w:t>
      </w:r>
      <w:r w:rsidR="00BC1A61">
        <w:t>S</w:t>
      </w:r>
      <w:r>
        <w:t>DR 1997); however there are some studies on the bioconcentration of HMX in molluscs and fish reported in US</w:t>
      </w:r>
      <w:r w:rsidR="006374E2">
        <w:t xml:space="preserve"> </w:t>
      </w:r>
      <w:r>
        <w:t>EPA (2016</w:t>
      </w:r>
      <w:r w:rsidR="00675C73">
        <w:t>c</w:t>
      </w:r>
      <w:r>
        <w:t>)</w:t>
      </w:r>
      <w:r w:rsidRPr="00783F10">
        <w:t>. Bioaccumulation of HMX is not expected to be significant, based on bioconcentration and elimination studies on RDX, an HMX analog, in several species</w:t>
      </w:r>
      <w:r>
        <w:t>.</w:t>
      </w:r>
    </w:p>
    <w:p w14:paraId="7FAED7B5"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59" w:name="_Toc494444624"/>
      <w:r w:rsidRPr="004E78E4">
        <w:t>Human Health Hazards</w:t>
      </w:r>
      <w:bookmarkEnd w:id="559"/>
    </w:p>
    <w:p w14:paraId="71964512" w14:textId="084F8151" w:rsidR="00264454" w:rsidRPr="004E78E4" w:rsidRDefault="00264454" w:rsidP="00A50CB5">
      <w:pPr>
        <w:pStyle w:val="Body"/>
      </w:pPr>
      <w:r w:rsidRPr="004E78E4">
        <w:t>Information on the adverse health effects of HMX is limited</w:t>
      </w:r>
      <w:r>
        <w:t xml:space="preserve"> (AT</w:t>
      </w:r>
      <w:r w:rsidR="00BC1A61">
        <w:t>S</w:t>
      </w:r>
      <w:r>
        <w:t>DR</w:t>
      </w:r>
      <w:r w:rsidR="000742E4">
        <w:t xml:space="preserve"> </w:t>
      </w:r>
      <w:r>
        <w:t>1997)</w:t>
      </w:r>
      <w:r w:rsidRPr="004E78E4">
        <w:t xml:space="preserve">. In one human study, no adverse effects were reported in workers exposed to HMX in air. </w:t>
      </w:r>
      <w:r>
        <w:t xml:space="preserve">Animal studies, indicated that exposure to </w:t>
      </w:r>
      <w:r w:rsidRPr="004E78E4">
        <w:t xml:space="preserve">HMX may be harmful to </w:t>
      </w:r>
      <w:r>
        <w:t>the</w:t>
      </w:r>
      <w:r w:rsidRPr="004E78E4">
        <w:t xml:space="preserve"> liver and central nervous system if it is </w:t>
      </w:r>
      <w:r>
        <w:t xml:space="preserve">ingested or through dermal contact. </w:t>
      </w:r>
      <w:r w:rsidRPr="004E78E4">
        <w:t xml:space="preserve">The reproductive and developmental effects of HMX have not been well studied in humans or animals. At present, the information needed to determine if HMX causes cancer is insufficient. Due to the lack of information, </w:t>
      </w:r>
      <w:r>
        <w:t>the US</w:t>
      </w:r>
      <w:r w:rsidR="006374E2">
        <w:t xml:space="preserve"> </w:t>
      </w:r>
      <w:r w:rsidRPr="004E78E4">
        <w:t>EPA has determined that HMX is not classifiable as to its human carcinogenicity</w:t>
      </w:r>
      <w:r>
        <w:t xml:space="preserve"> (ATSDR 1997)</w:t>
      </w:r>
      <w:r w:rsidRPr="004E78E4">
        <w:t>.</w:t>
      </w:r>
    </w:p>
    <w:p w14:paraId="2CE4A95E" w14:textId="77777777" w:rsidR="00264454" w:rsidRDefault="00264454" w:rsidP="00A50CB5">
      <w:pPr>
        <w:pStyle w:val="Heading3"/>
      </w:pPr>
      <w:bookmarkStart w:id="560" w:name="_Toc454455612"/>
      <w:bookmarkStart w:id="561" w:name="_Toc494444625"/>
      <w:r>
        <w:t>2-butoxyethanol</w:t>
      </w:r>
      <w:bookmarkEnd w:id="560"/>
      <w:bookmarkEnd w:id="561"/>
    </w:p>
    <w:p w14:paraId="5B424F4B"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62" w:name="_Toc494444626"/>
      <w:r>
        <w:t>Environmental Hazards</w:t>
      </w:r>
      <w:bookmarkEnd w:id="562"/>
    </w:p>
    <w:p w14:paraId="4484ECE0" w14:textId="0F793C7B" w:rsidR="00632466" w:rsidRDefault="00632466" w:rsidP="00632466">
      <w:pPr>
        <w:pStyle w:val="Body"/>
      </w:pPr>
      <w:r>
        <w:t xml:space="preserve">Effects </w:t>
      </w:r>
      <w:r w:rsidR="000742E4">
        <w:t xml:space="preserve">of the hydraulic fracturing chemical 2-butoxyethanol </w:t>
      </w:r>
      <w:r>
        <w:t>on aquatic biota have been reported for both freshwater and marine/estuarine biota. Despite its high solubility in water, in general the toxicity of 2-butoxyethanol to aquatic biota is low. WHO (1998</w:t>
      </w:r>
      <w:r w:rsidR="000030DD">
        <w:t>c</w:t>
      </w:r>
      <w:r>
        <w:t>) summaries toxicity to freshwater bacteria and protozoan (LOEC = 91 and 700 mg/L to EC50 = &gt;1</w:t>
      </w:r>
      <w:r w:rsidR="000742E4">
        <w:t>,</w:t>
      </w:r>
      <w:r>
        <w:t>000 mg/L), microalgae (LOEC = 35 and 900 mg/L to EC50 = &gt;1</w:t>
      </w:r>
      <w:r w:rsidR="000742E4">
        <w:t>,</w:t>
      </w:r>
      <w:r>
        <w:t>000 mg/L), cladocerans (LC50 = 835 to 5000 mg/L) and fish (LC50 = 165 to &gt;1</w:t>
      </w:r>
      <w:r w:rsidR="000742E4">
        <w:t>,</w:t>
      </w:r>
      <w:r>
        <w:t>000 mg/L). Toxicity to marine and estuarine aquatic biota includes oysters (LC50 = 89 mg/L), shrimp (5.4 to 1</w:t>
      </w:r>
      <w:r w:rsidR="000742E4">
        <w:t>,</w:t>
      </w:r>
      <w:r>
        <w:t>000 mg/L) and fish (116 and 1</w:t>
      </w:r>
      <w:r w:rsidR="000742E4">
        <w:t>,</w:t>
      </w:r>
      <w:r>
        <w:t>250 mg/L). The US</w:t>
      </w:r>
      <w:r w:rsidR="00E90157">
        <w:t xml:space="preserve"> </w:t>
      </w:r>
      <w:r>
        <w:t>EPA (2016</w:t>
      </w:r>
      <w:r w:rsidR="00675C73">
        <w:t>c</w:t>
      </w:r>
      <w:r>
        <w:t>) ECOTOX database also reports toxicity data for a marine amphipod (LC50 = &gt;1</w:t>
      </w:r>
      <w:r w:rsidR="000742E4">
        <w:t>,</w:t>
      </w:r>
      <w:r>
        <w:t xml:space="preserve">000 mg/L). A predicted no-observed effect concentration (PNEC) of 165 </w:t>
      </w:r>
      <w:r w:rsidR="00C07637">
        <w:t>μ</w:t>
      </w:r>
      <w:r>
        <w:t>g/L for aquatic biota h</w:t>
      </w:r>
      <w:r w:rsidR="000030DD">
        <w:t>as also been reported (WHO</w:t>
      </w:r>
      <w:r>
        <w:t xml:space="preserve"> 1998</w:t>
      </w:r>
      <w:r w:rsidR="000030DD">
        <w:t>c</w:t>
      </w:r>
      <w:r>
        <w:t xml:space="preserve">). </w:t>
      </w:r>
    </w:p>
    <w:p w14:paraId="6A7F999B" w14:textId="2AC16C92" w:rsidR="003211D9" w:rsidRPr="00632466" w:rsidRDefault="00632466" w:rsidP="00632466">
      <w:pPr>
        <w:pStyle w:val="Body"/>
      </w:pPr>
      <w:r>
        <w:t>2-butoxyethanol is readily biodegradable in water and not expected to bioa</w:t>
      </w:r>
      <w:r w:rsidR="000030DD">
        <w:t>ccumulate in aquatic biota (WHO</w:t>
      </w:r>
      <w:r>
        <w:t xml:space="preserve"> 1998</w:t>
      </w:r>
      <w:r w:rsidR="000030DD">
        <w:t>c</w:t>
      </w:r>
      <w:r>
        <w:t>).</w:t>
      </w:r>
    </w:p>
    <w:p w14:paraId="19E8C96A"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63" w:name="_Toc494444627"/>
      <w:r>
        <w:t>Human Health Hazards</w:t>
      </w:r>
      <w:bookmarkEnd w:id="563"/>
    </w:p>
    <w:p w14:paraId="3EB92C7A" w14:textId="5D8829F6" w:rsidR="00632466" w:rsidRDefault="00632466" w:rsidP="00632466">
      <w:pPr>
        <w:pStyle w:val="Body"/>
      </w:pPr>
      <w:r>
        <w:t xml:space="preserve">The principle human health effects attributed to 2-butoxyethanol exposure have involved the central nervous system, the blood, and the kidneys (ATSDR 1998). In the body, 2-butoxyethanol is converted to metabolites such as 2-butoxyacetic acid. Human exposure to vapours of 2-butoxyethanol have been reported to cause irritation of the nose and eyes, headache, a metallic taste, or vomiting. No effects on blood pressure or pulse nor harmful effects following lung and heart tests were also observed. </w:t>
      </w:r>
      <w:r w:rsidR="000742E4">
        <w:t>I</w:t>
      </w:r>
      <w:r>
        <w:t xml:space="preserve">ngestion (mainly via cleaning agents) can result in breathing problems, low blood pressure, lowered levels of haemoglobin, blood in urine and metabolic acidosis. No data identifies 2-butoxyethanol as a cause of reproductive effects, birth defects or cancer in people (ATSDR 1998). </w:t>
      </w:r>
    </w:p>
    <w:p w14:paraId="19E15FCA" w14:textId="39880B7F" w:rsidR="003211D9" w:rsidRPr="003211D9" w:rsidRDefault="00632466" w:rsidP="00632466">
      <w:pPr>
        <w:pStyle w:val="Body"/>
      </w:pPr>
      <w:r>
        <w:t xml:space="preserve">A number of occupational exposure limits have been proposed for 2-butoxyethanol. These include permissible exposure limits (PEL) or recommended exposure limits (REL) of 50 mg/L, 25 </w:t>
      </w:r>
      <w:r w:rsidR="000742E4">
        <w:t>mg/L</w:t>
      </w:r>
      <w:r>
        <w:t xml:space="preserve"> and 5 </w:t>
      </w:r>
      <w:r w:rsidR="000742E4">
        <w:t>mg/L</w:t>
      </w:r>
      <w:r>
        <w:t xml:space="preserve"> depending on the regulating or recommending agency (ATSDR 1998).</w:t>
      </w:r>
    </w:p>
    <w:p w14:paraId="1283A0D5" w14:textId="77777777" w:rsidR="00264454" w:rsidRDefault="00264454" w:rsidP="00A50CB5">
      <w:pPr>
        <w:pStyle w:val="Heading3"/>
      </w:pPr>
      <w:bookmarkStart w:id="564" w:name="_Toc454455613"/>
      <w:bookmarkStart w:id="565" w:name="_Toc494444628"/>
      <w:r>
        <w:t>Bronopol (</w:t>
      </w:r>
      <w:r w:rsidRPr="005A4836">
        <w:t>2-bromo-2-nitropropane-1</w:t>
      </w:r>
      <w:proofErr w:type="gramStart"/>
      <w:r w:rsidRPr="005A4836">
        <w:t>,3</w:t>
      </w:r>
      <w:proofErr w:type="gramEnd"/>
      <w:r w:rsidRPr="005A4836">
        <w:t>-diol</w:t>
      </w:r>
      <w:r>
        <w:t>)</w:t>
      </w:r>
      <w:bookmarkEnd w:id="564"/>
      <w:bookmarkEnd w:id="565"/>
    </w:p>
    <w:p w14:paraId="5EBDBD21"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66" w:name="_Toc494444629"/>
      <w:r>
        <w:t>Environmental Hazards</w:t>
      </w:r>
      <w:bookmarkEnd w:id="566"/>
    </w:p>
    <w:p w14:paraId="60D28B51" w14:textId="4EA4485F" w:rsidR="00632466" w:rsidRDefault="00632466" w:rsidP="00632466">
      <w:pPr>
        <w:pStyle w:val="Body"/>
      </w:pPr>
      <w:r>
        <w:t xml:space="preserve">Aquatic toxicity of </w:t>
      </w:r>
      <w:r w:rsidR="000742E4">
        <w:t xml:space="preserve">the hydraulic fracturing chemical </w:t>
      </w:r>
      <w:r>
        <w:t>bronopol has been reported for marine and freshwater biota, and aquatic birds (US</w:t>
      </w:r>
      <w:r w:rsidR="00E90157">
        <w:t xml:space="preserve"> </w:t>
      </w:r>
      <w:r>
        <w:t>EPA 2016</w:t>
      </w:r>
      <w:r w:rsidR="00675C73">
        <w:t>d</w:t>
      </w:r>
      <w:r>
        <w:t>). Microalga</w:t>
      </w:r>
      <w:r w:rsidR="00A003B6">
        <w:t>e</w:t>
      </w:r>
      <w:r>
        <w:t xml:space="preserve"> are the most sensitive to bronopol (EC50 = 0.020 – 0.41 mg/L)</w:t>
      </w:r>
      <w:r w:rsidR="000742E4">
        <w:t>,</w:t>
      </w:r>
      <w:r>
        <w:t xml:space="preserve"> followed by oysters (EC50 = 0.42 and 0.78 mg/L), water fleas (EC50 = 1.6 mg/L), mysids (LC50 = 4.3 and 5.9 mg/L), duckweed (EC50 = 38 mg/L) and fish (LC50 = 7.5 – 59 mg/L). The exposure of two species of aquatic birds to bronopol via water and dietary exposures result in LC50s of 4</w:t>
      </w:r>
      <w:r w:rsidR="000742E4">
        <w:t>,</w:t>
      </w:r>
      <w:r>
        <w:t xml:space="preserve">487 and &gt;10,000 mg/L.   </w:t>
      </w:r>
    </w:p>
    <w:p w14:paraId="5021DD2F" w14:textId="0CE764D6" w:rsidR="003211D9" w:rsidRPr="003211D9" w:rsidRDefault="00632466" w:rsidP="00632466">
      <w:pPr>
        <w:pStyle w:val="Body"/>
      </w:pPr>
      <w:r>
        <w:t>Due to bronopol’s low octonal/water ratio and high solubility in water, bronopol is not expected to bioaccumulate. Under warm and/or high pH conditions rapid hydrolysis occurs resulting in the formation of formaldehyde which should also be considered in environmental hazard assessments (US</w:t>
      </w:r>
      <w:r w:rsidR="00F1489F">
        <w:t xml:space="preserve"> </w:t>
      </w:r>
      <w:r>
        <w:t>EPA 1995).</w:t>
      </w:r>
    </w:p>
    <w:p w14:paraId="300D8C35"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67" w:name="_Toc494444630"/>
      <w:r>
        <w:t>Human Health Hazards</w:t>
      </w:r>
      <w:bookmarkEnd w:id="567"/>
    </w:p>
    <w:p w14:paraId="066E339D" w14:textId="0613BCE6" w:rsidR="003211D9" w:rsidRPr="003211D9" w:rsidRDefault="00632466" w:rsidP="003211D9">
      <w:pPr>
        <w:pStyle w:val="Body"/>
      </w:pPr>
      <w:r w:rsidRPr="00632466">
        <w:t>Human health effects of exposure to bronopol are not widely available with toxicological data on bronopol limited to studies using animals. Based on these studies, estimated occupational short and intermediate-term exposure levels and risks to workers have been calculated along with its classification as a Group E chemical, that is, one for which there is evidence of noncarcinogenicity for humans (US</w:t>
      </w:r>
      <w:r w:rsidR="00F1489F">
        <w:t xml:space="preserve"> </w:t>
      </w:r>
      <w:r w:rsidRPr="00632466">
        <w:t xml:space="preserve">EPA 1995).   </w:t>
      </w:r>
    </w:p>
    <w:p w14:paraId="5803CAE4" w14:textId="77777777" w:rsidR="009707E9" w:rsidRPr="0003651B" w:rsidRDefault="009707E9" w:rsidP="009707E9">
      <w:pPr>
        <w:pStyle w:val="Heading3"/>
      </w:pPr>
      <w:bookmarkStart w:id="568" w:name="_Toc494444631"/>
      <w:r w:rsidRPr="009707E9">
        <w:t>Methyl</w:t>
      </w:r>
      <w:r w:rsidRPr="0003651B">
        <w:t>-chloro-isothiazolinone (MCI)</w:t>
      </w:r>
      <w:bookmarkEnd w:id="568"/>
    </w:p>
    <w:p w14:paraId="13182424" w14:textId="77777777" w:rsidR="009707E9" w:rsidRDefault="009707E9" w:rsidP="00217A03">
      <w:pPr>
        <w:pStyle w:val="Heading3"/>
        <w:keepLines/>
        <w:widowControl/>
        <w:numPr>
          <w:ilvl w:val="3"/>
          <w:numId w:val="52"/>
        </w:numPr>
        <w:tabs>
          <w:tab w:val="left" w:pos="1134"/>
        </w:tabs>
        <w:suppressAutoHyphens w:val="0"/>
        <w:autoSpaceDE/>
        <w:autoSpaceDN/>
        <w:adjustRightInd/>
        <w:spacing w:before="360" w:after="240" w:line="240" w:lineRule="auto"/>
        <w:textAlignment w:val="auto"/>
      </w:pPr>
      <w:bookmarkStart w:id="569" w:name="_Toc494444632"/>
      <w:r>
        <w:t>Environmental Hazards</w:t>
      </w:r>
      <w:bookmarkEnd w:id="569"/>
    </w:p>
    <w:p w14:paraId="202F2EBB" w14:textId="7B3BA7FC" w:rsidR="009707E9" w:rsidRPr="003211D9" w:rsidRDefault="00A003B6" w:rsidP="009707E9">
      <w:pPr>
        <w:pStyle w:val="Body"/>
      </w:pPr>
      <w:r>
        <w:t>Limited information is</w:t>
      </w:r>
      <w:r w:rsidR="00632466" w:rsidRPr="00632466">
        <w:t xml:space="preserve"> available on the toxicity of </w:t>
      </w:r>
      <w:r w:rsidR="000742E4">
        <w:t xml:space="preserve">the hydraulic fracturing chemical </w:t>
      </w:r>
      <w:r w:rsidR="00632466" w:rsidRPr="00632466">
        <w:t xml:space="preserve">MCI to aquatic biota. Toxicity of a mixture of MCI and methyl-isothiazolinone (MI) was determined for two bacterial species and a ciliate protozoa with EC50 values ranging from 0.063 –0.509 mg/L (Carbajo et al. 2015).  </w:t>
      </w:r>
    </w:p>
    <w:p w14:paraId="4D207182" w14:textId="77777777" w:rsidR="009707E9" w:rsidRDefault="009707E9" w:rsidP="009707E9">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70" w:name="_Toc494444633"/>
      <w:r>
        <w:t>Human Health Hazards</w:t>
      </w:r>
      <w:bookmarkEnd w:id="570"/>
    </w:p>
    <w:p w14:paraId="6FCC2E67" w14:textId="4347822F" w:rsidR="009707E9" w:rsidRPr="003211D9" w:rsidRDefault="00632466" w:rsidP="009707E9">
      <w:pPr>
        <w:pStyle w:val="Body"/>
      </w:pPr>
      <w:r w:rsidRPr="00632466">
        <w:t>Effects of exposure of MCI and MI to animals are reported in CTFA (1992). Human dermal exposure to MCI/MI indicates that it is a skin sensitiser but studies at concentrations of 50 ppm and above are not in agreement (CTFA 1992).</w:t>
      </w:r>
    </w:p>
    <w:p w14:paraId="6F7DE123" w14:textId="77777777" w:rsidR="00264454" w:rsidRDefault="00264454" w:rsidP="00A50CB5">
      <w:pPr>
        <w:pStyle w:val="Heading3"/>
      </w:pPr>
      <w:bookmarkStart w:id="571" w:name="_Toc454455615"/>
      <w:bookmarkStart w:id="572" w:name="_Toc494444634"/>
      <w:r>
        <w:t>Acrylamide polymer</w:t>
      </w:r>
      <w:bookmarkEnd w:id="571"/>
      <w:bookmarkEnd w:id="572"/>
    </w:p>
    <w:p w14:paraId="4B32EECE" w14:textId="027D5BE1" w:rsidR="00264454" w:rsidRPr="00C20C33" w:rsidRDefault="004632E2" w:rsidP="00A50CB5">
      <w:pPr>
        <w:pStyle w:val="Body"/>
      </w:pPr>
      <w:r>
        <w:t>The hydraulic fracturing chemical a</w:t>
      </w:r>
      <w:r w:rsidR="00264454">
        <w:t xml:space="preserve">crylamide polymer (or polyacrylamide) is available in anionic, cationic or non-ionic forms and in a variety of molecular weights (chain lengths of the acrylamide monomer). </w:t>
      </w:r>
    </w:p>
    <w:p w14:paraId="7C002EAC"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73" w:name="_Toc494444635"/>
      <w:r>
        <w:t>Environmental Hazards</w:t>
      </w:r>
      <w:bookmarkEnd w:id="573"/>
      <w:r>
        <w:t xml:space="preserve"> </w:t>
      </w:r>
    </w:p>
    <w:p w14:paraId="2E0B7485" w14:textId="3AA859D8" w:rsidR="00264454" w:rsidRDefault="00264454" w:rsidP="00A50CB5">
      <w:pPr>
        <w:pStyle w:val="Body"/>
      </w:pPr>
      <w:r>
        <w:t>Ecotoxicity data for acrylamide polymer do</w:t>
      </w:r>
      <w:r w:rsidR="00A003B6">
        <w:t>es</w:t>
      </w:r>
      <w:r>
        <w:t xml:space="preserve"> not appear to exist. </w:t>
      </w:r>
    </w:p>
    <w:p w14:paraId="0881EBDC"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74" w:name="_Toc494444636"/>
      <w:r>
        <w:t>Human Health Hazards</w:t>
      </w:r>
      <w:bookmarkEnd w:id="574"/>
    </w:p>
    <w:p w14:paraId="7B420CB8" w14:textId="7872FA3C" w:rsidR="00264454" w:rsidRDefault="00264454" w:rsidP="00A50CB5">
      <w:pPr>
        <w:pStyle w:val="Body"/>
      </w:pPr>
      <w:r>
        <w:t xml:space="preserve">Acrylamide polymer is considered to be non-toxic and is used in drinking water treatments </w:t>
      </w:r>
      <w:r w:rsidR="004632E2">
        <w:t>for</w:t>
      </w:r>
      <w:r>
        <w:t xml:space="preserve"> coagulation, flocculation, clarification, filter aid, sludge handling and dewatering. The purity of chemicals used in the treatment of drinking water varies, depending on the manufacturing process. Contaminants may include; acetamide, acetone, acrylamide, acrylic acid, acrylonitrile, copper, hydroquinone, methacrylamide, methyl ether hydroquinone, peroxide, propanamide and sulfate. Unreacted amounts of acrylamide monomer may also be present and this compound is toxic causing peripheral neuropathy and is a probable carcinogen (NRMMC 2011). </w:t>
      </w:r>
    </w:p>
    <w:p w14:paraId="2FEED8B8" w14:textId="6DF6C9DA" w:rsidR="00264454" w:rsidRDefault="00264454" w:rsidP="00A50CB5">
      <w:pPr>
        <w:pStyle w:val="Body"/>
      </w:pPr>
      <w:r>
        <w:t xml:space="preserve">A drinking water guideline for acrylamide polymer does not exist in Australia; however, the Australian Drinking Water Guidelines state that contaminants and by-products of acrylamide polymer are not to exceed guideline values (NRMMC 2011).  </w:t>
      </w:r>
    </w:p>
    <w:p w14:paraId="1EEE544E" w14:textId="77777777" w:rsidR="00264454" w:rsidRDefault="00264454" w:rsidP="00A50CB5">
      <w:pPr>
        <w:pStyle w:val="Heading3"/>
      </w:pPr>
      <w:bookmarkStart w:id="575" w:name="_Toc454455616"/>
      <w:bookmarkStart w:id="576" w:name="_Toc494444637"/>
      <w:r>
        <w:t xml:space="preserve">Boron (Boric </w:t>
      </w:r>
      <w:r w:rsidRPr="004C4F5D">
        <w:t>acid,</w:t>
      </w:r>
      <w:r>
        <w:t xml:space="preserve"> Borax)</w:t>
      </w:r>
      <w:bookmarkEnd w:id="575"/>
      <w:bookmarkEnd w:id="576"/>
    </w:p>
    <w:p w14:paraId="3824E7BD" w14:textId="1E56E4BD" w:rsidR="00264454" w:rsidRPr="004C4F5D" w:rsidRDefault="00264454" w:rsidP="00A50CB5">
      <w:pPr>
        <w:pStyle w:val="Body"/>
      </w:pPr>
      <w:r>
        <w:t>Boric acid (</w:t>
      </w:r>
      <w:proofErr w:type="gramStart"/>
      <w:r>
        <w:t>B(</w:t>
      </w:r>
      <w:proofErr w:type="gramEnd"/>
      <w:r>
        <w:t>OH)</w:t>
      </w:r>
      <w:r w:rsidRPr="005B3239">
        <w:rPr>
          <w:vertAlign w:val="subscript"/>
        </w:rPr>
        <w:t>3</w:t>
      </w:r>
      <w:r>
        <w:t xml:space="preserve">) </w:t>
      </w:r>
      <w:r w:rsidRPr="005B3239">
        <w:t>and</w:t>
      </w:r>
      <w:r>
        <w:t xml:space="preserve"> sodium borates (such as borax, </w:t>
      </w:r>
      <w:r w:rsidRPr="005B3239">
        <w:t>Na</w:t>
      </w:r>
      <w:r w:rsidRPr="005B3239">
        <w:rPr>
          <w:vertAlign w:val="subscript"/>
        </w:rPr>
        <w:t>2</w:t>
      </w:r>
      <w:r w:rsidRPr="005B3239">
        <w:t>B</w:t>
      </w:r>
      <w:r w:rsidRPr="005B3239">
        <w:rPr>
          <w:vertAlign w:val="subscript"/>
        </w:rPr>
        <w:t>4</w:t>
      </w:r>
      <w:r w:rsidRPr="005B3239">
        <w:t>O</w:t>
      </w:r>
      <w:r w:rsidRPr="005B3239">
        <w:rPr>
          <w:vertAlign w:val="subscript"/>
        </w:rPr>
        <w:t>7</w:t>
      </w:r>
      <w:r>
        <w:t>) predominantly exist in dilute aqueous solutions as undissociated boric acid at a pH of &lt;7; metaborate anion (B(OH)</w:t>
      </w:r>
      <w:r w:rsidRPr="002506EF">
        <w:rPr>
          <w:vertAlign w:val="subscript"/>
        </w:rPr>
        <w:t>4</w:t>
      </w:r>
      <w:r w:rsidRPr="002506EF">
        <w:rPr>
          <w:vertAlign w:val="superscript"/>
        </w:rPr>
        <w:t>-</w:t>
      </w:r>
      <w:r>
        <w:t xml:space="preserve">) becomes the main species in solution at a pH &gt;10. Between pH 6 and 11, and at high concentrations, highly water soluble polyborate ions such as </w:t>
      </w:r>
      <w:proofErr w:type="gramStart"/>
      <w:r>
        <w:t>B</w:t>
      </w:r>
      <w:r w:rsidRPr="002506EF">
        <w:rPr>
          <w:vertAlign w:val="subscript"/>
        </w:rPr>
        <w:t>3</w:t>
      </w:r>
      <w:r>
        <w:t>O</w:t>
      </w:r>
      <w:r w:rsidRPr="002506EF">
        <w:rPr>
          <w:vertAlign w:val="subscript"/>
        </w:rPr>
        <w:t>3</w:t>
      </w:r>
      <w:r>
        <w:t>(</w:t>
      </w:r>
      <w:proofErr w:type="gramEnd"/>
      <w:r>
        <w:t>OH)</w:t>
      </w:r>
      <w:r w:rsidRPr="002506EF">
        <w:rPr>
          <w:vertAlign w:val="subscript"/>
        </w:rPr>
        <w:t>4</w:t>
      </w:r>
      <w:r w:rsidRPr="002506EF">
        <w:rPr>
          <w:vertAlign w:val="superscript"/>
        </w:rPr>
        <w:t>-</w:t>
      </w:r>
      <w:r>
        <w:t>, B</w:t>
      </w:r>
      <w:r w:rsidRPr="002506EF">
        <w:rPr>
          <w:vertAlign w:val="subscript"/>
        </w:rPr>
        <w:t>4</w:t>
      </w:r>
      <w:r>
        <w:t>O</w:t>
      </w:r>
      <w:r w:rsidRPr="002506EF">
        <w:rPr>
          <w:vertAlign w:val="subscript"/>
        </w:rPr>
        <w:t>5</w:t>
      </w:r>
      <w:r>
        <w:t>(OH)</w:t>
      </w:r>
      <w:r w:rsidRPr="002506EF">
        <w:rPr>
          <w:vertAlign w:val="subscript"/>
        </w:rPr>
        <w:t>4</w:t>
      </w:r>
      <w:r w:rsidR="004632E2">
        <w:rPr>
          <w:vertAlign w:val="superscript"/>
        </w:rPr>
        <w:t>2-</w:t>
      </w:r>
      <w:r>
        <w:t xml:space="preserve"> and B</w:t>
      </w:r>
      <w:r w:rsidRPr="002506EF">
        <w:rPr>
          <w:vertAlign w:val="subscript"/>
        </w:rPr>
        <w:t>5</w:t>
      </w:r>
      <w:r>
        <w:t>O</w:t>
      </w:r>
      <w:r w:rsidRPr="002506EF">
        <w:rPr>
          <w:vertAlign w:val="subscript"/>
        </w:rPr>
        <w:t>6</w:t>
      </w:r>
      <w:r>
        <w:t>(OH)</w:t>
      </w:r>
      <w:r w:rsidRPr="002506EF">
        <w:rPr>
          <w:vertAlign w:val="subscript"/>
        </w:rPr>
        <w:t>4</w:t>
      </w:r>
      <w:r w:rsidRPr="002506EF">
        <w:rPr>
          <w:vertAlign w:val="superscript"/>
        </w:rPr>
        <w:t>-</w:t>
      </w:r>
      <w:r>
        <w:t xml:space="preserve"> are formed. Hence, in natural waters boron primarily exists as undissociated boric acid and some borate ions. For this reason, the chemical and toxicological properties of boric acid and borates are expected to be similar base</w:t>
      </w:r>
      <w:r w:rsidR="004632E2">
        <w:t>d</w:t>
      </w:r>
      <w:r>
        <w:t xml:space="preserve"> on equivalent boron concentrations when dissolved i</w:t>
      </w:r>
      <w:r w:rsidR="000030DD">
        <w:t>n water and at the same pH (WHO</w:t>
      </w:r>
      <w:r>
        <w:t xml:space="preserve"> 2004b). </w:t>
      </w:r>
    </w:p>
    <w:p w14:paraId="7ADB085C"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77" w:name="_Toc494444638"/>
      <w:r>
        <w:t>Environmental Hazards</w:t>
      </w:r>
      <w:bookmarkEnd w:id="577"/>
    </w:p>
    <w:p w14:paraId="3FDCB54C" w14:textId="41D4DCC6" w:rsidR="00264454" w:rsidRDefault="00264454" w:rsidP="00A50CB5">
      <w:pPr>
        <w:pStyle w:val="Body"/>
      </w:pPr>
      <w:r>
        <w:t>Boron is an essential nutrient for plants and considered to be a non-essential element for animals, although boron has been found to be beneficial to some animals such as fish (Loewengar</w:t>
      </w:r>
      <w:r w:rsidR="004632E2">
        <w:t>t 2001) and frogs (Fort et al.</w:t>
      </w:r>
      <w:r>
        <w:t xml:space="preserve"> 1999).  </w:t>
      </w:r>
    </w:p>
    <w:p w14:paraId="2B196825" w14:textId="1E2B6CBE" w:rsidR="00264454" w:rsidRDefault="00264454" w:rsidP="00A50CB5">
      <w:pPr>
        <w:pStyle w:val="Body"/>
      </w:pPr>
      <w:r>
        <w:t xml:space="preserve">The current Australian </w:t>
      </w:r>
      <w:r w:rsidR="004632E2">
        <w:t xml:space="preserve">water quality guideline </w:t>
      </w:r>
      <w:r>
        <w:t xml:space="preserve">for boron in freshwater is 0.37 mg/L (ANZECC/ARMCANZ 2000); however, some errors were identified in the derivation of this guideline value. </w:t>
      </w:r>
      <w:r w:rsidR="00977260" w:rsidRPr="00977260">
        <w:t xml:space="preserve">Chronic (long-term) toxicity data </w:t>
      </w:r>
      <w:r w:rsidR="00977260">
        <w:t>have been</w:t>
      </w:r>
      <w:r w:rsidR="00977260" w:rsidRPr="00977260">
        <w:t xml:space="preserve"> used to derive a revised Australian very high reliability guideline value for boron toxicity to 20 species from 7 taxonomic groups</w:t>
      </w:r>
      <w:r w:rsidR="00977260">
        <w:t xml:space="preserve">. </w:t>
      </w:r>
      <w:r>
        <w:t>Revised guideline value of 0.</w:t>
      </w:r>
      <w:r w:rsidR="00D843C0">
        <w:t xml:space="preserve">83 </w:t>
      </w:r>
      <w:r>
        <w:t xml:space="preserve">mg/L (inclusive of all aquatic organisms) </w:t>
      </w:r>
      <w:r w:rsidR="001A5EEB">
        <w:t>is</w:t>
      </w:r>
      <w:r>
        <w:t xml:space="preserve"> currently under review by the Department of Agriculture and Water Resources, Australia. Th</w:t>
      </w:r>
      <w:r w:rsidR="001A5EEB">
        <w:t>i</w:t>
      </w:r>
      <w:r>
        <w:t>s value</w:t>
      </w:r>
      <w:r w:rsidR="001A5EEB">
        <w:t xml:space="preserve"> is</w:t>
      </w:r>
      <w:r>
        <w:t xml:space="preserve"> comparable to the </w:t>
      </w:r>
      <w:r>
        <w:rPr>
          <w:rFonts w:cstheme="minorHAnsi"/>
        </w:rPr>
        <w:t xml:space="preserve">Canadian guideline value of 1.5 mg/L (CCME 2009), 1.7 mg/L obtained by Dyer (2001) and 1.7 mg/L obtained by Schoderboeck et al. (2011).  </w:t>
      </w:r>
    </w:p>
    <w:p w14:paraId="08BD0DAA" w14:textId="6763D122" w:rsidR="00264454" w:rsidRPr="005B390E" w:rsidRDefault="00264454" w:rsidP="00A50CB5">
      <w:pPr>
        <w:pStyle w:val="Body"/>
      </w:pPr>
      <w:r>
        <w:t xml:space="preserve">There </w:t>
      </w:r>
      <w:r w:rsidR="00D843C0">
        <w:t xml:space="preserve">are </w:t>
      </w:r>
      <w:r>
        <w:t>limited ecotoxicity dat</w:t>
      </w:r>
      <w:r w:rsidR="00D843C0">
        <w:t>a</w:t>
      </w:r>
      <w:r>
        <w:t xml:space="preserve"> available for marine species (two fish species with acute LC50</w:t>
      </w:r>
      <w:r w:rsidR="00280AF5">
        <w:t xml:space="preserve"> value</w:t>
      </w:r>
      <w:r>
        <w:t xml:space="preserve">s of 12.2 and 88.3 mg/L) hence the background boron concentration in seawater (5.1 mg/L) was adopted as a low reliability guideline value in Australia (ANZECC/ARMCANZ 2000). </w:t>
      </w:r>
    </w:p>
    <w:p w14:paraId="57C1EB67"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78" w:name="_Toc494444639"/>
      <w:r>
        <w:t>Human Health Hazards</w:t>
      </w:r>
      <w:bookmarkEnd w:id="578"/>
    </w:p>
    <w:p w14:paraId="4570B48C" w14:textId="6BC06379" w:rsidR="00264454" w:rsidRDefault="00264454" w:rsidP="00A50CB5">
      <w:pPr>
        <w:pStyle w:val="Body"/>
      </w:pPr>
      <w:r>
        <w:t>Human exposure to relatively small amounts of boron can occur via water, food (mainly of plant origin) and air; while, exposure to larger quantities can occur through occupational activities. A clear biological function for boron in humans has yet to be identified (IOM 2001; USEPA 2008b).</w:t>
      </w:r>
    </w:p>
    <w:p w14:paraId="0FCB2871" w14:textId="4EB516C3" w:rsidR="00264454" w:rsidRDefault="00264454" w:rsidP="00A50CB5">
      <w:pPr>
        <w:pStyle w:val="Body"/>
      </w:pPr>
      <w:r>
        <w:t>Boron is rapidly and completely absorbed after ingestion with up to 90% excreted in urine. Following the ingestion of high doses of boron, symptoms include gastrointestinal disturbances, skin eruptions, and central nervous systems stimulation and depression have been reported. Long-term occupational exposure to boron can lead to similar symptoms. There is evidence to suggest that boron is not mutagenic (NRMMC 2011) and there is no evidence to suggest that boron is carcinogenic. Further details on boron toxicity in humans and animals are described by CCME (1991), WHO (2004a) and US</w:t>
      </w:r>
      <w:r w:rsidR="006374E2">
        <w:t xml:space="preserve"> </w:t>
      </w:r>
      <w:r>
        <w:t xml:space="preserve">EPA (2008b).    </w:t>
      </w:r>
    </w:p>
    <w:p w14:paraId="7FDB38C2" w14:textId="14370FC8" w:rsidR="00264454" w:rsidRDefault="00264454" w:rsidP="00A50CB5">
      <w:pPr>
        <w:pStyle w:val="Body"/>
      </w:pPr>
      <w:r>
        <w:t xml:space="preserve">The Australian drinking water guideline for boron is 4 mg/L. Canadian drinking water guidelines report a maximum limit of 5 mg/L (CCME 1991) and a tolerable daily intake (TDI) of 0.16 mg/kg body weight was derived by WHO (2004a). </w:t>
      </w:r>
    </w:p>
    <w:p w14:paraId="181D7625" w14:textId="77777777" w:rsidR="00264454" w:rsidRDefault="00264454" w:rsidP="00A50CB5">
      <w:pPr>
        <w:pStyle w:val="Heading3"/>
      </w:pPr>
      <w:bookmarkStart w:id="579" w:name="_Toc454455617"/>
      <w:bookmarkStart w:id="580" w:name="_Toc494444640"/>
      <w:r>
        <w:t>Uranium</w:t>
      </w:r>
      <w:bookmarkEnd w:id="579"/>
      <w:bookmarkEnd w:id="580"/>
    </w:p>
    <w:p w14:paraId="3D4A3319"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81" w:name="_Toc494444641"/>
      <w:r>
        <w:t>Environmental Hazards</w:t>
      </w:r>
      <w:bookmarkEnd w:id="581"/>
    </w:p>
    <w:p w14:paraId="62970EC3" w14:textId="1F653670" w:rsidR="00264454" w:rsidRDefault="00264454" w:rsidP="00A50CB5">
      <w:pPr>
        <w:pStyle w:val="Body"/>
      </w:pPr>
      <w:r>
        <w:t>Uranium occurs in natural waters in three oxidation states: (IV) U</w:t>
      </w:r>
      <w:r w:rsidRPr="003E7854">
        <w:rPr>
          <w:vertAlign w:val="subscript"/>
        </w:rPr>
        <w:t>4</w:t>
      </w:r>
      <w:r w:rsidRPr="003E7854">
        <w:rPr>
          <w:vertAlign w:val="superscript"/>
        </w:rPr>
        <w:t>+</w:t>
      </w:r>
      <w:r>
        <w:t>, (V) UO</w:t>
      </w:r>
      <w:r w:rsidRPr="003E7854">
        <w:rPr>
          <w:vertAlign w:val="subscript"/>
        </w:rPr>
        <w:t>2</w:t>
      </w:r>
      <w:r w:rsidRPr="003E7854">
        <w:rPr>
          <w:vertAlign w:val="superscript"/>
        </w:rPr>
        <w:t>+</w:t>
      </w:r>
      <w:r>
        <w:t xml:space="preserve"> and (VI) UO</w:t>
      </w:r>
      <w:r w:rsidRPr="003E7854">
        <w:rPr>
          <w:vertAlign w:val="subscript"/>
        </w:rPr>
        <w:t>2</w:t>
      </w:r>
      <w:r w:rsidRPr="003E7854">
        <w:rPr>
          <w:vertAlign w:val="superscript"/>
        </w:rPr>
        <w:t>2+</w:t>
      </w:r>
      <w:r>
        <w:t>. In oxidised surface waters UO</w:t>
      </w:r>
      <w:r w:rsidRPr="003E7854">
        <w:rPr>
          <w:vertAlign w:val="subscript"/>
        </w:rPr>
        <w:t>2</w:t>
      </w:r>
      <w:r w:rsidRPr="003E7854">
        <w:rPr>
          <w:vertAlign w:val="superscript"/>
        </w:rPr>
        <w:t>2+</w:t>
      </w:r>
      <w:r>
        <w:t xml:space="preserve"> (uranyl ion) is present and considered to be primarily responsible for causing toxicity. The uranyl ion forms stable and readily soluble complexes which are highly mobile. In contrast, in reducing waters </w:t>
      </w:r>
      <w:proofErr w:type="gramStart"/>
      <w:r>
        <w:t>U(</w:t>
      </w:r>
      <w:proofErr w:type="gramEnd"/>
      <w:r>
        <w:t>IV) forms precipitates and remains immobile while U(V) forms soluble, but relatively unstable, complexes. The speciation of uranium is relatively complex in oxidised fresh surface waters (pH 5-9). Factors that affect the toxicity of uranium to aquatic biota include water hardness, pH, alkalinity, complexing agents (e.g. dissolved organic matter, carbonate) and sorption (to clay minerals, iron, aluminium (oxy</w:t>
      </w:r>
      <w:proofErr w:type="gramStart"/>
      <w:r>
        <w:t>)hydroxides</w:t>
      </w:r>
      <w:proofErr w:type="gramEnd"/>
      <w:r>
        <w:t xml:space="preserve">, silica and micro-organisms) (ANZECC/ARMCANZ 2000).    </w:t>
      </w:r>
    </w:p>
    <w:p w14:paraId="581E3005" w14:textId="08E624CF" w:rsidR="00264454" w:rsidRDefault="00264454" w:rsidP="00A50CB5">
      <w:pPr>
        <w:pStyle w:val="Body"/>
      </w:pPr>
      <w:r>
        <w:t xml:space="preserve">The Australian water quality guideline for freshwaters is 0.5 µg/L and is of low reliability (ANZECC/ARMCANZ, 2000). A recent uranium guideline for freshwaters was derived in Canada for short-term exposures (33 µg/L) and long-term exposures (15 µg/L) (CCME 2011).  </w:t>
      </w:r>
    </w:p>
    <w:p w14:paraId="19252036" w14:textId="240F0B37" w:rsidR="00264454" w:rsidRPr="000A531A" w:rsidRDefault="00264454" w:rsidP="00A50CB5">
      <w:pPr>
        <w:pStyle w:val="Body"/>
        <w:rPr>
          <w:b/>
        </w:rPr>
      </w:pPr>
      <w:r>
        <w:t>CCME (2011) reported chronic toxicity to five fish species (EC/LC10 and MATC 350 to 14</w:t>
      </w:r>
      <w:r w:rsidR="004632E2">
        <w:t>,</w:t>
      </w:r>
      <w:r>
        <w:t>300 µg/L), an amphipod (EC10 of 12 µg/L), three cladocerans (EC10 73-930 µg/L), two aquatic plants (EC10 172 and 3</w:t>
      </w:r>
      <w:r w:rsidR="004632E2">
        <w:t>,</w:t>
      </w:r>
      <w:r>
        <w:t>100 µg/L) and a microalga (EC10 40 µg/L). Acute toxicity included eight fish species (LC50 1</w:t>
      </w:r>
      <w:r w:rsidR="004632E2">
        <w:t>,</w:t>
      </w:r>
      <w:r>
        <w:t xml:space="preserve">670-46,000 µg/L) and three cladocerans (LC50 72-6,400 </w:t>
      </w:r>
      <w:r>
        <w:rPr>
          <w:rFonts w:ascii="Segoe UI Symbol" w:hAnsi="Segoe UI Symbol"/>
        </w:rPr>
        <w:t xml:space="preserve">µg/L). </w:t>
      </w:r>
    </w:p>
    <w:p w14:paraId="40517CC7" w14:textId="248BAEA9" w:rsidR="00264454" w:rsidRDefault="00264454" w:rsidP="00264454">
      <w:pPr>
        <w:pStyle w:val="Body"/>
      </w:pPr>
      <w:r>
        <w:t xml:space="preserve">In seawater, dissolved uranium predominantly exists as the uranyl-tricarbonate complex </w:t>
      </w:r>
      <w:r w:rsidR="004632E2">
        <w:t>(</w:t>
      </w:r>
      <w:proofErr w:type="gramStart"/>
      <w:r w:rsidR="00A83EC8">
        <w:t>UO</w:t>
      </w:r>
      <w:r w:rsidR="00A83EC8" w:rsidRPr="003E7854">
        <w:rPr>
          <w:vertAlign w:val="subscript"/>
        </w:rPr>
        <w:t>2</w:t>
      </w:r>
      <w:r w:rsidR="00A83EC8" w:rsidRPr="00A83EC8">
        <w:t>(</w:t>
      </w:r>
      <w:proofErr w:type="gramEnd"/>
      <w:r w:rsidR="00A83EC8" w:rsidRPr="00A83EC8">
        <w:t>CO</w:t>
      </w:r>
      <w:r w:rsidR="00A83EC8" w:rsidRPr="00A83EC8">
        <w:rPr>
          <w:vertAlign w:val="subscript"/>
        </w:rPr>
        <w:t>3</w:t>
      </w:r>
      <w:r w:rsidR="00A83EC8">
        <w:t>)</w:t>
      </w:r>
      <w:r w:rsidR="00A83EC8" w:rsidRPr="00A83EC8">
        <w:rPr>
          <w:vertAlign w:val="subscript"/>
        </w:rPr>
        <w:t>3</w:t>
      </w:r>
      <w:r w:rsidR="004632E2">
        <w:t>)</w:t>
      </w:r>
      <w:r w:rsidR="00A83EC8" w:rsidRPr="00A83EC8">
        <w:rPr>
          <w:vertAlign w:val="superscript"/>
        </w:rPr>
        <w:t>4-</w:t>
      </w:r>
      <w:r w:rsidR="00A83EC8">
        <w:t xml:space="preserve">) </w:t>
      </w:r>
      <w:r>
        <w:t xml:space="preserve">with smaller fractions of uranyl forming complexes with dissolved organic matter. No guideline values are reported for uranium in seawater due to a lack of toxicity data (ANZECC/ARMCANZ 2000; CCME 2011).  </w:t>
      </w:r>
    </w:p>
    <w:p w14:paraId="112CAADF" w14:textId="09B1B74A" w:rsidR="00264454" w:rsidRDefault="00264454" w:rsidP="00264454">
      <w:pPr>
        <w:pStyle w:val="Body"/>
      </w:pPr>
      <w:r>
        <w:t xml:space="preserve">Uranium can bioaccumulate in aquatic organisms, although it does not biomagnify through the food chain (CCME 2011)   </w:t>
      </w:r>
    </w:p>
    <w:p w14:paraId="79A3F8E9"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82" w:name="_Toc494444642"/>
      <w:r>
        <w:t>Human Health Hazards</w:t>
      </w:r>
      <w:bookmarkEnd w:id="582"/>
    </w:p>
    <w:p w14:paraId="229102ED" w14:textId="1DB85107" w:rsidR="00264454" w:rsidRDefault="00264454" w:rsidP="00264454">
      <w:pPr>
        <w:pStyle w:val="Body"/>
      </w:pPr>
      <w:r>
        <w:t>The toxicity of uranium to human (and animal) health has been reviewed by WHO (2004</w:t>
      </w:r>
      <w:r w:rsidR="00F054EA">
        <w:t>c</w:t>
      </w:r>
      <w:r>
        <w:t xml:space="preserve">) the Swedish National Food Administration (Svensson et al. 2005), the United Kingdom Committee on Toxicity (COT 2006), and Health Canada (2001). Uranium is not regarded as an essential element (WHO 2004). The uranium drinking water guideline in Australia is 0.017 mg/L (NRMMC 2011) and WHO (2012) report a provisional guideline of 0.030 mg/L. The absorption of uranium in gastrointestinal tract is dependent on the solubility of the uranium compound ingested (typically 1-2%). Uranium rapidly appears in the bloodstream and </w:t>
      </w:r>
      <w:r w:rsidRPr="00264454">
        <w:t>uranyl</w:t>
      </w:r>
      <w:r>
        <w:t xml:space="preserve"> compounds combine with proteins and nucleotides to form stable complexes. Clearance of uranium from blood is rapid but it accumulates in the kidneys and bone. The main toxic effects of short-term exposure to high concentrations of uranium is inflammation of the kidney. Little information on long-term effects to low concentrations is available. Epidemiological studies report possible kidney proximal tubule damage at drinking water concentrations of between 0.1 and 1 mg/L, but not at lower concentrations (NRMMC 2011). A tolerable daily intake (TDI) of 0.0006 mg/kg body weight has been derived by WHO (2004) and Health Canada (2001). No data is available on the chemically induced mutagenic effects of uranium. The Australian drinking water guideline is also considered to be protective of radiological effects.   </w:t>
      </w:r>
    </w:p>
    <w:p w14:paraId="3029F060" w14:textId="77777777" w:rsidR="00264454" w:rsidRDefault="00264454" w:rsidP="00A50CB5">
      <w:pPr>
        <w:pStyle w:val="Heading3"/>
      </w:pPr>
      <w:bookmarkStart w:id="583" w:name="_Toc454455618"/>
      <w:bookmarkStart w:id="584" w:name="_Toc494444643"/>
      <w:r>
        <w:t>Barium</w:t>
      </w:r>
      <w:bookmarkEnd w:id="583"/>
      <w:bookmarkEnd w:id="584"/>
    </w:p>
    <w:p w14:paraId="53F76824"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85" w:name="_Toc494444644"/>
      <w:r>
        <w:t>Environmental Hazards</w:t>
      </w:r>
      <w:bookmarkEnd w:id="585"/>
    </w:p>
    <w:p w14:paraId="5563220A" w14:textId="430945E5" w:rsidR="00264454" w:rsidRPr="00F22BB9" w:rsidRDefault="00264454" w:rsidP="00264454">
      <w:pPr>
        <w:pStyle w:val="Body"/>
      </w:pPr>
      <w:r w:rsidRPr="00F22BB9">
        <w:t xml:space="preserve">Barium compounds that do not dissolve well in water, such as barium sulfate and barium carbonate, can persist in the environment. Barium compounds that dissolve easily in water </w:t>
      </w:r>
      <w:r>
        <w:t>(</w:t>
      </w:r>
      <w:r w:rsidRPr="00F22BB9">
        <w:t>such as barium chloride, barium nitrate, or barium hydroxide</w:t>
      </w:r>
      <w:r>
        <w:t>)</w:t>
      </w:r>
      <w:r w:rsidRPr="00F22BB9">
        <w:t xml:space="preserve">, usually do not last </w:t>
      </w:r>
      <w:r>
        <w:t xml:space="preserve">with dissolved </w:t>
      </w:r>
      <w:r w:rsidRPr="00F22BB9">
        <w:t>barium quickly com</w:t>
      </w:r>
      <w:r>
        <w:t xml:space="preserve">bining with sulfate or carbonate </w:t>
      </w:r>
      <w:r w:rsidRPr="00F22BB9">
        <w:t xml:space="preserve">naturally found in water </w:t>
      </w:r>
      <w:r>
        <w:t xml:space="preserve">to </w:t>
      </w:r>
      <w:r w:rsidRPr="00F22BB9">
        <w:t xml:space="preserve">become </w:t>
      </w:r>
      <w:r>
        <w:t>insoluble barium compounds (</w:t>
      </w:r>
      <w:r w:rsidRPr="00F22BB9">
        <w:t>barium sulfate</w:t>
      </w:r>
      <w:r>
        <w:t>,</w:t>
      </w:r>
      <w:r w:rsidRPr="00F22BB9">
        <w:t xml:space="preserve"> </w:t>
      </w:r>
      <w:r>
        <w:t>b</w:t>
      </w:r>
      <w:r w:rsidRPr="00F22BB9">
        <w:t xml:space="preserve">arium carbonate). </w:t>
      </w:r>
      <w:r>
        <w:t>These insoluble barium compounds are</w:t>
      </w:r>
      <w:r w:rsidRPr="00F22BB9">
        <w:t xml:space="preserve"> most commonly foun</w:t>
      </w:r>
      <w:r>
        <w:t xml:space="preserve">d in soil, </w:t>
      </w:r>
      <w:r w:rsidRPr="00F22BB9">
        <w:t>water</w:t>
      </w:r>
      <w:r>
        <w:t xml:space="preserve"> and sediments (ATSDR 2007</w:t>
      </w:r>
      <w:r w:rsidR="008A0EEA">
        <w:t>a</w:t>
      </w:r>
      <w:r>
        <w:t>)</w:t>
      </w:r>
      <w:r w:rsidRPr="00F22BB9">
        <w:t xml:space="preserve">. </w:t>
      </w:r>
    </w:p>
    <w:p w14:paraId="571DC83A" w14:textId="6E3310C6" w:rsidR="00264454" w:rsidRPr="0056384B" w:rsidRDefault="00264454" w:rsidP="00264454">
      <w:pPr>
        <w:pStyle w:val="Body"/>
      </w:pPr>
      <w:r>
        <w:t xml:space="preserve">Water quality guidelines for barium do not exist in Australian or other international jurisdictions (e.g. USA, Canada, </w:t>
      </w:r>
      <w:proofErr w:type="gramStart"/>
      <w:r>
        <w:t>UK</w:t>
      </w:r>
      <w:proofErr w:type="gramEnd"/>
      <w:r>
        <w:t>). The US</w:t>
      </w:r>
      <w:r w:rsidR="006374E2">
        <w:t xml:space="preserve"> </w:t>
      </w:r>
      <w:r>
        <w:t>EPA (2006) summarised the acute toxicity of barium to aquatic organisms with EC50 values of 14.5 to 6,950 mg Ba/L (organisms included a cladoceran, tubificid w</w:t>
      </w:r>
      <w:r w:rsidRPr="00813B4E">
        <w:t>orm</w:t>
      </w:r>
      <w:r>
        <w:t xml:space="preserve">, crayfish, amphipods and mosquitofish). </w:t>
      </w:r>
    </w:p>
    <w:p w14:paraId="2C9736CF"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86" w:name="_Toc494444645"/>
      <w:r>
        <w:t>Human Health Hazards</w:t>
      </w:r>
      <w:bookmarkEnd w:id="586"/>
    </w:p>
    <w:p w14:paraId="401E5F97" w14:textId="694B3E57" w:rsidR="00264454" w:rsidRDefault="00264454" w:rsidP="00264454">
      <w:pPr>
        <w:pStyle w:val="Body"/>
      </w:pPr>
      <w:r>
        <w:t>The Australian drinking water guideline for barium i</w:t>
      </w:r>
      <w:r w:rsidR="001A5EEB">
        <w:t>s 2 mg/L (NHMRC</w:t>
      </w:r>
      <w:r>
        <w:t xml:space="preserve"> 2011). The US</w:t>
      </w:r>
      <w:r w:rsidR="006374E2">
        <w:t xml:space="preserve"> </w:t>
      </w:r>
      <w:r>
        <w:t>EPA (2006) also report a guideline value of 2 mg/L and WHO (2004</w:t>
      </w:r>
      <w:r w:rsidR="00F054EA">
        <w:t>a</w:t>
      </w:r>
      <w:r>
        <w:t xml:space="preserve">) report a highly conservative guideline of 0.7 mg/L. Barium is not considered an essential element for humans and a number of reviews on the human and animal toxicity data for barium can be found in IPCS </w:t>
      </w:r>
      <w:r w:rsidR="00F054EA">
        <w:t>(</w:t>
      </w:r>
      <w:r>
        <w:t>2001</w:t>
      </w:r>
      <w:r w:rsidR="00F054EA">
        <w:t>a)</w:t>
      </w:r>
      <w:r>
        <w:t xml:space="preserve">, OEHHA </w:t>
      </w:r>
      <w:r w:rsidR="00F054EA">
        <w:t>(</w:t>
      </w:r>
      <w:r>
        <w:t>2003</w:t>
      </w:r>
      <w:r w:rsidR="00F054EA">
        <w:t>)</w:t>
      </w:r>
      <w:r>
        <w:t xml:space="preserve">, WHO </w:t>
      </w:r>
      <w:r w:rsidR="00F054EA">
        <w:t>(</w:t>
      </w:r>
      <w:r>
        <w:t>2004a</w:t>
      </w:r>
      <w:r w:rsidR="00F054EA">
        <w:t>)</w:t>
      </w:r>
      <w:r>
        <w:t>, US</w:t>
      </w:r>
      <w:r w:rsidR="00F054EA">
        <w:t xml:space="preserve"> </w:t>
      </w:r>
      <w:r>
        <w:t xml:space="preserve">EPA </w:t>
      </w:r>
      <w:r w:rsidR="00F054EA">
        <w:t>(</w:t>
      </w:r>
      <w:r>
        <w:t>2005</w:t>
      </w:r>
      <w:r w:rsidR="00F054EA">
        <w:t>)</w:t>
      </w:r>
      <w:r>
        <w:t xml:space="preserve"> and ATSDR </w:t>
      </w:r>
      <w:r w:rsidR="00F054EA">
        <w:t>(</w:t>
      </w:r>
      <w:r>
        <w:t>2007</w:t>
      </w:r>
      <w:r w:rsidR="008A0EEA">
        <w:t>a</w:t>
      </w:r>
      <w:r w:rsidR="00F054EA">
        <w:t>)</w:t>
      </w:r>
      <w:r>
        <w:t xml:space="preserve">. In humans, cardiovascular effects (hypertension) have been observed after ingesting acutely high doses of barium compounds, and after inhalation of dusts of barium ores and barium carbonate. </w:t>
      </w:r>
      <w:r w:rsidRPr="003E568A">
        <w:t>Some people who eat or drink somewhat smaller amounts of barium for a short period may experience vomiting, abdominal cramps, diarrh</w:t>
      </w:r>
      <w:r w:rsidR="00280AF5">
        <w:t>o</w:t>
      </w:r>
      <w:r w:rsidRPr="003E568A">
        <w:t xml:space="preserve">ea, difficulties in breathing, increased or decreased blood pressure, numbness around the face, and muscle weakness. One study showed that people who drank water containing as much as 10 </w:t>
      </w:r>
      <w:r w:rsidR="00A83EC8">
        <w:t>mg/L</w:t>
      </w:r>
      <w:r w:rsidRPr="003E568A">
        <w:t xml:space="preserve"> of barium for 4 weeks did not have increased blood pressure or abnormal heart rhythms</w:t>
      </w:r>
      <w:r>
        <w:t xml:space="preserve"> (ATSDR 2007</w:t>
      </w:r>
      <w:r w:rsidR="008A0EEA">
        <w:t>a</w:t>
      </w:r>
      <w:r>
        <w:t>)</w:t>
      </w:r>
      <w:r w:rsidRPr="003E568A">
        <w:t>.</w:t>
      </w:r>
      <w:r>
        <w:t xml:space="preserve"> </w:t>
      </w:r>
      <w:r w:rsidRPr="0076248E">
        <w:t>The toxicity of barium salts is related largely to their solubility, which conditions their digestive absorption and bioavailability. Water and acid soluble sal</w:t>
      </w:r>
      <w:r>
        <w:t xml:space="preserve">ts are very toxic when ingested and absorbed barium mainly deposits in bone (about 90%). There is no evidence that barium is a carcinogen or mutagenic and insufficient evidence </w:t>
      </w:r>
      <w:r w:rsidR="00A83EC8">
        <w:t xml:space="preserve">exists </w:t>
      </w:r>
      <w:r>
        <w:t>to suggest inhalation of barium salts are carcinogenic (ATSDR 2007</w:t>
      </w:r>
      <w:r w:rsidR="008A0EEA">
        <w:t>a</w:t>
      </w:r>
      <w:r>
        <w:t xml:space="preserve">).  </w:t>
      </w:r>
    </w:p>
    <w:p w14:paraId="68460D21" w14:textId="77777777" w:rsidR="00264454" w:rsidRDefault="00264454" w:rsidP="00A50CB5">
      <w:pPr>
        <w:pStyle w:val="Heading3"/>
      </w:pPr>
      <w:bookmarkStart w:id="587" w:name="_Toc454455619"/>
      <w:bookmarkStart w:id="588" w:name="_Toc494444646"/>
      <w:r>
        <w:t>Arsenic</w:t>
      </w:r>
      <w:bookmarkEnd w:id="587"/>
      <w:bookmarkEnd w:id="588"/>
      <w:r>
        <w:t xml:space="preserve"> </w:t>
      </w:r>
    </w:p>
    <w:p w14:paraId="62728CB1" w14:textId="77777777" w:rsidR="00264454" w:rsidRPr="00C20C33"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89" w:name="_Toc494444647"/>
      <w:r w:rsidRPr="00C20C33">
        <w:t xml:space="preserve">Environmental </w:t>
      </w:r>
      <w:r>
        <w:t>Hazards</w:t>
      </w:r>
      <w:bookmarkEnd w:id="589"/>
    </w:p>
    <w:p w14:paraId="5F8C5D1B" w14:textId="235A8627" w:rsidR="00264454" w:rsidRPr="00A65DF8" w:rsidRDefault="00264454" w:rsidP="00264454">
      <w:pPr>
        <w:pStyle w:val="Body"/>
      </w:pPr>
      <w:r w:rsidRPr="00A65DF8">
        <w:t xml:space="preserve">Several forms of arsenic are present in the environment with the most common being </w:t>
      </w:r>
      <w:proofErr w:type="gramStart"/>
      <w:r w:rsidRPr="00A65DF8">
        <w:t>As(</w:t>
      </w:r>
      <w:proofErr w:type="gramEnd"/>
      <w:r w:rsidRPr="00A65DF8">
        <w:t xml:space="preserve">III) </w:t>
      </w:r>
      <w:r w:rsidR="005A219D">
        <w:t xml:space="preserve">or arsenite </w:t>
      </w:r>
      <w:r w:rsidRPr="00A65DF8">
        <w:t>and As(V)</w:t>
      </w:r>
      <w:r w:rsidR="005A219D">
        <w:t xml:space="preserve"> or arsenate</w:t>
      </w:r>
      <w:r w:rsidRPr="00A65DF8">
        <w:t xml:space="preserve">. </w:t>
      </w:r>
      <w:proofErr w:type="gramStart"/>
      <w:r w:rsidRPr="00A65DF8">
        <w:t>As(</w:t>
      </w:r>
      <w:proofErr w:type="gramEnd"/>
      <w:r w:rsidRPr="00A65DF8">
        <w:t>V) is generally the most stable form in oxygenated environments (e.g. surface waters) while As(III) dominates under reducing conditions (e.g. groundwaters)</w:t>
      </w:r>
      <w:r w:rsidR="00087C6D">
        <w:t xml:space="preserve"> (Appelo and Postma 2004)</w:t>
      </w:r>
      <w:r w:rsidRPr="00A65DF8">
        <w:t xml:space="preserve">. In general, </w:t>
      </w:r>
      <w:proofErr w:type="gramStart"/>
      <w:r w:rsidRPr="00A65DF8">
        <w:t>As(</w:t>
      </w:r>
      <w:proofErr w:type="gramEnd"/>
      <w:r w:rsidRPr="00A65DF8">
        <w:t xml:space="preserve">III) is more toxic than As(V), except for plants. The Australian water quality guideline for freshwaters is 24 µg/L for </w:t>
      </w:r>
      <w:proofErr w:type="gramStart"/>
      <w:r w:rsidRPr="00A65DF8">
        <w:t>As(</w:t>
      </w:r>
      <w:proofErr w:type="gramEnd"/>
      <w:r w:rsidRPr="00A65DF8">
        <w:t>III) and 13 µg/L for As(V). W</w:t>
      </w:r>
      <w:r w:rsidR="00A83EC8">
        <w:t>ater quality guidelines</w:t>
      </w:r>
      <w:r w:rsidRPr="00A65DF8">
        <w:t xml:space="preserve"> for As in marine waters are 2.3 µg/L for </w:t>
      </w:r>
      <w:proofErr w:type="gramStart"/>
      <w:r w:rsidRPr="00A65DF8">
        <w:t>As(</w:t>
      </w:r>
      <w:proofErr w:type="gramEnd"/>
      <w:r w:rsidRPr="00A65DF8">
        <w:t xml:space="preserve">III) and 4.5 µg/L for As(V) but are of a low reliability. Toxicity of arsenic to aquatic biota is summarised </w:t>
      </w:r>
      <w:r w:rsidR="00280AF5">
        <w:t>by</w:t>
      </w:r>
      <w:r w:rsidRPr="00A65DF8">
        <w:t xml:space="preserve"> US</w:t>
      </w:r>
      <w:r w:rsidR="006374E2">
        <w:t xml:space="preserve"> </w:t>
      </w:r>
      <w:r w:rsidRPr="00A65DF8">
        <w:t xml:space="preserve">EPA (1995), Vaughan (1996) and ANZECC/ARMCANZ (2000). Australian sediment quality guidelines also exist for Arsenic (total) of 20 (low) and 70 (high) mg/kg (dry weight). </w:t>
      </w:r>
    </w:p>
    <w:p w14:paraId="26DCC9D9" w14:textId="2E1E88F7" w:rsidR="00264454" w:rsidRPr="00A65DF8" w:rsidRDefault="00264454" w:rsidP="00264454">
      <w:pPr>
        <w:pStyle w:val="Body"/>
      </w:pPr>
      <w:r w:rsidRPr="00A65DF8">
        <w:t xml:space="preserve">Biotransformation of arsenic occurs in the environment via redox transformation, methylation and biosynthesis of organoarsenic compounds. Aquatic </w:t>
      </w:r>
      <w:proofErr w:type="gramStart"/>
      <w:r w:rsidRPr="00A65DF8">
        <w:t>organisms</w:t>
      </w:r>
      <w:proofErr w:type="gramEnd"/>
      <w:r w:rsidRPr="00A65DF8">
        <w:t xml:space="preserve"> bioconcentrate arsenic, primarily algae and lower invertebrates (WHO 2001). Bioconcentration factors (BCF) measured in freshwater invertebrates were generally up to 20 and were &lt;5 for fish (detailed summary of studies provided in WHO 2001). </w:t>
      </w:r>
    </w:p>
    <w:p w14:paraId="7F385907" w14:textId="77777777" w:rsidR="00264454" w:rsidRDefault="00264454" w:rsidP="00A50CB5">
      <w:pPr>
        <w:pStyle w:val="Heading3"/>
        <w:keepLines/>
        <w:widowControl/>
        <w:numPr>
          <w:ilvl w:val="3"/>
          <w:numId w:val="1"/>
        </w:numPr>
        <w:tabs>
          <w:tab w:val="left" w:pos="1134"/>
        </w:tabs>
        <w:suppressAutoHyphens w:val="0"/>
        <w:autoSpaceDE/>
        <w:autoSpaceDN/>
        <w:adjustRightInd/>
        <w:spacing w:before="360" w:after="240" w:line="240" w:lineRule="auto"/>
        <w:textAlignment w:val="auto"/>
      </w:pPr>
      <w:bookmarkStart w:id="590" w:name="_Toc494444648"/>
      <w:r>
        <w:t>Human Health Hazards</w:t>
      </w:r>
      <w:bookmarkEnd w:id="590"/>
    </w:p>
    <w:p w14:paraId="2FBC6186" w14:textId="6479409F" w:rsidR="00264454" w:rsidRDefault="00264454" w:rsidP="00264454">
      <w:pPr>
        <w:pStyle w:val="Body"/>
      </w:pPr>
      <w:r>
        <w:t>Arsenic is one of WHOs 10 major public health concerns and classified as a carcinogen to humans. Long-term exposure to inorganic arsenic occurs mainly through drinking contaminated water, eating food prepared with contaminated water and eating food irrigated with arsenic-rich water, and can lead to chronic arsenic poisoning. Skin lesions and skin cancer are characteristic effects with bladder, kidney and lung also evident. Extensive reviews and summaries on human and animal toxicity are available (IPCS 2001, WHO 2003, IARC 2004, Health Canada 2006, ATSDR 2007</w:t>
      </w:r>
      <w:r w:rsidR="008A0EEA">
        <w:t>b</w:t>
      </w:r>
      <w:r>
        <w:t>). Epidemiological studies have shown that elevated cancer risks and other adverse health effects are not demonstrated at arsenic concentrations of 10 µg/L. Higher concentrations (50-100 µg/L) have demonstrated a range of health effects including skin, lung and bladder cancer; skin pigmentation and keratosis; diseases of the lung, liver, vascular system; peripheral neuropath; and diabetes (NRMMC 2011). The Australian drinking water guideline for arsenic is 10 µg/L, the same as that reported by the WHO (2004), European Union (1998), Health Canada (2008), US</w:t>
      </w:r>
      <w:r w:rsidR="006374E2">
        <w:t xml:space="preserve"> </w:t>
      </w:r>
      <w:r>
        <w:t>EPA (2008</w:t>
      </w:r>
      <w:r w:rsidR="00BC7BCE">
        <w:t>a</w:t>
      </w:r>
      <w:r>
        <w:t xml:space="preserve">) and New Zealand (MoH NZ 2008).  </w:t>
      </w:r>
    </w:p>
    <w:p w14:paraId="4295112B" w14:textId="3ECD06AA" w:rsidR="00264454" w:rsidRPr="007B2ECC" w:rsidRDefault="00A75C84" w:rsidP="00A75C84">
      <w:pPr>
        <w:pStyle w:val="Heading3"/>
      </w:pPr>
      <w:bookmarkStart w:id="591" w:name="_Toc494444649"/>
      <w:r>
        <w:t>Summary of PNEC and drinking water guideline values</w:t>
      </w:r>
      <w:bookmarkEnd w:id="591"/>
    </w:p>
    <w:p w14:paraId="066CCB8C" w14:textId="7D36A4BF" w:rsidR="003B3B6E" w:rsidRDefault="00A75C84" w:rsidP="003B3B6E">
      <w:pPr>
        <w:pStyle w:val="Body"/>
      </w:pPr>
      <w:r w:rsidRPr="00EC04F4">
        <w:t xml:space="preserve">Based on the above toxicity data, PNEC data have been obtained for five </w:t>
      </w:r>
      <w:r w:rsidR="00EC04F4" w:rsidRPr="00EC04F4">
        <w:t>out of twelve chemicals (</w:t>
      </w:r>
      <w:r w:rsidR="00EC04F4">
        <w:fldChar w:fldCharType="begin" w:fldLock="1"/>
      </w:r>
      <w:r w:rsidR="00EC04F4">
        <w:instrText xml:space="preserve"> REF _Ref472442629 \h </w:instrText>
      </w:r>
      <w:r w:rsidR="00EC04F4">
        <w:fldChar w:fldCharType="separate"/>
      </w:r>
      <w:r w:rsidR="00335E79">
        <w:t xml:space="preserve">Table </w:t>
      </w:r>
      <w:r w:rsidR="00335E79">
        <w:rPr>
          <w:noProof/>
        </w:rPr>
        <w:t>4</w:t>
      </w:r>
      <w:r w:rsidR="00335E79">
        <w:noBreakHyphen/>
      </w:r>
      <w:r w:rsidR="00335E79">
        <w:rPr>
          <w:noProof/>
        </w:rPr>
        <w:t>11</w:t>
      </w:r>
      <w:r w:rsidR="00EC04F4">
        <w:fldChar w:fldCharType="end"/>
      </w:r>
      <w:r w:rsidR="00EC04F4" w:rsidRPr="00EC04F4">
        <w:t>)</w:t>
      </w:r>
      <w:r w:rsidRPr="00EC04F4">
        <w:t>. These PNEC values are for the protection of freshwater surface water biota, and not groundwater biota. Hence, they would be appropriate if the chemicals were to potentially reach surface water environments.</w:t>
      </w:r>
      <w:r w:rsidR="00EC04F4" w:rsidRPr="00EC04F4">
        <w:t xml:space="preserve"> Drinking water guideline values </w:t>
      </w:r>
      <w:r w:rsidR="00C9769E">
        <w:t xml:space="preserve">based on the Australian Drinking Water Guidelines (NHMRC </w:t>
      </w:r>
      <w:r w:rsidR="00336460">
        <w:t xml:space="preserve">and NRMMC </w:t>
      </w:r>
      <w:r w:rsidR="00C9769E">
        <w:t>201</w:t>
      </w:r>
      <w:r w:rsidR="00336460">
        <w:t>1</w:t>
      </w:r>
      <w:r w:rsidR="00C9769E">
        <w:t xml:space="preserve">) </w:t>
      </w:r>
      <w:r w:rsidR="00EC04F4" w:rsidRPr="00EC04F4">
        <w:t>have been obtained for four out of twelve chemicals (</w:t>
      </w:r>
      <w:r w:rsidR="00EC04F4" w:rsidRPr="00EC04F4">
        <w:fldChar w:fldCharType="begin" w:fldLock="1"/>
      </w:r>
      <w:r w:rsidR="00EC04F4" w:rsidRPr="00EC04F4">
        <w:instrText xml:space="preserve"> REF _Ref472442629 \h </w:instrText>
      </w:r>
      <w:r w:rsidR="00EC04F4">
        <w:instrText xml:space="preserve"> \* MERGEFORMAT </w:instrText>
      </w:r>
      <w:r w:rsidR="00EC04F4" w:rsidRPr="00EC04F4">
        <w:fldChar w:fldCharType="separate"/>
      </w:r>
      <w:r w:rsidR="00335E79">
        <w:t>Table 4</w:t>
      </w:r>
      <w:r w:rsidR="00335E79">
        <w:noBreakHyphen/>
        <w:t>11</w:t>
      </w:r>
      <w:r w:rsidR="00EC04F4" w:rsidRPr="00EC04F4">
        <w:fldChar w:fldCharType="end"/>
      </w:r>
      <w:r w:rsidR="00EC04F4" w:rsidRPr="00EC04F4">
        <w:t>).</w:t>
      </w:r>
      <w:r w:rsidR="00A90FFE">
        <w:t xml:space="preserve"> </w:t>
      </w:r>
    </w:p>
    <w:p w14:paraId="439A2702" w14:textId="2D6359BF" w:rsidR="00A90FFE" w:rsidRDefault="00A90FFE" w:rsidP="003B3B6E">
      <w:pPr>
        <w:pStyle w:val="Body"/>
      </w:pPr>
      <w:r>
        <w:t>A PNEC values may be derived for limonene, HMX and bronopol. However, this requires a thorough literature search, followed by an assessment (and scoring) of each toxicity value following the approach described in Warne et al. (2015) and Batley et al. (2015). Such an assessment is beyond the scope of the current project.</w:t>
      </w:r>
    </w:p>
    <w:p w14:paraId="5C748C3A" w14:textId="77777777" w:rsidR="00EC04F4" w:rsidRDefault="00EC04F4" w:rsidP="003B3B6E">
      <w:pPr>
        <w:pStyle w:val="Body"/>
      </w:pPr>
    </w:p>
    <w:p w14:paraId="51EBD523" w14:textId="16974D66" w:rsidR="00A75C84" w:rsidRPr="00A75C84" w:rsidRDefault="00A75C84" w:rsidP="00A75C84">
      <w:pPr>
        <w:pStyle w:val="Imagecaption"/>
        <w:keepNext/>
        <w:pBdr>
          <w:top w:val="none" w:sz="0" w:space="0" w:color="auto"/>
        </w:pBdr>
      </w:pPr>
      <w:bookmarkStart w:id="592" w:name="_Ref472442629"/>
      <w:bookmarkStart w:id="593" w:name="_Toc494444728"/>
      <w:r>
        <w:t xml:space="preserve">Table </w:t>
      </w:r>
      <w:r w:rsidR="00470577">
        <w:fldChar w:fldCharType="begin" w:fldLock="1"/>
      </w:r>
      <w:r w:rsidR="00470577">
        <w:instrText xml:space="preserve"> STYLEREF 1 \s </w:instrText>
      </w:r>
      <w:r w:rsidR="00470577">
        <w:fldChar w:fldCharType="separate"/>
      </w:r>
      <w:r w:rsidR="00335E79">
        <w:rPr>
          <w:noProof/>
        </w:rPr>
        <w:t>4</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11</w:t>
      </w:r>
      <w:r w:rsidR="00470577">
        <w:fldChar w:fldCharType="end"/>
      </w:r>
      <w:bookmarkEnd w:id="592"/>
      <w:r>
        <w:t xml:space="preserve"> </w:t>
      </w:r>
      <w:r w:rsidRPr="00D6215B">
        <w:t>Predicted no effect concentrations (PNEC) for the protection of aquatic freshwater biota and drinking water guideline concentrations for Australia</w:t>
      </w:r>
      <w:r>
        <w:t>.</w:t>
      </w:r>
      <w:bookmarkEnd w:id="593"/>
    </w:p>
    <w:tbl>
      <w:tblPr>
        <w:tblW w:w="8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2686"/>
        <w:gridCol w:w="1657"/>
        <w:gridCol w:w="2693"/>
      </w:tblGrid>
      <w:tr w:rsidR="00A75C84" w:rsidRPr="003B3AB5" w14:paraId="55BB2024" w14:textId="77777777" w:rsidTr="00A75C84">
        <w:trPr>
          <w:trHeight w:val="20"/>
        </w:trPr>
        <w:tc>
          <w:tcPr>
            <w:tcW w:w="1420" w:type="dxa"/>
            <w:shd w:val="clear" w:color="000000" w:fill="D9D9D9"/>
            <w:vAlign w:val="center"/>
            <w:hideMark/>
          </w:tcPr>
          <w:p w14:paraId="5F5C7EF2" w14:textId="77777777" w:rsidR="00A75C84" w:rsidRPr="00A75C84" w:rsidRDefault="00A75C84" w:rsidP="00A75C84">
            <w:pPr>
              <w:spacing w:after="0"/>
              <w:jc w:val="center"/>
              <w:rPr>
                <w:rFonts w:ascii="Calibri" w:eastAsia="Times New Roman" w:hAnsi="Calibri" w:cs="Times New Roman"/>
                <w:b/>
                <w:bCs/>
                <w:color w:val="000000"/>
                <w:sz w:val="18"/>
                <w:szCs w:val="18"/>
                <w:lang w:eastAsia="en-AU"/>
              </w:rPr>
            </w:pPr>
            <w:r w:rsidRPr="00A75C84">
              <w:rPr>
                <w:rFonts w:ascii="Calibri" w:eastAsia="Times New Roman" w:hAnsi="Calibri" w:cs="Times New Roman"/>
                <w:b/>
                <w:bCs/>
                <w:color w:val="000000"/>
                <w:sz w:val="18"/>
                <w:szCs w:val="18"/>
                <w:lang w:eastAsia="en-AU"/>
              </w:rPr>
              <w:t>CAS No.</w:t>
            </w:r>
          </w:p>
        </w:tc>
        <w:tc>
          <w:tcPr>
            <w:tcW w:w="2686" w:type="dxa"/>
            <w:shd w:val="clear" w:color="000000" w:fill="D9D9D9"/>
            <w:vAlign w:val="center"/>
            <w:hideMark/>
          </w:tcPr>
          <w:p w14:paraId="7A7F04F1" w14:textId="77777777" w:rsidR="00A75C84" w:rsidRPr="00A75C84" w:rsidRDefault="00A75C84" w:rsidP="00A75C84">
            <w:pPr>
              <w:spacing w:after="0"/>
              <w:jc w:val="center"/>
              <w:rPr>
                <w:rFonts w:ascii="Calibri" w:eastAsia="Times New Roman" w:hAnsi="Calibri" w:cs="Times New Roman"/>
                <w:b/>
                <w:bCs/>
                <w:color w:val="000000"/>
                <w:sz w:val="18"/>
                <w:szCs w:val="18"/>
                <w:lang w:eastAsia="en-AU"/>
              </w:rPr>
            </w:pPr>
            <w:r w:rsidRPr="00A75C84">
              <w:rPr>
                <w:rFonts w:ascii="Calibri" w:eastAsia="Times New Roman" w:hAnsi="Calibri" w:cs="Times New Roman"/>
                <w:b/>
                <w:bCs/>
                <w:color w:val="000000"/>
                <w:sz w:val="18"/>
                <w:szCs w:val="18"/>
                <w:lang w:eastAsia="en-AU"/>
              </w:rPr>
              <w:t>CAS Chemical Name</w:t>
            </w:r>
          </w:p>
        </w:tc>
        <w:tc>
          <w:tcPr>
            <w:tcW w:w="1657" w:type="dxa"/>
            <w:shd w:val="clear" w:color="000000" w:fill="D9D9D9"/>
            <w:vAlign w:val="center"/>
            <w:hideMark/>
          </w:tcPr>
          <w:p w14:paraId="75ED9B7E" w14:textId="77777777" w:rsidR="00A75C84" w:rsidRPr="00A75C84" w:rsidRDefault="00A75C84" w:rsidP="00A75C84">
            <w:pPr>
              <w:spacing w:after="0"/>
              <w:jc w:val="center"/>
              <w:rPr>
                <w:rFonts w:ascii="Calibri" w:eastAsia="Times New Roman" w:hAnsi="Calibri" w:cs="Times New Roman"/>
                <w:b/>
                <w:bCs/>
                <w:color w:val="000000"/>
                <w:sz w:val="18"/>
                <w:szCs w:val="18"/>
                <w:lang w:eastAsia="en-AU"/>
              </w:rPr>
            </w:pPr>
            <w:r w:rsidRPr="00A75C84">
              <w:rPr>
                <w:rFonts w:ascii="Calibri" w:eastAsia="Times New Roman" w:hAnsi="Calibri" w:cs="Times New Roman"/>
                <w:b/>
                <w:bCs/>
                <w:color w:val="000000"/>
                <w:sz w:val="18"/>
                <w:szCs w:val="18"/>
                <w:lang w:eastAsia="en-AU"/>
              </w:rPr>
              <w:t>PNEC (mg/L)</w:t>
            </w:r>
            <w:r w:rsidRPr="00A75C84">
              <w:rPr>
                <w:rFonts w:ascii="Calibri" w:eastAsia="Times New Roman" w:hAnsi="Calibri" w:cs="Times New Roman"/>
                <w:b/>
                <w:bCs/>
                <w:color w:val="000000"/>
                <w:sz w:val="18"/>
                <w:szCs w:val="18"/>
                <w:vertAlign w:val="superscript"/>
                <w:lang w:eastAsia="en-AU"/>
              </w:rPr>
              <w:t>a</w:t>
            </w:r>
          </w:p>
        </w:tc>
        <w:tc>
          <w:tcPr>
            <w:tcW w:w="2693" w:type="dxa"/>
            <w:shd w:val="clear" w:color="000000" w:fill="D9D9D9"/>
            <w:vAlign w:val="center"/>
            <w:hideMark/>
          </w:tcPr>
          <w:p w14:paraId="37731A0C" w14:textId="77777777" w:rsidR="00A75C84" w:rsidRPr="00A75C84" w:rsidRDefault="00A75C84" w:rsidP="00A75C84">
            <w:pPr>
              <w:spacing w:after="0"/>
              <w:jc w:val="center"/>
              <w:rPr>
                <w:rFonts w:ascii="Calibri" w:eastAsia="Times New Roman" w:hAnsi="Calibri" w:cs="Times New Roman"/>
                <w:b/>
                <w:bCs/>
                <w:color w:val="000000"/>
                <w:sz w:val="18"/>
                <w:szCs w:val="18"/>
                <w:lang w:eastAsia="en-AU"/>
              </w:rPr>
            </w:pPr>
            <w:r w:rsidRPr="00A75C84">
              <w:rPr>
                <w:rFonts w:ascii="Calibri" w:eastAsia="Times New Roman" w:hAnsi="Calibri" w:cs="Times New Roman"/>
                <w:b/>
                <w:bCs/>
                <w:color w:val="000000"/>
                <w:sz w:val="18"/>
                <w:szCs w:val="18"/>
                <w:lang w:eastAsia="en-AU"/>
              </w:rPr>
              <w:t>Drinking water guideline value (mg/L)</w:t>
            </w:r>
            <w:r w:rsidRPr="00A75C84">
              <w:rPr>
                <w:rFonts w:ascii="Calibri" w:eastAsia="Times New Roman" w:hAnsi="Calibri" w:cs="Times New Roman"/>
                <w:b/>
                <w:bCs/>
                <w:color w:val="000000"/>
                <w:sz w:val="18"/>
                <w:szCs w:val="18"/>
                <w:vertAlign w:val="superscript"/>
                <w:lang w:eastAsia="en-AU"/>
              </w:rPr>
              <w:t>b</w:t>
            </w:r>
          </w:p>
        </w:tc>
      </w:tr>
      <w:tr w:rsidR="00A75C84" w:rsidRPr="006C5C10" w14:paraId="18653962" w14:textId="77777777" w:rsidTr="00A75C84">
        <w:trPr>
          <w:trHeight w:val="20"/>
        </w:trPr>
        <w:tc>
          <w:tcPr>
            <w:tcW w:w="1420" w:type="dxa"/>
            <w:shd w:val="clear" w:color="auto" w:fill="auto"/>
            <w:vAlign w:val="center"/>
            <w:hideMark/>
          </w:tcPr>
          <w:p w14:paraId="06CCE07F"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95-48-7</w:t>
            </w:r>
          </w:p>
        </w:tc>
        <w:tc>
          <w:tcPr>
            <w:tcW w:w="2686" w:type="dxa"/>
            <w:shd w:val="clear" w:color="auto" w:fill="auto"/>
            <w:vAlign w:val="center"/>
            <w:hideMark/>
          </w:tcPr>
          <w:p w14:paraId="615EC216" w14:textId="1166BF9E"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2-methylphenol</w:t>
            </w:r>
            <w:r>
              <w:rPr>
                <w:rFonts w:ascii="Calibri" w:eastAsia="Times New Roman" w:hAnsi="Calibri" w:cs="Times New Roman"/>
                <w:color w:val="000000"/>
                <w:sz w:val="18"/>
                <w:szCs w:val="18"/>
                <w:lang w:eastAsia="en-AU"/>
              </w:rPr>
              <w:t xml:space="preserve"> </w:t>
            </w:r>
            <w:r w:rsidRPr="00A75C84">
              <w:rPr>
                <w:rFonts w:ascii="Calibri" w:eastAsia="Times New Roman" w:hAnsi="Calibri" w:cs="Times New Roman"/>
                <w:color w:val="000000"/>
                <w:sz w:val="18"/>
                <w:szCs w:val="18"/>
                <w:lang w:eastAsia="en-AU"/>
              </w:rPr>
              <w:t>(o-cresol)</w:t>
            </w:r>
          </w:p>
        </w:tc>
        <w:tc>
          <w:tcPr>
            <w:tcW w:w="1657" w:type="dxa"/>
            <w:shd w:val="clear" w:color="auto" w:fill="auto"/>
            <w:vAlign w:val="center"/>
            <w:hideMark/>
          </w:tcPr>
          <w:p w14:paraId="0B48C29A"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2693" w:type="dxa"/>
            <w:shd w:val="clear" w:color="auto" w:fill="auto"/>
            <w:noWrap/>
            <w:vAlign w:val="center"/>
            <w:hideMark/>
          </w:tcPr>
          <w:p w14:paraId="015E440C"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r>
      <w:tr w:rsidR="00A75C84" w:rsidRPr="006C5C10" w14:paraId="23D00708" w14:textId="77777777" w:rsidTr="00A75C84">
        <w:trPr>
          <w:trHeight w:val="20"/>
        </w:trPr>
        <w:tc>
          <w:tcPr>
            <w:tcW w:w="1420" w:type="dxa"/>
            <w:shd w:val="clear" w:color="auto" w:fill="auto"/>
            <w:vAlign w:val="center"/>
            <w:hideMark/>
          </w:tcPr>
          <w:p w14:paraId="7E5720D7"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91-20-3</w:t>
            </w:r>
          </w:p>
        </w:tc>
        <w:tc>
          <w:tcPr>
            <w:tcW w:w="2686" w:type="dxa"/>
            <w:shd w:val="clear" w:color="auto" w:fill="auto"/>
            <w:vAlign w:val="center"/>
            <w:hideMark/>
          </w:tcPr>
          <w:p w14:paraId="6F93E54E"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naphthalene</w:t>
            </w:r>
          </w:p>
        </w:tc>
        <w:tc>
          <w:tcPr>
            <w:tcW w:w="1657" w:type="dxa"/>
            <w:shd w:val="clear" w:color="auto" w:fill="auto"/>
            <w:vAlign w:val="center"/>
            <w:hideMark/>
          </w:tcPr>
          <w:p w14:paraId="17D0DA0C"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0.016</w:t>
            </w:r>
            <w:r w:rsidRPr="00A75C84">
              <w:rPr>
                <w:rFonts w:ascii="Calibri" w:eastAsia="Times New Roman" w:hAnsi="Calibri" w:cs="Times New Roman"/>
                <w:color w:val="000000"/>
                <w:sz w:val="18"/>
                <w:szCs w:val="18"/>
                <w:vertAlign w:val="superscript"/>
                <w:lang w:eastAsia="en-AU"/>
              </w:rPr>
              <w:t>c</w:t>
            </w:r>
          </w:p>
        </w:tc>
        <w:tc>
          <w:tcPr>
            <w:tcW w:w="2693" w:type="dxa"/>
            <w:shd w:val="clear" w:color="auto" w:fill="auto"/>
            <w:noWrap/>
            <w:vAlign w:val="center"/>
            <w:hideMark/>
          </w:tcPr>
          <w:p w14:paraId="4249C9D0"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r>
      <w:tr w:rsidR="00A75C84" w:rsidRPr="006C5C10" w14:paraId="4BA45771" w14:textId="77777777" w:rsidTr="00A75C84">
        <w:trPr>
          <w:trHeight w:val="20"/>
        </w:trPr>
        <w:tc>
          <w:tcPr>
            <w:tcW w:w="1420" w:type="dxa"/>
            <w:shd w:val="clear" w:color="auto" w:fill="auto"/>
            <w:vAlign w:val="center"/>
            <w:hideMark/>
          </w:tcPr>
          <w:p w14:paraId="7EAA88E8"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138-86-3</w:t>
            </w:r>
          </w:p>
        </w:tc>
        <w:tc>
          <w:tcPr>
            <w:tcW w:w="2686" w:type="dxa"/>
            <w:shd w:val="clear" w:color="auto" w:fill="auto"/>
            <w:vAlign w:val="center"/>
            <w:hideMark/>
          </w:tcPr>
          <w:p w14:paraId="6F5325AA"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limonene</w:t>
            </w:r>
          </w:p>
        </w:tc>
        <w:tc>
          <w:tcPr>
            <w:tcW w:w="1657" w:type="dxa"/>
            <w:shd w:val="clear" w:color="auto" w:fill="auto"/>
            <w:vAlign w:val="center"/>
            <w:hideMark/>
          </w:tcPr>
          <w:p w14:paraId="63D8CE7C"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2693" w:type="dxa"/>
            <w:shd w:val="clear" w:color="auto" w:fill="auto"/>
            <w:noWrap/>
            <w:vAlign w:val="center"/>
            <w:hideMark/>
          </w:tcPr>
          <w:p w14:paraId="0F766243"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r>
      <w:tr w:rsidR="00A75C84" w:rsidRPr="006C5C10" w14:paraId="6C0D7A6C" w14:textId="77777777" w:rsidTr="00A75C84">
        <w:trPr>
          <w:trHeight w:val="20"/>
        </w:trPr>
        <w:tc>
          <w:tcPr>
            <w:tcW w:w="1420" w:type="dxa"/>
            <w:shd w:val="clear" w:color="auto" w:fill="auto"/>
            <w:vAlign w:val="center"/>
            <w:hideMark/>
          </w:tcPr>
          <w:p w14:paraId="7ABB5F3E"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2691-41-0</w:t>
            </w:r>
          </w:p>
        </w:tc>
        <w:tc>
          <w:tcPr>
            <w:tcW w:w="2686" w:type="dxa"/>
            <w:shd w:val="clear" w:color="auto" w:fill="auto"/>
            <w:vAlign w:val="center"/>
            <w:hideMark/>
          </w:tcPr>
          <w:p w14:paraId="0141BB86"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HMX</w:t>
            </w:r>
          </w:p>
        </w:tc>
        <w:tc>
          <w:tcPr>
            <w:tcW w:w="1657" w:type="dxa"/>
            <w:shd w:val="clear" w:color="auto" w:fill="auto"/>
            <w:vAlign w:val="center"/>
            <w:hideMark/>
          </w:tcPr>
          <w:p w14:paraId="51C3A9AB"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2693" w:type="dxa"/>
            <w:shd w:val="clear" w:color="auto" w:fill="auto"/>
            <w:noWrap/>
            <w:vAlign w:val="center"/>
            <w:hideMark/>
          </w:tcPr>
          <w:p w14:paraId="5A50E27B"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r>
      <w:tr w:rsidR="00A75C84" w:rsidRPr="006C5C10" w14:paraId="71E8427D" w14:textId="77777777" w:rsidTr="00A75C84">
        <w:trPr>
          <w:trHeight w:val="20"/>
        </w:trPr>
        <w:tc>
          <w:tcPr>
            <w:tcW w:w="1420" w:type="dxa"/>
            <w:shd w:val="clear" w:color="auto" w:fill="auto"/>
            <w:noWrap/>
            <w:vAlign w:val="center"/>
            <w:hideMark/>
          </w:tcPr>
          <w:p w14:paraId="5C1E7718"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111-76-2</w:t>
            </w:r>
          </w:p>
        </w:tc>
        <w:tc>
          <w:tcPr>
            <w:tcW w:w="2686" w:type="dxa"/>
            <w:shd w:val="clear" w:color="auto" w:fill="auto"/>
            <w:noWrap/>
            <w:vAlign w:val="center"/>
            <w:hideMark/>
          </w:tcPr>
          <w:p w14:paraId="17CBC949"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2-butoxyethanol</w:t>
            </w:r>
          </w:p>
        </w:tc>
        <w:tc>
          <w:tcPr>
            <w:tcW w:w="1657" w:type="dxa"/>
            <w:shd w:val="clear" w:color="auto" w:fill="auto"/>
            <w:noWrap/>
            <w:vAlign w:val="center"/>
            <w:hideMark/>
          </w:tcPr>
          <w:p w14:paraId="7FF5A8C4"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0.165</w:t>
            </w:r>
            <w:r w:rsidRPr="00A75C84">
              <w:rPr>
                <w:rFonts w:ascii="Calibri" w:eastAsia="Times New Roman" w:hAnsi="Calibri" w:cs="Times New Roman"/>
                <w:color w:val="000000"/>
                <w:sz w:val="18"/>
                <w:szCs w:val="18"/>
                <w:vertAlign w:val="superscript"/>
                <w:lang w:eastAsia="en-AU"/>
              </w:rPr>
              <w:t>d</w:t>
            </w:r>
          </w:p>
        </w:tc>
        <w:tc>
          <w:tcPr>
            <w:tcW w:w="2693" w:type="dxa"/>
            <w:shd w:val="clear" w:color="auto" w:fill="auto"/>
            <w:noWrap/>
            <w:vAlign w:val="center"/>
            <w:hideMark/>
          </w:tcPr>
          <w:p w14:paraId="0E5870B3"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r>
      <w:tr w:rsidR="00A75C84" w:rsidRPr="006C5C10" w14:paraId="5AD401C2" w14:textId="77777777" w:rsidTr="00A75C84">
        <w:trPr>
          <w:trHeight w:val="20"/>
        </w:trPr>
        <w:tc>
          <w:tcPr>
            <w:tcW w:w="1420" w:type="dxa"/>
            <w:shd w:val="clear" w:color="auto" w:fill="auto"/>
            <w:noWrap/>
            <w:vAlign w:val="center"/>
            <w:hideMark/>
          </w:tcPr>
          <w:p w14:paraId="764BAFD7"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52-51-7</w:t>
            </w:r>
          </w:p>
        </w:tc>
        <w:tc>
          <w:tcPr>
            <w:tcW w:w="2686" w:type="dxa"/>
            <w:shd w:val="clear" w:color="auto" w:fill="auto"/>
            <w:noWrap/>
            <w:vAlign w:val="center"/>
            <w:hideMark/>
          </w:tcPr>
          <w:p w14:paraId="50A5C3D0"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bronopol</w:t>
            </w:r>
          </w:p>
        </w:tc>
        <w:tc>
          <w:tcPr>
            <w:tcW w:w="1657" w:type="dxa"/>
            <w:shd w:val="clear" w:color="auto" w:fill="auto"/>
            <w:noWrap/>
            <w:vAlign w:val="center"/>
            <w:hideMark/>
          </w:tcPr>
          <w:p w14:paraId="0255F462"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2693" w:type="dxa"/>
            <w:shd w:val="clear" w:color="auto" w:fill="auto"/>
            <w:noWrap/>
            <w:vAlign w:val="center"/>
            <w:hideMark/>
          </w:tcPr>
          <w:p w14:paraId="368D03B5"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r>
      <w:tr w:rsidR="00A75C84" w:rsidRPr="006C5C10" w14:paraId="02F97889" w14:textId="77777777" w:rsidTr="00A75C84">
        <w:trPr>
          <w:trHeight w:val="20"/>
        </w:trPr>
        <w:tc>
          <w:tcPr>
            <w:tcW w:w="1420" w:type="dxa"/>
            <w:shd w:val="clear" w:color="auto" w:fill="auto"/>
            <w:noWrap/>
            <w:vAlign w:val="center"/>
            <w:hideMark/>
          </w:tcPr>
          <w:p w14:paraId="12545981"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26172-55-4</w:t>
            </w:r>
          </w:p>
        </w:tc>
        <w:tc>
          <w:tcPr>
            <w:tcW w:w="2686" w:type="dxa"/>
            <w:shd w:val="clear" w:color="auto" w:fill="auto"/>
            <w:noWrap/>
            <w:vAlign w:val="center"/>
            <w:hideMark/>
          </w:tcPr>
          <w:p w14:paraId="48FA5E2A"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MCI</w:t>
            </w:r>
          </w:p>
        </w:tc>
        <w:tc>
          <w:tcPr>
            <w:tcW w:w="1657" w:type="dxa"/>
            <w:shd w:val="clear" w:color="auto" w:fill="auto"/>
            <w:noWrap/>
            <w:vAlign w:val="center"/>
            <w:hideMark/>
          </w:tcPr>
          <w:p w14:paraId="47FB42DB"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2693" w:type="dxa"/>
            <w:shd w:val="clear" w:color="auto" w:fill="auto"/>
            <w:noWrap/>
            <w:vAlign w:val="center"/>
            <w:hideMark/>
          </w:tcPr>
          <w:p w14:paraId="0D409DFC"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r>
      <w:tr w:rsidR="00A75C84" w:rsidRPr="006C5C10" w14:paraId="58F19C38" w14:textId="77777777" w:rsidTr="00A75C84">
        <w:trPr>
          <w:trHeight w:val="20"/>
        </w:trPr>
        <w:tc>
          <w:tcPr>
            <w:tcW w:w="1420" w:type="dxa"/>
            <w:shd w:val="clear" w:color="auto" w:fill="auto"/>
            <w:noWrap/>
            <w:vAlign w:val="center"/>
            <w:hideMark/>
          </w:tcPr>
          <w:p w14:paraId="3791C4C9"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9003-05-8</w:t>
            </w:r>
          </w:p>
        </w:tc>
        <w:tc>
          <w:tcPr>
            <w:tcW w:w="2686" w:type="dxa"/>
            <w:shd w:val="clear" w:color="auto" w:fill="auto"/>
            <w:noWrap/>
            <w:vAlign w:val="center"/>
            <w:hideMark/>
          </w:tcPr>
          <w:p w14:paraId="6E372285" w14:textId="51B40078" w:rsidR="00A75C84" w:rsidRPr="00A75C84" w:rsidRDefault="00A75C84" w:rsidP="00A75C84">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a</w:t>
            </w:r>
            <w:r w:rsidRPr="00A75C84">
              <w:rPr>
                <w:rFonts w:ascii="Calibri" w:eastAsia="Times New Roman" w:hAnsi="Calibri" w:cs="Times New Roman"/>
                <w:color w:val="000000"/>
                <w:sz w:val="18"/>
                <w:szCs w:val="18"/>
                <w:lang w:eastAsia="en-AU"/>
              </w:rPr>
              <w:t>crylamide polymer</w:t>
            </w:r>
          </w:p>
        </w:tc>
        <w:tc>
          <w:tcPr>
            <w:tcW w:w="1657" w:type="dxa"/>
            <w:shd w:val="clear" w:color="auto" w:fill="auto"/>
            <w:noWrap/>
            <w:vAlign w:val="center"/>
            <w:hideMark/>
          </w:tcPr>
          <w:p w14:paraId="54342E71"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2693" w:type="dxa"/>
            <w:shd w:val="clear" w:color="auto" w:fill="auto"/>
            <w:noWrap/>
            <w:vAlign w:val="center"/>
            <w:hideMark/>
          </w:tcPr>
          <w:p w14:paraId="70E69511"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r>
      <w:tr w:rsidR="00A75C84" w:rsidRPr="006C5C10" w14:paraId="0EED692A" w14:textId="77777777" w:rsidTr="00A75C84">
        <w:trPr>
          <w:trHeight w:val="20"/>
        </w:trPr>
        <w:tc>
          <w:tcPr>
            <w:tcW w:w="1420" w:type="dxa"/>
            <w:shd w:val="clear" w:color="auto" w:fill="auto"/>
            <w:noWrap/>
            <w:vAlign w:val="center"/>
          </w:tcPr>
          <w:p w14:paraId="4802F1AD" w14:textId="1384BF26" w:rsidR="00A75C84" w:rsidRPr="006016ED" w:rsidRDefault="00A84110" w:rsidP="006016ED">
            <w:pPr>
              <w:spacing w:after="0"/>
              <w:jc w:val="center"/>
              <w:rPr>
                <w:rFonts w:ascii="Calibri" w:eastAsia="Times New Roman" w:hAnsi="Calibri" w:cs="Times New Roman"/>
                <w:color w:val="000000"/>
                <w:sz w:val="18"/>
                <w:szCs w:val="18"/>
                <w:lang w:eastAsia="en-AU"/>
              </w:rPr>
            </w:pPr>
            <w:r w:rsidRPr="006016ED">
              <w:rPr>
                <w:rFonts w:ascii="Calibri" w:eastAsia="Times New Roman" w:hAnsi="Calibri" w:cs="Times New Roman"/>
                <w:color w:val="000000"/>
                <w:sz w:val="18"/>
                <w:szCs w:val="18"/>
                <w:lang w:eastAsia="en-AU"/>
              </w:rPr>
              <w:t>10043-35-3</w:t>
            </w:r>
          </w:p>
        </w:tc>
        <w:tc>
          <w:tcPr>
            <w:tcW w:w="2686" w:type="dxa"/>
            <w:shd w:val="clear" w:color="auto" w:fill="auto"/>
            <w:noWrap/>
            <w:vAlign w:val="center"/>
          </w:tcPr>
          <w:p w14:paraId="33FE51D1" w14:textId="181CAA46" w:rsidR="00A75C84" w:rsidRPr="00A75C84" w:rsidRDefault="00A75C84" w:rsidP="00A75C84">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b</w:t>
            </w:r>
            <w:r w:rsidRPr="00A75C84">
              <w:rPr>
                <w:rFonts w:ascii="Calibri" w:eastAsia="Times New Roman" w:hAnsi="Calibri" w:cs="Times New Roman"/>
                <w:color w:val="000000"/>
                <w:sz w:val="18"/>
                <w:szCs w:val="18"/>
                <w:lang w:eastAsia="en-AU"/>
              </w:rPr>
              <w:t xml:space="preserve">oron </w:t>
            </w:r>
          </w:p>
          <w:p w14:paraId="3E957BD8" w14:textId="1A5140C2" w:rsidR="00A75C84" w:rsidRPr="00A75C84" w:rsidRDefault="00A75C84" w:rsidP="00A84110">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(boric acid, H</w:t>
            </w:r>
            <w:r w:rsidRPr="00A75C84">
              <w:rPr>
                <w:rFonts w:ascii="Calibri" w:eastAsia="Times New Roman" w:hAnsi="Calibri" w:cs="Times New Roman"/>
                <w:color w:val="000000"/>
                <w:sz w:val="18"/>
                <w:szCs w:val="18"/>
                <w:vertAlign w:val="subscript"/>
                <w:lang w:eastAsia="en-AU"/>
              </w:rPr>
              <w:t>3</w:t>
            </w:r>
            <w:r w:rsidRPr="00A75C84">
              <w:rPr>
                <w:rFonts w:ascii="Calibri" w:eastAsia="Times New Roman" w:hAnsi="Calibri" w:cs="Times New Roman"/>
                <w:color w:val="000000"/>
                <w:sz w:val="18"/>
                <w:szCs w:val="18"/>
                <w:lang w:eastAsia="en-AU"/>
              </w:rPr>
              <w:t>BO</w:t>
            </w:r>
            <w:r w:rsidRPr="00A75C84">
              <w:rPr>
                <w:rFonts w:ascii="Calibri" w:eastAsia="Times New Roman" w:hAnsi="Calibri" w:cs="Times New Roman"/>
                <w:color w:val="000000"/>
                <w:sz w:val="18"/>
                <w:szCs w:val="18"/>
                <w:vertAlign w:val="subscript"/>
                <w:lang w:eastAsia="en-AU"/>
              </w:rPr>
              <w:t>3</w:t>
            </w:r>
            <w:r w:rsidRPr="00A75C84">
              <w:rPr>
                <w:rFonts w:ascii="Calibri" w:eastAsia="Times New Roman" w:hAnsi="Calibri" w:cs="Times New Roman"/>
                <w:color w:val="000000"/>
                <w:sz w:val="18"/>
                <w:szCs w:val="18"/>
                <w:lang w:eastAsia="en-AU"/>
              </w:rPr>
              <w:t xml:space="preserve">) </w:t>
            </w:r>
          </w:p>
        </w:tc>
        <w:tc>
          <w:tcPr>
            <w:tcW w:w="1657" w:type="dxa"/>
            <w:shd w:val="clear" w:color="auto" w:fill="auto"/>
            <w:noWrap/>
            <w:vAlign w:val="center"/>
          </w:tcPr>
          <w:p w14:paraId="07BCDACC"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0.830</w:t>
            </w:r>
            <w:r w:rsidRPr="00A75C84">
              <w:rPr>
                <w:rFonts w:ascii="Calibri" w:eastAsia="Times New Roman" w:hAnsi="Calibri" w:cs="Times New Roman"/>
                <w:color w:val="000000"/>
                <w:sz w:val="18"/>
                <w:szCs w:val="18"/>
                <w:vertAlign w:val="superscript"/>
                <w:lang w:eastAsia="en-AU"/>
              </w:rPr>
              <w:t>e</w:t>
            </w:r>
          </w:p>
        </w:tc>
        <w:tc>
          <w:tcPr>
            <w:tcW w:w="2693" w:type="dxa"/>
            <w:shd w:val="clear" w:color="auto" w:fill="auto"/>
            <w:noWrap/>
            <w:vAlign w:val="center"/>
          </w:tcPr>
          <w:p w14:paraId="732288F7"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4</w:t>
            </w:r>
          </w:p>
        </w:tc>
      </w:tr>
      <w:tr w:rsidR="00A75C84" w:rsidRPr="006C5C10" w14:paraId="2C586878" w14:textId="77777777" w:rsidTr="00A75C84">
        <w:trPr>
          <w:trHeight w:val="20"/>
        </w:trPr>
        <w:tc>
          <w:tcPr>
            <w:tcW w:w="1420" w:type="dxa"/>
            <w:vMerge w:val="restart"/>
            <w:shd w:val="clear" w:color="auto" w:fill="auto"/>
            <w:noWrap/>
            <w:vAlign w:val="center"/>
            <w:hideMark/>
          </w:tcPr>
          <w:p w14:paraId="3A496BA7" w14:textId="77777777" w:rsidR="006016ED" w:rsidRPr="006016ED" w:rsidRDefault="00900E5C" w:rsidP="006016ED">
            <w:pPr>
              <w:spacing w:after="0"/>
              <w:jc w:val="center"/>
              <w:rPr>
                <w:rFonts w:ascii="Calibri" w:eastAsia="Times New Roman" w:hAnsi="Calibri" w:cs="Times New Roman"/>
                <w:color w:val="000000"/>
                <w:sz w:val="18"/>
                <w:szCs w:val="18"/>
                <w:lang w:eastAsia="en-AU"/>
              </w:rPr>
            </w:pPr>
            <w:hyperlink r:id="rId182" w:history="1">
              <w:r w:rsidR="006016ED" w:rsidRPr="006016ED">
                <w:rPr>
                  <w:rFonts w:ascii="Calibri" w:eastAsia="Times New Roman" w:hAnsi="Calibri" w:cs="Times New Roman"/>
                  <w:color w:val="000000"/>
                  <w:sz w:val="18"/>
                  <w:szCs w:val="18"/>
                  <w:lang w:eastAsia="en-AU"/>
                </w:rPr>
                <w:t>7440-61-1</w:t>
              </w:r>
            </w:hyperlink>
          </w:p>
          <w:p w14:paraId="44E8266E" w14:textId="66A5E2BA" w:rsidR="00A75C84" w:rsidRPr="00A75C84" w:rsidRDefault="00A75C84" w:rsidP="006016ED">
            <w:pPr>
              <w:spacing w:after="0"/>
              <w:jc w:val="center"/>
              <w:rPr>
                <w:rFonts w:ascii="Calibri" w:eastAsia="Times New Roman" w:hAnsi="Calibri" w:cs="Times New Roman"/>
                <w:color w:val="000000"/>
                <w:sz w:val="18"/>
                <w:szCs w:val="18"/>
                <w:lang w:eastAsia="en-AU"/>
              </w:rPr>
            </w:pPr>
          </w:p>
        </w:tc>
        <w:tc>
          <w:tcPr>
            <w:tcW w:w="2686" w:type="dxa"/>
            <w:vMerge w:val="restart"/>
            <w:shd w:val="clear" w:color="auto" w:fill="auto"/>
            <w:noWrap/>
            <w:vAlign w:val="center"/>
            <w:hideMark/>
          </w:tcPr>
          <w:p w14:paraId="19173051" w14:textId="18C5E405" w:rsidR="00A75C84" w:rsidRPr="00A75C84" w:rsidRDefault="00A75C84" w:rsidP="00A75C84">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u</w:t>
            </w:r>
            <w:r w:rsidRPr="00A75C84">
              <w:rPr>
                <w:rFonts w:ascii="Calibri" w:eastAsia="Times New Roman" w:hAnsi="Calibri" w:cs="Times New Roman"/>
                <w:color w:val="000000"/>
                <w:sz w:val="18"/>
                <w:szCs w:val="18"/>
                <w:lang w:eastAsia="en-AU"/>
              </w:rPr>
              <w:t>ranium</w:t>
            </w:r>
          </w:p>
        </w:tc>
        <w:tc>
          <w:tcPr>
            <w:tcW w:w="1657" w:type="dxa"/>
            <w:shd w:val="clear" w:color="auto" w:fill="auto"/>
            <w:noWrap/>
            <w:vAlign w:val="center"/>
            <w:hideMark/>
          </w:tcPr>
          <w:p w14:paraId="29A54B8C"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0.0005</w:t>
            </w:r>
            <w:r w:rsidRPr="00A75C84">
              <w:rPr>
                <w:rFonts w:ascii="Calibri" w:eastAsia="Times New Roman" w:hAnsi="Calibri" w:cs="Times New Roman"/>
                <w:color w:val="000000"/>
                <w:sz w:val="18"/>
                <w:szCs w:val="18"/>
                <w:vertAlign w:val="superscript"/>
                <w:lang w:eastAsia="en-AU"/>
              </w:rPr>
              <w:t>f</w:t>
            </w:r>
          </w:p>
        </w:tc>
        <w:tc>
          <w:tcPr>
            <w:tcW w:w="2693" w:type="dxa"/>
            <w:shd w:val="clear" w:color="auto" w:fill="auto"/>
            <w:noWrap/>
            <w:vAlign w:val="center"/>
            <w:hideMark/>
          </w:tcPr>
          <w:p w14:paraId="45501592"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0.0017</w:t>
            </w:r>
          </w:p>
        </w:tc>
      </w:tr>
      <w:tr w:rsidR="00A75C84" w:rsidRPr="006C5C10" w14:paraId="65AC2896" w14:textId="77777777" w:rsidTr="00A75C84">
        <w:trPr>
          <w:trHeight w:val="20"/>
        </w:trPr>
        <w:tc>
          <w:tcPr>
            <w:tcW w:w="1420" w:type="dxa"/>
            <w:vMerge/>
            <w:shd w:val="clear" w:color="auto" w:fill="auto"/>
            <w:noWrap/>
            <w:vAlign w:val="center"/>
          </w:tcPr>
          <w:p w14:paraId="56AC82AF"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p>
        </w:tc>
        <w:tc>
          <w:tcPr>
            <w:tcW w:w="2686" w:type="dxa"/>
            <w:vMerge/>
            <w:shd w:val="clear" w:color="auto" w:fill="auto"/>
            <w:noWrap/>
            <w:vAlign w:val="center"/>
          </w:tcPr>
          <w:p w14:paraId="331E4B2B"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p>
        </w:tc>
        <w:tc>
          <w:tcPr>
            <w:tcW w:w="1657" w:type="dxa"/>
            <w:shd w:val="clear" w:color="auto" w:fill="auto"/>
            <w:noWrap/>
            <w:vAlign w:val="center"/>
          </w:tcPr>
          <w:p w14:paraId="2C367110"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0.015</w:t>
            </w:r>
            <w:r w:rsidRPr="00A75C84">
              <w:rPr>
                <w:rFonts w:ascii="Calibri" w:eastAsia="Times New Roman" w:hAnsi="Calibri" w:cs="Times New Roman"/>
                <w:color w:val="000000"/>
                <w:sz w:val="18"/>
                <w:szCs w:val="18"/>
                <w:vertAlign w:val="superscript"/>
                <w:lang w:eastAsia="en-AU"/>
              </w:rPr>
              <w:t>g</w:t>
            </w:r>
          </w:p>
        </w:tc>
        <w:tc>
          <w:tcPr>
            <w:tcW w:w="2693" w:type="dxa"/>
            <w:shd w:val="clear" w:color="auto" w:fill="auto"/>
            <w:noWrap/>
            <w:vAlign w:val="center"/>
          </w:tcPr>
          <w:p w14:paraId="3F9C2E61"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 xml:space="preserve"> </w:t>
            </w:r>
          </w:p>
        </w:tc>
      </w:tr>
      <w:tr w:rsidR="00A75C84" w:rsidRPr="006C5C10" w14:paraId="0A64D607" w14:textId="77777777" w:rsidTr="00A75C84">
        <w:trPr>
          <w:trHeight w:val="20"/>
        </w:trPr>
        <w:tc>
          <w:tcPr>
            <w:tcW w:w="1420" w:type="dxa"/>
            <w:shd w:val="clear" w:color="auto" w:fill="auto"/>
            <w:noWrap/>
            <w:vAlign w:val="center"/>
            <w:hideMark/>
          </w:tcPr>
          <w:p w14:paraId="189DEB2B" w14:textId="4D452516" w:rsidR="00A75C84" w:rsidRPr="006016ED" w:rsidRDefault="00900E5C" w:rsidP="006016ED">
            <w:pPr>
              <w:spacing w:after="0"/>
              <w:jc w:val="center"/>
              <w:rPr>
                <w:rFonts w:ascii="Calibri" w:eastAsia="Times New Roman" w:hAnsi="Calibri" w:cs="Times New Roman"/>
                <w:color w:val="000000"/>
                <w:sz w:val="18"/>
                <w:szCs w:val="18"/>
                <w:lang w:eastAsia="en-AU"/>
              </w:rPr>
            </w:pPr>
            <w:hyperlink r:id="rId183" w:history="1">
              <w:r w:rsidR="006016ED" w:rsidRPr="006016ED">
                <w:rPr>
                  <w:rFonts w:ascii="Calibri" w:eastAsia="Times New Roman" w:hAnsi="Calibri" w:cs="Times New Roman"/>
                  <w:color w:val="000000"/>
                  <w:sz w:val="18"/>
                  <w:szCs w:val="18"/>
                  <w:lang w:eastAsia="en-AU"/>
                </w:rPr>
                <w:t>7440-39-3</w:t>
              </w:r>
            </w:hyperlink>
          </w:p>
        </w:tc>
        <w:tc>
          <w:tcPr>
            <w:tcW w:w="2686" w:type="dxa"/>
            <w:shd w:val="clear" w:color="auto" w:fill="auto"/>
            <w:noWrap/>
            <w:vAlign w:val="center"/>
            <w:hideMark/>
          </w:tcPr>
          <w:p w14:paraId="7D53A0F1" w14:textId="4163E37D" w:rsidR="00A75C84" w:rsidRPr="00A75C84" w:rsidRDefault="00A75C84" w:rsidP="00A75C84">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b</w:t>
            </w:r>
            <w:r w:rsidRPr="00A75C84">
              <w:rPr>
                <w:rFonts w:ascii="Calibri" w:eastAsia="Times New Roman" w:hAnsi="Calibri" w:cs="Times New Roman"/>
                <w:color w:val="000000"/>
                <w:sz w:val="18"/>
                <w:szCs w:val="18"/>
                <w:lang w:eastAsia="en-AU"/>
              </w:rPr>
              <w:t>arium</w:t>
            </w:r>
          </w:p>
        </w:tc>
        <w:tc>
          <w:tcPr>
            <w:tcW w:w="1657" w:type="dxa"/>
            <w:shd w:val="clear" w:color="auto" w:fill="auto"/>
            <w:noWrap/>
            <w:vAlign w:val="center"/>
            <w:hideMark/>
          </w:tcPr>
          <w:p w14:paraId="0C5232F8"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2693" w:type="dxa"/>
            <w:shd w:val="clear" w:color="auto" w:fill="auto"/>
            <w:noWrap/>
            <w:vAlign w:val="center"/>
            <w:hideMark/>
          </w:tcPr>
          <w:p w14:paraId="4879F97C"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2</w:t>
            </w:r>
          </w:p>
        </w:tc>
      </w:tr>
      <w:tr w:rsidR="00A75C84" w:rsidRPr="003B3AB5" w14:paraId="7FCB9C94" w14:textId="77777777" w:rsidTr="00A75C84">
        <w:trPr>
          <w:trHeight w:val="20"/>
        </w:trPr>
        <w:tc>
          <w:tcPr>
            <w:tcW w:w="1420" w:type="dxa"/>
            <w:shd w:val="clear" w:color="auto" w:fill="auto"/>
            <w:noWrap/>
            <w:vAlign w:val="center"/>
            <w:hideMark/>
          </w:tcPr>
          <w:p w14:paraId="59738510" w14:textId="55123A63" w:rsidR="00A75C84" w:rsidRPr="006016ED" w:rsidRDefault="00900E5C" w:rsidP="006016ED">
            <w:pPr>
              <w:spacing w:after="0"/>
              <w:jc w:val="center"/>
              <w:rPr>
                <w:rFonts w:ascii="Calibri" w:eastAsia="Times New Roman" w:hAnsi="Calibri" w:cs="Times New Roman"/>
                <w:color w:val="000000"/>
                <w:sz w:val="18"/>
                <w:szCs w:val="18"/>
                <w:lang w:eastAsia="en-AU"/>
              </w:rPr>
            </w:pPr>
            <w:hyperlink r:id="rId184" w:history="1">
              <w:r w:rsidR="006016ED" w:rsidRPr="006016ED">
                <w:rPr>
                  <w:rFonts w:ascii="Calibri" w:eastAsia="Times New Roman" w:hAnsi="Calibri" w:cs="Times New Roman"/>
                  <w:color w:val="000000"/>
                  <w:sz w:val="18"/>
                  <w:szCs w:val="18"/>
                  <w:lang w:eastAsia="en-AU"/>
                </w:rPr>
                <w:t>7440-38-2</w:t>
              </w:r>
            </w:hyperlink>
          </w:p>
        </w:tc>
        <w:tc>
          <w:tcPr>
            <w:tcW w:w="2686" w:type="dxa"/>
            <w:shd w:val="clear" w:color="auto" w:fill="auto"/>
            <w:noWrap/>
            <w:vAlign w:val="center"/>
            <w:hideMark/>
          </w:tcPr>
          <w:p w14:paraId="3FC48B55" w14:textId="7A364F28" w:rsidR="00A75C84" w:rsidRPr="00A75C84" w:rsidRDefault="00A75C84" w:rsidP="00A75C84">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a</w:t>
            </w:r>
            <w:r w:rsidRPr="00A75C84">
              <w:rPr>
                <w:rFonts w:ascii="Calibri" w:eastAsia="Times New Roman" w:hAnsi="Calibri" w:cs="Times New Roman"/>
                <w:color w:val="000000"/>
                <w:sz w:val="18"/>
                <w:szCs w:val="18"/>
                <w:lang w:eastAsia="en-AU"/>
              </w:rPr>
              <w:t>rsenic</w:t>
            </w:r>
          </w:p>
        </w:tc>
        <w:tc>
          <w:tcPr>
            <w:tcW w:w="1657" w:type="dxa"/>
            <w:shd w:val="clear" w:color="auto" w:fill="auto"/>
            <w:noWrap/>
            <w:vAlign w:val="center"/>
            <w:hideMark/>
          </w:tcPr>
          <w:p w14:paraId="72221185"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0.013 – As(V)</w:t>
            </w:r>
            <w:r w:rsidRPr="00A75C84">
              <w:rPr>
                <w:rFonts w:ascii="Calibri" w:eastAsia="Times New Roman" w:hAnsi="Calibri" w:cs="Times New Roman"/>
                <w:color w:val="000000"/>
                <w:sz w:val="18"/>
                <w:szCs w:val="18"/>
                <w:vertAlign w:val="superscript"/>
                <w:lang w:eastAsia="en-AU"/>
              </w:rPr>
              <w:t>h</w:t>
            </w:r>
          </w:p>
          <w:p w14:paraId="20070CC3"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0.024 – As(III)</w:t>
            </w:r>
            <w:r w:rsidRPr="00A75C84">
              <w:rPr>
                <w:rFonts w:ascii="Calibri" w:eastAsia="Times New Roman" w:hAnsi="Calibri" w:cs="Times New Roman"/>
                <w:color w:val="000000"/>
                <w:sz w:val="18"/>
                <w:szCs w:val="18"/>
                <w:vertAlign w:val="superscript"/>
                <w:lang w:eastAsia="en-AU"/>
              </w:rPr>
              <w:t>h</w:t>
            </w:r>
          </w:p>
        </w:tc>
        <w:tc>
          <w:tcPr>
            <w:tcW w:w="2693" w:type="dxa"/>
            <w:shd w:val="clear" w:color="auto" w:fill="auto"/>
            <w:noWrap/>
            <w:vAlign w:val="center"/>
            <w:hideMark/>
          </w:tcPr>
          <w:p w14:paraId="4981489D" w14:textId="77777777" w:rsidR="00A75C84" w:rsidRPr="00A75C84" w:rsidRDefault="00A75C84" w:rsidP="00A75C84">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0.01</w:t>
            </w:r>
          </w:p>
        </w:tc>
      </w:tr>
    </w:tbl>
    <w:p w14:paraId="16C97DAC" w14:textId="371A6256" w:rsidR="003B3B6E" w:rsidRDefault="00A75C84" w:rsidP="00D34E97">
      <w:pPr>
        <w:pStyle w:val="Body"/>
        <w:spacing w:line="200" w:lineRule="atLeast"/>
      </w:pPr>
      <w:r w:rsidRPr="00196621">
        <w:rPr>
          <w:vertAlign w:val="superscript"/>
        </w:rPr>
        <w:t>a</w:t>
      </w:r>
      <w:r w:rsidRPr="00196621">
        <w:t xml:space="preserve"> </w:t>
      </w:r>
      <w:r w:rsidRPr="00D34E97">
        <w:rPr>
          <w:sz w:val="16"/>
          <w:szCs w:val="16"/>
        </w:rPr>
        <w:t xml:space="preserve">Australian and New Zealand water quality guideline values (PC95 values; ANZECC/ARMCANZ 2000) unless stated otherwise; </w:t>
      </w:r>
      <w:r w:rsidRPr="00D34E97">
        <w:rPr>
          <w:vertAlign w:val="superscript"/>
        </w:rPr>
        <w:t>b</w:t>
      </w:r>
      <w:r w:rsidRPr="00D34E97">
        <w:rPr>
          <w:sz w:val="16"/>
          <w:szCs w:val="16"/>
        </w:rPr>
        <w:t xml:space="preserve"> Australian Drinking Water Guideline (N</w:t>
      </w:r>
      <w:r w:rsidR="00C9769E">
        <w:rPr>
          <w:sz w:val="16"/>
          <w:szCs w:val="16"/>
        </w:rPr>
        <w:t>H</w:t>
      </w:r>
      <w:r w:rsidRPr="00D34E97">
        <w:rPr>
          <w:sz w:val="16"/>
          <w:szCs w:val="16"/>
        </w:rPr>
        <w:t>M</w:t>
      </w:r>
      <w:r w:rsidR="00C9769E">
        <w:rPr>
          <w:sz w:val="16"/>
          <w:szCs w:val="16"/>
        </w:rPr>
        <w:t>R</w:t>
      </w:r>
      <w:r w:rsidRPr="00D34E97">
        <w:rPr>
          <w:sz w:val="16"/>
          <w:szCs w:val="16"/>
        </w:rPr>
        <w:t xml:space="preserve">C </w:t>
      </w:r>
      <w:r w:rsidR="00336460">
        <w:rPr>
          <w:sz w:val="16"/>
          <w:szCs w:val="16"/>
        </w:rPr>
        <w:t xml:space="preserve">and NRMMC </w:t>
      </w:r>
      <w:r w:rsidRPr="00D34E97">
        <w:rPr>
          <w:sz w:val="16"/>
          <w:szCs w:val="16"/>
        </w:rPr>
        <w:t>201</w:t>
      </w:r>
      <w:r w:rsidR="00336460">
        <w:rPr>
          <w:sz w:val="16"/>
          <w:szCs w:val="16"/>
        </w:rPr>
        <w:t>1</w:t>
      </w:r>
      <w:r w:rsidRPr="00D34E97">
        <w:rPr>
          <w:sz w:val="16"/>
          <w:szCs w:val="16"/>
        </w:rPr>
        <w:t xml:space="preserve">); </w:t>
      </w:r>
      <w:r w:rsidRPr="00D34E97">
        <w:rPr>
          <w:vertAlign w:val="superscript"/>
        </w:rPr>
        <w:t>c</w:t>
      </w:r>
      <w:r w:rsidRPr="00D34E97">
        <w:rPr>
          <w:sz w:val="16"/>
          <w:szCs w:val="16"/>
        </w:rPr>
        <w:t xml:space="preserve"> Moderate reliability (ANZECC/ARMCANZ 2000); </w:t>
      </w:r>
      <w:r w:rsidRPr="00D34E97">
        <w:rPr>
          <w:vertAlign w:val="superscript"/>
        </w:rPr>
        <w:t>d</w:t>
      </w:r>
      <w:r w:rsidRPr="00D34E97">
        <w:rPr>
          <w:sz w:val="16"/>
          <w:szCs w:val="16"/>
        </w:rPr>
        <w:t xml:space="preserve"> Based on the toxicity of the freshwater fish golden ide (</w:t>
      </w:r>
      <w:r w:rsidRPr="00A003B6">
        <w:rPr>
          <w:i/>
          <w:sz w:val="16"/>
          <w:szCs w:val="16"/>
        </w:rPr>
        <w:t>Leuciscus idus melanotus</w:t>
      </w:r>
      <w:r w:rsidRPr="00D34E97">
        <w:rPr>
          <w:sz w:val="16"/>
          <w:szCs w:val="16"/>
        </w:rPr>
        <w:t xml:space="preserve">) 48-h LC50 (165 mg/L) divided by an assessment factor of 1000 for protection of freshwater and estuarine environment (WHO 1998); </w:t>
      </w:r>
      <w:r w:rsidRPr="00D34E97">
        <w:rPr>
          <w:vertAlign w:val="superscript"/>
        </w:rPr>
        <w:t>e</w:t>
      </w:r>
      <w:r w:rsidRPr="00D34E97">
        <w:rPr>
          <w:sz w:val="16"/>
          <w:szCs w:val="16"/>
        </w:rPr>
        <w:t xml:space="preserve"> Revised water quality guideline submitted to the Department of Agriculture and Water Resources, September 2016. Very high reliability; </w:t>
      </w:r>
      <w:r w:rsidRPr="00D34E97">
        <w:rPr>
          <w:vertAlign w:val="superscript"/>
        </w:rPr>
        <w:t>f</w:t>
      </w:r>
      <w:r w:rsidRPr="00D34E97">
        <w:rPr>
          <w:sz w:val="16"/>
          <w:szCs w:val="16"/>
        </w:rPr>
        <w:t xml:space="preserve"> Low reliability guideline value (ANZECC/ARMCANZ 2000); </w:t>
      </w:r>
      <w:r w:rsidRPr="00D34E97">
        <w:rPr>
          <w:vertAlign w:val="superscript"/>
        </w:rPr>
        <w:t>g</w:t>
      </w:r>
      <w:r w:rsidRPr="00D34E97">
        <w:rPr>
          <w:sz w:val="16"/>
          <w:szCs w:val="16"/>
        </w:rPr>
        <w:t xml:space="preserve"> Long-term water quality guideline for freshwaters reported by the Canadian Council of Ministers of the Environment (CCME 2011) may also be used as a PNEC value in addition to ANZECC/ARMCANZ (2000) value of 0.0005 mg/L; </w:t>
      </w:r>
      <w:r w:rsidRPr="00D34E97">
        <w:rPr>
          <w:vertAlign w:val="superscript"/>
        </w:rPr>
        <w:t>h</w:t>
      </w:r>
      <w:r w:rsidRPr="00D34E97">
        <w:rPr>
          <w:sz w:val="16"/>
          <w:szCs w:val="16"/>
        </w:rPr>
        <w:t xml:space="preserve"> High reliability (ANZECC/ARMCANZ 2000); NR = Not reported; </w:t>
      </w:r>
      <w:r w:rsidRPr="00D34E97">
        <w:rPr>
          <w:vertAlign w:val="superscript"/>
        </w:rPr>
        <w:t>#</w:t>
      </w:r>
      <w:r w:rsidRPr="00D34E97">
        <w:rPr>
          <w:sz w:val="16"/>
          <w:szCs w:val="16"/>
        </w:rPr>
        <w:t xml:space="preserve"> = PNEC values were derived based on the metal dissolved in aqueous media, hence, various CAS numbers would be applicable and dependent on the metal salt being investigated.</w:t>
      </w:r>
      <w:r w:rsidRPr="00D34E97">
        <w:rPr>
          <w:sz w:val="20"/>
        </w:rPr>
        <w:t xml:space="preserve"> </w:t>
      </w:r>
    </w:p>
    <w:p w14:paraId="6182CD84" w14:textId="77777777" w:rsidR="00A57ACD" w:rsidRPr="00E6110F" w:rsidRDefault="00A57ACD" w:rsidP="003B3B6E">
      <w:pPr>
        <w:pStyle w:val="Body"/>
      </w:pPr>
      <w:r w:rsidRPr="00E6110F">
        <w:br w:type="page"/>
      </w:r>
    </w:p>
    <w:p w14:paraId="77A5DED1" w14:textId="7911DB0F" w:rsidR="00E8296A" w:rsidRPr="00E6110F" w:rsidRDefault="00876DF6" w:rsidP="00563D0F">
      <w:pPr>
        <w:pStyle w:val="Heading1"/>
      </w:pPr>
      <w:bookmarkStart w:id="594" w:name="_Ref459733783"/>
      <w:bookmarkStart w:id="595" w:name="_Toc494444650"/>
      <w:r w:rsidRPr="00E6110F">
        <w:t>Composite research product</w:t>
      </w:r>
      <w:bookmarkEnd w:id="594"/>
      <w:bookmarkEnd w:id="595"/>
      <w:r w:rsidRPr="00E6110F">
        <w:t xml:space="preserve"> </w:t>
      </w:r>
    </w:p>
    <w:p w14:paraId="054AF867" w14:textId="77777777" w:rsidR="00876DF6" w:rsidRPr="00E6110F" w:rsidRDefault="00876DF6" w:rsidP="00363889">
      <w:pPr>
        <w:pStyle w:val="Heading2"/>
      </w:pPr>
      <w:bookmarkStart w:id="596" w:name="_Toc494444651"/>
      <w:r w:rsidRPr="00E6110F">
        <w:t>Methodology</w:t>
      </w:r>
      <w:bookmarkEnd w:id="596"/>
    </w:p>
    <w:p w14:paraId="4E098B52" w14:textId="77777777" w:rsidR="008674D9" w:rsidRDefault="00876DF6" w:rsidP="00876DF6">
      <w:pPr>
        <w:pStyle w:val="Body"/>
      </w:pPr>
      <w:r w:rsidRPr="00E6110F">
        <w:t>The composite research product provides a two-level screening</w:t>
      </w:r>
      <w:r w:rsidR="00F36134">
        <w:t xml:space="preserve"> </w:t>
      </w:r>
      <w:r w:rsidR="00F36134" w:rsidRPr="00E6110F">
        <w:t>(</w:t>
      </w:r>
      <w:r w:rsidR="00F36134" w:rsidRPr="00E6110F">
        <w:fldChar w:fldCharType="begin" w:fldLock="1"/>
      </w:r>
      <w:r w:rsidR="00F36134" w:rsidRPr="00E6110F">
        <w:instrText xml:space="preserve"> REF _Ref436756299 \h  \* MERGEFORMAT </w:instrText>
      </w:r>
      <w:r w:rsidR="00F36134" w:rsidRPr="00E6110F">
        <w:fldChar w:fldCharType="separate"/>
      </w:r>
      <w:r w:rsidR="00335E79" w:rsidRPr="00E6110F">
        <w:t xml:space="preserve">Figure </w:t>
      </w:r>
      <w:r w:rsidR="00335E79">
        <w:t>5</w:t>
      </w:r>
      <w:r w:rsidR="00335E79">
        <w:noBreakHyphen/>
        <w:t>1</w:t>
      </w:r>
      <w:r w:rsidR="00F36134" w:rsidRPr="00E6110F">
        <w:fldChar w:fldCharType="end"/>
      </w:r>
      <w:r w:rsidR="00F36134" w:rsidRPr="00E6110F">
        <w:t>)</w:t>
      </w:r>
      <w:r w:rsidRPr="00E6110F">
        <w:t>: at Level</w:t>
      </w:r>
      <w:r w:rsidR="005567FC">
        <w:t>-</w:t>
      </w:r>
      <w:r w:rsidRPr="00E6110F">
        <w:t>1</w:t>
      </w:r>
      <w:r w:rsidR="00280AF5">
        <w:t>,</w:t>
      </w:r>
      <w:r w:rsidRPr="00E6110F">
        <w:t xml:space="preserve"> chemica</w:t>
      </w:r>
      <w:r w:rsidR="00E573FF">
        <w:t xml:space="preserve">ls </w:t>
      </w:r>
      <w:r w:rsidR="00F36134">
        <w:t xml:space="preserve">will be screened </w:t>
      </w:r>
      <w:r w:rsidR="00EA1675">
        <w:t xml:space="preserve">that have previously been rigorously assessed and found to be </w:t>
      </w:r>
      <w:r w:rsidR="00E573FF">
        <w:t>of low</w:t>
      </w:r>
      <w:r w:rsidRPr="00E6110F">
        <w:t xml:space="preserve"> concern to the environment </w:t>
      </w:r>
      <w:r w:rsidR="00E573FF">
        <w:t>or human health (</w:t>
      </w:r>
      <w:r w:rsidR="00EA1675">
        <w:t>that is, “</w:t>
      </w:r>
      <w:r w:rsidR="00E573FF">
        <w:t>chemicals of low</w:t>
      </w:r>
      <w:r w:rsidRPr="00E6110F">
        <w:t xml:space="preserve"> concern</w:t>
      </w:r>
      <w:r w:rsidR="00EA1675">
        <w:t>”</w:t>
      </w:r>
      <w:r w:rsidRPr="00E6110F">
        <w:t>)</w:t>
      </w:r>
      <w:r w:rsidR="00F36134">
        <w:t>. A</w:t>
      </w:r>
      <w:r w:rsidRPr="00E6110F">
        <w:t>t the Level</w:t>
      </w:r>
      <w:r w:rsidR="005567FC">
        <w:t>-</w:t>
      </w:r>
      <w:r w:rsidRPr="00E6110F">
        <w:t xml:space="preserve">2 </w:t>
      </w:r>
      <w:r w:rsidR="00BA343D">
        <w:t>analysis</w:t>
      </w:r>
      <w:r w:rsidR="00F36134">
        <w:t>,</w:t>
      </w:r>
      <w:r w:rsidRPr="00E6110F">
        <w:t xml:space="preserve"> chemicals not screened out at Level 1 are </w:t>
      </w:r>
      <w:r w:rsidR="00F36134">
        <w:t>now assessed to determine</w:t>
      </w:r>
      <w:r w:rsidR="008674D9">
        <w:t>:</w:t>
      </w:r>
    </w:p>
    <w:p w14:paraId="7E5AE310" w14:textId="42C615CE" w:rsidR="008674D9" w:rsidRDefault="00BA343D" w:rsidP="00217A03">
      <w:pPr>
        <w:pStyle w:val="Body"/>
        <w:numPr>
          <w:ilvl w:val="0"/>
          <w:numId w:val="85"/>
        </w:numPr>
      </w:pPr>
      <w:r>
        <w:t xml:space="preserve">existence of connecting pathways between a hydraulic fracturing-related chemical source and receptors, and if such pathway exists the likely travel time from source to receptor, </w:t>
      </w:r>
    </w:p>
    <w:p w14:paraId="5956A983" w14:textId="60EA9DC4" w:rsidR="008674D9" w:rsidRDefault="00BA343D" w:rsidP="00217A03">
      <w:pPr>
        <w:pStyle w:val="Body"/>
        <w:numPr>
          <w:ilvl w:val="0"/>
          <w:numId w:val="85"/>
        </w:numPr>
      </w:pPr>
      <w:r>
        <w:t xml:space="preserve">the potential for </w:t>
      </w:r>
      <w:r w:rsidRPr="004004AA">
        <w:t>chemical/biological, geological (</w:t>
      </w:r>
      <w:r>
        <w:t>owing</w:t>
      </w:r>
      <w:r w:rsidRPr="004004AA">
        <w:t xml:space="preserve"> to </w:t>
      </w:r>
      <w:r>
        <w:t xml:space="preserve">chemical </w:t>
      </w:r>
      <w:r w:rsidRPr="004004AA">
        <w:t>sorption</w:t>
      </w:r>
      <w:r>
        <w:t xml:space="preserve"> onto organic and/or mineral phases</w:t>
      </w:r>
      <w:r w:rsidRPr="004004AA">
        <w:t xml:space="preserve">) and flow-related (dilution/dispersion) attenuation </w:t>
      </w:r>
      <w:r>
        <w:t xml:space="preserve">of coal seam gas chemicals (hydraulic fracturing and geogenic chemicals) in deeper groundwater systems,  </w:t>
      </w:r>
    </w:p>
    <w:p w14:paraId="6B01C946" w14:textId="4BFBA38E" w:rsidR="008674D9" w:rsidRDefault="00876DF6" w:rsidP="00217A03">
      <w:pPr>
        <w:pStyle w:val="Body"/>
        <w:numPr>
          <w:ilvl w:val="0"/>
          <w:numId w:val="85"/>
        </w:numPr>
      </w:pPr>
      <w:proofErr w:type="gramStart"/>
      <w:r w:rsidRPr="00E6110F">
        <w:t>a</w:t>
      </w:r>
      <w:proofErr w:type="gramEnd"/>
      <w:r w:rsidRPr="00E6110F">
        <w:t xml:space="preserve"> dilution attenuation factor (DAF) </w:t>
      </w:r>
      <w:r w:rsidR="00BA343D">
        <w:t xml:space="preserve">that takes account of the previous pathway and attenuation information </w:t>
      </w:r>
      <w:r w:rsidRPr="00E6110F">
        <w:t xml:space="preserve">to allow ranking of the relative hazard </w:t>
      </w:r>
      <w:r w:rsidR="00F36134">
        <w:t>and to determine setback distances that ensure protection of hu</w:t>
      </w:r>
      <w:r w:rsidR="00592889">
        <w:t>m</w:t>
      </w:r>
      <w:r w:rsidR="00F36134">
        <w:t>an health and the environment</w:t>
      </w:r>
      <w:r w:rsidRPr="00E6110F">
        <w:t>.</w:t>
      </w:r>
      <w:r w:rsidR="00F1520E">
        <w:t xml:space="preserve"> </w:t>
      </w:r>
    </w:p>
    <w:p w14:paraId="282833A1" w14:textId="3E937765" w:rsidR="00876DF6" w:rsidRDefault="00F1520E" w:rsidP="00876DF6">
      <w:pPr>
        <w:pStyle w:val="Body"/>
      </w:pPr>
      <w:r>
        <w:t>In deriving setback distances one may reasonably assume the combined attenuation processes would result in concentrations of hydraulic fracturing chemicals that would not cause a negative impact on human health and the environment.</w:t>
      </w:r>
      <w:r w:rsidRPr="00F1520E">
        <w:t xml:space="preserve"> </w:t>
      </w:r>
      <w:r>
        <w:t>Also, s</w:t>
      </w:r>
      <w:r w:rsidRPr="00E6110F">
        <w:t>etback distances are a legislative method to mitigate potential risks</w:t>
      </w:r>
      <w:r>
        <w:t xml:space="preserve"> (DEHP 2013; NSW Chief Scientist and Engineer 2014d)</w:t>
      </w:r>
      <w:r w:rsidRPr="00E6110F">
        <w:t>.</w:t>
      </w:r>
    </w:p>
    <w:p w14:paraId="3E80A7D1" w14:textId="77777777" w:rsidR="009B7936" w:rsidRPr="00E6110F" w:rsidRDefault="009B7936" w:rsidP="00876DF6">
      <w:pPr>
        <w:pStyle w:val="Body"/>
      </w:pPr>
    </w:p>
    <w:p w14:paraId="29516169" w14:textId="4C3F7FB7" w:rsidR="00876DF6" w:rsidRPr="00E6110F" w:rsidRDefault="009B7936" w:rsidP="00876DF6">
      <w:pPr>
        <w:jc w:val="center"/>
      </w:pPr>
      <w:r w:rsidRPr="009B7936">
        <w:rPr>
          <w:noProof/>
          <w:lang w:val="en-AU" w:eastAsia="en-AU"/>
        </w:rPr>
        <w:drawing>
          <wp:inline distT="0" distB="0" distL="0" distR="0" wp14:anchorId="6B3F7A39" wp14:editId="149A8DEA">
            <wp:extent cx="3939873" cy="3347499"/>
            <wp:effectExtent l="0" t="0" r="3810" b="5715"/>
            <wp:docPr id="50" name="Picture 50" descr="Flow chart of two-level hazard screen approach."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3962891" cy="3367056"/>
                    </a:xfrm>
                    <a:prstGeom prst="rect">
                      <a:avLst/>
                    </a:prstGeom>
                    <a:noFill/>
                    <a:ln>
                      <a:noFill/>
                    </a:ln>
                  </pic:spPr>
                </pic:pic>
              </a:graphicData>
            </a:graphic>
          </wp:inline>
        </w:drawing>
      </w:r>
    </w:p>
    <w:p w14:paraId="3212BC48" w14:textId="6C1EFDA7" w:rsidR="00876DF6" w:rsidRPr="00E6110F" w:rsidRDefault="00876DF6" w:rsidP="00A44A9A">
      <w:pPr>
        <w:pStyle w:val="Imagecaption"/>
      </w:pPr>
      <w:bookmarkStart w:id="597" w:name="_Ref436756299"/>
      <w:bookmarkStart w:id="598" w:name="_Toc477347643"/>
      <w:r w:rsidRPr="00E6110F">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w:t>
      </w:r>
      <w:r w:rsidR="00254026">
        <w:fldChar w:fldCharType="end"/>
      </w:r>
      <w:bookmarkEnd w:id="597"/>
      <w:r w:rsidRPr="00E6110F">
        <w:t xml:space="preserve"> Two-level hazard screening approach for drilling and hydraulic fracturing chemicals.</w:t>
      </w:r>
      <w:bookmarkEnd w:id="598"/>
      <w:r w:rsidRPr="00E6110F">
        <w:t xml:space="preserve"> </w:t>
      </w:r>
    </w:p>
    <w:p w14:paraId="13CDE668" w14:textId="6CEBB982" w:rsidR="00876DF6" w:rsidRPr="00E6110F" w:rsidRDefault="009B280B" w:rsidP="00A44A9A">
      <w:pPr>
        <w:pStyle w:val="Body"/>
      </w:pPr>
      <w:r>
        <w:t xml:space="preserve">Details from the Level-1 screening are available from Section </w:t>
      </w:r>
      <w:r>
        <w:fldChar w:fldCharType="begin" w:fldLock="1"/>
      </w:r>
      <w:r>
        <w:instrText xml:space="preserve"> REF _Ref470859258 \r \h </w:instrText>
      </w:r>
      <w:r>
        <w:fldChar w:fldCharType="separate"/>
      </w:r>
      <w:r w:rsidR="00335E79">
        <w:t>2.2</w:t>
      </w:r>
      <w:r>
        <w:fldChar w:fldCharType="end"/>
      </w:r>
      <w:r>
        <w:t xml:space="preserve"> and will not be repeated here. </w:t>
      </w:r>
      <w:r w:rsidR="005567FC">
        <w:t>The Level-</w:t>
      </w:r>
      <w:r w:rsidR="00876DF6" w:rsidRPr="00E6110F">
        <w:t xml:space="preserve">2 </w:t>
      </w:r>
      <w:r w:rsidR="009B7936">
        <w:t>analyses</w:t>
      </w:r>
      <w:r w:rsidR="00876DF6" w:rsidRPr="00E6110F">
        <w:t xml:space="preserve"> combine</w:t>
      </w:r>
      <w:r>
        <w:t xml:space="preserve"> </w:t>
      </w:r>
      <w:r w:rsidRPr="00E6110F">
        <w:t>(</w:t>
      </w:r>
      <w:r w:rsidRPr="00E6110F">
        <w:fldChar w:fldCharType="begin" w:fldLock="1"/>
      </w:r>
      <w:r w:rsidRPr="00E6110F">
        <w:instrText xml:space="preserve"> REF _Ref436760977 \h  \* MERGEFORMAT </w:instrText>
      </w:r>
      <w:r w:rsidRPr="00E6110F">
        <w:fldChar w:fldCharType="separate"/>
      </w:r>
      <w:r w:rsidR="00335E79" w:rsidRPr="00E6110F">
        <w:t xml:space="preserve">Figure </w:t>
      </w:r>
      <w:r w:rsidR="00335E79">
        <w:t>5</w:t>
      </w:r>
      <w:r w:rsidR="00335E79">
        <w:noBreakHyphen/>
        <w:t>2</w:t>
      </w:r>
      <w:r w:rsidRPr="00E6110F">
        <w:fldChar w:fldCharType="end"/>
      </w:r>
      <w:r w:rsidRPr="00E6110F">
        <w:t>)</w:t>
      </w:r>
      <w:r>
        <w:t>:</w:t>
      </w:r>
      <w:r w:rsidR="00876DF6" w:rsidRPr="00E6110F">
        <w:t xml:space="preserve"> i) </w:t>
      </w:r>
      <w:r w:rsidR="00280AF5">
        <w:t xml:space="preserve">the </w:t>
      </w:r>
      <w:r w:rsidR="00876DF6" w:rsidRPr="00E6110F">
        <w:t>spatial analyses of contaminant source-receptor distance-frequency relationships</w:t>
      </w:r>
      <w:r>
        <w:t xml:space="preserve"> (Section </w:t>
      </w:r>
      <w:r>
        <w:fldChar w:fldCharType="begin" w:fldLock="1"/>
      </w:r>
      <w:r>
        <w:instrText xml:space="preserve"> REF _Ref470859374 \r \h </w:instrText>
      </w:r>
      <w:r>
        <w:fldChar w:fldCharType="separate"/>
      </w:r>
      <w:r w:rsidR="00335E79">
        <w:t>3.2</w:t>
      </w:r>
      <w:r>
        <w:fldChar w:fldCharType="end"/>
      </w:r>
      <w:r>
        <w:t xml:space="preserve"> and </w:t>
      </w:r>
      <w:r>
        <w:fldChar w:fldCharType="begin" w:fldLock="1"/>
      </w:r>
      <w:r>
        <w:instrText xml:space="preserve"> REF _Ref470859400 \r \h </w:instrText>
      </w:r>
      <w:r>
        <w:fldChar w:fldCharType="separate"/>
      </w:r>
      <w:r w:rsidR="00335E79">
        <w:t>3.3</w:t>
      </w:r>
      <w:r>
        <w:fldChar w:fldCharType="end"/>
      </w:r>
      <w:r>
        <w:t>)</w:t>
      </w:r>
      <w:r w:rsidR="00876DF6" w:rsidRPr="00E6110F">
        <w:t>, ii) chemical, biological and geological attenuation information for characteristic chemicals (</w:t>
      </w:r>
      <w:r>
        <w:t xml:space="preserve">Section </w:t>
      </w:r>
      <w:r>
        <w:fldChar w:fldCharType="begin" w:fldLock="1"/>
      </w:r>
      <w:r>
        <w:instrText xml:space="preserve"> REF _Ref446702857 \r \h </w:instrText>
      </w:r>
      <w:r>
        <w:fldChar w:fldCharType="separate"/>
      </w:r>
      <w:r w:rsidR="00335E79">
        <w:t>4</w:t>
      </w:r>
      <w:r>
        <w:fldChar w:fldCharType="end"/>
      </w:r>
      <w:r w:rsidR="00876DF6" w:rsidRPr="00E6110F">
        <w:t>), and iii) the conceptual models, application protocols and calculation tools required to estimate the likelihood that the chemical could reach and impact receptors</w:t>
      </w:r>
      <w:r>
        <w:t xml:space="preserve"> (Section </w:t>
      </w:r>
      <w:r>
        <w:fldChar w:fldCharType="begin" w:fldLock="1"/>
      </w:r>
      <w:r>
        <w:instrText xml:space="preserve"> REF _Ref470859452 \r \h </w:instrText>
      </w:r>
      <w:r>
        <w:fldChar w:fldCharType="separate"/>
      </w:r>
      <w:r w:rsidR="00335E79">
        <w:t>2.6.4</w:t>
      </w:r>
      <w:r>
        <w:fldChar w:fldCharType="end"/>
      </w:r>
      <w:r>
        <w:t xml:space="preserve"> and </w:t>
      </w:r>
      <w:r>
        <w:fldChar w:fldCharType="begin" w:fldLock="1"/>
      </w:r>
      <w:r>
        <w:instrText xml:space="preserve"> REF _Ref470859468 \r \h </w:instrText>
      </w:r>
      <w:r>
        <w:fldChar w:fldCharType="separate"/>
      </w:r>
      <w:r w:rsidR="00335E79">
        <w:t>2.6.5</w:t>
      </w:r>
      <w:r>
        <w:fldChar w:fldCharType="end"/>
      </w:r>
      <w:r>
        <w:t>)</w:t>
      </w:r>
      <w:r w:rsidR="00876DF6" w:rsidRPr="00E6110F">
        <w:t xml:space="preserve">. These components are integrated in the hazard screening framework to generate the DAF for each chemical. </w:t>
      </w:r>
    </w:p>
    <w:p w14:paraId="345B39CF" w14:textId="561E6B9D" w:rsidR="00336460" w:rsidRDefault="00A44A9A" w:rsidP="00A44A9A">
      <w:pPr>
        <w:pStyle w:val="Body"/>
      </w:pPr>
      <w:r w:rsidRPr="00E6110F">
        <w:t xml:space="preserve">The final hazard screening tool has both site-dependent and site-independent elements. </w:t>
      </w:r>
      <w:r w:rsidR="00336460">
        <w:t xml:space="preserve">Reseach Product 1 is the hazard screening tool that can be used to identify i) chemicals of low concern to human health and the environment that do not need further assessments, and ii) chemicals that cannot be classified as ‘of low concern’ and therefore require further assessments. </w:t>
      </w:r>
      <w:r w:rsidRPr="00E6110F">
        <w:t xml:space="preserve">The Level-1 screening </w:t>
      </w:r>
      <w:r w:rsidR="009F54BB">
        <w:t xml:space="preserve">(Product 1) </w:t>
      </w:r>
      <w:r w:rsidR="009B280B">
        <w:t>is</w:t>
      </w:r>
      <w:r w:rsidRPr="00E6110F">
        <w:t xml:space="preserve"> site-independent, as it does not include </w:t>
      </w:r>
      <w:r w:rsidR="009B280B">
        <w:t xml:space="preserve">site-specific </w:t>
      </w:r>
      <w:r w:rsidRPr="00E6110F">
        <w:t xml:space="preserve">exposure assessments. </w:t>
      </w:r>
    </w:p>
    <w:p w14:paraId="78099E19" w14:textId="27DF8990" w:rsidR="00336460" w:rsidRDefault="0074471A" w:rsidP="00A44A9A">
      <w:pPr>
        <w:pStyle w:val="Body"/>
      </w:pPr>
      <w:r>
        <w:t xml:space="preserve">Research Product 2 provides an assessment of chemical pathways between sources of CSG chemicals in deeper groundwater and groundwater related receptors. The pathways are calculated on the basis of particle tracking analysis and deliver source-receptor transport distance and corresponding travel time. </w:t>
      </w:r>
      <w:r w:rsidR="00A44A9A" w:rsidRPr="00E6110F">
        <w:t xml:space="preserve">The chemical transport pathway analysis of Product </w:t>
      </w:r>
      <w:r w:rsidR="009F54BB">
        <w:t>2</w:t>
      </w:r>
      <w:r w:rsidR="00A44A9A" w:rsidRPr="00E6110F">
        <w:t xml:space="preserve"> is site-dependent</w:t>
      </w:r>
      <w:r w:rsidR="009B280B">
        <w:t xml:space="preserve"> </w:t>
      </w:r>
      <w:r w:rsidR="009B280B" w:rsidRPr="00E6110F">
        <w:t>(</w:t>
      </w:r>
      <w:r w:rsidR="009B280B" w:rsidRPr="00E6110F">
        <w:fldChar w:fldCharType="begin" w:fldLock="1"/>
      </w:r>
      <w:r w:rsidR="009B280B" w:rsidRPr="00E6110F">
        <w:instrText xml:space="preserve"> REF _Ref436760977 \h  \* MERGEFORMAT </w:instrText>
      </w:r>
      <w:r w:rsidR="009B280B" w:rsidRPr="00E6110F">
        <w:fldChar w:fldCharType="separate"/>
      </w:r>
      <w:r w:rsidR="00335E79" w:rsidRPr="00E6110F">
        <w:t xml:space="preserve">Figure </w:t>
      </w:r>
      <w:r w:rsidR="00335E79">
        <w:t>5</w:t>
      </w:r>
      <w:r w:rsidR="00335E79">
        <w:noBreakHyphen/>
        <w:t>2</w:t>
      </w:r>
      <w:r w:rsidR="009B280B" w:rsidRPr="00E6110F">
        <w:fldChar w:fldCharType="end"/>
      </w:r>
      <w:r w:rsidR="009B280B" w:rsidRPr="00E6110F">
        <w:t>)</w:t>
      </w:r>
      <w:r w:rsidR="009B280B">
        <w:t>;</w:t>
      </w:r>
      <w:r w:rsidR="00A44A9A" w:rsidRPr="00E6110F">
        <w:t xml:space="preserve"> </w:t>
      </w:r>
      <w:r w:rsidR="009B280B">
        <w:t>however, by using two different case study areas</w:t>
      </w:r>
      <w:r w:rsidR="00A44A9A" w:rsidRPr="00E6110F">
        <w:t xml:space="preserve"> a broad set of flow conditions will be </w:t>
      </w:r>
      <w:r w:rsidR="009B280B">
        <w:t>generated</w:t>
      </w:r>
      <w:r w:rsidR="00A44A9A" w:rsidRPr="00E6110F">
        <w:t xml:space="preserve"> giving the final analysis a high level of generality. </w:t>
      </w:r>
    </w:p>
    <w:p w14:paraId="23A9A216" w14:textId="31AC922A" w:rsidR="00336460" w:rsidRDefault="00776987" w:rsidP="00A44A9A">
      <w:pPr>
        <w:pStyle w:val="Body"/>
      </w:pPr>
      <w:r>
        <w:t xml:space="preserve">Research Product 3 involves a spatial analysis to establish proximities (horizontal distances) between CSG well locations and a series of ecologic, economic and cultural receptors. </w:t>
      </w:r>
      <w:r w:rsidR="00A44A9A" w:rsidRPr="00E6110F">
        <w:t xml:space="preserve">Research </w:t>
      </w:r>
      <w:r w:rsidR="00066230">
        <w:t>P</w:t>
      </w:r>
      <w:r w:rsidR="00066230" w:rsidRPr="00E6110F">
        <w:t xml:space="preserve">roduct </w:t>
      </w:r>
      <w:r w:rsidR="009F54BB">
        <w:t>3</w:t>
      </w:r>
      <w:r w:rsidR="00A44A9A" w:rsidRPr="00E6110F">
        <w:t xml:space="preserve"> </w:t>
      </w:r>
      <w:r w:rsidR="00250831">
        <w:t>is</w:t>
      </w:r>
      <w:r w:rsidR="00A44A9A" w:rsidRPr="00E6110F">
        <w:t xml:space="preserve"> site-dependent</w:t>
      </w:r>
      <w:r w:rsidR="00250831">
        <w:t xml:space="preserve"> </w:t>
      </w:r>
      <w:r w:rsidR="00250831" w:rsidRPr="00E6110F">
        <w:t>(</w:t>
      </w:r>
      <w:r w:rsidR="00250831" w:rsidRPr="00E6110F">
        <w:fldChar w:fldCharType="begin" w:fldLock="1"/>
      </w:r>
      <w:r w:rsidR="00250831" w:rsidRPr="00E6110F">
        <w:instrText xml:space="preserve"> REF _Ref436760977 \h  \* MERGEFORMAT </w:instrText>
      </w:r>
      <w:r w:rsidR="00250831" w:rsidRPr="00E6110F">
        <w:fldChar w:fldCharType="separate"/>
      </w:r>
      <w:r w:rsidR="00335E79" w:rsidRPr="00E6110F">
        <w:t xml:space="preserve">Figure </w:t>
      </w:r>
      <w:r w:rsidR="00335E79">
        <w:t>5</w:t>
      </w:r>
      <w:r w:rsidR="00335E79">
        <w:noBreakHyphen/>
        <w:t>2</w:t>
      </w:r>
      <w:r w:rsidR="00250831" w:rsidRPr="00E6110F">
        <w:fldChar w:fldCharType="end"/>
      </w:r>
      <w:r w:rsidR="00250831" w:rsidRPr="00E6110F">
        <w:t>)</w:t>
      </w:r>
      <w:r w:rsidR="00A44A9A" w:rsidRPr="00E6110F">
        <w:t xml:space="preserve">, but will again cover a wider range of proximity data which allows making some general statements about </w:t>
      </w:r>
      <w:r w:rsidR="00250831">
        <w:t>likelihood of exposure</w:t>
      </w:r>
      <w:r w:rsidR="00A44A9A" w:rsidRPr="00E6110F">
        <w:t xml:space="preserve">. </w:t>
      </w:r>
    </w:p>
    <w:p w14:paraId="6AE5FE83" w14:textId="2BDC6A5E" w:rsidR="00336460" w:rsidRDefault="00776987" w:rsidP="00A44A9A">
      <w:pPr>
        <w:pStyle w:val="Body"/>
      </w:pPr>
      <w:r w:rsidRPr="00E6110F">
        <w:t xml:space="preserve">Research product </w:t>
      </w:r>
      <w:r>
        <w:t>4 includes a compilation of attenuation parameters (</w:t>
      </w:r>
      <w:r w:rsidRPr="00A63DFB">
        <w:rPr>
          <w:i/>
        </w:rPr>
        <w:t>K</w:t>
      </w:r>
      <w:r w:rsidRPr="00A63DFB">
        <w:rPr>
          <w:vertAlign w:val="subscript"/>
        </w:rPr>
        <w:t>OC</w:t>
      </w:r>
      <w:r>
        <w:t xml:space="preserve"> and half-life [</w:t>
      </w:r>
      <w:r w:rsidRPr="00A63DFB">
        <w:rPr>
          <w:i/>
        </w:rPr>
        <w:t>t</w:t>
      </w:r>
      <w:r w:rsidRPr="00A63DFB">
        <w:rPr>
          <w:vertAlign w:val="subscript"/>
        </w:rPr>
        <w:t>1/2</w:t>
      </w:r>
      <w:r>
        <w:t xml:space="preserve">] for organics and </w:t>
      </w:r>
      <w:proofErr w:type="gramStart"/>
      <w:r w:rsidRPr="00A63DFB">
        <w:rPr>
          <w:i/>
        </w:rPr>
        <w:t>K</w:t>
      </w:r>
      <w:r w:rsidRPr="00A63DFB">
        <w:rPr>
          <w:vertAlign w:val="subscript"/>
        </w:rPr>
        <w:t>d</w:t>
      </w:r>
      <w:proofErr w:type="gramEnd"/>
      <w:r>
        <w:rPr>
          <w:vertAlign w:val="subscript"/>
        </w:rPr>
        <w:t xml:space="preserve"> </w:t>
      </w:r>
      <w:r w:rsidRPr="00776987">
        <w:t>for inorganics</w:t>
      </w:r>
      <w:r>
        <w:t xml:space="preserve">) for </w:t>
      </w:r>
      <w:r w:rsidR="00D521CE">
        <w:t>relevant</w:t>
      </w:r>
      <w:r w:rsidR="00D521CE" w:rsidDel="00D521CE">
        <w:t xml:space="preserve"> </w:t>
      </w:r>
      <w:r>
        <w:t>chemicals</w:t>
      </w:r>
      <w:r w:rsidR="00D521CE">
        <w:t>,</w:t>
      </w:r>
      <w:r>
        <w:t xml:space="preserve"> coal target formations and aquifers considered in this study. </w:t>
      </w:r>
      <w:r w:rsidR="00A44A9A" w:rsidRPr="00E6110F">
        <w:t xml:space="preserve">Research </w:t>
      </w:r>
      <w:r w:rsidR="00066230">
        <w:t>P</w:t>
      </w:r>
      <w:r w:rsidR="00066230" w:rsidRPr="00E6110F">
        <w:t xml:space="preserve">roduct </w:t>
      </w:r>
      <w:r w:rsidR="009F54BB">
        <w:t>4</w:t>
      </w:r>
      <w:r w:rsidR="00A44A9A" w:rsidRPr="00E6110F">
        <w:t xml:space="preserve"> is in part site-independent (</w:t>
      </w:r>
      <w:r w:rsidR="00A44A9A" w:rsidRPr="00A63DFB">
        <w:rPr>
          <w:i/>
        </w:rPr>
        <w:t>K</w:t>
      </w:r>
      <w:r w:rsidR="00A44A9A" w:rsidRPr="00A63DFB">
        <w:rPr>
          <w:vertAlign w:val="subscript"/>
        </w:rPr>
        <w:t>OC</w:t>
      </w:r>
      <w:r w:rsidR="00A44A9A" w:rsidRPr="00E6110F">
        <w:t xml:space="preserve">, </w:t>
      </w:r>
      <w:r w:rsidR="00A44A9A" w:rsidRPr="00A63DFB">
        <w:rPr>
          <w:i/>
        </w:rPr>
        <w:t>K</w:t>
      </w:r>
      <w:r w:rsidR="00A44A9A" w:rsidRPr="00A63DFB">
        <w:rPr>
          <w:vertAlign w:val="subscript"/>
        </w:rPr>
        <w:t>OW</w:t>
      </w:r>
      <w:r w:rsidR="00A44A9A" w:rsidRPr="00E6110F">
        <w:t xml:space="preserve">, possibly </w:t>
      </w:r>
      <w:r w:rsidR="00A44A9A" w:rsidRPr="00A63DFB">
        <w:rPr>
          <w:i/>
        </w:rPr>
        <w:t>t</w:t>
      </w:r>
      <w:r w:rsidR="00A44A9A" w:rsidRPr="00A63DFB">
        <w:rPr>
          <w:vertAlign w:val="subscript"/>
        </w:rPr>
        <w:t>1/2</w:t>
      </w:r>
      <w:r w:rsidR="00A44A9A" w:rsidRPr="00E6110F">
        <w:t>), and in part site-dependent (</w:t>
      </w:r>
      <w:r w:rsidR="00A44A9A" w:rsidRPr="00A63DFB">
        <w:rPr>
          <w:i/>
        </w:rPr>
        <w:t>K</w:t>
      </w:r>
      <w:r w:rsidR="00A44A9A" w:rsidRPr="00A63DFB">
        <w:rPr>
          <w:vertAlign w:val="subscript"/>
        </w:rPr>
        <w:t>d</w:t>
      </w:r>
      <w:r w:rsidR="00A44A9A" w:rsidRPr="00E6110F">
        <w:t xml:space="preserve">, using </w:t>
      </w:r>
      <w:r w:rsidR="00250831">
        <w:t>site</w:t>
      </w:r>
      <w:r w:rsidR="00A44A9A" w:rsidRPr="00E6110F">
        <w:t xml:space="preserve">-specific sorption data </w:t>
      </w:r>
      <w:r w:rsidR="00250831">
        <w:t xml:space="preserve">based on site-specific </w:t>
      </w:r>
      <w:r w:rsidR="00A44A9A" w:rsidRPr="00E6110F">
        <w:t>organic carbon</w:t>
      </w:r>
      <w:r w:rsidR="00250831">
        <w:t xml:space="preserve"> information</w:t>
      </w:r>
      <w:r w:rsidR="00A44A9A" w:rsidRPr="00E6110F">
        <w:t xml:space="preserve">; although the sorption data will be very poor and at best some broad classes covering most of the relevant geology will be defined). </w:t>
      </w:r>
    </w:p>
    <w:p w14:paraId="22849ACD" w14:textId="488ED944" w:rsidR="00A44A9A" w:rsidRPr="00E6110F" w:rsidRDefault="002E7D60" w:rsidP="00A44A9A">
      <w:pPr>
        <w:pStyle w:val="Body"/>
      </w:pPr>
      <w:r>
        <w:t>Research product 5 provides the</w:t>
      </w:r>
      <w:r w:rsidRPr="00E6110F">
        <w:t xml:space="preserve"> dilution attenuation factors</w:t>
      </w:r>
      <w:r>
        <w:t xml:space="preserve"> – DAF – developed as part of this research. </w:t>
      </w:r>
      <w:r w:rsidR="00A44A9A" w:rsidRPr="00E6110F">
        <w:t xml:space="preserve">This final product </w:t>
      </w:r>
      <w:r>
        <w:t xml:space="preserve">is </w:t>
      </w:r>
      <w:r w:rsidR="00A44A9A" w:rsidRPr="00E6110F">
        <w:t>site-specific, although the approach taken will give it some degree of generality.</w:t>
      </w:r>
    </w:p>
    <w:p w14:paraId="54335DF3" w14:textId="03CFA71E" w:rsidR="00A44A9A" w:rsidRDefault="00A44A9A" w:rsidP="00A44A9A">
      <w:pPr>
        <w:pStyle w:val="Body"/>
      </w:pPr>
      <w:r w:rsidRPr="00E6110F">
        <w:t xml:space="preserve">When selecting the </w:t>
      </w:r>
      <w:r w:rsidR="00250831">
        <w:t>case study areas</w:t>
      </w:r>
      <w:r w:rsidRPr="00E6110F">
        <w:t xml:space="preserve">, care </w:t>
      </w:r>
      <w:r w:rsidR="00250831">
        <w:t>has been</w:t>
      </w:r>
      <w:r w:rsidRPr="00E6110F">
        <w:t xml:space="preserve"> taken to have a sufficiently broad coverage of hydrogeological conditions and features (faults, </w:t>
      </w:r>
      <w:proofErr w:type="gramStart"/>
      <w:r w:rsidRPr="00E6110F">
        <w:t>springs, …)</w:t>
      </w:r>
      <w:proofErr w:type="gramEnd"/>
      <w:r w:rsidRPr="00E6110F">
        <w:t xml:space="preserve"> that w</w:t>
      </w:r>
      <w:r w:rsidR="00250831">
        <w:t>ill</w:t>
      </w:r>
      <w:r w:rsidRPr="00E6110F">
        <w:t xml:space="preserve"> give the analysis a sufficient level of generality, rather than being too site-specific. Nevertheless, this analysis cannot describe all possible conditions one may encounter in all Australian CSG basins. The nuts and bolts of the hazard screening framework will be illustrated on the basis of the case studies, without claiming to provide a nation-wide coverage. The analysis undertaken with the screening framework should provide insights to address the questions regarding potential deep groundwater contamination.  On the basis o</w:t>
      </w:r>
      <w:r w:rsidR="00066230">
        <w:t>f</w:t>
      </w:r>
      <w:r w:rsidRPr="00E6110F">
        <w:t xml:space="preserve"> these insights, one can then discuss the need for similar analyses in other basins, and what questions are relevant in other basins (</w:t>
      </w:r>
      <w:r w:rsidR="00250831">
        <w:t xml:space="preserve">e.g. </w:t>
      </w:r>
      <w:r w:rsidRPr="00E6110F">
        <w:t>if faults turn out to be the only conceivable  pathway, then the focus turns on basins with faults near extraction areas).</w:t>
      </w:r>
    </w:p>
    <w:p w14:paraId="330A1A21" w14:textId="77777777" w:rsidR="00250831" w:rsidRPr="00E6110F" w:rsidRDefault="00250831" w:rsidP="00A44A9A">
      <w:pPr>
        <w:pStyle w:val="Body"/>
      </w:pPr>
    </w:p>
    <w:p w14:paraId="4BBDB035" w14:textId="75C37FBB" w:rsidR="00250831" w:rsidRPr="00E6110F" w:rsidRDefault="00AC67EE" w:rsidP="00250831">
      <w:pPr>
        <w:pStyle w:val="Caption"/>
        <w:jc w:val="center"/>
        <w:rPr>
          <w:u w:val="single"/>
        </w:rPr>
      </w:pPr>
      <w:r w:rsidRPr="00AC67EE">
        <w:rPr>
          <w:noProof/>
          <w:lang w:val="en-AU" w:eastAsia="en-AU"/>
        </w:rPr>
        <w:drawing>
          <wp:inline distT="0" distB="0" distL="0" distR="0" wp14:anchorId="054703D9" wp14:editId="40FBED0F">
            <wp:extent cx="5727700" cy="3929491"/>
            <wp:effectExtent l="0" t="0" r="6350" b="0"/>
            <wp:docPr id="54" name="Picture 54" descr="Diagram of possible workflow."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727700" cy="3929491"/>
                    </a:xfrm>
                    <a:prstGeom prst="rect">
                      <a:avLst/>
                    </a:prstGeom>
                    <a:noFill/>
                    <a:ln>
                      <a:noFill/>
                    </a:ln>
                  </pic:spPr>
                </pic:pic>
              </a:graphicData>
            </a:graphic>
          </wp:inline>
        </w:drawing>
      </w:r>
    </w:p>
    <w:p w14:paraId="471DB1E0" w14:textId="4E2BB2DC" w:rsidR="00250831" w:rsidRPr="00E6110F" w:rsidRDefault="00250831" w:rsidP="00250831">
      <w:pPr>
        <w:pStyle w:val="Imagecaption"/>
      </w:pPr>
      <w:bookmarkStart w:id="599" w:name="_Ref436760977"/>
      <w:bookmarkStart w:id="600" w:name="_Toc477347644"/>
      <w:r w:rsidRPr="00E6110F">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w:t>
      </w:r>
      <w:r w:rsidR="00254026">
        <w:fldChar w:fldCharType="end"/>
      </w:r>
      <w:bookmarkEnd w:id="599"/>
      <w:r w:rsidRPr="00E6110F">
        <w:t xml:space="preserve"> Possible workflow of the hazard screening framework</w:t>
      </w:r>
      <w:r>
        <w:t>.</w:t>
      </w:r>
      <w:bookmarkEnd w:id="600"/>
      <w:r w:rsidRPr="00E6110F">
        <w:t xml:space="preserve"> </w:t>
      </w:r>
    </w:p>
    <w:p w14:paraId="065FC13B" w14:textId="77777777" w:rsidR="00A44A9A" w:rsidRPr="00E6110F" w:rsidRDefault="00A44A9A" w:rsidP="00A44A9A">
      <w:pPr>
        <w:pStyle w:val="Body"/>
      </w:pPr>
    </w:p>
    <w:p w14:paraId="6CAF723A" w14:textId="064DAC96" w:rsidR="00A44A9A" w:rsidRPr="00E6110F" w:rsidRDefault="00A44A9A" w:rsidP="00F1520E">
      <w:pPr>
        <w:jc w:val="center"/>
      </w:pPr>
    </w:p>
    <w:p w14:paraId="6806FD0A" w14:textId="77777777" w:rsidR="00250831" w:rsidRDefault="00250831">
      <w:pPr>
        <w:rPr>
          <w:rFonts w:ascii="Calibri-Bold" w:hAnsi="Calibri-Bold" w:cs="Calibri-Bold"/>
          <w:b/>
          <w:bCs/>
          <w:color w:val="00AEEF"/>
          <w:sz w:val="30"/>
          <w:szCs w:val="30"/>
          <w:u w:val="single"/>
          <w:lang w:val="en-GB"/>
        </w:rPr>
      </w:pPr>
      <w:r>
        <w:rPr>
          <w:u w:val="single"/>
        </w:rPr>
        <w:br w:type="page"/>
      </w:r>
    </w:p>
    <w:p w14:paraId="2ADBD8E8" w14:textId="6F265068" w:rsidR="00017A94" w:rsidRDefault="00017A94" w:rsidP="00250831">
      <w:pPr>
        <w:pStyle w:val="Heading2"/>
      </w:pPr>
      <w:bookmarkStart w:id="601" w:name="_Toc494444652"/>
      <w:r>
        <w:t>Application to the Gu</w:t>
      </w:r>
      <w:r w:rsidR="00AE23ED">
        <w:t>nn</w:t>
      </w:r>
      <w:r>
        <w:t>edah Basin</w:t>
      </w:r>
      <w:bookmarkEnd w:id="601"/>
    </w:p>
    <w:p w14:paraId="4C2222C2" w14:textId="74A8FF22" w:rsidR="0083468D" w:rsidRDefault="0083468D" w:rsidP="00AE23ED">
      <w:pPr>
        <w:pStyle w:val="Heading3"/>
      </w:pPr>
      <w:r>
        <w:t xml:space="preserve"> </w:t>
      </w:r>
      <w:bookmarkStart w:id="602" w:name="_Toc494444653"/>
      <w:r>
        <w:t>Organic substances</w:t>
      </w:r>
      <w:bookmarkEnd w:id="602"/>
    </w:p>
    <w:p w14:paraId="743E52BF" w14:textId="081623A2" w:rsidR="00AE23ED" w:rsidRDefault="00AE23ED" w:rsidP="0083468D">
      <w:pPr>
        <w:pStyle w:val="Heading3"/>
        <w:numPr>
          <w:ilvl w:val="3"/>
          <w:numId w:val="1"/>
        </w:numPr>
      </w:pPr>
      <w:bookmarkStart w:id="603" w:name="_Ref467760949"/>
      <w:bookmarkStart w:id="604" w:name="_Toc494444654"/>
      <w:r>
        <w:t>Attenuation due to chemical/biological degradation</w:t>
      </w:r>
      <w:bookmarkEnd w:id="603"/>
      <w:bookmarkEnd w:id="604"/>
    </w:p>
    <w:p w14:paraId="78248AE5" w14:textId="273FE7A2" w:rsidR="00ED011A" w:rsidRDefault="00E433E7" w:rsidP="00E433E7">
      <w:pPr>
        <w:pStyle w:val="Body"/>
      </w:pPr>
      <w:r>
        <w:t xml:space="preserve">A summary of half-life values for aerobic and anaerobic degradation and hydrolysis is provided in </w:t>
      </w:r>
      <w:r>
        <w:fldChar w:fldCharType="begin" w:fldLock="1"/>
      </w:r>
      <w:r>
        <w:instrText xml:space="preserve"> REF _Ref454464509 \h </w:instrText>
      </w:r>
      <w:r>
        <w:fldChar w:fldCharType="separate"/>
      </w:r>
      <w:r w:rsidR="00335E79">
        <w:t xml:space="preserve">Table </w:t>
      </w:r>
      <w:r w:rsidR="00335E79">
        <w:rPr>
          <w:noProof/>
        </w:rPr>
        <w:t>5</w:t>
      </w:r>
      <w:r w:rsidR="00335E79">
        <w:noBreakHyphen/>
      </w:r>
      <w:r w:rsidR="00335E79">
        <w:rPr>
          <w:noProof/>
        </w:rPr>
        <w:t>1</w:t>
      </w:r>
      <w:r>
        <w:fldChar w:fldCharType="end"/>
      </w:r>
      <w:r>
        <w:t>. When available, minimum and maximum values obtained from the literature review are shown. No data was found for Acrylamide polymer; for this substance it is assumed it will not degrade. Half-life values were used to calculate the final concentration at a receptor for a given travel time using equation (</w:t>
      </w:r>
      <w:r w:rsidR="00664F93">
        <w:t>1</w:t>
      </w:r>
      <w:r>
        <w:t>), where travel time was calculated by means of particle tracking</w:t>
      </w:r>
      <w:r w:rsidR="00F1520E">
        <w:t xml:space="preserve"> (Section </w:t>
      </w:r>
      <w:r w:rsidR="00F1520E">
        <w:fldChar w:fldCharType="begin" w:fldLock="1"/>
      </w:r>
      <w:r w:rsidR="00F1520E">
        <w:instrText xml:space="preserve"> REF _Ref467594866 \r \h </w:instrText>
      </w:r>
      <w:r w:rsidR="00F1520E">
        <w:fldChar w:fldCharType="separate"/>
      </w:r>
      <w:r w:rsidR="00335E79">
        <w:t>2.6.4.4</w:t>
      </w:r>
      <w:r w:rsidR="00F1520E">
        <w:fldChar w:fldCharType="end"/>
      </w:r>
      <w:r w:rsidR="00F1520E">
        <w:t>)</w:t>
      </w:r>
      <w:r>
        <w:t xml:space="preserve">. </w:t>
      </w:r>
      <w:r w:rsidR="00664F93">
        <w:t>A hypothetical concentration of 1 (without specific units) was used in the calculations</w:t>
      </w:r>
      <w:r w:rsidR="00AC7105">
        <w:t xml:space="preserve"> of the dilution factor</w:t>
      </w:r>
      <w:r w:rsidR="00664F93">
        <w:t>.</w:t>
      </w:r>
      <w:r w:rsidR="00AC7105">
        <w:t xml:space="preserve"> </w:t>
      </w:r>
      <w:r w:rsidR="0023178E">
        <w:t xml:space="preserve">Section </w:t>
      </w:r>
      <w:r w:rsidR="0023178E">
        <w:fldChar w:fldCharType="begin" w:fldLock="1"/>
      </w:r>
      <w:r w:rsidR="0023178E">
        <w:instrText xml:space="preserve"> REF _Ref472440224 \r \h </w:instrText>
      </w:r>
      <w:r w:rsidR="0023178E">
        <w:fldChar w:fldCharType="separate"/>
      </w:r>
      <w:r w:rsidR="00335E79">
        <w:t>5.6</w:t>
      </w:r>
      <w:r w:rsidR="0023178E">
        <w:fldChar w:fldCharType="end"/>
      </w:r>
      <w:r w:rsidR="0023178E">
        <w:t xml:space="preserve"> provides examples of how dilution factors thus derived can be used in the context of protection of ecosystems and human health. </w:t>
      </w:r>
    </w:p>
    <w:p w14:paraId="2F67A3FF" w14:textId="7442FD95" w:rsidR="00B6315F" w:rsidRDefault="00ED011A" w:rsidP="00E433E7">
      <w:pPr>
        <w:pStyle w:val="Body"/>
      </w:pPr>
      <w:r>
        <w:t xml:space="preserve">Calculations are done first using the default half-life values without consideration of specific hydrostratigraphic units. This was done to explore attenuation behaviour across the full range of values. In Section </w:t>
      </w:r>
      <w:r>
        <w:fldChar w:fldCharType="begin" w:fldLock="1"/>
      </w:r>
      <w:r>
        <w:instrText xml:space="preserve"> REF _Ref467833142 \r \h </w:instrText>
      </w:r>
      <w:r>
        <w:fldChar w:fldCharType="separate"/>
      </w:r>
      <w:r w:rsidR="00335E79">
        <w:t>5.2.1.2</w:t>
      </w:r>
      <w:r>
        <w:fldChar w:fldCharType="end"/>
      </w:r>
      <w:r>
        <w:t>, the dilution attenuation will be calculated for each hydrostratigraphic unit by accounting for layer-specific half-life values.</w:t>
      </w:r>
      <w:r w:rsidR="00664F93">
        <w:t xml:space="preserve"> </w:t>
      </w:r>
    </w:p>
    <w:p w14:paraId="5B4F31C4" w14:textId="09B97D7E" w:rsidR="00DC7BC6" w:rsidRDefault="00664F93" w:rsidP="00E433E7">
      <w:pPr>
        <w:pStyle w:val="Body"/>
      </w:pPr>
      <w:r>
        <w:t xml:space="preserve">Travel times used in the calculations are </w:t>
      </w:r>
      <w:r w:rsidR="00B6315F">
        <w:t>the most conservative values encountered in the particle tracking analysis, and are based on</w:t>
      </w:r>
      <w:r w:rsidR="00B6315F" w:rsidRPr="00B6315F">
        <w:t xml:space="preserve"> </w:t>
      </w:r>
      <w:r w:rsidR="00B6315F">
        <w:t xml:space="preserve">the Pilliga Sandstone, Gunnedah Basin. Calculations of chemical/biological degradation used the </w:t>
      </w:r>
      <w:r>
        <w:t>minimum</w:t>
      </w:r>
      <w:r w:rsidR="00DB783D">
        <w:t xml:space="preserve"> (10 y)</w:t>
      </w:r>
      <w:r>
        <w:t>, mean</w:t>
      </w:r>
      <w:r w:rsidR="00DB783D">
        <w:t xml:space="preserve"> (3</w:t>
      </w:r>
      <w:r w:rsidR="00A42E92">
        <w:t>4</w:t>
      </w:r>
      <w:r w:rsidR="00DB783D">
        <w:t xml:space="preserve"> y)</w:t>
      </w:r>
      <w:r>
        <w:t xml:space="preserve">, and maximum </w:t>
      </w:r>
      <w:r w:rsidR="00DB783D">
        <w:t>(9</w:t>
      </w:r>
      <w:r w:rsidR="00A42E92">
        <w:t>2</w:t>
      </w:r>
      <w:r w:rsidR="00DB783D">
        <w:t xml:space="preserve"> y) </w:t>
      </w:r>
      <w:r>
        <w:t xml:space="preserve">travel time in the first travel time class (from 0 to 100 years) as given in </w:t>
      </w:r>
      <w:r w:rsidR="00ED011A">
        <w:t xml:space="preserve">Section </w:t>
      </w:r>
      <w:r w:rsidR="00ED011A">
        <w:fldChar w:fldCharType="begin" w:fldLock="1"/>
      </w:r>
      <w:r w:rsidR="00ED011A">
        <w:instrText xml:space="preserve"> REF _Ref467594866 \r \h </w:instrText>
      </w:r>
      <w:r w:rsidR="00ED011A">
        <w:fldChar w:fldCharType="separate"/>
      </w:r>
      <w:r w:rsidR="00335E79">
        <w:t>2.6.4.4</w:t>
      </w:r>
      <w:r w:rsidR="00ED011A">
        <w:fldChar w:fldCharType="end"/>
      </w:r>
      <w:r w:rsidR="00ED011A">
        <w:t xml:space="preserve">, </w:t>
      </w:r>
      <w:r>
        <w:fldChar w:fldCharType="begin" w:fldLock="1"/>
      </w:r>
      <w:r>
        <w:instrText xml:space="preserve"> REF _Ref454384797 \h  \* MERGEFORMAT </w:instrText>
      </w:r>
      <w:r>
        <w:fldChar w:fldCharType="separate"/>
      </w:r>
      <w:r w:rsidR="00335E79" w:rsidRPr="00DA539C">
        <w:t xml:space="preserve">Table </w:t>
      </w:r>
      <w:r w:rsidR="00335E79">
        <w:t>2</w:t>
      </w:r>
      <w:r w:rsidR="00335E79">
        <w:noBreakHyphen/>
        <w:t>24</w:t>
      </w:r>
      <w:r>
        <w:fldChar w:fldCharType="end"/>
      </w:r>
      <w:r>
        <w:t>.</w:t>
      </w:r>
      <w:r w:rsidR="00FA112F">
        <w:t xml:space="preserve"> </w:t>
      </w:r>
      <w:r w:rsidR="007E1C58">
        <w:t>Travel times for all other relevant aquifers including Maules Creek (Gunnedah) and all Surat aquifers (</w:t>
      </w:r>
      <w:r w:rsidR="007E1C58">
        <w:fldChar w:fldCharType="begin" w:fldLock="1"/>
      </w:r>
      <w:r w:rsidR="007E1C58">
        <w:instrText xml:space="preserve"> REF _Ref458337224 \h </w:instrText>
      </w:r>
      <w:r w:rsidR="007E1C58">
        <w:fldChar w:fldCharType="separate"/>
      </w:r>
      <w:r w:rsidR="00335E79">
        <w:t xml:space="preserve">Table </w:t>
      </w:r>
      <w:r w:rsidR="00335E79">
        <w:rPr>
          <w:noProof/>
        </w:rPr>
        <w:t>2</w:t>
      </w:r>
      <w:r w:rsidR="00335E79">
        <w:noBreakHyphen/>
      </w:r>
      <w:r w:rsidR="00335E79">
        <w:rPr>
          <w:noProof/>
        </w:rPr>
        <w:t>26</w:t>
      </w:r>
      <w:r w:rsidR="007E1C58">
        <w:fldChar w:fldCharType="end"/>
      </w:r>
      <w:r w:rsidR="007E1C58">
        <w:t>) are much larger, hence would result in an even larger degradation that what is calculated based on the Pilliga Sandstone val</w:t>
      </w:r>
      <w:r w:rsidR="00ED011A">
        <w:t>u</w:t>
      </w:r>
      <w:r w:rsidR="007E1C58">
        <w:t xml:space="preserve">es. </w:t>
      </w:r>
      <w:r w:rsidR="00FA112F">
        <w:t xml:space="preserve">Dilution attenuation factors (DAF) are calculated </w:t>
      </w:r>
      <w:r w:rsidR="00DC7BC6">
        <w:t>as follows (</w:t>
      </w:r>
      <w:r w:rsidR="00FA112F">
        <w:t>where half-life data was available</w:t>
      </w:r>
      <w:r w:rsidR="00DC7BC6">
        <w:t>):</w:t>
      </w:r>
    </w:p>
    <w:p w14:paraId="0AB14D86" w14:textId="774ED053" w:rsidR="004B6904" w:rsidRDefault="00DC7BC6" w:rsidP="00DC7BC6">
      <w:pPr>
        <w:pStyle w:val="Body"/>
        <w:tabs>
          <w:tab w:val="center" w:pos="4253"/>
          <w:tab w:val="center" w:pos="8222"/>
        </w:tabs>
      </w:pPr>
      <w:r>
        <w:tab/>
      </w:r>
      <m:oMath>
        <m:r>
          <w:rPr>
            <w:rFonts w:ascii="Cambria Math" w:hAnsi="Cambria Math"/>
          </w:rPr>
          <m:t xml:space="preserve">DAF= </m:t>
        </m:r>
        <m:f>
          <m:fPr>
            <m:type m:val="skw"/>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C</m:t>
                </m:r>
              </m:e>
              <m:sub>
                <m:r>
                  <w:rPr>
                    <w:rFonts w:ascii="Cambria Math" w:hAnsi="Cambria Math"/>
                  </w:rPr>
                  <m:t>F</m:t>
                </m:r>
              </m:sub>
            </m:sSub>
          </m:den>
        </m:f>
      </m:oMath>
      <w:r w:rsidR="00B6315F">
        <w:t xml:space="preserve"> </w:t>
      </w:r>
      <w:r>
        <w:tab/>
        <w:t>(17)</w:t>
      </w:r>
    </w:p>
    <w:p w14:paraId="6D49C038" w14:textId="7A86F9F6" w:rsidR="00DC7BC6" w:rsidRDefault="00DC7BC6" w:rsidP="00E433E7">
      <w:pPr>
        <w:pStyle w:val="Body"/>
      </w:pPr>
      <w:proofErr w:type="gramStart"/>
      <w:r>
        <w:t>where</w:t>
      </w:r>
      <w:proofErr w:type="gramEnd"/>
      <w:r>
        <w:t xml:space="preserve"> </w:t>
      </w:r>
      <w:r w:rsidRPr="004870BB">
        <w:rPr>
          <w:i/>
        </w:rPr>
        <w:t>C</w:t>
      </w:r>
      <w:r w:rsidRPr="004870BB">
        <w:rPr>
          <w:vertAlign w:val="subscript"/>
        </w:rPr>
        <w:t>F</w:t>
      </w:r>
      <w:r>
        <w:t xml:space="preserve"> is chemical concentration at receptor accounting for degradation</w:t>
      </w:r>
      <w:r w:rsidR="004870BB">
        <w:t>, sorption and dilution</w:t>
      </w:r>
      <w:r>
        <w:t xml:space="preserve">.  </w:t>
      </w:r>
    </w:p>
    <w:p w14:paraId="457F6DBD" w14:textId="77777777" w:rsidR="007B526F" w:rsidRDefault="007B526F" w:rsidP="00E433E7">
      <w:pPr>
        <w:pStyle w:val="Body"/>
      </w:pPr>
    </w:p>
    <w:p w14:paraId="7173BB63" w14:textId="3DA6EF78" w:rsidR="004B6904" w:rsidRDefault="004B6904" w:rsidP="004B6904">
      <w:pPr>
        <w:pStyle w:val="Imagecaption"/>
        <w:keepNext/>
        <w:pBdr>
          <w:top w:val="none" w:sz="0" w:space="0" w:color="auto"/>
        </w:pBdr>
      </w:pPr>
      <w:bookmarkStart w:id="605" w:name="_Ref454464509"/>
      <w:bookmarkStart w:id="606" w:name="_Toc494444729"/>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w:t>
      </w:r>
      <w:r w:rsidR="00470577">
        <w:fldChar w:fldCharType="end"/>
      </w:r>
      <w:bookmarkEnd w:id="605"/>
      <w:r>
        <w:t xml:space="preserve"> Half-life data used in attenuation calculations. </w:t>
      </w:r>
      <w:r w:rsidR="00D91D01">
        <w:t xml:space="preserve">Values represent observed range based on in situ and field studies. </w:t>
      </w:r>
      <w:r>
        <w:t>MCI = Methyl-chloro-isothiazolinone</w:t>
      </w:r>
      <w:r w:rsidR="00735F10">
        <w:t xml:space="preserve">. NBD = not </w:t>
      </w:r>
      <w:proofErr w:type="gramStart"/>
      <w:r w:rsidR="00735F10">
        <w:t>biodegradable</w:t>
      </w:r>
      <w:r w:rsidR="00D91D01">
        <w:t xml:space="preserve"> </w:t>
      </w:r>
      <w:r w:rsidR="00735F10">
        <w:t>.</w:t>
      </w:r>
      <w:proofErr w:type="gramEnd"/>
      <w:r w:rsidR="00735F10">
        <w:t xml:space="preserve"> </w:t>
      </w:r>
      <w:r w:rsidR="00BE5D78">
        <w:t>Values rounded to three significant figures.</w:t>
      </w:r>
      <w:r w:rsidR="009C79A7">
        <w:t xml:space="preserve"> N.d. = no data; </w:t>
      </w:r>
      <w:proofErr w:type="gramStart"/>
      <w:r w:rsidR="009C79A7">
        <w:t>n.a</w:t>
      </w:r>
      <w:proofErr w:type="gramEnd"/>
      <w:r w:rsidR="009C79A7">
        <w:t>. = not applicable.</w:t>
      </w:r>
      <w:bookmarkEnd w:id="606"/>
    </w:p>
    <w:tbl>
      <w:tblPr>
        <w:tblW w:w="9097" w:type="dxa"/>
        <w:tblInd w:w="-30" w:type="dxa"/>
        <w:tblLayout w:type="fixed"/>
        <w:tblLook w:val="0000" w:firstRow="0" w:lastRow="0" w:firstColumn="0" w:lastColumn="0" w:noHBand="0" w:noVBand="0"/>
      </w:tblPr>
      <w:tblGrid>
        <w:gridCol w:w="2010"/>
        <w:gridCol w:w="1134"/>
        <w:gridCol w:w="1276"/>
        <w:gridCol w:w="1275"/>
        <w:gridCol w:w="1276"/>
        <w:gridCol w:w="1276"/>
        <w:gridCol w:w="850"/>
      </w:tblGrid>
      <w:tr w:rsidR="004B6904" w14:paraId="29727332" w14:textId="77777777" w:rsidTr="008600D2">
        <w:trPr>
          <w:trHeight w:val="290"/>
        </w:trPr>
        <w:tc>
          <w:tcPr>
            <w:tcW w:w="2010" w:type="dxa"/>
            <w:tcBorders>
              <w:top w:val="single" w:sz="4" w:space="0" w:color="auto"/>
              <w:left w:val="single" w:sz="4" w:space="0" w:color="auto"/>
              <w:bottom w:val="nil"/>
              <w:right w:val="nil"/>
            </w:tcBorders>
          </w:tcPr>
          <w:p w14:paraId="246B708D" w14:textId="77777777" w:rsidR="004B6904" w:rsidRPr="00D23B3D" w:rsidRDefault="004B6904">
            <w:pPr>
              <w:autoSpaceDE w:val="0"/>
              <w:autoSpaceDN w:val="0"/>
              <w:adjustRightInd w:val="0"/>
              <w:spacing w:after="0"/>
              <w:jc w:val="right"/>
              <w:rPr>
                <w:rFonts w:ascii="Calibri" w:hAnsi="Calibri" w:cs="Calibri"/>
                <w:color w:val="000000"/>
                <w:sz w:val="18"/>
                <w:szCs w:val="18"/>
                <w:lang w:val="en-AU"/>
              </w:rPr>
            </w:pPr>
          </w:p>
        </w:tc>
        <w:tc>
          <w:tcPr>
            <w:tcW w:w="7087" w:type="dxa"/>
            <w:gridSpan w:val="6"/>
            <w:tcBorders>
              <w:top w:val="single" w:sz="4" w:space="0" w:color="auto"/>
              <w:left w:val="nil"/>
              <w:bottom w:val="nil"/>
              <w:right w:val="single" w:sz="4" w:space="0" w:color="auto"/>
            </w:tcBorders>
          </w:tcPr>
          <w:p w14:paraId="534216D3" w14:textId="32F8ED78" w:rsidR="004B6904" w:rsidRPr="00D23B3D" w:rsidRDefault="004B6904" w:rsidP="004B6904">
            <w:pPr>
              <w:autoSpaceDE w:val="0"/>
              <w:autoSpaceDN w:val="0"/>
              <w:adjustRightInd w:val="0"/>
              <w:spacing w:after="0"/>
              <w:jc w:val="center"/>
              <w:rPr>
                <w:rFonts w:ascii="Calibri" w:hAnsi="Calibri" w:cs="Calibri"/>
                <w:color w:val="000000"/>
                <w:sz w:val="18"/>
                <w:szCs w:val="18"/>
                <w:lang w:val="en-AU"/>
              </w:rPr>
            </w:pPr>
            <w:r w:rsidRPr="00D23B3D">
              <w:rPr>
                <w:rFonts w:ascii="Calibri" w:hAnsi="Calibri" w:cs="Calibri"/>
                <w:color w:val="000000"/>
                <w:sz w:val="18"/>
                <w:szCs w:val="18"/>
                <w:lang w:val="en-AU"/>
              </w:rPr>
              <w:t>Half-life (days)</w:t>
            </w:r>
          </w:p>
        </w:tc>
      </w:tr>
      <w:tr w:rsidR="00E13765" w14:paraId="56D81A90" w14:textId="77777777" w:rsidTr="008600D2">
        <w:trPr>
          <w:trHeight w:val="290"/>
        </w:trPr>
        <w:tc>
          <w:tcPr>
            <w:tcW w:w="2010" w:type="dxa"/>
            <w:tcBorders>
              <w:top w:val="nil"/>
              <w:left w:val="single" w:sz="4" w:space="0" w:color="auto"/>
              <w:bottom w:val="nil"/>
              <w:right w:val="nil"/>
            </w:tcBorders>
          </w:tcPr>
          <w:p w14:paraId="26BA1723" w14:textId="77777777" w:rsidR="00E13765" w:rsidRPr="00D23B3D" w:rsidRDefault="00E13765">
            <w:pPr>
              <w:autoSpaceDE w:val="0"/>
              <w:autoSpaceDN w:val="0"/>
              <w:adjustRightInd w:val="0"/>
              <w:spacing w:after="0"/>
              <w:jc w:val="right"/>
              <w:rPr>
                <w:rFonts w:ascii="Calibri" w:hAnsi="Calibri" w:cs="Calibri"/>
                <w:color w:val="000000"/>
                <w:sz w:val="18"/>
                <w:szCs w:val="18"/>
                <w:lang w:val="en-AU"/>
              </w:rPr>
            </w:pPr>
          </w:p>
        </w:tc>
        <w:tc>
          <w:tcPr>
            <w:tcW w:w="2410" w:type="dxa"/>
            <w:gridSpan w:val="2"/>
            <w:tcBorders>
              <w:top w:val="nil"/>
              <w:left w:val="nil"/>
              <w:bottom w:val="nil"/>
              <w:right w:val="nil"/>
            </w:tcBorders>
            <w:shd w:val="solid" w:color="FFCC99" w:fill="auto"/>
          </w:tcPr>
          <w:p w14:paraId="12B83324" w14:textId="57DC0ECE" w:rsidR="00E13765" w:rsidRPr="00D23B3D" w:rsidRDefault="00E13765">
            <w:pPr>
              <w:autoSpaceDE w:val="0"/>
              <w:autoSpaceDN w:val="0"/>
              <w:adjustRightInd w:val="0"/>
              <w:spacing w:after="0"/>
              <w:jc w:val="center"/>
              <w:rPr>
                <w:rFonts w:ascii="Calibri" w:hAnsi="Calibri" w:cs="Calibri"/>
                <w:color w:val="000000"/>
                <w:sz w:val="18"/>
                <w:szCs w:val="18"/>
                <w:lang w:val="en-AU"/>
              </w:rPr>
            </w:pPr>
            <w:r w:rsidRPr="00D23B3D">
              <w:rPr>
                <w:rFonts w:ascii="Calibri" w:hAnsi="Calibri" w:cs="Calibri"/>
                <w:color w:val="000000"/>
                <w:sz w:val="18"/>
                <w:szCs w:val="18"/>
                <w:lang w:val="en-AU"/>
              </w:rPr>
              <w:t>Anaerobic</w:t>
            </w:r>
          </w:p>
        </w:tc>
        <w:tc>
          <w:tcPr>
            <w:tcW w:w="2551" w:type="dxa"/>
            <w:gridSpan w:val="2"/>
            <w:tcBorders>
              <w:top w:val="nil"/>
              <w:left w:val="nil"/>
              <w:bottom w:val="nil"/>
              <w:right w:val="nil"/>
            </w:tcBorders>
            <w:shd w:val="solid" w:color="99CCFF" w:fill="auto"/>
          </w:tcPr>
          <w:p w14:paraId="6168AFC5" w14:textId="72A3C199" w:rsidR="00E13765" w:rsidRPr="00D23B3D" w:rsidRDefault="00E13765">
            <w:pPr>
              <w:autoSpaceDE w:val="0"/>
              <w:autoSpaceDN w:val="0"/>
              <w:adjustRightInd w:val="0"/>
              <w:spacing w:after="0"/>
              <w:jc w:val="center"/>
              <w:rPr>
                <w:rFonts w:ascii="Calibri" w:hAnsi="Calibri" w:cs="Calibri"/>
                <w:color w:val="000000"/>
                <w:sz w:val="18"/>
                <w:szCs w:val="18"/>
                <w:lang w:val="en-AU"/>
              </w:rPr>
            </w:pPr>
            <w:r w:rsidRPr="00D23B3D">
              <w:rPr>
                <w:rFonts w:ascii="Calibri" w:hAnsi="Calibri" w:cs="Calibri"/>
                <w:color w:val="000000"/>
                <w:sz w:val="18"/>
                <w:szCs w:val="18"/>
                <w:lang w:val="en-AU"/>
              </w:rPr>
              <w:t>Aerobic</w:t>
            </w:r>
          </w:p>
        </w:tc>
        <w:tc>
          <w:tcPr>
            <w:tcW w:w="2126" w:type="dxa"/>
            <w:gridSpan w:val="2"/>
            <w:tcBorders>
              <w:top w:val="nil"/>
              <w:left w:val="nil"/>
              <w:bottom w:val="nil"/>
              <w:right w:val="single" w:sz="4" w:space="0" w:color="auto"/>
            </w:tcBorders>
            <w:shd w:val="solid" w:color="FFFFCC" w:fill="auto"/>
          </w:tcPr>
          <w:p w14:paraId="19330F21" w14:textId="7786522D" w:rsidR="00E13765" w:rsidRPr="00D23B3D" w:rsidRDefault="00E13765">
            <w:pPr>
              <w:autoSpaceDE w:val="0"/>
              <w:autoSpaceDN w:val="0"/>
              <w:adjustRightInd w:val="0"/>
              <w:spacing w:after="0"/>
              <w:jc w:val="center"/>
              <w:rPr>
                <w:rFonts w:ascii="Calibri" w:hAnsi="Calibri" w:cs="Calibri"/>
                <w:color w:val="000000"/>
                <w:sz w:val="18"/>
                <w:szCs w:val="18"/>
                <w:lang w:val="en-AU"/>
              </w:rPr>
            </w:pPr>
            <w:r w:rsidRPr="00D23B3D">
              <w:rPr>
                <w:rFonts w:ascii="Calibri" w:hAnsi="Calibri" w:cs="Calibri"/>
                <w:color w:val="000000"/>
                <w:sz w:val="18"/>
                <w:szCs w:val="18"/>
                <w:lang w:val="en-AU"/>
              </w:rPr>
              <w:t>Hydrolysis</w:t>
            </w:r>
          </w:p>
        </w:tc>
      </w:tr>
      <w:tr w:rsidR="004B6904" w14:paraId="786B01CE" w14:textId="77777777" w:rsidTr="008600D2">
        <w:trPr>
          <w:trHeight w:val="290"/>
        </w:trPr>
        <w:tc>
          <w:tcPr>
            <w:tcW w:w="2010" w:type="dxa"/>
            <w:tcBorders>
              <w:top w:val="nil"/>
              <w:left w:val="single" w:sz="4" w:space="0" w:color="auto"/>
              <w:bottom w:val="single" w:sz="6" w:space="0" w:color="auto"/>
              <w:right w:val="nil"/>
            </w:tcBorders>
          </w:tcPr>
          <w:p w14:paraId="3B7FDB48" w14:textId="77777777" w:rsidR="004B6904" w:rsidRPr="00D23B3D" w:rsidRDefault="004B6904">
            <w:pPr>
              <w:autoSpaceDE w:val="0"/>
              <w:autoSpaceDN w:val="0"/>
              <w:adjustRightInd w:val="0"/>
              <w:spacing w:after="0"/>
              <w:rPr>
                <w:rFonts w:ascii="Calibri" w:hAnsi="Calibri" w:cs="Calibri"/>
                <w:color w:val="000000"/>
                <w:sz w:val="18"/>
                <w:szCs w:val="18"/>
                <w:lang w:val="en-AU"/>
              </w:rPr>
            </w:pPr>
            <w:r w:rsidRPr="00D23B3D">
              <w:rPr>
                <w:rFonts w:ascii="Calibri" w:hAnsi="Calibri" w:cs="Calibri"/>
                <w:color w:val="000000"/>
                <w:sz w:val="18"/>
                <w:szCs w:val="18"/>
                <w:lang w:val="en-AU"/>
              </w:rPr>
              <w:t>Chemical substance</w:t>
            </w:r>
          </w:p>
        </w:tc>
        <w:tc>
          <w:tcPr>
            <w:tcW w:w="1134" w:type="dxa"/>
            <w:tcBorders>
              <w:top w:val="nil"/>
              <w:left w:val="nil"/>
              <w:bottom w:val="single" w:sz="6" w:space="0" w:color="auto"/>
              <w:right w:val="nil"/>
            </w:tcBorders>
            <w:shd w:val="solid" w:color="FFCC99" w:fill="auto"/>
          </w:tcPr>
          <w:p w14:paraId="330C323F" w14:textId="52D73686" w:rsidR="004B6904" w:rsidRPr="00D23B3D" w:rsidRDefault="008600D2">
            <w:pPr>
              <w:autoSpaceDE w:val="0"/>
              <w:autoSpaceDN w:val="0"/>
              <w:adjustRightInd w:val="0"/>
              <w:spacing w:after="0"/>
              <w:jc w:val="center"/>
              <w:rPr>
                <w:rFonts w:ascii="Calibri" w:hAnsi="Calibri" w:cs="Calibri"/>
                <w:color w:val="000000"/>
                <w:sz w:val="18"/>
                <w:szCs w:val="18"/>
                <w:lang w:val="en-AU"/>
              </w:rPr>
            </w:pPr>
            <w:r w:rsidRPr="00D23B3D">
              <w:rPr>
                <w:rFonts w:ascii="Calibri" w:hAnsi="Calibri" w:cs="Calibri"/>
                <w:color w:val="000000"/>
                <w:sz w:val="18"/>
                <w:szCs w:val="18"/>
                <w:lang w:val="en-AU"/>
              </w:rPr>
              <w:t>M</w:t>
            </w:r>
            <w:r w:rsidR="004B6904" w:rsidRPr="00D23B3D">
              <w:rPr>
                <w:rFonts w:ascii="Calibri" w:hAnsi="Calibri" w:cs="Calibri"/>
                <w:color w:val="000000"/>
                <w:sz w:val="18"/>
                <w:szCs w:val="18"/>
                <w:lang w:val="en-AU"/>
              </w:rPr>
              <w:t>in</w:t>
            </w:r>
          </w:p>
        </w:tc>
        <w:tc>
          <w:tcPr>
            <w:tcW w:w="1276" w:type="dxa"/>
            <w:tcBorders>
              <w:top w:val="nil"/>
              <w:left w:val="nil"/>
              <w:bottom w:val="single" w:sz="6" w:space="0" w:color="auto"/>
              <w:right w:val="nil"/>
            </w:tcBorders>
            <w:shd w:val="solid" w:color="FFCC99" w:fill="auto"/>
          </w:tcPr>
          <w:p w14:paraId="75F07399" w14:textId="105CA656" w:rsidR="004B6904" w:rsidRPr="00D23B3D" w:rsidRDefault="008600D2">
            <w:pPr>
              <w:autoSpaceDE w:val="0"/>
              <w:autoSpaceDN w:val="0"/>
              <w:adjustRightInd w:val="0"/>
              <w:spacing w:after="0"/>
              <w:jc w:val="center"/>
              <w:rPr>
                <w:rFonts w:ascii="Calibri" w:hAnsi="Calibri" w:cs="Calibri"/>
                <w:color w:val="000000"/>
                <w:sz w:val="18"/>
                <w:szCs w:val="18"/>
                <w:lang w:val="en-AU"/>
              </w:rPr>
            </w:pPr>
            <w:r w:rsidRPr="00D23B3D">
              <w:rPr>
                <w:rFonts w:ascii="Calibri" w:hAnsi="Calibri" w:cs="Calibri"/>
                <w:color w:val="000000"/>
                <w:sz w:val="18"/>
                <w:szCs w:val="18"/>
                <w:lang w:val="en-AU"/>
              </w:rPr>
              <w:t>M</w:t>
            </w:r>
            <w:r w:rsidR="004B6904" w:rsidRPr="00D23B3D">
              <w:rPr>
                <w:rFonts w:ascii="Calibri" w:hAnsi="Calibri" w:cs="Calibri"/>
                <w:color w:val="000000"/>
                <w:sz w:val="18"/>
                <w:szCs w:val="18"/>
                <w:lang w:val="en-AU"/>
              </w:rPr>
              <w:t>ax</w:t>
            </w:r>
          </w:p>
        </w:tc>
        <w:tc>
          <w:tcPr>
            <w:tcW w:w="1275" w:type="dxa"/>
            <w:tcBorders>
              <w:top w:val="nil"/>
              <w:left w:val="nil"/>
              <w:bottom w:val="single" w:sz="6" w:space="0" w:color="auto"/>
              <w:right w:val="nil"/>
            </w:tcBorders>
            <w:shd w:val="solid" w:color="99CCFF" w:fill="auto"/>
          </w:tcPr>
          <w:p w14:paraId="248FB72F" w14:textId="5C5CD1FA" w:rsidR="004B6904" w:rsidRPr="00D23B3D" w:rsidRDefault="008600D2">
            <w:pPr>
              <w:autoSpaceDE w:val="0"/>
              <w:autoSpaceDN w:val="0"/>
              <w:adjustRightInd w:val="0"/>
              <w:spacing w:after="0"/>
              <w:jc w:val="center"/>
              <w:rPr>
                <w:rFonts w:ascii="Calibri" w:hAnsi="Calibri" w:cs="Calibri"/>
                <w:color w:val="000000"/>
                <w:sz w:val="18"/>
                <w:szCs w:val="18"/>
                <w:lang w:val="en-AU"/>
              </w:rPr>
            </w:pPr>
            <w:r w:rsidRPr="00D23B3D">
              <w:rPr>
                <w:rFonts w:ascii="Calibri" w:hAnsi="Calibri" w:cs="Calibri"/>
                <w:color w:val="000000"/>
                <w:sz w:val="18"/>
                <w:szCs w:val="18"/>
                <w:lang w:val="en-AU"/>
              </w:rPr>
              <w:t>M</w:t>
            </w:r>
            <w:r w:rsidR="004B6904" w:rsidRPr="00D23B3D">
              <w:rPr>
                <w:rFonts w:ascii="Calibri" w:hAnsi="Calibri" w:cs="Calibri"/>
                <w:color w:val="000000"/>
                <w:sz w:val="18"/>
                <w:szCs w:val="18"/>
                <w:lang w:val="en-AU"/>
              </w:rPr>
              <w:t>in</w:t>
            </w:r>
          </w:p>
        </w:tc>
        <w:tc>
          <w:tcPr>
            <w:tcW w:w="1276" w:type="dxa"/>
            <w:tcBorders>
              <w:top w:val="nil"/>
              <w:left w:val="nil"/>
              <w:bottom w:val="single" w:sz="6" w:space="0" w:color="auto"/>
              <w:right w:val="nil"/>
            </w:tcBorders>
            <w:shd w:val="solid" w:color="99CCFF" w:fill="auto"/>
          </w:tcPr>
          <w:p w14:paraId="387350A1" w14:textId="6E57CF9E" w:rsidR="004B6904" w:rsidRPr="00D23B3D" w:rsidRDefault="008600D2">
            <w:pPr>
              <w:autoSpaceDE w:val="0"/>
              <w:autoSpaceDN w:val="0"/>
              <w:adjustRightInd w:val="0"/>
              <w:spacing w:after="0"/>
              <w:jc w:val="center"/>
              <w:rPr>
                <w:rFonts w:ascii="Calibri" w:hAnsi="Calibri" w:cs="Calibri"/>
                <w:color w:val="000000"/>
                <w:sz w:val="18"/>
                <w:szCs w:val="18"/>
                <w:lang w:val="en-AU"/>
              </w:rPr>
            </w:pPr>
            <w:r w:rsidRPr="00D23B3D">
              <w:rPr>
                <w:rFonts w:ascii="Calibri" w:hAnsi="Calibri" w:cs="Calibri"/>
                <w:color w:val="000000"/>
                <w:sz w:val="18"/>
                <w:szCs w:val="18"/>
                <w:lang w:val="en-AU"/>
              </w:rPr>
              <w:t>M</w:t>
            </w:r>
            <w:r w:rsidR="004B6904" w:rsidRPr="00D23B3D">
              <w:rPr>
                <w:rFonts w:ascii="Calibri" w:hAnsi="Calibri" w:cs="Calibri"/>
                <w:color w:val="000000"/>
                <w:sz w:val="18"/>
                <w:szCs w:val="18"/>
                <w:lang w:val="en-AU"/>
              </w:rPr>
              <w:t>ax</w:t>
            </w:r>
          </w:p>
        </w:tc>
        <w:tc>
          <w:tcPr>
            <w:tcW w:w="1276" w:type="dxa"/>
            <w:tcBorders>
              <w:top w:val="nil"/>
              <w:left w:val="nil"/>
              <w:bottom w:val="single" w:sz="6" w:space="0" w:color="auto"/>
              <w:right w:val="nil"/>
            </w:tcBorders>
            <w:shd w:val="solid" w:color="FFFFCC" w:fill="auto"/>
          </w:tcPr>
          <w:p w14:paraId="3AE90010" w14:textId="4CC77549" w:rsidR="004B6904" w:rsidRPr="00D23B3D" w:rsidRDefault="008600D2">
            <w:pPr>
              <w:autoSpaceDE w:val="0"/>
              <w:autoSpaceDN w:val="0"/>
              <w:adjustRightInd w:val="0"/>
              <w:spacing w:after="0"/>
              <w:jc w:val="center"/>
              <w:rPr>
                <w:rFonts w:ascii="Calibri" w:hAnsi="Calibri" w:cs="Calibri"/>
                <w:color w:val="000000"/>
                <w:sz w:val="18"/>
                <w:szCs w:val="18"/>
                <w:lang w:val="en-AU"/>
              </w:rPr>
            </w:pPr>
            <w:r w:rsidRPr="00D23B3D">
              <w:rPr>
                <w:rFonts w:ascii="Calibri" w:hAnsi="Calibri" w:cs="Calibri"/>
                <w:color w:val="000000"/>
                <w:sz w:val="18"/>
                <w:szCs w:val="18"/>
                <w:lang w:val="en-AU"/>
              </w:rPr>
              <w:t>M</w:t>
            </w:r>
            <w:r w:rsidR="004B6904" w:rsidRPr="00D23B3D">
              <w:rPr>
                <w:rFonts w:ascii="Calibri" w:hAnsi="Calibri" w:cs="Calibri"/>
                <w:color w:val="000000"/>
                <w:sz w:val="18"/>
                <w:szCs w:val="18"/>
                <w:lang w:val="en-AU"/>
              </w:rPr>
              <w:t>in</w:t>
            </w:r>
          </w:p>
        </w:tc>
        <w:tc>
          <w:tcPr>
            <w:tcW w:w="850" w:type="dxa"/>
            <w:tcBorders>
              <w:top w:val="nil"/>
              <w:left w:val="nil"/>
              <w:bottom w:val="single" w:sz="6" w:space="0" w:color="auto"/>
              <w:right w:val="single" w:sz="4" w:space="0" w:color="auto"/>
            </w:tcBorders>
            <w:shd w:val="solid" w:color="FFFFCC" w:fill="auto"/>
          </w:tcPr>
          <w:p w14:paraId="17B43BE8" w14:textId="4DFF0DE1" w:rsidR="004B6904" w:rsidRPr="00D23B3D" w:rsidRDefault="008600D2">
            <w:pPr>
              <w:autoSpaceDE w:val="0"/>
              <w:autoSpaceDN w:val="0"/>
              <w:adjustRightInd w:val="0"/>
              <w:spacing w:after="0"/>
              <w:jc w:val="center"/>
              <w:rPr>
                <w:rFonts w:ascii="Calibri" w:hAnsi="Calibri" w:cs="Calibri"/>
                <w:color w:val="000000"/>
                <w:sz w:val="18"/>
                <w:szCs w:val="18"/>
                <w:lang w:val="en-AU"/>
              </w:rPr>
            </w:pPr>
            <w:r w:rsidRPr="00D23B3D">
              <w:rPr>
                <w:rFonts w:ascii="Calibri" w:hAnsi="Calibri" w:cs="Calibri"/>
                <w:color w:val="000000"/>
                <w:sz w:val="18"/>
                <w:szCs w:val="18"/>
                <w:lang w:val="en-AU"/>
              </w:rPr>
              <w:t>M</w:t>
            </w:r>
            <w:r w:rsidR="004B6904" w:rsidRPr="00D23B3D">
              <w:rPr>
                <w:rFonts w:ascii="Calibri" w:hAnsi="Calibri" w:cs="Calibri"/>
                <w:color w:val="000000"/>
                <w:sz w:val="18"/>
                <w:szCs w:val="18"/>
                <w:lang w:val="en-AU"/>
              </w:rPr>
              <w:t>ax</w:t>
            </w:r>
          </w:p>
        </w:tc>
      </w:tr>
      <w:tr w:rsidR="004B6904" w14:paraId="6980619A" w14:textId="77777777" w:rsidTr="008600D2">
        <w:trPr>
          <w:trHeight w:val="290"/>
        </w:trPr>
        <w:tc>
          <w:tcPr>
            <w:tcW w:w="2010" w:type="dxa"/>
            <w:tcBorders>
              <w:top w:val="nil"/>
              <w:left w:val="single" w:sz="4" w:space="0" w:color="auto"/>
              <w:bottom w:val="nil"/>
              <w:right w:val="nil"/>
            </w:tcBorders>
          </w:tcPr>
          <w:p w14:paraId="3C312376" w14:textId="77777777" w:rsidR="004B6904" w:rsidRPr="00D23B3D" w:rsidRDefault="004B6904">
            <w:pPr>
              <w:autoSpaceDE w:val="0"/>
              <w:autoSpaceDN w:val="0"/>
              <w:adjustRightInd w:val="0"/>
              <w:spacing w:after="0"/>
              <w:rPr>
                <w:rFonts w:ascii="Calibri" w:hAnsi="Calibri" w:cs="Calibri"/>
                <w:color w:val="000000"/>
                <w:sz w:val="18"/>
                <w:szCs w:val="18"/>
                <w:lang w:val="en-AU"/>
              </w:rPr>
            </w:pPr>
            <w:r w:rsidRPr="00D23B3D">
              <w:rPr>
                <w:rFonts w:ascii="Calibri" w:hAnsi="Calibri" w:cs="Calibri"/>
                <w:color w:val="000000"/>
                <w:sz w:val="18"/>
                <w:szCs w:val="18"/>
                <w:lang w:val="en-AU"/>
              </w:rPr>
              <w:t>2-methylphenol</w:t>
            </w:r>
          </w:p>
        </w:tc>
        <w:tc>
          <w:tcPr>
            <w:tcW w:w="1134" w:type="dxa"/>
            <w:tcBorders>
              <w:top w:val="nil"/>
              <w:left w:val="nil"/>
              <w:bottom w:val="nil"/>
              <w:right w:val="nil"/>
            </w:tcBorders>
            <w:shd w:val="solid" w:color="FFCC99" w:fill="auto"/>
          </w:tcPr>
          <w:p w14:paraId="442A47CC" w14:textId="7777777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20</w:t>
            </w:r>
          </w:p>
        </w:tc>
        <w:tc>
          <w:tcPr>
            <w:tcW w:w="1276" w:type="dxa"/>
            <w:tcBorders>
              <w:top w:val="nil"/>
              <w:left w:val="nil"/>
              <w:bottom w:val="nil"/>
              <w:right w:val="nil"/>
            </w:tcBorders>
            <w:shd w:val="solid" w:color="FFCC99" w:fill="auto"/>
          </w:tcPr>
          <w:p w14:paraId="25114676" w14:textId="6B5E516C" w:rsidR="004B6904" w:rsidRPr="00D23B3D" w:rsidRDefault="004B6904" w:rsidP="00BE5D78">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1</w:t>
            </w:r>
            <w:r w:rsidR="00BE5D78" w:rsidRPr="00D23B3D">
              <w:rPr>
                <w:rFonts w:ascii="Calibri" w:hAnsi="Calibri" w:cs="Calibri"/>
                <w:b/>
                <w:bCs/>
                <w:color w:val="000000"/>
                <w:sz w:val="18"/>
                <w:szCs w:val="18"/>
                <w:lang w:val="en-AU"/>
              </w:rPr>
              <w:t>,</w:t>
            </w:r>
            <w:r w:rsidRPr="00D23B3D">
              <w:rPr>
                <w:rFonts w:ascii="Calibri" w:hAnsi="Calibri" w:cs="Calibri"/>
                <w:b/>
                <w:bCs/>
                <w:color w:val="000000"/>
                <w:sz w:val="18"/>
                <w:szCs w:val="18"/>
                <w:lang w:val="en-AU"/>
              </w:rPr>
              <w:t>3</w:t>
            </w:r>
            <w:r w:rsidR="00BE5D78" w:rsidRPr="00D23B3D">
              <w:rPr>
                <w:rFonts w:ascii="Calibri" w:hAnsi="Calibri" w:cs="Calibri"/>
                <w:b/>
                <w:bCs/>
                <w:color w:val="000000"/>
                <w:sz w:val="18"/>
                <w:szCs w:val="18"/>
                <w:lang w:val="en-AU"/>
              </w:rPr>
              <w:t>90</w:t>
            </w:r>
          </w:p>
        </w:tc>
        <w:tc>
          <w:tcPr>
            <w:tcW w:w="1275" w:type="dxa"/>
            <w:tcBorders>
              <w:top w:val="nil"/>
              <w:left w:val="nil"/>
              <w:bottom w:val="nil"/>
              <w:right w:val="nil"/>
            </w:tcBorders>
            <w:shd w:val="solid" w:color="99CCFF" w:fill="auto"/>
          </w:tcPr>
          <w:p w14:paraId="22C8DF2E" w14:textId="7777777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1.6</w:t>
            </w:r>
          </w:p>
        </w:tc>
        <w:tc>
          <w:tcPr>
            <w:tcW w:w="1276" w:type="dxa"/>
            <w:tcBorders>
              <w:top w:val="nil"/>
              <w:left w:val="nil"/>
              <w:bottom w:val="nil"/>
              <w:right w:val="nil"/>
            </w:tcBorders>
            <w:shd w:val="solid" w:color="99CCFF" w:fill="auto"/>
          </w:tcPr>
          <w:p w14:paraId="0F26B80A" w14:textId="33E55B0A"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5.1</w:t>
            </w:r>
          </w:p>
        </w:tc>
        <w:tc>
          <w:tcPr>
            <w:tcW w:w="1276" w:type="dxa"/>
            <w:tcBorders>
              <w:top w:val="nil"/>
              <w:left w:val="nil"/>
              <w:bottom w:val="nil"/>
              <w:right w:val="nil"/>
            </w:tcBorders>
            <w:shd w:val="solid" w:color="FFFFCC" w:fill="auto"/>
          </w:tcPr>
          <w:p w14:paraId="5B6F0051" w14:textId="05836D6A"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n.a.</w:t>
            </w:r>
          </w:p>
        </w:tc>
        <w:tc>
          <w:tcPr>
            <w:tcW w:w="850" w:type="dxa"/>
            <w:tcBorders>
              <w:top w:val="nil"/>
              <w:left w:val="nil"/>
              <w:bottom w:val="nil"/>
              <w:right w:val="single" w:sz="4" w:space="0" w:color="auto"/>
            </w:tcBorders>
            <w:shd w:val="solid" w:color="FFFFCC" w:fill="auto"/>
          </w:tcPr>
          <w:p w14:paraId="4C6C1577" w14:textId="70D9E502" w:rsidR="004B6904" w:rsidRPr="00D23B3D" w:rsidRDefault="009C79A7" w:rsidP="009C79A7">
            <w:pPr>
              <w:autoSpaceDE w:val="0"/>
              <w:autoSpaceDN w:val="0"/>
              <w:adjustRightInd w:val="0"/>
              <w:spacing w:after="0"/>
              <w:jc w:val="center"/>
              <w:rPr>
                <w:rFonts w:ascii="Calibri" w:hAnsi="Calibri" w:cs="Calibri"/>
                <w:b/>
                <w:bCs/>
                <w:color w:val="000000"/>
                <w:sz w:val="18"/>
                <w:szCs w:val="18"/>
                <w:lang w:val="en-AU"/>
              </w:rPr>
            </w:pPr>
            <w:r>
              <w:rPr>
                <w:rFonts w:ascii="Calibri" w:hAnsi="Calibri" w:cs="Calibri"/>
                <w:b/>
                <w:bCs/>
                <w:color w:val="000000"/>
                <w:sz w:val="18"/>
                <w:szCs w:val="18"/>
                <w:lang w:val="en-AU"/>
              </w:rPr>
              <w:t>n.a.</w:t>
            </w:r>
          </w:p>
        </w:tc>
      </w:tr>
      <w:tr w:rsidR="004B6904" w14:paraId="23773FC0" w14:textId="77777777" w:rsidTr="008600D2">
        <w:trPr>
          <w:trHeight w:val="290"/>
        </w:trPr>
        <w:tc>
          <w:tcPr>
            <w:tcW w:w="2010" w:type="dxa"/>
            <w:tcBorders>
              <w:top w:val="nil"/>
              <w:left w:val="single" w:sz="4" w:space="0" w:color="auto"/>
              <w:bottom w:val="nil"/>
              <w:right w:val="nil"/>
            </w:tcBorders>
          </w:tcPr>
          <w:p w14:paraId="7D2D35F2" w14:textId="77777777" w:rsidR="004B6904" w:rsidRPr="00D23B3D" w:rsidRDefault="004B6904">
            <w:pPr>
              <w:autoSpaceDE w:val="0"/>
              <w:autoSpaceDN w:val="0"/>
              <w:adjustRightInd w:val="0"/>
              <w:spacing w:after="0"/>
              <w:rPr>
                <w:rFonts w:ascii="Calibri" w:hAnsi="Calibri" w:cs="Calibri"/>
                <w:color w:val="000000"/>
                <w:sz w:val="18"/>
                <w:szCs w:val="18"/>
                <w:lang w:val="en-AU"/>
              </w:rPr>
            </w:pPr>
            <w:r w:rsidRPr="00D23B3D">
              <w:rPr>
                <w:rFonts w:ascii="Calibri" w:hAnsi="Calibri" w:cs="Calibri"/>
                <w:color w:val="000000"/>
                <w:sz w:val="18"/>
                <w:szCs w:val="18"/>
                <w:lang w:val="en-AU"/>
              </w:rPr>
              <w:t>Naphthalene</w:t>
            </w:r>
          </w:p>
        </w:tc>
        <w:tc>
          <w:tcPr>
            <w:tcW w:w="1134" w:type="dxa"/>
            <w:tcBorders>
              <w:top w:val="nil"/>
              <w:left w:val="nil"/>
              <w:bottom w:val="nil"/>
              <w:right w:val="nil"/>
            </w:tcBorders>
            <w:shd w:val="solid" w:color="FFCC99" w:fill="auto"/>
          </w:tcPr>
          <w:p w14:paraId="4A7B7F6C" w14:textId="7777777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96</w:t>
            </w:r>
          </w:p>
        </w:tc>
        <w:tc>
          <w:tcPr>
            <w:tcW w:w="1276" w:type="dxa"/>
            <w:tcBorders>
              <w:top w:val="nil"/>
              <w:left w:val="nil"/>
              <w:bottom w:val="nil"/>
              <w:right w:val="nil"/>
            </w:tcBorders>
            <w:shd w:val="solid" w:color="FFCC99" w:fill="auto"/>
          </w:tcPr>
          <w:p w14:paraId="7ED42B78" w14:textId="7777777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NBD</w:t>
            </w:r>
          </w:p>
        </w:tc>
        <w:tc>
          <w:tcPr>
            <w:tcW w:w="1275" w:type="dxa"/>
            <w:tcBorders>
              <w:top w:val="nil"/>
              <w:left w:val="nil"/>
              <w:bottom w:val="nil"/>
              <w:right w:val="nil"/>
            </w:tcBorders>
            <w:shd w:val="solid" w:color="99CCFF" w:fill="auto"/>
          </w:tcPr>
          <w:p w14:paraId="2C94A79C" w14:textId="088C9E9B"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2.1</w:t>
            </w:r>
          </w:p>
        </w:tc>
        <w:tc>
          <w:tcPr>
            <w:tcW w:w="1276" w:type="dxa"/>
            <w:tcBorders>
              <w:top w:val="nil"/>
              <w:left w:val="nil"/>
              <w:bottom w:val="nil"/>
              <w:right w:val="nil"/>
            </w:tcBorders>
            <w:shd w:val="solid" w:color="99CCFF" w:fill="auto"/>
          </w:tcPr>
          <w:p w14:paraId="5DEEDFD1" w14:textId="3817A4CD"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88</w:t>
            </w:r>
          </w:p>
        </w:tc>
        <w:tc>
          <w:tcPr>
            <w:tcW w:w="1276" w:type="dxa"/>
            <w:tcBorders>
              <w:top w:val="nil"/>
              <w:left w:val="nil"/>
              <w:bottom w:val="nil"/>
              <w:right w:val="nil"/>
            </w:tcBorders>
            <w:shd w:val="solid" w:color="FFFFCC" w:fill="auto"/>
          </w:tcPr>
          <w:p w14:paraId="300D2E17" w14:textId="6E0C81BB" w:rsidR="004B6904" w:rsidRPr="00D23B3D" w:rsidRDefault="009C79A7">
            <w:pPr>
              <w:autoSpaceDE w:val="0"/>
              <w:autoSpaceDN w:val="0"/>
              <w:adjustRightInd w:val="0"/>
              <w:spacing w:after="0"/>
              <w:jc w:val="center"/>
              <w:rPr>
                <w:rFonts w:ascii="Calibri" w:hAnsi="Calibri" w:cs="Calibri"/>
                <w:b/>
                <w:bCs/>
                <w:color w:val="000000"/>
                <w:sz w:val="18"/>
                <w:szCs w:val="18"/>
                <w:lang w:val="en-AU"/>
              </w:rPr>
            </w:pPr>
            <w:r>
              <w:rPr>
                <w:rFonts w:ascii="Calibri" w:hAnsi="Calibri" w:cs="Calibri"/>
                <w:b/>
                <w:bCs/>
                <w:color w:val="000000"/>
                <w:sz w:val="18"/>
                <w:szCs w:val="18"/>
                <w:lang w:val="en-AU"/>
              </w:rPr>
              <w:t>n.a.</w:t>
            </w:r>
          </w:p>
        </w:tc>
        <w:tc>
          <w:tcPr>
            <w:tcW w:w="850" w:type="dxa"/>
            <w:tcBorders>
              <w:top w:val="nil"/>
              <w:left w:val="nil"/>
              <w:bottom w:val="nil"/>
              <w:right w:val="single" w:sz="4" w:space="0" w:color="auto"/>
            </w:tcBorders>
            <w:shd w:val="solid" w:color="FFFFCC" w:fill="auto"/>
          </w:tcPr>
          <w:p w14:paraId="04AE080B" w14:textId="59D57C40" w:rsidR="004B6904" w:rsidRPr="00D23B3D" w:rsidRDefault="009C79A7">
            <w:pPr>
              <w:autoSpaceDE w:val="0"/>
              <w:autoSpaceDN w:val="0"/>
              <w:adjustRightInd w:val="0"/>
              <w:spacing w:after="0"/>
              <w:jc w:val="center"/>
              <w:rPr>
                <w:rFonts w:ascii="Calibri" w:hAnsi="Calibri" w:cs="Calibri"/>
                <w:b/>
                <w:bCs/>
                <w:color w:val="000000"/>
                <w:sz w:val="18"/>
                <w:szCs w:val="18"/>
                <w:lang w:val="en-AU"/>
              </w:rPr>
            </w:pPr>
            <w:r>
              <w:rPr>
                <w:rFonts w:ascii="Calibri" w:hAnsi="Calibri" w:cs="Calibri"/>
                <w:b/>
                <w:bCs/>
                <w:color w:val="000000"/>
                <w:sz w:val="18"/>
                <w:szCs w:val="18"/>
                <w:lang w:val="en-AU"/>
              </w:rPr>
              <w:t>n.a.</w:t>
            </w:r>
          </w:p>
        </w:tc>
      </w:tr>
      <w:tr w:rsidR="004B6904" w14:paraId="150723EB" w14:textId="77777777" w:rsidTr="008600D2">
        <w:trPr>
          <w:trHeight w:val="290"/>
        </w:trPr>
        <w:tc>
          <w:tcPr>
            <w:tcW w:w="2010" w:type="dxa"/>
            <w:tcBorders>
              <w:top w:val="nil"/>
              <w:left w:val="single" w:sz="4" w:space="0" w:color="auto"/>
              <w:bottom w:val="nil"/>
              <w:right w:val="nil"/>
            </w:tcBorders>
          </w:tcPr>
          <w:p w14:paraId="30D5739B" w14:textId="77777777" w:rsidR="004B6904" w:rsidRPr="00D23B3D" w:rsidRDefault="004B6904">
            <w:pPr>
              <w:autoSpaceDE w:val="0"/>
              <w:autoSpaceDN w:val="0"/>
              <w:adjustRightInd w:val="0"/>
              <w:spacing w:after="0"/>
              <w:rPr>
                <w:rFonts w:ascii="Calibri" w:hAnsi="Calibri" w:cs="Calibri"/>
                <w:color w:val="000000"/>
                <w:sz w:val="18"/>
                <w:szCs w:val="18"/>
                <w:lang w:val="en-AU"/>
              </w:rPr>
            </w:pPr>
            <w:r w:rsidRPr="00D23B3D">
              <w:rPr>
                <w:rFonts w:ascii="Calibri" w:hAnsi="Calibri" w:cs="Calibri"/>
                <w:color w:val="000000"/>
                <w:sz w:val="18"/>
                <w:szCs w:val="18"/>
                <w:lang w:val="en-AU"/>
              </w:rPr>
              <w:t>Limonene</w:t>
            </w:r>
          </w:p>
        </w:tc>
        <w:tc>
          <w:tcPr>
            <w:tcW w:w="1134" w:type="dxa"/>
            <w:tcBorders>
              <w:top w:val="nil"/>
              <w:left w:val="nil"/>
              <w:bottom w:val="nil"/>
              <w:right w:val="nil"/>
            </w:tcBorders>
            <w:shd w:val="solid" w:color="FFCC99" w:fill="auto"/>
          </w:tcPr>
          <w:p w14:paraId="07C0C665" w14:textId="1085031F"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n.a.</w:t>
            </w:r>
          </w:p>
        </w:tc>
        <w:tc>
          <w:tcPr>
            <w:tcW w:w="1276" w:type="dxa"/>
            <w:tcBorders>
              <w:top w:val="nil"/>
              <w:left w:val="nil"/>
              <w:bottom w:val="nil"/>
              <w:right w:val="nil"/>
            </w:tcBorders>
            <w:shd w:val="solid" w:color="FFCC99" w:fill="auto"/>
          </w:tcPr>
          <w:p w14:paraId="0987D64E" w14:textId="5D408D99" w:rsidR="004B6904" w:rsidRPr="00D23B3D" w:rsidRDefault="009C79A7" w:rsidP="009C79A7">
            <w:pPr>
              <w:autoSpaceDE w:val="0"/>
              <w:autoSpaceDN w:val="0"/>
              <w:adjustRightInd w:val="0"/>
              <w:spacing w:after="0"/>
              <w:jc w:val="center"/>
              <w:rPr>
                <w:rFonts w:ascii="Calibri" w:hAnsi="Calibri" w:cs="Calibri"/>
                <w:b/>
                <w:bCs/>
                <w:color w:val="000000"/>
                <w:sz w:val="18"/>
                <w:szCs w:val="18"/>
                <w:lang w:val="en-AU"/>
              </w:rPr>
            </w:pPr>
            <w:r>
              <w:rPr>
                <w:rFonts w:ascii="Calibri" w:hAnsi="Calibri" w:cs="Calibri"/>
                <w:b/>
                <w:bCs/>
                <w:color w:val="000000"/>
                <w:sz w:val="18"/>
                <w:szCs w:val="18"/>
                <w:lang w:val="en-AU"/>
              </w:rPr>
              <w:t>n.a.</w:t>
            </w:r>
          </w:p>
        </w:tc>
        <w:tc>
          <w:tcPr>
            <w:tcW w:w="1275" w:type="dxa"/>
            <w:tcBorders>
              <w:top w:val="nil"/>
              <w:left w:val="nil"/>
              <w:bottom w:val="nil"/>
              <w:right w:val="nil"/>
            </w:tcBorders>
            <w:shd w:val="solid" w:color="99CCFF" w:fill="auto"/>
          </w:tcPr>
          <w:p w14:paraId="3B3517FF" w14:textId="38034887" w:rsidR="004B6904" w:rsidRPr="00D23B3D" w:rsidRDefault="00C270D0">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2.3</w:t>
            </w:r>
          </w:p>
        </w:tc>
        <w:tc>
          <w:tcPr>
            <w:tcW w:w="1276" w:type="dxa"/>
            <w:tcBorders>
              <w:top w:val="nil"/>
              <w:left w:val="nil"/>
              <w:bottom w:val="nil"/>
              <w:right w:val="nil"/>
            </w:tcBorders>
            <w:shd w:val="solid" w:color="99CCFF" w:fill="auto"/>
          </w:tcPr>
          <w:p w14:paraId="7EE66B2C" w14:textId="7D53E25E" w:rsidR="004B6904" w:rsidRPr="00D23B3D" w:rsidRDefault="00C270D0">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18</w:t>
            </w:r>
          </w:p>
        </w:tc>
        <w:tc>
          <w:tcPr>
            <w:tcW w:w="1276" w:type="dxa"/>
            <w:tcBorders>
              <w:top w:val="nil"/>
              <w:left w:val="nil"/>
              <w:bottom w:val="nil"/>
              <w:right w:val="nil"/>
            </w:tcBorders>
            <w:shd w:val="solid" w:color="FFFFCC" w:fill="auto"/>
          </w:tcPr>
          <w:p w14:paraId="68AA7982" w14:textId="4BECFA06"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n.a.</w:t>
            </w:r>
          </w:p>
        </w:tc>
        <w:tc>
          <w:tcPr>
            <w:tcW w:w="850" w:type="dxa"/>
            <w:tcBorders>
              <w:top w:val="nil"/>
              <w:left w:val="nil"/>
              <w:bottom w:val="nil"/>
              <w:right w:val="single" w:sz="4" w:space="0" w:color="auto"/>
            </w:tcBorders>
            <w:shd w:val="solid" w:color="FFFFCC" w:fill="auto"/>
          </w:tcPr>
          <w:p w14:paraId="6F045A3F" w14:textId="26C76EA8" w:rsidR="004B6904" w:rsidRPr="00D23B3D" w:rsidRDefault="009C79A7" w:rsidP="009C79A7">
            <w:pPr>
              <w:autoSpaceDE w:val="0"/>
              <w:autoSpaceDN w:val="0"/>
              <w:adjustRightInd w:val="0"/>
              <w:spacing w:after="0"/>
              <w:jc w:val="center"/>
              <w:rPr>
                <w:rFonts w:ascii="Calibri" w:hAnsi="Calibri" w:cs="Calibri"/>
                <w:b/>
                <w:bCs/>
                <w:color w:val="000000"/>
                <w:sz w:val="18"/>
                <w:szCs w:val="18"/>
                <w:lang w:val="en-AU"/>
              </w:rPr>
            </w:pPr>
            <w:r>
              <w:rPr>
                <w:rFonts w:ascii="Calibri" w:hAnsi="Calibri" w:cs="Calibri"/>
                <w:b/>
                <w:bCs/>
                <w:color w:val="000000"/>
                <w:sz w:val="18"/>
                <w:szCs w:val="18"/>
                <w:lang w:val="en-AU"/>
              </w:rPr>
              <w:t>n.a.</w:t>
            </w:r>
          </w:p>
        </w:tc>
      </w:tr>
      <w:tr w:rsidR="004B6904" w14:paraId="51E32EC0" w14:textId="77777777" w:rsidTr="008600D2">
        <w:trPr>
          <w:trHeight w:val="290"/>
        </w:trPr>
        <w:tc>
          <w:tcPr>
            <w:tcW w:w="2010" w:type="dxa"/>
            <w:tcBorders>
              <w:top w:val="nil"/>
              <w:left w:val="single" w:sz="4" w:space="0" w:color="auto"/>
              <w:bottom w:val="nil"/>
              <w:right w:val="nil"/>
            </w:tcBorders>
          </w:tcPr>
          <w:p w14:paraId="4DF999C1" w14:textId="77777777" w:rsidR="004B6904" w:rsidRPr="00D23B3D" w:rsidRDefault="004B6904">
            <w:pPr>
              <w:autoSpaceDE w:val="0"/>
              <w:autoSpaceDN w:val="0"/>
              <w:adjustRightInd w:val="0"/>
              <w:spacing w:after="0"/>
              <w:rPr>
                <w:rFonts w:ascii="Calibri" w:hAnsi="Calibri" w:cs="Calibri"/>
                <w:color w:val="000000"/>
                <w:sz w:val="18"/>
                <w:szCs w:val="18"/>
                <w:lang w:val="en-AU"/>
              </w:rPr>
            </w:pPr>
            <w:r w:rsidRPr="00D23B3D">
              <w:rPr>
                <w:rFonts w:ascii="Calibri" w:hAnsi="Calibri" w:cs="Calibri"/>
                <w:color w:val="000000"/>
                <w:sz w:val="18"/>
                <w:szCs w:val="18"/>
                <w:lang w:val="en-AU"/>
              </w:rPr>
              <w:t>HMX</w:t>
            </w:r>
          </w:p>
        </w:tc>
        <w:tc>
          <w:tcPr>
            <w:tcW w:w="1134" w:type="dxa"/>
            <w:tcBorders>
              <w:top w:val="nil"/>
              <w:left w:val="nil"/>
              <w:bottom w:val="nil"/>
              <w:right w:val="nil"/>
            </w:tcBorders>
            <w:shd w:val="solid" w:color="FFCC99" w:fill="auto"/>
          </w:tcPr>
          <w:p w14:paraId="7B8C6178" w14:textId="4ECD8011"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2.3</w:t>
            </w:r>
          </w:p>
        </w:tc>
        <w:tc>
          <w:tcPr>
            <w:tcW w:w="1276" w:type="dxa"/>
            <w:tcBorders>
              <w:top w:val="nil"/>
              <w:left w:val="nil"/>
              <w:bottom w:val="nil"/>
              <w:right w:val="nil"/>
            </w:tcBorders>
            <w:shd w:val="solid" w:color="FFCC99" w:fill="auto"/>
          </w:tcPr>
          <w:p w14:paraId="5384290F" w14:textId="51F5FE5B"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2.3</w:t>
            </w:r>
          </w:p>
        </w:tc>
        <w:tc>
          <w:tcPr>
            <w:tcW w:w="1275" w:type="dxa"/>
            <w:tcBorders>
              <w:top w:val="nil"/>
              <w:left w:val="nil"/>
              <w:bottom w:val="nil"/>
              <w:right w:val="nil"/>
            </w:tcBorders>
            <w:shd w:val="solid" w:color="99CCFF" w:fill="auto"/>
          </w:tcPr>
          <w:p w14:paraId="10281705" w14:textId="4CF6045B"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15</w:t>
            </w:r>
          </w:p>
        </w:tc>
        <w:tc>
          <w:tcPr>
            <w:tcW w:w="1276" w:type="dxa"/>
            <w:tcBorders>
              <w:top w:val="nil"/>
              <w:left w:val="nil"/>
              <w:bottom w:val="nil"/>
              <w:right w:val="nil"/>
            </w:tcBorders>
            <w:shd w:val="solid" w:color="99CCFF" w:fill="auto"/>
          </w:tcPr>
          <w:p w14:paraId="6D07C3E0" w14:textId="6C257B4B"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15</w:t>
            </w:r>
          </w:p>
        </w:tc>
        <w:tc>
          <w:tcPr>
            <w:tcW w:w="1276" w:type="dxa"/>
            <w:tcBorders>
              <w:top w:val="nil"/>
              <w:left w:val="nil"/>
              <w:bottom w:val="nil"/>
              <w:right w:val="nil"/>
            </w:tcBorders>
            <w:shd w:val="solid" w:color="FFFFCC" w:fill="auto"/>
          </w:tcPr>
          <w:p w14:paraId="5DF256E5" w14:textId="7777777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21.1</w:t>
            </w:r>
          </w:p>
        </w:tc>
        <w:tc>
          <w:tcPr>
            <w:tcW w:w="850" w:type="dxa"/>
            <w:tcBorders>
              <w:top w:val="nil"/>
              <w:left w:val="nil"/>
              <w:bottom w:val="nil"/>
              <w:right w:val="single" w:sz="4" w:space="0" w:color="auto"/>
            </w:tcBorders>
            <w:shd w:val="solid" w:color="FFFFCC" w:fill="auto"/>
          </w:tcPr>
          <w:p w14:paraId="34FC6609" w14:textId="7777777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31.2</w:t>
            </w:r>
          </w:p>
        </w:tc>
      </w:tr>
      <w:tr w:rsidR="004B6904" w14:paraId="695B41EF" w14:textId="77777777" w:rsidTr="008600D2">
        <w:trPr>
          <w:trHeight w:val="290"/>
        </w:trPr>
        <w:tc>
          <w:tcPr>
            <w:tcW w:w="2010" w:type="dxa"/>
            <w:tcBorders>
              <w:top w:val="nil"/>
              <w:left w:val="single" w:sz="4" w:space="0" w:color="auto"/>
              <w:bottom w:val="nil"/>
              <w:right w:val="nil"/>
            </w:tcBorders>
          </w:tcPr>
          <w:p w14:paraId="13856088" w14:textId="77777777" w:rsidR="004B6904" w:rsidRPr="00D23B3D" w:rsidRDefault="004B6904">
            <w:pPr>
              <w:autoSpaceDE w:val="0"/>
              <w:autoSpaceDN w:val="0"/>
              <w:adjustRightInd w:val="0"/>
              <w:spacing w:after="0"/>
              <w:rPr>
                <w:rFonts w:ascii="Calibri" w:hAnsi="Calibri" w:cs="Calibri"/>
                <w:color w:val="000000"/>
                <w:sz w:val="18"/>
                <w:szCs w:val="18"/>
                <w:lang w:val="en-AU"/>
              </w:rPr>
            </w:pPr>
            <w:r w:rsidRPr="00D23B3D">
              <w:rPr>
                <w:rFonts w:ascii="Calibri" w:hAnsi="Calibri" w:cs="Calibri"/>
                <w:color w:val="000000"/>
                <w:sz w:val="18"/>
                <w:szCs w:val="18"/>
                <w:lang w:val="en-AU"/>
              </w:rPr>
              <w:t>2-butoxyethanol</w:t>
            </w:r>
          </w:p>
        </w:tc>
        <w:tc>
          <w:tcPr>
            <w:tcW w:w="1134" w:type="dxa"/>
            <w:tcBorders>
              <w:top w:val="nil"/>
              <w:left w:val="nil"/>
              <w:right w:val="nil"/>
            </w:tcBorders>
            <w:shd w:val="solid" w:color="FFCC99" w:fill="auto"/>
          </w:tcPr>
          <w:p w14:paraId="7ED500A4" w14:textId="5973B3A6"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28</w:t>
            </w:r>
          </w:p>
        </w:tc>
        <w:tc>
          <w:tcPr>
            <w:tcW w:w="1276" w:type="dxa"/>
            <w:tcBorders>
              <w:top w:val="nil"/>
              <w:left w:val="nil"/>
              <w:bottom w:val="nil"/>
              <w:right w:val="nil"/>
            </w:tcBorders>
            <w:shd w:val="solid" w:color="FFCC99" w:fill="auto"/>
          </w:tcPr>
          <w:p w14:paraId="4C869F78" w14:textId="4901F057"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112</w:t>
            </w:r>
          </w:p>
        </w:tc>
        <w:tc>
          <w:tcPr>
            <w:tcW w:w="1275" w:type="dxa"/>
            <w:tcBorders>
              <w:top w:val="nil"/>
              <w:left w:val="nil"/>
              <w:bottom w:val="nil"/>
              <w:right w:val="nil"/>
            </w:tcBorders>
            <w:shd w:val="solid" w:color="99CCFF" w:fill="auto"/>
          </w:tcPr>
          <w:p w14:paraId="63A09D3A" w14:textId="7777777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7</w:t>
            </w:r>
          </w:p>
        </w:tc>
        <w:tc>
          <w:tcPr>
            <w:tcW w:w="1276" w:type="dxa"/>
            <w:tcBorders>
              <w:top w:val="nil"/>
              <w:left w:val="nil"/>
              <w:bottom w:val="nil"/>
              <w:right w:val="nil"/>
            </w:tcBorders>
            <w:shd w:val="solid" w:color="99CCFF" w:fill="auto"/>
          </w:tcPr>
          <w:p w14:paraId="23BCA3B9" w14:textId="64879CEC"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56</w:t>
            </w:r>
          </w:p>
        </w:tc>
        <w:tc>
          <w:tcPr>
            <w:tcW w:w="1276" w:type="dxa"/>
            <w:tcBorders>
              <w:top w:val="nil"/>
              <w:left w:val="nil"/>
              <w:bottom w:val="nil"/>
              <w:right w:val="nil"/>
            </w:tcBorders>
            <w:shd w:val="solid" w:color="FFFFCC" w:fill="auto"/>
          </w:tcPr>
          <w:p w14:paraId="16E1A808" w14:textId="7831BA5D"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n.a.</w:t>
            </w:r>
          </w:p>
        </w:tc>
        <w:tc>
          <w:tcPr>
            <w:tcW w:w="850" w:type="dxa"/>
            <w:tcBorders>
              <w:top w:val="nil"/>
              <w:left w:val="nil"/>
              <w:bottom w:val="nil"/>
              <w:right w:val="single" w:sz="4" w:space="0" w:color="auto"/>
            </w:tcBorders>
            <w:shd w:val="solid" w:color="FFFFCC" w:fill="auto"/>
          </w:tcPr>
          <w:p w14:paraId="69F7FABE" w14:textId="5DCEBDA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n.a.</w:t>
            </w:r>
          </w:p>
        </w:tc>
      </w:tr>
      <w:tr w:rsidR="004B6904" w14:paraId="607EF7E0" w14:textId="77777777" w:rsidTr="008600D2">
        <w:trPr>
          <w:trHeight w:val="290"/>
        </w:trPr>
        <w:tc>
          <w:tcPr>
            <w:tcW w:w="2010" w:type="dxa"/>
            <w:tcBorders>
              <w:top w:val="nil"/>
              <w:left w:val="single" w:sz="4" w:space="0" w:color="auto"/>
              <w:right w:val="nil"/>
            </w:tcBorders>
          </w:tcPr>
          <w:p w14:paraId="6CFD51C7" w14:textId="77777777" w:rsidR="004B6904" w:rsidRPr="00D23B3D" w:rsidRDefault="004B6904">
            <w:pPr>
              <w:autoSpaceDE w:val="0"/>
              <w:autoSpaceDN w:val="0"/>
              <w:adjustRightInd w:val="0"/>
              <w:spacing w:after="0"/>
              <w:rPr>
                <w:rFonts w:ascii="Calibri" w:hAnsi="Calibri" w:cs="Calibri"/>
                <w:color w:val="000000"/>
                <w:sz w:val="18"/>
                <w:szCs w:val="18"/>
                <w:lang w:val="en-AU"/>
              </w:rPr>
            </w:pPr>
            <w:r w:rsidRPr="00D23B3D">
              <w:rPr>
                <w:rFonts w:ascii="Calibri" w:hAnsi="Calibri" w:cs="Calibri"/>
                <w:color w:val="000000"/>
                <w:sz w:val="18"/>
                <w:szCs w:val="18"/>
                <w:lang w:val="en-AU"/>
              </w:rPr>
              <w:t>Bronopol</w:t>
            </w:r>
          </w:p>
        </w:tc>
        <w:tc>
          <w:tcPr>
            <w:tcW w:w="1134" w:type="dxa"/>
            <w:tcBorders>
              <w:top w:val="nil"/>
              <w:left w:val="nil"/>
              <w:right w:val="nil"/>
            </w:tcBorders>
            <w:shd w:val="solid" w:color="FFCC99" w:fill="auto"/>
          </w:tcPr>
          <w:p w14:paraId="4D3724F8" w14:textId="6BF62AA4" w:rsidR="004B6904" w:rsidRPr="00D23B3D" w:rsidRDefault="009C79A7">
            <w:pPr>
              <w:autoSpaceDE w:val="0"/>
              <w:autoSpaceDN w:val="0"/>
              <w:adjustRightInd w:val="0"/>
              <w:spacing w:after="0"/>
              <w:jc w:val="center"/>
              <w:rPr>
                <w:rFonts w:ascii="Calibri" w:hAnsi="Calibri" w:cs="Calibri"/>
                <w:b/>
                <w:bCs/>
                <w:color w:val="000000"/>
                <w:sz w:val="18"/>
                <w:szCs w:val="18"/>
                <w:lang w:val="en-AU"/>
              </w:rPr>
            </w:pPr>
            <w:r>
              <w:rPr>
                <w:rFonts w:ascii="Calibri" w:hAnsi="Calibri" w:cs="Calibri"/>
                <w:b/>
                <w:bCs/>
                <w:color w:val="000000"/>
                <w:sz w:val="18"/>
                <w:szCs w:val="18"/>
                <w:lang w:val="en-AU"/>
              </w:rPr>
              <w:t>n.d.</w:t>
            </w:r>
          </w:p>
        </w:tc>
        <w:tc>
          <w:tcPr>
            <w:tcW w:w="1276" w:type="dxa"/>
            <w:tcBorders>
              <w:top w:val="nil"/>
              <w:left w:val="nil"/>
              <w:bottom w:val="nil"/>
              <w:right w:val="nil"/>
            </w:tcBorders>
            <w:shd w:val="solid" w:color="FFCC99" w:fill="auto"/>
          </w:tcPr>
          <w:p w14:paraId="57922AAA" w14:textId="1E5D311C" w:rsidR="004B6904" w:rsidRPr="00D23B3D" w:rsidRDefault="009C79A7">
            <w:pPr>
              <w:autoSpaceDE w:val="0"/>
              <w:autoSpaceDN w:val="0"/>
              <w:adjustRightInd w:val="0"/>
              <w:spacing w:after="0"/>
              <w:jc w:val="center"/>
              <w:rPr>
                <w:rFonts w:ascii="Calibri" w:hAnsi="Calibri" w:cs="Calibri"/>
                <w:b/>
                <w:bCs/>
                <w:color w:val="000000"/>
                <w:sz w:val="18"/>
                <w:szCs w:val="18"/>
                <w:lang w:val="en-AU"/>
              </w:rPr>
            </w:pPr>
            <w:r>
              <w:rPr>
                <w:rFonts w:ascii="Calibri" w:hAnsi="Calibri" w:cs="Calibri"/>
                <w:b/>
                <w:bCs/>
                <w:color w:val="000000"/>
                <w:sz w:val="18"/>
                <w:szCs w:val="18"/>
                <w:lang w:val="en-AU"/>
              </w:rPr>
              <w:t>n.d.</w:t>
            </w:r>
          </w:p>
        </w:tc>
        <w:tc>
          <w:tcPr>
            <w:tcW w:w="1275" w:type="dxa"/>
            <w:tcBorders>
              <w:top w:val="nil"/>
              <w:left w:val="nil"/>
              <w:bottom w:val="nil"/>
              <w:right w:val="nil"/>
            </w:tcBorders>
            <w:shd w:val="solid" w:color="99CCFF" w:fill="auto"/>
          </w:tcPr>
          <w:p w14:paraId="1D7B9D2B" w14:textId="64B8BDFB" w:rsidR="004B6904" w:rsidRPr="00D23B3D" w:rsidRDefault="009C79A7">
            <w:pPr>
              <w:autoSpaceDE w:val="0"/>
              <w:autoSpaceDN w:val="0"/>
              <w:adjustRightInd w:val="0"/>
              <w:spacing w:after="0"/>
              <w:jc w:val="center"/>
              <w:rPr>
                <w:rFonts w:ascii="Calibri" w:hAnsi="Calibri" w:cs="Calibri"/>
                <w:b/>
                <w:bCs/>
                <w:color w:val="000000"/>
                <w:sz w:val="18"/>
                <w:szCs w:val="18"/>
                <w:lang w:val="en-AU"/>
              </w:rPr>
            </w:pPr>
            <w:r>
              <w:rPr>
                <w:rFonts w:ascii="Calibri" w:hAnsi="Calibri" w:cs="Calibri"/>
                <w:b/>
                <w:bCs/>
                <w:color w:val="000000"/>
                <w:sz w:val="18"/>
                <w:szCs w:val="18"/>
                <w:lang w:val="en-AU"/>
              </w:rPr>
              <w:t>n.d.</w:t>
            </w:r>
          </w:p>
        </w:tc>
        <w:tc>
          <w:tcPr>
            <w:tcW w:w="1276" w:type="dxa"/>
            <w:tcBorders>
              <w:top w:val="nil"/>
              <w:left w:val="nil"/>
              <w:bottom w:val="nil"/>
              <w:right w:val="nil"/>
            </w:tcBorders>
            <w:shd w:val="solid" w:color="99CCFF" w:fill="auto"/>
          </w:tcPr>
          <w:p w14:paraId="2A493332" w14:textId="5F4E950B" w:rsidR="004B6904" w:rsidRPr="00D23B3D" w:rsidRDefault="009C79A7">
            <w:pPr>
              <w:autoSpaceDE w:val="0"/>
              <w:autoSpaceDN w:val="0"/>
              <w:adjustRightInd w:val="0"/>
              <w:spacing w:after="0"/>
              <w:jc w:val="center"/>
              <w:rPr>
                <w:rFonts w:ascii="Calibri" w:hAnsi="Calibri" w:cs="Calibri"/>
                <w:b/>
                <w:bCs/>
                <w:color w:val="000000"/>
                <w:sz w:val="18"/>
                <w:szCs w:val="18"/>
                <w:lang w:val="en-AU"/>
              </w:rPr>
            </w:pPr>
            <w:r>
              <w:rPr>
                <w:rFonts w:ascii="Calibri" w:hAnsi="Calibri" w:cs="Calibri"/>
                <w:b/>
                <w:bCs/>
                <w:color w:val="000000"/>
                <w:sz w:val="18"/>
                <w:szCs w:val="18"/>
                <w:lang w:val="en-AU"/>
              </w:rPr>
              <w:t>n.d.</w:t>
            </w:r>
          </w:p>
        </w:tc>
        <w:tc>
          <w:tcPr>
            <w:tcW w:w="1276" w:type="dxa"/>
            <w:tcBorders>
              <w:top w:val="nil"/>
              <w:left w:val="nil"/>
              <w:bottom w:val="nil"/>
              <w:right w:val="nil"/>
            </w:tcBorders>
            <w:shd w:val="solid" w:color="FFFFCC" w:fill="auto"/>
          </w:tcPr>
          <w:p w14:paraId="553DBDF5" w14:textId="610F802D" w:rsidR="004B6904"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0.094</w:t>
            </w:r>
          </w:p>
        </w:tc>
        <w:tc>
          <w:tcPr>
            <w:tcW w:w="850" w:type="dxa"/>
            <w:tcBorders>
              <w:top w:val="nil"/>
              <w:left w:val="nil"/>
              <w:bottom w:val="nil"/>
              <w:right w:val="single" w:sz="4" w:space="0" w:color="auto"/>
            </w:tcBorders>
            <w:shd w:val="solid" w:color="FFFFCC" w:fill="auto"/>
          </w:tcPr>
          <w:p w14:paraId="3CAD5411" w14:textId="7777777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60</w:t>
            </w:r>
          </w:p>
        </w:tc>
      </w:tr>
      <w:tr w:rsidR="00E13765" w14:paraId="18B7A7D3" w14:textId="77777777" w:rsidTr="008600D2">
        <w:trPr>
          <w:trHeight w:val="290"/>
        </w:trPr>
        <w:tc>
          <w:tcPr>
            <w:tcW w:w="2010" w:type="dxa"/>
            <w:tcBorders>
              <w:top w:val="nil"/>
              <w:left w:val="single" w:sz="4" w:space="0" w:color="auto"/>
              <w:bottom w:val="nil"/>
            </w:tcBorders>
          </w:tcPr>
          <w:p w14:paraId="2D42E40F" w14:textId="77777777" w:rsidR="00E13765" w:rsidRPr="00D23B3D" w:rsidRDefault="00E13765">
            <w:pPr>
              <w:autoSpaceDE w:val="0"/>
              <w:autoSpaceDN w:val="0"/>
              <w:adjustRightInd w:val="0"/>
              <w:spacing w:after="0"/>
              <w:rPr>
                <w:rFonts w:ascii="Calibri" w:hAnsi="Calibri" w:cs="Calibri"/>
                <w:color w:val="000000"/>
                <w:sz w:val="18"/>
                <w:szCs w:val="18"/>
                <w:lang w:val="en-AU"/>
              </w:rPr>
            </w:pPr>
            <w:r w:rsidRPr="00D23B3D">
              <w:rPr>
                <w:rFonts w:ascii="Calibri" w:hAnsi="Calibri" w:cs="Calibri"/>
                <w:color w:val="000000"/>
                <w:sz w:val="18"/>
                <w:szCs w:val="18"/>
                <w:lang w:val="en-AU"/>
              </w:rPr>
              <w:t>MCI</w:t>
            </w:r>
          </w:p>
        </w:tc>
        <w:tc>
          <w:tcPr>
            <w:tcW w:w="1134" w:type="dxa"/>
            <w:tcBorders>
              <w:top w:val="nil"/>
              <w:left w:val="nil"/>
              <w:bottom w:val="nil"/>
              <w:right w:val="nil"/>
            </w:tcBorders>
            <w:shd w:val="clear" w:color="auto" w:fill="FFCC99"/>
          </w:tcPr>
          <w:p w14:paraId="01F83534" w14:textId="1D991AD2" w:rsidR="00E13765" w:rsidRPr="00D23B3D" w:rsidRDefault="007B526F" w:rsidP="00E13765">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5</w:t>
            </w:r>
          </w:p>
        </w:tc>
        <w:tc>
          <w:tcPr>
            <w:tcW w:w="1276" w:type="dxa"/>
            <w:tcBorders>
              <w:top w:val="nil"/>
              <w:left w:val="nil"/>
              <w:bottom w:val="nil"/>
              <w:right w:val="nil"/>
            </w:tcBorders>
            <w:shd w:val="solid" w:color="FFCC99" w:fill="auto"/>
          </w:tcPr>
          <w:p w14:paraId="52ECE331" w14:textId="77777777" w:rsidR="00E13765" w:rsidRPr="00D23B3D" w:rsidRDefault="00E13765">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5</w:t>
            </w:r>
          </w:p>
        </w:tc>
        <w:tc>
          <w:tcPr>
            <w:tcW w:w="1275" w:type="dxa"/>
            <w:tcBorders>
              <w:top w:val="nil"/>
              <w:left w:val="nil"/>
              <w:bottom w:val="nil"/>
              <w:right w:val="nil"/>
            </w:tcBorders>
            <w:shd w:val="solid" w:color="99CCFF" w:fill="auto"/>
          </w:tcPr>
          <w:p w14:paraId="64D4B23B" w14:textId="1619FD32" w:rsidR="00E13765"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0.21</w:t>
            </w:r>
          </w:p>
        </w:tc>
        <w:tc>
          <w:tcPr>
            <w:tcW w:w="1276" w:type="dxa"/>
            <w:tcBorders>
              <w:top w:val="nil"/>
              <w:left w:val="nil"/>
              <w:bottom w:val="nil"/>
              <w:right w:val="nil"/>
            </w:tcBorders>
            <w:shd w:val="solid" w:color="99CCFF" w:fill="auto"/>
          </w:tcPr>
          <w:p w14:paraId="4EC65CB2" w14:textId="3FB24313" w:rsidR="00E13765"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0.21</w:t>
            </w:r>
          </w:p>
        </w:tc>
        <w:tc>
          <w:tcPr>
            <w:tcW w:w="1276" w:type="dxa"/>
            <w:tcBorders>
              <w:top w:val="nil"/>
              <w:left w:val="nil"/>
              <w:bottom w:val="nil"/>
              <w:right w:val="nil"/>
            </w:tcBorders>
            <w:shd w:val="solid" w:color="FFFFCC" w:fill="auto"/>
          </w:tcPr>
          <w:p w14:paraId="2ADEFBA5" w14:textId="2AB51BEF" w:rsidR="00E13765" w:rsidRPr="00D23B3D" w:rsidRDefault="007B526F">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22</w:t>
            </w:r>
          </w:p>
        </w:tc>
        <w:tc>
          <w:tcPr>
            <w:tcW w:w="850" w:type="dxa"/>
            <w:tcBorders>
              <w:top w:val="nil"/>
              <w:left w:val="nil"/>
              <w:bottom w:val="nil"/>
              <w:right w:val="single" w:sz="4" w:space="0" w:color="auto"/>
            </w:tcBorders>
            <w:shd w:val="solid" w:color="FFFFCC" w:fill="auto"/>
          </w:tcPr>
          <w:p w14:paraId="4768C0C2" w14:textId="77777777" w:rsidR="00E13765" w:rsidRPr="00D23B3D" w:rsidRDefault="00E13765">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22</w:t>
            </w:r>
          </w:p>
        </w:tc>
      </w:tr>
      <w:tr w:rsidR="004B6904" w14:paraId="50E27347" w14:textId="77777777" w:rsidTr="008600D2">
        <w:trPr>
          <w:trHeight w:val="290"/>
        </w:trPr>
        <w:tc>
          <w:tcPr>
            <w:tcW w:w="2010" w:type="dxa"/>
            <w:tcBorders>
              <w:top w:val="nil"/>
              <w:left w:val="single" w:sz="4" w:space="0" w:color="auto"/>
              <w:bottom w:val="single" w:sz="4" w:space="0" w:color="auto"/>
              <w:right w:val="nil"/>
            </w:tcBorders>
          </w:tcPr>
          <w:p w14:paraId="58ADF8DB" w14:textId="0525C551" w:rsidR="004B6904" w:rsidRPr="00D23B3D" w:rsidRDefault="004B6904">
            <w:pPr>
              <w:autoSpaceDE w:val="0"/>
              <w:autoSpaceDN w:val="0"/>
              <w:adjustRightInd w:val="0"/>
              <w:spacing w:after="0"/>
              <w:rPr>
                <w:rFonts w:ascii="Calibri" w:hAnsi="Calibri" w:cs="Calibri"/>
                <w:color w:val="000000"/>
                <w:sz w:val="18"/>
                <w:szCs w:val="18"/>
                <w:lang w:val="en-AU"/>
              </w:rPr>
            </w:pPr>
            <w:r w:rsidRPr="00D23B3D">
              <w:rPr>
                <w:rFonts w:ascii="Calibri" w:hAnsi="Calibri" w:cs="Calibri"/>
                <w:color w:val="000000"/>
                <w:sz w:val="18"/>
                <w:szCs w:val="18"/>
                <w:lang w:val="en-AU"/>
              </w:rPr>
              <w:t>Acrylamide</w:t>
            </w:r>
            <w:r w:rsidR="00E13765" w:rsidRPr="00D23B3D">
              <w:rPr>
                <w:rFonts w:ascii="Calibri" w:hAnsi="Calibri" w:cs="Calibri"/>
                <w:color w:val="000000"/>
                <w:sz w:val="18"/>
                <w:szCs w:val="18"/>
                <w:lang w:val="en-AU"/>
              </w:rPr>
              <w:t>-</w:t>
            </w:r>
            <w:r w:rsidRPr="00D23B3D">
              <w:rPr>
                <w:rFonts w:ascii="Calibri" w:hAnsi="Calibri" w:cs="Calibri"/>
                <w:color w:val="000000"/>
                <w:sz w:val="18"/>
                <w:szCs w:val="18"/>
                <w:lang w:val="en-AU"/>
              </w:rPr>
              <w:t xml:space="preserve"> polymer</w:t>
            </w:r>
          </w:p>
        </w:tc>
        <w:tc>
          <w:tcPr>
            <w:tcW w:w="1134" w:type="dxa"/>
            <w:tcBorders>
              <w:top w:val="nil"/>
              <w:left w:val="nil"/>
              <w:bottom w:val="single" w:sz="4" w:space="0" w:color="auto"/>
              <w:right w:val="nil"/>
            </w:tcBorders>
            <w:shd w:val="solid" w:color="FFCC99" w:fill="auto"/>
          </w:tcPr>
          <w:p w14:paraId="2530D409" w14:textId="7233642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n.d.</w:t>
            </w:r>
          </w:p>
        </w:tc>
        <w:tc>
          <w:tcPr>
            <w:tcW w:w="1276" w:type="dxa"/>
            <w:tcBorders>
              <w:top w:val="nil"/>
              <w:left w:val="nil"/>
              <w:bottom w:val="single" w:sz="4" w:space="0" w:color="auto"/>
              <w:right w:val="nil"/>
            </w:tcBorders>
            <w:shd w:val="solid" w:color="FFCC99" w:fill="auto"/>
          </w:tcPr>
          <w:p w14:paraId="5D431504" w14:textId="7031B84C"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n.d.</w:t>
            </w:r>
          </w:p>
        </w:tc>
        <w:tc>
          <w:tcPr>
            <w:tcW w:w="1275" w:type="dxa"/>
            <w:tcBorders>
              <w:top w:val="nil"/>
              <w:left w:val="nil"/>
              <w:bottom w:val="single" w:sz="4" w:space="0" w:color="auto"/>
              <w:right w:val="nil"/>
            </w:tcBorders>
            <w:shd w:val="solid" w:color="99CCFF" w:fill="auto"/>
          </w:tcPr>
          <w:p w14:paraId="718A19AF" w14:textId="389611B2"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n.d.</w:t>
            </w:r>
          </w:p>
        </w:tc>
        <w:tc>
          <w:tcPr>
            <w:tcW w:w="1276" w:type="dxa"/>
            <w:tcBorders>
              <w:top w:val="nil"/>
              <w:left w:val="nil"/>
              <w:bottom w:val="single" w:sz="4" w:space="0" w:color="auto"/>
              <w:right w:val="nil"/>
            </w:tcBorders>
            <w:shd w:val="solid" w:color="99CCFF" w:fill="auto"/>
          </w:tcPr>
          <w:p w14:paraId="5A08499B" w14:textId="3E782542"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n.d.</w:t>
            </w:r>
          </w:p>
        </w:tc>
        <w:tc>
          <w:tcPr>
            <w:tcW w:w="1276" w:type="dxa"/>
            <w:tcBorders>
              <w:top w:val="nil"/>
              <w:left w:val="nil"/>
              <w:bottom w:val="single" w:sz="4" w:space="0" w:color="auto"/>
              <w:right w:val="nil"/>
            </w:tcBorders>
            <w:shd w:val="solid" w:color="FFFFCC" w:fill="auto"/>
          </w:tcPr>
          <w:p w14:paraId="0AFCA30B" w14:textId="223A3350"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n.a.</w:t>
            </w:r>
          </w:p>
        </w:tc>
        <w:tc>
          <w:tcPr>
            <w:tcW w:w="850" w:type="dxa"/>
            <w:tcBorders>
              <w:top w:val="nil"/>
              <w:left w:val="nil"/>
              <w:bottom w:val="single" w:sz="4" w:space="0" w:color="auto"/>
              <w:right w:val="single" w:sz="4" w:space="0" w:color="auto"/>
            </w:tcBorders>
            <w:shd w:val="solid" w:color="FFFFCC" w:fill="auto"/>
          </w:tcPr>
          <w:p w14:paraId="19078769" w14:textId="2DCF51D7" w:rsidR="004B6904" w:rsidRPr="00D23B3D" w:rsidRDefault="004B6904">
            <w:pPr>
              <w:autoSpaceDE w:val="0"/>
              <w:autoSpaceDN w:val="0"/>
              <w:adjustRightInd w:val="0"/>
              <w:spacing w:after="0"/>
              <w:jc w:val="center"/>
              <w:rPr>
                <w:rFonts w:ascii="Calibri" w:hAnsi="Calibri" w:cs="Calibri"/>
                <w:b/>
                <w:bCs/>
                <w:color w:val="000000"/>
                <w:sz w:val="18"/>
                <w:szCs w:val="18"/>
                <w:lang w:val="en-AU"/>
              </w:rPr>
            </w:pPr>
            <w:r w:rsidRPr="00D23B3D">
              <w:rPr>
                <w:rFonts w:ascii="Calibri" w:hAnsi="Calibri" w:cs="Calibri"/>
                <w:b/>
                <w:bCs/>
                <w:color w:val="000000"/>
                <w:sz w:val="18"/>
                <w:szCs w:val="18"/>
                <w:lang w:val="en-AU"/>
              </w:rPr>
              <w:t xml:space="preserve"> </w:t>
            </w:r>
            <w:r w:rsidR="009C79A7">
              <w:rPr>
                <w:rFonts w:ascii="Calibri" w:hAnsi="Calibri" w:cs="Calibri"/>
                <w:b/>
                <w:bCs/>
                <w:color w:val="000000"/>
                <w:sz w:val="18"/>
                <w:szCs w:val="18"/>
                <w:lang w:val="en-AU"/>
              </w:rPr>
              <w:t>n.a.</w:t>
            </w:r>
          </w:p>
        </w:tc>
      </w:tr>
    </w:tbl>
    <w:p w14:paraId="4EF7B863" w14:textId="77777777" w:rsidR="004B6904" w:rsidRPr="004B6904" w:rsidRDefault="004B6904" w:rsidP="004B6904">
      <w:pPr>
        <w:rPr>
          <w:lang w:val="en-GB"/>
        </w:rPr>
      </w:pPr>
    </w:p>
    <w:p w14:paraId="27EDE59F" w14:textId="38487294" w:rsidR="00066DAF" w:rsidRDefault="00066DAF" w:rsidP="00066DAF">
      <w:pPr>
        <w:pStyle w:val="Heading3"/>
        <w:numPr>
          <w:ilvl w:val="4"/>
          <w:numId w:val="1"/>
        </w:numPr>
      </w:pPr>
      <w:bookmarkStart w:id="607" w:name="_Toc494444655"/>
      <w:r>
        <w:t>2-methylphenol</w:t>
      </w:r>
      <w:bookmarkEnd w:id="607"/>
    </w:p>
    <w:p w14:paraId="09FC4AA0" w14:textId="427DCF83" w:rsidR="00FA112F" w:rsidRPr="00FA112F" w:rsidRDefault="00FA112F" w:rsidP="00FA112F">
      <w:pPr>
        <w:pStyle w:val="Body"/>
      </w:pPr>
      <w:r>
        <w:t xml:space="preserve">Decrease in 2-methylphenol concentration as function of travel time is displayed in </w:t>
      </w:r>
      <w:r>
        <w:fldChar w:fldCharType="begin" w:fldLock="1"/>
      </w:r>
      <w:r>
        <w:instrText xml:space="preserve"> REF _Ref454465074 \h </w:instrText>
      </w:r>
      <w:r>
        <w:fldChar w:fldCharType="separate"/>
      </w:r>
      <w:r w:rsidR="00335E79">
        <w:t xml:space="preserve">Figure </w:t>
      </w:r>
      <w:r w:rsidR="00335E79">
        <w:rPr>
          <w:noProof/>
        </w:rPr>
        <w:t>5</w:t>
      </w:r>
      <w:r w:rsidR="00335E79">
        <w:noBreakHyphen/>
      </w:r>
      <w:r w:rsidR="00335E79">
        <w:rPr>
          <w:noProof/>
        </w:rPr>
        <w:t>3</w:t>
      </w:r>
      <w:r>
        <w:fldChar w:fldCharType="end"/>
      </w:r>
      <w:r>
        <w:t xml:space="preserve">. At its minimum </w:t>
      </w:r>
      <w:r w:rsidR="00ED011A">
        <w:t xml:space="preserve">and maximum </w:t>
      </w:r>
      <w:r>
        <w:t>aerobic half-life and m</w:t>
      </w:r>
      <w:r w:rsidR="00ED011A">
        <w:t xml:space="preserve">inimum </w:t>
      </w:r>
      <w:r>
        <w:t>anaerobic half-life, 2-methylphenol degrades quickly and within less than 200 days has almost completely disappeared</w:t>
      </w:r>
      <w:r w:rsidR="00ED011A">
        <w:t xml:space="preserve"> from solution</w:t>
      </w:r>
      <w:r>
        <w:t>. Only for the maximum anaerobic half-life value does 2-methylphenol degrade much slower, i.e. after 400 days the final concentration at a receptor would be at 80% of its original value.</w:t>
      </w:r>
    </w:p>
    <w:p w14:paraId="60500582" w14:textId="2F6A27E5" w:rsidR="007502C1" w:rsidRDefault="00735F10" w:rsidP="00FA112F">
      <w:pPr>
        <w:pStyle w:val="Body"/>
        <w:jc w:val="center"/>
      </w:pPr>
      <w:r w:rsidRPr="00735F10">
        <w:rPr>
          <w:noProof/>
          <w:lang w:val="en-AU" w:eastAsia="en-AU"/>
        </w:rPr>
        <w:drawing>
          <wp:inline distT="0" distB="0" distL="0" distR="0" wp14:anchorId="2E8A5CE1" wp14:editId="55D2FA4B">
            <wp:extent cx="3251200" cy="3175000"/>
            <wp:effectExtent l="0" t="0" r="6350" b="6350"/>
            <wp:docPr id="79" name="Picture 79" descr="Chart of relative concetration of 2-methylphenol as a result of degradation."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7"/>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3251200" cy="3175000"/>
                    </a:xfrm>
                    <a:prstGeom prst="rect">
                      <a:avLst/>
                    </a:prstGeom>
                    <a:noFill/>
                    <a:ln>
                      <a:noFill/>
                    </a:ln>
                  </pic:spPr>
                </pic:pic>
              </a:graphicData>
            </a:graphic>
          </wp:inline>
        </w:drawing>
      </w:r>
    </w:p>
    <w:p w14:paraId="5968F091" w14:textId="2487566E" w:rsidR="0011509D" w:rsidRDefault="0011509D" w:rsidP="0011509D">
      <w:pPr>
        <w:pStyle w:val="Imagecaption"/>
      </w:pPr>
      <w:bookmarkStart w:id="608" w:name="_Ref454465074"/>
      <w:bookmarkStart w:id="609" w:name="_Toc477347645"/>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w:t>
      </w:r>
      <w:r w:rsidR="00254026">
        <w:fldChar w:fldCharType="end"/>
      </w:r>
      <w:bookmarkEnd w:id="608"/>
      <w:r>
        <w:t xml:space="preserve"> Relative concentration for 2-methylphenol as a result of chemical/biological degradation.</w:t>
      </w:r>
      <w:r w:rsidR="00E30BAD">
        <w:t xml:space="preserve"> Minimum and maximum half-lives </w:t>
      </w:r>
      <w:r w:rsidR="00FA112F">
        <w:t xml:space="preserve">are </w:t>
      </w:r>
      <w:r w:rsidR="00E30BAD">
        <w:t>used for aerobic and anaerobic degradation.</w:t>
      </w:r>
      <w:bookmarkEnd w:id="609"/>
    </w:p>
    <w:p w14:paraId="074E1F87" w14:textId="77777777" w:rsidR="003A0E12" w:rsidRDefault="003A0E12" w:rsidP="0011509D">
      <w:pPr>
        <w:pStyle w:val="Imagecaption"/>
        <w:rPr>
          <w:i w:val="0"/>
        </w:rPr>
      </w:pPr>
    </w:p>
    <w:p w14:paraId="5B1C400E" w14:textId="20CA1556" w:rsidR="003A0E12" w:rsidRPr="003A0E12" w:rsidRDefault="003A0E12" w:rsidP="003A0E12">
      <w:pPr>
        <w:pStyle w:val="Body"/>
      </w:pPr>
      <w:r>
        <w:t>The same calculations are shown for a much longer time-axis, i.e. until 4</w:t>
      </w:r>
      <w:r w:rsidR="00A42E92">
        <w:t>,</w:t>
      </w:r>
      <w:r>
        <w:t>000 days (</w:t>
      </w:r>
      <w:r w:rsidR="00186625">
        <w:fldChar w:fldCharType="begin" w:fldLock="1"/>
      </w:r>
      <w:r w:rsidR="00186625">
        <w:instrText xml:space="preserve"> REF _Ref454465958 \h </w:instrText>
      </w:r>
      <w:r w:rsidR="00186625">
        <w:fldChar w:fldCharType="separate"/>
      </w:r>
      <w:r w:rsidR="00335E79">
        <w:t xml:space="preserve">Figure </w:t>
      </w:r>
      <w:r w:rsidR="00335E79">
        <w:rPr>
          <w:noProof/>
        </w:rPr>
        <w:t>5</w:t>
      </w:r>
      <w:r w:rsidR="00335E79">
        <w:noBreakHyphen/>
      </w:r>
      <w:r w:rsidR="00335E79">
        <w:rPr>
          <w:noProof/>
        </w:rPr>
        <w:t>4</w:t>
      </w:r>
      <w:r w:rsidR="00186625">
        <w:fldChar w:fldCharType="end"/>
      </w:r>
      <w:r>
        <w:t xml:space="preserve">). The relatively slow degradation of 2-methylphenol for a maximum anaerobic half-life value is evident; after </w:t>
      </w:r>
      <w:r w:rsidR="00066230">
        <w:t>3</w:t>
      </w:r>
      <w:r w:rsidR="00A42E92">
        <w:t>,</w:t>
      </w:r>
      <w:r w:rsidR="00066230">
        <w:t xml:space="preserve">660 </w:t>
      </w:r>
      <w:r>
        <w:t>days</w:t>
      </w:r>
      <w:r w:rsidR="00ED011A">
        <w:t xml:space="preserve"> (10 years, i.e. the minimum travel time in Pilliga Sandstone)</w:t>
      </w:r>
      <w:r>
        <w:t xml:space="preserve">, the final concentration at a receptor </w:t>
      </w:r>
      <w:r w:rsidR="00ED011A">
        <w:t>(</w:t>
      </w:r>
      <w:r w:rsidR="00ED011A" w:rsidRPr="00ED011A">
        <w:rPr>
          <w:i/>
        </w:rPr>
        <w:t>C</w:t>
      </w:r>
      <w:r w:rsidR="00ED011A" w:rsidRPr="00ED011A">
        <w:rPr>
          <w:vertAlign w:val="subscript"/>
        </w:rPr>
        <w:t>F</w:t>
      </w:r>
      <w:r w:rsidR="00ED011A">
        <w:t xml:space="preserve">) </w:t>
      </w:r>
      <w:r>
        <w:t xml:space="preserve">has decreased to a value of 0.16, which is equivalent to a DAF of </w:t>
      </w:r>
      <w:r w:rsidR="00245A13">
        <w:t xml:space="preserve">1/0.16 = </w:t>
      </w:r>
      <w:r>
        <w:t xml:space="preserve">6.2. </w:t>
      </w:r>
      <w:r w:rsidR="00186625">
        <w:t xml:space="preserve">The dilution factors for the other </w:t>
      </w:r>
      <w:r w:rsidR="00ED011A">
        <w:t>half-life</w:t>
      </w:r>
      <w:r w:rsidR="00186625">
        <w:t xml:space="preserve"> values are extremely large (i.e. &gt; 1E+10). </w:t>
      </w:r>
    </w:p>
    <w:p w14:paraId="702BA3D9" w14:textId="7DC2049E" w:rsidR="00BB068D" w:rsidRDefault="00EE3261" w:rsidP="00FA112F">
      <w:pPr>
        <w:pStyle w:val="Body"/>
        <w:jc w:val="center"/>
      </w:pPr>
      <w:r w:rsidRPr="00EE3261">
        <w:rPr>
          <w:noProof/>
          <w:lang w:val="en-AU" w:eastAsia="en-AU"/>
        </w:rPr>
        <w:drawing>
          <wp:inline distT="0" distB="0" distL="0" distR="0" wp14:anchorId="41D75D16" wp14:editId="2AD3A3B3">
            <wp:extent cx="3295650" cy="3176270"/>
            <wp:effectExtent l="0" t="0" r="0" b="5080"/>
            <wp:docPr id="68" name="Picture 68" descr="Chart of relative concentration for 2-methylphenol."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3295650" cy="3176270"/>
                    </a:xfrm>
                    <a:prstGeom prst="rect">
                      <a:avLst/>
                    </a:prstGeom>
                    <a:noFill/>
                    <a:ln>
                      <a:noFill/>
                    </a:ln>
                  </pic:spPr>
                </pic:pic>
              </a:graphicData>
            </a:graphic>
          </wp:inline>
        </w:drawing>
      </w:r>
    </w:p>
    <w:p w14:paraId="514A0A0B" w14:textId="31D03F59" w:rsidR="008C5B0F" w:rsidRDefault="008C5B0F" w:rsidP="008C5B0F">
      <w:pPr>
        <w:pStyle w:val="Imagecaption"/>
      </w:pPr>
      <w:bookmarkStart w:id="610" w:name="_Ref454465958"/>
      <w:bookmarkStart w:id="611" w:name="_Toc477347646"/>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4</w:t>
      </w:r>
      <w:r w:rsidR="00254026">
        <w:fldChar w:fldCharType="end"/>
      </w:r>
      <w:bookmarkEnd w:id="610"/>
      <w:r>
        <w:t xml:space="preserve"> Relative concentration for 2-methylphenol as a result of chemical/biological degradation.</w:t>
      </w:r>
      <w:r w:rsidR="007D5701">
        <w:t xml:space="preserve"> Dilution attenuation factor (DAF) </w:t>
      </w:r>
      <w:r w:rsidR="00035258">
        <w:t>and final concentration at receptor (C</w:t>
      </w:r>
      <w:r w:rsidR="00035258" w:rsidRPr="00035258">
        <w:rPr>
          <w:vertAlign w:val="subscript"/>
        </w:rPr>
        <w:t>F</w:t>
      </w:r>
      <w:r w:rsidR="00035258">
        <w:t xml:space="preserve">) </w:t>
      </w:r>
      <w:r w:rsidR="007D5701">
        <w:t xml:space="preserve">derived for minimum solute travel time </w:t>
      </w:r>
      <w:r w:rsidR="00F52208">
        <w:t>T</w:t>
      </w:r>
      <w:r w:rsidR="00F52208" w:rsidRPr="00F52208">
        <w:rPr>
          <w:vertAlign w:val="subscript"/>
        </w:rPr>
        <w:t>min</w:t>
      </w:r>
      <w:r w:rsidR="00F52208">
        <w:t xml:space="preserve"> </w:t>
      </w:r>
      <w:r w:rsidR="007D5701">
        <w:t xml:space="preserve">of </w:t>
      </w:r>
      <w:r w:rsidR="00066230">
        <w:t>3</w:t>
      </w:r>
      <w:r w:rsidR="00A42E92">
        <w:t>,</w:t>
      </w:r>
      <w:r w:rsidR="00066230">
        <w:t xml:space="preserve">660 </w:t>
      </w:r>
      <w:r w:rsidR="007D5701">
        <w:t>days.</w:t>
      </w:r>
      <w:r w:rsidR="00E30BAD">
        <w:t xml:space="preserve"> Minimum and maximum half-lives used for aerobic and anaerobic degradation.</w:t>
      </w:r>
      <w:bookmarkEnd w:id="611"/>
    </w:p>
    <w:p w14:paraId="39611432" w14:textId="008D4029" w:rsidR="00BB068D" w:rsidRDefault="0041246E" w:rsidP="007502C1">
      <w:pPr>
        <w:pStyle w:val="Body"/>
      </w:pPr>
      <w:r>
        <w:t xml:space="preserve">A final analysis of 2-methylphenol degradation is shown in </w:t>
      </w:r>
      <w:r>
        <w:fldChar w:fldCharType="begin" w:fldLock="1"/>
      </w:r>
      <w:r>
        <w:instrText xml:space="preserve"> REF _Ref454465959 \h </w:instrText>
      </w:r>
      <w:r>
        <w:fldChar w:fldCharType="separate"/>
      </w:r>
      <w:r w:rsidR="00335E79">
        <w:t xml:space="preserve">Figure </w:t>
      </w:r>
      <w:r w:rsidR="00335E79">
        <w:rPr>
          <w:noProof/>
        </w:rPr>
        <w:t>5</w:t>
      </w:r>
      <w:r w:rsidR="00335E79">
        <w:noBreakHyphen/>
      </w:r>
      <w:r w:rsidR="00335E79">
        <w:rPr>
          <w:noProof/>
        </w:rPr>
        <w:t>5</w:t>
      </w:r>
      <w:r>
        <w:fldChar w:fldCharType="end"/>
      </w:r>
      <w:r>
        <w:t>. Here the final concentration and corresponding DAF values are obtained for three travel times, i.e. minimum</w:t>
      </w:r>
      <w:r w:rsidR="00F52208">
        <w:t xml:space="preserve"> (10 years)</w:t>
      </w:r>
      <w:r>
        <w:t xml:space="preserve">, mean </w:t>
      </w:r>
      <w:r w:rsidR="00F52208">
        <w:t xml:space="preserve">(12,300 days or 34 years) </w:t>
      </w:r>
      <w:r>
        <w:t xml:space="preserve">and maximum </w:t>
      </w:r>
      <w:r w:rsidR="00F52208">
        <w:t xml:space="preserve">(33,500 days or 92 years) </w:t>
      </w:r>
      <w:r>
        <w:t xml:space="preserve">(for the travel time class #1, </w:t>
      </w:r>
      <w:r w:rsidR="00F52208">
        <w:fldChar w:fldCharType="begin" w:fldLock="1"/>
      </w:r>
      <w:r w:rsidR="00F52208">
        <w:instrText xml:space="preserve"> REF _Ref454384797 \h  \* MERGEFORMAT </w:instrText>
      </w:r>
      <w:r w:rsidR="00F52208">
        <w:fldChar w:fldCharType="separate"/>
      </w:r>
      <w:r w:rsidR="00335E79" w:rsidRPr="00DA539C">
        <w:t xml:space="preserve">Table </w:t>
      </w:r>
      <w:r w:rsidR="00335E79">
        <w:t>2</w:t>
      </w:r>
      <w:r w:rsidR="00335E79">
        <w:noBreakHyphen/>
        <w:t>24</w:t>
      </w:r>
      <w:r w:rsidR="00F52208">
        <w:fldChar w:fldCharType="end"/>
      </w:r>
      <w:r>
        <w:t xml:space="preserve">).  </w:t>
      </w:r>
      <w:r w:rsidR="0019593A">
        <w:t>For minimum, mean, and maximum travel time the DAF values are 6.2, 475, and 1.5E+7.</w:t>
      </w:r>
      <w:r w:rsidR="00A9029C">
        <w:t xml:space="preserve"> </w:t>
      </w:r>
      <w:r w:rsidR="00FE0C8E">
        <w:t>To put these numbers in perspective, calculated DAF values from US EPA (1994</w:t>
      </w:r>
      <w:r w:rsidR="005D4C6C">
        <w:t>c</w:t>
      </w:r>
      <w:r w:rsidR="00FE0C8E">
        <w:t>) are provided as comparison; for a 93 m</w:t>
      </w:r>
      <w:r w:rsidR="00FE0C8E" w:rsidRPr="004032C3">
        <w:rPr>
          <w:vertAlign w:val="superscript"/>
        </w:rPr>
        <w:t>2</w:t>
      </w:r>
      <w:r w:rsidR="00FE0C8E">
        <w:t xml:space="preserve"> source area the DAF value in groundwater at 0.3 m distance from the edge of the source was 1E6.</w:t>
      </w:r>
    </w:p>
    <w:p w14:paraId="5D2F0A72" w14:textId="7766E750" w:rsidR="007725EB" w:rsidRDefault="00EE3261" w:rsidP="00576EB6">
      <w:pPr>
        <w:pStyle w:val="Body"/>
        <w:jc w:val="center"/>
      </w:pPr>
      <w:r w:rsidRPr="00EE3261">
        <w:rPr>
          <w:noProof/>
          <w:lang w:val="en-AU" w:eastAsia="en-AU"/>
        </w:rPr>
        <w:drawing>
          <wp:inline distT="0" distB="0" distL="0" distR="0" wp14:anchorId="09261207" wp14:editId="11652982">
            <wp:extent cx="3478530" cy="3176270"/>
            <wp:effectExtent l="0" t="0" r="7620" b="5080"/>
            <wp:docPr id="73" name="Picture 73" descr="Relative concentration for 2-methylphenol as a result of chemical/biological degradation" title="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3478530" cy="3176270"/>
                    </a:xfrm>
                    <a:prstGeom prst="rect">
                      <a:avLst/>
                    </a:prstGeom>
                    <a:noFill/>
                    <a:ln>
                      <a:noFill/>
                    </a:ln>
                  </pic:spPr>
                </pic:pic>
              </a:graphicData>
            </a:graphic>
          </wp:inline>
        </w:drawing>
      </w:r>
    </w:p>
    <w:p w14:paraId="786B3026" w14:textId="398C8E3C" w:rsidR="007B1B17" w:rsidRDefault="007B1B17" w:rsidP="007B1B17">
      <w:pPr>
        <w:pStyle w:val="Imagecaption"/>
      </w:pPr>
      <w:bookmarkStart w:id="612" w:name="_Ref454465959"/>
      <w:bookmarkStart w:id="613" w:name="_Toc477347647"/>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5</w:t>
      </w:r>
      <w:r w:rsidR="00254026">
        <w:fldChar w:fldCharType="end"/>
      </w:r>
      <w:bookmarkEnd w:id="612"/>
      <w:r>
        <w:t xml:space="preserve"> Relative concentration for 2-methylphenol as a result of chemical/biological degradation. Dilution attenuation factor (DAF) and final concentration at receptor (C</w:t>
      </w:r>
      <w:r w:rsidRPr="00035258">
        <w:rPr>
          <w:vertAlign w:val="subscript"/>
        </w:rPr>
        <w:t>F</w:t>
      </w:r>
      <w:r>
        <w:t>) derived for minimum</w:t>
      </w:r>
      <w:r w:rsidR="008F045D">
        <w:t xml:space="preserve"> (</w:t>
      </w:r>
      <w:r w:rsidR="00066230">
        <w:t>3</w:t>
      </w:r>
      <w:r w:rsidR="00F859AD">
        <w:t>,</w:t>
      </w:r>
      <w:r w:rsidR="00066230">
        <w:t xml:space="preserve">660 </w:t>
      </w:r>
      <w:r w:rsidR="008F045D">
        <w:t>days)</w:t>
      </w:r>
      <w:r w:rsidR="006349C7">
        <w:t xml:space="preserve">, mean </w:t>
      </w:r>
      <w:r w:rsidR="008F045D">
        <w:t>(12</w:t>
      </w:r>
      <w:r w:rsidR="00F859AD">
        <w:t>,</w:t>
      </w:r>
      <w:r w:rsidR="008F045D">
        <w:t>3</w:t>
      </w:r>
      <w:r w:rsidR="00F859AD">
        <w:t>00</w:t>
      </w:r>
      <w:r w:rsidR="008F045D">
        <w:t xml:space="preserve"> days) </w:t>
      </w:r>
      <w:r w:rsidR="006349C7">
        <w:t>and maximum</w:t>
      </w:r>
      <w:r>
        <w:t xml:space="preserve"> </w:t>
      </w:r>
      <w:r w:rsidR="008F045D">
        <w:t>(33</w:t>
      </w:r>
      <w:r w:rsidR="00F859AD">
        <w:t>,50</w:t>
      </w:r>
      <w:r w:rsidR="008F045D">
        <w:t xml:space="preserve">0 days) </w:t>
      </w:r>
      <w:r w:rsidR="003866CC">
        <w:t>solute travel time for t</w:t>
      </w:r>
      <w:r w:rsidR="00A42E92">
        <w: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rsidR="003866CC">
        <w:t>)</w:t>
      </w:r>
      <w:r>
        <w:t>.</w:t>
      </w:r>
      <w:r w:rsidR="00E30BAD">
        <w:t xml:space="preserve"> Minimum and maximum half-lives used for anaerobic degradation.</w:t>
      </w:r>
      <w:bookmarkEnd w:id="613"/>
    </w:p>
    <w:p w14:paraId="4E606039" w14:textId="33E4CEEA" w:rsidR="00066DAF" w:rsidRDefault="00066DAF" w:rsidP="00066DAF">
      <w:pPr>
        <w:pStyle w:val="Heading3"/>
        <w:numPr>
          <w:ilvl w:val="4"/>
          <w:numId w:val="1"/>
        </w:numPr>
      </w:pPr>
      <w:bookmarkStart w:id="614" w:name="_Toc494444656"/>
      <w:r>
        <w:t>Naphthalene</w:t>
      </w:r>
      <w:bookmarkEnd w:id="614"/>
    </w:p>
    <w:p w14:paraId="0C53A4A3" w14:textId="45749535" w:rsidR="00576EB6" w:rsidRDefault="00576EB6" w:rsidP="00576EB6">
      <w:pPr>
        <w:pStyle w:val="Body"/>
      </w:pPr>
      <w:r>
        <w:t>Under aerobic degradation with minimum and maximum half-lives and for anaerobic degradation with minimum half-life</w:t>
      </w:r>
      <w:r w:rsidR="00066230">
        <w:t>,</w:t>
      </w:r>
      <w:r>
        <w:t xml:space="preserve"> naphthale</w:t>
      </w:r>
      <w:r w:rsidR="00E57534">
        <w:t>ne</w:t>
      </w:r>
      <w:r>
        <w:t xml:space="preserve"> displays a relatively fast degradation (</w:t>
      </w:r>
      <w:r>
        <w:fldChar w:fldCharType="begin" w:fldLock="1"/>
      </w:r>
      <w:r>
        <w:instrText xml:space="preserve"> REF _Ref454466178 \h </w:instrText>
      </w:r>
      <w:r>
        <w:fldChar w:fldCharType="separate"/>
      </w:r>
      <w:r w:rsidR="00335E79">
        <w:t xml:space="preserve">Figure </w:t>
      </w:r>
      <w:r w:rsidR="00335E79">
        <w:rPr>
          <w:noProof/>
        </w:rPr>
        <w:t>5</w:t>
      </w:r>
      <w:r w:rsidR="00335E79">
        <w:noBreakHyphen/>
      </w:r>
      <w:r w:rsidR="00335E79">
        <w:rPr>
          <w:noProof/>
        </w:rPr>
        <w:t>6</w:t>
      </w:r>
      <w:r>
        <w:fldChar w:fldCharType="end"/>
      </w:r>
      <w:r>
        <w:t>). After 400 days following release</w:t>
      </w:r>
      <w:r w:rsidR="00F52208">
        <w:t>,</w:t>
      </w:r>
      <w:r>
        <w:t xml:space="preserve"> </w:t>
      </w:r>
      <w:r w:rsidR="00F52208">
        <w:t xml:space="preserve">the </w:t>
      </w:r>
      <w:r>
        <w:t>concentration</w:t>
      </w:r>
      <w:r w:rsidR="00F52208">
        <w:t>s</w:t>
      </w:r>
      <w:r>
        <w:t xml:space="preserve"> have decreased to less than 10% of the original source value. </w:t>
      </w:r>
    </w:p>
    <w:p w14:paraId="031EBF35" w14:textId="1EE5E2A5" w:rsidR="00E57534" w:rsidRDefault="00E57534" w:rsidP="00576EB6">
      <w:pPr>
        <w:pStyle w:val="Body"/>
      </w:pPr>
      <w:r>
        <w:t>For travel times up to 4</w:t>
      </w:r>
      <w:r w:rsidR="00A42E92">
        <w:t>,</w:t>
      </w:r>
      <w:r>
        <w:t>000 days</w:t>
      </w:r>
      <w:r w:rsidR="00066230">
        <w:t>,</w:t>
      </w:r>
      <w:r>
        <w:t xml:space="preserve"> final concentrations decrease to negligible fractions of the source concentration, with DAF values of 3E+11 for minimum half-life (after </w:t>
      </w:r>
      <w:r w:rsidR="00066230">
        <w:t>3</w:t>
      </w:r>
      <w:r w:rsidR="00A42E92">
        <w:t>,</w:t>
      </w:r>
      <w:r w:rsidR="00066230">
        <w:t xml:space="preserve">660 </w:t>
      </w:r>
      <w:r>
        <w:t>days of travel) and 6E</w:t>
      </w:r>
      <w:r w:rsidR="00066230">
        <w:t>+</w:t>
      </w:r>
      <w:r>
        <w:t>13 for aerobic degradation at maximum half-life</w:t>
      </w:r>
      <w:r w:rsidR="000F2070">
        <w:t xml:space="preserve"> (</w:t>
      </w:r>
      <w:r w:rsidR="000F2070">
        <w:fldChar w:fldCharType="begin" w:fldLock="1"/>
      </w:r>
      <w:r w:rsidR="000F2070">
        <w:instrText xml:space="preserve"> REF _Ref454466551 \h </w:instrText>
      </w:r>
      <w:r w:rsidR="000F2070">
        <w:fldChar w:fldCharType="separate"/>
      </w:r>
      <w:r w:rsidR="00335E79">
        <w:t xml:space="preserve">Figure </w:t>
      </w:r>
      <w:r w:rsidR="00335E79">
        <w:rPr>
          <w:noProof/>
        </w:rPr>
        <w:t>5</w:t>
      </w:r>
      <w:r w:rsidR="00335E79">
        <w:noBreakHyphen/>
      </w:r>
      <w:r w:rsidR="00335E79">
        <w:rPr>
          <w:noProof/>
        </w:rPr>
        <w:t>7</w:t>
      </w:r>
      <w:r w:rsidR="000F2070">
        <w:fldChar w:fldCharType="end"/>
      </w:r>
      <w:r w:rsidR="000F2070">
        <w:t>)</w:t>
      </w:r>
      <w:r>
        <w:t xml:space="preserve">.  </w:t>
      </w:r>
    </w:p>
    <w:p w14:paraId="2C1F1452" w14:textId="7E8FB101" w:rsidR="000F2070" w:rsidRPr="00576EB6" w:rsidRDefault="000F2070" w:rsidP="00576EB6">
      <w:pPr>
        <w:pStyle w:val="Body"/>
      </w:pPr>
      <w:r>
        <w:t>For very long travel times up to 40,000 days</w:t>
      </w:r>
      <w:r w:rsidR="00066230">
        <w:t>,</w:t>
      </w:r>
      <w:r>
        <w:t xml:space="preserve"> naphthalene </w:t>
      </w:r>
      <w:r w:rsidR="00066230">
        <w:t xml:space="preserve">will have </w:t>
      </w:r>
      <w:r>
        <w:t>completely degraded for all parameter combinations except one (</w:t>
      </w:r>
      <w:r>
        <w:fldChar w:fldCharType="begin" w:fldLock="1"/>
      </w:r>
      <w:r>
        <w:instrText xml:space="preserve"> REF _Ref454466728 \h </w:instrText>
      </w:r>
      <w:r>
        <w:fldChar w:fldCharType="separate"/>
      </w:r>
      <w:r w:rsidR="00335E79">
        <w:t xml:space="preserve">Figure </w:t>
      </w:r>
      <w:r w:rsidR="00335E79">
        <w:rPr>
          <w:noProof/>
        </w:rPr>
        <w:t>5</w:t>
      </w:r>
      <w:r w:rsidR="00335E79">
        <w:noBreakHyphen/>
      </w:r>
      <w:r w:rsidR="00335E79">
        <w:rPr>
          <w:noProof/>
        </w:rPr>
        <w:t>8</w:t>
      </w:r>
      <w:r>
        <w:fldChar w:fldCharType="end"/>
      </w:r>
      <w:r>
        <w:t>): under anaerobic conditions</w:t>
      </w:r>
      <w:r w:rsidRPr="000F2070">
        <w:t xml:space="preserve"> </w:t>
      </w:r>
      <w:r>
        <w:t>the maximum half-life is virtually infinity as naphthalene is very unlike</w:t>
      </w:r>
      <w:r w:rsidR="00066230">
        <w:t>ly</w:t>
      </w:r>
      <w:r>
        <w:t xml:space="preserve"> to degrade under those conditions.</w:t>
      </w:r>
    </w:p>
    <w:p w14:paraId="226F37C9" w14:textId="0BC692ED" w:rsidR="007502C1" w:rsidRDefault="00677525" w:rsidP="00E57534">
      <w:pPr>
        <w:pStyle w:val="Body"/>
        <w:jc w:val="center"/>
      </w:pPr>
      <w:r w:rsidRPr="00677525">
        <w:rPr>
          <w:noProof/>
          <w:lang w:val="en-AU" w:eastAsia="en-AU"/>
        </w:rPr>
        <w:drawing>
          <wp:inline distT="0" distB="0" distL="0" distR="0" wp14:anchorId="3EB21584" wp14:editId="07C009E5">
            <wp:extent cx="3251200" cy="3175000"/>
            <wp:effectExtent l="0" t="0" r="6350" b="6350"/>
            <wp:docPr id="547" name="Picture 547" descr="Chart of relative concentration of napthalene as a result of chemicla/biological degradation."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8"/>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3251200" cy="3175000"/>
                    </a:xfrm>
                    <a:prstGeom prst="rect">
                      <a:avLst/>
                    </a:prstGeom>
                    <a:noFill/>
                    <a:ln>
                      <a:noFill/>
                    </a:ln>
                  </pic:spPr>
                </pic:pic>
              </a:graphicData>
            </a:graphic>
          </wp:inline>
        </w:drawing>
      </w:r>
    </w:p>
    <w:p w14:paraId="5D6D9AEF" w14:textId="2837A186" w:rsidR="00CF4336" w:rsidRDefault="00CF4336" w:rsidP="00CF4336">
      <w:pPr>
        <w:pStyle w:val="Imagecaption"/>
      </w:pPr>
      <w:bookmarkStart w:id="615" w:name="_Ref454466178"/>
      <w:bookmarkStart w:id="616" w:name="_Toc477347648"/>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6</w:t>
      </w:r>
      <w:r w:rsidR="00254026">
        <w:fldChar w:fldCharType="end"/>
      </w:r>
      <w:bookmarkEnd w:id="615"/>
      <w:r>
        <w:t xml:space="preserve"> Relative concentration for naphthalene as a result of chemical/biological degradation.</w:t>
      </w:r>
      <w:r w:rsidR="00E30BAD">
        <w:t xml:space="preserve"> Minimum and maximum half-lives used for aerobic and anaerobic degradation.</w:t>
      </w:r>
      <w:bookmarkEnd w:id="616"/>
    </w:p>
    <w:p w14:paraId="7A4C5534" w14:textId="77777777" w:rsidR="00CF4336" w:rsidRDefault="00CF4336" w:rsidP="007502C1">
      <w:pPr>
        <w:pStyle w:val="Body"/>
      </w:pPr>
    </w:p>
    <w:p w14:paraId="0A940AAE" w14:textId="6461D433" w:rsidR="007725EB" w:rsidRDefault="00EE3261" w:rsidP="00E57534">
      <w:pPr>
        <w:pStyle w:val="Body"/>
        <w:jc w:val="center"/>
      </w:pPr>
      <w:r w:rsidRPr="00EE3261">
        <w:rPr>
          <w:noProof/>
          <w:lang w:val="en-AU" w:eastAsia="en-AU"/>
        </w:rPr>
        <w:drawing>
          <wp:inline distT="0" distB="0" distL="0" distR="0" wp14:anchorId="58AB5A7F" wp14:editId="0B0F4E15">
            <wp:extent cx="3455035" cy="3176270"/>
            <wp:effectExtent l="0" t="0" r="0" b="5080"/>
            <wp:docPr id="74" name="Picture 74" descr="Chart of relative concentration for naphthalene as a result of chemical/biological degradation."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3455035" cy="3176270"/>
                    </a:xfrm>
                    <a:prstGeom prst="rect">
                      <a:avLst/>
                    </a:prstGeom>
                    <a:noFill/>
                    <a:ln>
                      <a:noFill/>
                    </a:ln>
                  </pic:spPr>
                </pic:pic>
              </a:graphicData>
            </a:graphic>
          </wp:inline>
        </w:drawing>
      </w:r>
    </w:p>
    <w:p w14:paraId="40DCDF03" w14:textId="49F78707" w:rsidR="00CF4336" w:rsidRDefault="00CF4336" w:rsidP="00CF4336">
      <w:pPr>
        <w:pStyle w:val="Imagecaption"/>
      </w:pPr>
      <w:bookmarkStart w:id="617" w:name="_Ref454466551"/>
      <w:bookmarkStart w:id="618" w:name="_Toc477347649"/>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7</w:t>
      </w:r>
      <w:r w:rsidR="00254026">
        <w:fldChar w:fldCharType="end"/>
      </w:r>
      <w:bookmarkEnd w:id="617"/>
      <w:r>
        <w:t xml:space="preserve"> Relative concentration for naphthalene as a result of chemical/biological degradation. Dilution attenuation factor (DAF) and final concentration at receptor (C</w:t>
      </w:r>
      <w:r w:rsidRPr="00035258">
        <w:rPr>
          <w:vertAlign w:val="subscript"/>
        </w:rPr>
        <w:t>F</w:t>
      </w:r>
      <w:r>
        <w:t>) derived for minimum (</w:t>
      </w:r>
      <w:r w:rsidR="00066230">
        <w:t>3</w:t>
      </w:r>
      <w:r w:rsidR="00F859AD">
        <w:t>,</w:t>
      </w:r>
      <w:r w:rsidR="00066230">
        <w:t xml:space="preserve">660 </w:t>
      </w:r>
      <w:r>
        <w:t>days) solute travel time for t</w:t>
      </w:r>
      <w:r w:rsidR="00A42E92">
        <w: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t xml:space="preserve">). </w:t>
      </w:r>
      <w:r w:rsidR="00E30BAD">
        <w:t>Minimum and maximum half-lives used for aerobic and anaerobic degradation.</w:t>
      </w:r>
      <w:bookmarkEnd w:id="618"/>
    </w:p>
    <w:p w14:paraId="1592EEB9" w14:textId="77777777" w:rsidR="00CF4336" w:rsidRDefault="00CF4336" w:rsidP="007502C1">
      <w:pPr>
        <w:pStyle w:val="Body"/>
      </w:pPr>
    </w:p>
    <w:p w14:paraId="52B8F6FA" w14:textId="51B776AB" w:rsidR="007725EB" w:rsidRDefault="00820B62" w:rsidP="00A86622">
      <w:pPr>
        <w:pStyle w:val="Body"/>
        <w:jc w:val="center"/>
      </w:pPr>
      <w:r w:rsidRPr="00820B62">
        <w:rPr>
          <w:noProof/>
          <w:lang w:val="en-AU" w:eastAsia="en-AU"/>
        </w:rPr>
        <w:drawing>
          <wp:inline distT="0" distB="0" distL="0" distR="0" wp14:anchorId="5A7AEDE2" wp14:editId="543B91BE">
            <wp:extent cx="3478530" cy="3176270"/>
            <wp:effectExtent l="0" t="0" r="7620" b="5080"/>
            <wp:docPr id="75" name="Picture 75" descr="Chart of relative concentration for naphthalene as a result of chemical/biological degradation." title="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3478530" cy="3176270"/>
                    </a:xfrm>
                    <a:prstGeom prst="rect">
                      <a:avLst/>
                    </a:prstGeom>
                    <a:noFill/>
                    <a:ln>
                      <a:noFill/>
                    </a:ln>
                  </pic:spPr>
                </pic:pic>
              </a:graphicData>
            </a:graphic>
          </wp:inline>
        </w:drawing>
      </w:r>
    </w:p>
    <w:p w14:paraId="7B239A71" w14:textId="08BB8943" w:rsidR="00CF4336" w:rsidRDefault="00CF4336" w:rsidP="00CF4336">
      <w:pPr>
        <w:pStyle w:val="Imagecaption"/>
      </w:pPr>
      <w:bookmarkStart w:id="619" w:name="_Ref454466728"/>
      <w:bookmarkStart w:id="620" w:name="_Toc477347650"/>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8</w:t>
      </w:r>
      <w:r w:rsidR="00254026">
        <w:fldChar w:fldCharType="end"/>
      </w:r>
      <w:bookmarkEnd w:id="619"/>
      <w:r>
        <w:t xml:space="preserve"> Relative concentration for naphthalene as a result of chemical/biological degradation. Dilution attenuation factor (DAF) and final concentration at receptor (C</w:t>
      </w:r>
      <w:r w:rsidRPr="00035258">
        <w:rPr>
          <w:vertAlign w:val="subscript"/>
        </w:rPr>
        <w:t>F</w:t>
      </w:r>
      <w:r>
        <w:t>) derived for minimum (3</w:t>
      </w:r>
      <w:r w:rsidR="00F859AD">
        <w:t>,</w:t>
      </w:r>
      <w:r>
        <w:t>66</w:t>
      </w:r>
      <w:r w:rsidR="00066230">
        <w:t>0</w:t>
      </w:r>
      <w:r>
        <w:t xml:space="preserve"> days), mean (12</w:t>
      </w:r>
      <w:r w:rsidR="00F859AD">
        <w:t>,</w:t>
      </w:r>
      <w:r>
        <w:t>3</w:t>
      </w:r>
      <w:r w:rsidR="00F859AD">
        <w:t>00</w:t>
      </w:r>
      <w:r>
        <w:t xml:space="preserve"> days) and maximum (33</w:t>
      </w:r>
      <w:r w:rsidR="00F859AD">
        <w:t>,500</w:t>
      </w:r>
      <w:r>
        <w:t xml:space="preserve"> days) solute travel time for t</w:t>
      </w:r>
      <w:r w:rsidR="00A42E92">
        <w: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t>). DAF and C</w:t>
      </w:r>
      <w:r w:rsidRPr="0053147C">
        <w:rPr>
          <w:vertAlign w:val="subscript"/>
        </w:rPr>
        <w:t>F</w:t>
      </w:r>
      <w:r>
        <w:t xml:space="preserve"> values for mean and maximum travel time are not shown (C</w:t>
      </w:r>
      <w:r w:rsidRPr="0053147C">
        <w:rPr>
          <w:vertAlign w:val="subscript"/>
        </w:rPr>
        <w:t>F</w:t>
      </w:r>
      <w:r>
        <w:t xml:space="preserve"> = 0 and DAF = in</w:t>
      </w:r>
      <w:r w:rsidR="0053147C">
        <w:t>finitely large</w:t>
      </w:r>
      <w:r>
        <w:t>).</w:t>
      </w:r>
      <w:r w:rsidR="00E30BAD">
        <w:t xml:space="preserve"> Minimum half-li</w:t>
      </w:r>
      <w:r w:rsidR="00F52208">
        <w:t>fe</w:t>
      </w:r>
      <w:r w:rsidR="00E30BAD">
        <w:t xml:space="preserve"> used for anaerobic degradation.</w:t>
      </w:r>
      <w:bookmarkEnd w:id="620"/>
    </w:p>
    <w:p w14:paraId="1C86E3F6" w14:textId="5A76F0EA" w:rsidR="00066DAF" w:rsidRDefault="00066DAF" w:rsidP="00066DAF">
      <w:pPr>
        <w:pStyle w:val="Heading3"/>
        <w:numPr>
          <w:ilvl w:val="4"/>
          <w:numId w:val="1"/>
        </w:numPr>
      </w:pPr>
      <w:bookmarkStart w:id="621" w:name="_Toc494444657"/>
      <w:r>
        <w:t>Limonene</w:t>
      </w:r>
      <w:bookmarkEnd w:id="621"/>
    </w:p>
    <w:p w14:paraId="55274155" w14:textId="0137F8A7" w:rsidR="007725EB" w:rsidRDefault="00B44FCB" w:rsidP="00084F3E">
      <w:pPr>
        <w:pStyle w:val="Body"/>
      </w:pPr>
      <w:r>
        <w:t>In case of aerobic degradation limonene degrades quickly for minimum and maximum half-lives (</w:t>
      </w:r>
      <w:r>
        <w:fldChar w:fldCharType="begin" w:fldLock="1"/>
      </w:r>
      <w:r>
        <w:instrText xml:space="preserve"> REF _Ref454466873 \h </w:instrText>
      </w:r>
      <w:r>
        <w:fldChar w:fldCharType="separate"/>
      </w:r>
      <w:r w:rsidR="00335E79">
        <w:t xml:space="preserve">Figure </w:t>
      </w:r>
      <w:r w:rsidR="00335E79">
        <w:rPr>
          <w:noProof/>
        </w:rPr>
        <w:t>5</w:t>
      </w:r>
      <w:r w:rsidR="00335E79">
        <w:noBreakHyphen/>
      </w:r>
      <w:r w:rsidR="00335E79">
        <w:rPr>
          <w:noProof/>
        </w:rPr>
        <w:t>9</w:t>
      </w:r>
      <w:r>
        <w:fldChar w:fldCharType="end"/>
      </w:r>
      <w:r>
        <w:t xml:space="preserve">). </w:t>
      </w:r>
      <w:r w:rsidR="00B22D1B">
        <w:t xml:space="preserve"> As a result of the fast degradation, the DAF value after </w:t>
      </w:r>
      <w:r w:rsidR="00066230">
        <w:t>3</w:t>
      </w:r>
      <w:r w:rsidR="00F859AD">
        <w:t>,</w:t>
      </w:r>
      <w:r w:rsidR="00066230">
        <w:t xml:space="preserve">660 </w:t>
      </w:r>
      <w:r w:rsidR="00B22D1B">
        <w:t>days of travel is extremely large (i.e. infinity) (</w:t>
      </w:r>
      <w:r w:rsidR="00B22D1B">
        <w:fldChar w:fldCharType="begin" w:fldLock="1"/>
      </w:r>
      <w:r w:rsidR="00B22D1B">
        <w:instrText xml:space="preserve"> REF _Ref454466997 \h </w:instrText>
      </w:r>
      <w:r w:rsidR="00B22D1B">
        <w:fldChar w:fldCharType="separate"/>
      </w:r>
      <w:r w:rsidR="00335E79">
        <w:t xml:space="preserve">Figure </w:t>
      </w:r>
      <w:r w:rsidR="00335E79">
        <w:rPr>
          <w:noProof/>
        </w:rPr>
        <w:t>5</w:t>
      </w:r>
      <w:r w:rsidR="00335E79">
        <w:noBreakHyphen/>
      </w:r>
      <w:r w:rsidR="00335E79">
        <w:rPr>
          <w:noProof/>
        </w:rPr>
        <w:t>10</w:t>
      </w:r>
      <w:r w:rsidR="00B22D1B">
        <w:fldChar w:fldCharType="end"/>
      </w:r>
      <w:r w:rsidR="00B22D1B">
        <w:t>).</w:t>
      </w:r>
      <w:r>
        <w:t xml:space="preserve"> </w:t>
      </w:r>
    </w:p>
    <w:p w14:paraId="5E023C8F" w14:textId="46982FBF" w:rsidR="007725EB" w:rsidRDefault="007725EB" w:rsidP="00B44FCB">
      <w:pPr>
        <w:jc w:val="center"/>
        <w:rPr>
          <w:lang w:val="en-GB"/>
        </w:rPr>
      </w:pPr>
      <w:r w:rsidRPr="007725EB">
        <w:rPr>
          <w:noProof/>
          <w:lang w:val="en-AU" w:eastAsia="en-AU"/>
        </w:rPr>
        <w:drawing>
          <wp:inline distT="0" distB="0" distL="0" distR="0" wp14:anchorId="661F159E" wp14:editId="38985544">
            <wp:extent cx="3559395" cy="3460652"/>
            <wp:effectExtent l="0" t="0" r="3175" b="6985"/>
            <wp:docPr id="139" name="Picture 139" descr="Relative concentration for limonene as a result of chemical/biological degradation." title="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3577556" cy="3478309"/>
                    </a:xfrm>
                    <a:prstGeom prst="rect">
                      <a:avLst/>
                    </a:prstGeom>
                    <a:noFill/>
                    <a:ln>
                      <a:noFill/>
                    </a:ln>
                  </pic:spPr>
                </pic:pic>
              </a:graphicData>
            </a:graphic>
          </wp:inline>
        </w:drawing>
      </w:r>
    </w:p>
    <w:p w14:paraId="52A6533B" w14:textId="52DEF466" w:rsidR="0053147C" w:rsidRDefault="0053147C" w:rsidP="0053147C">
      <w:pPr>
        <w:pStyle w:val="Imagecaption"/>
      </w:pPr>
      <w:bookmarkStart w:id="622" w:name="_Ref454466873"/>
      <w:bookmarkStart w:id="623" w:name="_Toc477347651"/>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9</w:t>
      </w:r>
      <w:r w:rsidR="00254026">
        <w:fldChar w:fldCharType="end"/>
      </w:r>
      <w:bookmarkEnd w:id="622"/>
      <w:r>
        <w:t xml:space="preserve"> Relative concentration for limonene as a result of chemical/biological degradation. </w:t>
      </w:r>
      <w:r w:rsidR="00E30BAD">
        <w:t>Minimum and maximum half-lives used for aerobic degradation.</w:t>
      </w:r>
      <w:bookmarkEnd w:id="623"/>
    </w:p>
    <w:p w14:paraId="6B5262D4" w14:textId="77777777" w:rsidR="0053147C" w:rsidRDefault="0053147C" w:rsidP="007725EB">
      <w:pPr>
        <w:rPr>
          <w:lang w:val="en-GB"/>
        </w:rPr>
      </w:pPr>
    </w:p>
    <w:p w14:paraId="38D1BB5E" w14:textId="31BD4591" w:rsidR="007725EB" w:rsidRDefault="00820B62" w:rsidP="00B22D1B">
      <w:pPr>
        <w:jc w:val="center"/>
        <w:rPr>
          <w:lang w:val="en-GB"/>
        </w:rPr>
      </w:pPr>
      <w:r w:rsidRPr="00820B62">
        <w:rPr>
          <w:noProof/>
          <w:lang w:val="en-AU" w:eastAsia="en-AU"/>
        </w:rPr>
        <w:drawing>
          <wp:inline distT="0" distB="0" distL="0" distR="0" wp14:anchorId="53FD70F1" wp14:editId="1F01FC7A">
            <wp:extent cx="3295650" cy="3176270"/>
            <wp:effectExtent l="0" t="0" r="0" b="5080"/>
            <wp:docPr id="76" name="Picture 76" descr="Relative concentration for limonene as a result of chemical/biological degradation." title="Fig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3295650" cy="3176270"/>
                    </a:xfrm>
                    <a:prstGeom prst="rect">
                      <a:avLst/>
                    </a:prstGeom>
                    <a:noFill/>
                    <a:ln>
                      <a:noFill/>
                    </a:ln>
                  </pic:spPr>
                </pic:pic>
              </a:graphicData>
            </a:graphic>
          </wp:inline>
        </w:drawing>
      </w:r>
    </w:p>
    <w:p w14:paraId="34822440" w14:textId="12B6AA17" w:rsidR="0053147C" w:rsidRDefault="0053147C" w:rsidP="0053147C">
      <w:pPr>
        <w:pStyle w:val="Imagecaption"/>
      </w:pPr>
      <w:bookmarkStart w:id="624" w:name="_Ref454466997"/>
      <w:bookmarkStart w:id="625" w:name="_Toc477347652"/>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10</w:t>
      </w:r>
      <w:r w:rsidR="00254026">
        <w:fldChar w:fldCharType="end"/>
      </w:r>
      <w:bookmarkEnd w:id="624"/>
      <w:r>
        <w:t xml:space="preserve"> Relative concentration for limonene as a result of chemical/biological degradation. Dilution attenuation factor (DAF) and final concentration at receptor (C</w:t>
      </w:r>
      <w:r w:rsidRPr="00035258">
        <w:rPr>
          <w:vertAlign w:val="subscript"/>
        </w:rPr>
        <w:t>F</w:t>
      </w:r>
      <w:r>
        <w:t>) derived for minimum (</w:t>
      </w:r>
      <w:r w:rsidR="00066230">
        <w:t>3</w:t>
      </w:r>
      <w:r w:rsidR="00F859AD">
        <w:t>,</w:t>
      </w:r>
      <w:r w:rsidR="00066230">
        <w:t xml:space="preserve">660 </w:t>
      </w:r>
      <w:r>
        <w:t>days) solute travel time for t</w:t>
      </w:r>
      <w:r w:rsidR="00A42E92">
        <w: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t>).</w:t>
      </w:r>
      <w:r w:rsidR="00E30BAD">
        <w:t xml:space="preserve"> Minimum and maximum half-lives used for aerobic degradation.</w:t>
      </w:r>
      <w:bookmarkEnd w:id="625"/>
    </w:p>
    <w:p w14:paraId="200535D3" w14:textId="1694BEE5" w:rsidR="00066DAF" w:rsidRDefault="00066DAF" w:rsidP="00066DAF">
      <w:pPr>
        <w:pStyle w:val="Heading3"/>
        <w:numPr>
          <w:ilvl w:val="4"/>
          <w:numId w:val="1"/>
        </w:numPr>
      </w:pPr>
      <w:bookmarkStart w:id="626" w:name="_Toc494444658"/>
      <w:r>
        <w:t>HMX</w:t>
      </w:r>
      <w:bookmarkEnd w:id="626"/>
    </w:p>
    <w:p w14:paraId="06136B6E" w14:textId="679BA425" w:rsidR="00B22D1B" w:rsidRDefault="00B22D1B" w:rsidP="00B22D1B">
      <w:pPr>
        <w:pStyle w:val="Body"/>
      </w:pPr>
      <w:r>
        <w:t>In the event that hydrolysis takes place, HMX will decrease rapidly to negligible concentrations (</w:t>
      </w:r>
      <w:r>
        <w:fldChar w:fldCharType="begin" w:fldLock="1"/>
      </w:r>
      <w:r>
        <w:instrText xml:space="preserve"> REF _Ref454467104 \h </w:instrText>
      </w:r>
      <w:r>
        <w:fldChar w:fldCharType="separate"/>
      </w:r>
      <w:r w:rsidR="00335E79">
        <w:t xml:space="preserve">Figure </w:t>
      </w:r>
      <w:r w:rsidR="00335E79">
        <w:rPr>
          <w:noProof/>
        </w:rPr>
        <w:t>5</w:t>
      </w:r>
      <w:r w:rsidR="00335E79">
        <w:noBreakHyphen/>
      </w:r>
      <w:r w:rsidR="00335E79">
        <w:rPr>
          <w:noProof/>
        </w:rPr>
        <w:t>11</w:t>
      </w:r>
      <w:r>
        <w:fldChar w:fldCharType="end"/>
      </w:r>
      <w:r>
        <w:t xml:space="preserve">). </w:t>
      </w:r>
      <w:r w:rsidR="008436DF">
        <w:t xml:space="preserve">After </w:t>
      </w:r>
      <w:r w:rsidR="00066230">
        <w:t>3</w:t>
      </w:r>
      <w:r w:rsidR="00F859AD">
        <w:t>,</w:t>
      </w:r>
      <w:r w:rsidR="00066230">
        <w:t xml:space="preserve">660 </w:t>
      </w:r>
      <w:r w:rsidR="008436DF">
        <w:t>days of travel the concentrations at the receptor are effectively zero and the DAF value is infinity (</w:t>
      </w:r>
      <w:r w:rsidR="008436DF">
        <w:fldChar w:fldCharType="begin" w:fldLock="1"/>
      </w:r>
      <w:r w:rsidR="008436DF">
        <w:instrText xml:space="preserve"> REF _Ref454467164 \h </w:instrText>
      </w:r>
      <w:r w:rsidR="008436DF">
        <w:fldChar w:fldCharType="separate"/>
      </w:r>
      <w:r w:rsidR="00335E79">
        <w:t xml:space="preserve">Figure </w:t>
      </w:r>
      <w:r w:rsidR="00335E79">
        <w:rPr>
          <w:noProof/>
        </w:rPr>
        <w:t>5</w:t>
      </w:r>
      <w:r w:rsidR="00335E79">
        <w:noBreakHyphen/>
      </w:r>
      <w:r w:rsidR="00335E79">
        <w:rPr>
          <w:noProof/>
        </w:rPr>
        <w:t>12</w:t>
      </w:r>
      <w:r w:rsidR="008436DF">
        <w:fldChar w:fldCharType="end"/>
      </w:r>
      <w:r w:rsidR="008436DF">
        <w:t>).</w:t>
      </w:r>
    </w:p>
    <w:p w14:paraId="67E29B8E" w14:textId="0FC425AE" w:rsidR="007725EB" w:rsidRDefault="005E3292" w:rsidP="00B22D1B">
      <w:pPr>
        <w:jc w:val="center"/>
        <w:rPr>
          <w:lang w:val="en-GB"/>
        </w:rPr>
      </w:pPr>
      <w:r w:rsidRPr="005E3292">
        <w:rPr>
          <w:noProof/>
          <w:lang w:val="en-AU" w:eastAsia="en-AU"/>
        </w:rPr>
        <w:drawing>
          <wp:inline distT="0" distB="0" distL="0" distR="0" wp14:anchorId="3947859E" wp14:editId="2AFE7FAA">
            <wp:extent cx="3251200" cy="3175000"/>
            <wp:effectExtent l="0" t="0" r="6350" b="6350"/>
            <wp:docPr id="129" name="Picture 129" descr="Relative concentration for HMX as a result of chemical/biological degradation." title="Fig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0"/>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3251200" cy="3175000"/>
                    </a:xfrm>
                    <a:prstGeom prst="rect">
                      <a:avLst/>
                    </a:prstGeom>
                    <a:noFill/>
                    <a:ln>
                      <a:noFill/>
                    </a:ln>
                  </pic:spPr>
                </pic:pic>
              </a:graphicData>
            </a:graphic>
          </wp:inline>
        </w:drawing>
      </w:r>
    </w:p>
    <w:p w14:paraId="7A6CB5EA" w14:textId="459FE12A" w:rsidR="0053147C" w:rsidRDefault="0053147C" w:rsidP="0053147C">
      <w:pPr>
        <w:pStyle w:val="Imagecaption"/>
      </w:pPr>
      <w:bookmarkStart w:id="627" w:name="_Ref454467104"/>
      <w:bookmarkStart w:id="628" w:name="_Toc477347653"/>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11</w:t>
      </w:r>
      <w:r w:rsidR="00254026">
        <w:fldChar w:fldCharType="end"/>
      </w:r>
      <w:bookmarkEnd w:id="627"/>
      <w:r>
        <w:t xml:space="preserve"> Relative concentration for HMX as a result of chemical/biological degradation. </w:t>
      </w:r>
      <w:r w:rsidR="00E30BAD">
        <w:t xml:space="preserve">Minimum and maximum half-lives used for </w:t>
      </w:r>
      <w:r w:rsidR="005E3292">
        <w:t xml:space="preserve">anaerobic and aerobic degradation and </w:t>
      </w:r>
      <w:r w:rsidR="00E30BAD">
        <w:t>hydrolysis.</w:t>
      </w:r>
      <w:bookmarkEnd w:id="628"/>
    </w:p>
    <w:p w14:paraId="1C33B175" w14:textId="77777777" w:rsidR="0053147C" w:rsidRDefault="0053147C" w:rsidP="007725EB">
      <w:pPr>
        <w:rPr>
          <w:lang w:val="en-GB"/>
        </w:rPr>
      </w:pPr>
    </w:p>
    <w:p w14:paraId="1A19813D" w14:textId="377C95C7" w:rsidR="00877516" w:rsidRDefault="00820B62" w:rsidP="0094117C">
      <w:pPr>
        <w:jc w:val="center"/>
        <w:rPr>
          <w:lang w:val="en-GB"/>
        </w:rPr>
      </w:pPr>
      <w:r w:rsidRPr="00820B62">
        <w:rPr>
          <w:noProof/>
          <w:lang w:val="en-AU" w:eastAsia="en-AU"/>
        </w:rPr>
        <w:drawing>
          <wp:inline distT="0" distB="0" distL="0" distR="0" wp14:anchorId="0277738D" wp14:editId="4F54C102">
            <wp:extent cx="3455035" cy="3176270"/>
            <wp:effectExtent l="0" t="0" r="0" b="5080"/>
            <wp:docPr id="77" name="Picture 77" descr="Relative concentration for HMX as a result of chemical/biological degradation." title="Fig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3455035" cy="3176270"/>
                    </a:xfrm>
                    <a:prstGeom prst="rect">
                      <a:avLst/>
                    </a:prstGeom>
                    <a:noFill/>
                    <a:ln>
                      <a:noFill/>
                    </a:ln>
                  </pic:spPr>
                </pic:pic>
              </a:graphicData>
            </a:graphic>
          </wp:inline>
        </w:drawing>
      </w:r>
    </w:p>
    <w:p w14:paraId="2E351E02" w14:textId="380020F4" w:rsidR="0053147C" w:rsidRDefault="0053147C" w:rsidP="0053147C">
      <w:pPr>
        <w:pStyle w:val="Imagecaption"/>
      </w:pPr>
      <w:bookmarkStart w:id="629" w:name="_Ref454467164"/>
      <w:bookmarkStart w:id="630" w:name="_Toc477347654"/>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12</w:t>
      </w:r>
      <w:r w:rsidR="00254026">
        <w:fldChar w:fldCharType="end"/>
      </w:r>
      <w:bookmarkEnd w:id="629"/>
      <w:r>
        <w:t xml:space="preserve"> Relative concentration for HMX as a result of chemical/biological degradation. Dilution attenuation factor (DAF) and final concentration at receptor (C</w:t>
      </w:r>
      <w:r w:rsidRPr="00035258">
        <w:rPr>
          <w:vertAlign w:val="subscript"/>
        </w:rPr>
        <w:t>F</w:t>
      </w:r>
      <w:r>
        <w:t>) derived for minimum (</w:t>
      </w:r>
      <w:r w:rsidR="00066230">
        <w:t>3</w:t>
      </w:r>
      <w:r w:rsidR="00F859AD">
        <w:t>,</w:t>
      </w:r>
      <w:r w:rsidR="00066230">
        <w:t xml:space="preserve">660 </w:t>
      </w:r>
      <w:r>
        <w:t>days) solute travel ti</w:t>
      </w:r>
      <w:r w:rsidR="00A42E92">
        <w:t>me for 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t>).</w:t>
      </w:r>
      <w:r w:rsidR="00E30BAD">
        <w:t xml:space="preserve"> </w:t>
      </w:r>
      <w:r w:rsidR="00EF33E2">
        <w:t>Minimum and maximum half-lives used for anaerobic and aerobic degradation and hydrolysis.</w:t>
      </w:r>
      <w:bookmarkEnd w:id="630"/>
    </w:p>
    <w:p w14:paraId="02EE99F3" w14:textId="2126E279" w:rsidR="00066DAF" w:rsidRDefault="00066DAF" w:rsidP="00066DAF">
      <w:pPr>
        <w:pStyle w:val="Heading3"/>
        <w:numPr>
          <w:ilvl w:val="4"/>
          <w:numId w:val="1"/>
        </w:numPr>
      </w:pPr>
      <w:bookmarkStart w:id="631" w:name="_Toc494444659"/>
      <w:r>
        <w:t>2-butoxyethanol</w:t>
      </w:r>
      <w:bookmarkEnd w:id="631"/>
    </w:p>
    <w:p w14:paraId="78C9809E" w14:textId="23CF8F1B" w:rsidR="0094117C" w:rsidRDefault="0094117C" w:rsidP="0094117C">
      <w:pPr>
        <w:pStyle w:val="Body"/>
      </w:pPr>
      <w:r>
        <w:t>When aerobic degradation of 2-butoxyethanol occurs concentrations become negligible after 100 days of travel (</w:t>
      </w:r>
      <w:r>
        <w:fldChar w:fldCharType="begin" w:fldLock="1"/>
      </w:r>
      <w:r>
        <w:instrText xml:space="preserve"> REF _Ref454467342 \h </w:instrText>
      </w:r>
      <w:r>
        <w:fldChar w:fldCharType="separate"/>
      </w:r>
      <w:r w:rsidR="00335E79">
        <w:t xml:space="preserve">Figure </w:t>
      </w:r>
      <w:r w:rsidR="00335E79">
        <w:rPr>
          <w:noProof/>
        </w:rPr>
        <w:t>5</w:t>
      </w:r>
      <w:r w:rsidR="00335E79">
        <w:noBreakHyphen/>
      </w:r>
      <w:r w:rsidR="00335E79">
        <w:rPr>
          <w:noProof/>
        </w:rPr>
        <w:t>13</w:t>
      </w:r>
      <w:r>
        <w:fldChar w:fldCharType="end"/>
      </w:r>
      <w:r>
        <w:t xml:space="preserve">). Under </w:t>
      </w:r>
      <w:r w:rsidR="00F52208">
        <w:t>aerobic (minimum and maximum half-lives) and anaerobic</w:t>
      </w:r>
      <w:r>
        <w:t xml:space="preserve"> </w:t>
      </w:r>
      <w:r w:rsidR="00F52208">
        <w:t xml:space="preserve">(minimum half-life) </w:t>
      </w:r>
      <w:r>
        <w:t xml:space="preserve">conditions a DAF value of infinity </w:t>
      </w:r>
      <w:r w:rsidR="00F52208">
        <w:t xml:space="preserve">(i.e. &gt; 1E10) </w:t>
      </w:r>
      <w:r>
        <w:t xml:space="preserve">is obtained </w:t>
      </w:r>
      <w:r w:rsidR="00066230">
        <w:t>3</w:t>
      </w:r>
      <w:r w:rsidR="00F859AD">
        <w:t>,</w:t>
      </w:r>
      <w:r w:rsidR="00066230">
        <w:t xml:space="preserve">660 </w:t>
      </w:r>
      <w:r>
        <w:t>days after release of the source (</w:t>
      </w:r>
      <w:r>
        <w:fldChar w:fldCharType="begin" w:fldLock="1"/>
      </w:r>
      <w:r>
        <w:instrText xml:space="preserve"> REF _Ref454467434 \h </w:instrText>
      </w:r>
      <w:r>
        <w:fldChar w:fldCharType="separate"/>
      </w:r>
      <w:r w:rsidR="00335E79">
        <w:t xml:space="preserve">Figure </w:t>
      </w:r>
      <w:r w:rsidR="00335E79">
        <w:rPr>
          <w:noProof/>
        </w:rPr>
        <w:t>5</w:t>
      </w:r>
      <w:r w:rsidR="00335E79">
        <w:noBreakHyphen/>
      </w:r>
      <w:r w:rsidR="00335E79">
        <w:rPr>
          <w:noProof/>
        </w:rPr>
        <w:t>14</w:t>
      </w:r>
      <w:r>
        <w:fldChar w:fldCharType="end"/>
      </w:r>
      <w:r>
        <w:t>).</w:t>
      </w:r>
    </w:p>
    <w:p w14:paraId="6558232F" w14:textId="77777777" w:rsidR="0094117C" w:rsidRPr="0094117C" w:rsidRDefault="0094117C" w:rsidP="0094117C">
      <w:pPr>
        <w:pStyle w:val="Body"/>
      </w:pPr>
    </w:p>
    <w:p w14:paraId="365ED7CE" w14:textId="24436C07" w:rsidR="00877516" w:rsidRDefault="00820B62" w:rsidP="0094117C">
      <w:pPr>
        <w:jc w:val="center"/>
        <w:rPr>
          <w:lang w:val="en-GB"/>
        </w:rPr>
      </w:pPr>
      <w:r w:rsidRPr="00820B62">
        <w:rPr>
          <w:noProof/>
          <w:lang w:val="en-AU" w:eastAsia="en-AU"/>
        </w:rPr>
        <w:drawing>
          <wp:inline distT="0" distB="0" distL="0" distR="0" wp14:anchorId="4C4A97C1" wp14:editId="045FACFB">
            <wp:extent cx="3256280" cy="3176270"/>
            <wp:effectExtent l="0" t="0" r="1270" b="5080"/>
            <wp:docPr id="81" name="Picture 81" descr="Relative concentration for 2-butoxyethanol as a result of biological degradation." title="Fig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3256280" cy="3176270"/>
                    </a:xfrm>
                    <a:prstGeom prst="rect">
                      <a:avLst/>
                    </a:prstGeom>
                    <a:noFill/>
                    <a:ln>
                      <a:noFill/>
                    </a:ln>
                  </pic:spPr>
                </pic:pic>
              </a:graphicData>
            </a:graphic>
          </wp:inline>
        </w:drawing>
      </w:r>
    </w:p>
    <w:p w14:paraId="6810CCBD" w14:textId="62DCC9A0" w:rsidR="0053147C" w:rsidRDefault="0053147C" w:rsidP="00FD6B1F">
      <w:pPr>
        <w:pStyle w:val="Imagecaption"/>
      </w:pPr>
      <w:bookmarkStart w:id="632" w:name="_Ref454467342"/>
      <w:bookmarkStart w:id="633" w:name="_Toc477347655"/>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13</w:t>
      </w:r>
      <w:r w:rsidR="00254026">
        <w:fldChar w:fldCharType="end"/>
      </w:r>
      <w:bookmarkEnd w:id="632"/>
      <w:r>
        <w:t xml:space="preserve"> Relative concentration for </w:t>
      </w:r>
      <w:r w:rsidR="0044590B">
        <w:t>2-butoxyethanol</w:t>
      </w:r>
      <w:r>
        <w:t xml:space="preserve"> as a result of biological degradation. </w:t>
      </w:r>
      <w:r w:rsidR="00E30BAD">
        <w:t xml:space="preserve">Minimum and maximum half-lives used for </w:t>
      </w:r>
      <w:r w:rsidR="00FD6B1F">
        <w:t xml:space="preserve">anaerobic and </w:t>
      </w:r>
      <w:r w:rsidR="00E30BAD">
        <w:t>aerobic degradation.</w:t>
      </w:r>
      <w:bookmarkEnd w:id="633"/>
    </w:p>
    <w:p w14:paraId="747CD27B" w14:textId="477F36D0" w:rsidR="00877516" w:rsidRDefault="00A85D6A" w:rsidP="0094117C">
      <w:pPr>
        <w:jc w:val="center"/>
        <w:rPr>
          <w:lang w:val="en-GB"/>
        </w:rPr>
      </w:pPr>
      <w:r w:rsidRPr="00A85D6A">
        <w:rPr>
          <w:noProof/>
          <w:lang w:val="en-AU" w:eastAsia="en-AU"/>
        </w:rPr>
        <w:drawing>
          <wp:inline distT="0" distB="0" distL="0" distR="0" wp14:anchorId="30F57DB5" wp14:editId="5EFFC59F">
            <wp:extent cx="3455035" cy="3176270"/>
            <wp:effectExtent l="0" t="0" r="0" b="5080"/>
            <wp:docPr id="83" name="Picture 83" descr="Relative concentration for 2-butoxyethanol as a result of biological degradation." title="Fig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3455035" cy="3176270"/>
                    </a:xfrm>
                    <a:prstGeom prst="rect">
                      <a:avLst/>
                    </a:prstGeom>
                    <a:noFill/>
                    <a:ln>
                      <a:noFill/>
                    </a:ln>
                  </pic:spPr>
                </pic:pic>
              </a:graphicData>
            </a:graphic>
          </wp:inline>
        </w:drawing>
      </w:r>
    </w:p>
    <w:p w14:paraId="6B8916C4" w14:textId="22D4282C" w:rsidR="006958A3" w:rsidRDefault="006958A3" w:rsidP="006958A3">
      <w:pPr>
        <w:pStyle w:val="Imagecaption"/>
      </w:pPr>
      <w:bookmarkStart w:id="634" w:name="_Ref454467434"/>
      <w:bookmarkStart w:id="635" w:name="_Toc477347656"/>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14</w:t>
      </w:r>
      <w:r w:rsidR="00254026">
        <w:fldChar w:fldCharType="end"/>
      </w:r>
      <w:bookmarkEnd w:id="634"/>
      <w:r>
        <w:t xml:space="preserve"> Relative concentration for HMX as a result of biological degradation. Dilution attenuation factor (DAF) and final concentration at receptor (C</w:t>
      </w:r>
      <w:r w:rsidRPr="00035258">
        <w:rPr>
          <w:vertAlign w:val="subscript"/>
        </w:rPr>
        <w:t>F</w:t>
      </w:r>
      <w:r>
        <w:t>) derived for minimum (3</w:t>
      </w:r>
      <w:r w:rsidR="00F859AD">
        <w:t>,</w:t>
      </w:r>
      <w:r>
        <w:t>66</w:t>
      </w:r>
      <w:r w:rsidR="00066230">
        <w:t>0</w:t>
      </w:r>
      <w:r>
        <w:t xml:space="preserve"> days) solute travel time for t</w:t>
      </w:r>
      <w:r w:rsidR="00A42E92">
        <w: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t>).</w:t>
      </w:r>
      <w:r w:rsidR="00E30BAD">
        <w:t xml:space="preserve"> Minimum and maximum half-lives used for </w:t>
      </w:r>
      <w:r w:rsidR="00FD6B1F">
        <w:t xml:space="preserve">anaerobic and </w:t>
      </w:r>
      <w:r w:rsidR="00E30BAD">
        <w:t>aerobic degradation.</w:t>
      </w:r>
      <w:bookmarkEnd w:id="635"/>
    </w:p>
    <w:p w14:paraId="6BCAF952" w14:textId="1C3351F6" w:rsidR="00066DAF" w:rsidRDefault="00066DAF" w:rsidP="00066DAF">
      <w:pPr>
        <w:pStyle w:val="Heading3"/>
        <w:numPr>
          <w:ilvl w:val="4"/>
          <w:numId w:val="1"/>
        </w:numPr>
      </w:pPr>
      <w:bookmarkStart w:id="636" w:name="_Toc494444660"/>
      <w:r>
        <w:t>Bronopol</w:t>
      </w:r>
      <w:bookmarkEnd w:id="636"/>
    </w:p>
    <w:p w14:paraId="36092B52" w14:textId="1BA0CD39" w:rsidR="00E97BB6" w:rsidRDefault="00E97BB6" w:rsidP="00E97BB6">
      <w:pPr>
        <w:pStyle w:val="Body"/>
      </w:pPr>
      <w:r>
        <w:t>Bronopol degradation by means of hydrolysis is relatively fast, even for the largest half-life value (</w:t>
      </w:r>
      <w:r>
        <w:fldChar w:fldCharType="begin" w:fldLock="1"/>
      </w:r>
      <w:r>
        <w:instrText xml:space="preserve"> REF _Ref454467561 \h </w:instrText>
      </w:r>
      <w:r>
        <w:fldChar w:fldCharType="separate"/>
      </w:r>
      <w:r w:rsidR="00335E79">
        <w:t xml:space="preserve">Figure </w:t>
      </w:r>
      <w:r w:rsidR="00335E79">
        <w:rPr>
          <w:noProof/>
        </w:rPr>
        <w:t>5</w:t>
      </w:r>
      <w:r w:rsidR="00335E79">
        <w:noBreakHyphen/>
      </w:r>
      <w:r w:rsidR="00335E79">
        <w:rPr>
          <w:noProof/>
        </w:rPr>
        <w:t>15</w:t>
      </w:r>
      <w:r>
        <w:fldChar w:fldCharType="end"/>
      </w:r>
      <w:r>
        <w:t>).</w:t>
      </w:r>
      <w:r w:rsidR="00FF5C45">
        <w:t xml:space="preserve"> Complete degradation has occurred after 3</w:t>
      </w:r>
      <w:r w:rsidR="00A42E92">
        <w:t>,</w:t>
      </w:r>
      <w:r w:rsidR="00FF5C45">
        <w:t>66</w:t>
      </w:r>
      <w:r w:rsidR="00A42E92">
        <w:t>0</w:t>
      </w:r>
      <w:r w:rsidR="00FF5C45">
        <w:t xml:space="preserve"> days since release from the source, yielding DAF value</w:t>
      </w:r>
      <w:r w:rsidR="00F52208">
        <w:t>s</w:t>
      </w:r>
      <w:r w:rsidR="00FF5C45">
        <w:t xml:space="preserve"> </w:t>
      </w:r>
      <w:r w:rsidR="00F52208">
        <w:t xml:space="preserve">for all half-lives </w:t>
      </w:r>
      <w:r w:rsidR="00FF5C45">
        <w:t>of infinity (</w:t>
      </w:r>
      <w:r w:rsidR="00FF5C45">
        <w:fldChar w:fldCharType="begin" w:fldLock="1"/>
      </w:r>
      <w:r w:rsidR="00FF5C45">
        <w:instrText xml:space="preserve"> REF _Ref454467787 \h </w:instrText>
      </w:r>
      <w:r w:rsidR="00FF5C45">
        <w:fldChar w:fldCharType="separate"/>
      </w:r>
      <w:r w:rsidR="00335E79">
        <w:t xml:space="preserve">Figure </w:t>
      </w:r>
      <w:r w:rsidR="00335E79">
        <w:rPr>
          <w:noProof/>
        </w:rPr>
        <w:t>5</w:t>
      </w:r>
      <w:r w:rsidR="00335E79">
        <w:noBreakHyphen/>
      </w:r>
      <w:r w:rsidR="00335E79">
        <w:rPr>
          <w:noProof/>
        </w:rPr>
        <w:t>16</w:t>
      </w:r>
      <w:r w:rsidR="00FF5C45">
        <w:fldChar w:fldCharType="end"/>
      </w:r>
      <w:r w:rsidR="00FF5C45">
        <w:t>).</w:t>
      </w:r>
    </w:p>
    <w:p w14:paraId="16E2140F" w14:textId="77777777" w:rsidR="00746846" w:rsidRPr="00E97BB6" w:rsidRDefault="00746846" w:rsidP="00E97BB6">
      <w:pPr>
        <w:pStyle w:val="Body"/>
      </w:pPr>
    </w:p>
    <w:p w14:paraId="3545FF10" w14:textId="62DB88B7" w:rsidR="00877516" w:rsidRDefault="00A85D6A" w:rsidP="00E97BB6">
      <w:pPr>
        <w:jc w:val="center"/>
        <w:rPr>
          <w:lang w:val="en-GB"/>
        </w:rPr>
      </w:pPr>
      <w:r w:rsidRPr="00A85D6A">
        <w:rPr>
          <w:noProof/>
          <w:lang w:val="en-AU" w:eastAsia="en-AU"/>
        </w:rPr>
        <w:drawing>
          <wp:inline distT="0" distB="0" distL="0" distR="0" wp14:anchorId="787510E8" wp14:editId="714F7EA9">
            <wp:extent cx="3256280" cy="3176270"/>
            <wp:effectExtent l="0" t="0" r="1270" b="5080"/>
            <wp:docPr id="84" name="Picture 84" descr="Relative concentration for bronopol as a result of chemical degradation." title="Fig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3256280" cy="3176270"/>
                    </a:xfrm>
                    <a:prstGeom prst="rect">
                      <a:avLst/>
                    </a:prstGeom>
                    <a:noFill/>
                    <a:ln>
                      <a:noFill/>
                    </a:ln>
                  </pic:spPr>
                </pic:pic>
              </a:graphicData>
            </a:graphic>
          </wp:inline>
        </w:drawing>
      </w:r>
    </w:p>
    <w:p w14:paraId="4F226BA2" w14:textId="517D8F78" w:rsidR="006958A3" w:rsidRDefault="006958A3" w:rsidP="006958A3">
      <w:pPr>
        <w:pStyle w:val="Imagecaption"/>
      </w:pPr>
      <w:bookmarkStart w:id="637" w:name="_Ref454467561"/>
      <w:bookmarkStart w:id="638" w:name="_Toc477347657"/>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15</w:t>
      </w:r>
      <w:r w:rsidR="00254026">
        <w:fldChar w:fldCharType="end"/>
      </w:r>
      <w:bookmarkEnd w:id="637"/>
      <w:r>
        <w:t xml:space="preserve"> Relative concentration for bronopol as a result of chemical degradation. </w:t>
      </w:r>
      <w:r w:rsidR="00E30BAD">
        <w:t>Minimum and maximum half-lives used for hydrolysis.</w:t>
      </w:r>
      <w:bookmarkEnd w:id="638"/>
    </w:p>
    <w:p w14:paraId="053B4DC0" w14:textId="7C62B7CF" w:rsidR="006958A3" w:rsidRDefault="00A85D6A" w:rsidP="00746846">
      <w:pPr>
        <w:jc w:val="center"/>
        <w:rPr>
          <w:lang w:val="en-GB"/>
        </w:rPr>
      </w:pPr>
      <w:r w:rsidRPr="00A85D6A">
        <w:rPr>
          <w:noProof/>
          <w:lang w:val="en-AU" w:eastAsia="en-AU"/>
        </w:rPr>
        <w:drawing>
          <wp:inline distT="0" distB="0" distL="0" distR="0" wp14:anchorId="280A2CBC" wp14:editId="1F62349C">
            <wp:extent cx="3455035" cy="3176270"/>
            <wp:effectExtent l="0" t="0" r="0" b="5080"/>
            <wp:docPr id="87" name="Picture 87" descr="Relative concentration for bronopol as a result of chemical degradation" title="Fig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3455035" cy="3176270"/>
                    </a:xfrm>
                    <a:prstGeom prst="rect">
                      <a:avLst/>
                    </a:prstGeom>
                    <a:noFill/>
                    <a:ln>
                      <a:noFill/>
                    </a:ln>
                  </pic:spPr>
                </pic:pic>
              </a:graphicData>
            </a:graphic>
          </wp:inline>
        </w:drawing>
      </w:r>
    </w:p>
    <w:p w14:paraId="4A72C159" w14:textId="78178779" w:rsidR="00746846" w:rsidRDefault="00746846" w:rsidP="00746846">
      <w:pPr>
        <w:pStyle w:val="Imagecaption"/>
      </w:pPr>
      <w:bookmarkStart w:id="639" w:name="_Ref454467787"/>
      <w:bookmarkStart w:id="640" w:name="_Toc477347658"/>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16</w:t>
      </w:r>
      <w:r w:rsidR="00254026">
        <w:fldChar w:fldCharType="end"/>
      </w:r>
      <w:bookmarkEnd w:id="639"/>
      <w:r w:rsidRPr="00746846">
        <w:t xml:space="preserve"> </w:t>
      </w:r>
      <w:r>
        <w:t>Relative concentration for b</w:t>
      </w:r>
      <w:r w:rsidR="00453D5D">
        <w:t>ronopol as a result of chemical</w:t>
      </w:r>
      <w:r>
        <w:t xml:space="preserve"> degradation. Dilution attenuation factor (DAF) and final concentration at receptor (C</w:t>
      </w:r>
      <w:r w:rsidRPr="00035258">
        <w:rPr>
          <w:vertAlign w:val="subscript"/>
        </w:rPr>
        <w:t>F</w:t>
      </w:r>
      <w:r>
        <w:t>) derived for minimum (3</w:t>
      </w:r>
      <w:r w:rsidR="00F859AD">
        <w:t>,</w:t>
      </w:r>
      <w:r>
        <w:t>66</w:t>
      </w:r>
      <w:r w:rsidR="00066230">
        <w:t>0</w:t>
      </w:r>
      <w:r>
        <w:t xml:space="preserve"> days) solute travel time for 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rsidR="00A42E92">
        <w:t>)</w:t>
      </w:r>
      <w:r>
        <w:t>. Minimum and maximum half-lives used for hydrolysis.</w:t>
      </w:r>
      <w:bookmarkEnd w:id="640"/>
    </w:p>
    <w:p w14:paraId="3C0EBB46" w14:textId="4E5B30FE" w:rsidR="00066DAF" w:rsidRDefault="00066DAF" w:rsidP="00066DAF">
      <w:pPr>
        <w:pStyle w:val="Heading3"/>
        <w:numPr>
          <w:ilvl w:val="4"/>
          <w:numId w:val="1"/>
        </w:numPr>
      </w:pPr>
      <w:bookmarkStart w:id="641" w:name="_Toc494444661"/>
      <w:r>
        <w:t>Methyl-chloro-isothiazolinone</w:t>
      </w:r>
      <w:bookmarkEnd w:id="641"/>
    </w:p>
    <w:p w14:paraId="76701EFE" w14:textId="77777777" w:rsidR="00FF5C45" w:rsidRDefault="00FF5C45" w:rsidP="00FF5C45">
      <w:pPr>
        <w:pStyle w:val="Body"/>
      </w:pPr>
    </w:p>
    <w:p w14:paraId="4661E877" w14:textId="276B0A44" w:rsidR="00FF5C45" w:rsidRDefault="00F52208" w:rsidP="00FF5C45">
      <w:pPr>
        <w:pStyle w:val="Body"/>
      </w:pPr>
      <w:r>
        <w:t>Three</w:t>
      </w:r>
      <w:r w:rsidR="00AA6F56">
        <w:t xml:space="preserve"> degradation mechanism were identified for methyl-chloro-isothiazolinone, i.e. hydrolysis and </w:t>
      </w:r>
      <w:r>
        <w:t>aerobic/</w:t>
      </w:r>
      <w:r w:rsidR="00AA6F56">
        <w:t xml:space="preserve">anaerobic degradation. Based on the </w:t>
      </w:r>
      <w:r w:rsidR="002C3FAC">
        <w:t xml:space="preserve">available </w:t>
      </w:r>
      <w:r w:rsidR="00AA6F56">
        <w:t>half-li</w:t>
      </w:r>
      <w:r w:rsidR="00066230">
        <w:t>fe</w:t>
      </w:r>
      <w:r w:rsidR="00AA6F56">
        <w:t xml:space="preserve"> values, degradation is complete with</w:t>
      </w:r>
      <w:r>
        <w:t>in</w:t>
      </w:r>
      <w:r w:rsidR="00AA6F56">
        <w:t xml:space="preserve"> 200 days following release (</w:t>
      </w:r>
      <w:r w:rsidR="00AA6F56">
        <w:fldChar w:fldCharType="begin" w:fldLock="1"/>
      </w:r>
      <w:r w:rsidR="00AA6F56">
        <w:instrText xml:space="preserve"> REF _Ref454467950 \h </w:instrText>
      </w:r>
      <w:r w:rsidR="00AA6F56">
        <w:fldChar w:fldCharType="separate"/>
      </w:r>
      <w:r w:rsidR="00335E79">
        <w:t xml:space="preserve">Figure </w:t>
      </w:r>
      <w:r w:rsidR="00335E79">
        <w:rPr>
          <w:noProof/>
        </w:rPr>
        <w:t>5</w:t>
      </w:r>
      <w:r w:rsidR="00335E79">
        <w:noBreakHyphen/>
      </w:r>
      <w:r w:rsidR="00335E79">
        <w:rPr>
          <w:noProof/>
        </w:rPr>
        <w:t>17</w:t>
      </w:r>
      <w:r w:rsidR="00AA6F56">
        <w:fldChar w:fldCharType="end"/>
      </w:r>
      <w:r>
        <w:t>). All</w:t>
      </w:r>
      <w:r w:rsidR="00AA6F56">
        <w:t xml:space="preserve"> degradation mechanisms result in a DAF value of infinity after </w:t>
      </w:r>
      <w:r w:rsidR="00066230">
        <w:t>3</w:t>
      </w:r>
      <w:r w:rsidR="00F859AD">
        <w:t>,</w:t>
      </w:r>
      <w:r w:rsidR="00066230">
        <w:t xml:space="preserve">660 </w:t>
      </w:r>
      <w:r w:rsidR="00AA6F56">
        <w:t>days (</w:t>
      </w:r>
      <w:r w:rsidR="00AA6F56">
        <w:fldChar w:fldCharType="begin" w:fldLock="1"/>
      </w:r>
      <w:r w:rsidR="00AA6F56">
        <w:instrText xml:space="preserve"> REF _Ref454468030 \h </w:instrText>
      </w:r>
      <w:r w:rsidR="00AA6F56">
        <w:fldChar w:fldCharType="separate"/>
      </w:r>
      <w:r w:rsidR="00335E79">
        <w:t xml:space="preserve">Figure </w:t>
      </w:r>
      <w:r w:rsidR="00335E79">
        <w:rPr>
          <w:noProof/>
        </w:rPr>
        <w:t>5</w:t>
      </w:r>
      <w:r w:rsidR="00335E79">
        <w:noBreakHyphen/>
      </w:r>
      <w:r w:rsidR="00335E79">
        <w:rPr>
          <w:noProof/>
        </w:rPr>
        <w:t>18</w:t>
      </w:r>
      <w:r w:rsidR="00AA6F56">
        <w:fldChar w:fldCharType="end"/>
      </w:r>
      <w:r w:rsidR="00AA6F56">
        <w:t>).</w:t>
      </w:r>
    </w:p>
    <w:p w14:paraId="351FF02D" w14:textId="77777777" w:rsidR="00FF5C45" w:rsidRPr="00FF5C45" w:rsidRDefault="00FF5C45" w:rsidP="00FF5C45">
      <w:pPr>
        <w:pStyle w:val="Body"/>
      </w:pPr>
    </w:p>
    <w:p w14:paraId="54C237A5" w14:textId="09093059" w:rsidR="00877516" w:rsidRPr="00877516" w:rsidRDefault="00453D5D" w:rsidP="00FF5C45">
      <w:pPr>
        <w:jc w:val="center"/>
        <w:rPr>
          <w:lang w:val="en-GB"/>
        </w:rPr>
      </w:pPr>
      <w:r w:rsidRPr="00453D5D">
        <w:rPr>
          <w:noProof/>
          <w:lang w:val="en-AU" w:eastAsia="en-AU"/>
        </w:rPr>
        <w:drawing>
          <wp:inline distT="0" distB="0" distL="0" distR="0" wp14:anchorId="14D3ADD3" wp14:editId="46D35439">
            <wp:extent cx="3251200" cy="3175000"/>
            <wp:effectExtent l="0" t="0" r="6350" b="6350"/>
            <wp:docPr id="1025" name="Picture 1025" descr="Relative concentration for MCI as a result of chemical/biological degradation." title="Fig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6"/>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3251200" cy="3175000"/>
                    </a:xfrm>
                    <a:prstGeom prst="rect">
                      <a:avLst/>
                    </a:prstGeom>
                    <a:noFill/>
                    <a:ln>
                      <a:noFill/>
                    </a:ln>
                  </pic:spPr>
                </pic:pic>
              </a:graphicData>
            </a:graphic>
          </wp:inline>
        </w:drawing>
      </w:r>
    </w:p>
    <w:p w14:paraId="1B7362A8" w14:textId="136C12A9" w:rsidR="00066DAF" w:rsidRDefault="006958A3" w:rsidP="00453D5D">
      <w:pPr>
        <w:pStyle w:val="Imagecaption"/>
      </w:pPr>
      <w:bookmarkStart w:id="642" w:name="_Ref454467950"/>
      <w:bookmarkStart w:id="643" w:name="_Toc477347659"/>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17</w:t>
      </w:r>
      <w:r w:rsidR="00254026">
        <w:fldChar w:fldCharType="end"/>
      </w:r>
      <w:bookmarkEnd w:id="642"/>
      <w:r>
        <w:t xml:space="preserve"> Relative concentration for MCI as a result of chemical/biological degradation. </w:t>
      </w:r>
      <w:r w:rsidR="00E30BAD">
        <w:t>Maximum half-lives used for anaerobic</w:t>
      </w:r>
      <w:r w:rsidR="00453D5D">
        <w:t xml:space="preserve"> and aerobic</w:t>
      </w:r>
      <w:r w:rsidR="00E30BAD">
        <w:t xml:space="preserve"> degradation and hydrolysis.</w:t>
      </w:r>
      <w:bookmarkEnd w:id="643"/>
    </w:p>
    <w:p w14:paraId="4BE0881F" w14:textId="5251B3A2" w:rsidR="00066DAF" w:rsidRDefault="00A85D6A" w:rsidP="00AA6F56">
      <w:pPr>
        <w:pStyle w:val="Body"/>
        <w:jc w:val="center"/>
      </w:pPr>
      <w:r w:rsidRPr="00A85D6A">
        <w:rPr>
          <w:noProof/>
          <w:lang w:val="en-AU" w:eastAsia="en-AU"/>
        </w:rPr>
        <w:drawing>
          <wp:inline distT="0" distB="0" distL="0" distR="0" wp14:anchorId="3EAB6531" wp14:editId="58F9F32D">
            <wp:extent cx="3455035" cy="3176270"/>
            <wp:effectExtent l="0" t="0" r="0" b="5080"/>
            <wp:docPr id="88" name="Picture 88" descr="Relative concentration for MCI as a result of chemical/biological degradation." title="Fig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3455035" cy="3176270"/>
                    </a:xfrm>
                    <a:prstGeom prst="rect">
                      <a:avLst/>
                    </a:prstGeom>
                    <a:noFill/>
                    <a:ln>
                      <a:noFill/>
                    </a:ln>
                  </pic:spPr>
                </pic:pic>
              </a:graphicData>
            </a:graphic>
          </wp:inline>
        </w:drawing>
      </w:r>
    </w:p>
    <w:p w14:paraId="5F94E0A6" w14:textId="770532BA" w:rsidR="006958A3" w:rsidRDefault="006958A3" w:rsidP="006958A3">
      <w:pPr>
        <w:pStyle w:val="Imagecaption"/>
      </w:pPr>
      <w:bookmarkStart w:id="644" w:name="_Ref454468030"/>
      <w:bookmarkStart w:id="645" w:name="_Toc477347660"/>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18</w:t>
      </w:r>
      <w:r w:rsidR="00254026">
        <w:fldChar w:fldCharType="end"/>
      </w:r>
      <w:bookmarkEnd w:id="644"/>
      <w:r>
        <w:t xml:space="preserve"> Relative concentration for </w:t>
      </w:r>
      <w:r w:rsidR="00105357">
        <w:t>MCI</w:t>
      </w:r>
      <w:r>
        <w:t xml:space="preserve"> as a result of chemical/biological degradation. Dilution attenuation factor (DAF) and final concentration at receptor (C</w:t>
      </w:r>
      <w:r w:rsidRPr="00035258">
        <w:rPr>
          <w:vertAlign w:val="subscript"/>
        </w:rPr>
        <w:t>F</w:t>
      </w:r>
      <w:r>
        <w:t>) derived for minimum (</w:t>
      </w:r>
      <w:r w:rsidR="00066230">
        <w:t>3</w:t>
      </w:r>
      <w:r w:rsidR="00F859AD">
        <w:t>,</w:t>
      </w:r>
      <w:r w:rsidR="00066230">
        <w:t xml:space="preserve">660 </w:t>
      </w:r>
      <w:r>
        <w:t>days) solute travel time for 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rsidR="00A42E92">
        <w:t>)</w:t>
      </w:r>
      <w:r>
        <w:t>.</w:t>
      </w:r>
      <w:r w:rsidR="00E30BAD">
        <w:t xml:space="preserve"> Maximum half-lives used for anaerobic</w:t>
      </w:r>
      <w:r w:rsidR="00453D5D">
        <w:t xml:space="preserve"> and aerobic</w:t>
      </w:r>
      <w:r w:rsidR="00E30BAD">
        <w:t xml:space="preserve"> degradation and hydrolysis.</w:t>
      </w:r>
      <w:bookmarkEnd w:id="645"/>
    </w:p>
    <w:p w14:paraId="7C42DF8A" w14:textId="2A3BEBB1" w:rsidR="00C5119A" w:rsidRDefault="00C5119A" w:rsidP="00C5119A">
      <w:pPr>
        <w:pStyle w:val="Heading3"/>
        <w:numPr>
          <w:ilvl w:val="4"/>
          <w:numId w:val="1"/>
        </w:numPr>
      </w:pPr>
      <w:bookmarkStart w:id="646" w:name="_Toc494444662"/>
      <w:r>
        <w:t>Summary of attenuation calculations</w:t>
      </w:r>
      <w:bookmarkEnd w:id="646"/>
    </w:p>
    <w:p w14:paraId="76C3A50D" w14:textId="54E9BD3B" w:rsidR="00C5119A" w:rsidRDefault="00BE5DA7" w:rsidP="00BE5DA7">
      <w:pPr>
        <w:pStyle w:val="Body"/>
      </w:pPr>
      <w:r>
        <w:t xml:space="preserve">The first series of attenuation calculations </w:t>
      </w:r>
      <w:r w:rsidR="002335B1">
        <w:t xml:space="preserve">discussed in the previous sections </w:t>
      </w:r>
      <w:r>
        <w:t xml:space="preserve">accounted for aerobic and anaerobic degradation and hydrolysis. The final concentration remaining at a receptor </w:t>
      </w:r>
      <w:r w:rsidR="00654C77">
        <w:t>when</w:t>
      </w:r>
      <w:r>
        <w:t xml:space="preserve"> three </w:t>
      </w:r>
      <w:r w:rsidR="00654C77">
        <w:t xml:space="preserve">different </w:t>
      </w:r>
      <w:r>
        <w:t xml:space="preserve">travel times </w:t>
      </w:r>
      <w:r w:rsidR="00654C77">
        <w:t xml:space="preserve">were accounted for (minimum, mean, and maximum), </w:t>
      </w:r>
      <w:r>
        <w:t>was calculated and summarised in</w:t>
      </w:r>
      <w:r w:rsidR="002C3FAC">
        <w:t xml:space="preserve"> </w:t>
      </w:r>
      <w:r w:rsidR="002C3FAC">
        <w:fldChar w:fldCharType="begin" w:fldLock="1"/>
      </w:r>
      <w:r w:rsidR="002C3FAC">
        <w:instrText xml:space="preserve"> REF _Ref470864661 \h </w:instrText>
      </w:r>
      <w:r w:rsidR="002C3FAC">
        <w:fldChar w:fldCharType="separate"/>
      </w:r>
      <w:r w:rsidR="00335E79">
        <w:t xml:space="preserve">Table </w:t>
      </w:r>
      <w:r w:rsidR="00335E79">
        <w:rPr>
          <w:noProof/>
        </w:rPr>
        <w:t>5</w:t>
      </w:r>
      <w:r w:rsidR="00335E79">
        <w:noBreakHyphen/>
      </w:r>
      <w:r w:rsidR="00335E79">
        <w:rPr>
          <w:noProof/>
        </w:rPr>
        <w:t>2</w:t>
      </w:r>
      <w:r w:rsidR="002C3FAC">
        <w:fldChar w:fldCharType="end"/>
      </w:r>
      <w:r w:rsidR="006E503C">
        <w:t xml:space="preserve"> to </w:t>
      </w:r>
      <w:r w:rsidR="006E503C">
        <w:fldChar w:fldCharType="begin" w:fldLock="1"/>
      </w:r>
      <w:r w:rsidR="006E503C">
        <w:instrText xml:space="preserve"> REF _Ref470800510 \h </w:instrText>
      </w:r>
      <w:r w:rsidR="006E503C">
        <w:fldChar w:fldCharType="separate"/>
      </w:r>
      <w:r w:rsidR="00335E79">
        <w:t xml:space="preserve">Table </w:t>
      </w:r>
      <w:r w:rsidR="00335E79">
        <w:rPr>
          <w:noProof/>
        </w:rPr>
        <w:t>5</w:t>
      </w:r>
      <w:r w:rsidR="00335E79">
        <w:noBreakHyphen/>
      </w:r>
      <w:r w:rsidR="00335E79">
        <w:rPr>
          <w:noProof/>
        </w:rPr>
        <w:t>4</w:t>
      </w:r>
      <w:r w:rsidR="006E503C">
        <w:fldChar w:fldCharType="end"/>
      </w:r>
      <w:r>
        <w:t>.</w:t>
      </w:r>
      <w:r w:rsidR="002335B1">
        <w:t xml:space="preserve"> Minimum, mean and maximum travel time were taken from the first travel time class (between 0 and 100 years), see </w:t>
      </w:r>
      <w:r w:rsidR="002335B1">
        <w:fldChar w:fldCharType="begin" w:fldLock="1"/>
      </w:r>
      <w:r w:rsidR="002335B1">
        <w:instrText xml:space="preserve"> REF _Ref454384797 \h  \* MERGEFORMAT </w:instrText>
      </w:r>
      <w:r w:rsidR="002335B1">
        <w:fldChar w:fldCharType="separate"/>
      </w:r>
      <w:r w:rsidR="00335E79" w:rsidRPr="00DA539C">
        <w:t xml:space="preserve">Table </w:t>
      </w:r>
      <w:r w:rsidR="00335E79">
        <w:t>2</w:t>
      </w:r>
      <w:r w:rsidR="00335E79">
        <w:noBreakHyphen/>
        <w:t>24</w:t>
      </w:r>
      <w:r w:rsidR="002335B1">
        <w:fldChar w:fldCharType="end"/>
      </w:r>
      <w:r w:rsidR="00654C77">
        <w:t xml:space="preserve"> for the Gunnedah Basin</w:t>
      </w:r>
      <w:r w:rsidR="002335B1">
        <w:t xml:space="preserve">. </w:t>
      </w:r>
    </w:p>
    <w:p w14:paraId="104B3EA0" w14:textId="0977135C" w:rsidR="00E90E4F" w:rsidRDefault="00E90E4F" w:rsidP="00BE5DA7">
      <w:pPr>
        <w:pStyle w:val="Body"/>
      </w:pPr>
      <w:r>
        <w:t xml:space="preserve">From the three degradation processes, anaerobic biodegradation and hydrolysis are the most relevant for the deeper groundwater investigations. Aerobic biodegradation </w:t>
      </w:r>
      <w:r w:rsidR="00D70A44">
        <w:t xml:space="preserve">is relevant in shallow, alluvial groundwater. Therefore, attenuation potential is primarily based on consideration of anaerobic biodegradation and hydrolysis. Whenever half-life values for these two processes were available, they take preference over the aerobic biodegradation ones. When both anaerobic biodegradation and hydrolysis occurs, the highest relative concentration at receptor is chosen: this is a conservative approach </w:t>
      </w:r>
      <w:r w:rsidR="00E80CF2">
        <w:t xml:space="preserve">and accounts for uncertainties about the degree of degradation due to lack of data on site-specific attenuation potential. If neither anaerobic biodegradation nor hydrolysis occurs, then aerobic degradation could be invoked - provided its half-life values are available - where the pathway traverses shallow oxygenated groundwater.  </w:t>
      </w:r>
    </w:p>
    <w:p w14:paraId="5646F1C5" w14:textId="298D0791" w:rsidR="006817A9" w:rsidRDefault="006E503C" w:rsidP="00BE5DA7">
      <w:pPr>
        <w:pStyle w:val="Body"/>
      </w:pPr>
      <w:r>
        <w:t xml:space="preserve">Based on the calculated relative concentrations at receptor after three different travel times </w:t>
      </w:r>
      <w:r w:rsidR="002C3FAC">
        <w:fldChar w:fldCharType="begin" w:fldLock="1"/>
      </w:r>
      <w:r w:rsidR="002C3FAC">
        <w:instrText xml:space="preserve"> REF _Ref470864661 \h </w:instrText>
      </w:r>
      <w:r w:rsidR="002C3FAC">
        <w:fldChar w:fldCharType="separate"/>
      </w:r>
      <w:r w:rsidR="00335E79">
        <w:t xml:space="preserve">Table </w:t>
      </w:r>
      <w:r w:rsidR="00335E79">
        <w:rPr>
          <w:noProof/>
        </w:rPr>
        <w:t>5</w:t>
      </w:r>
      <w:r w:rsidR="00335E79">
        <w:noBreakHyphen/>
      </w:r>
      <w:r w:rsidR="00335E79">
        <w:rPr>
          <w:noProof/>
        </w:rPr>
        <w:t>2</w:t>
      </w:r>
      <w:r w:rsidR="002C3FAC">
        <w:fldChar w:fldCharType="end"/>
      </w:r>
      <w:r w:rsidR="002C3FAC">
        <w:t xml:space="preserve"> </w:t>
      </w:r>
      <w:r>
        <w:t xml:space="preserve"> to </w:t>
      </w:r>
      <w:r>
        <w:fldChar w:fldCharType="begin" w:fldLock="1"/>
      </w:r>
      <w:r>
        <w:instrText xml:space="preserve"> REF _Ref470800510 \h </w:instrText>
      </w:r>
      <w:r>
        <w:fldChar w:fldCharType="separate"/>
      </w:r>
      <w:r w:rsidR="00335E79">
        <w:t xml:space="preserve">Table </w:t>
      </w:r>
      <w:r w:rsidR="00335E79">
        <w:rPr>
          <w:noProof/>
        </w:rPr>
        <w:t>5</w:t>
      </w:r>
      <w:r w:rsidR="00335E79">
        <w:noBreakHyphen/>
      </w:r>
      <w:r w:rsidR="00335E79">
        <w:rPr>
          <w:noProof/>
        </w:rPr>
        <w:t>4</w:t>
      </w:r>
      <w:r>
        <w:fldChar w:fldCharType="end"/>
      </w:r>
      <w:r>
        <w:t xml:space="preserve">), the </w:t>
      </w:r>
      <w:r w:rsidR="006817A9">
        <w:t>eight chemical substances considered belong to one of four groups:</w:t>
      </w:r>
    </w:p>
    <w:p w14:paraId="0D42BE5D" w14:textId="1E0E3D01" w:rsidR="006817A9" w:rsidRDefault="006817A9" w:rsidP="00217A03">
      <w:pPr>
        <w:pStyle w:val="Body"/>
        <w:numPr>
          <w:ilvl w:val="0"/>
          <w:numId w:val="69"/>
        </w:numPr>
      </w:pPr>
      <w:r>
        <w:t xml:space="preserve">Group 1 chemicals </w:t>
      </w:r>
      <w:r w:rsidR="00035EB0">
        <w:t>(</w:t>
      </w:r>
      <w:r>
        <w:t>HMX and MCI</w:t>
      </w:r>
      <w:r w:rsidR="00035EB0">
        <w:t>)</w:t>
      </w:r>
      <w:r>
        <w:t xml:space="preserve"> have a maximum of three modes of degradation (anaerobic biodegradation and hydrolysis relevant for deeper groundwater and aerobic degradation relevant for shallow oxygenated groundwater) and degrade completely within 10 years </w:t>
      </w:r>
      <w:r w:rsidR="00035EB0">
        <w:t>of</w:t>
      </w:r>
      <w:r>
        <w:t xml:space="preserve"> travel time.</w:t>
      </w:r>
    </w:p>
    <w:p w14:paraId="3FAE8AE1" w14:textId="3FE09DDB" w:rsidR="006817A9" w:rsidRDefault="006817A9" w:rsidP="00217A03">
      <w:pPr>
        <w:pStyle w:val="Body"/>
        <w:numPr>
          <w:ilvl w:val="0"/>
          <w:numId w:val="69"/>
        </w:numPr>
      </w:pPr>
      <w:r>
        <w:t>Group 2 chemicals (</w:t>
      </w:r>
      <w:r w:rsidR="00035EB0">
        <w:t>2-methylphenol, naphthalene, 2-butoxyethanol, bronopol</w:t>
      </w:r>
      <w:r>
        <w:t>) have at least one mode of degradation relevant for deeper groundwater (either anaerobic biodegradation or hydrolysis) and degrade partially within 10 years or completely within 34 or 90 years.</w:t>
      </w:r>
    </w:p>
    <w:p w14:paraId="74281051" w14:textId="60ACA8DC" w:rsidR="00035EB0" w:rsidRDefault="00035EB0" w:rsidP="00217A03">
      <w:pPr>
        <w:pStyle w:val="Body"/>
        <w:numPr>
          <w:ilvl w:val="0"/>
          <w:numId w:val="69"/>
        </w:numPr>
      </w:pPr>
      <w:r>
        <w:t>Group 3 chemicals (limonene) only have the degradation mode for shallow groundwater and degrade completely within 10 years.</w:t>
      </w:r>
    </w:p>
    <w:p w14:paraId="2714BA8B" w14:textId="7F5F8D0A" w:rsidR="00035EB0" w:rsidRDefault="00035EB0" w:rsidP="00217A03">
      <w:pPr>
        <w:pStyle w:val="Body"/>
        <w:numPr>
          <w:ilvl w:val="0"/>
          <w:numId w:val="69"/>
        </w:numPr>
      </w:pPr>
      <w:r>
        <w:t xml:space="preserve">Group 4 chemicals (acrylamide polyer) do not have any degradation mode and therefore remain at their initial concentration of one.   </w:t>
      </w:r>
    </w:p>
    <w:p w14:paraId="0FB2C5A7" w14:textId="77777777" w:rsidR="00035EB0" w:rsidRDefault="00035EB0" w:rsidP="002C3FAC">
      <w:pPr>
        <w:pStyle w:val="Body"/>
      </w:pPr>
      <w:bookmarkStart w:id="647" w:name="_Ref454468791"/>
    </w:p>
    <w:p w14:paraId="221EF910" w14:textId="0B11A9DF" w:rsidR="00C5119A" w:rsidRDefault="00762351" w:rsidP="00762351">
      <w:pPr>
        <w:pStyle w:val="Imagecaption"/>
        <w:keepNext/>
        <w:pBdr>
          <w:top w:val="none" w:sz="0" w:space="0" w:color="auto"/>
        </w:pBdr>
      </w:pPr>
      <w:bookmarkStart w:id="648" w:name="_Ref470864661"/>
      <w:bookmarkStart w:id="649" w:name="_Toc494444730"/>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w:t>
      </w:r>
      <w:r w:rsidR="00470577">
        <w:fldChar w:fldCharType="end"/>
      </w:r>
      <w:bookmarkEnd w:id="647"/>
      <w:bookmarkEnd w:id="648"/>
      <w:r>
        <w:t xml:space="preserve"> </w:t>
      </w:r>
      <w:r w:rsidR="003E7111">
        <w:t xml:space="preserve">Calculated relative concentration at receptor for minimum travel time </w:t>
      </w:r>
      <w:r w:rsidR="004D38FA">
        <w:t xml:space="preserve">of 10 years </w:t>
      </w:r>
      <w:r w:rsidR="003E7111">
        <w:t>(travel ti</w:t>
      </w:r>
      <w:r w:rsidR="004D38FA">
        <w:t xml:space="preserve">me class # 1 </w:t>
      </w:r>
      <w:r w:rsidR="004D38FA">
        <w:fldChar w:fldCharType="begin" w:fldLock="1"/>
      </w:r>
      <w:r w:rsidR="004D38FA">
        <w:instrText xml:space="preserve"> REF _Ref454384797 \h  \* MERGEFORMAT </w:instrText>
      </w:r>
      <w:r w:rsidR="004D38FA">
        <w:fldChar w:fldCharType="separate"/>
      </w:r>
      <w:r w:rsidR="00335E79" w:rsidRPr="00DA539C">
        <w:t xml:space="preserve">Table </w:t>
      </w:r>
      <w:r w:rsidR="00335E79">
        <w:t>2</w:t>
      </w:r>
      <w:r w:rsidR="00335E79">
        <w:noBreakHyphen/>
        <w:t>24</w:t>
      </w:r>
      <w:r w:rsidR="004D38FA">
        <w:fldChar w:fldCharType="end"/>
      </w:r>
      <w:r w:rsidR="003E7111">
        <w:t>)</w:t>
      </w:r>
      <w:r w:rsidR="00C5119A">
        <w:t xml:space="preserve">. MCI = Methyl-chloro-isothiazolinone. </w:t>
      </w:r>
      <w:r w:rsidR="00913EB4">
        <w:t xml:space="preserve"> Initial source concentration is 1 (no units s</w:t>
      </w:r>
      <w:r w:rsidR="00E424BC">
        <w:t>p</w:t>
      </w:r>
      <w:r w:rsidR="00913EB4">
        <w:t>ecified).</w:t>
      </w:r>
      <w:r w:rsidR="008C2CAE">
        <w:t xml:space="preserve"> Numbers in italics assume absence of </w:t>
      </w:r>
      <w:r w:rsidR="003B5BB4">
        <w:t xml:space="preserve">chemical/biological </w:t>
      </w:r>
      <w:r w:rsidR="008C2CAE">
        <w:t>degradation.</w:t>
      </w:r>
      <w:bookmarkEnd w:id="649"/>
    </w:p>
    <w:tbl>
      <w:tblPr>
        <w:tblW w:w="8672" w:type="dxa"/>
        <w:tblInd w:w="-30" w:type="dxa"/>
        <w:tblLayout w:type="fixed"/>
        <w:tblLook w:val="0000" w:firstRow="0" w:lastRow="0" w:firstColumn="0" w:lastColumn="0" w:noHBand="0" w:noVBand="0"/>
      </w:tblPr>
      <w:tblGrid>
        <w:gridCol w:w="2152"/>
        <w:gridCol w:w="992"/>
        <w:gridCol w:w="1134"/>
        <w:gridCol w:w="1134"/>
        <w:gridCol w:w="992"/>
        <w:gridCol w:w="1418"/>
        <w:gridCol w:w="850"/>
      </w:tblGrid>
      <w:tr w:rsidR="00544703" w14:paraId="35513C49" w14:textId="77777777" w:rsidTr="00C63CA2">
        <w:trPr>
          <w:trHeight w:val="290"/>
        </w:trPr>
        <w:tc>
          <w:tcPr>
            <w:tcW w:w="2152" w:type="dxa"/>
            <w:tcBorders>
              <w:top w:val="single" w:sz="4" w:space="0" w:color="auto"/>
              <w:left w:val="single" w:sz="4" w:space="0" w:color="auto"/>
              <w:bottom w:val="nil"/>
              <w:right w:val="nil"/>
            </w:tcBorders>
          </w:tcPr>
          <w:p w14:paraId="5485DA18" w14:textId="77777777" w:rsidR="00544703" w:rsidRPr="002B3648" w:rsidRDefault="00544703" w:rsidP="005E0D04">
            <w:pPr>
              <w:autoSpaceDE w:val="0"/>
              <w:autoSpaceDN w:val="0"/>
              <w:adjustRightInd w:val="0"/>
              <w:spacing w:after="0"/>
              <w:jc w:val="right"/>
              <w:rPr>
                <w:rFonts w:ascii="Calibri" w:hAnsi="Calibri" w:cs="Calibri"/>
                <w:color w:val="000000"/>
                <w:sz w:val="18"/>
                <w:szCs w:val="18"/>
                <w:lang w:val="en-AU"/>
              </w:rPr>
            </w:pPr>
          </w:p>
        </w:tc>
        <w:tc>
          <w:tcPr>
            <w:tcW w:w="6520" w:type="dxa"/>
            <w:gridSpan w:val="6"/>
            <w:tcBorders>
              <w:top w:val="single" w:sz="4" w:space="0" w:color="auto"/>
              <w:left w:val="nil"/>
              <w:bottom w:val="nil"/>
              <w:right w:val="single" w:sz="4" w:space="0" w:color="auto"/>
            </w:tcBorders>
          </w:tcPr>
          <w:p w14:paraId="2E0C9F8A" w14:textId="758AA274" w:rsidR="00544703" w:rsidRPr="002B3648" w:rsidRDefault="00544703" w:rsidP="002B3648">
            <w:pPr>
              <w:autoSpaceDE w:val="0"/>
              <w:autoSpaceDN w:val="0"/>
              <w:adjustRightInd w:val="0"/>
              <w:spacing w:after="0"/>
              <w:jc w:val="center"/>
              <w:rPr>
                <w:rFonts w:ascii="Calibri" w:hAnsi="Calibri" w:cs="Calibri"/>
                <w:color w:val="000000"/>
                <w:sz w:val="18"/>
                <w:szCs w:val="18"/>
                <w:lang w:val="en-AU"/>
              </w:rPr>
            </w:pPr>
            <w:r w:rsidRPr="002B3648">
              <w:rPr>
                <w:rFonts w:ascii="Calibri" w:hAnsi="Calibri" w:cs="Calibri"/>
                <w:color w:val="000000"/>
                <w:sz w:val="18"/>
                <w:szCs w:val="18"/>
                <w:lang w:val="en-AU"/>
              </w:rPr>
              <w:t xml:space="preserve">Relative concentration </w:t>
            </w:r>
            <w:r w:rsidR="002B3648" w:rsidRPr="002B3648">
              <w:rPr>
                <w:rFonts w:ascii="Calibri" w:hAnsi="Calibri" w:cs="Calibri"/>
                <w:color w:val="000000"/>
                <w:sz w:val="18"/>
                <w:szCs w:val="18"/>
                <w:lang w:val="en-AU"/>
              </w:rPr>
              <w:t>(-)</w:t>
            </w:r>
            <w:r w:rsidR="002B3648">
              <w:rPr>
                <w:rFonts w:ascii="Calibri" w:hAnsi="Calibri" w:cs="Calibri"/>
                <w:color w:val="000000"/>
                <w:sz w:val="18"/>
                <w:szCs w:val="18"/>
                <w:lang w:val="en-AU"/>
              </w:rPr>
              <w:t xml:space="preserve"> </w:t>
            </w:r>
            <w:r w:rsidRPr="002B3648">
              <w:rPr>
                <w:rFonts w:ascii="Calibri" w:hAnsi="Calibri" w:cs="Calibri"/>
                <w:color w:val="000000"/>
                <w:sz w:val="18"/>
                <w:szCs w:val="18"/>
                <w:lang w:val="en-AU"/>
              </w:rPr>
              <w:t>at receptor: minimum travel time</w:t>
            </w:r>
          </w:p>
        </w:tc>
      </w:tr>
      <w:tr w:rsidR="00544703" w14:paraId="2C9FFFDD" w14:textId="77777777" w:rsidTr="00C63CA2">
        <w:trPr>
          <w:trHeight w:val="290"/>
        </w:trPr>
        <w:tc>
          <w:tcPr>
            <w:tcW w:w="2152" w:type="dxa"/>
            <w:tcBorders>
              <w:top w:val="nil"/>
              <w:left w:val="single" w:sz="4" w:space="0" w:color="auto"/>
              <w:bottom w:val="nil"/>
              <w:right w:val="nil"/>
            </w:tcBorders>
          </w:tcPr>
          <w:p w14:paraId="08829D7B" w14:textId="77777777" w:rsidR="00544703" w:rsidRPr="002B3648" w:rsidRDefault="00544703" w:rsidP="005E0D04">
            <w:pPr>
              <w:autoSpaceDE w:val="0"/>
              <w:autoSpaceDN w:val="0"/>
              <w:adjustRightInd w:val="0"/>
              <w:spacing w:after="0"/>
              <w:jc w:val="right"/>
              <w:rPr>
                <w:rFonts w:ascii="Calibri" w:hAnsi="Calibri" w:cs="Calibri"/>
                <w:color w:val="000000"/>
                <w:sz w:val="18"/>
                <w:szCs w:val="18"/>
                <w:lang w:val="en-AU"/>
              </w:rPr>
            </w:pPr>
          </w:p>
        </w:tc>
        <w:tc>
          <w:tcPr>
            <w:tcW w:w="2126" w:type="dxa"/>
            <w:gridSpan w:val="2"/>
            <w:tcBorders>
              <w:top w:val="nil"/>
              <w:left w:val="nil"/>
              <w:bottom w:val="nil"/>
              <w:right w:val="nil"/>
            </w:tcBorders>
            <w:shd w:val="solid" w:color="FFCC99" w:fill="auto"/>
          </w:tcPr>
          <w:p w14:paraId="15E02CD0" w14:textId="77777777" w:rsidR="00544703" w:rsidRPr="002B3648" w:rsidRDefault="00544703" w:rsidP="005E0D04">
            <w:pPr>
              <w:autoSpaceDE w:val="0"/>
              <w:autoSpaceDN w:val="0"/>
              <w:adjustRightInd w:val="0"/>
              <w:spacing w:after="0"/>
              <w:jc w:val="center"/>
              <w:rPr>
                <w:rFonts w:ascii="Calibri" w:hAnsi="Calibri" w:cs="Calibri"/>
                <w:color w:val="000000"/>
                <w:sz w:val="18"/>
                <w:szCs w:val="18"/>
                <w:lang w:val="en-AU"/>
              </w:rPr>
            </w:pPr>
            <w:r w:rsidRPr="002B3648">
              <w:rPr>
                <w:rFonts w:ascii="Calibri" w:hAnsi="Calibri" w:cs="Calibri"/>
                <w:color w:val="000000"/>
                <w:sz w:val="18"/>
                <w:szCs w:val="18"/>
                <w:lang w:val="en-AU"/>
              </w:rPr>
              <w:t>Anaerobic</w:t>
            </w:r>
          </w:p>
        </w:tc>
        <w:tc>
          <w:tcPr>
            <w:tcW w:w="2126" w:type="dxa"/>
            <w:gridSpan w:val="2"/>
            <w:tcBorders>
              <w:top w:val="nil"/>
              <w:left w:val="nil"/>
              <w:bottom w:val="nil"/>
              <w:right w:val="nil"/>
            </w:tcBorders>
            <w:shd w:val="solid" w:color="99CCFF" w:fill="auto"/>
          </w:tcPr>
          <w:p w14:paraId="5423D2B8" w14:textId="77777777" w:rsidR="00544703" w:rsidRPr="002B3648" w:rsidRDefault="00544703" w:rsidP="005E0D04">
            <w:pPr>
              <w:autoSpaceDE w:val="0"/>
              <w:autoSpaceDN w:val="0"/>
              <w:adjustRightInd w:val="0"/>
              <w:spacing w:after="0"/>
              <w:jc w:val="center"/>
              <w:rPr>
                <w:rFonts w:ascii="Calibri" w:hAnsi="Calibri" w:cs="Calibri"/>
                <w:color w:val="000000"/>
                <w:sz w:val="18"/>
                <w:szCs w:val="18"/>
                <w:lang w:val="en-AU"/>
              </w:rPr>
            </w:pPr>
            <w:r w:rsidRPr="002B3648">
              <w:rPr>
                <w:rFonts w:ascii="Calibri" w:hAnsi="Calibri" w:cs="Calibri"/>
                <w:color w:val="000000"/>
                <w:sz w:val="18"/>
                <w:szCs w:val="18"/>
                <w:lang w:val="en-AU"/>
              </w:rPr>
              <w:t>Aerobic</w:t>
            </w:r>
          </w:p>
        </w:tc>
        <w:tc>
          <w:tcPr>
            <w:tcW w:w="2268" w:type="dxa"/>
            <w:gridSpan w:val="2"/>
            <w:tcBorders>
              <w:top w:val="nil"/>
              <w:left w:val="nil"/>
              <w:bottom w:val="nil"/>
              <w:right w:val="single" w:sz="4" w:space="0" w:color="auto"/>
            </w:tcBorders>
            <w:shd w:val="solid" w:color="FFFFCC" w:fill="auto"/>
          </w:tcPr>
          <w:p w14:paraId="7D57CEA8" w14:textId="77777777" w:rsidR="00544703" w:rsidRPr="002B3648" w:rsidRDefault="00544703" w:rsidP="005E0D04">
            <w:pPr>
              <w:autoSpaceDE w:val="0"/>
              <w:autoSpaceDN w:val="0"/>
              <w:adjustRightInd w:val="0"/>
              <w:spacing w:after="0"/>
              <w:jc w:val="center"/>
              <w:rPr>
                <w:rFonts w:ascii="Calibri" w:hAnsi="Calibri" w:cs="Calibri"/>
                <w:color w:val="000000"/>
                <w:sz w:val="18"/>
                <w:szCs w:val="18"/>
                <w:lang w:val="en-AU"/>
              </w:rPr>
            </w:pPr>
            <w:r w:rsidRPr="002B3648">
              <w:rPr>
                <w:rFonts w:ascii="Calibri" w:hAnsi="Calibri" w:cs="Calibri"/>
                <w:color w:val="000000"/>
                <w:sz w:val="18"/>
                <w:szCs w:val="18"/>
                <w:lang w:val="en-AU"/>
              </w:rPr>
              <w:t>Hydrolysis</w:t>
            </w:r>
          </w:p>
        </w:tc>
      </w:tr>
      <w:tr w:rsidR="00544703" w14:paraId="2157ABF1" w14:textId="77777777" w:rsidTr="00C63CA2">
        <w:trPr>
          <w:trHeight w:val="290"/>
        </w:trPr>
        <w:tc>
          <w:tcPr>
            <w:tcW w:w="2152" w:type="dxa"/>
            <w:tcBorders>
              <w:top w:val="nil"/>
              <w:left w:val="single" w:sz="4" w:space="0" w:color="auto"/>
              <w:bottom w:val="single" w:sz="6" w:space="0" w:color="auto"/>
              <w:right w:val="nil"/>
            </w:tcBorders>
          </w:tcPr>
          <w:p w14:paraId="11278C71" w14:textId="77777777" w:rsidR="00544703" w:rsidRPr="002B3648" w:rsidRDefault="00544703" w:rsidP="005E0D04">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Chemical substance</w:t>
            </w:r>
          </w:p>
        </w:tc>
        <w:tc>
          <w:tcPr>
            <w:tcW w:w="992" w:type="dxa"/>
            <w:tcBorders>
              <w:top w:val="nil"/>
              <w:left w:val="nil"/>
              <w:bottom w:val="single" w:sz="6" w:space="0" w:color="auto"/>
              <w:right w:val="nil"/>
            </w:tcBorders>
            <w:shd w:val="solid" w:color="FFCC99" w:fill="auto"/>
          </w:tcPr>
          <w:p w14:paraId="354385A5" w14:textId="13DDCFB7" w:rsidR="00544703" w:rsidRPr="002B3648" w:rsidRDefault="002B3648" w:rsidP="005E0D04">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544703" w:rsidRPr="002B3648">
              <w:rPr>
                <w:rFonts w:ascii="Calibri" w:hAnsi="Calibri" w:cs="Calibri"/>
                <w:color w:val="000000"/>
                <w:sz w:val="18"/>
                <w:szCs w:val="18"/>
                <w:lang w:val="en-AU"/>
              </w:rPr>
              <w:t>in</w:t>
            </w:r>
          </w:p>
        </w:tc>
        <w:tc>
          <w:tcPr>
            <w:tcW w:w="1134" w:type="dxa"/>
            <w:tcBorders>
              <w:top w:val="nil"/>
              <w:left w:val="nil"/>
              <w:bottom w:val="single" w:sz="6" w:space="0" w:color="auto"/>
              <w:right w:val="nil"/>
            </w:tcBorders>
            <w:shd w:val="solid" w:color="FFCC99" w:fill="auto"/>
          </w:tcPr>
          <w:p w14:paraId="7A6AE66D" w14:textId="3B72DA7E" w:rsidR="00544703" w:rsidRPr="002B3648" w:rsidRDefault="002B3648" w:rsidP="005E0D04">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544703" w:rsidRPr="002B3648">
              <w:rPr>
                <w:rFonts w:ascii="Calibri" w:hAnsi="Calibri" w:cs="Calibri"/>
                <w:color w:val="000000"/>
                <w:sz w:val="18"/>
                <w:szCs w:val="18"/>
                <w:lang w:val="en-AU"/>
              </w:rPr>
              <w:t>ax</w:t>
            </w:r>
          </w:p>
        </w:tc>
        <w:tc>
          <w:tcPr>
            <w:tcW w:w="1134" w:type="dxa"/>
            <w:tcBorders>
              <w:top w:val="nil"/>
              <w:left w:val="nil"/>
              <w:bottom w:val="single" w:sz="6" w:space="0" w:color="auto"/>
              <w:right w:val="nil"/>
            </w:tcBorders>
            <w:shd w:val="solid" w:color="99CCFF" w:fill="auto"/>
          </w:tcPr>
          <w:p w14:paraId="7216DB7B" w14:textId="48F9D84D" w:rsidR="00544703" w:rsidRPr="002B3648" w:rsidRDefault="002B3648" w:rsidP="005E0D04">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544703" w:rsidRPr="002B3648">
              <w:rPr>
                <w:rFonts w:ascii="Calibri" w:hAnsi="Calibri" w:cs="Calibri"/>
                <w:color w:val="000000"/>
                <w:sz w:val="18"/>
                <w:szCs w:val="18"/>
                <w:lang w:val="en-AU"/>
              </w:rPr>
              <w:t>in</w:t>
            </w:r>
          </w:p>
        </w:tc>
        <w:tc>
          <w:tcPr>
            <w:tcW w:w="992" w:type="dxa"/>
            <w:tcBorders>
              <w:top w:val="nil"/>
              <w:left w:val="nil"/>
              <w:bottom w:val="single" w:sz="6" w:space="0" w:color="auto"/>
              <w:right w:val="nil"/>
            </w:tcBorders>
            <w:shd w:val="solid" w:color="99CCFF" w:fill="auto"/>
          </w:tcPr>
          <w:p w14:paraId="71EEEF7F" w14:textId="7D0B8D52" w:rsidR="00544703" w:rsidRPr="002B3648" w:rsidRDefault="002B3648" w:rsidP="005E0D04">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544703" w:rsidRPr="002B3648">
              <w:rPr>
                <w:rFonts w:ascii="Calibri" w:hAnsi="Calibri" w:cs="Calibri"/>
                <w:color w:val="000000"/>
                <w:sz w:val="18"/>
                <w:szCs w:val="18"/>
                <w:lang w:val="en-AU"/>
              </w:rPr>
              <w:t>ax</w:t>
            </w:r>
          </w:p>
        </w:tc>
        <w:tc>
          <w:tcPr>
            <w:tcW w:w="1418" w:type="dxa"/>
            <w:tcBorders>
              <w:top w:val="nil"/>
              <w:left w:val="nil"/>
              <w:bottom w:val="single" w:sz="6" w:space="0" w:color="auto"/>
              <w:right w:val="nil"/>
            </w:tcBorders>
            <w:shd w:val="solid" w:color="FFFFCC" w:fill="auto"/>
          </w:tcPr>
          <w:p w14:paraId="7666D80A" w14:textId="1E31E720" w:rsidR="00544703" w:rsidRPr="002B3648" w:rsidRDefault="002B3648" w:rsidP="005E0D04">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544703" w:rsidRPr="002B3648">
              <w:rPr>
                <w:rFonts w:ascii="Calibri" w:hAnsi="Calibri" w:cs="Calibri"/>
                <w:color w:val="000000"/>
                <w:sz w:val="18"/>
                <w:szCs w:val="18"/>
                <w:lang w:val="en-AU"/>
              </w:rPr>
              <w:t>in</w:t>
            </w:r>
          </w:p>
        </w:tc>
        <w:tc>
          <w:tcPr>
            <w:tcW w:w="850" w:type="dxa"/>
            <w:tcBorders>
              <w:top w:val="nil"/>
              <w:left w:val="nil"/>
              <w:bottom w:val="single" w:sz="6" w:space="0" w:color="auto"/>
              <w:right w:val="single" w:sz="4" w:space="0" w:color="auto"/>
            </w:tcBorders>
            <w:shd w:val="solid" w:color="FFFFCC" w:fill="auto"/>
          </w:tcPr>
          <w:p w14:paraId="627AF00A" w14:textId="72FBAB34" w:rsidR="00544703" w:rsidRPr="002B3648" w:rsidRDefault="002B3648" w:rsidP="005E0D04">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544703" w:rsidRPr="002B3648">
              <w:rPr>
                <w:rFonts w:ascii="Calibri" w:hAnsi="Calibri" w:cs="Calibri"/>
                <w:color w:val="000000"/>
                <w:sz w:val="18"/>
                <w:szCs w:val="18"/>
                <w:lang w:val="en-AU"/>
              </w:rPr>
              <w:t>ax</w:t>
            </w:r>
          </w:p>
        </w:tc>
      </w:tr>
      <w:tr w:rsidR="00544703" w14:paraId="7B143C85" w14:textId="77777777" w:rsidTr="00C63CA2">
        <w:trPr>
          <w:trHeight w:val="290"/>
        </w:trPr>
        <w:tc>
          <w:tcPr>
            <w:tcW w:w="2152" w:type="dxa"/>
            <w:tcBorders>
              <w:top w:val="nil"/>
              <w:left w:val="single" w:sz="4" w:space="0" w:color="auto"/>
              <w:bottom w:val="nil"/>
              <w:right w:val="nil"/>
            </w:tcBorders>
          </w:tcPr>
          <w:p w14:paraId="3B6BFD24" w14:textId="77777777" w:rsidR="00544703" w:rsidRPr="002B3648" w:rsidRDefault="00544703" w:rsidP="005E0D04">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2-methylphenol</w:t>
            </w:r>
          </w:p>
        </w:tc>
        <w:tc>
          <w:tcPr>
            <w:tcW w:w="992" w:type="dxa"/>
            <w:tcBorders>
              <w:top w:val="nil"/>
              <w:left w:val="nil"/>
              <w:bottom w:val="nil"/>
              <w:right w:val="nil"/>
            </w:tcBorders>
            <w:shd w:val="solid" w:color="FFCC99" w:fill="auto"/>
          </w:tcPr>
          <w:p w14:paraId="38DB1795"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134" w:type="dxa"/>
            <w:tcBorders>
              <w:top w:val="nil"/>
              <w:left w:val="nil"/>
              <w:bottom w:val="nil"/>
              <w:right w:val="nil"/>
            </w:tcBorders>
            <w:shd w:val="solid" w:color="FFCC99" w:fill="auto"/>
          </w:tcPr>
          <w:p w14:paraId="4824903C" w14:textId="60F801AA"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0.16</w:t>
            </w:r>
          </w:p>
        </w:tc>
        <w:tc>
          <w:tcPr>
            <w:tcW w:w="1134" w:type="dxa"/>
            <w:tcBorders>
              <w:top w:val="nil"/>
              <w:left w:val="nil"/>
              <w:bottom w:val="nil"/>
              <w:right w:val="nil"/>
            </w:tcBorders>
            <w:shd w:val="solid" w:color="99CCFF" w:fill="auto"/>
          </w:tcPr>
          <w:p w14:paraId="3DBE3739"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45594EFD"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418" w:type="dxa"/>
            <w:tcBorders>
              <w:top w:val="nil"/>
              <w:left w:val="nil"/>
              <w:bottom w:val="nil"/>
              <w:right w:val="nil"/>
            </w:tcBorders>
            <w:shd w:val="solid" w:color="FFFFCC" w:fill="auto"/>
          </w:tcPr>
          <w:p w14:paraId="0E380C1E"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850" w:type="dxa"/>
            <w:tcBorders>
              <w:top w:val="nil"/>
              <w:left w:val="nil"/>
              <w:bottom w:val="nil"/>
              <w:right w:val="single" w:sz="4" w:space="0" w:color="auto"/>
            </w:tcBorders>
            <w:shd w:val="solid" w:color="FFFFCC" w:fill="auto"/>
          </w:tcPr>
          <w:p w14:paraId="173583F6"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r>
      <w:tr w:rsidR="00544703" w14:paraId="52305036" w14:textId="77777777" w:rsidTr="00C63CA2">
        <w:trPr>
          <w:trHeight w:val="290"/>
        </w:trPr>
        <w:tc>
          <w:tcPr>
            <w:tcW w:w="2152" w:type="dxa"/>
            <w:tcBorders>
              <w:top w:val="nil"/>
              <w:left w:val="single" w:sz="4" w:space="0" w:color="auto"/>
              <w:bottom w:val="nil"/>
              <w:right w:val="nil"/>
            </w:tcBorders>
          </w:tcPr>
          <w:p w14:paraId="5262B772" w14:textId="77777777" w:rsidR="00544703" w:rsidRPr="002B3648" w:rsidRDefault="00544703" w:rsidP="005E0D04">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Naphthalene</w:t>
            </w:r>
          </w:p>
        </w:tc>
        <w:tc>
          <w:tcPr>
            <w:tcW w:w="992" w:type="dxa"/>
            <w:tcBorders>
              <w:top w:val="nil"/>
              <w:left w:val="nil"/>
              <w:bottom w:val="nil"/>
              <w:right w:val="nil"/>
            </w:tcBorders>
            <w:shd w:val="solid" w:color="FFCC99" w:fill="auto"/>
          </w:tcPr>
          <w:p w14:paraId="30247771" w14:textId="4A6985CF"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3.3E-12</w:t>
            </w:r>
          </w:p>
        </w:tc>
        <w:tc>
          <w:tcPr>
            <w:tcW w:w="1134" w:type="dxa"/>
            <w:tcBorders>
              <w:top w:val="nil"/>
              <w:left w:val="nil"/>
              <w:bottom w:val="nil"/>
              <w:right w:val="nil"/>
            </w:tcBorders>
            <w:shd w:val="solid" w:color="FFCC99" w:fill="auto"/>
          </w:tcPr>
          <w:p w14:paraId="0206FA87" w14:textId="414BD55F" w:rsidR="00544703" w:rsidRPr="002B3648" w:rsidRDefault="00544703" w:rsidP="00035EB0">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1</w:t>
            </w:r>
          </w:p>
        </w:tc>
        <w:tc>
          <w:tcPr>
            <w:tcW w:w="1134" w:type="dxa"/>
            <w:tcBorders>
              <w:top w:val="nil"/>
              <w:left w:val="nil"/>
              <w:bottom w:val="nil"/>
              <w:right w:val="nil"/>
            </w:tcBorders>
            <w:shd w:val="solid" w:color="99CCFF" w:fill="auto"/>
          </w:tcPr>
          <w:p w14:paraId="60C5C3AA"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1DF03A90" w14:textId="484B4391"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3.0E-13</w:t>
            </w:r>
          </w:p>
        </w:tc>
        <w:tc>
          <w:tcPr>
            <w:tcW w:w="1418" w:type="dxa"/>
            <w:tcBorders>
              <w:top w:val="nil"/>
              <w:left w:val="nil"/>
              <w:bottom w:val="nil"/>
              <w:right w:val="nil"/>
            </w:tcBorders>
            <w:shd w:val="solid" w:color="FFFFCC" w:fill="auto"/>
          </w:tcPr>
          <w:p w14:paraId="24035CB6"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850" w:type="dxa"/>
            <w:tcBorders>
              <w:top w:val="nil"/>
              <w:left w:val="nil"/>
              <w:bottom w:val="nil"/>
              <w:right w:val="single" w:sz="4" w:space="0" w:color="auto"/>
            </w:tcBorders>
            <w:shd w:val="solid" w:color="FFFFCC" w:fill="auto"/>
          </w:tcPr>
          <w:p w14:paraId="30088703"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r>
      <w:tr w:rsidR="00544703" w14:paraId="44123FBB" w14:textId="77777777" w:rsidTr="00C63CA2">
        <w:trPr>
          <w:trHeight w:val="290"/>
        </w:trPr>
        <w:tc>
          <w:tcPr>
            <w:tcW w:w="2152" w:type="dxa"/>
            <w:tcBorders>
              <w:top w:val="nil"/>
              <w:left w:val="single" w:sz="4" w:space="0" w:color="auto"/>
              <w:bottom w:val="nil"/>
              <w:right w:val="nil"/>
            </w:tcBorders>
          </w:tcPr>
          <w:p w14:paraId="22820475" w14:textId="77777777" w:rsidR="00544703" w:rsidRPr="002B3648" w:rsidRDefault="00544703" w:rsidP="005E0D04">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Limonene</w:t>
            </w:r>
          </w:p>
        </w:tc>
        <w:tc>
          <w:tcPr>
            <w:tcW w:w="992" w:type="dxa"/>
            <w:tcBorders>
              <w:top w:val="nil"/>
              <w:left w:val="nil"/>
              <w:bottom w:val="nil"/>
              <w:right w:val="nil"/>
            </w:tcBorders>
            <w:shd w:val="solid" w:color="FFCC99" w:fill="auto"/>
          </w:tcPr>
          <w:p w14:paraId="70F1B200"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c>
          <w:tcPr>
            <w:tcW w:w="1134" w:type="dxa"/>
            <w:tcBorders>
              <w:top w:val="nil"/>
              <w:left w:val="nil"/>
              <w:bottom w:val="nil"/>
              <w:right w:val="nil"/>
            </w:tcBorders>
            <w:shd w:val="solid" w:color="FFCC99" w:fill="auto"/>
          </w:tcPr>
          <w:p w14:paraId="03469E5E"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c>
          <w:tcPr>
            <w:tcW w:w="1134" w:type="dxa"/>
            <w:tcBorders>
              <w:top w:val="nil"/>
              <w:left w:val="nil"/>
              <w:bottom w:val="nil"/>
              <w:right w:val="nil"/>
            </w:tcBorders>
            <w:shd w:val="solid" w:color="99CCFF" w:fill="auto"/>
          </w:tcPr>
          <w:p w14:paraId="47363312"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055218DB"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418" w:type="dxa"/>
            <w:tcBorders>
              <w:top w:val="nil"/>
              <w:left w:val="nil"/>
              <w:bottom w:val="nil"/>
              <w:right w:val="nil"/>
            </w:tcBorders>
            <w:shd w:val="solid" w:color="FFFFCC" w:fill="auto"/>
          </w:tcPr>
          <w:p w14:paraId="39902F79"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c>
          <w:tcPr>
            <w:tcW w:w="850" w:type="dxa"/>
            <w:tcBorders>
              <w:top w:val="nil"/>
              <w:left w:val="nil"/>
              <w:bottom w:val="nil"/>
              <w:right w:val="single" w:sz="4" w:space="0" w:color="auto"/>
            </w:tcBorders>
            <w:shd w:val="solid" w:color="FFFFCC" w:fill="auto"/>
          </w:tcPr>
          <w:p w14:paraId="6B7A0B59"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r>
      <w:tr w:rsidR="00544703" w14:paraId="5E69A7A8" w14:textId="77777777" w:rsidTr="00C63CA2">
        <w:trPr>
          <w:trHeight w:val="290"/>
        </w:trPr>
        <w:tc>
          <w:tcPr>
            <w:tcW w:w="2152" w:type="dxa"/>
            <w:tcBorders>
              <w:top w:val="nil"/>
              <w:left w:val="single" w:sz="4" w:space="0" w:color="auto"/>
              <w:bottom w:val="nil"/>
              <w:right w:val="nil"/>
            </w:tcBorders>
          </w:tcPr>
          <w:p w14:paraId="0B23C014" w14:textId="77777777" w:rsidR="00544703" w:rsidRPr="002B3648" w:rsidRDefault="00544703" w:rsidP="005E0D04">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HMX</w:t>
            </w:r>
          </w:p>
        </w:tc>
        <w:tc>
          <w:tcPr>
            <w:tcW w:w="992" w:type="dxa"/>
            <w:tcBorders>
              <w:top w:val="nil"/>
              <w:left w:val="nil"/>
              <w:bottom w:val="nil"/>
              <w:right w:val="nil"/>
            </w:tcBorders>
            <w:shd w:val="solid" w:color="FFCC99" w:fill="auto"/>
          </w:tcPr>
          <w:p w14:paraId="758C7C41"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1134" w:type="dxa"/>
            <w:tcBorders>
              <w:top w:val="nil"/>
              <w:left w:val="nil"/>
              <w:bottom w:val="nil"/>
              <w:right w:val="nil"/>
            </w:tcBorders>
            <w:shd w:val="solid" w:color="FFCC99" w:fill="auto"/>
          </w:tcPr>
          <w:p w14:paraId="2987C446"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1134" w:type="dxa"/>
            <w:tcBorders>
              <w:top w:val="nil"/>
              <w:left w:val="nil"/>
              <w:bottom w:val="nil"/>
              <w:right w:val="nil"/>
            </w:tcBorders>
            <w:shd w:val="solid" w:color="99CCFF" w:fill="auto"/>
          </w:tcPr>
          <w:p w14:paraId="5881723E"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790892EE"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418" w:type="dxa"/>
            <w:tcBorders>
              <w:top w:val="nil"/>
              <w:left w:val="nil"/>
              <w:bottom w:val="nil"/>
              <w:right w:val="nil"/>
            </w:tcBorders>
            <w:shd w:val="solid" w:color="FFFFCC" w:fill="auto"/>
          </w:tcPr>
          <w:p w14:paraId="58F9AF91"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850" w:type="dxa"/>
            <w:tcBorders>
              <w:top w:val="nil"/>
              <w:left w:val="nil"/>
              <w:bottom w:val="nil"/>
              <w:right w:val="single" w:sz="4" w:space="0" w:color="auto"/>
            </w:tcBorders>
            <w:shd w:val="solid" w:color="FFFFCC" w:fill="auto"/>
          </w:tcPr>
          <w:p w14:paraId="7DD1384C"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r>
      <w:tr w:rsidR="00544703" w14:paraId="7CD34477" w14:textId="77777777" w:rsidTr="00C63CA2">
        <w:trPr>
          <w:trHeight w:val="290"/>
        </w:trPr>
        <w:tc>
          <w:tcPr>
            <w:tcW w:w="2152" w:type="dxa"/>
            <w:tcBorders>
              <w:top w:val="nil"/>
              <w:left w:val="single" w:sz="4" w:space="0" w:color="auto"/>
              <w:bottom w:val="nil"/>
              <w:right w:val="nil"/>
            </w:tcBorders>
          </w:tcPr>
          <w:p w14:paraId="1651AF2D" w14:textId="77777777" w:rsidR="00544703" w:rsidRPr="002B3648" w:rsidRDefault="00544703" w:rsidP="005E0D04">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2-butoxyethanol</w:t>
            </w:r>
          </w:p>
        </w:tc>
        <w:tc>
          <w:tcPr>
            <w:tcW w:w="992" w:type="dxa"/>
            <w:tcBorders>
              <w:top w:val="nil"/>
              <w:left w:val="nil"/>
              <w:right w:val="nil"/>
            </w:tcBorders>
            <w:shd w:val="solid" w:color="FFCC99" w:fill="auto"/>
          </w:tcPr>
          <w:p w14:paraId="56BA0E57"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1134" w:type="dxa"/>
            <w:tcBorders>
              <w:top w:val="nil"/>
              <w:left w:val="nil"/>
              <w:bottom w:val="nil"/>
              <w:right w:val="nil"/>
            </w:tcBorders>
            <w:shd w:val="solid" w:color="FFCC99" w:fill="auto"/>
          </w:tcPr>
          <w:p w14:paraId="3AC4F3E7"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1134" w:type="dxa"/>
            <w:tcBorders>
              <w:top w:val="nil"/>
              <w:left w:val="nil"/>
              <w:bottom w:val="nil"/>
              <w:right w:val="nil"/>
            </w:tcBorders>
            <w:shd w:val="solid" w:color="99CCFF" w:fill="auto"/>
          </w:tcPr>
          <w:p w14:paraId="30CDA5A8"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5C58F579" w14:textId="67D288A9"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2E-20</w:t>
            </w:r>
          </w:p>
        </w:tc>
        <w:tc>
          <w:tcPr>
            <w:tcW w:w="1418" w:type="dxa"/>
            <w:tcBorders>
              <w:top w:val="nil"/>
              <w:left w:val="nil"/>
              <w:bottom w:val="nil"/>
              <w:right w:val="nil"/>
            </w:tcBorders>
            <w:shd w:val="solid" w:color="FFFFCC" w:fill="auto"/>
          </w:tcPr>
          <w:p w14:paraId="5BCDFBD2"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c>
          <w:tcPr>
            <w:tcW w:w="850" w:type="dxa"/>
            <w:tcBorders>
              <w:top w:val="nil"/>
              <w:left w:val="nil"/>
              <w:bottom w:val="nil"/>
              <w:right w:val="single" w:sz="4" w:space="0" w:color="auto"/>
            </w:tcBorders>
            <w:shd w:val="solid" w:color="FFFFCC" w:fill="auto"/>
          </w:tcPr>
          <w:p w14:paraId="08429177"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r>
      <w:tr w:rsidR="00544703" w14:paraId="75AED994" w14:textId="77777777" w:rsidTr="00C63CA2">
        <w:trPr>
          <w:trHeight w:val="290"/>
        </w:trPr>
        <w:tc>
          <w:tcPr>
            <w:tcW w:w="2152" w:type="dxa"/>
            <w:tcBorders>
              <w:top w:val="nil"/>
              <w:left w:val="single" w:sz="4" w:space="0" w:color="auto"/>
              <w:right w:val="nil"/>
            </w:tcBorders>
          </w:tcPr>
          <w:p w14:paraId="4FF678F3" w14:textId="77777777" w:rsidR="00544703" w:rsidRPr="002B3648" w:rsidRDefault="00544703" w:rsidP="005E0D04">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Bronopol</w:t>
            </w:r>
          </w:p>
        </w:tc>
        <w:tc>
          <w:tcPr>
            <w:tcW w:w="992" w:type="dxa"/>
            <w:tcBorders>
              <w:top w:val="nil"/>
              <w:left w:val="nil"/>
              <w:bottom w:val="nil"/>
              <w:right w:val="nil"/>
            </w:tcBorders>
            <w:shd w:val="solid" w:color="FFCC99" w:fill="auto"/>
          </w:tcPr>
          <w:p w14:paraId="3D8AD586"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1134" w:type="dxa"/>
            <w:tcBorders>
              <w:top w:val="nil"/>
              <w:left w:val="nil"/>
              <w:bottom w:val="nil"/>
              <w:right w:val="nil"/>
            </w:tcBorders>
            <w:shd w:val="solid" w:color="FFCC99" w:fill="auto"/>
          </w:tcPr>
          <w:p w14:paraId="122E47F4"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1134" w:type="dxa"/>
            <w:tcBorders>
              <w:top w:val="nil"/>
              <w:left w:val="nil"/>
              <w:bottom w:val="nil"/>
              <w:right w:val="nil"/>
            </w:tcBorders>
            <w:shd w:val="solid" w:color="99CCFF" w:fill="auto"/>
          </w:tcPr>
          <w:p w14:paraId="148B200E"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992" w:type="dxa"/>
            <w:tcBorders>
              <w:top w:val="nil"/>
              <w:left w:val="nil"/>
              <w:bottom w:val="nil"/>
              <w:right w:val="nil"/>
            </w:tcBorders>
            <w:shd w:val="solid" w:color="99CCFF" w:fill="auto"/>
          </w:tcPr>
          <w:p w14:paraId="38596658"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1418" w:type="dxa"/>
            <w:tcBorders>
              <w:top w:val="nil"/>
              <w:left w:val="nil"/>
              <w:bottom w:val="nil"/>
              <w:right w:val="nil"/>
            </w:tcBorders>
            <w:shd w:val="solid" w:color="FFFFCC" w:fill="auto"/>
          </w:tcPr>
          <w:p w14:paraId="58B80CB8"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850" w:type="dxa"/>
            <w:tcBorders>
              <w:top w:val="nil"/>
              <w:left w:val="nil"/>
              <w:bottom w:val="nil"/>
              <w:right w:val="single" w:sz="4" w:space="0" w:color="auto"/>
            </w:tcBorders>
            <w:shd w:val="solid" w:color="FFFFCC" w:fill="auto"/>
          </w:tcPr>
          <w:p w14:paraId="27CCC503" w14:textId="0F1D1C0A"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4.3E-19</w:t>
            </w:r>
          </w:p>
        </w:tc>
      </w:tr>
      <w:tr w:rsidR="00544703" w14:paraId="70F716D4" w14:textId="77777777" w:rsidTr="00C63CA2">
        <w:trPr>
          <w:trHeight w:val="290"/>
        </w:trPr>
        <w:tc>
          <w:tcPr>
            <w:tcW w:w="2152" w:type="dxa"/>
            <w:tcBorders>
              <w:top w:val="nil"/>
              <w:left w:val="single" w:sz="4" w:space="0" w:color="auto"/>
              <w:bottom w:val="nil"/>
            </w:tcBorders>
          </w:tcPr>
          <w:p w14:paraId="4FDE0CA2" w14:textId="77777777" w:rsidR="00544703" w:rsidRPr="002B3648" w:rsidRDefault="00544703" w:rsidP="005E0D04">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MCI</w:t>
            </w:r>
          </w:p>
        </w:tc>
        <w:tc>
          <w:tcPr>
            <w:tcW w:w="992" w:type="dxa"/>
            <w:tcBorders>
              <w:top w:val="nil"/>
              <w:left w:val="nil"/>
              <w:bottom w:val="nil"/>
              <w:right w:val="nil"/>
            </w:tcBorders>
            <w:shd w:val="clear" w:color="auto" w:fill="FFCC99"/>
          </w:tcPr>
          <w:p w14:paraId="14978516" w14:textId="77777777" w:rsidR="00544703" w:rsidRPr="002B3648" w:rsidRDefault="00544703" w:rsidP="005E0D04">
            <w:pPr>
              <w:autoSpaceDE w:val="0"/>
              <w:autoSpaceDN w:val="0"/>
              <w:adjustRightInd w:val="0"/>
              <w:spacing w:after="0"/>
              <w:jc w:val="center"/>
              <w:rPr>
                <w:rFonts w:ascii="Calibri" w:hAnsi="Calibri" w:cs="Calibri"/>
                <w:b/>
                <w:color w:val="000000"/>
                <w:sz w:val="18"/>
                <w:szCs w:val="18"/>
                <w:lang w:val="en-AU"/>
              </w:rPr>
            </w:pPr>
            <w:r w:rsidRPr="002B3648">
              <w:rPr>
                <w:rFonts w:ascii="Calibri" w:hAnsi="Calibri" w:cs="Calibri"/>
                <w:b/>
                <w:color w:val="000000"/>
                <w:sz w:val="18"/>
                <w:szCs w:val="18"/>
                <w:lang w:val="en-AU"/>
              </w:rPr>
              <w:t>0</w:t>
            </w:r>
          </w:p>
        </w:tc>
        <w:tc>
          <w:tcPr>
            <w:tcW w:w="1134" w:type="dxa"/>
            <w:tcBorders>
              <w:top w:val="nil"/>
              <w:left w:val="nil"/>
              <w:bottom w:val="nil"/>
              <w:right w:val="nil"/>
            </w:tcBorders>
            <w:shd w:val="solid" w:color="FFCC99" w:fill="auto"/>
          </w:tcPr>
          <w:p w14:paraId="13D9557E"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134" w:type="dxa"/>
            <w:tcBorders>
              <w:top w:val="nil"/>
              <w:left w:val="nil"/>
              <w:bottom w:val="nil"/>
              <w:right w:val="nil"/>
            </w:tcBorders>
            <w:shd w:val="solid" w:color="99CCFF" w:fill="auto"/>
          </w:tcPr>
          <w:p w14:paraId="13B1749B"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992" w:type="dxa"/>
            <w:tcBorders>
              <w:top w:val="nil"/>
              <w:left w:val="nil"/>
              <w:bottom w:val="nil"/>
              <w:right w:val="nil"/>
            </w:tcBorders>
            <w:shd w:val="solid" w:color="99CCFF" w:fill="auto"/>
          </w:tcPr>
          <w:p w14:paraId="19D309C5"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1418" w:type="dxa"/>
            <w:tcBorders>
              <w:top w:val="nil"/>
              <w:left w:val="nil"/>
              <w:bottom w:val="nil"/>
              <w:right w:val="nil"/>
            </w:tcBorders>
            <w:shd w:val="solid" w:color="FFFFCC" w:fill="auto"/>
          </w:tcPr>
          <w:p w14:paraId="502A8B87"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850" w:type="dxa"/>
            <w:tcBorders>
              <w:top w:val="nil"/>
              <w:left w:val="nil"/>
              <w:bottom w:val="nil"/>
              <w:right w:val="single" w:sz="4" w:space="0" w:color="auto"/>
            </w:tcBorders>
            <w:shd w:val="solid" w:color="FFFFCC" w:fill="auto"/>
          </w:tcPr>
          <w:p w14:paraId="0B37A665" w14:textId="77777777" w:rsidR="00544703" w:rsidRPr="002B3648" w:rsidRDefault="00544703" w:rsidP="005E0D04">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r>
      <w:tr w:rsidR="00544703" w14:paraId="5758039A" w14:textId="77777777" w:rsidTr="00C63CA2">
        <w:trPr>
          <w:trHeight w:val="290"/>
        </w:trPr>
        <w:tc>
          <w:tcPr>
            <w:tcW w:w="2152" w:type="dxa"/>
            <w:tcBorders>
              <w:top w:val="nil"/>
              <w:left w:val="single" w:sz="4" w:space="0" w:color="auto"/>
              <w:bottom w:val="single" w:sz="4" w:space="0" w:color="auto"/>
              <w:right w:val="nil"/>
            </w:tcBorders>
          </w:tcPr>
          <w:p w14:paraId="5233AE50" w14:textId="77777777" w:rsidR="00544703" w:rsidRPr="002B3648" w:rsidRDefault="00544703" w:rsidP="005E0D04">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Acrylamide polymer</w:t>
            </w:r>
          </w:p>
        </w:tc>
        <w:tc>
          <w:tcPr>
            <w:tcW w:w="992" w:type="dxa"/>
            <w:tcBorders>
              <w:top w:val="nil"/>
              <w:left w:val="nil"/>
              <w:bottom w:val="single" w:sz="4" w:space="0" w:color="auto"/>
              <w:right w:val="nil"/>
            </w:tcBorders>
            <w:shd w:val="solid" w:color="FFCC99" w:fill="auto"/>
          </w:tcPr>
          <w:p w14:paraId="23B31119"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c>
          <w:tcPr>
            <w:tcW w:w="1134" w:type="dxa"/>
            <w:tcBorders>
              <w:top w:val="nil"/>
              <w:left w:val="nil"/>
              <w:bottom w:val="single" w:sz="4" w:space="0" w:color="auto"/>
              <w:right w:val="nil"/>
            </w:tcBorders>
            <w:shd w:val="solid" w:color="FFCC99" w:fill="auto"/>
          </w:tcPr>
          <w:p w14:paraId="27A3C459" w14:textId="7E3BC869"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1134" w:type="dxa"/>
            <w:tcBorders>
              <w:top w:val="nil"/>
              <w:left w:val="nil"/>
              <w:bottom w:val="single" w:sz="4" w:space="0" w:color="auto"/>
              <w:right w:val="nil"/>
            </w:tcBorders>
            <w:shd w:val="solid" w:color="99CCFF" w:fill="auto"/>
          </w:tcPr>
          <w:p w14:paraId="50B0631F"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c>
          <w:tcPr>
            <w:tcW w:w="992" w:type="dxa"/>
            <w:tcBorders>
              <w:top w:val="nil"/>
              <w:left w:val="nil"/>
              <w:bottom w:val="single" w:sz="4" w:space="0" w:color="auto"/>
              <w:right w:val="nil"/>
            </w:tcBorders>
            <w:shd w:val="solid" w:color="99CCFF" w:fill="auto"/>
          </w:tcPr>
          <w:p w14:paraId="19D77F78"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c>
          <w:tcPr>
            <w:tcW w:w="1418" w:type="dxa"/>
            <w:tcBorders>
              <w:top w:val="nil"/>
              <w:left w:val="nil"/>
              <w:bottom w:val="single" w:sz="4" w:space="0" w:color="auto"/>
              <w:right w:val="nil"/>
            </w:tcBorders>
            <w:shd w:val="solid" w:color="FFFFCC" w:fill="auto"/>
          </w:tcPr>
          <w:p w14:paraId="7B41E4F3"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c>
          <w:tcPr>
            <w:tcW w:w="850" w:type="dxa"/>
            <w:tcBorders>
              <w:top w:val="nil"/>
              <w:left w:val="nil"/>
              <w:bottom w:val="single" w:sz="4" w:space="0" w:color="auto"/>
              <w:right w:val="single" w:sz="4" w:space="0" w:color="auto"/>
            </w:tcBorders>
            <w:shd w:val="solid" w:color="FFFFCC" w:fill="auto"/>
          </w:tcPr>
          <w:p w14:paraId="29F92D9F" w14:textId="77777777" w:rsidR="00544703" w:rsidRPr="002B3648" w:rsidRDefault="00544703" w:rsidP="005E0D04">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1</w:t>
            </w:r>
          </w:p>
        </w:tc>
      </w:tr>
    </w:tbl>
    <w:p w14:paraId="2AABE54C" w14:textId="77777777" w:rsidR="007D4545" w:rsidRDefault="007D4545" w:rsidP="0028402E">
      <w:pPr>
        <w:pStyle w:val="Body"/>
      </w:pPr>
    </w:p>
    <w:p w14:paraId="59698FF3" w14:textId="77777777" w:rsidR="004032C3" w:rsidRDefault="004032C3" w:rsidP="004032C3">
      <w:pPr>
        <w:pStyle w:val="Body"/>
      </w:pPr>
      <w:r>
        <w:t>Dilution attenuation factors (DAF) are calculated on the basis of the remaining concentration at the receptor, i.e. DAF = 1/C</w:t>
      </w:r>
      <w:r w:rsidRPr="007D4545">
        <w:rPr>
          <w:vertAlign w:val="subscript"/>
        </w:rPr>
        <w:t>F</w:t>
      </w:r>
      <w:r>
        <w:t>. DAF values are generally very large for chemicals that have at least one mode of degradation. Note that DAF values &gt; 1E+10 were cut off at 1E+10. In other words, most dilution factors are practically infinite but for reasons of presentation have been put at 1E+10. Group 2 chemical 2-methylphenol has a much smaller DAF value (from 6.2 after 10 years (</w:t>
      </w:r>
      <w:r>
        <w:fldChar w:fldCharType="begin" w:fldLock="1"/>
      </w:r>
      <w:r>
        <w:instrText xml:space="preserve"> REF _Ref454469393 \h </w:instrText>
      </w:r>
      <w:r>
        <w:fldChar w:fldCharType="separate"/>
      </w:r>
      <w:r w:rsidR="00335E79">
        <w:t xml:space="preserve">Table </w:t>
      </w:r>
      <w:r w:rsidR="00335E79">
        <w:rPr>
          <w:noProof/>
        </w:rPr>
        <w:t>5</w:t>
      </w:r>
      <w:r w:rsidR="00335E79">
        <w:noBreakHyphen/>
      </w:r>
      <w:r w:rsidR="00335E79">
        <w:rPr>
          <w:noProof/>
        </w:rPr>
        <w:t>5</w:t>
      </w:r>
      <w:r>
        <w:fldChar w:fldCharType="end"/>
      </w:r>
      <w:r>
        <w:t>), 475 after 34 years (</w:t>
      </w:r>
      <w:r>
        <w:fldChar w:fldCharType="begin" w:fldLock="1"/>
      </w:r>
      <w:r>
        <w:instrText xml:space="preserve"> REF _Ref454469417 \h </w:instrText>
      </w:r>
      <w:r>
        <w:fldChar w:fldCharType="separate"/>
      </w:r>
      <w:r w:rsidR="00335E79">
        <w:t xml:space="preserve">Table </w:t>
      </w:r>
      <w:r w:rsidR="00335E79">
        <w:rPr>
          <w:noProof/>
        </w:rPr>
        <w:t>5</w:t>
      </w:r>
      <w:r w:rsidR="00335E79">
        <w:noBreakHyphen/>
      </w:r>
      <w:r w:rsidR="00335E79">
        <w:rPr>
          <w:noProof/>
        </w:rPr>
        <w:t>6</w:t>
      </w:r>
      <w:r>
        <w:fldChar w:fldCharType="end"/>
      </w:r>
      <w:r>
        <w:t>) and 1.85E7 after 92 years (</w:t>
      </w:r>
      <w:r>
        <w:fldChar w:fldCharType="begin" w:fldLock="1"/>
      </w:r>
      <w:r>
        <w:instrText xml:space="preserve"> REF _Ref454469419 \h </w:instrText>
      </w:r>
      <w:r>
        <w:fldChar w:fldCharType="separate"/>
      </w:r>
      <w:r w:rsidR="00335E79">
        <w:t xml:space="preserve">Table </w:t>
      </w:r>
      <w:r w:rsidR="00335E79">
        <w:rPr>
          <w:noProof/>
        </w:rPr>
        <w:t>5</w:t>
      </w:r>
      <w:r w:rsidR="00335E79">
        <w:noBreakHyphen/>
      </w:r>
      <w:r w:rsidR="00335E79">
        <w:rPr>
          <w:noProof/>
        </w:rPr>
        <w:t>7</w:t>
      </w:r>
      <w:r>
        <w:fldChar w:fldCharType="end"/>
      </w:r>
      <w:r>
        <w:t>)) based on its maximum half-life. Naphthalene has the smallest possible DAF value (one) based on its maximum half-life, irrespective of travel time (</w:t>
      </w:r>
      <w:r>
        <w:fldChar w:fldCharType="begin" w:fldLock="1"/>
      </w:r>
      <w:r>
        <w:instrText xml:space="preserve"> REF _Ref454469393 \h </w:instrText>
      </w:r>
      <w:r>
        <w:fldChar w:fldCharType="separate"/>
      </w:r>
      <w:r w:rsidR="00335E79">
        <w:t xml:space="preserve">Table </w:t>
      </w:r>
      <w:r w:rsidR="00335E79">
        <w:rPr>
          <w:noProof/>
        </w:rPr>
        <w:t>5</w:t>
      </w:r>
      <w:r w:rsidR="00335E79">
        <w:noBreakHyphen/>
      </w:r>
      <w:r w:rsidR="00335E79">
        <w:rPr>
          <w:noProof/>
        </w:rPr>
        <w:t>5</w:t>
      </w:r>
      <w:r>
        <w:fldChar w:fldCharType="end"/>
      </w:r>
      <w:r>
        <w:t xml:space="preserve">, </w:t>
      </w:r>
      <w:r>
        <w:fldChar w:fldCharType="begin" w:fldLock="1"/>
      </w:r>
      <w:r>
        <w:instrText xml:space="preserve"> REF _Ref454469417 \h </w:instrText>
      </w:r>
      <w:r>
        <w:fldChar w:fldCharType="separate"/>
      </w:r>
      <w:r w:rsidR="00335E79">
        <w:t xml:space="preserve">Table </w:t>
      </w:r>
      <w:r w:rsidR="00335E79">
        <w:rPr>
          <w:noProof/>
        </w:rPr>
        <w:t>5</w:t>
      </w:r>
      <w:r w:rsidR="00335E79">
        <w:noBreakHyphen/>
      </w:r>
      <w:r w:rsidR="00335E79">
        <w:rPr>
          <w:noProof/>
        </w:rPr>
        <w:t>6</w:t>
      </w:r>
      <w:r>
        <w:fldChar w:fldCharType="end"/>
      </w:r>
      <w:r>
        <w:t xml:space="preserve"> and </w:t>
      </w:r>
      <w:r>
        <w:fldChar w:fldCharType="begin" w:fldLock="1"/>
      </w:r>
      <w:r>
        <w:instrText xml:space="preserve"> REF _Ref454469419 \h </w:instrText>
      </w:r>
      <w:r>
        <w:fldChar w:fldCharType="separate"/>
      </w:r>
      <w:r w:rsidR="00335E79">
        <w:t xml:space="preserve">Table </w:t>
      </w:r>
      <w:r w:rsidR="00335E79">
        <w:rPr>
          <w:noProof/>
        </w:rPr>
        <w:t>5</w:t>
      </w:r>
      <w:r w:rsidR="00335E79">
        <w:noBreakHyphen/>
      </w:r>
      <w:r w:rsidR="00335E79">
        <w:rPr>
          <w:noProof/>
        </w:rPr>
        <w:t>7</w:t>
      </w:r>
      <w:r>
        <w:fldChar w:fldCharType="end"/>
      </w:r>
      <w:r>
        <w:t xml:space="preserve">). </w:t>
      </w:r>
    </w:p>
    <w:p w14:paraId="13CC1513" w14:textId="77777777" w:rsidR="004032C3" w:rsidRDefault="004032C3" w:rsidP="0028402E">
      <w:pPr>
        <w:pStyle w:val="Body"/>
      </w:pPr>
    </w:p>
    <w:p w14:paraId="0E6985B8" w14:textId="7B166DA6" w:rsidR="006810A4" w:rsidRDefault="006810A4" w:rsidP="006810A4">
      <w:pPr>
        <w:pStyle w:val="Imagecaption"/>
        <w:keepNext/>
        <w:pBdr>
          <w:top w:val="none" w:sz="0" w:space="0" w:color="auto"/>
        </w:pBdr>
      </w:pPr>
      <w:bookmarkStart w:id="650" w:name="_Ref454469212"/>
      <w:bookmarkStart w:id="651" w:name="_Toc494444731"/>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3</w:t>
      </w:r>
      <w:r w:rsidR="00470577">
        <w:fldChar w:fldCharType="end"/>
      </w:r>
      <w:bookmarkEnd w:id="650"/>
      <w:r>
        <w:t xml:space="preserve"> Calculated relative concentration at receptor for mean tr</w:t>
      </w:r>
      <w:r w:rsidR="00623D00">
        <w:t xml:space="preserve">avel time </w:t>
      </w:r>
      <w:r w:rsidR="004D38FA">
        <w:t xml:space="preserve">of 34 years </w:t>
      </w:r>
      <w:r w:rsidR="00623D00">
        <w:t>(travel time class # 2</w:t>
      </w:r>
      <w:r w:rsidR="004D38FA">
        <w:t xml:space="preserve"> </w:t>
      </w:r>
      <w:r w:rsidR="004D38FA">
        <w:fldChar w:fldCharType="begin" w:fldLock="1"/>
      </w:r>
      <w:r w:rsidR="004D38FA">
        <w:instrText xml:space="preserve"> REF _Ref454384797 \h  \* MERGEFORMAT </w:instrText>
      </w:r>
      <w:r w:rsidR="004D38FA">
        <w:fldChar w:fldCharType="separate"/>
      </w:r>
      <w:r w:rsidR="00335E79" w:rsidRPr="00DA539C">
        <w:t xml:space="preserve">Table </w:t>
      </w:r>
      <w:r w:rsidR="00335E79">
        <w:t>2</w:t>
      </w:r>
      <w:r w:rsidR="00335E79">
        <w:noBreakHyphen/>
        <w:t>24</w:t>
      </w:r>
      <w:r w:rsidR="004D38FA">
        <w:fldChar w:fldCharType="end"/>
      </w:r>
      <w:r>
        <w:t xml:space="preserve">). MCI = Methyl-chloro-isothiazolinone. </w:t>
      </w:r>
      <w:r w:rsidR="00913EB4">
        <w:t xml:space="preserve"> Initial source concentration is 1 (no units s</w:t>
      </w:r>
      <w:r w:rsidR="00E424BC">
        <w:t>p</w:t>
      </w:r>
      <w:r w:rsidR="00913EB4">
        <w:t>ecified).</w:t>
      </w:r>
      <w:r w:rsidR="009339BB">
        <w:t xml:space="preserve"> Numbers in italics assume absence of </w:t>
      </w:r>
      <w:r w:rsidR="003B5BB4">
        <w:t xml:space="preserve">chemical/biological </w:t>
      </w:r>
      <w:r w:rsidR="009339BB">
        <w:t>degradation.</w:t>
      </w:r>
      <w:bookmarkEnd w:id="651"/>
    </w:p>
    <w:tbl>
      <w:tblPr>
        <w:tblW w:w="8672" w:type="dxa"/>
        <w:tblInd w:w="-30" w:type="dxa"/>
        <w:tblLayout w:type="fixed"/>
        <w:tblLook w:val="0000" w:firstRow="0" w:lastRow="0" w:firstColumn="0" w:lastColumn="0" w:noHBand="0" w:noVBand="0"/>
      </w:tblPr>
      <w:tblGrid>
        <w:gridCol w:w="2152"/>
        <w:gridCol w:w="992"/>
        <w:gridCol w:w="1137"/>
        <w:gridCol w:w="989"/>
        <w:gridCol w:w="142"/>
        <w:gridCol w:w="992"/>
        <w:gridCol w:w="1418"/>
        <w:gridCol w:w="850"/>
      </w:tblGrid>
      <w:tr w:rsidR="00DE6162" w14:paraId="7BAAEE5A" w14:textId="77777777" w:rsidTr="00C63CA2">
        <w:trPr>
          <w:trHeight w:val="290"/>
        </w:trPr>
        <w:tc>
          <w:tcPr>
            <w:tcW w:w="2152" w:type="dxa"/>
            <w:tcBorders>
              <w:top w:val="single" w:sz="4" w:space="0" w:color="auto"/>
              <w:left w:val="single" w:sz="4" w:space="0" w:color="auto"/>
              <w:bottom w:val="nil"/>
              <w:right w:val="nil"/>
            </w:tcBorders>
          </w:tcPr>
          <w:p w14:paraId="21D1670C" w14:textId="77777777" w:rsidR="00DE6162" w:rsidRDefault="00DE6162">
            <w:pPr>
              <w:autoSpaceDE w:val="0"/>
              <w:autoSpaceDN w:val="0"/>
              <w:adjustRightInd w:val="0"/>
              <w:spacing w:after="0"/>
              <w:jc w:val="right"/>
              <w:rPr>
                <w:rFonts w:ascii="Calibri" w:hAnsi="Calibri" w:cs="Calibri"/>
                <w:color w:val="000000"/>
                <w:sz w:val="22"/>
                <w:szCs w:val="22"/>
                <w:lang w:val="en-AU"/>
              </w:rPr>
            </w:pPr>
          </w:p>
        </w:tc>
        <w:tc>
          <w:tcPr>
            <w:tcW w:w="6520" w:type="dxa"/>
            <w:gridSpan w:val="7"/>
            <w:tcBorders>
              <w:top w:val="single" w:sz="4" w:space="0" w:color="auto"/>
              <w:left w:val="nil"/>
              <w:bottom w:val="nil"/>
              <w:right w:val="single" w:sz="4" w:space="0" w:color="auto"/>
            </w:tcBorders>
          </w:tcPr>
          <w:p w14:paraId="4B3CEF08" w14:textId="57113CF2" w:rsidR="00DE6162" w:rsidRPr="002B3648" w:rsidRDefault="00DE6162" w:rsidP="005E0336">
            <w:pPr>
              <w:autoSpaceDE w:val="0"/>
              <w:autoSpaceDN w:val="0"/>
              <w:adjustRightInd w:val="0"/>
              <w:spacing w:after="0"/>
              <w:jc w:val="center"/>
              <w:rPr>
                <w:rFonts w:ascii="Calibri" w:hAnsi="Calibri" w:cs="Calibri"/>
                <w:color w:val="000000"/>
                <w:sz w:val="18"/>
                <w:szCs w:val="18"/>
                <w:lang w:val="en-AU"/>
              </w:rPr>
            </w:pPr>
            <w:r w:rsidRPr="002B3648">
              <w:rPr>
                <w:rFonts w:ascii="Calibri" w:hAnsi="Calibri" w:cs="Calibri"/>
                <w:color w:val="000000"/>
                <w:sz w:val="18"/>
                <w:szCs w:val="18"/>
                <w:lang w:val="en-AU"/>
              </w:rPr>
              <w:t xml:space="preserve">Relative concentration </w:t>
            </w:r>
            <w:r w:rsidR="005E0336" w:rsidRPr="002B3648">
              <w:rPr>
                <w:rFonts w:ascii="Calibri" w:hAnsi="Calibri" w:cs="Calibri"/>
                <w:color w:val="000000"/>
                <w:sz w:val="18"/>
                <w:szCs w:val="18"/>
                <w:lang w:val="en-AU"/>
              </w:rPr>
              <w:t>(-)</w:t>
            </w:r>
            <w:r w:rsidR="005E0336">
              <w:rPr>
                <w:rFonts w:ascii="Calibri" w:hAnsi="Calibri" w:cs="Calibri"/>
                <w:color w:val="000000"/>
                <w:sz w:val="18"/>
                <w:szCs w:val="18"/>
                <w:lang w:val="en-AU"/>
              </w:rPr>
              <w:t xml:space="preserve"> </w:t>
            </w:r>
            <w:r w:rsidRPr="002B3648">
              <w:rPr>
                <w:rFonts w:ascii="Calibri" w:hAnsi="Calibri" w:cs="Calibri"/>
                <w:color w:val="000000"/>
                <w:sz w:val="18"/>
                <w:szCs w:val="18"/>
                <w:lang w:val="en-AU"/>
              </w:rPr>
              <w:t>at receptor</w:t>
            </w:r>
            <w:r w:rsidR="005E0336">
              <w:rPr>
                <w:rFonts w:ascii="Calibri" w:hAnsi="Calibri" w:cs="Calibri"/>
                <w:color w:val="000000"/>
                <w:sz w:val="18"/>
                <w:szCs w:val="18"/>
                <w:lang w:val="en-AU"/>
              </w:rPr>
              <w:t xml:space="preserve"> </w:t>
            </w:r>
            <w:r w:rsidRPr="002B3648">
              <w:rPr>
                <w:rFonts w:ascii="Calibri" w:hAnsi="Calibri" w:cs="Calibri"/>
                <w:color w:val="000000"/>
                <w:sz w:val="18"/>
                <w:szCs w:val="18"/>
                <w:lang w:val="en-AU"/>
              </w:rPr>
              <w:t>: mean travel time</w:t>
            </w:r>
          </w:p>
        </w:tc>
      </w:tr>
      <w:tr w:rsidR="00DE6162" w14:paraId="55896E47" w14:textId="77777777" w:rsidTr="00C63CA2">
        <w:trPr>
          <w:trHeight w:val="290"/>
        </w:trPr>
        <w:tc>
          <w:tcPr>
            <w:tcW w:w="2152" w:type="dxa"/>
            <w:tcBorders>
              <w:top w:val="nil"/>
              <w:left w:val="single" w:sz="4" w:space="0" w:color="auto"/>
              <w:bottom w:val="nil"/>
              <w:right w:val="nil"/>
            </w:tcBorders>
          </w:tcPr>
          <w:p w14:paraId="6786FAD7" w14:textId="77777777" w:rsidR="00DE6162" w:rsidRDefault="00DE6162">
            <w:pPr>
              <w:autoSpaceDE w:val="0"/>
              <w:autoSpaceDN w:val="0"/>
              <w:adjustRightInd w:val="0"/>
              <w:spacing w:after="0"/>
              <w:jc w:val="right"/>
              <w:rPr>
                <w:rFonts w:ascii="Calibri" w:hAnsi="Calibri" w:cs="Calibri"/>
                <w:color w:val="000000"/>
                <w:sz w:val="22"/>
                <w:szCs w:val="22"/>
                <w:lang w:val="en-AU"/>
              </w:rPr>
            </w:pPr>
          </w:p>
        </w:tc>
        <w:tc>
          <w:tcPr>
            <w:tcW w:w="2129" w:type="dxa"/>
            <w:gridSpan w:val="2"/>
            <w:tcBorders>
              <w:top w:val="nil"/>
              <w:left w:val="nil"/>
              <w:bottom w:val="nil"/>
              <w:right w:val="nil"/>
            </w:tcBorders>
            <w:shd w:val="solid" w:color="FFCC99" w:fill="auto"/>
          </w:tcPr>
          <w:p w14:paraId="20E1C9BE" w14:textId="356222B6" w:rsidR="00DE6162" w:rsidRPr="002B3648" w:rsidRDefault="00DE6162">
            <w:pPr>
              <w:autoSpaceDE w:val="0"/>
              <w:autoSpaceDN w:val="0"/>
              <w:adjustRightInd w:val="0"/>
              <w:spacing w:after="0"/>
              <w:jc w:val="center"/>
              <w:rPr>
                <w:rFonts w:ascii="Calibri" w:hAnsi="Calibri" w:cs="Calibri"/>
                <w:color w:val="000000"/>
                <w:sz w:val="18"/>
                <w:szCs w:val="18"/>
                <w:lang w:val="en-AU"/>
              </w:rPr>
            </w:pPr>
            <w:r w:rsidRPr="002B3648">
              <w:rPr>
                <w:rFonts w:ascii="Calibri" w:hAnsi="Calibri" w:cs="Calibri"/>
                <w:color w:val="000000"/>
                <w:sz w:val="18"/>
                <w:szCs w:val="18"/>
                <w:lang w:val="en-AU"/>
              </w:rPr>
              <w:t>Anaerobic</w:t>
            </w:r>
          </w:p>
        </w:tc>
        <w:tc>
          <w:tcPr>
            <w:tcW w:w="2123" w:type="dxa"/>
            <w:gridSpan w:val="3"/>
            <w:tcBorders>
              <w:top w:val="nil"/>
              <w:left w:val="nil"/>
              <w:bottom w:val="nil"/>
              <w:right w:val="nil"/>
            </w:tcBorders>
            <w:shd w:val="solid" w:color="99CCFF" w:fill="auto"/>
          </w:tcPr>
          <w:p w14:paraId="12E0A3CA" w14:textId="2B356545" w:rsidR="00DE6162" w:rsidRPr="002B3648" w:rsidRDefault="00DE6162">
            <w:pPr>
              <w:autoSpaceDE w:val="0"/>
              <w:autoSpaceDN w:val="0"/>
              <w:adjustRightInd w:val="0"/>
              <w:spacing w:after="0"/>
              <w:jc w:val="center"/>
              <w:rPr>
                <w:rFonts w:ascii="Calibri" w:hAnsi="Calibri" w:cs="Calibri"/>
                <w:color w:val="000000"/>
                <w:sz w:val="18"/>
                <w:szCs w:val="18"/>
                <w:lang w:val="en-AU"/>
              </w:rPr>
            </w:pPr>
            <w:r w:rsidRPr="002B3648">
              <w:rPr>
                <w:rFonts w:ascii="Calibri" w:hAnsi="Calibri" w:cs="Calibri"/>
                <w:color w:val="000000"/>
                <w:sz w:val="18"/>
                <w:szCs w:val="18"/>
                <w:lang w:val="en-AU"/>
              </w:rPr>
              <w:t>Aerobic</w:t>
            </w:r>
          </w:p>
        </w:tc>
        <w:tc>
          <w:tcPr>
            <w:tcW w:w="2268" w:type="dxa"/>
            <w:gridSpan w:val="2"/>
            <w:tcBorders>
              <w:top w:val="nil"/>
              <w:left w:val="nil"/>
              <w:bottom w:val="nil"/>
              <w:right w:val="single" w:sz="4" w:space="0" w:color="auto"/>
            </w:tcBorders>
            <w:shd w:val="solid" w:color="FFFFCC" w:fill="auto"/>
          </w:tcPr>
          <w:p w14:paraId="25D773FD" w14:textId="6CE0F4B2" w:rsidR="00DE6162" w:rsidRPr="002B3648" w:rsidRDefault="00DE6162">
            <w:pPr>
              <w:autoSpaceDE w:val="0"/>
              <w:autoSpaceDN w:val="0"/>
              <w:adjustRightInd w:val="0"/>
              <w:spacing w:after="0"/>
              <w:jc w:val="center"/>
              <w:rPr>
                <w:rFonts w:ascii="Calibri" w:hAnsi="Calibri" w:cs="Calibri"/>
                <w:color w:val="000000"/>
                <w:sz w:val="18"/>
                <w:szCs w:val="18"/>
                <w:lang w:val="en-AU"/>
              </w:rPr>
            </w:pPr>
            <w:r w:rsidRPr="002B3648">
              <w:rPr>
                <w:rFonts w:ascii="Calibri" w:hAnsi="Calibri" w:cs="Calibri"/>
                <w:color w:val="000000"/>
                <w:sz w:val="18"/>
                <w:szCs w:val="18"/>
                <w:lang w:val="en-AU"/>
              </w:rPr>
              <w:t>Hydrolysis</w:t>
            </w:r>
          </w:p>
        </w:tc>
      </w:tr>
      <w:tr w:rsidR="00C5119A" w14:paraId="1CC43C34" w14:textId="77777777" w:rsidTr="00C63CA2">
        <w:trPr>
          <w:trHeight w:val="290"/>
        </w:trPr>
        <w:tc>
          <w:tcPr>
            <w:tcW w:w="2152" w:type="dxa"/>
            <w:tcBorders>
              <w:top w:val="nil"/>
              <w:left w:val="single" w:sz="4" w:space="0" w:color="auto"/>
              <w:bottom w:val="single" w:sz="6" w:space="0" w:color="auto"/>
              <w:right w:val="nil"/>
            </w:tcBorders>
          </w:tcPr>
          <w:p w14:paraId="14586A92" w14:textId="77777777" w:rsidR="00C5119A" w:rsidRPr="002B3648" w:rsidRDefault="00C5119A">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Chemical substance</w:t>
            </w:r>
          </w:p>
        </w:tc>
        <w:tc>
          <w:tcPr>
            <w:tcW w:w="992" w:type="dxa"/>
            <w:tcBorders>
              <w:top w:val="nil"/>
              <w:left w:val="nil"/>
              <w:bottom w:val="single" w:sz="6" w:space="0" w:color="auto"/>
              <w:right w:val="nil"/>
            </w:tcBorders>
            <w:shd w:val="solid" w:color="FFCC99" w:fill="auto"/>
          </w:tcPr>
          <w:p w14:paraId="1EFD0F2D" w14:textId="3447A649" w:rsidR="00C5119A" w:rsidRPr="002B3648" w:rsidRDefault="002B3648">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2B3648">
              <w:rPr>
                <w:rFonts w:ascii="Calibri" w:hAnsi="Calibri" w:cs="Calibri"/>
                <w:color w:val="000000"/>
                <w:sz w:val="18"/>
                <w:szCs w:val="18"/>
                <w:lang w:val="en-AU"/>
              </w:rPr>
              <w:t>in</w:t>
            </w:r>
          </w:p>
        </w:tc>
        <w:tc>
          <w:tcPr>
            <w:tcW w:w="1137" w:type="dxa"/>
            <w:tcBorders>
              <w:top w:val="nil"/>
              <w:left w:val="nil"/>
              <w:bottom w:val="single" w:sz="6" w:space="0" w:color="auto"/>
              <w:right w:val="nil"/>
            </w:tcBorders>
            <w:shd w:val="solid" w:color="FFCC99" w:fill="auto"/>
          </w:tcPr>
          <w:p w14:paraId="6D3BE44C" w14:textId="44067010" w:rsidR="00C5119A" w:rsidRPr="002B3648" w:rsidRDefault="002B3648">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2B3648">
              <w:rPr>
                <w:rFonts w:ascii="Calibri" w:hAnsi="Calibri" w:cs="Calibri"/>
                <w:color w:val="000000"/>
                <w:sz w:val="18"/>
                <w:szCs w:val="18"/>
                <w:lang w:val="en-AU"/>
              </w:rPr>
              <w:t>ax</w:t>
            </w:r>
          </w:p>
        </w:tc>
        <w:tc>
          <w:tcPr>
            <w:tcW w:w="989" w:type="dxa"/>
            <w:tcBorders>
              <w:top w:val="nil"/>
              <w:left w:val="nil"/>
              <w:bottom w:val="single" w:sz="6" w:space="0" w:color="auto"/>
              <w:right w:val="nil"/>
            </w:tcBorders>
            <w:shd w:val="solid" w:color="99CCFF" w:fill="auto"/>
          </w:tcPr>
          <w:p w14:paraId="2DB2253B" w14:textId="6D1267FA" w:rsidR="00C5119A" w:rsidRPr="002B3648" w:rsidRDefault="002B3648">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2B3648">
              <w:rPr>
                <w:rFonts w:ascii="Calibri" w:hAnsi="Calibri" w:cs="Calibri"/>
                <w:color w:val="000000"/>
                <w:sz w:val="18"/>
                <w:szCs w:val="18"/>
                <w:lang w:val="en-AU"/>
              </w:rPr>
              <w:t>in</w:t>
            </w:r>
          </w:p>
        </w:tc>
        <w:tc>
          <w:tcPr>
            <w:tcW w:w="1134" w:type="dxa"/>
            <w:gridSpan w:val="2"/>
            <w:tcBorders>
              <w:top w:val="nil"/>
              <w:left w:val="nil"/>
              <w:bottom w:val="single" w:sz="6" w:space="0" w:color="auto"/>
              <w:right w:val="nil"/>
            </w:tcBorders>
            <w:shd w:val="solid" w:color="99CCFF" w:fill="auto"/>
          </w:tcPr>
          <w:p w14:paraId="264B1862" w14:textId="07EA8736" w:rsidR="00C5119A" w:rsidRPr="002B3648" w:rsidRDefault="002B3648">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2B3648">
              <w:rPr>
                <w:rFonts w:ascii="Calibri" w:hAnsi="Calibri" w:cs="Calibri"/>
                <w:color w:val="000000"/>
                <w:sz w:val="18"/>
                <w:szCs w:val="18"/>
                <w:lang w:val="en-AU"/>
              </w:rPr>
              <w:t>ax</w:t>
            </w:r>
          </w:p>
        </w:tc>
        <w:tc>
          <w:tcPr>
            <w:tcW w:w="1418" w:type="dxa"/>
            <w:tcBorders>
              <w:top w:val="nil"/>
              <w:left w:val="nil"/>
              <w:bottom w:val="single" w:sz="6" w:space="0" w:color="auto"/>
              <w:right w:val="nil"/>
            </w:tcBorders>
            <w:shd w:val="solid" w:color="FFFFCC" w:fill="auto"/>
          </w:tcPr>
          <w:p w14:paraId="29F33A2D" w14:textId="20078BF1" w:rsidR="00C5119A" w:rsidRPr="002B3648" w:rsidRDefault="002B3648">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2B3648">
              <w:rPr>
                <w:rFonts w:ascii="Calibri" w:hAnsi="Calibri" w:cs="Calibri"/>
                <w:color w:val="000000"/>
                <w:sz w:val="18"/>
                <w:szCs w:val="18"/>
                <w:lang w:val="en-AU"/>
              </w:rPr>
              <w:t>in</w:t>
            </w:r>
          </w:p>
        </w:tc>
        <w:tc>
          <w:tcPr>
            <w:tcW w:w="850" w:type="dxa"/>
            <w:tcBorders>
              <w:top w:val="nil"/>
              <w:left w:val="nil"/>
              <w:bottom w:val="single" w:sz="6" w:space="0" w:color="auto"/>
              <w:right w:val="single" w:sz="4" w:space="0" w:color="auto"/>
            </w:tcBorders>
            <w:shd w:val="solid" w:color="FFFFCC" w:fill="auto"/>
          </w:tcPr>
          <w:p w14:paraId="730B8A44" w14:textId="296616AE" w:rsidR="00C5119A" w:rsidRPr="002B3648" w:rsidRDefault="002B3648">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2B3648">
              <w:rPr>
                <w:rFonts w:ascii="Calibri" w:hAnsi="Calibri" w:cs="Calibri"/>
                <w:color w:val="000000"/>
                <w:sz w:val="18"/>
                <w:szCs w:val="18"/>
                <w:lang w:val="en-AU"/>
              </w:rPr>
              <w:t>ax</w:t>
            </w:r>
          </w:p>
        </w:tc>
      </w:tr>
      <w:tr w:rsidR="00C5119A" w14:paraId="402AAB97" w14:textId="77777777" w:rsidTr="00C63CA2">
        <w:trPr>
          <w:trHeight w:val="290"/>
        </w:trPr>
        <w:tc>
          <w:tcPr>
            <w:tcW w:w="2152" w:type="dxa"/>
            <w:tcBorders>
              <w:top w:val="nil"/>
              <w:left w:val="single" w:sz="4" w:space="0" w:color="auto"/>
              <w:bottom w:val="nil"/>
              <w:right w:val="nil"/>
            </w:tcBorders>
          </w:tcPr>
          <w:p w14:paraId="2F466724" w14:textId="77777777" w:rsidR="00C5119A" w:rsidRPr="002B3648" w:rsidRDefault="00C5119A">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2-methylphenol</w:t>
            </w:r>
          </w:p>
        </w:tc>
        <w:tc>
          <w:tcPr>
            <w:tcW w:w="992" w:type="dxa"/>
            <w:tcBorders>
              <w:top w:val="nil"/>
              <w:left w:val="nil"/>
              <w:bottom w:val="nil"/>
              <w:right w:val="nil"/>
            </w:tcBorders>
            <w:shd w:val="solid" w:color="FFCC99" w:fill="auto"/>
          </w:tcPr>
          <w:p w14:paraId="3AEF9829"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137" w:type="dxa"/>
            <w:tcBorders>
              <w:top w:val="nil"/>
              <w:left w:val="nil"/>
              <w:bottom w:val="nil"/>
              <w:right w:val="nil"/>
            </w:tcBorders>
            <w:shd w:val="solid" w:color="FFCC99" w:fill="auto"/>
          </w:tcPr>
          <w:p w14:paraId="14AD2CB2"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0.0021</w:t>
            </w:r>
          </w:p>
        </w:tc>
        <w:tc>
          <w:tcPr>
            <w:tcW w:w="1131" w:type="dxa"/>
            <w:gridSpan w:val="2"/>
            <w:tcBorders>
              <w:top w:val="nil"/>
              <w:left w:val="nil"/>
              <w:bottom w:val="nil"/>
              <w:right w:val="nil"/>
            </w:tcBorders>
            <w:shd w:val="solid" w:color="99CCFF" w:fill="auto"/>
          </w:tcPr>
          <w:p w14:paraId="52986D4C"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3CA5E523"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418" w:type="dxa"/>
            <w:tcBorders>
              <w:top w:val="nil"/>
              <w:left w:val="nil"/>
              <w:bottom w:val="nil"/>
              <w:right w:val="nil"/>
            </w:tcBorders>
            <w:shd w:val="solid" w:color="FFFFCC" w:fill="auto"/>
          </w:tcPr>
          <w:p w14:paraId="4354321A" w14:textId="29ED6602" w:rsidR="00C5119A" w:rsidRPr="002B3648" w:rsidRDefault="009339BB"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850" w:type="dxa"/>
            <w:tcBorders>
              <w:top w:val="nil"/>
              <w:left w:val="nil"/>
              <w:bottom w:val="nil"/>
              <w:right w:val="single" w:sz="4" w:space="0" w:color="auto"/>
            </w:tcBorders>
            <w:shd w:val="solid" w:color="FFFFCC" w:fill="auto"/>
          </w:tcPr>
          <w:p w14:paraId="1012E6BD" w14:textId="339F041C" w:rsidR="00C5119A" w:rsidRPr="002B3648" w:rsidRDefault="009339BB"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r>
      <w:tr w:rsidR="00C5119A" w14:paraId="3C8F6D28" w14:textId="77777777" w:rsidTr="00C63CA2">
        <w:trPr>
          <w:trHeight w:val="290"/>
        </w:trPr>
        <w:tc>
          <w:tcPr>
            <w:tcW w:w="2152" w:type="dxa"/>
            <w:tcBorders>
              <w:top w:val="nil"/>
              <w:left w:val="single" w:sz="4" w:space="0" w:color="auto"/>
              <w:bottom w:val="nil"/>
              <w:right w:val="nil"/>
            </w:tcBorders>
          </w:tcPr>
          <w:p w14:paraId="40058BE8" w14:textId="77777777" w:rsidR="00C5119A" w:rsidRPr="002B3648" w:rsidRDefault="00C5119A">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Naphthalene</w:t>
            </w:r>
          </w:p>
        </w:tc>
        <w:tc>
          <w:tcPr>
            <w:tcW w:w="992" w:type="dxa"/>
            <w:tcBorders>
              <w:top w:val="nil"/>
              <w:left w:val="nil"/>
              <w:bottom w:val="nil"/>
              <w:right w:val="nil"/>
            </w:tcBorders>
            <w:shd w:val="solid" w:color="FFCC99" w:fill="auto"/>
          </w:tcPr>
          <w:p w14:paraId="2FD52B22"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137" w:type="dxa"/>
            <w:tcBorders>
              <w:top w:val="nil"/>
              <w:left w:val="nil"/>
              <w:bottom w:val="nil"/>
              <w:right w:val="nil"/>
            </w:tcBorders>
            <w:shd w:val="solid" w:color="FFCC99" w:fill="auto"/>
          </w:tcPr>
          <w:p w14:paraId="1FE487C0" w14:textId="35FA6E3C" w:rsidR="00C5119A" w:rsidRPr="002B3648" w:rsidRDefault="00C5119A" w:rsidP="00035EB0">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1</w:t>
            </w:r>
          </w:p>
        </w:tc>
        <w:tc>
          <w:tcPr>
            <w:tcW w:w="1131" w:type="dxa"/>
            <w:gridSpan w:val="2"/>
            <w:tcBorders>
              <w:top w:val="nil"/>
              <w:left w:val="nil"/>
              <w:bottom w:val="nil"/>
              <w:right w:val="nil"/>
            </w:tcBorders>
            <w:shd w:val="solid" w:color="99CCFF" w:fill="auto"/>
          </w:tcPr>
          <w:p w14:paraId="1D38A6C5"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21629B20"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418" w:type="dxa"/>
            <w:tcBorders>
              <w:top w:val="nil"/>
              <w:left w:val="nil"/>
              <w:bottom w:val="nil"/>
              <w:right w:val="nil"/>
            </w:tcBorders>
            <w:shd w:val="solid" w:color="FFFFCC" w:fill="auto"/>
          </w:tcPr>
          <w:p w14:paraId="5EE5E002" w14:textId="2925CB1A" w:rsidR="00C5119A" w:rsidRPr="002B3648" w:rsidRDefault="009339BB"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850" w:type="dxa"/>
            <w:tcBorders>
              <w:top w:val="nil"/>
              <w:left w:val="nil"/>
              <w:bottom w:val="nil"/>
              <w:right w:val="single" w:sz="4" w:space="0" w:color="auto"/>
            </w:tcBorders>
            <w:shd w:val="solid" w:color="FFFFCC" w:fill="auto"/>
          </w:tcPr>
          <w:p w14:paraId="33CF8E36" w14:textId="0B46BBCB" w:rsidR="00C5119A" w:rsidRPr="002B3648" w:rsidRDefault="009339BB"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r>
      <w:tr w:rsidR="00C5119A" w14:paraId="7323C0E6" w14:textId="77777777" w:rsidTr="00C63CA2">
        <w:trPr>
          <w:trHeight w:val="290"/>
        </w:trPr>
        <w:tc>
          <w:tcPr>
            <w:tcW w:w="2152" w:type="dxa"/>
            <w:tcBorders>
              <w:top w:val="nil"/>
              <w:left w:val="single" w:sz="4" w:space="0" w:color="auto"/>
              <w:bottom w:val="nil"/>
              <w:right w:val="nil"/>
            </w:tcBorders>
          </w:tcPr>
          <w:p w14:paraId="655B7291" w14:textId="77777777" w:rsidR="00C5119A" w:rsidRPr="002B3648" w:rsidRDefault="00C5119A">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Limonene</w:t>
            </w:r>
          </w:p>
        </w:tc>
        <w:tc>
          <w:tcPr>
            <w:tcW w:w="992" w:type="dxa"/>
            <w:tcBorders>
              <w:top w:val="nil"/>
              <w:left w:val="nil"/>
              <w:bottom w:val="nil"/>
              <w:right w:val="nil"/>
            </w:tcBorders>
            <w:shd w:val="solid" w:color="FFCC99" w:fill="auto"/>
          </w:tcPr>
          <w:p w14:paraId="0047191E" w14:textId="290CFB5C"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c>
          <w:tcPr>
            <w:tcW w:w="1137" w:type="dxa"/>
            <w:tcBorders>
              <w:top w:val="nil"/>
              <w:left w:val="nil"/>
              <w:bottom w:val="nil"/>
              <w:right w:val="nil"/>
            </w:tcBorders>
            <w:shd w:val="solid" w:color="FFCC99" w:fill="auto"/>
          </w:tcPr>
          <w:p w14:paraId="429B51B7" w14:textId="6352EAA2"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c>
          <w:tcPr>
            <w:tcW w:w="1131" w:type="dxa"/>
            <w:gridSpan w:val="2"/>
            <w:tcBorders>
              <w:top w:val="nil"/>
              <w:left w:val="nil"/>
              <w:bottom w:val="nil"/>
              <w:right w:val="nil"/>
            </w:tcBorders>
            <w:shd w:val="solid" w:color="99CCFF" w:fill="auto"/>
          </w:tcPr>
          <w:p w14:paraId="5B9AADB3"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58069A8C"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418" w:type="dxa"/>
            <w:tcBorders>
              <w:top w:val="nil"/>
              <w:left w:val="nil"/>
              <w:bottom w:val="nil"/>
              <w:right w:val="nil"/>
            </w:tcBorders>
            <w:shd w:val="solid" w:color="FFFFCC" w:fill="auto"/>
          </w:tcPr>
          <w:p w14:paraId="1063C3A1" w14:textId="2BE1949E"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c>
          <w:tcPr>
            <w:tcW w:w="850" w:type="dxa"/>
            <w:tcBorders>
              <w:top w:val="nil"/>
              <w:left w:val="nil"/>
              <w:bottom w:val="nil"/>
              <w:right w:val="single" w:sz="4" w:space="0" w:color="auto"/>
            </w:tcBorders>
            <w:shd w:val="solid" w:color="FFFFCC" w:fill="auto"/>
          </w:tcPr>
          <w:p w14:paraId="5E54B800" w14:textId="5D9BF563"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r>
      <w:tr w:rsidR="00C5119A" w14:paraId="6E521206" w14:textId="77777777" w:rsidTr="00C63CA2">
        <w:trPr>
          <w:trHeight w:val="290"/>
        </w:trPr>
        <w:tc>
          <w:tcPr>
            <w:tcW w:w="2152" w:type="dxa"/>
            <w:tcBorders>
              <w:top w:val="nil"/>
              <w:left w:val="single" w:sz="4" w:space="0" w:color="auto"/>
              <w:bottom w:val="nil"/>
              <w:right w:val="nil"/>
            </w:tcBorders>
          </w:tcPr>
          <w:p w14:paraId="3DAC1CC9" w14:textId="77777777" w:rsidR="00C5119A" w:rsidRPr="002B3648" w:rsidRDefault="00C5119A">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HMX</w:t>
            </w:r>
          </w:p>
        </w:tc>
        <w:tc>
          <w:tcPr>
            <w:tcW w:w="992" w:type="dxa"/>
            <w:tcBorders>
              <w:top w:val="nil"/>
              <w:left w:val="nil"/>
              <w:bottom w:val="nil"/>
              <w:right w:val="nil"/>
            </w:tcBorders>
            <w:shd w:val="solid" w:color="FFCC99" w:fill="auto"/>
          </w:tcPr>
          <w:p w14:paraId="0ED90DC9" w14:textId="5708D8A2" w:rsidR="00C5119A" w:rsidRPr="002B3648" w:rsidRDefault="00A308C6">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1137" w:type="dxa"/>
            <w:tcBorders>
              <w:top w:val="nil"/>
              <w:left w:val="nil"/>
              <w:bottom w:val="nil"/>
              <w:right w:val="nil"/>
            </w:tcBorders>
            <w:shd w:val="solid" w:color="FFCC99" w:fill="auto"/>
          </w:tcPr>
          <w:p w14:paraId="37F2856D" w14:textId="4222569E" w:rsidR="00C5119A" w:rsidRPr="002B3648" w:rsidRDefault="00A308C6">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1131" w:type="dxa"/>
            <w:gridSpan w:val="2"/>
            <w:tcBorders>
              <w:top w:val="nil"/>
              <w:left w:val="nil"/>
              <w:bottom w:val="nil"/>
              <w:right w:val="nil"/>
            </w:tcBorders>
            <w:shd w:val="solid" w:color="99CCFF" w:fill="auto"/>
          </w:tcPr>
          <w:p w14:paraId="6DF58348" w14:textId="38D5E042" w:rsidR="00C5119A" w:rsidRPr="002B3648" w:rsidRDefault="00A308C6">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7EBA5571" w14:textId="1AA4A18A" w:rsidR="00C5119A" w:rsidRPr="002B3648" w:rsidRDefault="00A308C6">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418" w:type="dxa"/>
            <w:tcBorders>
              <w:top w:val="nil"/>
              <w:left w:val="nil"/>
              <w:bottom w:val="nil"/>
              <w:right w:val="nil"/>
            </w:tcBorders>
            <w:shd w:val="solid" w:color="FFFFCC" w:fill="auto"/>
          </w:tcPr>
          <w:p w14:paraId="4D6CCCA8"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850" w:type="dxa"/>
            <w:tcBorders>
              <w:top w:val="nil"/>
              <w:left w:val="nil"/>
              <w:bottom w:val="nil"/>
              <w:right w:val="single" w:sz="4" w:space="0" w:color="auto"/>
            </w:tcBorders>
            <w:shd w:val="solid" w:color="FFFFCC" w:fill="auto"/>
          </w:tcPr>
          <w:p w14:paraId="61F42591"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r>
      <w:tr w:rsidR="00C5119A" w14:paraId="4E26951C" w14:textId="77777777" w:rsidTr="00C63CA2">
        <w:trPr>
          <w:trHeight w:val="290"/>
        </w:trPr>
        <w:tc>
          <w:tcPr>
            <w:tcW w:w="2152" w:type="dxa"/>
            <w:tcBorders>
              <w:top w:val="nil"/>
              <w:left w:val="single" w:sz="4" w:space="0" w:color="auto"/>
              <w:bottom w:val="nil"/>
              <w:right w:val="nil"/>
            </w:tcBorders>
          </w:tcPr>
          <w:p w14:paraId="5D8A7507" w14:textId="77777777" w:rsidR="00C5119A" w:rsidRPr="002B3648" w:rsidRDefault="00C5119A">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2-butoxyethanol</w:t>
            </w:r>
          </w:p>
        </w:tc>
        <w:tc>
          <w:tcPr>
            <w:tcW w:w="992" w:type="dxa"/>
            <w:tcBorders>
              <w:top w:val="nil"/>
              <w:left w:val="nil"/>
              <w:right w:val="nil"/>
            </w:tcBorders>
            <w:shd w:val="solid" w:color="FFCC99" w:fill="auto"/>
          </w:tcPr>
          <w:p w14:paraId="23B86955" w14:textId="02E12C8B" w:rsidR="00C5119A" w:rsidRPr="002B3648" w:rsidRDefault="00A308C6">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1137" w:type="dxa"/>
            <w:tcBorders>
              <w:top w:val="nil"/>
              <w:left w:val="nil"/>
              <w:bottom w:val="nil"/>
              <w:right w:val="nil"/>
            </w:tcBorders>
            <w:shd w:val="solid" w:color="FFCC99" w:fill="auto"/>
          </w:tcPr>
          <w:p w14:paraId="74ADA8E8" w14:textId="544E6187" w:rsidR="00C5119A" w:rsidRPr="002B3648" w:rsidRDefault="00A308C6">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1131" w:type="dxa"/>
            <w:gridSpan w:val="2"/>
            <w:tcBorders>
              <w:top w:val="nil"/>
              <w:left w:val="nil"/>
              <w:bottom w:val="nil"/>
              <w:right w:val="nil"/>
            </w:tcBorders>
            <w:shd w:val="solid" w:color="99CCFF" w:fill="auto"/>
          </w:tcPr>
          <w:p w14:paraId="4535D3FA"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3D11F5DD"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418" w:type="dxa"/>
            <w:tcBorders>
              <w:top w:val="nil"/>
              <w:left w:val="nil"/>
              <w:bottom w:val="nil"/>
              <w:right w:val="nil"/>
            </w:tcBorders>
            <w:shd w:val="solid" w:color="FFFFCC" w:fill="auto"/>
          </w:tcPr>
          <w:p w14:paraId="7511E32B" w14:textId="4B1733BE"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c>
          <w:tcPr>
            <w:tcW w:w="850" w:type="dxa"/>
            <w:tcBorders>
              <w:top w:val="nil"/>
              <w:left w:val="nil"/>
              <w:bottom w:val="nil"/>
              <w:right w:val="single" w:sz="4" w:space="0" w:color="auto"/>
            </w:tcBorders>
            <w:shd w:val="solid" w:color="FFFFCC" w:fill="auto"/>
          </w:tcPr>
          <w:p w14:paraId="4A44D830" w14:textId="00BC072A"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r>
      <w:tr w:rsidR="00C5119A" w14:paraId="03558EB4" w14:textId="77777777" w:rsidTr="00C63CA2">
        <w:trPr>
          <w:trHeight w:val="290"/>
        </w:trPr>
        <w:tc>
          <w:tcPr>
            <w:tcW w:w="2152" w:type="dxa"/>
            <w:tcBorders>
              <w:top w:val="nil"/>
              <w:left w:val="single" w:sz="4" w:space="0" w:color="auto"/>
              <w:right w:val="nil"/>
            </w:tcBorders>
          </w:tcPr>
          <w:p w14:paraId="39332DB0" w14:textId="77777777" w:rsidR="00C5119A" w:rsidRPr="002B3648" w:rsidRDefault="00C5119A">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Bronopol</w:t>
            </w:r>
          </w:p>
        </w:tc>
        <w:tc>
          <w:tcPr>
            <w:tcW w:w="992" w:type="dxa"/>
            <w:tcBorders>
              <w:top w:val="nil"/>
              <w:left w:val="nil"/>
              <w:bottom w:val="nil"/>
              <w:right w:val="nil"/>
            </w:tcBorders>
            <w:shd w:val="solid" w:color="FFCC99" w:fill="auto"/>
          </w:tcPr>
          <w:p w14:paraId="7B6C7C98" w14:textId="79B05176" w:rsidR="00C5119A" w:rsidRPr="002B3648" w:rsidRDefault="009339BB"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1137" w:type="dxa"/>
            <w:tcBorders>
              <w:top w:val="nil"/>
              <w:left w:val="nil"/>
              <w:bottom w:val="nil"/>
              <w:right w:val="nil"/>
            </w:tcBorders>
            <w:shd w:val="solid" w:color="FFCC99" w:fill="auto"/>
          </w:tcPr>
          <w:p w14:paraId="0BF4D440" w14:textId="4619D120" w:rsidR="00C5119A" w:rsidRPr="002B3648" w:rsidRDefault="009339BB"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1131" w:type="dxa"/>
            <w:gridSpan w:val="2"/>
            <w:tcBorders>
              <w:top w:val="nil"/>
              <w:left w:val="nil"/>
              <w:bottom w:val="nil"/>
              <w:right w:val="nil"/>
            </w:tcBorders>
            <w:shd w:val="solid" w:color="99CCFF" w:fill="auto"/>
          </w:tcPr>
          <w:p w14:paraId="4A7F46A2" w14:textId="64BA711A" w:rsidR="00C5119A" w:rsidRPr="002B3648" w:rsidRDefault="009339BB"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992" w:type="dxa"/>
            <w:tcBorders>
              <w:top w:val="nil"/>
              <w:left w:val="nil"/>
              <w:bottom w:val="nil"/>
              <w:right w:val="nil"/>
            </w:tcBorders>
            <w:shd w:val="solid" w:color="99CCFF" w:fill="auto"/>
          </w:tcPr>
          <w:p w14:paraId="0FC59536" w14:textId="45383DEE" w:rsidR="00C5119A" w:rsidRPr="002B3648" w:rsidRDefault="009339BB"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1</w:t>
            </w:r>
          </w:p>
        </w:tc>
        <w:tc>
          <w:tcPr>
            <w:tcW w:w="1418" w:type="dxa"/>
            <w:tcBorders>
              <w:top w:val="nil"/>
              <w:left w:val="nil"/>
              <w:bottom w:val="nil"/>
              <w:right w:val="nil"/>
            </w:tcBorders>
            <w:shd w:val="solid" w:color="FFFFCC" w:fill="auto"/>
          </w:tcPr>
          <w:p w14:paraId="29FA02B9"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850" w:type="dxa"/>
            <w:tcBorders>
              <w:top w:val="nil"/>
              <w:left w:val="nil"/>
              <w:bottom w:val="nil"/>
              <w:right w:val="single" w:sz="4" w:space="0" w:color="auto"/>
            </w:tcBorders>
            <w:shd w:val="solid" w:color="FFFFCC" w:fill="auto"/>
          </w:tcPr>
          <w:p w14:paraId="77473F55" w14:textId="77777777" w:rsidR="00C5119A" w:rsidRPr="002B3648" w:rsidRDefault="00C5119A">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r>
      <w:tr w:rsidR="00DE6162" w14:paraId="2F229576" w14:textId="77777777" w:rsidTr="00C63CA2">
        <w:trPr>
          <w:trHeight w:val="290"/>
        </w:trPr>
        <w:tc>
          <w:tcPr>
            <w:tcW w:w="2152" w:type="dxa"/>
            <w:tcBorders>
              <w:top w:val="nil"/>
              <w:left w:val="single" w:sz="4" w:space="0" w:color="auto"/>
              <w:bottom w:val="nil"/>
            </w:tcBorders>
          </w:tcPr>
          <w:p w14:paraId="42711EE5" w14:textId="77777777" w:rsidR="00DE6162" w:rsidRPr="002B3648" w:rsidRDefault="00DE6162">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MCI</w:t>
            </w:r>
          </w:p>
        </w:tc>
        <w:tc>
          <w:tcPr>
            <w:tcW w:w="992" w:type="dxa"/>
            <w:tcBorders>
              <w:top w:val="nil"/>
              <w:left w:val="nil"/>
              <w:bottom w:val="nil"/>
              <w:right w:val="nil"/>
            </w:tcBorders>
            <w:shd w:val="clear" w:color="auto" w:fill="FFCC99"/>
          </w:tcPr>
          <w:p w14:paraId="04503562" w14:textId="2616B5D6" w:rsidR="00DE6162" w:rsidRPr="002B3648" w:rsidRDefault="00A308C6" w:rsidP="00DE6162">
            <w:pPr>
              <w:autoSpaceDE w:val="0"/>
              <w:autoSpaceDN w:val="0"/>
              <w:adjustRightInd w:val="0"/>
              <w:spacing w:after="0"/>
              <w:jc w:val="center"/>
              <w:rPr>
                <w:rFonts w:ascii="Calibri" w:hAnsi="Calibri" w:cs="Calibri"/>
                <w:b/>
                <w:color w:val="000000"/>
                <w:sz w:val="18"/>
                <w:szCs w:val="18"/>
                <w:lang w:val="en-AU"/>
              </w:rPr>
            </w:pPr>
            <w:r w:rsidRPr="002B3648">
              <w:rPr>
                <w:rFonts w:ascii="Calibri" w:hAnsi="Calibri" w:cs="Calibri"/>
                <w:b/>
                <w:color w:val="000000"/>
                <w:sz w:val="18"/>
                <w:szCs w:val="18"/>
                <w:lang w:val="en-AU"/>
              </w:rPr>
              <w:t>0</w:t>
            </w:r>
          </w:p>
        </w:tc>
        <w:tc>
          <w:tcPr>
            <w:tcW w:w="1137" w:type="dxa"/>
            <w:tcBorders>
              <w:top w:val="nil"/>
              <w:left w:val="nil"/>
              <w:bottom w:val="nil"/>
              <w:right w:val="nil"/>
            </w:tcBorders>
            <w:shd w:val="solid" w:color="FFCC99" w:fill="auto"/>
          </w:tcPr>
          <w:p w14:paraId="2A567EDC" w14:textId="77777777" w:rsidR="00DE6162" w:rsidRPr="002B3648" w:rsidRDefault="00DE6162">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1131" w:type="dxa"/>
            <w:gridSpan w:val="2"/>
            <w:tcBorders>
              <w:top w:val="nil"/>
              <w:left w:val="nil"/>
              <w:bottom w:val="nil"/>
              <w:right w:val="nil"/>
            </w:tcBorders>
            <w:shd w:val="solid" w:color="99CCFF" w:fill="auto"/>
          </w:tcPr>
          <w:p w14:paraId="534D9570" w14:textId="778A9AF3" w:rsidR="00DE6162" w:rsidRPr="002B3648" w:rsidRDefault="00A308C6">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992" w:type="dxa"/>
            <w:tcBorders>
              <w:top w:val="nil"/>
              <w:left w:val="nil"/>
              <w:bottom w:val="nil"/>
              <w:right w:val="nil"/>
            </w:tcBorders>
            <w:shd w:val="solid" w:color="99CCFF" w:fill="auto"/>
          </w:tcPr>
          <w:p w14:paraId="626AC985" w14:textId="66D25FF6" w:rsidR="00DE6162" w:rsidRPr="002B3648" w:rsidRDefault="00A308C6">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 xml:space="preserve"> 0</w:t>
            </w:r>
          </w:p>
        </w:tc>
        <w:tc>
          <w:tcPr>
            <w:tcW w:w="1418" w:type="dxa"/>
            <w:tcBorders>
              <w:top w:val="nil"/>
              <w:left w:val="nil"/>
              <w:bottom w:val="nil"/>
              <w:right w:val="nil"/>
            </w:tcBorders>
            <w:shd w:val="solid" w:color="FFFFCC" w:fill="auto"/>
          </w:tcPr>
          <w:p w14:paraId="35C1D95F" w14:textId="4B0524C2" w:rsidR="00DE6162" w:rsidRPr="002B3648" w:rsidRDefault="00A308C6">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c>
          <w:tcPr>
            <w:tcW w:w="850" w:type="dxa"/>
            <w:tcBorders>
              <w:top w:val="nil"/>
              <w:left w:val="nil"/>
              <w:bottom w:val="nil"/>
              <w:right w:val="single" w:sz="4" w:space="0" w:color="auto"/>
            </w:tcBorders>
            <w:shd w:val="solid" w:color="FFFFCC" w:fill="auto"/>
          </w:tcPr>
          <w:p w14:paraId="68BCD41F" w14:textId="77777777" w:rsidR="00DE6162" w:rsidRPr="002B3648" w:rsidRDefault="00DE6162">
            <w:pPr>
              <w:autoSpaceDE w:val="0"/>
              <w:autoSpaceDN w:val="0"/>
              <w:adjustRightInd w:val="0"/>
              <w:spacing w:after="0"/>
              <w:jc w:val="center"/>
              <w:rPr>
                <w:rFonts w:ascii="Calibri" w:hAnsi="Calibri" w:cs="Calibri"/>
                <w:b/>
                <w:bCs/>
                <w:color w:val="000000"/>
                <w:sz w:val="18"/>
                <w:szCs w:val="18"/>
                <w:lang w:val="en-AU"/>
              </w:rPr>
            </w:pPr>
            <w:r w:rsidRPr="002B3648">
              <w:rPr>
                <w:rFonts w:ascii="Calibri" w:hAnsi="Calibri" w:cs="Calibri"/>
                <w:b/>
                <w:bCs/>
                <w:color w:val="000000"/>
                <w:sz w:val="18"/>
                <w:szCs w:val="18"/>
                <w:lang w:val="en-AU"/>
              </w:rPr>
              <w:t>0</w:t>
            </w:r>
          </w:p>
        </w:tc>
      </w:tr>
      <w:tr w:rsidR="00C5119A" w14:paraId="3C4F1452" w14:textId="77777777" w:rsidTr="00C63CA2">
        <w:trPr>
          <w:trHeight w:val="290"/>
        </w:trPr>
        <w:tc>
          <w:tcPr>
            <w:tcW w:w="2152" w:type="dxa"/>
            <w:tcBorders>
              <w:top w:val="nil"/>
              <w:left w:val="single" w:sz="4" w:space="0" w:color="auto"/>
              <w:bottom w:val="single" w:sz="4" w:space="0" w:color="auto"/>
              <w:right w:val="nil"/>
            </w:tcBorders>
          </w:tcPr>
          <w:p w14:paraId="5CCC8E6E" w14:textId="77777777" w:rsidR="00C5119A" w:rsidRPr="002B3648" w:rsidRDefault="00C5119A">
            <w:pPr>
              <w:autoSpaceDE w:val="0"/>
              <w:autoSpaceDN w:val="0"/>
              <w:adjustRightInd w:val="0"/>
              <w:spacing w:after="0"/>
              <w:rPr>
                <w:rFonts w:ascii="Calibri" w:hAnsi="Calibri" w:cs="Calibri"/>
                <w:color w:val="000000"/>
                <w:sz w:val="18"/>
                <w:szCs w:val="18"/>
                <w:lang w:val="en-AU"/>
              </w:rPr>
            </w:pPr>
            <w:r w:rsidRPr="002B3648">
              <w:rPr>
                <w:rFonts w:ascii="Calibri" w:hAnsi="Calibri" w:cs="Calibri"/>
                <w:color w:val="000000"/>
                <w:sz w:val="18"/>
                <w:szCs w:val="18"/>
                <w:lang w:val="en-AU"/>
              </w:rPr>
              <w:t>Acrylamide polymer</w:t>
            </w:r>
          </w:p>
        </w:tc>
        <w:tc>
          <w:tcPr>
            <w:tcW w:w="992" w:type="dxa"/>
            <w:tcBorders>
              <w:top w:val="nil"/>
              <w:left w:val="nil"/>
              <w:bottom w:val="single" w:sz="4" w:space="0" w:color="auto"/>
              <w:right w:val="nil"/>
            </w:tcBorders>
            <w:shd w:val="solid" w:color="FFCC99" w:fill="auto"/>
          </w:tcPr>
          <w:p w14:paraId="2E810580" w14:textId="29EA2A99"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c>
          <w:tcPr>
            <w:tcW w:w="1137" w:type="dxa"/>
            <w:tcBorders>
              <w:top w:val="nil"/>
              <w:left w:val="nil"/>
              <w:bottom w:val="single" w:sz="4" w:space="0" w:color="auto"/>
              <w:right w:val="nil"/>
            </w:tcBorders>
            <w:shd w:val="solid" w:color="FFCC99" w:fill="auto"/>
          </w:tcPr>
          <w:p w14:paraId="26BCDCCA" w14:textId="15E2C490"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c>
          <w:tcPr>
            <w:tcW w:w="1131" w:type="dxa"/>
            <w:gridSpan w:val="2"/>
            <w:tcBorders>
              <w:top w:val="nil"/>
              <w:left w:val="nil"/>
              <w:bottom w:val="single" w:sz="4" w:space="0" w:color="auto"/>
              <w:right w:val="nil"/>
            </w:tcBorders>
            <w:shd w:val="solid" w:color="99CCFF" w:fill="auto"/>
          </w:tcPr>
          <w:p w14:paraId="366EEA54" w14:textId="7AB53764"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c>
          <w:tcPr>
            <w:tcW w:w="992" w:type="dxa"/>
            <w:tcBorders>
              <w:top w:val="nil"/>
              <w:left w:val="nil"/>
              <w:bottom w:val="single" w:sz="4" w:space="0" w:color="auto"/>
              <w:right w:val="nil"/>
            </w:tcBorders>
            <w:shd w:val="solid" w:color="99CCFF" w:fill="auto"/>
          </w:tcPr>
          <w:p w14:paraId="58207427" w14:textId="1216826A"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c>
          <w:tcPr>
            <w:tcW w:w="1418" w:type="dxa"/>
            <w:tcBorders>
              <w:top w:val="nil"/>
              <w:left w:val="nil"/>
              <w:bottom w:val="single" w:sz="4" w:space="0" w:color="auto"/>
              <w:right w:val="nil"/>
            </w:tcBorders>
            <w:shd w:val="solid" w:color="FFFFCC" w:fill="auto"/>
          </w:tcPr>
          <w:p w14:paraId="7014DBA0" w14:textId="3C497B55"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c>
          <w:tcPr>
            <w:tcW w:w="850" w:type="dxa"/>
            <w:tcBorders>
              <w:top w:val="nil"/>
              <w:left w:val="nil"/>
              <w:bottom w:val="single" w:sz="4" w:space="0" w:color="auto"/>
              <w:right w:val="single" w:sz="4" w:space="0" w:color="auto"/>
            </w:tcBorders>
            <w:shd w:val="solid" w:color="FFFFCC" w:fill="auto"/>
          </w:tcPr>
          <w:p w14:paraId="6B3A72B2" w14:textId="602E075E" w:rsidR="00C5119A" w:rsidRPr="002B3648" w:rsidRDefault="00C5119A" w:rsidP="009339BB">
            <w:pPr>
              <w:autoSpaceDE w:val="0"/>
              <w:autoSpaceDN w:val="0"/>
              <w:adjustRightInd w:val="0"/>
              <w:spacing w:after="0"/>
              <w:jc w:val="center"/>
              <w:rPr>
                <w:rFonts w:ascii="Calibri" w:hAnsi="Calibri" w:cs="Calibri"/>
                <w:b/>
                <w:bCs/>
                <w:i/>
                <w:color w:val="000000"/>
                <w:sz w:val="18"/>
                <w:szCs w:val="18"/>
                <w:lang w:val="en-AU"/>
              </w:rPr>
            </w:pPr>
            <w:r w:rsidRPr="002B3648">
              <w:rPr>
                <w:rFonts w:ascii="Calibri" w:hAnsi="Calibri" w:cs="Calibri"/>
                <w:b/>
                <w:bCs/>
                <w:i/>
                <w:color w:val="000000"/>
                <w:sz w:val="18"/>
                <w:szCs w:val="18"/>
                <w:lang w:val="en-AU"/>
              </w:rPr>
              <w:t xml:space="preserve"> </w:t>
            </w:r>
            <w:r w:rsidR="009339BB" w:rsidRPr="002B3648">
              <w:rPr>
                <w:rFonts w:ascii="Calibri" w:hAnsi="Calibri" w:cs="Calibri"/>
                <w:b/>
                <w:bCs/>
                <w:i/>
                <w:color w:val="000000"/>
                <w:sz w:val="18"/>
                <w:szCs w:val="18"/>
                <w:lang w:val="en-AU"/>
              </w:rPr>
              <w:t>1</w:t>
            </w:r>
          </w:p>
        </w:tc>
      </w:tr>
    </w:tbl>
    <w:p w14:paraId="7976EC5A" w14:textId="77777777" w:rsidR="00E96A53" w:rsidRDefault="00E96A53" w:rsidP="006810A4">
      <w:pPr>
        <w:pStyle w:val="Imagecaption"/>
        <w:keepNext/>
        <w:pBdr>
          <w:top w:val="none" w:sz="0" w:space="0" w:color="auto"/>
        </w:pBdr>
      </w:pPr>
      <w:bookmarkStart w:id="652" w:name="_Ref454469222"/>
    </w:p>
    <w:p w14:paraId="128740E8" w14:textId="77777777" w:rsidR="004032C3" w:rsidRDefault="004032C3" w:rsidP="006810A4">
      <w:pPr>
        <w:pStyle w:val="Imagecaption"/>
        <w:keepNext/>
        <w:pBdr>
          <w:top w:val="none" w:sz="0" w:space="0" w:color="auto"/>
        </w:pBdr>
      </w:pPr>
    </w:p>
    <w:p w14:paraId="20A800F0" w14:textId="42E6C1BD" w:rsidR="006810A4" w:rsidRDefault="006810A4" w:rsidP="006810A4">
      <w:pPr>
        <w:pStyle w:val="Imagecaption"/>
        <w:keepNext/>
        <w:pBdr>
          <w:top w:val="none" w:sz="0" w:space="0" w:color="auto"/>
        </w:pBdr>
      </w:pPr>
      <w:bookmarkStart w:id="653" w:name="_Ref470800510"/>
      <w:bookmarkStart w:id="654" w:name="_Toc494444732"/>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4</w:t>
      </w:r>
      <w:r w:rsidR="00470577">
        <w:fldChar w:fldCharType="end"/>
      </w:r>
      <w:bookmarkEnd w:id="652"/>
      <w:bookmarkEnd w:id="653"/>
      <w:r>
        <w:t xml:space="preserve"> Calculated relative concentration at receptor for maximum travel time </w:t>
      </w:r>
      <w:r w:rsidR="004D38FA">
        <w:t xml:space="preserve">of 92 years </w:t>
      </w:r>
      <w:r>
        <w:t xml:space="preserve">(travel time class # </w:t>
      </w:r>
      <w:r w:rsidR="00623D00">
        <w:t>3</w:t>
      </w:r>
      <w:r w:rsidR="004D38FA">
        <w:t xml:space="preserve"> </w:t>
      </w:r>
      <w:r w:rsidR="004D38FA">
        <w:fldChar w:fldCharType="begin" w:fldLock="1"/>
      </w:r>
      <w:r w:rsidR="004D38FA">
        <w:instrText xml:space="preserve"> REF _Ref454384797 \h  \* MERGEFORMAT </w:instrText>
      </w:r>
      <w:r w:rsidR="004D38FA">
        <w:fldChar w:fldCharType="separate"/>
      </w:r>
      <w:r w:rsidR="00335E79" w:rsidRPr="00DA539C">
        <w:t xml:space="preserve">Table </w:t>
      </w:r>
      <w:r w:rsidR="00335E79">
        <w:t>2</w:t>
      </w:r>
      <w:r w:rsidR="00335E79">
        <w:noBreakHyphen/>
        <w:t>24</w:t>
      </w:r>
      <w:r w:rsidR="004D38FA">
        <w:fldChar w:fldCharType="end"/>
      </w:r>
      <w:r>
        <w:t>). MCI = Methyl-chloro-isothiazolinone.</w:t>
      </w:r>
      <w:r w:rsidR="00913EB4">
        <w:t xml:space="preserve"> Initial source concentration is 1 (no units s</w:t>
      </w:r>
      <w:r w:rsidR="007D4545">
        <w:t>p</w:t>
      </w:r>
      <w:r w:rsidR="00913EB4">
        <w:t>ecified).</w:t>
      </w:r>
      <w:r>
        <w:t xml:space="preserve"> </w:t>
      </w:r>
      <w:r w:rsidR="007E66BB">
        <w:t xml:space="preserve">Numbers in italics assume absence of </w:t>
      </w:r>
      <w:r w:rsidR="003B5BB4">
        <w:t xml:space="preserve">chemical/biological </w:t>
      </w:r>
      <w:r w:rsidR="007E66BB">
        <w:t>degradation.</w:t>
      </w:r>
      <w:bookmarkEnd w:id="654"/>
    </w:p>
    <w:tbl>
      <w:tblPr>
        <w:tblW w:w="8672" w:type="dxa"/>
        <w:tblInd w:w="-30" w:type="dxa"/>
        <w:tblLayout w:type="fixed"/>
        <w:tblLook w:val="0000" w:firstRow="0" w:lastRow="0" w:firstColumn="0" w:lastColumn="0" w:noHBand="0" w:noVBand="0"/>
      </w:tblPr>
      <w:tblGrid>
        <w:gridCol w:w="2152"/>
        <w:gridCol w:w="850"/>
        <w:gridCol w:w="142"/>
        <w:gridCol w:w="1134"/>
        <w:gridCol w:w="992"/>
        <w:gridCol w:w="142"/>
        <w:gridCol w:w="992"/>
        <w:gridCol w:w="1276"/>
        <w:gridCol w:w="142"/>
        <w:gridCol w:w="850"/>
      </w:tblGrid>
      <w:tr w:rsidR="006810A4" w14:paraId="324D6C7B" w14:textId="77777777" w:rsidTr="005E0336">
        <w:trPr>
          <w:trHeight w:val="290"/>
        </w:trPr>
        <w:tc>
          <w:tcPr>
            <w:tcW w:w="2152" w:type="dxa"/>
            <w:tcBorders>
              <w:top w:val="single" w:sz="4" w:space="0" w:color="auto"/>
              <w:left w:val="single" w:sz="4" w:space="0" w:color="auto"/>
              <w:bottom w:val="nil"/>
              <w:right w:val="nil"/>
            </w:tcBorders>
          </w:tcPr>
          <w:p w14:paraId="6B5D0DCB" w14:textId="77777777" w:rsidR="006810A4" w:rsidRPr="005E0336" w:rsidRDefault="006810A4">
            <w:pPr>
              <w:autoSpaceDE w:val="0"/>
              <w:autoSpaceDN w:val="0"/>
              <w:adjustRightInd w:val="0"/>
              <w:spacing w:after="0"/>
              <w:jc w:val="right"/>
              <w:rPr>
                <w:rFonts w:ascii="Calibri" w:hAnsi="Calibri" w:cs="Calibri"/>
                <w:color w:val="000000"/>
                <w:sz w:val="18"/>
                <w:szCs w:val="18"/>
                <w:lang w:val="en-AU"/>
              </w:rPr>
            </w:pPr>
          </w:p>
        </w:tc>
        <w:tc>
          <w:tcPr>
            <w:tcW w:w="6520" w:type="dxa"/>
            <w:gridSpan w:val="9"/>
            <w:tcBorders>
              <w:top w:val="single" w:sz="4" w:space="0" w:color="auto"/>
              <w:left w:val="nil"/>
              <w:bottom w:val="nil"/>
              <w:right w:val="single" w:sz="4" w:space="0" w:color="auto"/>
            </w:tcBorders>
          </w:tcPr>
          <w:p w14:paraId="3A5D8F40" w14:textId="71031372" w:rsidR="006810A4" w:rsidRPr="005E0336" w:rsidRDefault="006810A4" w:rsidP="005E0336">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 xml:space="preserve">Relative concentration </w:t>
            </w:r>
            <w:r w:rsidR="005E0336" w:rsidRPr="005E0336">
              <w:rPr>
                <w:rFonts w:ascii="Calibri" w:hAnsi="Calibri" w:cs="Calibri"/>
                <w:color w:val="000000"/>
                <w:sz w:val="18"/>
                <w:szCs w:val="18"/>
                <w:lang w:val="en-AU"/>
              </w:rPr>
              <w:t>(-)</w:t>
            </w:r>
            <w:r w:rsidR="005E0336">
              <w:rPr>
                <w:rFonts w:ascii="Calibri" w:hAnsi="Calibri" w:cs="Calibri"/>
                <w:color w:val="000000"/>
                <w:sz w:val="18"/>
                <w:szCs w:val="18"/>
                <w:lang w:val="en-AU"/>
              </w:rPr>
              <w:t xml:space="preserve"> </w:t>
            </w:r>
            <w:r w:rsidRPr="005E0336">
              <w:rPr>
                <w:rFonts w:ascii="Calibri" w:hAnsi="Calibri" w:cs="Calibri"/>
                <w:color w:val="000000"/>
                <w:sz w:val="18"/>
                <w:szCs w:val="18"/>
                <w:lang w:val="en-AU"/>
              </w:rPr>
              <w:t>at receptor: maximum travel time</w:t>
            </w:r>
          </w:p>
        </w:tc>
      </w:tr>
      <w:tr w:rsidR="006810A4" w14:paraId="775A7C06" w14:textId="77777777" w:rsidTr="005E0336">
        <w:trPr>
          <w:trHeight w:val="290"/>
        </w:trPr>
        <w:tc>
          <w:tcPr>
            <w:tcW w:w="2152" w:type="dxa"/>
            <w:tcBorders>
              <w:top w:val="nil"/>
              <w:left w:val="single" w:sz="4" w:space="0" w:color="auto"/>
              <w:bottom w:val="nil"/>
              <w:right w:val="nil"/>
            </w:tcBorders>
          </w:tcPr>
          <w:p w14:paraId="5F47898B" w14:textId="77777777" w:rsidR="006810A4" w:rsidRPr="005E0336" w:rsidRDefault="006810A4">
            <w:pPr>
              <w:autoSpaceDE w:val="0"/>
              <w:autoSpaceDN w:val="0"/>
              <w:adjustRightInd w:val="0"/>
              <w:spacing w:after="0"/>
              <w:jc w:val="right"/>
              <w:rPr>
                <w:rFonts w:ascii="Calibri" w:hAnsi="Calibri" w:cs="Calibri"/>
                <w:color w:val="000000"/>
                <w:sz w:val="18"/>
                <w:szCs w:val="18"/>
                <w:lang w:val="en-AU"/>
              </w:rPr>
            </w:pPr>
          </w:p>
        </w:tc>
        <w:tc>
          <w:tcPr>
            <w:tcW w:w="2126" w:type="dxa"/>
            <w:gridSpan w:val="3"/>
            <w:tcBorders>
              <w:top w:val="nil"/>
              <w:left w:val="nil"/>
              <w:bottom w:val="nil"/>
              <w:right w:val="nil"/>
            </w:tcBorders>
            <w:shd w:val="solid" w:color="FFCC99" w:fill="auto"/>
          </w:tcPr>
          <w:p w14:paraId="4C3A3EC2" w14:textId="2717568D" w:rsidR="006810A4" w:rsidRPr="005E0336" w:rsidRDefault="006810A4">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Anaerobic</w:t>
            </w:r>
          </w:p>
        </w:tc>
        <w:tc>
          <w:tcPr>
            <w:tcW w:w="2126" w:type="dxa"/>
            <w:gridSpan w:val="3"/>
            <w:tcBorders>
              <w:top w:val="nil"/>
              <w:left w:val="nil"/>
              <w:bottom w:val="nil"/>
              <w:right w:val="nil"/>
            </w:tcBorders>
            <w:shd w:val="solid" w:color="99CCFF" w:fill="auto"/>
          </w:tcPr>
          <w:p w14:paraId="4FE1C7D1" w14:textId="682B369D" w:rsidR="006810A4" w:rsidRPr="005E0336" w:rsidRDefault="006810A4">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Aerobic</w:t>
            </w:r>
          </w:p>
        </w:tc>
        <w:tc>
          <w:tcPr>
            <w:tcW w:w="2268" w:type="dxa"/>
            <w:gridSpan w:val="3"/>
            <w:tcBorders>
              <w:top w:val="nil"/>
              <w:left w:val="nil"/>
              <w:bottom w:val="nil"/>
              <w:right w:val="single" w:sz="4" w:space="0" w:color="auto"/>
            </w:tcBorders>
            <w:shd w:val="solid" w:color="FFFFCC" w:fill="auto"/>
          </w:tcPr>
          <w:p w14:paraId="6D8DE36B" w14:textId="350B0B29" w:rsidR="006810A4" w:rsidRPr="005E0336" w:rsidRDefault="006810A4">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Hydrolysis</w:t>
            </w:r>
          </w:p>
        </w:tc>
      </w:tr>
      <w:tr w:rsidR="00C5119A" w14:paraId="502F2C3D" w14:textId="77777777" w:rsidTr="005E0336">
        <w:trPr>
          <w:trHeight w:val="290"/>
        </w:trPr>
        <w:tc>
          <w:tcPr>
            <w:tcW w:w="2152" w:type="dxa"/>
            <w:tcBorders>
              <w:top w:val="nil"/>
              <w:left w:val="single" w:sz="4" w:space="0" w:color="auto"/>
              <w:bottom w:val="single" w:sz="6" w:space="0" w:color="auto"/>
              <w:right w:val="nil"/>
            </w:tcBorders>
          </w:tcPr>
          <w:p w14:paraId="6554F1A1" w14:textId="77777777" w:rsidR="00C5119A" w:rsidRPr="005E0336" w:rsidRDefault="00C5119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Chemical substance</w:t>
            </w:r>
          </w:p>
        </w:tc>
        <w:tc>
          <w:tcPr>
            <w:tcW w:w="850" w:type="dxa"/>
            <w:tcBorders>
              <w:top w:val="nil"/>
              <w:left w:val="nil"/>
              <w:bottom w:val="single" w:sz="6" w:space="0" w:color="auto"/>
              <w:right w:val="nil"/>
            </w:tcBorders>
            <w:shd w:val="solid" w:color="FFCC99" w:fill="auto"/>
          </w:tcPr>
          <w:p w14:paraId="06C6ACA5" w14:textId="598C184E" w:rsidR="00C5119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5E0336">
              <w:rPr>
                <w:rFonts w:ascii="Calibri" w:hAnsi="Calibri" w:cs="Calibri"/>
                <w:color w:val="000000"/>
                <w:sz w:val="18"/>
                <w:szCs w:val="18"/>
                <w:lang w:val="en-AU"/>
              </w:rPr>
              <w:t>in</w:t>
            </w:r>
          </w:p>
        </w:tc>
        <w:tc>
          <w:tcPr>
            <w:tcW w:w="1276" w:type="dxa"/>
            <w:gridSpan w:val="2"/>
            <w:tcBorders>
              <w:top w:val="nil"/>
              <w:left w:val="nil"/>
              <w:bottom w:val="single" w:sz="6" w:space="0" w:color="auto"/>
              <w:right w:val="nil"/>
            </w:tcBorders>
            <w:shd w:val="solid" w:color="FFCC99" w:fill="auto"/>
          </w:tcPr>
          <w:p w14:paraId="0ED9F2C9" w14:textId="3D361E40" w:rsidR="00C5119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5E0336">
              <w:rPr>
                <w:rFonts w:ascii="Calibri" w:hAnsi="Calibri" w:cs="Calibri"/>
                <w:color w:val="000000"/>
                <w:sz w:val="18"/>
                <w:szCs w:val="18"/>
                <w:lang w:val="en-AU"/>
              </w:rPr>
              <w:t>ax</w:t>
            </w:r>
          </w:p>
        </w:tc>
        <w:tc>
          <w:tcPr>
            <w:tcW w:w="992" w:type="dxa"/>
            <w:tcBorders>
              <w:top w:val="nil"/>
              <w:left w:val="nil"/>
              <w:bottom w:val="single" w:sz="6" w:space="0" w:color="auto"/>
              <w:right w:val="nil"/>
            </w:tcBorders>
            <w:shd w:val="solid" w:color="99CCFF" w:fill="auto"/>
          </w:tcPr>
          <w:p w14:paraId="5A43CF60" w14:textId="2DDD10CE" w:rsidR="00C5119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5E0336">
              <w:rPr>
                <w:rFonts w:ascii="Calibri" w:hAnsi="Calibri" w:cs="Calibri"/>
                <w:color w:val="000000"/>
                <w:sz w:val="18"/>
                <w:szCs w:val="18"/>
                <w:lang w:val="en-AU"/>
              </w:rPr>
              <w:t>in</w:t>
            </w:r>
          </w:p>
        </w:tc>
        <w:tc>
          <w:tcPr>
            <w:tcW w:w="1134" w:type="dxa"/>
            <w:gridSpan w:val="2"/>
            <w:tcBorders>
              <w:top w:val="nil"/>
              <w:left w:val="nil"/>
              <w:bottom w:val="single" w:sz="6" w:space="0" w:color="auto"/>
              <w:right w:val="nil"/>
            </w:tcBorders>
            <w:shd w:val="solid" w:color="99CCFF" w:fill="auto"/>
          </w:tcPr>
          <w:p w14:paraId="76778537" w14:textId="19F75D5B" w:rsidR="00C5119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5E0336">
              <w:rPr>
                <w:rFonts w:ascii="Calibri" w:hAnsi="Calibri" w:cs="Calibri"/>
                <w:color w:val="000000"/>
                <w:sz w:val="18"/>
                <w:szCs w:val="18"/>
                <w:lang w:val="en-AU"/>
              </w:rPr>
              <w:t>ax</w:t>
            </w:r>
          </w:p>
        </w:tc>
        <w:tc>
          <w:tcPr>
            <w:tcW w:w="1276" w:type="dxa"/>
            <w:tcBorders>
              <w:top w:val="nil"/>
              <w:left w:val="nil"/>
              <w:bottom w:val="single" w:sz="6" w:space="0" w:color="auto"/>
              <w:right w:val="nil"/>
            </w:tcBorders>
            <w:shd w:val="solid" w:color="FFFFCC" w:fill="auto"/>
          </w:tcPr>
          <w:p w14:paraId="623E8C09" w14:textId="456B3902" w:rsidR="00C5119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5E0336">
              <w:rPr>
                <w:rFonts w:ascii="Calibri" w:hAnsi="Calibri" w:cs="Calibri"/>
                <w:color w:val="000000"/>
                <w:sz w:val="18"/>
                <w:szCs w:val="18"/>
                <w:lang w:val="en-AU"/>
              </w:rPr>
              <w:t>in</w:t>
            </w:r>
          </w:p>
        </w:tc>
        <w:tc>
          <w:tcPr>
            <w:tcW w:w="992" w:type="dxa"/>
            <w:gridSpan w:val="2"/>
            <w:tcBorders>
              <w:top w:val="nil"/>
              <w:left w:val="nil"/>
              <w:bottom w:val="single" w:sz="6" w:space="0" w:color="auto"/>
              <w:right w:val="single" w:sz="4" w:space="0" w:color="auto"/>
            </w:tcBorders>
            <w:shd w:val="solid" w:color="FFFFCC" w:fill="auto"/>
          </w:tcPr>
          <w:p w14:paraId="148F1541" w14:textId="1142B8D6" w:rsidR="00C5119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5119A" w:rsidRPr="005E0336">
              <w:rPr>
                <w:rFonts w:ascii="Calibri" w:hAnsi="Calibri" w:cs="Calibri"/>
                <w:color w:val="000000"/>
                <w:sz w:val="18"/>
                <w:szCs w:val="18"/>
                <w:lang w:val="en-AU"/>
              </w:rPr>
              <w:t>ax</w:t>
            </w:r>
          </w:p>
        </w:tc>
      </w:tr>
      <w:tr w:rsidR="00C5119A" w14:paraId="5C8CE2B7" w14:textId="77777777" w:rsidTr="005E0336">
        <w:trPr>
          <w:trHeight w:val="290"/>
        </w:trPr>
        <w:tc>
          <w:tcPr>
            <w:tcW w:w="2152" w:type="dxa"/>
            <w:tcBorders>
              <w:top w:val="nil"/>
              <w:left w:val="single" w:sz="4" w:space="0" w:color="auto"/>
              <w:bottom w:val="nil"/>
              <w:right w:val="nil"/>
            </w:tcBorders>
          </w:tcPr>
          <w:p w14:paraId="3CC100E5" w14:textId="77777777" w:rsidR="00C5119A" w:rsidRPr="005E0336" w:rsidRDefault="00C5119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2-methylphenol</w:t>
            </w:r>
          </w:p>
        </w:tc>
        <w:tc>
          <w:tcPr>
            <w:tcW w:w="992" w:type="dxa"/>
            <w:gridSpan w:val="2"/>
            <w:tcBorders>
              <w:top w:val="nil"/>
              <w:left w:val="nil"/>
              <w:bottom w:val="nil"/>
              <w:right w:val="nil"/>
            </w:tcBorders>
            <w:shd w:val="solid" w:color="FFCC99" w:fill="auto"/>
          </w:tcPr>
          <w:p w14:paraId="534C17C6"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1134" w:type="dxa"/>
            <w:tcBorders>
              <w:top w:val="nil"/>
              <w:left w:val="nil"/>
              <w:bottom w:val="nil"/>
              <w:right w:val="nil"/>
            </w:tcBorders>
            <w:shd w:val="solid" w:color="FFCC99" w:fill="auto"/>
          </w:tcPr>
          <w:p w14:paraId="2938E4D1" w14:textId="12450322" w:rsidR="00C5119A" w:rsidRPr="005E0336" w:rsidRDefault="00C94A44">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5.4E-8</w:t>
            </w:r>
          </w:p>
        </w:tc>
        <w:tc>
          <w:tcPr>
            <w:tcW w:w="1134" w:type="dxa"/>
            <w:gridSpan w:val="2"/>
            <w:tcBorders>
              <w:top w:val="nil"/>
              <w:left w:val="nil"/>
              <w:bottom w:val="nil"/>
              <w:right w:val="nil"/>
            </w:tcBorders>
            <w:shd w:val="solid" w:color="99CCFF" w:fill="auto"/>
          </w:tcPr>
          <w:p w14:paraId="06AEF042"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0043CEA6"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1418" w:type="dxa"/>
            <w:gridSpan w:val="2"/>
            <w:tcBorders>
              <w:top w:val="nil"/>
              <w:left w:val="nil"/>
              <w:bottom w:val="nil"/>
              <w:right w:val="nil"/>
            </w:tcBorders>
            <w:shd w:val="solid" w:color="FFFFCC" w:fill="auto"/>
          </w:tcPr>
          <w:p w14:paraId="445B7266" w14:textId="68AE4B0A"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c>
          <w:tcPr>
            <w:tcW w:w="850" w:type="dxa"/>
            <w:tcBorders>
              <w:top w:val="nil"/>
              <w:left w:val="nil"/>
              <w:bottom w:val="nil"/>
              <w:right w:val="single" w:sz="4" w:space="0" w:color="auto"/>
            </w:tcBorders>
            <w:shd w:val="solid" w:color="FFFFCC" w:fill="auto"/>
          </w:tcPr>
          <w:p w14:paraId="03408076" w14:textId="7E12C44D"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r>
      <w:tr w:rsidR="00C5119A" w14:paraId="5F7D0444" w14:textId="77777777" w:rsidTr="005E0336">
        <w:trPr>
          <w:trHeight w:val="290"/>
        </w:trPr>
        <w:tc>
          <w:tcPr>
            <w:tcW w:w="2152" w:type="dxa"/>
            <w:tcBorders>
              <w:top w:val="nil"/>
              <w:left w:val="single" w:sz="4" w:space="0" w:color="auto"/>
              <w:bottom w:val="nil"/>
              <w:right w:val="nil"/>
            </w:tcBorders>
          </w:tcPr>
          <w:p w14:paraId="23E27B00" w14:textId="77777777" w:rsidR="00C5119A" w:rsidRPr="005E0336" w:rsidRDefault="00C5119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Naphthalene</w:t>
            </w:r>
          </w:p>
        </w:tc>
        <w:tc>
          <w:tcPr>
            <w:tcW w:w="992" w:type="dxa"/>
            <w:gridSpan w:val="2"/>
            <w:tcBorders>
              <w:top w:val="nil"/>
              <w:left w:val="nil"/>
              <w:bottom w:val="nil"/>
              <w:right w:val="nil"/>
            </w:tcBorders>
            <w:shd w:val="solid" w:color="FFCC99" w:fill="auto"/>
          </w:tcPr>
          <w:p w14:paraId="4295646D"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1134" w:type="dxa"/>
            <w:tcBorders>
              <w:top w:val="nil"/>
              <w:left w:val="nil"/>
              <w:bottom w:val="nil"/>
              <w:right w:val="nil"/>
            </w:tcBorders>
            <w:shd w:val="solid" w:color="FFCC99" w:fill="auto"/>
          </w:tcPr>
          <w:p w14:paraId="783A70A0" w14:textId="47B99159" w:rsidR="00C5119A" w:rsidRPr="005E0336" w:rsidRDefault="00DC1498"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1</w:t>
            </w:r>
          </w:p>
        </w:tc>
        <w:tc>
          <w:tcPr>
            <w:tcW w:w="1134" w:type="dxa"/>
            <w:gridSpan w:val="2"/>
            <w:tcBorders>
              <w:top w:val="nil"/>
              <w:left w:val="nil"/>
              <w:bottom w:val="nil"/>
              <w:right w:val="nil"/>
            </w:tcBorders>
            <w:shd w:val="solid" w:color="99CCFF" w:fill="auto"/>
          </w:tcPr>
          <w:p w14:paraId="74FFB1D1"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10559D55"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1418" w:type="dxa"/>
            <w:gridSpan w:val="2"/>
            <w:tcBorders>
              <w:top w:val="nil"/>
              <w:left w:val="nil"/>
              <w:bottom w:val="nil"/>
              <w:right w:val="nil"/>
            </w:tcBorders>
            <w:shd w:val="solid" w:color="FFFFCC" w:fill="auto"/>
          </w:tcPr>
          <w:p w14:paraId="3F8189D7" w14:textId="643B1580"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c>
          <w:tcPr>
            <w:tcW w:w="850" w:type="dxa"/>
            <w:tcBorders>
              <w:top w:val="nil"/>
              <w:left w:val="nil"/>
              <w:bottom w:val="nil"/>
              <w:right w:val="single" w:sz="4" w:space="0" w:color="auto"/>
            </w:tcBorders>
            <w:shd w:val="solid" w:color="FFFFCC" w:fill="auto"/>
          </w:tcPr>
          <w:p w14:paraId="6791CD47" w14:textId="5A760E63"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r>
      <w:tr w:rsidR="00C5119A" w14:paraId="1A17EF84" w14:textId="77777777" w:rsidTr="005E0336">
        <w:trPr>
          <w:trHeight w:val="290"/>
        </w:trPr>
        <w:tc>
          <w:tcPr>
            <w:tcW w:w="2152" w:type="dxa"/>
            <w:tcBorders>
              <w:top w:val="nil"/>
              <w:left w:val="single" w:sz="4" w:space="0" w:color="auto"/>
              <w:bottom w:val="nil"/>
              <w:right w:val="nil"/>
            </w:tcBorders>
          </w:tcPr>
          <w:p w14:paraId="5A199EFC" w14:textId="77777777" w:rsidR="00C5119A" w:rsidRPr="005E0336" w:rsidRDefault="00C5119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Limonene</w:t>
            </w:r>
          </w:p>
        </w:tc>
        <w:tc>
          <w:tcPr>
            <w:tcW w:w="992" w:type="dxa"/>
            <w:gridSpan w:val="2"/>
            <w:tcBorders>
              <w:top w:val="nil"/>
              <w:left w:val="nil"/>
              <w:bottom w:val="nil"/>
              <w:right w:val="nil"/>
            </w:tcBorders>
            <w:shd w:val="solid" w:color="FFCC99" w:fill="auto"/>
          </w:tcPr>
          <w:p w14:paraId="23F5142C" w14:textId="7E4C9F51" w:rsidR="00C5119A" w:rsidRPr="005E0336" w:rsidRDefault="00C5119A"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w:t>
            </w:r>
            <w:r w:rsidR="00DC1498" w:rsidRPr="005E0336">
              <w:rPr>
                <w:rFonts w:ascii="Calibri" w:hAnsi="Calibri" w:cs="Calibri"/>
                <w:b/>
                <w:bCs/>
                <w:i/>
                <w:color w:val="000000"/>
                <w:sz w:val="18"/>
                <w:szCs w:val="18"/>
                <w:lang w:val="en-AU"/>
              </w:rPr>
              <w:t>1</w:t>
            </w:r>
          </w:p>
        </w:tc>
        <w:tc>
          <w:tcPr>
            <w:tcW w:w="1134" w:type="dxa"/>
            <w:tcBorders>
              <w:top w:val="nil"/>
              <w:left w:val="nil"/>
              <w:bottom w:val="nil"/>
              <w:right w:val="nil"/>
            </w:tcBorders>
            <w:shd w:val="solid" w:color="FFCC99" w:fill="auto"/>
          </w:tcPr>
          <w:p w14:paraId="0C13A1AC" w14:textId="3B10CB8F"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c>
          <w:tcPr>
            <w:tcW w:w="1134" w:type="dxa"/>
            <w:gridSpan w:val="2"/>
            <w:tcBorders>
              <w:top w:val="nil"/>
              <w:left w:val="nil"/>
              <w:bottom w:val="nil"/>
              <w:right w:val="nil"/>
            </w:tcBorders>
            <w:shd w:val="solid" w:color="99CCFF" w:fill="auto"/>
          </w:tcPr>
          <w:p w14:paraId="682DF41C"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45FAD1F4"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1418" w:type="dxa"/>
            <w:gridSpan w:val="2"/>
            <w:tcBorders>
              <w:top w:val="nil"/>
              <w:left w:val="nil"/>
              <w:bottom w:val="nil"/>
              <w:right w:val="nil"/>
            </w:tcBorders>
            <w:shd w:val="solid" w:color="FFFFCC" w:fill="auto"/>
          </w:tcPr>
          <w:p w14:paraId="42555A2D" w14:textId="378E49B4" w:rsidR="00C5119A" w:rsidRPr="005E0336" w:rsidRDefault="00C5119A"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w:t>
            </w:r>
            <w:r w:rsidR="00DC1498" w:rsidRPr="005E0336">
              <w:rPr>
                <w:rFonts w:ascii="Calibri" w:hAnsi="Calibri" w:cs="Calibri"/>
                <w:b/>
                <w:bCs/>
                <w:i/>
                <w:color w:val="000000"/>
                <w:sz w:val="18"/>
                <w:szCs w:val="18"/>
                <w:lang w:val="en-AU"/>
              </w:rPr>
              <w:t>1</w:t>
            </w:r>
          </w:p>
        </w:tc>
        <w:tc>
          <w:tcPr>
            <w:tcW w:w="850" w:type="dxa"/>
            <w:tcBorders>
              <w:top w:val="nil"/>
              <w:left w:val="nil"/>
              <w:bottom w:val="nil"/>
              <w:right w:val="single" w:sz="4" w:space="0" w:color="auto"/>
            </w:tcBorders>
            <w:shd w:val="solid" w:color="FFFFCC" w:fill="auto"/>
          </w:tcPr>
          <w:p w14:paraId="5F7156B3" w14:textId="65ED844F"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r>
      <w:tr w:rsidR="00C5119A" w14:paraId="74EE7181" w14:textId="77777777" w:rsidTr="005E0336">
        <w:trPr>
          <w:trHeight w:val="290"/>
        </w:trPr>
        <w:tc>
          <w:tcPr>
            <w:tcW w:w="2152" w:type="dxa"/>
            <w:tcBorders>
              <w:top w:val="nil"/>
              <w:left w:val="single" w:sz="4" w:space="0" w:color="auto"/>
              <w:bottom w:val="nil"/>
              <w:right w:val="nil"/>
            </w:tcBorders>
          </w:tcPr>
          <w:p w14:paraId="234C504E" w14:textId="77777777" w:rsidR="00C5119A" w:rsidRPr="005E0336" w:rsidRDefault="00C5119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HMX</w:t>
            </w:r>
          </w:p>
        </w:tc>
        <w:tc>
          <w:tcPr>
            <w:tcW w:w="992" w:type="dxa"/>
            <w:gridSpan w:val="2"/>
            <w:tcBorders>
              <w:top w:val="nil"/>
              <w:left w:val="nil"/>
              <w:bottom w:val="nil"/>
              <w:right w:val="nil"/>
            </w:tcBorders>
            <w:shd w:val="solid" w:color="FFCC99" w:fill="auto"/>
          </w:tcPr>
          <w:p w14:paraId="41B18066" w14:textId="72DFFDFD" w:rsidR="00C5119A" w:rsidRPr="005E0336" w:rsidRDefault="0057342D">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 xml:space="preserve"> 0</w:t>
            </w:r>
          </w:p>
        </w:tc>
        <w:tc>
          <w:tcPr>
            <w:tcW w:w="1134" w:type="dxa"/>
            <w:tcBorders>
              <w:top w:val="nil"/>
              <w:left w:val="nil"/>
              <w:bottom w:val="nil"/>
              <w:right w:val="nil"/>
            </w:tcBorders>
            <w:shd w:val="solid" w:color="FFCC99" w:fill="auto"/>
          </w:tcPr>
          <w:p w14:paraId="5197AE82" w14:textId="5C29C5C5" w:rsidR="00C5119A" w:rsidRPr="005E0336" w:rsidRDefault="0057342D">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 xml:space="preserve"> 0</w:t>
            </w:r>
          </w:p>
        </w:tc>
        <w:tc>
          <w:tcPr>
            <w:tcW w:w="1134" w:type="dxa"/>
            <w:gridSpan w:val="2"/>
            <w:tcBorders>
              <w:top w:val="nil"/>
              <w:left w:val="nil"/>
              <w:bottom w:val="nil"/>
              <w:right w:val="nil"/>
            </w:tcBorders>
            <w:shd w:val="solid" w:color="99CCFF" w:fill="auto"/>
          </w:tcPr>
          <w:p w14:paraId="430E88D1" w14:textId="7400A35C"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c>
          <w:tcPr>
            <w:tcW w:w="992" w:type="dxa"/>
            <w:tcBorders>
              <w:top w:val="nil"/>
              <w:left w:val="nil"/>
              <w:bottom w:val="nil"/>
              <w:right w:val="nil"/>
            </w:tcBorders>
            <w:shd w:val="solid" w:color="99CCFF" w:fill="auto"/>
          </w:tcPr>
          <w:p w14:paraId="1FA3A0BB" w14:textId="132E9E42" w:rsidR="00C5119A" w:rsidRPr="005E0336" w:rsidRDefault="00C5119A"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w:t>
            </w:r>
            <w:r w:rsidR="00DC1498" w:rsidRPr="005E0336">
              <w:rPr>
                <w:rFonts w:ascii="Calibri" w:hAnsi="Calibri" w:cs="Calibri"/>
                <w:b/>
                <w:bCs/>
                <w:i/>
                <w:color w:val="000000"/>
                <w:sz w:val="18"/>
                <w:szCs w:val="18"/>
                <w:lang w:val="en-AU"/>
              </w:rPr>
              <w:t>1</w:t>
            </w:r>
          </w:p>
        </w:tc>
        <w:tc>
          <w:tcPr>
            <w:tcW w:w="1418" w:type="dxa"/>
            <w:gridSpan w:val="2"/>
            <w:tcBorders>
              <w:top w:val="nil"/>
              <w:left w:val="nil"/>
              <w:bottom w:val="nil"/>
              <w:right w:val="nil"/>
            </w:tcBorders>
            <w:shd w:val="solid" w:color="FFFFCC" w:fill="auto"/>
          </w:tcPr>
          <w:p w14:paraId="6359E180"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850" w:type="dxa"/>
            <w:tcBorders>
              <w:top w:val="nil"/>
              <w:left w:val="nil"/>
              <w:bottom w:val="nil"/>
              <w:right w:val="single" w:sz="4" w:space="0" w:color="auto"/>
            </w:tcBorders>
            <w:shd w:val="solid" w:color="FFFFCC" w:fill="auto"/>
          </w:tcPr>
          <w:p w14:paraId="0A2CD4DA"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r>
      <w:tr w:rsidR="00C5119A" w14:paraId="4B8A5B5D" w14:textId="77777777" w:rsidTr="005E0336">
        <w:trPr>
          <w:trHeight w:val="290"/>
        </w:trPr>
        <w:tc>
          <w:tcPr>
            <w:tcW w:w="2152" w:type="dxa"/>
            <w:tcBorders>
              <w:top w:val="nil"/>
              <w:left w:val="single" w:sz="4" w:space="0" w:color="auto"/>
              <w:bottom w:val="nil"/>
              <w:right w:val="nil"/>
            </w:tcBorders>
          </w:tcPr>
          <w:p w14:paraId="7A85588C" w14:textId="77777777" w:rsidR="00C5119A" w:rsidRPr="005E0336" w:rsidRDefault="00C5119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2-butoxyethanol</w:t>
            </w:r>
          </w:p>
        </w:tc>
        <w:tc>
          <w:tcPr>
            <w:tcW w:w="992" w:type="dxa"/>
            <w:gridSpan w:val="2"/>
            <w:tcBorders>
              <w:top w:val="nil"/>
              <w:left w:val="nil"/>
              <w:right w:val="nil"/>
            </w:tcBorders>
            <w:shd w:val="solid" w:color="FFCC99" w:fill="auto"/>
          </w:tcPr>
          <w:p w14:paraId="68A2E845" w14:textId="1B0E24BB" w:rsidR="00C5119A" w:rsidRPr="005E0336" w:rsidRDefault="0057342D">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 xml:space="preserve"> 0</w:t>
            </w:r>
          </w:p>
        </w:tc>
        <w:tc>
          <w:tcPr>
            <w:tcW w:w="1134" w:type="dxa"/>
            <w:tcBorders>
              <w:top w:val="nil"/>
              <w:left w:val="nil"/>
              <w:bottom w:val="nil"/>
              <w:right w:val="nil"/>
            </w:tcBorders>
            <w:shd w:val="solid" w:color="FFCC99" w:fill="auto"/>
          </w:tcPr>
          <w:p w14:paraId="4CB5912F" w14:textId="723C32ED" w:rsidR="00C5119A" w:rsidRPr="005E0336" w:rsidRDefault="0057342D">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 xml:space="preserve"> 0</w:t>
            </w:r>
          </w:p>
        </w:tc>
        <w:tc>
          <w:tcPr>
            <w:tcW w:w="1134" w:type="dxa"/>
            <w:gridSpan w:val="2"/>
            <w:tcBorders>
              <w:top w:val="nil"/>
              <w:left w:val="nil"/>
              <w:bottom w:val="nil"/>
              <w:right w:val="nil"/>
            </w:tcBorders>
            <w:shd w:val="solid" w:color="99CCFF" w:fill="auto"/>
          </w:tcPr>
          <w:p w14:paraId="6C8F840D"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58C9C79B"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1418" w:type="dxa"/>
            <w:gridSpan w:val="2"/>
            <w:tcBorders>
              <w:top w:val="nil"/>
              <w:left w:val="nil"/>
              <w:bottom w:val="nil"/>
              <w:right w:val="nil"/>
            </w:tcBorders>
            <w:shd w:val="solid" w:color="FFFFCC" w:fill="auto"/>
          </w:tcPr>
          <w:p w14:paraId="4FFB59E7" w14:textId="18086504"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c>
          <w:tcPr>
            <w:tcW w:w="850" w:type="dxa"/>
            <w:tcBorders>
              <w:top w:val="nil"/>
              <w:left w:val="nil"/>
              <w:bottom w:val="nil"/>
              <w:right w:val="single" w:sz="4" w:space="0" w:color="auto"/>
            </w:tcBorders>
            <w:shd w:val="solid" w:color="FFFFCC" w:fill="auto"/>
          </w:tcPr>
          <w:p w14:paraId="78B4CF87" w14:textId="54476733" w:rsidR="00C5119A" w:rsidRPr="005E0336" w:rsidRDefault="00C5119A"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w:t>
            </w:r>
            <w:r w:rsidR="00DC1498" w:rsidRPr="005E0336">
              <w:rPr>
                <w:rFonts w:ascii="Calibri" w:hAnsi="Calibri" w:cs="Calibri"/>
                <w:b/>
                <w:bCs/>
                <w:i/>
                <w:color w:val="000000"/>
                <w:sz w:val="18"/>
                <w:szCs w:val="18"/>
                <w:lang w:val="en-AU"/>
              </w:rPr>
              <w:t>1</w:t>
            </w:r>
          </w:p>
        </w:tc>
      </w:tr>
      <w:tr w:rsidR="00C5119A" w14:paraId="01A3B9EB" w14:textId="77777777" w:rsidTr="005E0336">
        <w:trPr>
          <w:trHeight w:val="290"/>
        </w:trPr>
        <w:tc>
          <w:tcPr>
            <w:tcW w:w="2152" w:type="dxa"/>
            <w:tcBorders>
              <w:top w:val="nil"/>
              <w:left w:val="single" w:sz="4" w:space="0" w:color="auto"/>
              <w:bottom w:val="nil"/>
              <w:right w:val="nil"/>
            </w:tcBorders>
          </w:tcPr>
          <w:p w14:paraId="15DFD93A" w14:textId="77777777" w:rsidR="00C5119A" w:rsidRPr="005E0336" w:rsidRDefault="00C5119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Bronopol</w:t>
            </w:r>
          </w:p>
        </w:tc>
        <w:tc>
          <w:tcPr>
            <w:tcW w:w="992" w:type="dxa"/>
            <w:gridSpan w:val="2"/>
            <w:tcBorders>
              <w:top w:val="nil"/>
              <w:left w:val="nil"/>
              <w:bottom w:val="nil"/>
              <w:right w:val="nil"/>
            </w:tcBorders>
            <w:shd w:val="solid" w:color="FFCC99" w:fill="auto"/>
          </w:tcPr>
          <w:p w14:paraId="479D42C3" w14:textId="46C7559C"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c>
          <w:tcPr>
            <w:tcW w:w="1134" w:type="dxa"/>
            <w:tcBorders>
              <w:top w:val="nil"/>
              <w:left w:val="nil"/>
              <w:bottom w:val="nil"/>
              <w:right w:val="nil"/>
            </w:tcBorders>
            <w:shd w:val="solid" w:color="FFCC99" w:fill="auto"/>
          </w:tcPr>
          <w:p w14:paraId="7717119F" w14:textId="7DA71397"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c>
          <w:tcPr>
            <w:tcW w:w="1134" w:type="dxa"/>
            <w:gridSpan w:val="2"/>
            <w:tcBorders>
              <w:top w:val="nil"/>
              <w:left w:val="nil"/>
              <w:bottom w:val="nil"/>
              <w:right w:val="nil"/>
            </w:tcBorders>
            <w:shd w:val="solid" w:color="99CCFF" w:fill="auto"/>
          </w:tcPr>
          <w:p w14:paraId="4B0BF859" w14:textId="6B8F2210"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c>
          <w:tcPr>
            <w:tcW w:w="992" w:type="dxa"/>
            <w:tcBorders>
              <w:top w:val="nil"/>
              <w:left w:val="nil"/>
              <w:bottom w:val="nil"/>
              <w:right w:val="nil"/>
            </w:tcBorders>
            <w:shd w:val="solid" w:color="99CCFF" w:fill="auto"/>
          </w:tcPr>
          <w:p w14:paraId="25434447" w14:textId="29C933A2" w:rsidR="00C5119A" w:rsidRPr="005E0336" w:rsidRDefault="00DC1498"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1</w:t>
            </w:r>
          </w:p>
        </w:tc>
        <w:tc>
          <w:tcPr>
            <w:tcW w:w="1418" w:type="dxa"/>
            <w:gridSpan w:val="2"/>
            <w:tcBorders>
              <w:top w:val="nil"/>
              <w:left w:val="nil"/>
              <w:bottom w:val="nil"/>
              <w:right w:val="nil"/>
            </w:tcBorders>
            <w:shd w:val="solid" w:color="FFFFCC" w:fill="auto"/>
          </w:tcPr>
          <w:p w14:paraId="209F1862"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850" w:type="dxa"/>
            <w:tcBorders>
              <w:top w:val="nil"/>
              <w:left w:val="nil"/>
              <w:bottom w:val="nil"/>
              <w:right w:val="single" w:sz="4" w:space="0" w:color="auto"/>
            </w:tcBorders>
            <w:shd w:val="solid" w:color="FFFFCC" w:fill="auto"/>
          </w:tcPr>
          <w:p w14:paraId="1277311C" w14:textId="77777777" w:rsidR="00C5119A" w:rsidRPr="005E0336" w:rsidRDefault="00C5119A">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r>
      <w:tr w:rsidR="006810A4" w14:paraId="7F6284C0" w14:textId="77777777" w:rsidTr="005E0336">
        <w:trPr>
          <w:trHeight w:val="290"/>
        </w:trPr>
        <w:tc>
          <w:tcPr>
            <w:tcW w:w="2152" w:type="dxa"/>
            <w:tcBorders>
              <w:top w:val="nil"/>
              <w:left w:val="single" w:sz="4" w:space="0" w:color="auto"/>
              <w:bottom w:val="nil"/>
              <w:right w:val="nil"/>
            </w:tcBorders>
          </w:tcPr>
          <w:p w14:paraId="220BCE3C" w14:textId="77777777" w:rsidR="006810A4" w:rsidRPr="005E0336" w:rsidRDefault="006810A4" w:rsidP="006810A4">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MCI</w:t>
            </w:r>
          </w:p>
        </w:tc>
        <w:tc>
          <w:tcPr>
            <w:tcW w:w="992" w:type="dxa"/>
            <w:gridSpan w:val="2"/>
            <w:tcBorders>
              <w:top w:val="nil"/>
              <w:left w:val="single" w:sz="4" w:space="0" w:color="auto"/>
              <w:bottom w:val="nil"/>
              <w:right w:val="nil"/>
            </w:tcBorders>
            <w:shd w:val="clear" w:color="auto" w:fill="FFCC99"/>
          </w:tcPr>
          <w:p w14:paraId="01202F70" w14:textId="11760B04" w:rsidR="006810A4" w:rsidRPr="005E0336" w:rsidRDefault="0057342D" w:rsidP="006810A4">
            <w:pPr>
              <w:autoSpaceDE w:val="0"/>
              <w:autoSpaceDN w:val="0"/>
              <w:adjustRightInd w:val="0"/>
              <w:spacing w:after="0"/>
              <w:jc w:val="center"/>
              <w:rPr>
                <w:rFonts w:ascii="Calibri" w:hAnsi="Calibri" w:cs="Calibri"/>
                <w:b/>
                <w:color w:val="000000"/>
                <w:sz w:val="18"/>
                <w:szCs w:val="18"/>
                <w:lang w:val="en-AU"/>
              </w:rPr>
            </w:pPr>
            <w:r w:rsidRPr="005E0336">
              <w:rPr>
                <w:rFonts w:ascii="Calibri" w:hAnsi="Calibri" w:cs="Calibri"/>
                <w:b/>
                <w:color w:val="000000"/>
                <w:sz w:val="18"/>
                <w:szCs w:val="18"/>
                <w:lang w:val="en-AU"/>
              </w:rPr>
              <w:t>0</w:t>
            </w:r>
          </w:p>
        </w:tc>
        <w:tc>
          <w:tcPr>
            <w:tcW w:w="1134" w:type="dxa"/>
            <w:tcBorders>
              <w:top w:val="nil"/>
              <w:left w:val="nil"/>
              <w:bottom w:val="nil"/>
              <w:right w:val="nil"/>
            </w:tcBorders>
            <w:shd w:val="solid" w:color="FFCC99" w:fill="auto"/>
          </w:tcPr>
          <w:p w14:paraId="08ADD803" w14:textId="77777777" w:rsidR="006810A4" w:rsidRPr="005E0336" w:rsidRDefault="006810A4">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1134" w:type="dxa"/>
            <w:gridSpan w:val="2"/>
            <w:tcBorders>
              <w:top w:val="nil"/>
              <w:left w:val="nil"/>
              <w:bottom w:val="nil"/>
              <w:right w:val="nil"/>
            </w:tcBorders>
            <w:shd w:val="solid" w:color="99CCFF" w:fill="auto"/>
          </w:tcPr>
          <w:p w14:paraId="1044B233" w14:textId="787CA23E" w:rsidR="006810A4" w:rsidRPr="005E0336" w:rsidRDefault="0057342D">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 xml:space="preserve"> 0</w:t>
            </w:r>
          </w:p>
        </w:tc>
        <w:tc>
          <w:tcPr>
            <w:tcW w:w="992" w:type="dxa"/>
            <w:tcBorders>
              <w:top w:val="nil"/>
              <w:left w:val="nil"/>
              <w:bottom w:val="nil"/>
              <w:right w:val="nil"/>
            </w:tcBorders>
            <w:shd w:val="solid" w:color="99CCFF" w:fill="auto"/>
          </w:tcPr>
          <w:p w14:paraId="36751077" w14:textId="3C1D4C0B" w:rsidR="006810A4" w:rsidRPr="005E0336" w:rsidRDefault="0057342D">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 xml:space="preserve"> 0</w:t>
            </w:r>
          </w:p>
        </w:tc>
        <w:tc>
          <w:tcPr>
            <w:tcW w:w="1418" w:type="dxa"/>
            <w:gridSpan w:val="2"/>
            <w:tcBorders>
              <w:top w:val="nil"/>
              <w:left w:val="nil"/>
              <w:bottom w:val="nil"/>
              <w:right w:val="nil"/>
            </w:tcBorders>
            <w:shd w:val="solid" w:color="FFFFCC" w:fill="auto"/>
          </w:tcPr>
          <w:p w14:paraId="44057913" w14:textId="1D006295" w:rsidR="006810A4" w:rsidRPr="005E0336" w:rsidRDefault="0057342D">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c>
          <w:tcPr>
            <w:tcW w:w="850" w:type="dxa"/>
            <w:tcBorders>
              <w:top w:val="nil"/>
              <w:left w:val="nil"/>
              <w:bottom w:val="nil"/>
              <w:right w:val="single" w:sz="4" w:space="0" w:color="auto"/>
            </w:tcBorders>
            <w:shd w:val="solid" w:color="FFFFCC" w:fill="auto"/>
          </w:tcPr>
          <w:p w14:paraId="2102B18F" w14:textId="77777777" w:rsidR="006810A4" w:rsidRPr="005E0336" w:rsidRDefault="006810A4">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bCs/>
                <w:color w:val="000000"/>
                <w:sz w:val="18"/>
                <w:szCs w:val="18"/>
                <w:lang w:val="en-AU"/>
              </w:rPr>
              <w:t>0</w:t>
            </w:r>
          </w:p>
        </w:tc>
      </w:tr>
      <w:tr w:rsidR="00C5119A" w14:paraId="01476643" w14:textId="77777777" w:rsidTr="005E0336">
        <w:trPr>
          <w:trHeight w:val="290"/>
        </w:trPr>
        <w:tc>
          <w:tcPr>
            <w:tcW w:w="2152" w:type="dxa"/>
            <w:tcBorders>
              <w:top w:val="nil"/>
              <w:left w:val="single" w:sz="4" w:space="0" w:color="auto"/>
              <w:bottom w:val="single" w:sz="4" w:space="0" w:color="auto"/>
              <w:right w:val="nil"/>
            </w:tcBorders>
          </w:tcPr>
          <w:p w14:paraId="018BB6BC" w14:textId="77777777" w:rsidR="00C5119A" w:rsidRPr="005E0336" w:rsidRDefault="00C5119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Acrylamide polymer</w:t>
            </w:r>
          </w:p>
        </w:tc>
        <w:tc>
          <w:tcPr>
            <w:tcW w:w="992" w:type="dxa"/>
            <w:gridSpan w:val="2"/>
            <w:tcBorders>
              <w:top w:val="nil"/>
              <w:left w:val="nil"/>
              <w:bottom w:val="single" w:sz="4" w:space="0" w:color="auto"/>
              <w:right w:val="nil"/>
            </w:tcBorders>
            <w:shd w:val="solid" w:color="FFCC99" w:fill="auto"/>
          </w:tcPr>
          <w:p w14:paraId="67EDFCDF" w14:textId="5D5AED22" w:rsidR="00C5119A" w:rsidRPr="005E0336" w:rsidRDefault="00C5119A"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w:t>
            </w:r>
            <w:r w:rsidR="00DC1498" w:rsidRPr="005E0336">
              <w:rPr>
                <w:rFonts w:ascii="Calibri" w:hAnsi="Calibri" w:cs="Calibri"/>
                <w:b/>
                <w:bCs/>
                <w:i/>
                <w:color w:val="000000"/>
                <w:sz w:val="18"/>
                <w:szCs w:val="18"/>
                <w:lang w:val="en-AU"/>
              </w:rPr>
              <w:t>1</w:t>
            </w:r>
          </w:p>
        </w:tc>
        <w:tc>
          <w:tcPr>
            <w:tcW w:w="1134" w:type="dxa"/>
            <w:tcBorders>
              <w:top w:val="nil"/>
              <w:left w:val="nil"/>
              <w:bottom w:val="single" w:sz="4" w:space="0" w:color="auto"/>
              <w:right w:val="nil"/>
            </w:tcBorders>
            <w:shd w:val="solid" w:color="FFCC99" w:fill="auto"/>
          </w:tcPr>
          <w:p w14:paraId="300AE828" w14:textId="5AEDA7F4" w:rsidR="00C5119A" w:rsidRPr="005E0336" w:rsidRDefault="00C5119A"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w:t>
            </w:r>
            <w:r w:rsidR="00DC1498" w:rsidRPr="005E0336">
              <w:rPr>
                <w:rFonts w:ascii="Calibri" w:hAnsi="Calibri" w:cs="Calibri"/>
                <w:b/>
                <w:bCs/>
                <w:i/>
                <w:color w:val="000000"/>
                <w:sz w:val="18"/>
                <w:szCs w:val="18"/>
                <w:lang w:val="en-AU"/>
              </w:rPr>
              <w:t>1</w:t>
            </w:r>
          </w:p>
        </w:tc>
        <w:tc>
          <w:tcPr>
            <w:tcW w:w="1134" w:type="dxa"/>
            <w:gridSpan w:val="2"/>
            <w:tcBorders>
              <w:top w:val="nil"/>
              <w:left w:val="nil"/>
              <w:bottom w:val="single" w:sz="4" w:space="0" w:color="auto"/>
              <w:right w:val="nil"/>
            </w:tcBorders>
            <w:shd w:val="solid" w:color="99CCFF" w:fill="auto"/>
          </w:tcPr>
          <w:p w14:paraId="2D79101D" w14:textId="46E7FC5E" w:rsidR="00C5119A" w:rsidRPr="005E0336" w:rsidRDefault="00C5119A"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w:t>
            </w:r>
            <w:r w:rsidR="00DC1498" w:rsidRPr="005E0336">
              <w:rPr>
                <w:rFonts w:ascii="Calibri" w:hAnsi="Calibri" w:cs="Calibri"/>
                <w:b/>
                <w:bCs/>
                <w:i/>
                <w:color w:val="000000"/>
                <w:sz w:val="18"/>
                <w:szCs w:val="18"/>
                <w:lang w:val="en-AU"/>
              </w:rPr>
              <w:t>1</w:t>
            </w:r>
          </w:p>
        </w:tc>
        <w:tc>
          <w:tcPr>
            <w:tcW w:w="992" w:type="dxa"/>
            <w:tcBorders>
              <w:top w:val="nil"/>
              <w:left w:val="nil"/>
              <w:bottom w:val="single" w:sz="4" w:space="0" w:color="auto"/>
              <w:right w:val="nil"/>
            </w:tcBorders>
            <w:shd w:val="solid" w:color="99CCFF" w:fill="auto"/>
          </w:tcPr>
          <w:p w14:paraId="186BEA40" w14:textId="6A2D58FE" w:rsidR="00C5119A" w:rsidRPr="005E0336" w:rsidRDefault="00C5119A"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w:t>
            </w:r>
            <w:r w:rsidR="00DC1498" w:rsidRPr="005E0336">
              <w:rPr>
                <w:rFonts w:ascii="Calibri" w:hAnsi="Calibri" w:cs="Calibri"/>
                <w:b/>
                <w:bCs/>
                <w:i/>
                <w:color w:val="000000"/>
                <w:sz w:val="18"/>
                <w:szCs w:val="18"/>
                <w:lang w:val="en-AU"/>
              </w:rPr>
              <w:t>1</w:t>
            </w:r>
          </w:p>
        </w:tc>
        <w:tc>
          <w:tcPr>
            <w:tcW w:w="1418" w:type="dxa"/>
            <w:gridSpan w:val="2"/>
            <w:tcBorders>
              <w:top w:val="nil"/>
              <w:left w:val="nil"/>
              <w:bottom w:val="single" w:sz="4" w:space="0" w:color="auto"/>
              <w:right w:val="nil"/>
            </w:tcBorders>
            <w:shd w:val="solid" w:color="FFFFCC" w:fill="auto"/>
          </w:tcPr>
          <w:p w14:paraId="7F065830" w14:textId="3C6C1E01" w:rsidR="00C5119A" w:rsidRPr="005E0336" w:rsidRDefault="00C5119A"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w:t>
            </w:r>
            <w:r w:rsidR="00DC1498" w:rsidRPr="005E0336">
              <w:rPr>
                <w:rFonts w:ascii="Calibri" w:hAnsi="Calibri" w:cs="Calibri"/>
                <w:b/>
                <w:bCs/>
                <w:i/>
                <w:color w:val="000000"/>
                <w:sz w:val="18"/>
                <w:szCs w:val="18"/>
                <w:lang w:val="en-AU"/>
              </w:rPr>
              <w:t>1</w:t>
            </w:r>
          </w:p>
        </w:tc>
        <w:tc>
          <w:tcPr>
            <w:tcW w:w="850" w:type="dxa"/>
            <w:tcBorders>
              <w:top w:val="nil"/>
              <w:left w:val="nil"/>
              <w:bottom w:val="single" w:sz="4" w:space="0" w:color="auto"/>
              <w:right w:val="single" w:sz="4" w:space="0" w:color="auto"/>
            </w:tcBorders>
            <w:shd w:val="solid" w:color="FFFFCC" w:fill="auto"/>
          </w:tcPr>
          <w:p w14:paraId="31721975" w14:textId="026CA3D7" w:rsidR="00C5119A" w:rsidRPr="005E0336" w:rsidRDefault="00C5119A" w:rsidP="00DC1498">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w:t>
            </w:r>
            <w:r w:rsidR="00DC1498" w:rsidRPr="005E0336">
              <w:rPr>
                <w:rFonts w:ascii="Calibri" w:hAnsi="Calibri" w:cs="Calibri"/>
                <w:b/>
                <w:bCs/>
                <w:i/>
                <w:color w:val="000000"/>
                <w:sz w:val="18"/>
                <w:szCs w:val="18"/>
                <w:lang w:val="en-AU"/>
              </w:rPr>
              <w:t>1</w:t>
            </w:r>
          </w:p>
        </w:tc>
      </w:tr>
    </w:tbl>
    <w:p w14:paraId="226CC78B" w14:textId="77777777" w:rsidR="007D4545" w:rsidRDefault="007D4545" w:rsidP="007D4545">
      <w:pPr>
        <w:pStyle w:val="Body"/>
      </w:pPr>
    </w:p>
    <w:p w14:paraId="2AC3D887" w14:textId="4D9E01DE" w:rsidR="000F181F" w:rsidRDefault="000F181F" w:rsidP="000F181F">
      <w:pPr>
        <w:pStyle w:val="Imagecaption"/>
        <w:keepNext/>
        <w:pBdr>
          <w:top w:val="none" w:sz="0" w:space="0" w:color="auto"/>
        </w:pBdr>
      </w:pPr>
      <w:bookmarkStart w:id="655" w:name="_Ref454469393"/>
      <w:bookmarkStart w:id="656" w:name="_Toc494444733"/>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5</w:t>
      </w:r>
      <w:r w:rsidR="00470577">
        <w:fldChar w:fldCharType="end"/>
      </w:r>
      <w:bookmarkEnd w:id="655"/>
      <w:r>
        <w:t xml:space="preserve"> Calculated dilution attenuation factor (DAF) at receptor for m</w:t>
      </w:r>
      <w:r w:rsidR="00886AFF">
        <w:t>inim</w:t>
      </w:r>
      <w:r>
        <w:t xml:space="preserve">um travel time </w:t>
      </w:r>
      <w:r w:rsidR="00A42E92">
        <w:t xml:space="preserve">of 10 years </w:t>
      </w:r>
      <w:r>
        <w:t xml:space="preserve">(travel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rsidR="00A42E92">
        <w:t>)</w:t>
      </w:r>
      <w:r>
        <w:t xml:space="preserve">. MCI = Methyl-chloro-isothiazolinone. </w:t>
      </w:r>
      <w:r w:rsidR="006354E1">
        <w:t xml:space="preserve">Numbers in italics assume absence of </w:t>
      </w:r>
      <w:r w:rsidR="003B5BB4">
        <w:t xml:space="preserve">chemical/biological </w:t>
      </w:r>
      <w:r w:rsidR="006354E1">
        <w:t>degradation.</w:t>
      </w:r>
      <w:bookmarkEnd w:id="656"/>
    </w:p>
    <w:tbl>
      <w:tblPr>
        <w:tblW w:w="9097" w:type="dxa"/>
        <w:tblInd w:w="-30" w:type="dxa"/>
        <w:tblLayout w:type="fixed"/>
        <w:tblLook w:val="0000" w:firstRow="0" w:lastRow="0" w:firstColumn="0" w:lastColumn="0" w:noHBand="0" w:noVBand="0"/>
      </w:tblPr>
      <w:tblGrid>
        <w:gridCol w:w="2152"/>
        <w:gridCol w:w="1134"/>
        <w:gridCol w:w="992"/>
        <w:gridCol w:w="1134"/>
        <w:gridCol w:w="1276"/>
        <w:gridCol w:w="1275"/>
        <w:gridCol w:w="1134"/>
      </w:tblGrid>
      <w:tr w:rsidR="00F712EA" w14:paraId="6B2C98E0" w14:textId="77777777" w:rsidTr="005E0336">
        <w:trPr>
          <w:trHeight w:val="290"/>
        </w:trPr>
        <w:tc>
          <w:tcPr>
            <w:tcW w:w="2152" w:type="dxa"/>
            <w:tcBorders>
              <w:top w:val="single" w:sz="4" w:space="0" w:color="auto"/>
              <w:left w:val="single" w:sz="4" w:space="0" w:color="auto"/>
              <w:bottom w:val="nil"/>
              <w:right w:val="nil"/>
            </w:tcBorders>
          </w:tcPr>
          <w:p w14:paraId="0C236833" w14:textId="77777777" w:rsidR="00F712EA" w:rsidRDefault="00F712EA">
            <w:pPr>
              <w:autoSpaceDE w:val="0"/>
              <w:autoSpaceDN w:val="0"/>
              <w:adjustRightInd w:val="0"/>
              <w:spacing w:after="0"/>
              <w:jc w:val="right"/>
              <w:rPr>
                <w:rFonts w:ascii="Calibri" w:hAnsi="Calibri" w:cs="Calibri"/>
                <w:color w:val="000000"/>
                <w:sz w:val="22"/>
                <w:szCs w:val="22"/>
                <w:lang w:val="en-AU"/>
              </w:rPr>
            </w:pPr>
          </w:p>
        </w:tc>
        <w:tc>
          <w:tcPr>
            <w:tcW w:w="6945" w:type="dxa"/>
            <w:gridSpan w:val="6"/>
            <w:tcBorders>
              <w:top w:val="single" w:sz="4" w:space="0" w:color="auto"/>
              <w:left w:val="nil"/>
              <w:bottom w:val="nil"/>
              <w:right w:val="single" w:sz="4" w:space="0" w:color="auto"/>
            </w:tcBorders>
          </w:tcPr>
          <w:p w14:paraId="7D16B50C" w14:textId="2FE52219" w:rsidR="00F712EA" w:rsidRPr="005E0336" w:rsidRDefault="005E0336" w:rsidP="00285998">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 xml:space="preserve">Dilution </w:t>
            </w:r>
            <w:r>
              <w:rPr>
                <w:rFonts w:ascii="Calibri" w:hAnsi="Calibri" w:cs="Calibri"/>
                <w:color w:val="000000"/>
                <w:sz w:val="18"/>
                <w:szCs w:val="18"/>
                <w:lang w:val="en-AU"/>
              </w:rPr>
              <w:t xml:space="preserve">attenuation </w:t>
            </w:r>
            <w:r w:rsidRPr="005E0336">
              <w:rPr>
                <w:rFonts w:ascii="Calibri" w:hAnsi="Calibri" w:cs="Calibri"/>
                <w:color w:val="000000"/>
                <w:sz w:val="18"/>
                <w:szCs w:val="18"/>
                <w:lang w:val="en-AU"/>
              </w:rPr>
              <w:t>factor</w:t>
            </w:r>
            <w:r>
              <w:rPr>
                <w:rFonts w:ascii="Calibri" w:hAnsi="Calibri" w:cs="Calibri"/>
                <w:color w:val="000000"/>
                <w:sz w:val="18"/>
                <w:szCs w:val="18"/>
                <w:lang w:val="en-AU"/>
              </w:rPr>
              <w:t xml:space="preserve"> </w:t>
            </w:r>
            <w:r w:rsidRPr="005E0336">
              <w:rPr>
                <w:rFonts w:ascii="Calibri" w:hAnsi="Calibri" w:cs="Calibri"/>
                <w:color w:val="000000"/>
                <w:sz w:val="18"/>
                <w:szCs w:val="18"/>
                <w:lang w:val="en-AU"/>
              </w:rPr>
              <w:t xml:space="preserve">(-) at receptor: </w:t>
            </w:r>
            <w:r w:rsidR="00F712EA" w:rsidRPr="005E0336">
              <w:rPr>
                <w:rFonts w:ascii="Calibri" w:hAnsi="Calibri" w:cs="Calibri"/>
                <w:color w:val="000000"/>
                <w:sz w:val="18"/>
                <w:szCs w:val="18"/>
                <w:lang w:val="en-AU"/>
              </w:rPr>
              <w:t>minimum travel time</w:t>
            </w:r>
          </w:p>
        </w:tc>
      </w:tr>
      <w:tr w:rsidR="00F712EA" w14:paraId="06DD41AB" w14:textId="77777777" w:rsidTr="005E0336">
        <w:trPr>
          <w:trHeight w:val="290"/>
        </w:trPr>
        <w:tc>
          <w:tcPr>
            <w:tcW w:w="2152" w:type="dxa"/>
            <w:tcBorders>
              <w:top w:val="nil"/>
              <w:left w:val="single" w:sz="4" w:space="0" w:color="auto"/>
              <w:bottom w:val="nil"/>
              <w:right w:val="nil"/>
            </w:tcBorders>
          </w:tcPr>
          <w:p w14:paraId="28F1AB9C" w14:textId="77777777" w:rsidR="00F712EA" w:rsidRDefault="00F712EA">
            <w:pPr>
              <w:autoSpaceDE w:val="0"/>
              <w:autoSpaceDN w:val="0"/>
              <w:adjustRightInd w:val="0"/>
              <w:spacing w:after="0"/>
              <w:jc w:val="right"/>
              <w:rPr>
                <w:rFonts w:ascii="Calibri" w:hAnsi="Calibri" w:cs="Calibri"/>
                <w:color w:val="000000"/>
                <w:sz w:val="22"/>
                <w:szCs w:val="22"/>
                <w:lang w:val="en-AU"/>
              </w:rPr>
            </w:pPr>
          </w:p>
        </w:tc>
        <w:tc>
          <w:tcPr>
            <w:tcW w:w="2126" w:type="dxa"/>
            <w:gridSpan w:val="2"/>
            <w:tcBorders>
              <w:top w:val="nil"/>
              <w:left w:val="nil"/>
              <w:bottom w:val="nil"/>
              <w:right w:val="nil"/>
            </w:tcBorders>
            <w:shd w:val="solid" w:color="FFCC99" w:fill="auto"/>
          </w:tcPr>
          <w:p w14:paraId="78E781AE" w14:textId="46C56704" w:rsidR="00F712EA" w:rsidRPr="005E0336" w:rsidRDefault="00F712EA">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Anaerobic</w:t>
            </w:r>
          </w:p>
        </w:tc>
        <w:tc>
          <w:tcPr>
            <w:tcW w:w="2410" w:type="dxa"/>
            <w:gridSpan w:val="2"/>
            <w:tcBorders>
              <w:top w:val="nil"/>
              <w:left w:val="nil"/>
              <w:bottom w:val="nil"/>
              <w:right w:val="nil"/>
            </w:tcBorders>
            <w:shd w:val="solid" w:color="99CCFF" w:fill="auto"/>
          </w:tcPr>
          <w:p w14:paraId="5A503934" w14:textId="540DD72A" w:rsidR="00F712EA" w:rsidRPr="005E0336" w:rsidRDefault="00F712EA">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Aerobic</w:t>
            </w:r>
          </w:p>
        </w:tc>
        <w:tc>
          <w:tcPr>
            <w:tcW w:w="2409" w:type="dxa"/>
            <w:gridSpan w:val="2"/>
            <w:tcBorders>
              <w:top w:val="nil"/>
              <w:left w:val="nil"/>
              <w:bottom w:val="nil"/>
              <w:right w:val="single" w:sz="4" w:space="0" w:color="auto"/>
            </w:tcBorders>
            <w:shd w:val="solid" w:color="FFFFCC" w:fill="auto"/>
          </w:tcPr>
          <w:p w14:paraId="2F5C66B7" w14:textId="6BE2714B" w:rsidR="00F712EA" w:rsidRPr="005E0336" w:rsidRDefault="00F712EA">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Hydrolysis</w:t>
            </w:r>
          </w:p>
        </w:tc>
      </w:tr>
      <w:tr w:rsidR="00F712EA" w14:paraId="0A887857" w14:textId="77777777" w:rsidTr="005E0336">
        <w:trPr>
          <w:trHeight w:val="290"/>
        </w:trPr>
        <w:tc>
          <w:tcPr>
            <w:tcW w:w="2152" w:type="dxa"/>
            <w:tcBorders>
              <w:top w:val="nil"/>
              <w:left w:val="single" w:sz="4" w:space="0" w:color="auto"/>
              <w:bottom w:val="single" w:sz="6" w:space="0" w:color="auto"/>
              <w:right w:val="nil"/>
            </w:tcBorders>
          </w:tcPr>
          <w:p w14:paraId="712CDFA9" w14:textId="77777777" w:rsidR="00F712EA" w:rsidRPr="005E0336" w:rsidRDefault="00F712E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Chemical substance</w:t>
            </w:r>
          </w:p>
        </w:tc>
        <w:tc>
          <w:tcPr>
            <w:tcW w:w="1134" w:type="dxa"/>
            <w:tcBorders>
              <w:top w:val="nil"/>
              <w:left w:val="nil"/>
              <w:bottom w:val="single" w:sz="6" w:space="0" w:color="auto"/>
              <w:right w:val="nil"/>
            </w:tcBorders>
            <w:shd w:val="solid" w:color="FFCC99" w:fill="auto"/>
          </w:tcPr>
          <w:p w14:paraId="618D4C7B" w14:textId="6998A90A" w:rsidR="00F712E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F712EA" w:rsidRPr="005E0336">
              <w:rPr>
                <w:rFonts w:ascii="Calibri" w:hAnsi="Calibri" w:cs="Calibri"/>
                <w:color w:val="000000"/>
                <w:sz w:val="18"/>
                <w:szCs w:val="18"/>
                <w:lang w:val="en-AU"/>
              </w:rPr>
              <w:t>in</w:t>
            </w:r>
          </w:p>
        </w:tc>
        <w:tc>
          <w:tcPr>
            <w:tcW w:w="992" w:type="dxa"/>
            <w:tcBorders>
              <w:top w:val="nil"/>
              <w:left w:val="nil"/>
              <w:bottom w:val="single" w:sz="6" w:space="0" w:color="auto"/>
              <w:right w:val="nil"/>
            </w:tcBorders>
            <w:shd w:val="solid" w:color="FFCC99" w:fill="auto"/>
          </w:tcPr>
          <w:p w14:paraId="04BBEEB8" w14:textId="46830A3D" w:rsidR="00F712E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F712EA" w:rsidRPr="005E0336">
              <w:rPr>
                <w:rFonts w:ascii="Calibri" w:hAnsi="Calibri" w:cs="Calibri"/>
                <w:color w:val="000000"/>
                <w:sz w:val="18"/>
                <w:szCs w:val="18"/>
                <w:lang w:val="en-AU"/>
              </w:rPr>
              <w:t>ax</w:t>
            </w:r>
          </w:p>
        </w:tc>
        <w:tc>
          <w:tcPr>
            <w:tcW w:w="1134" w:type="dxa"/>
            <w:tcBorders>
              <w:top w:val="nil"/>
              <w:left w:val="nil"/>
              <w:bottom w:val="single" w:sz="6" w:space="0" w:color="auto"/>
              <w:right w:val="nil"/>
            </w:tcBorders>
            <w:shd w:val="solid" w:color="99CCFF" w:fill="auto"/>
          </w:tcPr>
          <w:p w14:paraId="38C1A8C4" w14:textId="4830C418" w:rsidR="00F712E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F712EA" w:rsidRPr="005E0336">
              <w:rPr>
                <w:rFonts w:ascii="Calibri" w:hAnsi="Calibri" w:cs="Calibri"/>
                <w:color w:val="000000"/>
                <w:sz w:val="18"/>
                <w:szCs w:val="18"/>
                <w:lang w:val="en-AU"/>
              </w:rPr>
              <w:t>in</w:t>
            </w:r>
          </w:p>
        </w:tc>
        <w:tc>
          <w:tcPr>
            <w:tcW w:w="1276" w:type="dxa"/>
            <w:tcBorders>
              <w:top w:val="nil"/>
              <w:left w:val="nil"/>
              <w:bottom w:val="single" w:sz="6" w:space="0" w:color="auto"/>
              <w:right w:val="nil"/>
            </w:tcBorders>
            <w:shd w:val="solid" w:color="99CCFF" w:fill="auto"/>
          </w:tcPr>
          <w:p w14:paraId="78742936" w14:textId="4A5940E4" w:rsidR="00F712E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F712EA" w:rsidRPr="005E0336">
              <w:rPr>
                <w:rFonts w:ascii="Calibri" w:hAnsi="Calibri" w:cs="Calibri"/>
                <w:color w:val="000000"/>
                <w:sz w:val="18"/>
                <w:szCs w:val="18"/>
                <w:lang w:val="en-AU"/>
              </w:rPr>
              <w:t>ax</w:t>
            </w:r>
          </w:p>
        </w:tc>
        <w:tc>
          <w:tcPr>
            <w:tcW w:w="1275" w:type="dxa"/>
            <w:tcBorders>
              <w:top w:val="nil"/>
              <w:left w:val="nil"/>
              <w:bottom w:val="single" w:sz="6" w:space="0" w:color="auto"/>
              <w:right w:val="nil"/>
            </w:tcBorders>
            <w:shd w:val="solid" w:color="FFFFCC" w:fill="auto"/>
          </w:tcPr>
          <w:p w14:paraId="1B5DFDCC" w14:textId="7A1D862D" w:rsidR="00F712E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F712EA" w:rsidRPr="005E0336">
              <w:rPr>
                <w:rFonts w:ascii="Calibri" w:hAnsi="Calibri" w:cs="Calibri"/>
                <w:color w:val="000000"/>
                <w:sz w:val="18"/>
                <w:szCs w:val="18"/>
                <w:lang w:val="en-AU"/>
              </w:rPr>
              <w:t>in</w:t>
            </w:r>
          </w:p>
        </w:tc>
        <w:tc>
          <w:tcPr>
            <w:tcW w:w="1134" w:type="dxa"/>
            <w:tcBorders>
              <w:top w:val="nil"/>
              <w:left w:val="nil"/>
              <w:bottom w:val="single" w:sz="6" w:space="0" w:color="auto"/>
              <w:right w:val="single" w:sz="4" w:space="0" w:color="auto"/>
            </w:tcBorders>
            <w:shd w:val="solid" w:color="FFFFCC" w:fill="auto"/>
          </w:tcPr>
          <w:p w14:paraId="7FDE3447" w14:textId="08673A7C" w:rsidR="00F712EA"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F712EA" w:rsidRPr="005E0336">
              <w:rPr>
                <w:rFonts w:ascii="Calibri" w:hAnsi="Calibri" w:cs="Calibri"/>
                <w:color w:val="000000"/>
                <w:sz w:val="18"/>
                <w:szCs w:val="18"/>
                <w:lang w:val="en-AU"/>
              </w:rPr>
              <w:t>ax</w:t>
            </w:r>
          </w:p>
        </w:tc>
      </w:tr>
      <w:tr w:rsidR="000859D9" w14:paraId="1B9648E7" w14:textId="77777777" w:rsidTr="005E0336">
        <w:trPr>
          <w:trHeight w:val="290"/>
        </w:trPr>
        <w:tc>
          <w:tcPr>
            <w:tcW w:w="2152" w:type="dxa"/>
            <w:tcBorders>
              <w:top w:val="nil"/>
              <w:left w:val="single" w:sz="4" w:space="0" w:color="auto"/>
              <w:bottom w:val="nil"/>
              <w:right w:val="nil"/>
            </w:tcBorders>
          </w:tcPr>
          <w:p w14:paraId="307D4E7D" w14:textId="77777777" w:rsidR="000859D9" w:rsidRPr="005E0336" w:rsidRDefault="000859D9" w:rsidP="000859D9">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2-methylphenol</w:t>
            </w:r>
          </w:p>
        </w:tc>
        <w:tc>
          <w:tcPr>
            <w:tcW w:w="1134" w:type="dxa"/>
            <w:tcBorders>
              <w:top w:val="single" w:sz="6" w:space="0" w:color="auto"/>
              <w:left w:val="nil"/>
              <w:bottom w:val="nil"/>
              <w:right w:val="nil"/>
            </w:tcBorders>
            <w:shd w:val="clear" w:color="auto" w:fill="FFCC99"/>
            <w:vAlign w:val="bottom"/>
          </w:tcPr>
          <w:p w14:paraId="5238E3AE" w14:textId="1CDCE720" w:rsidR="000859D9" w:rsidRPr="005E0336" w:rsidRDefault="000859D9" w:rsidP="00BE5D78">
            <w:pPr>
              <w:autoSpaceDE w:val="0"/>
              <w:autoSpaceDN w:val="0"/>
              <w:adjustRightInd w:val="0"/>
              <w:spacing w:after="0"/>
              <w:jc w:val="center"/>
              <w:rPr>
                <w:rFonts w:ascii="Calibri" w:hAnsi="Calibri" w:cs="Calibri"/>
                <w:b/>
                <w:bCs/>
                <w:i/>
                <w:iCs/>
                <w:color w:val="000000"/>
                <w:sz w:val="18"/>
                <w:szCs w:val="18"/>
                <w:lang w:val="en-AU"/>
              </w:rPr>
            </w:pPr>
            <w:r w:rsidRPr="005E0336">
              <w:rPr>
                <w:rFonts w:ascii="Calibri" w:hAnsi="Calibri"/>
                <w:b/>
                <w:bCs/>
                <w:color w:val="000000"/>
                <w:sz w:val="18"/>
                <w:szCs w:val="18"/>
              </w:rPr>
              <w:t>1E+10</w:t>
            </w:r>
          </w:p>
        </w:tc>
        <w:tc>
          <w:tcPr>
            <w:tcW w:w="992" w:type="dxa"/>
            <w:tcBorders>
              <w:top w:val="single" w:sz="6" w:space="0" w:color="auto"/>
              <w:left w:val="nil"/>
              <w:bottom w:val="nil"/>
              <w:right w:val="nil"/>
            </w:tcBorders>
            <w:shd w:val="clear" w:color="auto" w:fill="FFCC99"/>
            <w:vAlign w:val="bottom"/>
          </w:tcPr>
          <w:p w14:paraId="6B8374FB" w14:textId="1C67110F" w:rsidR="000859D9" w:rsidRPr="005E0336" w:rsidRDefault="000859D9" w:rsidP="000859D9">
            <w:pPr>
              <w:autoSpaceDE w:val="0"/>
              <w:autoSpaceDN w:val="0"/>
              <w:adjustRightInd w:val="0"/>
              <w:spacing w:after="0"/>
              <w:jc w:val="center"/>
              <w:rPr>
                <w:rFonts w:ascii="Calibri" w:hAnsi="Calibri" w:cs="Calibri"/>
                <w:b/>
                <w:bCs/>
                <w:i/>
                <w:iCs/>
                <w:color w:val="000000"/>
                <w:sz w:val="18"/>
                <w:szCs w:val="18"/>
                <w:lang w:val="en-AU"/>
              </w:rPr>
            </w:pPr>
            <w:r w:rsidRPr="005E0336">
              <w:rPr>
                <w:rFonts w:ascii="Calibri" w:hAnsi="Calibri"/>
                <w:b/>
                <w:bCs/>
                <w:color w:val="000000"/>
                <w:sz w:val="18"/>
                <w:szCs w:val="18"/>
              </w:rPr>
              <w:t>6.24E+00</w:t>
            </w:r>
          </w:p>
        </w:tc>
        <w:tc>
          <w:tcPr>
            <w:tcW w:w="1134" w:type="dxa"/>
            <w:tcBorders>
              <w:top w:val="single" w:sz="6" w:space="0" w:color="auto"/>
              <w:left w:val="nil"/>
              <w:bottom w:val="nil"/>
              <w:right w:val="nil"/>
            </w:tcBorders>
            <w:shd w:val="solid" w:color="99CCFF" w:fill="auto"/>
            <w:vAlign w:val="bottom"/>
          </w:tcPr>
          <w:p w14:paraId="2D2BBB2B" w14:textId="175F4218" w:rsidR="000859D9" w:rsidRPr="005E0336" w:rsidRDefault="000859D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tcBorders>
              <w:top w:val="single" w:sz="6" w:space="0" w:color="auto"/>
              <w:left w:val="nil"/>
              <w:bottom w:val="nil"/>
              <w:right w:val="nil"/>
            </w:tcBorders>
            <w:shd w:val="solid" w:color="99CCFF" w:fill="auto"/>
            <w:vAlign w:val="bottom"/>
          </w:tcPr>
          <w:p w14:paraId="01B82F60" w14:textId="6F0A4A19" w:rsidR="000859D9" w:rsidRPr="005E0336" w:rsidRDefault="000859D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5" w:type="dxa"/>
            <w:tcBorders>
              <w:top w:val="single" w:sz="6" w:space="0" w:color="auto"/>
              <w:left w:val="nil"/>
              <w:bottom w:val="nil"/>
              <w:right w:val="nil"/>
            </w:tcBorders>
            <w:shd w:val="solid" w:color="FFFFCC" w:fill="FFF2CC"/>
            <w:vAlign w:val="bottom"/>
          </w:tcPr>
          <w:p w14:paraId="11FE25AF" w14:textId="71738ACD"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134" w:type="dxa"/>
            <w:tcBorders>
              <w:top w:val="single" w:sz="6" w:space="0" w:color="auto"/>
              <w:left w:val="nil"/>
              <w:bottom w:val="nil"/>
              <w:right w:val="single" w:sz="4" w:space="0" w:color="auto"/>
            </w:tcBorders>
            <w:shd w:val="solid" w:color="FFFFCC" w:fill="FFF2CC"/>
            <w:vAlign w:val="bottom"/>
          </w:tcPr>
          <w:p w14:paraId="5DF859B4" w14:textId="69AE98D1"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1</w:t>
            </w:r>
          </w:p>
        </w:tc>
      </w:tr>
      <w:tr w:rsidR="000859D9" w14:paraId="618C7C5D" w14:textId="77777777" w:rsidTr="005E0336">
        <w:trPr>
          <w:trHeight w:val="290"/>
        </w:trPr>
        <w:tc>
          <w:tcPr>
            <w:tcW w:w="2152" w:type="dxa"/>
            <w:tcBorders>
              <w:top w:val="nil"/>
              <w:left w:val="single" w:sz="4" w:space="0" w:color="auto"/>
              <w:bottom w:val="nil"/>
              <w:right w:val="nil"/>
            </w:tcBorders>
          </w:tcPr>
          <w:p w14:paraId="6F7778B7" w14:textId="77777777" w:rsidR="000859D9" w:rsidRPr="005E0336" w:rsidRDefault="000859D9" w:rsidP="000859D9">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Naphthalene</w:t>
            </w:r>
          </w:p>
        </w:tc>
        <w:tc>
          <w:tcPr>
            <w:tcW w:w="1134" w:type="dxa"/>
            <w:tcBorders>
              <w:top w:val="nil"/>
              <w:left w:val="nil"/>
              <w:bottom w:val="nil"/>
              <w:right w:val="nil"/>
            </w:tcBorders>
            <w:shd w:val="clear" w:color="auto" w:fill="FFCC99"/>
            <w:vAlign w:val="bottom"/>
          </w:tcPr>
          <w:p w14:paraId="555F0A87" w14:textId="0CA4C9C4" w:rsidR="000859D9" w:rsidRPr="005E0336" w:rsidRDefault="000859D9" w:rsidP="00BE5D78">
            <w:pPr>
              <w:autoSpaceDE w:val="0"/>
              <w:autoSpaceDN w:val="0"/>
              <w:adjustRightInd w:val="0"/>
              <w:spacing w:after="0"/>
              <w:jc w:val="center"/>
              <w:rPr>
                <w:rFonts w:ascii="Calibri" w:hAnsi="Calibri" w:cs="Calibri"/>
                <w:b/>
                <w:bCs/>
                <w:i/>
                <w:iCs/>
                <w:color w:val="000000"/>
                <w:sz w:val="18"/>
                <w:szCs w:val="18"/>
                <w:lang w:val="en-AU"/>
              </w:rPr>
            </w:pPr>
            <w:r w:rsidRPr="005E0336">
              <w:rPr>
                <w:rFonts w:ascii="Calibri" w:hAnsi="Calibri"/>
                <w:b/>
                <w:bCs/>
                <w:color w:val="000000"/>
                <w:sz w:val="18"/>
                <w:szCs w:val="18"/>
              </w:rPr>
              <w:t>1E+10</w:t>
            </w:r>
          </w:p>
        </w:tc>
        <w:tc>
          <w:tcPr>
            <w:tcW w:w="992" w:type="dxa"/>
            <w:tcBorders>
              <w:top w:val="nil"/>
              <w:left w:val="nil"/>
              <w:bottom w:val="nil"/>
              <w:right w:val="nil"/>
            </w:tcBorders>
            <w:shd w:val="clear" w:color="auto" w:fill="FFCC99"/>
            <w:vAlign w:val="bottom"/>
          </w:tcPr>
          <w:p w14:paraId="3A23B53C" w14:textId="6636026B" w:rsidR="000859D9" w:rsidRPr="005E0336" w:rsidRDefault="000859D9" w:rsidP="00BE5D78">
            <w:pPr>
              <w:autoSpaceDE w:val="0"/>
              <w:autoSpaceDN w:val="0"/>
              <w:adjustRightInd w:val="0"/>
              <w:spacing w:after="0"/>
              <w:jc w:val="center"/>
              <w:rPr>
                <w:rFonts w:ascii="Calibri" w:hAnsi="Calibri" w:cs="Calibri"/>
                <w:b/>
                <w:bCs/>
                <w:i/>
                <w:iCs/>
                <w:color w:val="000000"/>
                <w:sz w:val="18"/>
                <w:szCs w:val="18"/>
                <w:lang w:val="en-AU"/>
              </w:rPr>
            </w:pPr>
            <w:r w:rsidRPr="005E0336">
              <w:rPr>
                <w:rFonts w:ascii="Calibri" w:hAnsi="Calibri"/>
                <w:b/>
                <w:bCs/>
                <w:color w:val="000000"/>
                <w:sz w:val="18"/>
                <w:szCs w:val="18"/>
              </w:rPr>
              <w:t>1E+00</w:t>
            </w:r>
          </w:p>
        </w:tc>
        <w:tc>
          <w:tcPr>
            <w:tcW w:w="1134" w:type="dxa"/>
            <w:tcBorders>
              <w:top w:val="nil"/>
              <w:left w:val="nil"/>
              <w:bottom w:val="nil"/>
              <w:right w:val="nil"/>
            </w:tcBorders>
            <w:shd w:val="solid" w:color="99CCFF" w:fill="auto"/>
            <w:vAlign w:val="bottom"/>
          </w:tcPr>
          <w:p w14:paraId="06EC909F" w14:textId="7C7BEB65" w:rsidR="000859D9" w:rsidRPr="005E0336" w:rsidRDefault="000859D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tcBorders>
              <w:top w:val="nil"/>
              <w:left w:val="nil"/>
              <w:bottom w:val="nil"/>
              <w:right w:val="nil"/>
            </w:tcBorders>
            <w:shd w:val="solid" w:color="99CCFF" w:fill="auto"/>
            <w:vAlign w:val="bottom"/>
          </w:tcPr>
          <w:p w14:paraId="3C74E4BA" w14:textId="3F6998BB" w:rsidR="000859D9" w:rsidRPr="005E0336" w:rsidRDefault="000859D9" w:rsidP="00BE5D78">
            <w:pPr>
              <w:autoSpaceDE w:val="0"/>
              <w:autoSpaceDN w:val="0"/>
              <w:adjustRightInd w:val="0"/>
              <w:spacing w:after="0"/>
              <w:jc w:val="center"/>
              <w:rPr>
                <w:rFonts w:ascii="Calibri" w:hAnsi="Calibri" w:cs="Calibri"/>
                <w:b/>
                <w:bCs/>
                <w:i/>
                <w:iCs/>
                <w:color w:val="000000"/>
                <w:sz w:val="18"/>
                <w:szCs w:val="18"/>
                <w:lang w:val="en-AU"/>
              </w:rPr>
            </w:pPr>
            <w:r w:rsidRPr="005E0336">
              <w:rPr>
                <w:rFonts w:ascii="Calibri" w:hAnsi="Calibri"/>
                <w:b/>
                <w:bCs/>
                <w:color w:val="000000"/>
                <w:sz w:val="18"/>
                <w:szCs w:val="18"/>
              </w:rPr>
              <w:t>1E+10</w:t>
            </w:r>
          </w:p>
        </w:tc>
        <w:tc>
          <w:tcPr>
            <w:tcW w:w="1275" w:type="dxa"/>
            <w:tcBorders>
              <w:top w:val="nil"/>
              <w:left w:val="nil"/>
              <w:bottom w:val="nil"/>
              <w:right w:val="nil"/>
            </w:tcBorders>
            <w:shd w:val="solid" w:color="FFFFCC" w:fill="FFF2CC"/>
            <w:vAlign w:val="bottom"/>
          </w:tcPr>
          <w:p w14:paraId="6B77798D" w14:textId="4EF1C502"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1</w:t>
            </w:r>
          </w:p>
        </w:tc>
        <w:tc>
          <w:tcPr>
            <w:tcW w:w="1134" w:type="dxa"/>
            <w:tcBorders>
              <w:top w:val="nil"/>
              <w:left w:val="nil"/>
              <w:bottom w:val="nil"/>
              <w:right w:val="single" w:sz="4" w:space="0" w:color="auto"/>
            </w:tcBorders>
            <w:shd w:val="solid" w:color="FFFFCC" w:fill="FFF2CC"/>
            <w:vAlign w:val="bottom"/>
          </w:tcPr>
          <w:p w14:paraId="617F0916" w14:textId="452E5620"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1</w:t>
            </w:r>
            <w:r w:rsidR="000859D9" w:rsidRPr="005E0336">
              <w:rPr>
                <w:rFonts w:ascii="Calibri" w:hAnsi="Calibri"/>
                <w:b/>
                <w:bCs/>
                <w:i/>
                <w:color w:val="000000"/>
                <w:sz w:val="18"/>
                <w:szCs w:val="18"/>
              </w:rPr>
              <w:t> </w:t>
            </w:r>
          </w:p>
        </w:tc>
      </w:tr>
      <w:tr w:rsidR="000859D9" w14:paraId="78C10946" w14:textId="77777777" w:rsidTr="005E0336">
        <w:trPr>
          <w:trHeight w:val="290"/>
        </w:trPr>
        <w:tc>
          <w:tcPr>
            <w:tcW w:w="2152" w:type="dxa"/>
            <w:tcBorders>
              <w:top w:val="nil"/>
              <w:left w:val="single" w:sz="4" w:space="0" w:color="auto"/>
              <w:bottom w:val="nil"/>
              <w:right w:val="nil"/>
            </w:tcBorders>
          </w:tcPr>
          <w:p w14:paraId="658BE0C9" w14:textId="77777777" w:rsidR="000859D9" w:rsidRPr="005E0336" w:rsidRDefault="000859D9" w:rsidP="000859D9">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Limonene</w:t>
            </w:r>
          </w:p>
        </w:tc>
        <w:tc>
          <w:tcPr>
            <w:tcW w:w="1134" w:type="dxa"/>
            <w:tcBorders>
              <w:top w:val="nil"/>
              <w:left w:val="nil"/>
              <w:bottom w:val="nil"/>
              <w:right w:val="nil"/>
            </w:tcBorders>
            <w:shd w:val="clear" w:color="auto" w:fill="FFCC99"/>
            <w:vAlign w:val="bottom"/>
          </w:tcPr>
          <w:p w14:paraId="423B7987" w14:textId="58614D0A"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992" w:type="dxa"/>
            <w:tcBorders>
              <w:top w:val="nil"/>
              <w:left w:val="nil"/>
              <w:bottom w:val="nil"/>
              <w:right w:val="nil"/>
            </w:tcBorders>
            <w:shd w:val="clear" w:color="auto" w:fill="FFCC99"/>
            <w:vAlign w:val="bottom"/>
          </w:tcPr>
          <w:p w14:paraId="7EB20934" w14:textId="41F70D85"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134" w:type="dxa"/>
            <w:tcBorders>
              <w:top w:val="nil"/>
              <w:left w:val="nil"/>
              <w:bottom w:val="nil"/>
              <w:right w:val="nil"/>
            </w:tcBorders>
            <w:shd w:val="solid" w:color="99CCFF" w:fill="auto"/>
            <w:vAlign w:val="bottom"/>
          </w:tcPr>
          <w:p w14:paraId="0F1815F1" w14:textId="695011D3" w:rsidR="000859D9" w:rsidRPr="005E0336" w:rsidRDefault="000859D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tcBorders>
              <w:top w:val="nil"/>
              <w:left w:val="nil"/>
              <w:bottom w:val="nil"/>
              <w:right w:val="nil"/>
            </w:tcBorders>
            <w:shd w:val="solid" w:color="99CCFF" w:fill="auto"/>
            <w:vAlign w:val="bottom"/>
          </w:tcPr>
          <w:p w14:paraId="2A0E7061" w14:textId="03646FD2" w:rsidR="000859D9" w:rsidRPr="005E0336" w:rsidRDefault="000859D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5" w:type="dxa"/>
            <w:tcBorders>
              <w:top w:val="nil"/>
              <w:left w:val="nil"/>
              <w:bottom w:val="nil"/>
              <w:right w:val="nil"/>
            </w:tcBorders>
            <w:shd w:val="solid" w:color="FFFFCC" w:fill="FFF2CC"/>
            <w:vAlign w:val="bottom"/>
          </w:tcPr>
          <w:p w14:paraId="06FA0B10" w14:textId="5A4A6AE5"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134" w:type="dxa"/>
            <w:tcBorders>
              <w:top w:val="nil"/>
              <w:left w:val="nil"/>
              <w:bottom w:val="nil"/>
              <w:right w:val="single" w:sz="4" w:space="0" w:color="auto"/>
            </w:tcBorders>
            <w:shd w:val="solid" w:color="FFFFCC" w:fill="FFF2CC"/>
            <w:vAlign w:val="bottom"/>
          </w:tcPr>
          <w:p w14:paraId="418725C7" w14:textId="6A298B8D"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1</w:t>
            </w:r>
          </w:p>
        </w:tc>
      </w:tr>
      <w:tr w:rsidR="00BF2777" w14:paraId="51D28668" w14:textId="77777777" w:rsidTr="005E0336">
        <w:trPr>
          <w:trHeight w:val="290"/>
        </w:trPr>
        <w:tc>
          <w:tcPr>
            <w:tcW w:w="2152" w:type="dxa"/>
            <w:tcBorders>
              <w:top w:val="nil"/>
              <w:left w:val="single" w:sz="4" w:space="0" w:color="auto"/>
              <w:bottom w:val="nil"/>
              <w:right w:val="nil"/>
            </w:tcBorders>
          </w:tcPr>
          <w:p w14:paraId="208DB54C" w14:textId="77777777" w:rsidR="00BF2777" w:rsidRPr="005E0336" w:rsidRDefault="00BF2777" w:rsidP="00BF2777">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HMX</w:t>
            </w:r>
          </w:p>
        </w:tc>
        <w:tc>
          <w:tcPr>
            <w:tcW w:w="1134" w:type="dxa"/>
            <w:tcBorders>
              <w:top w:val="nil"/>
              <w:left w:val="nil"/>
              <w:bottom w:val="nil"/>
              <w:right w:val="nil"/>
            </w:tcBorders>
            <w:shd w:val="clear" w:color="auto" w:fill="FFCC99"/>
            <w:vAlign w:val="bottom"/>
          </w:tcPr>
          <w:p w14:paraId="7770E99E" w14:textId="3C8D63CA"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2" w:type="dxa"/>
            <w:tcBorders>
              <w:top w:val="nil"/>
              <w:left w:val="nil"/>
              <w:bottom w:val="nil"/>
              <w:right w:val="nil"/>
            </w:tcBorders>
            <w:shd w:val="clear" w:color="auto" w:fill="FFCC99"/>
            <w:vAlign w:val="bottom"/>
          </w:tcPr>
          <w:p w14:paraId="41BF3767" w14:textId="635A3DDF"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134" w:type="dxa"/>
            <w:tcBorders>
              <w:top w:val="nil"/>
              <w:left w:val="nil"/>
              <w:bottom w:val="nil"/>
              <w:right w:val="nil"/>
            </w:tcBorders>
            <w:shd w:val="solid" w:color="99CCFF" w:fill="auto"/>
            <w:vAlign w:val="bottom"/>
          </w:tcPr>
          <w:p w14:paraId="5FBD3E90" w14:textId="755D622E"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tcBorders>
              <w:top w:val="nil"/>
              <w:left w:val="nil"/>
              <w:bottom w:val="nil"/>
              <w:right w:val="nil"/>
            </w:tcBorders>
            <w:shd w:val="solid" w:color="99CCFF" w:fill="auto"/>
            <w:vAlign w:val="bottom"/>
          </w:tcPr>
          <w:p w14:paraId="7A15F379" w14:textId="418BA825"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5" w:type="dxa"/>
            <w:tcBorders>
              <w:top w:val="nil"/>
              <w:left w:val="nil"/>
              <w:bottom w:val="nil"/>
              <w:right w:val="nil"/>
            </w:tcBorders>
            <w:shd w:val="solid" w:color="FFFFCC" w:fill="FFF2CC"/>
            <w:vAlign w:val="bottom"/>
          </w:tcPr>
          <w:p w14:paraId="372A6F01" w14:textId="66C9D0E8"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134" w:type="dxa"/>
            <w:tcBorders>
              <w:top w:val="nil"/>
              <w:left w:val="nil"/>
              <w:bottom w:val="nil"/>
              <w:right w:val="single" w:sz="4" w:space="0" w:color="auto"/>
            </w:tcBorders>
            <w:shd w:val="solid" w:color="FFFFCC" w:fill="FFF2CC"/>
            <w:vAlign w:val="bottom"/>
          </w:tcPr>
          <w:p w14:paraId="71F1518D" w14:textId="79D38739"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r>
      <w:tr w:rsidR="00BF2777" w14:paraId="13B9025A" w14:textId="77777777" w:rsidTr="005E0336">
        <w:trPr>
          <w:trHeight w:val="290"/>
        </w:trPr>
        <w:tc>
          <w:tcPr>
            <w:tcW w:w="2152" w:type="dxa"/>
            <w:tcBorders>
              <w:top w:val="nil"/>
              <w:left w:val="single" w:sz="4" w:space="0" w:color="auto"/>
              <w:bottom w:val="nil"/>
              <w:right w:val="nil"/>
            </w:tcBorders>
          </w:tcPr>
          <w:p w14:paraId="147B2B1C" w14:textId="77777777" w:rsidR="00BF2777" w:rsidRPr="005E0336" w:rsidRDefault="00BF2777" w:rsidP="00BF2777">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2-butoxyethanol</w:t>
            </w:r>
          </w:p>
        </w:tc>
        <w:tc>
          <w:tcPr>
            <w:tcW w:w="1134" w:type="dxa"/>
            <w:tcBorders>
              <w:top w:val="nil"/>
              <w:left w:val="nil"/>
              <w:bottom w:val="nil"/>
              <w:right w:val="nil"/>
            </w:tcBorders>
            <w:shd w:val="clear" w:color="auto" w:fill="FFCC99"/>
            <w:vAlign w:val="bottom"/>
          </w:tcPr>
          <w:p w14:paraId="54319727" w14:textId="7EDFE610"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2" w:type="dxa"/>
            <w:tcBorders>
              <w:top w:val="nil"/>
              <w:left w:val="nil"/>
              <w:bottom w:val="nil"/>
              <w:right w:val="nil"/>
            </w:tcBorders>
            <w:shd w:val="clear" w:color="auto" w:fill="FFCC99"/>
            <w:vAlign w:val="bottom"/>
          </w:tcPr>
          <w:p w14:paraId="0D80A609" w14:textId="5AD60709" w:rsidR="00BF2777" w:rsidRPr="005E0336" w:rsidRDefault="00BF2777" w:rsidP="00BF2777">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6.94E+09</w:t>
            </w:r>
          </w:p>
        </w:tc>
        <w:tc>
          <w:tcPr>
            <w:tcW w:w="1134" w:type="dxa"/>
            <w:tcBorders>
              <w:top w:val="nil"/>
              <w:left w:val="nil"/>
              <w:bottom w:val="nil"/>
              <w:right w:val="nil"/>
            </w:tcBorders>
            <w:shd w:val="solid" w:color="99CCFF" w:fill="auto"/>
            <w:vAlign w:val="bottom"/>
          </w:tcPr>
          <w:p w14:paraId="1B6E6C35" w14:textId="3A016C6F"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tcBorders>
              <w:top w:val="nil"/>
              <w:left w:val="nil"/>
              <w:bottom w:val="nil"/>
              <w:right w:val="nil"/>
            </w:tcBorders>
            <w:shd w:val="solid" w:color="99CCFF" w:fill="auto"/>
            <w:vAlign w:val="bottom"/>
          </w:tcPr>
          <w:p w14:paraId="7639E4EC" w14:textId="0F52FA3D"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5" w:type="dxa"/>
            <w:tcBorders>
              <w:top w:val="nil"/>
              <w:left w:val="nil"/>
              <w:bottom w:val="nil"/>
              <w:right w:val="nil"/>
            </w:tcBorders>
            <w:shd w:val="solid" w:color="FFFFCC" w:fill="FFF2CC"/>
            <w:vAlign w:val="bottom"/>
          </w:tcPr>
          <w:p w14:paraId="2610305D" w14:textId="3F162737" w:rsidR="00BF2777" w:rsidRPr="005E0336" w:rsidRDefault="006354E1" w:rsidP="00BF2777">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134" w:type="dxa"/>
            <w:tcBorders>
              <w:top w:val="nil"/>
              <w:left w:val="nil"/>
              <w:bottom w:val="nil"/>
              <w:right w:val="single" w:sz="4" w:space="0" w:color="auto"/>
            </w:tcBorders>
            <w:shd w:val="solid" w:color="FFFFCC" w:fill="FFF2CC"/>
            <w:vAlign w:val="bottom"/>
          </w:tcPr>
          <w:p w14:paraId="561C38B9" w14:textId="0DD71654" w:rsidR="00BF2777" w:rsidRPr="005E0336" w:rsidRDefault="006354E1" w:rsidP="00BF2777">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r>
      <w:tr w:rsidR="000859D9" w14:paraId="26488281" w14:textId="77777777" w:rsidTr="005E0336">
        <w:trPr>
          <w:trHeight w:val="290"/>
        </w:trPr>
        <w:tc>
          <w:tcPr>
            <w:tcW w:w="2152" w:type="dxa"/>
            <w:tcBorders>
              <w:top w:val="nil"/>
              <w:left w:val="single" w:sz="4" w:space="0" w:color="auto"/>
              <w:bottom w:val="nil"/>
              <w:right w:val="nil"/>
            </w:tcBorders>
          </w:tcPr>
          <w:p w14:paraId="3B9BF4D0" w14:textId="77777777" w:rsidR="000859D9" w:rsidRPr="005E0336" w:rsidRDefault="000859D9" w:rsidP="000859D9">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Bronopol</w:t>
            </w:r>
          </w:p>
        </w:tc>
        <w:tc>
          <w:tcPr>
            <w:tcW w:w="1134" w:type="dxa"/>
            <w:tcBorders>
              <w:top w:val="nil"/>
              <w:left w:val="nil"/>
              <w:bottom w:val="nil"/>
              <w:right w:val="nil"/>
            </w:tcBorders>
            <w:shd w:val="clear" w:color="auto" w:fill="FFCC99"/>
            <w:vAlign w:val="bottom"/>
          </w:tcPr>
          <w:p w14:paraId="690B994A" w14:textId="3665EB65"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1</w:t>
            </w:r>
          </w:p>
        </w:tc>
        <w:tc>
          <w:tcPr>
            <w:tcW w:w="992" w:type="dxa"/>
            <w:tcBorders>
              <w:top w:val="nil"/>
              <w:left w:val="nil"/>
              <w:bottom w:val="nil"/>
              <w:right w:val="nil"/>
            </w:tcBorders>
            <w:shd w:val="clear" w:color="auto" w:fill="FFCC99"/>
            <w:vAlign w:val="bottom"/>
          </w:tcPr>
          <w:p w14:paraId="7D04A1E4" w14:textId="62416438"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1</w:t>
            </w:r>
          </w:p>
        </w:tc>
        <w:tc>
          <w:tcPr>
            <w:tcW w:w="1134" w:type="dxa"/>
            <w:tcBorders>
              <w:top w:val="nil"/>
              <w:left w:val="nil"/>
              <w:bottom w:val="nil"/>
              <w:right w:val="nil"/>
            </w:tcBorders>
            <w:shd w:val="solid" w:color="99CCFF" w:fill="auto"/>
            <w:vAlign w:val="bottom"/>
          </w:tcPr>
          <w:p w14:paraId="35C3AB41" w14:textId="109DD61D"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1</w:t>
            </w:r>
          </w:p>
        </w:tc>
        <w:tc>
          <w:tcPr>
            <w:tcW w:w="1276" w:type="dxa"/>
            <w:tcBorders>
              <w:top w:val="nil"/>
              <w:left w:val="nil"/>
              <w:bottom w:val="nil"/>
              <w:right w:val="nil"/>
            </w:tcBorders>
            <w:shd w:val="solid" w:color="99CCFF" w:fill="auto"/>
            <w:vAlign w:val="bottom"/>
          </w:tcPr>
          <w:p w14:paraId="2E8DA72B" w14:textId="34C688B4"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1</w:t>
            </w:r>
          </w:p>
        </w:tc>
        <w:tc>
          <w:tcPr>
            <w:tcW w:w="1275" w:type="dxa"/>
            <w:tcBorders>
              <w:top w:val="nil"/>
              <w:left w:val="nil"/>
              <w:bottom w:val="nil"/>
              <w:right w:val="nil"/>
            </w:tcBorders>
            <w:shd w:val="solid" w:color="FFFFCC" w:fill="FFF2CC"/>
            <w:vAlign w:val="bottom"/>
          </w:tcPr>
          <w:p w14:paraId="0B52EC33" w14:textId="0C5A6F84" w:rsidR="000859D9" w:rsidRPr="005E0336" w:rsidRDefault="000859D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134" w:type="dxa"/>
            <w:tcBorders>
              <w:top w:val="nil"/>
              <w:left w:val="nil"/>
              <w:bottom w:val="nil"/>
              <w:right w:val="single" w:sz="4" w:space="0" w:color="auto"/>
            </w:tcBorders>
            <w:shd w:val="solid" w:color="FFFFCC" w:fill="FFF2CC"/>
            <w:vAlign w:val="bottom"/>
          </w:tcPr>
          <w:p w14:paraId="073C1043" w14:textId="15B42359" w:rsidR="000859D9" w:rsidRPr="005E0336" w:rsidRDefault="000859D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r>
      <w:tr w:rsidR="00BF2777" w14:paraId="5F470AD0" w14:textId="77777777" w:rsidTr="005E0336">
        <w:trPr>
          <w:trHeight w:val="290"/>
        </w:trPr>
        <w:tc>
          <w:tcPr>
            <w:tcW w:w="2152" w:type="dxa"/>
            <w:tcBorders>
              <w:top w:val="nil"/>
              <w:left w:val="single" w:sz="4" w:space="0" w:color="auto"/>
              <w:bottom w:val="nil"/>
              <w:right w:val="nil"/>
            </w:tcBorders>
            <w:shd w:val="clear" w:color="auto" w:fill="auto"/>
          </w:tcPr>
          <w:p w14:paraId="4364B5B0" w14:textId="77777777" w:rsidR="00BF2777" w:rsidRPr="005E0336" w:rsidRDefault="00BF2777" w:rsidP="00BF2777">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MCI</w:t>
            </w:r>
          </w:p>
        </w:tc>
        <w:tc>
          <w:tcPr>
            <w:tcW w:w="1134" w:type="dxa"/>
            <w:tcBorders>
              <w:top w:val="nil"/>
              <w:left w:val="nil"/>
              <w:right w:val="nil"/>
            </w:tcBorders>
            <w:shd w:val="clear" w:color="auto" w:fill="FFCC99"/>
            <w:vAlign w:val="bottom"/>
          </w:tcPr>
          <w:p w14:paraId="46C35020" w14:textId="122A123D" w:rsidR="00BF2777" w:rsidRPr="005E0336" w:rsidRDefault="00BF2777" w:rsidP="00BE5D78">
            <w:pPr>
              <w:autoSpaceDE w:val="0"/>
              <w:autoSpaceDN w:val="0"/>
              <w:adjustRightInd w:val="0"/>
              <w:spacing w:after="0"/>
              <w:jc w:val="center"/>
              <w:rPr>
                <w:rFonts w:ascii="Calibri" w:hAnsi="Calibri" w:cs="Calibri"/>
                <w:color w:val="000000"/>
                <w:sz w:val="18"/>
                <w:szCs w:val="18"/>
                <w:lang w:val="en-AU"/>
              </w:rPr>
            </w:pPr>
            <w:r w:rsidRPr="005E0336">
              <w:rPr>
                <w:rFonts w:ascii="Calibri" w:hAnsi="Calibri"/>
                <w:b/>
                <w:bCs/>
                <w:color w:val="000000"/>
                <w:sz w:val="18"/>
                <w:szCs w:val="18"/>
              </w:rPr>
              <w:t>1E+10</w:t>
            </w:r>
          </w:p>
        </w:tc>
        <w:tc>
          <w:tcPr>
            <w:tcW w:w="992" w:type="dxa"/>
            <w:tcBorders>
              <w:top w:val="nil"/>
              <w:left w:val="nil"/>
              <w:right w:val="nil"/>
            </w:tcBorders>
            <w:shd w:val="clear" w:color="auto" w:fill="FFCC99"/>
            <w:vAlign w:val="bottom"/>
          </w:tcPr>
          <w:p w14:paraId="01A2FA12" w14:textId="5AE54278"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134" w:type="dxa"/>
            <w:tcBorders>
              <w:top w:val="nil"/>
              <w:left w:val="nil"/>
              <w:right w:val="nil"/>
            </w:tcBorders>
            <w:shd w:val="solid" w:color="99CCFF" w:fill="auto"/>
            <w:vAlign w:val="bottom"/>
          </w:tcPr>
          <w:p w14:paraId="6460249B" w14:textId="18D399F0"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tcBorders>
              <w:top w:val="nil"/>
              <w:left w:val="nil"/>
              <w:right w:val="nil"/>
            </w:tcBorders>
            <w:shd w:val="solid" w:color="99CCFF" w:fill="auto"/>
            <w:vAlign w:val="bottom"/>
          </w:tcPr>
          <w:p w14:paraId="5769449F" w14:textId="02FE4EF7"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5" w:type="dxa"/>
            <w:tcBorders>
              <w:top w:val="nil"/>
              <w:left w:val="nil"/>
              <w:right w:val="nil"/>
            </w:tcBorders>
            <w:shd w:val="solid" w:color="FFFFCC" w:fill="FFF2CC"/>
            <w:vAlign w:val="bottom"/>
          </w:tcPr>
          <w:p w14:paraId="7C7A65CB" w14:textId="1484A8AF"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134" w:type="dxa"/>
            <w:tcBorders>
              <w:top w:val="nil"/>
              <w:left w:val="nil"/>
              <w:right w:val="single" w:sz="4" w:space="0" w:color="auto"/>
            </w:tcBorders>
            <w:shd w:val="solid" w:color="FFFFCC" w:fill="FFF2CC"/>
            <w:vAlign w:val="bottom"/>
          </w:tcPr>
          <w:p w14:paraId="7EA01B5F" w14:textId="29D2D9A8" w:rsidR="00BF2777" w:rsidRPr="005E0336" w:rsidRDefault="00BF2777"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r>
      <w:tr w:rsidR="000859D9" w14:paraId="2DEF71DD" w14:textId="77777777" w:rsidTr="005E0336">
        <w:trPr>
          <w:trHeight w:val="290"/>
        </w:trPr>
        <w:tc>
          <w:tcPr>
            <w:tcW w:w="2152" w:type="dxa"/>
            <w:tcBorders>
              <w:top w:val="nil"/>
              <w:left w:val="single" w:sz="4" w:space="0" w:color="auto"/>
              <w:bottom w:val="single" w:sz="4" w:space="0" w:color="auto"/>
              <w:right w:val="nil"/>
            </w:tcBorders>
          </w:tcPr>
          <w:p w14:paraId="4376BEC7" w14:textId="40EECFFE" w:rsidR="000859D9" w:rsidRPr="005E0336" w:rsidRDefault="000859D9" w:rsidP="00EF4A61">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Acrylamide polymer</w:t>
            </w:r>
          </w:p>
        </w:tc>
        <w:tc>
          <w:tcPr>
            <w:tcW w:w="1134" w:type="dxa"/>
            <w:tcBorders>
              <w:top w:val="nil"/>
              <w:left w:val="nil"/>
              <w:bottom w:val="single" w:sz="4" w:space="0" w:color="auto"/>
              <w:right w:val="nil"/>
            </w:tcBorders>
            <w:shd w:val="clear" w:color="auto" w:fill="FFCC99"/>
            <w:vAlign w:val="bottom"/>
          </w:tcPr>
          <w:p w14:paraId="3D81C3BE" w14:textId="23304F78"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992" w:type="dxa"/>
            <w:tcBorders>
              <w:top w:val="nil"/>
              <w:left w:val="nil"/>
              <w:bottom w:val="single" w:sz="4" w:space="0" w:color="auto"/>
              <w:right w:val="nil"/>
            </w:tcBorders>
            <w:shd w:val="clear" w:color="auto" w:fill="FFCC99"/>
            <w:vAlign w:val="bottom"/>
          </w:tcPr>
          <w:p w14:paraId="363F15A2" w14:textId="43304A05"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134" w:type="dxa"/>
            <w:tcBorders>
              <w:top w:val="nil"/>
              <w:left w:val="nil"/>
              <w:bottom w:val="single" w:sz="4" w:space="0" w:color="auto"/>
              <w:right w:val="nil"/>
            </w:tcBorders>
            <w:shd w:val="solid" w:color="99CCFF" w:fill="auto"/>
            <w:vAlign w:val="bottom"/>
          </w:tcPr>
          <w:p w14:paraId="2D2DB7E0" w14:textId="59DAD29E"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276" w:type="dxa"/>
            <w:tcBorders>
              <w:top w:val="nil"/>
              <w:left w:val="nil"/>
              <w:bottom w:val="single" w:sz="4" w:space="0" w:color="auto"/>
              <w:right w:val="nil"/>
            </w:tcBorders>
            <w:shd w:val="solid" w:color="99CCFF" w:fill="auto"/>
            <w:vAlign w:val="bottom"/>
          </w:tcPr>
          <w:p w14:paraId="4DF3E5EA" w14:textId="2B4C4230"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275" w:type="dxa"/>
            <w:tcBorders>
              <w:top w:val="nil"/>
              <w:left w:val="nil"/>
              <w:bottom w:val="single" w:sz="4" w:space="0" w:color="auto"/>
              <w:right w:val="nil"/>
            </w:tcBorders>
            <w:shd w:val="solid" w:color="FFFFCC" w:fill="FFF2CC"/>
            <w:vAlign w:val="bottom"/>
          </w:tcPr>
          <w:p w14:paraId="20C81E2C" w14:textId="48BB1CE9"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134" w:type="dxa"/>
            <w:tcBorders>
              <w:top w:val="nil"/>
              <w:left w:val="nil"/>
              <w:bottom w:val="single" w:sz="4" w:space="0" w:color="auto"/>
              <w:right w:val="single" w:sz="4" w:space="0" w:color="auto"/>
            </w:tcBorders>
            <w:shd w:val="solid" w:color="FFFFCC" w:fill="FFF2CC"/>
            <w:vAlign w:val="bottom"/>
          </w:tcPr>
          <w:p w14:paraId="383A417F" w14:textId="333DECB5" w:rsidR="000859D9" w:rsidRPr="005E0336" w:rsidRDefault="006354E1" w:rsidP="000859D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r>
    </w:tbl>
    <w:p w14:paraId="42198CD3" w14:textId="77777777" w:rsidR="00F712EA" w:rsidRDefault="00F712EA" w:rsidP="00C5119A">
      <w:pPr>
        <w:rPr>
          <w:lang w:val="en-GB"/>
        </w:rPr>
      </w:pPr>
    </w:p>
    <w:p w14:paraId="0A4467C6" w14:textId="77777777" w:rsidR="004032C3" w:rsidRDefault="004032C3" w:rsidP="00C5119A">
      <w:pPr>
        <w:rPr>
          <w:lang w:val="en-GB"/>
        </w:rPr>
      </w:pPr>
    </w:p>
    <w:p w14:paraId="47B4D90E" w14:textId="77777777" w:rsidR="004032C3" w:rsidRDefault="004032C3" w:rsidP="00C5119A">
      <w:pPr>
        <w:rPr>
          <w:lang w:val="en-GB"/>
        </w:rPr>
      </w:pPr>
    </w:p>
    <w:p w14:paraId="2C0084E2" w14:textId="61FD6895" w:rsidR="00886AFF" w:rsidRDefault="00886AFF" w:rsidP="00886AFF">
      <w:pPr>
        <w:pStyle w:val="Imagecaption"/>
        <w:keepNext/>
        <w:pBdr>
          <w:top w:val="none" w:sz="0" w:space="0" w:color="auto"/>
        </w:pBdr>
      </w:pPr>
      <w:bookmarkStart w:id="657" w:name="_Ref454469417"/>
      <w:bookmarkStart w:id="658" w:name="_Toc494444734"/>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6</w:t>
      </w:r>
      <w:r w:rsidR="00470577">
        <w:fldChar w:fldCharType="end"/>
      </w:r>
      <w:bookmarkEnd w:id="657"/>
      <w:r>
        <w:t xml:space="preserve"> Calculated dilution attenuation factor (DAF) at receptor for mean travel time </w:t>
      </w:r>
      <w:r w:rsidR="00A42E92">
        <w:t xml:space="preserve">of 34 years </w:t>
      </w:r>
      <w:r>
        <w:t xml:space="preserve">(travel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rsidR="00A42E92">
        <w:t>)</w:t>
      </w:r>
      <w:r>
        <w:t xml:space="preserve">. MCI = Methyl-chloro-isothiazolinone. </w:t>
      </w:r>
      <w:r w:rsidR="006354E1">
        <w:t xml:space="preserve">Numbers in italics assume absence of </w:t>
      </w:r>
      <w:r w:rsidR="003B5BB4">
        <w:t xml:space="preserve">chemical/biological </w:t>
      </w:r>
      <w:r w:rsidR="006354E1">
        <w:t>degradation.</w:t>
      </w:r>
      <w:bookmarkEnd w:id="658"/>
    </w:p>
    <w:tbl>
      <w:tblPr>
        <w:tblW w:w="9096" w:type="dxa"/>
        <w:tblInd w:w="-30" w:type="dxa"/>
        <w:tblLayout w:type="fixed"/>
        <w:tblLook w:val="0000" w:firstRow="0" w:lastRow="0" w:firstColumn="0" w:lastColumn="0" w:noHBand="0" w:noVBand="0"/>
      </w:tblPr>
      <w:tblGrid>
        <w:gridCol w:w="2152"/>
        <w:gridCol w:w="992"/>
        <w:gridCol w:w="1123"/>
        <w:gridCol w:w="1003"/>
        <w:gridCol w:w="142"/>
        <w:gridCol w:w="1290"/>
        <w:gridCol w:w="1403"/>
        <w:gridCol w:w="991"/>
      </w:tblGrid>
      <w:tr w:rsidR="00886AFF" w14:paraId="1B7FAA98" w14:textId="77777777" w:rsidTr="005E0336">
        <w:trPr>
          <w:trHeight w:val="290"/>
        </w:trPr>
        <w:tc>
          <w:tcPr>
            <w:tcW w:w="2152" w:type="dxa"/>
            <w:tcBorders>
              <w:top w:val="single" w:sz="4" w:space="0" w:color="auto"/>
              <w:left w:val="single" w:sz="4" w:space="0" w:color="auto"/>
              <w:bottom w:val="nil"/>
              <w:right w:val="nil"/>
            </w:tcBorders>
          </w:tcPr>
          <w:p w14:paraId="1FE8ADD1" w14:textId="77777777" w:rsidR="00886AFF" w:rsidRPr="005E0336" w:rsidRDefault="00886AFF">
            <w:pPr>
              <w:autoSpaceDE w:val="0"/>
              <w:autoSpaceDN w:val="0"/>
              <w:adjustRightInd w:val="0"/>
              <w:spacing w:after="0"/>
              <w:jc w:val="right"/>
              <w:rPr>
                <w:rFonts w:ascii="Calibri" w:hAnsi="Calibri" w:cs="Calibri"/>
                <w:color w:val="000000"/>
                <w:sz w:val="18"/>
                <w:szCs w:val="18"/>
                <w:lang w:val="en-AU"/>
              </w:rPr>
            </w:pPr>
          </w:p>
        </w:tc>
        <w:tc>
          <w:tcPr>
            <w:tcW w:w="6944" w:type="dxa"/>
            <w:gridSpan w:val="7"/>
            <w:tcBorders>
              <w:top w:val="single" w:sz="4" w:space="0" w:color="auto"/>
              <w:left w:val="nil"/>
              <w:bottom w:val="nil"/>
              <w:right w:val="single" w:sz="4" w:space="0" w:color="auto"/>
            </w:tcBorders>
          </w:tcPr>
          <w:p w14:paraId="4097D2D2" w14:textId="0B3B6D53" w:rsidR="00886AFF" w:rsidRPr="005E0336" w:rsidRDefault="00913EB4" w:rsidP="005E0336">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 xml:space="preserve">Dilution </w:t>
            </w:r>
            <w:r w:rsidR="005E0336">
              <w:rPr>
                <w:rFonts w:ascii="Calibri" w:hAnsi="Calibri" w:cs="Calibri"/>
                <w:color w:val="000000"/>
                <w:sz w:val="18"/>
                <w:szCs w:val="18"/>
                <w:lang w:val="en-AU"/>
              </w:rPr>
              <w:t xml:space="preserve">attenuation </w:t>
            </w:r>
            <w:r w:rsidRPr="005E0336">
              <w:rPr>
                <w:rFonts w:ascii="Calibri" w:hAnsi="Calibri" w:cs="Calibri"/>
                <w:color w:val="000000"/>
                <w:sz w:val="18"/>
                <w:szCs w:val="18"/>
                <w:lang w:val="en-AU"/>
              </w:rPr>
              <w:t>factor</w:t>
            </w:r>
            <w:r w:rsidR="005E0336">
              <w:rPr>
                <w:rFonts w:ascii="Calibri" w:hAnsi="Calibri" w:cs="Calibri"/>
                <w:color w:val="000000"/>
                <w:sz w:val="18"/>
                <w:szCs w:val="18"/>
                <w:lang w:val="en-AU"/>
              </w:rPr>
              <w:t xml:space="preserve"> </w:t>
            </w:r>
            <w:r w:rsidR="005E0336" w:rsidRPr="005E0336">
              <w:rPr>
                <w:rFonts w:ascii="Calibri" w:hAnsi="Calibri" w:cs="Calibri"/>
                <w:color w:val="000000"/>
                <w:sz w:val="18"/>
                <w:szCs w:val="18"/>
                <w:lang w:val="en-AU"/>
              </w:rPr>
              <w:t>(-)</w:t>
            </w:r>
            <w:r w:rsidR="00886AFF" w:rsidRPr="005E0336">
              <w:rPr>
                <w:rFonts w:ascii="Calibri" w:hAnsi="Calibri" w:cs="Calibri"/>
                <w:color w:val="000000"/>
                <w:sz w:val="18"/>
                <w:szCs w:val="18"/>
                <w:lang w:val="en-AU"/>
              </w:rPr>
              <w:t xml:space="preserve"> at receptor: mean travel time</w:t>
            </w:r>
          </w:p>
        </w:tc>
      </w:tr>
      <w:tr w:rsidR="00886AFF" w14:paraId="098A0C2A" w14:textId="77777777" w:rsidTr="00C63CA2">
        <w:trPr>
          <w:trHeight w:val="290"/>
        </w:trPr>
        <w:tc>
          <w:tcPr>
            <w:tcW w:w="2152" w:type="dxa"/>
            <w:tcBorders>
              <w:top w:val="nil"/>
              <w:left w:val="single" w:sz="4" w:space="0" w:color="auto"/>
              <w:bottom w:val="nil"/>
              <w:right w:val="nil"/>
            </w:tcBorders>
          </w:tcPr>
          <w:p w14:paraId="0BC036B4" w14:textId="77777777" w:rsidR="00886AFF" w:rsidRPr="005E0336" w:rsidRDefault="00886AFF">
            <w:pPr>
              <w:autoSpaceDE w:val="0"/>
              <w:autoSpaceDN w:val="0"/>
              <w:adjustRightInd w:val="0"/>
              <w:spacing w:after="0"/>
              <w:jc w:val="right"/>
              <w:rPr>
                <w:rFonts w:ascii="Calibri" w:hAnsi="Calibri" w:cs="Calibri"/>
                <w:color w:val="000000"/>
                <w:sz w:val="18"/>
                <w:szCs w:val="18"/>
                <w:lang w:val="en-AU"/>
              </w:rPr>
            </w:pPr>
          </w:p>
        </w:tc>
        <w:tc>
          <w:tcPr>
            <w:tcW w:w="2115" w:type="dxa"/>
            <w:gridSpan w:val="2"/>
            <w:tcBorders>
              <w:top w:val="nil"/>
              <w:left w:val="nil"/>
              <w:bottom w:val="nil"/>
              <w:right w:val="nil"/>
            </w:tcBorders>
            <w:shd w:val="solid" w:color="FFCC99" w:fill="auto"/>
          </w:tcPr>
          <w:p w14:paraId="49608761" w14:textId="6D8CA4EF" w:rsidR="00886AFF" w:rsidRPr="005E0336" w:rsidRDefault="00886AFF">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Anaerobic</w:t>
            </w:r>
          </w:p>
        </w:tc>
        <w:tc>
          <w:tcPr>
            <w:tcW w:w="2435" w:type="dxa"/>
            <w:gridSpan w:val="3"/>
            <w:tcBorders>
              <w:top w:val="nil"/>
              <w:left w:val="nil"/>
              <w:right w:val="nil"/>
            </w:tcBorders>
            <w:shd w:val="solid" w:color="99CCFF" w:fill="auto"/>
          </w:tcPr>
          <w:p w14:paraId="1DAE2C80" w14:textId="778A3325" w:rsidR="00886AFF" w:rsidRPr="005E0336" w:rsidRDefault="00886AFF">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Aerobic</w:t>
            </w:r>
          </w:p>
        </w:tc>
        <w:tc>
          <w:tcPr>
            <w:tcW w:w="2394" w:type="dxa"/>
            <w:gridSpan w:val="2"/>
            <w:tcBorders>
              <w:top w:val="nil"/>
              <w:left w:val="nil"/>
              <w:bottom w:val="nil"/>
              <w:right w:val="single" w:sz="4" w:space="0" w:color="auto"/>
            </w:tcBorders>
            <w:shd w:val="solid" w:color="FFFFCC" w:fill="auto"/>
          </w:tcPr>
          <w:p w14:paraId="6CE78945" w14:textId="6143CAA4" w:rsidR="00886AFF" w:rsidRPr="005E0336" w:rsidRDefault="00886AFF">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Hydrolysis</w:t>
            </w:r>
          </w:p>
        </w:tc>
      </w:tr>
      <w:tr w:rsidR="00886AFF" w14:paraId="2EB8C549" w14:textId="77777777" w:rsidTr="00393757">
        <w:trPr>
          <w:trHeight w:val="290"/>
        </w:trPr>
        <w:tc>
          <w:tcPr>
            <w:tcW w:w="2152" w:type="dxa"/>
            <w:tcBorders>
              <w:top w:val="nil"/>
              <w:left w:val="single" w:sz="4" w:space="0" w:color="auto"/>
              <w:bottom w:val="single" w:sz="6" w:space="0" w:color="auto"/>
              <w:right w:val="nil"/>
            </w:tcBorders>
          </w:tcPr>
          <w:p w14:paraId="1001508C" w14:textId="77777777" w:rsidR="00886AFF" w:rsidRPr="005E0336" w:rsidRDefault="00886AFF">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Chemical substance</w:t>
            </w:r>
          </w:p>
        </w:tc>
        <w:tc>
          <w:tcPr>
            <w:tcW w:w="992" w:type="dxa"/>
            <w:tcBorders>
              <w:top w:val="nil"/>
              <w:left w:val="nil"/>
              <w:bottom w:val="single" w:sz="6" w:space="0" w:color="auto"/>
              <w:right w:val="nil"/>
            </w:tcBorders>
            <w:shd w:val="solid" w:color="FFCC99" w:fill="auto"/>
          </w:tcPr>
          <w:p w14:paraId="1D7BC18F" w14:textId="669BE2E1" w:rsidR="00886AFF"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886AFF" w:rsidRPr="005E0336">
              <w:rPr>
                <w:rFonts w:ascii="Calibri" w:hAnsi="Calibri" w:cs="Calibri"/>
                <w:color w:val="000000"/>
                <w:sz w:val="18"/>
                <w:szCs w:val="18"/>
                <w:lang w:val="en-AU"/>
              </w:rPr>
              <w:t>in</w:t>
            </w:r>
          </w:p>
        </w:tc>
        <w:tc>
          <w:tcPr>
            <w:tcW w:w="1123" w:type="dxa"/>
            <w:tcBorders>
              <w:top w:val="nil"/>
              <w:left w:val="nil"/>
              <w:bottom w:val="single" w:sz="8" w:space="0" w:color="auto"/>
              <w:right w:val="nil"/>
            </w:tcBorders>
            <w:shd w:val="solid" w:color="FFCC99" w:fill="auto"/>
          </w:tcPr>
          <w:p w14:paraId="2FBD555B" w14:textId="2B5EA115" w:rsidR="00886AFF"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886AFF" w:rsidRPr="005E0336">
              <w:rPr>
                <w:rFonts w:ascii="Calibri" w:hAnsi="Calibri" w:cs="Calibri"/>
                <w:color w:val="000000"/>
                <w:sz w:val="18"/>
                <w:szCs w:val="18"/>
                <w:lang w:val="en-AU"/>
              </w:rPr>
              <w:t>ax</w:t>
            </w:r>
          </w:p>
        </w:tc>
        <w:tc>
          <w:tcPr>
            <w:tcW w:w="1003" w:type="dxa"/>
            <w:tcBorders>
              <w:top w:val="nil"/>
              <w:left w:val="nil"/>
              <w:bottom w:val="single" w:sz="8" w:space="0" w:color="auto"/>
              <w:right w:val="nil"/>
            </w:tcBorders>
            <w:shd w:val="solid" w:color="99CCFF" w:fill="auto"/>
          </w:tcPr>
          <w:p w14:paraId="0D8045B3" w14:textId="56AA5385" w:rsidR="00886AFF"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886AFF" w:rsidRPr="005E0336">
              <w:rPr>
                <w:rFonts w:ascii="Calibri" w:hAnsi="Calibri" w:cs="Calibri"/>
                <w:color w:val="000000"/>
                <w:sz w:val="18"/>
                <w:szCs w:val="18"/>
                <w:lang w:val="en-AU"/>
              </w:rPr>
              <w:t>in</w:t>
            </w:r>
          </w:p>
        </w:tc>
        <w:tc>
          <w:tcPr>
            <w:tcW w:w="1432" w:type="dxa"/>
            <w:gridSpan w:val="2"/>
            <w:tcBorders>
              <w:top w:val="nil"/>
              <w:left w:val="nil"/>
              <w:bottom w:val="single" w:sz="8" w:space="0" w:color="auto"/>
              <w:right w:val="nil"/>
            </w:tcBorders>
            <w:shd w:val="solid" w:color="99CCFF" w:fill="auto"/>
          </w:tcPr>
          <w:p w14:paraId="0CFE9C01" w14:textId="0A7FD0C9" w:rsidR="00886AFF"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886AFF" w:rsidRPr="005E0336">
              <w:rPr>
                <w:rFonts w:ascii="Calibri" w:hAnsi="Calibri" w:cs="Calibri"/>
                <w:color w:val="000000"/>
                <w:sz w:val="18"/>
                <w:szCs w:val="18"/>
                <w:lang w:val="en-AU"/>
              </w:rPr>
              <w:t>ax</w:t>
            </w:r>
          </w:p>
        </w:tc>
        <w:tc>
          <w:tcPr>
            <w:tcW w:w="1403" w:type="dxa"/>
            <w:tcBorders>
              <w:top w:val="nil"/>
              <w:left w:val="nil"/>
              <w:bottom w:val="single" w:sz="6" w:space="0" w:color="auto"/>
              <w:right w:val="nil"/>
            </w:tcBorders>
            <w:shd w:val="solid" w:color="FFFFCC" w:fill="auto"/>
          </w:tcPr>
          <w:p w14:paraId="1EB379C7" w14:textId="214E4218" w:rsidR="00886AFF"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886AFF" w:rsidRPr="005E0336">
              <w:rPr>
                <w:rFonts w:ascii="Calibri" w:hAnsi="Calibri" w:cs="Calibri"/>
                <w:color w:val="000000"/>
                <w:sz w:val="18"/>
                <w:szCs w:val="18"/>
                <w:lang w:val="en-AU"/>
              </w:rPr>
              <w:t>in</w:t>
            </w:r>
          </w:p>
        </w:tc>
        <w:tc>
          <w:tcPr>
            <w:tcW w:w="991" w:type="dxa"/>
            <w:tcBorders>
              <w:top w:val="nil"/>
              <w:left w:val="nil"/>
              <w:bottom w:val="single" w:sz="6" w:space="0" w:color="auto"/>
              <w:right w:val="single" w:sz="4" w:space="0" w:color="auto"/>
            </w:tcBorders>
            <w:shd w:val="solid" w:color="FFFFCC" w:fill="auto"/>
          </w:tcPr>
          <w:p w14:paraId="66538F99" w14:textId="08034BDD" w:rsidR="00886AFF" w:rsidRPr="005E0336" w:rsidRDefault="005E0336">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886AFF" w:rsidRPr="005E0336">
              <w:rPr>
                <w:rFonts w:ascii="Calibri" w:hAnsi="Calibri" w:cs="Calibri"/>
                <w:color w:val="000000"/>
                <w:sz w:val="18"/>
                <w:szCs w:val="18"/>
                <w:lang w:val="en-AU"/>
              </w:rPr>
              <w:t>ax</w:t>
            </w:r>
          </w:p>
        </w:tc>
      </w:tr>
      <w:tr w:rsidR="004D50CA" w14:paraId="7C8AECE0" w14:textId="77777777" w:rsidTr="00C63CA2">
        <w:trPr>
          <w:trHeight w:val="290"/>
        </w:trPr>
        <w:tc>
          <w:tcPr>
            <w:tcW w:w="2152" w:type="dxa"/>
            <w:tcBorders>
              <w:top w:val="nil"/>
              <w:left w:val="single" w:sz="4" w:space="0" w:color="auto"/>
              <w:bottom w:val="nil"/>
              <w:right w:val="nil"/>
            </w:tcBorders>
          </w:tcPr>
          <w:p w14:paraId="01756028" w14:textId="77777777" w:rsidR="004D50CA" w:rsidRPr="005E0336" w:rsidRDefault="004D50CA" w:rsidP="004D50C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2-methylphenol</w:t>
            </w:r>
          </w:p>
        </w:tc>
        <w:tc>
          <w:tcPr>
            <w:tcW w:w="992" w:type="dxa"/>
            <w:tcBorders>
              <w:top w:val="single" w:sz="6" w:space="0" w:color="auto"/>
              <w:left w:val="nil"/>
              <w:bottom w:val="nil"/>
              <w:right w:val="nil"/>
            </w:tcBorders>
            <w:shd w:val="clear" w:color="auto" w:fill="FFCC99"/>
            <w:vAlign w:val="bottom"/>
          </w:tcPr>
          <w:p w14:paraId="0EF6A1D2" w14:textId="059FCB0D" w:rsidR="004D50CA" w:rsidRPr="005E0336" w:rsidRDefault="004D50CA" w:rsidP="00BE5D78">
            <w:pPr>
              <w:autoSpaceDE w:val="0"/>
              <w:autoSpaceDN w:val="0"/>
              <w:adjustRightInd w:val="0"/>
              <w:spacing w:after="0"/>
              <w:jc w:val="center"/>
              <w:rPr>
                <w:rFonts w:ascii="Calibri" w:hAnsi="Calibri" w:cs="Calibri"/>
                <w:b/>
                <w:color w:val="000000"/>
                <w:sz w:val="18"/>
                <w:szCs w:val="18"/>
                <w:lang w:val="en-AU"/>
              </w:rPr>
            </w:pPr>
            <w:r w:rsidRPr="005E0336">
              <w:rPr>
                <w:rFonts w:ascii="Calibri" w:hAnsi="Calibri" w:cs="Calibri"/>
                <w:b/>
                <w:color w:val="000000"/>
                <w:sz w:val="18"/>
                <w:szCs w:val="18"/>
                <w:lang w:val="en-AU"/>
              </w:rPr>
              <w:t>1E+10</w:t>
            </w:r>
          </w:p>
        </w:tc>
        <w:tc>
          <w:tcPr>
            <w:tcW w:w="1123" w:type="dxa"/>
            <w:tcBorders>
              <w:top w:val="single" w:sz="8" w:space="0" w:color="auto"/>
              <w:left w:val="nil"/>
              <w:bottom w:val="nil"/>
              <w:right w:val="nil"/>
            </w:tcBorders>
            <w:shd w:val="clear" w:color="auto" w:fill="FFCC99"/>
            <w:vAlign w:val="bottom"/>
          </w:tcPr>
          <w:p w14:paraId="26AAAD1D" w14:textId="6DD3EEB8" w:rsidR="004D50CA" w:rsidRPr="005E0336" w:rsidRDefault="004D50CA" w:rsidP="004D50CA">
            <w:pPr>
              <w:autoSpaceDE w:val="0"/>
              <w:autoSpaceDN w:val="0"/>
              <w:adjustRightInd w:val="0"/>
              <w:spacing w:after="0"/>
              <w:jc w:val="center"/>
              <w:rPr>
                <w:rFonts w:ascii="Calibri" w:hAnsi="Calibri" w:cs="Calibri"/>
                <w:b/>
                <w:color w:val="000000"/>
                <w:sz w:val="18"/>
                <w:szCs w:val="18"/>
                <w:lang w:val="en-AU"/>
              </w:rPr>
            </w:pPr>
            <w:r w:rsidRPr="005E0336">
              <w:rPr>
                <w:rFonts w:ascii="Calibri" w:hAnsi="Calibri" w:cs="Calibri"/>
                <w:b/>
                <w:color w:val="000000"/>
                <w:sz w:val="18"/>
                <w:szCs w:val="18"/>
                <w:lang w:val="en-AU"/>
              </w:rPr>
              <w:t>4.75E+02</w:t>
            </w:r>
          </w:p>
        </w:tc>
        <w:tc>
          <w:tcPr>
            <w:tcW w:w="1145" w:type="dxa"/>
            <w:gridSpan w:val="2"/>
            <w:tcBorders>
              <w:top w:val="single" w:sz="8" w:space="0" w:color="auto"/>
              <w:left w:val="nil"/>
              <w:bottom w:val="nil"/>
              <w:right w:val="nil"/>
            </w:tcBorders>
            <w:shd w:val="solid" w:color="99CCFF" w:fill="BDD7EE"/>
            <w:vAlign w:val="bottom"/>
          </w:tcPr>
          <w:p w14:paraId="7CBFFCDF" w14:textId="68B22875"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90" w:type="dxa"/>
            <w:tcBorders>
              <w:top w:val="single" w:sz="8" w:space="0" w:color="auto"/>
              <w:left w:val="nil"/>
              <w:bottom w:val="nil"/>
              <w:right w:val="nil"/>
            </w:tcBorders>
            <w:shd w:val="solid" w:color="99CCFF" w:fill="BDD7EE"/>
            <w:vAlign w:val="bottom"/>
          </w:tcPr>
          <w:p w14:paraId="6C54FC92" w14:textId="57F35B9E"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403" w:type="dxa"/>
            <w:tcBorders>
              <w:top w:val="single" w:sz="6" w:space="0" w:color="auto"/>
              <w:left w:val="nil"/>
              <w:bottom w:val="nil"/>
              <w:right w:val="nil"/>
            </w:tcBorders>
            <w:shd w:val="solid" w:color="FFFFCC" w:fill="FFF2CC"/>
            <w:vAlign w:val="bottom"/>
          </w:tcPr>
          <w:p w14:paraId="136A5185" w14:textId="4B0AAF49"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991" w:type="dxa"/>
            <w:tcBorders>
              <w:top w:val="single" w:sz="6" w:space="0" w:color="auto"/>
              <w:left w:val="nil"/>
              <w:bottom w:val="nil"/>
              <w:right w:val="single" w:sz="4" w:space="0" w:color="auto"/>
            </w:tcBorders>
            <w:shd w:val="solid" w:color="FFFFCC" w:fill="FFF2CC"/>
            <w:vAlign w:val="bottom"/>
          </w:tcPr>
          <w:p w14:paraId="70C6251E" w14:textId="040F57C9"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r>
      <w:tr w:rsidR="004D50CA" w14:paraId="46EC1E88" w14:textId="77777777" w:rsidTr="005E0336">
        <w:trPr>
          <w:trHeight w:val="290"/>
        </w:trPr>
        <w:tc>
          <w:tcPr>
            <w:tcW w:w="2152" w:type="dxa"/>
            <w:tcBorders>
              <w:top w:val="nil"/>
              <w:left w:val="single" w:sz="4" w:space="0" w:color="auto"/>
              <w:bottom w:val="nil"/>
              <w:right w:val="nil"/>
            </w:tcBorders>
          </w:tcPr>
          <w:p w14:paraId="78AE4CAD" w14:textId="77777777" w:rsidR="004D50CA" w:rsidRPr="005E0336" w:rsidRDefault="004D50CA" w:rsidP="004D50C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Naphthalene</w:t>
            </w:r>
          </w:p>
        </w:tc>
        <w:tc>
          <w:tcPr>
            <w:tcW w:w="992" w:type="dxa"/>
            <w:tcBorders>
              <w:top w:val="nil"/>
              <w:left w:val="nil"/>
              <w:bottom w:val="nil"/>
              <w:right w:val="nil"/>
            </w:tcBorders>
            <w:shd w:val="clear" w:color="auto" w:fill="FFCC99"/>
            <w:vAlign w:val="bottom"/>
          </w:tcPr>
          <w:p w14:paraId="51C07A10" w14:textId="218CCF86" w:rsidR="004D50CA" w:rsidRPr="005E0336" w:rsidRDefault="004D50CA" w:rsidP="00BE5D78">
            <w:pPr>
              <w:autoSpaceDE w:val="0"/>
              <w:autoSpaceDN w:val="0"/>
              <w:adjustRightInd w:val="0"/>
              <w:spacing w:after="0"/>
              <w:jc w:val="center"/>
              <w:rPr>
                <w:rFonts w:ascii="Calibri" w:hAnsi="Calibri" w:cs="Calibri"/>
                <w:b/>
                <w:color w:val="000000"/>
                <w:sz w:val="18"/>
                <w:szCs w:val="18"/>
                <w:lang w:val="en-AU"/>
              </w:rPr>
            </w:pPr>
            <w:r w:rsidRPr="005E0336">
              <w:rPr>
                <w:rFonts w:ascii="Calibri" w:hAnsi="Calibri" w:cs="Calibri"/>
                <w:b/>
                <w:color w:val="000000"/>
                <w:sz w:val="18"/>
                <w:szCs w:val="18"/>
                <w:lang w:val="en-AU"/>
              </w:rPr>
              <w:t>1E+10</w:t>
            </w:r>
          </w:p>
        </w:tc>
        <w:tc>
          <w:tcPr>
            <w:tcW w:w="1123" w:type="dxa"/>
            <w:tcBorders>
              <w:top w:val="nil"/>
              <w:left w:val="nil"/>
              <w:bottom w:val="nil"/>
              <w:right w:val="nil"/>
            </w:tcBorders>
            <w:shd w:val="clear" w:color="auto" w:fill="FFCC99"/>
            <w:vAlign w:val="bottom"/>
          </w:tcPr>
          <w:p w14:paraId="6017A355" w14:textId="1AB110A1" w:rsidR="004D50CA" w:rsidRPr="005E0336" w:rsidRDefault="004D50CA" w:rsidP="00BE5D78">
            <w:pPr>
              <w:autoSpaceDE w:val="0"/>
              <w:autoSpaceDN w:val="0"/>
              <w:adjustRightInd w:val="0"/>
              <w:spacing w:after="0"/>
              <w:jc w:val="center"/>
              <w:rPr>
                <w:rFonts w:ascii="Calibri" w:hAnsi="Calibri" w:cs="Calibri"/>
                <w:b/>
                <w:color w:val="000000"/>
                <w:sz w:val="18"/>
                <w:szCs w:val="18"/>
                <w:lang w:val="en-AU"/>
              </w:rPr>
            </w:pPr>
            <w:r w:rsidRPr="005E0336">
              <w:rPr>
                <w:rFonts w:ascii="Calibri" w:hAnsi="Calibri" w:cs="Calibri"/>
                <w:b/>
                <w:color w:val="000000"/>
                <w:sz w:val="18"/>
                <w:szCs w:val="18"/>
                <w:lang w:val="en-AU"/>
              </w:rPr>
              <w:t>1E+00</w:t>
            </w:r>
          </w:p>
        </w:tc>
        <w:tc>
          <w:tcPr>
            <w:tcW w:w="1145" w:type="dxa"/>
            <w:gridSpan w:val="2"/>
            <w:tcBorders>
              <w:top w:val="nil"/>
              <w:left w:val="nil"/>
              <w:bottom w:val="nil"/>
              <w:right w:val="nil"/>
            </w:tcBorders>
            <w:shd w:val="solid" w:color="99CCFF" w:fill="BDD7EE"/>
            <w:vAlign w:val="bottom"/>
          </w:tcPr>
          <w:p w14:paraId="05E1E6D3" w14:textId="47D4D0C0"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90" w:type="dxa"/>
            <w:tcBorders>
              <w:top w:val="nil"/>
              <w:left w:val="nil"/>
              <w:bottom w:val="nil"/>
              <w:right w:val="nil"/>
            </w:tcBorders>
            <w:shd w:val="solid" w:color="99CCFF" w:fill="BDD7EE"/>
            <w:vAlign w:val="bottom"/>
          </w:tcPr>
          <w:p w14:paraId="4660D231" w14:textId="2C1DB5A6"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403" w:type="dxa"/>
            <w:tcBorders>
              <w:top w:val="nil"/>
              <w:left w:val="nil"/>
              <w:bottom w:val="nil"/>
              <w:right w:val="nil"/>
            </w:tcBorders>
            <w:shd w:val="solid" w:color="FFFFCC" w:fill="FFF2CC"/>
            <w:vAlign w:val="bottom"/>
          </w:tcPr>
          <w:p w14:paraId="0B6C7BB8" w14:textId="5A264608"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1</w:t>
            </w:r>
          </w:p>
        </w:tc>
        <w:tc>
          <w:tcPr>
            <w:tcW w:w="991" w:type="dxa"/>
            <w:tcBorders>
              <w:top w:val="nil"/>
              <w:left w:val="nil"/>
              <w:bottom w:val="nil"/>
              <w:right w:val="single" w:sz="4" w:space="0" w:color="auto"/>
            </w:tcBorders>
            <w:shd w:val="solid" w:color="FFFFCC" w:fill="FFF2CC"/>
            <w:vAlign w:val="bottom"/>
          </w:tcPr>
          <w:p w14:paraId="5BD2F41F" w14:textId="43315B03"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1</w:t>
            </w:r>
          </w:p>
        </w:tc>
      </w:tr>
      <w:tr w:rsidR="004D50CA" w14:paraId="5212061C" w14:textId="77777777" w:rsidTr="005E0336">
        <w:trPr>
          <w:trHeight w:val="290"/>
        </w:trPr>
        <w:tc>
          <w:tcPr>
            <w:tcW w:w="2152" w:type="dxa"/>
            <w:tcBorders>
              <w:top w:val="nil"/>
              <w:left w:val="single" w:sz="4" w:space="0" w:color="auto"/>
              <w:bottom w:val="nil"/>
              <w:right w:val="nil"/>
            </w:tcBorders>
          </w:tcPr>
          <w:p w14:paraId="6B5C1601" w14:textId="77777777" w:rsidR="004D50CA" w:rsidRPr="005E0336" w:rsidRDefault="004D50CA" w:rsidP="004D50C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Limonene</w:t>
            </w:r>
          </w:p>
        </w:tc>
        <w:tc>
          <w:tcPr>
            <w:tcW w:w="992" w:type="dxa"/>
            <w:tcBorders>
              <w:top w:val="nil"/>
              <w:left w:val="nil"/>
              <w:bottom w:val="nil"/>
              <w:right w:val="nil"/>
            </w:tcBorders>
            <w:shd w:val="clear" w:color="auto" w:fill="FFCC99"/>
            <w:vAlign w:val="bottom"/>
          </w:tcPr>
          <w:p w14:paraId="46C512F5" w14:textId="16B90768" w:rsidR="004D50CA" w:rsidRPr="005E0336" w:rsidRDefault="006354E1" w:rsidP="004D50CA">
            <w:pPr>
              <w:autoSpaceDE w:val="0"/>
              <w:autoSpaceDN w:val="0"/>
              <w:adjustRightInd w:val="0"/>
              <w:spacing w:after="0"/>
              <w:jc w:val="center"/>
              <w:rPr>
                <w:rFonts w:ascii="Calibri" w:hAnsi="Calibri" w:cs="Calibri"/>
                <w:b/>
                <w:i/>
                <w:color w:val="000000"/>
                <w:sz w:val="18"/>
                <w:szCs w:val="18"/>
                <w:lang w:val="en-AU"/>
              </w:rPr>
            </w:pPr>
            <w:r w:rsidRPr="005E0336">
              <w:rPr>
                <w:rFonts w:ascii="Calibri" w:hAnsi="Calibri" w:cs="Calibri"/>
                <w:b/>
                <w:i/>
                <w:color w:val="000000"/>
                <w:sz w:val="18"/>
                <w:szCs w:val="18"/>
                <w:lang w:val="en-AU"/>
              </w:rPr>
              <w:t xml:space="preserve"> 1</w:t>
            </w:r>
          </w:p>
        </w:tc>
        <w:tc>
          <w:tcPr>
            <w:tcW w:w="1123" w:type="dxa"/>
            <w:tcBorders>
              <w:top w:val="nil"/>
              <w:left w:val="nil"/>
              <w:bottom w:val="nil"/>
              <w:right w:val="nil"/>
            </w:tcBorders>
            <w:shd w:val="clear" w:color="auto" w:fill="FFCC99"/>
            <w:vAlign w:val="bottom"/>
          </w:tcPr>
          <w:p w14:paraId="11751EBE" w14:textId="52039561" w:rsidR="004D50CA" w:rsidRPr="005E0336" w:rsidRDefault="006354E1" w:rsidP="004D50CA">
            <w:pPr>
              <w:autoSpaceDE w:val="0"/>
              <w:autoSpaceDN w:val="0"/>
              <w:adjustRightInd w:val="0"/>
              <w:spacing w:after="0"/>
              <w:jc w:val="center"/>
              <w:rPr>
                <w:rFonts w:ascii="Calibri" w:hAnsi="Calibri" w:cs="Calibri"/>
                <w:b/>
                <w:i/>
                <w:color w:val="000000"/>
                <w:sz w:val="18"/>
                <w:szCs w:val="18"/>
                <w:lang w:val="en-AU"/>
              </w:rPr>
            </w:pPr>
            <w:r w:rsidRPr="005E0336">
              <w:rPr>
                <w:rFonts w:ascii="Calibri" w:hAnsi="Calibri" w:cs="Calibri"/>
                <w:b/>
                <w:i/>
                <w:color w:val="000000"/>
                <w:sz w:val="18"/>
                <w:szCs w:val="18"/>
                <w:lang w:val="en-AU"/>
              </w:rPr>
              <w:t xml:space="preserve"> 1</w:t>
            </w:r>
          </w:p>
        </w:tc>
        <w:tc>
          <w:tcPr>
            <w:tcW w:w="1145" w:type="dxa"/>
            <w:gridSpan w:val="2"/>
            <w:tcBorders>
              <w:top w:val="nil"/>
              <w:left w:val="nil"/>
              <w:bottom w:val="nil"/>
              <w:right w:val="nil"/>
            </w:tcBorders>
            <w:shd w:val="solid" w:color="99CCFF" w:fill="BDD7EE"/>
            <w:vAlign w:val="bottom"/>
          </w:tcPr>
          <w:p w14:paraId="55291B6A" w14:textId="64C8C84C"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90" w:type="dxa"/>
            <w:tcBorders>
              <w:top w:val="nil"/>
              <w:left w:val="nil"/>
              <w:bottom w:val="nil"/>
              <w:right w:val="nil"/>
            </w:tcBorders>
            <w:shd w:val="solid" w:color="99CCFF" w:fill="BDD7EE"/>
            <w:vAlign w:val="bottom"/>
          </w:tcPr>
          <w:p w14:paraId="250D9AC9" w14:textId="29BFB663"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403" w:type="dxa"/>
            <w:tcBorders>
              <w:top w:val="nil"/>
              <w:left w:val="nil"/>
              <w:bottom w:val="nil"/>
              <w:right w:val="nil"/>
            </w:tcBorders>
            <w:shd w:val="solid" w:color="FFFFCC" w:fill="FFF2CC"/>
            <w:vAlign w:val="bottom"/>
          </w:tcPr>
          <w:p w14:paraId="15F7CC5E" w14:textId="4C3C1B3A"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991" w:type="dxa"/>
            <w:tcBorders>
              <w:top w:val="nil"/>
              <w:left w:val="nil"/>
              <w:bottom w:val="nil"/>
              <w:right w:val="single" w:sz="4" w:space="0" w:color="auto"/>
            </w:tcBorders>
            <w:shd w:val="solid" w:color="FFFFCC" w:fill="FFF2CC"/>
            <w:vAlign w:val="bottom"/>
          </w:tcPr>
          <w:p w14:paraId="5E67E03A" w14:textId="00843C65"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r>
      <w:tr w:rsidR="00EB0469" w14:paraId="173EF1A6" w14:textId="77777777" w:rsidTr="005E0336">
        <w:trPr>
          <w:trHeight w:val="290"/>
        </w:trPr>
        <w:tc>
          <w:tcPr>
            <w:tcW w:w="2152" w:type="dxa"/>
            <w:tcBorders>
              <w:top w:val="nil"/>
              <w:left w:val="single" w:sz="4" w:space="0" w:color="auto"/>
              <w:bottom w:val="nil"/>
              <w:right w:val="nil"/>
            </w:tcBorders>
          </w:tcPr>
          <w:p w14:paraId="18812F60" w14:textId="77777777" w:rsidR="00EB0469" w:rsidRPr="005E0336" w:rsidRDefault="00EB0469" w:rsidP="00EB0469">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HMX</w:t>
            </w:r>
          </w:p>
        </w:tc>
        <w:tc>
          <w:tcPr>
            <w:tcW w:w="992" w:type="dxa"/>
            <w:tcBorders>
              <w:top w:val="nil"/>
              <w:left w:val="nil"/>
              <w:bottom w:val="nil"/>
              <w:right w:val="nil"/>
            </w:tcBorders>
            <w:shd w:val="clear" w:color="auto" w:fill="FFCC99"/>
            <w:vAlign w:val="bottom"/>
          </w:tcPr>
          <w:p w14:paraId="2F032921" w14:textId="09292FFA" w:rsidR="00EB0469" w:rsidRPr="005E0336" w:rsidRDefault="00EB0469" w:rsidP="00BE5D78">
            <w:pPr>
              <w:autoSpaceDE w:val="0"/>
              <w:autoSpaceDN w:val="0"/>
              <w:adjustRightInd w:val="0"/>
              <w:spacing w:after="0"/>
              <w:jc w:val="center"/>
              <w:rPr>
                <w:rFonts w:ascii="Calibri" w:hAnsi="Calibri" w:cs="Calibri"/>
                <w:b/>
                <w:color w:val="000000"/>
                <w:sz w:val="18"/>
                <w:szCs w:val="18"/>
                <w:lang w:val="en-AU"/>
              </w:rPr>
            </w:pPr>
            <w:r w:rsidRPr="005E0336">
              <w:rPr>
                <w:rFonts w:ascii="Calibri" w:hAnsi="Calibri" w:cs="Calibri"/>
                <w:b/>
                <w:color w:val="000000"/>
                <w:sz w:val="18"/>
                <w:szCs w:val="18"/>
                <w:lang w:val="en-AU"/>
              </w:rPr>
              <w:t>1E+10</w:t>
            </w:r>
          </w:p>
        </w:tc>
        <w:tc>
          <w:tcPr>
            <w:tcW w:w="1123" w:type="dxa"/>
            <w:tcBorders>
              <w:top w:val="nil"/>
              <w:left w:val="nil"/>
              <w:bottom w:val="nil"/>
              <w:right w:val="nil"/>
            </w:tcBorders>
            <w:shd w:val="clear" w:color="auto" w:fill="FFCC99"/>
            <w:vAlign w:val="bottom"/>
          </w:tcPr>
          <w:p w14:paraId="274D93C2" w14:textId="09D99F03" w:rsidR="00EB0469" w:rsidRPr="005E0336" w:rsidRDefault="00EB0469" w:rsidP="00BE5D78">
            <w:pPr>
              <w:autoSpaceDE w:val="0"/>
              <w:autoSpaceDN w:val="0"/>
              <w:adjustRightInd w:val="0"/>
              <w:spacing w:after="0"/>
              <w:jc w:val="center"/>
              <w:rPr>
                <w:rFonts w:ascii="Calibri" w:hAnsi="Calibri" w:cs="Calibri"/>
                <w:b/>
                <w:color w:val="000000"/>
                <w:sz w:val="18"/>
                <w:szCs w:val="18"/>
                <w:lang w:val="en-AU"/>
              </w:rPr>
            </w:pPr>
            <w:r w:rsidRPr="005E0336">
              <w:rPr>
                <w:rFonts w:ascii="Calibri" w:hAnsi="Calibri" w:cs="Calibri"/>
                <w:b/>
                <w:color w:val="000000"/>
                <w:sz w:val="18"/>
                <w:szCs w:val="18"/>
                <w:lang w:val="en-AU"/>
              </w:rPr>
              <w:t>1E+</w:t>
            </w:r>
            <w:r w:rsidR="00584EF2" w:rsidRPr="005E0336">
              <w:rPr>
                <w:rFonts w:ascii="Calibri" w:hAnsi="Calibri" w:cs="Calibri"/>
                <w:b/>
                <w:color w:val="000000"/>
                <w:sz w:val="18"/>
                <w:szCs w:val="18"/>
                <w:lang w:val="en-AU"/>
              </w:rPr>
              <w:t>1</w:t>
            </w:r>
            <w:r w:rsidRPr="005E0336">
              <w:rPr>
                <w:rFonts w:ascii="Calibri" w:hAnsi="Calibri" w:cs="Calibri"/>
                <w:b/>
                <w:color w:val="000000"/>
                <w:sz w:val="18"/>
                <w:szCs w:val="18"/>
                <w:lang w:val="en-AU"/>
              </w:rPr>
              <w:t>0</w:t>
            </w:r>
          </w:p>
        </w:tc>
        <w:tc>
          <w:tcPr>
            <w:tcW w:w="1145" w:type="dxa"/>
            <w:gridSpan w:val="2"/>
            <w:tcBorders>
              <w:top w:val="nil"/>
              <w:left w:val="nil"/>
              <w:bottom w:val="nil"/>
              <w:right w:val="nil"/>
            </w:tcBorders>
            <w:shd w:val="solid" w:color="99CCFF" w:fill="BDD7EE"/>
            <w:vAlign w:val="bottom"/>
          </w:tcPr>
          <w:p w14:paraId="662A38DD" w14:textId="5E69A46C"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90" w:type="dxa"/>
            <w:tcBorders>
              <w:top w:val="nil"/>
              <w:left w:val="nil"/>
              <w:bottom w:val="nil"/>
              <w:right w:val="nil"/>
            </w:tcBorders>
            <w:shd w:val="solid" w:color="99CCFF" w:fill="BDD7EE"/>
            <w:vAlign w:val="bottom"/>
          </w:tcPr>
          <w:p w14:paraId="7CD469BF" w14:textId="1FF32092"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403" w:type="dxa"/>
            <w:tcBorders>
              <w:top w:val="nil"/>
              <w:left w:val="nil"/>
              <w:bottom w:val="nil"/>
              <w:right w:val="nil"/>
            </w:tcBorders>
            <w:shd w:val="solid" w:color="FFFFCC" w:fill="FFF2CC"/>
            <w:vAlign w:val="bottom"/>
          </w:tcPr>
          <w:p w14:paraId="7BE9C110" w14:textId="2A0CDDCF"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1" w:type="dxa"/>
            <w:tcBorders>
              <w:top w:val="nil"/>
              <w:left w:val="nil"/>
              <w:bottom w:val="nil"/>
              <w:right w:val="single" w:sz="4" w:space="0" w:color="auto"/>
            </w:tcBorders>
            <w:shd w:val="solid" w:color="FFFFCC" w:fill="FFF2CC"/>
            <w:vAlign w:val="bottom"/>
          </w:tcPr>
          <w:p w14:paraId="51A08C9B" w14:textId="34231050"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r>
      <w:tr w:rsidR="00EB0469" w14:paraId="2904207C" w14:textId="77777777" w:rsidTr="005E0336">
        <w:trPr>
          <w:trHeight w:val="290"/>
        </w:trPr>
        <w:tc>
          <w:tcPr>
            <w:tcW w:w="2152" w:type="dxa"/>
            <w:tcBorders>
              <w:top w:val="nil"/>
              <w:left w:val="single" w:sz="4" w:space="0" w:color="auto"/>
              <w:bottom w:val="nil"/>
              <w:right w:val="nil"/>
            </w:tcBorders>
          </w:tcPr>
          <w:p w14:paraId="64C930E3" w14:textId="77777777" w:rsidR="00EB0469" w:rsidRPr="005E0336" w:rsidRDefault="00EB0469" w:rsidP="00EB0469">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2-butoxyethanol</w:t>
            </w:r>
          </w:p>
        </w:tc>
        <w:tc>
          <w:tcPr>
            <w:tcW w:w="992" w:type="dxa"/>
            <w:tcBorders>
              <w:top w:val="nil"/>
              <w:left w:val="nil"/>
              <w:bottom w:val="nil"/>
              <w:right w:val="nil"/>
            </w:tcBorders>
            <w:shd w:val="clear" w:color="auto" w:fill="FFCC99"/>
            <w:vAlign w:val="bottom"/>
          </w:tcPr>
          <w:p w14:paraId="15656E87" w14:textId="12BF6FF1" w:rsidR="00EB0469" w:rsidRPr="005E0336" w:rsidRDefault="00EB0469" w:rsidP="00BE5D78">
            <w:pPr>
              <w:autoSpaceDE w:val="0"/>
              <w:autoSpaceDN w:val="0"/>
              <w:adjustRightInd w:val="0"/>
              <w:spacing w:after="0"/>
              <w:jc w:val="center"/>
              <w:rPr>
                <w:rFonts w:ascii="Calibri" w:hAnsi="Calibri" w:cs="Calibri"/>
                <w:b/>
                <w:color w:val="000000"/>
                <w:sz w:val="18"/>
                <w:szCs w:val="18"/>
                <w:lang w:val="en-AU"/>
              </w:rPr>
            </w:pPr>
            <w:r w:rsidRPr="005E0336">
              <w:rPr>
                <w:rFonts w:ascii="Calibri" w:hAnsi="Calibri" w:cs="Calibri"/>
                <w:b/>
                <w:color w:val="000000"/>
                <w:sz w:val="18"/>
                <w:szCs w:val="18"/>
                <w:lang w:val="en-AU"/>
              </w:rPr>
              <w:t>1E+10</w:t>
            </w:r>
          </w:p>
        </w:tc>
        <w:tc>
          <w:tcPr>
            <w:tcW w:w="1123" w:type="dxa"/>
            <w:tcBorders>
              <w:top w:val="nil"/>
              <w:left w:val="nil"/>
              <w:bottom w:val="nil"/>
              <w:right w:val="nil"/>
            </w:tcBorders>
            <w:shd w:val="clear" w:color="auto" w:fill="FFCC99"/>
            <w:vAlign w:val="bottom"/>
          </w:tcPr>
          <w:p w14:paraId="6F4DE065" w14:textId="65548AB0" w:rsidR="00EB0469" w:rsidRPr="005E0336" w:rsidRDefault="00584EF2" w:rsidP="00BE5D78">
            <w:pPr>
              <w:autoSpaceDE w:val="0"/>
              <w:autoSpaceDN w:val="0"/>
              <w:adjustRightInd w:val="0"/>
              <w:spacing w:after="0"/>
              <w:jc w:val="center"/>
              <w:rPr>
                <w:rFonts w:ascii="Calibri" w:hAnsi="Calibri" w:cs="Calibri"/>
                <w:b/>
                <w:color w:val="000000"/>
                <w:sz w:val="18"/>
                <w:szCs w:val="18"/>
                <w:lang w:val="en-AU"/>
              </w:rPr>
            </w:pPr>
            <w:r w:rsidRPr="005E0336">
              <w:rPr>
                <w:rFonts w:ascii="Calibri" w:hAnsi="Calibri" w:cs="Calibri"/>
                <w:b/>
                <w:color w:val="000000"/>
                <w:sz w:val="18"/>
                <w:szCs w:val="18"/>
                <w:lang w:val="en-AU"/>
              </w:rPr>
              <w:t>1E+1</w:t>
            </w:r>
            <w:r w:rsidR="00EB0469" w:rsidRPr="005E0336">
              <w:rPr>
                <w:rFonts w:ascii="Calibri" w:hAnsi="Calibri" w:cs="Calibri"/>
                <w:b/>
                <w:color w:val="000000"/>
                <w:sz w:val="18"/>
                <w:szCs w:val="18"/>
                <w:lang w:val="en-AU"/>
              </w:rPr>
              <w:t>0</w:t>
            </w:r>
          </w:p>
        </w:tc>
        <w:tc>
          <w:tcPr>
            <w:tcW w:w="1145" w:type="dxa"/>
            <w:gridSpan w:val="2"/>
            <w:tcBorders>
              <w:top w:val="nil"/>
              <w:left w:val="nil"/>
              <w:bottom w:val="nil"/>
              <w:right w:val="nil"/>
            </w:tcBorders>
            <w:shd w:val="solid" w:color="99CCFF" w:fill="BDD7EE"/>
            <w:vAlign w:val="bottom"/>
          </w:tcPr>
          <w:p w14:paraId="19A67B1B" w14:textId="6C493102"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90" w:type="dxa"/>
            <w:tcBorders>
              <w:top w:val="nil"/>
              <w:left w:val="nil"/>
              <w:bottom w:val="nil"/>
              <w:right w:val="nil"/>
            </w:tcBorders>
            <w:shd w:val="solid" w:color="99CCFF" w:fill="BDD7EE"/>
            <w:vAlign w:val="bottom"/>
          </w:tcPr>
          <w:p w14:paraId="22CD6A64" w14:textId="687B1287"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403" w:type="dxa"/>
            <w:tcBorders>
              <w:top w:val="nil"/>
              <w:left w:val="nil"/>
              <w:bottom w:val="nil"/>
              <w:right w:val="nil"/>
            </w:tcBorders>
            <w:shd w:val="solid" w:color="FFFFCC" w:fill="FFF2CC"/>
            <w:vAlign w:val="bottom"/>
          </w:tcPr>
          <w:p w14:paraId="3D773EEB" w14:textId="6097AE5D" w:rsidR="00EB0469" w:rsidRPr="005E0336" w:rsidRDefault="006354E1" w:rsidP="00EB046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991" w:type="dxa"/>
            <w:tcBorders>
              <w:top w:val="nil"/>
              <w:left w:val="nil"/>
              <w:bottom w:val="nil"/>
              <w:right w:val="single" w:sz="4" w:space="0" w:color="auto"/>
            </w:tcBorders>
            <w:shd w:val="solid" w:color="FFFFCC" w:fill="FFF2CC"/>
            <w:vAlign w:val="bottom"/>
          </w:tcPr>
          <w:p w14:paraId="22B586E1" w14:textId="14F54FC3" w:rsidR="00EB0469" w:rsidRPr="005E0336" w:rsidRDefault="006354E1" w:rsidP="00EB046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r>
      <w:tr w:rsidR="004D50CA" w14:paraId="57371A67" w14:textId="77777777" w:rsidTr="005E0336">
        <w:trPr>
          <w:trHeight w:val="290"/>
        </w:trPr>
        <w:tc>
          <w:tcPr>
            <w:tcW w:w="2152" w:type="dxa"/>
            <w:tcBorders>
              <w:top w:val="nil"/>
              <w:left w:val="single" w:sz="4" w:space="0" w:color="auto"/>
              <w:bottom w:val="nil"/>
              <w:right w:val="nil"/>
            </w:tcBorders>
          </w:tcPr>
          <w:p w14:paraId="1E5EF81C" w14:textId="77777777" w:rsidR="004D50CA" w:rsidRPr="005E0336" w:rsidRDefault="004D50CA" w:rsidP="004D50C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Bronopol</w:t>
            </w:r>
          </w:p>
        </w:tc>
        <w:tc>
          <w:tcPr>
            <w:tcW w:w="992" w:type="dxa"/>
            <w:tcBorders>
              <w:top w:val="nil"/>
              <w:left w:val="nil"/>
              <w:bottom w:val="nil"/>
              <w:right w:val="nil"/>
            </w:tcBorders>
            <w:shd w:val="clear" w:color="auto" w:fill="FFCC99"/>
            <w:vAlign w:val="bottom"/>
          </w:tcPr>
          <w:p w14:paraId="3C611374" w14:textId="3C124795" w:rsidR="004D50CA" w:rsidRPr="005E0336" w:rsidRDefault="006354E1" w:rsidP="004D50CA">
            <w:pPr>
              <w:autoSpaceDE w:val="0"/>
              <w:autoSpaceDN w:val="0"/>
              <w:adjustRightInd w:val="0"/>
              <w:spacing w:after="0"/>
              <w:jc w:val="center"/>
              <w:rPr>
                <w:rFonts w:ascii="Calibri" w:hAnsi="Calibri" w:cs="Calibri"/>
                <w:b/>
                <w:i/>
                <w:color w:val="000000"/>
                <w:sz w:val="18"/>
                <w:szCs w:val="18"/>
                <w:lang w:val="en-AU"/>
              </w:rPr>
            </w:pPr>
            <w:r w:rsidRPr="005E0336">
              <w:rPr>
                <w:rFonts w:ascii="Calibri" w:hAnsi="Calibri" w:cs="Calibri"/>
                <w:b/>
                <w:i/>
                <w:color w:val="000000"/>
                <w:sz w:val="18"/>
                <w:szCs w:val="18"/>
                <w:lang w:val="en-AU"/>
              </w:rPr>
              <w:t> 1</w:t>
            </w:r>
          </w:p>
        </w:tc>
        <w:tc>
          <w:tcPr>
            <w:tcW w:w="1123" w:type="dxa"/>
            <w:tcBorders>
              <w:top w:val="nil"/>
              <w:left w:val="nil"/>
              <w:bottom w:val="nil"/>
              <w:right w:val="nil"/>
            </w:tcBorders>
            <w:shd w:val="clear" w:color="auto" w:fill="FFCC99"/>
            <w:vAlign w:val="bottom"/>
          </w:tcPr>
          <w:p w14:paraId="73341557" w14:textId="4F276DE4" w:rsidR="004D50CA" w:rsidRPr="005E0336" w:rsidRDefault="006354E1" w:rsidP="004D50CA">
            <w:pPr>
              <w:autoSpaceDE w:val="0"/>
              <w:autoSpaceDN w:val="0"/>
              <w:adjustRightInd w:val="0"/>
              <w:spacing w:after="0"/>
              <w:jc w:val="center"/>
              <w:rPr>
                <w:rFonts w:ascii="Calibri" w:hAnsi="Calibri" w:cs="Calibri"/>
                <w:b/>
                <w:i/>
                <w:color w:val="000000"/>
                <w:sz w:val="18"/>
                <w:szCs w:val="18"/>
                <w:lang w:val="en-AU"/>
              </w:rPr>
            </w:pPr>
            <w:r w:rsidRPr="005E0336">
              <w:rPr>
                <w:rFonts w:ascii="Calibri" w:hAnsi="Calibri" w:cs="Calibri"/>
                <w:b/>
                <w:i/>
                <w:color w:val="000000"/>
                <w:sz w:val="18"/>
                <w:szCs w:val="18"/>
                <w:lang w:val="en-AU"/>
              </w:rPr>
              <w:t> 1</w:t>
            </w:r>
          </w:p>
        </w:tc>
        <w:tc>
          <w:tcPr>
            <w:tcW w:w="1145" w:type="dxa"/>
            <w:gridSpan w:val="2"/>
            <w:tcBorders>
              <w:top w:val="nil"/>
              <w:left w:val="nil"/>
              <w:bottom w:val="nil"/>
              <w:right w:val="nil"/>
            </w:tcBorders>
            <w:shd w:val="solid" w:color="99CCFF" w:fill="BDD7EE"/>
            <w:vAlign w:val="bottom"/>
          </w:tcPr>
          <w:p w14:paraId="3023A065" w14:textId="08748F7D"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1</w:t>
            </w:r>
          </w:p>
        </w:tc>
        <w:tc>
          <w:tcPr>
            <w:tcW w:w="1290" w:type="dxa"/>
            <w:tcBorders>
              <w:top w:val="nil"/>
              <w:left w:val="nil"/>
              <w:bottom w:val="nil"/>
              <w:right w:val="nil"/>
            </w:tcBorders>
            <w:shd w:val="solid" w:color="99CCFF" w:fill="BDD7EE"/>
            <w:vAlign w:val="bottom"/>
          </w:tcPr>
          <w:p w14:paraId="61CD0AD8" w14:textId="0307C780"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1</w:t>
            </w:r>
          </w:p>
        </w:tc>
        <w:tc>
          <w:tcPr>
            <w:tcW w:w="1403" w:type="dxa"/>
            <w:tcBorders>
              <w:top w:val="nil"/>
              <w:left w:val="nil"/>
              <w:bottom w:val="nil"/>
              <w:right w:val="nil"/>
            </w:tcBorders>
            <w:shd w:val="solid" w:color="FFFFCC" w:fill="FFF2CC"/>
            <w:vAlign w:val="bottom"/>
          </w:tcPr>
          <w:p w14:paraId="1225FD9A" w14:textId="2FEAF043"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1" w:type="dxa"/>
            <w:tcBorders>
              <w:top w:val="nil"/>
              <w:left w:val="nil"/>
              <w:bottom w:val="nil"/>
              <w:right w:val="single" w:sz="4" w:space="0" w:color="auto"/>
            </w:tcBorders>
            <w:shd w:val="solid" w:color="FFFFCC" w:fill="FFF2CC"/>
            <w:vAlign w:val="bottom"/>
          </w:tcPr>
          <w:p w14:paraId="567EBD75" w14:textId="72078196"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r>
      <w:tr w:rsidR="00EB0469" w14:paraId="049019F3" w14:textId="77777777" w:rsidTr="005E0336">
        <w:trPr>
          <w:trHeight w:val="290"/>
        </w:trPr>
        <w:tc>
          <w:tcPr>
            <w:tcW w:w="2152" w:type="dxa"/>
            <w:tcBorders>
              <w:top w:val="nil"/>
              <w:left w:val="single" w:sz="4" w:space="0" w:color="auto"/>
              <w:bottom w:val="nil"/>
              <w:right w:val="nil"/>
            </w:tcBorders>
            <w:shd w:val="clear" w:color="auto" w:fill="auto"/>
          </w:tcPr>
          <w:p w14:paraId="073D0B66" w14:textId="77777777" w:rsidR="00EB0469" w:rsidRPr="005E0336" w:rsidRDefault="00EB0469" w:rsidP="00EB0469">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MCI</w:t>
            </w:r>
          </w:p>
        </w:tc>
        <w:tc>
          <w:tcPr>
            <w:tcW w:w="992" w:type="dxa"/>
            <w:tcBorders>
              <w:top w:val="nil"/>
              <w:left w:val="nil"/>
              <w:right w:val="nil"/>
            </w:tcBorders>
            <w:shd w:val="clear" w:color="auto" w:fill="FFCC99"/>
            <w:vAlign w:val="bottom"/>
          </w:tcPr>
          <w:p w14:paraId="77FCC6A5" w14:textId="08E92448" w:rsidR="00EB0469" w:rsidRPr="005E0336" w:rsidRDefault="00EB0469" w:rsidP="00BE5D78">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b/>
                <w:color w:val="000000"/>
                <w:sz w:val="18"/>
                <w:szCs w:val="18"/>
                <w:lang w:val="en-AU"/>
              </w:rPr>
              <w:t>1E+10</w:t>
            </w:r>
          </w:p>
        </w:tc>
        <w:tc>
          <w:tcPr>
            <w:tcW w:w="1123" w:type="dxa"/>
            <w:tcBorders>
              <w:top w:val="nil"/>
              <w:left w:val="nil"/>
              <w:right w:val="nil"/>
            </w:tcBorders>
            <w:shd w:val="clear" w:color="auto" w:fill="FFCC99"/>
            <w:vAlign w:val="bottom"/>
          </w:tcPr>
          <w:p w14:paraId="1B902D3A" w14:textId="63A8F800" w:rsidR="00EB0469" w:rsidRPr="005E0336" w:rsidRDefault="00584EF2"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cs="Calibri"/>
                <w:b/>
                <w:color w:val="000000"/>
                <w:sz w:val="18"/>
                <w:szCs w:val="18"/>
                <w:lang w:val="en-AU"/>
              </w:rPr>
              <w:t>1E+1</w:t>
            </w:r>
            <w:r w:rsidR="00EB0469" w:rsidRPr="005E0336">
              <w:rPr>
                <w:rFonts w:ascii="Calibri" w:hAnsi="Calibri" w:cs="Calibri"/>
                <w:b/>
                <w:color w:val="000000"/>
                <w:sz w:val="18"/>
                <w:szCs w:val="18"/>
                <w:lang w:val="en-AU"/>
              </w:rPr>
              <w:t>0</w:t>
            </w:r>
          </w:p>
        </w:tc>
        <w:tc>
          <w:tcPr>
            <w:tcW w:w="1145" w:type="dxa"/>
            <w:gridSpan w:val="2"/>
            <w:tcBorders>
              <w:top w:val="nil"/>
              <w:left w:val="nil"/>
              <w:right w:val="nil"/>
            </w:tcBorders>
            <w:shd w:val="solid" w:color="99CCFF" w:fill="BDD7EE"/>
            <w:vAlign w:val="bottom"/>
          </w:tcPr>
          <w:p w14:paraId="0523D274" w14:textId="0664AF92"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90" w:type="dxa"/>
            <w:tcBorders>
              <w:top w:val="nil"/>
              <w:left w:val="nil"/>
              <w:right w:val="nil"/>
            </w:tcBorders>
            <w:shd w:val="solid" w:color="99CCFF" w:fill="BDD7EE"/>
            <w:vAlign w:val="bottom"/>
          </w:tcPr>
          <w:p w14:paraId="4A4D7173" w14:textId="394ADF48"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403" w:type="dxa"/>
            <w:tcBorders>
              <w:top w:val="nil"/>
              <w:left w:val="nil"/>
              <w:right w:val="nil"/>
            </w:tcBorders>
            <w:shd w:val="solid" w:color="FFFFCC" w:fill="FFF2CC"/>
            <w:vAlign w:val="bottom"/>
          </w:tcPr>
          <w:p w14:paraId="1806234B" w14:textId="558F6DAB"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1" w:type="dxa"/>
            <w:tcBorders>
              <w:top w:val="nil"/>
              <w:left w:val="nil"/>
              <w:right w:val="single" w:sz="4" w:space="0" w:color="auto"/>
            </w:tcBorders>
            <w:shd w:val="solid" w:color="FFFFCC" w:fill="FFF2CC"/>
            <w:vAlign w:val="bottom"/>
          </w:tcPr>
          <w:p w14:paraId="3E84B7E8" w14:textId="72378C40"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r>
      <w:tr w:rsidR="004D50CA" w14:paraId="6AA198B2" w14:textId="77777777" w:rsidTr="005E0336">
        <w:trPr>
          <w:trHeight w:val="290"/>
        </w:trPr>
        <w:tc>
          <w:tcPr>
            <w:tcW w:w="2152" w:type="dxa"/>
            <w:tcBorders>
              <w:top w:val="nil"/>
              <w:left w:val="single" w:sz="4" w:space="0" w:color="auto"/>
              <w:bottom w:val="single" w:sz="4" w:space="0" w:color="auto"/>
              <w:right w:val="nil"/>
            </w:tcBorders>
          </w:tcPr>
          <w:p w14:paraId="27402A83" w14:textId="24AE2103" w:rsidR="004D50CA" w:rsidRPr="005E0336" w:rsidRDefault="004D50CA" w:rsidP="00EF4A61">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Acrylamide polymer</w:t>
            </w:r>
          </w:p>
        </w:tc>
        <w:tc>
          <w:tcPr>
            <w:tcW w:w="992" w:type="dxa"/>
            <w:tcBorders>
              <w:top w:val="nil"/>
              <w:left w:val="nil"/>
              <w:bottom w:val="single" w:sz="4" w:space="0" w:color="auto"/>
              <w:right w:val="nil"/>
            </w:tcBorders>
            <w:shd w:val="clear" w:color="auto" w:fill="FFCC99"/>
            <w:vAlign w:val="bottom"/>
          </w:tcPr>
          <w:p w14:paraId="63ABB602" w14:textId="347A6A64"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123" w:type="dxa"/>
            <w:tcBorders>
              <w:top w:val="nil"/>
              <w:left w:val="nil"/>
              <w:bottom w:val="single" w:sz="4" w:space="0" w:color="auto"/>
              <w:right w:val="nil"/>
            </w:tcBorders>
            <w:shd w:val="clear" w:color="auto" w:fill="FFCC99"/>
            <w:vAlign w:val="bottom"/>
          </w:tcPr>
          <w:p w14:paraId="4D72636F" w14:textId="3E08D5AD"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145" w:type="dxa"/>
            <w:gridSpan w:val="2"/>
            <w:tcBorders>
              <w:top w:val="nil"/>
              <w:left w:val="nil"/>
              <w:bottom w:val="single" w:sz="4" w:space="0" w:color="auto"/>
              <w:right w:val="nil"/>
            </w:tcBorders>
            <w:shd w:val="solid" w:color="99CCFF" w:fill="BDD7EE"/>
            <w:vAlign w:val="bottom"/>
          </w:tcPr>
          <w:p w14:paraId="385D8B11" w14:textId="5E41A313"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290" w:type="dxa"/>
            <w:tcBorders>
              <w:top w:val="nil"/>
              <w:left w:val="nil"/>
              <w:bottom w:val="single" w:sz="4" w:space="0" w:color="auto"/>
              <w:right w:val="nil"/>
            </w:tcBorders>
            <w:shd w:val="solid" w:color="99CCFF" w:fill="BDD7EE"/>
            <w:vAlign w:val="bottom"/>
          </w:tcPr>
          <w:p w14:paraId="77ACDAAC" w14:textId="5A39D7E6"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403" w:type="dxa"/>
            <w:tcBorders>
              <w:top w:val="nil"/>
              <w:left w:val="nil"/>
              <w:bottom w:val="single" w:sz="4" w:space="0" w:color="auto"/>
              <w:right w:val="nil"/>
            </w:tcBorders>
            <w:shd w:val="solid" w:color="FFFFCC" w:fill="FFF2CC"/>
            <w:vAlign w:val="bottom"/>
          </w:tcPr>
          <w:p w14:paraId="3D4DEDF9" w14:textId="76BEE19E"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991" w:type="dxa"/>
            <w:tcBorders>
              <w:top w:val="nil"/>
              <w:left w:val="nil"/>
              <w:bottom w:val="single" w:sz="4" w:space="0" w:color="auto"/>
              <w:right w:val="single" w:sz="4" w:space="0" w:color="auto"/>
            </w:tcBorders>
            <w:shd w:val="solid" w:color="FFFFCC" w:fill="FFF2CC"/>
            <w:vAlign w:val="bottom"/>
          </w:tcPr>
          <w:p w14:paraId="71AF3C1A" w14:textId="6EA4F8C3"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r>
    </w:tbl>
    <w:p w14:paraId="04AD5CE6" w14:textId="77777777" w:rsidR="00886AFF" w:rsidRDefault="00886AFF" w:rsidP="00C5119A">
      <w:pPr>
        <w:rPr>
          <w:lang w:val="en-GB"/>
        </w:rPr>
      </w:pPr>
    </w:p>
    <w:p w14:paraId="474A11EA" w14:textId="7CA3C70F" w:rsidR="00DB74B5" w:rsidRDefault="00DB74B5" w:rsidP="00DB74B5">
      <w:pPr>
        <w:pStyle w:val="Imagecaption"/>
        <w:keepNext/>
        <w:pBdr>
          <w:top w:val="none" w:sz="0" w:space="0" w:color="auto"/>
        </w:pBdr>
      </w:pPr>
      <w:bookmarkStart w:id="659" w:name="_Ref454469419"/>
      <w:bookmarkStart w:id="660" w:name="_Toc494444735"/>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7</w:t>
      </w:r>
      <w:r w:rsidR="00470577">
        <w:fldChar w:fldCharType="end"/>
      </w:r>
      <w:bookmarkEnd w:id="659"/>
      <w:r>
        <w:t xml:space="preserve"> Calculated dilution attenuation factor (DAF) at receptor for maximum travel time </w:t>
      </w:r>
      <w:r w:rsidR="00A42E92">
        <w:t xml:space="preserve">of 92 years </w:t>
      </w:r>
      <w:r>
        <w:t xml:space="preserve">(travel time class # 1 </w:t>
      </w:r>
      <w:r w:rsidR="00A42E92">
        <w:fldChar w:fldCharType="begin" w:fldLock="1"/>
      </w:r>
      <w:r w:rsidR="00A42E92">
        <w:instrText xml:space="preserve"> REF _Ref454384797 \h  \* MERGEFORMAT </w:instrText>
      </w:r>
      <w:r w:rsidR="00A42E92">
        <w:fldChar w:fldCharType="separate"/>
      </w:r>
      <w:r w:rsidR="00335E79" w:rsidRPr="00DA539C">
        <w:t xml:space="preserve">Table </w:t>
      </w:r>
      <w:r w:rsidR="00335E79">
        <w:t>2</w:t>
      </w:r>
      <w:r w:rsidR="00335E79">
        <w:noBreakHyphen/>
        <w:t>24</w:t>
      </w:r>
      <w:r w:rsidR="00A42E92">
        <w:fldChar w:fldCharType="end"/>
      </w:r>
      <w:r>
        <w:t xml:space="preserve">). MCI = Methyl-chloro-isothiazolinone. </w:t>
      </w:r>
      <w:r w:rsidR="006354E1">
        <w:t xml:space="preserve">Numbers in italics assume absence of </w:t>
      </w:r>
      <w:r w:rsidR="003B5BB4">
        <w:t xml:space="preserve">chemical/biological </w:t>
      </w:r>
      <w:r w:rsidR="006354E1">
        <w:t>degradation.</w:t>
      </w:r>
      <w:bookmarkEnd w:id="660"/>
    </w:p>
    <w:tbl>
      <w:tblPr>
        <w:tblW w:w="9022" w:type="dxa"/>
        <w:tblInd w:w="-30" w:type="dxa"/>
        <w:tblLayout w:type="fixed"/>
        <w:tblLook w:val="0000" w:firstRow="0" w:lastRow="0" w:firstColumn="0" w:lastColumn="0" w:noHBand="0" w:noVBand="0"/>
      </w:tblPr>
      <w:tblGrid>
        <w:gridCol w:w="2152"/>
        <w:gridCol w:w="850"/>
        <w:gridCol w:w="142"/>
        <w:gridCol w:w="1134"/>
        <w:gridCol w:w="1134"/>
        <w:gridCol w:w="142"/>
        <w:gridCol w:w="992"/>
        <w:gridCol w:w="1134"/>
        <w:gridCol w:w="142"/>
        <w:gridCol w:w="1200"/>
      </w:tblGrid>
      <w:tr w:rsidR="00AA1310" w14:paraId="2E085828" w14:textId="77777777" w:rsidTr="005E0336">
        <w:trPr>
          <w:trHeight w:val="290"/>
        </w:trPr>
        <w:tc>
          <w:tcPr>
            <w:tcW w:w="2152" w:type="dxa"/>
            <w:tcBorders>
              <w:top w:val="single" w:sz="4" w:space="0" w:color="auto"/>
              <w:left w:val="single" w:sz="4" w:space="0" w:color="auto"/>
              <w:bottom w:val="nil"/>
              <w:right w:val="nil"/>
            </w:tcBorders>
          </w:tcPr>
          <w:p w14:paraId="03B75B81" w14:textId="77777777" w:rsidR="00AA1310" w:rsidRPr="005E0336" w:rsidRDefault="00AA1310">
            <w:pPr>
              <w:autoSpaceDE w:val="0"/>
              <w:autoSpaceDN w:val="0"/>
              <w:adjustRightInd w:val="0"/>
              <w:spacing w:after="0"/>
              <w:jc w:val="right"/>
              <w:rPr>
                <w:rFonts w:ascii="Calibri" w:hAnsi="Calibri" w:cs="Calibri"/>
                <w:color w:val="000000"/>
                <w:sz w:val="18"/>
                <w:szCs w:val="18"/>
                <w:lang w:val="en-AU"/>
              </w:rPr>
            </w:pPr>
          </w:p>
        </w:tc>
        <w:tc>
          <w:tcPr>
            <w:tcW w:w="6870" w:type="dxa"/>
            <w:gridSpan w:val="9"/>
            <w:tcBorders>
              <w:top w:val="single" w:sz="4" w:space="0" w:color="auto"/>
              <w:left w:val="nil"/>
              <w:bottom w:val="nil"/>
              <w:right w:val="single" w:sz="4" w:space="0" w:color="auto"/>
            </w:tcBorders>
          </w:tcPr>
          <w:p w14:paraId="5C1F0B7B" w14:textId="5F4A06F1" w:rsidR="00AA1310" w:rsidRPr="005E0336" w:rsidRDefault="00913EB4">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Dilution factor</w:t>
            </w:r>
            <w:r w:rsidR="00AA1310" w:rsidRPr="005E0336">
              <w:rPr>
                <w:rFonts w:ascii="Calibri" w:hAnsi="Calibri" w:cs="Calibri"/>
                <w:color w:val="000000"/>
                <w:sz w:val="18"/>
                <w:szCs w:val="18"/>
                <w:lang w:val="en-AU"/>
              </w:rPr>
              <w:t xml:space="preserve"> at receptor (-): maximum travel time</w:t>
            </w:r>
          </w:p>
        </w:tc>
      </w:tr>
      <w:tr w:rsidR="00AA1310" w14:paraId="15C0F6B0" w14:textId="77777777" w:rsidTr="00393757">
        <w:trPr>
          <w:trHeight w:val="290"/>
        </w:trPr>
        <w:tc>
          <w:tcPr>
            <w:tcW w:w="2152" w:type="dxa"/>
            <w:tcBorders>
              <w:top w:val="nil"/>
              <w:left w:val="single" w:sz="4" w:space="0" w:color="auto"/>
              <w:bottom w:val="nil"/>
              <w:right w:val="nil"/>
            </w:tcBorders>
          </w:tcPr>
          <w:p w14:paraId="112AD4A5" w14:textId="77777777" w:rsidR="00AA1310" w:rsidRPr="005E0336" w:rsidRDefault="00AA1310">
            <w:pPr>
              <w:autoSpaceDE w:val="0"/>
              <w:autoSpaceDN w:val="0"/>
              <w:adjustRightInd w:val="0"/>
              <w:spacing w:after="0"/>
              <w:jc w:val="right"/>
              <w:rPr>
                <w:rFonts w:ascii="Calibri" w:hAnsi="Calibri" w:cs="Calibri"/>
                <w:color w:val="000000"/>
                <w:sz w:val="18"/>
                <w:szCs w:val="18"/>
                <w:lang w:val="en-AU"/>
              </w:rPr>
            </w:pPr>
          </w:p>
        </w:tc>
        <w:tc>
          <w:tcPr>
            <w:tcW w:w="2126" w:type="dxa"/>
            <w:gridSpan w:val="3"/>
            <w:tcBorders>
              <w:top w:val="nil"/>
              <w:left w:val="nil"/>
              <w:right w:val="nil"/>
            </w:tcBorders>
            <w:shd w:val="solid" w:color="FFCC99" w:fill="auto"/>
          </w:tcPr>
          <w:p w14:paraId="4BD6DE3B" w14:textId="275A1F89" w:rsidR="00AA1310" w:rsidRPr="005E0336" w:rsidRDefault="00AA1310">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Anaerobic</w:t>
            </w:r>
          </w:p>
        </w:tc>
        <w:tc>
          <w:tcPr>
            <w:tcW w:w="2268" w:type="dxa"/>
            <w:gridSpan w:val="3"/>
            <w:tcBorders>
              <w:top w:val="nil"/>
              <w:left w:val="nil"/>
              <w:right w:val="nil"/>
            </w:tcBorders>
            <w:shd w:val="solid" w:color="99CCFF" w:fill="auto"/>
          </w:tcPr>
          <w:p w14:paraId="7B4E9949" w14:textId="7A3AB628" w:rsidR="00AA1310" w:rsidRPr="005E0336" w:rsidRDefault="00AA1310">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Aerobic</w:t>
            </w:r>
          </w:p>
        </w:tc>
        <w:tc>
          <w:tcPr>
            <w:tcW w:w="2476" w:type="dxa"/>
            <w:gridSpan w:val="3"/>
            <w:tcBorders>
              <w:top w:val="nil"/>
              <w:left w:val="nil"/>
              <w:right w:val="single" w:sz="4" w:space="0" w:color="auto"/>
            </w:tcBorders>
            <w:shd w:val="solid" w:color="FFFFCC" w:fill="auto"/>
          </w:tcPr>
          <w:p w14:paraId="7F485A66" w14:textId="3E82D052" w:rsidR="00AA1310" w:rsidRPr="005E0336" w:rsidRDefault="00AA1310">
            <w:pPr>
              <w:autoSpaceDE w:val="0"/>
              <w:autoSpaceDN w:val="0"/>
              <w:adjustRightInd w:val="0"/>
              <w:spacing w:after="0"/>
              <w:jc w:val="center"/>
              <w:rPr>
                <w:rFonts w:ascii="Calibri" w:hAnsi="Calibri" w:cs="Calibri"/>
                <w:color w:val="000000"/>
                <w:sz w:val="18"/>
                <w:szCs w:val="18"/>
                <w:lang w:val="en-AU"/>
              </w:rPr>
            </w:pPr>
            <w:r w:rsidRPr="005E0336">
              <w:rPr>
                <w:rFonts w:ascii="Calibri" w:hAnsi="Calibri" w:cs="Calibri"/>
                <w:color w:val="000000"/>
                <w:sz w:val="18"/>
                <w:szCs w:val="18"/>
                <w:lang w:val="en-AU"/>
              </w:rPr>
              <w:t>Hydrolysis</w:t>
            </w:r>
          </w:p>
        </w:tc>
      </w:tr>
      <w:tr w:rsidR="00AA1310" w14:paraId="10571130" w14:textId="77777777" w:rsidTr="00393757">
        <w:trPr>
          <w:trHeight w:val="290"/>
        </w:trPr>
        <w:tc>
          <w:tcPr>
            <w:tcW w:w="2152" w:type="dxa"/>
            <w:tcBorders>
              <w:top w:val="nil"/>
              <w:left w:val="single" w:sz="4" w:space="0" w:color="auto"/>
              <w:bottom w:val="single" w:sz="6" w:space="0" w:color="auto"/>
              <w:right w:val="nil"/>
            </w:tcBorders>
          </w:tcPr>
          <w:p w14:paraId="26C48CB0" w14:textId="77777777" w:rsidR="00AA1310" w:rsidRPr="005E0336" w:rsidRDefault="00AA1310">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Chemical substance</w:t>
            </w:r>
          </w:p>
        </w:tc>
        <w:tc>
          <w:tcPr>
            <w:tcW w:w="850" w:type="dxa"/>
            <w:tcBorders>
              <w:top w:val="nil"/>
              <w:left w:val="nil"/>
              <w:bottom w:val="single" w:sz="4" w:space="0" w:color="auto"/>
              <w:right w:val="nil"/>
            </w:tcBorders>
            <w:shd w:val="solid" w:color="FFCC99" w:fill="auto"/>
          </w:tcPr>
          <w:p w14:paraId="5D56121B" w14:textId="61FA349F" w:rsidR="00AA1310" w:rsidRPr="005E0336" w:rsidRDefault="00D23B3D">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A1310" w:rsidRPr="005E0336">
              <w:rPr>
                <w:rFonts w:ascii="Calibri" w:hAnsi="Calibri" w:cs="Calibri"/>
                <w:color w:val="000000"/>
                <w:sz w:val="18"/>
                <w:szCs w:val="18"/>
                <w:lang w:val="en-AU"/>
              </w:rPr>
              <w:t>in</w:t>
            </w:r>
          </w:p>
        </w:tc>
        <w:tc>
          <w:tcPr>
            <w:tcW w:w="1276" w:type="dxa"/>
            <w:gridSpan w:val="2"/>
            <w:tcBorders>
              <w:top w:val="nil"/>
              <w:left w:val="nil"/>
              <w:bottom w:val="single" w:sz="4" w:space="0" w:color="auto"/>
              <w:right w:val="nil"/>
            </w:tcBorders>
            <w:shd w:val="solid" w:color="FFCC99" w:fill="auto"/>
          </w:tcPr>
          <w:p w14:paraId="4A016B4D" w14:textId="5F0C23CD" w:rsidR="00AA1310" w:rsidRPr="005E0336" w:rsidRDefault="00D23B3D">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A1310" w:rsidRPr="005E0336">
              <w:rPr>
                <w:rFonts w:ascii="Calibri" w:hAnsi="Calibri" w:cs="Calibri"/>
                <w:color w:val="000000"/>
                <w:sz w:val="18"/>
                <w:szCs w:val="18"/>
                <w:lang w:val="en-AU"/>
              </w:rPr>
              <w:t>ax</w:t>
            </w:r>
          </w:p>
        </w:tc>
        <w:tc>
          <w:tcPr>
            <w:tcW w:w="1134" w:type="dxa"/>
            <w:tcBorders>
              <w:top w:val="nil"/>
              <w:left w:val="nil"/>
              <w:bottom w:val="single" w:sz="4" w:space="0" w:color="auto"/>
              <w:right w:val="nil"/>
            </w:tcBorders>
            <w:shd w:val="solid" w:color="99CCFF" w:fill="auto"/>
          </w:tcPr>
          <w:p w14:paraId="337E4C7B" w14:textId="258CCD03" w:rsidR="00AA1310" w:rsidRPr="005E0336" w:rsidRDefault="00D23B3D">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A1310" w:rsidRPr="005E0336">
              <w:rPr>
                <w:rFonts w:ascii="Calibri" w:hAnsi="Calibri" w:cs="Calibri"/>
                <w:color w:val="000000"/>
                <w:sz w:val="18"/>
                <w:szCs w:val="18"/>
                <w:lang w:val="en-AU"/>
              </w:rPr>
              <w:t>in</w:t>
            </w:r>
          </w:p>
        </w:tc>
        <w:tc>
          <w:tcPr>
            <w:tcW w:w="1134" w:type="dxa"/>
            <w:gridSpan w:val="2"/>
            <w:tcBorders>
              <w:top w:val="nil"/>
              <w:left w:val="nil"/>
              <w:bottom w:val="single" w:sz="4" w:space="0" w:color="auto"/>
              <w:right w:val="nil"/>
            </w:tcBorders>
            <w:shd w:val="solid" w:color="99CCFF" w:fill="auto"/>
          </w:tcPr>
          <w:p w14:paraId="0F48C68E" w14:textId="46C93473" w:rsidR="00AA1310" w:rsidRPr="005E0336" w:rsidRDefault="00D23B3D">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A1310" w:rsidRPr="005E0336">
              <w:rPr>
                <w:rFonts w:ascii="Calibri" w:hAnsi="Calibri" w:cs="Calibri"/>
                <w:color w:val="000000"/>
                <w:sz w:val="18"/>
                <w:szCs w:val="18"/>
                <w:lang w:val="en-AU"/>
              </w:rPr>
              <w:t>ax</w:t>
            </w:r>
          </w:p>
        </w:tc>
        <w:tc>
          <w:tcPr>
            <w:tcW w:w="1134" w:type="dxa"/>
            <w:tcBorders>
              <w:top w:val="nil"/>
              <w:left w:val="nil"/>
              <w:bottom w:val="single" w:sz="4" w:space="0" w:color="auto"/>
              <w:right w:val="nil"/>
            </w:tcBorders>
            <w:shd w:val="solid" w:color="FFFFCC" w:fill="auto"/>
          </w:tcPr>
          <w:p w14:paraId="75F5EE14" w14:textId="5582CB9B" w:rsidR="00AA1310" w:rsidRPr="005E0336" w:rsidRDefault="00D23B3D">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A1310" w:rsidRPr="005E0336">
              <w:rPr>
                <w:rFonts w:ascii="Calibri" w:hAnsi="Calibri" w:cs="Calibri"/>
                <w:color w:val="000000"/>
                <w:sz w:val="18"/>
                <w:szCs w:val="18"/>
                <w:lang w:val="en-AU"/>
              </w:rPr>
              <w:t>in</w:t>
            </w:r>
          </w:p>
        </w:tc>
        <w:tc>
          <w:tcPr>
            <w:tcW w:w="1342" w:type="dxa"/>
            <w:gridSpan w:val="2"/>
            <w:tcBorders>
              <w:top w:val="nil"/>
              <w:left w:val="nil"/>
              <w:bottom w:val="single" w:sz="4" w:space="0" w:color="auto"/>
              <w:right w:val="single" w:sz="4" w:space="0" w:color="auto"/>
            </w:tcBorders>
            <w:shd w:val="solid" w:color="FFFFCC" w:fill="auto"/>
          </w:tcPr>
          <w:p w14:paraId="76BB73D1" w14:textId="7DCF86C7" w:rsidR="00AA1310" w:rsidRPr="005E0336" w:rsidRDefault="00D23B3D">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A1310" w:rsidRPr="005E0336">
              <w:rPr>
                <w:rFonts w:ascii="Calibri" w:hAnsi="Calibri" w:cs="Calibri"/>
                <w:color w:val="000000"/>
                <w:sz w:val="18"/>
                <w:szCs w:val="18"/>
                <w:lang w:val="en-AU"/>
              </w:rPr>
              <w:t>ax</w:t>
            </w:r>
          </w:p>
        </w:tc>
      </w:tr>
      <w:tr w:rsidR="004D50CA" w14:paraId="2216F089" w14:textId="77777777" w:rsidTr="00393757">
        <w:trPr>
          <w:trHeight w:val="290"/>
        </w:trPr>
        <w:tc>
          <w:tcPr>
            <w:tcW w:w="2152" w:type="dxa"/>
            <w:tcBorders>
              <w:top w:val="nil"/>
              <w:left w:val="single" w:sz="4" w:space="0" w:color="auto"/>
              <w:bottom w:val="nil"/>
              <w:right w:val="nil"/>
            </w:tcBorders>
          </w:tcPr>
          <w:p w14:paraId="773B2671" w14:textId="77777777" w:rsidR="004D50CA" w:rsidRPr="005E0336" w:rsidRDefault="004D50CA" w:rsidP="004D50C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2-methylphenol</w:t>
            </w:r>
          </w:p>
        </w:tc>
        <w:tc>
          <w:tcPr>
            <w:tcW w:w="992" w:type="dxa"/>
            <w:gridSpan w:val="2"/>
            <w:tcBorders>
              <w:top w:val="single" w:sz="4" w:space="0" w:color="auto"/>
              <w:left w:val="nil"/>
              <w:bottom w:val="nil"/>
              <w:right w:val="nil"/>
            </w:tcBorders>
            <w:shd w:val="solid" w:color="FFCC99" w:fill="FCE4D6"/>
            <w:vAlign w:val="bottom"/>
          </w:tcPr>
          <w:p w14:paraId="333EAC3F" w14:textId="7CA71F8A" w:rsidR="004D50CA" w:rsidRPr="005E0336" w:rsidRDefault="004D50CA" w:rsidP="00BE5D78">
            <w:pPr>
              <w:autoSpaceDE w:val="0"/>
              <w:autoSpaceDN w:val="0"/>
              <w:adjustRightInd w:val="0"/>
              <w:spacing w:after="0"/>
              <w:jc w:val="center"/>
              <w:rPr>
                <w:rFonts w:ascii="Calibri" w:hAnsi="Calibri" w:cs="Calibri"/>
                <w:b/>
                <w:bCs/>
                <w:i/>
                <w:iCs/>
                <w:color w:val="000000"/>
                <w:sz w:val="18"/>
                <w:szCs w:val="18"/>
                <w:lang w:val="en-AU"/>
              </w:rPr>
            </w:pPr>
            <w:r w:rsidRPr="005E0336">
              <w:rPr>
                <w:rFonts w:ascii="Calibri" w:hAnsi="Calibri"/>
                <w:b/>
                <w:bCs/>
                <w:color w:val="000000"/>
                <w:sz w:val="18"/>
                <w:szCs w:val="18"/>
              </w:rPr>
              <w:t>1E+10</w:t>
            </w:r>
          </w:p>
        </w:tc>
        <w:tc>
          <w:tcPr>
            <w:tcW w:w="1134" w:type="dxa"/>
            <w:tcBorders>
              <w:top w:val="single" w:sz="4" w:space="0" w:color="auto"/>
              <w:left w:val="nil"/>
              <w:bottom w:val="nil"/>
              <w:right w:val="nil"/>
            </w:tcBorders>
            <w:shd w:val="solid" w:color="FFCC99" w:fill="FCE4D6"/>
            <w:vAlign w:val="bottom"/>
          </w:tcPr>
          <w:p w14:paraId="0662B5A5" w14:textId="2BD3CE4F" w:rsidR="004D50CA" w:rsidRPr="005E0336" w:rsidRDefault="00C94A44" w:rsidP="004D50CA">
            <w:pPr>
              <w:autoSpaceDE w:val="0"/>
              <w:autoSpaceDN w:val="0"/>
              <w:adjustRightInd w:val="0"/>
              <w:spacing w:after="0"/>
              <w:jc w:val="center"/>
              <w:rPr>
                <w:rFonts w:ascii="Calibri" w:hAnsi="Calibri" w:cs="Calibri"/>
                <w:b/>
                <w:bCs/>
                <w:i/>
                <w:iCs/>
                <w:color w:val="000000"/>
                <w:sz w:val="18"/>
                <w:szCs w:val="18"/>
                <w:lang w:val="en-AU"/>
              </w:rPr>
            </w:pPr>
            <w:r w:rsidRPr="005E0336">
              <w:rPr>
                <w:rFonts w:ascii="Calibri" w:hAnsi="Calibri"/>
                <w:b/>
                <w:bCs/>
                <w:color w:val="000000"/>
                <w:sz w:val="18"/>
                <w:szCs w:val="18"/>
              </w:rPr>
              <w:t>1.85E+07</w:t>
            </w:r>
          </w:p>
        </w:tc>
        <w:tc>
          <w:tcPr>
            <w:tcW w:w="1276" w:type="dxa"/>
            <w:gridSpan w:val="2"/>
            <w:tcBorders>
              <w:top w:val="single" w:sz="4" w:space="0" w:color="auto"/>
              <w:left w:val="nil"/>
              <w:bottom w:val="nil"/>
              <w:right w:val="nil"/>
            </w:tcBorders>
            <w:shd w:val="solid" w:color="99CCFF" w:fill="BDD7EE"/>
            <w:vAlign w:val="bottom"/>
          </w:tcPr>
          <w:p w14:paraId="13DF3CBB" w14:textId="451C4F94"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2" w:type="dxa"/>
            <w:tcBorders>
              <w:top w:val="single" w:sz="4" w:space="0" w:color="auto"/>
              <w:left w:val="nil"/>
              <w:bottom w:val="nil"/>
              <w:right w:val="nil"/>
            </w:tcBorders>
            <w:shd w:val="solid" w:color="99CCFF" w:fill="BDD7EE"/>
            <w:vAlign w:val="bottom"/>
          </w:tcPr>
          <w:p w14:paraId="762997D7" w14:textId="30F64754"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gridSpan w:val="2"/>
            <w:tcBorders>
              <w:top w:val="single" w:sz="4" w:space="0" w:color="auto"/>
              <w:left w:val="nil"/>
              <w:bottom w:val="nil"/>
              <w:right w:val="nil"/>
            </w:tcBorders>
            <w:shd w:val="solid" w:color="FFFFCC" w:fill="FFF2CC"/>
            <w:vAlign w:val="bottom"/>
          </w:tcPr>
          <w:p w14:paraId="34B2FF01" w14:textId="4A2ED3AE"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200" w:type="dxa"/>
            <w:tcBorders>
              <w:top w:val="single" w:sz="4" w:space="0" w:color="auto"/>
              <w:left w:val="nil"/>
              <w:bottom w:val="nil"/>
              <w:right w:val="single" w:sz="4" w:space="0" w:color="auto"/>
            </w:tcBorders>
            <w:shd w:val="solid" w:color="FFFFCC" w:fill="FFF2CC"/>
            <w:vAlign w:val="bottom"/>
          </w:tcPr>
          <w:p w14:paraId="51ED926B" w14:textId="514BC72A"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r>
      <w:tr w:rsidR="004D50CA" w14:paraId="696972DF" w14:textId="77777777" w:rsidTr="00393757">
        <w:trPr>
          <w:trHeight w:val="290"/>
        </w:trPr>
        <w:tc>
          <w:tcPr>
            <w:tcW w:w="2152" w:type="dxa"/>
            <w:tcBorders>
              <w:top w:val="nil"/>
              <w:left w:val="single" w:sz="4" w:space="0" w:color="auto"/>
              <w:bottom w:val="nil"/>
              <w:right w:val="nil"/>
            </w:tcBorders>
          </w:tcPr>
          <w:p w14:paraId="65166D31" w14:textId="77777777" w:rsidR="004D50CA" w:rsidRPr="005E0336" w:rsidRDefault="004D50CA" w:rsidP="004D50C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Naphthalene</w:t>
            </w:r>
          </w:p>
        </w:tc>
        <w:tc>
          <w:tcPr>
            <w:tcW w:w="992" w:type="dxa"/>
            <w:gridSpan w:val="2"/>
            <w:tcBorders>
              <w:top w:val="nil"/>
              <w:left w:val="nil"/>
              <w:bottom w:val="nil"/>
              <w:right w:val="nil"/>
            </w:tcBorders>
            <w:shd w:val="solid" w:color="FFCC99" w:fill="FCE4D6"/>
            <w:vAlign w:val="bottom"/>
          </w:tcPr>
          <w:p w14:paraId="2867DE33" w14:textId="752395D3"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134" w:type="dxa"/>
            <w:tcBorders>
              <w:top w:val="nil"/>
              <w:left w:val="nil"/>
              <w:bottom w:val="nil"/>
              <w:right w:val="nil"/>
            </w:tcBorders>
            <w:shd w:val="solid" w:color="FFCC99" w:fill="FCE4D6"/>
            <w:vAlign w:val="bottom"/>
          </w:tcPr>
          <w:p w14:paraId="33C4057F" w14:textId="76A80205"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1E+00</w:t>
            </w:r>
          </w:p>
        </w:tc>
        <w:tc>
          <w:tcPr>
            <w:tcW w:w="1276" w:type="dxa"/>
            <w:gridSpan w:val="2"/>
            <w:tcBorders>
              <w:top w:val="nil"/>
              <w:left w:val="nil"/>
              <w:bottom w:val="nil"/>
              <w:right w:val="nil"/>
            </w:tcBorders>
            <w:shd w:val="solid" w:color="99CCFF" w:fill="BDD7EE"/>
            <w:vAlign w:val="bottom"/>
          </w:tcPr>
          <w:p w14:paraId="0213B11B" w14:textId="30F2C8D9"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2" w:type="dxa"/>
            <w:tcBorders>
              <w:top w:val="nil"/>
              <w:left w:val="nil"/>
              <w:bottom w:val="nil"/>
              <w:right w:val="nil"/>
            </w:tcBorders>
            <w:shd w:val="solid" w:color="99CCFF" w:fill="BDD7EE"/>
            <w:vAlign w:val="bottom"/>
          </w:tcPr>
          <w:p w14:paraId="487E15BA" w14:textId="00D0F4C8"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gridSpan w:val="2"/>
            <w:tcBorders>
              <w:top w:val="nil"/>
              <w:left w:val="nil"/>
              <w:bottom w:val="nil"/>
              <w:right w:val="nil"/>
            </w:tcBorders>
            <w:shd w:val="solid" w:color="FFFFCC" w:fill="FFF2CC"/>
            <w:vAlign w:val="bottom"/>
          </w:tcPr>
          <w:p w14:paraId="28144DE7" w14:textId="7CAF2B1B" w:rsidR="004D50CA" w:rsidRPr="005E0336" w:rsidRDefault="004D50CA"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w:t>
            </w:r>
            <w:r w:rsidR="006354E1" w:rsidRPr="005E0336">
              <w:rPr>
                <w:rFonts w:ascii="Calibri" w:hAnsi="Calibri"/>
                <w:b/>
                <w:bCs/>
                <w:i/>
                <w:color w:val="000000"/>
                <w:sz w:val="18"/>
                <w:szCs w:val="18"/>
              </w:rPr>
              <w:t>1</w:t>
            </w:r>
          </w:p>
        </w:tc>
        <w:tc>
          <w:tcPr>
            <w:tcW w:w="1200" w:type="dxa"/>
            <w:tcBorders>
              <w:top w:val="nil"/>
              <w:left w:val="nil"/>
              <w:bottom w:val="nil"/>
              <w:right w:val="single" w:sz="4" w:space="0" w:color="auto"/>
            </w:tcBorders>
            <w:shd w:val="solid" w:color="FFFFCC" w:fill="FFF2CC"/>
            <w:vAlign w:val="bottom"/>
          </w:tcPr>
          <w:p w14:paraId="2DFD4C6B" w14:textId="0BBBB4EA" w:rsidR="004D50CA" w:rsidRPr="005E0336" w:rsidRDefault="004D50CA"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w:t>
            </w:r>
            <w:r w:rsidR="006354E1" w:rsidRPr="005E0336">
              <w:rPr>
                <w:rFonts w:ascii="Calibri" w:hAnsi="Calibri"/>
                <w:b/>
                <w:bCs/>
                <w:i/>
                <w:color w:val="000000"/>
                <w:sz w:val="18"/>
                <w:szCs w:val="18"/>
              </w:rPr>
              <w:t>1</w:t>
            </w:r>
          </w:p>
        </w:tc>
      </w:tr>
      <w:tr w:rsidR="004D50CA" w14:paraId="4A3D30D4" w14:textId="77777777" w:rsidTr="00393757">
        <w:trPr>
          <w:trHeight w:val="290"/>
        </w:trPr>
        <w:tc>
          <w:tcPr>
            <w:tcW w:w="2152" w:type="dxa"/>
            <w:tcBorders>
              <w:top w:val="nil"/>
              <w:left w:val="single" w:sz="4" w:space="0" w:color="auto"/>
              <w:bottom w:val="nil"/>
              <w:right w:val="nil"/>
            </w:tcBorders>
          </w:tcPr>
          <w:p w14:paraId="0D68B23A" w14:textId="77777777" w:rsidR="004D50CA" w:rsidRPr="005E0336" w:rsidRDefault="004D50CA" w:rsidP="004D50C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Limonene</w:t>
            </w:r>
          </w:p>
        </w:tc>
        <w:tc>
          <w:tcPr>
            <w:tcW w:w="992" w:type="dxa"/>
            <w:gridSpan w:val="2"/>
            <w:tcBorders>
              <w:top w:val="nil"/>
              <w:left w:val="nil"/>
              <w:bottom w:val="nil"/>
              <w:right w:val="nil"/>
            </w:tcBorders>
            <w:shd w:val="solid" w:color="FFCC99" w:fill="FCE4D6"/>
            <w:vAlign w:val="bottom"/>
          </w:tcPr>
          <w:p w14:paraId="048A0D0D" w14:textId="56B6A68A"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134" w:type="dxa"/>
            <w:tcBorders>
              <w:top w:val="nil"/>
              <w:left w:val="nil"/>
              <w:bottom w:val="nil"/>
              <w:right w:val="nil"/>
            </w:tcBorders>
            <w:shd w:val="solid" w:color="FFCC99" w:fill="FCE4D6"/>
            <w:vAlign w:val="bottom"/>
          </w:tcPr>
          <w:p w14:paraId="3F23651E" w14:textId="332AEF0D"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276" w:type="dxa"/>
            <w:gridSpan w:val="2"/>
            <w:tcBorders>
              <w:top w:val="nil"/>
              <w:left w:val="nil"/>
              <w:bottom w:val="nil"/>
              <w:right w:val="nil"/>
            </w:tcBorders>
            <w:shd w:val="solid" w:color="99CCFF" w:fill="BDD7EE"/>
            <w:vAlign w:val="bottom"/>
          </w:tcPr>
          <w:p w14:paraId="4BEB0EFB" w14:textId="4CCB8730"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2" w:type="dxa"/>
            <w:tcBorders>
              <w:top w:val="nil"/>
              <w:left w:val="nil"/>
              <w:bottom w:val="nil"/>
              <w:right w:val="nil"/>
            </w:tcBorders>
            <w:shd w:val="solid" w:color="99CCFF" w:fill="BDD7EE"/>
            <w:vAlign w:val="bottom"/>
          </w:tcPr>
          <w:p w14:paraId="13AAA048" w14:textId="2364812D"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gridSpan w:val="2"/>
            <w:tcBorders>
              <w:top w:val="nil"/>
              <w:left w:val="nil"/>
              <w:bottom w:val="nil"/>
              <w:right w:val="nil"/>
            </w:tcBorders>
            <w:shd w:val="solid" w:color="FFFFCC" w:fill="FFF2CC"/>
            <w:vAlign w:val="bottom"/>
          </w:tcPr>
          <w:p w14:paraId="13D3AF9E" w14:textId="46B5BF23"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200" w:type="dxa"/>
            <w:tcBorders>
              <w:top w:val="nil"/>
              <w:left w:val="nil"/>
              <w:bottom w:val="nil"/>
              <w:right w:val="single" w:sz="4" w:space="0" w:color="auto"/>
            </w:tcBorders>
            <w:shd w:val="solid" w:color="FFFFCC" w:fill="FFF2CC"/>
            <w:vAlign w:val="bottom"/>
          </w:tcPr>
          <w:p w14:paraId="3B05027C" w14:textId="2C2028D4"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r>
      <w:tr w:rsidR="00EB0469" w14:paraId="036329C3" w14:textId="77777777" w:rsidTr="00393757">
        <w:trPr>
          <w:trHeight w:val="290"/>
        </w:trPr>
        <w:tc>
          <w:tcPr>
            <w:tcW w:w="2152" w:type="dxa"/>
            <w:tcBorders>
              <w:top w:val="nil"/>
              <w:left w:val="single" w:sz="4" w:space="0" w:color="auto"/>
              <w:bottom w:val="nil"/>
              <w:right w:val="nil"/>
            </w:tcBorders>
          </w:tcPr>
          <w:p w14:paraId="2887106E" w14:textId="77777777" w:rsidR="00EB0469" w:rsidRPr="005E0336" w:rsidRDefault="00EB0469" w:rsidP="00EB0469">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HMX</w:t>
            </w:r>
          </w:p>
        </w:tc>
        <w:tc>
          <w:tcPr>
            <w:tcW w:w="992" w:type="dxa"/>
            <w:gridSpan w:val="2"/>
            <w:tcBorders>
              <w:top w:val="nil"/>
              <w:left w:val="nil"/>
              <w:bottom w:val="nil"/>
              <w:right w:val="nil"/>
            </w:tcBorders>
            <w:shd w:val="solid" w:color="FFCC99" w:fill="FCE4D6"/>
            <w:vAlign w:val="bottom"/>
          </w:tcPr>
          <w:p w14:paraId="608E1683" w14:textId="2B33928D"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134" w:type="dxa"/>
            <w:tcBorders>
              <w:top w:val="nil"/>
              <w:left w:val="nil"/>
              <w:bottom w:val="nil"/>
              <w:right w:val="nil"/>
            </w:tcBorders>
            <w:shd w:val="solid" w:color="FFCC99" w:fill="FCE4D6"/>
            <w:vAlign w:val="bottom"/>
          </w:tcPr>
          <w:p w14:paraId="46029587" w14:textId="5F8B83A1"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1E+00</w:t>
            </w:r>
          </w:p>
        </w:tc>
        <w:tc>
          <w:tcPr>
            <w:tcW w:w="1276" w:type="dxa"/>
            <w:gridSpan w:val="2"/>
            <w:tcBorders>
              <w:top w:val="nil"/>
              <w:left w:val="nil"/>
              <w:bottom w:val="nil"/>
              <w:right w:val="nil"/>
            </w:tcBorders>
            <w:shd w:val="solid" w:color="99CCFF" w:fill="BDD7EE"/>
            <w:vAlign w:val="bottom"/>
          </w:tcPr>
          <w:p w14:paraId="6C2F3222" w14:textId="39A03EF9"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2" w:type="dxa"/>
            <w:tcBorders>
              <w:top w:val="nil"/>
              <w:left w:val="nil"/>
              <w:bottom w:val="nil"/>
              <w:right w:val="nil"/>
            </w:tcBorders>
            <w:shd w:val="solid" w:color="99CCFF" w:fill="BDD7EE"/>
            <w:vAlign w:val="bottom"/>
          </w:tcPr>
          <w:p w14:paraId="69A3373D" w14:textId="4453C457"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gridSpan w:val="2"/>
            <w:tcBorders>
              <w:top w:val="nil"/>
              <w:left w:val="nil"/>
              <w:bottom w:val="nil"/>
              <w:right w:val="nil"/>
            </w:tcBorders>
            <w:shd w:val="solid" w:color="FFFFCC" w:fill="FFF2CC"/>
            <w:vAlign w:val="bottom"/>
          </w:tcPr>
          <w:p w14:paraId="358B06C9" w14:textId="32D9EF56"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00" w:type="dxa"/>
            <w:tcBorders>
              <w:top w:val="nil"/>
              <w:left w:val="nil"/>
              <w:bottom w:val="nil"/>
              <w:right w:val="single" w:sz="4" w:space="0" w:color="auto"/>
            </w:tcBorders>
            <w:shd w:val="solid" w:color="FFFFCC" w:fill="FFF2CC"/>
            <w:vAlign w:val="bottom"/>
          </w:tcPr>
          <w:p w14:paraId="31902EE1" w14:textId="7A25883C"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r>
      <w:tr w:rsidR="00EB0469" w14:paraId="41E6651E" w14:textId="77777777" w:rsidTr="00393757">
        <w:trPr>
          <w:trHeight w:val="290"/>
        </w:trPr>
        <w:tc>
          <w:tcPr>
            <w:tcW w:w="2152" w:type="dxa"/>
            <w:tcBorders>
              <w:top w:val="nil"/>
              <w:left w:val="single" w:sz="4" w:space="0" w:color="auto"/>
              <w:bottom w:val="nil"/>
              <w:right w:val="nil"/>
            </w:tcBorders>
          </w:tcPr>
          <w:p w14:paraId="0E45BDEA" w14:textId="77777777" w:rsidR="00EB0469" w:rsidRPr="005E0336" w:rsidRDefault="00EB0469" w:rsidP="00EB0469">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2-butoxyethanol</w:t>
            </w:r>
          </w:p>
        </w:tc>
        <w:tc>
          <w:tcPr>
            <w:tcW w:w="992" w:type="dxa"/>
            <w:gridSpan w:val="2"/>
            <w:tcBorders>
              <w:top w:val="nil"/>
              <w:left w:val="nil"/>
              <w:bottom w:val="nil"/>
              <w:right w:val="nil"/>
            </w:tcBorders>
            <w:shd w:val="solid" w:color="FFCC99" w:fill="FCE4D6"/>
            <w:vAlign w:val="bottom"/>
          </w:tcPr>
          <w:p w14:paraId="24936398" w14:textId="3EE38C95"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134" w:type="dxa"/>
            <w:tcBorders>
              <w:top w:val="nil"/>
              <w:left w:val="nil"/>
              <w:bottom w:val="nil"/>
              <w:right w:val="nil"/>
            </w:tcBorders>
            <w:shd w:val="solid" w:color="FFCC99" w:fill="FCE4D6"/>
            <w:vAlign w:val="bottom"/>
          </w:tcPr>
          <w:p w14:paraId="456090CA" w14:textId="39AEE5EF"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1E+00</w:t>
            </w:r>
          </w:p>
        </w:tc>
        <w:tc>
          <w:tcPr>
            <w:tcW w:w="1276" w:type="dxa"/>
            <w:gridSpan w:val="2"/>
            <w:tcBorders>
              <w:top w:val="nil"/>
              <w:left w:val="nil"/>
              <w:bottom w:val="nil"/>
              <w:right w:val="nil"/>
            </w:tcBorders>
            <w:shd w:val="solid" w:color="99CCFF" w:fill="BDD7EE"/>
            <w:vAlign w:val="bottom"/>
          </w:tcPr>
          <w:p w14:paraId="249F75AB" w14:textId="4A50764B"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2" w:type="dxa"/>
            <w:tcBorders>
              <w:top w:val="nil"/>
              <w:left w:val="nil"/>
              <w:bottom w:val="nil"/>
              <w:right w:val="nil"/>
            </w:tcBorders>
            <w:shd w:val="solid" w:color="99CCFF" w:fill="BDD7EE"/>
            <w:vAlign w:val="bottom"/>
          </w:tcPr>
          <w:p w14:paraId="1471E443" w14:textId="6562C250"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gridSpan w:val="2"/>
            <w:tcBorders>
              <w:top w:val="nil"/>
              <w:left w:val="nil"/>
              <w:bottom w:val="nil"/>
              <w:right w:val="nil"/>
            </w:tcBorders>
            <w:shd w:val="solid" w:color="FFFFCC" w:fill="FFF2CC"/>
            <w:vAlign w:val="bottom"/>
          </w:tcPr>
          <w:p w14:paraId="704E8839" w14:textId="51D2B16F" w:rsidR="00EB0469" w:rsidRPr="005E0336" w:rsidRDefault="006354E1" w:rsidP="00EB046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c>
          <w:tcPr>
            <w:tcW w:w="1200" w:type="dxa"/>
            <w:tcBorders>
              <w:top w:val="nil"/>
              <w:left w:val="nil"/>
              <w:bottom w:val="nil"/>
              <w:right w:val="single" w:sz="4" w:space="0" w:color="auto"/>
            </w:tcBorders>
            <w:shd w:val="solid" w:color="FFFFCC" w:fill="FFF2CC"/>
            <w:vAlign w:val="bottom"/>
          </w:tcPr>
          <w:p w14:paraId="0FCCE128" w14:textId="2DC71364" w:rsidR="00EB0469" w:rsidRPr="005E0336" w:rsidRDefault="006354E1" w:rsidP="00EB0469">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xml:space="preserve"> 1</w:t>
            </w:r>
          </w:p>
        </w:tc>
      </w:tr>
      <w:tr w:rsidR="004D50CA" w14:paraId="136BC75F" w14:textId="77777777" w:rsidTr="00393757">
        <w:trPr>
          <w:trHeight w:val="290"/>
        </w:trPr>
        <w:tc>
          <w:tcPr>
            <w:tcW w:w="2152" w:type="dxa"/>
            <w:tcBorders>
              <w:top w:val="nil"/>
              <w:left w:val="single" w:sz="4" w:space="0" w:color="auto"/>
              <w:bottom w:val="nil"/>
              <w:right w:val="nil"/>
            </w:tcBorders>
          </w:tcPr>
          <w:p w14:paraId="3EC20278" w14:textId="77777777" w:rsidR="004D50CA" w:rsidRPr="005E0336" w:rsidRDefault="004D50CA" w:rsidP="004D50CA">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Bronopol</w:t>
            </w:r>
          </w:p>
        </w:tc>
        <w:tc>
          <w:tcPr>
            <w:tcW w:w="992" w:type="dxa"/>
            <w:gridSpan w:val="2"/>
            <w:tcBorders>
              <w:top w:val="nil"/>
              <w:left w:val="nil"/>
              <w:bottom w:val="nil"/>
              <w:right w:val="nil"/>
            </w:tcBorders>
            <w:shd w:val="solid" w:color="FFCC99" w:fill="FCE4D6"/>
            <w:vAlign w:val="bottom"/>
          </w:tcPr>
          <w:p w14:paraId="33E595E1" w14:textId="39211A77" w:rsidR="004D50CA" w:rsidRPr="005E0336" w:rsidRDefault="004D50CA"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 </w:t>
            </w:r>
            <w:r w:rsidR="006354E1" w:rsidRPr="005E0336">
              <w:rPr>
                <w:rFonts w:ascii="Calibri" w:hAnsi="Calibri"/>
                <w:b/>
                <w:bCs/>
                <w:i/>
                <w:color w:val="000000"/>
                <w:sz w:val="18"/>
                <w:szCs w:val="18"/>
              </w:rPr>
              <w:t>1</w:t>
            </w:r>
          </w:p>
        </w:tc>
        <w:tc>
          <w:tcPr>
            <w:tcW w:w="1134" w:type="dxa"/>
            <w:tcBorders>
              <w:top w:val="nil"/>
              <w:left w:val="nil"/>
              <w:bottom w:val="nil"/>
              <w:right w:val="nil"/>
            </w:tcBorders>
            <w:shd w:val="solid" w:color="FFCC99" w:fill="FCE4D6"/>
            <w:vAlign w:val="bottom"/>
          </w:tcPr>
          <w:p w14:paraId="09B39BE1" w14:textId="4EF96B41"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1</w:t>
            </w:r>
            <w:r w:rsidR="004D50CA" w:rsidRPr="005E0336">
              <w:rPr>
                <w:rFonts w:ascii="Calibri" w:hAnsi="Calibri"/>
                <w:b/>
                <w:bCs/>
                <w:i/>
                <w:color w:val="000000"/>
                <w:sz w:val="18"/>
                <w:szCs w:val="18"/>
              </w:rPr>
              <w:t> </w:t>
            </w:r>
          </w:p>
        </w:tc>
        <w:tc>
          <w:tcPr>
            <w:tcW w:w="1276" w:type="dxa"/>
            <w:gridSpan w:val="2"/>
            <w:tcBorders>
              <w:top w:val="nil"/>
              <w:left w:val="nil"/>
              <w:bottom w:val="nil"/>
              <w:right w:val="nil"/>
            </w:tcBorders>
            <w:shd w:val="solid" w:color="99CCFF" w:fill="BDD7EE"/>
            <w:vAlign w:val="bottom"/>
          </w:tcPr>
          <w:p w14:paraId="4A6FB09F" w14:textId="0B3354A3"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1</w:t>
            </w:r>
            <w:r w:rsidR="004D50CA" w:rsidRPr="005E0336">
              <w:rPr>
                <w:rFonts w:ascii="Calibri" w:hAnsi="Calibri"/>
                <w:b/>
                <w:bCs/>
                <w:i/>
                <w:color w:val="000000"/>
                <w:sz w:val="18"/>
                <w:szCs w:val="18"/>
              </w:rPr>
              <w:t> </w:t>
            </w:r>
          </w:p>
        </w:tc>
        <w:tc>
          <w:tcPr>
            <w:tcW w:w="992" w:type="dxa"/>
            <w:tcBorders>
              <w:top w:val="nil"/>
              <w:left w:val="nil"/>
              <w:bottom w:val="nil"/>
              <w:right w:val="nil"/>
            </w:tcBorders>
            <w:shd w:val="solid" w:color="99CCFF" w:fill="BDD7EE"/>
            <w:vAlign w:val="bottom"/>
          </w:tcPr>
          <w:p w14:paraId="39D7B235" w14:textId="18C440A4" w:rsidR="004D50CA" w:rsidRPr="005E0336" w:rsidRDefault="006354E1" w:rsidP="004D50CA">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b/>
                <w:bCs/>
                <w:i/>
                <w:color w:val="000000"/>
                <w:sz w:val="18"/>
                <w:szCs w:val="18"/>
              </w:rPr>
              <w:t>1</w:t>
            </w:r>
          </w:p>
        </w:tc>
        <w:tc>
          <w:tcPr>
            <w:tcW w:w="1276" w:type="dxa"/>
            <w:gridSpan w:val="2"/>
            <w:tcBorders>
              <w:top w:val="nil"/>
              <w:left w:val="nil"/>
              <w:bottom w:val="nil"/>
              <w:right w:val="nil"/>
            </w:tcBorders>
            <w:shd w:val="solid" w:color="FFFFCC" w:fill="FFF2CC"/>
            <w:vAlign w:val="bottom"/>
          </w:tcPr>
          <w:p w14:paraId="22DC6B0E" w14:textId="390E4166"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00" w:type="dxa"/>
            <w:tcBorders>
              <w:top w:val="nil"/>
              <w:left w:val="nil"/>
              <w:bottom w:val="nil"/>
              <w:right w:val="single" w:sz="4" w:space="0" w:color="auto"/>
            </w:tcBorders>
            <w:shd w:val="solid" w:color="FFFFCC" w:fill="FFF2CC"/>
            <w:vAlign w:val="bottom"/>
          </w:tcPr>
          <w:p w14:paraId="7D03BCB8" w14:textId="54964495" w:rsidR="004D50CA" w:rsidRPr="005E0336" w:rsidRDefault="004D50CA"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r>
      <w:tr w:rsidR="00EB0469" w14:paraId="60A42FC8" w14:textId="77777777" w:rsidTr="00393757">
        <w:trPr>
          <w:trHeight w:val="290"/>
        </w:trPr>
        <w:tc>
          <w:tcPr>
            <w:tcW w:w="2152" w:type="dxa"/>
            <w:tcBorders>
              <w:top w:val="nil"/>
              <w:left w:val="single" w:sz="4" w:space="0" w:color="auto"/>
              <w:bottom w:val="nil"/>
              <w:right w:val="nil"/>
            </w:tcBorders>
          </w:tcPr>
          <w:p w14:paraId="7C96B4F4" w14:textId="77777777" w:rsidR="00EB0469" w:rsidRPr="005E0336" w:rsidRDefault="00EB0469" w:rsidP="00EB0469">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MCI</w:t>
            </w:r>
          </w:p>
        </w:tc>
        <w:tc>
          <w:tcPr>
            <w:tcW w:w="992" w:type="dxa"/>
            <w:gridSpan w:val="2"/>
            <w:tcBorders>
              <w:top w:val="nil"/>
              <w:left w:val="nil"/>
              <w:bottom w:val="nil"/>
              <w:right w:val="nil"/>
            </w:tcBorders>
            <w:shd w:val="solid" w:color="FFCC99" w:fill="FCE4D6"/>
            <w:vAlign w:val="bottom"/>
          </w:tcPr>
          <w:p w14:paraId="28CC49FA" w14:textId="42BDBE68" w:rsidR="00EB0469" w:rsidRPr="005E0336" w:rsidRDefault="00EB0469" w:rsidP="00BE5D78">
            <w:pPr>
              <w:autoSpaceDE w:val="0"/>
              <w:autoSpaceDN w:val="0"/>
              <w:adjustRightInd w:val="0"/>
              <w:spacing w:after="0"/>
              <w:jc w:val="center"/>
              <w:rPr>
                <w:rFonts w:ascii="Calibri" w:hAnsi="Calibri" w:cs="Calibri"/>
                <w:color w:val="000000"/>
                <w:sz w:val="18"/>
                <w:szCs w:val="18"/>
                <w:lang w:val="en-AU"/>
              </w:rPr>
            </w:pPr>
            <w:r w:rsidRPr="005E0336">
              <w:rPr>
                <w:rFonts w:ascii="Calibri" w:hAnsi="Calibri"/>
                <w:b/>
                <w:bCs/>
                <w:color w:val="000000"/>
                <w:sz w:val="18"/>
                <w:szCs w:val="18"/>
              </w:rPr>
              <w:t>1E+10</w:t>
            </w:r>
          </w:p>
        </w:tc>
        <w:tc>
          <w:tcPr>
            <w:tcW w:w="1134" w:type="dxa"/>
            <w:tcBorders>
              <w:top w:val="nil"/>
              <w:left w:val="nil"/>
              <w:bottom w:val="nil"/>
              <w:right w:val="nil"/>
            </w:tcBorders>
            <w:shd w:val="solid" w:color="FFCC99" w:fill="FCE4D6"/>
            <w:vAlign w:val="bottom"/>
          </w:tcPr>
          <w:p w14:paraId="408160A7" w14:textId="096A34C5"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1E+00</w:t>
            </w:r>
          </w:p>
        </w:tc>
        <w:tc>
          <w:tcPr>
            <w:tcW w:w="1276" w:type="dxa"/>
            <w:gridSpan w:val="2"/>
            <w:tcBorders>
              <w:top w:val="nil"/>
              <w:left w:val="nil"/>
              <w:bottom w:val="nil"/>
              <w:right w:val="nil"/>
            </w:tcBorders>
            <w:shd w:val="solid" w:color="99CCFF" w:fill="BDD7EE"/>
            <w:vAlign w:val="bottom"/>
          </w:tcPr>
          <w:p w14:paraId="3E65B318" w14:textId="7026CCDC"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992" w:type="dxa"/>
            <w:tcBorders>
              <w:top w:val="nil"/>
              <w:left w:val="nil"/>
              <w:bottom w:val="nil"/>
              <w:right w:val="nil"/>
            </w:tcBorders>
            <w:shd w:val="solid" w:color="99CCFF" w:fill="BDD7EE"/>
            <w:vAlign w:val="bottom"/>
          </w:tcPr>
          <w:p w14:paraId="5E94840C" w14:textId="48533EE6"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76" w:type="dxa"/>
            <w:gridSpan w:val="2"/>
            <w:tcBorders>
              <w:top w:val="nil"/>
              <w:left w:val="nil"/>
              <w:bottom w:val="nil"/>
              <w:right w:val="nil"/>
            </w:tcBorders>
            <w:shd w:val="solid" w:color="FFFFCC" w:fill="FFF2CC"/>
            <w:vAlign w:val="bottom"/>
          </w:tcPr>
          <w:p w14:paraId="029AA285" w14:textId="7CD0F62A"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c>
          <w:tcPr>
            <w:tcW w:w="1200" w:type="dxa"/>
            <w:tcBorders>
              <w:top w:val="nil"/>
              <w:left w:val="nil"/>
              <w:bottom w:val="nil"/>
              <w:right w:val="single" w:sz="4" w:space="0" w:color="auto"/>
            </w:tcBorders>
            <w:shd w:val="solid" w:color="FFFFCC" w:fill="FFF2CC"/>
            <w:vAlign w:val="bottom"/>
          </w:tcPr>
          <w:p w14:paraId="015979D9" w14:textId="72EF5410" w:rsidR="00EB0469" w:rsidRPr="005E0336" w:rsidRDefault="00EB0469" w:rsidP="00BE5D78">
            <w:pPr>
              <w:autoSpaceDE w:val="0"/>
              <w:autoSpaceDN w:val="0"/>
              <w:adjustRightInd w:val="0"/>
              <w:spacing w:after="0"/>
              <w:jc w:val="center"/>
              <w:rPr>
                <w:rFonts w:ascii="Calibri" w:hAnsi="Calibri" w:cs="Calibri"/>
                <w:b/>
                <w:bCs/>
                <w:color w:val="000000"/>
                <w:sz w:val="18"/>
                <w:szCs w:val="18"/>
                <w:lang w:val="en-AU"/>
              </w:rPr>
            </w:pPr>
            <w:r w:rsidRPr="005E0336">
              <w:rPr>
                <w:rFonts w:ascii="Calibri" w:hAnsi="Calibri"/>
                <w:b/>
                <w:bCs/>
                <w:color w:val="000000"/>
                <w:sz w:val="18"/>
                <w:szCs w:val="18"/>
              </w:rPr>
              <w:t>1E+10</w:t>
            </w:r>
          </w:p>
        </w:tc>
      </w:tr>
      <w:tr w:rsidR="00AA1310" w14:paraId="78380ABA" w14:textId="77777777" w:rsidTr="00D23B3D">
        <w:trPr>
          <w:trHeight w:val="290"/>
        </w:trPr>
        <w:tc>
          <w:tcPr>
            <w:tcW w:w="2152" w:type="dxa"/>
            <w:tcBorders>
              <w:top w:val="nil"/>
              <w:left w:val="single" w:sz="4" w:space="0" w:color="auto"/>
              <w:bottom w:val="single" w:sz="4" w:space="0" w:color="auto"/>
              <w:right w:val="nil"/>
            </w:tcBorders>
          </w:tcPr>
          <w:p w14:paraId="15C9F41A" w14:textId="77777777" w:rsidR="00AA1310" w:rsidRPr="005E0336" w:rsidRDefault="00AA1310">
            <w:pPr>
              <w:autoSpaceDE w:val="0"/>
              <w:autoSpaceDN w:val="0"/>
              <w:adjustRightInd w:val="0"/>
              <w:spacing w:after="0"/>
              <w:rPr>
                <w:rFonts w:ascii="Calibri" w:hAnsi="Calibri" w:cs="Calibri"/>
                <w:color w:val="000000"/>
                <w:sz w:val="18"/>
                <w:szCs w:val="18"/>
                <w:lang w:val="en-AU"/>
              </w:rPr>
            </w:pPr>
            <w:r w:rsidRPr="005E0336">
              <w:rPr>
                <w:rFonts w:ascii="Calibri" w:hAnsi="Calibri" w:cs="Calibri"/>
                <w:color w:val="000000"/>
                <w:sz w:val="18"/>
                <w:szCs w:val="18"/>
                <w:lang w:val="en-AU"/>
              </w:rPr>
              <w:t>Acrylamide polymer</w:t>
            </w:r>
          </w:p>
        </w:tc>
        <w:tc>
          <w:tcPr>
            <w:tcW w:w="992" w:type="dxa"/>
            <w:gridSpan w:val="2"/>
            <w:tcBorders>
              <w:top w:val="nil"/>
              <w:left w:val="nil"/>
              <w:bottom w:val="single" w:sz="4" w:space="0" w:color="auto"/>
              <w:right w:val="nil"/>
            </w:tcBorders>
            <w:shd w:val="solid" w:color="FFCC99" w:fill="auto"/>
          </w:tcPr>
          <w:p w14:paraId="7FA6581E" w14:textId="2A44531B" w:rsidR="00AA1310" w:rsidRPr="005E0336" w:rsidRDefault="006354E1">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1</w:t>
            </w:r>
          </w:p>
        </w:tc>
        <w:tc>
          <w:tcPr>
            <w:tcW w:w="1134" w:type="dxa"/>
            <w:tcBorders>
              <w:top w:val="nil"/>
              <w:left w:val="nil"/>
              <w:bottom w:val="single" w:sz="4" w:space="0" w:color="auto"/>
              <w:right w:val="nil"/>
            </w:tcBorders>
            <w:shd w:val="solid" w:color="FFCC99" w:fill="auto"/>
          </w:tcPr>
          <w:p w14:paraId="2B8F6C76" w14:textId="7C5BFA34" w:rsidR="00AA1310" w:rsidRPr="005E0336" w:rsidRDefault="006354E1">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1</w:t>
            </w:r>
          </w:p>
        </w:tc>
        <w:tc>
          <w:tcPr>
            <w:tcW w:w="1276" w:type="dxa"/>
            <w:gridSpan w:val="2"/>
            <w:tcBorders>
              <w:top w:val="nil"/>
              <w:left w:val="nil"/>
              <w:bottom w:val="single" w:sz="4" w:space="0" w:color="auto"/>
              <w:right w:val="nil"/>
            </w:tcBorders>
            <w:shd w:val="solid" w:color="99CCFF" w:fill="auto"/>
          </w:tcPr>
          <w:p w14:paraId="3840C48F" w14:textId="17F70593" w:rsidR="00AA1310" w:rsidRPr="005E0336" w:rsidRDefault="006354E1">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1</w:t>
            </w:r>
          </w:p>
        </w:tc>
        <w:tc>
          <w:tcPr>
            <w:tcW w:w="992" w:type="dxa"/>
            <w:tcBorders>
              <w:top w:val="nil"/>
              <w:left w:val="nil"/>
              <w:bottom w:val="single" w:sz="4" w:space="0" w:color="auto"/>
              <w:right w:val="nil"/>
            </w:tcBorders>
            <w:shd w:val="solid" w:color="99CCFF" w:fill="auto"/>
          </w:tcPr>
          <w:p w14:paraId="27C165B0" w14:textId="0A427A72" w:rsidR="00AA1310" w:rsidRPr="005E0336" w:rsidRDefault="006354E1">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1</w:t>
            </w:r>
          </w:p>
        </w:tc>
        <w:tc>
          <w:tcPr>
            <w:tcW w:w="1276" w:type="dxa"/>
            <w:gridSpan w:val="2"/>
            <w:tcBorders>
              <w:top w:val="nil"/>
              <w:left w:val="nil"/>
              <w:bottom w:val="single" w:sz="4" w:space="0" w:color="auto"/>
              <w:right w:val="nil"/>
            </w:tcBorders>
            <w:shd w:val="solid" w:color="FFFFCC" w:fill="auto"/>
          </w:tcPr>
          <w:p w14:paraId="4166CC35" w14:textId="2A5AAE0C" w:rsidR="00AA1310" w:rsidRPr="005E0336" w:rsidRDefault="006354E1">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1</w:t>
            </w:r>
          </w:p>
        </w:tc>
        <w:tc>
          <w:tcPr>
            <w:tcW w:w="1200" w:type="dxa"/>
            <w:tcBorders>
              <w:top w:val="nil"/>
              <w:left w:val="nil"/>
              <w:bottom w:val="single" w:sz="4" w:space="0" w:color="auto"/>
              <w:right w:val="single" w:sz="4" w:space="0" w:color="auto"/>
            </w:tcBorders>
            <w:shd w:val="solid" w:color="FFFFCC" w:fill="auto"/>
          </w:tcPr>
          <w:p w14:paraId="1FB4DABB" w14:textId="21D8C085" w:rsidR="00AA1310" w:rsidRPr="005E0336" w:rsidRDefault="006354E1">
            <w:pPr>
              <w:autoSpaceDE w:val="0"/>
              <w:autoSpaceDN w:val="0"/>
              <w:adjustRightInd w:val="0"/>
              <w:spacing w:after="0"/>
              <w:jc w:val="center"/>
              <w:rPr>
                <w:rFonts w:ascii="Calibri" w:hAnsi="Calibri" w:cs="Calibri"/>
                <w:b/>
                <w:bCs/>
                <w:i/>
                <w:color w:val="000000"/>
                <w:sz w:val="18"/>
                <w:szCs w:val="18"/>
                <w:lang w:val="en-AU"/>
              </w:rPr>
            </w:pPr>
            <w:r w:rsidRPr="005E0336">
              <w:rPr>
                <w:rFonts w:ascii="Calibri" w:hAnsi="Calibri" w:cs="Calibri"/>
                <w:b/>
                <w:bCs/>
                <w:i/>
                <w:color w:val="000000"/>
                <w:sz w:val="18"/>
                <w:szCs w:val="18"/>
                <w:lang w:val="en-AU"/>
              </w:rPr>
              <w:t xml:space="preserve"> 1</w:t>
            </w:r>
          </w:p>
        </w:tc>
      </w:tr>
    </w:tbl>
    <w:p w14:paraId="1250BAF5" w14:textId="77777777" w:rsidR="0083468D" w:rsidRDefault="00AE23ED" w:rsidP="0083468D">
      <w:pPr>
        <w:pStyle w:val="Heading3"/>
        <w:numPr>
          <w:ilvl w:val="3"/>
          <w:numId w:val="1"/>
        </w:numPr>
      </w:pPr>
      <w:bookmarkStart w:id="661" w:name="_Ref467833142"/>
      <w:bookmarkStart w:id="662" w:name="_Toc494444663"/>
      <w:r>
        <w:t>Attenuation due to chemical/biological degradation and sorption</w:t>
      </w:r>
      <w:bookmarkEnd w:id="661"/>
      <w:bookmarkEnd w:id="662"/>
    </w:p>
    <w:p w14:paraId="48A7FA97" w14:textId="28976DD0" w:rsidR="00C82716" w:rsidRDefault="005258D7" w:rsidP="005258D7">
      <w:pPr>
        <w:pStyle w:val="Body"/>
      </w:pPr>
      <w:r>
        <w:t xml:space="preserve">In a second series of calculations </w:t>
      </w:r>
      <w:r w:rsidR="009B60E7">
        <w:t>both chemical/biological degradation and sorption was considered. S</w:t>
      </w:r>
      <w:r>
        <w:t xml:space="preserve">orption </w:t>
      </w:r>
      <w:r w:rsidR="009B60E7">
        <w:t xml:space="preserve">of organic compounds </w:t>
      </w:r>
      <w:r>
        <w:t>onto organic carbon was accounted</w:t>
      </w:r>
      <w:r w:rsidR="00BB0C54">
        <w:t xml:space="preserve"> for by implementing Equation (3</w:t>
      </w:r>
      <w:r>
        <w:t xml:space="preserve">). </w:t>
      </w:r>
      <w:r w:rsidR="009972EB">
        <w:t xml:space="preserve">The </w:t>
      </w:r>
      <w:r w:rsidR="009B60E7">
        <w:t xml:space="preserve">compound-specific </w:t>
      </w:r>
      <w:r w:rsidR="009972EB">
        <w:t xml:space="preserve">distribution coefficients </w:t>
      </w:r>
      <w:proofErr w:type="gramStart"/>
      <w:r w:rsidR="00A476FA" w:rsidRPr="00A476FA">
        <w:rPr>
          <w:i/>
        </w:rPr>
        <w:t>K</w:t>
      </w:r>
      <w:r w:rsidR="00A476FA" w:rsidRPr="00A476FA">
        <w:rPr>
          <w:vertAlign w:val="subscript"/>
        </w:rPr>
        <w:t>d</w:t>
      </w:r>
      <w:proofErr w:type="gramEnd"/>
      <w:r w:rsidR="00A476FA">
        <w:t xml:space="preserve"> </w:t>
      </w:r>
      <w:r w:rsidR="009972EB">
        <w:t xml:space="preserve">used for the Gunnedah and Surat Basin </w:t>
      </w:r>
      <w:r w:rsidR="00526F41">
        <w:t xml:space="preserve">were derived based on </w:t>
      </w:r>
      <w:r w:rsidR="009B60E7">
        <w:t xml:space="preserve">compound-specific </w:t>
      </w:r>
      <w:r w:rsidR="00526F41">
        <w:t xml:space="preserve">baseline </w:t>
      </w:r>
      <w:r w:rsidR="00526F41" w:rsidRPr="009B60E7">
        <w:rPr>
          <w:i/>
        </w:rPr>
        <w:t>K</w:t>
      </w:r>
      <w:r w:rsidR="00526F41" w:rsidRPr="005109E9">
        <w:rPr>
          <w:vertAlign w:val="subscript"/>
        </w:rPr>
        <w:t>OC</w:t>
      </w:r>
      <w:r w:rsidR="00526F41">
        <w:t xml:space="preserve"> values and the </w:t>
      </w:r>
      <w:r w:rsidR="001040AF">
        <w:t xml:space="preserve">rescaled </w:t>
      </w:r>
      <w:r w:rsidR="00526F41">
        <w:t>fraction of organic carbon (</w:t>
      </w:r>
      <w:r w:rsidR="00526F41" w:rsidRPr="00526F41">
        <w:rPr>
          <w:i/>
        </w:rPr>
        <w:t>f</w:t>
      </w:r>
      <w:r w:rsidR="00526F41" w:rsidRPr="00526F41">
        <w:rPr>
          <w:vertAlign w:val="subscript"/>
        </w:rPr>
        <w:t>OC</w:t>
      </w:r>
      <w:r w:rsidR="001040AF">
        <w:rPr>
          <w:vertAlign w:val="subscript"/>
        </w:rPr>
        <w:t>_r</w:t>
      </w:r>
      <w:r w:rsidR="00D91AC0">
        <w:t>).</w:t>
      </w:r>
      <w:r w:rsidR="00526F41">
        <w:t xml:space="preserve"> </w:t>
      </w:r>
      <w:r w:rsidR="00D91AC0">
        <w:t xml:space="preserve">The </w:t>
      </w:r>
      <w:r w:rsidR="00D91AC0" w:rsidRPr="00526F41">
        <w:rPr>
          <w:i/>
        </w:rPr>
        <w:t>f</w:t>
      </w:r>
      <w:r w:rsidR="00D91AC0" w:rsidRPr="00526F41">
        <w:rPr>
          <w:vertAlign w:val="subscript"/>
        </w:rPr>
        <w:t>OC</w:t>
      </w:r>
      <w:r w:rsidR="001040AF">
        <w:rPr>
          <w:vertAlign w:val="subscript"/>
        </w:rPr>
        <w:t>_r</w:t>
      </w:r>
      <w:r w:rsidR="00D91AC0">
        <w:t xml:space="preserve"> values </w:t>
      </w:r>
      <w:r w:rsidR="00C82716">
        <w:t xml:space="preserve">representative of Gunnedah Basin and Surat Basin hydrostratigraphic units </w:t>
      </w:r>
      <w:r w:rsidR="00D91AC0">
        <w:t>are</w:t>
      </w:r>
      <w:r w:rsidR="009972EB">
        <w:t xml:space="preserve"> summarised in</w:t>
      </w:r>
      <w:r w:rsidR="00D91AC0">
        <w:t xml:space="preserve"> </w:t>
      </w:r>
      <w:r w:rsidR="00D91AC0">
        <w:fldChar w:fldCharType="begin" w:fldLock="1"/>
      </w:r>
      <w:r w:rsidR="00D91AC0">
        <w:instrText xml:space="preserve"> REF _Ref467528297 \h </w:instrText>
      </w:r>
      <w:r w:rsidR="00D91AC0">
        <w:fldChar w:fldCharType="separate"/>
      </w:r>
      <w:r w:rsidR="00335E79">
        <w:t xml:space="preserve">Table </w:t>
      </w:r>
      <w:r w:rsidR="00335E79">
        <w:rPr>
          <w:noProof/>
        </w:rPr>
        <w:t>5</w:t>
      </w:r>
      <w:r w:rsidR="00335E79">
        <w:noBreakHyphen/>
      </w:r>
      <w:r w:rsidR="00335E79">
        <w:rPr>
          <w:noProof/>
        </w:rPr>
        <w:t>8</w:t>
      </w:r>
      <w:r w:rsidR="00D91AC0">
        <w:fldChar w:fldCharType="end"/>
      </w:r>
      <w:r w:rsidR="009972EB">
        <w:t xml:space="preserve">. </w:t>
      </w:r>
      <w:r w:rsidR="00C82716">
        <w:t xml:space="preserve">Three broad groups of </w:t>
      </w:r>
      <w:r w:rsidR="009B60E7" w:rsidRPr="00526F41">
        <w:rPr>
          <w:i/>
        </w:rPr>
        <w:t>f</w:t>
      </w:r>
      <w:r w:rsidR="009B60E7" w:rsidRPr="00526F41">
        <w:rPr>
          <w:vertAlign w:val="subscript"/>
        </w:rPr>
        <w:t>OC</w:t>
      </w:r>
      <w:r w:rsidR="001040AF">
        <w:rPr>
          <w:vertAlign w:val="subscript"/>
        </w:rPr>
        <w:t>_r</w:t>
      </w:r>
      <w:r w:rsidR="009B60E7">
        <w:t xml:space="preserve"> </w:t>
      </w:r>
      <w:r w:rsidR="00C82716">
        <w:t xml:space="preserve">values can be distinguished: </w:t>
      </w:r>
    </w:p>
    <w:p w14:paraId="3A279C02" w14:textId="411EBA2F" w:rsidR="00C82716" w:rsidRDefault="00C82716" w:rsidP="00217A03">
      <w:pPr>
        <w:pStyle w:val="Body"/>
        <w:numPr>
          <w:ilvl w:val="0"/>
          <w:numId w:val="60"/>
        </w:numPr>
      </w:pPr>
      <w:r>
        <w:t>Negligible organic carbon (</w:t>
      </w:r>
      <w:r w:rsidRPr="00526F41">
        <w:rPr>
          <w:i/>
        </w:rPr>
        <w:t>f</w:t>
      </w:r>
      <w:r w:rsidRPr="00526F41">
        <w:rPr>
          <w:vertAlign w:val="subscript"/>
        </w:rPr>
        <w:t>OC</w:t>
      </w:r>
      <w:r w:rsidR="001040AF">
        <w:rPr>
          <w:vertAlign w:val="subscript"/>
        </w:rPr>
        <w:t>_r</w:t>
      </w:r>
      <w:r>
        <w:rPr>
          <w:vertAlign w:val="subscript"/>
        </w:rPr>
        <w:t xml:space="preserve"> </w:t>
      </w:r>
      <w:r w:rsidRPr="00C82716">
        <w:t>= 0</w:t>
      </w:r>
      <w:r>
        <w:t xml:space="preserve">): the sandstone aquifers of the Pilliga Sandstone </w:t>
      </w:r>
      <w:r w:rsidR="00150A77">
        <w:t xml:space="preserve">and the Upper and Lower Maules Creek </w:t>
      </w:r>
      <w:r>
        <w:t xml:space="preserve">(Gunnedah) and </w:t>
      </w:r>
      <w:r w:rsidR="00150A77">
        <w:t>several Surat aquifers</w:t>
      </w:r>
      <w:r w:rsidR="00F859AD">
        <w:t>.</w:t>
      </w:r>
    </w:p>
    <w:p w14:paraId="16F14AE6" w14:textId="52D96860" w:rsidR="00C82716" w:rsidRDefault="00674003" w:rsidP="00217A03">
      <w:pPr>
        <w:pStyle w:val="Body"/>
        <w:numPr>
          <w:ilvl w:val="0"/>
          <w:numId w:val="60"/>
        </w:numPr>
      </w:pPr>
      <w:r>
        <w:t>Low organic carbon (</w:t>
      </w:r>
      <w:r w:rsidRPr="00526F41">
        <w:rPr>
          <w:i/>
        </w:rPr>
        <w:t>f</w:t>
      </w:r>
      <w:r w:rsidRPr="00526F41">
        <w:rPr>
          <w:vertAlign w:val="subscript"/>
        </w:rPr>
        <w:t>OC</w:t>
      </w:r>
      <w:r w:rsidR="001040AF">
        <w:rPr>
          <w:vertAlign w:val="subscript"/>
        </w:rPr>
        <w:t>_r</w:t>
      </w:r>
      <w:r>
        <w:rPr>
          <w:vertAlign w:val="subscript"/>
        </w:rPr>
        <w:t xml:space="preserve"> </w:t>
      </w:r>
      <w:r w:rsidRPr="00C82716">
        <w:t>= 0</w:t>
      </w:r>
      <w:r>
        <w:t xml:space="preserve">.0008 – 0.001): </w:t>
      </w:r>
      <w:r w:rsidR="00C82716">
        <w:t>the alluvial aquifers and the shales and siltstones of the Blythesdale Group</w:t>
      </w:r>
      <w:r>
        <w:t xml:space="preserve"> (Gunnedah Basin) and the </w:t>
      </w:r>
      <w:r w:rsidRPr="00E6110F">
        <w:t>Gubberamunda Sandstone</w:t>
      </w:r>
      <w:r>
        <w:t xml:space="preserve"> (Surat Basin)</w:t>
      </w:r>
      <w:r w:rsidR="00F859AD">
        <w:t>.</w:t>
      </w:r>
    </w:p>
    <w:p w14:paraId="27EE3B7E" w14:textId="798619C4" w:rsidR="005E0D04" w:rsidRDefault="00674003" w:rsidP="00217A03">
      <w:pPr>
        <w:pStyle w:val="Body"/>
        <w:numPr>
          <w:ilvl w:val="0"/>
          <w:numId w:val="60"/>
        </w:numPr>
      </w:pPr>
      <w:r>
        <w:t>High organic carbon (</w:t>
      </w:r>
      <w:r w:rsidRPr="00526F41">
        <w:rPr>
          <w:i/>
        </w:rPr>
        <w:t>f</w:t>
      </w:r>
      <w:r w:rsidRPr="00526F41">
        <w:rPr>
          <w:vertAlign w:val="subscript"/>
        </w:rPr>
        <w:t>OC</w:t>
      </w:r>
      <w:r w:rsidR="001040AF">
        <w:rPr>
          <w:vertAlign w:val="subscript"/>
        </w:rPr>
        <w:t>_r</w:t>
      </w:r>
      <w:r>
        <w:rPr>
          <w:vertAlign w:val="subscript"/>
        </w:rPr>
        <w:t xml:space="preserve"> </w:t>
      </w:r>
      <w:r w:rsidRPr="00C82716">
        <w:t>=</w:t>
      </w:r>
      <w:r>
        <w:t xml:space="preserve"> 0.0126 – 0.275): </w:t>
      </w:r>
      <w:r w:rsidR="00C82716">
        <w:t>coal seam aquifers (Hoskisson and Maulus Creek-Bohena</w:t>
      </w:r>
      <w:r>
        <w:t xml:space="preserve"> and Walloon Coal Measures</w:t>
      </w:r>
      <w:r w:rsidR="00C82716">
        <w:t>)</w:t>
      </w:r>
      <w:r w:rsidR="00150A77">
        <w:t>.</w:t>
      </w:r>
      <w:r w:rsidR="00C82716">
        <w:t xml:space="preserve"> </w:t>
      </w:r>
    </w:p>
    <w:p w14:paraId="6AE5F765" w14:textId="73D44142" w:rsidR="00150A77" w:rsidRDefault="00150A77" w:rsidP="005258D7">
      <w:pPr>
        <w:pStyle w:val="Body"/>
      </w:pPr>
      <w:r>
        <w:t>For the first group (</w:t>
      </w:r>
      <w:r w:rsidRPr="00526F41">
        <w:rPr>
          <w:i/>
        </w:rPr>
        <w:t>f</w:t>
      </w:r>
      <w:r w:rsidRPr="00526F41">
        <w:rPr>
          <w:vertAlign w:val="subscript"/>
        </w:rPr>
        <w:t>OC</w:t>
      </w:r>
      <w:r w:rsidR="00B2567C">
        <w:rPr>
          <w:vertAlign w:val="subscript"/>
        </w:rPr>
        <w:t>_r</w:t>
      </w:r>
      <w:r>
        <w:rPr>
          <w:vertAlign w:val="subscript"/>
        </w:rPr>
        <w:t xml:space="preserve"> </w:t>
      </w:r>
      <w:r w:rsidRPr="00C82716">
        <w:t>= 0</w:t>
      </w:r>
      <w:r>
        <w:t>), no additional dilution due to adsorption processes is considered. The concentration at receptor calculated in the previous section remain</w:t>
      </w:r>
      <w:r w:rsidR="009B60E7">
        <w:t>s</w:t>
      </w:r>
      <w:r>
        <w:t xml:space="preserve"> unchanged.</w:t>
      </w:r>
    </w:p>
    <w:p w14:paraId="3868C8E0" w14:textId="277D5CF9" w:rsidR="00697044" w:rsidRDefault="00150A77" w:rsidP="005258D7">
      <w:pPr>
        <w:pStyle w:val="Body"/>
      </w:pPr>
      <w:r>
        <w:t xml:space="preserve">For the second group (a single value of </w:t>
      </w:r>
      <w:r w:rsidRPr="00526F41">
        <w:rPr>
          <w:i/>
        </w:rPr>
        <w:t>f</w:t>
      </w:r>
      <w:r w:rsidRPr="00526F41">
        <w:rPr>
          <w:vertAlign w:val="subscript"/>
        </w:rPr>
        <w:t>OC</w:t>
      </w:r>
      <w:r w:rsidR="00B2567C">
        <w:rPr>
          <w:vertAlign w:val="subscript"/>
        </w:rPr>
        <w:t>_r</w:t>
      </w:r>
      <w:r>
        <w:rPr>
          <w:vertAlign w:val="subscript"/>
        </w:rPr>
        <w:t xml:space="preserve"> </w:t>
      </w:r>
      <w:r w:rsidRPr="00C82716">
        <w:t xml:space="preserve">= </w:t>
      </w:r>
      <w:r>
        <w:t xml:space="preserve">0.001 is considered) the </w:t>
      </w:r>
      <w:r w:rsidR="005C226B" w:rsidRPr="00150A77">
        <w:rPr>
          <w:i/>
        </w:rPr>
        <w:t>K</w:t>
      </w:r>
      <w:r w:rsidR="005C226B" w:rsidRPr="005109E9">
        <w:rPr>
          <w:vertAlign w:val="subscript"/>
        </w:rPr>
        <w:t>OC</w:t>
      </w:r>
      <w:r w:rsidR="005C226B">
        <w:t xml:space="preserve"> values </w:t>
      </w:r>
      <w:r w:rsidR="009972EB">
        <w:t>based on the literature survey</w:t>
      </w:r>
      <w:r w:rsidR="005109E9">
        <w:t xml:space="preserve"> (Appendix 5)</w:t>
      </w:r>
      <w:r>
        <w:t xml:space="preserve"> are converted into </w:t>
      </w:r>
      <w:proofErr w:type="gramStart"/>
      <w:r w:rsidRPr="00150A77">
        <w:rPr>
          <w:i/>
        </w:rPr>
        <w:t>K</w:t>
      </w:r>
      <w:r w:rsidRPr="00150A77">
        <w:rPr>
          <w:vertAlign w:val="subscript"/>
        </w:rPr>
        <w:t>d</w:t>
      </w:r>
      <w:proofErr w:type="gramEnd"/>
      <w:r>
        <w:t xml:space="preserve"> values</w:t>
      </w:r>
      <w:r w:rsidR="001B5C50">
        <w:t xml:space="preserve"> (</w:t>
      </w:r>
      <w:r w:rsidR="001B5C50">
        <w:fldChar w:fldCharType="begin" w:fldLock="1"/>
      </w:r>
      <w:r w:rsidR="001B5C50">
        <w:instrText xml:space="preserve"> REF _Ref454469662 \h </w:instrText>
      </w:r>
      <w:r w:rsidR="001B5C50">
        <w:fldChar w:fldCharType="separate"/>
      </w:r>
      <w:r w:rsidR="00335E79">
        <w:t xml:space="preserve">Table </w:t>
      </w:r>
      <w:r w:rsidR="00335E79">
        <w:rPr>
          <w:noProof/>
        </w:rPr>
        <w:t>5</w:t>
      </w:r>
      <w:r w:rsidR="00335E79">
        <w:noBreakHyphen/>
      </w:r>
      <w:r w:rsidR="00335E79">
        <w:rPr>
          <w:noProof/>
        </w:rPr>
        <w:t>9</w:t>
      </w:r>
      <w:r w:rsidR="001B5C50">
        <w:fldChar w:fldCharType="end"/>
      </w:r>
      <w:r w:rsidR="001B5C50">
        <w:t>)</w:t>
      </w:r>
      <w:r w:rsidR="009972EB">
        <w:t>. At present there was insufficient data to assume a major difference in sorption properties for the key aquifers in both basins.</w:t>
      </w:r>
      <w:r w:rsidR="00EB6EC0">
        <w:t xml:space="preserve"> As a result, calculations are carried out once and are not reported separately for the two basins. On the basis of the </w:t>
      </w:r>
      <w:r w:rsidR="00EB6EC0" w:rsidRPr="00256E2B">
        <w:rPr>
          <w:i/>
        </w:rPr>
        <w:t>K</w:t>
      </w:r>
      <w:r w:rsidR="00EB6EC0" w:rsidRPr="00256E2B">
        <w:rPr>
          <w:vertAlign w:val="subscript"/>
        </w:rPr>
        <w:t>d</w:t>
      </w:r>
      <w:r w:rsidR="00EB6EC0">
        <w:t xml:space="preserve"> values, the retardation factor </w:t>
      </w:r>
      <w:r w:rsidR="007B3DC4" w:rsidRPr="00E6110F">
        <w:rPr>
          <w:i/>
        </w:rPr>
        <w:t>R</w:t>
      </w:r>
      <w:r w:rsidR="007B3DC4" w:rsidRPr="007B3DC4">
        <w:rPr>
          <w:i/>
          <w:vertAlign w:val="subscript"/>
        </w:rPr>
        <w:t>f</w:t>
      </w:r>
      <w:r w:rsidR="007B3DC4">
        <w:t xml:space="preserve"> </w:t>
      </w:r>
      <w:r w:rsidR="00EB6EC0">
        <w:t>was derived</w:t>
      </w:r>
      <w:r w:rsidR="009B60E7">
        <w:t xml:space="preserve"> using Equation (1)</w:t>
      </w:r>
      <w:r w:rsidR="00EB6EC0">
        <w:t xml:space="preserve">, assuming a </w:t>
      </w:r>
      <w:r w:rsidR="009B60E7">
        <w:t xml:space="preserve">dry </w:t>
      </w:r>
      <w:r w:rsidR="00EB6EC0">
        <w:t xml:space="preserve">bulk density of </w:t>
      </w:r>
      <w:r w:rsidR="00256E2B">
        <w:t>1.6 g/cm</w:t>
      </w:r>
      <w:r w:rsidR="00256E2B" w:rsidRPr="00256E2B">
        <w:rPr>
          <w:vertAlign w:val="superscript"/>
        </w:rPr>
        <w:t>3</w:t>
      </w:r>
      <w:r w:rsidR="00256E2B">
        <w:t xml:space="preserve"> and a </w:t>
      </w:r>
      <w:r w:rsidR="009B60E7">
        <w:t xml:space="preserve">total </w:t>
      </w:r>
      <w:r w:rsidR="00256E2B">
        <w:t>porosity of 0.1</w:t>
      </w:r>
      <w:r w:rsidR="009B60E7">
        <w:t xml:space="preserve"> cm</w:t>
      </w:r>
      <w:r w:rsidR="009B60E7" w:rsidRPr="00256E2B">
        <w:rPr>
          <w:vertAlign w:val="superscript"/>
        </w:rPr>
        <w:t>3</w:t>
      </w:r>
      <w:r w:rsidR="009B60E7">
        <w:t>/cm</w:t>
      </w:r>
      <w:r w:rsidR="009B60E7" w:rsidRPr="00256E2B">
        <w:rPr>
          <w:vertAlign w:val="superscript"/>
        </w:rPr>
        <w:t>3</w:t>
      </w:r>
      <w:r w:rsidR="00256E2B">
        <w:t xml:space="preserve">; calculated values for </w:t>
      </w:r>
      <w:r w:rsidR="007B3DC4" w:rsidRPr="00E6110F">
        <w:rPr>
          <w:i/>
        </w:rPr>
        <w:t>R</w:t>
      </w:r>
      <w:r w:rsidR="007B3DC4" w:rsidRPr="007B3DC4">
        <w:rPr>
          <w:i/>
          <w:vertAlign w:val="subscript"/>
        </w:rPr>
        <w:t>f</w:t>
      </w:r>
      <w:r w:rsidR="007B3DC4">
        <w:t xml:space="preserve"> </w:t>
      </w:r>
      <w:r w:rsidR="00256E2B">
        <w:t xml:space="preserve">are summarised in </w:t>
      </w:r>
      <w:r w:rsidR="00256E2B">
        <w:fldChar w:fldCharType="begin" w:fldLock="1"/>
      </w:r>
      <w:r w:rsidR="00256E2B">
        <w:instrText xml:space="preserve"> REF _Ref454469984 \h </w:instrText>
      </w:r>
      <w:r w:rsidR="00256E2B">
        <w:fldChar w:fldCharType="separate"/>
      </w:r>
      <w:r w:rsidR="00335E79">
        <w:t xml:space="preserve">Table </w:t>
      </w:r>
      <w:r w:rsidR="00335E79">
        <w:rPr>
          <w:noProof/>
        </w:rPr>
        <w:t>5</w:t>
      </w:r>
      <w:r w:rsidR="00335E79">
        <w:noBreakHyphen/>
      </w:r>
      <w:r w:rsidR="00335E79">
        <w:rPr>
          <w:noProof/>
        </w:rPr>
        <w:t>10</w:t>
      </w:r>
      <w:r w:rsidR="00256E2B">
        <w:fldChar w:fldCharType="end"/>
      </w:r>
      <w:r w:rsidR="00256E2B">
        <w:t>.</w:t>
      </w:r>
    </w:p>
    <w:p w14:paraId="73777627" w14:textId="77777777" w:rsidR="00A42E92" w:rsidRDefault="00A42E92" w:rsidP="00DA539C">
      <w:pPr>
        <w:pStyle w:val="Imagecaption"/>
        <w:keepNext/>
        <w:pBdr>
          <w:top w:val="none" w:sz="0" w:space="0" w:color="auto"/>
        </w:pBdr>
      </w:pPr>
    </w:p>
    <w:p w14:paraId="6C58A992" w14:textId="7C4FCF1B" w:rsidR="00A6566A" w:rsidRDefault="006B4F75" w:rsidP="006B4F75">
      <w:pPr>
        <w:pStyle w:val="Imagecaption"/>
        <w:keepNext/>
        <w:pBdr>
          <w:top w:val="none" w:sz="0" w:space="0" w:color="auto"/>
        </w:pBdr>
      </w:pPr>
      <w:bookmarkStart w:id="663" w:name="_Ref467528297"/>
      <w:bookmarkStart w:id="664" w:name="_Toc494444736"/>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8</w:t>
      </w:r>
      <w:r w:rsidR="00470577">
        <w:fldChar w:fldCharType="end"/>
      </w:r>
      <w:bookmarkEnd w:id="663"/>
      <w:r>
        <w:t xml:space="preserve"> Summary of fraction of organic carbon </w:t>
      </w:r>
      <w:r w:rsidR="00623D00">
        <w:t>(</w:t>
      </w:r>
      <w:r w:rsidR="00623D00" w:rsidRPr="00A6566A">
        <w:t>f</w:t>
      </w:r>
      <w:r w:rsidR="00623D00" w:rsidRPr="001F5949">
        <w:rPr>
          <w:vertAlign w:val="subscript"/>
        </w:rPr>
        <w:t>OC</w:t>
      </w:r>
      <w:r w:rsidR="00B2567C" w:rsidRPr="001F5949">
        <w:rPr>
          <w:vertAlign w:val="subscript"/>
        </w:rPr>
        <w:t>_r</w:t>
      </w:r>
      <w:r w:rsidR="00623D00">
        <w:t xml:space="preserve">) </w:t>
      </w:r>
      <w:r>
        <w:t xml:space="preserve">for Gunnedah and Surat Basin </w:t>
      </w:r>
      <w:r w:rsidR="001B5C50">
        <w:t>aquifers.</w:t>
      </w:r>
      <w:bookmarkEnd w:id="664"/>
    </w:p>
    <w:tbl>
      <w:tblPr>
        <w:tblStyle w:val="TableGrid"/>
        <w:tblW w:w="6941" w:type="dxa"/>
        <w:tblLayout w:type="fixed"/>
        <w:tblLook w:val="04A0" w:firstRow="1" w:lastRow="0" w:firstColumn="1" w:lastColumn="0" w:noHBand="0" w:noVBand="1"/>
      </w:tblPr>
      <w:tblGrid>
        <w:gridCol w:w="1980"/>
        <w:gridCol w:w="1417"/>
        <w:gridCol w:w="2410"/>
        <w:gridCol w:w="1134"/>
      </w:tblGrid>
      <w:tr w:rsidR="00A6566A" w:rsidRPr="00E6110F" w14:paraId="19B4BDF9" w14:textId="77777777" w:rsidTr="005E0D04">
        <w:trPr>
          <w:trHeight w:val="449"/>
        </w:trPr>
        <w:tc>
          <w:tcPr>
            <w:tcW w:w="1980" w:type="dxa"/>
            <w:shd w:val="clear" w:color="auto" w:fill="F2F2F2" w:themeFill="background1" w:themeFillShade="F2"/>
          </w:tcPr>
          <w:p w14:paraId="5BF6823C" w14:textId="15DE5571" w:rsidR="00A6566A" w:rsidRPr="00E6110F" w:rsidRDefault="00A6566A" w:rsidP="00DD2872">
            <w:pPr>
              <w:pStyle w:val="Body"/>
              <w:jc w:val="center"/>
            </w:pPr>
            <w:r>
              <w:t>Gunnedah Basin</w:t>
            </w:r>
          </w:p>
        </w:tc>
        <w:tc>
          <w:tcPr>
            <w:tcW w:w="1417" w:type="dxa"/>
            <w:shd w:val="clear" w:color="auto" w:fill="F2F2F2" w:themeFill="background1" w:themeFillShade="F2"/>
          </w:tcPr>
          <w:p w14:paraId="1AEF1FF3" w14:textId="180DBB02" w:rsidR="00A6566A" w:rsidRPr="00E6110F" w:rsidRDefault="00A6566A" w:rsidP="006B4F75">
            <w:pPr>
              <w:pStyle w:val="Body"/>
              <w:jc w:val="center"/>
            </w:pPr>
            <w:r w:rsidRPr="006B4F75">
              <w:rPr>
                <w:i/>
              </w:rPr>
              <w:t>f</w:t>
            </w:r>
            <w:r w:rsidRPr="006B4F75">
              <w:rPr>
                <w:vertAlign w:val="subscript"/>
              </w:rPr>
              <w:t>OC</w:t>
            </w:r>
            <w:r w:rsidR="00B2567C">
              <w:rPr>
                <w:vertAlign w:val="subscript"/>
              </w:rPr>
              <w:t>_r</w:t>
            </w:r>
            <w:r w:rsidRPr="00E6110F">
              <w:t xml:space="preserve"> (g/g)</w:t>
            </w:r>
          </w:p>
        </w:tc>
        <w:tc>
          <w:tcPr>
            <w:tcW w:w="2410" w:type="dxa"/>
            <w:shd w:val="clear" w:color="auto" w:fill="F2F2F2" w:themeFill="background1" w:themeFillShade="F2"/>
          </w:tcPr>
          <w:p w14:paraId="0CBC08E0" w14:textId="2980B041" w:rsidR="00A6566A" w:rsidRPr="00E6110F" w:rsidRDefault="00A6566A" w:rsidP="006B4F75">
            <w:pPr>
              <w:pStyle w:val="Body"/>
              <w:jc w:val="center"/>
            </w:pPr>
            <w:r>
              <w:t>Surat Basin</w:t>
            </w:r>
          </w:p>
        </w:tc>
        <w:tc>
          <w:tcPr>
            <w:tcW w:w="1134" w:type="dxa"/>
            <w:shd w:val="clear" w:color="auto" w:fill="F2F2F2" w:themeFill="background1" w:themeFillShade="F2"/>
          </w:tcPr>
          <w:p w14:paraId="62A9732F" w14:textId="61CBF2CC" w:rsidR="00A6566A" w:rsidRPr="00E6110F" w:rsidRDefault="00A6566A" w:rsidP="006B4F75">
            <w:pPr>
              <w:pStyle w:val="Body"/>
              <w:jc w:val="center"/>
            </w:pPr>
            <w:r w:rsidRPr="006B4F75">
              <w:rPr>
                <w:i/>
              </w:rPr>
              <w:t>f</w:t>
            </w:r>
            <w:r w:rsidRPr="006B4F75">
              <w:rPr>
                <w:vertAlign w:val="subscript"/>
              </w:rPr>
              <w:t>OC</w:t>
            </w:r>
            <w:r w:rsidR="00B2567C">
              <w:rPr>
                <w:vertAlign w:val="subscript"/>
              </w:rPr>
              <w:t>_r</w:t>
            </w:r>
            <w:r w:rsidRPr="00E6110F">
              <w:t xml:space="preserve"> (g/g)</w:t>
            </w:r>
          </w:p>
        </w:tc>
      </w:tr>
      <w:tr w:rsidR="00DD2872" w:rsidRPr="00E6110F" w14:paraId="2140D766" w14:textId="77777777" w:rsidTr="00A6566A">
        <w:tc>
          <w:tcPr>
            <w:tcW w:w="1980" w:type="dxa"/>
          </w:tcPr>
          <w:p w14:paraId="45E8C283" w14:textId="77777777" w:rsidR="00DD2872" w:rsidRPr="00E6110F" w:rsidRDefault="00DD2872" w:rsidP="00DD2872">
            <w:pPr>
              <w:pStyle w:val="Body"/>
            </w:pPr>
            <w:r w:rsidRPr="00E6110F">
              <w:t>Namoi alluvium</w:t>
            </w:r>
          </w:p>
        </w:tc>
        <w:tc>
          <w:tcPr>
            <w:tcW w:w="1417" w:type="dxa"/>
          </w:tcPr>
          <w:p w14:paraId="41B8E80A" w14:textId="3765815B" w:rsidR="00DD2872" w:rsidRPr="00E6110F" w:rsidRDefault="00DD2872" w:rsidP="00DD2872">
            <w:pPr>
              <w:pStyle w:val="Body"/>
              <w:jc w:val="center"/>
            </w:pPr>
            <w:r>
              <w:t>0.001</w:t>
            </w:r>
          </w:p>
        </w:tc>
        <w:tc>
          <w:tcPr>
            <w:tcW w:w="2410" w:type="dxa"/>
          </w:tcPr>
          <w:p w14:paraId="2072D46F" w14:textId="2EC4D48E" w:rsidR="00DD2872" w:rsidRPr="00E6110F" w:rsidRDefault="00DD2872" w:rsidP="00DD2872">
            <w:pPr>
              <w:pStyle w:val="Body"/>
            </w:pPr>
            <w:r w:rsidRPr="00E6110F">
              <w:t>Dawson River alluvium</w:t>
            </w:r>
          </w:p>
        </w:tc>
        <w:tc>
          <w:tcPr>
            <w:tcW w:w="1134" w:type="dxa"/>
          </w:tcPr>
          <w:p w14:paraId="432FF117" w14:textId="744F721E" w:rsidR="00DD2872" w:rsidRPr="00E6110F" w:rsidRDefault="00DD2872" w:rsidP="00DD2872">
            <w:pPr>
              <w:pStyle w:val="Body"/>
              <w:jc w:val="center"/>
            </w:pPr>
            <w:r w:rsidRPr="00E6110F">
              <w:t>0.001</w:t>
            </w:r>
          </w:p>
        </w:tc>
      </w:tr>
      <w:tr w:rsidR="00DD2872" w:rsidRPr="00E6110F" w14:paraId="441B52B8" w14:textId="77777777" w:rsidTr="00A6566A">
        <w:tc>
          <w:tcPr>
            <w:tcW w:w="1980" w:type="dxa"/>
          </w:tcPr>
          <w:p w14:paraId="4F9427F0" w14:textId="77777777" w:rsidR="00DD2872" w:rsidRPr="00E6110F" w:rsidRDefault="00DD2872" w:rsidP="00DD2872">
            <w:pPr>
              <w:pStyle w:val="Body"/>
            </w:pPr>
            <w:r w:rsidRPr="00E6110F">
              <w:t>Pilliga Sandstone</w:t>
            </w:r>
          </w:p>
        </w:tc>
        <w:tc>
          <w:tcPr>
            <w:tcW w:w="1417" w:type="dxa"/>
          </w:tcPr>
          <w:p w14:paraId="332F04B6" w14:textId="4C2063A3" w:rsidR="00DD2872" w:rsidRPr="00E6110F" w:rsidRDefault="00DD2872" w:rsidP="00DD2872">
            <w:pPr>
              <w:pStyle w:val="Body"/>
              <w:jc w:val="center"/>
            </w:pPr>
            <w:r>
              <w:t>0</w:t>
            </w:r>
          </w:p>
        </w:tc>
        <w:tc>
          <w:tcPr>
            <w:tcW w:w="2410" w:type="dxa"/>
          </w:tcPr>
          <w:p w14:paraId="3C3D7DB9" w14:textId="501B20A1" w:rsidR="00DD2872" w:rsidRPr="00E6110F" w:rsidRDefault="00DD2872" w:rsidP="00DD2872">
            <w:pPr>
              <w:pStyle w:val="Body"/>
            </w:pPr>
            <w:r w:rsidRPr="00E6110F">
              <w:t>Bungil Formation-Mooga Sandstone-Orallo Formation (BMO Group)</w:t>
            </w:r>
          </w:p>
        </w:tc>
        <w:tc>
          <w:tcPr>
            <w:tcW w:w="1134" w:type="dxa"/>
          </w:tcPr>
          <w:p w14:paraId="4E4B918B" w14:textId="49CBBF75" w:rsidR="00DD2872" w:rsidRPr="00E6110F" w:rsidRDefault="00DD2872" w:rsidP="001B5C50">
            <w:pPr>
              <w:pStyle w:val="Body"/>
              <w:jc w:val="center"/>
            </w:pPr>
            <w:r w:rsidRPr="00E6110F">
              <w:t>0</w:t>
            </w:r>
          </w:p>
        </w:tc>
      </w:tr>
      <w:tr w:rsidR="00DD2872" w:rsidRPr="00E6110F" w14:paraId="3E1081E2" w14:textId="77777777" w:rsidTr="00A6566A">
        <w:tc>
          <w:tcPr>
            <w:tcW w:w="1980" w:type="dxa"/>
          </w:tcPr>
          <w:p w14:paraId="674132C9" w14:textId="77777777" w:rsidR="00DD2872" w:rsidRPr="00E6110F" w:rsidRDefault="00DD2872" w:rsidP="00DD2872">
            <w:pPr>
              <w:pStyle w:val="Body"/>
              <w:rPr>
                <w:strike/>
              </w:rPr>
            </w:pPr>
            <w:r w:rsidRPr="00E6110F">
              <w:t>Blythesdale Group</w:t>
            </w:r>
          </w:p>
        </w:tc>
        <w:tc>
          <w:tcPr>
            <w:tcW w:w="1417" w:type="dxa"/>
          </w:tcPr>
          <w:p w14:paraId="5EAB2CF6" w14:textId="119B4D6B" w:rsidR="00DD2872" w:rsidRPr="00E6110F" w:rsidRDefault="00DD2872" w:rsidP="00DD2872">
            <w:pPr>
              <w:pStyle w:val="Body"/>
              <w:jc w:val="center"/>
            </w:pPr>
            <w:r w:rsidRPr="00E6110F">
              <w:t>0.0008</w:t>
            </w:r>
          </w:p>
        </w:tc>
        <w:tc>
          <w:tcPr>
            <w:tcW w:w="2410" w:type="dxa"/>
          </w:tcPr>
          <w:p w14:paraId="721476B4" w14:textId="3BBFA08C" w:rsidR="00DD2872" w:rsidRPr="00E6110F" w:rsidRDefault="00DD2872" w:rsidP="00DD2872">
            <w:pPr>
              <w:pStyle w:val="Body"/>
              <w:rPr>
                <w:vertAlign w:val="superscript"/>
              </w:rPr>
            </w:pPr>
            <w:r w:rsidRPr="00E6110F">
              <w:t>Gubberamunda Sandstone</w:t>
            </w:r>
          </w:p>
        </w:tc>
        <w:tc>
          <w:tcPr>
            <w:tcW w:w="1134" w:type="dxa"/>
          </w:tcPr>
          <w:p w14:paraId="66469D61" w14:textId="265D6774" w:rsidR="00DD2872" w:rsidRPr="00DD2872" w:rsidRDefault="00DD2872" w:rsidP="00DD2872">
            <w:pPr>
              <w:pStyle w:val="Body"/>
              <w:jc w:val="center"/>
            </w:pPr>
            <w:r w:rsidRPr="00E6110F">
              <w:t>0.0008</w:t>
            </w:r>
          </w:p>
        </w:tc>
      </w:tr>
      <w:tr w:rsidR="00DD2872" w:rsidRPr="00E6110F" w14:paraId="1374C7AC" w14:textId="77777777" w:rsidTr="00A6566A">
        <w:tc>
          <w:tcPr>
            <w:tcW w:w="1980" w:type="dxa"/>
          </w:tcPr>
          <w:p w14:paraId="1A53874E" w14:textId="77777777" w:rsidR="00DD2872" w:rsidRPr="00E6110F" w:rsidRDefault="00DD2872" w:rsidP="00DD2872">
            <w:pPr>
              <w:pStyle w:val="Body"/>
            </w:pPr>
            <w:r w:rsidRPr="00E6110F">
              <w:t xml:space="preserve">Hoskisson seam </w:t>
            </w:r>
          </w:p>
        </w:tc>
        <w:tc>
          <w:tcPr>
            <w:tcW w:w="1417" w:type="dxa"/>
          </w:tcPr>
          <w:p w14:paraId="5C8D6767" w14:textId="6C095375" w:rsidR="00DD2872" w:rsidRPr="00E6110F" w:rsidRDefault="00DD2872" w:rsidP="00DD2872">
            <w:pPr>
              <w:pStyle w:val="Body"/>
              <w:jc w:val="center"/>
            </w:pPr>
            <w:r w:rsidRPr="00E6110F">
              <w:t>0.275</w:t>
            </w:r>
          </w:p>
        </w:tc>
        <w:tc>
          <w:tcPr>
            <w:tcW w:w="2410" w:type="dxa"/>
          </w:tcPr>
          <w:p w14:paraId="1C04D40A" w14:textId="417EEF74" w:rsidR="00DD2872" w:rsidRPr="00E6110F" w:rsidRDefault="00DD2872" w:rsidP="00DD2872">
            <w:pPr>
              <w:pStyle w:val="Body"/>
            </w:pPr>
            <w:r w:rsidRPr="00E6110F">
              <w:t>Westbourne Formation</w:t>
            </w:r>
          </w:p>
        </w:tc>
        <w:tc>
          <w:tcPr>
            <w:tcW w:w="1134" w:type="dxa"/>
          </w:tcPr>
          <w:p w14:paraId="12384326" w14:textId="273669C9" w:rsidR="00DD2872" w:rsidRPr="00E6110F" w:rsidRDefault="00DD2872" w:rsidP="001B5C50">
            <w:pPr>
              <w:pStyle w:val="Body"/>
              <w:jc w:val="center"/>
            </w:pPr>
            <w:r w:rsidRPr="00E6110F">
              <w:t>0</w:t>
            </w:r>
          </w:p>
        </w:tc>
      </w:tr>
      <w:tr w:rsidR="00DD2872" w:rsidRPr="00E6110F" w14:paraId="6F64BEED" w14:textId="77777777" w:rsidTr="00A6566A">
        <w:tc>
          <w:tcPr>
            <w:tcW w:w="1980" w:type="dxa"/>
          </w:tcPr>
          <w:p w14:paraId="021CD42D" w14:textId="77777777" w:rsidR="00DD2872" w:rsidRPr="00E6110F" w:rsidRDefault="00DD2872" w:rsidP="00DD2872">
            <w:pPr>
              <w:pStyle w:val="Body"/>
            </w:pPr>
            <w:r w:rsidRPr="00E6110F">
              <w:t>Maules Creek Formation (upper)</w:t>
            </w:r>
          </w:p>
        </w:tc>
        <w:tc>
          <w:tcPr>
            <w:tcW w:w="1417" w:type="dxa"/>
          </w:tcPr>
          <w:p w14:paraId="6F34C7D4" w14:textId="25E01DB8" w:rsidR="00DD2872" w:rsidRPr="00E6110F" w:rsidRDefault="00DD2872" w:rsidP="001B5C50">
            <w:pPr>
              <w:pStyle w:val="Body"/>
              <w:jc w:val="center"/>
            </w:pPr>
            <w:r w:rsidRPr="00E6110F">
              <w:t>0</w:t>
            </w:r>
          </w:p>
        </w:tc>
        <w:tc>
          <w:tcPr>
            <w:tcW w:w="2410" w:type="dxa"/>
          </w:tcPr>
          <w:p w14:paraId="4BC2E92C" w14:textId="3DB511C1" w:rsidR="00DD2872" w:rsidRPr="00E6110F" w:rsidRDefault="00DD2872" w:rsidP="00DD2872">
            <w:pPr>
              <w:pStyle w:val="Body"/>
            </w:pPr>
            <w:r w:rsidRPr="00E6110F">
              <w:t>Springbok Sandstone</w:t>
            </w:r>
          </w:p>
        </w:tc>
        <w:tc>
          <w:tcPr>
            <w:tcW w:w="1134" w:type="dxa"/>
          </w:tcPr>
          <w:p w14:paraId="5BCD55E3" w14:textId="6D85176A" w:rsidR="00DD2872" w:rsidRPr="00E6110F" w:rsidRDefault="00DD2872" w:rsidP="001B5C50">
            <w:pPr>
              <w:pStyle w:val="Body"/>
              <w:jc w:val="center"/>
            </w:pPr>
            <w:r w:rsidRPr="00E6110F">
              <w:t>0</w:t>
            </w:r>
          </w:p>
        </w:tc>
      </w:tr>
      <w:tr w:rsidR="00DD2872" w:rsidRPr="00E6110F" w14:paraId="12DB0D55" w14:textId="77777777" w:rsidTr="00A6566A">
        <w:tc>
          <w:tcPr>
            <w:tcW w:w="1980" w:type="dxa"/>
          </w:tcPr>
          <w:p w14:paraId="06FD85A9" w14:textId="77777777" w:rsidR="00DD2872" w:rsidRPr="00E6110F" w:rsidRDefault="00DD2872" w:rsidP="00DD2872">
            <w:pPr>
              <w:pStyle w:val="Body"/>
            </w:pPr>
            <w:r w:rsidRPr="00E6110F">
              <w:t>Maules Creek Formation (Bohena coal measures)</w:t>
            </w:r>
          </w:p>
        </w:tc>
        <w:tc>
          <w:tcPr>
            <w:tcW w:w="1417" w:type="dxa"/>
          </w:tcPr>
          <w:p w14:paraId="46FD45BD" w14:textId="610E43C9" w:rsidR="00DD2872" w:rsidRPr="00E6110F" w:rsidRDefault="00DD2872" w:rsidP="00DD2872">
            <w:pPr>
              <w:pStyle w:val="Body"/>
              <w:jc w:val="center"/>
            </w:pPr>
            <w:r w:rsidRPr="00E6110F">
              <w:t>0.275</w:t>
            </w:r>
          </w:p>
          <w:p w14:paraId="7D6936FA" w14:textId="1829EC5F" w:rsidR="00DD2872" w:rsidRPr="00E6110F" w:rsidRDefault="00DD2872" w:rsidP="00DD2872">
            <w:pPr>
              <w:pStyle w:val="Body"/>
              <w:jc w:val="center"/>
            </w:pPr>
          </w:p>
        </w:tc>
        <w:tc>
          <w:tcPr>
            <w:tcW w:w="2410" w:type="dxa"/>
          </w:tcPr>
          <w:p w14:paraId="0F6941AF" w14:textId="6676E011" w:rsidR="00DD2872" w:rsidRPr="00E6110F" w:rsidRDefault="00DD2872" w:rsidP="00DD2872">
            <w:pPr>
              <w:pStyle w:val="Body"/>
            </w:pPr>
            <w:r w:rsidRPr="00E6110F">
              <w:t>Walloon Coal Measures</w:t>
            </w:r>
          </w:p>
        </w:tc>
        <w:tc>
          <w:tcPr>
            <w:tcW w:w="1134" w:type="dxa"/>
          </w:tcPr>
          <w:p w14:paraId="4D9A99B4" w14:textId="6DD1DE44" w:rsidR="00DD2872" w:rsidRPr="00E6110F" w:rsidRDefault="00DD2872" w:rsidP="00DD2872">
            <w:pPr>
              <w:pStyle w:val="Body"/>
              <w:jc w:val="center"/>
            </w:pPr>
            <w:r w:rsidRPr="00E6110F">
              <w:t>0.0126</w:t>
            </w:r>
          </w:p>
          <w:p w14:paraId="686F59F5" w14:textId="5904DA67" w:rsidR="00DD2872" w:rsidRPr="00E6110F" w:rsidRDefault="00DD2872" w:rsidP="00DD2872">
            <w:pPr>
              <w:pStyle w:val="Body"/>
              <w:jc w:val="center"/>
            </w:pPr>
          </w:p>
        </w:tc>
      </w:tr>
      <w:tr w:rsidR="00DD2872" w:rsidRPr="00E6110F" w14:paraId="3528F5A1" w14:textId="77777777" w:rsidTr="00A6566A">
        <w:tc>
          <w:tcPr>
            <w:tcW w:w="1980" w:type="dxa"/>
          </w:tcPr>
          <w:p w14:paraId="789B3CFC" w14:textId="77777777" w:rsidR="00DD2872" w:rsidRPr="00E6110F" w:rsidRDefault="00DD2872" w:rsidP="00DD2872">
            <w:pPr>
              <w:pStyle w:val="Body"/>
            </w:pPr>
            <w:r w:rsidRPr="00E6110F">
              <w:t>Maules Creek Formation (lower)</w:t>
            </w:r>
          </w:p>
        </w:tc>
        <w:tc>
          <w:tcPr>
            <w:tcW w:w="1417" w:type="dxa"/>
          </w:tcPr>
          <w:p w14:paraId="132593AE" w14:textId="5AC7A1A9" w:rsidR="00DD2872" w:rsidRPr="00E6110F" w:rsidRDefault="00DD2872" w:rsidP="00DD2872">
            <w:pPr>
              <w:pStyle w:val="Body"/>
              <w:jc w:val="center"/>
            </w:pPr>
            <w:r w:rsidRPr="00E6110F">
              <w:t>0</w:t>
            </w:r>
          </w:p>
        </w:tc>
        <w:tc>
          <w:tcPr>
            <w:tcW w:w="2410" w:type="dxa"/>
          </w:tcPr>
          <w:p w14:paraId="0F606B1C" w14:textId="797EECE6" w:rsidR="00DD2872" w:rsidRPr="00E6110F" w:rsidRDefault="00DD2872" w:rsidP="00DD2872">
            <w:pPr>
              <w:pStyle w:val="Body"/>
            </w:pPr>
            <w:r w:rsidRPr="00E6110F">
              <w:t>Hutton Sandstone</w:t>
            </w:r>
          </w:p>
        </w:tc>
        <w:tc>
          <w:tcPr>
            <w:tcW w:w="1134" w:type="dxa"/>
          </w:tcPr>
          <w:p w14:paraId="2E23F98A" w14:textId="21E0D803" w:rsidR="00DD2872" w:rsidRPr="00E6110F" w:rsidRDefault="00DD2872" w:rsidP="001B5C50">
            <w:pPr>
              <w:pStyle w:val="Body"/>
              <w:jc w:val="center"/>
            </w:pPr>
            <w:r w:rsidRPr="00E6110F">
              <w:t>0</w:t>
            </w:r>
          </w:p>
        </w:tc>
      </w:tr>
    </w:tbl>
    <w:p w14:paraId="76D4B98C" w14:textId="77777777" w:rsidR="005258D7" w:rsidRDefault="005258D7" w:rsidP="005258D7">
      <w:pPr>
        <w:pStyle w:val="Body"/>
      </w:pPr>
    </w:p>
    <w:p w14:paraId="0D4F1616" w14:textId="3853BCB0" w:rsidR="00697044" w:rsidRDefault="00697044" w:rsidP="00697044">
      <w:pPr>
        <w:pStyle w:val="Imagecaption"/>
        <w:keepNext/>
        <w:pBdr>
          <w:top w:val="none" w:sz="0" w:space="0" w:color="auto"/>
        </w:pBdr>
      </w:pPr>
      <w:bookmarkStart w:id="665" w:name="_Ref454469662"/>
      <w:bookmarkStart w:id="666" w:name="_Toc494444737"/>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9</w:t>
      </w:r>
      <w:r w:rsidR="00470577">
        <w:fldChar w:fldCharType="end"/>
      </w:r>
      <w:bookmarkEnd w:id="665"/>
      <w:r w:rsidR="00C760EB">
        <w:t xml:space="preserve"> Sorption data (</w:t>
      </w:r>
      <w:r w:rsidR="002C24F4">
        <w:t>K</w:t>
      </w:r>
      <w:r w:rsidR="002C24F4" w:rsidRPr="001F5949">
        <w:rPr>
          <w:vertAlign w:val="subscript"/>
        </w:rPr>
        <w:t>OC</w:t>
      </w:r>
      <w:r w:rsidR="001F5949" w:rsidRPr="001F5949">
        <w:rPr>
          <w:vertAlign w:val="subscript"/>
        </w:rPr>
        <w:t xml:space="preserve"> </w:t>
      </w:r>
      <w:r w:rsidR="002C24F4">
        <w:t xml:space="preserve">and </w:t>
      </w:r>
      <w:r w:rsidR="00C64C53">
        <w:t xml:space="preserve">distribution coefficient </w:t>
      </w:r>
      <w:proofErr w:type="gramStart"/>
      <w:r w:rsidR="00C64C53">
        <w:t>K</w:t>
      </w:r>
      <w:r w:rsidR="00C64C53" w:rsidRPr="001F5949">
        <w:rPr>
          <w:vertAlign w:val="subscript"/>
        </w:rPr>
        <w:t>d</w:t>
      </w:r>
      <w:proofErr w:type="gramEnd"/>
      <w:r w:rsidR="002C24F4" w:rsidRPr="00DA539C">
        <w:t xml:space="preserve"> </w:t>
      </w:r>
      <w:r w:rsidR="002C24F4" w:rsidRPr="002C24F4">
        <w:t xml:space="preserve">= </w:t>
      </w:r>
      <w:r w:rsidR="00A6566A" w:rsidRPr="00A6566A">
        <w:t>f</w:t>
      </w:r>
      <w:r w:rsidR="00A6566A" w:rsidRPr="001F5949">
        <w:rPr>
          <w:vertAlign w:val="subscript"/>
        </w:rPr>
        <w:t>OC</w:t>
      </w:r>
      <w:r w:rsidR="00B2567C" w:rsidRPr="001F5949">
        <w:rPr>
          <w:vertAlign w:val="subscript"/>
        </w:rPr>
        <w:t>_r</w:t>
      </w:r>
      <w:r w:rsidR="00A6566A" w:rsidRPr="001F5949">
        <w:rPr>
          <w:vertAlign w:val="subscript"/>
        </w:rPr>
        <w:t xml:space="preserve"> </w:t>
      </w:r>
      <w:r w:rsidR="002C24F4" w:rsidRPr="002C24F4">
        <w:t>x</w:t>
      </w:r>
      <w:r w:rsidR="00A6566A">
        <w:t xml:space="preserve"> </w:t>
      </w:r>
      <w:r w:rsidR="002C24F4" w:rsidRPr="002C24F4">
        <w:t>K</w:t>
      </w:r>
      <w:r w:rsidR="002C24F4" w:rsidRPr="001F5949">
        <w:rPr>
          <w:vertAlign w:val="subscript"/>
        </w:rPr>
        <w:t>OC</w:t>
      </w:r>
      <w:r w:rsidR="00A6566A">
        <w:t xml:space="preserve"> with </w:t>
      </w:r>
      <w:r w:rsidR="00A6566A" w:rsidRPr="00A6566A">
        <w:t>f</w:t>
      </w:r>
      <w:r w:rsidR="00A6566A" w:rsidRPr="001F5949">
        <w:rPr>
          <w:vertAlign w:val="subscript"/>
        </w:rPr>
        <w:t>OC</w:t>
      </w:r>
      <w:r w:rsidR="00B2567C" w:rsidRPr="001F5949">
        <w:rPr>
          <w:vertAlign w:val="subscript"/>
        </w:rPr>
        <w:t>_r</w:t>
      </w:r>
      <w:r w:rsidR="00A6566A" w:rsidRPr="001F5949">
        <w:rPr>
          <w:vertAlign w:val="subscript"/>
        </w:rPr>
        <w:t xml:space="preserve"> </w:t>
      </w:r>
      <w:r w:rsidR="00A6566A">
        <w:t xml:space="preserve">= </w:t>
      </w:r>
      <w:r w:rsidR="00A6566A" w:rsidRPr="002C24F4">
        <w:t>0.001</w:t>
      </w:r>
      <w:r w:rsidR="00A6566A">
        <w:t>)</w:t>
      </w:r>
      <w:r w:rsidR="00C760EB">
        <w:t xml:space="preserve"> used for attenuation calculations. </w:t>
      </w:r>
      <w:r>
        <w:t xml:space="preserve">MCI = Methyl-chloro-isothiazolinone. </w:t>
      </w:r>
      <w:r w:rsidR="00BE5D78">
        <w:t>Values rounded to three significant figures.</w:t>
      </w:r>
      <w:bookmarkEnd w:id="666"/>
    </w:p>
    <w:tbl>
      <w:tblPr>
        <w:tblW w:w="8956" w:type="dxa"/>
        <w:tblInd w:w="-30" w:type="dxa"/>
        <w:tblLayout w:type="fixed"/>
        <w:tblLook w:val="0000" w:firstRow="0" w:lastRow="0" w:firstColumn="0" w:lastColumn="0" w:noHBand="0" w:noVBand="0"/>
      </w:tblPr>
      <w:tblGrid>
        <w:gridCol w:w="1726"/>
        <w:gridCol w:w="1418"/>
        <w:gridCol w:w="1134"/>
        <w:gridCol w:w="1701"/>
        <w:gridCol w:w="709"/>
        <w:gridCol w:w="1134"/>
        <w:gridCol w:w="1134"/>
      </w:tblGrid>
      <w:tr w:rsidR="002C24F4" w14:paraId="7B0EEAE3" w14:textId="77777777" w:rsidTr="00B2567C">
        <w:trPr>
          <w:trHeight w:val="290"/>
        </w:trPr>
        <w:tc>
          <w:tcPr>
            <w:tcW w:w="1726" w:type="dxa"/>
            <w:tcBorders>
              <w:top w:val="single" w:sz="4" w:space="0" w:color="auto"/>
              <w:left w:val="single" w:sz="4" w:space="0" w:color="auto"/>
              <w:bottom w:val="nil"/>
              <w:right w:val="nil"/>
            </w:tcBorders>
          </w:tcPr>
          <w:p w14:paraId="6902E570" w14:textId="77777777" w:rsidR="002C24F4" w:rsidRDefault="002C24F4">
            <w:pPr>
              <w:autoSpaceDE w:val="0"/>
              <w:autoSpaceDN w:val="0"/>
              <w:adjustRightInd w:val="0"/>
              <w:spacing w:after="0"/>
              <w:jc w:val="right"/>
              <w:rPr>
                <w:rFonts w:ascii="Calibri" w:hAnsi="Calibri" w:cs="Calibri"/>
                <w:color w:val="000000"/>
                <w:sz w:val="22"/>
                <w:szCs w:val="22"/>
                <w:lang w:val="en-AU"/>
              </w:rPr>
            </w:pPr>
          </w:p>
        </w:tc>
        <w:tc>
          <w:tcPr>
            <w:tcW w:w="2552" w:type="dxa"/>
            <w:gridSpan w:val="2"/>
            <w:tcBorders>
              <w:top w:val="single" w:sz="4" w:space="0" w:color="auto"/>
              <w:left w:val="nil"/>
              <w:bottom w:val="nil"/>
              <w:right w:val="single" w:sz="4" w:space="0" w:color="auto"/>
            </w:tcBorders>
          </w:tcPr>
          <w:p w14:paraId="03E81D36" w14:textId="291732A2" w:rsidR="002C24F4" w:rsidRPr="00D4321E" w:rsidRDefault="002C24F4" w:rsidP="00CE6E06">
            <w:pPr>
              <w:autoSpaceDE w:val="0"/>
              <w:autoSpaceDN w:val="0"/>
              <w:adjustRightInd w:val="0"/>
              <w:spacing w:after="0"/>
              <w:jc w:val="center"/>
              <w:rPr>
                <w:rFonts w:ascii="Calibri" w:hAnsi="Calibri" w:cs="Calibri"/>
                <w:color w:val="000000"/>
                <w:sz w:val="18"/>
                <w:szCs w:val="18"/>
                <w:lang w:val="en-AU"/>
              </w:rPr>
            </w:pPr>
            <w:r w:rsidRPr="00D4321E">
              <w:rPr>
                <w:rFonts w:ascii="Calibri" w:hAnsi="Calibri" w:cs="Calibri"/>
                <w:color w:val="000000"/>
                <w:sz w:val="18"/>
                <w:szCs w:val="18"/>
                <w:lang w:val="en-AU"/>
              </w:rPr>
              <w:t xml:space="preserve">Sorption data, </w:t>
            </w:r>
            <w:r w:rsidRPr="00D4321E">
              <w:rPr>
                <w:rFonts w:ascii="Calibri" w:hAnsi="Calibri" w:cs="Calibri"/>
                <w:i/>
                <w:color w:val="000000"/>
                <w:sz w:val="18"/>
                <w:szCs w:val="18"/>
                <w:lang w:val="en-AU"/>
              </w:rPr>
              <w:t>K</w:t>
            </w:r>
            <w:r w:rsidRPr="00D4321E">
              <w:rPr>
                <w:rFonts w:ascii="Calibri" w:hAnsi="Calibri" w:cs="Calibri"/>
                <w:color w:val="000000"/>
                <w:sz w:val="18"/>
                <w:szCs w:val="18"/>
                <w:vertAlign w:val="subscript"/>
                <w:lang w:val="en-AU"/>
              </w:rPr>
              <w:t xml:space="preserve">OC </w:t>
            </w:r>
            <w:r w:rsidRPr="00D4321E">
              <w:rPr>
                <w:rFonts w:ascii="Calibri" w:hAnsi="Calibri" w:cs="Calibri"/>
                <w:color w:val="000000"/>
                <w:sz w:val="18"/>
                <w:szCs w:val="18"/>
                <w:lang w:val="en-AU"/>
              </w:rPr>
              <w:t>(L/kg)</w:t>
            </w:r>
          </w:p>
        </w:tc>
        <w:tc>
          <w:tcPr>
            <w:tcW w:w="4678" w:type="dxa"/>
            <w:gridSpan w:val="4"/>
            <w:tcBorders>
              <w:top w:val="single" w:sz="4" w:space="0" w:color="auto"/>
              <w:left w:val="nil"/>
              <w:bottom w:val="nil"/>
              <w:right w:val="single" w:sz="4" w:space="0" w:color="auto"/>
            </w:tcBorders>
          </w:tcPr>
          <w:p w14:paraId="2BAF319C" w14:textId="21576A46" w:rsidR="002C24F4" w:rsidRPr="00D4321E" w:rsidRDefault="002C24F4" w:rsidP="002C24F4">
            <w:pPr>
              <w:autoSpaceDE w:val="0"/>
              <w:autoSpaceDN w:val="0"/>
              <w:adjustRightInd w:val="0"/>
              <w:spacing w:after="0"/>
              <w:jc w:val="center"/>
              <w:rPr>
                <w:rFonts w:ascii="Calibri" w:hAnsi="Calibri" w:cs="Calibri"/>
                <w:color w:val="000000"/>
                <w:sz w:val="18"/>
                <w:szCs w:val="18"/>
                <w:lang w:val="en-AU"/>
              </w:rPr>
            </w:pPr>
            <w:r w:rsidRPr="00D4321E">
              <w:rPr>
                <w:rFonts w:ascii="Calibri" w:hAnsi="Calibri" w:cs="Calibri"/>
                <w:color w:val="000000"/>
                <w:sz w:val="18"/>
                <w:szCs w:val="18"/>
                <w:lang w:val="en-AU"/>
              </w:rPr>
              <w:t xml:space="preserve">Sorption data, </w:t>
            </w:r>
            <w:r w:rsidRPr="00D4321E">
              <w:rPr>
                <w:rFonts w:ascii="Calibri" w:hAnsi="Calibri" w:cs="Calibri"/>
                <w:i/>
                <w:color w:val="000000"/>
                <w:sz w:val="18"/>
                <w:szCs w:val="18"/>
                <w:lang w:val="en-AU"/>
              </w:rPr>
              <w:t>K</w:t>
            </w:r>
            <w:r w:rsidRPr="00D4321E">
              <w:rPr>
                <w:rFonts w:ascii="Calibri" w:hAnsi="Calibri" w:cs="Calibri"/>
                <w:color w:val="000000"/>
                <w:sz w:val="18"/>
                <w:szCs w:val="18"/>
                <w:vertAlign w:val="subscript"/>
                <w:lang w:val="en-AU"/>
              </w:rPr>
              <w:t xml:space="preserve">d </w:t>
            </w:r>
            <w:r w:rsidRPr="00D4321E">
              <w:rPr>
                <w:rFonts w:ascii="Calibri" w:hAnsi="Calibri" w:cs="Calibri"/>
                <w:color w:val="000000"/>
                <w:sz w:val="18"/>
                <w:szCs w:val="18"/>
                <w:lang w:val="en-AU"/>
              </w:rPr>
              <w:t>(L/kg)</w:t>
            </w:r>
          </w:p>
        </w:tc>
      </w:tr>
      <w:tr w:rsidR="00CE6E06" w14:paraId="1FC11F0B" w14:textId="77777777" w:rsidTr="00B2567C">
        <w:trPr>
          <w:trHeight w:val="290"/>
        </w:trPr>
        <w:tc>
          <w:tcPr>
            <w:tcW w:w="1726" w:type="dxa"/>
            <w:tcBorders>
              <w:top w:val="nil"/>
              <w:left w:val="single" w:sz="4" w:space="0" w:color="auto"/>
              <w:bottom w:val="nil"/>
              <w:right w:val="nil"/>
            </w:tcBorders>
          </w:tcPr>
          <w:p w14:paraId="0655EFAB" w14:textId="77777777" w:rsidR="00CE6E06" w:rsidRDefault="00CE6E06">
            <w:pPr>
              <w:autoSpaceDE w:val="0"/>
              <w:autoSpaceDN w:val="0"/>
              <w:adjustRightInd w:val="0"/>
              <w:spacing w:after="0"/>
              <w:jc w:val="right"/>
              <w:rPr>
                <w:rFonts w:ascii="Calibri" w:hAnsi="Calibri" w:cs="Calibri"/>
                <w:color w:val="000000"/>
                <w:sz w:val="22"/>
                <w:szCs w:val="22"/>
                <w:lang w:val="en-AU"/>
              </w:rPr>
            </w:pPr>
          </w:p>
        </w:tc>
        <w:tc>
          <w:tcPr>
            <w:tcW w:w="2552" w:type="dxa"/>
            <w:gridSpan w:val="2"/>
            <w:tcBorders>
              <w:top w:val="nil"/>
              <w:left w:val="nil"/>
              <w:bottom w:val="nil"/>
              <w:right w:val="nil"/>
            </w:tcBorders>
            <w:shd w:val="solid" w:color="FFCC99" w:fill="auto"/>
          </w:tcPr>
          <w:p w14:paraId="64700BB3" w14:textId="6C8F54E5" w:rsidR="00CE6E06" w:rsidRPr="00D4321E" w:rsidRDefault="00CE6E06">
            <w:pPr>
              <w:autoSpaceDE w:val="0"/>
              <w:autoSpaceDN w:val="0"/>
              <w:adjustRightInd w:val="0"/>
              <w:spacing w:after="0"/>
              <w:jc w:val="center"/>
              <w:rPr>
                <w:rFonts w:ascii="Calibri" w:hAnsi="Calibri" w:cs="Calibri"/>
                <w:color w:val="000000"/>
                <w:sz w:val="18"/>
                <w:szCs w:val="18"/>
                <w:lang w:val="en-AU"/>
              </w:rPr>
            </w:pPr>
            <w:r w:rsidRPr="00D4321E">
              <w:rPr>
                <w:rFonts w:ascii="Calibri" w:hAnsi="Calibri" w:cs="Calibri"/>
                <w:color w:val="000000"/>
                <w:sz w:val="18"/>
                <w:szCs w:val="18"/>
                <w:lang w:val="en-AU"/>
              </w:rPr>
              <w:t>Baseline</w:t>
            </w:r>
          </w:p>
        </w:tc>
        <w:tc>
          <w:tcPr>
            <w:tcW w:w="2410" w:type="dxa"/>
            <w:gridSpan w:val="2"/>
            <w:tcBorders>
              <w:top w:val="nil"/>
              <w:left w:val="nil"/>
              <w:bottom w:val="nil"/>
              <w:right w:val="nil"/>
            </w:tcBorders>
            <w:shd w:val="solid" w:color="99CCFF" w:fill="auto"/>
          </w:tcPr>
          <w:p w14:paraId="293C4706" w14:textId="23207C4A" w:rsidR="00CE6E06" w:rsidRPr="00D4321E" w:rsidRDefault="00CE6E06">
            <w:pPr>
              <w:autoSpaceDE w:val="0"/>
              <w:autoSpaceDN w:val="0"/>
              <w:adjustRightInd w:val="0"/>
              <w:spacing w:after="0"/>
              <w:jc w:val="center"/>
              <w:rPr>
                <w:rFonts w:ascii="Calibri" w:hAnsi="Calibri" w:cs="Calibri"/>
                <w:color w:val="000000"/>
                <w:sz w:val="18"/>
                <w:szCs w:val="18"/>
                <w:lang w:val="en-AU"/>
              </w:rPr>
            </w:pPr>
            <w:r w:rsidRPr="00D4321E">
              <w:rPr>
                <w:rFonts w:ascii="Calibri" w:hAnsi="Calibri" w:cs="Calibri"/>
                <w:color w:val="000000"/>
                <w:sz w:val="18"/>
                <w:szCs w:val="18"/>
                <w:lang w:val="en-AU"/>
              </w:rPr>
              <w:t>Gunnedah</w:t>
            </w:r>
          </w:p>
        </w:tc>
        <w:tc>
          <w:tcPr>
            <w:tcW w:w="2268" w:type="dxa"/>
            <w:gridSpan w:val="2"/>
            <w:tcBorders>
              <w:top w:val="nil"/>
              <w:left w:val="nil"/>
              <w:bottom w:val="nil"/>
              <w:right w:val="single" w:sz="4" w:space="0" w:color="auto"/>
            </w:tcBorders>
            <w:shd w:val="solid" w:color="FFFFCC" w:fill="auto"/>
          </w:tcPr>
          <w:p w14:paraId="50992F87" w14:textId="574AB681" w:rsidR="00CE6E06" w:rsidRPr="00D4321E" w:rsidRDefault="00CE6E06">
            <w:pPr>
              <w:autoSpaceDE w:val="0"/>
              <w:autoSpaceDN w:val="0"/>
              <w:adjustRightInd w:val="0"/>
              <w:spacing w:after="0"/>
              <w:jc w:val="center"/>
              <w:rPr>
                <w:rFonts w:ascii="Calibri" w:hAnsi="Calibri" w:cs="Calibri"/>
                <w:color w:val="000000"/>
                <w:sz w:val="18"/>
                <w:szCs w:val="18"/>
                <w:lang w:val="en-AU"/>
              </w:rPr>
            </w:pPr>
            <w:r w:rsidRPr="00D4321E">
              <w:rPr>
                <w:rFonts w:ascii="Calibri" w:hAnsi="Calibri" w:cs="Calibri"/>
                <w:color w:val="000000"/>
                <w:sz w:val="18"/>
                <w:szCs w:val="18"/>
                <w:lang w:val="en-AU"/>
              </w:rPr>
              <w:t>Surat</w:t>
            </w:r>
          </w:p>
        </w:tc>
      </w:tr>
      <w:tr w:rsidR="00CE6E06" w14:paraId="60EB9D69" w14:textId="77777777" w:rsidTr="00B2567C">
        <w:trPr>
          <w:trHeight w:val="290"/>
        </w:trPr>
        <w:tc>
          <w:tcPr>
            <w:tcW w:w="1726" w:type="dxa"/>
            <w:tcBorders>
              <w:top w:val="nil"/>
              <w:left w:val="single" w:sz="4" w:space="0" w:color="auto"/>
              <w:bottom w:val="single" w:sz="6" w:space="0" w:color="auto"/>
              <w:right w:val="nil"/>
            </w:tcBorders>
          </w:tcPr>
          <w:p w14:paraId="4ED0AA09" w14:textId="77777777" w:rsidR="00CE6E06" w:rsidRPr="00D4321E" w:rsidRDefault="00CE6E06">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Chemical substance</w:t>
            </w:r>
          </w:p>
        </w:tc>
        <w:tc>
          <w:tcPr>
            <w:tcW w:w="1418" w:type="dxa"/>
            <w:tcBorders>
              <w:top w:val="nil"/>
              <w:left w:val="nil"/>
              <w:bottom w:val="single" w:sz="6" w:space="0" w:color="auto"/>
              <w:right w:val="nil"/>
            </w:tcBorders>
            <w:shd w:val="solid" w:color="FFCC99" w:fill="auto"/>
          </w:tcPr>
          <w:p w14:paraId="3617E839" w14:textId="56401044" w:rsidR="00CE6E06" w:rsidRPr="00D4321E" w:rsidRDefault="00D4321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E6E06" w:rsidRPr="00D4321E">
              <w:rPr>
                <w:rFonts w:ascii="Calibri" w:hAnsi="Calibri" w:cs="Calibri"/>
                <w:color w:val="000000"/>
                <w:sz w:val="18"/>
                <w:szCs w:val="18"/>
                <w:lang w:val="en-AU"/>
              </w:rPr>
              <w:t>in</w:t>
            </w:r>
          </w:p>
        </w:tc>
        <w:tc>
          <w:tcPr>
            <w:tcW w:w="1134" w:type="dxa"/>
            <w:tcBorders>
              <w:top w:val="nil"/>
              <w:left w:val="nil"/>
              <w:bottom w:val="single" w:sz="6" w:space="0" w:color="auto"/>
              <w:right w:val="nil"/>
            </w:tcBorders>
            <w:shd w:val="solid" w:color="FFCC99" w:fill="auto"/>
          </w:tcPr>
          <w:p w14:paraId="4E349B16" w14:textId="517D9F27" w:rsidR="00CE6E06" w:rsidRPr="00D4321E" w:rsidRDefault="00D4321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E6E06" w:rsidRPr="00D4321E">
              <w:rPr>
                <w:rFonts w:ascii="Calibri" w:hAnsi="Calibri" w:cs="Calibri"/>
                <w:color w:val="000000"/>
                <w:sz w:val="18"/>
                <w:szCs w:val="18"/>
                <w:lang w:val="en-AU"/>
              </w:rPr>
              <w:t>ax</w:t>
            </w:r>
          </w:p>
        </w:tc>
        <w:tc>
          <w:tcPr>
            <w:tcW w:w="1701" w:type="dxa"/>
            <w:tcBorders>
              <w:top w:val="nil"/>
              <w:left w:val="nil"/>
              <w:bottom w:val="single" w:sz="6" w:space="0" w:color="auto"/>
              <w:right w:val="nil"/>
            </w:tcBorders>
            <w:shd w:val="solid" w:color="99CCFF" w:fill="auto"/>
          </w:tcPr>
          <w:p w14:paraId="532E86AA" w14:textId="11122D5E" w:rsidR="00CE6E06" w:rsidRPr="00D4321E" w:rsidRDefault="00D4321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E6E06" w:rsidRPr="00D4321E">
              <w:rPr>
                <w:rFonts w:ascii="Calibri" w:hAnsi="Calibri" w:cs="Calibri"/>
                <w:color w:val="000000"/>
                <w:sz w:val="18"/>
                <w:szCs w:val="18"/>
                <w:lang w:val="en-AU"/>
              </w:rPr>
              <w:t>in</w:t>
            </w:r>
          </w:p>
        </w:tc>
        <w:tc>
          <w:tcPr>
            <w:tcW w:w="709" w:type="dxa"/>
            <w:tcBorders>
              <w:top w:val="nil"/>
              <w:left w:val="nil"/>
              <w:bottom w:val="single" w:sz="6" w:space="0" w:color="auto"/>
              <w:right w:val="nil"/>
            </w:tcBorders>
            <w:shd w:val="solid" w:color="99CCFF" w:fill="auto"/>
          </w:tcPr>
          <w:p w14:paraId="3AF10246" w14:textId="56983EBD" w:rsidR="00CE6E06" w:rsidRPr="00D4321E" w:rsidRDefault="00D4321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E6E06" w:rsidRPr="00D4321E">
              <w:rPr>
                <w:rFonts w:ascii="Calibri" w:hAnsi="Calibri" w:cs="Calibri"/>
                <w:color w:val="000000"/>
                <w:sz w:val="18"/>
                <w:szCs w:val="18"/>
                <w:lang w:val="en-AU"/>
              </w:rPr>
              <w:t>ax</w:t>
            </w:r>
          </w:p>
        </w:tc>
        <w:tc>
          <w:tcPr>
            <w:tcW w:w="1134" w:type="dxa"/>
            <w:tcBorders>
              <w:top w:val="nil"/>
              <w:left w:val="nil"/>
              <w:bottom w:val="single" w:sz="6" w:space="0" w:color="auto"/>
              <w:right w:val="nil"/>
            </w:tcBorders>
            <w:shd w:val="solid" w:color="FFFFCC" w:fill="auto"/>
          </w:tcPr>
          <w:p w14:paraId="4AF0FB17" w14:textId="3E10916D" w:rsidR="00CE6E06" w:rsidRPr="00D4321E" w:rsidRDefault="00D4321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E6E06" w:rsidRPr="00D4321E">
              <w:rPr>
                <w:rFonts w:ascii="Calibri" w:hAnsi="Calibri" w:cs="Calibri"/>
                <w:color w:val="000000"/>
                <w:sz w:val="18"/>
                <w:szCs w:val="18"/>
                <w:lang w:val="en-AU"/>
              </w:rPr>
              <w:t>in</w:t>
            </w:r>
          </w:p>
        </w:tc>
        <w:tc>
          <w:tcPr>
            <w:tcW w:w="1134" w:type="dxa"/>
            <w:tcBorders>
              <w:top w:val="nil"/>
              <w:left w:val="nil"/>
              <w:bottom w:val="single" w:sz="6" w:space="0" w:color="auto"/>
              <w:right w:val="single" w:sz="4" w:space="0" w:color="auto"/>
            </w:tcBorders>
            <w:shd w:val="solid" w:color="FFFFCC" w:fill="auto"/>
          </w:tcPr>
          <w:p w14:paraId="19DD7C05" w14:textId="6D08BA25" w:rsidR="00CE6E06" w:rsidRPr="00D4321E" w:rsidRDefault="00D4321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E6E06" w:rsidRPr="00D4321E">
              <w:rPr>
                <w:rFonts w:ascii="Calibri" w:hAnsi="Calibri" w:cs="Calibri"/>
                <w:color w:val="000000"/>
                <w:sz w:val="18"/>
                <w:szCs w:val="18"/>
                <w:lang w:val="en-AU"/>
              </w:rPr>
              <w:t>ax</w:t>
            </w:r>
          </w:p>
        </w:tc>
      </w:tr>
      <w:tr w:rsidR="000850BB" w14:paraId="2FA8DC7D" w14:textId="77777777" w:rsidTr="00B2567C">
        <w:trPr>
          <w:trHeight w:val="290"/>
        </w:trPr>
        <w:tc>
          <w:tcPr>
            <w:tcW w:w="1726" w:type="dxa"/>
            <w:tcBorders>
              <w:top w:val="nil"/>
              <w:left w:val="single" w:sz="4" w:space="0" w:color="auto"/>
              <w:bottom w:val="nil"/>
              <w:right w:val="nil"/>
            </w:tcBorders>
          </w:tcPr>
          <w:p w14:paraId="4A02BDEE" w14:textId="77777777" w:rsidR="000850BB" w:rsidRPr="00D4321E" w:rsidRDefault="000850BB" w:rsidP="000850B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2-methylphenol</w:t>
            </w:r>
          </w:p>
        </w:tc>
        <w:tc>
          <w:tcPr>
            <w:tcW w:w="1418" w:type="dxa"/>
            <w:tcBorders>
              <w:top w:val="nil"/>
              <w:left w:val="nil"/>
              <w:bottom w:val="nil"/>
              <w:right w:val="nil"/>
            </w:tcBorders>
            <w:shd w:val="solid" w:color="FFCC99" w:fill="auto"/>
          </w:tcPr>
          <w:p w14:paraId="663D25CE" w14:textId="79817122"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22</w:t>
            </w:r>
          </w:p>
        </w:tc>
        <w:tc>
          <w:tcPr>
            <w:tcW w:w="1134" w:type="dxa"/>
            <w:tcBorders>
              <w:top w:val="nil"/>
              <w:left w:val="nil"/>
              <w:bottom w:val="nil"/>
              <w:right w:val="nil"/>
            </w:tcBorders>
            <w:shd w:val="solid" w:color="FFCC99" w:fill="auto"/>
          </w:tcPr>
          <w:p w14:paraId="52E04194" w14:textId="46F3C9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251</w:t>
            </w:r>
          </w:p>
        </w:tc>
        <w:tc>
          <w:tcPr>
            <w:tcW w:w="1701" w:type="dxa"/>
            <w:tcBorders>
              <w:top w:val="single" w:sz="6" w:space="0" w:color="auto"/>
              <w:left w:val="nil"/>
              <w:bottom w:val="nil"/>
              <w:right w:val="nil"/>
            </w:tcBorders>
            <w:shd w:val="clear" w:color="000000" w:fill="99CCFF"/>
          </w:tcPr>
          <w:p w14:paraId="00409A45" w14:textId="07AD4C4E"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0.022</w:t>
            </w:r>
          </w:p>
        </w:tc>
        <w:tc>
          <w:tcPr>
            <w:tcW w:w="709" w:type="dxa"/>
            <w:tcBorders>
              <w:top w:val="single" w:sz="6" w:space="0" w:color="auto"/>
              <w:left w:val="nil"/>
              <w:bottom w:val="nil"/>
              <w:right w:val="nil"/>
            </w:tcBorders>
            <w:shd w:val="solid" w:color="99CCFF" w:fill="auto"/>
          </w:tcPr>
          <w:p w14:paraId="496AF1D4" w14:textId="4D215946"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0.3</w:t>
            </w:r>
          </w:p>
        </w:tc>
        <w:tc>
          <w:tcPr>
            <w:tcW w:w="1134" w:type="dxa"/>
            <w:tcBorders>
              <w:top w:val="single" w:sz="6" w:space="0" w:color="auto"/>
              <w:left w:val="nil"/>
              <w:bottom w:val="nil"/>
              <w:right w:val="nil"/>
            </w:tcBorders>
            <w:shd w:val="clear" w:color="000000" w:fill="FFFFCC"/>
          </w:tcPr>
          <w:p w14:paraId="26CC24AA" w14:textId="0ABF7FD6"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0.022</w:t>
            </w:r>
          </w:p>
        </w:tc>
        <w:tc>
          <w:tcPr>
            <w:tcW w:w="1134" w:type="dxa"/>
            <w:tcBorders>
              <w:top w:val="single" w:sz="6" w:space="0" w:color="auto"/>
              <w:left w:val="nil"/>
              <w:bottom w:val="nil"/>
              <w:right w:val="single" w:sz="4" w:space="0" w:color="auto"/>
            </w:tcBorders>
            <w:shd w:val="solid" w:color="FFFFCC" w:fill="auto"/>
          </w:tcPr>
          <w:p w14:paraId="00A75D09" w14:textId="7DC9CD9C"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0.3</w:t>
            </w:r>
          </w:p>
        </w:tc>
      </w:tr>
      <w:tr w:rsidR="000850BB" w14:paraId="1CC55FD4" w14:textId="77777777" w:rsidTr="00B2567C">
        <w:trPr>
          <w:trHeight w:val="290"/>
        </w:trPr>
        <w:tc>
          <w:tcPr>
            <w:tcW w:w="1726" w:type="dxa"/>
            <w:tcBorders>
              <w:top w:val="nil"/>
              <w:left w:val="single" w:sz="4" w:space="0" w:color="auto"/>
              <w:bottom w:val="nil"/>
              <w:right w:val="nil"/>
            </w:tcBorders>
          </w:tcPr>
          <w:p w14:paraId="7C1F866B" w14:textId="77777777" w:rsidR="000850BB" w:rsidRPr="00D4321E" w:rsidRDefault="000850BB" w:rsidP="000850B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Naphthalene</w:t>
            </w:r>
          </w:p>
        </w:tc>
        <w:tc>
          <w:tcPr>
            <w:tcW w:w="1418" w:type="dxa"/>
            <w:tcBorders>
              <w:top w:val="nil"/>
              <w:left w:val="nil"/>
              <w:bottom w:val="nil"/>
              <w:right w:val="nil"/>
            </w:tcBorders>
            <w:shd w:val="solid" w:color="FFCC99" w:fill="auto"/>
          </w:tcPr>
          <w:p w14:paraId="6074A880" w14:textId="67AC7AD0"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17</w:t>
            </w:r>
          </w:p>
        </w:tc>
        <w:tc>
          <w:tcPr>
            <w:tcW w:w="1134" w:type="dxa"/>
            <w:tcBorders>
              <w:top w:val="nil"/>
              <w:left w:val="nil"/>
              <w:bottom w:val="nil"/>
              <w:right w:val="nil"/>
            </w:tcBorders>
            <w:shd w:val="solid" w:color="FFCC99" w:fill="auto"/>
          </w:tcPr>
          <w:p w14:paraId="76710ED6" w14:textId="552104A7" w:rsidR="000850BB" w:rsidRPr="00D4321E" w:rsidRDefault="000850BB" w:rsidP="00BE5D78">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26</w:t>
            </w:r>
            <w:r w:rsidR="00BE5D78" w:rsidRPr="00D4321E">
              <w:rPr>
                <w:rFonts w:ascii="Calibri" w:hAnsi="Calibri" w:cs="Calibri"/>
                <w:b/>
                <w:bCs/>
                <w:color w:val="000000"/>
                <w:sz w:val="18"/>
                <w:szCs w:val="18"/>
                <w:lang w:val="en-AU"/>
              </w:rPr>
              <w:t>,</w:t>
            </w:r>
            <w:r w:rsidRPr="00D4321E">
              <w:rPr>
                <w:rFonts w:ascii="Calibri" w:hAnsi="Calibri" w:cs="Calibri"/>
                <w:b/>
                <w:bCs/>
                <w:color w:val="000000"/>
                <w:sz w:val="18"/>
                <w:szCs w:val="18"/>
                <w:lang w:val="en-AU"/>
              </w:rPr>
              <w:t>9</w:t>
            </w:r>
            <w:r w:rsidR="00BE5D78" w:rsidRPr="00D4321E">
              <w:rPr>
                <w:rFonts w:ascii="Calibri" w:hAnsi="Calibri" w:cs="Calibri"/>
                <w:b/>
                <w:bCs/>
                <w:color w:val="000000"/>
                <w:sz w:val="18"/>
                <w:szCs w:val="18"/>
                <w:lang w:val="en-AU"/>
              </w:rPr>
              <w:t>00</w:t>
            </w:r>
          </w:p>
        </w:tc>
        <w:tc>
          <w:tcPr>
            <w:tcW w:w="1701" w:type="dxa"/>
            <w:tcBorders>
              <w:top w:val="nil"/>
              <w:left w:val="nil"/>
              <w:bottom w:val="nil"/>
              <w:right w:val="nil"/>
            </w:tcBorders>
            <w:shd w:val="clear" w:color="000000" w:fill="99CCFF"/>
          </w:tcPr>
          <w:p w14:paraId="6A532DDD" w14:textId="4039A5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0.017</w:t>
            </w:r>
          </w:p>
        </w:tc>
        <w:tc>
          <w:tcPr>
            <w:tcW w:w="709" w:type="dxa"/>
            <w:tcBorders>
              <w:top w:val="nil"/>
              <w:left w:val="nil"/>
              <w:bottom w:val="nil"/>
              <w:right w:val="nil"/>
            </w:tcBorders>
            <w:shd w:val="solid" w:color="99CCFF" w:fill="auto"/>
          </w:tcPr>
          <w:p w14:paraId="14135686" w14:textId="571A6C10" w:rsidR="000850BB" w:rsidRPr="00D4321E" w:rsidRDefault="000850BB" w:rsidP="00BE5D78">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26.9</w:t>
            </w:r>
          </w:p>
        </w:tc>
        <w:tc>
          <w:tcPr>
            <w:tcW w:w="1134" w:type="dxa"/>
            <w:tcBorders>
              <w:top w:val="nil"/>
              <w:left w:val="nil"/>
              <w:bottom w:val="nil"/>
              <w:right w:val="nil"/>
            </w:tcBorders>
            <w:shd w:val="clear" w:color="000000" w:fill="FFFFCC"/>
          </w:tcPr>
          <w:p w14:paraId="44EB00FC" w14:textId="34F61883"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0.017</w:t>
            </w:r>
          </w:p>
        </w:tc>
        <w:tc>
          <w:tcPr>
            <w:tcW w:w="1134" w:type="dxa"/>
            <w:tcBorders>
              <w:top w:val="nil"/>
              <w:left w:val="nil"/>
              <w:bottom w:val="nil"/>
              <w:right w:val="single" w:sz="4" w:space="0" w:color="auto"/>
            </w:tcBorders>
            <w:shd w:val="solid" w:color="FFFFCC" w:fill="auto"/>
          </w:tcPr>
          <w:p w14:paraId="0691A721" w14:textId="0E81CE5F"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26.92</w:t>
            </w:r>
          </w:p>
        </w:tc>
      </w:tr>
      <w:tr w:rsidR="000850BB" w14:paraId="66C9CBE4" w14:textId="77777777" w:rsidTr="00B2567C">
        <w:trPr>
          <w:trHeight w:val="290"/>
        </w:trPr>
        <w:tc>
          <w:tcPr>
            <w:tcW w:w="1726" w:type="dxa"/>
            <w:tcBorders>
              <w:top w:val="nil"/>
              <w:left w:val="single" w:sz="4" w:space="0" w:color="auto"/>
              <w:bottom w:val="nil"/>
              <w:right w:val="nil"/>
            </w:tcBorders>
          </w:tcPr>
          <w:p w14:paraId="5AF9FC64" w14:textId="77777777" w:rsidR="000850BB" w:rsidRPr="00D4321E" w:rsidRDefault="000850BB" w:rsidP="000850B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Limonene</w:t>
            </w:r>
          </w:p>
        </w:tc>
        <w:tc>
          <w:tcPr>
            <w:tcW w:w="1418" w:type="dxa"/>
            <w:tcBorders>
              <w:top w:val="nil"/>
              <w:left w:val="nil"/>
              <w:bottom w:val="nil"/>
              <w:right w:val="nil"/>
            </w:tcBorders>
            <w:shd w:val="solid" w:color="FFCC99" w:fill="auto"/>
          </w:tcPr>
          <w:p w14:paraId="435460E5" w14:textId="0CB7CC1E"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w:t>
            </w:r>
            <w:r w:rsidR="00BE5D78" w:rsidRPr="00D4321E">
              <w:rPr>
                <w:rFonts w:ascii="Calibri" w:hAnsi="Calibri" w:cs="Calibri"/>
                <w:b/>
                <w:bCs/>
                <w:color w:val="000000"/>
                <w:sz w:val="18"/>
                <w:szCs w:val="18"/>
                <w:lang w:val="en-AU"/>
              </w:rPr>
              <w:t>,</w:t>
            </w:r>
            <w:r w:rsidRPr="00D4321E">
              <w:rPr>
                <w:rFonts w:ascii="Calibri" w:hAnsi="Calibri" w:cs="Calibri"/>
                <w:b/>
                <w:bCs/>
                <w:color w:val="000000"/>
                <w:sz w:val="18"/>
                <w:szCs w:val="18"/>
                <w:lang w:val="en-AU"/>
              </w:rPr>
              <w:t>000</w:t>
            </w:r>
          </w:p>
        </w:tc>
        <w:tc>
          <w:tcPr>
            <w:tcW w:w="1134" w:type="dxa"/>
            <w:tcBorders>
              <w:top w:val="nil"/>
              <w:left w:val="nil"/>
              <w:bottom w:val="nil"/>
              <w:right w:val="nil"/>
            </w:tcBorders>
            <w:shd w:val="solid" w:color="FFCC99" w:fill="auto"/>
          </w:tcPr>
          <w:p w14:paraId="1715FF7F" w14:textId="603DE170" w:rsidR="000850BB" w:rsidRPr="00D4321E" w:rsidRDefault="000850BB" w:rsidP="00BE5D78">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58</w:t>
            </w:r>
            <w:r w:rsidR="00BE5D78" w:rsidRPr="00D4321E">
              <w:rPr>
                <w:rFonts w:ascii="Calibri" w:hAnsi="Calibri" w:cs="Calibri"/>
                <w:b/>
                <w:bCs/>
                <w:color w:val="000000"/>
                <w:sz w:val="18"/>
                <w:szCs w:val="18"/>
                <w:lang w:val="en-AU"/>
              </w:rPr>
              <w:t>,900</w:t>
            </w:r>
          </w:p>
        </w:tc>
        <w:tc>
          <w:tcPr>
            <w:tcW w:w="1701" w:type="dxa"/>
            <w:tcBorders>
              <w:top w:val="nil"/>
              <w:left w:val="nil"/>
              <w:bottom w:val="nil"/>
              <w:right w:val="nil"/>
            </w:tcBorders>
            <w:shd w:val="clear" w:color="000000" w:fill="99CCFF"/>
          </w:tcPr>
          <w:p w14:paraId="41F7577F" w14:textId="18D594A3"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1.000</w:t>
            </w:r>
          </w:p>
        </w:tc>
        <w:tc>
          <w:tcPr>
            <w:tcW w:w="709" w:type="dxa"/>
            <w:tcBorders>
              <w:top w:val="nil"/>
              <w:left w:val="nil"/>
              <w:bottom w:val="nil"/>
              <w:right w:val="nil"/>
            </w:tcBorders>
            <w:shd w:val="solid" w:color="99CCFF" w:fill="auto"/>
          </w:tcPr>
          <w:p w14:paraId="48E46AFE" w14:textId="643DFDA9" w:rsidR="000850BB" w:rsidRPr="00D4321E" w:rsidRDefault="000850BB" w:rsidP="00BE5D78">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58.</w:t>
            </w:r>
            <w:r w:rsidR="00BE5D78" w:rsidRPr="00D4321E">
              <w:rPr>
                <w:rFonts w:ascii="Calibri" w:hAnsi="Calibri" w:cs="Calibri"/>
                <w:b/>
                <w:bCs/>
                <w:color w:val="000000"/>
                <w:sz w:val="18"/>
                <w:szCs w:val="18"/>
                <w:lang w:val="en-AU"/>
              </w:rPr>
              <w:t>9</w:t>
            </w:r>
          </w:p>
        </w:tc>
        <w:tc>
          <w:tcPr>
            <w:tcW w:w="1134" w:type="dxa"/>
            <w:tcBorders>
              <w:top w:val="nil"/>
              <w:left w:val="nil"/>
              <w:bottom w:val="nil"/>
              <w:right w:val="nil"/>
            </w:tcBorders>
            <w:shd w:val="clear" w:color="000000" w:fill="FFFFCC"/>
          </w:tcPr>
          <w:p w14:paraId="7DE97387" w14:textId="742B5F7E"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1.000</w:t>
            </w:r>
          </w:p>
        </w:tc>
        <w:tc>
          <w:tcPr>
            <w:tcW w:w="1134" w:type="dxa"/>
            <w:tcBorders>
              <w:top w:val="nil"/>
              <w:left w:val="nil"/>
              <w:bottom w:val="nil"/>
              <w:right w:val="single" w:sz="4" w:space="0" w:color="auto"/>
            </w:tcBorders>
            <w:shd w:val="solid" w:color="FFFFCC" w:fill="auto"/>
          </w:tcPr>
          <w:p w14:paraId="0001F968" w14:textId="60667EC6" w:rsidR="000850BB" w:rsidRPr="00D4321E" w:rsidRDefault="000850BB" w:rsidP="00BE5D78">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58.</w:t>
            </w:r>
            <w:r w:rsidR="00BE5D78" w:rsidRPr="00D4321E">
              <w:rPr>
                <w:rFonts w:ascii="Calibri" w:hAnsi="Calibri" w:cs="Calibri"/>
                <w:b/>
                <w:bCs/>
                <w:color w:val="000000"/>
                <w:sz w:val="18"/>
                <w:szCs w:val="18"/>
                <w:lang w:val="en-AU"/>
              </w:rPr>
              <w:t>9</w:t>
            </w:r>
          </w:p>
        </w:tc>
      </w:tr>
      <w:tr w:rsidR="000850BB" w14:paraId="326F57B6" w14:textId="77777777" w:rsidTr="00B2567C">
        <w:trPr>
          <w:trHeight w:val="290"/>
        </w:trPr>
        <w:tc>
          <w:tcPr>
            <w:tcW w:w="1726" w:type="dxa"/>
            <w:tcBorders>
              <w:top w:val="nil"/>
              <w:left w:val="single" w:sz="4" w:space="0" w:color="auto"/>
              <w:bottom w:val="nil"/>
              <w:right w:val="nil"/>
            </w:tcBorders>
          </w:tcPr>
          <w:p w14:paraId="669FE41C" w14:textId="77777777" w:rsidR="000850BB" w:rsidRPr="00D4321E" w:rsidRDefault="000850BB" w:rsidP="000850B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HMX</w:t>
            </w:r>
          </w:p>
        </w:tc>
        <w:tc>
          <w:tcPr>
            <w:tcW w:w="1418" w:type="dxa"/>
            <w:tcBorders>
              <w:top w:val="nil"/>
              <w:left w:val="nil"/>
              <w:bottom w:val="nil"/>
              <w:right w:val="nil"/>
            </w:tcBorders>
            <w:shd w:val="solid" w:color="FFCC99" w:fill="auto"/>
          </w:tcPr>
          <w:p w14:paraId="1EFEFEA9"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32</w:t>
            </w:r>
          </w:p>
        </w:tc>
        <w:tc>
          <w:tcPr>
            <w:tcW w:w="1134" w:type="dxa"/>
            <w:tcBorders>
              <w:top w:val="nil"/>
              <w:left w:val="nil"/>
              <w:bottom w:val="nil"/>
              <w:right w:val="nil"/>
            </w:tcBorders>
            <w:shd w:val="solid" w:color="FFCC99" w:fill="auto"/>
          </w:tcPr>
          <w:p w14:paraId="377C4FDE" w14:textId="5B5B3022" w:rsidR="000850BB" w:rsidRPr="00D4321E" w:rsidRDefault="000850BB" w:rsidP="00BE5D78">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w:t>
            </w:r>
            <w:r w:rsidR="00BE5D78" w:rsidRPr="00D4321E">
              <w:rPr>
                <w:rFonts w:ascii="Calibri" w:hAnsi="Calibri" w:cs="Calibri"/>
                <w:b/>
                <w:bCs/>
                <w:color w:val="000000"/>
                <w:sz w:val="18"/>
                <w:szCs w:val="18"/>
                <w:lang w:val="en-AU"/>
              </w:rPr>
              <w:t>,</w:t>
            </w:r>
            <w:r w:rsidRPr="00D4321E">
              <w:rPr>
                <w:rFonts w:ascii="Calibri" w:hAnsi="Calibri" w:cs="Calibri"/>
                <w:b/>
                <w:bCs/>
                <w:color w:val="000000"/>
                <w:sz w:val="18"/>
                <w:szCs w:val="18"/>
                <w:lang w:val="en-AU"/>
              </w:rPr>
              <w:t>2</w:t>
            </w:r>
            <w:r w:rsidR="00BE5D78" w:rsidRPr="00D4321E">
              <w:rPr>
                <w:rFonts w:ascii="Calibri" w:hAnsi="Calibri" w:cs="Calibri"/>
                <w:b/>
                <w:bCs/>
                <w:color w:val="000000"/>
                <w:sz w:val="18"/>
                <w:szCs w:val="18"/>
                <w:lang w:val="en-AU"/>
              </w:rPr>
              <w:t>60</w:t>
            </w:r>
          </w:p>
        </w:tc>
        <w:tc>
          <w:tcPr>
            <w:tcW w:w="1701" w:type="dxa"/>
            <w:tcBorders>
              <w:top w:val="nil"/>
              <w:left w:val="nil"/>
              <w:bottom w:val="nil"/>
              <w:right w:val="nil"/>
            </w:tcBorders>
            <w:shd w:val="clear" w:color="000000" w:fill="99CCFF"/>
          </w:tcPr>
          <w:p w14:paraId="3710D383" w14:textId="17FC8213"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0.032</w:t>
            </w:r>
          </w:p>
        </w:tc>
        <w:tc>
          <w:tcPr>
            <w:tcW w:w="709" w:type="dxa"/>
            <w:tcBorders>
              <w:top w:val="nil"/>
              <w:left w:val="nil"/>
              <w:bottom w:val="nil"/>
              <w:right w:val="nil"/>
            </w:tcBorders>
            <w:shd w:val="solid" w:color="99CCFF" w:fill="auto"/>
          </w:tcPr>
          <w:p w14:paraId="1B8F1698" w14:textId="61865CE3"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1.26</w:t>
            </w:r>
          </w:p>
        </w:tc>
        <w:tc>
          <w:tcPr>
            <w:tcW w:w="1134" w:type="dxa"/>
            <w:tcBorders>
              <w:top w:val="nil"/>
              <w:left w:val="nil"/>
              <w:bottom w:val="nil"/>
              <w:right w:val="nil"/>
            </w:tcBorders>
            <w:shd w:val="clear" w:color="000000" w:fill="FFFFCC"/>
          </w:tcPr>
          <w:p w14:paraId="5B627C11" w14:textId="4D6EDBCA"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0.032</w:t>
            </w:r>
          </w:p>
        </w:tc>
        <w:tc>
          <w:tcPr>
            <w:tcW w:w="1134" w:type="dxa"/>
            <w:tcBorders>
              <w:top w:val="nil"/>
              <w:left w:val="nil"/>
              <w:bottom w:val="nil"/>
              <w:right w:val="single" w:sz="4" w:space="0" w:color="auto"/>
            </w:tcBorders>
            <w:shd w:val="solid" w:color="FFFFCC" w:fill="auto"/>
          </w:tcPr>
          <w:p w14:paraId="6C3E7084" w14:textId="0F9F0CD8"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1.26</w:t>
            </w:r>
          </w:p>
        </w:tc>
      </w:tr>
      <w:tr w:rsidR="000850BB" w14:paraId="433A46C8" w14:textId="77777777" w:rsidTr="00B2567C">
        <w:trPr>
          <w:trHeight w:val="290"/>
        </w:trPr>
        <w:tc>
          <w:tcPr>
            <w:tcW w:w="1726" w:type="dxa"/>
            <w:tcBorders>
              <w:top w:val="nil"/>
              <w:left w:val="single" w:sz="4" w:space="0" w:color="auto"/>
              <w:bottom w:val="nil"/>
              <w:right w:val="nil"/>
            </w:tcBorders>
          </w:tcPr>
          <w:p w14:paraId="7484C059" w14:textId="77777777" w:rsidR="000850BB" w:rsidRPr="00D4321E" w:rsidRDefault="000850BB" w:rsidP="000850B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2-butoxyethanol</w:t>
            </w:r>
          </w:p>
        </w:tc>
        <w:tc>
          <w:tcPr>
            <w:tcW w:w="1418" w:type="dxa"/>
            <w:tcBorders>
              <w:top w:val="nil"/>
              <w:left w:val="nil"/>
              <w:bottom w:val="nil"/>
              <w:right w:val="nil"/>
            </w:tcBorders>
            <w:shd w:val="solid" w:color="FFCC99" w:fill="auto"/>
          </w:tcPr>
          <w:p w14:paraId="23D4115E"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2.9</w:t>
            </w:r>
          </w:p>
        </w:tc>
        <w:tc>
          <w:tcPr>
            <w:tcW w:w="1134" w:type="dxa"/>
            <w:tcBorders>
              <w:top w:val="nil"/>
              <w:left w:val="nil"/>
              <w:bottom w:val="nil"/>
              <w:right w:val="nil"/>
            </w:tcBorders>
            <w:shd w:val="solid" w:color="FFCC99" w:fill="auto"/>
          </w:tcPr>
          <w:p w14:paraId="19AB0084"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8</w:t>
            </w:r>
          </w:p>
        </w:tc>
        <w:tc>
          <w:tcPr>
            <w:tcW w:w="1701" w:type="dxa"/>
            <w:tcBorders>
              <w:top w:val="nil"/>
              <w:left w:val="nil"/>
              <w:bottom w:val="nil"/>
              <w:right w:val="nil"/>
            </w:tcBorders>
            <w:shd w:val="clear" w:color="000000" w:fill="99CCFF"/>
          </w:tcPr>
          <w:p w14:paraId="503F98BA" w14:textId="7ED37CC0"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0.003</w:t>
            </w:r>
          </w:p>
        </w:tc>
        <w:tc>
          <w:tcPr>
            <w:tcW w:w="709" w:type="dxa"/>
            <w:tcBorders>
              <w:top w:val="nil"/>
              <w:left w:val="nil"/>
              <w:bottom w:val="nil"/>
              <w:right w:val="nil"/>
            </w:tcBorders>
            <w:shd w:val="solid" w:color="99CCFF" w:fill="auto"/>
          </w:tcPr>
          <w:p w14:paraId="32D2EA11"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0.008</w:t>
            </w:r>
          </w:p>
        </w:tc>
        <w:tc>
          <w:tcPr>
            <w:tcW w:w="1134" w:type="dxa"/>
            <w:tcBorders>
              <w:top w:val="nil"/>
              <w:left w:val="nil"/>
              <w:bottom w:val="nil"/>
              <w:right w:val="nil"/>
            </w:tcBorders>
            <w:shd w:val="clear" w:color="000000" w:fill="FFFFCC"/>
          </w:tcPr>
          <w:p w14:paraId="606A677D" w14:textId="6C17CF96"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0.003</w:t>
            </w:r>
          </w:p>
        </w:tc>
        <w:tc>
          <w:tcPr>
            <w:tcW w:w="1134" w:type="dxa"/>
            <w:tcBorders>
              <w:top w:val="nil"/>
              <w:left w:val="nil"/>
              <w:bottom w:val="nil"/>
              <w:right w:val="single" w:sz="4" w:space="0" w:color="auto"/>
            </w:tcBorders>
            <w:shd w:val="solid" w:color="FFFFCC" w:fill="auto"/>
          </w:tcPr>
          <w:p w14:paraId="6D111407"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0.008</w:t>
            </w:r>
          </w:p>
        </w:tc>
      </w:tr>
      <w:tr w:rsidR="000850BB" w14:paraId="7962152B" w14:textId="77777777" w:rsidTr="00B2567C">
        <w:trPr>
          <w:trHeight w:val="290"/>
        </w:trPr>
        <w:tc>
          <w:tcPr>
            <w:tcW w:w="1726" w:type="dxa"/>
            <w:tcBorders>
              <w:top w:val="nil"/>
              <w:left w:val="single" w:sz="4" w:space="0" w:color="auto"/>
              <w:bottom w:val="nil"/>
              <w:right w:val="nil"/>
            </w:tcBorders>
          </w:tcPr>
          <w:p w14:paraId="2DBA3269" w14:textId="77777777" w:rsidR="000850BB" w:rsidRPr="00D4321E" w:rsidRDefault="000850BB" w:rsidP="000850B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Bronopol</w:t>
            </w:r>
          </w:p>
        </w:tc>
        <w:tc>
          <w:tcPr>
            <w:tcW w:w="1418" w:type="dxa"/>
            <w:tcBorders>
              <w:top w:val="nil"/>
              <w:left w:val="nil"/>
              <w:bottom w:val="nil"/>
              <w:right w:val="nil"/>
            </w:tcBorders>
            <w:shd w:val="solid" w:color="FFCC99" w:fill="auto"/>
          </w:tcPr>
          <w:p w14:paraId="5B2CB21F"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0.9</w:t>
            </w:r>
          </w:p>
        </w:tc>
        <w:tc>
          <w:tcPr>
            <w:tcW w:w="1134" w:type="dxa"/>
            <w:tcBorders>
              <w:top w:val="nil"/>
              <w:left w:val="nil"/>
              <w:bottom w:val="nil"/>
              <w:right w:val="nil"/>
            </w:tcBorders>
            <w:shd w:val="solid" w:color="FFCC99" w:fill="auto"/>
          </w:tcPr>
          <w:p w14:paraId="5CBA3024" w14:textId="7F09741B" w:rsidR="000850BB" w:rsidRPr="00D4321E" w:rsidRDefault="000850BB" w:rsidP="00BE5D78">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w:t>
            </w:r>
            <w:r w:rsidR="00BE5D78" w:rsidRPr="00D4321E">
              <w:rPr>
                <w:rFonts w:ascii="Calibri" w:hAnsi="Calibri" w:cs="Calibri"/>
                <w:b/>
                <w:bCs/>
                <w:color w:val="000000"/>
                <w:sz w:val="18"/>
                <w:szCs w:val="18"/>
                <w:lang w:val="en-AU"/>
              </w:rPr>
              <w:t>,</w:t>
            </w:r>
            <w:r w:rsidRPr="00D4321E">
              <w:rPr>
                <w:rFonts w:ascii="Calibri" w:hAnsi="Calibri" w:cs="Calibri"/>
                <w:b/>
                <w:bCs/>
                <w:color w:val="000000"/>
                <w:sz w:val="18"/>
                <w:szCs w:val="18"/>
                <w:lang w:val="en-AU"/>
              </w:rPr>
              <w:t>41</w:t>
            </w:r>
            <w:r w:rsidR="00BE5D78" w:rsidRPr="00D4321E">
              <w:rPr>
                <w:rFonts w:ascii="Calibri" w:hAnsi="Calibri" w:cs="Calibri"/>
                <w:b/>
                <w:bCs/>
                <w:color w:val="000000"/>
                <w:sz w:val="18"/>
                <w:szCs w:val="18"/>
                <w:lang w:val="en-AU"/>
              </w:rPr>
              <w:t>0</w:t>
            </w:r>
          </w:p>
        </w:tc>
        <w:tc>
          <w:tcPr>
            <w:tcW w:w="1701" w:type="dxa"/>
            <w:tcBorders>
              <w:top w:val="nil"/>
              <w:left w:val="nil"/>
              <w:bottom w:val="nil"/>
              <w:right w:val="nil"/>
            </w:tcBorders>
            <w:shd w:val="clear" w:color="000000" w:fill="99CCFF"/>
          </w:tcPr>
          <w:p w14:paraId="6DD5CFF5" w14:textId="669356A1"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0.001</w:t>
            </w:r>
          </w:p>
        </w:tc>
        <w:tc>
          <w:tcPr>
            <w:tcW w:w="709" w:type="dxa"/>
            <w:tcBorders>
              <w:top w:val="nil"/>
              <w:left w:val="nil"/>
              <w:bottom w:val="nil"/>
              <w:right w:val="nil"/>
            </w:tcBorders>
            <w:shd w:val="solid" w:color="99CCFF" w:fill="auto"/>
          </w:tcPr>
          <w:p w14:paraId="3E97E603" w14:textId="5A2F707A"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1.41</w:t>
            </w:r>
          </w:p>
        </w:tc>
        <w:tc>
          <w:tcPr>
            <w:tcW w:w="1134" w:type="dxa"/>
            <w:tcBorders>
              <w:top w:val="nil"/>
              <w:left w:val="nil"/>
              <w:bottom w:val="nil"/>
              <w:right w:val="nil"/>
            </w:tcBorders>
            <w:shd w:val="clear" w:color="000000" w:fill="FFFFCC"/>
          </w:tcPr>
          <w:p w14:paraId="645FCC3E" w14:textId="1F327169"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0.001</w:t>
            </w:r>
          </w:p>
        </w:tc>
        <w:tc>
          <w:tcPr>
            <w:tcW w:w="1134" w:type="dxa"/>
            <w:tcBorders>
              <w:top w:val="nil"/>
              <w:left w:val="nil"/>
              <w:bottom w:val="nil"/>
              <w:right w:val="single" w:sz="4" w:space="0" w:color="auto"/>
            </w:tcBorders>
            <w:shd w:val="solid" w:color="FFFFCC" w:fill="auto"/>
          </w:tcPr>
          <w:p w14:paraId="4A2B477B" w14:textId="503FBE29"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1.41</w:t>
            </w:r>
          </w:p>
        </w:tc>
      </w:tr>
      <w:tr w:rsidR="000850BB" w14:paraId="24102B74" w14:textId="77777777" w:rsidTr="00B2567C">
        <w:trPr>
          <w:trHeight w:val="290"/>
        </w:trPr>
        <w:tc>
          <w:tcPr>
            <w:tcW w:w="1726" w:type="dxa"/>
            <w:tcBorders>
              <w:top w:val="nil"/>
              <w:left w:val="single" w:sz="4" w:space="0" w:color="auto"/>
              <w:bottom w:val="nil"/>
              <w:right w:val="nil"/>
            </w:tcBorders>
          </w:tcPr>
          <w:p w14:paraId="42D30A82" w14:textId="122BFB0A" w:rsidR="000850BB" w:rsidRPr="00D4321E" w:rsidRDefault="000850BB" w:rsidP="000850B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MCI</w:t>
            </w:r>
          </w:p>
        </w:tc>
        <w:tc>
          <w:tcPr>
            <w:tcW w:w="1418" w:type="dxa"/>
            <w:tcBorders>
              <w:top w:val="nil"/>
              <w:left w:val="nil"/>
              <w:bottom w:val="nil"/>
              <w:right w:val="nil"/>
            </w:tcBorders>
            <w:shd w:val="solid" w:color="FFCC99" w:fill="auto"/>
          </w:tcPr>
          <w:p w14:paraId="3546E8AE"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30</w:t>
            </w:r>
          </w:p>
        </w:tc>
        <w:tc>
          <w:tcPr>
            <w:tcW w:w="1134" w:type="dxa"/>
            <w:tcBorders>
              <w:top w:val="nil"/>
              <w:left w:val="nil"/>
              <w:bottom w:val="nil"/>
              <w:right w:val="nil"/>
            </w:tcBorders>
            <w:shd w:val="solid" w:color="FFCC99" w:fill="auto"/>
          </w:tcPr>
          <w:p w14:paraId="7C5931AD" w14:textId="0337FA1F"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143</w:t>
            </w:r>
          </w:p>
        </w:tc>
        <w:tc>
          <w:tcPr>
            <w:tcW w:w="1701" w:type="dxa"/>
            <w:tcBorders>
              <w:top w:val="nil"/>
              <w:left w:val="nil"/>
              <w:right w:val="nil"/>
            </w:tcBorders>
            <w:shd w:val="clear" w:color="000000" w:fill="99CCFF"/>
          </w:tcPr>
          <w:p w14:paraId="04D3AB38" w14:textId="6FE1D3E6"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0.030</w:t>
            </w:r>
          </w:p>
        </w:tc>
        <w:tc>
          <w:tcPr>
            <w:tcW w:w="709" w:type="dxa"/>
            <w:tcBorders>
              <w:top w:val="nil"/>
              <w:left w:val="nil"/>
              <w:right w:val="nil"/>
            </w:tcBorders>
            <w:shd w:val="solid" w:color="99CCFF" w:fill="auto"/>
          </w:tcPr>
          <w:p w14:paraId="475C3013"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0.14</w:t>
            </w:r>
          </w:p>
        </w:tc>
        <w:tc>
          <w:tcPr>
            <w:tcW w:w="1134" w:type="dxa"/>
            <w:tcBorders>
              <w:top w:val="nil"/>
              <w:left w:val="nil"/>
              <w:right w:val="nil"/>
            </w:tcBorders>
            <w:shd w:val="clear" w:color="000000" w:fill="FFFFCC"/>
          </w:tcPr>
          <w:p w14:paraId="36AD339A" w14:textId="39B83D64"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0.030</w:t>
            </w:r>
          </w:p>
        </w:tc>
        <w:tc>
          <w:tcPr>
            <w:tcW w:w="1134" w:type="dxa"/>
            <w:tcBorders>
              <w:top w:val="nil"/>
              <w:left w:val="nil"/>
              <w:bottom w:val="nil"/>
              <w:right w:val="single" w:sz="4" w:space="0" w:color="auto"/>
            </w:tcBorders>
            <w:shd w:val="solid" w:color="FFFFCC" w:fill="auto"/>
          </w:tcPr>
          <w:p w14:paraId="2DA16799"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0.14</w:t>
            </w:r>
          </w:p>
        </w:tc>
      </w:tr>
      <w:tr w:rsidR="000850BB" w14:paraId="08921F27" w14:textId="77777777" w:rsidTr="00B2567C">
        <w:trPr>
          <w:trHeight w:val="290"/>
        </w:trPr>
        <w:tc>
          <w:tcPr>
            <w:tcW w:w="1726" w:type="dxa"/>
            <w:tcBorders>
              <w:top w:val="nil"/>
              <w:left w:val="single" w:sz="4" w:space="0" w:color="auto"/>
              <w:bottom w:val="single" w:sz="4" w:space="0" w:color="auto"/>
              <w:right w:val="nil"/>
            </w:tcBorders>
          </w:tcPr>
          <w:p w14:paraId="1B5FD6F0" w14:textId="77777777" w:rsidR="000850BB" w:rsidRPr="00D4321E" w:rsidRDefault="000850BB" w:rsidP="000850B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Acrylamide polymer</w:t>
            </w:r>
          </w:p>
        </w:tc>
        <w:tc>
          <w:tcPr>
            <w:tcW w:w="1418" w:type="dxa"/>
            <w:tcBorders>
              <w:top w:val="nil"/>
              <w:left w:val="nil"/>
              <w:bottom w:val="single" w:sz="4" w:space="0" w:color="auto"/>
              <w:right w:val="nil"/>
            </w:tcBorders>
            <w:shd w:val="solid" w:color="FFCC99" w:fill="auto"/>
          </w:tcPr>
          <w:p w14:paraId="46C567D7"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25</w:t>
            </w:r>
          </w:p>
        </w:tc>
        <w:tc>
          <w:tcPr>
            <w:tcW w:w="1134" w:type="dxa"/>
            <w:tcBorders>
              <w:top w:val="nil"/>
              <w:left w:val="nil"/>
              <w:bottom w:val="single" w:sz="4" w:space="0" w:color="auto"/>
              <w:right w:val="nil"/>
            </w:tcBorders>
            <w:shd w:val="solid" w:color="FFCC99" w:fill="auto"/>
          </w:tcPr>
          <w:p w14:paraId="1E2D74DB"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398</w:t>
            </w:r>
          </w:p>
        </w:tc>
        <w:tc>
          <w:tcPr>
            <w:tcW w:w="1701" w:type="dxa"/>
            <w:tcBorders>
              <w:top w:val="nil"/>
              <w:left w:val="nil"/>
              <w:bottom w:val="single" w:sz="4" w:space="0" w:color="auto"/>
              <w:right w:val="nil"/>
            </w:tcBorders>
            <w:shd w:val="clear" w:color="000000" w:fill="99CCFF"/>
          </w:tcPr>
          <w:p w14:paraId="50E8AF8D" w14:textId="03E8B882"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0.025</w:t>
            </w:r>
          </w:p>
        </w:tc>
        <w:tc>
          <w:tcPr>
            <w:tcW w:w="709" w:type="dxa"/>
            <w:tcBorders>
              <w:top w:val="nil"/>
              <w:left w:val="nil"/>
              <w:bottom w:val="single" w:sz="4" w:space="0" w:color="auto"/>
              <w:right w:val="nil"/>
            </w:tcBorders>
            <w:shd w:val="solid" w:color="99CCFF" w:fill="auto"/>
          </w:tcPr>
          <w:p w14:paraId="09A3A4B2"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0.40</w:t>
            </w:r>
          </w:p>
        </w:tc>
        <w:tc>
          <w:tcPr>
            <w:tcW w:w="1134" w:type="dxa"/>
            <w:tcBorders>
              <w:top w:val="nil"/>
              <w:left w:val="nil"/>
              <w:bottom w:val="single" w:sz="4" w:space="0" w:color="auto"/>
              <w:right w:val="nil"/>
            </w:tcBorders>
            <w:shd w:val="clear" w:color="000000" w:fill="FFFFCC"/>
          </w:tcPr>
          <w:p w14:paraId="65F1E66D" w14:textId="6BD95201"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0.025</w:t>
            </w:r>
          </w:p>
        </w:tc>
        <w:tc>
          <w:tcPr>
            <w:tcW w:w="1134" w:type="dxa"/>
            <w:tcBorders>
              <w:top w:val="nil"/>
              <w:left w:val="nil"/>
              <w:bottom w:val="single" w:sz="4" w:space="0" w:color="auto"/>
              <w:right w:val="single" w:sz="4" w:space="0" w:color="auto"/>
            </w:tcBorders>
            <w:shd w:val="solid" w:color="FFFFCC" w:fill="auto"/>
          </w:tcPr>
          <w:p w14:paraId="0C21D26C" w14:textId="77777777" w:rsidR="000850BB" w:rsidRPr="00D4321E" w:rsidRDefault="000850BB" w:rsidP="000850B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0.40</w:t>
            </w:r>
          </w:p>
        </w:tc>
      </w:tr>
    </w:tbl>
    <w:p w14:paraId="6DBADBEA" w14:textId="77777777" w:rsidR="00BB3A57" w:rsidRDefault="00BB3A57" w:rsidP="00E96A53">
      <w:pPr>
        <w:pStyle w:val="Body"/>
      </w:pPr>
    </w:p>
    <w:p w14:paraId="295B2A6F" w14:textId="77777777" w:rsidR="004032C3" w:rsidRDefault="004032C3" w:rsidP="004032C3">
      <w:pPr>
        <w:pStyle w:val="Body"/>
      </w:pPr>
      <w:r>
        <w:t>In the third group of aquifers organic carbon is high due to the presence of coal seam layers, with a distinct difference between the Gunnedah (</w:t>
      </w:r>
      <w:r w:rsidRPr="00526F41">
        <w:rPr>
          <w:i/>
        </w:rPr>
        <w:t>f</w:t>
      </w:r>
      <w:r w:rsidRPr="00526F41">
        <w:rPr>
          <w:vertAlign w:val="subscript"/>
        </w:rPr>
        <w:t>OC</w:t>
      </w:r>
      <w:r>
        <w:rPr>
          <w:vertAlign w:val="subscript"/>
        </w:rPr>
        <w:t xml:space="preserve">_r </w:t>
      </w:r>
      <w:r w:rsidRPr="00C82716">
        <w:t>=</w:t>
      </w:r>
      <w:r>
        <w:t xml:space="preserve"> 0.275) and Surat Basin (</w:t>
      </w:r>
      <w:r w:rsidRPr="00526F41">
        <w:rPr>
          <w:i/>
        </w:rPr>
        <w:t>f</w:t>
      </w:r>
      <w:r w:rsidRPr="00526F41">
        <w:rPr>
          <w:vertAlign w:val="subscript"/>
        </w:rPr>
        <w:t>OC</w:t>
      </w:r>
      <w:r>
        <w:rPr>
          <w:vertAlign w:val="subscript"/>
        </w:rPr>
        <w:t xml:space="preserve">_r </w:t>
      </w:r>
      <w:r w:rsidRPr="00C82716">
        <w:t>=</w:t>
      </w:r>
      <w:r>
        <w:t xml:space="preserve"> 0.0126). The calculated </w:t>
      </w:r>
      <w:proofErr w:type="gramStart"/>
      <w:r w:rsidRPr="00F859AD">
        <w:rPr>
          <w:i/>
        </w:rPr>
        <w:t>K</w:t>
      </w:r>
      <w:r w:rsidRPr="00066230">
        <w:rPr>
          <w:vertAlign w:val="subscript"/>
        </w:rPr>
        <w:t>d</w:t>
      </w:r>
      <w:proofErr w:type="gramEnd"/>
      <w:r>
        <w:t xml:space="preserve"> values and retardation factors </w:t>
      </w:r>
      <w:r w:rsidRPr="00E6110F">
        <w:rPr>
          <w:i/>
        </w:rPr>
        <w:t>R</w:t>
      </w:r>
      <w:r w:rsidRPr="007B3DC4">
        <w:rPr>
          <w:i/>
          <w:vertAlign w:val="subscript"/>
        </w:rPr>
        <w:t>f</w:t>
      </w:r>
      <w:r>
        <w:t xml:space="preserve"> are listed in </w:t>
      </w:r>
      <w:r>
        <w:fldChar w:fldCharType="begin" w:fldLock="1"/>
      </w:r>
      <w:r>
        <w:instrText xml:space="preserve"> REF _Ref467530211 \h </w:instrText>
      </w:r>
      <w:r>
        <w:fldChar w:fldCharType="separate"/>
      </w:r>
      <w:r w:rsidR="00335E79">
        <w:t xml:space="preserve">Table </w:t>
      </w:r>
      <w:r w:rsidR="00335E79">
        <w:rPr>
          <w:noProof/>
        </w:rPr>
        <w:t>5</w:t>
      </w:r>
      <w:r w:rsidR="00335E79">
        <w:noBreakHyphen/>
      </w:r>
      <w:r w:rsidR="00335E79">
        <w:rPr>
          <w:noProof/>
        </w:rPr>
        <w:t>11</w:t>
      </w:r>
      <w:r>
        <w:fldChar w:fldCharType="end"/>
      </w:r>
      <w:r>
        <w:t xml:space="preserve"> and </w:t>
      </w:r>
      <w:r>
        <w:fldChar w:fldCharType="begin" w:fldLock="1"/>
      </w:r>
      <w:r>
        <w:instrText xml:space="preserve"> REF _Ref467530213 \h </w:instrText>
      </w:r>
      <w:r>
        <w:fldChar w:fldCharType="separate"/>
      </w:r>
      <w:r w:rsidR="00335E79">
        <w:t xml:space="preserve">Table </w:t>
      </w:r>
      <w:r w:rsidR="00335E79">
        <w:rPr>
          <w:noProof/>
        </w:rPr>
        <w:t>5</w:t>
      </w:r>
      <w:r w:rsidR="00335E79">
        <w:noBreakHyphen/>
      </w:r>
      <w:r w:rsidR="00335E79">
        <w:rPr>
          <w:noProof/>
        </w:rPr>
        <w:t>12</w:t>
      </w:r>
      <w:r>
        <w:fldChar w:fldCharType="end"/>
      </w:r>
      <w:r>
        <w:t xml:space="preserve">, respectively. Large retardation factors are observed for most compounds. The chemical concentrations at receptor were not calculated because nearly all compounds that could be affected by the combined effects of degradation and sorption displayed already zero concentrations even at a much lower </w:t>
      </w:r>
      <w:r w:rsidRPr="00F859AD">
        <w:rPr>
          <w:i/>
        </w:rPr>
        <w:t>f</w:t>
      </w:r>
      <w:r w:rsidRPr="00066230">
        <w:rPr>
          <w:vertAlign w:val="subscript"/>
        </w:rPr>
        <w:t>OC</w:t>
      </w:r>
      <w:r>
        <w:rPr>
          <w:vertAlign w:val="subscript"/>
        </w:rPr>
        <w:t>_r</w:t>
      </w:r>
      <w:r w:rsidRPr="00066230">
        <w:rPr>
          <w:vertAlign w:val="subscript"/>
        </w:rPr>
        <w:t xml:space="preserve"> </w:t>
      </w:r>
      <w:r>
        <w:t>value of 0.001 (</w:t>
      </w:r>
      <w:r>
        <w:fldChar w:fldCharType="begin" w:fldLock="1"/>
      </w:r>
      <w:r>
        <w:instrText xml:space="preserve"> REF _Ref470874447 \h </w:instrText>
      </w:r>
      <w:r>
        <w:fldChar w:fldCharType="separate"/>
      </w:r>
      <w:r w:rsidR="00335E79">
        <w:t xml:space="preserve">Table </w:t>
      </w:r>
      <w:r w:rsidR="00335E79">
        <w:rPr>
          <w:noProof/>
        </w:rPr>
        <w:t>5</w:t>
      </w:r>
      <w:r w:rsidR="00335E79">
        <w:noBreakHyphen/>
      </w:r>
      <w:r w:rsidR="00335E79">
        <w:rPr>
          <w:noProof/>
        </w:rPr>
        <w:t>13</w:t>
      </w:r>
      <w:r>
        <w:fldChar w:fldCharType="end"/>
      </w:r>
      <w:r>
        <w:t xml:space="preserve"> to </w:t>
      </w:r>
      <w:r>
        <w:fldChar w:fldCharType="begin" w:fldLock="1"/>
      </w:r>
      <w:r>
        <w:instrText xml:space="preserve"> REF _Ref454470808 \h </w:instrText>
      </w:r>
      <w:r>
        <w:fldChar w:fldCharType="separate"/>
      </w:r>
      <w:r w:rsidR="00335E79">
        <w:t xml:space="preserve">Table </w:t>
      </w:r>
      <w:r w:rsidR="00335E79">
        <w:rPr>
          <w:noProof/>
        </w:rPr>
        <w:t>5</w:t>
      </w:r>
      <w:r w:rsidR="00335E79">
        <w:noBreakHyphen/>
      </w:r>
      <w:r w:rsidR="00335E79">
        <w:rPr>
          <w:noProof/>
        </w:rPr>
        <w:t>15</w:t>
      </w:r>
      <w:r>
        <w:fldChar w:fldCharType="end"/>
      </w:r>
      <w:r>
        <w:t>).</w:t>
      </w:r>
      <w:r w:rsidRPr="002A7F41">
        <w:t xml:space="preserve"> </w:t>
      </w:r>
      <w:r>
        <w:t xml:space="preserve">The exception is 2-methylphenol at a minimum anaerobic degradation: its concentration decreased from 0.08 (retardation </w:t>
      </w:r>
      <w:proofErr w:type="gramStart"/>
      <w:r w:rsidRPr="00E6110F">
        <w:rPr>
          <w:i/>
        </w:rPr>
        <w:t>R</w:t>
      </w:r>
      <w:r w:rsidRPr="007B3DC4">
        <w:rPr>
          <w:i/>
          <w:vertAlign w:val="subscript"/>
        </w:rPr>
        <w:t>f</w:t>
      </w:r>
      <w:proofErr w:type="gramEnd"/>
      <w:r>
        <w:t xml:space="preserve"> = 1.4) to zero when higher sorption was accounted for (retardation </w:t>
      </w:r>
      <w:r w:rsidRPr="00E6110F">
        <w:rPr>
          <w:i/>
        </w:rPr>
        <w:t>R</w:t>
      </w:r>
      <w:r w:rsidRPr="007B3DC4">
        <w:rPr>
          <w:i/>
          <w:vertAlign w:val="subscript"/>
        </w:rPr>
        <w:t>f</w:t>
      </w:r>
      <w:r>
        <w:t xml:space="preserve"> = 52 or higher). The effect of increasing retardation on the calculated concentrations at receptors is displayed in </w:t>
      </w:r>
      <w:r>
        <w:fldChar w:fldCharType="begin" w:fldLock="1"/>
      </w:r>
      <w:r>
        <w:instrText xml:space="preserve"> REF _Ref467583949 \h </w:instrText>
      </w:r>
      <w:r>
        <w:fldChar w:fldCharType="separate"/>
      </w:r>
      <w:r w:rsidR="00335E79">
        <w:t xml:space="preserve">Figure </w:t>
      </w:r>
      <w:r w:rsidR="00335E79">
        <w:rPr>
          <w:noProof/>
        </w:rPr>
        <w:t>5</w:t>
      </w:r>
      <w:r w:rsidR="00335E79">
        <w:noBreakHyphen/>
      </w:r>
      <w:r w:rsidR="00335E79">
        <w:rPr>
          <w:noProof/>
        </w:rPr>
        <w:t>19</w:t>
      </w:r>
      <w:r>
        <w:fldChar w:fldCharType="end"/>
      </w:r>
      <w:r>
        <w:t xml:space="preserve">. From retardation factors of around </w:t>
      </w:r>
      <w:proofErr w:type="gramStart"/>
      <w:r w:rsidRPr="00E6110F">
        <w:rPr>
          <w:i/>
        </w:rPr>
        <w:t>R</w:t>
      </w:r>
      <w:r w:rsidRPr="007B3DC4">
        <w:rPr>
          <w:i/>
          <w:vertAlign w:val="subscript"/>
        </w:rPr>
        <w:t>f</w:t>
      </w:r>
      <w:proofErr w:type="gramEnd"/>
      <w:r>
        <w:t xml:space="preserve"> = 50 onwards concentrations drop rapidly to zero within 200 days or less. </w:t>
      </w:r>
    </w:p>
    <w:p w14:paraId="34C94B51" w14:textId="77777777" w:rsidR="004032C3" w:rsidRDefault="004032C3" w:rsidP="00E96A53">
      <w:pPr>
        <w:pStyle w:val="Body"/>
      </w:pPr>
    </w:p>
    <w:p w14:paraId="3EEFE094" w14:textId="14DC7442" w:rsidR="00C64C53" w:rsidRDefault="00C64C53" w:rsidP="00C64C53">
      <w:pPr>
        <w:pStyle w:val="Imagecaption"/>
        <w:keepNext/>
        <w:pBdr>
          <w:top w:val="none" w:sz="0" w:space="0" w:color="auto"/>
        </w:pBdr>
      </w:pPr>
      <w:bookmarkStart w:id="667" w:name="_Ref454469984"/>
      <w:bookmarkStart w:id="668" w:name="_Toc494444738"/>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10</w:t>
      </w:r>
      <w:r w:rsidR="00470577">
        <w:fldChar w:fldCharType="end"/>
      </w:r>
      <w:bookmarkEnd w:id="667"/>
      <w:r>
        <w:t xml:space="preserve"> Sorption data (</w:t>
      </w:r>
      <w:proofErr w:type="gramStart"/>
      <w:r>
        <w:t>R</w:t>
      </w:r>
      <w:r w:rsidR="00DA539C" w:rsidRPr="001F5949">
        <w:rPr>
          <w:vertAlign w:val="subscript"/>
        </w:rPr>
        <w:t>f</w:t>
      </w:r>
      <w:proofErr w:type="gramEnd"/>
      <w:r>
        <w:t>) used for attenuation calculations</w:t>
      </w:r>
      <w:r w:rsidR="00A1198D">
        <w:t xml:space="preserve"> (</w:t>
      </w:r>
      <w:r w:rsidR="00A1198D" w:rsidRPr="00A6566A">
        <w:t>f</w:t>
      </w:r>
      <w:r w:rsidR="00A1198D" w:rsidRPr="001F5949">
        <w:rPr>
          <w:vertAlign w:val="subscript"/>
        </w:rPr>
        <w:t>OC</w:t>
      </w:r>
      <w:r w:rsidR="00B2567C" w:rsidRPr="001F5949">
        <w:rPr>
          <w:vertAlign w:val="subscript"/>
        </w:rPr>
        <w:t>_r</w:t>
      </w:r>
      <w:r w:rsidR="00A1198D" w:rsidRPr="001F5949">
        <w:rPr>
          <w:vertAlign w:val="subscript"/>
        </w:rPr>
        <w:t xml:space="preserve"> </w:t>
      </w:r>
      <w:r w:rsidR="00A1198D">
        <w:t xml:space="preserve">= </w:t>
      </w:r>
      <w:r w:rsidR="00A1198D" w:rsidRPr="002C24F4">
        <w:t>0.001</w:t>
      </w:r>
      <w:r w:rsidR="00A1198D">
        <w:t>)</w:t>
      </w:r>
      <w:r>
        <w:t>. MCI = Methyl-chloro-isothiazolinone.</w:t>
      </w:r>
      <w:bookmarkEnd w:id="668"/>
      <w:r>
        <w:t xml:space="preserve"> </w:t>
      </w:r>
    </w:p>
    <w:tbl>
      <w:tblPr>
        <w:tblW w:w="0" w:type="auto"/>
        <w:tblInd w:w="-30" w:type="dxa"/>
        <w:tblLayout w:type="fixed"/>
        <w:tblLook w:val="0000" w:firstRow="0" w:lastRow="0" w:firstColumn="0" w:lastColumn="0" w:noHBand="0" w:noVBand="0"/>
      </w:tblPr>
      <w:tblGrid>
        <w:gridCol w:w="2105"/>
        <w:gridCol w:w="1003"/>
        <w:gridCol w:w="1003"/>
        <w:gridCol w:w="1003"/>
        <w:gridCol w:w="1004"/>
      </w:tblGrid>
      <w:tr w:rsidR="00C64C53" w14:paraId="4B9804BD" w14:textId="77777777" w:rsidTr="00EB6EC0">
        <w:trPr>
          <w:trHeight w:val="290"/>
        </w:trPr>
        <w:tc>
          <w:tcPr>
            <w:tcW w:w="2105" w:type="dxa"/>
            <w:tcBorders>
              <w:top w:val="single" w:sz="4" w:space="0" w:color="auto"/>
              <w:left w:val="single" w:sz="4" w:space="0" w:color="auto"/>
              <w:bottom w:val="nil"/>
              <w:right w:val="nil"/>
            </w:tcBorders>
          </w:tcPr>
          <w:p w14:paraId="60CDCEF1" w14:textId="77777777" w:rsidR="00C64C53" w:rsidRDefault="00C64C53">
            <w:pPr>
              <w:autoSpaceDE w:val="0"/>
              <w:autoSpaceDN w:val="0"/>
              <w:adjustRightInd w:val="0"/>
              <w:spacing w:after="0"/>
              <w:jc w:val="right"/>
              <w:rPr>
                <w:rFonts w:ascii="Calibri" w:hAnsi="Calibri" w:cs="Calibri"/>
                <w:color w:val="000000"/>
                <w:sz w:val="22"/>
                <w:szCs w:val="22"/>
                <w:lang w:val="en-AU"/>
              </w:rPr>
            </w:pPr>
          </w:p>
        </w:tc>
        <w:tc>
          <w:tcPr>
            <w:tcW w:w="4013" w:type="dxa"/>
            <w:gridSpan w:val="4"/>
            <w:tcBorders>
              <w:top w:val="single" w:sz="4" w:space="0" w:color="auto"/>
              <w:left w:val="nil"/>
              <w:bottom w:val="nil"/>
              <w:right w:val="single" w:sz="4" w:space="0" w:color="auto"/>
            </w:tcBorders>
          </w:tcPr>
          <w:p w14:paraId="0C058A51" w14:textId="0C51F5E4" w:rsidR="00C64C53" w:rsidRPr="00D4321E" w:rsidRDefault="00C64C53">
            <w:pPr>
              <w:autoSpaceDE w:val="0"/>
              <w:autoSpaceDN w:val="0"/>
              <w:adjustRightInd w:val="0"/>
              <w:spacing w:after="0"/>
              <w:jc w:val="center"/>
              <w:rPr>
                <w:rFonts w:ascii="Calibri" w:hAnsi="Calibri" w:cs="Calibri"/>
                <w:color w:val="000000"/>
                <w:sz w:val="18"/>
                <w:szCs w:val="18"/>
                <w:lang w:val="en-AU"/>
              </w:rPr>
            </w:pPr>
            <w:r w:rsidRPr="00D4321E">
              <w:rPr>
                <w:rFonts w:ascii="Calibri" w:hAnsi="Calibri" w:cs="Calibri"/>
                <w:color w:val="000000"/>
                <w:sz w:val="18"/>
                <w:szCs w:val="18"/>
                <w:lang w:val="en-AU"/>
              </w:rPr>
              <w:t>Retardation factor</w:t>
            </w:r>
            <w:r w:rsidR="00B2567C">
              <w:rPr>
                <w:rFonts w:ascii="Calibri" w:hAnsi="Calibri" w:cs="Calibri"/>
                <w:color w:val="000000"/>
                <w:sz w:val="18"/>
                <w:szCs w:val="18"/>
                <w:lang w:val="en-AU"/>
              </w:rPr>
              <w:t>,</w:t>
            </w:r>
            <w:r w:rsidRPr="00D4321E">
              <w:rPr>
                <w:rFonts w:ascii="Calibri" w:hAnsi="Calibri" w:cs="Calibri"/>
                <w:color w:val="000000"/>
                <w:sz w:val="18"/>
                <w:szCs w:val="18"/>
                <w:lang w:val="en-AU"/>
              </w:rPr>
              <w:t xml:space="preserve"> </w:t>
            </w:r>
            <w:r w:rsidR="00F12A1C" w:rsidRPr="00D4321E">
              <w:rPr>
                <w:rFonts w:ascii="Calibri" w:hAnsi="Calibri" w:cs="Calibri"/>
                <w:i/>
                <w:color w:val="000000"/>
                <w:sz w:val="18"/>
                <w:szCs w:val="18"/>
                <w:lang w:val="en-AU"/>
              </w:rPr>
              <w:t>R</w:t>
            </w:r>
            <w:r w:rsidR="007B3DC4" w:rsidRPr="007B3DC4">
              <w:rPr>
                <w:rFonts w:ascii="Calibri" w:hAnsi="Calibri" w:cs="Calibri"/>
                <w:i/>
                <w:color w:val="000000"/>
                <w:sz w:val="18"/>
                <w:szCs w:val="18"/>
                <w:vertAlign w:val="subscript"/>
                <w:lang w:val="en-AU"/>
              </w:rPr>
              <w:t>f</w:t>
            </w:r>
            <w:r w:rsidR="00F12A1C" w:rsidRPr="00D4321E">
              <w:rPr>
                <w:rFonts w:ascii="Calibri" w:hAnsi="Calibri" w:cs="Calibri"/>
                <w:color w:val="000000"/>
                <w:sz w:val="18"/>
                <w:szCs w:val="18"/>
                <w:lang w:val="en-AU"/>
              </w:rPr>
              <w:t xml:space="preserve"> </w:t>
            </w:r>
            <w:r w:rsidRPr="00D4321E">
              <w:rPr>
                <w:rFonts w:ascii="Calibri" w:hAnsi="Calibri" w:cs="Calibri"/>
                <w:color w:val="000000"/>
                <w:sz w:val="18"/>
                <w:szCs w:val="18"/>
                <w:lang w:val="en-AU"/>
              </w:rPr>
              <w:t>(-)</w:t>
            </w:r>
          </w:p>
        </w:tc>
      </w:tr>
      <w:tr w:rsidR="00C64C53" w14:paraId="62B79F35" w14:textId="77777777" w:rsidTr="00EB6EC0">
        <w:trPr>
          <w:trHeight w:val="290"/>
        </w:trPr>
        <w:tc>
          <w:tcPr>
            <w:tcW w:w="2105" w:type="dxa"/>
            <w:tcBorders>
              <w:top w:val="nil"/>
              <w:left w:val="single" w:sz="4" w:space="0" w:color="auto"/>
              <w:bottom w:val="nil"/>
              <w:right w:val="nil"/>
            </w:tcBorders>
          </w:tcPr>
          <w:p w14:paraId="21FAB329" w14:textId="77777777" w:rsidR="00C64C53" w:rsidRDefault="00C64C53">
            <w:pPr>
              <w:autoSpaceDE w:val="0"/>
              <w:autoSpaceDN w:val="0"/>
              <w:adjustRightInd w:val="0"/>
              <w:spacing w:after="0"/>
              <w:jc w:val="right"/>
              <w:rPr>
                <w:rFonts w:ascii="Calibri" w:hAnsi="Calibri" w:cs="Calibri"/>
                <w:color w:val="000000"/>
                <w:sz w:val="22"/>
                <w:szCs w:val="22"/>
                <w:lang w:val="en-AU"/>
              </w:rPr>
            </w:pPr>
          </w:p>
        </w:tc>
        <w:tc>
          <w:tcPr>
            <w:tcW w:w="2006" w:type="dxa"/>
            <w:gridSpan w:val="2"/>
            <w:tcBorders>
              <w:top w:val="nil"/>
              <w:left w:val="nil"/>
              <w:bottom w:val="nil"/>
              <w:right w:val="nil"/>
            </w:tcBorders>
            <w:shd w:val="solid" w:color="99CCFF" w:fill="auto"/>
          </w:tcPr>
          <w:p w14:paraId="0E181027" w14:textId="6B41626A" w:rsidR="00C64C53" w:rsidRPr="00D4321E" w:rsidRDefault="00C64C53">
            <w:pPr>
              <w:autoSpaceDE w:val="0"/>
              <w:autoSpaceDN w:val="0"/>
              <w:adjustRightInd w:val="0"/>
              <w:spacing w:after="0"/>
              <w:jc w:val="center"/>
              <w:rPr>
                <w:rFonts w:ascii="Calibri" w:hAnsi="Calibri" w:cs="Calibri"/>
                <w:color w:val="000000"/>
                <w:sz w:val="18"/>
                <w:szCs w:val="18"/>
                <w:lang w:val="en-AU"/>
              </w:rPr>
            </w:pPr>
            <w:r w:rsidRPr="00D4321E">
              <w:rPr>
                <w:rFonts w:ascii="Calibri" w:hAnsi="Calibri" w:cs="Calibri"/>
                <w:color w:val="000000"/>
                <w:sz w:val="18"/>
                <w:szCs w:val="18"/>
                <w:lang w:val="en-AU"/>
              </w:rPr>
              <w:t>Gunnedah</w:t>
            </w:r>
          </w:p>
        </w:tc>
        <w:tc>
          <w:tcPr>
            <w:tcW w:w="2007" w:type="dxa"/>
            <w:gridSpan w:val="2"/>
            <w:tcBorders>
              <w:top w:val="nil"/>
              <w:left w:val="nil"/>
              <w:bottom w:val="nil"/>
              <w:right w:val="single" w:sz="4" w:space="0" w:color="auto"/>
            </w:tcBorders>
            <w:shd w:val="solid" w:color="FFFFCC" w:fill="auto"/>
          </w:tcPr>
          <w:p w14:paraId="76F65213" w14:textId="437D4678" w:rsidR="00C64C53" w:rsidRPr="00D4321E" w:rsidRDefault="00C64C53">
            <w:pPr>
              <w:autoSpaceDE w:val="0"/>
              <w:autoSpaceDN w:val="0"/>
              <w:adjustRightInd w:val="0"/>
              <w:spacing w:after="0"/>
              <w:jc w:val="center"/>
              <w:rPr>
                <w:rFonts w:ascii="Calibri" w:hAnsi="Calibri" w:cs="Calibri"/>
                <w:color w:val="000000"/>
                <w:sz w:val="18"/>
                <w:szCs w:val="18"/>
                <w:lang w:val="en-AU"/>
              </w:rPr>
            </w:pPr>
            <w:r w:rsidRPr="00D4321E">
              <w:rPr>
                <w:rFonts w:ascii="Calibri" w:hAnsi="Calibri" w:cs="Calibri"/>
                <w:color w:val="000000"/>
                <w:sz w:val="18"/>
                <w:szCs w:val="18"/>
                <w:lang w:val="en-AU"/>
              </w:rPr>
              <w:t>Surat</w:t>
            </w:r>
          </w:p>
        </w:tc>
      </w:tr>
      <w:tr w:rsidR="00C64C53" w14:paraId="0D7E20C3" w14:textId="77777777" w:rsidTr="0064379B">
        <w:trPr>
          <w:trHeight w:val="290"/>
        </w:trPr>
        <w:tc>
          <w:tcPr>
            <w:tcW w:w="2105" w:type="dxa"/>
            <w:tcBorders>
              <w:top w:val="nil"/>
              <w:left w:val="single" w:sz="4" w:space="0" w:color="auto"/>
              <w:bottom w:val="single" w:sz="6" w:space="0" w:color="auto"/>
              <w:right w:val="nil"/>
            </w:tcBorders>
          </w:tcPr>
          <w:p w14:paraId="39639B48" w14:textId="77777777" w:rsidR="00C64C53" w:rsidRPr="00D4321E" w:rsidRDefault="00C64C53">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Chemical substance</w:t>
            </w:r>
          </w:p>
        </w:tc>
        <w:tc>
          <w:tcPr>
            <w:tcW w:w="1003" w:type="dxa"/>
            <w:tcBorders>
              <w:top w:val="nil"/>
              <w:left w:val="nil"/>
              <w:bottom w:val="single" w:sz="6" w:space="0" w:color="auto"/>
              <w:right w:val="nil"/>
            </w:tcBorders>
            <w:shd w:val="solid" w:color="99CCFF" w:fill="auto"/>
          </w:tcPr>
          <w:p w14:paraId="3D48E9A1" w14:textId="01601AC5" w:rsidR="00C64C53" w:rsidRPr="00D4321E" w:rsidRDefault="00D4321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64C53" w:rsidRPr="00D4321E">
              <w:rPr>
                <w:rFonts w:ascii="Calibri" w:hAnsi="Calibri" w:cs="Calibri"/>
                <w:color w:val="000000"/>
                <w:sz w:val="18"/>
                <w:szCs w:val="18"/>
                <w:lang w:val="en-AU"/>
              </w:rPr>
              <w:t>in</w:t>
            </w:r>
          </w:p>
        </w:tc>
        <w:tc>
          <w:tcPr>
            <w:tcW w:w="1003" w:type="dxa"/>
            <w:tcBorders>
              <w:top w:val="nil"/>
              <w:left w:val="nil"/>
              <w:bottom w:val="single" w:sz="6" w:space="0" w:color="auto"/>
              <w:right w:val="nil"/>
            </w:tcBorders>
            <w:shd w:val="solid" w:color="99CCFF" w:fill="auto"/>
          </w:tcPr>
          <w:p w14:paraId="3137A27A" w14:textId="29A76301" w:rsidR="00C64C53" w:rsidRPr="00D4321E" w:rsidRDefault="00D4321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64C53" w:rsidRPr="00D4321E">
              <w:rPr>
                <w:rFonts w:ascii="Calibri" w:hAnsi="Calibri" w:cs="Calibri"/>
                <w:color w:val="000000"/>
                <w:sz w:val="18"/>
                <w:szCs w:val="18"/>
                <w:lang w:val="en-AU"/>
              </w:rPr>
              <w:t>ax</w:t>
            </w:r>
          </w:p>
        </w:tc>
        <w:tc>
          <w:tcPr>
            <w:tcW w:w="1003" w:type="dxa"/>
            <w:tcBorders>
              <w:top w:val="nil"/>
              <w:left w:val="nil"/>
              <w:bottom w:val="single" w:sz="6" w:space="0" w:color="auto"/>
              <w:right w:val="nil"/>
            </w:tcBorders>
            <w:shd w:val="solid" w:color="FFFFCC" w:fill="auto"/>
          </w:tcPr>
          <w:p w14:paraId="3E60E5C2" w14:textId="0231B8FD" w:rsidR="00C64C53" w:rsidRPr="00D4321E" w:rsidRDefault="00D4321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64C53" w:rsidRPr="00D4321E">
              <w:rPr>
                <w:rFonts w:ascii="Calibri" w:hAnsi="Calibri" w:cs="Calibri"/>
                <w:color w:val="000000"/>
                <w:sz w:val="18"/>
                <w:szCs w:val="18"/>
                <w:lang w:val="en-AU"/>
              </w:rPr>
              <w:t>in</w:t>
            </w:r>
          </w:p>
        </w:tc>
        <w:tc>
          <w:tcPr>
            <w:tcW w:w="1004" w:type="dxa"/>
            <w:tcBorders>
              <w:top w:val="nil"/>
              <w:left w:val="nil"/>
              <w:bottom w:val="single" w:sz="6" w:space="0" w:color="auto"/>
              <w:right w:val="single" w:sz="4" w:space="0" w:color="auto"/>
            </w:tcBorders>
            <w:shd w:val="solid" w:color="FFFFCC" w:fill="auto"/>
          </w:tcPr>
          <w:p w14:paraId="265B093D" w14:textId="36A83D63" w:rsidR="00C64C53" w:rsidRPr="00D4321E" w:rsidRDefault="00D4321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C64C53" w:rsidRPr="00D4321E">
              <w:rPr>
                <w:rFonts w:ascii="Calibri" w:hAnsi="Calibri" w:cs="Calibri"/>
                <w:color w:val="000000"/>
                <w:sz w:val="18"/>
                <w:szCs w:val="18"/>
                <w:lang w:val="en-AU"/>
              </w:rPr>
              <w:t>ax</w:t>
            </w:r>
          </w:p>
        </w:tc>
      </w:tr>
      <w:tr w:rsidR="0064379B" w14:paraId="2A8C8CBC" w14:textId="77777777" w:rsidTr="00D4321E">
        <w:trPr>
          <w:trHeight w:val="290"/>
        </w:trPr>
        <w:tc>
          <w:tcPr>
            <w:tcW w:w="2105" w:type="dxa"/>
            <w:tcBorders>
              <w:top w:val="nil"/>
              <w:left w:val="single" w:sz="4" w:space="0" w:color="auto"/>
              <w:bottom w:val="nil"/>
              <w:right w:val="nil"/>
            </w:tcBorders>
          </w:tcPr>
          <w:p w14:paraId="3ABB83C6" w14:textId="77777777" w:rsidR="0064379B" w:rsidRPr="00D4321E" w:rsidRDefault="0064379B" w:rsidP="0064379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2-methylphenol</w:t>
            </w:r>
          </w:p>
        </w:tc>
        <w:tc>
          <w:tcPr>
            <w:tcW w:w="1003" w:type="dxa"/>
            <w:tcBorders>
              <w:top w:val="single" w:sz="6" w:space="0" w:color="auto"/>
              <w:left w:val="nil"/>
              <w:bottom w:val="nil"/>
              <w:right w:val="nil"/>
            </w:tcBorders>
            <w:shd w:val="clear" w:color="000000" w:fill="99CCFF"/>
          </w:tcPr>
          <w:p w14:paraId="46BB1FD7" w14:textId="258134B8"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1.4</w:t>
            </w:r>
          </w:p>
        </w:tc>
        <w:tc>
          <w:tcPr>
            <w:tcW w:w="1003" w:type="dxa"/>
            <w:tcBorders>
              <w:top w:val="nil"/>
              <w:left w:val="nil"/>
              <w:bottom w:val="nil"/>
              <w:right w:val="nil"/>
            </w:tcBorders>
            <w:shd w:val="solid" w:color="99CCFF" w:fill="auto"/>
          </w:tcPr>
          <w:p w14:paraId="13C15DF0" w14:textId="30DC3823" w:rsidR="0064379B" w:rsidRPr="00D4321E" w:rsidRDefault="00F12A1C"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5</w:t>
            </w:r>
          </w:p>
        </w:tc>
        <w:tc>
          <w:tcPr>
            <w:tcW w:w="1003" w:type="dxa"/>
            <w:tcBorders>
              <w:top w:val="single" w:sz="6" w:space="0" w:color="auto"/>
              <w:left w:val="nil"/>
              <w:bottom w:val="nil"/>
              <w:right w:val="nil"/>
            </w:tcBorders>
            <w:shd w:val="clear" w:color="000000" w:fill="FFFFCC"/>
          </w:tcPr>
          <w:p w14:paraId="7C3D8A10" w14:textId="49DADBDF"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1.4</w:t>
            </w:r>
          </w:p>
        </w:tc>
        <w:tc>
          <w:tcPr>
            <w:tcW w:w="1004" w:type="dxa"/>
            <w:tcBorders>
              <w:top w:val="nil"/>
              <w:left w:val="nil"/>
              <w:bottom w:val="nil"/>
              <w:right w:val="single" w:sz="4" w:space="0" w:color="auto"/>
            </w:tcBorders>
            <w:shd w:val="solid" w:color="FFFFCC" w:fill="auto"/>
          </w:tcPr>
          <w:p w14:paraId="5FE68BC2" w14:textId="564ED9C1" w:rsidR="0064379B" w:rsidRPr="00D4321E" w:rsidRDefault="00F12A1C"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5</w:t>
            </w:r>
          </w:p>
        </w:tc>
      </w:tr>
      <w:tr w:rsidR="0064379B" w14:paraId="29436840" w14:textId="77777777" w:rsidTr="00D4321E">
        <w:trPr>
          <w:trHeight w:val="290"/>
        </w:trPr>
        <w:tc>
          <w:tcPr>
            <w:tcW w:w="2105" w:type="dxa"/>
            <w:tcBorders>
              <w:top w:val="nil"/>
              <w:left w:val="single" w:sz="4" w:space="0" w:color="auto"/>
              <w:bottom w:val="nil"/>
              <w:right w:val="nil"/>
            </w:tcBorders>
          </w:tcPr>
          <w:p w14:paraId="6CFFDA6A" w14:textId="77777777" w:rsidR="0064379B" w:rsidRPr="00D4321E" w:rsidRDefault="0064379B" w:rsidP="0064379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Naphthalene</w:t>
            </w:r>
          </w:p>
        </w:tc>
        <w:tc>
          <w:tcPr>
            <w:tcW w:w="1003" w:type="dxa"/>
            <w:tcBorders>
              <w:top w:val="nil"/>
              <w:left w:val="nil"/>
              <w:bottom w:val="nil"/>
              <w:right w:val="nil"/>
            </w:tcBorders>
            <w:shd w:val="clear" w:color="000000" w:fill="99CCFF"/>
          </w:tcPr>
          <w:p w14:paraId="2E6B17B5" w14:textId="1A35A0F0"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1.3</w:t>
            </w:r>
          </w:p>
        </w:tc>
        <w:tc>
          <w:tcPr>
            <w:tcW w:w="1003" w:type="dxa"/>
            <w:tcBorders>
              <w:top w:val="nil"/>
              <w:left w:val="nil"/>
              <w:bottom w:val="nil"/>
              <w:right w:val="nil"/>
            </w:tcBorders>
            <w:shd w:val="solid" w:color="99CCFF" w:fill="auto"/>
          </w:tcPr>
          <w:p w14:paraId="5D7956B0" w14:textId="0F48E257" w:rsidR="0064379B" w:rsidRPr="00D4321E" w:rsidRDefault="00F12A1C"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432</w:t>
            </w:r>
          </w:p>
        </w:tc>
        <w:tc>
          <w:tcPr>
            <w:tcW w:w="1003" w:type="dxa"/>
            <w:tcBorders>
              <w:top w:val="nil"/>
              <w:left w:val="nil"/>
              <w:bottom w:val="nil"/>
              <w:right w:val="nil"/>
            </w:tcBorders>
            <w:shd w:val="clear" w:color="000000" w:fill="FFFFCC"/>
          </w:tcPr>
          <w:p w14:paraId="12FF9946" w14:textId="5050FB8B"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1.3</w:t>
            </w:r>
          </w:p>
        </w:tc>
        <w:tc>
          <w:tcPr>
            <w:tcW w:w="1004" w:type="dxa"/>
            <w:tcBorders>
              <w:top w:val="nil"/>
              <w:left w:val="nil"/>
              <w:bottom w:val="nil"/>
              <w:right w:val="single" w:sz="4" w:space="0" w:color="auto"/>
            </w:tcBorders>
            <w:shd w:val="solid" w:color="FFFFCC" w:fill="auto"/>
          </w:tcPr>
          <w:p w14:paraId="72A7C527" w14:textId="32DE6E8D" w:rsidR="0064379B" w:rsidRPr="00D4321E" w:rsidRDefault="00F12A1C"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432</w:t>
            </w:r>
          </w:p>
        </w:tc>
      </w:tr>
      <w:tr w:rsidR="0064379B" w14:paraId="389BB881" w14:textId="77777777" w:rsidTr="00D4321E">
        <w:trPr>
          <w:trHeight w:val="290"/>
        </w:trPr>
        <w:tc>
          <w:tcPr>
            <w:tcW w:w="2105" w:type="dxa"/>
            <w:tcBorders>
              <w:top w:val="nil"/>
              <w:left w:val="single" w:sz="4" w:space="0" w:color="auto"/>
              <w:bottom w:val="nil"/>
              <w:right w:val="nil"/>
            </w:tcBorders>
          </w:tcPr>
          <w:p w14:paraId="1A031520" w14:textId="77777777" w:rsidR="0064379B" w:rsidRPr="00D4321E" w:rsidRDefault="0064379B" w:rsidP="0064379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Limonene</w:t>
            </w:r>
          </w:p>
        </w:tc>
        <w:tc>
          <w:tcPr>
            <w:tcW w:w="1003" w:type="dxa"/>
            <w:tcBorders>
              <w:top w:val="nil"/>
              <w:left w:val="nil"/>
              <w:bottom w:val="nil"/>
              <w:right w:val="nil"/>
            </w:tcBorders>
            <w:shd w:val="clear" w:color="000000" w:fill="99CCFF"/>
          </w:tcPr>
          <w:p w14:paraId="034E371C" w14:textId="4466BE19"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17</w:t>
            </w:r>
          </w:p>
        </w:tc>
        <w:tc>
          <w:tcPr>
            <w:tcW w:w="1003" w:type="dxa"/>
            <w:tcBorders>
              <w:top w:val="nil"/>
              <w:left w:val="nil"/>
              <w:bottom w:val="nil"/>
              <w:right w:val="nil"/>
            </w:tcBorders>
            <w:shd w:val="solid" w:color="99CCFF" w:fill="auto"/>
          </w:tcPr>
          <w:p w14:paraId="6AA4CF69" w14:textId="3ACBCCC3" w:rsidR="0064379B" w:rsidRPr="00D4321E" w:rsidRDefault="00F12A1C"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943</w:t>
            </w:r>
          </w:p>
        </w:tc>
        <w:tc>
          <w:tcPr>
            <w:tcW w:w="1003" w:type="dxa"/>
            <w:tcBorders>
              <w:top w:val="nil"/>
              <w:left w:val="nil"/>
              <w:bottom w:val="nil"/>
              <w:right w:val="nil"/>
            </w:tcBorders>
            <w:shd w:val="clear" w:color="000000" w:fill="FFFFCC"/>
          </w:tcPr>
          <w:p w14:paraId="4FB5EFB9" w14:textId="1607E728"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17</w:t>
            </w:r>
          </w:p>
        </w:tc>
        <w:tc>
          <w:tcPr>
            <w:tcW w:w="1004" w:type="dxa"/>
            <w:tcBorders>
              <w:top w:val="nil"/>
              <w:left w:val="nil"/>
              <w:bottom w:val="nil"/>
              <w:right w:val="single" w:sz="4" w:space="0" w:color="auto"/>
            </w:tcBorders>
            <w:shd w:val="solid" w:color="FFFFCC" w:fill="auto"/>
          </w:tcPr>
          <w:p w14:paraId="11BA715D" w14:textId="73D709FD" w:rsidR="0064379B" w:rsidRPr="00D4321E" w:rsidRDefault="00453182"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943</w:t>
            </w:r>
          </w:p>
        </w:tc>
      </w:tr>
      <w:tr w:rsidR="0064379B" w14:paraId="6884138F" w14:textId="77777777" w:rsidTr="00D4321E">
        <w:trPr>
          <w:trHeight w:val="290"/>
        </w:trPr>
        <w:tc>
          <w:tcPr>
            <w:tcW w:w="2105" w:type="dxa"/>
            <w:tcBorders>
              <w:top w:val="nil"/>
              <w:left w:val="single" w:sz="4" w:space="0" w:color="auto"/>
              <w:bottom w:val="nil"/>
              <w:right w:val="nil"/>
            </w:tcBorders>
          </w:tcPr>
          <w:p w14:paraId="4901FDC9" w14:textId="77777777" w:rsidR="0064379B" w:rsidRPr="00D4321E" w:rsidRDefault="0064379B" w:rsidP="0064379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HMX</w:t>
            </w:r>
          </w:p>
        </w:tc>
        <w:tc>
          <w:tcPr>
            <w:tcW w:w="1003" w:type="dxa"/>
            <w:tcBorders>
              <w:top w:val="nil"/>
              <w:left w:val="nil"/>
              <w:bottom w:val="nil"/>
              <w:right w:val="nil"/>
            </w:tcBorders>
            <w:shd w:val="clear" w:color="000000" w:fill="99CCFF"/>
          </w:tcPr>
          <w:p w14:paraId="6C71E873" w14:textId="35D5AB22"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1.5</w:t>
            </w:r>
          </w:p>
        </w:tc>
        <w:tc>
          <w:tcPr>
            <w:tcW w:w="1003" w:type="dxa"/>
            <w:tcBorders>
              <w:top w:val="nil"/>
              <w:left w:val="nil"/>
              <w:bottom w:val="nil"/>
              <w:right w:val="nil"/>
            </w:tcBorders>
            <w:shd w:val="solid" w:color="99CCFF" w:fill="auto"/>
          </w:tcPr>
          <w:p w14:paraId="68EF7B36" w14:textId="74E19EA5" w:rsidR="0064379B" w:rsidRPr="00D4321E" w:rsidRDefault="00453182"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21.1</w:t>
            </w:r>
          </w:p>
        </w:tc>
        <w:tc>
          <w:tcPr>
            <w:tcW w:w="1003" w:type="dxa"/>
            <w:tcBorders>
              <w:top w:val="nil"/>
              <w:left w:val="nil"/>
              <w:bottom w:val="nil"/>
              <w:right w:val="nil"/>
            </w:tcBorders>
            <w:shd w:val="clear" w:color="000000" w:fill="FFFFCC"/>
          </w:tcPr>
          <w:p w14:paraId="4656B523" w14:textId="327BE1F8"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1.5</w:t>
            </w:r>
          </w:p>
        </w:tc>
        <w:tc>
          <w:tcPr>
            <w:tcW w:w="1004" w:type="dxa"/>
            <w:tcBorders>
              <w:top w:val="nil"/>
              <w:left w:val="nil"/>
              <w:bottom w:val="nil"/>
              <w:right w:val="single" w:sz="4" w:space="0" w:color="auto"/>
            </w:tcBorders>
            <w:shd w:val="solid" w:color="FFFFCC" w:fill="auto"/>
          </w:tcPr>
          <w:p w14:paraId="076FD67C" w14:textId="498464BE" w:rsidR="0064379B" w:rsidRPr="00D4321E" w:rsidRDefault="00453182"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21.1</w:t>
            </w:r>
          </w:p>
        </w:tc>
      </w:tr>
      <w:tr w:rsidR="0064379B" w14:paraId="79C00613" w14:textId="77777777" w:rsidTr="00D4321E">
        <w:trPr>
          <w:trHeight w:val="290"/>
        </w:trPr>
        <w:tc>
          <w:tcPr>
            <w:tcW w:w="2105" w:type="dxa"/>
            <w:tcBorders>
              <w:top w:val="nil"/>
              <w:left w:val="single" w:sz="4" w:space="0" w:color="auto"/>
              <w:bottom w:val="nil"/>
              <w:right w:val="nil"/>
            </w:tcBorders>
          </w:tcPr>
          <w:p w14:paraId="2DEF3DDA" w14:textId="77777777" w:rsidR="0064379B" w:rsidRPr="00D4321E" w:rsidRDefault="0064379B" w:rsidP="0064379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2-butoxyethanol</w:t>
            </w:r>
          </w:p>
        </w:tc>
        <w:tc>
          <w:tcPr>
            <w:tcW w:w="1003" w:type="dxa"/>
            <w:tcBorders>
              <w:top w:val="nil"/>
              <w:left w:val="nil"/>
              <w:bottom w:val="nil"/>
              <w:right w:val="nil"/>
            </w:tcBorders>
            <w:shd w:val="clear" w:color="000000" w:fill="99CCFF"/>
          </w:tcPr>
          <w:p w14:paraId="4E24930F" w14:textId="33BB1425"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1.0</w:t>
            </w:r>
          </w:p>
        </w:tc>
        <w:tc>
          <w:tcPr>
            <w:tcW w:w="1003" w:type="dxa"/>
            <w:tcBorders>
              <w:top w:val="nil"/>
              <w:left w:val="nil"/>
              <w:bottom w:val="nil"/>
              <w:right w:val="nil"/>
            </w:tcBorders>
            <w:shd w:val="solid" w:color="99CCFF" w:fill="auto"/>
          </w:tcPr>
          <w:p w14:paraId="6C2A8F7F" w14:textId="77777777"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1.1</w:t>
            </w:r>
          </w:p>
        </w:tc>
        <w:tc>
          <w:tcPr>
            <w:tcW w:w="1003" w:type="dxa"/>
            <w:tcBorders>
              <w:top w:val="nil"/>
              <w:left w:val="nil"/>
              <w:bottom w:val="nil"/>
              <w:right w:val="nil"/>
            </w:tcBorders>
            <w:shd w:val="clear" w:color="000000" w:fill="FFFFCC"/>
          </w:tcPr>
          <w:p w14:paraId="37CFEE4D" w14:textId="5D2C0527"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1.0</w:t>
            </w:r>
          </w:p>
        </w:tc>
        <w:tc>
          <w:tcPr>
            <w:tcW w:w="1004" w:type="dxa"/>
            <w:tcBorders>
              <w:top w:val="nil"/>
              <w:left w:val="nil"/>
              <w:bottom w:val="nil"/>
              <w:right w:val="single" w:sz="4" w:space="0" w:color="auto"/>
            </w:tcBorders>
            <w:shd w:val="solid" w:color="FFFFCC" w:fill="auto"/>
          </w:tcPr>
          <w:p w14:paraId="3EF5E0DB" w14:textId="77777777"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1.1</w:t>
            </w:r>
          </w:p>
        </w:tc>
      </w:tr>
      <w:tr w:rsidR="0064379B" w14:paraId="30B4A89D" w14:textId="77777777" w:rsidTr="00D4321E">
        <w:trPr>
          <w:trHeight w:val="290"/>
        </w:trPr>
        <w:tc>
          <w:tcPr>
            <w:tcW w:w="2105" w:type="dxa"/>
            <w:tcBorders>
              <w:top w:val="nil"/>
              <w:left w:val="single" w:sz="4" w:space="0" w:color="auto"/>
              <w:bottom w:val="nil"/>
              <w:right w:val="nil"/>
            </w:tcBorders>
          </w:tcPr>
          <w:p w14:paraId="56B602E8" w14:textId="77777777" w:rsidR="0064379B" w:rsidRPr="00D4321E" w:rsidRDefault="0064379B" w:rsidP="0064379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Bronopol</w:t>
            </w:r>
          </w:p>
        </w:tc>
        <w:tc>
          <w:tcPr>
            <w:tcW w:w="1003" w:type="dxa"/>
            <w:tcBorders>
              <w:top w:val="nil"/>
              <w:left w:val="nil"/>
              <w:bottom w:val="nil"/>
              <w:right w:val="nil"/>
            </w:tcBorders>
            <w:shd w:val="clear" w:color="000000" w:fill="99CCFF"/>
          </w:tcPr>
          <w:p w14:paraId="1F9A6FCD" w14:textId="53BB7D35"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1.0</w:t>
            </w:r>
          </w:p>
        </w:tc>
        <w:tc>
          <w:tcPr>
            <w:tcW w:w="1003" w:type="dxa"/>
            <w:tcBorders>
              <w:top w:val="nil"/>
              <w:left w:val="nil"/>
              <w:bottom w:val="nil"/>
              <w:right w:val="nil"/>
            </w:tcBorders>
            <w:shd w:val="solid" w:color="99CCFF" w:fill="auto"/>
          </w:tcPr>
          <w:p w14:paraId="02BFC612" w14:textId="3003485C" w:rsidR="0064379B" w:rsidRPr="00D4321E" w:rsidRDefault="00453182"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23.6</w:t>
            </w:r>
          </w:p>
        </w:tc>
        <w:tc>
          <w:tcPr>
            <w:tcW w:w="1003" w:type="dxa"/>
            <w:tcBorders>
              <w:top w:val="nil"/>
              <w:left w:val="nil"/>
              <w:bottom w:val="nil"/>
              <w:right w:val="nil"/>
            </w:tcBorders>
            <w:shd w:val="clear" w:color="000000" w:fill="FFFFCC"/>
          </w:tcPr>
          <w:p w14:paraId="121E55AB" w14:textId="1DFCC1EE"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1.0</w:t>
            </w:r>
          </w:p>
        </w:tc>
        <w:tc>
          <w:tcPr>
            <w:tcW w:w="1004" w:type="dxa"/>
            <w:tcBorders>
              <w:top w:val="nil"/>
              <w:left w:val="nil"/>
              <w:bottom w:val="nil"/>
              <w:right w:val="single" w:sz="4" w:space="0" w:color="auto"/>
            </w:tcBorders>
            <w:shd w:val="solid" w:color="FFFFCC" w:fill="auto"/>
          </w:tcPr>
          <w:p w14:paraId="30C92C49" w14:textId="3EFC57A6" w:rsidR="0064379B" w:rsidRPr="00D4321E" w:rsidRDefault="00453182"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23.6</w:t>
            </w:r>
          </w:p>
        </w:tc>
      </w:tr>
      <w:tr w:rsidR="0064379B" w14:paraId="4D4329FC" w14:textId="77777777" w:rsidTr="00D4321E">
        <w:trPr>
          <w:trHeight w:val="290"/>
        </w:trPr>
        <w:tc>
          <w:tcPr>
            <w:tcW w:w="2105" w:type="dxa"/>
            <w:tcBorders>
              <w:top w:val="nil"/>
              <w:left w:val="single" w:sz="4" w:space="0" w:color="auto"/>
              <w:bottom w:val="nil"/>
              <w:right w:val="nil"/>
            </w:tcBorders>
          </w:tcPr>
          <w:p w14:paraId="1DB55C70" w14:textId="395FE4E2" w:rsidR="0064379B" w:rsidRPr="00D4321E" w:rsidRDefault="0064379B" w:rsidP="0064379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MCI</w:t>
            </w:r>
          </w:p>
        </w:tc>
        <w:tc>
          <w:tcPr>
            <w:tcW w:w="1003" w:type="dxa"/>
            <w:tcBorders>
              <w:top w:val="nil"/>
              <w:left w:val="nil"/>
              <w:right w:val="nil"/>
            </w:tcBorders>
            <w:shd w:val="clear" w:color="000000" w:fill="99CCFF"/>
          </w:tcPr>
          <w:p w14:paraId="51A80084" w14:textId="74218FAE"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1.5</w:t>
            </w:r>
          </w:p>
        </w:tc>
        <w:tc>
          <w:tcPr>
            <w:tcW w:w="1003" w:type="dxa"/>
            <w:tcBorders>
              <w:top w:val="nil"/>
              <w:left w:val="nil"/>
              <w:right w:val="nil"/>
            </w:tcBorders>
            <w:shd w:val="solid" w:color="99CCFF" w:fill="auto"/>
          </w:tcPr>
          <w:p w14:paraId="35289AE6" w14:textId="77777777"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3.3</w:t>
            </w:r>
          </w:p>
        </w:tc>
        <w:tc>
          <w:tcPr>
            <w:tcW w:w="1003" w:type="dxa"/>
            <w:tcBorders>
              <w:top w:val="nil"/>
              <w:left w:val="nil"/>
              <w:right w:val="nil"/>
            </w:tcBorders>
            <w:shd w:val="clear" w:color="000000" w:fill="FFFFCC"/>
          </w:tcPr>
          <w:p w14:paraId="71CB4650" w14:textId="4FDA0B57"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1.5</w:t>
            </w:r>
          </w:p>
        </w:tc>
        <w:tc>
          <w:tcPr>
            <w:tcW w:w="1004" w:type="dxa"/>
            <w:tcBorders>
              <w:top w:val="nil"/>
              <w:left w:val="nil"/>
              <w:bottom w:val="nil"/>
              <w:right w:val="single" w:sz="4" w:space="0" w:color="auto"/>
            </w:tcBorders>
            <w:shd w:val="solid" w:color="FFFFCC" w:fill="auto"/>
          </w:tcPr>
          <w:p w14:paraId="1E556652" w14:textId="77777777"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3.3</w:t>
            </w:r>
          </w:p>
        </w:tc>
      </w:tr>
      <w:tr w:rsidR="0064379B" w14:paraId="5A190115" w14:textId="77777777" w:rsidTr="00D4321E">
        <w:trPr>
          <w:trHeight w:val="290"/>
        </w:trPr>
        <w:tc>
          <w:tcPr>
            <w:tcW w:w="2105" w:type="dxa"/>
            <w:tcBorders>
              <w:top w:val="nil"/>
              <w:left w:val="single" w:sz="4" w:space="0" w:color="auto"/>
              <w:bottom w:val="single" w:sz="4" w:space="0" w:color="auto"/>
              <w:right w:val="nil"/>
            </w:tcBorders>
          </w:tcPr>
          <w:p w14:paraId="24AE8C5A" w14:textId="77777777" w:rsidR="0064379B" w:rsidRPr="00D4321E" w:rsidRDefault="0064379B" w:rsidP="0064379B">
            <w:pPr>
              <w:autoSpaceDE w:val="0"/>
              <w:autoSpaceDN w:val="0"/>
              <w:adjustRightInd w:val="0"/>
              <w:spacing w:after="0"/>
              <w:rPr>
                <w:rFonts w:ascii="Calibri" w:hAnsi="Calibri" w:cs="Calibri"/>
                <w:color w:val="000000"/>
                <w:sz w:val="18"/>
                <w:szCs w:val="18"/>
                <w:lang w:val="en-AU"/>
              </w:rPr>
            </w:pPr>
            <w:r w:rsidRPr="00D4321E">
              <w:rPr>
                <w:rFonts w:ascii="Calibri" w:hAnsi="Calibri" w:cs="Calibri"/>
                <w:color w:val="000000"/>
                <w:sz w:val="18"/>
                <w:szCs w:val="18"/>
                <w:lang w:val="en-AU"/>
              </w:rPr>
              <w:t>Acrylamide polymer</w:t>
            </w:r>
          </w:p>
        </w:tc>
        <w:tc>
          <w:tcPr>
            <w:tcW w:w="1003" w:type="dxa"/>
            <w:tcBorders>
              <w:top w:val="nil"/>
              <w:left w:val="nil"/>
              <w:bottom w:val="single" w:sz="4" w:space="0" w:color="auto"/>
              <w:right w:val="nil"/>
            </w:tcBorders>
            <w:shd w:val="clear" w:color="000000" w:fill="99CCFF"/>
          </w:tcPr>
          <w:p w14:paraId="574B306F" w14:textId="6B68DE1D"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1.4</w:t>
            </w:r>
          </w:p>
        </w:tc>
        <w:tc>
          <w:tcPr>
            <w:tcW w:w="1003" w:type="dxa"/>
            <w:tcBorders>
              <w:top w:val="nil"/>
              <w:left w:val="nil"/>
              <w:bottom w:val="single" w:sz="4" w:space="0" w:color="auto"/>
              <w:right w:val="nil"/>
            </w:tcBorders>
            <w:shd w:val="solid" w:color="99CCFF" w:fill="auto"/>
          </w:tcPr>
          <w:p w14:paraId="7A8E070F" w14:textId="77777777"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7.4</w:t>
            </w:r>
          </w:p>
        </w:tc>
        <w:tc>
          <w:tcPr>
            <w:tcW w:w="1003" w:type="dxa"/>
            <w:tcBorders>
              <w:top w:val="nil"/>
              <w:left w:val="nil"/>
              <w:bottom w:val="single" w:sz="4" w:space="0" w:color="auto"/>
              <w:right w:val="nil"/>
            </w:tcBorders>
            <w:shd w:val="clear" w:color="000000" w:fill="FFFFCC"/>
          </w:tcPr>
          <w:p w14:paraId="35B1CA81" w14:textId="2D18BA9F"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b/>
                <w:bCs/>
                <w:color w:val="000000"/>
                <w:sz w:val="18"/>
                <w:szCs w:val="18"/>
              </w:rPr>
              <w:t>1.4</w:t>
            </w:r>
          </w:p>
        </w:tc>
        <w:tc>
          <w:tcPr>
            <w:tcW w:w="1004" w:type="dxa"/>
            <w:tcBorders>
              <w:top w:val="nil"/>
              <w:left w:val="nil"/>
              <w:bottom w:val="single" w:sz="4" w:space="0" w:color="auto"/>
              <w:right w:val="single" w:sz="4" w:space="0" w:color="auto"/>
            </w:tcBorders>
            <w:shd w:val="solid" w:color="FFFFCC" w:fill="auto"/>
          </w:tcPr>
          <w:p w14:paraId="00B27AAD" w14:textId="77777777" w:rsidR="0064379B" w:rsidRPr="00D4321E" w:rsidRDefault="0064379B" w:rsidP="0064379B">
            <w:pPr>
              <w:autoSpaceDE w:val="0"/>
              <w:autoSpaceDN w:val="0"/>
              <w:adjustRightInd w:val="0"/>
              <w:spacing w:after="0"/>
              <w:jc w:val="center"/>
              <w:rPr>
                <w:rFonts w:ascii="Calibri" w:hAnsi="Calibri" w:cs="Calibri"/>
                <w:b/>
                <w:bCs/>
                <w:color w:val="000000"/>
                <w:sz w:val="18"/>
                <w:szCs w:val="18"/>
                <w:lang w:val="en-AU"/>
              </w:rPr>
            </w:pPr>
            <w:r w:rsidRPr="00D4321E">
              <w:rPr>
                <w:rFonts w:ascii="Calibri" w:hAnsi="Calibri" w:cs="Calibri"/>
                <w:b/>
                <w:bCs/>
                <w:color w:val="000000"/>
                <w:sz w:val="18"/>
                <w:szCs w:val="18"/>
                <w:lang w:val="en-AU"/>
              </w:rPr>
              <w:t>7.4</w:t>
            </w:r>
          </w:p>
        </w:tc>
      </w:tr>
    </w:tbl>
    <w:p w14:paraId="1C29AE9E" w14:textId="77777777" w:rsidR="00B2567C" w:rsidRDefault="00B2567C" w:rsidP="004032C3">
      <w:pPr>
        <w:pStyle w:val="Body"/>
      </w:pPr>
      <w:bookmarkStart w:id="669" w:name="_Ref454470806"/>
    </w:p>
    <w:p w14:paraId="1C6ED98F" w14:textId="1BC77C9E" w:rsidR="00A1198D" w:rsidRDefault="00A1198D" w:rsidP="00A1198D">
      <w:pPr>
        <w:pStyle w:val="Imagecaption"/>
        <w:keepNext/>
        <w:pBdr>
          <w:top w:val="none" w:sz="0" w:space="0" w:color="auto"/>
        </w:pBdr>
      </w:pPr>
      <w:bookmarkStart w:id="670" w:name="_Ref467530211"/>
      <w:bookmarkStart w:id="671" w:name="_Toc494444739"/>
      <w:bookmarkEnd w:id="669"/>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11</w:t>
      </w:r>
      <w:r w:rsidR="00470577">
        <w:fldChar w:fldCharType="end"/>
      </w:r>
      <w:bookmarkEnd w:id="670"/>
      <w:r>
        <w:t xml:space="preserve"> Sorption data (K</w:t>
      </w:r>
      <w:r w:rsidRPr="002C24F4">
        <w:rPr>
          <w:vertAlign w:val="subscript"/>
        </w:rPr>
        <w:t>OC</w:t>
      </w:r>
      <w:r w:rsidR="002A7F41">
        <w:rPr>
          <w:vertAlign w:val="subscript"/>
        </w:rPr>
        <w:t xml:space="preserve"> </w:t>
      </w:r>
      <w:r>
        <w:t xml:space="preserve">and distribution coefficient </w:t>
      </w:r>
      <w:proofErr w:type="gramStart"/>
      <w:r>
        <w:t>K</w:t>
      </w:r>
      <w:r w:rsidRPr="00C64C53">
        <w:rPr>
          <w:vertAlign w:val="subscript"/>
        </w:rPr>
        <w:t>d</w:t>
      </w:r>
      <w:proofErr w:type="gramEnd"/>
      <w:r>
        <w:rPr>
          <w:vertAlign w:val="subscript"/>
        </w:rPr>
        <w:t xml:space="preserve"> </w:t>
      </w:r>
      <w:r w:rsidRPr="002C24F4">
        <w:t xml:space="preserve">= </w:t>
      </w:r>
      <w:r w:rsidRPr="00A6566A">
        <w:t>f</w:t>
      </w:r>
      <w:r w:rsidRPr="00526F41">
        <w:rPr>
          <w:vertAlign w:val="subscript"/>
        </w:rPr>
        <w:t>OC</w:t>
      </w:r>
      <w:r w:rsidR="00CA79B1">
        <w:rPr>
          <w:vertAlign w:val="subscript"/>
        </w:rPr>
        <w:t>_r</w:t>
      </w:r>
      <w:r w:rsidRPr="002C24F4">
        <w:t xml:space="preserve"> x</w:t>
      </w:r>
      <w:r>
        <w:t xml:space="preserve"> </w:t>
      </w:r>
      <w:r w:rsidRPr="002C24F4">
        <w:t>K</w:t>
      </w:r>
      <w:r w:rsidRPr="002C24F4">
        <w:rPr>
          <w:vertAlign w:val="subscript"/>
        </w:rPr>
        <w:t>OC</w:t>
      </w:r>
      <w:r>
        <w:t xml:space="preserve"> with </w:t>
      </w:r>
      <w:r w:rsidRPr="00A6566A">
        <w:t>f</w:t>
      </w:r>
      <w:r w:rsidRPr="00526F41">
        <w:rPr>
          <w:vertAlign w:val="subscript"/>
        </w:rPr>
        <w:t>OC</w:t>
      </w:r>
      <w:r w:rsidR="00CA79B1">
        <w:rPr>
          <w:vertAlign w:val="subscript"/>
        </w:rPr>
        <w:t>_r</w:t>
      </w:r>
      <w:r w:rsidRPr="00A6566A">
        <w:t xml:space="preserve"> </w:t>
      </w:r>
      <w:r>
        <w:t xml:space="preserve">= </w:t>
      </w:r>
      <w:r w:rsidR="0026498F">
        <w:t>0.275 for Gunnedah and 0.0126 for Surat</w:t>
      </w:r>
      <w:r>
        <w:t xml:space="preserve">) used for attenuation calculations. MCI = Methyl-chloro-isothiazolinone. </w:t>
      </w:r>
      <w:r w:rsidR="00A42E92">
        <w:t>Values rounded to three significant figures.</w:t>
      </w:r>
      <w:bookmarkEnd w:id="671"/>
      <w:r w:rsidR="003B5BB4">
        <w:t xml:space="preserve"> </w:t>
      </w:r>
    </w:p>
    <w:tbl>
      <w:tblPr>
        <w:tblW w:w="8956" w:type="dxa"/>
        <w:tblInd w:w="-30" w:type="dxa"/>
        <w:tblLayout w:type="fixed"/>
        <w:tblLook w:val="0000" w:firstRow="0" w:lastRow="0" w:firstColumn="0" w:lastColumn="0" w:noHBand="0" w:noVBand="0"/>
      </w:tblPr>
      <w:tblGrid>
        <w:gridCol w:w="1726"/>
        <w:gridCol w:w="1418"/>
        <w:gridCol w:w="1134"/>
        <w:gridCol w:w="1276"/>
        <w:gridCol w:w="141"/>
        <w:gridCol w:w="882"/>
        <w:gridCol w:w="1245"/>
        <w:gridCol w:w="1134"/>
      </w:tblGrid>
      <w:tr w:rsidR="00A1198D" w14:paraId="780FC80F" w14:textId="77777777" w:rsidTr="00397262">
        <w:trPr>
          <w:trHeight w:val="290"/>
        </w:trPr>
        <w:tc>
          <w:tcPr>
            <w:tcW w:w="1726" w:type="dxa"/>
            <w:tcBorders>
              <w:top w:val="single" w:sz="4" w:space="0" w:color="auto"/>
              <w:left w:val="single" w:sz="4" w:space="0" w:color="auto"/>
              <w:bottom w:val="nil"/>
              <w:right w:val="nil"/>
            </w:tcBorders>
          </w:tcPr>
          <w:p w14:paraId="639D0FAD" w14:textId="77777777" w:rsidR="00A1198D" w:rsidRDefault="00A1198D" w:rsidP="00623D00">
            <w:pPr>
              <w:autoSpaceDE w:val="0"/>
              <w:autoSpaceDN w:val="0"/>
              <w:adjustRightInd w:val="0"/>
              <w:spacing w:after="0"/>
              <w:jc w:val="right"/>
              <w:rPr>
                <w:rFonts w:ascii="Calibri" w:hAnsi="Calibri" w:cs="Calibri"/>
                <w:color w:val="000000"/>
                <w:sz w:val="22"/>
                <w:szCs w:val="22"/>
                <w:lang w:val="en-AU"/>
              </w:rPr>
            </w:pPr>
          </w:p>
        </w:tc>
        <w:tc>
          <w:tcPr>
            <w:tcW w:w="2552" w:type="dxa"/>
            <w:gridSpan w:val="2"/>
            <w:tcBorders>
              <w:top w:val="single" w:sz="4" w:space="0" w:color="auto"/>
              <w:left w:val="nil"/>
              <w:bottom w:val="nil"/>
              <w:right w:val="single" w:sz="4" w:space="0" w:color="auto"/>
            </w:tcBorders>
          </w:tcPr>
          <w:p w14:paraId="1B6F39B0" w14:textId="77777777"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 xml:space="preserve">Sorption data, </w:t>
            </w:r>
            <w:r w:rsidRPr="00397262">
              <w:rPr>
                <w:rFonts w:ascii="Calibri" w:hAnsi="Calibri" w:cs="Calibri"/>
                <w:i/>
                <w:color w:val="000000"/>
                <w:sz w:val="18"/>
                <w:szCs w:val="18"/>
                <w:lang w:val="en-AU"/>
              </w:rPr>
              <w:t>K</w:t>
            </w:r>
            <w:r w:rsidRPr="00397262">
              <w:rPr>
                <w:rFonts w:ascii="Calibri" w:hAnsi="Calibri" w:cs="Calibri"/>
                <w:color w:val="000000"/>
                <w:sz w:val="18"/>
                <w:szCs w:val="18"/>
                <w:vertAlign w:val="subscript"/>
                <w:lang w:val="en-AU"/>
              </w:rPr>
              <w:t xml:space="preserve">OC </w:t>
            </w:r>
            <w:r w:rsidRPr="00397262">
              <w:rPr>
                <w:rFonts w:ascii="Calibri" w:hAnsi="Calibri" w:cs="Calibri"/>
                <w:color w:val="000000"/>
                <w:sz w:val="18"/>
                <w:szCs w:val="18"/>
                <w:lang w:val="en-AU"/>
              </w:rPr>
              <w:t>(L/kg)</w:t>
            </w:r>
          </w:p>
        </w:tc>
        <w:tc>
          <w:tcPr>
            <w:tcW w:w="4678" w:type="dxa"/>
            <w:gridSpan w:val="5"/>
            <w:tcBorders>
              <w:top w:val="single" w:sz="4" w:space="0" w:color="auto"/>
              <w:left w:val="nil"/>
              <w:bottom w:val="nil"/>
              <w:right w:val="single" w:sz="4" w:space="0" w:color="auto"/>
            </w:tcBorders>
          </w:tcPr>
          <w:p w14:paraId="1504E69D" w14:textId="77777777"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 xml:space="preserve">Sorption data, </w:t>
            </w:r>
            <w:r w:rsidRPr="00397262">
              <w:rPr>
                <w:rFonts w:ascii="Calibri" w:hAnsi="Calibri" w:cs="Calibri"/>
                <w:i/>
                <w:color w:val="000000"/>
                <w:sz w:val="18"/>
                <w:szCs w:val="18"/>
                <w:lang w:val="en-AU"/>
              </w:rPr>
              <w:t>K</w:t>
            </w:r>
            <w:r w:rsidRPr="00397262">
              <w:rPr>
                <w:rFonts w:ascii="Calibri" w:hAnsi="Calibri" w:cs="Calibri"/>
                <w:color w:val="000000"/>
                <w:sz w:val="18"/>
                <w:szCs w:val="18"/>
                <w:vertAlign w:val="subscript"/>
                <w:lang w:val="en-AU"/>
              </w:rPr>
              <w:t xml:space="preserve">d </w:t>
            </w:r>
            <w:r w:rsidRPr="00397262">
              <w:rPr>
                <w:rFonts w:ascii="Calibri" w:hAnsi="Calibri" w:cs="Calibri"/>
                <w:color w:val="000000"/>
                <w:sz w:val="18"/>
                <w:szCs w:val="18"/>
                <w:lang w:val="en-AU"/>
              </w:rPr>
              <w:t>(L/kg)</w:t>
            </w:r>
          </w:p>
        </w:tc>
      </w:tr>
      <w:tr w:rsidR="00A1198D" w14:paraId="74DD38D7" w14:textId="77777777" w:rsidTr="00397262">
        <w:trPr>
          <w:trHeight w:val="290"/>
        </w:trPr>
        <w:tc>
          <w:tcPr>
            <w:tcW w:w="1726" w:type="dxa"/>
            <w:tcBorders>
              <w:top w:val="nil"/>
              <w:left w:val="single" w:sz="4" w:space="0" w:color="auto"/>
              <w:bottom w:val="nil"/>
              <w:right w:val="nil"/>
            </w:tcBorders>
          </w:tcPr>
          <w:p w14:paraId="107ADC0A" w14:textId="77777777" w:rsidR="00A1198D" w:rsidRDefault="00A1198D" w:rsidP="00623D00">
            <w:pPr>
              <w:autoSpaceDE w:val="0"/>
              <w:autoSpaceDN w:val="0"/>
              <w:adjustRightInd w:val="0"/>
              <w:spacing w:after="0"/>
              <w:jc w:val="right"/>
              <w:rPr>
                <w:rFonts w:ascii="Calibri" w:hAnsi="Calibri" w:cs="Calibri"/>
                <w:color w:val="000000"/>
                <w:sz w:val="22"/>
                <w:szCs w:val="22"/>
                <w:lang w:val="en-AU"/>
              </w:rPr>
            </w:pPr>
          </w:p>
        </w:tc>
        <w:tc>
          <w:tcPr>
            <w:tcW w:w="2552" w:type="dxa"/>
            <w:gridSpan w:val="2"/>
            <w:tcBorders>
              <w:top w:val="nil"/>
              <w:left w:val="nil"/>
              <w:bottom w:val="nil"/>
              <w:right w:val="nil"/>
            </w:tcBorders>
            <w:shd w:val="solid" w:color="FFCC99" w:fill="auto"/>
          </w:tcPr>
          <w:p w14:paraId="54583762" w14:textId="77777777"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Baseline</w:t>
            </w:r>
          </w:p>
        </w:tc>
        <w:tc>
          <w:tcPr>
            <w:tcW w:w="2299" w:type="dxa"/>
            <w:gridSpan w:val="3"/>
            <w:tcBorders>
              <w:top w:val="nil"/>
              <w:left w:val="nil"/>
              <w:bottom w:val="nil"/>
              <w:right w:val="nil"/>
            </w:tcBorders>
            <w:shd w:val="solid" w:color="99CCFF" w:fill="auto"/>
          </w:tcPr>
          <w:p w14:paraId="57519CF1" w14:textId="77777777"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Gunnedah</w:t>
            </w:r>
          </w:p>
        </w:tc>
        <w:tc>
          <w:tcPr>
            <w:tcW w:w="2379" w:type="dxa"/>
            <w:gridSpan w:val="2"/>
            <w:tcBorders>
              <w:top w:val="nil"/>
              <w:left w:val="nil"/>
              <w:bottom w:val="nil"/>
              <w:right w:val="single" w:sz="4" w:space="0" w:color="auto"/>
            </w:tcBorders>
            <w:shd w:val="solid" w:color="FFFFCC" w:fill="auto"/>
          </w:tcPr>
          <w:p w14:paraId="70FEAA6E" w14:textId="77777777"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Surat</w:t>
            </w:r>
          </w:p>
        </w:tc>
      </w:tr>
      <w:tr w:rsidR="00A1198D" w14:paraId="058D5180" w14:textId="77777777" w:rsidTr="00397262">
        <w:trPr>
          <w:trHeight w:val="290"/>
        </w:trPr>
        <w:tc>
          <w:tcPr>
            <w:tcW w:w="1726" w:type="dxa"/>
            <w:tcBorders>
              <w:top w:val="nil"/>
              <w:left w:val="single" w:sz="4" w:space="0" w:color="auto"/>
              <w:bottom w:val="single" w:sz="6" w:space="0" w:color="auto"/>
              <w:right w:val="nil"/>
            </w:tcBorders>
          </w:tcPr>
          <w:p w14:paraId="65DA8C1C" w14:textId="77777777" w:rsidR="00A1198D" w:rsidRPr="00397262" w:rsidRDefault="00A1198D" w:rsidP="00623D00">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Chemical substance</w:t>
            </w:r>
          </w:p>
        </w:tc>
        <w:tc>
          <w:tcPr>
            <w:tcW w:w="1418" w:type="dxa"/>
            <w:tcBorders>
              <w:top w:val="nil"/>
              <w:left w:val="nil"/>
              <w:bottom w:val="single" w:sz="6" w:space="0" w:color="auto"/>
              <w:right w:val="nil"/>
            </w:tcBorders>
            <w:shd w:val="solid" w:color="FFCC99" w:fill="auto"/>
          </w:tcPr>
          <w:p w14:paraId="0C3DFFB1" w14:textId="5D84002A" w:rsidR="00A1198D" w:rsidRPr="00397262" w:rsidRDefault="00397262" w:rsidP="00623D0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1198D" w:rsidRPr="00397262">
              <w:rPr>
                <w:rFonts w:ascii="Calibri" w:hAnsi="Calibri" w:cs="Calibri"/>
                <w:color w:val="000000"/>
                <w:sz w:val="18"/>
                <w:szCs w:val="18"/>
                <w:lang w:val="en-AU"/>
              </w:rPr>
              <w:t>in</w:t>
            </w:r>
          </w:p>
        </w:tc>
        <w:tc>
          <w:tcPr>
            <w:tcW w:w="1134" w:type="dxa"/>
            <w:tcBorders>
              <w:top w:val="nil"/>
              <w:left w:val="nil"/>
              <w:bottom w:val="single" w:sz="6" w:space="0" w:color="auto"/>
              <w:right w:val="nil"/>
            </w:tcBorders>
            <w:shd w:val="solid" w:color="FFCC99" w:fill="auto"/>
          </w:tcPr>
          <w:p w14:paraId="4186E3E5" w14:textId="2B74473E" w:rsidR="00A1198D" w:rsidRPr="00397262" w:rsidRDefault="00397262" w:rsidP="00623D0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1198D" w:rsidRPr="00397262">
              <w:rPr>
                <w:rFonts w:ascii="Calibri" w:hAnsi="Calibri" w:cs="Calibri"/>
                <w:color w:val="000000"/>
                <w:sz w:val="18"/>
                <w:szCs w:val="18"/>
                <w:lang w:val="en-AU"/>
              </w:rPr>
              <w:t>ax</w:t>
            </w:r>
          </w:p>
        </w:tc>
        <w:tc>
          <w:tcPr>
            <w:tcW w:w="1276" w:type="dxa"/>
            <w:tcBorders>
              <w:top w:val="nil"/>
              <w:left w:val="nil"/>
              <w:bottom w:val="single" w:sz="6" w:space="0" w:color="auto"/>
              <w:right w:val="nil"/>
            </w:tcBorders>
            <w:shd w:val="solid" w:color="99CCFF" w:fill="auto"/>
          </w:tcPr>
          <w:p w14:paraId="6EE1A3AD" w14:textId="3FD46F30" w:rsidR="00A1198D" w:rsidRPr="00397262" w:rsidRDefault="00397262" w:rsidP="00623D0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1198D" w:rsidRPr="00397262">
              <w:rPr>
                <w:rFonts w:ascii="Calibri" w:hAnsi="Calibri" w:cs="Calibri"/>
                <w:color w:val="000000"/>
                <w:sz w:val="18"/>
                <w:szCs w:val="18"/>
                <w:lang w:val="en-AU"/>
              </w:rPr>
              <w:t>in</w:t>
            </w:r>
          </w:p>
        </w:tc>
        <w:tc>
          <w:tcPr>
            <w:tcW w:w="1023" w:type="dxa"/>
            <w:gridSpan w:val="2"/>
            <w:tcBorders>
              <w:top w:val="nil"/>
              <w:left w:val="nil"/>
              <w:bottom w:val="single" w:sz="6" w:space="0" w:color="auto"/>
              <w:right w:val="nil"/>
            </w:tcBorders>
            <w:shd w:val="solid" w:color="99CCFF" w:fill="auto"/>
          </w:tcPr>
          <w:p w14:paraId="61511BBB" w14:textId="2DE830AD" w:rsidR="00A1198D" w:rsidRPr="00397262" w:rsidRDefault="00397262" w:rsidP="00623D0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1198D" w:rsidRPr="00397262">
              <w:rPr>
                <w:rFonts w:ascii="Calibri" w:hAnsi="Calibri" w:cs="Calibri"/>
                <w:color w:val="000000"/>
                <w:sz w:val="18"/>
                <w:szCs w:val="18"/>
                <w:lang w:val="en-AU"/>
              </w:rPr>
              <w:t>ax</w:t>
            </w:r>
          </w:p>
        </w:tc>
        <w:tc>
          <w:tcPr>
            <w:tcW w:w="1245" w:type="dxa"/>
            <w:tcBorders>
              <w:top w:val="nil"/>
              <w:left w:val="nil"/>
              <w:bottom w:val="single" w:sz="6" w:space="0" w:color="auto"/>
              <w:right w:val="nil"/>
            </w:tcBorders>
            <w:shd w:val="solid" w:color="FFFFCC" w:fill="auto"/>
          </w:tcPr>
          <w:p w14:paraId="7FA1C6BF" w14:textId="7CD765C2" w:rsidR="00A1198D" w:rsidRPr="00397262" w:rsidRDefault="00397262" w:rsidP="00623D0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1198D" w:rsidRPr="00397262">
              <w:rPr>
                <w:rFonts w:ascii="Calibri" w:hAnsi="Calibri" w:cs="Calibri"/>
                <w:color w:val="000000"/>
                <w:sz w:val="18"/>
                <w:szCs w:val="18"/>
                <w:lang w:val="en-AU"/>
              </w:rPr>
              <w:t>in</w:t>
            </w:r>
          </w:p>
        </w:tc>
        <w:tc>
          <w:tcPr>
            <w:tcW w:w="1134" w:type="dxa"/>
            <w:tcBorders>
              <w:top w:val="nil"/>
              <w:left w:val="nil"/>
              <w:bottom w:val="single" w:sz="6" w:space="0" w:color="auto"/>
              <w:right w:val="single" w:sz="4" w:space="0" w:color="auto"/>
            </w:tcBorders>
            <w:shd w:val="solid" w:color="FFFFCC" w:fill="auto"/>
          </w:tcPr>
          <w:p w14:paraId="7C528A37" w14:textId="1F4BEAA1" w:rsidR="00A1198D" w:rsidRPr="00397262" w:rsidRDefault="00397262" w:rsidP="00623D0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A1198D" w:rsidRPr="00397262">
              <w:rPr>
                <w:rFonts w:ascii="Calibri" w:hAnsi="Calibri" w:cs="Calibri"/>
                <w:color w:val="000000"/>
                <w:sz w:val="18"/>
                <w:szCs w:val="18"/>
                <w:lang w:val="en-AU"/>
              </w:rPr>
              <w:t>ax</w:t>
            </w:r>
          </w:p>
        </w:tc>
      </w:tr>
      <w:tr w:rsidR="00BC76FF" w14:paraId="68A9106C" w14:textId="77777777" w:rsidTr="00397262">
        <w:trPr>
          <w:trHeight w:val="290"/>
        </w:trPr>
        <w:tc>
          <w:tcPr>
            <w:tcW w:w="1726" w:type="dxa"/>
            <w:tcBorders>
              <w:top w:val="nil"/>
              <w:left w:val="single" w:sz="4" w:space="0" w:color="auto"/>
              <w:bottom w:val="nil"/>
              <w:right w:val="nil"/>
            </w:tcBorders>
          </w:tcPr>
          <w:p w14:paraId="197C562C" w14:textId="77777777" w:rsidR="00BC76FF" w:rsidRPr="00397262" w:rsidRDefault="00BC76FF" w:rsidP="00BC76FF">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2-methylphenol</w:t>
            </w:r>
          </w:p>
        </w:tc>
        <w:tc>
          <w:tcPr>
            <w:tcW w:w="1418" w:type="dxa"/>
            <w:tcBorders>
              <w:top w:val="nil"/>
              <w:left w:val="nil"/>
              <w:bottom w:val="nil"/>
              <w:right w:val="nil"/>
            </w:tcBorders>
            <w:shd w:val="solid" w:color="FFCC99" w:fill="auto"/>
          </w:tcPr>
          <w:p w14:paraId="52029213"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22</w:t>
            </w:r>
          </w:p>
        </w:tc>
        <w:tc>
          <w:tcPr>
            <w:tcW w:w="1134" w:type="dxa"/>
            <w:tcBorders>
              <w:top w:val="nil"/>
              <w:left w:val="nil"/>
              <w:bottom w:val="nil"/>
              <w:right w:val="nil"/>
            </w:tcBorders>
            <w:shd w:val="solid" w:color="FFCC99" w:fill="auto"/>
          </w:tcPr>
          <w:p w14:paraId="47AAD6AB"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251</w:t>
            </w:r>
          </w:p>
        </w:tc>
        <w:tc>
          <w:tcPr>
            <w:tcW w:w="1417" w:type="dxa"/>
            <w:gridSpan w:val="2"/>
            <w:tcBorders>
              <w:top w:val="single" w:sz="6" w:space="0" w:color="auto"/>
              <w:left w:val="nil"/>
              <w:bottom w:val="nil"/>
              <w:right w:val="nil"/>
            </w:tcBorders>
            <w:shd w:val="clear" w:color="000000" w:fill="99CCFF"/>
            <w:vAlign w:val="bottom"/>
          </w:tcPr>
          <w:p w14:paraId="7FFA29F2" w14:textId="0B8C54EC"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6.0</w:t>
            </w:r>
          </w:p>
        </w:tc>
        <w:tc>
          <w:tcPr>
            <w:tcW w:w="882" w:type="dxa"/>
            <w:tcBorders>
              <w:top w:val="single" w:sz="6" w:space="0" w:color="auto"/>
              <w:left w:val="nil"/>
              <w:bottom w:val="nil"/>
              <w:right w:val="nil"/>
            </w:tcBorders>
            <w:shd w:val="clear" w:color="000000" w:fill="99CCFF"/>
            <w:vAlign w:val="bottom"/>
          </w:tcPr>
          <w:p w14:paraId="3B282239" w14:textId="21A2979C"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69</w:t>
            </w:r>
          </w:p>
        </w:tc>
        <w:tc>
          <w:tcPr>
            <w:tcW w:w="1245" w:type="dxa"/>
            <w:tcBorders>
              <w:top w:val="single" w:sz="6" w:space="0" w:color="auto"/>
              <w:left w:val="nil"/>
              <w:bottom w:val="nil"/>
              <w:right w:val="nil"/>
            </w:tcBorders>
            <w:shd w:val="clear" w:color="000000" w:fill="FFFFCC"/>
            <w:vAlign w:val="bottom"/>
          </w:tcPr>
          <w:p w14:paraId="0DB5C18C" w14:textId="70BBCEC5"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0.28</w:t>
            </w:r>
          </w:p>
        </w:tc>
        <w:tc>
          <w:tcPr>
            <w:tcW w:w="1134" w:type="dxa"/>
            <w:tcBorders>
              <w:top w:val="single" w:sz="6" w:space="0" w:color="auto"/>
              <w:left w:val="nil"/>
              <w:bottom w:val="nil"/>
              <w:right w:val="single" w:sz="4" w:space="0" w:color="auto"/>
            </w:tcBorders>
            <w:shd w:val="clear" w:color="000000" w:fill="FFFFCC"/>
            <w:vAlign w:val="bottom"/>
          </w:tcPr>
          <w:p w14:paraId="10CECD5D" w14:textId="6FF85C3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3.2</w:t>
            </w:r>
          </w:p>
        </w:tc>
      </w:tr>
      <w:tr w:rsidR="00BC76FF" w14:paraId="57361E60" w14:textId="77777777" w:rsidTr="00397262">
        <w:trPr>
          <w:trHeight w:val="290"/>
        </w:trPr>
        <w:tc>
          <w:tcPr>
            <w:tcW w:w="1726" w:type="dxa"/>
            <w:tcBorders>
              <w:top w:val="nil"/>
              <w:left w:val="single" w:sz="4" w:space="0" w:color="auto"/>
              <w:bottom w:val="nil"/>
              <w:right w:val="nil"/>
            </w:tcBorders>
          </w:tcPr>
          <w:p w14:paraId="38E7DC72" w14:textId="77777777" w:rsidR="00BC76FF" w:rsidRPr="00397262" w:rsidRDefault="00BC76FF" w:rsidP="00BC76FF">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Naphthalene</w:t>
            </w:r>
          </w:p>
        </w:tc>
        <w:tc>
          <w:tcPr>
            <w:tcW w:w="1418" w:type="dxa"/>
            <w:tcBorders>
              <w:top w:val="nil"/>
              <w:left w:val="nil"/>
              <w:bottom w:val="nil"/>
              <w:right w:val="nil"/>
            </w:tcBorders>
            <w:shd w:val="solid" w:color="FFCC99" w:fill="auto"/>
          </w:tcPr>
          <w:p w14:paraId="3200D9C1"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17</w:t>
            </w:r>
          </w:p>
        </w:tc>
        <w:tc>
          <w:tcPr>
            <w:tcW w:w="1134" w:type="dxa"/>
            <w:tcBorders>
              <w:top w:val="nil"/>
              <w:left w:val="nil"/>
              <w:bottom w:val="nil"/>
              <w:right w:val="nil"/>
            </w:tcBorders>
            <w:shd w:val="solid" w:color="FFCC99" w:fill="auto"/>
          </w:tcPr>
          <w:p w14:paraId="65AEA0DF" w14:textId="1423B5DE" w:rsidR="00BC76FF" w:rsidRPr="00397262" w:rsidRDefault="00BC76FF" w:rsidP="00A42E92">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26</w:t>
            </w:r>
            <w:r w:rsidR="00A42E92" w:rsidRPr="00397262">
              <w:rPr>
                <w:rFonts w:ascii="Calibri" w:hAnsi="Calibri" w:cs="Calibri"/>
                <w:b/>
                <w:bCs/>
                <w:color w:val="000000"/>
                <w:sz w:val="18"/>
                <w:szCs w:val="18"/>
                <w:lang w:val="en-AU"/>
              </w:rPr>
              <w:t>,</w:t>
            </w:r>
            <w:r w:rsidRPr="00397262">
              <w:rPr>
                <w:rFonts w:ascii="Calibri" w:hAnsi="Calibri" w:cs="Calibri"/>
                <w:b/>
                <w:bCs/>
                <w:color w:val="000000"/>
                <w:sz w:val="18"/>
                <w:szCs w:val="18"/>
                <w:lang w:val="en-AU"/>
              </w:rPr>
              <w:t>9</w:t>
            </w:r>
            <w:r w:rsidR="00A42E92" w:rsidRPr="00397262">
              <w:rPr>
                <w:rFonts w:ascii="Calibri" w:hAnsi="Calibri" w:cs="Calibri"/>
                <w:b/>
                <w:bCs/>
                <w:color w:val="000000"/>
                <w:sz w:val="18"/>
                <w:szCs w:val="18"/>
                <w:lang w:val="en-AU"/>
              </w:rPr>
              <w:t>00</w:t>
            </w:r>
          </w:p>
        </w:tc>
        <w:tc>
          <w:tcPr>
            <w:tcW w:w="1417" w:type="dxa"/>
            <w:gridSpan w:val="2"/>
            <w:tcBorders>
              <w:top w:val="nil"/>
              <w:left w:val="nil"/>
              <w:bottom w:val="nil"/>
              <w:right w:val="nil"/>
            </w:tcBorders>
            <w:shd w:val="clear" w:color="000000" w:fill="99CCFF"/>
            <w:vAlign w:val="bottom"/>
          </w:tcPr>
          <w:p w14:paraId="775E6A18" w14:textId="023966D8"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4.7</w:t>
            </w:r>
          </w:p>
        </w:tc>
        <w:tc>
          <w:tcPr>
            <w:tcW w:w="882" w:type="dxa"/>
            <w:tcBorders>
              <w:top w:val="nil"/>
              <w:left w:val="nil"/>
              <w:bottom w:val="nil"/>
              <w:right w:val="nil"/>
            </w:tcBorders>
            <w:shd w:val="clear" w:color="000000" w:fill="99CCFF"/>
            <w:vAlign w:val="bottom"/>
          </w:tcPr>
          <w:p w14:paraId="7C1907D0" w14:textId="465A6A0B" w:rsidR="00BC76FF" w:rsidRPr="00397262" w:rsidRDefault="00BC76FF" w:rsidP="00BE5D78">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7</w:t>
            </w:r>
            <w:r w:rsidR="00BE5D78" w:rsidRPr="00397262">
              <w:rPr>
                <w:rFonts w:ascii="Calibri" w:hAnsi="Calibri"/>
                <w:b/>
                <w:bCs/>
                <w:color w:val="000000"/>
                <w:sz w:val="18"/>
                <w:szCs w:val="18"/>
              </w:rPr>
              <w:t>,</w:t>
            </w:r>
            <w:r w:rsidRPr="00397262">
              <w:rPr>
                <w:rFonts w:ascii="Calibri" w:hAnsi="Calibri"/>
                <w:b/>
                <w:bCs/>
                <w:color w:val="000000"/>
                <w:sz w:val="18"/>
                <w:szCs w:val="18"/>
              </w:rPr>
              <w:t>40</w:t>
            </w:r>
            <w:r w:rsidR="00BE5D78" w:rsidRPr="00397262">
              <w:rPr>
                <w:rFonts w:ascii="Calibri" w:hAnsi="Calibri"/>
                <w:b/>
                <w:bCs/>
                <w:color w:val="000000"/>
                <w:sz w:val="18"/>
                <w:szCs w:val="18"/>
              </w:rPr>
              <w:t>0</w:t>
            </w:r>
          </w:p>
        </w:tc>
        <w:tc>
          <w:tcPr>
            <w:tcW w:w="1245" w:type="dxa"/>
            <w:tcBorders>
              <w:top w:val="nil"/>
              <w:left w:val="nil"/>
              <w:bottom w:val="nil"/>
              <w:right w:val="nil"/>
            </w:tcBorders>
            <w:shd w:val="clear" w:color="000000" w:fill="FFFFCC"/>
            <w:vAlign w:val="bottom"/>
          </w:tcPr>
          <w:p w14:paraId="674DA262" w14:textId="0AE6666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0.21</w:t>
            </w:r>
          </w:p>
        </w:tc>
        <w:tc>
          <w:tcPr>
            <w:tcW w:w="1134" w:type="dxa"/>
            <w:tcBorders>
              <w:top w:val="nil"/>
              <w:left w:val="nil"/>
              <w:bottom w:val="nil"/>
              <w:right w:val="single" w:sz="4" w:space="0" w:color="auto"/>
            </w:tcBorders>
            <w:shd w:val="clear" w:color="000000" w:fill="FFFFCC"/>
            <w:vAlign w:val="bottom"/>
          </w:tcPr>
          <w:p w14:paraId="285B7221" w14:textId="43F321FC"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339</w:t>
            </w:r>
          </w:p>
        </w:tc>
      </w:tr>
      <w:tr w:rsidR="00BC76FF" w14:paraId="1DAC8809" w14:textId="77777777" w:rsidTr="00397262">
        <w:trPr>
          <w:trHeight w:val="290"/>
        </w:trPr>
        <w:tc>
          <w:tcPr>
            <w:tcW w:w="1726" w:type="dxa"/>
            <w:tcBorders>
              <w:top w:val="nil"/>
              <w:left w:val="single" w:sz="4" w:space="0" w:color="auto"/>
              <w:bottom w:val="nil"/>
              <w:right w:val="nil"/>
            </w:tcBorders>
          </w:tcPr>
          <w:p w14:paraId="5238202A" w14:textId="77777777" w:rsidR="00BC76FF" w:rsidRPr="00397262" w:rsidRDefault="00BC76FF" w:rsidP="00BC76FF">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Limonene</w:t>
            </w:r>
          </w:p>
        </w:tc>
        <w:tc>
          <w:tcPr>
            <w:tcW w:w="1418" w:type="dxa"/>
            <w:tcBorders>
              <w:top w:val="nil"/>
              <w:left w:val="nil"/>
              <w:bottom w:val="nil"/>
              <w:right w:val="nil"/>
            </w:tcBorders>
            <w:shd w:val="solid" w:color="FFCC99" w:fill="auto"/>
          </w:tcPr>
          <w:p w14:paraId="4E36DC8D" w14:textId="3A41D1B1"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r w:rsidR="000D20DB" w:rsidRPr="00397262">
              <w:rPr>
                <w:rFonts w:ascii="Calibri" w:hAnsi="Calibri" w:cs="Calibri"/>
                <w:b/>
                <w:bCs/>
                <w:color w:val="000000"/>
                <w:sz w:val="18"/>
                <w:szCs w:val="18"/>
                <w:lang w:val="en-AU"/>
              </w:rPr>
              <w:t>,</w:t>
            </w:r>
            <w:r w:rsidRPr="00397262">
              <w:rPr>
                <w:rFonts w:ascii="Calibri" w:hAnsi="Calibri" w:cs="Calibri"/>
                <w:b/>
                <w:bCs/>
                <w:color w:val="000000"/>
                <w:sz w:val="18"/>
                <w:szCs w:val="18"/>
                <w:lang w:val="en-AU"/>
              </w:rPr>
              <w:t>000</w:t>
            </w:r>
          </w:p>
        </w:tc>
        <w:tc>
          <w:tcPr>
            <w:tcW w:w="1134" w:type="dxa"/>
            <w:tcBorders>
              <w:top w:val="nil"/>
              <w:left w:val="nil"/>
              <w:bottom w:val="nil"/>
              <w:right w:val="nil"/>
            </w:tcBorders>
            <w:shd w:val="solid" w:color="FFCC99" w:fill="auto"/>
          </w:tcPr>
          <w:p w14:paraId="29B7D947" w14:textId="60337A27" w:rsidR="00BC76FF" w:rsidRPr="00397262" w:rsidRDefault="00BC76FF" w:rsidP="00A42E92">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58</w:t>
            </w:r>
            <w:r w:rsidR="00A42E92" w:rsidRPr="00397262">
              <w:rPr>
                <w:rFonts w:ascii="Calibri" w:hAnsi="Calibri" w:cs="Calibri"/>
                <w:b/>
                <w:bCs/>
                <w:color w:val="000000"/>
                <w:sz w:val="18"/>
                <w:szCs w:val="18"/>
                <w:lang w:val="en-AU"/>
              </w:rPr>
              <w:t>,900</w:t>
            </w:r>
          </w:p>
        </w:tc>
        <w:tc>
          <w:tcPr>
            <w:tcW w:w="1417" w:type="dxa"/>
            <w:gridSpan w:val="2"/>
            <w:tcBorders>
              <w:top w:val="nil"/>
              <w:left w:val="nil"/>
              <w:bottom w:val="nil"/>
              <w:right w:val="nil"/>
            </w:tcBorders>
            <w:shd w:val="clear" w:color="000000" w:fill="99CCFF"/>
            <w:vAlign w:val="bottom"/>
          </w:tcPr>
          <w:p w14:paraId="0D173A49" w14:textId="75FDB16E"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275</w:t>
            </w:r>
          </w:p>
        </w:tc>
        <w:tc>
          <w:tcPr>
            <w:tcW w:w="882" w:type="dxa"/>
            <w:tcBorders>
              <w:top w:val="nil"/>
              <w:left w:val="nil"/>
              <w:bottom w:val="nil"/>
              <w:right w:val="nil"/>
            </w:tcBorders>
            <w:shd w:val="clear" w:color="000000" w:fill="99CCFF"/>
            <w:vAlign w:val="bottom"/>
          </w:tcPr>
          <w:p w14:paraId="4F23AC8E" w14:textId="0835A2EB" w:rsidR="00BC76FF" w:rsidRPr="00397262" w:rsidRDefault="00BC76FF" w:rsidP="00BE5D78">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16</w:t>
            </w:r>
            <w:r w:rsidR="00BE5D78" w:rsidRPr="00397262">
              <w:rPr>
                <w:rFonts w:ascii="Calibri" w:hAnsi="Calibri"/>
                <w:b/>
                <w:bCs/>
                <w:color w:val="000000"/>
                <w:sz w:val="18"/>
                <w:szCs w:val="18"/>
              </w:rPr>
              <w:t>,200</w:t>
            </w:r>
          </w:p>
        </w:tc>
        <w:tc>
          <w:tcPr>
            <w:tcW w:w="1245" w:type="dxa"/>
            <w:tcBorders>
              <w:top w:val="nil"/>
              <w:left w:val="nil"/>
              <w:bottom w:val="nil"/>
              <w:right w:val="nil"/>
            </w:tcBorders>
            <w:shd w:val="clear" w:color="000000" w:fill="FFFFCC"/>
            <w:vAlign w:val="bottom"/>
          </w:tcPr>
          <w:p w14:paraId="269F999B" w14:textId="7693427F"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12.60</w:t>
            </w:r>
          </w:p>
        </w:tc>
        <w:tc>
          <w:tcPr>
            <w:tcW w:w="1134" w:type="dxa"/>
            <w:tcBorders>
              <w:top w:val="nil"/>
              <w:left w:val="nil"/>
              <w:bottom w:val="nil"/>
              <w:right w:val="single" w:sz="4" w:space="0" w:color="auto"/>
            </w:tcBorders>
            <w:shd w:val="clear" w:color="000000" w:fill="FFFFCC"/>
            <w:vAlign w:val="bottom"/>
          </w:tcPr>
          <w:p w14:paraId="53D496DD" w14:textId="0A6AE9C4"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742</w:t>
            </w:r>
          </w:p>
        </w:tc>
      </w:tr>
      <w:tr w:rsidR="00BC76FF" w14:paraId="4B06984E" w14:textId="77777777" w:rsidTr="00397262">
        <w:trPr>
          <w:trHeight w:val="290"/>
        </w:trPr>
        <w:tc>
          <w:tcPr>
            <w:tcW w:w="1726" w:type="dxa"/>
            <w:tcBorders>
              <w:top w:val="nil"/>
              <w:left w:val="single" w:sz="4" w:space="0" w:color="auto"/>
              <w:bottom w:val="nil"/>
              <w:right w:val="nil"/>
            </w:tcBorders>
          </w:tcPr>
          <w:p w14:paraId="7EEB7C62" w14:textId="77777777" w:rsidR="00BC76FF" w:rsidRPr="00397262" w:rsidRDefault="00BC76FF" w:rsidP="00BC76FF">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HMX</w:t>
            </w:r>
          </w:p>
        </w:tc>
        <w:tc>
          <w:tcPr>
            <w:tcW w:w="1418" w:type="dxa"/>
            <w:tcBorders>
              <w:top w:val="nil"/>
              <w:left w:val="nil"/>
              <w:bottom w:val="nil"/>
              <w:right w:val="nil"/>
            </w:tcBorders>
            <w:shd w:val="solid" w:color="FFCC99" w:fill="auto"/>
          </w:tcPr>
          <w:p w14:paraId="2B0FC7DE"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32</w:t>
            </w:r>
          </w:p>
        </w:tc>
        <w:tc>
          <w:tcPr>
            <w:tcW w:w="1134" w:type="dxa"/>
            <w:tcBorders>
              <w:top w:val="nil"/>
              <w:left w:val="nil"/>
              <w:bottom w:val="nil"/>
              <w:right w:val="nil"/>
            </w:tcBorders>
            <w:shd w:val="solid" w:color="FFCC99" w:fill="auto"/>
          </w:tcPr>
          <w:p w14:paraId="17736AB0" w14:textId="3DAE7E76" w:rsidR="00BC76FF" w:rsidRPr="00397262" w:rsidRDefault="00BC76FF" w:rsidP="00A42E92">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r w:rsidR="00A42E92" w:rsidRPr="00397262">
              <w:rPr>
                <w:rFonts w:ascii="Calibri" w:hAnsi="Calibri" w:cs="Calibri"/>
                <w:b/>
                <w:bCs/>
                <w:color w:val="000000"/>
                <w:sz w:val="18"/>
                <w:szCs w:val="18"/>
                <w:lang w:val="en-AU"/>
              </w:rPr>
              <w:t>,</w:t>
            </w:r>
            <w:r w:rsidRPr="00397262">
              <w:rPr>
                <w:rFonts w:ascii="Calibri" w:hAnsi="Calibri" w:cs="Calibri"/>
                <w:b/>
                <w:bCs/>
                <w:color w:val="000000"/>
                <w:sz w:val="18"/>
                <w:szCs w:val="18"/>
                <w:lang w:val="en-AU"/>
              </w:rPr>
              <w:t>2</w:t>
            </w:r>
            <w:r w:rsidR="00A42E92" w:rsidRPr="00397262">
              <w:rPr>
                <w:rFonts w:ascii="Calibri" w:hAnsi="Calibri" w:cs="Calibri"/>
                <w:b/>
                <w:bCs/>
                <w:color w:val="000000"/>
                <w:sz w:val="18"/>
                <w:szCs w:val="18"/>
                <w:lang w:val="en-AU"/>
              </w:rPr>
              <w:t>60</w:t>
            </w:r>
          </w:p>
        </w:tc>
        <w:tc>
          <w:tcPr>
            <w:tcW w:w="1417" w:type="dxa"/>
            <w:gridSpan w:val="2"/>
            <w:tcBorders>
              <w:top w:val="nil"/>
              <w:left w:val="nil"/>
              <w:bottom w:val="nil"/>
              <w:right w:val="nil"/>
            </w:tcBorders>
            <w:shd w:val="clear" w:color="000000" w:fill="99CCFF"/>
            <w:vAlign w:val="bottom"/>
          </w:tcPr>
          <w:p w14:paraId="41D0B003" w14:textId="2C47D1EB"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8.7</w:t>
            </w:r>
          </w:p>
        </w:tc>
        <w:tc>
          <w:tcPr>
            <w:tcW w:w="882" w:type="dxa"/>
            <w:tcBorders>
              <w:top w:val="nil"/>
              <w:left w:val="nil"/>
              <w:bottom w:val="nil"/>
              <w:right w:val="nil"/>
            </w:tcBorders>
            <w:shd w:val="clear" w:color="000000" w:fill="99CCFF"/>
            <w:vAlign w:val="bottom"/>
          </w:tcPr>
          <w:p w14:paraId="7DFD4744" w14:textId="5A4CE6AE"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346</w:t>
            </w:r>
          </w:p>
        </w:tc>
        <w:tc>
          <w:tcPr>
            <w:tcW w:w="1245" w:type="dxa"/>
            <w:tcBorders>
              <w:top w:val="nil"/>
              <w:left w:val="nil"/>
              <w:bottom w:val="nil"/>
              <w:right w:val="nil"/>
            </w:tcBorders>
            <w:shd w:val="clear" w:color="000000" w:fill="FFFFCC"/>
            <w:vAlign w:val="bottom"/>
          </w:tcPr>
          <w:p w14:paraId="78A3F648" w14:textId="09E2219C"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0.40</w:t>
            </w:r>
          </w:p>
        </w:tc>
        <w:tc>
          <w:tcPr>
            <w:tcW w:w="1134" w:type="dxa"/>
            <w:tcBorders>
              <w:top w:val="nil"/>
              <w:left w:val="nil"/>
              <w:bottom w:val="nil"/>
              <w:right w:val="single" w:sz="4" w:space="0" w:color="auto"/>
            </w:tcBorders>
            <w:shd w:val="clear" w:color="000000" w:fill="FFFFCC"/>
            <w:vAlign w:val="bottom"/>
          </w:tcPr>
          <w:p w14:paraId="452C2EA7" w14:textId="433002FC"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15.9</w:t>
            </w:r>
          </w:p>
        </w:tc>
      </w:tr>
      <w:tr w:rsidR="00BC76FF" w14:paraId="0614A755" w14:textId="77777777" w:rsidTr="00397262">
        <w:trPr>
          <w:trHeight w:val="290"/>
        </w:trPr>
        <w:tc>
          <w:tcPr>
            <w:tcW w:w="1726" w:type="dxa"/>
            <w:tcBorders>
              <w:top w:val="nil"/>
              <w:left w:val="single" w:sz="4" w:space="0" w:color="auto"/>
              <w:bottom w:val="nil"/>
              <w:right w:val="nil"/>
            </w:tcBorders>
          </w:tcPr>
          <w:p w14:paraId="570DC7CB" w14:textId="77777777" w:rsidR="00BC76FF" w:rsidRPr="00397262" w:rsidRDefault="00BC76FF" w:rsidP="00BC76FF">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2-butoxyethanol</w:t>
            </w:r>
          </w:p>
        </w:tc>
        <w:tc>
          <w:tcPr>
            <w:tcW w:w="1418" w:type="dxa"/>
            <w:tcBorders>
              <w:top w:val="nil"/>
              <w:left w:val="nil"/>
              <w:bottom w:val="nil"/>
              <w:right w:val="nil"/>
            </w:tcBorders>
            <w:shd w:val="solid" w:color="FFCC99" w:fill="auto"/>
          </w:tcPr>
          <w:p w14:paraId="46B6A052"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2.9</w:t>
            </w:r>
          </w:p>
        </w:tc>
        <w:tc>
          <w:tcPr>
            <w:tcW w:w="1134" w:type="dxa"/>
            <w:tcBorders>
              <w:top w:val="nil"/>
              <w:left w:val="nil"/>
              <w:bottom w:val="nil"/>
              <w:right w:val="nil"/>
            </w:tcBorders>
            <w:shd w:val="solid" w:color="FFCC99" w:fill="auto"/>
          </w:tcPr>
          <w:p w14:paraId="67314101"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8</w:t>
            </w:r>
          </w:p>
        </w:tc>
        <w:tc>
          <w:tcPr>
            <w:tcW w:w="1417" w:type="dxa"/>
            <w:gridSpan w:val="2"/>
            <w:tcBorders>
              <w:top w:val="nil"/>
              <w:left w:val="nil"/>
              <w:bottom w:val="nil"/>
              <w:right w:val="nil"/>
            </w:tcBorders>
            <w:shd w:val="clear" w:color="000000" w:fill="99CCFF"/>
            <w:vAlign w:val="bottom"/>
          </w:tcPr>
          <w:p w14:paraId="6797ADAF" w14:textId="3298E460"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0.8</w:t>
            </w:r>
          </w:p>
        </w:tc>
        <w:tc>
          <w:tcPr>
            <w:tcW w:w="882" w:type="dxa"/>
            <w:tcBorders>
              <w:top w:val="nil"/>
              <w:left w:val="nil"/>
              <w:bottom w:val="nil"/>
              <w:right w:val="nil"/>
            </w:tcBorders>
            <w:shd w:val="clear" w:color="000000" w:fill="99CCFF"/>
            <w:vAlign w:val="bottom"/>
          </w:tcPr>
          <w:p w14:paraId="40EF091C" w14:textId="2E7E0B05"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2.2</w:t>
            </w:r>
          </w:p>
        </w:tc>
        <w:tc>
          <w:tcPr>
            <w:tcW w:w="1245" w:type="dxa"/>
            <w:tcBorders>
              <w:top w:val="nil"/>
              <w:left w:val="nil"/>
              <w:bottom w:val="nil"/>
              <w:right w:val="nil"/>
            </w:tcBorders>
            <w:shd w:val="clear" w:color="000000" w:fill="FFFFCC"/>
            <w:vAlign w:val="bottom"/>
          </w:tcPr>
          <w:p w14:paraId="2D3D5EA6" w14:textId="37C857DE"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0.04</w:t>
            </w:r>
          </w:p>
        </w:tc>
        <w:tc>
          <w:tcPr>
            <w:tcW w:w="1134" w:type="dxa"/>
            <w:tcBorders>
              <w:top w:val="nil"/>
              <w:left w:val="nil"/>
              <w:bottom w:val="nil"/>
              <w:right w:val="single" w:sz="4" w:space="0" w:color="auto"/>
            </w:tcBorders>
            <w:shd w:val="clear" w:color="000000" w:fill="FFFFCC"/>
            <w:vAlign w:val="bottom"/>
          </w:tcPr>
          <w:p w14:paraId="2664DA3A" w14:textId="1BDFB7C4"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0.1</w:t>
            </w:r>
          </w:p>
        </w:tc>
      </w:tr>
      <w:tr w:rsidR="00BC76FF" w14:paraId="3BF8A52F" w14:textId="77777777" w:rsidTr="00397262">
        <w:trPr>
          <w:trHeight w:val="290"/>
        </w:trPr>
        <w:tc>
          <w:tcPr>
            <w:tcW w:w="1726" w:type="dxa"/>
            <w:tcBorders>
              <w:top w:val="nil"/>
              <w:left w:val="single" w:sz="4" w:space="0" w:color="auto"/>
              <w:bottom w:val="nil"/>
              <w:right w:val="nil"/>
            </w:tcBorders>
          </w:tcPr>
          <w:p w14:paraId="61642D8F" w14:textId="77777777" w:rsidR="00BC76FF" w:rsidRPr="00397262" w:rsidRDefault="00BC76FF" w:rsidP="00BC76FF">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Bronopol</w:t>
            </w:r>
          </w:p>
        </w:tc>
        <w:tc>
          <w:tcPr>
            <w:tcW w:w="1418" w:type="dxa"/>
            <w:tcBorders>
              <w:top w:val="nil"/>
              <w:left w:val="nil"/>
              <w:bottom w:val="nil"/>
              <w:right w:val="nil"/>
            </w:tcBorders>
            <w:shd w:val="solid" w:color="FFCC99" w:fill="auto"/>
          </w:tcPr>
          <w:p w14:paraId="5B34C44E"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0.9</w:t>
            </w:r>
          </w:p>
        </w:tc>
        <w:tc>
          <w:tcPr>
            <w:tcW w:w="1134" w:type="dxa"/>
            <w:tcBorders>
              <w:top w:val="nil"/>
              <w:left w:val="nil"/>
              <w:bottom w:val="nil"/>
              <w:right w:val="nil"/>
            </w:tcBorders>
            <w:shd w:val="solid" w:color="FFCC99" w:fill="auto"/>
          </w:tcPr>
          <w:p w14:paraId="125BB9C2" w14:textId="15A2F94C" w:rsidR="00BC76FF" w:rsidRPr="00397262" w:rsidRDefault="00BC76FF" w:rsidP="00BE5D78">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r w:rsidR="00BE5D78" w:rsidRPr="00397262">
              <w:rPr>
                <w:rFonts w:ascii="Calibri" w:hAnsi="Calibri" w:cs="Calibri"/>
                <w:b/>
                <w:bCs/>
                <w:color w:val="000000"/>
                <w:sz w:val="18"/>
                <w:szCs w:val="18"/>
                <w:lang w:val="en-AU"/>
              </w:rPr>
              <w:t>,</w:t>
            </w:r>
            <w:r w:rsidRPr="00397262">
              <w:rPr>
                <w:rFonts w:ascii="Calibri" w:hAnsi="Calibri" w:cs="Calibri"/>
                <w:b/>
                <w:bCs/>
                <w:color w:val="000000"/>
                <w:sz w:val="18"/>
                <w:szCs w:val="18"/>
                <w:lang w:val="en-AU"/>
              </w:rPr>
              <w:t>41</w:t>
            </w:r>
            <w:r w:rsidR="00BE5D78" w:rsidRPr="00397262">
              <w:rPr>
                <w:rFonts w:ascii="Calibri" w:hAnsi="Calibri" w:cs="Calibri"/>
                <w:b/>
                <w:bCs/>
                <w:color w:val="000000"/>
                <w:sz w:val="18"/>
                <w:szCs w:val="18"/>
                <w:lang w:val="en-AU"/>
              </w:rPr>
              <w:t>0</w:t>
            </w:r>
          </w:p>
        </w:tc>
        <w:tc>
          <w:tcPr>
            <w:tcW w:w="1417" w:type="dxa"/>
            <w:gridSpan w:val="2"/>
            <w:tcBorders>
              <w:top w:val="nil"/>
              <w:left w:val="nil"/>
              <w:bottom w:val="nil"/>
              <w:right w:val="nil"/>
            </w:tcBorders>
            <w:shd w:val="clear" w:color="000000" w:fill="99CCFF"/>
            <w:vAlign w:val="bottom"/>
          </w:tcPr>
          <w:p w14:paraId="63F1FDA6" w14:textId="515DF588"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0.3</w:t>
            </w:r>
          </w:p>
        </w:tc>
        <w:tc>
          <w:tcPr>
            <w:tcW w:w="882" w:type="dxa"/>
            <w:tcBorders>
              <w:top w:val="nil"/>
              <w:left w:val="nil"/>
              <w:bottom w:val="nil"/>
              <w:right w:val="nil"/>
            </w:tcBorders>
            <w:shd w:val="clear" w:color="000000" w:fill="99CCFF"/>
            <w:vAlign w:val="bottom"/>
          </w:tcPr>
          <w:p w14:paraId="559CAFA8" w14:textId="1CA14E88"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388</w:t>
            </w:r>
          </w:p>
        </w:tc>
        <w:tc>
          <w:tcPr>
            <w:tcW w:w="1245" w:type="dxa"/>
            <w:tcBorders>
              <w:top w:val="nil"/>
              <w:left w:val="nil"/>
              <w:bottom w:val="nil"/>
              <w:right w:val="nil"/>
            </w:tcBorders>
            <w:shd w:val="clear" w:color="000000" w:fill="FFFFCC"/>
            <w:vAlign w:val="bottom"/>
          </w:tcPr>
          <w:p w14:paraId="770B9E83" w14:textId="23054AAA"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0.01</w:t>
            </w:r>
          </w:p>
        </w:tc>
        <w:tc>
          <w:tcPr>
            <w:tcW w:w="1134" w:type="dxa"/>
            <w:tcBorders>
              <w:top w:val="nil"/>
              <w:left w:val="nil"/>
              <w:bottom w:val="nil"/>
              <w:right w:val="single" w:sz="4" w:space="0" w:color="auto"/>
            </w:tcBorders>
            <w:shd w:val="clear" w:color="000000" w:fill="FFFFCC"/>
            <w:vAlign w:val="bottom"/>
          </w:tcPr>
          <w:p w14:paraId="13CD09AB" w14:textId="1D0E1262"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17.8</w:t>
            </w:r>
          </w:p>
        </w:tc>
      </w:tr>
      <w:tr w:rsidR="00BC76FF" w14:paraId="774BA2AE" w14:textId="77777777" w:rsidTr="00397262">
        <w:trPr>
          <w:trHeight w:val="290"/>
        </w:trPr>
        <w:tc>
          <w:tcPr>
            <w:tcW w:w="1726" w:type="dxa"/>
            <w:tcBorders>
              <w:top w:val="nil"/>
              <w:left w:val="single" w:sz="4" w:space="0" w:color="auto"/>
              <w:bottom w:val="nil"/>
              <w:right w:val="nil"/>
            </w:tcBorders>
          </w:tcPr>
          <w:p w14:paraId="4CE5E187" w14:textId="77777777" w:rsidR="00BC76FF" w:rsidRPr="00397262" w:rsidRDefault="00BC76FF" w:rsidP="00BC76FF">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MCI</w:t>
            </w:r>
          </w:p>
        </w:tc>
        <w:tc>
          <w:tcPr>
            <w:tcW w:w="1418" w:type="dxa"/>
            <w:tcBorders>
              <w:top w:val="nil"/>
              <w:left w:val="nil"/>
              <w:bottom w:val="nil"/>
              <w:right w:val="nil"/>
            </w:tcBorders>
            <w:shd w:val="solid" w:color="FFCC99" w:fill="auto"/>
          </w:tcPr>
          <w:p w14:paraId="2A09CFA3"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30</w:t>
            </w:r>
          </w:p>
        </w:tc>
        <w:tc>
          <w:tcPr>
            <w:tcW w:w="1134" w:type="dxa"/>
            <w:tcBorders>
              <w:top w:val="nil"/>
              <w:left w:val="nil"/>
              <w:bottom w:val="nil"/>
              <w:right w:val="nil"/>
            </w:tcBorders>
            <w:shd w:val="solid" w:color="FFCC99" w:fill="auto"/>
          </w:tcPr>
          <w:p w14:paraId="556F60A7"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143</w:t>
            </w:r>
          </w:p>
        </w:tc>
        <w:tc>
          <w:tcPr>
            <w:tcW w:w="1417" w:type="dxa"/>
            <w:gridSpan w:val="2"/>
            <w:tcBorders>
              <w:top w:val="nil"/>
              <w:left w:val="nil"/>
              <w:right w:val="nil"/>
            </w:tcBorders>
            <w:shd w:val="clear" w:color="000000" w:fill="99CCFF"/>
            <w:vAlign w:val="bottom"/>
          </w:tcPr>
          <w:p w14:paraId="2CDBC89A" w14:textId="286F2E65"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8.3</w:t>
            </w:r>
          </w:p>
        </w:tc>
        <w:tc>
          <w:tcPr>
            <w:tcW w:w="882" w:type="dxa"/>
            <w:tcBorders>
              <w:top w:val="nil"/>
              <w:left w:val="nil"/>
              <w:right w:val="nil"/>
            </w:tcBorders>
            <w:shd w:val="clear" w:color="000000" w:fill="99CCFF"/>
            <w:vAlign w:val="bottom"/>
          </w:tcPr>
          <w:p w14:paraId="06AB7EEF" w14:textId="4C53904A"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39</w:t>
            </w:r>
          </w:p>
        </w:tc>
        <w:tc>
          <w:tcPr>
            <w:tcW w:w="1245" w:type="dxa"/>
            <w:tcBorders>
              <w:top w:val="nil"/>
              <w:left w:val="nil"/>
              <w:right w:val="nil"/>
            </w:tcBorders>
            <w:shd w:val="clear" w:color="000000" w:fill="FFFFCC"/>
            <w:vAlign w:val="bottom"/>
          </w:tcPr>
          <w:p w14:paraId="7C315922" w14:textId="0E1F19A0"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0.38</w:t>
            </w:r>
          </w:p>
        </w:tc>
        <w:tc>
          <w:tcPr>
            <w:tcW w:w="1134" w:type="dxa"/>
            <w:tcBorders>
              <w:top w:val="nil"/>
              <w:left w:val="nil"/>
              <w:right w:val="single" w:sz="4" w:space="0" w:color="auto"/>
            </w:tcBorders>
            <w:shd w:val="clear" w:color="000000" w:fill="FFFFCC"/>
            <w:vAlign w:val="bottom"/>
          </w:tcPr>
          <w:p w14:paraId="0C35640B" w14:textId="5A26CB9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1.8</w:t>
            </w:r>
          </w:p>
        </w:tc>
      </w:tr>
      <w:tr w:rsidR="00BC76FF" w14:paraId="06FA32F3" w14:textId="77777777" w:rsidTr="00397262">
        <w:trPr>
          <w:trHeight w:val="290"/>
        </w:trPr>
        <w:tc>
          <w:tcPr>
            <w:tcW w:w="1726" w:type="dxa"/>
            <w:tcBorders>
              <w:top w:val="nil"/>
              <w:left w:val="single" w:sz="4" w:space="0" w:color="auto"/>
              <w:bottom w:val="single" w:sz="4" w:space="0" w:color="auto"/>
              <w:right w:val="nil"/>
            </w:tcBorders>
          </w:tcPr>
          <w:p w14:paraId="2BACDF41" w14:textId="77777777" w:rsidR="00BC76FF" w:rsidRPr="00397262" w:rsidRDefault="00BC76FF" w:rsidP="00BC76FF">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Acrylamide polymer</w:t>
            </w:r>
          </w:p>
        </w:tc>
        <w:tc>
          <w:tcPr>
            <w:tcW w:w="1418" w:type="dxa"/>
            <w:tcBorders>
              <w:top w:val="nil"/>
              <w:left w:val="nil"/>
              <w:bottom w:val="single" w:sz="4" w:space="0" w:color="auto"/>
              <w:right w:val="nil"/>
            </w:tcBorders>
            <w:shd w:val="solid" w:color="FFCC99" w:fill="auto"/>
          </w:tcPr>
          <w:p w14:paraId="21FD85C6"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25</w:t>
            </w:r>
          </w:p>
        </w:tc>
        <w:tc>
          <w:tcPr>
            <w:tcW w:w="1134" w:type="dxa"/>
            <w:tcBorders>
              <w:top w:val="nil"/>
              <w:left w:val="nil"/>
              <w:bottom w:val="single" w:sz="4" w:space="0" w:color="auto"/>
              <w:right w:val="nil"/>
            </w:tcBorders>
            <w:shd w:val="solid" w:color="FFCC99" w:fill="auto"/>
          </w:tcPr>
          <w:p w14:paraId="1601C982" w14:textId="7777777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398</w:t>
            </w:r>
          </w:p>
        </w:tc>
        <w:tc>
          <w:tcPr>
            <w:tcW w:w="1417" w:type="dxa"/>
            <w:gridSpan w:val="2"/>
            <w:tcBorders>
              <w:top w:val="nil"/>
              <w:left w:val="nil"/>
              <w:bottom w:val="single" w:sz="4" w:space="0" w:color="auto"/>
              <w:right w:val="nil"/>
            </w:tcBorders>
            <w:shd w:val="clear" w:color="000000" w:fill="99CCFF"/>
            <w:vAlign w:val="bottom"/>
          </w:tcPr>
          <w:p w14:paraId="5D9C4C21" w14:textId="1FD6ACAB"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6.9</w:t>
            </w:r>
          </w:p>
        </w:tc>
        <w:tc>
          <w:tcPr>
            <w:tcW w:w="882" w:type="dxa"/>
            <w:tcBorders>
              <w:top w:val="nil"/>
              <w:left w:val="nil"/>
              <w:bottom w:val="single" w:sz="4" w:space="0" w:color="auto"/>
              <w:right w:val="nil"/>
            </w:tcBorders>
            <w:shd w:val="clear" w:color="000000" w:fill="99CCFF"/>
            <w:vAlign w:val="bottom"/>
          </w:tcPr>
          <w:p w14:paraId="502167E7" w14:textId="09AAF0F2"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109</w:t>
            </w:r>
          </w:p>
        </w:tc>
        <w:tc>
          <w:tcPr>
            <w:tcW w:w="1245" w:type="dxa"/>
            <w:tcBorders>
              <w:top w:val="nil"/>
              <w:left w:val="nil"/>
              <w:bottom w:val="single" w:sz="4" w:space="0" w:color="auto"/>
              <w:right w:val="nil"/>
            </w:tcBorders>
            <w:shd w:val="clear" w:color="000000" w:fill="FFFFCC"/>
            <w:vAlign w:val="bottom"/>
          </w:tcPr>
          <w:p w14:paraId="2C9BE18F" w14:textId="18C2925A"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0.32</w:t>
            </w:r>
          </w:p>
        </w:tc>
        <w:tc>
          <w:tcPr>
            <w:tcW w:w="1134" w:type="dxa"/>
            <w:tcBorders>
              <w:top w:val="nil"/>
              <w:left w:val="nil"/>
              <w:bottom w:val="single" w:sz="4" w:space="0" w:color="auto"/>
              <w:right w:val="single" w:sz="4" w:space="0" w:color="auto"/>
            </w:tcBorders>
            <w:shd w:val="clear" w:color="000000" w:fill="FFFFCC"/>
            <w:vAlign w:val="bottom"/>
          </w:tcPr>
          <w:p w14:paraId="73290037" w14:textId="7B753BF7" w:rsidR="00BC76FF" w:rsidRPr="00397262" w:rsidRDefault="00BC76FF" w:rsidP="00BC76FF">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5.0</w:t>
            </w:r>
          </w:p>
        </w:tc>
      </w:tr>
    </w:tbl>
    <w:p w14:paraId="47813638" w14:textId="77777777" w:rsidR="00A1198D" w:rsidRDefault="00A1198D" w:rsidP="004032C3">
      <w:pPr>
        <w:pStyle w:val="Body"/>
      </w:pPr>
    </w:p>
    <w:p w14:paraId="4309E70C" w14:textId="56572682" w:rsidR="00A1198D" w:rsidRDefault="00A1198D" w:rsidP="00A1198D">
      <w:pPr>
        <w:pStyle w:val="Imagecaption"/>
        <w:keepNext/>
        <w:pBdr>
          <w:top w:val="none" w:sz="0" w:space="0" w:color="auto"/>
        </w:pBdr>
      </w:pPr>
      <w:bookmarkStart w:id="672" w:name="_Ref467530213"/>
      <w:bookmarkStart w:id="673" w:name="_Toc494444740"/>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12</w:t>
      </w:r>
      <w:r w:rsidR="00470577">
        <w:fldChar w:fldCharType="end"/>
      </w:r>
      <w:bookmarkEnd w:id="672"/>
      <w:r>
        <w:t xml:space="preserve"> Sorption data (</w:t>
      </w:r>
      <w:proofErr w:type="gramStart"/>
      <w:r>
        <w:t>R</w:t>
      </w:r>
      <w:r w:rsidR="00F9326A" w:rsidRPr="00F9326A">
        <w:rPr>
          <w:vertAlign w:val="subscript"/>
        </w:rPr>
        <w:t>f</w:t>
      </w:r>
      <w:proofErr w:type="gramEnd"/>
      <w:r>
        <w:t xml:space="preserve">) </w:t>
      </w:r>
      <w:r w:rsidR="00F859AD">
        <w:t xml:space="preserve">(rounded to three significant figures) </w:t>
      </w:r>
      <w:r>
        <w:t>used for attenuation calculations (</w:t>
      </w:r>
      <w:r w:rsidRPr="00A6566A">
        <w:t>f</w:t>
      </w:r>
      <w:r w:rsidRPr="00526F41">
        <w:rPr>
          <w:vertAlign w:val="subscript"/>
        </w:rPr>
        <w:t>OC</w:t>
      </w:r>
      <w:r w:rsidR="00CA79B1">
        <w:rPr>
          <w:vertAlign w:val="subscript"/>
        </w:rPr>
        <w:t>_r</w:t>
      </w:r>
      <w:r w:rsidRPr="00A6566A">
        <w:t xml:space="preserve"> </w:t>
      </w:r>
      <w:r>
        <w:t xml:space="preserve">= </w:t>
      </w:r>
      <w:r w:rsidR="0026498F">
        <w:t>0.275 for Gunnedah and 0.0126 for Surat</w:t>
      </w:r>
      <w:r>
        <w:t xml:space="preserve">). MCI = Methyl-chloro-isothiazolinone. </w:t>
      </w:r>
      <w:r w:rsidR="00BE5D78">
        <w:t>Values rounded to three significant figures.</w:t>
      </w:r>
      <w:bookmarkEnd w:id="673"/>
    </w:p>
    <w:tbl>
      <w:tblPr>
        <w:tblW w:w="0" w:type="auto"/>
        <w:tblInd w:w="-30" w:type="dxa"/>
        <w:tblLayout w:type="fixed"/>
        <w:tblLook w:val="0000" w:firstRow="0" w:lastRow="0" w:firstColumn="0" w:lastColumn="0" w:noHBand="0" w:noVBand="0"/>
      </w:tblPr>
      <w:tblGrid>
        <w:gridCol w:w="2105"/>
        <w:gridCol w:w="1003"/>
        <w:gridCol w:w="1003"/>
        <w:gridCol w:w="1003"/>
        <w:gridCol w:w="1004"/>
      </w:tblGrid>
      <w:tr w:rsidR="00A1198D" w14:paraId="6659AE11" w14:textId="77777777" w:rsidTr="00623D00">
        <w:trPr>
          <w:trHeight w:val="290"/>
        </w:trPr>
        <w:tc>
          <w:tcPr>
            <w:tcW w:w="2105" w:type="dxa"/>
            <w:tcBorders>
              <w:top w:val="single" w:sz="4" w:space="0" w:color="auto"/>
              <w:left w:val="single" w:sz="4" w:space="0" w:color="auto"/>
              <w:bottom w:val="nil"/>
              <w:right w:val="nil"/>
            </w:tcBorders>
          </w:tcPr>
          <w:p w14:paraId="6DF195FE" w14:textId="77777777" w:rsidR="00A1198D" w:rsidRDefault="00A1198D" w:rsidP="00623D00">
            <w:pPr>
              <w:autoSpaceDE w:val="0"/>
              <w:autoSpaceDN w:val="0"/>
              <w:adjustRightInd w:val="0"/>
              <w:spacing w:after="0"/>
              <w:jc w:val="right"/>
              <w:rPr>
                <w:rFonts w:ascii="Calibri" w:hAnsi="Calibri" w:cs="Calibri"/>
                <w:color w:val="000000"/>
                <w:sz w:val="22"/>
                <w:szCs w:val="22"/>
                <w:lang w:val="en-AU"/>
              </w:rPr>
            </w:pPr>
          </w:p>
        </w:tc>
        <w:tc>
          <w:tcPr>
            <w:tcW w:w="4013" w:type="dxa"/>
            <w:gridSpan w:val="4"/>
            <w:tcBorders>
              <w:top w:val="single" w:sz="4" w:space="0" w:color="auto"/>
              <w:left w:val="nil"/>
              <w:bottom w:val="nil"/>
              <w:right w:val="single" w:sz="4" w:space="0" w:color="auto"/>
            </w:tcBorders>
          </w:tcPr>
          <w:p w14:paraId="68141AEC" w14:textId="1A270EA8"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Retardation factor</w:t>
            </w:r>
            <w:r w:rsidR="00CA79B1">
              <w:rPr>
                <w:rFonts w:ascii="Calibri" w:hAnsi="Calibri" w:cs="Calibri"/>
                <w:color w:val="000000"/>
                <w:sz w:val="18"/>
                <w:szCs w:val="18"/>
                <w:lang w:val="en-AU"/>
              </w:rPr>
              <w:t xml:space="preserve">, </w:t>
            </w:r>
            <w:r w:rsidR="007B3DC4" w:rsidRPr="007B3DC4">
              <w:rPr>
                <w:rFonts w:asciiTheme="majorHAnsi" w:hAnsiTheme="majorHAnsi"/>
                <w:i/>
                <w:sz w:val="18"/>
                <w:szCs w:val="18"/>
              </w:rPr>
              <w:t>R</w:t>
            </w:r>
            <w:r w:rsidR="007B3DC4" w:rsidRPr="007B3DC4">
              <w:rPr>
                <w:rFonts w:asciiTheme="majorHAnsi" w:hAnsiTheme="majorHAnsi"/>
                <w:i/>
                <w:sz w:val="18"/>
                <w:szCs w:val="18"/>
                <w:vertAlign w:val="subscript"/>
              </w:rPr>
              <w:t>f</w:t>
            </w:r>
            <w:r w:rsidR="007B3DC4" w:rsidRPr="00397262">
              <w:rPr>
                <w:rFonts w:ascii="Calibri" w:hAnsi="Calibri" w:cs="Calibri"/>
                <w:color w:val="000000"/>
                <w:sz w:val="18"/>
                <w:szCs w:val="18"/>
                <w:lang w:val="en-AU"/>
              </w:rPr>
              <w:t xml:space="preserve"> </w:t>
            </w:r>
            <w:r w:rsidRPr="00397262">
              <w:rPr>
                <w:rFonts w:ascii="Calibri" w:hAnsi="Calibri" w:cs="Calibri"/>
                <w:color w:val="000000"/>
                <w:sz w:val="18"/>
                <w:szCs w:val="18"/>
                <w:lang w:val="en-AU"/>
              </w:rPr>
              <w:t>(-)</w:t>
            </w:r>
          </w:p>
        </w:tc>
      </w:tr>
      <w:tr w:rsidR="00A1198D" w14:paraId="14545EDA" w14:textId="77777777" w:rsidTr="00623D00">
        <w:trPr>
          <w:trHeight w:val="290"/>
        </w:trPr>
        <w:tc>
          <w:tcPr>
            <w:tcW w:w="2105" w:type="dxa"/>
            <w:tcBorders>
              <w:top w:val="nil"/>
              <w:left w:val="single" w:sz="4" w:space="0" w:color="auto"/>
              <w:bottom w:val="nil"/>
              <w:right w:val="nil"/>
            </w:tcBorders>
          </w:tcPr>
          <w:p w14:paraId="1977B651" w14:textId="77777777" w:rsidR="00A1198D" w:rsidRDefault="00A1198D" w:rsidP="00623D00">
            <w:pPr>
              <w:autoSpaceDE w:val="0"/>
              <w:autoSpaceDN w:val="0"/>
              <w:adjustRightInd w:val="0"/>
              <w:spacing w:after="0"/>
              <w:jc w:val="right"/>
              <w:rPr>
                <w:rFonts w:ascii="Calibri" w:hAnsi="Calibri" w:cs="Calibri"/>
                <w:color w:val="000000"/>
                <w:sz w:val="22"/>
                <w:szCs w:val="22"/>
                <w:lang w:val="en-AU"/>
              </w:rPr>
            </w:pPr>
          </w:p>
        </w:tc>
        <w:tc>
          <w:tcPr>
            <w:tcW w:w="2006" w:type="dxa"/>
            <w:gridSpan w:val="2"/>
            <w:tcBorders>
              <w:top w:val="nil"/>
              <w:left w:val="nil"/>
              <w:bottom w:val="nil"/>
              <w:right w:val="nil"/>
            </w:tcBorders>
            <w:shd w:val="solid" w:color="99CCFF" w:fill="auto"/>
          </w:tcPr>
          <w:p w14:paraId="209A09BC" w14:textId="77777777"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Gunnedah</w:t>
            </w:r>
          </w:p>
        </w:tc>
        <w:tc>
          <w:tcPr>
            <w:tcW w:w="2007" w:type="dxa"/>
            <w:gridSpan w:val="2"/>
            <w:tcBorders>
              <w:top w:val="nil"/>
              <w:left w:val="nil"/>
              <w:bottom w:val="nil"/>
              <w:right w:val="single" w:sz="4" w:space="0" w:color="auto"/>
            </w:tcBorders>
            <w:shd w:val="solid" w:color="FFFFCC" w:fill="auto"/>
          </w:tcPr>
          <w:p w14:paraId="50742FA3" w14:textId="77777777"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Surat</w:t>
            </w:r>
          </w:p>
        </w:tc>
      </w:tr>
      <w:tr w:rsidR="00A1198D" w14:paraId="67B13D7F" w14:textId="77777777" w:rsidTr="00397262">
        <w:trPr>
          <w:trHeight w:val="290"/>
        </w:trPr>
        <w:tc>
          <w:tcPr>
            <w:tcW w:w="2105" w:type="dxa"/>
            <w:tcBorders>
              <w:top w:val="nil"/>
              <w:left w:val="single" w:sz="4" w:space="0" w:color="auto"/>
              <w:bottom w:val="single" w:sz="6" w:space="0" w:color="auto"/>
              <w:right w:val="nil"/>
            </w:tcBorders>
          </w:tcPr>
          <w:p w14:paraId="03C7947C" w14:textId="77777777" w:rsidR="00A1198D" w:rsidRPr="00397262" w:rsidRDefault="00A1198D" w:rsidP="00623D00">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Chemical substance</w:t>
            </w:r>
          </w:p>
        </w:tc>
        <w:tc>
          <w:tcPr>
            <w:tcW w:w="1003" w:type="dxa"/>
            <w:tcBorders>
              <w:top w:val="nil"/>
              <w:left w:val="nil"/>
              <w:bottom w:val="single" w:sz="6" w:space="0" w:color="auto"/>
              <w:right w:val="nil"/>
            </w:tcBorders>
            <w:shd w:val="solid" w:color="99CCFF" w:fill="auto"/>
          </w:tcPr>
          <w:p w14:paraId="1A9810DF" w14:textId="2ADC15FD" w:rsidR="00A1198D" w:rsidRPr="00397262" w:rsidRDefault="00B2567C"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M</w:t>
            </w:r>
            <w:r w:rsidR="00A1198D" w:rsidRPr="00397262">
              <w:rPr>
                <w:rFonts w:ascii="Calibri" w:hAnsi="Calibri" w:cs="Calibri"/>
                <w:color w:val="000000"/>
                <w:sz w:val="18"/>
                <w:szCs w:val="18"/>
                <w:lang w:val="en-AU"/>
              </w:rPr>
              <w:t>in</w:t>
            </w:r>
          </w:p>
        </w:tc>
        <w:tc>
          <w:tcPr>
            <w:tcW w:w="1003" w:type="dxa"/>
            <w:tcBorders>
              <w:top w:val="nil"/>
              <w:left w:val="nil"/>
              <w:bottom w:val="single" w:sz="6" w:space="0" w:color="auto"/>
              <w:right w:val="nil"/>
            </w:tcBorders>
            <w:shd w:val="solid" w:color="99CCFF" w:fill="auto"/>
          </w:tcPr>
          <w:p w14:paraId="56CBFAD9" w14:textId="77777777"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max</w:t>
            </w:r>
          </w:p>
        </w:tc>
        <w:tc>
          <w:tcPr>
            <w:tcW w:w="1003" w:type="dxa"/>
            <w:tcBorders>
              <w:top w:val="nil"/>
              <w:left w:val="nil"/>
              <w:bottom w:val="single" w:sz="6" w:space="0" w:color="auto"/>
              <w:right w:val="nil"/>
            </w:tcBorders>
            <w:shd w:val="solid" w:color="FFFFCC" w:fill="auto"/>
          </w:tcPr>
          <w:p w14:paraId="6A634DBE" w14:textId="77777777"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min</w:t>
            </w:r>
          </w:p>
        </w:tc>
        <w:tc>
          <w:tcPr>
            <w:tcW w:w="1004" w:type="dxa"/>
            <w:tcBorders>
              <w:top w:val="nil"/>
              <w:left w:val="nil"/>
              <w:bottom w:val="single" w:sz="6" w:space="0" w:color="auto"/>
              <w:right w:val="single" w:sz="4" w:space="0" w:color="auto"/>
            </w:tcBorders>
            <w:shd w:val="solid" w:color="FFFFCC" w:fill="auto"/>
          </w:tcPr>
          <w:p w14:paraId="7EAA55F9" w14:textId="77777777" w:rsidR="00A1198D" w:rsidRPr="00397262" w:rsidRDefault="00A1198D" w:rsidP="00623D00">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max</w:t>
            </w:r>
          </w:p>
        </w:tc>
      </w:tr>
      <w:tr w:rsidR="009902DD" w14:paraId="6AC276F3" w14:textId="77777777" w:rsidTr="00397262">
        <w:trPr>
          <w:trHeight w:val="290"/>
        </w:trPr>
        <w:tc>
          <w:tcPr>
            <w:tcW w:w="2105" w:type="dxa"/>
            <w:tcBorders>
              <w:top w:val="nil"/>
              <w:left w:val="single" w:sz="4" w:space="0" w:color="auto"/>
              <w:bottom w:val="nil"/>
              <w:right w:val="nil"/>
            </w:tcBorders>
          </w:tcPr>
          <w:p w14:paraId="15911DB6" w14:textId="77777777" w:rsidR="009902DD" w:rsidRPr="00397262" w:rsidRDefault="009902DD" w:rsidP="009902DD">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2-methylphenol</w:t>
            </w:r>
          </w:p>
        </w:tc>
        <w:tc>
          <w:tcPr>
            <w:tcW w:w="1003" w:type="dxa"/>
            <w:tcBorders>
              <w:top w:val="single" w:sz="6" w:space="0" w:color="auto"/>
              <w:left w:val="nil"/>
              <w:bottom w:val="nil"/>
              <w:right w:val="nil"/>
            </w:tcBorders>
            <w:shd w:val="clear" w:color="000000" w:fill="99CCFF"/>
            <w:vAlign w:val="bottom"/>
          </w:tcPr>
          <w:p w14:paraId="7B2D8A28" w14:textId="4A7DDA95"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97</w:t>
            </w:r>
          </w:p>
        </w:tc>
        <w:tc>
          <w:tcPr>
            <w:tcW w:w="1003" w:type="dxa"/>
            <w:tcBorders>
              <w:top w:val="single" w:sz="6" w:space="0" w:color="auto"/>
              <w:left w:val="nil"/>
              <w:bottom w:val="nil"/>
              <w:right w:val="nil"/>
            </w:tcBorders>
            <w:shd w:val="clear" w:color="000000" w:fill="99CCFF"/>
            <w:vAlign w:val="bottom"/>
          </w:tcPr>
          <w:p w14:paraId="1D1A25D5" w14:textId="31E55CCE" w:rsidR="009902DD" w:rsidRPr="00397262" w:rsidRDefault="009902DD" w:rsidP="00F859A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w:t>
            </w:r>
            <w:r w:rsidR="00BE5D78" w:rsidRPr="00397262">
              <w:rPr>
                <w:rFonts w:ascii="Calibri" w:hAnsi="Calibri"/>
                <w:b/>
                <w:bCs/>
                <w:color w:val="000000"/>
                <w:sz w:val="18"/>
                <w:szCs w:val="18"/>
              </w:rPr>
              <w:t>,</w:t>
            </w:r>
            <w:r w:rsidRPr="00397262">
              <w:rPr>
                <w:rFonts w:ascii="Calibri" w:hAnsi="Calibri"/>
                <w:b/>
                <w:bCs/>
                <w:color w:val="000000"/>
                <w:sz w:val="18"/>
                <w:szCs w:val="18"/>
              </w:rPr>
              <w:t>1</w:t>
            </w:r>
            <w:r w:rsidR="00F859AD" w:rsidRPr="00397262">
              <w:rPr>
                <w:rFonts w:ascii="Calibri" w:hAnsi="Calibri"/>
                <w:b/>
                <w:bCs/>
                <w:color w:val="000000"/>
                <w:sz w:val="18"/>
                <w:szCs w:val="18"/>
              </w:rPr>
              <w:t>10</w:t>
            </w:r>
          </w:p>
        </w:tc>
        <w:tc>
          <w:tcPr>
            <w:tcW w:w="1003" w:type="dxa"/>
            <w:tcBorders>
              <w:top w:val="single" w:sz="6" w:space="0" w:color="auto"/>
              <w:left w:val="nil"/>
              <w:bottom w:val="nil"/>
              <w:right w:val="nil"/>
            </w:tcBorders>
            <w:shd w:val="clear" w:color="000000" w:fill="FFFFCC"/>
            <w:vAlign w:val="bottom"/>
          </w:tcPr>
          <w:p w14:paraId="0F2A1541" w14:textId="0474AD13"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5.4</w:t>
            </w:r>
          </w:p>
        </w:tc>
        <w:tc>
          <w:tcPr>
            <w:tcW w:w="1004" w:type="dxa"/>
            <w:tcBorders>
              <w:top w:val="single" w:sz="6" w:space="0" w:color="auto"/>
              <w:left w:val="nil"/>
              <w:bottom w:val="nil"/>
              <w:right w:val="single" w:sz="4" w:space="0" w:color="auto"/>
            </w:tcBorders>
            <w:shd w:val="clear" w:color="000000" w:fill="FFFFCC"/>
            <w:vAlign w:val="bottom"/>
          </w:tcPr>
          <w:p w14:paraId="5C7E0CEB" w14:textId="0B207232"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52</w:t>
            </w:r>
          </w:p>
        </w:tc>
      </w:tr>
      <w:tr w:rsidR="009902DD" w14:paraId="57232699" w14:textId="77777777" w:rsidTr="00397262">
        <w:trPr>
          <w:trHeight w:val="290"/>
        </w:trPr>
        <w:tc>
          <w:tcPr>
            <w:tcW w:w="2105" w:type="dxa"/>
            <w:tcBorders>
              <w:top w:val="nil"/>
              <w:left w:val="single" w:sz="4" w:space="0" w:color="auto"/>
              <w:bottom w:val="nil"/>
              <w:right w:val="nil"/>
            </w:tcBorders>
          </w:tcPr>
          <w:p w14:paraId="415A317A" w14:textId="77777777" w:rsidR="009902DD" w:rsidRPr="00397262" w:rsidRDefault="009902DD" w:rsidP="009902DD">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Naphthalene</w:t>
            </w:r>
          </w:p>
        </w:tc>
        <w:tc>
          <w:tcPr>
            <w:tcW w:w="1003" w:type="dxa"/>
            <w:tcBorders>
              <w:top w:val="nil"/>
              <w:left w:val="nil"/>
              <w:bottom w:val="nil"/>
              <w:right w:val="nil"/>
            </w:tcBorders>
            <w:shd w:val="clear" w:color="000000" w:fill="99CCFF"/>
            <w:vAlign w:val="bottom"/>
          </w:tcPr>
          <w:p w14:paraId="3C28F00F" w14:textId="2E847E57"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76</w:t>
            </w:r>
          </w:p>
        </w:tc>
        <w:tc>
          <w:tcPr>
            <w:tcW w:w="1003" w:type="dxa"/>
            <w:tcBorders>
              <w:top w:val="nil"/>
              <w:left w:val="nil"/>
              <w:bottom w:val="nil"/>
              <w:right w:val="nil"/>
            </w:tcBorders>
            <w:shd w:val="clear" w:color="000000" w:fill="99CCFF"/>
            <w:vAlign w:val="bottom"/>
          </w:tcPr>
          <w:p w14:paraId="098E4805" w14:textId="463451C8" w:rsidR="009902DD" w:rsidRPr="00397262" w:rsidRDefault="009902DD" w:rsidP="00F859A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118</w:t>
            </w:r>
            <w:r w:rsidR="000D20DB" w:rsidRPr="00397262">
              <w:rPr>
                <w:rFonts w:ascii="Calibri" w:hAnsi="Calibri"/>
                <w:b/>
                <w:bCs/>
                <w:color w:val="000000"/>
                <w:sz w:val="18"/>
                <w:szCs w:val="18"/>
              </w:rPr>
              <w:t>,</w:t>
            </w:r>
            <w:r w:rsidR="00F859AD" w:rsidRPr="00397262">
              <w:rPr>
                <w:rFonts w:ascii="Calibri" w:hAnsi="Calibri"/>
                <w:b/>
                <w:bCs/>
                <w:color w:val="000000"/>
                <w:sz w:val="18"/>
                <w:szCs w:val="18"/>
              </w:rPr>
              <w:t>000</w:t>
            </w:r>
          </w:p>
        </w:tc>
        <w:tc>
          <w:tcPr>
            <w:tcW w:w="1003" w:type="dxa"/>
            <w:tcBorders>
              <w:top w:val="nil"/>
              <w:left w:val="nil"/>
              <w:bottom w:val="nil"/>
              <w:right w:val="nil"/>
            </w:tcBorders>
            <w:shd w:val="clear" w:color="000000" w:fill="FFFFCC"/>
            <w:vAlign w:val="bottom"/>
          </w:tcPr>
          <w:p w14:paraId="326D8FC1" w14:textId="5A09BCCE"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4.4</w:t>
            </w:r>
          </w:p>
        </w:tc>
        <w:tc>
          <w:tcPr>
            <w:tcW w:w="1004" w:type="dxa"/>
            <w:tcBorders>
              <w:top w:val="nil"/>
              <w:left w:val="nil"/>
              <w:bottom w:val="nil"/>
              <w:right w:val="single" w:sz="4" w:space="0" w:color="auto"/>
            </w:tcBorders>
            <w:shd w:val="clear" w:color="000000" w:fill="FFFFCC"/>
            <w:vAlign w:val="bottom"/>
          </w:tcPr>
          <w:p w14:paraId="3030B1D6" w14:textId="05A8FB0F"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5</w:t>
            </w:r>
            <w:r w:rsidR="000D20DB" w:rsidRPr="00397262">
              <w:rPr>
                <w:rFonts w:ascii="Calibri" w:hAnsi="Calibri"/>
                <w:b/>
                <w:bCs/>
                <w:color w:val="000000"/>
                <w:sz w:val="18"/>
                <w:szCs w:val="18"/>
              </w:rPr>
              <w:t>,</w:t>
            </w:r>
            <w:r w:rsidRPr="00397262">
              <w:rPr>
                <w:rFonts w:ascii="Calibri" w:hAnsi="Calibri"/>
                <w:b/>
                <w:bCs/>
                <w:color w:val="000000"/>
                <w:sz w:val="18"/>
                <w:szCs w:val="18"/>
              </w:rPr>
              <w:t>4</w:t>
            </w:r>
            <w:r w:rsidR="00F859AD" w:rsidRPr="00397262">
              <w:rPr>
                <w:rFonts w:ascii="Calibri" w:hAnsi="Calibri"/>
                <w:b/>
                <w:bCs/>
                <w:color w:val="000000"/>
                <w:sz w:val="18"/>
                <w:szCs w:val="18"/>
              </w:rPr>
              <w:t>30</w:t>
            </w:r>
          </w:p>
        </w:tc>
      </w:tr>
      <w:tr w:rsidR="009902DD" w14:paraId="7BC433D1" w14:textId="77777777" w:rsidTr="00397262">
        <w:trPr>
          <w:trHeight w:val="290"/>
        </w:trPr>
        <w:tc>
          <w:tcPr>
            <w:tcW w:w="2105" w:type="dxa"/>
            <w:tcBorders>
              <w:top w:val="nil"/>
              <w:left w:val="single" w:sz="4" w:space="0" w:color="auto"/>
              <w:bottom w:val="nil"/>
              <w:right w:val="nil"/>
            </w:tcBorders>
          </w:tcPr>
          <w:p w14:paraId="7A8C9CD6" w14:textId="77777777" w:rsidR="009902DD" w:rsidRPr="00397262" w:rsidRDefault="009902DD" w:rsidP="009902DD">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Limonene</w:t>
            </w:r>
          </w:p>
        </w:tc>
        <w:tc>
          <w:tcPr>
            <w:tcW w:w="1003" w:type="dxa"/>
            <w:tcBorders>
              <w:top w:val="nil"/>
              <w:left w:val="nil"/>
              <w:bottom w:val="nil"/>
              <w:right w:val="nil"/>
            </w:tcBorders>
            <w:shd w:val="clear" w:color="000000" w:fill="99CCFF"/>
            <w:vAlign w:val="bottom"/>
          </w:tcPr>
          <w:p w14:paraId="7F69B519" w14:textId="601FD1CA" w:rsidR="009902DD" w:rsidRPr="00397262" w:rsidRDefault="009902DD" w:rsidP="00F859A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4</w:t>
            </w:r>
            <w:r w:rsidR="000D20DB" w:rsidRPr="00397262">
              <w:rPr>
                <w:rFonts w:ascii="Calibri" w:hAnsi="Calibri"/>
                <w:b/>
                <w:bCs/>
                <w:color w:val="000000"/>
                <w:sz w:val="18"/>
                <w:szCs w:val="18"/>
              </w:rPr>
              <w:t>,</w:t>
            </w:r>
            <w:r w:rsidRPr="00397262">
              <w:rPr>
                <w:rFonts w:ascii="Calibri" w:hAnsi="Calibri"/>
                <w:b/>
                <w:bCs/>
                <w:color w:val="000000"/>
                <w:sz w:val="18"/>
                <w:szCs w:val="18"/>
              </w:rPr>
              <w:t>40</w:t>
            </w:r>
            <w:r w:rsidR="00F859AD" w:rsidRPr="00397262">
              <w:rPr>
                <w:rFonts w:ascii="Calibri" w:hAnsi="Calibri"/>
                <w:b/>
                <w:bCs/>
                <w:color w:val="000000"/>
                <w:sz w:val="18"/>
                <w:szCs w:val="18"/>
              </w:rPr>
              <w:t>0</w:t>
            </w:r>
          </w:p>
        </w:tc>
        <w:tc>
          <w:tcPr>
            <w:tcW w:w="1003" w:type="dxa"/>
            <w:tcBorders>
              <w:top w:val="nil"/>
              <w:left w:val="nil"/>
              <w:bottom w:val="nil"/>
              <w:right w:val="nil"/>
            </w:tcBorders>
            <w:shd w:val="clear" w:color="000000" w:fill="99CCFF"/>
            <w:vAlign w:val="bottom"/>
          </w:tcPr>
          <w:p w14:paraId="15558DED" w14:textId="672C8489" w:rsidR="009902DD" w:rsidRPr="00397262" w:rsidRDefault="009902DD" w:rsidP="00BE5D78">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259</w:t>
            </w:r>
            <w:r w:rsidR="000D20DB" w:rsidRPr="00397262">
              <w:rPr>
                <w:rFonts w:ascii="Calibri" w:hAnsi="Calibri"/>
                <w:b/>
                <w:bCs/>
                <w:color w:val="000000"/>
                <w:sz w:val="18"/>
                <w:szCs w:val="18"/>
              </w:rPr>
              <w:t>,</w:t>
            </w:r>
            <w:r w:rsidR="00BE5D78" w:rsidRPr="00397262">
              <w:rPr>
                <w:rFonts w:ascii="Calibri" w:hAnsi="Calibri"/>
                <w:b/>
                <w:bCs/>
                <w:color w:val="000000"/>
                <w:sz w:val="18"/>
                <w:szCs w:val="18"/>
              </w:rPr>
              <w:t>0</w:t>
            </w:r>
            <w:r w:rsidR="00F859AD" w:rsidRPr="00397262">
              <w:rPr>
                <w:rFonts w:ascii="Calibri" w:hAnsi="Calibri"/>
                <w:b/>
                <w:bCs/>
                <w:color w:val="000000"/>
                <w:sz w:val="18"/>
                <w:szCs w:val="18"/>
              </w:rPr>
              <w:t>00</w:t>
            </w:r>
          </w:p>
        </w:tc>
        <w:tc>
          <w:tcPr>
            <w:tcW w:w="1003" w:type="dxa"/>
            <w:tcBorders>
              <w:top w:val="nil"/>
              <w:left w:val="nil"/>
              <w:bottom w:val="nil"/>
              <w:right w:val="nil"/>
            </w:tcBorders>
            <w:shd w:val="clear" w:color="000000" w:fill="FFFFCC"/>
            <w:vAlign w:val="bottom"/>
          </w:tcPr>
          <w:p w14:paraId="0E326ABB" w14:textId="27CBAEA0"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203</w:t>
            </w:r>
          </w:p>
        </w:tc>
        <w:tc>
          <w:tcPr>
            <w:tcW w:w="1004" w:type="dxa"/>
            <w:tcBorders>
              <w:top w:val="nil"/>
              <w:left w:val="nil"/>
              <w:bottom w:val="nil"/>
              <w:right w:val="single" w:sz="4" w:space="0" w:color="auto"/>
            </w:tcBorders>
            <w:shd w:val="clear" w:color="000000" w:fill="FFFFCC"/>
            <w:vAlign w:val="bottom"/>
          </w:tcPr>
          <w:p w14:paraId="3F355329" w14:textId="2F31BDAA" w:rsidR="009902DD" w:rsidRPr="00397262" w:rsidRDefault="009902DD" w:rsidP="00BE5D78">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11</w:t>
            </w:r>
            <w:r w:rsidR="000D20DB" w:rsidRPr="00397262">
              <w:rPr>
                <w:rFonts w:ascii="Calibri" w:hAnsi="Calibri"/>
                <w:b/>
                <w:bCs/>
                <w:color w:val="000000"/>
                <w:sz w:val="18"/>
                <w:szCs w:val="18"/>
              </w:rPr>
              <w:t>,</w:t>
            </w:r>
            <w:r w:rsidR="00BE5D78" w:rsidRPr="00397262">
              <w:rPr>
                <w:rFonts w:ascii="Calibri" w:hAnsi="Calibri"/>
                <w:b/>
                <w:bCs/>
                <w:color w:val="000000"/>
                <w:sz w:val="18"/>
                <w:szCs w:val="18"/>
              </w:rPr>
              <w:t>90</w:t>
            </w:r>
            <w:r w:rsidR="00F859AD" w:rsidRPr="00397262">
              <w:rPr>
                <w:rFonts w:ascii="Calibri" w:hAnsi="Calibri"/>
                <w:b/>
                <w:bCs/>
                <w:color w:val="000000"/>
                <w:sz w:val="18"/>
                <w:szCs w:val="18"/>
              </w:rPr>
              <w:t>0</w:t>
            </w:r>
          </w:p>
        </w:tc>
      </w:tr>
      <w:tr w:rsidR="009902DD" w14:paraId="7BCE4361" w14:textId="77777777" w:rsidTr="00397262">
        <w:trPr>
          <w:trHeight w:val="290"/>
        </w:trPr>
        <w:tc>
          <w:tcPr>
            <w:tcW w:w="2105" w:type="dxa"/>
            <w:tcBorders>
              <w:top w:val="nil"/>
              <w:left w:val="single" w:sz="4" w:space="0" w:color="auto"/>
              <w:bottom w:val="nil"/>
              <w:right w:val="nil"/>
            </w:tcBorders>
          </w:tcPr>
          <w:p w14:paraId="3104D6A8" w14:textId="77777777" w:rsidR="009902DD" w:rsidRPr="00397262" w:rsidRDefault="009902DD" w:rsidP="009902DD">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HMX</w:t>
            </w:r>
          </w:p>
        </w:tc>
        <w:tc>
          <w:tcPr>
            <w:tcW w:w="1003" w:type="dxa"/>
            <w:tcBorders>
              <w:top w:val="nil"/>
              <w:left w:val="nil"/>
              <w:bottom w:val="nil"/>
              <w:right w:val="nil"/>
            </w:tcBorders>
            <w:shd w:val="clear" w:color="000000" w:fill="99CCFF"/>
            <w:vAlign w:val="bottom"/>
          </w:tcPr>
          <w:p w14:paraId="21ABBD14" w14:textId="5CF2BC08"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140</w:t>
            </w:r>
          </w:p>
        </w:tc>
        <w:tc>
          <w:tcPr>
            <w:tcW w:w="1003" w:type="dxa"/>
            <w:tcBorders>
              <w:top w:val="nil"/>
              <w:left w:val="nil"/>
              <w:bottom w:val="nil"/>
              <w:right w:val="nil"/>
            </w:tcBorders>
            <w:shd w:val="clear" w:color="000000" w:fill="99CCFF"/>
            <w:vAlign w:val="bottom"/>
          </w:tcPr>
          <w:p w14:paraId="54817E22" w14:textId="6E659279"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5</w:t>
            </w:r>
            <w:r w:rsidR="0011529C" w:rsidRPr="00397262">
              <w:rPr>
                <w:rFonts w:ascii="Calibri" w:hAnsi="Calibri"/>
                <w:b/>
                <w:bCs/>
                <w:color w:val="000000"/>
                <w:sz w:val="18"/>
                <w:szCs w:val="18"/>
              </w:rPr>
              <w:t>,</w:t>
            </w:r>
            <w:r w:rsidRPr="00397262">
              <w:rPr>
                <w:rFonts w:ascii="Calibri" w:hAnsi="Calibri"/>
                <w:b/>
                <w:bCs/>
                <w:color w:val="000000"/>
                <w:sz w:val="18"/>
                <w:szCs w:val="18"/>
              </w:rPr>
              <w:t>540</w:t>
            </w:r>
          </w:p>
        </w:tc>
        <w:tc>
          <w:tcPr>
            <w:tcW w:w="1003" w:type="dxa"/>
            <w:tcBorders>
              <w:top w:val="nil"/>
              <w:left w:val="nil"/>
              <w:bottom w:val="nil"/>
              <w:right w:val="nil"/>
            </w:tcBorders>
            <w:shd w:val="clear" w:color="000000" w:fill="FFFFCC"/>
            <w:vAlign w:val="bottom"/>
          </w:tcPr>
          <w:p w14:paraId="06D0BE57" w14:textId="2DCC7EF8"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7.4</w:t>
            </w:r>
          </w:p>
        </w:tc>
        <w:tc>
          <w:tcPr>
            <w:tcW w:w="1004" w:type="dxa"/>
            <w:tcBorders>
              <w:top w:val="nil"/>
              <w:left w:val="nil"/>
              <w:bottom w:val="nil"/>
              <w:right w:val="single" w:sz="4" w:space="0" w:color="auto"/>
            </w:tcBorders>
            <w:shd w:val="clear" w:color="000000" w:fill="FFFFCC"/>
            <w:vAlign w:val="bottom"/>
          </w:tcPr>
          <w:p w14:paraId="1122B6DF" w14:textId="192FCAFC"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255</w:t>
            </w:r>
          </w:p>
        </w:tc>
      </w:tr>
      <w:tr w:rsidR="009902DD" w14:paraId="277C09B1" w14:textId="77777777" w:rsidTr="00397262">
        <w:trPr>
          <w:trHeight w:val="290"/>
        </w:trPr>
        <w:tc>
          <w:tcPr>
            <w:tcW w:w="2105" w:type="dxa"/>
            <w:tcBorders>
              <w:top w:val="nil"/>
              <w:left w:val="single" w:sz="4" w:space="0" w:color="auto"/>
              <w:bottom w:val="nil"/>
              <w:right w:val="nil"/>
            </w:tcBorders>
          </w:tcPr>
          <w:p w14:paraId="32FBCD2F" w14:textId="77777777" w:rsidR="009902DD" w:rsidRPr="00397262" w:rsidRDefault="009902DD" w:rsidP="009902DD">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2-butoxyethanol</w:t>
            </w:r>
          </w:p>
        </w:tc>
        <w:tc>
          <w:tcPr>
            <w:tcW w:w="1003" w:type="dxa"/>
            <w:tcBorders>
              <w:top w:val="nil"/>
              <w:left w:val="nil"/>
              <w:bottom w:val="nil"/>
              <w:right w:val="nil"/>
            </w:tcBorders>
            <w:shd w:val="clear" w:color="000000" w:fill="99CCFF"/>
            <w:vAlign w:val="bottom"/>
          </w:tcPr>
          <w:p w14:paraId="00FB621D" w14:textId="409A56FF"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14</w:t>
            </w:r>
          </w:p>
        </w:tc>
        <w:tc>
          <w:tcPr>
            <w:tcW w:w="1003" w:type="dxa"/>
            <w:tcBorders>
              <w:top w:val="nil"/>
              <w:left w:val="nil"/>
              <w:bottom w:val="nil"/>
              <w:right w:val="nil"/>
            </w:tcBorders>
            <w:shd w:val="clear" w:color="000000" w:fill="99CCFF"/>
            <w:vAlign w:val="bottom"/>
          </w:tcPr>
          <w:p w14:paraId="46EFA470" w14:textId="7C08481A"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36</w:t>
            </w:r>
          </w:p>
        </w:tc>
        <w:tc>
          <w:tcPr>
            <w:tcW w:w="1003" w:type="dxa"/>
            <w:tcBorders>
              <w:top w:val="nil"/>
              <w:left w:val="nil"/>
              <w:bottom w:val="nil"/>
              <w:right w:val="nil"/>
            </w:tcBorders>
            <w:shd w:val="clear" w:color="000000" w:fill="FFFFCC"/>
            <w:vAlign w:val="bottom"/>
          </w:tcPr>
          <w:p w14:paraId="7284357A" w14:textId="2BEF1408"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1.6</w:t>
            </w:r>
          </w:p>
        </w:tc>
        <w:tc>
          <w:tcPr>
            <w:tcW w:w="1004" w:type="dxa"/>
            <w:tcBorders>
              <w:top w:val="nil"/>
              <w:left w:val="nil"/>
              <w:bottom w:val="nil"/>
              <w:right w:val="single" w:sz="4" w:space="0" w:color="auto"/>
            </w:tcBorders>
            <w:shd w:val="clear" w:color="000000" w:fill="FFFFCC"/>
            <w:vAlign w:val="bottom"/>
          </w:tcPr>
          <w:p w14:paraId="550477FD" w14:textId="0DE0529F"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2.6</w:t>
            </w:r>
          </w:p>
        </w:tc>
      </w:tr>
      <w:tr w:rsidR="009902DD" w14:paraId="51807F8C" w14:textId="77777777" w:rsidTr="00397262">
        <w:trPr>
          <w:trHeight w:val="290"/>
        </w:trPr>
        <w:tc>
          <w:tcPr>
            <w:tcW w:w="2105" w:type="dxa"/>
            <w:tcBorders>
              <w:top w:val="nil"/>
              <w:left w:val="single" w:sz="4" w:space="0" w:color="auto"/>
              <w:bottom w:val="nil"/>
              <w:right w:val="nil"/>
            </w:tcBorders>
          </w:tcPr>
          <w:p w14:paraId="5C8C8A8A" w14:textId="77777777" w:rsidR="009902DD" w:rsidRPr="00397262" w:rsidRDefault="009902DD" w:rsidP="009902DD">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Bronopol</w:t>
            </w:r>
          </w:p>
        </w:tc>
        <w:tc>
          <w:tcPr>
            <w:tcW w:w="1003" w:type="dxa"/>
            <w:tcBorders>
              <w:top w:val="nil"/>
              <w:left w:val="nil"/>
              <w:bottom w:val="nil"/>
              <w:right w:val="nil"/>
            </w:tcBorders>
            <w:shd w:val="clear" w:color="000000" w:fill="99CCFF"/>
            <w:vAlign w:val="bottom"/>
          </w:tcPr>
          <w:p w14:paraId="16ABB5AA" w14:textId="14F24D1C"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5.1</w:t>
            </w:r>
          </w:p>
        </w:tc>
        <w:tc>
          <w:tcPr>
            <w:tcW w:w="1003" w:type="dxa"/>
            <w:tcBorders>
              <w:top w:val="nil"/>
              <w:left w:val="nil"/>
              <w:bottom w:val="nil"/>
              <w:right w:val="nil"/>
            </w:tcBorders>
            <w:shd w:val="clear" w:color="000000" w:fill="99CCFF"/>
            <w:vAlign w:val="bottom"/>
          </w:tcPr>
          <w:p w14:paraId="5464F2F4" w14:textId="3EB4200D"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6</w:t>
            </w:r>
            <w:r w:rsidR="000D20DB" w:rsidRPr="00397262">
              <w:rPr>
                <w:rFonts w:ascii="Calibri" w:hAnsi="Calibri"/>
                <w:b/>
                <w:bCs/>
                <w:color w:val="000000"/>
                <w:sz w:val="18"/>
                <w:szCs w:val="18"/>
              </w:rPr>
              <w:t>,</w:t>
            </w:r>
            <w:r w:rsidRPr="00397262">
              <w:rPr>
                <w:rFonts w:ascii="Calibri" w:hAnsi="Calibri"/>
                <w:b/>
                <w:bCs/>
                <w:color w:val="000000"/>
                <w:sz w:val="18"/>
                <w:szCs w:val="18"/>
              </w:rPr>
              <w:t>2</w:t>
            </w:r>
            <w:r w:rsidR="00F859AD" w:rsidRPr="00397262">
              <w:rPr>
                <w:rFonts w:ascii="Calibri" w:hAnsi="Calibri"/>
                <w:b/>
                <w:bCs/>
                <w:color w:val="000000"/>
                <w:sz w:val="18"/>
                <w:szCs w:val="18"/>
              </w:rPr>
              <w:t>20</w:t>
            </w:r>
          </w:p>
        </w:tc>
        <w:tc>
          <w:tcPr>
            <w:tcW w:w="1003" w:type="dxa"/>
            <w:tcBorders>
              <w:top w:val="nil"/>
              <w:left w:val="nil"/>
              <w:bottom w:val="nil"/>
              <w:right w:val="nil"/>
            </w:tcBorders>
            <w:shd w:val="clear" w:color="000000" w:fill="FFFFCC"/>
            <w:vAlign w:val="bottom"/>
          </w:tcPr>
          <w:p w14:paraId="3FC95D52" w14:textId="40AE5645"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1.2</w:t>
            </w:r>
          </w:p>
        </w:tc>
        <w:tc>
          <w:tcPr>
            <w:tcW w:w="1004" w:type="dxa"/>
            <w:tcBorders>
              <w:top w:val="nil"/>
              <w:left w:val="nil"/>
              <w:bottom w:val="nil"/>
              <w:right w:val="single" w:sz="4" w:space="0" w:color="auto"/>
            </w:tcBorders>
            <w:shd w:val="clear" w:color="000000" w:fill="FFFFCC"/>
            <w:vAlign w:val="bottom"/>
          </w:tcPr>
          <w:p w14:paraId="2B0DF519" w14:textId="7B307F29"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286</w:t>
            </w:r>
          </w:p>
        </w:tc>
      </w:tr>
      <w:tr w:rsidR="009902DD" w14:paraId="698599EC" w14:textId="77777777" w:rsidTr="00397262">
        <w:trPr>
          <w:trHeight w:val="290"/>
        </w:trPr>
        <w:tc>
          <w:tcPr>
            <w:tcW w:w="2105" w:type="dxa"/>
            <w:tcBorders>
              <w:top w:val="nil"/>
              <w:left w:val="single" w:sz="4" w:space="0" w:color="auto"/>
              <w:bottom w:val="nil"/>
              <w:right w:val="nil"/>
            </w:tcBorders>
          </w:tcPr>
          <w:p w14:paraId="49A9F1EE" w14:textId="77777777" w:rsidR="009902DD" w:rsidRPr="00397262" w:rsidRDefault="009902DD" w:rsidP="009902DD">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MCI</w:t>
            </w:r>
          </w:p>
        </w:tc>
        <w:tc>
          <w:tcPr>
            <w:tcW w:w="1003" w:type="dxa"/>
            <w:tcBorders>
              <w:top w:val="nil"/>
              <w:left w:val="nil"/>
              <w:right w:val="nil"/>
            </w:tcBorders>
            <w:shd w:val="clear" w:color="000000" w:fill="99CCFF"/>
            <w:vAlign w:val="bottom"/>
          </w:tcPr>
          <w:p w14:paraId="17B309A9" w14:textId="1184AB62"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134</w:t>
            </w:r>
          </w:p>
        </w:tc>
        <w:tc>
          <w:tcPr>
            <w:tcW w:w="1003" w:type="dxa"/>
            <w:tcBorders>
              <w:top w:val="nil"/>
              <w:left w:val="nil"/>
              <w:right w:val="nil"/>
            </w:tcBorders>
            <w:shd w:val="clear" w:color="000000" w:fill="99CCFF"/>
            <w:vAlign w:val="bottom"/>
          </w:tcPr>
          <w:p w14:paraId="4A8655D6" w14:textId="29AF8201"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632</w:t>
            </w:r>
          </w:p>
        </w:tc>
        <w:tc>
          <w:tcPr>
            <w:tcW w:w="1003" w:type="dxa"/>
            <w:tcBorders>
              <w:top w:val="nil"/>
              <w:left w:val="nil"/>
              <w:right w:val="nil"/>
            </w:tcBorders>
            <w:shd w:val="clear" w:color="000000" w:fill="FFFFCC"/>
            <w:vAlign w:val="bottom"/>
          </w:tcPr>
          <w:p w14:paraId="1E97CA7C" w14:textId="265008B0"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7.1</w:t>
            </w:r>
          </w:p>
        </w:tc>
        <w:tc>
          <w:tcPr>
            <w:tcW w:w="1004" w:type="dxa"/>
            <w:tcBorders>
              <w:top w:val="nil"/>
              <w:left w:val="nil"/>
              <w:right w:val="single" w:sz="4" w:space="0" w:color="auto"/>
            </w:tcBorders>
            <w:shd w:val="clear" w:color="000000" w:fill="FFFFCC"/>
            <w:vAlign w:val="bottom"/>
          </w:tcPr>
          <w:p w14:paraId="403FC56C" w14:textId="676A15C9"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30</w:t>
            </w:r>
          </w:p>
        </w:tc>
      </w:tr>
      <w:tr w:rsidR="009902DD" w14:paraId="40C403CB" w14:textId="77777777" w:rsidTr="00397262">
        <w:trPr>
          <w:trHeight w:val="290"/>
        </w:trPr>
        <w:tc>
          <w:tcPr>
            <w:tcW w:w="2105" w:type="dxa"/>
            <w:tcBorders>
              <w:top w:val="nil"/>
              <w:left w:val="single" w:sz="4" w:space="0" w:color="auto"/>
              <w:bottom w:val="single" w:sz="4" w:space="0" w:color="auto"/>
              <w:right w:val="nil"/>
            </w:tcBorders>
          </w:tcPr>
          <w:p w14:paraId="456EDCD5" w14:textId="77777777" w:rsidR="009902DD" w:rsidRPr="00397262" w:rsidRDefault="009902DD" w:rsidP="009902DD">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Acrylamide polymer</w:t>
            </w:r>
          </w:p>
        </w:tc>
        <w:tc>
          <w:tcPr>
            <w:tcW w:w="1003" w:type="dxa"/>
            <w:tcBorders>
              <w:top w:val="nil"/>
              <w:left w:val="nil"/>
              <w:bottom w:val="single" w:sz="4" w:space="0" w:color="auto"/>
              <w:right w:val="nil"/>
            </w:tcBorders>
            <w:shd w:val="clear" w:color="000000" w:fill="99CCFF"/>
            <w:vAlign w:val="bottom"/>
          </w:tcPr>
          <w:p w14:paraId="491AB903" w14:textId="0D8FCE9E"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112</w:t>
            </w:r>
          </w:p>
        </w:tc>
        <w:tc>
          <w:tcPr>
            <w:tcW w:w="1003" w:type="dxa"/>
            <w:tcBorders>
              <w:top w:val="nil"/>
              <w:left w:val="nil"/>
              <w:bottom w:val="single" w:sz="4" w:space="0" w:color="auto"/>
              <w:right w:val="nil"/>
            </w:tcBorders>
            <w:shd w:val="clear" w:color="000000" w:fill="99CCFF"/>
            <w:vAlign w:val="bottom"/>
          </w:tcPr>
          <w:p w14:paraId="21387591" w14:textId="1F3E7601"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1</w:t>
            </w:r>
            <w:r w:rsidR="000D20DB" w:rsidRPr="00397262">
              <w:rPr>
                <w:rFonts w:ascii="Calibri" w:hAnsi="Calibri"/>
                <w:b/>
                <w:bCs/>
                <w:color w:val="000000"/>
                <w:sz w:val="18"/>
                <w:szCs w:val="18"/>
              </w:rPr>
              <w:t>,</w:t>
            </w:r>
            <w:r w:rsidRPr="00397262">
              <w:rPr>
                <w:rFonts w:ascii="Calibri" w:hAnsi="Calibri"/>
                <w:b/>
                <w:bCs/>
                <w:color w:val="000000"/>
                <w:sz w:val="18"/>
                <w:szCs w:val="18"/>
              </w:rPr>
              <w:t>75</w:t>
            </w:r>
            <w:r w:rsidR="00F859AD" w:rsidRPr="00397262">
              <w:rPr>
                <w:rFonts w:ascii="Calibri" w:hAnsi="Calibri"/>
                <w:b/>
                <w:bCs/>
                <w:color w:val="000000"/>
                <w:sz w:val="18"/>
                <w:szCs w:val="18"/>
              </w:rPr>
              <w:t>0</w:t>
            </w:r>
          </w:p>
        </w:tc>
        <w:tc>
          <w:tcPr>
            <w:tcW w:w="1003" w:type="dxa"/>
            <w:tcBorders>
              <w:top w:val="nil"/>
              <w:left w:val="nil"/>
              <w:bottom w:val="single" w:sz="4" w:space="0" w:color="auto"/>
              <w:right w:val="nil"/>
            </w:tcBorders>
            <w:shd w:val="clear" w:color="000000" w:fill="FFFFCC"/>
            <w:vAlign w:val="bottom"/>
          </w:tcPr>
          <w:p w14:paraId="0E030E7A" w14:textId="3609F719"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6.1</w:t>
            </w:r>
          </w:p>
        </w:tc>
        <w:tc>
          <w:tcPr>
            <w:tcW w:w="1004" w:type="dxa"/>
            <w:tcBorders>
              <w:top w:val="nil"/>
              <w:left w:val="nil"/>
              <w:bottom w:val="single" w:sz="4" w:space="0" w:color="auto"/>
              <w:right w:val="single" w:sz="4" w:space="0" w:color="auto"/>
            </w:tcBorders>
            <w:shd w:val="clear" w:color="000000" w:fill="FFFFCC"/>
            <w:vAlign w:val="bottom"/>
          </w:tcPr>
          <w:p w14:paraId="264F06C9" w14:textId="37593C2B" w:rsidR="009902DD" w:rsidRPr="00397262" w:rsidRDefault="009902DD" w:rsidP="009902DD">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b/>
                <w:bCs/>
                <w:color w:val="000000"/>
                <w:sz w:val="18"/>
                <w:szCs w:val="18"/>
              </w:rPr>
              <w:t>81</w:t>
            </w:r>
          </w:p>
        </w:tc>
      </w:tr>
    </w:tbl>
    <w:p w14:paraId="3AD2541E" w14:textId="77777777" w:rsidR="00A1198D" w:rsidRDefault="00A1198D" w:rsidP="004032C3">
      <w:pPr>
        <w:pStyle w:val="Body"/>
      </w:pPr>
    </w:p>
    <w:p w14:paraId="2096CEB8" w14:textId="2E701953" w:rsidR="00B2567C" w:rsidRPr="004032C3" w:rsidRDefault="00B2567C" w:rsidP="00B2567C">
      <w:pPr>
        <w:pStyle w:val="Body"/>
      </w:pPr>
      <w:r>
        <w:t>When the effect of both sorption and degradation is accounted for</w:t>
      </w:r>
      <w:r w:rsidR="00CA79B1">
        <w:t xml:space="preserve"> the second group (a single value of </w:t>
      </w:r>
      <w:r w:rsidR="00CA79B1" w:rsidRPr="00526F41">
        <w:rPr>
          <w:i/>
        </w:rPr>
        <w:t>f</w:t>
      </w:r>
      <w:r w:rsidR="00CA79B1" w:rsidRPr="00526F41">
        <w:rPr>
          <w:vertAlign w:val="subscript"/>
        </w:rPr>
        <w:t>OC</w:t>
      </w:r>
      <w:r w:rsidR="00CA79B1">
        <w:rPr>
          <w:vertAlign w:val="subscript"/>
        </w:rPr>
        <w:t xml:space="preserve">_r </w:t>
      </w:r>
      <w:r w:rsidR="00CA79B1" w:rsidRPr="00C82716">
        <w:t xml:space="preserve">= </w:t>
      </w:r>
      <w:r w:rsidR="00CA79B1">
        <w:t>0.001 is considered),</w:t>
      </w:r>
      <w:r>
        <w:t xml:space="preserve"> concentrations at the receptor are different only for 2-methylphenol, naphthalene and bronopol. For 2-methylphenol, concentration decreases from 0.16 (without sorption</w:t>
      </w:r>
      <w:r w:rsidR="00607DFE">
        <w:t xml:space="preserve">, </w:t>
      </w:r>
      <w:r w:rsidR="00607DFE">
        <w:fldChar w:fldCharType="begin" w:fldLock="1"/>
      </w:r>
      <w:r w:rsidR="00607DFE">
        <w:instrText xml:space="preserve"> REF _Ref470864661 \h </w:instrText>
      </w:r>
      <w:r w:rsidR="00607DFE">
        <w:fldChar w:fldCharType="separate"/>
      </w:r>
      <w:r w:rsidR="00335E79">
        <w:t xml:space="preserve">Table </w:t>
      </w:r>
      <w:r w:rsidR="00335E79">
        <w:rPr>
          <w:noProof/>
        </w:rPr>
        <w:t>5</w:t>
      </w:r>
      <w:r w:rsidR="00335E79">
        <w:noBreakHyphen/>
      </w:r>
      <w:r w:rsidR="00335E79">
        <w:rPr>
          <w:noProof/>
        </w:rPr>
        <w:t>2</w:t>
      </w:r>
      <w:r w:rsidR="00607DFE">
        <w:fldChar w:fldCharType="end"/>
      </w:r>
      <w:r>
        <w:t>) to 10</w:t>
      </w:r>
      <w:r w:rsidRPr="00B040CC">
        <w:rPr>
          <w:vertAlign w:val="superscript"/>
        </w:rPr>
        <w:t>-4</w:t>
      </w:r>
      <w:r>
        <w:t xml:space="preserve"> (at minimum travel time</w:t>
      </w:r>
      <w:r w:rsidR="00607DFE">
        <w:t xml:space="preserve"> and maximum </w:t>
      </w:r>
      <w:proofErr w:type="gramStart"/>
      <w:r w:rsidR="007B3DC4" w:rsidRPr="00E6110F">
        <w:rPr>
          <w:i/>
        </w:rPr>
        <w:t>R</w:t>
      </w:r>
      <w:r w:rsidR="007B3DC4" w:rsidRPr="007B3DC4">
        <w:rPr>
          <w:i/>
          <w:vertAlign w:val="subscript"/>
        </w:rPr>
        <w:t>f</w:t>
      </w:r>
      <w:proofErr w:type="gramEnd"/>
      <w:r>
        <w:t>) and from 0.0021 (without sorption</w:t>
      </w:r>
      <w:r w:rsidR="00607DFE">
        <w:t xml:space="preserve">, </w:t>
      </w:r>
      <w:r w:rsidR="00607DFE">
        <w:fldChar w:fldCharType="begin" w:fldLock="1"/>
      </w:r>
      <w:r w:rsidR="00607DFE">
        <w:instrText xml:space="preserve"> REF _Ref470864661 \h </w:instrText>
      </w:r>
      <w:r w:rsidR="00607DFE">
        <w:fldChar w:fldCharType="separate"/>
      </w:r>
      <w:r w:rsidR="00335E79">
        <w:t xml:space="preserve">Table </w:t>
      </w:r>
      <w:r w:rsidR="00335E79">
        <w:rPr>
          <w:noProof/>
        </w:rPr>
        <w:t>5</w:t>
      </w:r>
      <w:r w:rsidR="00335E79">
        <w:noBreakHyphen/>
      </w:r>
      <w:r w:rsidR="00335E79">
        <w:rPr>
          <w:noProof/>
        </w:rPr>
        <w:t>2</w:t>
      </w:r>
      <w:r w:rsidR="00607DFE">
        <w:fldChar w:fldCharType="end"/>
      </w:r>
      <w:r>
        <w:t xml:space="preserve">) to zero for mean travel times </w:t>
      </w:r>
      <w:r w:rsidR="00607DFE">
        <w:t xml:space="preserve">and maximum retardation </w:t>
      </w:r>
      <w:r w:rsidR="007B3DC4" w:rsidRPr="00E6110F">
        <w:rPr>
          <w:i/>
        </w:rPr>
        <w:t>R</w:t>
      </w:r>
      <w:r w:rsidR="007B3DC4" w:rsidRPr="007B3DC4">
        <w:rPr>
          <w:i/>
          <w:vertAlign w:val="subscript"/>
        </w:rPr>
        <w:t>f</w:t>
      </w:r>
      <w:r w:rsidR="007B3DC4">
        <w:t xml:space="preserve"> </w:t>
      </w:r>
      <w:r>
        <w:t>(</w:t>
      </w:r>
      <w:r>
        <w:fldChar w:fldCharType="begin" w:fldLock="1"/>
      </w:r>
      <w:r>
        <w:instrText xml:space="preserve"> REF _Ref454470807 \h </w:instrText>
      </w:r>
      <w:r>
        <w:fldChar w:fldCharType="separate"/>
      </w:r>
      <w:r w:rsidR="00335E79">
        <w:t xml:space="preserve">Table </w:t>
      </w:r>
      <w:r w:rsidR="00335E79">
        <w:rPr>
          <w:noProof/>
        </w:rPr>
        <w:t>5</w:t>
      </w:r>
      <w:r w:rsidR="00335E79">
        <w:noBreakHyphen/>
      </w:r>
      <w:r w:rsidR="00335E79">
        <w:rPr>
          <w:noProof/>
        </w:rPr>
        <w:t>14</w:t>
      </w:r>
      <w:r>
        <w:fldChar w:fldCharType="end"/>
      </w:r>
      <w:r>
        <w:t>). Naphthalene decreases from 3.3×10</w:t>
      </w:r>
      <w:r w:rsidRPr="00B040CC">
        <w:rPr>
          <w:vertAlign w:val="superscript"/>
        </w:rPr>
        <w:t>-12</w:t>
      </w:r>
      <w:r>
        <w:t xml:space="preserve"> (without sorption, minimum travel time and maximum anaerobic biodegradation</w:t>
      </w:r>
      <w:r w:rsidR="00607DFE">
        <w:t xml:space="preserve">, </w:t>
      </w:r>
      <w:r w:rsidR="00607DFE">
        <w:fldChar w:fldCharType="begin" w:fldLock="1"/>
      </w:r>
      <w:r w:rsidR="00607DFE">
        <w:instrText xml:space="preserve"> REF _Ref470864661 \h </w:instrText>
      </w:r>
      <w:r w:rsidR="00607DFE">
        <w:fldChar w:fldCharType="separate"/>
      </w:r>
      <w:r w:rsidR="00335E79">
        <w:t xml:space="preserve">Table </w:t>
      </w:r>
      <w:r w:rsidR="00335E79">
        <w:rPr>
          <w:noProof/>
        </w:rPr>
        <w:t>5</w:t>
      </w:r>
      <w:r w:rsidR="00335E79">
        <w:noBreakHyphen/>
      </w:r>
      <w:r w:rsidR="00335E79">
        <w:rPr>
          <w:noProof/>
        </w:rPr>
        <w:t>2</w:t>
      </w:r>
      <w:r w:rsidR="00607DFE">
        <w:fldChar w:fldCharType="end"/>
      </w:r>
      <w:r>
        <w:t>) to zero when sorption is accounted for. Bronopol concentration decreases from 4.3×10</w:t>
      </w:r>
      <w:r w:rsidRPr="00B040CC">
        <w:rPr>
          <w:vertAlign w:val="superscript"/>
        </w:rPr>
        <w:t>-19</w:t>
      </w:r>
      <w:r>
        <w:t xml:space="preserve"> (without sorption, minimum travel time and maximum hydrolysis</w:t>
      </w:r>
      <w:r w:rsidR="00607DFE">
        <w:t xml:space="preserve">, </w:t>
      </w:r>
      <w:r w:rsidR="00607DFE">
        <w:fldChar w:fldCharType="begin" w:fldLock="1"/>
      </w:r>
      <w:r w:rsidR="00607DFE">
        <w:instrText xml:space="preserve"> REF _Ref470864661 \h </w:instrText>
      </w:r>
      <w:r w:rsidR="00607DFE">
        <w:fldChar w:fldCharType="separate"/>
      </w:r>
      <w:r w:rsidR="00335E79">
        <w:t xml:space="preserve">Table </w:t>
      </w:r>
      <w:r w:rsidR="00335E79">
        <w:rPr>
          <w:noProof/>
        </w:rPr>
        <w:t>5</w:t>
      </w:r>
      <w:r w:rsidR="00335E79">
        <w:noBreakHyphen/>
      </w:r>
      <w:r w:rsidR="00335E79">
        <w:rPr>
          <w:noProof/>
        </w:rPr>
        <w:t>2</w:t>
      </w:r>
      <w:r w:rsidR="00607DFE">
        <w:fldChar w:fldCharType="end"/>
      </w:r>
      <w:r>
        <w:t>) to zero when sorption is included.</w:t>
      </w:r>
      <w:r w:rsidRPr="004C73AB">
        <w:t xml:space="preserve"> </w:t>
      </w:r>
      <w:r>
        <w:t xml:space="preserve">For the maximum travel time </w:t>
      </w:r>
      <w:r w:rsidR="00607DFE">
        <w:t xml:space="preserve">of 92 years </w:t>
      </w:r>
      <w:r>
        <w:t>there is no difference between concentrations calculated with or without sorption (</w:t>
      </w:r>
      <w:r>
        <w:fldChar w:fldCharType="begin" w:fldLock="1"/>
      </w:r>
      <w:r>
        <w:instrText xml:space="preserve"> REF _Ref454470808 \h </w:instrText>
      </w:r>
      <w:r>
        <w:fldChar w:fldCharType="separate"/>
      </w:r>
      <w:r w:rsidR="00335E79">
        <w:t xml:space="preserve">Table </w:t>
      </w:r>
      <w:r w:rsidR="00335E79">
        <w:rPr>
          <w:noProof/>
        </w:rPr>
        <w:t>5</w:t>
      </w:r>
      <w:r w:rsidR="00335E79">
        <w:noBreakHyphen/>
      </w:r>
      <w:r w:rsidR="00335E79">
        <w:rPr>
          <w:noProof/>
        </w:rPr>
        <w:t>15</w:t>
      </w:r>
      <w:r>
        <w:fldChar w:fldCharType="end"/>
      </w:r>
      <w:r>
        <w:t>).</w:t>
      </w:r>
    </w:p>
    <w:p w14:paraId="6A9F4A4C" w14:textId="77777777" w:rsidR="004032C3" w:rsidRDefault="004032C3" w:rsidP="00B2567C">
      <w:pPr>
        <w:pStyle w:val="Body"/>
      </w:pPr>
    </w:p>
    <w:p w14:paraId="51159820" w14:textId="5318988E" w:rsidR="00B2567C" w:rsidRDefault="00B2567C" w:rsidP="00B2567C">
      <w:pPr>
        <w:pStyle w:val="Imagecaption"/>
        <w:keepNext/>
        <w:pBdr>
          <w:top w:val="none" w:sz="0" w:space="0" w:color="auto"/>
        </w:pBdr>
      </w:pPr>
      <w:bookmarkStart w:id="674" w:name="_Ref470874447"/>
      <w:bookmarkStart w:id="675" w:name="_Toc494444741"/>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13</w:t>
      </w:r>
      <w:r w:rsidR="00470577">
        <w:fldChar w:fldCharType="end"/>
      </w:r>
      <w:bookmarkEnd w:id="674"/>
      <w:r>
        <w:t xml:space="preserve"> Calculated relative concentration at receptor for minimum travel time of 10 years (travel time class # 1 </w:t>
      </w:r>
      <w:r>
        <w:fldChar w:fldCharType="begin" w:fldLock="1"/>
      </w:r>
      <w:r>
        <w:instrText xml:space="preserve"> REF _Ref454384797 \h  \* MERGEFORMAT </w:instrText>
      </w:r>
      <w:r>
        <w:fldChar w:fldCharType="separate"/>
      </w:r>
      <w:r w:rsidR="00335E79" w:rsidRPr="00DA539C">
        <w:t xml:space="preserve">Table </w:t>
      </w:r>
      <w:r w:rsidR="00335E79">
        <w:t>2</w:t>
      </w:r>
      <w:r w:rsidR="00335E79">
        <w:noBreakHyphen/>
        <w:t>24</w:t>
      </w:r>
      <w:r>
        <w:fldChar w:fldCharType="end"/>
      </w:r>
      <w:r>
        <w:t>). MCI = Methyl-chloro-isothiazolinone. Initial source concentration is 1 (no units specified). (</w:t>
      </w:r>
      <w:r w:rsidRPr="00A6566A">
        <w:t>f</w:t>
      </w:r>
      <w:r w:rsidRPr="00526F41">
        <w:rPr>
          <w:vertAlign w:val="subscript"/>
        </w:rPr>
        <w:t>OC</w:t>
      </w:r>
      <w:r w:rsidR="00B96E77">
        <w:rPr>
          <w:vertAlign w:val="subscript"/>
        </w:rPr>
        <w:t>_r</w:t>
      </w:r>
      <w:r w:rsidRPr="00A6566A">
        <w:t xml:space="preserve"> </w:t>
      </w:r>
      <w:r>
        <w:t xml:space="preserve">= </w:t>
      </w:r>
      <w:r w:rsidRPr="002C24F4">
        <w:t>0.001</w:t>
      </w:r>
      <w:r>
        <w:t xml:space="preserve">). Underlined numbers have their concentrations decreased compared to calculations without sorption. When two numbers are shown results represent minimum/maximum </w:t>
      </w:r>
      <w:proofErr w:type="gramStart"/>
      <w:r w:rsidR="007B3DC4" w:rsidRPr="00E6110F">
        <w:t>R</w:t>
      </w:r>
      <w:r w:rsidR="007B3DC4" w:rsidRPr="007B3DC4">
        <w:rPr>
          <w:i w:val="0"/>
          <w:vertAlign w:val="subscript"/>
        </w:rPr>
        <w:t>f</w:t>
      </w:r>
      <w:proofErr w:type="gramEnd"/>
      <w:r w:rsidR="007B3DC4">
        <w:t xml:space="preserve"> </w:t>
      </w:r>
      <w:r>
        <w:t>values.</w:t>
      </w:r>
      <w:r w:rsidR="003B5BB4">
        <w:t xml:space="preserve"> Attenuation due to degradation and sorption.</w:t>
      </w:r>
      <w:bookmarkEnd w:id="675"/>
    </w:p>
    <w:tbl>
      <w:tblPr>
        <w:tblW w:w="8814" w:type="dxa"/>
        <w:tblInd w:w="-30" w:type="dxa"/>
        <w:tblLayout w:type="fixed"/>
        <w:tblLook w:val="0000" w:firstRow="0" w:lastRow="0" w:firstColumn="0" w:lastColumn="0" w:noHBand="0" w:noVBand="0"/>
      </w:tblPr>
      <w:tblGrid>
        <w:gridCol w:w="2105"/>
        <w:gridCol w:w="6"/>
        <w:gridCol w:w="1175"/>
        <w:gridCol w:w="141"/>
        <w:gridCol w:w="993"/>
        <w:gridCol w:w="1134"/>
        <w:gridCol w:w="992"/>
        <w:gridCol w:w="1134"/>
        <w:gridCol w:w="142"/>
        <w:gridCol w:w="992"/>
      </w:tblGrid>
      <w:tr w:rsidR="00B2567C" w14:paraId="16ED7EAC" w14:textId="77777777" w:rsidTr="00607DFE">
        <w:trPr>
          <w:trHeight w:val="290"/>
        </w:trPr>
        <w:tc>
          <w:tcPr>
            <w:tcW w:w="2105" w:type="dxa"/>
            <w:tcBorders>
              <w:top w:val="single" w:sz="4" w:space="0" w:color="auto"/>
              <w:left w:val="single" w:sz="4" w:space="0" w:color="auto"/>
              <w:bottom w:val="nil"/>
              <w:right w:val="nil"/>
            </w:tcBorders>
          </w:tcPr>
          <w:p w14:paraId="4479DE97" w14:textId="77777777" w:rsidR="00B2567C" w:rsidRDefault="00B2567C" w:rsidP="00607DFE">
            <w:pPr>
              <w:autoSpaceDE w:val="0"/>
              <w:autoSpaceDN w:val="0"/>
              <w:adjustRightInd w:val="0"/>
              <w:spacing w:after="0"/>
              <w:jc w:val="right"/>
              <w:rPr>
                <w:rFonts w:ascii="Calibri" w:hAnsi="Calibri" w:cs="Calibri"/>
                <w:color w:val="000000"/>
                <w:sz w:val="22"/>
                <w:szCs w:val="22"/>
                <w:lang w:val="en-AU"/>
              </w:rPr>
            </w:pPr>
          </w:p>
        </w:tc>
        <w:tc>
          <w:tcPr>
            <w:tcW w:w="6709" w:type="dxa"/>
            <w:gridSpan w:val="9"/>
            <w:tcBorders>
              <w:top w:val="single" w:sz="4" w:space="0" w:color="auto"/>
              <w:left w:val="nil"/>
              <w:bottom w:val="nil"/>
              <w:right w:val="single" w:sz="4" w:space="0" w:color="auto"/>
            </w:tcBorders>
          </w:tcPr>
          <w:p w14:paraId="125D0DF7"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Relative concentration (-)</w:t>
            </w:r>
            <w:r>
              <w:rPr>
                <w:rFonts w:ascii="Calibri" w:hAnsi="Calibri" w:cs="Calibri"/>
                <w:color w:val="000000"/>
                <w:sz w:val="18"/>
                <w:szCs w:val="18"/>
                <w:lang w:val="en-AU"/>
              </w:rPr>
              <w:t xml:space="preserve"> </w:t>
            </w:r>
            <w:r w:rsidRPr="00DA38B7">
              <w:rPr>
                <w:rFonts w:ascii="Calibri" w:hAnsi="Calibri" w:cs="Calibri"/>
                <w:color w:val="000000"/>
                <w:sz w:val="18"/>
                <w:szCs w:val="18"/>
                <w:lang w:val="en-AU"/>
              </w:rPr>
              <w:t>at receptor: minimum travel time</w:t>
            </w:r>
          </w:p>
        </w:tc>
      </w:tr>
      <w:tr w:rsidR="00B2567C" w14:paraId="43B23304" w14:textId="77777777" w:rsidTr="00607DFE">
        <w:trPr>
          <w:trHeight w:val="290"/>
        </w:trPr>
        <w:tc>
          <w:tcPr>
            <w:tcW w:w="2105" w:type="dxa"/>
            <w:tcBorders>
              <w:top w:val="nil"/>
              <w:left w:val="single" w:sz="4" w:space="0" w:color="auto"/>
              <w:bottom w:val="nil"/>
              <w:right w:val="nil"/>
            </w:tcBorders>
          </w:tcPr>
          <w:p w14:paraId="302139F8" w14:textId="77777777" w:rsidR="00B2567C" w:rsidRDefault="00B2567C" w:rsidP="00607DFE">
            <w:pPr>
              <w:autoSpaceDE w:val="0"/>
              <w:autoSpaceDN w:val="0"/>
              <w:adjustRightInd w:val="0"/>
              <w:spacing w:after="0"/>
              <w:jc w:val="right"/>
              <w:rPr>
                <w:rFonts w:ascii="Calibri" w:hAnsi="Calibri" w:cs="Calibri"/>
                <w:color w:val="000000"/>
                <w:sz w:val="22"/>
                <w:szCs w:val="22"/>
                <w:lang w:val="en-AU"/>
              </w:rPr>
            </w:pPr>
          </w:p>
        </w:tc>
        <w:tc>
          <w:tcPr>
            <w:tcW w:w="2315" w:type="dxa"/>
            <w:gridSpan w:val="4"/>
            <w:tcBorders>
              <w:top w:val="nil"/>
              <w:left w:val="nil"/>
              <w:bottom w:val="nil"/>
              <w:right w:val="nil"/>
            </w:tcBorders>
            <w:shd w:val="solid" w:color="FFCC99" w:fill="auto"/>
          </w:tcPr>
          <w:p w14:paraId="05B99C64"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Anaerobic</w:t>
            </w:r>
          </w:p>
        </w:tc>
        <w:tc>
          <w:tcPr>
            <w:tcW w:w="2126" w:type="dxa"/>
            <w:gridSpan w:val="2"/>
            <w:tcBorders>
              <w:top w:val="nil"/>
              <w:left w:val="nil"/>
              <w:bottom w:val="nil"/>
              <w:right w:val="nil"/>
            </w:tcBorders>
            <w:shd w:val="solid" w:color="99CCFF" w:fill="auto"/>
          </w:tcPr>
          <w:p w14:paraId="3CB14BC5"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Aerobic</w:t>
            </w:r>
          </w:p>
        </w:tc>
        <w:tc>
          <w:tcPr>
            <w:tcW w:w="2268" w:type="dxa"/>
            <w:gridSpan w:val="3"/>
            <w:tcBorders>
              <w:top w:val="nil"/>
              <w:left w:val="nil"/>
              <w:bottom w:val="nil"/>
              <w:right w:val="single" w:sz="4" w:space="0" w:color="auto"/>
            </w:tcBorders>
            <w:shd w:val="solid" w:color="FFFFCC" w:fill="auto"/>
          </w:tcPr>
          <w:p w14:paraId="78B49B2E"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Hydrolysis</w:t>
            </w:r>
          </w:p>
        </w:tc>
      </w:tr>
      <w:tr w:rsidR="00B2567C" w14:paraId="65F9C1EF" w14:textId="77777777" w:rsidTr="00607DFE">
        <w:trPr>
          <w:trHeight w:val="290"/>
        </w:trPr>
        <w:tc>
          <w:tcPr>
            <w:tcW w:w="2105" w:type="dxa"/>
            <w:tcBorders>
              <w:top w:val="nil"/>
              <w:left w:val="single" w:sz="4" w:space="0" w:color="auto"/>
              <w:bottom w:val="single" w:sz="6" w:space="0" w:color="auto"/>
              <w:right w:val="nil"/>
            </w:tcBorders>
          </w:tcPr>
          <w:p w14:paraId="265BEB4F"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Chemical substance</w:t>
            </w:r>
          </w:p>
        </w:tc>
        <w:tc>
          <w:tcPr>
            <w:tcW w:w="1322" w:type="dxa"/>
            <w:gridSpan w:val="3"/>
            <w:tcBorders>
              <w:top w:val="nil"/>
              <w:left w:val="nil"/>
              <w:bottom w:val="single" w:sz="6" w:space="0" w:color="auto"/>
              <w:right w:val="nil"/>
            </w:tcBorders>
            <w:shd w:val="solid" w:color="FFCC99" w:fill="auto"/>
          </w:tcPr>
          <w:p w14:paraId="2F5EFAC9" w14:textId="513EDDEA" w:rsidR="00B2567C" w:rsidRDefault="00B2567C" w:rsidP="00607DFE">
            <w:pPr>
              <w:autoSpaceDE w:val="0"/>
              <w:autoSpaceDN w:val="0"/>
              <w:adjustRightInd w:val="0"/>
              <w:spacing w:after="0"/>
              <w:jc w:val="center"/>
              <w:rPr>
                <w:rFonts w:ascii="Calibri" w:hAnsi="Calibri" w:cs="Calibri"/>
                <w:color w:val="000000"/>
                <w:sz w:val="22"/>
                <w:szCs w:val="22"/>
                <w:lang w:val="en-AU"/>
              </w:rPr>
            </w:pPr>
            <w:r>
              <w:rPr>
                <w:rFonts w:ascii="Calibri" w:hAnsi="Calibri" w:cs="Calibri"/>
                <w:color w:val="000000"/>
                <w:sz w:val="22"/>
                <w:szCs w:val="22"/>
                <w:lang w:val="en-AU"/>
              </w:rPr>
              <w:t>Min</w:t>
            </w:r>
          </w:p>
        </w:tc>
        <w:tc>
          <w:tcPr>
            <w:tcW w:w="993" w:type="dxa"/>
            <w:tcBorders>
              <w:top w:val="nil"/>
              <w:left w:val="nil"/>
              <w:bottom w:val="single" w:sz="6" w:space="0" w:color="auto"/>
              <w:right w:val="nil"/>
            </w:tcBorders>
            <w:shd w:val="solid" w:color="FFCC99" w:fill="auto"/>
          </w:tcPr>
          <w:p w14:paraId="69C7B6A0"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max</w:t>
            </w:r>
          </w:p>
        </w:tc>
        <w:tc>
          <w:tcPr>
            <w:tcW w:w="1134" w:type="dxa"/>
            <w:tcBorders>
              <w:top w:val="nil"/>
              <w:left w:val="nil"/>
              <w:bottom w:val="single" w:sz="6" w:space="0" w:color="auto"/>
              <w:right w:val="nil"/>
            </w:tcBorders>
            <w:shd w:val="solid" w:color="99CCFF" w:fill="auto"/>
          </w:tcPr>
          <w:p w14:paraId="2DB60E83"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min</w:t>
            </w:r>
          </w:p>
        </w:tc>
        <w:tc>
          <w:tcPr>
            <w:tcW w:w="992" w:type="dxa"/>
            <w:tcBorders>
              <w:top w:val="nil"/>
              <w:left w:val="nil"/>
              <w:bottom w:val="single" w:sz="6" w:space="0" w:color="auto"/>
              <w:right w:val="nil"/>
            </w:tcBorders>
            <w:shd w:val="solid" w:color="99CCFF" w:fill="auto"/>
          </w:tcPr>
          <w:p w14:paraId="3C579121"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max</w:t>
            </w:r>
          </w:p>
        </w:tc>
        <w:tc>
          <w:tcPr>
            <w:tcW w:w="1134" w:type="dxa"/>
            <w:tcBorders>
              <w:top w:val="nil"/>
              <w:left w:val="nil"/>
              <w:bottom w:val="single" w:sz="6" w:space="0" w:color="auto"/>
              <w:right w:val="nil"/>
            </w:tcBorders>
            <w:shd w:val="solid" w:color="FFFFCC" w:fill="auto"/>
          </w:tcPr>
          <w:p w14:paraId="06677B27"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min</w:t>
            </w:r>
          </w:p>
        </w:tc>
        <w:tc>
          <w:tcPr>
            <w:tcW w:w="1134" w:type="dxa"/>
            <w:gridSpan w:val="2"/>
            <w:tcBorders>
              <w:top w:val="nil"/>
              <w:left w:val="nil"/>
              <w:bottom w:val="single" w:sz="6" w:space="0" w:color="auto"/>
              <w:right w:val="single" w:sz="4" w:space="0" w:color="auto"/>
            </w:tcBorders>
            <w:shd w:val="solid" w:color="FFFFCC" w:fill="auto"/>
          </w:tcPr>
          <w:p w14:paraId="4AEC4AAE"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max</w:t>
            </w:r>
          </w:p>
        </w:tc>
      </w:tr>
      <w:tr w:rsidR="00B2567C" w14:paraId="60F2B1E0" w14:textId="77777777" w:rsidTr="00607DFE">
        <w:trPr>
          <w:trHeight w:val="290"/>
        </w:trPr>
        <w:tc>
          <w:tcPr>
            <w:tcW w:w="2105" w:type="dxa"/>
            <w:tcBorders>
              <w:top w:val="nil"/>
              <w:left w:val="single" w:sz="4" w:space="0" w:color="auto"/>
              <w:bottom w:val="nil"/>
              <w:right w:val="nil"/>
            </w:tcBorders>
          </w:tcPr>
          <w:p w14:paraId="3991EE07"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2-methylphenol</w:t>
            </w:r>
          </w:p>
        </w:tc>
        <w:tc>
          <w:tcPr>
            <w:tcW w:w="1181" w:type="dxa"/>
            <w:gridSpan w:val="2"/>
            <w:tcBorders>
              <w:top w:val="nil"/>
              <w:left w:val="nil"/>
              <w:bottom w:val="nil"/>
              <w:right w:val="nil"/>
            </w:tcBorders>
            <w:shd w:val="solid" w:color="FFCC99" w:fill="auto"/>
          </w:tcPr>
          <w:p w14:paraId="2E655437" w14:textId="77777777" w:rsidR="00B2567C" w:rsidRPr="005F736F" w:rsidRDefault="00B2567C" w:rsidP="00607DFE">
            <w:pPr>
              <w:autoSpaceDE w:val="0"/>
              <w:autoSpaceDN w:val="0"/>
              <w:adjustRightInd w:val="0"/>
              <w:spacing w:after="0"/>
              <w:jc w:val="center"/>
              <w:rPr>
                <w:rFonts w:ascii="Calibri" w:hAnsi="Calibri" w:cs="Calibri"/>
                <w:b/>
                <w:bCs/>
                <w:color w:val="000000"/>
                <w:sz w:val="22"/>
                <w:szCs w:val="22"/>
                <w:u w:val="single"/>
                <w:lang w:val="en-AU"/>
              </w:rPr>
            </w:pPr>
            <w:r>
              <w:rPr>
                <w:rFonts w:ascii="Calibri" w:hAnsi="Calibri" w:cs="Calibri"/>
                <w:b/>
                <w:bCs/>
                <w:color w:val="000000"/>
                <w:sz w:val="22"/>
                <w:szCs w:val="22"/>
                <w:u w:val="single"/>
                <w:lang w:val="en-AU"/>
              </w:rPr>
              <w:t>0</w:t>
            </w:r>
          </w:p>
        </w:tc>
        <w:tc>
          <w:tcPr>
            <w:tcW w:w="1134" w:type="dxa"/>
            <w:gridSpan w:val="2"/>
            <w:tcBorders>
              <w:top w:val="nil"/>
              <w:left w:val="nil"/>
              <w:bottom w:val="nil"/>
              <w:right w:val="nil"/>
            </w:tcBorders>
            <w:shd w:val="solid" w:color="FFCC99" w:fill="auto"/>
          </w:tcPr>
          <w:p w14:paraId="005C9B60"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u w:val="single"/>
                <w:lang w:val="en-AU"/>
              </w:rPr>
            </w:pPr>
            <w:r w:rsidRPr="00DA38B7">
              <w:rPr>
                <w:rFonts w:ascii="Calibri" w:hAnsi="Calibri" w:cs="Calibri"/>
                <w:b/>
                <w:bCs/>
                <w:color w:val="000000"/>
                <w:sz w:val="18"/>
                <w:szCs w:val="18"/>
                <w:u w:val="single"/>
                <w:lang w:val="en-AU"/>
              </w:rPr>
              <w:t>0.08/1E-4</w:t>
            </w:r>
          </w:p>
        </w:tc>
        <w:tc>
          <w:tcPr>
            <w:tcW w:w="1134" w:type="dxa"/>
            <w:tcBorders>
              <w:top w:val="nil"/>
              <w:left w:val="nil"/>
              <w:bottom w:val="nil"/>
              <w:right w:val="nil"/>
            </w:tcBorders>
            <w:shd w:val="solid" w:color="99CCFF" w:fill="auto"/>
          </w:tcPr>
          <w:p w14:paraId="7BC159B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439C736A"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276" w:type="dxa"/>
            <w:gridSpan w:val="2"/>
            <w:tcBorders>
              <w:top w:val="nil"/>
              <w:left w:val="nil"/>
              <w:bottom w:val="nil"/>
              <w:right w:val="nil"/>
            </w:tcBorders>
            <w:shd w:val="solid" w:color="FFFFCC" w:fill="auto"/>
          </w:tcPr>
          <w:p w14:paraId="640483F2"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992" w:type="dxa"/>
            <w:tcBorders>
              <w:top w:val="nil"/>
              <w:left w:val="nil"/>
              <w:bottom w:val="nil"/>
              <w:right w:val="single" w:sz="4" w:space="0" w:color="auto"/>
            </w:tcBorders>
            <w:shd w:val="solid" w:color="FFFFCC" w:fill="auto"/>
          </w:tcPr>
          <w:p w14:paraId="1C46BDF9"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r>
      <w:tr w:rsidR="00B2567C" w14:paraId="009D6D65" w14:textId="77777777" w:rsidTr="00607DFE">
        <w:trPr>
          <w:trHeight w:val="290"/>
        </w:trPr>
        <w:tc>
          <w:tcPr>
            <w:tcW w:w="2105" w:type="dxa"/>
            <w:tcBorders>
              <w:top w:val="nil"/>
              <w:left w:val="single" w:sz="4" w:space="0" w:color="auto"/>
              <w:bottom w:val="nil"/>
              <w:right w:val="nil"/>
            </w:tcBorders>
          </w:tcPr>
          <w:p w14:paraId="599ED5F6"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Naphthalene</w:t>
            </w:r>
          </w:p>
        </w:tc>
        <w:tc>
          <w:tcPr>
            <w:tcW w:w="1181" w:type="dxa"/>
            <w:gridSpan w:val="2"/>
            <w:tcBorders>
              <w:top w:val="nil"/>
              <w:left w:val="nil"/>
              <w:bottom w:val="nil"/>
              <w:right w:val="nil"/>
            </w:tcBorders>
            <w:shd w:val="solid" w:color="FFCC99" w:fill="auto"/>
          </w:tcPr>
          <w:p w14:paraId="3D83144F" w14:textId="77777777" w:rsidR="00B2567C" w:rsidRPr="00F12A1C" w:rsidRDefault="00B2567C" w:rsidP="00607DFE">
            <w:pPr>
              <w:autoSpaceDE w:val="0"/>
              <w:autoSpaceDN w:val="0"/>
              <w:adjustRightInd w:val="0"/>
              <w:spacing w:after="0"/>
              <w:jc w:val="center"/>
              <w:rPr>
                <w:rFonts w:ascii="Calibri" w:hAnsi="Calibri" w:cs="Calibri"/>
                <w:b/>
                <w:bCs/>
                <w:color w:val="000000"/>
                <w:sz w:val="22"/>
                <w:szCs w:val="22"/>
                <w:u w:val="single"/>
                <w:lang w:val="en-AU"/>
              </w:rPr>
            </w:pPr>
            <w:r w:rsidRPr="00F12A1C">
              <w:rPr>
                <w:rFonts w:ascii="Calibri" w:hAnsi="Calibri" w:cs="Calibri"/>
                <w:b/>
                <w:bCs/>
                <w:color w:val="000000"/>
                <w:sz w:val="22"/>
                <w:szCs w:val="22"/>
                <w:u w:val="single"/>
                <w:lang w:val="en-AU"/>
              </w:rPr>
              <w:t>0</w:t>
            </w:r>
          </w:p>
        </w:tc>
        <w:tc>
          <w:tcPr>
            <w:tcW w:w="1134" w:type="dxa"/>
            <w:gridSpan w:val="2"/>
            <w:tcBorders>
              <w:top w:val="nil"/>
              <w:left w:val="nil"/>
              <w:bottom w:val="nil"/>
              <w:right w:val="nil"/>
            </w:tcBorders>
            <w:shd w:val="solid" w:color="FFCC99" w:fill="auto"/>
          </w:tcPr>
          <w:p w14:paraId="68AF01A6"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1.00</w:t>
            </w:r>
          </w:p>
        </w:tc>
        <w:tc>
          <w:tcPr>
            <w:tcW w:w="1134" w:type="dxa"/>
            <w:tcBorders>
              <w:top w:val="nil"/>
              <w:left w:val="nil"/>
              <w:bottom w:val="nil"/>
              <w:right w:val="nil"/>
            </w:tcBorders>
            <w:shd w:val="solid" w:color="99CCFF" w:fill="auto"/>
          </w:tcPr>
          <w:p w14:paraId="1CDF2D2D"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38D4D218"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u w:val="single"/>
                <w:lang w:val="en-AU"/>
              </w:rPr>
            </w:pPr>
            <w:r w:rsidRPr="00DA38B7">
              <w:rPr>
                <w:rFonts w:ascii="Calibri" w:hAnsi="Calibri" w:cs="Calibri"/>
                <w:b/>
                <w:bCs/>
                <w:color w:val="000000"/>
                <w:sz w:val="18"/>
                <w:szCs w:val="18"/>
                <w:u w:val="single"/>
                <w:lang w:val="en-AU"/>
              </w:rPr>
              <w:t>0</w:t>
            </w:r>
          </w:p>
        </w:tc>
        <w:tc>
          <w:tcPr>
            <w:tcW w:w="1276" w:type="dxa"/>
            <w:gridSpan w:val="2"/>
            <w:tcBorders>
              <w:top w:val="nil"/>
              <w:left w:val="nil"/>
              <w:bottom w:val="nil"/>
              <w:right w:val="nil"/>
            </w:tcBorders>
            <w:shd w:val="solid" w:color="FFFFCC" w:fill="auto"/>
          </w:tcPr>
          <w:p w14:paraId="578CA5C7"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992" w:type="dxa"/>
            <w:tcBorders>
              <w:top w:val="nil"/>
              <w:left w:val="nil"/>
              <w:bottom w:val="nil"/>
              <w:right w:val="single" w:sz="4" w:space="0" w:color="auto"/>
            </w:tcBorders>
            <w:shd w:val="solid" w:color="FFFFCC" w:fill="auto"/>
          </w:tcPr>
          <w:p w14:paraId="49C0B2F0"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r>
      <w:tr w:rsidR="00B2567C" w14:paraId="283DF2DD" w14:textId="77777777" w:rsidTr="00607DFE">
        <w:trPr>
          <w:trHeight w:val="290"/>
        </w:trPr>
        <w:tc>
          <w:tcPr>
            <w:tcW w:w="2105" w:type="dxa"/>
            <w:tcBorders>
              <w:top w:val="nil"/>
              <w:left w:val="single" w:sz="4" w:space="0" w:color="auto"/>
              <w:bottom w:val="nil"/>
              <w:right w:val="nil"/>
            </w:tcBorders>
          </w:tcPr>
          <w:p w14:paraId="327A64C1"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Limonene</w:t>
            </w:r>
          </w:p>
        </w:tc>
        <w:tc>
          <w:tcPr>
            <w:tcW w:w="1181" w:type="dxa"/>
            <w:gridSpan w:val="2"/>
            <w:tcBorders>
              <w:top w:val="nil"/>
              <w:left w:val="nil"/>
              <w:bottom w:val="nil"/>
              <w:right w:val="nil"/>
            </w:tcBorders>
            <w:shd w:val="solid" w:color="FFCC99" w:fill="auto"/>
          </w:tcPr>
          <w:p w14:paraId="1C780846" w14:textId="77777777" w:rsidR="00B2567C" w:rsidRDefault="00B2567C" w:rsidP="00607DFE">
            <w:pPr>
              <w:autoSpaceDE w:val="0"/>
              <w:autoSpaceDN w:val="0"/>
              <w:adjustRightInd w:val="0"/>
              <w:spacing w:after="0"/>
              <w:jc w:val="center"/>
              <w:rPr>
                <w:rFonts w:ascii="Calibri" w:hAnsi="Calibri" w:cs="Calibri"/>
                <w:b/>
                <w:bCs/>
                <w:color w:val="000000"/>
                <w:sz w:val="22"/>
                <w:szCs w:val="22"/>
                <w:lang w:val="en-AU"/>
              </w:rPr>
            </w:pPr>
            <w:r>
              <w:rPr>
                <w:rFonts w:ascii="Calibri" w:hAnsi="Calibri" w:cs="Calibri"/>
                <w:b/>
                <w:bCs/>
                <w:color w:val="000000"/>
                <w:sz w:val="22"/>
                <w:szCs w:val="22"/>
                <w:lang w:val="en-AU"/>
              </w:rPr>
              <w:t xml:space="preserve"> 1</w:t>
            </w:r>
          </w:p>
        </w:tc>
        <w:tc>
          <w:tcPr>
            <w:tcW w:w="1134" w:type="dxa"/>
            <w:gridSpan w:val="2"/>
            <w:tcBorders>
              <w:top w:val="nil"/>
              <w:left w:val="nil"/>
              <w:bottom w:val="nil"/>
              <w:right w:val="nil"/>
            </w:tcBorders>
            <w:shd w:val="solid" w:color="FFCC99" w:fill="auto"/>
          </w:tcPr>
          <w:p w14:paraId="43E22156"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c>
          <w:tcPr>
            <w:tcW w:w="1134" w:type="dxa"/>
            <w:tcBorders>
              <w:top w:val="nil"/>
              <w:left w:val="nil"/>
              <w:bottom w:val="nil"/>
              <w:right w:val="nil"/>
            </w:tcBorders>
            <w:shd w:val="solid" w:color="99CCFF" w:fill="auto"/>
          </w:tcPr>
          <w:p w14:paraId="5525AF67"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21C6EBC5"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276" w:type="dxa"/>
            <w:gridSpan w:val="2"/>
            <w:tcBorders>
              <w:top w:val="nil"/>
              <w:left w:val="nil"/>
              <w:bottom w:val="nil"/>
              <w:right w:val="nil"/>
            </w:tcBorders>
            <w:shd w:val="solid" w:color="FFFFCC" w:fill="auto"/>
          </w:tcPr>
          <w:p w14:paraId="674FA6E0"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c>
          <w:tcPr>
            <w:tcW w:w="992" w:type="dxa"/>
            <w:tcBorders>
              <w:top w:val="nil"/>
              <w:left w:val="nil"/>
              <w:bottom w:val="nil"/>
              <w:right w:val="single" w:sz="4" w:space="0" w:color="auto"/>
            </w:tcBorders>
            <w:shd w:val="solid" w:color="FFFFCC" w:fill="auto"/>
          </w:tcPr>
          <w:p w14:paraId="75C1D60F"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r>
      <w:tr w:rsidR="00B2567C" w14:paraId="1AB6224E" w14:textId="77777777" w:rsidTr="00607DFE">
        <w:trPr>
          <w:trHeight w:val="290"/>
        </w:trPr>
        <w:tc>
          <w:tcPr>
            <w:tcW w:w="2105" w:type="dxa"/>
            <w:tcBorders>
              <w:top w:val="nil"/>
              <w:left w:val="single" w:sz="4" w:space="0" w:color="auto"/>
              <w:bottom w:val="nil"/>
              <w:right w:val="nil"/>
            </w:tcBorders>
          </w:tcPr>
          <w:p w14:paraId="6B9AD409"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HMX</w:t>
            </w:r>
          </w:p>
        </w:tc>
        <w:tc>
          <w:tcPr>
            <w:tcW w:w="1181" w:type="dxa"/>
            <w:gridSpan w:val="2"/>
            <w:tcBorders>
              <w:top w:val="nil"/>
              <w:left w:val="nil"/>
              <w:bottom w:val="nil"/>
              <w:right w:val="nil"/>
            </w:tcBorders>
            <w:shd w:val="solid" w:color="FFCC99" w:fill="auto"/>
          </w:tcPr>
          <w:p w14:paraId="2DC54F9D" w14:textId="77777777" w:rsidR="00B2567C" w:rsidRDefault="00B2567C" w:rsidP="00607DFE">
            <w:pPr>
              <w:autoSpaceDE w:val="0"/>
              <w:autoSpaceDN w:val="0"/>
              <w:adjustRightInd w:val="0"/>
              <w:spacing w:after="0"/>
              <w:jc w:val="center"/>
              <w:rPr>
                <w:rFonts w:ascii="Calibri" w:hAnsi="Calibri" w:cs="Calibri"/>
                <w:b/>
                <w:bCs/>
                <w:color w:val="000000"/>
                <w:sz w:val="22"/>
                <w:szCs w:val="22"/>
                <w:lang w:val="en-AU"/>
              </w:rPr>
            </w:pPr>
            <w:r>
              <w:rPr>
                <w:rFonts w:ascii="Calibri" w:hAnsi="Calibri" w:cs="Calibri"/>
                <w:b/>
                <w:bCs/>
                <w:color w:val="000000"/>
                <w:sz w:val="22"/>
                <w:szCs w:val="22"/>
                <w:lang w:val="en-AU"/>
              </w:rPr>
              <w:t xml:space="preserve"> 0</w:t>
            </w:r>
          </w:p>
        </w:tc>
        <w:tc>
          <w:tcPr>
            <w:tcW w:w="1134" w:type="dxa"/>
            <w:gridSpan w:val="2"/>
            <w:tcBorders>
              <w:top w:val="nil"/>
              <w:left w:val="nil"/>
              <w:bottom w:val="nil"/>
              <w:right w:val="nil"/>
            </w:tcBorders>
            <w:shd w:val="solid" w:color="FFCC99" w:fill="auto"/>
          </w:tcPr>
          <w:p w14:paraId="058BF4B5"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0</w:t>
            </w:r>
          </w:p>
        </w:tc>
        <w:tc>
          <w:tcPr>
            <w:tcW w:w="1134" w:type="dxa"/>
            <w:tcBorders>
              <w:top w:val="nil"/>
              <w:left w:val="nil"/>
              <w:bottom w:val="nil"/>
              <w:right w:val="nil"/>
            </w:tcBorders>
            <w:shd w:val="solid" w:color="99CCFF" w:fill="auto"/>
          </w:tcPr>
          <w:p w14:paraId="65377FD8"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1D30753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276" w:type="dxa"/>
            <w:gridSpan w:val="2"/>
            <w:tcBorders>
              <w:top w:val="nil"/>
              <w:left w:val="nil"/>
              <w:bottom w:val="nil"/>
              <w:right w:val="nil"/>
            </w:tcBorders>
            <w:shd w:val="solid" w:color="FFFFCC" w:fill="auto"/>
          </w:tcPr>
          <w:p w14:paraId="670E4A9F"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bottom w:val="nil"/>
              <w:right w:val="single" w:sz="4" w:space="0" w:color="auto"/>
            </w:tcBorders>
            <w:shd w:val="solid" w:color="FFFFCC" w:fill="auto"/>
          </w:tcPr>
          <w:p w14:paraId="2A51AF13"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r>
      <w:tr w:rsidR="00B2567C" w14:paraId="3134C46F" w14:textId="77777777" w:rsidTr="00607DFE">
        <w:trPr>
          <w:trHeight w:val="290"/>
        </w:trPr>
        <w:tc>
          <w:tcPr>
            <w:tcW w:w="2105" w:type="dxa"/>
            <w:tcBorders>
              <w:top w:val="nil"/>
              <w:left w:val="single" w:sz="4" w:space="0" w:color="auto"/>
              <w:bottom w:val="nil"/>
              <w:right w:val="nil"/>
            </w:tcBorders>
          </w:tcPr>
          <w:p w14:paraId="584EB8DE"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2-butoxyethanol</w:t>
            </w:r>
          </w:p>
        </w:tc>
        <w:tc>
          <w:tcPr>
            <w:tcW w:w="1181" w:type="dxa"/>
            <w:gridSpan w:val="2"/>
            <w:tcBorders>
              <w:top w:val="nil"/>
              <w:left w:val="nil"/>
              <w:right w:val="nil"/>
            </w:tcBorders>
            <w:shd w:val="solid" w:color="FFCC99" w:fill="auto"/>
          </w:tcPr>
          <w:p w14:paraId="5F16EEC5" w14:textId="77777777" w:rsidR="00B2567C" w:rsidRDefault="00B2567C" w:rsidP="00607DFE">
            <w:pPr>
              <w:autoSpaceDE w:val="0"/>
              <w:autoSpaceDN w:val="0"/>
              <w:adjustRightInd w:val="0"/>
              <w:spacing w:after="0"/>
              <w:jc w:val="center"/>
              <w:rPr>
                <w:rFonts w:ascii="Calibri" w:hAnsi="Calibri" w:cs="Calibri"/>
                <w:b/>
                <w:bCs/>
                <w:color w:val="000000"/>
                <w:sz w:val="22"/>
                <w:szCs w:val="22"/>
                <w:lang w:val="en-AU"/>
              </w:rPr>
            </w:pPr>
            <w:r>
              <w:rPr>
                <w:rFonts w:ascii="Calibri" w:hAnsi="Calibri" w:cs="Calibri"/>
                <w:b/>
                <w:bCs/>
                <w:color w:val="000000"/>
                <w:sz w:val="22"/>
                <w:szCs w:val="22"/>
                <w:lang w:val="en-AU"/>
              </w:rPr>
              <w:t xml:space="preserve"> 0</w:t>
            </w:r>
          </w:p>
        </w:tc>
        <w:tc>
          <w:tcPr>
            <w:tcW w:w="1134" w:type="dxa"/>
            <w:gridSpan w:val="2"/>
            <w:tcBorders>
              <w:top w:val="nil"/>
              <w:left w:val="nil"/>
              <w:bottom w:val="nil"/>
              <w:right w:val="nil"/>
            </w:tcBorders>
            <w:shd w:val="solid" w:color="FFCC99" w:fill="auto"/>
          </w:tcPr>
          <w:p w14:paraId="0DD2D868"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0</w:t>
            </w:r>
          </w:p>
        </w:tc>
        <w:tc>
          <w:tcPr>
            <w:tcW w:w="1134" w:type="dxa"/>
            <w:tcBorders>
              <w:top w:val="nil"/>
              <w:left w:val="nil"/>
              <w:bottom w:val="nil"/>
              <w:right w:val="nil"/>
            </w:tcBorders>
            <w:shd w:val="solid" w:color="99CCFF" w:fill="auto"/>
          </w:tcPr>
          <w:p w14:paraId="6CC4C347"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53846F28"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u w:val="single"/>
                <w:lang w:val="en-AU"/>
              </w:rPr>
            </w:pPr>
            <w:r w:rsidRPr="00DA38B7">
              <w:rPr>
                <w:rFonts w:ascii="Calibri" w:hAnsi="Calibri" w:cs="Calibri"/>
                <w:b/>
                <w:bCs/>
                <w:color w:val="000000"/>
                <w:sz w:val="18"/>
                <w:szCs w:val="18"/>
                <w:u w:val="single"/>
                <w:lang w:val="en-AU"/>
              </w:rPr>
              <w:t>0</w:t>
            </w:r>
          </w:p>
        </w:tc>
        <w:tc>
          <w:tcPr>
            <w:tcW w:w="1276" w:type="dxa"/>
            <w:gridSpan w:val="2"/>
            <w:tcBorders>
              <w:top w:val="nil"/>
              <w:left w:val="nil"/>
              <w:bottom w:val="nil"/>
              <w:right w:val="nil"/>
            </w:tcBorders>
            <w:shd w:val="solid" w:color="FFFFCC" w:fill="auto"/>
          </w:tcPr>
          <w:p w14:paraId="1AA92ED2"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992" w:type="dxa"/>
            <w:tcBorders>
              <w:top w:val="nil"/>
              <w:left w:val="nil"/>
              <w:bottom w:val="nil"/>
              <w:right w:val="single" w:sz="4" w:space="0" w:color="auto"/>
            </w:tcBorders>
            <w:shd w:val="solid" w:color="FFFFCC" w:fill="auto"/>
          </w:tcPr>
          <w:p w14:paraId="6775E73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r>
      <w:tr w:rsidR="00B2567C" w14:paraId="14D34016" w14:textId="77777777" w:rsidTr="00607DFE">
        <w:trPr>
          <w:trHeight w:val="290"/>
        </w:trPr>
        <w:tc>
          <w:tcPr>
            <w:tcW w:w="2105" w:type="dxa"/>
            <w:tcBorders>
              <w:top w:val="nil"/>
              <w:left w:val="single" w:sz="4" w:space="0" w:color="auto"/>
              <w:bottom w:val="nil"/>
              <w:right w:val="nil"/>
            </w:tcBorders>
          </w:tcPr>
          <w:p w14:paraId="5060B5C8"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Bronopol</w:t>
            </w:r>
          </w:p>
        </w:tc>
        <w:tc>
          <w:tcPr>
            <w:tcW w:w="1181" w:type="dxa"/>
            <w:gridSpan w:val="2"/>
            <w:tcBorders>
              <w:top w:val="nil"/>
              <w:left w:val="nil"/>
              <w:right w:val="nil"/>
            </w:tcBorders>
            <w:shd w:val="solid" w:color="FFCC99" w:fill="auto"/>
          </w:tcPr>
          <w:p w14:paraId="292AA33B" w14:textId="77777777" w:rsidR="00B2567C" w:rsidRDefault="00B2567C" w:rsidP="00607DFE">
            <w:pPr>
              <w:autoSpaceDE w:val="0"/>
              <w:autoSpaceDN w:val="0"/>
              <w:adjustRightInd w:val="0"/>
              <w:spacing w:after="0"/>
              <w:jc w:val="center"/>
              <w:rPr>
                <w:rFonts w:ascii="Calibri" w:hAnsi="Calibri" w:cs="Calibri"/>
                <w:b/>
                <w:bCs/>
                <w:color w:val="000000"/>
                <w:sz w:val="22"/>
                <w:szCs w:val="22"/>
                <w:lang w:val="en-AU"/>
              </w:rPr>
            </w:pPr>
            <w:r>
              <w:rPr>
                <w:rFonts w:ascii="Calibri" w:hAnsi="Calibri" w:cs="Calibri"/>
                <w:b/>
                <w:bCs/>
                <w:color w:val="000000"/>
                <w:sz w:val="22"/>
                <w:szCs w:val="22"/>
                <w:lang w:val="en-AU"/>
              </w:rPr>
              <w:t>1</w:t>
            </w:r>
          </w:p>
        </w:tc>
        <w:tc>
          <w:tcPr>
            <w:tcW w:w="1134" w:type="dxa"/>
            <w:gridSpan w:val="2"/>
            <w:tcBorders>
              <w:top w:val="nil"/>
              <w:left w:val="nil"/>
              <w:bottom w:val="nil"/>
              <w:right w:val="nil"/>
            </w:tcBorders>
            <w:shd w:val="solid" w:color="FFCC99" w:fill="auto"/>
          </w:tcPr>
          <w:p w14:paraId="63C4E5A6"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1134" w:type="dxa"/>
            <w:tcBorders>
              <w:top w:val="nil"/>
              <w:left w:val="nil"/>
              <w:bottom w:val="nil"/>
              <w:right w:val="nil"/>
            </w:tcBorders>
            <w:shd w:val="solid" w:color="99CCFF" w:fill="auto"/>
          </w:tcPr>
          <w:p w14:paraId="13AAFBA2"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992" w:type="dxa"/>
            <w:tcBorders>
              <w:top w:val="nil"/>
              <w:left w:val="nil"/>
              <w:bottom w:val="nil"/>
              <w:right w:val="nil"/>
            </w:tcBorders>
            <w:shd w:val="solid" w:color="99CCFF" w:fill="auto"/>
          </w:tcPr>
          <w:p w14:paraId="21841FAA"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1276" w:type="dxa"/>
            <w:gridSpan w:val="2"/>
            <w:tcBorders>
              <w:top w:val="nil"/>
              <w:left w:val="nil"/>
              <w:bottom w:val="nil"/>
              <w:right w:val="nil"/>
            </w:tcBorders>
            <w:shd w:val="solid" w:color="FFFFCC" w:fill="auto"/>
          </w:tcPr>
          <w:p w14:paraId="64BF7DDE"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bottom w:val="nil"/>
              <w:right w:val="single" w:sz="4" w:space="0" w:color="auto"/>
            </w:tcBorders>
            <w:shd w:val="solid" w:color="FFFFCC" w:fill="auto"/>
          </w:tcPr>
          <w:p w14:paraId="214CA7EF"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u w:val="single"/>
                <w:lang w:val="en-AU"/>
              </w:rPr>
            </w:pPr>
            <w:r w:rsidRPr="00DA38B7">
              <w:rPr>
                <w:rFonts w:ascii="Calibri" w:hAnsi="Calibri" w:cs="Calibri"/>
                <w:b/>
                <w:bCs/>
                <w:color w:val="000000"/>
                <w:sz w:val="18"/>
                <w:szCs w:val="18"/>
                <w:u w:val="single"/>
                <w:lang w:val="en-AU"/>
              </w:rPr>
              <w:t>0</w:t>
            </w:r>
          </w:p>
        </w:tc>
      </w:tr>
      <w:tr w:rsidR="00B2567C" w14:paraId="4CD28E90" w14:textId="77777777" w:rsidTr="00607DFE">
        <w:trPr>
          <w:trHeight w:val="290"/>
        </w:trPr>
        <w:tc>
          <w:tcPr>
            <w:tcW w:w="2111" w:type="dxa"/>
            <w:gridSpan w:val="2"/>
            <w:tcBorders>
              <w:top w:val="nil"/>
              <w:left w:val="single" w:sz="4" w:space="0" w:color="auto"/>
              <w:bottom w:val="nil"/>
            </w:tcBorders>
          </w:tcPr>
          <w:p w14:paraId="074E51AE" w14:textId="77777777" w:rsidR="00B2567C" w:rsidRPr="00DA38B7" w:rsidRDefault="00B2567C" w:rsidP="00607DFE">
            <w:pPr>
              <w:tabs>
                <w:tab w:val="left" w:pos="762"/>
              </w:tabs>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MCI</w:t>
            </w:r>
          </w:p>
        </w:tc>
        <w:tc>
          <w:tcPr>
            <w:tcW w:w="1175" w:type="dxa"/>
            <w:tcBorders>
              <w:top w:val="nil"/>
              <w:left w:val="nil"/>
              <w:bottom w:val="nil"/>
              <w:right w:val="nil"/>
            </w:tcBorders>
            <w:shd w:val="clear" w:color="auto" w:fill="FFCC99"/>
          </w:tcPr>
          <w:p w14:paraId="62A030D6" w14:textId="77777777" w:rsidR="00B2567C" w:rsidRDefault="00B2567C" w:rsidP="00607DFE">
            <w:pPr>
              <w:autoSpaceDE w:val="0"/>
              <w:autoSpaceDN w:val="0"/>
              <w:adjustRightInd w:val="0"/>
              <w:spacing w:after="0"/>
              <w:jc w:val="center"/>
              <w:rPr>
                <w:rFonts w:ascii="Calibri" w:hAnsi="Calibri" w:cs="Calibri"/>
                <w:color w:val="000000"/>
                <w:sz w:val="22"/>
                <w:szCs w:val="22"/>
                <w:lang w:val="en-AU"/>
              </w:rPr>
            </w:pPr>
            <w:r>
              <w:rPr>
                <w:rFonts w:ascii="Calibri" w:hAnsi="Calibri" w:cs="Calibri"/>
                <w:b/>
                <w:bCs/>
                <w:color w:val="000000"/>
                <w:sz w:val="22"/>
                <w:szCs w:val="22"/>
                <w:lang w:val="en-AU"/>
              </w:rPr>
              <w:t>0</w:t>
            </w:r>
          </w:p>
        </w:tc>
        <w:tc>
          <w:tcPr>
            <w:tcW w:w="1134" w:type="dxa"/>
            <w:gridSpan w:val="2"/>
            <w:tcBorders>
              <w:top w:val="nil"/>
              <w:left w:val="nil"/>
              <w:bottom w:val="nil"/>
              <w:right w:val="nil"/>
            </w:tcBorders>
            <w:shd w:val="solid" w:color="FFCC99" w:fill="auto"/>
          </w:tcPr>
          <w:p w14:paraId="367E7D86"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134" w:type="dxa"/>
            <w:tcBorders>
              <w:top w:val="nil"/>
              <w:left w:val="nil"/>
              <w:bottom w:val="nil"/>
              <w:right w:val="nil"/>
            </w:tcBorders>
            <w:shd w:val="solid" w:color="99CCFF" w:fill="auto"/>
          </w:tcPr>
          <w:p w14:paraId="2DA25A38"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bottom w:val="nil"/>
              <w:right w:val="nil"/>
            </w:tcBorders>
            <w:shd w:val="solid" w:color="99CCFF" w:fill="auto"/>
          </w:tcPr>
          <w:p w14:paraId="486BD655"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0</w:t>
            </w:r>
          </w:p>
        </w:tc>
        <w:tc>
          <w:tcPr>
            <w:tcW w:w="1276" w:type="dxa"/>
            <w:gridSpan w:val="2"/>
            <w:tcBorders>
              <w:top w:val="nil"/>
              <w:left w:val="nil"/>
              <w:bottom w:val="nil"/>
              <w:right w:val="nil"/>
            </w:tcBorders>
            <w:shd w:val="solid" w:color="FFFFCC" w:fill="auto"/>
          </w:tcPr>
          <w:p w14:paraId="6C0A595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bottom w:val="nil"/>
              <w:right w:val="single" w:sz="4" w:space="0" w:color="auto"/>
            </w:tcBorders>
            <w:shd w:val="solid" w:color="FFFFCC" w:fill="auto"/>
          </w:tcPr>
          <w:p w14:paraId="6413207F"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r>
      <w:tr w:rsidR="00B2567C" w14:paraId="4EFA40AF" w14:textId="77777777" w:rsidTr="00607DFE">
        <w:trPr>
          <w:trHeight w:val="290"/>
        </w:trPr>
        <w:tc>
          <w:tcPr>
            <w:tcW w:w="2105" w:type="dxa"/>
            <w:tcBorders>
              <w:top w:val="nil"/>
              <w:left w:val="single" w:sz="4" w:space="0" w:color="auto"/>
              <w:bottom w:val="single" w:sz="4" w:space="0" w:color="auto"/>
              <w:right w:val="nil"/>
            </w:tcBorders>
          </w:tcPr>
          <w:p w14:paraId="44B40FC4"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Acrylamide polymer</w:t>
            </w:r>
          </w:p>
        </w:tc>
        <w:tc>
          <w:tcPr>
            <w:tcW w:w="1181" w:type="dxa"/>
            <w:gridSpan w:val="2"/>
            <w:tcBorders>
              <w:top w:val="nil"/>
              <w:left w:val="nil"/>
              <w:bottom w:val="single" w:sz="4" w:space="0" w:color="auto"/>
              <w:right w:val="nil"/>
            </w:tcBorders>
            <w:shd w:val="solid" w:color="FFCC99" w:fill="auto"/>
          </w:tcPr>
          <w:p w14:paraId="4ACDA9CB" w14:textId="77777777" w:rsidR="00B2567C" w:rsidRDefault="00B2567C" w:rsidP="00607DFE">
            <w:pPr>
              <w:autoSpaceDE w:val="0"/>
              <w:autoSpaceDN w:val="0"/>
              <w:adjustRightInd w:val="0"/>
              <w:spacing w:after="0"/>
              <w:jc w:val="center"/>
              <w:rPr>
                <w:rFonts w:ascii="Calibri" w:hAnsi="Calibri" w:cs="Calibri"/>
                <w:b/>
                <w:bCs/>
                <w:color w:val="000000"/>
                <w:sz w:val="22"/>
                <w:szCs w:val="22"/>
                <w:lang w:val="en-AU"/>
              </w:rPr>
            </w:pPr>
            <w:r>
              <w:rPr>
                <w:rFonts w:ascii="Calibri" w:hAnsi="Calibri" w:cs="Calibri"/>
                <w:b/>
                <w:bCs/>
                <w:color w:val="000000"/>
                <w:sz w:val="22"/>
                <w:szCs w:val="22"/>
                <w:lang w:val="en-AU"/>
              </w:rPr>
              <w:t xml:space="preserve"> 1</w:t>
            </w:r>
          </w:p>
        </w:tc>
        <w:tc>
          <w:tcPr>
            <w:tcW w:w="1134" w:type="dxa"/>
            <w:gridSpan w:val="2"/>
            <w:tcBorders>
              <w:top w:val="nil"/>
              <w:left w:val="nil"/>
              <w:bottom w:val="single" w:sz="4" w:space="0" w:color="auto"/>
              <w:right w:val="nil"/>
            </w:tcBorders>
            <w:shd w:val="solid" w:color="FFCC99" w:fill="auto"/>
          </w:tcPr>
          <w:p w14:paraId="4EF7B78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1134" w:type="dxa"/>
            <w:tcBorders>
              <w:top w:val="nil"/>
              <w:left w:val="nil"/>
              <w:bottom w:val="single" w:sz="4" w:space="0" w:color="auto"/>
              <w:right w:val="nil"/>
            </w:tcBorders>
            <w:shd w:val="solid" w:color="99CCFF" w:fill="auto"/>
          </w:tcPr>
          <w:p w14:paraId="104957CB"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c>
          <w:tcPr>
            <w:tcW w:w="992" w:type="dxa"/>
            <w:tcBorders>
              <w:top w:val="nil"/>
              <w:left w:val="nil"/>
              <w:bottom w:val="single" w:sz="4" w:space="0" w:color="auto"/>
              <w:right w:val="nil"/>
            </w:tcBorders>
            <w:shd w:val="solid" w:color="99CCFF" w:fill="auto"/>
          </w:tcPr>
          <w:p w14:paraId="68B9C9BB"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c>
          <w:tcPr>
            <w:tcW w:w="1276" w:type="dxa"/>
            <w:gridSpan w:val="2"/>
            <w:tcBorders>
              <w:top w:val="nil"/>
              <w:left w:val="nil"/>
              <w:bottom w:val="single" w:sz="4" w:space="0" w:color="auto"/>
              <w:right w:val="nil"/>
            </w:tcBorders>
            <w:shd w:val="solid" w:color="FFFFCC" w:fill="auto"/>
          </w:tcPr>
          <w:p w14:paraId="3A7CF39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c>
          <w:tcPr>
            <w:tcW w:w="992" w:type="dxa"/>
            <w:tcBorders>
              <w:top w:val="nil"/>
              <w:left w:val="nil"/>
              <w:bottom w:val="single" w:sz="4" w:space="0" w:color="auto"/>
              <w:right w:val="single" w:sz="4" w:space="0" w:color="auto"/>
            </w:tcBorders>
            <w:shd w:val="solid" w:color="FFFFCC" w:fill="auto"/>
          </w:tcPr>
          <w:p w14:paraId="669A77FE"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r>
    </w:tbl>
    <w:p w14:paraId="71906B9D" w14:textId="77777777" w:rsidR="00B2567C" w:rsidRDefault="00B2567C" w:rsidP="004032C3">
      <w:pPr>
        <w:pStyle w:val="Body"/>
      </w:pPr>
    </w:p>
    <w:p w14:paraId="4C7D5168" w14:textId="78D96C90" w:rsidR="00B2567C" w:rsidRDefault="00B2567C" w:rsidP="00B2567C">
      <w:pPr>
        <w:pStyle w:val="Imagecaption"/>
        <w:keepNext/>
        <w:pBdr>
          <w:top w:val="none" w:sz="0" w:space="0" w:color="auto"/>
        </w:pBdr>
      </w:pPr>
      <w:bookmarkStart w:id="676" w:name="_Ref454470807"/>
      <w:bookmarkStart w:id="677" w:name="_Toc494444742"/>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14</w:t>
      </w:r>
      <w:r w:rsidR="00470577">
        <w:fldChar w:fldCharType="end"/>
      </w:r>
      <w:bookmarkEnd w:id="676"/>
      <w:r>
        <w:t xml:space="preserve"> Calculated relative concentration at receptor for mean travel time of 34 years (travel time class # 1 </w:t>
      </w:r>
      <w:r>
        <w:fldChar w:fldCharType="begin" w:fldLock="1"/>
      </w:r>
      <w:r>
        <w:instrText xml:space="preserve"> REF _Ref454384797 \h  \* MERGEFORMAT </w:instrText>
      </w:r>
      <w:r>
        <w:fldChar w:fldCharType="separate"/>
      </w:r>
      <w:r w:rsidR="00335E79" w:rsidRPr="00DA539C">
        <w:t xml:space="preserve">Table </w:t>
      </w:r>
      <w:r w:rsidR="00335E79">
        <w:t>2</w:t>
      </w:r>
      <w:r w:rsidR="00335E79">
        <w:noBreakHyphen/>
        <w:t>24</w:t>
      </w:r>
      <w:r>
        <w:fldChar w:fldCharType="end"/>
      </w:r>
      <w:r>
        <w:t>). MCI = Methyl-chloro-isothiazolinone. Initial source concentration is 1 (no units specified). (</w:t>
      </w:r>
      <w:r w:rsidRPr="00A6566A">
        <w:t>f</w:t>
      </w:r>
      <w:r w:rsidRPr="00526F41">
        <w:rPr>
          <w:vertAlign w:val="subscript"/>
        </w:rPr>
        <w:t>OC</w:t>
      </w:r>
      <w:r w:rsidR="00B96E77">
        <w:rPr>
          <w:vertAlign w:val="subscript"/>
        </w:rPr>
        <w:t>_r</w:t>
      </w:r>
      <w:r w:rsidRPr="00A6566A">
        <w:t xml:space="preserve"> </w:t>
      </w:r>
      <w:r>
        <w:t xml:space="preserve">= </w:t>
      </w:r>
      <w:r w:rsidRPr="002C24F4">
        <w:t>0.001</w:t>
      </w:r>
      <w:r>
        <w:t xml:space="preserve">). </w:t>
      </w:r>
      <w:r w:rsidR="00774F9B">
        <w:t xml:space="preserve">Underlined numbers have their concentrations decreased compared to calculations without sorption. </w:t>
      </w:r>
      <w:r>
        <w:t xml:space="preserve">When two numbers are shown results represent minimum/maximum </w:t>
      </w:r>
      <w:proofErr w:type="gramStart"/>
      <w:r w:rsidR="007B3DC4" w:rsidRPr="00E6110F">
        <w:t>R</w:t>
      </w:r>
      <w:r w:rsidR="007B3DC4" w:rsidRPr="007B3DC4">
        <w:rPr>
          <w:i w:val="0"/>
          <w:vertAlign w:val="subscript"/>
        </w:rPr>
        <w:t>f</w:t>
      </w:r>
      <w:proofErr w:type="gramEnd"/>
      <w:r w:rsidR="007B3DC4">
        <w:t xml:space="preserve"> </w:t>
      </w:r>
      <w:r>
        <w:t>values.</w:t>
      </w:r>
      <w:r w:rsidR="003B5BB4">
        <w:t xml:space="preserve"> Attenuation due to degradation and sorption.</w:t>
      </w:r>
      <w:bookmarkEnd w:id="677"/>
    </w:p>
    <w:tbl>
      <w:tblPr>
        <w:tblW w:w="8814" w:type="dxa"/>
        <w:tblInd w:w="-30" w:type="dxa"/>
        <w:tblLayout w:type="fixed"/>
        <w:tblLook w:val="0000" w:firstRow="0" w:lastRow="0" w:firstColumn="0" w:lastColumn="0" w:noHBand="0" w:noVBand="0"/>
      </w:tblPr>
      <w:tblGrid>
        <w:gridCol w:w="2103"/>
        <w:gridCol w:w="20"/>
        <w:gridCol w:w="879"/>
        <w:gridCol w:w="142"/>
        <w:gridCol w:w="1274"/>
        <w:gridCol w:w="994"/>
        <w:gridCol w:w="1134"/>
        <w:gridCol w:w="1276"/>
        <w:gridCol w:w="992"/>
      </w:tblGrid>
      <w:tr w:rsidR="00B2567C" w14:paraId="462E3450" w14:textId="77777777" w:rsidTr="00607DFE">
        <w:trPr>
          <w:trHeight w:val="290"/>
        </w:trPr>
        <w:tc>
          <w:tcPr>
            <w:tcW w:w="2103" w:type="dxa"/>
            <w:tcBorders>
              <w:top w:val="single" w:sz="4" w:space="0" w:color="auto"/>
              <w:left w:val="single" w:sz="4" w:space="0" w:color="auto"/>
              <w:bottom w:val="nil"/>
              <w:right w:val="nil"/>
            </w:tcBorders>
          </w:tcPr>
          <w:p w14:paraId="7EA8E7DB" w14:textId="77777777" w:rsidR="00B2567C" w:rsidRDefault="00B2567C" w:rsidP="00607DFE">
            <w:pPr>
              <w:autoSpaceDE w:val="0"/>
              <w:autoSpaceDN w:val="0"/>
              <w:adjustRightInd w:val="0"/>
              <w:spacing w:after="0"/>
              <w:jc w:val="right"/>
              <w:rPr>
                <w:rFonts w:ascii="Calibri" w:hAnsi="Calibri" w:cs="Calibri"/>
                <w:color w:val="000000"/>
                <w:sz w:val="22"/>
                <w:szCs w:val="22"/>
                <w:lang w:val="en-AU"/>
              </w:rPr>
            </w:pPr>
          </w:p>
        </w:tc>
        <w:tc>
          <w:tcPr>
            <w:tcW w:w="6711" w:type="dxa"/>
            <w:gridSpan w:val="8"/>
            <w:tcBorders>
              <w:top w:val="single" w:sz="4" w:space="0" w:color="auto"/>
              <w:left w:val="nil"/>
              <w:bottom w:val="nil"/>
              <w:right w:val="single" w:sz="4" w:space="0" w:color="auto"/>
            </w:tcBorders>
          </w:tcPr>
          <w:p w14:paraId="30D3BE09"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Relative concentration (-)</w:t>
            </w:r>
            <w:r>
              <w:rPr>
                <w:rFonts w:ascii="Calibri" w:hAnsi="Calibri" w:cs="Calibri"/>
                <w:color w:val="000000"/>
                <w:sz w:val="18"/>
                <w:szCs w:val="18"/>
                <w:lang w:val="en-AU"/>
              </w:rPr>
              <w:t xml:space="preserve"> </w:t>
            </w:r>
            <w:r w:rsidRPr="00DA38B7">
              <w:rPr>
                <w:rFonts w:ascii="Calibri" w:hAnsi="Calibri" w:cs="Calibri"/>
                <w:color w:val="000000"/>
                <w:sz w:val="18"/>
                <w:szCs w:val="18"/>
                <w:lang w:val="en-AU"/>
              </w:rPr>
              <w:t>at receptor: mean travel time</w:t>
            </w:r>
          </w:p>
        </w:tc>
      </w:tr>
      <w:tr w:rsidR="00B2567C" w14:paraId="09D513CF" w14:textId="77777777" w:rsidTr="00607DFE">
        <w:trPr>
          <w:trHeight w:val="290"/>
        </w:trPr>
        <w:tc>
          <w:tcPr>
            <w:tcW w:w="2103" w:type="dxa"/>
            <w:tcBorders>
              <w:top w:val="nil"/>
              <w:left w:val="single" w:sz="4" w:space="0" w:color="auto"/>
              <w:bottom w:val="nil"/>
              <w:right w:val="nil"/>
            </w:tcBorders>
          </w:tcPr>
          <w:p w14:paraId="7599C11E" w14:textId="77777777" w:rsidR="00B2567C" w:rsidRDefault="00B2567C" w:rsidP="00607DFE">
            <w:pPr>
              <w:autoSpaceDE w:val="0"/>
              <w:autoSpaceDN w:val="0"/>
              <w:adjustRightInd w:val="0"/>
              <w:spacing w:after="0"/>
              <w:jc w:val="right"/>
              <w:rPr>
                <w:rFonts w:ascii="Calibri" w:hAnsi="Calibri" w:cs="Calibri"/>
                <w:color w:val="000000"/>
                <w:sz w:val="22"/>
                <w:szCs w:val="22"/>
                <w:lang w:val="en-AU"/>
              </w:rPr>
            </w:pPr>
          </w:p>
        </w:tc>
        <w:tc>
          <w:tcPr>
            <w:tcW w:w="2315" w:type="dxa"/>
            <w:gridSpan w:val="4"/>
            <w:tcBorders>
              <w:top w:val="nil"/>
              <w:left w:val="nil"/>
              <w:bottom w:val="nil"/>
              <w:right w:val="nil"/>
            </w:tcBorders>
            <w:shd w:val="solid" w:color="FFCC99" w:fill="auto"/>
          </w:tcPr>
          <w:p w14:paraId="269296DC"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Anaerobic</w:t>
            </w:r>
          </w:p>
        </w:tc>
        <w:tc>
          <w:tcPr>
            <w:tcW w:w="2128" w:type="dxa"/>
            <w:gridSpan w:val="2"/>
            <w:tcBorders>
              <w:top w:val="nil"/>
              <w:left w:val="nil"/>
              <w:bottom w:val="nil"/>
              <w:right w:val="nil"/>
            </w:tcBorders>
            <w:shd w:val="solid" w:color="99CCFF" w:fill="auto"/>
          </w:tcPr>
          <w:p w14:paraId="60B22C3E"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Aerobic</w:t>
            </w:r>
          </w:p>
        </w:tc>
        <w:tc>
          <w:tcPr>
            <w:tcW w:w="2268" w:type="dxa"/>
            <w:gridSpan w:val="2"/>
            <w:tcBorders>
              <w:top w:val="nil"/>
              <w:left w:val="nil"/>
              <w:bottom w:val="nil"/>
              <w:right w:val="single" w:sz="4" w:space="0" w:color="auto"/>
            </w:tcBorders>
            <w:shd w:val="solid" w:color="FFFFCC" w:fill="auto"/>
          </w:tcPr>
          <w:p w14:paraId="2E583AD0"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sidRPr="00DA38B7">
              <w:rPr>
                <w:rFonts w:ascii="Calibri" w:hAnsi="Calibri" w:cs="Calibri"/>
                <w:color w:val="000000"/>
                <w:sz w:val="18"/>
                <w:szCs w:val="18"/>
                <w:lang w:val="en-AU"/>
              </w:rPr>
              <w:t>Hydrolysis</w:t>
            </w:r>
          </w:p>
        </w:tc>
      </w:tr>
      <w:tr w:rsidR="00B2567C" w14:paraId="498FE103" w14:textId="77777777" w:rsidTr="00607DFE">
        <w:trPr>
          <w:trHeight w:val="290"/>
        </w:trPr>
        <w:tc>
          <w:tcPr>
            <w:tcW w:w="2103" w:type="dxa"/>
            <w:tcBorders>
              <w:top w:val="nil"/>
              <w:left w:val="single" w:sz="4" w:space="0" w:color="auto"/>
              <w:bottom w:val="single" w:sz="6" w:space="0" w:color="auto"/>
              <w:right w:val="nil"/>
            </w:tcBorders>
          </w:tcPr>
          <w:p w14:paraId="4E65A24C"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Chemical substance</w:t>
            </w:r>
          </w:p>
        </w:tc>
        <w:tc>
          <w:tcPr>
            <w:tcW w:w="1041" w:type="dxa"/>
            <w:gridSpan w:val="3"/>
            <w:tcBorders>
              <w:top w:val="nil"/>
              <w:left w:val="nil"/>
              <w:bottom w:val="single" w:sz="6" w:space="0" w:color="auto"/>
              <w:right w:val="nil"/>
            </w:tcBorders>
            <w:shd w:val="solid" w:color="FFCC99" w:fill="auto"/>
          </w:tcPr>
          <w:p w14:paraId="2C101CFF"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DA38B7">
              <w:rPr>
                <w:rFonts w:ascii="Calibri" w:hAnsi="Calibri" w:cs="Calibri"/>
                <w:color w:val="000000"/>
                <w:sz w:val="18"/>
                <w:szCs w:val="18"/>
                <w:lang w:val="en-AU"/>
              </w:rPr>
              <w:t>in</w:t>
            </w:r>
          </w:p>
        </w:tc>
        <w:tc>
          <w:tcPr>
            <w:tcW w:w="1274" w:type="dxa"/>
            <w:tcBorders>
              <w:top w:val="nil"/>
              <w:left w:val="nil"/>
              <w:bottom w:val="single" w:sz="6" w:space="0" w:color="auto"/>
              <w:right w:val="nil"/>
            </w:tcBorders>
            <w:shd w:val="solid" w:color="FFCC99" w:fill="auto"/>
          </w:tcPr>
          <w:p w14:paraId="01351EE2"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DA38B7">
              <w:rPr>
                <w:rFonts w:ascii="Calibri" w:hAnsi="Calibri" w:cs="Calibri"/>
                <w:color w:val="000000"/>
                <w:sz w:val="18"/>
                <w:szCs w:val="18"/>
                <w:lang w:val="en-AU"/>
              </w:rPr>
              <w:t>ax</w:t>
            </w:r>
          </w:p>
        </w:tc>
        <w:tc>
          <w:tcPr>
            <w:tcW w:w="994" w:type="dxa"/>
            <w:tcBorders>
              <w:top w:val="nil"/>
              <w:left w:val="nil"/>
              <w:bottom w:val="single" w:sz="6" w:space="0" w:color="auto"/>
              <w:right w:val="nil"/>
            </w:tcBorders>
            <w:shd w:val="solid" w:color="99CCFF" w:fill="auto"/>
          </w:tcPr>
          <w:p w14:paraId="6DEE7913"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DA38B7">
              <w:rPr>
                <w:rFonts w:ascii="Calibri" w:hAnsi="Calibri" w:cs="Calibri"/>
                <w:color w:val="000000"/>
                <w:sz w:val="18"/>
                <w:szCs w:val="18"/>
                <w:lang w:val="en-AU"/>
              </w:rPr>
              <w:t>in</w:t>
            </w:r>
          </w:p>
        </w:tc>
        <w:tc>
          <w:tcPr>
            <w:tcW w:w="1134" w:type="dxa"/>
            <w:tcBorders>
              <w:top w:val="nil"/>
              <w:left w:val="nil"/>
              <w:bottom w:val="single" w:sz="6" w:space="0" w:color="auto"/>
              <w:right w:val="nil"/>
            </w:tcBorders>
            <w:shd w:val="solid" w:color="99CCFF" w:fill="auto"/>
          </w:tcPr>
          <w:p w14:paraId="70A7B7D9"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DA38B7">
              <w:rPr>
                <w:rFonts w:ascii="Calibri" w:hAnsi="Calibri" w:cs="Calibri"/>
                <w:color w:val="000000"/>
                <w:sz w:val="18"/>
                <w:szCs w:val="18"/>
                <w:lang w:val="en-AU"/>
              </w:rPr>
              <w:t>ax</w:t>
            </w:r>
          </w:p>
        </w:tc>
        <w:tc>
          <w:tcPr>
            <w:tcW w:w="1276" w:type="dxa"/>
            <w:tcBorders>
              <w:top w:val="nil"/>
              <w:left w:val="nil"/>
              <w:bottom w:val="single" w:sz="6" w:space="0" w:color="auto"/>
              <w:right w:val="nil"/>
            </w:tcBorders>
            <w:shd w:val="solid" w:color="FFFFCC" w:fill="auto"/>
          </w:tcPr>
          <w:p w14:paraId="6D45056D"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DA38B7">
              <w:rPr>
                <w:rFonts w:ascii="Calibri" w:hAnsi="Calibri" w:cs="Calibri"/>
                <w:color w:val="000000"/>
                <w:sz w:val="18"/>
                <w:szCs w:val="18"/>
                <w:lang w:val="en-AU"/>
              </w:rPr>
              <w:t>in</w:t>
            </w:r>
          </w:p>
        </w:tc>
        <w:tc>
          <w:tcPr>
            <w:tcW w:w="992" w:type="dxa"/>
            <w:tcBorders>
              <w:top w:val="nil"/>
              <w:left w:val="nil"/>
              <w:bottom w:val="single" w:sz="6" w:space="0" w:color="auto"/>
              <w:right w:val="single" w:sz="4" w:space="0" w:color="auto"/>
            </w:tcBorders>
            <w:shd w:val="solid" w:color="FFFFCC" w:fill="auto"/>
          </w:tcPr>
          <w:p w14:paraId="0BEE21B5" w14:textId="77777777" w:rsidR="00B2567C" w:rsidRPr="00DA38B7"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DA38B7">
              <w:rPr>
                <w:rFonts w:ascii="Calibri" w:hAnsi="Calibri" w:cs="Calibri"/>
                <w:color w:val="000000"/>
                <w:sz w:val="18"/>
                <w:szCs w:val="18"/>
                <w:lang w:val="en-AU"/>
              </w:rPr>
              <w:t>ax</w:t>
            </w:r>
          </w:p>
        </w:tc>
      </w:tr>
      <w:tr w:rsidR="00B2567C" w14:paraId="63FD741D" w14:textId="77777777" w:rsidTr="00607DFE">
        <w:trPr>
          <w:trHeight w:val="290"/>
        </w:trPr>
        <w:tc>
          <w:tcPr>
            <w:tcW w:w="2103" w:type="dxa"/>
            <w:tcBorders>
              <w:top w:val="nil"/>
              <w:left w:val="single" w:sz="4" w:space="0" w:color="auto"/>
              <w:bottom w:val="nil"/>
              <w:right w:val="nil"/>
            </w:tcBorders>
          </w:tcPr>
          <w:p w14:paraId="2FB81C23"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2-methylphenol</w:t>
            </w:r>
          </w:p>
        </w:tc>
        <w:tc>
          <w:tcPr>
            <w:tcW w:w="899" w:type="dxa"/>
            <w:gridSpan w:val="2"/>
            <w:tcBorders>
              <w:top w:val="nil"/>
              <w:left w:val="nil"/>
              <w:bottom w:val="nil"/>
              <w:right w:val="nil"/>
            </w:tcBorders>
            <w:shd w:val="solid" w:color="FFCC99" w:fill="auto"/>
          </w:tcPr>
          <w:p w14:paraId="451C41B5"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416" w:type="dxa"/>
            <w:gridSpan w:val="2"/>
            <w:tcBorders>
              <w:top w:val="nil"/>
              <w:left w:val="nil"/>
              <w:bottom w:val="nil"/>
              <w:right w:val="nil"/>
            </w:tcBorders>
            <w:shd w:val="solid" w:color="FFCC99" w:fill="auto"/>
          </w:tcPr>
          <w:p w14:paraId="6811922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u w:val="single"/>
                <w:lang w:val="en-AU"/>
              </w:rPr>
            </w:pPr>
            <w:r w:rsidRPr="00DA38B7">
              <w:rPr>
                <w:rFonts w:ascii="Calibri" w:hAnsi="Calibri" w:cs="Calibri"/>
                <w:b/>
                <w:bCs/>
                <w:color w:val="000000"/>
                <w:sz w:val="18"/>
                <w:szCs w:val="18"/>
                <w:u w:val="single"/>
                <w:lang w:val="en-AU"/>
              </w:rPr>
              <w:t>2.4E-4/0</w:t>
            </w:r>
          </w:p>
        </w:tc>
        <w:tc>
          <w:tcPr>
            <w:tcW w:w="994" w:type="dxa"/>
            <w:tcBorders>
              <w:top w:val="nil"/>
              <w:left w:val="nil"/>
              <w:bottom w:val="nil"/>
              <w:right w:val="nil"/>
            </w:tcBorders>
            <w:shd w:val="solid" w:color="99CCFF" w:fill="auto"/>
          </w:tcPr>
          <w:p w14:paraId="05217E86"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134" w:type="dxa"/>
            <w:tcBorders>
              <w:top w:val="nil"/>
              <w:left w:val="nil"/>
              <w:bottom w:val="nil"/>
              <w:right w:val="nil"/>
            </w:tcBorders>
            <w:shd w:val="solid" w:color="99CCFF" w:fill="auto"/>
          </w:tcPr>
          <w:p w14:paraId="70FF9AAA"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276" w:type="dxa"/>
            <w:tcBorders>
              <w:top w:val="nil"/>
              <w:left w:val="nil"/>
              <w:bottom w:val="nil"/>
              <w:right w:val="nil"/>
            </w:tcBorders>
            <w:shd w:val="solid" w:color="FFFFCC" w:fill="auto"/>
          </w:tcPr>
          <w:p w14:paraId="18DD709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992" w:type="dxa"/>
            <w:tcBorders>
              <w:top w:val="nil"/>
              <w:left w:val="nil"/>
              <w:bottom w:val="nil"/>
              <w:right w:val="single" w:sz="4" w:space="0" w:color="auto"/>
            </w:tcBorders>
            <w:shd w:val="solid" w:color="FFFFCC" w:fill="auto"/>
          </w:tcPr>
          <w:p w14:paraId="0235C61A"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r>
      <w:tr w:rsidR="00B2567C" w14:paraId="49B9B2CA" w14:textId="77777777" w:rsidTr="00607DFE">
        <w:trPr>
          <w:trHeight w:val="290"/>
        </w:trPr>
        <w:tc>
          <w:tcPr>
            <w:tcW w:w="2103" w:type="dxa"/>
            <w:tcBorders>
              <w:top w:val="nil"/>
              <w:left w:val="single" w:sz="4" w:space="0" w:color="auto"/>
              <w:bottom w:val="nil"/>
              <w:right w:val="nil"/>
            </w:tcBorders>
          </w:tcPr>
          <w:p w14:paraId="0D5C5DDF"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Naphthalene</w:t>
            </w:r>
          </w:p>
        </w:tc>
        <w:tc>
          <w:tcPr>
            <w:tcW w:w="899" w:type="dxa"/>
            <w:gridSpan w:val="2"/>
            <w:tcBorders>
              <w:top w:val="nil"/>
              <w:left w:val="nil"/>
              <w:bottom w:val="nil"/>
              <w:right w:val="nil"/>
            </w:tcBorders>
            <w:shd w:val="solid" w:color="FFCC99" w:fill="auto"/>
          </w:tcPr>
          <w:p w14:paraId="2B89FC9E"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416" w:type="dxa"/>
            <w:gridSpan w:val="2"/>
            <w:tcBorders>
              <w:top w:val="nil"/>
              <w:left w:val="nil"/>
              <w:bottom w:val="nil"/>
              <w:right w:val="nil"/>
            </w:tcBorders>
            <w:shd w:val="solid" w:color="FFCC99" w:fill="auto"/>
          </w:tcPr>
          <w:p w14:paraId="67AD139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1.00</w:t>
            </w:r>
          </w:p>
        </w:tc>
        <w:tc>
          <w:tcPr>
            <w:tcW w:w="994" w:type="dxa"/>
            <w:tcBorders>
              <w:top w:val="nil"/>
              <w:left w:val="nil"/>
              <w:bottom w:val="nil"/>
              <w:right w:val="nil"/>
            </w:tcBorders>
            <w:shd w:val="solid" w:color="99CCFF" w:fill="auto"/>
          </w:tcPr>
          <w:p w14:paraId="75D63C2F"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134" w:type="dxa"/>
            <w:tcBorders>
              <w:top w:val="nil"/>
              <w:left w:val="nil"/>
              <w:bottom w:val="nil"/>
              <w:right w:val="nil"/>
            </w:tcBorders>
            <w:shd w:val="solid" w:color="99CCFF" w:fill="auto"/>
          </w:tcPr>
          <w:p w14:paraId="36CFC239"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276" w:type="dxa"/>
            <w:tcBorders>
              <w:top w:val="nil"/>
              <w:left w:val="nil"/>
              <w:bottom w:val="nil"/>
              <w:right w:val="nil"/>
            </w:tcBorders>
            <w:shd w:val="solid" w:color="FFFFCC" w:fill="auto"/>
          </w:tcPr>
          <w:p w14:paraId="5B5AD4F4"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992" w:type="dxa"/>
            <w:tcBorders>
              <w:top w:val="nil"/>
              <w:left w:val="nil"/>
              <w:bottom w:val="nil"/>
              <w:right w:val="single" w:sz="4" w:space="0" w:color="auto"/>
            </w:tcBorders>
            <w:shd w:val="solid" w:color="FFFFCC" w:fill="auto"/>
          </w:tcPr>
          <w:p w14:paraId="46A88316"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r>
      <w:tr w:rsidR="00B2567C" w14:paraId="7C013860" w14:textId="77777777" w:rsidTr="00607DFE">
        <w:trPr>
          <w:trHeight w:val="290"/>
        </w:trPr>
        <w:tc>
          <w:tcPr>
            <w:tcW w:w="2103" w:type="dxa"/>
            <w:tcBorders>
              <w:top w:val="nil"/>
              <w:left w:val="single" w:sz="4" w:space="0" w:color="auto"/>
              <w:bottom w:val="nil"/>
              <w:right w:val="nil"/>
            </w:tcBorders>
          </w:tcPr>
          <w:p w14:paraId="740CDA61"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Limonene</w:t>
            </w:r>
          </w:p>
        </w:tc>
        <w:tc>
          <w:tcPr>
            <w:tcW w:w="899" w:type="dxa"/>
            <w:gridSpan w:val="2"/>
            <w:tcBorders>
              <w:top w:val="nil"/>
              <w:left w:val="nil"/>
              <w:bottom w:val="nil"/>
              <w:right w:val="nil"/>
            </w:tcBorders>
            <w:shd w:val="solid" w:color="FFCC99" w:fill="auto"/>
          </w:tcPr>
          <w:p w14:paraId="2C22A3C4"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1416" w:type="dxa"/>
            <w:gridSpan w:val="2"/>
            <w:tcBorders>
              <w:top w:val="nil"/>
              <w:left w:val="nil"/>
              <w:bottom w:val="nil"/>
              <w:right w:val="nil"/>
            </w:tcBorders>
            <w:shd w:val="solid" w:color="FFCC99" w:fill="auto"/>
          </w:tcPr>
          <w:p w14:paraId="47F158AA"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c>
          <w:tcPr>
            <w:tcW w:w="994" w:type="dxa"/>
            <w:tcBorders>
              <w:top w:val="nil"/>
              <w:left w:val="nil"/>
              <w:right w:val="nil"/>
            </w:tcBorders>
            <w:shd w:val="solid" w:color="99CCFF" w:fill="auto"/>
          </w:tcPr>
          <w:p w14:paraId="10E35005"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134" w:type="dxa"/>
            <w:tcBorders>
              <w:top w:val="nil"/>
              <w:left w:val="nil"/>
              <w:bottom w:val="nil"/>
              <w:right w:val="nil"/>
            </w:tcBorders>
            <w:shd w:val="solid" w:color="99CCFF" w:fill="auto"/>
          </w:tcPr>
          <w:p w14:paraId="7B81969F"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276" w:type="dxa"/>
            <w:tcBorders>
              <w:top w:val="nil"/>
              <w:left w:val="nil"/>
              <w:bottom w:val="nil"/>
              <w:right w:val="nil"/>
            </w:tcBorders>
            <w:shd w:val="solid" w:color="FFFFCC" w:fill="auto"/>
          </w:tcPr>
          <w:p w14:paraId="357C448E"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992" w:type="dxa"/>
            <w:tcBorders>
              <w:top w:val="nil"/>
              <w:left w:val="nil"/>
              <w:bottom w:val="nil"/>
              <w:right w:val="single" w:sz="4" w:space="0" w:color="auto"/>
            </w:tcBorders>
            <w:shd w:val="solid" w:color="FFFFCC" w:fill="auto"/>
          </w:tcPr>
          <w:p w14:paraId="7B5EB98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r>
      <w:tr w:rsidR="00B2567C" w14:paraId="32633C33" w14:textId="77777777" w:rsidTr="00607DFE">
        <w:trPr>
          <w:trHeight w:val="290"/>
        </w:trPr>
        <w:tc>
          <w:tcPr>
            <w:tcW w:w="2103" w:type="dxa"/>
            <w:tcBorders>
              <w:top w:val="nil"/>
              <w:left w:val="single" w:sz="4" w:space="0" w:color="auto"/>
              <w:bottom w:val="nil"/>
              <w:right w:val="nil"/>
            </w:tcBorders>
          </w:tcPr>
          <w:p w14:paraId="55DCB947"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HMX</w:t>
            </w:r>
          </w:p>
        </w:tc>
        <w:tc>
          <w:tcPr>
            <w:tcW w:w="899" w:type="dxa"/>
            <w:gridSpan w:val="2"/>
            <w:tcBorders>
              <w:top w:val="nil"/>
              <w:left w:val="nil"/>
              <w:bottom w:val="nil"/>
              <w:right w:val="nil"/>
            </w:tcBorders>
            <w:shd w:val="solid" w:color="FFCC99" w:fill="auto"/>
          </w:tcPr>
          <w:p w14:paraId="0FBCC31F"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416" w:type="dxa"/>
            <w:gridSpan w:val="2"/>
            <w:tcBorders>
              <w:top w:val="nil"/>
              <w:left w:val="nil"/>
              <w:bottom w:val="nil"/>
              <w:right w:val="nil"/>
            </w:tcBorders>
            <w:shd w:val="solid" w:color="FFCC99" w:fill="auto"/>
          </w:tcPr>
          <w:p w14:paraId="57962612"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0</w:t>
            </w:r>
          </w:p>
        </w:tc>
        <w:tc>
          <w:tcPr>
            <w:tcW w:w="994" w:type="dxa"/>
            <w:tcBorders>
              <w:top w:val="nil"/>
              <w:left w:val="nil"/>
              <w:bottom w:val="nil"/>
              <w:right w:val="nil"/>
            </w:tcBorders>
            <w:shd w:val="solid" w:color="99CCFF" w:fill="auto"/>
          </w:tcPr>
          <w:p w14:paraId="363F6804"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0</w:t>
            </w:r>
          </w:p>
        </w:tc>
        <w:tc>
          <w:tcPr>
            <w:tcW w:w="1134" w:type="dxa"/>
            <w:tcBorders>
              <w:top w:val="nil"/>
              <w:left w:val="nil"/>
              <w:bottom w:val="nil"/>
              <w:right w:val="nil"/>
            </w:tcBorders>
            <w:shd w:val="solid" w:color="99CCFF" w:fill="auto"/>
          </w:tcPr>
          <w:p w14:paraId="39863560"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276" w:type="dxa"/>
            <w:tcBorders>
              <w:top w:val="nil"/>
              <w:left w:val="nil"/>
              <w:bottom w:val="nil"/>
              <w:right w:val="nil"/>
            </w:tcBorders>
            <w:shd w:val="solid" w:color="FFFFCC" w:fill="auto"/>
          </w:tcPr>
          <w:p w14:paraId="6CBA6822"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bottom w:val="nil"/>
              <w:right w:val="single" w:sz="4" w:space="0" w:color="auto"/>
            </w:tcBorders>
            <w:shd w:val="solid" w:color="FFFFCC" w:fill="auto"/>
          </w:tcPr>
          <w:p w14:paraId="4639CC66"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r>
      <w:tr w:rsidR="00B2567C" w14:paraId="0A5F89EE" w14:textId="77777777" w:rsidTr="00607DFE">
        <w:trPr>
          <w:trHeight w:val="290"/>
        </w:trPr>
        <w:tc>
          <w:tcPr>
            <w:tcW w:w="2103" w:type="dxa"/>
            <w:tcBorders>
              <w:top w:val="nil"/>
              <w:left w:val="single" w:sz="4" w:space="0" w:color="auto"/>
              <w:bottom w:val="nil"/>
              <w:right w:val="nil"/>
            </w:tcBorders>
          </w:tcPr>
          <w:p w14:paraId="24092D85"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2-butoxyethanol</w:t>
            </w:r>
          </w:p>
        </w:tc>
        <w:tc>
          <w:tcPr>
            <w:tcW w:w="899" w:type="dxa"/>
            <w:gridSpan w:val="2"/>
            <w:tcBorders>
              <w:top w:val="nil"/>
              <w:left w:val="nil"/>
              <w:right w:val="nil"/>
            </w:tcBorders>
            <w:shd w:val="solid" w:color="FFCC99" w:fill="auto"/>
          </w:tcPr>
          <w:p w14:paraId="0F241B9D"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416" w:type="dxa"/>
            <w:gridSpan w:val="2"/>
            <w:tcBorders>
              <w:top w:val="nil"/>
              <w:left w:val="nil"/>
              <w:bottom w:val="nil"/>
              <w:right w:val="nil"/>
            </w:tcBorders>
            <w:shd w:val="solid" w:color="FFCC99" w:fill="auto"/>
          </w:tcPr>
          <w:p w14:paraId="774416C5"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0</w:t>
            </w:r>
          </w:p>
        </w:tc>
        <w:tc>
          <w:tcPr>
            <w:tcW w:w="994" w:type="dxa"/>
            <w:tcBorders>
              <w:top w:val="nil"/>
              <w:left w:val="nil"/>
              <w:bottom w:val="nil"/>
              <w:right w:val="nil"/>
            </w:tcBorders>
            <w:shd w:val="solid" w:color="99CCFF" w:fill="auto"/>
          </w:tcPr>
          <w:p w14:paraId="0A2A8160"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134" w:type="dxa"/>
            <w:tcBorders>
              <w:top w:val="nil"/>
              <w:left w:val="nil"/>
              <w:bottom w:val="nil"/>
              <w:right w:val="nil"/>
            </w:tcBorders>
            <w:shd w:val="solid" w:color="99CCFF" w:fill="auto"/>
          </w:tcPr>
          <w:p w14:paraId="1BB1F274"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276" w:type="dxa"/>
            <w:tcBorders>
              <w:top w:val="nil"/>
              <w:left w:val="nil"/>
              <w:right w:val="nil"/>
            </w:tcBorders>
            <w:shd w:val="solid" w:color="FFFFCC" w:fill="auto"/>
          </w:tcPr>
          <w:p w14:paraId="14AF16EC"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992" w:type="dxa"/>
            <w:tcBorders>
              <w:top w:val="nil"/>
              <w:left w:val="nil"/>
              <w:bottom w:val="nil"/>
              <w:right w:val="single" w:sz="4" w:space="0" w:color="auto"/>
            </w:tcBorders>
            <w:shd w:val="solid" w:color="FFFFCC" w:fill="auto"/>
          </w:tcPr>
          <w:p w14:paraId="1C0F19DA"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r>
      <w:tr w:rsidR="00B2567C" w14:paraId="4C3E3D8D" w14:textId="77777777" w:rsidTr="00607DFE">
        <w:trPr>
          <w:trHeight w:val="290"/>
        </w:trPr>
        <w:tc>
          <w:tcPr>
            <w:tcW w:w="2103" w:type="dxa"/>
            <w:tcBorders>
              <w:top w:val="nil"/>
              <w:left w:val="single" w:sz="4" w:space="0" w:color="auto"/>
              <w:right w:val="nil"/>
            </w:tcBorders>
          </w:tcPr>
          <w:p w14:paraId="0E3B18C0"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Bronopol</w:t>
            </w:r>
          </w:p>
        </w:tc>
        <w:tc>
          <w:tcPr>
            <w:tcW w:w="899" w:type="dxa"/>
            <w:gridSpan w:val="2"/>
            <w:tcBorders>
              <w:top w:val="nil"/>
              <w:left w:val="nil"/>
              <w:bottom w:val="nil"/>
              <w:right w:val="nil"/>
            </w:tcBorders>
            <w:shd w:val="solid" w:color="FFCC99" w:fill="auto"/>
          </w:tcPr>
          <w:p w14:paraId="0C313473"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1416" w:type="dxa"/>
            <w:gridSpan w:val="2"/>
            <w:tcBorders>
              <w:top w:val="nil"/>
              <w:left w:val="nil"/>
              <w:bottom w:val="nil"/>
              <w:right w:val="nil"/>
            </w:tcBorders>
            <w:shd w:val="solid" w:color="FFCC99" w:fill="auto"/>
          </w:tcPr>
          <w:p w14:paraId="56B5EA2E"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994" w:type="dxa"/>
            <w:tcBorders>
              <w:top w:val="nil"/>
              <w:left w:val="nil"/>
              <w:right w:val="nil"/>
            </w:tcBorders>
            <w:shd w:val="solid" w:color="99CCFF" w:fill="auto"/>
          </w:tcPr>
          <w:p w14:paraId="1BE5CEB7"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1134" w:type="dxa"/>
            <w:tcBorders>
              <w:top w:val="nil"/>
              <w:left w:val="nil"/>
              <w:bottom w:val="nil"/>
              <w:right w:val="nil"/>
            </w:tcBorders>
            <w:shd w:val="solid" w:color="99CCFF" w:fill="auto"/>
          </w:tcPr>
          <w:p w14:paraId="5A37FA73"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1276" w:type="dxa"/>
            <w:tcBorders>
              <w:top w:val="nil"/>
              <w:left w:val="nil"/>
              <w:right w:val="nil"/>
            </w:tcBorders>
            <w:shd w:val="solid" w:color="FFFFCC" w:fill="auto"/>
          </w:tcPr>
          <w:p w14:paraId="309001EB"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992" w:type="dxa"/>
            <w:tcBorders>
              <w:top w:val="nil"/>
              <w:left w:val="nil"/>
              <w:right w:val="single" w:sz="4" w:space="0" w:color="auto"/>
            </w:tcBorders>
            <w:shd w:val="solid" w:color="FFFFCC" w:fill="auto"/>
          </w:tcPr>
          <w:p w14:paraId="1FA65CAE"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r>
      <w:tr w:rsidR="00B2567C" w14:paraId="17BB4DE0" w14:textId="77777777" w:rsidTr="00607DFE">
        <w:trPr>
          <w:trHeight w:val="290"/>
        </w:trPr>
        <w:tc>
          <w:tcPr>
            <w:tcW w:w="2123" w:type="dxa"/>
            <w:gridSpan w:val="2"/>
            <w:tcBorders>
              <w:top w:val="nil"/>
              <w:left w:val="single" w:sz="4" w:space="0" w:color="auto"/>
              <w:bottom w:val="nil"/>
            </w:tcBorders>
            <w:shd w:val="clear" w:color="auto" w:fill="auto"/>
          </w:tcPr>
          <w:p w14:paraId="0ACC28DC"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MCI</w:t>
            </w:r>
          </w:p>
        </w:tc>
        <w:tc>
          <w:tcPr>
            <w:tcW w:w="879" w:type="dxa"/>
            <w:tcBorders>
              <w:top w:val="nil"/>
              <w:bottom w:val="nil"/>
            </w:tcBorders>
            <w:shd w:val="clear" w:color="auto" w:fill="FFCC99"/>
          </w:tcPr>
          <w:p w14:paraId="55484335"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416" w:type="dxa"/>
            <w:gridSpan w:val="2"/>
            <w:tcBorders>
              <w:top w:val="nil"/>
              <w:bottom w:val="nil"/>
              <w:right w:val="nil"/>
            </w:tcBorders>
            <w:shd w:val="clear" w:color="auto" w:fill="FFCC99"/>
          </w:tcPr>
          <w:p w14:paraId="50472670"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color w:val="000000"/>
                <w:sz w:val="18"/>
                <w:szCs w:val="18"/>
                <w:lang w:val="en-AU"/>
              </w:rPr>
              <w:t>0</w:t>
            </w:r>
          </w:p>
        </w:tc>
        <w:tc>
          <w:tcPr>
            <w:tcW w:w="994" w:type="dxa"/>
            <w:tcBorders>
              <w:top w:val="nil"/>
              <w:left w:val="nil"/>
              <w:bottom w:val="nil"/>
              <w:right w:val="nil"/>
            </w:tcBorders>
            <w:shd w:val="solid" w:color="99CCFF" w:fill="99CCFF"/>
          </w:tcPr>
          <w:p w14:paraId="549A7CE4"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c>
          <w:tcPr>
            <w:tcW w:w="1134" w:type="dxa"/>
            <w:tcBorders>
              <w:top w:val="nil"/>
              <w:left w:val="nil"/>
              <w:bottom w:val="nil"/>
              <w:right w:val="nil"/>
            </w:tcBorders>
            <w:shd w:val="solid" w:color="99CCFF" w:fill="auto"/>
          </w:tcPr>
          <w:p w14:paraId="45B60760"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0</w:t>
            </w:r>
          </w:p>
        </w:tc>
        <w:tc>
          <w:tcPr>
            <w:tcW w:w="1276" w:type="dxa"/>
            <w:tcBorders>
              <w:top w:val="nil"/>
              <w:left w:val="nil"/>
              <w:bottom w:val="nil"/>
              <w:right w:val="nil"/>
            </w:tcBorders>
            <w:shd w:val="solid" w:color="FFFFCC" w:fill="auto"/>
          </w:tcPr>
          <w:p w14:paraId="7345D1D4"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0</w:t>
            </w:r>
          </w:p>
        </w:tc>
        <w:tc>
          <w:tcPr>
            <w:tcW w:w="992" w:type="dxa"/>
            <w:tcBorders>
              <w:top w:val="nil"/>
              <w:left w:val="nil"/>
              <w:bottom w:val="nil"/>
              <w:right w:val="single" w:sz="4" w:space="0" w:color="auto"/>
            </w:tcBorders>
            <w:shd w:val="solid" w:color="FFFFCC" w:fill="auto"/>
          </w:tcPr>
          <w:p w14:paraId="588F97B1"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0</w:t>
            </w:r>
          </w:p>
        </w:tc>
      </w:tr>
      <w:tr w:rsidR="00B2567C" w14:paraId="0AEDBF87" w14:textId="77777777" w:rsidTr="00607DFE">
        <w:trPr>
          <w:trHeight w:val="290"/>
        </w:trPr>
        <w:tc>
          <w:tcPr>
            <w:tcW w:w="2103" w:type="dxa"/>
            <w:tcBorders>
              <w:top w:val="nil"/>
              <w:left w:val="single" w:sz="4" w:space="0" w:color="auto"/>
              <w:bottom w:val="single" w:sz="4" w:space="0" w:color="auto"/>
              <w:right w:val="nil"/>
            </w:tcBorders>
          </w:tcPr>
          <w:p w14:paraId="07A7456C" w14:textId="77777777" w:rsidR="00B2567C" w:rsidRPr="00DA38B7" w:rsidRDefault="00B2567C" w:rsidP="00607DFE">
            <w:pPr>
              <w:autoSpaceDE w:val="0"/>
              <w:autoSpaceDN w:val="0"/>
              <w:adjustRightInd w:val="0"/>
              <w:spacing w:after="0"/>
              <w:rPr>
                <w:rFonts w:ascii="Calibri" w:hAnsi="Calibri" w:cs="Calibri"/>
                <w:color w:val="000000"/>
                <w:sz w:val="18"/>
                <w:szCs w:val="18"/>
                <w:lang w:val="en-AU"/>
              </w:rPr>
            </w:pPr>
            <w:r w:rsidRPr="00DA38B7">
              <w:rPr>
                <w:rFonts w:ascii="Calibri" w:hAnsi="Calibri" w:cs="Calibri"/>
                <w:color w:val="000000"/>
                <w:sz w:val="18"/>
                <w:szCs w:val="18"/>
                <w:lang w:val="en-AU"/>
              </w:rPr>
              <w:t>Acrylamide polymer</w:t>
            </w:r>
          </w:p>
        </w:tc>
        <w:tc>
          <w:tcPr>
            <w:tcW w:w="899" w:type="dxa"/>
            <w:gridSpan w:val="2"/>
            <w:tcBorders>
              <w:top w:val="nil"/>
              <w:left w:val="nil"/>
              <w:bottom w:val="single" w:sz="4" w:space="0" w:color="auto"/>
              <w:right w:val="nil"/>
            </w:tcBorders>
            <w:shd w:val="solid" w:color="FFCC99" w:fill="auto"/>
          </w:tcPr>
          <w:p w14:paraId="371EF8CE"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1416" w:type="dxa"/>
            <w:gridSpan w:val="2"/>
            <w:tcBorders>
              <w:top w:val="nil"/>
              <w:left w:val="nil"/>
              <w:bottom w:val="single" w:sz="4" w:space="0" w:color="auto"/>
              <w:right w:val="nil"/>
            </w:tcBorders>
            <w:shd w:val="solid" w:color="FFCC99" w:fill="auto"/>
          </w:tcPr>
          <w:p w14:paraId="3A3BD5FF"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c>
          <w:tcPr>
            <w:tcW w:w="994" w:type="dxa"/>
            <w:tcBorders>
              <w:top w:val="nil"/>
              <w:left w:val="nil"/>
              <w:bottom w:val="single" w:sz="4" w:space="0" w:color="auto"/>
              <w:right w:val="nil"/>
            </w:tcBorders>
            <w:shd w:val="solid" w:color="99CCFF" w:fill="auto"/>
          </w:tcPr>
          <w:p w14:paraId="248D6557"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c>
          <w:tcPr>
            <w:tcW w:w="1134" w:type="dxa"/>
            <w:tcBorders>
              <w:top w:val="nil"/>
              <w:left w:val="nil"/>
              <w:bottom w:val="single" w:sz="4" w:space="0" w:color="auto"/>
              <w:right w:val="nil"/>
            </w:tcBorders>
            <w:shd w:val="solid" w:color="99CCFF" w:fill="auto"/>
          </w:tcPr>
          <w:p w14:paraId="5F757BF1"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c>
          <w:tcPr>
            <w:tcW w:w="1276" w:type="dxa"/>
            <w:tcBorders>
              <w:top w:val="nil"/>
              <w:left w:val="nil"/>
              <w:bottom w:val="single" w:sz="4" w:space="0" w:color="auto"/>
              <w:right w:val="nil"/>
            </w:tcBorders>
            <w:shd w:val="solid" w:color="FFFFCC" w:fill="auto"/>
          </w:tcPr>
          <w:p w14:paraId="3920B560"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 xml:space="preserve"> 1</w:t>
            </w:r>
          </w:p>
        </w:tc>
        <w:tc>
          <w:tcPr>
            <w:tcW w:w="992" w:type="dxa"/>
            <w:tcBorders>
              <w:top w:val="nil"/>
              <w:left w:val="nil"/>
              <w:bottom w:val="single" w:sz="4" w:space="0" w:color="auto"/>
              <w:right w:val="single" w:sz="4" w:space="0" w:color="auto"/>
            </w:tcBorders>
            <w:shd w:val="solid" w:color="FFFFCC" w:fill="auto"/>
          </w:tcPr>
          <w:p w14:paraId="36DB0223" w14:textId="77777777" w:rsidR="00B2567C" w:rsidRPr="00DA38B7" w:rsidRDefault="00B2567C" w:rsidP="00607DFE">
            <w:pPr>
              <w:autoSpaceDE w:val="0"/>
              <w:autoSpaceDN w:val="0"/>
              <w:adjustRightInd w:val="0"/>
              <w:spacing w:after="0"/>
              <w:jc w:val="center"/>
              <w:rPr>
                <w:rFonts w:ascii="Calibri" w:hAnsi="Calibri" w:cs="Calibri"/>
                <w:b/>
                <w:bCs/>
                <w:color w:val="000000"/>
                <w:sz w:val="18"/>
                <w:szCs w:val="18"/>
                <w:lang w:val="en-AU"/>
              </w:rPr>
            </w:pPr>
            <w:r w:rsidRPr="00DA38B7">
              <w:rPr>
                <w:rFonts w:ascii="Calibri" w:hAnsi="Calibri" w:cs="Calibri"/>
                <w:b/>
                <w:bCs/>
                <w:color w:val="000000"/>
                <w:sz w:val="18"/>
                <w:szCs w:val="18"/>
                <w:lang w:val="en-AU"/>
              </w:rPr>
              <w:t>1</w:t>
            </w:r>
          </w:p>
        </w:tc>
      </w:tr>
    </w:tbl>
    <w:p w14:paraId="5DD9441B" w14:textId="77777777" w:rsidR="00B2567C" w:rsidRDefault="00B2567C" w:rsidP="004032C3">
      <w:pPr>
        <w:pStyle w:val="Body"/>
      </w:pPr>
    </w:p>
    <w:p w14:paraId="7316A423" w14:textId="1575AE1C" w:rsidR="00B2567C" w:rsidRDefault="00B2567C" w:rsidP="00B2567C">
      <w:pPr>
        <w:pStyle w:val="Imagecaption"/>
        <w:keepNext/>
        <w:pBdr>
          <w:top w:val="none" w:sz="0" w:space="0" w:color="auto"/>
        </w:pBdr>
      </w:pPr>
      <w:bookmarkStart w:id="678" w:name="_Ref454470808"/>
      <w:bookmarkStart w:id="679" w:name="_Toc494444743"/>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15</w:t>
      </w:r>
      <w:r w:rsidR="00470577">
        <w:fldChar w:fldCharType="end"/>
      </w:r>
      <w:bookmarkEnd w:id="678"/>
      <w:r>
        <w:t xml:space="preserve"> Calculated relative concentration at receptor for maximum travel time of 92 years (travel time class # 1 </w:t>
      </w:r>
      <w:r>
        <w:fldChar w:fldCharType="begin" w:fldLock="1"/>
      </w:r>
      <w:r>
        <w:instrText xml:space="preserve"> REF _Ref454384797 \h  \* MERGEFORMAT </w:instrText>
      </w:r>
      <w:r>
        <w:fldChar w:fldCharType="separate"/>
      </w:r>
      <w:r w:rsidR="00335E79" w:rsidRPr="00DA539C">
        <w:t xml:space="preserve">Table </w:t>
      </w:r>
      <w:r w:rsidR="00335E79">
        <w:t>2</w:t>
      </w:r>
      <w:r w:rsidR="00335E79">
        <w:noBreakHyphen/>
        <w:t>24</w:t>
      </w:r>
      <w:r>
        <w:fldChar w:fldCharType="end"/>
      </w:r>
      <w:r>
        <w:t xml:space="preserve">). MCI = Methyl-chloro-isothiazolinone. </w:t>
      </w:r>
      <w:r w:rsidR="00774F9B">
        <w:t>Underlined numbers have their concentrations decreased compared to calculations without sorption.</w:t>
      </w:r>
      <w:r>
        <w:t>Initial source concentration is 1 (no units specified). (</w:t>
      </w:r>
      <w:r w:rsidRPr="00A6566A">
        <w:t>f</w:t>
      </w:r>
      <w:r w:rsidRPr="00526F41">
        <w:rPr>
          <w:vertAlign w:val="subscript"/>
        </w:rPr>
        <w:t>OC</w:t>
      </w:r>
      <w:r w:rsidR="00B96E77">
        <w:rPr>
          <w:vertAlign w:val="subscript"/>
        </w:rPr>
        <w:t>_r</w:t>
      </w:r>
      <w:r w:rsidRPr="00A6566A">
        <w:t xml:space="preserve"> </w:t>
      </w:r>
      <w:r>
        <w:t xml:space="preserve">= </w:t>
      </w:r>
      <w:r w:rsidRPr="002C24F4">
        <w:t>0.001</w:t>
      </w:r>
      <w:r>
        <w:t>).</w:t>
      </w:r>
      <w:r w:rsidR="003B5BB4">
        <w:t xml:space="preserve"> Attenuation due to degradation and sorption.</w:t>
      </w:r>
      <w:bookmarkEnd w:id="679"/>
    </w:p>
    <w:tbl>
      <w:tblPr>
        <w:tblW w:w="8816" w:type="dxa"/>
        <w:tblInd w:w="-30" w:type="dxa"/>
        <w:tblLayout w:type="fixed"/>
        <w:tblLook w:val="0000" w:firstRow="0" w:lastRow="0" w:firstColumn="0" w:lastColumn="0" w:noHBand="0" w:noVBand="0"/>
      </w:tblPr>
      <w:tblGrid>
        <w:gridCol w:w="2097"/>
        <w:gridCol w:w="8"/>
        <w:gridCol w:w="1039"/>
        <w:gridCol w:w="1276"/>
        <w:gridCol w:w="992"/>
        <w:gridCol w:w="142"/>
        <w:gridCol w:w="994"/>
        <w:gridCol w:w="1132"/>
        <w:gridCol w:w="1136"/>
      </w:tblGrid>
      <w:tr w:rsidR="00B2567C" w14:paraId="773B87F8" w14:textId="77777777" w:rsidTr="00607DFE">
        <w:trPr>
          <w:trHeight w:val="290"/>
        </w:trPr>
        <w:tc>
          <w:tcPr>
            <w:tcW w:w="2105" w:type="dxa"/>
            <w:gridSpan w:val="2"/>
            <w:tcBorders>
              <w:top w:val="single" w:sz="4" w:space="0" w:color="auto"/>
              <w:left w:val="single" w:sz="4" w:space="0" w:color="auto"/>
              <w:bottom w:val="nil"/>
              <w:right w:val="nil"/>
            </w:tcBorders>
          </w:tcPr>
          <w:p w14:paraId="46A3B4DF" w14:textId="77777777" w:rsidR="00B2567C" w:rsidRDefault="00B2567C" w:rsidP="00607DFE">
            <w:pPr>
              <w:autoSpaceDE w:val="0"/>
              <w:autoSpaceDN w:val="0"/>
              <w:adjustRightInd w:val="0"/>
              <w:spacing w:after="0"/>
              <w:jc w:val="right"/>
              <w:rPr>
                <w:rFonts w:ascii="Calibri" w:hAnsi="Calibri" w:cs="Calibri"/>
                <w:color w:val="000000"/>
                <w:sz w:val="22"/>
                <w:szCs w:val="22"/>
                <w:lang w:val="en-AU"/>
              </w:rPr>
            </w:pPr>
          </w:p>
        </w:tc>
        <w:tc>
          <w:tcPr>
            <w:tcW w:w="6711" w:type="dxa"/>
            <w:gridSpan w:val="7"/>
            <w:tcBorders>
              <w:top w:val="single" w:sz="4" w:space="0" w:color="auto"/>
              <w:left w:val="nil"/>
              <w:bottom w:val="nil"/>
              <w:right w:val="single" w:sz="4" w:space="0" w:color="auto"/>
            </w:tcBorders>
          </w:tcPr>
          <w:p w14:paraId="115EA70E" w14:textId="77777777" w:rsidR="00B2567C" w:rsidRPr="00397262" w:rsidRDefault="00B2567C" w:rsidP="00607DFE">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 xml:space="preserve">Relative concentration </w:t>
            </w:r>
            <w:r>
              <w:rPr>
                <w:rFonts w:ascii="Calibri" w:hAnsi="Calibri" w:cs="Calibri"/>
                <w:color w:val="000000"/>
                <w:sz w:val="18"/>
                <w:szCs w:val="18"/>
                <w:lang w:val="en-AU"/>
              </w:rPr>
              <w:t xml:space="preserve"> (-)</w:t>
            </w:r>
            <w:r w:rsidRPr="00397262">
              <w:rPr>
                <w:rFonts w:ascii="Calibri" w:hAnsi="Calibri" w:cs="Calibri"/>
                <w:color w:val="000000"/>
                <w:sz w:val="18"/>
                <w:szCs w:val="18"/>
                <w:lang w:val="en-AU"/>
              </w:rPr>
              <w:t xml:space="preserve"> at receptor</w:t>
            </w:r>
            <w:r>
              <w:rPr>
                <w:rFonts w:ascii="Calibri" w:hAnsi="Calibri" w:cs="Calibri"/>
                <w:color w:val="000000"/>
                <w:sz w:val="18"/>
                <w:szCs w:val="18"/>
                <w:lang w:val="en-AU"/>
              </w:rPr>
              <w:t xml:space="preserve">: </w:t>
            </w:r>
            <w:r w:rsidRPr="00397262">
              <w:rPr>
                <w:rFonts w:ascii="Calibri" w:hAnsi="Calibri" w:cs="Calibri"/>
                <w:color w:val="000000"/>
                <w:sz w:val="18"/>
                <w:szCs w:val="18"/>
                <w:lang w:val="en-AU"/>
              </w:rPr>
              <w:t>maximum travel time</w:t>
            </w:r>
          </w:p>
        </w:tc>
      </w:tr>
      <w:tr w:rsidR="00B2567C" w14:paraId="31DEF208" w14:textId="77777777" w:rsidTr="00607DFE">
        <w:trPr>
          <w:trHeight w:val="290"/>
        </w:trPr>
        <w:tc>
          <w:tcPr>
            <w:tcW w:w="2105" w:type="dxa"/>
            <w:gridSpan w:val="2"/>
            <w:tcBorders>
              <w:top w:val="nil"/>
              <w:left w:val="single" w:sz="4" w:space="0" w:color="auto"/>
              <w:bottom w:val="nil"/>
              <w:right w:val="nil"/>
            </w:tcBorders>
          </w:tcPr>
          <w:p w14:paraId="41DC24AA" w14:textId="77777777" w:rsidR="00B2567C" w:rsidRDefault="00B2567C" w:rsidP="00607DFE">
            <w:pPr>
              <w:autoSpaceDE w:val="0"/>
              <w:autoSpaceDN w:val="0"/>
              <w:adjustRightInd w:val="0"/>
              <w:spacing w:after="0"/>
              <w:jc w:val="right"/>
              <w:rPr>
                <w:rFonts w:ascii="Calibri" w:hAnsi="Calibri" w:cs="Calibri"/>
                <w:color w:val="000000"/>
                <w:sz w:val="22"/>
                <w:szCs w:val="22"/>
                <w:lang w:val="en-AU"/>
              </w:rPr>
            </w:pPr>
          </w:p>
        </w:tc>
        <w:tc>
          <w:tcPr>
            <w:tcW w:w="2315" w:type="dxa"/>
            <w:gridSpan w:val="2"/>
            <w:tcBorders>
              <w:top w:val="nil"/>
              <w:left w:val="nil"/>
              <w:bottom w:val="nil"/>
              <w:right w:val="nil"/>
            </w:tcBorders>
            <w:shd w:val="solid" w:color="FFCC99" w:fill="auto"/>
          </w:tcPr>
          <w:p w14:paraId="35775311" w14:textId="77777777" w:rsidR="00B2567C" w:rsidRPr="00397262" w:rsidRDefault="00B2567C" w:rsidP="00607DFE">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Anaerobic</w:t>
            </w:r>
          </w:p>
        </w:tc>
        <w:tc>
          <w:tcPr>
            <w:tcW w:w="2128" w:type="dxa"/>
            <w:gridSpan w:val="3"/>
            <w:tcBorders>
              <w:top w:val="nil"/>
              <w:left w:val="nil"/>
              <w:bottom w:val="nil"/>
              <w:right w:val="nil"/>
            </w:tcBorders>
            <w:shd w:val="solid" w:color="99CCFF" w:fill="auto"/>
          </w:tcPr>
          <w:p w14:paraId="3DBA8DB1" w14:textId="77777777" w:rsidR="00B2567C" w:rsidRPr="00397262" w:rsidRDefault="00B2567C" w:rsidP="00607DFE">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Aerobic</w:t>
            </w:r>
          </w:p>
        </w:tc>
        <w:tc>
          <w:tcPr>
            <w:tcW w:w="2268" w:type="dxa"/>
            <w:gridSpan w:val="2"/>
            <w:tcBorders>
              <w:top w:val="nil"/>
              <w:left w:val="nil"/>
              <w:bottom w:val="nil"/>
              <w:right w:val="single" w:sz="4" w:space="0" w:color="auto"/>
            </w:tcBorders>
            <w:shd w:val="solid" w:color="FFFFCC" w:fill="auto"/>
          </w:tcPr>
          <w:p w14:paraId="38DA82F6" w14:textId="77777777" w:rsidR="00B2567C" w:rsidRPr="00397262" w:rsidRDefault="00B2567C" w:rsidP="00607DFE">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Hydrolysis</w:t>
            </w:r>
          </w:p>
        </w:tc>
      </w:tr>
      <w:tr w:rsidR="00B2567C" w14:paraId="3FC8AEF0" w14:textId="77777777" w:rsidTr="00607DFE">
        <w:trPr>
          <w:trHeight w:val="290"/>
        </w:trPr>
        <w:tc>
          <w:tcPr>
            <w:tcW w:w="2105" w:type="dxa"/>
            <w:gridSpan w:val="2"/>
            <w:tcBorders>
              <w:top w:val="nil"/>
              <w:left w:val="single" w:sz="4" w:space="0" w:color="auto"/>
              <w:bottom w:val="single" w:sz="6" w:space="0" w:color="auto"/>
              <w:right w:val="nil"/>
            </w:tcBorders>
          </w:tcPr>
          <w:p w14:paraId="50F7EE81" w14:textId="77777777" w:rsidR="00B2567C" w:rsidRPr="00397262" w:rsidRDefault="00B2567C" w:rsidP="00607DFE">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Chemical substance</w:t>
            </w:r>
          </w:p>
        </w:tc>
        <w:tc>
          <w:tcPr>
            <w:tcW w:w="1039" w:type="dxa"/>
            <w:tcBorders>
              <w:top w:val="nil"/>
              <w:left w:val="nil"/>
              <w:bottom w:val="single" w:sz="6" w:space="0" w:color="auto"/>
              <w:right w:val="nil"/>
            </w:tcBorders>
            <w:shd w:val="solid" w:color="FFCC99" w:fill="auto"/>
          </w:tcPr>
          <w:p w14:paraId="52859D49" w14:textId="77777777" w:rsidR="00B2567C" w:rsidRPr="00397262" w:rsidRDefault="00B2567C" w:rsidP="00607DFE">
            <w:pPr>
              <w:autoSpaceDE w:val="0"/>
              <w:autoSpaceDN w:val="0"/>
              <w:adjustRightInd w:val="0"/>
              <w:spacing w:after="0"/>
              <w:jc w:val="center"/>
              <w:rPr>
                <w:rFonts w:ascii="Calibri" w:hAnsi="Calibri" w:cs="Calibri"/>
                <w:color w:val="000000"/>
                <w:sz w:val="18"/>
                <w:szCs w:val="18"/>
                <w:lang w:val="en-AU"/>
              </w:rPr>
            </w:pPr>
            <w:r w:rsidRPr="00397262">
              <w:rPr>
                <w:rFonts w:ascii="Calibri" w:hAnsi="Calibri" w:cs="Calibri"/>
                <w:color w:val="000000"/>
                <w:sz w:val="18"/>
                <w:szCs w:val="18"/>
                <w:lang w:val="en-AU"/>
              </w:rPr>
              <w:t>Min</w:t>
            </w:r>
          </w:p>
        </w:tc>
        <w:tc>
          <w:tcPr>
            <w:tcW w:w="1276" w:type="dxa"/>
            <w:tcBorders>
              <w:top w:val="nil"/>
              <w:left w:val="nil"/>
              <w:bottom w:val="single" w:sz="6" w:space="0" w:color="auto"/>
              <w:right w:val="nil"/>
            </w:tcBorders>
            <w:shd w:val="solid" w:color="FFCC99" w:fill="auto"/>
          </w:tcPr>
          <w:p w14:paraId="6AEFCBDD" w14:textId="77777777" w:rsidR="00B2567C" w:rsidRPr="00397262"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397262">
              <w:rPr>
                <w:rFonts w:ascii="Calibri" w:hAnsi="Calibri" w:cs="Calibri"/>
                <w:color w:val="000000"/>
                <w:sz w:val="18"/>
                <w:szCs w:val="18"/>
                <w:lang w:val="en-AU"/>
              </w:rPr>
              <w:t>ax</w:t>
            </w:r>
          </w:p>
        </w:tc>
        <w:tc>
          <w:tcPr>
            <w:tcW w:w="992" w:type="dxa"/>
            <w:tcBorders>
              <w:top w:val="nil"/>
              <w:left w:val="nil"/>
              <w:bottom w:val="single" w:sz="6" w:space="0" w:color="auto"/>
              <w:right w:val="nil"/>
            </w:tcBorders>
            <w:shd w:val="solid" w:color="99CCFF" w:fill="auto"/>
          </w:tcPr>
          <w:p w14:paraId="0C6CCF08" w14:textId="77777777" w:rsidR="00B2567C" w:rsidRPr="00397262"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397262">
              <w:rPr>
                <w:rFonts w:ascii="Calibri" w:hAnsi="Calibri" w:cs="Calibri"/>
                <w:color w:val="000000"/>
                <w:sz w:val="18"/>
                <w:szCs w:val="18"/>
                <w:lang w:val="en-AU"/>
              </w:rPr>
              <w:t>in</w:t>
            </w:r>
          </w:p>
        </w:tc>
        <w:tc>
          <w:tcPr>
            <w:tcW w:w="1136" w:type="dxa"/>
            <w:gridSpan w:val="2"/>
            <w:tcBorders>
              <w:top w:val="nil"/>
              <w:left w:val="nil"/>
              <w:bottom w:val="single" w:sz="6" w:space="0" w:color="auto"/>
              <w:right w:val="nil"/>
            </w:tcBorders>
            <w:shd w:val="solid" w:color="99CCFF" w:fill="auto"/>
          </w:tcPr>
          <w:p w14:paraId="454F0F31" w14:textId="77777777" w:rsidR="00B2567C" w:rsidRPr="00397262"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397262">
              <w:rPr>
                <w:rFonts w:ascii="Calibri" w:hAnsi="Calibri" w:cs="Calibri"/>
                <w:color w:val="000000"/>
                <w:sz w:val="18"/>
                <w:szCs w:val="18"/>
                <w:lang w:val="en-AU"/>
              </w:rPr>
              <w:t>ax</w:t>
            </w:r>
          </w:p>
        </w:tc>
        <w:tc>
          <w:tcPr>
            <w:tcW w:w="1132" w:type="dxa"/>
            <w:tcBorders>
              <w:top w:val="nil"/>
              <w:left w:val="nil"/>
              <w:bottom w:val="single" w:sz="6" w:space="0" w:color="auto"/>
              <w:right w:val="nil"/>
            </w:tcBorders>
            <w:shd w:val="solid" w:color="FFFFCC" w:fill="auto"/>
          </w:tcPr>
          <w:p w14:paraId="0506A7DE" w14:textId="77777777" w:rsidR="00B2567C" w:rsidRPr="00397262"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397262">
              <w:rPr>
                <w:rFonts w:ascii="Calibri" w:hAnsi="Calibri" w:cs="Calibri"/>
                <w:color w:val="000000"/>
                <w:sz w:val="18"/>
                <w:szCs w:val="18"/>
                <w:lang w:val="en-AU"/>
              </w:rPr>
              <w:t>in</w:t>
            </w:r>
          </w:p>
        </w:tc>
        <w:tc>
          <w:tcPr>
            <w:tcW w:w="1136" w:type="dxa"/>
            <w:tcBorders>
              <w:top w:val="nil"/>
              <w:left w:val="nil"/>
              <w:bottom w:val="single" w:sz="6" w:space="0" w:color="auto"/>
              <w:right w:val="single" w:sz="4" w:space="0" w:color="auto"/>
            </w:tcBorders>
            <w:shd w:val="solid" w:color="FFFFCC" w:fill="auto"/>
          </w:tcPr>
          <w:p w14:paraId="6B6293B0" w14:textId="77777777" w:rsidR="00B2567C" w:rsidRPr="00397262" w:rsidRDefault="00B2567C" w:rsidP="00607DFE">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Pr="00397262">
              <w:rPr>
                <w:rFonts w:ascii="Calibri" w:hAnsi="Calibri" w:cs="Calibri"/>
                <w:color w:val="000000"/>
                <w:sz w:val="18"/>
                <w:szCs w:val="18"/>
                <w:lang w:val="en-AU"/>
              </w:rPr>
              <w:t>ax</w:t>
            </w:r>
          </w:p>
        </w:tc>
      </w:tr>
      <w:tr w:rsidR="00B2567C" w14:paraId="3BEAF243" w14:textId="77777777" w:rsidTr="00607DFE">
        <w:trPr>
          <w:trHeight w:val="290"/>
        </w:trPr>
        <w:tc>
          <w:tcPr>
            <w:tcW w:w="2105" w:type="dxa"/>
            <w:gridSpan w:val="2"/>
            <w:tcBorders>
              <w:top w:val="nil"/>
              <w:left w:val="single" w:sz="4" w:space="0" w:color="auto"/>
              <w:bottom w:val="nil"/>
              <w:right w:val="nil"/>
            </w:tcBorders>
          </w:tcPr>
          <w:p w14:paraId="10EC0B87" w14:textId="77777777" w:rsidR="00B2567C" w:rsidRPr="00397262" w:rsidRDefault="00B2567C" w:rsidP="00607DFE">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2-methylphenol</w:t>
            </w:r>
          </w:p>
        </w:tc>
        <w:tc>
          <w:tcPr>
            <w:tcW w:w="1039" w:type="dxa"/>
            <w:tcBorders>
              <w:top w:val="nil"/>
              <w:left w:val="nil"/>
              <w:bottom w:val="nil"/>
              <w:right w:val="nil"/>
            </w:tcBorders>
            <w:shd w:val="solid" w:color="FFCC99" w:fill="auto"/>
          </w:tcPr>
          <w:p w14:paraId="4A82E174"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276" w:type="dxa"/>
            <w:tcBorders>
              <w:top w:val="nil"/>
              <w:left w:val="nil"/>
              <w:bottom w:val="nil"/>
              <w:right w:val="nil"/>
            </w:tcBorders>
            <w:shd w:val="solid" w:color="FFCC99" w:fill="auto"/>
          </w:tcPr>
          <w:p w14:paraId="1A100DD0"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u w:val="single"/>
                <w:lang w:val="en-AU"/>
              </w:rPr>
            </w:pPr>
            <w:r w:rsidRPr="00397262">
              <w:rPr>
                <w:rFonts w:ascii="Calibri" w:hAnsi="Calibri" w:cs="Calibri"/>
                <w:b/>
                <w:bCs/>
                <w:color w:val="000000"/>
                <w:sz w:val="18"/>
                <w:szCs w:val="18"/>
                <w:u w:val="single"/>
                <w:lang w:val="en-AU"/>
              </w:rPr>
              <w:t>0</w:t>
            </w:r>
          </w:p>
        </w:tc>
        <w:tc>
          <w:tcPr>
            <w:tcW w:w="1134" w:type="dxa"/>
            <w:gridSpan w:val="2"/>
            <w:tcBorders>
              <w:top w:val="nil"/>
              <w:left w:val="nil"/>
              <w:bottom w:val="nil"/>
              <w:right w:val="nil"/>
            </w:tcBorders>
            <w:shd w:val="solid" w:color="99CCFF" w:fill="auto"/>
          </w:tcPr>
          <w:p w14:paraId="74EEA2E6"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994" w:type="dxa"/>
            <w:tcBorders>
              <w:top w:val="nil"/>
              <w:left w:val="nil"/>
              <w:bottom w:val="nil"/>
              <w:right w:val="nil"/>
            </w:tcBorders>
            <w:shd w:val="solid" w:color="99CCFF" w:fill="auto"/>
          </w:tcPr>
          <w:p w14:paraId="01EC568E"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132" w:type="dxa"/>
            <w:tcBorders>
              <w:top w:val="nil"/>
              <w:left w:val="nil"/>
              <w:bottom w:val="nil"/>
              <w:right w:val="nil"/>
            </w:tcBorders>
            <w:shd w:val="solid" w:color="FFFFCC" w:fill="auto"/>
          </w:tcPr>
          <w:p w14:paraId="62C148F2"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c>
          <w:tcPr>
            <w:tcW w:w="1136" w:type="dxa"/>
            <w:tcBorders>
              <w:top w:val="nil"/>
              <w:left w:val="nil"/>
              <w:bottom w:val="nil"/>
              <w:right w:val="single" w:sz="4" w:space="0" w:color="auto"/>
            </w:tcBorders>
            <w:shd w:val="solid" w:color="FFFFCC" w:fill="auto"/>
          </w:tcPr>
          <w:p w14:paraId="2C185112"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r>
      <w:tr w:rsidR="00B2567C" w14:paraId="467B2BA2" w14:textId="77777777" w:rsidTr="00607DFE">
        <w:trPr>
          <w:trHeight w:val="290"/>
        </w:trPr>
        <w:tc>
          <w:tcPr>
            <w:tcW w:w="2105" w:type="dxa"/>
            <w:gridSpan w:val="2"/>
            <w:tcBorders>
              <w:top w:val="nil"/>
              <w:left w:val="single" w:sz="4" w:space="0" w:color="auto"/>
              <w:bottom w:val="nil"/>
              <w:right w:val="nil"/>
            </w:tcBorders>
          </w:tcPr>
          <w:p w14:paraId="3F5CBC32" w14:textId="77777777" w:rsidR="00B2567C" w:rsidRPr="00397262" w:rsidRDefault="00B2567C" w:rsidP="00607DFE">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Naphthalene</w:t>
            </w:r>
          </w:p>
        </w:tc>
        <w:tc>
          <w:tcPr>
            <w:tcW w:w="1039" w:type="dxa"/>
            <w:tcBorders>
              <w:top w:val="nil"/>
              <w:left w:val="nil"/>
              <w:bottom w:val="nil"/>
              <w:right w:val="nil"/>
            </w:tcBorders>
            <w:shd w:val="solid" w:color="FFCC99" w:fill="auto"/>
          </w:tcPr>
          <w:p w14:paraId="63ACAB6B"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276" w:type="dxa"/>
            <w:tcBorders>
              <w:top w:val="nil"/>
              <w:left w:val="nil"/>
              <w:bottom w:val="nil"/>
              <w:right w:val="nil"/>
            </w:tcBorders>
            <w:shd w:val="solid" w:color="FFCC99" w:fill="auto"/>
          </w:tcPr>
          <w:p w14:paraId="72391F3B"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c>
          <w:tcPr>
            <w:tcW w:w="1134" w:type="dxa"/>
            <w:gridSpan w:val="2"/>
            <w:tcBorders>
              <w:top w:val="nil"/>
              <w:left w:val="nil"/>
              <w:bottom w:val="nil"/>
              <w:right w:val="nil"/>
            </w:tcBorders>
            <w:shd w:val="solid" w:color="99CCFF" w:fill="auto"/>
          </w:tcPr>
          <w:p w14:paraId="147001D6"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994" w:type="dxa"/>
            <w:tcBorders>
              <w:top w:val="nil"/>
              <w:left w:val="nil"/>
              <w:bottom w:val="nil"/>
              <w:right w:val="nil"/>
            </w:tcBorders>
            <w:shd w:val="solid" w:color="99CCFF" w:fill="auto"/>
          </w:tcPr>
          <w:p w14:paraId="28033BB2"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132" w:type="dxa"/>
            <w:tcBorders>
              <w:top w:val="nil"/>
              <w:left w:val="nil"/>
              <w:bottom w:val="nil"/>
              <w:right w:val="nil"/>
            </w:tcBorders>
            <w:shd w:val="solid" w:color="FFFFCC" w:fill="auto"/>
          </w:tcPr>
          <w:p w14:paraId="1F15E40C"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c>
          <w:tcPr>
            <w:tcW w:w="1136" w:type="dxa"/>
            <w:tcBorders>
              <w:top w:val="nil"/>
              <w:left w:val="nil"/>
              <w:bottom w:val="nil"/>
              <w:right w:val="single" w:sz="4" w:space="0" w:color="auto"/>
            </w:tcBorders>
            <w:shd w:val="solid" w:color="FFFFCC" w:fill="auto"/>
          </w:tcPr>
          <w:p w14:paraId="25DA65AC"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r>
      <w:tr w:rsidR="00B2567C" w14:paraId="59EF9388" w14:textId="77777777" w:rsidTr="00607DFE">
        <w:trPr>
          <w:trHeight w:val="290"/>
        </w:trPr>
        <w:tc>
          <w:tcPr>
            <w:tcW w:w="2105" w:type="dxa"/>
            <w:gridSpan w:val="2"/>
            <w:tcBorders>
              <w:top w:val="nil"/>
              <w:left w:val="single" w:sz="4" w:space="0" w:color="auto"/>
              <w:bottom w:val="nil"/>
              <w:right w:val="nil"/>
            </w:tcBorders>
          </w:tcPr>
          <w:p w14:paraId="7E45CFDF" w14:textId="77777777" w:rsidR="00B2567C" w:rsidRPr="00397262" w:rsidRDefault="00B2567C" w:rsidP="00607DFE">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Limonene</w:t>
            </w:r>
          </w:p>
        </w:tc>
        <w:tc>
          <w:tcPr>
            <w:tcW w:w="1039" w:type="dxa"/>
            <w:tcBorders>
              <w:top w:val="nil"/>
              <w:left w:val="nil"/>
              <w:bottom w:val="nil"/>
              <w:right w:val="nil"/>
            </w:tcBorders>
            <w:shd w:val="solid" w:color="FFCC99" w:fill="auto"/>
          </w:tcPr>
          <w:p w14:paraId="57449F0A"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1</w:t>
            </w:r>
          </w:p>
        </w:tc>
        <w:tc>
          <w:tcPr>
            <w:tcW w:w="1276" w:type="dxa"/>
            <w:tcBorders>
              <w:top w:val="nil"/>
              <w:left w:val="nil"/>
              <w:bottom w:val="nil"/>
              <w:right w:val="nil"/>
            </w:tcBorders>
            <w:shd w:val="solid" w:color="FFCC99" w:fill="auto"/>
          </w:tcPr>
          <w:p w14:paraId="7E961460"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1</w:t>
            </w:r>
          </w:p>
        </w:tc>
        <w:tc>
          <w:tcPr>
            <w:tcW w:w="1134" w:type="dxa"/>
            <w:gridSpan w:val="2"/>
            <w:tcBorders>
              <w:top w:val="nil"/>
              <w:left w:val="nil"/>
              <w:bottom w:val="nil"/>
              <w:right w:val="nil"/>
            </w:tcBorders>
            <w:shd w:val="solid" w:color="99CCFF" w:fill="auto"/>
          </w:tcPr>
          <w:p w14:paraId="5E98AD98"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994" w:type="dxa"/>
            <w:tcBorders>
              <w:top w:val="nil"/>
              <w:left w:val="nil"/>
              <w:bottom w:val="nil"/>
              <w:right w:val="nil"/>
            </w:tcBorders>
            <w:shd w:val="solid" w:color="99CCFF" w:fill="auto"/>
          </w:tcPr>
          <w:p w14:paraId="224890D7"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132" w:type="dxa"/>
            <w:tcBorders>
              <w:top w:val="nil"/>
              <w:left w:val="nil"/>
              <w:bottom w:val="nil"/>
              <w:right w:val="nil"/>
            </w:tcBorders>
            <w:shd w:val="solid" w:color="FFFFCC" w:fill="auto"/>
          </w:tcPr>
          <w:p w14:paraId="54E93BCE"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c>
          <w:tcPr>
            <w:tcW w:w="1136" w:type="dxa"/>
            <w:tcBorders>
              <w:top w:val="nil"/>
              <w:left w:val="nil"/>
              <w:bottom w:val="nil"/>
              <w:right w:val="single" w:sz="4" w:space="0" w:color="auto"/>
            </w:tcBorders>
            <w:shd w:val="solid" w:color="FFFFCC" w:fill="auto"/>
          </w:tcPr>
          <w:p w14:paraId="12A8346A"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r>
      <w:tr w:rsidR="00B2567C" w14:paraId="6CED34F7" w14:textId="77777777" w:rsidTr="00607DFE">
        <w:trPr>
          <w:trHeight w:val="290"/>
        </w:trPr>
        <w:tc>
          <w:tcPr>
            <w:tcW w:w="2105" w:type="dxa"/>
            <w:gridSpan w:val="2"/>
            <w:tcBorders>
              <w:top w:val="nil"/>
              <w:left w:val="single" w:sz="4" w:space="0" w:color="auto"/>
              <w:bottom w:val="nil"/>
              <w:right w:val="nil"/>
            </w:tcBorders>
          </w:tcPr>
          <w:p w14:paraId="56FBBE1E" w14:textId="77777777" w:rsidR="00B2567C" w:rsidRPr="00397262" w:rsidRDefault="00B2567C" w:rsidP="00607DFE">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HMX</w:t>
            </w:r>
          </w:p>
        </w:tc>
        <w:tc>
          <w:tcPr>
            <w:tcW w:w="1039" w:type="dxa"/>
            <w:tcBorders>
              <w:top w:val="nil"/>
              <w:left w:val="nil"/>
              <w:bottom w:val="nil"/>
              <w:right w:val="nil"/>
            </w:tcBorders>
            <w:shd w:val="solid" w:color="FFCC99" w:fill="auto"/>
          </w:tcPr>
          <w:p w14:paraId="12B96C74"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0</w:t>
            </w:r>
          </w:p>
        </w:tc>
        <w:tc>
          <w:tcPr>
            <w:tcW w:w="1276" w:type="dxa"/>
            <w:tcBorders>
              <w:top w:val="nil"/>
              <w:left w:val="nil"/>
              <w:bottom w:val="nil"/>
              <w:right w:val="nil"/>
            </w:tcBorders>
            <w:shd w:val="solid" w:color="FFCC99" w:fill="auto"/>
          </w:tcPr>
          <w:p w14:paraId="6E8252AA"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0</w:t>
            </w:r>
          </w:p>
        </w:tc>
        <w:tc>
          <w:tcPr>
            <w:tcW w:w="1134" w:type="dxa"/>
            <w:gridSpan w:val="2"/>
            <w:tcBorders>
              <w:top w:val="nil"/>
              <w:left w:val="nil"/>
              <w:bottom w:val="nil"/>
              <w:right w:val="nil"/>
            </w:tcBorders>
            <w:shd w:val="solid" w:color="99CCFF" w:fill="auto"/>
          </w:tcPr>
          <w:p w14:paraId="18AA2A43"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994" w:type="dxa"/>
            <w:tcBorders>
              <w:top w:val="nil"/>
              <w:left w:val="nil"/>
              <w:bottom w:val="nil"/>
              <w:right w:val="nil"/>
            </w:tcBorders>
            <w:shd w:val="solid" w:color="99CCFF" w:fill="auto"/>
          </w:tcPr>
          <w:p w14:paraId="53241266"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132" w:type="dxa"/>
            <w:tcBorders>
              <w:top w:val="nil"/>
              <w:left w:val="nil"/>
              <w:bottom w:val="nil"/>
              <w:right w:val="nil"/>
            </w:tcBorders>
            <w:shd w:val="solid" w:color="FFFFCC" w:fill="auto"/>
          </w:tcPr>
          <w:p w14:paraId="29E2A687"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136" w:type="dxa"/>
            <w:tcBorders>
              <w:top w:val="nil"/>
              <w:left w:val="nil"/>
              <w:bottom w:val="nil"/>
              <w:right w:val="single" w:sz="4" w:space="0" w:color="auto"/>
            </w:tcBorders>
            <w:shd w:val="solid" w:color="FFFFCC" w:fill="auto"/>
          </w:tcPr>
          <w:p w14:paraId="771B49DA"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r>
      <w:tr w:rsidR="00B2567C" w14:paraId="06BCA645" w14:textId="77777777" w:rsidTr="00607DFE">
        <w:trPr>
          <w:trHeight w:val="290"/>
        </w:trPr>
        <w:tc>
          <w:tcPr>
            <w:tcW w:w="2105" w:type="dxa"/>
            <w:gridSpan w:val="2"/>
            <w:tcBorders>
              <w:top w:val="nil"/>
              <w:left w:val="single" w:sz="4" w:space="0" w:color="auto"/>
              <w:bottom w:val="nil"/>
              <w:right w:val="nil"/>
            </w:tcBorders>
          </w:tcPr>
          <w:p w14:paraId="6315E2D6" w14:textId="77777777" w:rsidR="00B2567C" w:rsidRPr="00397262" w:rsidRDefault="00B2567C" w:rsidP="00607DFE">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2-butoxyethanol</w:t>
            </w:r>
          </w:p>
        </w:tc>
        <w:tc>
          <w:tcPr>
            <w:tcW w:w="1039" w:type="dxa"/>
            <w:tcBorders>
              <w:top w:val="nil"/>
              <w:left w:val="nil"/>
              <w:right w:val="nil"/>
            </w:tcBorders>
            <w:shd w:val="solid" w:color="FFCC99" w:fill="auto"/>
          </w:tcPr>
          <w:p w14:paraId="59AC165D"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0</w:t>
            </w:r>
          </w:p>
        </w:tc>
        <w:tc>
          <w:tcPr>
            <w:tcW w:w="1276" w:type="dxa"/>
            <w:tcBorders>
              <w:top w:val="nil"/>
              <w:left w:val="nil"/>
              <w:bottom w:val="nil"/>
              <w:right w:val="nil"/>
            </w:tcBorders>
            <w:shd w:val="solid" w:color="FFCC99" w:fill="auto"/>
          </w:tcPr>
          <w:p w14:paraId="39E2D9D5"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0</w:t>
            </w:r>
          </w:p>
        </w:tc>
        <w:tc>
          <w:tcPr>
            <w:tcW w:w="1134" w:type="dxa"/>
            <w:gridSpan w:val="2"/>
            <w:tcBorders>
              <w:top w:val="nil"/>
              <w:left w:val="nil"/>
              <w:bottom w:val="nil"/>
              <w:right w:val="nil"/>
            </w:tcBorders>
            <w:shd w:val="solid" w:color="99CCFF" w:fill="auto"/>
          </w:tcPr>
          <w:p w14:paraId="4ECB975F"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994" w:type="dxa"/>
            <w:tcBorders>
              <w:top w:val="nil"/>
              <w:left w:val="nil"/>
              <w:bottom w:val="nil"/>
              <w:right w:val="nil"/>
            </w:tcBorders>
            <w:shd w:val="solid" w:color="99CCFF" w:fill="auto"/>
          </w:tcPr>
          <w:p w14:paraId="737AECED"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132" w:type="dxa"/>
            <w:tcBorders>
              <w:top w:val="nil"/>
              <w:left w:val="nil"/>
              <w:bottom w:val="nil"/>
              <w:right w:val="nil"/>
            </w:tcBorders>
            <w:shd w:val="solid" w:color="FFFFCC" w:fill="auto"/>
          </w:tcPr>
          <w:p w14:paraId="4DE042FF"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c>
          <w:tcPr>
            <w:tcW w:w="1136" w:type="dxa"/>
            <w:tcBorders>
              <w:top w:val="nil"/>
              <w:left w:val="nil"/>
              <w:bottom w:val="nil"/>
              <w:right w:val="single" w:sz="4" w:space="0" w:color="auto"/>
            </w:tcBorders>
            <w:shd w:val="solid" w:color="FFFFCC" w:fill="auto"/>
          </w:tcPr>
          <w:p w14:paraId="2F771711"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r>
      <w:tr w:rsidR="00B2567C" w14:paraId="0A73121E" w14:textId="77777777" w:rsidTr="00607DFE">
        <w:trPr>
          <w:trHeight w:val="290"/>
        </w:trPr>
        <w:tc>
          <w:tcPr>
            <w:tcW w:w="2105" w:type="dxa"/>
            <w:gridSpan w:val="2"/>
            <w:tcBorders>
              <w:top w:val="nil"/>
              <w:left w:val="single" w:sz="4" w:space="0" w:color="auto"/>
              <w:bottom w:val="nil"/>
              <w:right w:val="nil"/>
            </w:tcBorders>
          </w:tcPr>
          <w:p w14:paraId="0E43564C" w14:textId="77777777" w:rsidR="00B2567C" w:rsidRPr="00397262" w:rsidRDefault="00B2567C" w:rsidP="00607DFE">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Bronopol</w:t>
            </w:r>
          </w:p>
        </w:tc>
        <w:tc>
          <w:tcPr>
            <w:tcW w:w="1039" w:type="dxa"/>
            <w:tcBorders>
              <w:top w:val="nil"/>
              <w:left w:val="nil"/>
              <w:bottom w:val="nil"/>
              <w:right w:val="nil"/>
            </w:tcBorders>
            <w:shd w:val="solid" w:color="FFCC99" w:fill="auto"/>
          </w:tcPr>
          <w:p w14:paraId="4852620C"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c>
          <w:tcPr>
            <w:tcW w:w="1276" w:type="dxa"/>
            <w:tcBorders>
              <w:top w:val="nil"/>
              <w:left w:val="nil"/>
              <w:bottom w:val="nil"/>
              <w:right w:val="nil"/>
            </w:tcBorders>
            <w:shd w:val="solid" w:color="FFCC99" w:fill="auto"/>
          </w:tcPr>
          <w:p w14:paraId="1B88484B"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c>
          <w:tcPr>
            <w:tcW w:w="1134" w:type="dxa"/>
            <w:gridSpan w:val="2"/>
            <w:tcBorders>
              <w:top w:val="nil"/>
              <w:left w:val="nil"/>
              <w:bottom w:val="nil"/>
              <w:right w:val="nil"/>
            </w:tcBorders>
            <w:shd w:val="solid" w:color="99CCFF" w:fill="auto"/>
          </w:tcPr>
          <w:p w14:paraId="564A283B"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c>
          <w:tcPr>
            <w:tcW w:w="994" w:type="dxa"/>
            <w:tcBorders>
              <w:top w:val="nil"/>
              <w:left w:val="nil"/>
              <w:bottom w:val="nil"/>
              <w:right w:val="nil"/>
            </w:tcBorders>
            <w:shd w:val="solid" w:color="99CCFF" w:fill="auto"/>
          </w:tcPr>
          <w:p w14:paraId="75F6481B"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c>
          <w:tcPr>
            <w:tcW w:w="1132" w:type="dxa"/>
            <w:tcBorders>
              <w:top w:val="nil"/>
              <w:left w:val="nil"/>
              <w:bottom w:val="nil"/>
              <w:right w:val="nil"/>
            </w:tcBorders>
            <w:shd w:val="solid" w:color="FFFFCC" w:fill="auto"/>
          </w:tcPr>
          <w:p w14:paraId="04392A80"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136" w:type="dxa"/>
            <w:tcBorders>
              <w:top w:val="nil"/>
              <w:left w:val="nil"/>
              <w:bottom w:val="nil"/>
              <w:right w:val="single" w:sz="4" w:space="0" w:color="auto"/>
            </w:tcBorders>
            <w:shd w:val="solid" w:color="FFFFCC" w:fill="auto"/>
          </w:tcPr>
          <w:p w14:paraId="20201930"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r>
      <w:tr w:rsidR="00B2567C" w14:paraId="7F5FF1B0" w14:textId="77777777" w:rsidTr="00607DFE">
        <w:trPr>
          <w:trHeight w:val="290"/>
        </w:trPr>
        <w:tc>
          <w:tcPr>
            <w:tcW w:w="2097" w:type="dxa"/>
            <w:tcBorders>
              <w:top w:val="nil"/>
              <w:left w:val="single" w:sz="4" w:space="0" w:color="auto"/>
              <w:bottom w:val="nil"/>
            </w:tcBorders>
          </w:tcPr>
          <w:p w14:paraId="7B8ACDE7" w14:textId="77777777" w:rsidR="00B2567C" w:rsidRPr="00397262" w:rsidRDefault="00B2567C" w:rsidP="00607DFE">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MCI</w:t>
            </w:r>
          </w:p>
        </w:tc>
        <w:tc>
          <w:tcPr>
            <w:tcW w:w="1047" w:type="dxa"/>
            <w:gridSpan w:val="2"/>
            <w:tcBorders>
              <w:top w:val="nil"/>
              <w:left w:val="nil"/>
              <w:bottom w:val="nil"/>
              <w:right w:val="nil"/>
            </w:tcBorders>
            <w:shd w:val="clear" w:color="auto" w:fill="FFCC99"/>
          </w:tcPr>
          <w:p w14:paraId="170A224A" w14:textId="77777777" w:rsidR="00B2567C" w:rsidRPr="00397262" w:rsidRDefault="00B2567C" w:rsidP="00607DFE">
            <w:pPr>
              <w:autoSpaceDE w:val="0"/>
              <w:autoSpaceDN w:val="0"/>
              <w:adjustRightInd w:val="0"/>
              <w:spacing w:after="0"/>
              <w:jc w:val="center"/>
              <w:rPr>
                <w:rFonts w:ascii="Calibri" w:hAnsi="Calibri" w:cs="Calibri"/>
                <w:b/>
                <w:color w:val="000000"/>
                <w:sz w:val="18"/>
                <w:szCs w:val="18"/>
                <w:lang w:val="en-AU"/>
              </w:rPr>
            </w:pPr>
            <w:r w:rsidRPr="00397262">
              <w:rPr>
                <w:rFonts w:ascii="Calibri" w:hAnsi="Calibri" w:cs="Calibri"/>
                <w:b/>
                <w:color w:val="000000"/>
                <w:sz w:val="18"/>
                <w:szCs w:val="18"/>
                <w:lang w:val="en-AU"/>
              </w:rPr>
              <w:t>0</w:t>
            </w:r>
          </w:p>
        </w:tc>
        <w:tc>
          <w:tcPr>
            <w:tcW w:w="1276" w:type="dxa"/>
            <w:tcBorders>
              <w:top w:val="nil"/>
              <w:left w:val="nil"/>
              <w:bottom w:val="nil"/>
              <w:right w:val="nil"/>
            </w:tcBorders>
            <w:shd w:val="solid" w:color="FFCC99" w:fill="auto"/>
          </w:tcPr>
          <w:p w14:paraId="7AD21EA9"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134" w:type="dxa"/>
            <w:gridSpan w:val="2"/>
            <w:tcBorders>
              <w:top w:val="nil"/>
              <w:left w:val="nil"/>
              <w:bottom w:val="nil"/>
              <w:right w:val="nil"/>
            </w:tcBorders>
            <w:shd w:val="solid" w:color="99CCFF" w:fill="auto"/>
          </w:tcPr>
          <w:p w14:paraId="69EF38EC"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0</w:t>
            </w:r>
          </w:p>
        </w:tc>
        <w:tc>
          <w:tcPr>
            <w:tcW w:w="994" w:type="dxa"/>
            <w:tcBorders>
              <w:top w:val="nil"/>
              <w:left w:val="nil"/>
              <w:bottom w:val="nil"/>
              <w:right w:val="nil"/>
            </w:tcBorders>
            <w:shd w:val="solid" w:color="99CCFF" w:fill="auto"/>
          </w:tcPr>
          <w:p w14:paraId="19679592"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0</w:t>
            </w:r>
          </w:p>
        </w:tc>
        <w:tc>
          <w:tcPr>
            <w:tcW w:w="1132" w:type="dxa"/>
            <w:tcBorders>
              <w:top w:val="nil"/>
              <w:left w:val="nil"/>
              <w:bottom w:val="nil"/>
              <w:right w:val="nil"/>
            </w:tcBorders>
            <w:shd w:val="solid" w:color="FFFFCC" w:fill="auto"/>
          </w:tcPr>
          <w:p w14:paraId="35E1C1BB"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c>
          <w:tcPr>
            <w:tcW w:w="1136" w:type="dxa"/>
            <w:tcBorders>
              <w:top w:val="nil"/>
              <w:left w:val="nil"/>
              <w:bottom w:val="nil"/>
              <w:right w:val="single" w:sz="4" w:space="0" w:color="auto"/>
            </w:tcBorders>
            <w:shd w:val="solid" w:color="FFFFCC" w:fill="auto"/>
          </w:tcPr>
          <w:p w14:paraId="30D1E58C"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0</w:t>
            </w:r>
          </w:p>
        </w:tc>
      </w:tr>
      <w:tr w:rsidR="00B2567C" w14:paraId="59377512" w14:textId="77777777" w:rsidTr="00607DFE">
        <w:trPr>
          <w:trHeight w:val="290"/>
        </w:trPr>
        <w:tc>
          <w:tcPr>
            <w:tcW w:w="2105" w:type="dxa"/>
            <w:gridSpan w:val="2"/>
            <w:tcBorders>
              <w:top w:val="nil"/>
              <w:left w:val="single" w:sz="4" w:space="0" w:color="auto"/>
              <w:bottom w:val="single" w:sz="4" w:space="0" w:color="auto"/>
              <w:right w:val="nil"/>
            </w:tcBorders>
          </w:tcPr>
          <w:p w14:paraId="1EC7F83B" w14:textId="77777777" w:rsidR="00B2567C" w:rsidRPr="00397262" w:rsidRDefault="00B2567C" w:rsidP="00607DFE">
            <w:pPr>
              <w:autoSpaceDE w:val="0"/>
              <w:autoSpaceDN w:val="0"/>
              <w:adjustRightInd w:val="0"/>
              <w:spacing w:after="0"/>
              <w:rPr>
                <w:rFonts w:ascii="Calibri" w:hAnsi="Calibri" w:cs="Calibri"/>
                <w:color w:val="000000"/>
                <w:sz w:val="18"/>
                <w:szCs w:val="18"/>
                <w:lang w:val="en-AU"/>
              </w:rPr>
            </w:pPr>
            <w:r w:rsidRPr="00397262">
              <w:rPr>
                <w:rFonts w:ascii="Calibri" w:hAnsi="Calibri" w:cs="Calibri"/>
                <w:color w:val="000000"/>
                <w:sz w:val="18"/>
                <w:szCs w:val="18"/>
                <w:lang w:val="en-AU"/>
              </w:rPr>
              <w:t>Acrylamide polymer</w:t>
            </w:r>
          </w:p>
        </w:tc>
        <w:tc>
          <w:tcPr>
            <w:tcW w:w="1039" w:type="dxa"/>
            <w:tcBorders>
              <w:top w:val="nil"/>
              <w:left w:val="nil"/>
              <w:bottom w:val="single" w:sz="4" w:space="0" w:color="auto"/>
              <w:right w:val="nil"/>
            </w:tcBorders>
            <w:shd w:val="solid" w:color="FFCC99" w:fill="auto"/>
          </w:tcPr>
          <w:p w14:paraId="788ABCAE"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1</w:t>
            </w:r>
          </w:p>
        </w:tc>
        <w:tc>
          <w:tcPr>
            <w:tcW w:w="1276" w:type="dxa"/>
            <w:tcBorders>
              <w:top w:val="nil"/>
              <w:left w:val="nil"/>
              <w:bottom w:val="single" w:sz="4" w:space="0" w:color="auto"/>
              <w:right w:val="nil"/>
            </w:tcBorders>
            <w:shd w:val="solid" w:color="FFCC99" w:fill="auto"/>
          </w:tcPr>
          <w:p w14:paraId="7D7569D3"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1</w:t>
            </w:r>
          </w:p>
        </w:tc>
        <w:tc>
          <w:tcPr>
            <w:tcW w:w="1134" w:type="dxa"/>
            <w:gridSpan w:val="2"/>
            <w:tcBorders>
              <w:top w:val="nil"/>
              <w:left w:val="nil"/>
              <w:bottom w:val="single" w:sz="4" w:space="0" w:color="auto"/>
              <w:right w:val="nil"/>
            </w:tcBorders>
            <w:shd w:val="solid" w:color="99CCFF" w:fill="auto"/>
          </w:tcPr>
          <w:p w14:paraId="1C69C55B"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1</w:t>
            </w:r>
          </w:p>
        </w:tc>
        <w:tc>
          <w:tcPr>
            <w:tcW w:w="994" w:type="dxa"/>
            <w:tcBorders>
              <w:top w:val="nil"/>
              <w:left w:val="nil"/>
              <w:bottom w:val="single" w:sz="4" w:space="0" w:color="auto"/>
              <w:right w:val="nil"/>
            </w:tcBorders>
            <w:shd w:val="solid" w:color="99CCFF" w:fill="auto"/>
          </w:tcPr>
          <w:p w14:paraId="20C4F7B9"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 xml:space="preserve"> 1</w:t>
            </w:r>
          </w:p>
        </w:tc>
        <w:tc>
          <w:tcPr>
            <w:tcW w:w="1132" w:type="dxa"/>
            <w:tcBorders>
              <w:top w:val="nil"/>
              <w:left w:val="nil"/>
              <w:bottom w:val="single" w:sz="4" w:space="0" w:color="auto"/>
              <w:right w:val="nil"/>
            </w:tcBorders>
            <w:shd w:val="solid" w:color="FFFFCC" w:fill="auto"/>
          </w:tcPr>
          <w:p w14:paraId="3F602882"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c>
          <w:tcPr>
            <w:tcW w:w="1136" w:type="dxa"/>
            <w:tcBorders>
              <w:top w:val="nil"/>
              <w:left w:val="nil"/>
              <w:bottom w:val="single" w:sz="4" w:space="0" w:color="auto"/>
              <w:right w:val="single" w:sz="4" w:space="0" w:color="auto"/>
            </w:tcBorders>
            <w:shd w:val="solid" w:color="FFFFCC" w:fill="auto"/>
          </w:tcPr>
          <w:p w14:paraId="66FED4D2" w14:textId="77777777" w:rsidR="00B2567C" w:rsidRPr="00397262" w:rsidRDefault="00B2567C" w:rsidP="00607DFE">
            <w:pPr>
              <w:autoSpaceDE w:val="0"/>
              <w:autoSpaceDN w:val="0"/>
              <w:adjustRightInd w:val="0"/>
              <w:spacing w:after="0"/>
              <w:jc w:val="center"/>
              <w:rPr>
                <w:rFonts w:ascii="Calibri" w:hAnsi="Calibri" w:cs="Calibri"/>
                <w:b/>
                <w:bCs/>
                <w:color w:val="000000"/>
                <w:sz w:val="18"/>
                <w:szCs w:val="18"/>
                <w:lang w:val="en-AU"/>
              </w:rPr>
            </w:pPr>
            <w:r w:rsidRPr="00397262">
              <w:rPr>
                <w:rFonts w:ascii="Calibri" w:hAnsi="Calibri" w:cs="Calibri"/>
                <w:b/>
                <w:bCs/>
                <w:color w:val="000000"/>
                <w:sz w:val="18"/>
                <w:szCs w:val="18"/>
                <w:lang w:val="en-AU"/>
              </w:rPr>
              <w:t>1</w:t>
            </w:r>
          </w:p>
        </w:tc>
      </w:tr>
    </w:tbl>
    <w:p w14:paraId="089E857B" w14:textId="77393432" w:rsidR="00A1198D" w:rsidRDefault="00A14A5D" w:rsidP="00A14A5D">
      <w:pPr>
        <w:pStyle w:val="Body"/>
        <w:jc w:val="center"/>
      </w:pPr>
      <w:r w:rsidRPr="00A14A5D">
        <w:rPr>
          <w:noProof/>
          <w:lang w:val="en-AU" w:eastAsia="en-AU"/>
        </w:rPr>
        <w:drawing>
          <wp:inline distT="0" distB="0" distL="0" distR="0" wp14:anchorId="36DBDBDB" wp14:editId="32328B37">
            <wp:extent cx="3432759" cy="3350308"/>
            <wp:effectExtent l="0" t="0" r="0" b="2540"/>
            <wp:docPr id="132" name="Picture 132" descr="Chart comparing relative concentration at receptor considering anaerobic biodegradation without sorption (R=1) and with sorption (various Rf values &gt; 1)." title="Fig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3437211" cy="3354653"/>
                    </a:xfrm>
                    <a:prstGeom prst="rect">
                      <a:avLst/>
                    </a:prstGeom>
                    <a:noFill/>
                    <a:ln>
                      <a:noFill/>
                    </a:ln>
                  </pic:spPr>
                </pic:pic>
              </a:graphicData>
            </a:graphic>
          </wp:inline>
        </w:drawing>
      </w:r>
    </w:p>
    <w:p w14:paraId="6894497D" w14:textId="1DFC3F68" w:rsidR="00A14A5D" w:rsidRDefault="00A14A5D" w:rsidP="00A14A5D">
      <w:pPr>
        <w:pStyle w:val="Imagecaption"/>
      </w:pPr>
      <w:bookmarkStart w:id="680" w:name="_Ref467583949"/>
      <w:bookmarkStart w:id="681" w:name="_Toc477347661"/>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19</w:t>
      </w:r>
      <w:r w:rsidR="00254026">
        <w:fldChar w:fldCharType="end"/>
      </w:r>
      <w:bookmarkEnd w:id="680"/>
      <w:r>
        <w:t xml:space="preserve"> Comparison between relative concentration at receptor considering anaerobic biodegradation without sorption (</w:t>
      </w:r>
      <w:r w:rsidRPr="00A14A5D">
        <w:t>R</w:t>
      </w:r>
      <w:r>
        <w:t xml:space="preserve">=1) and with sorption (various </w:t>
      </w:r>
      <w:proofErr w:type="gramStart"/>
      <w:r w:rsidR="007B3DC4" w:rsidRPr="00E6110F">
        <w:t>R</w:t>
      </w:r>
      <w:r w:rsidR="007B3DC4" w:rsidRPr="007B3DC4">
        <w:rPr>
          <w:i w:val="0"/>
          <w:vertAlign w:val="subscript"/>
        </w:rPr>
        <w:t>f</w:t>
      </w:r>
      <w:proofErr w:type="gramEnd"/>
      <w:r w:rsidR="007B3DC4">
        <w:t xml:space="preserve"> </w:t>
      </w:r>
      <w:r>
        <w:t>values &gt; 1). The fraction of organic carbon (</w:t>
      </w:r>
      <w:r w:rsidRPr="00A14A5D">
        <w:t>f</w:t>
      </w:r>
      <w:r w:rsidRPr="00A14A5D">
        <w:rPr>
          <w:i w:val="0"/>
          <w:vertAlign w:val="subscript"/>
        </w:rPr>
        <w:t>OC</w:t>
      </w:r>
      <w:r w:rsidR="009C2D38">
        <w:rPr>
          <w:i w:val="0"/>
          <w:vertAlign w:val="subscript"/>
        </w:rPr>
        <w:t>_r</w:t>
      </w:r>
      <w:r>
        <w:t>) is indicated. Calculations based on minimum anaerobic biodegradation rate for 2-methylphenol.</w:t>
      </w:r>
      <w:bookmarkEnd w:id="681"/>
    </w:p>
    <w:p w14:paraId="2C124604" w14:textId="34EF9553" w:rsidR="00006ACE" w:rsidRDefault="00006ACE" w:rsidP="00006ACE">
      <w:pPr>
        <w:pStyle w:val="Heading3"/>
        <w:numPr>
          <w:ilvl w:val="3"/>
          <w:numId w:val="1"/>
        </w:numPr>
      </w:pPr>
      <w:bookmarkStart w:id="682" w:name="_Ref458951219"/>
      <w:bookmarkStart w:id="683" w:name="_Toc494444664"/>
      <w:r>
        <w:t>Attenuation due to dilution and dispersion</w:t>
      </w:r>
      <w:bookmarkEnd w:id="682"/>
      <w:bookmarkEnd w:id="683"/>
    </w:p>
    <w:p w14:paraId="4CFFED6D" w14:textId="60F60954" w:rsidR="00181692" w:rsidRDefault="00905B24" w:rsidP="0032019F">
      <w:pPr>
        <w:pStyle w:val="Body"/>
      </w:pPr>
      <w:r>
        <w:t>So far</w:t>
      </w:r>
      <w:r w:rsidR="00A72F32">
        <w:t>,</w:t>
      </w:r>
      <w:r>
        <w:t xml:space="preserve"> only the effects of chemical/biological degradation and sorption on chemical concentrations have been accounted for. The third attenuation process that will be included is </w:t>
      </w:r>
      <w:r w:rsidR="0032019F">
        <w:t>the attenuation due to dilution and dispersion in groundwater. For this purpose</w:t>
      </w:r>
      <w:r w:rsidR="00A72F32">
        <w:t>,</w:t>
      </w:r>
      <w:r w:rsidR="0032019F">
        <w:t xml:space="preserve"> the </w:t>
      </w:r>
      <w:r w:rsidR="006A365F">
        <w:t xml:space="preserve">three-dimensional advection-dispersion solute transport model based on the </w:t>
      </w:r>
      <w:r w:rsidR="0032019F">
        <w:t xml:space="preserve">analytical solutions of Leij </w:t>
      </w:r>
      <w:r w:rsidR="00A567B2">
        <w:t>and Bradford</w:t>
      </w:r>
      <w:r w:rsidR="0032019F">
        <w:t xml:space="preserve"> (1994) </w:t>
      </w:r>
      <w:r w:rsidR="006A365F">
        <w:t>is</w:t>
      </w:r>
      <w:r w:rsidR="0032019F">
        <w:t xml:space="preserve"> implemented. Several analytical solutions were reviewed (see Appendix </w:t>
      </w:r>
      <w:r w:rsidR="0064625A">
        <w:t>6</w:t>
      </w:r>
      <w:r w:rsidR="00A567B2">
        <w:t>); the solutions of Leij and Bradford</w:t>
      </w:r>
      <w:r w:rsidR="0032019F">
        <w:t xml:space="preserve"> (1994) were appropriate for three-dimensional advective-dispersive transport</w:t>
      </w:r>
      <w:r w:rsidR="00E50691">
        <w:t>.</w:t>
      </w:r>
      <w:r w:rsidR="0032019F">
        <w:t xml:space="preserve"> </w:t>
      </w:r>
      <w:r w:rsidR="00E50691">
        <w:t>Among the several solutions provided by Leij and Bradford (1994), the</w:t>
      </w:r>
      <w:r w:rsidR="0032019F">
        <w:t xml:space="preserve"> so-called initial value problem boundary condition (IVP) </w:t>
      </w:r>
      <w:r w:rsidR="00E50691">
        <w:t xml:space="preserve">with </w:t>
      </w:r>
      <w:r w:rsidR="0032019F">
        <w:t xml:space="preserve">a </w:t>
      </w:r>
      <w:r w:rsidR="00E50691">
        <w:t xml:space="preserve">parallelepipedal </w:t>
      </w:r>
      <w:r w:rsidR="0032019F">
        <w:t>source of finite duration</w:t>
      </w:r>
      <w:r w:rsidR="00E50691">
        <w:t xml:space="preserve"> in a rectangular coordinate system is most appropriate to represent an initial solute plume soon after it is injected into an aquifer (e.g. </w:t>
      </w:r>
      <w:r w:rsidR="008C03A7">
        <w:t xml:space="preserve">the fraction of the </w:t>
      </w:r>
      <w:r w:rsidR="00E50691">
        <w:t>hydraulic fracturing fluid</w:t>
      </w:r>
      <w:r w:rsidR="008C03A7">
        <w:t xml:space="preserve"> that is not returned to the surface following injection</w:t>
      </w:r>
      <w:r w:rsidR="00E50691">
        <w:t>)</w:t>
      </w:r>
      <w:r w:rsidR="0032019F">
        <w:t xml:space="preserve">. </w:t>
      </w:r>
    </w:p>
    <w:p w14:paraId="3FACA4DF" w14:textId="463D06AA" w:rsidR="002D069F" w:rsidRDefault="0032019F" w:rsidP="0032019F">
      <w:pPr>
        <w:pStyle w:val="Body"/>
      </w:pPr>
      <w:r>
        <w:t xml:space="preserve">The parameters for the </w:t>
      </w:r>
      <w:r w:rsidR="006A365F">
        <w:t xml:space="preserve">solute transport </w:t>
      </w:r>
      <w:r>
        <w:t xml:space="preserve">model are as follows: groundwater velocity </w:t>
      </w:r>
      <w:r w:rsidR="00181692">
        <w:t>was based on particle tracking calculations previously discussed for the Pilliga Sandstone (</w:t>
      </w:r>
      <w:r w:rsidR="00181692" w:rsidRPr="00181692">
        <w:t>see section</w:t>
      </w:r>
      <w:r w:rsidR="00181692">
        <w:t xml:space="preserve"> </w:t>
      </w:r>
      <w:r w:rsidR="00181692">
        <w:fldChar w:fldCharType="begin" w:fldLock="1"/>
      </w:r>
      <w:r w:rsidR="00181692">
        <w:instrText xml:space="preserve"> REF _Ref467594866 \r \h </w:instrText>
      </w:r>
      <w:r w:rsidR="00181692">
        <w:fldChar w:fldCharType="separate"/>
      </w:r>
      <w:r w:rsidR="00335E79">
        <w:t>2.6.4.4</w:t>
      </w:r>
      <w:r w:rsidR="00181692">
        <w:fldChar w:fldCharType="end"/>
      </w:r>
      <w:r w:rsidR="00181692">
        <w:t xml:space="preserve">). The minimum arrival time (10 years) for the minimal transport distance (0.5 km) resulted in a conservative estimate of the particle velocity </w:t>
      </w:r>
      <w:r w:rsidRPr="0032019F">
        <w:rPr>
          <w:i/>
        </w:rPr>
        <w:t>v</w:t>
      </w:r>
      <w:r>
        <w:t xml:space="preserve"> = 0.14 m/day</w:t>
      </w:r>
      <w:r w:rsidR="00181692">
        <w:t xml:space="preserve">. </w:t>
      </w:r>
      <w:r w:rsidR="007E1C58">
        <w:t xml:space="preserve">The effect of slower velocities will also be discussed. </w:t>
      </w:r>
      <w:r w:rsidR="00181692">
        <w:t>Further transport parameters are</w:t>
      </w:r>
      <w:r>
        <w:t xml:space="preserve"> longitudinal dispersion</w:t>
      </w:r>
      <w:r w:rsidR="00181692">
        <w:t xml:space="preserve">, </w:t>
      </w:r>
      <w:r w:rsidR="00181692" w:rsidRPr="00181692">
        <w:rPr>
          <w:i/>
        </w:rPr>
        <w:t>D</w:t>
      </w:r>
      <w:r w:rsidR="00181692" w:rsidRPr="00181692">
        <w:rPr>
          <w:i/>
          <w:vertAlign w:val="subscript"/>
        </w:rPr>
        <w:t>L</w:t>
      </w:r>
      <w:r w:rsidR="00181692">
        <w:t>, assumed to be</w:t>
      </w:r>
      <w:r>
        <w:t xml:space="preserve"> 1 m</w:t>
      </w:r>
      <w:r w:rsidRPr="0032019F">
        <w:rPr>
          <w:vertAlign w:val="superscript"/>
        </w:rPr>
        <w:t>2</w:t>
      </w:r>
      <w:r>
        <w:t xml:space="preserve">/day, </w:t>
      </w:r>
      <w:r w:rsidR="00181692">
        <w:t xml:space="preserve">and the </w:t>
      </w:r>
      <w:r>
        <w:t xml:space="preserve">horizontal </w:t>
      </w:r>
      <w:r w:rsidR="00181692">
        <w:t>(</w:t>
      </w:r>
      <w:r w:rsidR="00181692" w:rsidRPr="00181692">
        <w:rPr>
          <w:i/>
        </w:rPr>
        <w:t>D</w:t>
      </w:r>
      <w:r w:rsidR="00181692" w:rsidRPr="00181692">
        <w:rPr>
          <w:vertAlign w:val="subscript"/>
        </w:rPr>
        <w:t>TH</w:t>
      </w:r>
      <w:r w:rsidR="00181692">
        <w:t xml:space="preserve">) </w:t>
      </w:r>
      <w:r>
        <w:t xml:space="preserve">and vertical </w:t>
      </w:r>
      <w:r w:rsidR="00181692">
        <w:t>(</w:t>
      </w:r>
      <w:r w:rsidR="00181692" w:rsidRPr="00181692">
        <w:rPr>
          <w:i/>
        </w:rPr>
        <w:t>D</w:t>
      </w:r>
      <w:r w:rsidR="00181692" w:rsidRPr="00181692">
        <w:rPr>
          <w:vertAlign w:val="subscript"/>
        </w:rPr>
        <w:t>TV</w:t>
      </w:r>
      <w:r w:rsidR="00181692">
        <w:t xml:space="preserve">) </w:t>
      </w:r>
      <w:r>
        <w:t>transverse dispersion</w:t>
      </w:r>
      <w:r w:rsidR="00181692">
        <w:t xml:space="preserve"> assumed to be</w:t>
      </w:r>
      <w:r>
        <w:t xml:space="preserve"> equal to 0.1 m</w:t>
      </w:r>
      <w:r w:rsidRPr="0032019F">
        <w:rPr>
          <w:vertAlign w:val="superscript"/>
        </w:rPr>
        <w:t>2</w:t>
      </w:r>
      <w:r>
        <w:t>/day</w:t>
      </w:r>
      <w:r w:rsidR="00903450">
        <w:t>.</w:t>
      </w:r>
      <w:r>
        <w:t xml:space="preserve"> </w:t>
      </w:r>
      <w:r w:rsidR="00903450">
        <w:t xml:space="preserve">The corresponding longitudinal dispersivity or dispersion length parameter </w:t>
      </w:r>
      <w:r w:rsidR="00181692">
        <w:t>λ</w:t>
      </w:r>
      <w:r w:rsidR="00181692" w:rsidRPr="00181692">
        <w:rPr>
          <w:vertAlign w:val="subscript"/>
        </w:rPr>
        <w:t>L</w:t>
      </w:r>
      <w:r w:rsidR="00181692">
        <w:t xml:space="preserve"> </w:t>
      </w:r>
      <w:r w:rsidR="00903450">
        <w:t>is 7.14 m</w:t>
      </w:r>
      <w:r w:rsidR="00F34D06">
        <w:t xml:space="preserve"> (</w:t>
      </w:r>
      <w:r w:rsidR="00D2322E">
        <w:t xml:space="preserve">such that </w:t>
      </w:r>
      <w:r w:rsidR="00F34D06" w:rsidRPr="00181692">
        <w:rPr>
          <w:i/>
        </w:rPr>
        <w:t>D</w:t>
      </w:r>
      <w:r w:rsidR="00F34D06" w:rsidRPr="00181692">
        <w:rPr>
          <w:i/>
          <w:vertAlign w:val="subscript"/>
        </w:rPr>
        <w:t>L</w:t>
      </w:r>
      <w:r w:rsidR="00F34D06">
        <w:rPr>
          <w:i/>
          <w:vertAlign w:val="subscript"/>
        </w:rPr>
        <w:t xml:space="preserve"> = </w:t>
      </w:r>
      <w:r w:rsidR="00F34D06">
        <w:t>λ</w:t>
      </w:r>
      <w:r w:rsidR="00F34D06" w:rsidRPr="00181692">
        <w:rPr>
          <w:vertAlign w:val="subscript"/>
        </w:rPr>
        <w:t>L</w:t>
      </w:r>
      <w:r w:rsidR="00F34D06">
        <w:rPr>
          <w:vertAlign w:val="subscript"/>
        </w:rPr>
        <w:t xml:space="preserve"> </w:t>
      </w:r>
      <w:r w:rsidR="00F34D06" w:rsidRPr="00F34D06">
        <w:t>×</w:t>
      </w:r>
      <w:r w:rsidR="00F34D06">
        <w:t xml:space="preserve"> </w:t>
      </w:r>
      <w:r w:rsidR="00F34D06" w:rsidRPr="00F34D06">
        <w:rPr>
          <w:i/>
        </w:rPr>
        <w:t>v</w:t>
      </w:r>
      <w:r w:rsidR="00D2322E">
        <w:rPr>
          <w:i/>
        </w:rPr>
        <w:t>, i.e. 1 = 7.14×0.14</w:t>
      </w:r>
      <w:r w:rsidR="00F34D06">
        <w:t>)</w:t>
      </w:r>
      <w:r w:rsidR="00903450">
        <w:t xml:space="preserve">; this </w:t>
      </w:r>
      <w:r w:rsidR="00D2322E">
        <w:t xml:space="preserve">is </w:t>
      </w:r>
      <w:r w:rsidR="00903450">
        <w:t>slightly smaller than one tenth of a 100 m travel distance (the rule of thumb for selecting dispersivity values in groundwater is about one tenth of the chemical’s travel distance</w:t>
      </w:r>
      <w:r w:rsidR="00181692">
        <w:t xml:space="preserve"> </w:t>
      </w:r>
      <w:r w:rsidR="002D069F">
        <w:t>–</w:t>
      </w:r>
      <w:r w:rsidR="00181692">
        <w:t xml:space="preserve"> </w:t>
      </w:r>
      <w:r w:rsidR="002D069F">
        <w:t>Fetter 1993</w:t>
      </w:r>
      <w:r w:rsidR="00903450">
        <w:t xml:space="preserve">). </w:t>
      </w:r>
      <w:r w:rsidR="00D2322E">
        <w:t>Although travel distances of more than one km are used in the calculations, keeping the dispersivity at this small value i</w:t>
      </w:r>
      <w:r w:rsidR="00ED6740">
        <w:t>s</w:t>
      </w:r>
      <w:r w:rsidR="00D2322E">
        <w:t xml:space="preserve"> conservative (the smaller the dispersivity, the smaller the ‘flattening’ of the chemical breakthrough curve and the higher the maximum concentration at a receptor). </w:t>
      </w:r>
      <w:r w:rsidR="002D069F">
        <w:t>Horizontal transverse dispersivity (λ</w:t>
      </w:r>
      <w:r w:rsidR="002D069F">
        <w:rPr>
          <w:vertAlign w:val="subscript"/>
        </w:rPr>
        <w:t>TH</w:t>
      </w:r>
      <w:r w:rsidR="00E83DD3">
        <w:t xml:space="preserve">, with </w:t>
      </w:r>
      <w:r w:rsidR="00E83DD3" w:rsidRPr="00181692">
        <w:rPr>
          <w:i/>
        </w:rPr>
        <w:t>D</w:t>
      </w:r>
      <w:r w:rsidR="00E83DD3" w:rsidRPr="00181692">
        <w:rPr>
          <w:vertAlign w:val="subscript"/>
        </w:rPr>
        <w:t>TH</w:t>
      </w:r>
      <w:r w:rsidR="002D069F">
        <w:t xml:space="preserve"> </w:t>
      </w:r>
      <w:r w:rsidR="00E83DD3">
        <w:t>= λ</w:t>
      </w:r>
      <w:r w:rsidR="00E83DD3">
        <w:rPr>
          <w:vertAlign w:val="subscript"/>
        </w:rPr>
        <w:t>TH</w:t>
      </w:r>
      <w:r w:rsidR="00E83DD3" w:rsidRPr="00E83DD3">
        <w:t xml:space="preserve"> </w:t>
      </w:r>
      <w:r w:rsidR="00E83DD3" w:rsidRPr="00F34D06">
        <w:t>×</w:t>
      </w:r>
      <w:r w:rsidR="00E83DD3">
        <w:t xml:space="preserve"> </w:t>
      </w:r>
      <w:r w:rsidR="00E83DD3" w:rsidRPr="00F34D06">
        <w:rPr>
          <w:i/>
        </w:rPr>
        <w:t>v</w:t>
      </w:r>
      <w:r w:rsidR="00E83DD3" w:rsidRPr="00E83DD3">
        <w:t xml:space="preserve">) </w:t>
      </w:r>
      <w:r w:rsidR="002D069F">
        <w:t>and vertical transverse dispersivity (λ</w:t>
      </w:r>
      <w:r w:rsidR="002D069F">
        <w:rPr>
          <w:vertAlign w:val="subscript"/>
        </w:rPr>
        <w:t>TV</w:t>
      </w:r>
      <w:r w:rsidR="00E83DD3">
        <w:t xml:space="preserve">, with </w:t>
      </w:r>
      <w:r w:rsidR="00E83DD3" w:rsidRPr="00181692">
        <w:rPr>
          <w:i/>
        </w:rPr>
        <w:t>D</w:t>
      </w:r>
      <w:r w:rsidR="00E83DD3">
        <w:rPr>
          <w:vertAlign w:val="subscript"/>
        </w:rPr>
        <w:t>TV</w:t>
      </w:r>
      <w:r w:rsidR="00E83DD3">
        <w:t xml:space="preserve"> = λ</w:t>
      </w:r>
      <w:r w:rsidR="00E83DD3">
        <w:rPr>
          <w:vertAlign w:val="subscript"/>
        </w:rPr>
        <w:t>TV</w:t>
      </w:r>
      <w:r w:rsidR="00E83DD3" w:rsidRPr="00E83DD3">
        <w:t xml:space="preserve"> </w:t>
      </w:r>
      <w:r w:rsidR="00E83DD3" w:rsidRPr="00F34D06">
        <w:t>×</w:t>
      </w:r>
      <w:r w:rsidR="00E83DD3">
        <w:t xml:space="preserve"> </w:t>
      </w:r>
      <w:r w:rsidR="00E83DD3" w:rsidRPr="00F34D06">
        <w:rPr>
          <w:i/>
        </w:rPr>
        <w:t>v</w:t>
      </w:r>
      <w:r w:rsidR="00E83DD3">
        <w:t xml:space="preserve">) </w:t>
      </w:r>
      <w:r w:rsidR="002D069F">
        <w:t xml:space="preserve">can range from about one-sixth to about one-twentieth of the longitudinal </w:t>
      </w:r>
      <w:r w:rsidR="002D069F" w:rsidRPr="002254C7">
        <w:t>dispersivity (Fetter 1993</w:t>
      </w:r>
      <w:r w:rsidR="002D069F">
        <w:t>); here we assumed λ</w:t>
      </w:r>
      <w:r w:rsidR="002D069F">
        <w:rPr>
          <w:vertAlign w:val="subscript"/>
        </w:rPr>
        <w:t>TH</w:t>
      </w:r>
      <w:r w:rsidR="002D069F">
        <w:t xml:space="preserve"> = λ</w:t>
      </w:r>
      <w:r w:rsidR="002D069F">
        <w:rPr>
          <w:vertAlign w:val="subscript"/>
        </w:rPr>
        <w:t xml:space="preserve">TV= </w:t>
      </w:r>
      <w:r w:rsidR="002D069F">
        <w:t>λ</w:t>
      </w:r>
      <w:r w:rsidR="002D069F" w:rsidRPr="00181692">
        <w:rPr>
          <w:vertAlign w:val="subscript"/>
        </w:rPr>
        <w:t>L</w:t>
      </w:r>
      <w:r w:rsidR="002D069F" w:rsidRPr="002D069F">
        <w:t>/10</w:t>
      </w:r>
      <w:r w:rsidR="00E83DD3">
        <w:t xml:space="preserve"> = 0.714 m</w:t>
      </w:r>
      <w:r w:rsidR="002D069F">
        <w:t xml:space="preserve">. </w:t>
      </w:r>
    </w:p>
    <w:p w14:paraId="79EB2C24" w14:textId="2FA95421" w:rsidR="00B022C4" w:rsidRDefault="00CD3EA1" w:rsidP="00843C49">
      <w:pPr>
        <w:pStyle w:val="Body"/>
      </w:pPr>
      <w:r>
        <w:t>The dimensions of the solute source considered in the advective-dispersive transport depends on a number of factors: the thickness of the coal seam targeted for fracturing, the number of hydraulic fracturing operations per well, and the volume of injected hydraulic fracturing fluid. A final parameter that needs consideration is the density of wells</w:t>
      </w:r>
      <w:r w:rsidR="00B022C4">
        <w:t>; for wells that have a close spacing, the individual fracturing fluid plumes may amalgamate into a single plume</w:t>
      </w:r>
      <w:r>
        <w:t xml:space="preserve">. </w:t>
      </w:r>
    </w:p>
    <w:p w14:paraId="26A0F676" w14:textId="5EA52E14" w:rsidR="00843C49" w:rsidRPr="000D20DB" w:rsidRDefault="00843C49" w:rsidP="00843C49">
      <w:pPr>
        <w:pStyle w:val="Body"/>
        <w:rPr>
          <w:lang w:val="en-AU"/>
        </w:rPr>
      </w:pPr>
      <w:r>
        <w:t>In the Walloon Coal Measures there are up to 45 individual coal seams that may be hydraulically fractured. Their total thickness makes up less than 10% of the 300 m average total thickness of the Walloon Coal Measures (</w:t>
      </w:r>
      <w:r w:rsidR="00CD3EA1">
        <w:t>OGIA</w:t>
      </w:r>
      <w:r>
        <w:t xml:space="preserve"> 2016).  Only the most economical seams are fractured. </w:t>
      </w:r>
      <w:r w:rsidR="00B022C4">
        <w:rPr>
          <w:lang w:val="en-AU"/>
        </w:rPr>
        <w:t xml:space="preserve">The thickness of the seams varies from 0.8 to 6.3 m (Santos 2015). </w:t>
      </w:r>
      <w:r w:rsidR="005E5623">
        <w:rPr>
          <w:lang w:val="en-AU"/>
        </w:rPr>
        <w:t>T</w:t>
      </w:r>
      <w:r w:rsidR="00B022C4">
        <w:rPr>
          <w:lang w:val="en-AU"/>
        </w:rPr>
        <w:t xml:space="preserve">he fractures </w:t>
      </w:r>
      <w:r w:rsidR="008C7ADF">
        <w:rPr>
          <w:lang w:val="en-AU"/>
        </w:rPr>
        <w:t>typically</w:t>
      </w:r>
      <w:r w:rsidR="00B022C4">
        <w:rPr>
          <w:lang w:val="en-AU"/>
        </w:rPr>
        <w:t xml:space="preserve"> propagate up to </w:t>
      </w:r>
      <w:r w:rsidR="00B022C4">
        <w:t>a maximum distance of 1</w:t>
      </w:r>
      <w:r w:rsidR="00B022C4" w:rsidRPr="000D20DB">
        <w:t>00 m</w:t>
      </w:r>
      <w:r w:rsidR="00B022C4">
        <w:t xml:space="preserve"> </w:t>
      </w:r>
      <w:r w:rsidR="008C7ADF">
        <w:t xml:space="preserve">from the well </w:t>
      </w:r>
      <w:r w:rsidR="00B022C4">
        <w:t>(</w:t>
      </w:r>
      <w:r w:rsidR="00B022C4">
        <w:rPr>
          <w:lang w:val="en-AU"/>
        </w:rPr>
        <w:t>Santos 2015</w:t>
      </w:r>
      <w:r w:rsidR="00B022C4">
        <w:t xml:space="preserve">). </w:t>
      </w:r>
      <w:r>
        <w:rPr>
          <w:lang w:val="en-AU"/>
        </w:rPr>
        <w:t>The number of h</w:t>
      </w:r>
      <w:r w:rsidRPr="00036BCF">
        <w:rPr>
          <w:lang w:val="en-AU"/>
        </w:rPr>
        <w:t>ydraulic fracturing operations</w:t>
      </w:r>
      <w:r>
        <w:rPr>
          <w:lang w:val="en-AU"/>
        </w:rPr>
        <w:t xml:space="preserve"> per well</w:t>
      </w:r>
      <w:r w:rsidRPr="00036BCF">
        <w:rPr>
          <w:lang w:val="en-AU"/>
        </w:rPr>
        <w:t xml:space="preserve">, where required, were reported to vary between </w:t>
      </w:r>
      <w:r>
        <w:rPr>
          <w:lang w:val="en-AU"/>
        </w:rPr>
        <w:t>1 </w:t>
      </w:r>
      <w:r w:rsidRPr="00036BCF">
        <w:rPr>
          <w:lang w:val="en-AU"/>
        </w:rPr>
        <w:t>and</w:t>
      </w:r>
      <w:r>
        <w:rPr>
          <w:lang w:val="en-AU"/>
        </w:rPr>
        <w:t> 9 (NICNAS 201</w:t>
      </w:r>
      <w:r w:rsidR="000A133D">
        <w:rPr>
          <w:lang w:val="en-AU"/>
        </w:rPr>
        <w:t>7c</w:t>
      </w:r>
      <w:r>
        <w:rPr>
          <w:lang w:val="en-AU"/>
        </w:rPr>
        <w:t>)</w:t>
      </w:r>
      <w:r w:rsidRPr="00036BCF">
        <w:rPr>
          <w:lang w:val="en-AU"/>
        </w:rPr>
        <w:t>.</w:t>
      </w:r>
      <w:r>
        <w:rPr>
          <w:lang w:val="en-AU"/>
        </w:rPr>
        <w:t xml:space="preserve"> I</w:t>
      </w:r>
      <w:r w:rsidR="00CD3EA1">
        <w:rPr>
          <w:lang w:val="en-AU"/>
        </w:rPr>
        <w:t>n Santos GLNG</w:t>
      </w:r>
      <w:r w:rsidRPr="000D20DB">
        <w:rPr>
          <w:lang w:val="en-AU"/>
        </w:rPr>
        <w:t xml:space="preserve">s’ gas fields </w:t>
      </w:r>
      <w:r>
        <w:rPr>
          <w:lang w:val="en-AU"/>
        </w:rPr>
        <w:t xml:space="preserve">in the Surat Basin </w:t>
      </w:r>
      <w:r w:rsidRPr="000D20DB">
        <w:rPr>
          <w:lang w:val="en-AU"/>
        </w:rPr>
        <w:t>there are betwee</w:t>
      </w:r>
      <w:r>
        <w:rPr>
          <w:lang w:val="en-AU"/>
        </w:rPr>
        <w:t xml:space="preserve">n 3 and 12 such coal seams that receive fracturing (Santos 2015). </w:t>
      </w:r>
      <w:r w:rsidR="00166949">
        <w:rPr>
          <w:lang w:val="en-AU"/>
        </w:rPr>
        <w:t>A range of injection volumes will be considered in the assessment to accommodate such range of conditions that may occur across different injection sites.</w:t>
      </w:r>
    </w:p>
    <w:p w14:paraId="2901CC5E" w14:textId="61649150" w:rsidR="008F2588" w:rsidRDefault="00B022C4" w:rsidP="00843C49">
      <w:pPr>
        <w:pStyle w:val="Body"/>
      </w:pPr>
      <w:r>
        <w:t xml:space="preserve">The cumulative frequency distribution of injected hydraulic fracturing volumes during 2014 across 7 production sites in QLD is shown in </w:t>
      </w:r>
      <w:r>
        <w:fldChar w:fldCharType="begin" w:fldLock="1"/>
      </w:r>
      <w:r>
        <w:instrText xml:space="preserve"> REF _Ref468311220 \h </w:instrText>
      </w:r>
      <w:r>
        <w:fldChar w:fldCharType="separate"/>
      </w:r>
      <w:r w:rsidR="00335E79">
        <w:t xml:space="preserve">Figure </w:t>
      </w:r>
      <w:r w:rsidR="00335E79">
        <w:rPr>
          <w:noProof/>
        </w:rPr>
        <w:t>5</w:t>
      </w:r>
      <w:r w:rsidR="00335E79">
        <w:noBreakHyphen/>
      </w:r>
      <w:r w:rsidR="00335E79">
        <w:rPr>
          <w:noProof/>
        </w:rPr>
        <w:t>20</w:t>
      </w:r>
      <w:r>
        <w:fldChar w:fldCharType="end"/>
      </w:r>
      <w:r>
        <w:t xml:space="preserve"> (each data point represents a separate fracture event</w:t>
      </w:r>
      <w:r w:rsidR="00237725">
        <w:t>; data provided by APPEA</w:t>
      </w:r>
      <w:r w:rsidR="008F2588">
        <w:t xml:space="preserve"> (2015)</w:t>
      </w:r>
      <w:r>
        <w:t xml:space="preserve">). The </w:t>
      </w:r>
      <w:r w:rsidR="00237725">
        <w:t xml:space="preserve">minimum, </w:t>
      </w:r>
      <w:r>
        <w:t xml:space="preserve">mean </w:t>
      </w:r>
      <w:r w:rsidR="00237725">
        <w:t xml:space="preserve">and maximum </w:t>
      </w:r>
      <w:r>
        <w:t xml:space="preserve">injected hydraulic fracturing volumes </w:t>
      </w:r>
      <w:r w:rsidR="00237725">
        <w:t xml:space="preserve">are </w:t>
      </w:r>
      <w:r w:rsidR="00E52BAE">
        <w:t>0.0083 ML</w:t>
      </w:r>
      <w:r w:rsidR="00525BC6">
        <w:t xml:space="preserve"> (18% probability of non-exceedance)</w:t>
      </w:r>
      <w:r w:rsidR="00237725">
        <w:t xml:space="preserve">, </w:t>
      </w:r>
      <w:r>
        <w:t>0.914 ML</w:t>
      </w:r>
      <w:r w:rsidR="00525BC6">
        <w:t xml:space="preserve"> (66% probability of non-exceedance)</w:t>
      </w:r>
      <w:r w:rsidR="00237725">
        <w:t>, and</w:t>
      </w:r>
      <w:r w:rsidR="00E52BAE">
        <w:t xml:space="preserve"> 2 ML</w:t>
      </w:r>
      <w:r w:rsidR="00525BC6">
        <w:t xml:space="preserve"> (99% probability of non-exceedance)</w:t>
      </w:r>
      <w:r w:rsidR="00237725">
        <w:t>, respectively.</w:t>
      </w:r>
      <w:r>
        <w:t xml:space="preserve"> </w:t>
      </w:r>
      <w:r w:rsidR="008F2588">
        <w:rPr>
          <w:lang w:val="en-AU"/>
        </w:rPr>
        <w:t>Additional information on the</w:t>
      </w:r>
      <w:r w:rsidR="008F2588" w:rsidRPr="00036BCF">
        <w:rPr>
          <w:lang w:val="en-AU"/>
        </w:rPr>
        <w:t xml:space="preserve"> volumes of formulations and individual chemicals injected into wells after final dilution for pre</w:t>
      </w:r>
      <w:r w:rsidR="008F2588">
        <w:rPr>
          <w:lang w:val="en-AU"/>
        </w:rPr>
        <w:noBreakHyphen/>
      </w:r>
      <w:r w:rsidR="008F2588" w:rsidRPr="00036BCF">
        <w:rPr>
          <w:lang w:val="en-AU"/>
        </w:rPr>
        <w:t>treatment or h</w:t>
      </w:r>
      <w:r w:rsidR="008F2588">
        <w:rPr>
          <w:lang w:val="en-AU"/>
        </w:rPr>
        <w:t>ydraulic fracturing operations is available from NICNAS (201</w:t>
      </w:r>
      <w:r w:rsidR="003D4440">
        <w:rPr>
          <w:lang w:val="en-AU"/>
        </w:rPr>
        <w:t>7c</w:t>
      </w:r>
      <w:r w:rsidR="008F2588">
        <w:rPr>
          <w:lang w:val="en-AU"/>
        </w:rPr>
        <w:t>).</w:t>
      </w:r>
    </w:p>
    <w:p w14:paraId="4E4DF0CB" w14:textId="77777777" w:rsidR="000A0569" w:rsidRDefault="000A0569" w:rsidP="00843C49">
      <w:pPr>
        <w:pStyle w:val="Body"/>
      </w:pPr>
    </w:p>
    <w:p w14:paraId="00FCDE4C" w14:textId="77777777" w:rsidR="005E5623" w:rsidRDefault="005E5623" w:rsidP="005E5623">
      <w:pPr>
        <w:pStyle w:val="Body"/>
        <w:jc w:val="center"/>
      </w:pPr>
      <w:r w:rsidRPr="006E043B">
        <w:rPr>
          <w:noProof/>
          <w:lang w:val="en-AU" w:eastAsia="en-AU"/>
        </w:rPr>
        <w:drawing>
          <wp:inline distT="0" distB="0" distL="0" distR="0" wp14:anchorId="1F5A1EC7" wp14:editId="6C39291B">
            <wp:extent cx="3413326" cy="3363402"/>
            <wp:effectExtent l="0" t="0" r="0" b="8890"/>
            <wp:docPr id="26" name="Picture 26" descr="Chart of cumulative frequency distribution of injected hydraulic fracturing volumes during 2014 in QLD across 7 production sites." title="Fig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3433141" cy="3382928"/>
                    </a:xfrm>
                    <a:prstGeom prst="rect">
                      <a:avLst/>
                    </a:prstGeom>
                    <a:noFill/>
                    <a:ln>
                      <a:noFill/>
                    </a:ln>
                  </pic:spPr>
                </pic:pic>
              </a:graphicData>
            </a:graphic>
          </wp:inline>
        </w:drawing>
      </w:r>
    </w:p>
    <w:p w14:paraId="7FE8C1A7" w14:textId="59118EBD" w:rsidR="005E5623" w:rsidRDefault="005E5623" w:rsidP="005E5623">
      <w:pPr>
        <w:pStyle w:val="Imagecaption"/>
      </w:pPr>
      <w:bookmarkStart w:id="684" w:name="_Ref468311220"/>
      <w:bookmarkStart w:id="685" w:name="_Toc477347662"/>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20</w:t>
      </w:r>
      <w:r w:rsidR="00254026">
        <w:fldChar w:fldCharType="end"/>
      </w:r>
      <w:bookmarkEnd w:id="684"/>
      <w:r w:rsidRPr="006E043B">
        <w:t xml:space="preserve"> </w:t>
      </w:r>
      <w:r>
        <w:t>Cumulative frequency distribution of injected hydraulic fracturing volumes during 2014 in QLD across 7 production sites (based on data from APPEA).</w:t>
      </w:r>
      <w:bookmarkEnd w:id="685"/>
    </w:p>
    <w:p w14:paraId="3C7F998E" w14:textId="77777777" w:rsidR="005E5623" w:rsidRDefault="005E5623" w:rsidP="00843C49">
      <w:pPr>
        <w:pStyle w:val="Body"/>
      </w:pPr>
    </w:p>
    <w:p w14:paraId="4C088910" w14:textId="111248CF" w:rsidR="00604C9C" w:rsidRDefault="00604C9C" w:rsidP="00604C9C">
      <w:pPr>
        <w:pStyle w:val="Body"/>
      </w:pPr>
      <w:r>
        <w:t>The orientation of the fractured zone depends on the in-situ stress. In a homogeneous and isotropic medium, simple planar h</w:t>
      </w:r>
      <w:r w:rsidRPr="00260A68">
        <w:t>ydraulic fractures</w:t>
      </w:r>
      <w:r>
        <w:t xml:space="preserve"> will grow oriented perpendicular</w:t>
      </w:r>
      <w:r w:rsidRPr="00260A68">
        <w:t xml:space="preserve"> to the minimum principal stress direction. In the production interval of Australian CSG wells, the minimum principal stress direction is typically horizontal therefore fractures will preferentially grow oriented vertically</w:t>
      </w:r>
      <w:r>
        <w:t xml:space="preserve"> as depicted in </w:t>
      </w:r>
      <w:r>
        <w:fldChar w:fldCharType="begin" w:fldLock="1"/>
      </w:r>
      <w:r>
        <w:instrText xml:space="preserve"> REF _Ref469869261 \h </w:instrText>
      </w:r>
      <w:r>
        <w:fldChar w:fldCharType="separate"/>
      </w:r>
      <w:r w:rsidR="00335E79" w:rsidRPr="00BC6F1C">
        <w:t xml:space="preserve">Figure </w:t>
      </w:r>
      <w:r w:rsidR="00335E79">
        <w:rPr>
          <w:noProof/>
        </w:rPr>
        <w:t>5</w:t>
      </w:r>
      <w:r w:rsidR="00335E79">
        <w:noBreakHyphen/>
      </w:r>
      <w:r w:rsidR="00335E79">
        <w:rPr>
          <w:noProof/>
        </w:rPr>
        <w:t>21</w:t>
      </w:r>
      <w:r>
        <w:fldChar w:fldCharType="end"/>
      </w:r>
      <w:r>
        <w:t xml:space="preserve"> (for further details, see Appendix 7)</w:t>
      </w:r>
      <w:r w:rsidRPr="00260A68">
        <w:t>.</w:t>
      </w:r>
      <w:r>
        <w:t xml:space="preserve"> For this reason, a </w:t>
      </w:r>
      <w:r w:rsidR="008C7ADF">
        <w:t xml:space="preserve">vertically-oriented </w:t>
      </w:r>
      <w:r>
        <w:t>rectangular fracture shape will be considered as one of the source zones for solute transport modelling.</w:t>
      </w:r>
    </w:p>
    <w:p w14:paraId="61B03BD9" w14:textId="05CFE37C" w:rsidR="00487067" w:rsidRDefault="00843C49" w:rsidP="0032019F">
      <w:pPr>
        <w:pStyle w:val="Body"/>
        <w:rPr>
          <w:lang w:val="en-AU"/>
        </w:rPr>
      </w:pPr>
      <w:r>
        <w:t xml:space="preserve">Because of the </w:t>
      </w:r>
      <w:r w:rsidR="00090BFF">
        <w:t xml:space="preserve">dependency </w:t>
      </w:r>
      <w:r w:rsidR="005E5623">
        <w:t>of</w:t>
      </w:r>
      <w:r>
        <w:t xml:space="preserve"> the volume and shape of the hydraulic fracturing zone (i.e. the chemical source for transport simulations)</w:t>
      </w:r>
      <w:r w:rsidR="005E4966">
        <w:t xml:space="preserve"> on several parameters</w:t>
      </w:r>
      <w:r>
        <w:t>, several alternative source dimensions will be considered in the calculation of dilution and dispersion.</w:t>
      </w:r>
      <w:r w:rsidR="005E5623">
        <w:t xml:space="preserve"> </w:t>
      </w:r>
      <w:r>
        <w:t xml:space="preserve"> </w:t>
      </w:r>
      <w:r w:rsidR="005E5623">
        <w:rPr>
          <w:lang w:val="en-AU"/>
        </w:rPr>
        <w:t xml:space="preserve">The typical shape of the hydraulic fracturing zone of </w:t>
      </w:r>
      <w:r w:rsidR="00BC6F1C">
        <w:rPr>
          <w:lang w:val="en-AU"/>
        </w:rPr>
        <w:t>a vertical well</w:t>
      </w:r>
      <w:r w:rsidR="005E5623">
        <w:rPr>
          <w:lang w:val="en-AU"/>
        </w:rPr>
        <w:t xml:space="preserve"> is shown in</w:t>
      </w:r>
      <w:r w:rsidR="008C52F1">
        <w:rPr>
          <w:lang w:val="en-AU"/>
        </w:rPr>
        <w:t xml:space="preserve"> </w:t>
      </w:r>
      <w:r w:rsidR="008C52F1">
        <w:rPr>
          <w:lang w:val="en-AU"/>
        </w:rPr>
        <w:fldChar w:fldCharType="begin" w:fldLock="1"/>
      </w:r>
      <w:r w:rsidR="008C52F1">
        <w:rPr>
          <w:lang w:val="en-AU"/>
        </w:rPr>
        <w:instrText xml:space="preserve"> REF _Ref469869261 \h  \* MERGEFORMAT </w:instrText>
      </w:r>
      <w:r w:rsidR="008C52F1">
        <w:rPr>
          <w:lang w:val="en-AU"/>
        </w:rPr>
      </w:r>
      <w:r w:rsidR="008C52F1">
        <w:rPr>
          <w:lang w:val="en-AU"/>
        </w:rPr>
        <w:fldChar w:fldCharType="separate"/>
      </w:r>
      <w:r w:rsidR="00335E79" w:rsidRPr="005761A9">
        <w:rPr>
          <w:lang w:val="en-AU"/>
        </w:rPr>
        <w:t>Figure 5</w:t>
      </w:r>
      <w:r w:rsidR="00335E79" w:rsidRPr="005761A9">
        <w:rPr>
          <w:lang w:val="en-AU"/>
        </w:rPr>
        <w:noBreakHyphen/>
        <w:t>21</w:t>
      </w:r>
      <w:r w:rsidR="008C52F1">
        <w:rPr>
          <w:lang w:val="en-AU"/>
        </w:rPr>
        <w:fldChar w:fldCharType="end"/>
      </w:r>
      <w:r w:rsidR="005E5623">
        <w:rPr>
          <w:lang w:val="en-AU"/>
        </w:rPr>
        <w:t xml:space="preserve">; </w:t>
      </w:r>
      <w:r w:rsidR="00F80D82">
        <w:t>fracture treatments for Australian coal seams are designed and pumped to promote a fracture that will</w:t>
      </w:r>
      <w:r w:rsidR="00604C9C">
        <w:t xml:space="preserve"> develop mainly </w:t>
      </w:r>
      <w:r w:rsidR="00136C28">
        <w:t xml:space="preserve">in a </w:t>
      </w:r>
      <w:r w:rsidR="00604C9C">
        <w:t>vertical</w:t>
      </w:r>
      <w:r w:rsidR="00136C28">
        <w:t xml:space="preserve"> plan</w:t>
      </w:r>
      <w:r w:rsidR="00BC1414">
        <w:t>e</w:t>
      </w:r>
      <w:r w:rsidR="00604C9C">
        <w:t xml:space="preserve"> and</w:t>
      </w:r>
      <w:r w:rsidR="00F80D82">
        <w:t xml:space="preserve"> have a length much greater than the height.</w:t>
      </w:r>
      <w:r w:rsidR="00F80D82">
        <w:rPr>
          <w:lang w:val="en-AU"/>
        </w:rPr>
        <w:t xml:space="preserve"> </w:t>
      </w:r>
      <w:r w:rsidR="00487067">
        <w:t>Based on numerical modelling, estimates of the upper bound of horizontal hydraulic fracture growth are approximately 300</w:t>
      </w:r>
      <w:r w:rsidR="006A365F">
        <w:t xml:space="preserve"> </w:t>
      </w:r>
      <w:r w:rsidR="00487067">
        <w:t>m (i.e. it is considered extremely unlikely a fracture would extend further than this distance from the well; for details, see Appendix 7).</w:t>
      </w:r>
    </w:p>
    <w:p w14:paraId="4CB39FE3" w14:textId="0C009EE5" w:rsidR="00166949" w:rsidRDefault="00F80D82" w:rsidP="0032019F">
      <w:pPr>
        <w:pStyle w:val="Body"/>
        <w:rPr>
          <w:lang w:val="en-AU"/>
        </w:rPr>
      </w:pPr>
      <w:r>
        <w:rPr>
          <w:lang w:val="en-AU"/>
        </w:rPr>
        <w:t>F</w:t>
      </w:r>
      <w:r w:rsidR="005E5623">
        <w:rPr>
          <w:lang w:val="en-AU"/>
        </w:rPr>
        <w:t>or the purpose of solute transp</w:t>
      </w:r>
      <w:r w:rsidR="006A365F">
        <w:rPr>
          <w:lang w:val="en-AU"/>
        </w:rPr>
        <w:t>ort modelling, the shape of the fractured</w:t>
      </w:r>
      <w:r w:rsidR="005E5623">
        <w:rPr>
          <w:lang w:val="en-AU"/>
        </w:rPr>
        <w:t xml:space="preserve"> zone will be simplified into a rectangle or a cube. </w:t>
      </w:r>
      <w:r w:rsidR="00487067">
        <w:rPr>
          <w:lang w:val="en-AU"/>
        </w:rPr>
        <w:t xml:space="preserve">The cube represents the condition where the fracture would extend equally far in all three directions; while this case is considered to have a low likelihood, it presents a useful comparison to the rectangular case as part of a sensitivity analysis. </w:t>
      </w:r>
      <w:r w:rsidR="000D7D82">
        <w:rPr>
          <w:lang w:val="en-AU"/>
        </w:rPr>
        <w:t>A rectangular</w:t>
      </w:r>
      <w:r w:rsidR="002B4EA4">
        <w:rPr>
          <w:lang w:val="en-AU"/>
        </w:rPr>
        <w:t>-</w:t>
      </w:r>
      <w:r w:rsidR="000D7D82">
        <w:rPr>
          <w:lang w:val="en-AU"/>
        </w:rPr>
        <w:t>shaped fracture volume corresponds reasonably well with the theoretical fracture growth models discussed in Appendix 7 (e.g., Figure A7-1). The main difference with the theoretical mode</w:t>
      </w:r>
      <w:r w:rsidR="002C0276">
        <w:rPr>
          <w:lang w:val="en-AU"/>
        </w:rPr>
        <w:t>l</w:t>
      </w:r>
      <w:r w:rsidR="000D7D82">
        <w:rPr>
          <w:lang w:val="en-AU"/>
        </w:rPr>
        <w:t xml:space="preserve"> is in the tip of the fracture, which would not be accurately represented by a rectangle. However, the volume of fluid in the tip is relatively small compared to the remainder of the fracture. Also, the rectangular shape is preferred over other more complex structures because the analytical solutions used have limited flexibility in regards to source geometry representation. </w:t>
      </w:r>
      <w:r w:rsidR="002B4EA4">
        <w:rPr>
          <w:lang w:val="en-AU"/>
        </w:rPr>
        <w:t xml:space="preserve">The sensitivity of use of different source geometries (i.e. cube or rectangle) will be discussed in the subsequent sections. As will become evident, for identical volumes of injected fluid, the difference in dilution/dispersion between different geometries </w:t>
      </w:r>
      <w:r w:rsidR="001409B7">
        <w:rPr>
          <w:lang w:val="en-AU"/>
        </w:rPr>
        <w:t xml:space="preserve">is small; this demonstrates that the dilution is relatively insensitive to the geometry of the source, confirming the previous choice of a rectangular geometry. </w:t>
      </w:r>
      <w:r w:rsidR="005E5623">
        <w:rPr>
          <w:lang w:val="en-AU"/>
        </w:rPr>
        <w:t xml:space="preserve">Three volumes for each shape will be considered: 0.5, 1, and 2 ML. In doing so, a realistic range of volumes is considered in agreement with data presented in </w:t>
      </w:r>
      <w:r w:rsidR="005E5623">
        <w:rPr>
          <w:lang w:val="en-AU"/>
        </w:rPr>
        <w:fldChar w:fldCharType="begin" w:fldLock="1"/>
      </w:r>
      <w:r w:rsidR="005E5623">
        <w:rPr>
          <w:lang w:val="en-AU"/>
        </w:rPr>
        <w:instrText xml:space="preserve"> REF _Ref468311220 \h </w:instrText>
      </w:r>
      <w:r w:rsidR="005E5623">
        <w:rPr>
          <w:lang w:val="en-AU"/>
        </w:rPr>
      </w:r>
      <w:r w:rsidR="005E5623">
        <w:rPr>
          <w:lang w:val="en-AU"/>
        </w:rPr>
        <w:fldChar w:fldCharType="separate"/>
      </w:r>
      <w:r w:rsidR="00335E79">
        <w:t xml:space="preserve">Figure </w:t>
      </w:r>
      <w:r w:rsidR="00335E79">
        <w:rPr>
          <w:noProof/>
        </w:rPr>
        <w:t>5</w:t>
      </w:r>
      <w:r w:rsidR="00335E79">
        <w:noBreakHyphen/>
      </w:r>
      <w:r w:rsidR="00335E79">
        <w:rPr>
          <w:noProof/>
        </w:rPr>
        <w:t>20</w:t>
      </w:r>
      <w:r w:rsidR="005E5623">
        <w:rPr>
          <w:lang w:val="en-AU"/>
        </w:rPr>
        <w:fldChar w:fldCharType="end"/>
      </w:r>
      <w:r w:rsidR="00166949">
        <w:rPr>
          <w:lang w:val="en-AU"/>
        </w:rPr>
        <w:t>; in this way the effect of using different injection volumes within and across sites is equally evaluated, albeit in a simplified manner</w:t>
      </w:r>
      <w:r w:rsidR="005E5623">
        <w:rPr>
          <w:lang w:val="en-AU"/>
        </w:rPr>
        <w:t xml:space="preserve">. </w:t>
      </w:r>
    </w:p>
    <w:p w14:paraId="6EA02E2C" w14:textId="53E624F9" w:rsidR="00C64DD1" w:rsidRDefault="005E5623" w:rsidP="0032019F">
      <w:pPr>
        <w:pStyle w:val="Body"/>
      </w:pPr>
      <w:r>
        <w:rPr>
          <w:lang w:val="en-AU"/>
        </w:rPr>
        <w:t xml:space="preserve">The </w:t>
      </w:r>
      <w:r w:rsidR="00402163">
        <w:rPr>
          <w:lang w:val="en-AU"/>
        </w:rPr>
        <w:t xml:space="preserve">cube will have three different dimensions: </w:t>
      </w:r>
      <w:r w:rsidR="00BC6F1C">
        <w:rPr>
          <w:lang w:val="en-AU"/>
        </w:rPr>
        <w:t>7.94</w:t>
      </w:r>
      <w:r w:rsidR="006A365F">
        <w:rPr>
          <w:lang w:val="en-AU"/>
        </w:rPr>
        <w:t xml:space="preserve"> </w:t>
      </w:r>
      <w:r w:rsidR="00BC6F1C">
        <w:t>x</w:t>
      </w:r>
      <w:r w:rsidR="006A365F">
        <w:t xml:space="preserve"> </w:t>
      </w:r>
      <w:r w:rsidR="00BC6F1C">
        <w:rPr>
          <w:lang w:val="en-AU"/>
        </w:rPr>
        <w:t>7.94</w:t>
      </w:r>
      <w:r w:rsidR="006A365F">
        <w:rPr>
          <w:lang w:val="en-AU"/>
        </w:rPr>
        <w:t xml:space="preserve"> </w:t>
      </w:r>
      <w:r w:rsidR="00BC6F1C">
        <w:t>x</w:t>
      </w:r>
      <w:r w:rsidR="006A365F">
        <w:t xml:space="preserve"> </w:t>
      </w:r>
      <w:r w:rsidR="00BC6F1C">
        <w:t>7.94</w:t>
      </w:r>
      <w:r w:rsidR="00BC6F1C" w:rsidRPr="00D440C3">
        <w:t xml:space="preserve"> </w:t>
      </w:r>
      <w:r w:rsidR="00BC6F1C">
        <w:t>m</w:t>
      </w:r>
      <w:r w:rsidR="00BC6F1C" w:rsidRPr="00D440C3">
        <w:rPr>
          <w:vertAlign w:val="superscript"/>
        </w:rPr>
        <w:t>3</w:t>
      </w:r>
      <w:r w:rsidR="00BC6F1C">
        <w:rPr>
          <w:lang w:val="en-AU"/>
        </w:rPr>
        <w:t xml:space="preserve"> (</w:t>
      </w:r>
      <w:r w:rsidR="00997EC1">
        <w:rPr>
          <w:lang w:val="en-AU"/>
        </w:rPr>
        <w:t xml:space="preserve">type C-1, </w:t>
      </w:r>
      <w:r w:rsidR="00BC6F1C">
        <w:rPr>
          <w:lang w:val="en-AU"/>
        </w:rPr>
        <w:t xml:space="preserve">0.5 ML), </w:t>
      </w:r>
      <w:r w:rsidR="00402163">
        <w:t>10</w:t>
      </w:r>
      <w:r w:rsidR="006A365F">
        <w:t xml:space="preserve"> </w:t>
      </w:r>
      <w:r w:rsidR="00402163">
        <w:t>x</w:t>
      </w:r>
      <w:r w:rsidR="006A365F">
        <w:t xml:space="preserve"> </w:t>
      </w:r>
      <w:r w:rsidR="00402163">
        <w:t>10</w:t>
      </w:r>
      <w:r w:rsidR="006A365F">
        <w:t xml:space="preserve"> </w:t>
      </w:r>
      <w:r w:rsidR="00402163">
        <w:t>x</w:t>
      </w:r>
      <w:r w:rsidR="006A365F">
        <w:t xml:space="preserve"> </w:t>
      </w:r>
      <w:r w:rsidR="00402163">
        <w:t>10 m</w:t>
      </w:r>
      <w:r w:rsidR="00D440C3" w:rsidRPr="00D440C3">
        <w:rPr>
          <w:vertAlign w:val="superscript"/>
        </w:rPr>
        <w:t>3</w:t>
      </w:r>
      <w:r w:rsidR="00402163">
        <w:rPr>
          <w:lang w:val="en-AU"/>
        </w:rPr>
        <w:t xml:space="preserve"> (</w:t>
      </w:r>
      <w:r w:rsidR="00997EC1">
        <w:rPr>
          <w:lang w:val="en-AU"/>
        </w:rPr>
        <w:t xml:space="preserve">type C-2, </w:t>
      </w:r>
      <w:r w:rsidR="00D440C3">
        <w:t>10</w:t>
      </w:r>
      <w:r w:rsidR="00D440C3" w:rsidRPr="006E043B">
        <w:rPr>
          <w:vertAlign w:val="superscript"/>
        </w:rPr>
        <w:t>3</w:t>
      </w:r>
      <w:r w:rsidR="00D440C3">
        <w:t xml:space="preserve"> m</w:t>
      </w:r>
      <w:r w:rsidR="00D440C3" w:rsidRPr="006E043B">
        <w:rPr>
          <w:vertAlign w:val="superscript"/>
        </w:rPr>
        <w:t>3</w:t>
      </w:r>
      <w:r w:rsidR="00D440C3">
        <w:t xml:space="preserve"> or 10</w:t>
      </w:r>
      <w:r w:rsidR="00D440C3" w:rsidRPr="006E043B">
        <w:rPr>
          <w:vertAlign w:val="superscript"/>
        </w:rPr>
        <w:t>6</w:t>
      </w:r>
      <w:r w:rsidR="00D440C3">
        <w:t xml:space="preserve"> L or 1 ML</w:t>
      </w:r>
      <w:r w:rsidR="00402163">
        <w:rPr>
          <w:lang w:val="en-AU"/>
        </w:rPr>
        <w:t>)</w:t>
      </w:r>
      <w:r w:rsidR="00D440C3">
        <w:rPr>
          <w:lang w:val="en-AU"/>
        </w:rPr>
        <w:t xml:space="preserve">, and </w:t>
      </w:r>
      <w:r w:rsidR="00D440C3">
        <w:t>12.6</w:t>
      </w:r>
      <w:r w:rsidR="006A365F">
        <w:t xml:space="preserve"> </w:t>
      </w:r>
      <w:r w:rsidR="00D440C3">
        <w:t>x</w:t>
      </w:r>
      <w:r w:rsidR="006A365F">
        <w:t xml:space="preserve"> </w:t>
      </w:r>
      <w:r w:rsidR="00D440C3">
        <w:t>12.6</w:t>
      </w:r>
      <w:r w:rsidR="006A365F">
        <w:t xml:space="preserve"> </w:t>
      </w:r>
      <w:r w:rsidR="00D440C3">
        <w:t>x</w:t>
      </w:r>
      <w:r w:rsidR="006A365F">
        <w:t xml:space="preserve"> </w:t>
      </w:r>
      <w:r w:rsidR="00D440C3">
        <w:t>12.6 m</w:t>
      </w:r>
      <w:r w:rsidR="00D440C3" w:rsidRPr="00D440C3">
        <w:rPr>
          <w:vertAlign w:val="superscript"/>
        </w:rPr>
        <w:t>3</w:t>
      </w:r>
      <w:r w:rsidR="00D440C3">
        <w:rPr>
          <w:lang w:val="en-AU"/>
        </w:rPr>
        <w:t xml:space="preserve"> (</w:t>
      </w:r>
      <w:r w:rsidR="00997EC1">
        <w:rPr>
          <w:lang w:val="en-AU"/>
        </w:rPr>
        <w:t xml:space="preserve">type C-3, </w:t>
      </w:r>
      <w:r w:rsidR="00D440C3">
        <w:rPr>
          <w:lang w:val="en-AU"/>
        </w:rPr>
        <w:t>2 ML). The</w:t>
      </w:r>
      <w:r w:rsidR="00402163">
        <w:rPr>
          <w:lang w:val="en-AU"/>
        </w:rPr>
        <w:t xml:space="preserve"> </w:t>
      </w:r>
      <w:r>
        <w:rPr>
          <w:lang w:val="en-AU"/>
        </w:rPr>
        <w:t xml:space="preserve">rectangle will </w:t>
      </w:r>
      <w:r w:rsidR="00D440C3">
        <w:rPr>
          <w:lang w:val="en-AU"/>
        </w:rPr>
        <w:t xml:space="preserve">also </w:t>
      </w:r>
      <w:r>
        <w:rPr>
          <w:lang w:val="en-AU"/>
        </w:rPr>
        <w:t xml:space="preserve">have </w:t>
      </w:r>
      <w:r w:rsidR="00D440C3">
        <w:rPr>
          <w:lang w:val="en-AU"/>
        </w:rPr>
        <w:t xml:space="preserve">three different </w:t>
      </w:r>
      <w:r w:rsidR="006F5C9F">
        <w:rPr>
          <w:lang w:val="en-AU"/>
        </w:rPr>
        <w:t>dimensions</w:t>
      </w:r>
      <w:r w:rsidR="00D440C3">
        <w:rPr>
          <w:lang w:val="en-AU"/>
        </w:rPr>
        <w:t>: 25</w:t>
      </w:r>
      <w:r w:rsidR="00D440C3" w:rsidRPr="00D440C3">
        <w:t xml:space="preserve"> </w:t>
      </w:r>
      <w:r w:rsidR="00D440C3">
        <w:t xml:space="preserve">x </w:t>
      </w:r>
      <w:r w:rsidR="00997EC1">
        <w:t>5</w:t>
      </w:r>
      <w:r w:rsidR="00D440C3" w:rsidRPr="00D440C3">
        <w:t xml:space="preserve"> </w:t>
      </w:r>
      <w:r w:rsidR="00D440C3">
        <w:t>x</w:t>
      </w:r>
      <w:r w:rsidR="006F5C9F">
        <w:rPr>
          <w:lang w:val="en-AU"/>
        </w:rPr>
        <w:t xml:space="preserve"> </w:t>
      </w:r>
      <w:r w:rsidR="00997EC1">
        <w:rPr>
          <w:lang w:val="en-AU"/>
        </w:rPr>
        <w:t>4</w:t>
      </w:r>
      <w:r w:rsidR="00D440C3">
        <w:rPr>
          <w:lang w:val="en-AU"/>
        </w:rPr>
        <w:t xml:space="preserve"> </w:t>
      </w:r>
      <w:r w:rsidR="00D440C3">
        <w:t>m</w:t>
      </w:r>
      <w:r w:rsidR="00D440C3" w:rsidRPr="00D440C3">
        <w:rPr>
          <w:vertAlign w:val="superscript"/>
        </w:rPr>
        <w:t>3</w:t>
      </w:r>
      <w:r w:rsidR="00D440C3">
        <w:rPr>
          <w:lang w:val="en-AU"/>
        </w:rPr>
        <w:t xml:space="preserve"> (length </w:t>
      </w:r>
      <w:r w:rsidR="00D440C3">
        <w:t>x</w:t>
      </w:r>
      <w:r w:rsidR="00D440C3">
        <w:rPr>
          <w:lang w:val="en-AU"/>
        </w:rPr>
        <w:t xml:space="preserve"> height </w:t>
      </w:r>
      <w:r w:rsidR="00D440C3">
        <w:t>x width) (</w:t>
      </w:r>
      <w:r w:rsidR="00997EC1">
        <w:rPr>
          <w:lang w:val="en-AU"/>
        </w:rPr>
        <w:t xml:space="preserve">type R-1, </w:t>
      </w:r>
      <w:r w:rsidR="00D440C3">
        <w:t xml:space="preserve">0.5 ML), </w:t>
      </w:r>
      <w:r w:rsidR="00D440C3">
        <w:rPr>
          <w:lang w:val="en-AU"/>
        </w:rPr>
        <w:t>50</w:t>
      </w:r>
      <w:r w:rsidR="00D440C3" w:rsidRPr="00D440C3">
        <w:t xml:space="preserve"> </w:t>
      </w:r>
      <w:r w:rsidR="00D440C3">
        <w:t>x 1</w:t>
      </w:r>
      <w:r w:rsidR="00997EC1">
        <w:t>0</w:t>
      </w:r>
      <w:r w:rsidR="00D440C3" w:rsidRPr="00D440C3">
        <w:t xml:space="preserve"> </w:t>
      </w:r>
      <w:r w:rsidR="00D440C3">
        <w:t>x</w:t>
      </w:r>
      <w:r w:rsidR="00D440C3">
        <w:rPr>
          <w:lang w:val="en-AU"/>
        </w:rPr>
        <w:t xml:space="preserve"> 2 </w:t>
      </w:r>
      <w:r w:rsidR="00D440C3">
        <w:t>m</w:t>
      </w:r>
      <w:r w:rsidR="00D440C3" w:rsidRPr="00D440C3">
        <w:rPr>
          <w:vertAlign w:val="superscript"/>
        </w:rPr>
        <w:t>3</w:t>
      </w:r>
      <w:r w:rsidR="00D440C3">
        <w:t xml:space="preserve"> (</w:t>
      </w:r>
      <w:r w:rsidR="00997EC1">
        <w:rPr>
          <w:lang w:val="en-AU"/>
        </w:rPr>
        <w:t xml:space="preserve">type R-2, </w:t>
      </w:r>
      <w:r w:rsidR="00D440C3">
        <w:t xml:space="preserve">1 ML), </w:t>
      </w:r>
      <w:r w:rsidR="00E474FA">
        <w:t>and 100</w:t>
      </w:r>
      <w:r w:rsidR="00D440C3" w:rsidRPr="00D440C3">
        <w:t xml:space="preserve"> </w:t>
      </w:r>
      <w:r w:rsidR="00D440C3">
        <w:t>x 1</w:t>
      </w:r>
      <w:r w:rsidR="00997EC1">
        <w:t>0</w:t>
      </w:r>
      <w:r w:rsidR="00D440C3" w:rsidRPr="00D440C3">
        <w:t xml:space="preserve"> </w:t>
      </w:r>
      <w:r w:rsidR="00D440C3">
        <w:t>x</w:t>
      </w:r>
      <w:r w:rsidR="00D440C3">
        <w:rPr>
          <w:lang w:val="en-AU"/>
        </w:rPr>
        <w:t xml:space="preserve"> 2 </w:t>
      </w:r>
      <w:r w:rsidR="00D440C3">
        <w:t>m</w:t>
      </w:r>
      <w:r w:rsidR="00D440C3" w:rsidRPr="00D440C3">
        <w:rPr>
          <w:vertAlign w:val="superscript"/>
        </w:rPr>
        <w:t>3</w:t>
      </w:r>
      <w:r>
        <w:rPr>
          <w:lang w:val="en-AU"/>
        </w:rPr>
        <w:t xml:space="preserve"> </w:t>
      </w:r>
      <w:r w:rsidR="00D440C3">
        <w:rPr>
          <w:lang w:val="en-AU"/>
        </w:rPr>
        <w:t>(</w:t>
      </w:r>
      <w:r w:rsidR="00997EC1">
        <w:rPr>
          <w:lang w:val="en-AU"/>
        </w:rPr>
        <w:t xml:space="preserve">type R-3, </w:t>
      </w:r>
      <w:r w:rsidR="00D440C3">
        <w:rPr>
          <w:lang w:val="en-AU"/>
        </w:rPr>
        <w:t>2 ML).</w:t>
      </w:r>
      <w:r w:rsidR="00BC6F1C">
        <w:rPr>
          <w:lang w:val="en-AU"/>
        </w:rPr>
        <w:t xml:space="preserve"> </w:t>
      </w:r>
      <w:r w:rsidR="00BC6F1C">
        <w:t>The calculations assume, conservatively, that all hydraulic fracturing fluid remains in the subsurface. In this way the uncertainties about the fraction of hydraulic fracturing fluid that flows back to the surface as flowback and produced water is avoided.</w:t>
      </w:r>
    </w:p>
    <w:p w14:paraId="43F253B2" w14:textId="77777777" w:rsidR="001409B7" w:rsidRDefault="001409B7" w:rsidP="0032019F">
      <w:pPr>
        <w:pStyle w:val="Body"/>
        <w:rPr>
          <w:lang w:val="en-AU"/>
        </w:rPr>
      </w:pPr>
    </w:p>
    <w:p w14:paraId="2DF64764" w14:textId="19F0379C" w:rsidR="00843C49" w:rsidRDefault="00425FDB" w:rsidP="00C64DD1">
      <w:pPr>
        <w:pStyle w:val="Body"/>
        <w:jc w:val="center"/>
      </w:pPr>
      <w:r>
        <w:rPr>
          <w:noProof/>
          <w:lang w:val="en-AU" w:eastAsia="en-AU"/>
        </w:rPr>
        <w:t>Figure</w:t>
      </w:r>
      <w:r w:rsidR="00997EC1" w:rsidRPr="00997EC1">
        <w:rPr>
          <w:noProof/>
          <w:lang w:val="en-AU" w:eastAsia="en-AU"/>
        </w:rPr>
        <w:drawing>
          <wp:inline distT="0" distB="0" distL="0" distR="0" wp14:anchorId="1AE49FC5" wp14:editId="71E1FEED">
            <wp:extent cx="5656476" cy="3399366"/>
            <wp:effectExtent l="0" t="0" r="1905" b="0"/>
            <wp:docPr id="32" name="Picture 32" descr="Schematic diagram of a fracture zone for a vertical, cubic and retangular source zone." title="Fig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5714778" cy="3434404"/>
                    </a:xfrm>
                    <a:prstGeom prst="rect">
                      <a:avLst/>
                    </a:prstGeom>
                    <a:noFill/>
                    <a:ln>
                      <a:noFill/>
                    </a:ln>
                  </pic:spPr>
                </pic:pic>
              </a:graphicData>
            </a:graphic>
          </wp:inline>
        </w:drawing>
      </w:r>
    </w:p>
    <w:p w14:paraId="3B57B663" w14:textId="4FE55A60" w:rsidR="00843C49" w:rsidRPr="00BC6F1C" w:rsidRDefault="00843C49" w:rsidP="00BC6F1C">
      <w:pPr>
        <w:pStyle w:val="Imagecaption"/>
      </w:pPr>
      <w:bookmarkStart w:id="686" w:name="_Ref469869261"/>
      <w:bookmarkStart w:id="687" w:name="_Toc477347663"/>
      <w:r w:rsidRPr="00BC6F1C">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21</w:t>
      </w:r>
      <w:r w:rsidR="00254026">
        <w:fldChar w:fldCharType="end"/>
      </w:r>
      <w:bookmarkEnd w:id="686"/>
      <w:r w:rsidR="00FF20B2" w:rsidRPr="00BC6F1C">
        <w:t xml:space="preserve"> Schematic of fracture zone for a vertical well (left). Cubic (middle) and rectangular (right) source zone used for transport modelling.</w:t>
      </w:r>
      <w:r w:rsidR="00F72D24">
        <w:t xml:space="preserve"> Dimensions are not to scale.</w:t>
      </w:r>
      <w:bookmarkEnd w:id="687"/>
    </w:p>
    <w:p w14:paraId="337F0C2B" w14:textId="4AE184E8" w:rsidR="006E043B" w:rsidRDefault="006E043B" w:rsidP="0032019F">
      <w:pPr>
        <w:pStyle w:val="Body"/>
      </w:pPr>
    </w:p>
    <w:p w14:paraId="6EFB5551" w14:textId="60556630" w:rsidR="00B541DB" w:rsidRDefault="006E043B" w:rsidP="0032019F">
      <w:pPr>
        <w:pStyle w:val="Body"/>
      </w:pPr>
      <w:r>
        <w:t>The</w:t>
      </w:r>
      <w:r w:rsidR="0032019F">
        <w:t xml:space="preserve"> initial source concentration is set at a hypothetical value of 1.</w:t>
      </w:r>
      <w:r w:rsidR="00B541DB">
        <w:t xml:space="preserve"> A schematic representation of the </w:t>
      </w:r>
      <w:r w:rsidR="00997EC1">
        <w:t xml:space="preserve">type C-1 </w:t>
      </w:r>
      <w:r w:rsidR="00B541DB">
        <w:t>source conditions and the calculated solute breakthrough curves at increasing dis</w:t>
      </w:r>
      <w:r w:rsidR="001A2849">
        <w:t>ta</w:t>
      </w:r>
      <w:r w:rsidR="00B541DB">
        <w:t>nc</w:t>
      </w:r>
      <w:r w:rsidR="001A2849">
        <w:t>e</w:t>
      </w:r>
      <w:r w:rsidR="00B541DB">
        <w:t xml:space="preserve">s from the source (downstream) is given in </w:t>
      </w:r>
      <w:r w:rsidR="00F8294E">
        <w:fldChar w:fldCharType="begin" w:fldLock="1"/>
      </w:r>
      <w:r w:rsidR="00F8294E">
        <w:instrText xml:space="preserve"> REF _Ref454471574 \h </w:instrText>
      </w:r>
      <w:r w:rsidR="00F8294E">
        <w:fldChar w:fldCharType="separate"/>
      </w:r>
      <w:r w:rsidR="00335E79">
        <w:t xml:space="preserve">Figure </w:t>
      </w:r>
      <w:r w:rsidR="00335E79">
        <w:rPr>
          <w:noProof/>
        </w:rPr>
        <w:t>5</w:t>
      </w:r>
      <w:r w:rsidR="00335E79">
        <w:noBreakHyphen/>
      </w:r>
      <w:r w:rsidR="00335E79">
        <w:rPr>
          <w:noProof/>
        </w:rPr>
        <w:t>22</w:t>
      </w:r>
      <w:r w:rsidR="00F8294E">
        <w:fldChar w:fldCharType="end"/>
      </w:r>
      <w:r w:rsidR="00B541DB">
        <w:t>.</w:t>
      </w:r>
      <w:r w:rsidR="009364CC">
        <w:t xml:space="preserve"> A summary of the calculated attenuation factors (DAF = 1/maximum concentration) is provided in </w:t>
      </w:r>
      <w:r w:rsidR="009364CC">
        <w:fldChar w:fldCharType="begin" w:fldLock="1"/>
      </w:r>
      <w:r w:rsidR="009364CC">
        <w:instrText xml:space="preserve"> REF _Ref470161918 \h </w:instrText>
      </w:r>
      <w:r w:rsidR="009364CC">
        <w:fldChar w:fldCharType="separate"/>
      </w:r>
      <w:r w:rsidR="00335E79">
        <w:t xml:space="preserve">Table </w:t>
      </w:r>
      <w:r w:rsidR="00335E79">
        <w:rPr>
          <w:noProof/>
        </w:rPr>
        <w:t>5</w:t>
      </w:r>
      <w:r w:rsidR="00335E79">
        <w:noBreakHyphen/>
      </w:r>
      <w:r w:rsidR="00335E79">
        <w:rPr>
          <w:noProof/>
        </w:rPr>
        <w:t>16</w:t>
      </w:r>
      <w:r w:rsidR="009364CC">
        <w:fldChar w:fldCharType="end"/>
      </w:r>
      <w:r w:rsidR="009364CC">
        <w:t xml:space="preserve"> for the two source types (rectangular and cubic). </w:t>
      </w:r>
      <w:r w:rsidR="0064712E">
        <w:t>Calculations will consider at least the following travel distances: 500 m, 1,400 m and 3,500 m (minimu</w:t>
      </w:r>
      <w:r w:rsidR="00EC210F">
        <w:t>m</w:t>
      </w:r>
      <w:r w:rsidR="0064712E">
        <w:t xml:space="preserve">, mean, and maximum particle travel distances from </w:t>
      </w:r>
      <w:r w:rsidR="0064712E">
        <w:fldChar w:fldCharType="begin" w:fldLock="1"/>
      </w:r>
      <w:r w:rsidR="0064712E">
        <w:instrText xml:space="preserve"> REF _Ref454384797 \h  \* MERGEFORMAT </w:instrText>
      </w:r>
      <w:r w:rsidR="0064712E">
        <w:fldChar w:fldCharType="separate"/>
      </w:r>
      <w:r w:rsidR="00335E79" w:rsidRPr="00DA539C">
        <w:t xml:space="preserve">Table </w:t>
      </w:r>
      <w:r w:rsidR="00335E79">
        <w:t>2</w:t>
      </w:r>
      <w:r w:rsidR="00335E79">
        <w:noBreakHyphen/>
        <w:t>24</w:t>
      </w:r>
      <w:r w:rsidR="0064712E">
        <w:fldChar w:fldCharType="end"/>
      </w:r>
      <w:r w:rsidR="0064712E">
        <w:t>); intermediate distances will also be considered to obtain a more complete understanding of the effects of dilution and dispersion with increasing distances.</w:t>
      </w:r>
      <w:r w:rsidR="007C4BE1">
        <w:t xml:space="preserve"> </w:t>
      </w:r>
      <w:r w:rsidR="007C4BE1">
        <w:fldChar w:fldCharType="begin" w:fldLock="1"/>
      </w:r>
      <w:r w:rsidR="007C4BE1">
        <w:instrText xml:space="preserve"> REF _Ref476605456 \h </w:instrText>
      </w:r>
      <w:r w:rsidR="007C4BE1">
        <w:fldChar w:fldCharType="separate"/>
      </w:r>
      <w:r w:rsidR="007C4BE1">
        <w:t xml:space="preserve">Table </w:t>
      </w:r>
      <w:r w:rsidR="007C4BE1">
        <w:rPr>
          <w:noProof/>
        </w:rPr>
        <w:t>5</w:t>
      </w:r>
      <w:r w:rsidR="007C4BE1">
        <w:noBreakHyphen/>
      </w:r>
      <w:r w:rsidR="007C4BE1">
        <w:rPr>
          <w:noProof/>
        </w:rPr>
        <w:t>16</w:t>
      </w:r>
      <w:r w:rsidR="007C4BE1">
        <w:fldChar w:fldCharType="end"/>
      </w:r>
      <w:r w:rsidR="007C4BE1">
        <w:t xml:space="preserve"> can be used as a simple screening tool in chemical risk and/or environmental impact assesments.</w:t>
      </w:r>
    </w:p>
    <w:p w14:paraId="30C55B1D" w14:textId="6E1693C4" w:rsidR="00F8294E" w:rsidRDefault="00F8294E" w:rsidP="0032019F">
      <w:pPr>
        <w:pStyle w:val="Body"/>
      </w:pPr>
      <w:r>
        <w:t xml:space="preserve">On the basis of these </w:t>
      </w:r>
      <w:r w:rsidR="00093E09">
        <w:t xml:space="preserve">3D solute transport </w:t>
      </w:r>
      <w:r>
        <w:t xml:space="preserve">calculations the </w:t>
      </w:r>
      <w:r w:rsidR="00093E09">
        <w:t xml:space="preserve">process of </w:t>
      </w:r>
      <w:r>
        <w:t xml:space="preserve">dilution </w:t>
      </w:r>
      <w:r w:rsidR="00504113">
        <w:t xml:space="preserve">and dispersion will decrease any concentration from its initial value (here assumed 1 unit) down to 0.0011 units at a distance of 500 m from the source and further down to </w:t>
      </w:r>
      <w:r w:rsidR="001A33E1">
        <w:t xml:space="preserve">approximately </w:t>
      </w:r>
      <w:r w:rsidR="00504113">
        <w:t>0.000</w:t>
      </w:r>
      <w:r w:rsidR="00F5207B">
        <w:t>2</w:t>
      </w:r>
      <w:r w:rsidR="00504113">
        <w:t xml:space="preserve"> units at a distance of 1</w:t>
      </w:r>
      <w:r w:rsidR="000D20DB">
        <w:t>,</w:t>
      </w:r>
      <w:r w:rsidR="00504113">
        <w:t>400 m from the source</w:t>
      </w:r>
      <w:r w:rsidR="009364CC">
        <w:t xml:space="preserve"> for the cubic source type C-2 (1 ML source volume)</w:t>
      </w:r>
      <w:r w:rsidR="00504113">
        <w:t xml:space="preserve">. The resulting </w:t>
      </w:r>
      <w:r>
        <w:t>attenuation factor</w:t>
      </w:r>
      <w:r w:rsidR="00504113">
        <w:t>s</w:t>
      </w:r>
      <w:r>
        <w:t xml:space="preserve"> </w:t>
      </w:r>
      <w:r w:rsidR="00504113">
        <w:t>are</w:t>
      </w:r>
      <w:r>
        <w:t xml:space="preserve"> </w:t>
      </w:r>
      <w:r w:rsidR="00F5207B">
        <w:t xml:space="preserve">(rounded) </w:t>
      </w:r>
      <w:r>
        <w:t>9</w:t>
      </w:r>
      <w:r w:rsidR="00F5207B">
        <w:t>0</w:t>
      </w:r>
      <w:r>
        <w:t xml:space="preserve">0 </w:t>
      </w:r>
      <w:r w:rsidR="00504113">
        <w:t>an</w:t>
      </w:r>
      <w:r w:rsidR="002A34FE">
        <w:t xml:space="preserve">d </w:t>
      </w:r>
      <w:r w:rsidR="00F5207B" w:rsidRPr="0064712E">
        <w:t>4</w:t>
      </w:r>
      <w:r w:rsidR="000D20DB" w:rsidRPr="0064712E">
        <w:t>,</w:t>
      </w:r>
      <w:r w:rsidR="00F5207B" w:rsidRPr="0064712E">
        <w:t>40</w:t>
      </w:r>
      <w:r w:rsidRPr="0064712E">
        <w:t>0</w:t>
      </w:r>
      <w:r w:rsidR="00504113">
        <w:t>, respectively</w:t>
      </w:r>
      <w:r w:rsidR="00093E09">
        <w:t xml:space="preserve"> (</w:t>
      </w:r>
      <w:r w:rsidR="00093E09">
        <w:fldChar w:fldCharType="begin" w:fldLock="1"/>
      </w:r>
      <w:r w:rsidR="00093E09">
        <w:instrText xml:space="preserve"> REF _Ref470161918 \h </w:instrText>
      </w:r>
      <w:r w:rsidR="00093E09">
        <w:fldChar w:fldCharType="separate"/>
      </w:r>
      <w:r w:rsidR="00335E79">
        <w:t xml:space="preserve">Table </w:t>
      </w:r>
      <w:r w:rsidR="00335E79">
        <w:rPr>
          <w:noProof/>
        </w:rPr>
        <w:t>5</w:t>
      </w:r>
      <w:r w:rsidR="00335E79">
        <w:noBreakHyphen/>
      </w:r>
      <w:r w:rsidR="00335E79">
        <w:rPr>
          <w:noProof/>
        </w:rPr>
        <w:t>16</w:t>
      </w:r>
      <w:r w:rsidR="00093E09">
        <w:fldChar w:fldCharType="end"/>
      </w:r>
      <w:r w:rsidR="00093E09">
        <w:t>)</w:t>
      </w:r>
      <w:r>
        <w:t>.</w:t>
      </w:r>
      <w:r w:rsidR="00D4641B">
        <w:t xml:space="preserve"> </w:t>
      </w:r>
      <w:r w:rsidR="00504113">
        <w:t>This</w:t>
      </w:r>
      <w:r w:rsidR="004A5F8F">
        <w:t xml:space="preserve"> d</w:t>
      </w:r>
      <w:r w:rsidR="00504113">
        <w:t>ecrease in concentration</w:t>
      </w:r>
      <w:r w:rsidR="004A5F8F">
        <w:t xml:space="preserve"> would apply for all the chemicals</w:t>
      </w:r>
      <w:r w:rsidR="00504113">
        <w:t xml:space="preserve"> considered</w:t>
      </w:r>
      <w:r w:rsidR="004A5F8F">
        <w:t xml:space="preserve">, in addition to the </w:t>
      </w:r>
      <w:r w:rsidR="009364CC">
        <w:t xml:space="preserve">potential </w:t>
      </w:r>
      <w:r w:rsidR="004A5F8F">
        <w:t>decrease in concentration due to degradation and sorption.</w:t>
      </w:r>
      <w:r w:rsidR="00FD03E5">
        <w:t xml:space="preserve"> The </w:t>
      </w:r>
      <w:r w:rsidR="009364CC">
        <w:t xml:space="preserve">effect of </w:t>
      </w:r>
      <w:r w:rsidR="00FD03E5">
        <w:t xml:space="preserve">dilution </w:t>
      </w:r>
      <w:r w:rsidR="009364CC">
        <w:t xml:space="preserve">(here the value </w:t>
      </w:r>
      <w:r w:rsidR="00FD03E5">
        <w:t>of 9</w:t>
      </w:r>
      <w:r w:rsidR="00F5207B">
        <w:t>0</w:t>
      </w:r>
      <w:r w:rsidR="00FD03E5">
        <w:t xml:space="preserve">0 has been applied </w:t>
      </w:r>
      <w:r w:rsidR="009364CC">
        <w:t>taking the 1</w:t>
      </w:r>
      <w:r w:rsidR="00CD5A5A">
        <w:t xml:space="preserve"> </w:t>
      </w:r>
      <w:r w:rsidR="009364CC">
        <w:t>ML cubic source as the reference)</w:t>
      </w:r>
      <w:r w:rsidR="006D65F1">
        <w:t xml:space="preserve">, together with effects of sorption and degradation on chemical concentration </w:t>
      </w:r>
      <w:r w:rsidR="00F23174">
        <w:t>is</w:t>
      </w:r>
      <w:r w:rsidR="006D65F1">
        <w:t xml:space="preserve"> </w:t>
      </w:r>
      <w:r w:rsidR="00FD03E5">
        <w:t xml:space="preserve">shown in </w:t>
      </w:r>
      <w:r w:rsidR="00FD03E5">
        <w:fldChar w:fldCharType="begin" w:fldLock="1"/>
      </w:r>
      <w:r w:rsidR="00FD03E5">
        <w:instrText xml:space="preserve"> REF _Ref467599303 \h </w:instrText>
      </w:r>
      <w:r w:rsidR="00FD03E5">
        <w:fldChar w:fldCharType="separate"/>
      </w:r>
      <w:r w:rsidR="00335E79">
        <w:t xml:space="preserve">Table </w:t>
      </w:r>
      <w:r w:rsidR="00335E79">
        <w:rPr>
          <w:noProof/>
        </w:rPr>
        <w:t>5</w:t>
      </w:r>
      <w:r w:rsidR="00335E79">
        <w:noBreakHyphen/>
      </w:r>
      <w:r w:rsidR="00335E79">
        <w:rPr>
          <w:noProof/>
        </w:rPr>
        <w:t>17</w:t>
      </w:r>
      <w:r w:rsidR="00FD03E5">
        <w:fldChar w:fldCharType="end"/>
      </w:r>
      <w:r w:rsidR="00FD03E5">
        <w:t>.</w:t>
      </w:r>
      <w:r w:rsidR="00EA210F">
        <w:t xml:space="preserve"> </w:t>
      </w:r>
    </w:p>
    <w:p w14:paraId="4ABFFA9D" w14:textId="77777777" w:rsidR="002B4EA4" w:rsidRDefault="002B4EA4" w:rsidP="0032019F">
      <w:pPr>
        <w:pStyle w:val="Body"/>
      </w:pPr>
    </w:p>
    <w:p w14:paraId="37717B30" w14:textId="61A28C8C" w:rsidR="00006ACE" w:rsidRDefault="009E38D0" w:rsidP="00BB3FD1">
      <w:pPr>
        <w:pStyle w:val="Body"/>
        <w:jc w:val="center"/>
      </w:pPr>
      <w:r w:rsidRPr="009E38D0">
        <w:rPr>
          <w:noProof/>
          <w:lang w:val="en-AU" w:eastAsia="en-AU"/>
        </w:rPr>
        <w:drawing>
          <wp:inline distT="0" distB="0" distL="0" distR="0" wp14:anchorId="4A8C6AAE" wp14:editId="54C925C4">
            <wp:extent cx="5727700" cy="1964371"/>
            <wp:effectExtent l="0" t="0" r="6350" b="0"/>
            <wp:docPr id="51" name="Picture 51" descr="Diagram of demonstrating the application of 3D analytic solutions to the advective dispersion solute transport equation." title="Fig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5727700" cy="1964371"/>
                    </a:xfrm>
                    <a:prstGeom prst="rect">
                      <a:avLst/>
                    </a:prstGeom>
                    <a:noFill/>
                    <a:ln>
                      <a:noFill/>
                    </a:ln>
                  </pic:spPr>
                </pic:pic>
              </a:graphicData>
            </a:graphic>
          </wp:inline>
        </w:drawing>
      </w:r>
    </w:p>
    <w:p w14:paraId="0AA55ACF" w14:textId="46455CE8" w:rsidR="00B541DB" w:rsidRDefault="00B541DB" w:rsidP="00B541DB">
      <w:pPr>
        <w:pStyle w:val="Imagecaption"/>
      </w:pPr>
      <w:bookmarkStart w:id="688" w:name="_Ref454471574"/>
      <w:bookmarkStart w:id="689" w:name="_Toc477347664"/>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22</w:t>
      </w:r>
      <w:r w:rsidR="00254026">
        <w:fldChar w:fldCharType="end"/>
      </w:r>
      <w:bookmarkEnd w:id="688"/>
      <w:r>
        <w:t xml:space="preserve"> Application of 3D analytical solution to the advection-dispersion solute transport equation</w:t>
      </w:r>
      <w:r w:rsidR="00997EC1">
        <w:t xml:space="preserve"> for the cubic source zone (type C-2)</w:t>
      </w:r>
      <w:r>
        <w:t xml:space="preserve">. </w:t>
      </w:r>
      <w:r w:rsidR="00975063">
        <w:t>A: Conceptual model of perforated CSG well with fracturing fluid soon after injection; B: S</w:t>
      </w:r>
      <w:r>
        <w:t xml:space="preserve">ource </w:t>
      </w:r>
      <w:r w:rsidR="00975063">
        <w:t>zone geometry; C: S</w:t>
      </w:r>
      <w:r>
        <w:t xml:space="preserve">olute breakthrough curves at 50, 100, </w:t>
      </w:r>
      <w:r w:rsidR="00975063">
        <w:t xml:space="preserve">and </w:t>
      </w:r>
      <w:r>
        <w:t>200 from the source.</w:t>
      </w:r>
      <w:r w:rsidR="009364CC">
        <w:t xml:space="preserve"> Particle velocity </w:t>
      </w:r>
      <w:r w:rsidR="009364CC" w:rsidRPr="0032019F">
        <w:rPr>
          <w:i w:val="0"/>
        </w:rPr>
        <w:t>v</w:t>
      </w:r>
      <w:r w:rsidR="009364CC">
        <w:t xml:space="preserve"> = 0.14 m/day.</w:t>
      </w:r>
      <w:bookmarkEnd w:id="689"/>
    </w:p>
    <w:p w14:paraId="78264133" w14:textId="77777777" w:rsidR="00C64DD1" w:rsidRDefault="00C64DD1" w:rsidP="00EA210F">
      <w:pPr>
        <w:pStyle w:val="Body"/>
      </w:pPr>
    </w:p>
    <w:p w14:paraId="417754EF" w14:textId="1767F044" w:rsidR="00EA210F" w:rsidRDefault="00EA210F" w:rsidP="00EA210F">
      <w:pPr>
        <w:pStyle w:val="Body"/>
      </w:pPr>
      <w:r>
        <w:t xml:space="preserve">Under the conditions that resulted in the relative concentrations at receptor in </w:t>
      </w:r>
      <w:r>
        <w:fldChar w:fldCharType="begin" w:fldLock="1"/>
      </w:r>
      <w:r>
        <w:instrText xml:space="preserve"> REF _Ref467599303 \h </w:instrText>
      </w:r>
      <w:r>
        <w:fldChar w:fldCharType="separate"/>
      </w:r>
      <w:r w:rsidR="00335E79">
        <w:t xml:space="preserve">Table </w:t>
      </w:r>
      <w:r w:rsidR="00335E79">
        <w:rPr>
          <w:noProof/>
        </w:rPr>
        <w:t>5</w:t>
      </w:r>
      <w:r w:rsidR="00335E79">
        <w:noBreakHyphen/>
      </w:r>
      <w:r w:rsidR="00335E79">
        <w:rPr>
          <w:noProof/>
        </w:rPr>
        <w:t>17</w:t>
      </w:r>
      <w:r>
        <w:fldChar w:fldCharType="end"/>
      </w:r>
      <w:r>
        <w:t>, the maximum distance travelled for the various compounds is very small: from 1 m for naphthalene and limonene using their maximum retardation factors (</w:t>
      </w:r>
      <w:r w:rsidRPr="00955120">
        <w:rPr>
          <w:i/>
        </w:rPr>
        <w:t>R</w:t>
      </w:r>
      <w:r>
        <w:t xml:space="preserve"> = 432) to 493 m for bronopol using its minimum retardation factor (</w:t>
      </w:r>
      <w:proofErr w:type="gramStart"/>
      <w:r w:rsidR="007B3DC4" w:rsidRPr="00E6110F">
        <w:rPr>
          <w:i/>
        </w:rPr>
        <w:t>R</w:t>
      </w:r>
      <w:r w:rsidR="007B3DC4" w:rsidRPr="007B3DC4">
        <w:rPr>
          <w:i/>
          <w:vertAlign w:val="subscript"/>
        </w:rPr>
        <w:t>f</w:t>
      </w:r>
      <w:proofErr w:type="gramEnd"/>
      <w:r w:rsidR="007B3DC4">
        <w:t xml:space="preserve"> </w:t>
      </w:r>
      <w:r>
        <w:t xml:space="preserve">= 1.01). </w:t>
      </w:r>
      <w:r w:rsidR="005F51C2">
        <w:t xml:space="preserve">Also </w:t>
      </w:r>
      <w:r w:rsidR="009212C8">
        <w:fldChar w:fldCharType="begin" w:fldLock="1"/>
      </w:r>
      <w:r w:rsidR="009212C8">
        <w:instrText xml:space="preserve"> REF _Ref467599303 \h </w:instrText>
      </w:r>
      <w:r w:rsidR="009212C8">
        <w:fldChar w:fldCharType="separate"/>
      </w:r>
      <w:r w:rsidR="009212C8">
        <w:t xml:space="preserve">Table </w:t>
      </w:r>
      <w:r w:rsidR="009212C8">
        <w:rPr>
          <w:noProof/>
        </w:rPr>
        <w:t>5</w:t>
      </w:r>
      <w:r w:rsidR="009212C8">
        <w:noBreakHyphen/>
      </w:r>
      <w:r w:rsidR="009212C8">
        <w:rPr>
          <w:noProof/>
        </w:rPr>
        <w:t>17</w:t>
      </w:r>
      <w:r w:rsidR="009212C8">
        <w:fldChar w:fldCharType="end"/>
      </w:r>
      <w:r w:rsidR="009212C8">
        <w:t xml:space="preserve"> can be used as a simple screening tool in chemical risk and/or environmental impact assesments.</w:t>
      </w:r>
      <w:r w:rsidR="005F51C2">
        <w:t xml:space="preserve"> </w:t>
      </w:r>
    </w:p>
    <w:p w14:paraId="2CE9C422" w14:textId="77777777" w:rsidR="002A2C65" w:rsidRDefault="002A2C65" w:rsidP="00EA210F">
      <w:pPr>
        <w:pStyle w:val="Body"/>
      </w:pPr>
    </w:p>
    <w:p w14:paraId="42E12E76" w14:textId="1DCD39A8" w:rsidR="00D4394F" w:rsidRDefault="002A2C65" w:rsidP="002A2C65">
      <w:pPr>
        <w:pStyle w:val="Imagecaption"/>
        <w:keepNext/>
        <w:pBdr>
          <w:top w:val="none" w:sz="0" w:space="0" w:color="auto"/>
        </w:pBdr>
      </w:pPr>
      <w:bookmarkStart w:id="690" w:name="_Ref476605456"/>
      <w:bookmarkStart w:id="691" w:name="_Ref470161918"/>
      <w:bookmarkStart w:id="692" w:name="_Toc494444744"/>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16</w:t>
      </w:r>
      <w:r w:rsidR="00470577">
        <w:fldChar w:fldCharType="end"/>
      </w:r>
      <w:bookmarkEnd w:id="690"/>
      <w:bookmarkEnd w:id="691"/>
      <w:r w:rsidR="0096427A">
        <w:t xml:space="preserve"> Calculated Dilution Attenuation Factors </w:t>
      </w:r>
      <w:r w:rsidR="00F23DE0">
        <w:t xml:space="preserve">due to dilution and dispersion </w:t>
      </w:r>
      <w:r w:rsidR="0096427A">
        <w:t xml:space="preserve">as function of travel distance for rectangular (R-1, R-2, and R-3) and cubic (C-1, C-2, and C-3) source types. </w:t>
      </w:r>
      <w:r w:rsidR="006D5195">
        <w:t>Values are rounded to three significant figures.</w:t>
      </w:r>
      <w:bookmarkEnd w:id="692"/>
    </w:p>
    <w:tbl>
      <w:tblPr>
        <w:tblStyle w:val="TableGrid"/>
        <w:tblW w:w="0" w:type="dxa"/>
        <w:tblLook w:val="04A0" w:firstRow="1" w:lastRow="0" w:firstColumn="1" w:lastColumn="0" w:noHBand="0" w:noVBand="1"/>
      </w:tblPr>
      <w:tblGrid>
        <w:gridCol w:w="1179"/>
        <w:gridCol w:w="894"/>
        <w:gridCol w:w="895"/>
        <w:gridCol w:w="895"/>
        <w:gridCol w:w="895"/>
        <w:gridCol w:w="1063"/>
        <w:gridCol w:w="1063"/>
        <w:gridCol w:w="1063"/>
        <w:gridCol w:w="1063"/>
      </w:tblGrid>
      <w:tr w:rsidR="0096427A" w:rsidRPr="002A2C65" w14:paraId="1DD90D85" w14:textId="77777777" w:rsidTr="00065326">
        <w:trPr>
          <w:trHeight w:val="389"/>
        </w:trPr>
        <w:tc>
          <w:tcPr>
            <w:tcW w:w="1179" w:type="dxa"/>
            <w:vMerge w:val="restart"/>
            <w:shd w:val="clear" w:color="auto" w:fill="F2F2F2" w:themeFill="background1" w:themeFillShade="F2"/>
            <w:noWrap/>
            <w:hideMark/>
          </w:tcPr>
          <w:p w14:paraId="72D00403" w14:textId="111D66FF" w:rsidR="0096427A" w:rsidRPr="002A2C65" w:rsidRDefault="0096427A" w:rsidP="002A2C65">
            <w:pPr>
              <w:pStyle w:val="Body"/>
              <w:rPr>
                <w:lang w:val="en-US"/>
              </w:rPr>
            </w:pPr>
            <w:r w:rsidRPr="0096427A">
              <w:rPr>
                <w:lang w:val="en-US"/>
              </w:rPr>
              <w:t>Source Type</w:t>
            </w:r>
            <w:r w:rsidR="00065326">
              <w:rPr>
                <w:lang w:val="en-US"/>
              </w:rPr>
              <w:t xml:space="preserve"> (volume)</w:t>
            </w:r>
          </w:p>
        </w:tc>
        <w:tc>
          <w:tcPr>
            <w:tcW w:w="7831" w:type="dxa"/>
            <w:gridSpan w:val="8"/>
            <w:tcBorders>
              <w:bottom w:val="single" w:sz="4" w:space="0" w:color="auto"/>
            </w:tcBorders>
            <w:shd w:val="clear" w:color="auto" w:fill="F2F2F2" w:themeFill="background1" w:themeFillShade="F2"/>
            <w:noWrap/>
            <w:hideMark/>
          </w:tcPr>
          <w:p w14:paraId="3136C966" w14:textId="4DB8DCDE" w:rsidR="0096427A" w:rsidRPr="002A2C65" w:rsidRDefault="0096427A" w:rsidP="0096427A">
            <w:pPr>
              <w:pStyle w:val="Body"/>
              <w:jc w:val="center"/>
              <w:rPr>
                <w:lang w:val="en-US"/>
              </w:rPr>
            </w:pPr>
            <w:r w:rsidRPr="002A2C65">
              <w:rPr>
                <w:lang w:val="en-US"/>
              </w:rPr>
              <w:t>Dilution</w:t>
            </w:r>
            <w:r>
              <w:rPr>
                <w:lang w:val="en-US"/>
              </w:rPr>
              <w:t xml:space="preserve"> Attenuation Factor</w:t>
            </w:r>
            <w:r w:rsidR="00EC210F">
              <w:rPr>
                <w:lang w:val="en-US"/>
              </w:rPr>
              <w:t xml:space="preserve"> as function of travel distance</w:t>
            </w:r>
          </w:p>
        </w:tc>
      </w:tr>
      <w:tr w:rsidR="0096427A" w:rsidRPr="002A2C65" w14:paraId="37F0A49A" w14:textId="77777777" w:rsidTr="00065326">
        <w:trPr>
          <w:trHeight w:val="267"/>
        </w:trPr>
        <w:tc>
          <w:tcPr>
            <w:tcW w:w="1179" w:type="dxa"/>
            <w:vMerge/>
            <w:noWrap/>
            <w:hideMark/>
          </w:tcPr>
          <w:p w14:paraId="2AE87B63" w14:textId="2C66A7A9" w:rsidR="0096427A" w:rsidRPr="002A2C65" w:rsidRDefault="0096427A" w:rsidP="002A2C65">
            <w:pPr>
              <w:pStyle w:val="Body"/>
              <w:rPr>
                <w:lang w:val="en-US"/>
              </w:rPr>
            </w:pPr>
          </w:p>
        </w:tc>
        <w:tc>
          <w:tcPr>
            <w:tcW w:w="894" w:type="dxa"/>
            <w:shd w:val="clear" w:color="auto" w:fill="F2F2F2" w:themeFill="background1" w:themeFillShade="F2"/>
            <w:noWrap/>
            <w:hideMark/>
          </w:tcPr>
          <w:p w14:paraId="33D2572A" w14:textId="77777777" w:rsidR="0096427A" w:rsidRPr="002A2C65" w:rsidRDefault="0096427A" w:rsidP="00F23DE0">
            <w:pPr>
              <w:pStyle w:val="Body"/>
              <w:jc w:val="center"/>
              <w:rPr>
                <w:lang w:val="en-US"/>
              </w:rPr>
            </w:pPr>
            <w:r w:rsidRPr="002A2C65">
              <w:rPr>
                <w:lang w:val="en-US"/>
              </w:rPr>
              <w:t>200 m</w:t>
            </w:r>
          </w:p>
        </w:tc>
        <w:tc>
          <w:tcPr>
            <w:tcW w:w="895" w:type="dxa"/>
            <w:shd w:val="clear" w:color="auto" w:fill="F2F2F2" w:themeFill="background1" w:themeFillShade="F2"/>
            <w:noWrap/>
            <w:hideMark/>
          </w:tcPr>
          <w:p w14:paraId="2766A3B3" w14:textId="77777777" w:rsidR="0096427A" w:rsidRPr="002A2C65" w:rsidRDefault="0096427A" w:rsidP="00F23DE0">
            <w:pPr>
              <w:pStyle w:val="Body"/>
              <w:jc w:val="center"/>
              <w:rPr>
                <w:lang w:val="en-US"/>
              </w:rPr>
            </w:pPr>
            <w:r w:rsidRPr="002A2C65">
              <w:rPr>
                <w:lang w:val="en-US"/>
              </w:rPr>
              <w:t>300 m</w:t>
            </w:r>
          </w:p>
        </w:tc>
        <w:tc>
          <w:tcPr>
            <w:tcW w:w="895" w:type="dxa"/>
            <w:shd w:val="clear" w:color="auto" w:fill="F2F2F2" w:themeFill="background1" w:themeFillShade="F2"/>
            <w:noWrap/>
            <w:hideMark/>
          </w:tcPr>
          <w:p w14:paraId="27A2E1C5" w14:textId="77777777" w:rsidR="0096427A" w:rsidRPr="002A2C65" w:rsidRDefault="0096427A" w:rsidP="00F23DE0">
            <w:pPr>
              <w:pStyle w:val="Body"/>
              <w:jc w:val="center"/>
              <w:rPr>
                <w:lang w:val="en-US"/>
              </w:rPr>
            </w:pPr>
            <w:r w:rsidRPr="002A2C65">
              <w:rPr>
                <w:lang w:val="en-US"/>
              </w:rPr>
              <w:t>400 m</w:t>
            </w:r>
          </w:p>
        </w:tc>
        <w:tc>
          <w:tcPr>
            <w:tcW w:w="895" w:type="dxa"/>
            <w:shd w:val="clear" w:color="auto" w:fill="F2F2F2" w:themeFill="background1" w:themeFillShade="F2"/>
            <w:noWrap/>
            <w:hideMark/>
          </w:tcPr>
          <w:p w14:paraId="2EBC10F1" w14:textId="77777777" w:rsidR="0096427A" w:rsidRPr="002A2C65" w:rsidRDefault="0096427A" w:rsidP="00F23DE0">
            <w:pPr>
              <w:pStyle w:val="Body"/>
              <w:jc w:val="center"/>
              <w:rPr>
                <w:lang w:val="en-US"/>
              </w:rPr>
            </w:pPr>
            <w:r w:rsidRPr="002A2C65">
              <w:rPr>
                <w:lang w:val="en-US"/>
              </w:rPr>
              <w:t>500 m</w:t>
            </w:r>
          </w:p>
        </w:tc>
        <w:tc>
          <w:tcPr>
            <w:tcW w:w="1063" w:type="dxa"/>
            <w:shd w:val="clear" w:color="auto" w:fill="F2F2F2" w:themeFill="background1" w:themeFillShade="F2"/>
            <w:noWrap/>
            <w:hideMark/>
          </w:tcPr>
          <w:p w14:paraId="7FE2C73D" w14:textId="334DB409" w:rsidR="0096427A" w:rsidRPr="002A2C65" w:rsidRDefault="0096427A" w:rsidP="00F23DE0">
            <w:pPr>
              <w:pStyle w:val="Body"/>
              <w:jc w:val="center"/>
              <w:rPr>
                <w:lang w:val="en-US"/>
              </w:rPr>
            </w:pPr>
            <w:r w:rsidRPr="002A2C65">
              <w:rPr>
                <w:lang w:val="en-US"/>
              </w:rPr>
              <w:t>1</w:t>
            </w:r>
            <w:r w:rsidR="00DA38B7">
              <w:rPr>
                <w:lang w:val="en-US"/>
              </w:rPr>
              <w:t>,</w:t>
            </w:r>
            <w:r w:rsidRPr="002A2C65">
              <w:rPr>
                <w:lang w:val="en-US"/>
              </w:rPr>
              <w:t>000 m</w:t>
            </w:r>
          </w:p>
        </w:tc>
        <w:tc>
          <w:tcPr>
            <w:tcW w:w="1063" w:type="dxa"/>
            <w:shd w:val="clear" w:color="auto" w:fill="F2F2F2" w:themeFill="background1" w:themeFillShade="F2"/>
            <w:noWrap/>
            <w:hideMark/>
          </w:tcPr>
          <w:p w14:paraId="3A025942" w14:textId="47009A55" w:rsidR="0096427A" w:rsidRPr="002A2C65" w:rsidRDefault="0096427A" w:rsidP="00F23DE0">
            <w:pPr>
              <w:pStyle w:val="Body"/>
              <w:jc w:val="center"/>
              <w:rPr>
                <w:lang w:val="en-US"/>
              </w:rPr>
            </w:pPr>
            <w:r w:rsidRPr="002A2C65">
              <w:rPr>
                <w:lang w:val="en-US"/>
              </w:rPr>
              <w:t>1</w:t>
            </w:r>
            <w:r w:rsidR="00DA38B7">
              <w:rPr>
                <w:lang w:val="en-US"/>
              </w:rPr>
              <w:t>,</w:t>
            </w:r>
            <w:r w:rsidRPr="002A2C65">
              <w:rPr>
                <w:lang w:val="en-US"/>
              </w:rPr>
              <w:t>400 m</w:t>
            </w:r>
          </w:p>
        </w:tc>
        <w:tc>
          <w:tcPr>
            <w:tcW w:w="1063" w:type="dxa"/>
            <w:shd w:val="clear" w:color="auto" w:fill="F2F2F2" w:themeFill="background1" w:themeFillShade="F2"/>
            <w:noWrap/>
            <w:hideMark/>
          </w:tcPr>
          <w:p w14:paraId="07271A9D" w14:textId="7D2D7947" w:rsidR="0096427A" w:rsidRPr="002A2C65" w:rsidRDefault="0096427A" w:rsidP="00F23DE0">
            <w:pPr>
              <w:pStyle w:val="Body"/>
              <w:jc w:val="center"/>
              <w:rPr>
                <w:lang w:val="en-US"/>
              </w:rPr>
            </w:pPr>
            <w:r w:rsidRPr="002A2C65">
              <w:rPr>
                <w:lang w:val="en-US"/>
              </w:rPr>
              <w:t>2</w:t>
            </w:r>
            <w:r w:rsidR="00DA38B7">
              <w:rPr>
                <w:lang w:val="en-US"/>
              </w:rPr>
              <w:t>,</w:t>
            </w:r>
            <w:r w:rsidRPr="002A2C65">
              <w:rPr>
                <w:lang w:val="en-US"/>
              </w:rPr>
              <w:t>000 m</w:t>
            </w:r>
          </w:p>
        </w:tc>
        <w:tc>
          <w:tcPr>
            <w:tcW w:w="1063" w:type="dxa"/>
            <w:shd w:val="clear" w:color="auto" w:fill="F2F2F2" w:themeFill="background1" w:themeFillShade="F2"/>
            <w:noWrap/>
            <w:hideMark/>
          </w:tcPr>
          <w:p w14:paraId="0234A027" w14:textId="5492A728" w:rsidR="0096427A" w:rsidRPr="002A2C65" w:rsidRDefault="0096427A" w:rsidP="00F23DE0">
            <w:pPr>
              <w:pStyle w:val="Body"/>
              <w:jc w:val="center"/>
              <w:rPr>
                <w:lang w:val="en-US"/>
              </w:rPr>
            </w:pPr>
            <w:r w:rsidRPr="002A2C65">
              <w:rPr>
                <w:lang w:val="en-US"/>
              </w:rPr>
              <w:t>3</w:t>
            </w:r>
            <w:r w:rsidR="00DA38B7">
              <w:rPr>
                <w:lang w:val="en-US"/>
              </w:rPr>
              <w:t>,</w:t>
            </w:r>
            <w:r w:rsidRPr="002A2C65">
              <w:rPr>
                <w:lang w:val="en-US"/>
              </w:rPr>
              <w:t>400 m</w:t>
            </w:r>
          </w:p>
        </w:tc>
      </w:tr>
      <w:tr w:rsidR="002A2C65" w:rsidRPr="002A2C65" w14:paraId="70CC35F1" w14:textId="77777777" w:rsidTr="002F7BDE">
        <w:trPr>
          <w:trHeight w:hRule="exact" w:val="284"/>
        </w:trPr>
        <w:tc>
          <w:tcPr>
            <w:tcW w:w="1179" w:type="dxa"/>
            <w:noWrap/>
            <w:vAlign w:val="center"/>
            <w:hideMark/>
          </w:tcPr>
          <w:p w14:paraId="25E776C6" w14:textId="631138B0" w:rsidR="002A2C65" w:rsidRPr="002A2C65" w:rsidRDefault="002A2C65" w:rsidP="002A2C65">
            <w:pPr>
              <w:pStyle w:val="Body"/>
              <w:rPr>
                <w:lang w:val="en-US"/>
              </w:rPr>
            </w:pPr>
            <w:r w:rsidRPr="002A2C65">
              <w:rPr>
                <w:lang w:val="en-US"/>
              </w:rPr>
              <w:t>R-1</w:t>
            </w:r>
            <w:r w:rsidR="00065326">
              <w:rPr>
                <w:lang w:val="en-US"/>
              </w:rPr>
              <w:t xml:space="preserve"> (0.5 ML)</w:t>
            </w:r>
          </w:p>
        </w:tc>
        <w:tc>
          <w:tcPr>
            <w:tcW w:w="894" w:type="dxa"/>
            <w:noWrap/>
            <w:hideMark/>
          </w:tcPr>
          <w:p w14:paraId="3BC457B5" w14:textId="77777777" w:rsidR="002A2C65" w:rsidRPr="002A2C65" w:rsidRDefault="002A2C65" w:rsidP="00F23DE0">
            <w:pPr>
              <w:pStyle w:val="Body"/>
              <w:jc w:val="center"/>
              <w:rPr>
                <w:lang w:val="en-US"/>
              </w:rPr>
            </w:pPr>
            <w:r w:rsidRPr="002A2C65">
              <w:rPr>
                <w:lang w:val="en-US"/>
              </w:rPr>
              <w:t>400</w:t>
            </w:r>
          </w:p>
        </w:tc>
        <w:tc>
          <w:tcPr>
            <w:tcW w:w="895" w:type="dxa"/>
            <w:noWrap/>
            <w:vAlign w:val="center"/>
            <w:hideMark/>
          </w:tcPr>
          <w:p w14:paraId="7665830F" w14:textId="77777777" w:rsidR="002A2C65" w:rsidRPr="002A2C65" w:rsidRDefault="002A2C65" w:rsidP="00F23DE0">
            <w:pPr>
              <w:pStyle w:val="Body"/>
              <w:jc w:val="center"/>
              <w:rPr>
                <w:lang w:val="en-US"/>
              </w:rPr>
            </w:pPr>
            <w:r w:rsidRPr="002A2C65">
              <w:rPr>
                <w:lang w:val="en-US"/>
              </w:rPr>
              <w:t>782</w:t>
            </w:r>
          </w:p>
        </w:tc>
        <w:tc>
          <w:tcPr>
            <w:tcW w:w="895" w:type="dxa"/>
            <w:noWrap/>
            <w:vAlign w:val="center"/>
            <w:hideMark/>
          </w:tcPr>
          <w:p w14:paraId="2F61BB27" w14:textId="1D10F02B" w:rsidR="002A2C65" w:rsidRPr="002A2C65" w:rsidRDefault="002A2C65" w:rsidP="00F23DE0">
            <w:pPr>
              <w:pStyle w:val="Body"/>
              <w:jc w:val="center"/>
              <w:rPr>
                <w:lang w:val="en-US"/>
              </w:rPr>
            </w:pPr>
            <w:r w:rsidRPr="002A2C65">
              <w:rPr>
                <w:lang w:val="en-US"/>
              </w:rPr>
              <w:t>1,24</w:t>
            </w:r>
            <w:r w:rsidR="006D5195">
              <w:rPr>
                <w:lang w:val="en-US"/>
              </w:rPr>
              <w:t>0</w:t>
            </w:r>
          </w:p>
        </w:tc>
        <w:tc>
          <w:tcPr>
            <w:tcW w:w="895" w:type="dxa"/>
            <w:noWrap/>
            <w:vAlign w:val="center"/>
            <w:hideMark/>
          </w:tcPr>
          <w:p w14:paraId="5355A5CD" w14:textId="03264225" w:rsidR="002A2C65" w:rsidRPr="002A2C65" w:rsidRDefault="002A2C65" w:rsidP="00F23DE0">
            <w:pPr>
              <w:pStyle w:val="Body"/>
              <w:jc w:val="center"/>
              <w:rPr>
                <w:lang w:val="en-US"/>
              </w:rPr>
            </w:pPr>
            <w:r w:rsidRPr="002A2C65">
              <w:rPr>
                <w:lang w:val="en-US"/>
              </w:rPr>
              <w:t>1,7</w:t>
            </w:r>
            <w:r w:rsidR="006D5195">
              <w:rPr>
                <w:lang w:val="en-US"/>
              </w:rPr>
              <w:t>70</w:t>
            </w:r>
          </w:p>
        </w:tc>
        <w:tc>
          <w:tcPr>
            <w:tcW w:w="1063" w:type="dxa"/>
            <w:noWrap/>
            <w:vAlign w:val="center"/>
            <w:hideMark/>
          </w:tcPr>
          <w:p w14:paraId="17C69320" w14:textId="38C6438E" w:rsidR="002A2C65" w:rsidRPr="002A2C65" w:rsidRDefault="002A2C65" w:rsidP="00F23DE0">
            <w:pPr>
              <w:pStyle w:val="Body"/>
              <w:jc w:val="center"/>
              <w:rPr>
                <w:lang w:val="en-US"/>
              </w:rPr>
            </w:pPr>
            <w:r w:rsidRPr="002A2C65">
              <w:rPr>
                <w:lang w:val="en-US"/>
              </w:rPr>
              <w:t>5,18</w:t>
            </w:r>
            <w:r w:rsidR="006D5195">
              <w:rPr>
                <w:lang w:val="en-US"/>
              </w:rPr>
              <w:t>0</w:t>
            </w:r>
          </w:p>
        </w:tc>
        <w:tc>
          <w:tcPr>
            <w:tcW w:w="1063" w:type="dxa"/>
            <w:noWrap/>
            <w:vAlign w:val="center"/>
            <w:hideMark/>
          </w:tcPr>
          <w:p w14:paraId="3806EA73" w14:textId="03B27076" w:rsidR="002A2C65" w:rsidRPr="002A2C65" w:rsidRDefault="002A2C65" w:rsidP="00F23DE0">
            <w:pPr>
              <w:pStyle w:val="Body"/>
              <w:jc w:val="center"/>
              <w:rPr>
                <w:lang w:val="en-US"/>
              </w:rPr>
            </w:pPr>
            <w:r w:rsidRPr="002A2C65">
              <w:rPr>
                <w:lang w:val="en-US"/>
              </w:rPr>
              <w:t>8,6</w:t>
            </w:r>
            <w:r w:rsidR="006D5195">
              <w:rPr>
                <w:lang w:val="en-US"/>
              </w:rPr>
              <w:t>90</w:t>
            </w:r>
          </w:p>
        </w:tc>
        <w:tc>
          <w:tcPr>
            <w:tcW w:w="1063" w:type="dxa"/>
            <w:noWrap/>
            <w:vAlign w:val="center"/>
            <w:hideMark/>
          </w:tcPr>
          <w:p w14:paraId="7C5CFD9D" w14:textId="041937F0" w:rsidR="002A2C65" w:rsidRPr="002A2C65" w:rsidRDefault="002A2C65" w:rsidP="00F23DE0">
            <w:pPr>
              <w:pStyle w:val="Body"/>
              <w:jc w:val="center"/>
              <w:rPr>
                <w:lang w:val="en-US"/>
              </w:rPr>
            </w:pPr>
            <w:r w:rsidRPr="002A2C65">
              <w:rPr>
                <w:lang w:val="en-US"/>
              </w:rPr>
              <w:t>1</w:t>
            </w:r>
            <w:r w:rsidR="006D5195">
              <w:rPr>
                <w:lang w:val="en-US"/>
              </w:rPr>
              <w:t>5</w:t>
            </w:r>
            <w:r w:rsidRPr="002A2C65">
              <w:rPr>
                <w:lang w:val="en-US"/>
              </w:rPr>
              <w:t>,</w:t>
            </w:r>
            <w:r w:rsidR="006D5195">
              <w:rPr>
                <w:lang w:val="en-US"/>
              </w:rPr>
              <w:t>000</w:t>
            </w:r>
          </w:p>
        </w:tc>
        <w:tc>
          <w:tcPr>
            <w:tcW w:w="1063" w:type="dxa"/>
            <w:noWrap/>
            <w:vAlign w:val="center"/>
            <w:hideMark/>
          </w:tcPr>
          <w:p w14:paraId="167A66F3" w14:textId="1396AA72" w:rsidR="002A2C65" w:rsidRPr="002A2C65" w:rsidRDefault="006D5195" w:rsidP="00F23DE0">
            <w:pPr>
              <w:pStyle w:val="Body"/>
              <w:jc w:val="center"/>
              <w:rPr>
                <w:lang w:val="en-US"/>
              </w:rPr>
            </w:pPr>
            <w:r>
              <w:rPr>
                <w:lang w:val="en-US"/>
              </w:rPr>
              <w:t>33,300</w:t>
            </w:r>
          </w:p>
        </w:tc>
      </w:tr>
      <w:tr w:rsidR="002A2C65" w:rsidRPr="002A2C65" w14:paraId="66CED4A1" w14:textId="77777777" w:rsidTr="002F7BDE">
        <w:trPr>
          <w:trHeight w:hRule="exact" w:val="284"/>
        </w:trPr>
        <w:tc>
          <w:tcPr>
            <w:tcW w:w="1179" w:type="dxa"/>
            <w:noWrap/>
            <w:vAlign w:val="center"/>
            <w:hideMark/>
          </w:tcPr>
          <w:p w14:paraId="653E4B32" w14:textId="26B89DFE" w:rsidR="002A2C65" w:rsidRPr="002A2C65" w:rsidRDefault="002A2C65" w:rsidP="002A2C65">
            <w:pPr>
              <w:pStyle w:val="Body"/>
              <w:rPr>
                <w:lang w:val="en-US"/>
              </w:rPr>
            </w:pPr>
            <w:r w:rsidRPr="002A2C65">
              <w:rPr>
                <w:lang w:val="en-US"/>
              </w:rPr>
              <w:t>R-2</w:t>
            </w:r>
            <w:r w:rsidR="00065326">
              <w:rPr>
                <w:lang w:val="en-US"/>
              </w:rPr>
              <w:t xml:space="preserve"> (1 ML)</w:t>
            </w:r>
          </w:p>
        </w:tc>
        <w:tc>
          <w:tcPr>
            <w:tcW w:w="894" w:type="dxa"/>
            <w:noWrap/>
            <w:vAlign w:val="center"/>
            <w:hideMark/>
          </w:tcPr>
          <w:p w14:paraId="21D7A5B1" w14:textId="77777777" w:rsidR="002A2C65" w:rsidRPr="002A2C65" w:rsidRDefault="002A2C65" w:rsidP="00F23DE0">
            <w:pPr>
              <w:pStyle w:val="Body"/>
              <w:jc w:val="center"/>
              <w:rPr>
                <w:lang w:val="en-US"/>
              </w:rPr>
            </w:pPr>
            <w:r w:rsidRPr="002A2C65">
              <w:rPr>
                <w:lang w:val="en-US"/>
              </w:rPr>
              <w:t>189</w:t>
            </w:r>
          </w:p>
        </w:tc>
        <w:tc>
          <w:tcPr>
            <w:tcW w:w="895" w:type="dxa"/>
            <w:noWrap/>
            <w:vAlign w:val="center"/>
            <w:hideMark/>
          </w:tcPr>
          <w:p w14:paraId="68FC39AF" w14:textId="77777777" w:rsidR="002A2C65" w:rsidRPr="002A2C65" w:rsidRDefault="002A2C65" w:rsidP="00F23DE0">
            <w:pPr>
              <w:pStyle w:val="Body"/>
              <w:jc w:val="center"/>
              <w:rPr>
                <w:lang w:val="en-US"/>
              </w:rPr>
            </w:pPr>
            <w:r w:rsidRPr="002A2C65">
              <w:rPr>
                <w:lang w:val="en-US"/>
              </w:rPr>
              <w:t>378</w:t>
            </w:r>
          </w:p>
        </w:tc>
        <w:tc>
          <w:tcPr>
            <w:tcW w:w="895" w:type="dxa"/>
            <w:noWrap/>
            <w:vAlign w:val="center"/>
            <w:hideMark/>
          </w:tcPr>
          <w:p w14:paraId="2F3DEC3B" w14:textId="77777777" w:rsidR="002A2C65" w:rsidRPr="002A2C65" w:rsidRDefault="002A2C65" w:rsidP="00F23DE0">
            <w:pPr>
              <w:pStyle w:val="Body"/>
              <w:jc w:val="center"/>
              <w:rPr>
                <w:lang w:val="en-US"/>
              </w:rPr>
            </w:pPr>
            <w:r w:rsidRPr="002A2C65">
              <w:rPr>
                <w:lang w:val="en-US"/>
              </w:rPr>
              <w:t>605</w:t>
            </w:r>
          </w:p>
        </w:tc>
        <w:tc>
          <w:tcPr>
            <w:tcW w:w="895" w:type="dxa"/>
            <w:noWrap/>
            <w:vAlign w:val="center"/>
            <w:hideMark/>
          </w:tcPr>
          <w:p w14:paraId="759C5E5C" w14:textId="77777777" w:rsidR="002A2C65" w:rsidRPr="002A2C65" w:rsidRDefault="002A2C65" w:rsidP="00F23DE0">
            <w:pPr>
              <w:pStyle w:val="Body"/>
              <w:jc w:val="center"/>
              <w:rPr>
                <w:lang w:val="en-US"/>
              </w:rPr>
            </w:pPr>
            <w:r w:rsidRPr="002A2C65">
              <w:rPr>
                <w:lang w:val="en-US"/>
              </w:rPr>
              <w:t>866</w:t>
            </w:r>
          </w:p>
        </w:tc>
        <w:tc>
          <w:tcPr>
            <w:tcW w:w="1063" w:type="dxa"/>
            <w:noWrap/>
            <w:vAlign w:val="center"/>
            <w:hideMark/>
          </w:tcPr>
          <w:p w14:paraId="0ADCE1D7" w14:textId="77894F5E" w:rsidR="002A2C65" w:rsidRPr="002A2C65" w:rsidRDefault="002A2C65" w:rsidP="00F23DE0">
            <w:pPr>
              <w:pStyle w:val="Body"/>
              <w:jc w:val="center"/>
              <w:rPr>
                <w:lang w:val="en-US"/>
              </w:rPr>
            </w:pPr>
            <w:r w:rsidRPr="002A2C65">
              <w:rPr>
                <w:lang w:val="en-US"/>
              </w:rPr>
              <w:t>2,56</w:t>
            </w:r>
            <w:r w:rsidR="006D5195">
              <w:rPr>
                <w:lang w:val="en-US"/>
              </w:rPr>
              <w:t>0</w:t>
            </w:r>
          </w:p>
        </w:tc>
        <w:tc>
          <w:tcPr>
            <w:tcW w:w="1063" w:type="dxa"/>
            <w:noWrap/>
            <w:vAlign w:val="center"/>
            <w:hideMark/>
          </w:tcPr>
          <w:p w14:paraId="56D0B6AB" w14:textId="59043550" w:rsidR="002A2C65" w:rsidRPr="002A2C65" w:rsidRDefault="002A2C65" w:rsidP="00F23DE0">
            <w:pPr>
              <w:pStyle w:val="Body"/>
              <w:jc w:val="center"/>
              <w:rPr>
                <w:lang w:val="en-US"/>
              </w:rPr>
            </w:pPr>
            <w:r w:rsidRPr="002A2C65">
              <w:rPr>
                <w:lang w:val="en-US"/>
              </w:rPr>
              <w:t>4,3</w:t>
            </w:r>
            <w:r w:rsidR="006D5195">
              <w:rPr>
                <w:lang w:val="en-US"/>
              </w:rPr>
              <w:t>10</w:t>
            </w:r>
          </w:p>
        </w:tc>
        <w:tc>
          <w:tcPr>
            <w:tcW w:w="1063" w:type="dxa"/>
            <w:noWrap/>
            <w:vAlign w:val="center"/>
            <w:hideMark/>
          </w:tcPr>
          <w:p w14:paraId="1FFC957D" w14:textId="25DA70AB" w:rsidR="002A2C65" w:rsidRPr="002A2C65" w:rsidRDefault="002A2C65" w:rsidP="00F23DE0">
            <w:pPr>
              <w:pStyle w:val="Body"/>
              <w:jc w:val="center"/>
              <w:rPr>
                <w:lang w:val="en-US"/>
              </w:rPr>
            </w:pPr>
            <w:r w:rsidRPr="002A2C65">
              <w:rPr>
                <w:lang w:val="en-US"/>
              </w:rPr>
              <w:t>7,4</w:t>
            </w:r>
            <w:r w:rsidR="006D5195">
              <w:rPr>
                <w:lang w:val="en-US"/>
              </w:rPr>
              <w:t>40</w:t>
            </w:r>
          </w:p>
        </w:tc>
        <w:tc>
          <w:tcPr>
            <w:tcW w:w="1063" w:type="dxa"/>
            <w:noWrap/>
            <w:vAlign w:val="center"/>
            <w:hideMark/>
          </w:tcPr>
          <w:p w14:paraId="37FFAE4F" w14:textId="64386FCB" w:rsidR="002A2C65" w:rsidRPr="002A2C65" w:rsidRDefault="002A2C65" w:rsidP="00F23DE0">
            <w:pPr>
              <w:pStyle w:val="Body"/>
              <w:jc w:val="center"/>
              <w:rPr>
                <w:lang w:val="en-US"/>
              </w:rPr>
            </w:pPr>
            <w:r w:rsidRPr="002A2C65">
              <w:rPr>
                <w:lang w:val="en-US"/>
              </w:rPr>
              <w:t>1</w:t>
            </w:r>
            <w:r w:rsidR="006D5195">
              <w:rPr>
                <w:lang w:val="en-US"/>
              </w:rPr>
              <w:t>6,600</w:t>
            </w:r>
          </w:p>
        </w:tc>
      </w:tr>
      <w:tr w:rsidR="002A2C65" w:rsidRPr="002A2C65" w14:paraId="5B54BEF8" w14:textId="77777777" w:rsidTr="002F7BDE">
        <w:trPr>
          <w:trHeight w:hRule="exact" w:val="284"/>
        </w:trPr>
        <w:tc>
          <w:tcPr>
            <w:tcW w:w="1179" w:type="dxa"/>
            <w:noWrap/>
            <w:vAlign w:val="center"/>
            <w:hideMark/>
          </w:tcPr>
          <w:p w14:paraId="27C00CB7" w14:textId="1391DBE3" w:rsidR="002A2C65" w:rsidRPr="002A2C65" w:rsidRDefault="002A2C65" w:rsidP="002A2C65">
            <w:pPr>
              <w:pStyle w:val="Body"/>
              <w:rPr>
                <w:lang w:val="en-US"/>
              </w:rPr>
            </w:pPr>
            <w:r w:rsidRPr="002A2C65">
              <w:rPr>
                <w:lang w:val="en-US"/>
              </w:rPr>
              <w:t>R-3</w:t>
            </w:r>
            <w:r w:rsidR="00065326">
              <w:rPr>
                <w:lang w:val="en-US"/>
              </w:rPr>
              <w:t xml:space="preserve"> (2 ML)</w:t>
            </w:r>
          </w:p>
        </w:tc>
        <w:tc>
          <w:tcPr>
            <w:tcW w:w="894" w:type="dxa"/>
            <w:noWrap/>
            <w:vAlign w:val="center"/>
            <w:hideMark/>
          </w:tcPr>
          <w:p w14:paraId="0DB4955C" w14:textId="77777777" w:rsidR="002A2C65" w:rsidRPr="002A2C65" w:rsidRDefault="002A2C65" w:rsidP="00F23DE0">
            <w:pPr>
              <w:pStyle w:val="Body"/>
              <w:jc w:val="center"/>
              <w:rPr>
                <w:lang w:val="en-US"/>
              </w:rPr>
            </w:pPr>
            <w:r w:rsidRPr="002A2C65">
              <w:rPr>
                <w:lang w:val="en-US"/>
              </w:rPr>
              <w:t>84</w:t>
            </w:r>
          </w:p>
        </w:tc>
        <w:tc>
          <w:tcPr>
            <w:tcW w:w="895" w:type="dxa"/>
            <w:noWrap/>
            <w:vAlign w:val="center"/>
            <w:hideMark/>
          </w:tcPr>
          <w:p w14:paraId="63D2ABD5" w14:textId="77777777" w:rsidR="002A2C65" w:rsidRPr="002A2C65" w:rsidRDefault="002A2C65" w:rsidP="00F23DE0">
            <w:pPr>
              <w:pStyle w:val="Body"/>
              <w:jc w:val="center"/>
              <w:rPr>
                <w:lang w:val="en-US"/>
              </w:rPr>
            </w:pPr>
            <w:r w:rsidRPr="002A2C65">
              <w:rPr>
                <w:lang w:val="en-US"/>
              </w:rPr>
              <w:t>177</w:t>
            </w:r>
          </w:p>
        </w:tc>
        <w:tc>
          <w:tcPr>
            <w:tcW w:w="895" w:type="dxa"/>
            <w:noWrap/>
            <w:vAlign w:val="center"/>
            <w:hideMark/>
          </w:tcPr>
          <w:p w14:paraId="2416FA2D" w14:textId="77777777" w:rsidR="002A2C65" w:rsidRPr="002A2C65" w:rsidRDefault="002A2C65" w:rsidP="00F23DE0">
            <w:pPr>
              <w:pStyle w:val="Body"/>
              <w:jc w:val="center"/>
              <w:rPr>
                <w:lang w:val="en-US"/>
              </w:rPr>
            </w:pPr>
            <w:r w:rsidRPr="002A2C65">
              <w:rPr>
                <w:lang w:val="en-US"/>
              </w:rPr>
              <w:t>290</w:t>
            </w:r>
          </w:p>
        </w:tc>
        <w:tc>
          <w:tcPr>
            <w:tcW w:w="895" w:type="dxa"/>
            <w:noWrap/>
            <w:vAlign w:val="center"/>
            <w:hideMark/>
          </w:tcPr>
          <w:p w14:paraId="20884420" w14:textId="77777777" w:rsidR="002A2C65" w:rsidRPr="002A2C65" w:rsidRDefault="002A2C65" w:rsidP="00F23DE0">
            <w:pPr>
              <w:pStyle w:val="Body"/>
              <w:jc w:val="center"/>
              <w:rPr>
                <w:lang w:val="en-US"/>
              </w:rPr>
            </w:pPr>
            <w:r w:rsidRPr="002A2C65">
              <w:rPr>
                <w:lang w:val="en-US"/>
              </w:rPr>
              <w:t>419</w:t>
            </w:r>
          </w:p>
        </w:tc>
        <w:tc>
          <w:tcPr>
            <w:tcW w:w="1063" w:type="dxa"/>
            <w:noWrap/>
            <w:vAlign w:val="center"/>
            <w:hideMark/>
          </w:tcPr>
          <w:p w14:paraId="26AA46CF" w14:textId="251ACAA6" w:rsidR="002A2C65" w:rsidRPr="002A2C65" w:rsidRDefault="002A2C65" w:rsidP="00F23DE0">
            <w:pPr>
              <w:pStyle w:val="Body"/>
              <w:jc w:val="center"/>
              <w:rPr>
                <w:lang w:val="en-US"/>
              </w:rPr>
            </w:pPr>
            <w:r w:rsidRPr="002A2C65">
              <w:rPr>
                <w:lang w:val="en-US"/>
              </w:rPr>
              <w:t>1,26</w:t>
            </w:r>
            <w:r w:rsidR="006D5195">
              <w:rPr>
                <w:lang w:val="en-US"/>
              </w:rPr>
              <w:t>0</w:t>
            </w:r>
          </w:p>
        </w:tc>
        <w:tc>
          <w:tcPr>
            <w:tcW w:w="1063" w:type="dxa"/>
            <w:noWrap/>
            <w:vAlign w:val="center"/>
            <w:hideMark/>
          </w:tcPr>
          <w:p w14:paraId="6D6B3C1A" w14:textId="77777777" w:rsidR="002A2C65" w:rsidRPr="002A2C65" w:rsidRDefault="002A2C65" w:rsidP="00F23DE0">
            <w:pPr>
              <w:pStyle w:val="Body"/>
              <w:jc w:val="center"/>
              <w:rPr>
                <w:lang w:val="en-US"/>
              </w:rPr>
            </w:pPr>
            <w:r w:rsidRPr="002A2C65">
              <w:rPr>
                <w:lang w:val="en-US"/>
              </w:rPr>
              <w:t>2,130</w:t>
            </w:r>
          </w:p>
        </w:tc>
        <w:tc>
          <w:tcPr>
            <w:tcW w:w="1063" w:type="dxa"/>
            <w:noWrap/>
            <w:vAlign w:val="center"/>
            <w:hideMark/>
          </w:tcPr>
          <w:p w14:paraId="45EDA788" w14:textId="4B82C5C1" w:rsidR="002A2C65" w:rsidRPr="002A2C65" w:rsidRDefault="002A2C65" w:rsidP="00F23DE0">
            <w:pPr>
              <w:pStyle w:val="Body"/>
              <w:jc w:val="center"/>
              <w:rPr>
                <w:lang w:val="en-US"/>
              </w:rPr>
            </w:pPr>
            <w:r w:rsidRPr="002A2C65">
              <w:rPr>
                <w:lang w:val="en-US"/>
              </w:rPr>
              <w:t>3,6</w:t>
            </w:r>
            <w:r w:rsidR="006D5195">
              <w:rPr>
                <w:lang w:val="en-US"/>
              </w:rPr>
              <w:t>90</w:t>
            </w:r>
          </w:p>
        </w:tc>
        <w:tc>
          <w:tcPr>
            <w:tcW w:w="1063" w:type="dxa"/>
            <w:noWrap/>
            <w:vAlign w:val="center"/>
            <w:hideMark/>
          </w:tcPr>
          <w:p w14:paraId="4940F06F" w14:textId="56287A29" w:rsidR="002A2C65" w:rsidRPr="002A2C65" w:rsidRDefault="002A2C65" w:rsidP="00F23DE0">
            <w:pPr>
              <w:pStyle w:val="Body"/>
              <w:jc w:val="center"/>
              <w:rPr>
                <w:lang w:val="en-US"/>
              </w:rPr>
            </w:pPr>
            <w:r w:rsidRPr="002A2C65">
              <w:rPr>
                <w:lang w:val="en-US"/>
              </w:rPr>
              <w:t>8</w:t>
            </w:r>
            <w:r w:rsidR="006D5195">
              <w:rPr>
                <w:lang w:val="en-US"/>
              </w:rPr>
              <w:t>,280</w:t>
            </w:r>
          </w:p>
        </w:tc>
      </w:tr>
      <w:tr w:rsidR="002A2C65" w:rsidRPr="002A2C65" w14:paraId="5EF8133C" w14:textId="77777777" w:rsidTr="002F7BDE">
        <w:trPr>
          <w:trHeight w:hRule="exact" w:val="284"/>
        </w:trPr>
        <w:tc>
          <w:tcPr>
            <w:tcW w:w="1179" w:type="dxa"/>
            <w:noWrap/>
            <w:vAlign w:val="center"/>
            <w:hideMark/>
          </w:tcPr>
          <w:p w14:paraId="7A3D5AFA" w14:textId="7C73844E" w:rsidR="002A2C65" w:rsidRPr="002A2C65" w:rsidRDefault="002A2C65" w:rsidP="002A2C65">
            <w:pPr>
              <w:pStyle w:val="Body"/>
              <w:rPr>
                <w:lang w:val="en-US"/>
              </w:rPr>
            </w:pPr>
            <w:r w:rsidRPr="002A2C65">
              <w:rPr>
                <w:lang w:val="en-US"/>
              </w:rPr>
              <w:t>C-1</w:t>
            </w:r>
            <w:r w:rsidR="00065326">
              <w:rPr>
                <w:lang w:val="en-US"/>
              </w:rPr>
              <w:t xml:space="preserve"> (0.5 ML)</w:t>
            </w:r>
          </w:p>
        </w:tc>
        <w:tc>
          <w:tcPr>
            <w:tcW w:w="894" w:type="dxa"/>
            <w:noWrap/>
            <w:vAlign w:val="center"/>
            <w:hideMark/>
          </w:tcPr>
          <w:p w14:paraId="1ED8153E" w14:textId="77777777" w:rsidR="002A2C65" w:rsidRPr="002A2C65" w:rsidRDefault="002A2C65" w:rsidP="00F23DE0">
            <w:pPr>
              <w:pStyle w:val="Body"/>
              <w:jc w:val="center"/>
              <w:rPr>
                <w:lang w:val="en-US"/>
              </w:rPr>
            </w:pPr>
            <w:r w:rsidRPr="002A2C65">
              <w:rPr>
                <w:lang w:val="en-US"/>
              </w:rPr>
              <w:t>421</w:t>
            </w:r>
          </w:p>
        </w:tc>
        <w:tc>
          <w:tcPr>
            <w:tcW w:w="895" w:type="dxa"/>
            <w:noWrap/>
            <w:vAlign w:val="center"/>
            <w:hideMark/>
          </w:tcPr>
          <w:p w14:paraId="62B3BF11" w14:textId="77777777" w:rsidR="002A2C65" w:rsidRPr="002A2C65" w:rsidRDefault="002A2C65" w:rsidP="00F23DE0">
            <w:pPr>
              <w:pStyle w:val="Body"/>
              <w:jc w:val="center"/>
              <w:rPr>
                <w:lang w:val="en-US"/>
              </w:rPr>
            </w:pPr>
            <w:r w:rsidRPr="002A2C65">
              <w:rPr>
                <w:lang w:val="en-US"/>
              </w:rPr>
              <w:t>807</w:t>
            </w:r>
          </w:p>
        </w:tc>
        <w:tc>
          <w:tcPr>
            <w:tcW w:w="895" w:type="dxa"/>
            <w:noWrap/>
            <w:vAlign w:val="center"/>
            <w:hideMark/>
          </w:tcPr>
          <w:p w14:paraId="24B5DD53" w14:textId="77777777" w:rsidR="002A2C65" w:rsidRPr="002A2C65" w:rsidRDefault="002A2C65" w:rsidP="00F23DE0">
            <w:pPr>
              <w:pStyle w:val="Body"/>
              <w:jc w:val="center"/>
              <w:rPr>
                <w:lang w:val="en-US"/>
              </w:rPr>
            </w:pPr>
            <w:r w:rsidRPr="002A2C65">
              <w:rPr>
                <w:lang w:val="en-US"/>
              </w:rPr>
              <w:t>1,270</w:t>
            </w:r>
          </w:p>
        </w:tc>
        <w:tc>
          <w:tcPr>
            <w:tcW w:w="895" w:type="dxa"/>
            <w:noWrap/>
            <w:vAlign w:val="center"/>
            <w:hideMark/>
          </w:tcPr>
          <w:p w14:paraId="6FF86D13" w14:textId="00B74DB5" w:rsidR="002A2C65" w:rsidRPr="002A2C65" w:rsidRDefault="002A2C65" w:rsidP="00F23DE0">
            <w:pPr>
              <w:pStyle w:val="Body"/>
              <w:jc w:val="center"/>
              <w:rPr>
                <w:lang w:val="en-US"/>
              </w:rPr>
            </w:pPr>
            <w:r w:rsidRPr="002A2C65">
              <w:rPr>
                <w:lang w:val="en-US"/>
              </w:rPr>
              <w:t>1,</w:t>
            </w:r>
            <w:r w:rsidR="006D5195">
              <w:rPr>
                <w:lang w:val="en-US"/>
              </w:rPr>
              <w:t>800</w:t>
            </w:r>
          </w:p>
        </w:tc>
        <w:tc>
          <w:tcPr>
            <w:tcW w:w="1063" w:type="dxa"/>
            <w:noWrap/>
            <w:vAlign w:val="center"/>
            <w:hideMark/>
          </w:tcPr>
          <w:p w14:paraId="287D6D63" w14:textId="07D76C79" w:rsidR="002A2C65" w:rsidRPr="002A2C65" w:rsidRDefault="002A2C65" w:rsidP="00F23DE0">
            <w:pPr>
              <w:pStyle w:val="Body"/>
              <w:jc w:val="center"/>
              <w:rPr>
                <w:lang w:val="en-US"/>
              </w:rPr>
            </w:pPr>
            <w:r w:rsidRPr="002A2C65">
              <w:rPr>
                <w:lang w:val="en-US"/>
              </w:rPr>
              <w:t>5,2</w:t>
            </w:r>
            <w:r w:rsidR="006D5195">
              <w:rPr>
                <w:lang w:val="en-US"/>
              </w:rPr>
              <w:t>40</w:t>
            </w:r>
          </w:p>
        </w:tc>
        <w:tc>
          <w:tcPr>
            <w:tcW w:w="1063" w:type="dxa"/>
            <w:noWrap/>
            <w:vAlign w:val="center"/>
            <w:hideMark/>
          </w:tcPr>
          <w:p w14:paraId="6EDA2FA0" w14:textId="485CDD5D" w:rsidR="002A2C65" w:rsidRPr="002A2C65" w:rsidRDefault="002A2C65" w:rsidP="00F23DE0">
            <w:pPr>
              <w:pStyle w:val="Body"/>
              <w:jc w:val="center"/>
              <w:rPr>
                <w:lang w:val="en-US"/>
              </w:rPr>
            </w:pPr>
            <w:r w:rsidRPr="002A2C65">
              <w:rPr>
                <w:lang w:val="en-US"/>
              </w:rPr>
              <w:t>8,7</w:t>
            </w:r>
            <w:r w:rsidR="006D5195">
              <w:rPr>
                <w:lang w:val="en-US"/>
              </w:rPr>
              <w:t>30</w:t>
            </w:r>
          </w:p>
        </w:tc>
        <w:tc>
          <w:tcPr>
            <w:tcW w:w="1063" w:type="dxa"/>
            <w:noWrap/>
            <w:vAlign w:val="center"/>
            <w:hideMark/>
          </w:tcPr>
          <w:p w14:paraId="436203F6" w14:textId="10F9EE12" w:rsidR="002A2C65" w:rsidRPr="002A2C65" w:rsidRDefault="002A2C65" w:rsidP="00F23DE0">
            <w:pPr>
              <w:pStyle w:val="Body"/>
              <w:jc w:val="center"/>
              <w:rPr>
                <w:lang w:val="en-US"/>
              </w:rPr>
            </w:pPr>
            <w:r w:rsidRPr="002A2C65">
              <w:rPr>
                <w:lang w:val="en-US"/>
              </w:rPr>
              <w:t>15,0</w:t>
            </w:r>
            <w:r w:rsidR="006D5195">
              <w:rPr>
                <w:lang w:val="en-US"/>
              </w:rPr>
              <w:t>20</w:t>
            </w:r>
          </w:p>
        </w:tc>
        <w:tc>
          <w:tcPr>
            <w:tcW w:w="1063" w:type="dxa"/>
            <w:noWrap/>
            <w:vAlign w:val="center"/>
            <w:hideMark/>
          </w:tcPr>
          <w:p w14:paraId="223ED181" w14:textId="0D434A7B" w:rsidR="002A2C65" w:rsidRPr="002A2C65" w:rsidRDefault="006D5195" w:rsidP="00F23DE0">
            <w:pPr>
              <w:pStyle w:val="Body"/>
              <w:jc w:val="center"/>
              <w:rPr>
                <w:lang w:val="en-US"/>
              </w:rPr>
            </w:pPr>
            <w:r>
              <w:rPr>
                <w:lang w:val="en-US"/>
              </w:rPr>
              <w:t>33,500</w:t>
            </w:r>
          </w:p>
        </w:tc>
      </w:tr>
      <w:tr w:rsidR="002A2C65" w:rsidRPr="002A2C65" w14:paraId="23E839F9" w14:textId="77777777" w:rsidTr="002F7BDE">
        <w:trPr>
          <w:trHeight w:hRule="exact" w:val="284"/>
        </w:trPr>
        <w:tc>
          <w:tcPr>
            <w:tcW w:w="1179" w:type="dxa"/>
            <w:noWrap/>
            <w:vAlign w:val="center"/>
            <w:hideMark/>
          </w:tcPr>
          <w:p w14:paraId="6E06C8AC" w14:textId="3BBCF562" w:rsidR="002A2C65" w:rsidRPr="002A2C65" w:rsidRDefault="002A2C65" w:rsidP="002A2C65">
            <w:pPr>
              <w:pStyle w:val="Body"/>
              <w:rPr>
                <w:lang w:val="en-US"/>
              </w:rPr>
            </w:pPr>
            <w:r w:rsidRPr="002A2C65">
              <w:rPr>
                <w:lang w:val="en-US"/>
              </w:rPr>
              <w:t>C-2</w:t>
            </w:r>
            <w:r w:rsidR="00065326">
              <w:rPr>
                <w:lang w:val="en-US"/>
              </w:rPr>
              <w:t xml:space="preserve"> (1 ML)</w:t>
            </w:r>
          </w:p>
        </w:tc>
        <w:tc>
          <w:tcPr>
            <w:tcW w:w="894" w:type="dxa"/>
            <w:noWrap/>
            <w:vAlign w:val="center"/>
            <w:hideMark/>
          </w:tcPr>
          <w:p w14:paraId="154D738F" w14:textId="77777777" w:rsidR="002A2C65" w:rsidRPr="002A2C65" w:rsidRDefault="002A2C65" w:rsidP="00F23DE0">
            <w:pPr>
              <w:pStyle w:val="Body"/>
              <w:jc w:val="center"/>
              <w:rPr>
                <w:lang w:val="en-US"/>
              </w:rPr>
            </w:pPr>
            <w:r w:rsidRPr="002A2C65">
              <w:rPr>
                <w:lang w:val="en-US"/>
              </w:rPr>
              <w:t>213</w:t>
            </w:r>
          </w:p>
        </w:tc>
        <w:tc>
          <w:tcPr>
            <w:tcW w:w="895" w:type="dxa"/>
            <w:noWrap/>
            <w:vAlign w:val="center"/>
            <w:hideMark/>
          </w:tcPr>
          <w:p w14:paraId="5756FF34" w14:textId="77777777" w:rsidR="002A2C65" w:rsidRPr="002A2C65" w:rsidRDefault="002A2C65" w:rsidP="00F23DE0">
            <w:pPr>
              <w:pStyle w:val="Body"/>
              <w:jc w:val="center"/>
              <w:rPr>
                <w:lang w:val="en-US"/>
              </w:rPr>
            </w:pPr>
            <w:r w:rsidRPr="002A2C65">
              <w:rPr>
                <w:lang w:val="en-US"/>
              </w:rPr>
              <w:t>406</w:t>
            </w:r>
          </w:p>
        </w:tc>
        <w:tc>
          <w:tcPr>
            <w:tcW w:w="895" w:type="dxa"/>
            <w:noWrap/>
            <w:vAlign w:val="center"/>
            <w:hideMark/>
          </w:tcPr>
          <w:p w14:paraId="3F8947F4" w14:textId="77777777" w:rsidR="002A2C65" w:rsidRPr="002A2C65" w:rsidRDefault="002A2C65" w:rsidP="00F23DE0">
            <w:pPr>
              <w:pStyle w:val="Body"/>
              <w:jc w:val="center"/>
              <w:rPr>
                <w:lang w:val="en-US"/>
              </w:rPr>
            </w:pPr>
            <w:r w:rsidRPr="002A2C65">
              <w:rPr>
                <w:lang w:val="en-US"/>
              </w:rPr>
              <w:t>638</w:t>
            </w:r>
          </w:p>
        </w:tc>
        <w:tc>
          <w:tcPr>
            <w:tcW w:w="895" w:type="dxa"/>
            <w:noWrap/>
            <w:vAlign w:val="center"/>
            <w:hideMark/>
          </w:tcPr>
          <w:p w14:paraId="109A4238" w14:textId="77777777" w:rsidR="002A2C65" w:rsidRPr="002A2C65" w:rsidRDefault="002A2C65" w:rsidP="00F23DE0">
            <w:pPr>
              <w:pStyle w:val="Body"/>
              <w:jc w:val="center"/>
              <w:rPr>
                <w:lang w:val="en-US"/>
              </w:rPr>
            </w:pPr>
            <w:r w:rsidRPr="002A2C65">
              <w:rPr>
                <w:lang w:val="en-US"/>
              </w:rPr>
              <w:t>903</w:t>
            </w:r>
          </w:p>
        </w:tc>
        <w:tc>
          <w:tcPr>
            <w:tcW w:w="1063" w:type="dxa"/>
            <w:noWrap/>
            <w:vAlign w:val="center"/>
            <w:hideMark/>
          </w:tcPr>
          <w:p w14:paraId="08EB2B60" w14:textId="4FF11F72" w:rsidR="002A2C65" w:rsidRPr="002A2C65" w:rsidRDefault="002A2C65" w:rsidP="00F23DE0">
            <w:pPr>
              <w:pStyle w:val="Body"/>
              <w:jc w:val="center"/>
              <w:rPr>
                <w:lang w:val="en-US"/>
              </w:rPr>
            </w:pPr>
            <w:r w:rsidRPr="002A2C65">
              <w:rPr>
                <w:lang w:val="en-US"/>
              </w:rPr>
              <w:t>2,62</w:t>
            </w:r>
            <w:r w:rsidR="006D5195">
              <w:rPr>
                <w:lang w:val="en-US"/>
              </w:rPr>
              <w:t>0</w:t>
            </w:r>
          </w:p>
        </w:tc>
        <w:tc>
          <w:tcPr>
            <w:tcW w:w="1063" w:type="dxa"/>
            <w:noWrap/>
            <w:vAlign w:val="center"/>
            <w:hideMark/>
          </w:tcPr>
          <w:p w14:paraId="40EBAADC" w14:textId="2E4472C4" w:rsidR="002A2C65" w:rsidRPr="002A2C65" w:rsidRDefault="002A2C65" w:rsidP="00F23DE0">
            <w:pPr>
              <w:pStyle w:val="Body"/>
              <w:jc w:val="center"/>
              <w:rPr>
                <w:lang w:val="en-US"/>
              </w:rPr>
            </w:pPr>
            <w:r w:rsidRPr="002A2C65">
              <w:rPr>
                <w:lang w:val="en-US"/>
              </w:rPr>
              <w:t>4,37</w:t>
            </w:r>
            <w:r w:rsidR="006D5195">
              <w:rPr>
                <w:lang w:val="en-US"/>
              </w:rPr>
              <w:t>0</w:t>
            </w:r>
          </w:p>
        </w:tc>
        <w:tc>
          <w:tcPr>
            <w:tcW w:w="1063" w:type="dxa"/>
            <w:noWrap/>
            <w:vAlign w:val="center"/>
            <w:hideMark/>
          </w:tcPr>
          <w:p w14:paraId="2C06A179" w14:textId="6817ED3C" w:rsidR="002A2C65" w:rsidRPr="002A2C65" w:rsidRDefault="002A2C65" w:rsidP="00F23DE0">
            <w:pPr>
              <w:pStyle w:val="Body"/>
              <w:jc w:val="center"/>
              <w:rPr>
                <w:lang w:val="en-US"/>
              </w:rPr>
            </w:pPr>
            <w:r w:rsidRPr="002A2C65">
              <w:rPr>
                <w:lang w:val="en-US"/>
              </w:rPr>
              <w:t>7,5</w:t>
            </w:r>
            <w:r w:rsidR="006D5195">
              <w:rPr>
                <w:lang w:val="en-US"/>
              </w:rPr>
              <w:t>10</w:t>
            </w:r>
          </w:p>
        </w:tc>
        <w:tc>
          <w:tcPr>
            <w:tcW w:w="1063" w:type="dxa"/>
            <w:noWrap/>
            <w:vAlign w:val="center"/>
            <w:hideMark/>
          </w:tcPr>
          <w:p w14:paraId="156D79D9" w14:textId="15AE3260" w:rsidR="002A2C65" w:rsidRPr="002A2C65" w:rsidRDefault="002A2C65" w:rsidP="00F23DE0">
            <w:pPr>
              <w:pStyle w:val="Body"/>
              <w:jc w:val="center"/>
              <w:rPr>
                <w:lang w:val="en-US"/>
              </w:rPr>
            </w:pPr>
            <w:r w:rsidRPr="002A2C65">
              <w:rPr>
                <w:lang w:val="en-US"/>
              </w:rPr>
              <w:t>1</w:t>
            </w:r>
            <w:r w:rsidR="006D5195">
              <w:rPr>
                <w:lang w:val="en-US"/>
              </w:rPr>
              <w:t>6,700</w:t>
            </w:r>
          </w:p>
        </w:tc>
      </w:tr>
      <w:tr w:rsidR="002A2C65" w:rsidRPr="002A2C65" w14:paraId="414E76A5" w14:textId="77777777" w:rsidTr="002F7BDE">
        <w:trPr>
          <w:trHeight w:hRule="exact" w:val="284"/>
        </w:trPr>
        <w:tc>
          <w:tcPr>
            <w:tcW w:w="1179" w:type="dxa"/>
            <w:noWrap/>
            <w:vAlign w:val="center"/>
            <w:hideMark/>
          </w:tcPr>
          <w:p w14:paraId="1F04CB84" w14:textId="70C3583F" w:rsidR="002A2C65" w:rsidRPr="002A2C65" w:rsidRDefault="002A2C65" w:rsidP="002A2C65">
            <w:pPr>
              <w:pStyle w:val="Body"/>
              <w:rPr>
                <w:lang w:val="en-US"/>
              </w:rPr>
            </w:pPr>
            <w:r w:rsidRPr="002A2C65">
              <w:rPr>
                <w:lang w:val="en-US"/>
              </w:rPr>
              <w:t>C-3</w:t>
            </w:r>
            <w:r w:rsidR="00065326">
              <w:rPr>
                <w:lang w:val="en-US"/>
              </w:rPr>
              <w:t xml:space="preserve"> (2 ML)</w:t>
            </w:r>
          </w:p>
        </w:tc>
        <w:tc>
          <w:tcPr>
            <w:tcW w:w="894" w:type="dxa"/>
            <w:noWrap/>
            <w:vAlign w:val="center"/>
            <w:hideMark/>
          </w:tcPr>
          <w:p w14:paraId="16005A6D" w14:textId="77777777" w:rsidR="002A2C65" w:rsidRPr="002A2C65" w:rsidRDefault="002A2C65" w:rsidP="00F23DE0">
            <w:pPr>
              <w:pStyle w:val="Body"/>
              <w:jc w:val="center"/>
              <w:rPr>
                <w:lang w:val="en-US"/>
              </w:rPr>
            </w:pPr>
            <w:r w:rsidRPr="002A2C65">
              <w:rPr>
                <w:lang w:val="en-US"/>
              </w:rPr>
              <w:t>108</w:t>
            </w:r>
          </w:p>
        </w:tc>
        <w:tc>
          <w:tcPr>
            <w:tcW w:w="895" w:type="dxa"/>
            <w:noWrap/>
            <w:vAlign w:val="center"/>
            <w:hideMark/>
          </w:tcPr>
          <w:p w14:paraId="2699C86A" w14:textId="77777777" w:rsidR="002A2C65" w:rsidRPr="002A2C65" w:rsidRDefault="002A2C65" w:rsidP="00F23DE0">
            <w:pPr>
              <w:pStyle w:val="Body"/>
              <w:jc w:val="center"/>
              <w:rPr>
                <w:lang w:val="en-US"/>
              </w:rPr>
            </w:pPr>
            <w:r w:rsidRPr="002A2C65">
              <w:rPr>
                <w:lang w:val="en-US"/>
              </w:rPr>
              <w:t>205</w:t>
            </w:r>
          </w:p>
        </w:tc>
        <w:tc>
          <w:tcPr>
            <w:tcW w:w="895" w:type="dxa"/>
            <w:noWrap/>
            <w:vAlign w:val="center"/>
            <w:hideMark/>
          </w:tcPr>
          <w:p w14:paraId="74AA428D" w14:textId="77777777" w:rsidR="002A2C65" w:rsidRPr="002A2C65" w:rsidRDefault="002A2C65" w:rsidP="00F23DE0">
            <w:pPr>
              <w:pStyle w:val="Body"/>
              <w:jc w:val="center"/>
              <w:rPr>
                <w:lang w:val="en-US"/>
              </w:rPr>
            </w:pPr>
            <w:r w:rsidRPr="002A2C65">
              <w:rPr>
                <w:lang w:val="en-US"/>
              </w:rPr>
              <w:t>321</w:t>
            </w:r>
          </w:p>
        </w:tc>
        <w:tc>
          <w:tcPr>
            <w:tcW w:w="895" w:type="dxa"/>
            <w:noWrap/>
            <w:vAlign w:val="center"/>
            <w:hideMark/>
          </w:tcPr>
          <w:p w14:paraId="42C81654" w14:textId="77777777" w:rsidR="002A2C65" w:rsidRPr="002A2C65" w:rsidRDefault="002A2C65" w:rsidP="00F23DE0">
            <w:pPr>
              <w:pStyle w:val="Body"/>
              <w:jc w:val="center"/>
              <w:rPr>
                <w:lang w:val="en-US"/>
              </w:rPr>
            </w:pPr>
            <w:r w:rsidRPr="002A2C65">
              <w:rPr>
                <w:lang w:val="en-US"/>
              </w:rPr>
              <w:t>454</w:t>
            </w:r>
          </w:p>
        </w:tc>
        <w:tc>
          <w:tcPr>
            <w:tcW w:w="1063" w:type="dxa"/>
            <w:noWrap/>
            <w:vAlign w:val="center"/>
            <w:hideMark/>
          </w:tcPr>
          <w:p w14:paraId="110D7F24" w14:textId="4DEFCCF1" w:rsidR="002A2C65" w:rsidRPr="002A2C65" w:rsidRDefault="002A2C65" w:rsidP="00F23DE0">
            <w:pPr>
              <w:pStyle w:val="Body"/>
              <w:jc w:val="center"/>
              <w:rPr>
                <w:lang w:val="en-US"/>
              </w:rPr>
            </w:pPr>
            <w:r w:rsidRPr="002A2C65">
              <w:rPr>
                <w:lang w:val="en-US"/>
              </w:rPr>
              <w:t>1,31</w:t>
            </w:r>
            <w:r w:rsidR="006D5195">
              <w:rPr>
                <w:lang w:val="en-US"/>
              </w:rPr>
              <w:t>0</w:t>
            </w:r>
          </w:p>
        </w:tc>
        <w:tc>
          <w:tcPr>
            <w:tcW w:w="1063" w:type="dxa"/>
            <w:noWrap/>
            <w:vAlign w:val="center"/>
            <w:hideMark/>
          </w:tcPr>
          <w:p w14:paraId="4DD34DC3" w14:textId="77777777" w:rsidR="002A2C65" w:rsidRPr="002A2C65" w:rsidRDefault="002A2C65" w:rsidP="00F23DE0">
            <w:pPr>
              <w:pStyle w:val="Body"/>
              <w:jc w:val="center"/>
              <w:rPr>
                <w:lang w:val="en-US"/>
              </w:rPr>
            </w:pPr>
            <w:r w:rsidRPr="002A2C65">
              <w:rPr>
                <w:lang w:val="en-US"/>
              </w:rPr>
              <w:t>2,190</w:t>
            </w:r>
          </w:p>
        </w:tc>
        <w:tc>
          <w:tcPr>
            <w:tcW w:w="1063" w:type="dxa"/>
            <w:noWrap/>
            <w:vAlign w:val="center"/>
            <w:hideMark/>
          </w:tcPr>
          <w:p w14:paraId="3E5B08D5" w14:textId="3AA051A3" w:rsidR="002A2C65" w:rsidRPr="002A2C65" w:rsidRDefault="002A2C65" w:rsidP="00F23DE0">
            <w:pPr>
              <w:pStyle w:val="Body"/>
              <w:jc w:val="center"/>
              <w:rPr>
                <w:lang w:val="en-US"/>
              </w:rPr>
            </w:pPr>
            <w:r w:rsidRPr="002A2C65">
              <w:rPr>
                <w:lang w:val="en-US"/>
              </w:rPr>
              <w:t>3,7</w:t>
            </w:r>
            <w:r w:rsidR="006D5195">
              <w:rPr>
                <w:lang w:val="en-US"/>
              </w:rPr>
              <w:t>60</w:t>
            </w:r>
          </w:p>
        </w:tc>
        <w:tc>
          <w:tcPr>
            <w:tcW w:w="1063" w:type="dxa"/>
            <w:noWrap/>
            <w:vAlign w:val="center"/>
            <w:hideMark/>
          </w:tcPr>
          <w:p w14:paraId="456EA8CC" w14:textId="3454F898" w:rsidR="002A2C65" w:rsidRPr="002A2C65" w:rsidRDefault="002A2C65" w:rsidP="00F23DE0">
            <w:pPr>
              <w:pStyle w:val="Body"/>
              <w:jc w:val="center"/>
              <w:rPr>
                <w:lang w:val="en-US"/>
              </w:rPr>
            </w:pPr>
            <w:r w:rsidRPr="002A2C65">
              <w:rPr>
                <w:lang w:val="en-US"/>
              </w:rPr>
              <w:t>8,3</w:t>
            </w:r>
            <w:r w:rsidR="006D5195">
              <w:rPr>
                <w:lang w:val="en-US"/>
              </w:rPr>
              <w:t>70</w:t>
            </w:r>
          </w:p>
        </w:tc>
      </w:tr>
    </w:tbl>
    <w:p w14:paraId="61348406" w14:textId="77777777" w:rsidR="002A2C65" w:rsidRDefault="002A2C65" w:rsidP="00D4394F">
      <w:pPr>
        <w:pStyle w:val="Body"/>
      </w:pPr>
    </w:p>
    <w:p w14:paraId="32E50083" w14:textId="3E00297B" w:rsidR="00D4394F" w:rsidRDefault="00D4394F" w:rsidP="00D4394F">
      <w:pPr>
        <w:pStyle w:val="Imagecaption"/>
        <w:keepNext/>
        <w:pBdr>
          <w:top w:val="none" w:sz="0" w:space="0" w:color="auto"/>
        </w:pBdr>
      </w:pPr>
      <w:bookmarkStart w:id="693" w:name="_Ref467599303"/>
      <w:bookmarkStart w:id="694" w:name="_Toc494444745"/>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17</w:t>
      </w:r>
      <w:r w:rsidR="00470577">
        <w:fldChar w:fldCharType="end"/>
      </w:r>
      <w:bookmarkEnd w:id="693"/>
      <w:r>
        <w:t xml:space="preserve"> Calculated relative concentration at receptor when all three attenuation processes are accounted for: chemical/biological degradation, sorption, and dilution/dispersion</w:t>
      </w:r>
      <w:r w:rsidR="00997EC1">
        <w:t xml:space="preserve"> (cubic source C-2</w:t>
      </w:r>
      <w:r w:rsidR="00CD5A5A">
        <w:t>, 1 ML</w:t>
      </w:r>
      <w:r w:rsidR="00997EC1">
        <w:t>)</w:t>
      </w:r>
      <w:r>
        <w:t xml:space="preserve">. Results are for </w:t>
      </w:r>
      <w:r w:rsidR="00382190">
        <w:t xml:space="preserve">a </w:t>
      </w:r>
      <w:r>
        <w:t xml:space="preserve">minimum travel time </w:t>
      </w:r>
      <w:r w:rsidR="00382190">
        <w:t xml:space="preserve">of 10 years </w:t>
      </w:r>
      <w:r w:rsidR="003C43A9">
        <w:t xml:space="preserve">(travel time class # 1 </w:t>
      </w:r>
      <w:r w:rsidR="003C43A9">
        <w:fldChar w:fldCharType="begin" w:fldLock="1"/>
      </w:r>
      <w:r w:rsidR="003C43A9">
        <w:instrText xml:space="preserve"> REF _Ref454384797 \h  \* MERGEFORMAT </w:instrText>
      </w:r>
      <w:r w:rsidR="003C43A9">
        <w:fldChar w:fldCharType="separate"/>
      </w:r>
      <w:r w:rsidR="00335E79" w:rsidRPr="00DA539C">
        <w:t xml:space="preserve">Table </w:t>
      </w:r>
      <w:r w:rsidR="00335E79">
        <w:t>2</w:t>
      </w:r>
      <w:r w:rsidR="00335E79">
        <w:noBreakHyphen/>
        <w:t>24</w:t>
      </w:r>
      <w:r w:rsidR="003C43A9">
        <w:fldChar w:fldCharType="end"/>
      </w:r>
      <w:r>
        <w:t>). MCI = Methyl-chloro-isothiazolinone. Initial source concentration is 1 (no units specified). (</w:t>
      </w:r>
      <w:r w:rsidRPr="00A6566A">
        <w:t>f</w:t>
      </w:r>
      <w:r w:rsidRPr="00526F41">
        <w:rPr>
          <w:vertAlign w:val="subscript"/>
        </w:rPr>
        <w:t>OC</w:t>
      </w:r>
      <w:r w:rsidR="00F23174">
        <w:rPr>
          <w:vertAlign w:val="subscript"/>
        </w:rPr>
        <w:t>_r</w:t>
      </w:r>
      <w:r w:rsidRPr="00A6566A">
        <w:t xml:space="preserve"> </w:t>
      </w:r>
      <w:r>
        <w:t xml:space="preserve">= </w:t>
      </w:r>
      <w:r w:rsidRPr="002C24F4">
        <w:t>0.001</w:t>
      </w:r>
      <w:r>
        <w:t xml:space="preserve">). Underlined numbers have their concentrations decreased compared to calculations without sorption. When two numbers are shown results represent minimum/maximum </w:t>
      </w:r>
      <w:proofErr w:type="gramStart"/>
      <w:r w:rsidR="007B3DC4" w:rsidRPr="00E6110F">
        <w:t>R</w:t>
      </w:r>
      <w:r w:rsidR="007B3DC4" w:rsidRPr="007B3DC4">
        <w:rPr>
          <w:i w:val="0"/>
          <w:vertAlign w:val="subscript"/>
        </w:rPr>
        <w:t>f</w:t>
      </w:r>
      <w:proofErr w:type="gramEnd"/>
      <w:r w:rsidR="007B3DC4">
        <w:t xml:space="preserve"> </w:t>
      </w:r>
      <w:r>
        <w:t>values.</w:t>
      </w:r>
      <w:bookmarkEnd w:id="694"/>
    </w:p>
    <w:tbl>
      <w:tblPr>
        <w:tblW w:w="8485" w:type="dxa"/>
        <w:tblInd w:w="-30" w:type="dxa"/>
        <w:tblLayout w:type="fixed"/>
        <w:tblLook w:val="0000" w:firstRow="0" w:lastRow="0" w:firstColumn="0" w:lastColumn="0" w:noHBand="0" w:noVBand="0"/>
      </w:tblPr>
      <w:tblGrid>
        <w:gridCol w:w="1776"/>
        <w:gridCol w:w="801"/>
        <w:gridCol w:w="142"/>
        <w:gridCol w:w="1224"/>
        <w:gridCol w:w="6"/>
        <w:gridCol w:w="1038"/>
        <w:gridCol w:w="1224"/>
        <w:gridCol w:w="6"/>
        <w:gridCol w:w="1179"/>
        <w:gridCol w:w="142"/>
        <w:gridCol w:w="941"/>
        <w:gridCol w:w="6"/>
      </w:tblGrid>
      <w:tr w:rsidR="00D4394F" w14:paraId="144945EB" w14:textId="77777777" w:rsidTr="00D4321E">
        <w:trPr>
          <w:trHeight w:val="290"/>
        </w:trPr>
        <w:tc>
          <w:tcPr>
            <w:tcW w:w="1776" w:type="dxa"/>
            <w:tcBorders>
              <w:top w:val="single" w:sz="4" w:space="0" w:color="auto"/>
              <w:left w:val="single" w:sz="4" w:space="0" w:color="auto"/>
              <w:bottom w:val="nil"/>
              <w:right w:val="nil"/>
            </w:tcBorders>
          </w:tcPr>
          <w:p w14:paraId="1651645B" w14:textId="77777777" w:rsidR="00D4394F" w:rsidRDefault="00D4394F" w:rsidP="00B66F1C">
            <w:pPr>
              <w:autoSpaceDE w:val="0"/>
              <w:autoSpaceDN w:val="0"/>
              <w:adjustRightInd w:val="0"/>
              <w:spacing w:after="0"/>
              <w:jc w:val="right"/>
              <w:rPr>
                <w:rFonts w:ascii="Calibri" w:hAnsi="Calibri" w:cs="Calibri"/>
                <w:color w:val="000000"/>
                <w:sz w:val="22"/>
                <w:szCs w:val="22"/>
                <w:lang w:val="en-AU"/>
              </w:rPr>
            </w:pPr>
          </w:p>
        </w:tc>
        <w:tc>
          <w:tcPr>
            <w:tcW w:w="6709" w:type="dxa"/>
            <w:gridSpan w:val="11"/>
            <w:tcBorders>
              <w:top w:val="single" w:sz="4" w:space="0" w:color="auto"/>
              <w:left w:val="nil"/>
              <w:bottom w:val="nil"/>
              <w:right w:val="single" w:sz="4" w:space="0" w:color="auto"/>
            </w:tcBorders>
          </w:tcPr>
          <w:p w14:paraId="4B83A477" w14:textId="6798F874" w:rsidR="00D4394F" w:rsidRPr="00BB3FD1" w:rsidRDefault="00D4394F" w:rsidP="00D4321E">
            <w:pPr>
              <w:autoSpaceDE w:val="0"/>
              <w:autoSpaceDN w:val="0"/>
              <w:adjustRightInd w:val="0"/>
              <w:spacing w:after="0"/>
              <w:jc w:val="center"/>
              <w:rPr>
                <w:rFonts w:ascii="Calibri" w:hAnsi="Calibri" w:cs="Calibri"/>
                <w:color w:val="000000"/>
                <w:sz w:val="18"/>
                <w:szCs w:val="18"/>
                <w:lang w:val="en-AU"/>
              </w:rPr>
            </w:pPr>
            <w:r w:rsidRPr="00BB3FD1">
              <w:rPr>
                <w:rFonts w:ascii="Calibri" w:hAnsi="Calibri" w:cs="Calibri"/>
                <w:color w:val="000000"/>
                <w:sz w:val="18"/>
                <w:szCs w:val="18"/>
                <w:lang w:val="en-AU"/>
              </w:rPr>
              <w:t xml:space="preserve">Relative concentration </w:t>
            </w:r>
            <w:r w:rsidR="00D4321E" w:rsidRPr="00BB3FD1">
              <w:rPr>
                <w:rFonts w:ascii="Calibri" w:hAnsi="Calibri" w:cs="Calibri"/>
                <w:color w:val="000000"/>
                <w:sz w:val="18"/>
                <w:szCs w:val="18"/>
                <w:lang w:val="en-AU"/>
              </w:rPr>
              <w:t>(-)</w:t>
            </w:r>
            <w:r w:rsidR="00D4321E">
              <w:rPr>
                <w:rFonts w:ascii="Calibri" w:hAnsi="Calibri" w:cs="Calibri"/>
                <w:color w:val="000000"/>
                <w:sz w:val="18"/>
                <w:szCs w:val="18"/>
                <w:lang w:val="en-AU"/>
              </w:rPr>
              <w:t xml:space="preserve"> </w:t>
            </w:r>
            <w:r w:rsidRPr="00BB3FD1">
              <w:rPr>
                <w:rFonts w:ascii="Calibri" w:hAnsi="Calibri" w:cs="Calibri"/>
                <w:color w:val="000000"/>
                <w:sz w:val="18"/>
                <w:szCs w:val="18"/>
                <w:lang w:val="en-AU"/>
              </w:rPr>
              <w:t>at receptor: minimum travel time</w:t>
            </w:r>
          </w:p>
        </w:tc>
      </w:tr>
      <w:tr w:rsidR="00D4394F" w14:paraId="59DA331D" w14:textId="77777777" w:rsidTr="00D4321E">
        <w:trPr>
          <w:trHeight w:val="290"/>
        </w:trPr>
        <w:tc>
          <w:tcPr>
            <w:tcW w:w="1776" w:type="dxa"/>
            <w:tcBorders>
              <w:top w:val="nil"/>
              <w:left w:val="single" w:sz="4" w:space="0" w:color="auto"/>
              <w:bottom w:val="nil"/>
              <w:right w:val="nil"/>
            </w:tcBorders>
          </w:tcPr>
          <w:p w14:paraId="5A0C164C" w14:textId="77777777" w:rsidR="00D4394F" w:rsidRDefault="00D4394F" w:rsidP="00B66F1C">
            <w:pPr>
              <w:autoSpaceDE w:val="0"/>
              <w:autoSpaceDN w:val="0"/>
              <w:adjustRightInd w:val="0"/>
              <w:spacing w:after="0"/>
              <w:jc w:val="right"/>
              <w:rPr>
                <w:rFonts w:ascii="Calibri" w:hAnsi="Calibri" w:cs="Calibri"/>
                <w:color w:val="000000"/>
                <w:sz w:val="22"/>
                <w:szCs w:val="22"/>
                <w:lang w:val="en-AU"/>
              </w:rPr>
            </w:pPr>
          </w:p>
        </w:tc>
        <w:tc>
          <w:tcPr>
            <w:tcW w:w="2173" w:type="dxa"/>
            <w:gridSpan w:val="4"/>
            <w:tcBorders>
              <w:top w:val="nil"/>
              <w:left w:val="nil"/>
              <w:bottom w:val="nil"/>
              <w:right w:val="nil"/>
            </w:tcBorders>
            <w:shd w:val="solid" w:color="FFCC99" w:fill="auto"/>
          </w:tcPr>
          <w:p w14:paraId="1CC037DB" w14:textId="77777777" w:rsidR="00D4394F" w:rsidRPr="00BB3FD1" w:rsidRDefault="00D4394F" w:rsidP="00B66F1C">
            <w:pPr>
              <w:autoSpaceDE w:val="0"/>
              <w:autoSpaceDN w:val="0"/>
              <w:adjustRightInd w:val="0"/>
              <w:spacing w:after="0"/>
              <w:jc w:val="center"/>
              <w:rPr>
                <w:rFonts w:ascii="Calibri" w:hAnsi="Calibri" w:cs="Calibri"/>
                <w:color w:val="000000"/>
                <w:sz w:val="18"/>
                <w:szCs w:val="18"/>
                <w:lang w:val="en-AU"/>
              </w:rPr>
            </w:pPr>
            <w:r w:rsidRPr="00BB3FD1">
              <w:rPr>
                <w:rFonts w:ascii="Calibri" w:hAnsi="Calibri" w:cs="Calibri"/>
                <w:color w:val="000000"/>
                <w:sz w:val="18"/>
                <w:szCs w:val="18"/>
                <w:lang w:val="en-AU"/>
              </w:rPr>
              <w:t>Anaerobic</w:t>
            </w:r>
          </w:p>
        </w:tc>
        <w:tc>
          <w:tcPr>
            <w:tcW w:w="2268" w:type="dxa"/>
            <w:gridSpan w:val="3"/>
            <w:tcBorders>
              <w:top w:val="nil"/>
              <w:left w:val="nil"/>
              <w:bottom w:val="nil"/>
              <w:right w:val="nil"/>
            </w:tcBorders>
            <w:shd w:val="solid" w:color="99CCFF" w:fill="auto"/>
          </w:tcPr>
          <w:p w14:paraId="152B82A9" w14:textId="77777777" w:rsidR="00D4394F" w:rsidRPr="00BB3FD1" w:rsidRDefault="00D4394F" w:rsidP="00B66F1C">
            <w:pPr>
              <w:autoSpaceDE w:val="0"/>
              <w:autoSpaceDN w:val="0"/>
              <w:adjustRightInd w:val="0"/>
              <w:spacing w:after="0"/>
              <w:jc w:val="center"/>
              <w:rPr>
                <w:rFonts w:ascii="Calibri" w:hAnsi="Calibri" w:cs="Calibri"/>
                <w:color w:val="000000"/>
                <w:sz w:val="18"/>
                <w:szCs w:val="18"/>
                <w:lang w:val="en-AU"/>
              </w:rPr>
            </w:pPr>
            <w:r w:rsidRPr="00BB3FD1">
              <w:rPr>
                <w:rFonts w:ascii="Calibri" w:hAnsi="Calibri" w:cs="Calibri"/>
                <w:color w:val="000000"/>
                <w:sz w:val="18"/>
                <w:szCs w:val="18"/>
                <w:lang w:val="en-AU"/>
              </w:rPr>
              <w:t>Aerobic</w:t>
            </w:r>
          </w:p>
        </w:tc>
        <w:tc>
          <w:tcPr>
            <w:tcW w:w="2268" w:type="dxa"/>
            <w:gridSpan w:val="4"/>
            <w:tcBorders>
              <w:top w:val="nil"/>
              <w:left w:val="nil"/>
              <w:bottom w:val="nil"/>
              <w:right w:val="single" w:sz="4" w:space="0" w:color="auto"/>
            </w:tcBorders>
            <w:shd w:val="solid" w:color="FFFFCC" w:fill="auto"/>
          </w:tcPr>
          <w:p w14:paraId="4140466A" w14:textId="77777777" w:rsidR="00D4394F" w:rsidRPr="00BB3FD1" w:rsidRDefault="00D4394F" w:rsidP="00B66F1C">
            <w:pPr>
              <w:autoSpaceDE w:val="0"/>
              <w:autoSpaceDN w:val="0"/>
              <w:adjustRightInd w:val="0"/>
              <w:spacing w:after="0"/>
              <w:jc w:val="center"/>
              <w:rPr>
                <w:rFonts w:ascii="Calibri" w:hAnsi="Calibri" w:cs="Calibri"/>
                <w:color w:val="000000"/>
                <w:sz w:val="18"/>
                <w:szCs w:val="18"/>
                <w:lang w:val="en-AU"/>
              </w:rPr>
            </w:pPr>
            <w:r w:rsidRPr="00BB3FD1">
              <w:rPr>
                <w:rFonts w:ascii="Calibri" w:hAnsi="Calibri" w:cs="Calibri"/>
                <w:color w:val="000000"/>
                <w:sz w:val="18"/>
                <w:szCs w:val="18"/>
                <w:lang w:val="en-AU"/>
              </w:rPr>
              <w:t>Hydrolysis</w:t>
            </w:r>
          </w:p>
        </w:tc>
      </w:tr>
      <w:tr w:rsidR="00D4394F" w14:paraId="266084BF" w14:textId="77777777" w:rsidTr="00D4321E">
        <w:trPr>
          <w:trHeight w:val="290"/>
        </w:trPr>
        <w:tc>
          <w:tcPr>
            <w:tcW w:w="1776" w:type="dxa"/>
            <w:tcBorders>
              <w:top w:val="nil"/>
              <w:left w:val="single" w:sz="4" w:space="0" w:color="auto"/>
              <w:bottom w:val="single" w:sz="6" w:space="0" w:color="auto"/>
              <w:right w:val="nil"/>
            </w:tcBorders>
          </w:tcPr>
          <w:p w14:paraId="22E7BAE0" w14:textId="77777777" w:rsidR="00D4394F" w:rsidRPr="00BB3FD1" w:rsidRDefault="00D4394F" w:rsidP="00B66F1C">
            <w:pPr>
              <w:autoSpaceDE w:val="0"/>
              <w:autoSpaceDN w:val="0"/>
              <w:adjustRightInd w:val="0"/>
              <w:spacing w:after="0"/>
              <w:rPr>
                <w:rFonts w:ascii="Calibri" w:hAnsi="Calibri" w:cs="Calibri"/>
                <w:color w:val="000000"/>
                <w:sz w:val="18"/>
                <w:szCs w:val="18"/>
                <w:lang w:val="en-AU"/>
              </w:rPr>
            </w:pPr>
            <w:r w:rsidRPr="00BB3FD1">
              <w:rPr>
                <w:rFonts w:ascii="Calibri" w:hAnsi="Calibri" w:cs="Calibri"/>
                <w:color w:val="000000"/>
                <w:sz w:val="18"/>
                <w:szCs w:val="18"/>
                <w:lang w:val="en-AU"/>
              </w:rPr>
              <w:t>Chemical substance</w:t>
            </w:r>
          </w:p>
        </w:tc>
        <w:tc>
          <w:tcPr>
            <w:tcW w:w="943" w:type="dxa"/>
            <w:gridSpan w:val="2"/>
            <w:tcBorders>
              <w:top w:val="nil"/>
              <w:left w:val="nil"/>
              <w:bottom w:val="single" w:sz="6" w:space="0" w:color="auto"/>
              <w:right w:val="nil"/>
            </w:tcBorders>
            <w:shd w:val="solid" w:color="FFCC99" w:fill="auto"/>
          </w:tcPr>
          <w:p w14:paraId="2EF8E6F6" w14:textId="59B47096" w:rsidR="00D4394F" w:rsidRPr="00BB3FD1" w:rsidRDefault="00D4321E" w:rsidP="00B66F1C">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D4394F" w:rsidRPr="00BB3FD1">
              <w:rPr>
                <w:rFonts w:ascii="Calibri" w:hAnsi="Calibri" w:cs="Calibri"/>
                <w:color w:val="000000"/>
                <w:sz w:val="18"/>
                <w:szCs w:val="18"/>
                <w:lang w:val="en-AU"/>
              </w:rPr>
              <w:t>in</w:t>
            </w:r>
          </w:p>
        </w:tc>
        <w:tc>
          <w:tcPr>
            <w:tcW w:w="1230" w:type="dxa"/>
            <w:gridSpan w:val="2"/>
            <w:tcBorders>
              <w:top w:val="nil"/>
              <w:left w:val="nil"/>
              <w:bottom w:val="single" w:sz="6" w:space="0" w:color="auto"/>
              <w:right w:val="nil"/>
            </w:tcBorders>
            <w:shd w:val="solid" w:color="FFCC99" w:fill="auto"/>
          </w:tcPr>
          <w:p w14:paraId="1DC13F11" w14:textId="6E9A21C8" w:rsidR="00D4394F" w:rsidRPr="00BB3FD1" w:rsidRDefault="00D4321E" w:rsidP="00B66F1C">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D4394F" w:rsidRPr="00BB3FD1">
              <w:rPr>
                <w:rFonts w:ascii="Calibri" w:hAnsi="Calibri" w:cs="Calibri"/>
                <w:color w:val="000000"/>
                <w:sz w:val="18"/>
                <w:szCs w:val="18"/>
                <w:lang w:val="en-AU"/>
              </w:rPr>
              <w:t>ax</w:t>
            </w:r>
          </w:p>
        </w:tc>
        <w:tc>
          <w:tcPr>
            <w:tcW w:w="1038" w:type="dxa"/>
            <w:tcBorders>
              <w:top w:val="nil"/>
              <w:left w:val="nil"/>
              <w:bottom w:val="single" w:sz="6" w:space="0" w:color="auto"/>
              <w:right w:val="nil"/>
            </w:tcBorders>
            <w:shd w:val="solid" w:color="99CCFF" w:fill="auto"/>
          </w:tcPr>
          <w:p w14:paraId="199D1E88" w14:textId="1B3A07D3" w:rsidR="00D4394F" w:rsidRPr="00BB3FD1" w:rsidRDefault="00D4321E" w:rsidP="00B66F1C">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D4394F" w:rsidRPr="00BB3FD1">
              <w:rPr>
                <w:rFonts w:ascii="Calibri" w:hAnsi="Calibri" w:cs="Calibri"/>
                <w:color w:val="000000"/>
                <w:sz w:val="18"/>
                <w:szCs w:val="18"/>
                <w:lang w:val="en-AU"/>
              </w:rPr>
              <w:t>in</w:t>
            </w:r>
          </w:p>
        </w:tc>
        <w:tc>
          <w:tcPr>
            <w:tcW w:w="1230" w:type="dxa"/>
            <w:gridSpan w:val="2"/>
            <w:tcBorders>
              <w:top w:val="nil"/>
              <w:left w:val="nil"/>
              <w:bottom w:val="single" w:sz="6" w:space="0" w:color="auto"/>
              <w:right w:val="nil"/>
            </w:tcBorders>
            <w:shd w:val="solid" w:color="99CCFF" w:fill="auto"/>
          </w:tcPr>
          <w:p w14:paraId="3BA91974" w14:textId="03B53741" w:rsidR="00D4394F" w:rsidRPr="00BB3FD1" w:rsidRDefault="00D4321E" w:rsidP="00B66F1C">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D4394F" w:rsidRPr="00BB3FD1">
              <w:rPr>
                <w:rFonts w:ascii="Calibri" w:hAnsi="Calibri" w:cs="Calibri"/>
                <w:color w:val="000000"/>
                <w:sz w:val="18"/>
                <w:szCs w:val="18"/>
                <w:lang w:val="en-AU"/>
              </w:rPr>
              <w:t>ax</w:t>
            </w:r>
          </w:p>
        </w:tc>
        <w:tc>
          <w:tcPr>
            <w:tcW w:w="1179" w:type="dxa"/>
            <w:tcBorders>
              <w:top w:val="nil"/>
              <w:left w:val="nil"/>
              <w:bottom w:val="single" w:sz="6" w:space="0" w:color="auto"/>
              <w:right w:val="nil"/>
            </w:tcBorders>
            <w:shd w:val="solid" w:color="FFFFCC" w:fill="auto"/>
          </w:tcPr>
          <w:p w14:paraId="61424D02" w14:textId="00B5B8FE" w:rsidR="00D4394F" w:rsidRPr="00BB3FD1" w:rsidRDefault="00D4321E" w:rsidP="00B66F1C">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D4394F" w:rsidRPr="00BB3FD1">
              <w:rPr>
                <w:rFonts w:ascii="Calibri" w:hAnsi="Calibri" w:cs="Calibri"/>
                <w:color w:val="000000"/>
                <w:sz w:val="18"/>
                <w:szCs w:val="18"/>
                <w:lang w:val="en-AU"/>
              </w:rPr>
              <w:t>in</w:t>
            </w:r>
          </w:p>
        </w:tc>
        <w:tc>
          <w:tcPr>
            <w:tcW w:w="1089" w:type="dxa"/>
            <w:gridSpan w:val="3"/>
            <w:tcBorders>
              <w:top w:val="nil"/>
              <w:left w:val="nil"/>
              <w:bottom w:val="single" w:sz="6" w:space="0" w:color="auto"/>
              <w:right w:val="single" w:sz="4" w:space="0" w:color="auto"/>
            </w:tcBorders>
            <w:shd w:val="solid" w:color="FFFFCC" w:fill="auto"/>
          </w:tcPr>
          <w:p w14:paraId="479125B6" w14:textId="0376D8EC" w:rsidR="00D4394F" w:rsidRPr="00BB3FD1" w:rsidRDefault="00D4321E" w:rsidP="00B66F1C">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M</w:t>
            </w:r>
            <w:r w:rsidR="00D4394F" w:rsidRPr="00BB3FD1">
              <w:rPr>
                <w:rFonts w:ascii="Calibri" w:hAnsi="Calibri" w:cs="Calibri"/>
                <w:color w:val="000000"/>
                <w:sz w:val="18"/>
                <w:szCs w:val="18"/>
                <w:lang w:val="en-AU"/>
              </w:rPr>
              <w:t>ax</w:t>
            </w:r>
          </w:p>
        </w:tc>
      </w:tr>
      <w:tr w:rsidR="00D4394F" w14:paraId="1EBF0CC7" w14:textId="77777777" w:rsidTr="00D4321E">
        <w:trPr>
          <w:trHeight w:val="290"/>
        </w:trPr>
        <w:tc>
          <w:tcPr>
            <w:tcW w:w="1776" w:type="dxa"/>
            <w:tcBorders>
              <w:top w:val="nil"/>
              <w:left w:val="single" w:sz="4" w:space="0" w:color="auto"/>
              <w:bottom w:val="nil"/>
              <w:right w:val="nil"/>
            </w:tcBorders>
          </w:tcPr>
          <w:p w14:paraId="5FD14DC1" w14:textId="77777777" w:rsidR="00D4394F" w:rsidRPr="00BB3FD1" w:rsidRDefault="00D4394F" w:rsidP="00B66F1C">
            <w:pPr>
              <w:autoSpaceDE w:val="0"/>
              <w:autoSpaceDN w:val="0"/>
              <w:adjustRightInd w:val="0"/>
              <w:spacing w:after="0"/>
              <w:rPr>
                <w:rFonts w:ascii="Calibri" w:hAnsi="Calibri" w:cs="Calibri"/>
                <w:color w:val="000000"/>
                <w:sz w:val="18"/>
                <w:szCs w:val="18"/>
                <w:lang w:val="en-AU"/>
              </w:rPr>
            </w:pPr>
            <w:r w:rsidRPr="00BB3FD1">
              <w:rPr>
                <w:rFonts w:ascii="Calibri" w:hAnsi="Calibri" w:cs="Calibri"/>
                <w:color w:val="000000"/>
                <w:sz w:val="18"/>
                <w:szCs w:val="18"/>
                <w:lang w:val="en-AU"/>
              </w:rPr>
              <w:t>2-methylphenol</w:t>
            </w:r>
          </w:p>
        </w:tc>
        <w:tc>
          <w:tcPr>
            <w:tcW w:w="801" w:type="dxa"/>
            <w:tcBorders>
              <w:top w:val="nil"/>
              <w:left w:val="nil"/>
              <w:bottom w:val="nil"/>
              <w:right w:val="nil"/>
            </w:tcBorders>
            <w:shd w:val="solid" w:color="FFCC99" w:fill="auto"/>
          </w:tcPr>
          <w:p w14:paraId="7BA0D20E"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372" w:type="dxa"/>
            <w:gridSpan w:val="3"/>
            <w:tcBorders>
              <w:top w:val="nil"/>
              <w:left w:val="nil"/>
              <w:bottom w:val="nil"/>
              <w:right w:val="nil"/>
            </w:tcBorders>
            <w:shd w:val="solid" w:color="FFCC99" w:fill="auto"/>
          </w:tcPr>
          <w:p w14:paraId="63A76755" w14:textId="412D3282" w:rsidR="00D4394F" w:rsidRPr="00BB3FD1" w:rsidRDefault="0012000B" w:rsidP="00B66F1C">
            <w:pPr>
              <w:autoSpaceDE w:val="0"/>
              <w:autoSpaceDN w:val="0"/>
              <w:adjustRightInd w:val="0"/>
              <w:spacing w:after="0"/>
              <w:jc w:val="center"/>
              <w:rPr>
                <w:rFonts w:ascii="Calibri" w:hAnsi="Calibri" w:cs="Calibri"/>
                <w:b/>
                <w:bCs/>
                <w:color w:val="000000"/>
                <w:sz w:val="18"/>
                <w:szCs w:val="18"/>
                <w:u w:val="single"/>
                <w:lang w:val="en-AU"/>
              </w:rPr>
            </w:pPr>
            <w:r>
              <w:rPr>
                <w:rFonts w:ascii="Calibri" w:hAnsi="Calibri" w:cs="Calibri"/>
                <w:b/>
                <w:bCs/>
                <w:color w:val="000000"/>
                <w:sz w:val="18"/>
                <w:szCs w:val="18"/>
                <w:u w:val="single"/>
                <w:lang w:val="en-AU"/>
              </w:rPr>
              <w:t>9.3</w:t>
            </w:r>
            <w:r w:rsidR="00D4394F" w:rsidRPr="00BB3FD1">
              <w:rPr>
                <w:rFonts w:ascii="Calibri" w:hAnsi="Calibri" w:cs="Calibri"/>
                <w:b/>
                <w:bCs/>
                <w:color w:val="000000"/>
                <w:sz w:val="18"/>
                <w:szCs w:val="18"/>
                <w:u w:val="single"/>
                <w:lang w:val="en-AU"/>
              </w:rPr>
              <w:t>E-5/ 1.1E-7</w:t>
            </w:r>
          </w:p>
        </w:tc>
        <w:tc>
          <w:tcPr>
            <w:tcW w:w="1038" w:type="dxa"/>
            <w:tcBorders>
              <w:top w:val="nil"/>
              <w:left w:val="nil"/>
              <w:bottom w:val="nil"/>
              <w:right w:val="nil"/>
            </w:tcBorders>
            <w:shd w:val="solid" w:color="99CCFF" w:fill="auto"/>
          </w:tcPr>
          <w:p w14:paraId="283418A6"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230" w:type="dxa"/>
            <w:gridSpan w:val="2"/>
            <w:tcBorders>
              <w:top w:val="nil"/>
              <w:left w:val="nil"/>
              <w:bottom w:val="nil"/>
              <w:right w:val="nil"/>
            </w:tcBorders>
            <w:shd w:val="solid" w:color="99CCFF" w:fill="auto"/>
          </w:tcPr>
          <w:p w14:paraId="71A259F0"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321" w:type="dxa"/>
            <w:gridSpan w:val="2"/>
            <w:tcBorders>
              <w:top w:val="nil"/>
              <w:left w:val="nil"/>
              <w:bottom w:val="nil"/>
              <w:right w:val="nil"/>
            </w:tcBorders>
            <w:shd w:val="solid" w:color="FFFFCC" w:fill="auto"/>
          </w:tcPr>
          <w:p w14:paraId="7C6150E2" w14:textId="0F9BF433"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c>
          <w:tcPr>
            <w:tcW w:w="947" w:type="dxa"/>
            <w:gridSpan w:val="2"/>
            <w:tcBorders>
              <w:top w:val="nil"/>
              <w:left w:val="nil"/>
              <w:bottom w:val="nil"/>
              <w:right w:val="single" w:sz="4" w:space="0" w:color="auto"/>
            </w:tcBorders>
            <w:shd w:val="solid" w:color="FFFFCC" w:fill="auto"/>
          </w:tcPr>
          <w:p w14:paraId="3C68E251" w14:textId="10A123A8"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r>
      <w:tr w:rsidR="00D4394F" w14:paraId="7FB01A7E" w14:textId="77777777" w:rsidTr="00D4321E">
        <w:trPr>
          <w:trHeight w:val="290"/>
        </w:trPr>
        <w:tc>
          <w:tcPr>
            <w:tcW w:w="1776" w:type="dxa"/>
            <w:tcBorders>
              <w:top w:val="nil"/>
              <w:left w:val="single" w:sz="4" w:space="0" w:color="auto"/>
              <w:bottom w:val="nil"/>
              <w:right w:val="nil"/>
            </w:tcBorders>
          </w:tcPr>
          <w:p w14:paraId="2259EF7C" w14:textId="77777777" w:rsidR="00D4394F" w:rsidRPr="00BB3FD1" w:rsidRDefault="00D4394F" w:rsidP="00B66F1C">
            <w:pPr>
              <w:autoSpaceDE w:val="0"/>
              <w:autoSpaceDN w:val="0"/>
              <w:adjustRightInd w:val="0"/>
              <w:spacing w:after="0"/>
              <w:rPr>
                <w:rFonts w:ascii="Calibri" w:hAnsi="Calibri" w:cs="Calibri"/>
                <w:color w:val="000000"/>
                <w:sz w:val="18"/>
                <w:szCs w:val="18"/>
                <w:lang w:val="en-AU"/>
              </w:rPr>
            </w:pPr>
            <w:r w:rsidRPr="00BB3FD1">
              <w:rPr>
                <w:rFonts w:ascii="Calibri" w:hAnsi="Calibri" w:cs="Calibri"/>
                <w:color w:val="000000"/>
                <w:sz w:val="18"/>
                <w:szCs w:val="18"/>
                <w:lang w:val="en-AU"/>
              </w:rPr>
              <w:t>Naphthalene</w:t>
            </w:r>
          </w:p>
        </w:tc>
        <w:tc>
          <w:tcPr>
            <w:tcW w:w="801" w:type="dxa"/>
            <w:tcBorders>
              <w:top w:val="nil"/>
              <w:left w:val="nil"/>
              <w:bottom w:val="nil"/>
              <w:right w:val="nil"/>
            </w:tcBorders>
            <w:shd w:val="solid" w:color="FFCC99" w:fill="auto"/>
          </w:tcPr>
          <w:p w14:paraId="6F451C92"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372" w:type="dxa"/>
            <w:gridSpan w:val="3"/>
            <w:tcBorders>
              <w:top w:val="nil"/>
              <w:left w:val="nil"/>
              <w:bottom w:val="nil"/>
              <w:right w:val="nil"/>
            </w:tcBorders>
            <w:shd w:val="solid" w:color="FFCC99" w:fill="auto"/>
          </w:tcPr>
          <w:p w14:paraId="4965F38A" w14:textId="7A002735"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c>
          <w:tcPr>
            <w:tcW w:w="1038" w:type="dxa"/>
            <w:tcBorders>
              <w:top w:val="nil"/>
              <w:left w:val="nil"/>
              <w:bottom w:val="nil"/>
              <w:right w:val="nil"/>
            </w:tcBorders>
            <w:shd w:val="solid" w:color="99CCFF" w:fill="auto"/>
          </w:tcPr>
          <w:p w14:paraId="673CE18D"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230" w:type="dxa"/>
            <w:gridSpan w:val="2"/>
            <w:tcBorders>
              <w:top w:val="nil"/>
              <w:left w:val="nil"/>
              <w:bottom w:val="nil"/>
              <w:right w:val="nil"/>
            </w:tcBorders>
            <w:shd w:val="solid" w:color="99CCFF" w:fill="auto"/>
          </w:tcPr>
          <w:p w14:paraId="25A5D80F"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u w:val="single"/>
                <w:lang w:val="en-AU"/>
              </w:rPr>
            </w:pPr>
            <w:r w:rsidRPr="00BB3FD1">
              <w:rPr>
                <w:rFonts w:ascii="Calibri" w:hAnsi="Calibri" w:cs="Calibri"/>
                <w:b/>
                <w:bCs/>
                <w:color w:val="000000"/>
                <w:sz w:val="18"/>
                <w:szCs w:val="18"/>
                <w:u w:val="single"/>
                <w:lang w:val="en-AU"/>
              </w:rPr>
              <w:t>0</w:t>
            </w:r>
          </w:p>
        </w:tc>
        <w:tc>
          <w:tcPr>
            <w:tcW w:w="1321" w:type="dxa"/>
            <w:gridSpan w:val="2"/>
            <w:tcBorders>
              <w:top w:val="nil"/>
              <w:left w:val="nil"/>
              <w:bottom w:val="nil"/>
              <w:right w:val="nil"/>
            </w:tcBorders>
            <w:shd w:val="solid" w:color="FFFFCC" w:fill="auto"/>
          </w:tcPr>
          <w:p w14:paraId="665E7843" w14:textId="2B1BDC43"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c>
          <w:tcPr>
            <w:tcW w:w="947" w:type="dxa"/>
            <w:gridSpan w:val="2"/>
            <w:tcBorders>
              <w:top w:val="nil"/>
              <w:left w:val="nil"/>
              <w:bottom w:val="nil"/>
              <w:right w:val="single" w:sz="4" w:space="0" w:color="auto"/>
            </w:tcBorders>
            <w:shd w:val="solid" w:color="FFFFCC" w:fill="auto"/>
          </w:tcPr>
          <w:p w14:paraId="513880C0" w14:textId="3B9A8F96"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r>
      <w:tr w:rsidR="00D4394F" w14:paraId="18718073" w14:textId="77777777" w:rsidTr="00D4321E">
        <w:trPr>
          <w:trHeight w:val="290"/>
        </w:trPr>
        <w:tc>
          <w:tcPr>
            <w:tcW w:w="1776" w:type="dxa"/>
            <w:tcBorders>
              <w:top w:val="nil"/>
              <w:left w:val="single" w:sz="4" w:space="0" w:color="auto"/>
              <w:bottom w:val="nil"/>
              <w:right w:val="nil"/>
            </w:tcBorders>
          </w:tcPr>
          <w:p w14:paraId="21F53E53" w14:textId="77777777" w:rsidR="00D4394F" w:rsidRPr="00BB3FD1" w:rsidRDefault="00D4394F" w:rsidP="00B66F1C">
            <w:pPr>
              <w:autoSpaceDE w:val="0"/>
              <w:autoSpaceDN w:val="0"/>
              <w:adjustRightInd w:val="0"/>
              <w:spacing w:after="0"/>
              <w:rPr>
                <w:rFonts w:ascii="Calibri" w:hAnsi="Calibri" w:cs="Calibri"/>
                <w:color w:val="000000"/>
                <w:sz w:val="18"/>
                <w:szCs w:val="18"/>
                <w:lang w:val="en-AU"/>
              </w:rPr>
            </w:pPr>
            <w:r w:rsidRPr="00BB3FD1">
              <w:rPr>
                <w:rFonts w:ascii="Calibri" w:hAnsi="Calibri" w:cs="Calibri"/>
                <w:color w:val="000000"/>
                <w:sz w:val="18"/>
                <w:szCs w:val="18"/>
                <w:lang w:val="en-AU"/>
              </w:rPr>
              <w:t>Limonene</w:t>
            </w:r>
          </w:p>
        </w:tc>
        <w:tc>
          <w:tcPr>
            <w:tcW w:w="801" w:type="dxa"/>
            <w:tcBorders>
              <w:top w:val="nil"/>
              <w:left w:val="nil"/>
              <w:bottom w:val="nil"/>
              <w:right w:val="nil"/>
            </w:tcBorders>
            <w:shd w:val="solid" w:color="FFCC99" w:fill="auto"/>
          </w:tcPr>
          <w:p w14:paraId="5864B504" w14:textId="711CA7BB"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1.1E-3</w:t>
            </w:r>
          </w:p>
        </w:tc>
        <w:tc>
          <w:tcPr>
            <w:tcW w:w="1372" w:type="dxa"/>
            <w:gridSpan w:val="3"/>
            <w:tcBorders>
              <w:top w:val="nil"/>
              <w:left w:val="nil"/>
              <w:bottom w:val="nil"/>
              <w:right w:val="nil"/>
            </w:tcBorders>
            <w:shd w:val="solid" w:color="FFCC99" w:fill="auto"/>
          </w:tcPr>
          <w:p w14:paraId="2A814381" w14:textId="72ED175C"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1.1E-3</w:t>
            </w:r>
          </w:p>
        </w:tc>
        <w:tc>
          <w:tcPr>
            <w:tcW w:w="1038" w:type="dxa"/>
            <w:tcBorders>
              <w:top w:val="nil"/>
              <w:left w:val="nil"/>
              <w:bottom w:val="nil"/>
              <w:right w:val="nil"/>
            </w:tcBorders>
            <w:shd w:val="solid" w:color="99CCFF" w:fill="auto"/>
          </w:tcPr>
          <w:p w14:paraId="3C0778AA"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230" w:type="dxa"/>
            <w:gridSpan w:val="2"/>
            <w:tcBorders>
              <w:top w:val="nil"/>
              <w:left w:val="nil"/>
              <w:bottom w:val="nil"/>
              <w:right w:val="nil"/>
            </w:tcBorders>
            <w:shd w:val="solid" w:color="99CCFF" w:fill="auto"/>
          </w:tcPr>
          <w:p w14:paraId="05ACF292"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321" w:type="dxa"/>
            <w:gridSpan w:val="2"/>
            <w:tcBorders>
              <w:top w:val="nil"/>
              <w:left w:val="nil"/>
              <w:bottom w:val="nil"/>
              <w:right w:val="nil"/>
            </w:tcBorders>
            <w:shd w:val="solid" w:color="FFFFCC" w:fill="auto"/>
          </w:tcPr>
          <w:p w14:paraId="56E2723A" w14:textId="61A01EE5"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1.1E-3</w:t>
            </w:r>
          </w:p>
        </w:tc>
        <w:tc>
          <w:tcPr>
            <w:tcW w:w="947" w:type="dxa"/>
            <w:gridSpan w:val="2"/>
            <w:tcBorders>
              <w:top w:val="nil"/>
              <w:left w:val="nil"/>
              <w:bottom w:val="nil"/>
              <w:right w:val="single" w:sz="4" w:space="0" w:color="auto"/>
            </w:tcBorders>
            <w:shd w:val="solid" w:color="FFFFCC" w:fill="auto"/>
          </w:tcPr>
          <w:p w14:paraId="4844F4D6" w14:textId="4D23A742"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1.1E-3</w:t>
            </w:r>
          </w:p>
        </w:tc>
      </w:tr>
      <w:tr w:rsidR="00D4394F" w14:paraId="5B1B75F8" w14:textId="77777777" w:rsidTr="00D4321E">
        <w:trPr>
          <w:trHeight w:val="290"/>
        </w:trPr>
        <w:tc>
          <w:tcPr>
            <w:tcW w:w="1776" w:type="dxa"/>
            <w:tcBorders>
              <w:top w:val="nil"/>
              <w:left w:val="single" w:sz="4" w:space="0" w:color="auto"/>
              <w:bottom w:val="nil"/>
              <w:right w:val="nil"/>
            </w:tcBorders>
          </w:tcPr>
          <w:p w14:paraId="555972EC" w14:textId="77777777" w:rsidR="00D4394F" w:rsidRPr="00BB3FD1" w:rsidRDefault="00D4394F" w:rsidP="00B66F1C">
            <w:pPr>
              <w:autoSpaceDE w:val="0"/>
              <w:autoSpaceDN w:val="0"/>
              <w:adjustRightInd w:val="0"/>
              <w:spacing w:after="0"/>
              <w:rPr>
                <w:rFonts w:ascii="Calibri" w:hAnsi="Calibri" w:cs="Calibri"/>
                <w:color w:val="000000"/>
                <w:sz w:val="18"/>
                <w:szCs w:val="18"/>
                <w:lang w:val="en-AU"/>
              </w:rPr>
            </w:pPr>
            <w:r w:rsidRPr="00BB3FD1">
              <w:rPr>
                <w:rFonts w:ascii="Calibri" w:hAnsi="Calibri" w:cs="Calibri"/>
                <w:color w:val="000000"/>
                <w:sz w:val="18"/>
                <w:szCs w:val="18"/>
                <w:lang w:val="en-AU"/>
              </w:rPr>
              <w:t>HMX</w:t>
            </w:r>
          </w:p>
        </w:tc>
        <w:tc>
          <w:tcPr>
            <w:tcW w:w="801" w:type="dxa"/>
            <w:tcBorders>
              <w:top w:val="nil"/>
              <w:left w:val="nil"/>
              <w:bottom w:val="nil"/>
              <w:right w:val="nil"/>
            </w:tcBorders>
            <w:shd w:val="solid" w:color="FFCC99" w:fill="auto"/>
          </w:tcPr>
          <w:p w14:paraId="639ABBF2"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0</w:t>
            </w:r>
          </w:p>
        </w:tc>
        <w:tc>
          <w:tcPr>
            <w:tcW w:w="1372" w:type="dxa"/>
            <w:gridSpan w:val="3"/>
            <w:tcBorders>
              <w:top w:val="nil"/>
              <w:left w:val="nil"/>
              <w:bottom w:val="nil"/>
              <w:right w:val="nil"/>
            </w:tcBorders>
            <w:shd w:val="solid" w:color="FFCC99" w:fill="auto"/>
          </w:tcPr>
          <w:p w14:paraId="4229288D"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0</w:t>
            </w:r>
          </w:p>
        </w:tc>
        <w:tc>
          <w:tcPr>
            <w:tcW w:w="1038" w:type="dxa"/>
            <w:tcBorders>
              <w:top w:val="nil"/>
              <w:left w:val="nil"/>
              <w:bottom w:val="nil"/>
              <w:right w:val="nil"/>
            </w:tcBorders>
            <w:shd w:val="solid" w:color="99CCFF" w:fill="auto"/>
          </w:tcPr>
          <w:p w14:paraId="400589CE"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230" w:type="dxa"/>
            <w:gridSpan w:val="2"/>
            <w:tcBorders>
              <w:top w:val="nil"/>
              <w:left w:val="nil"/>
              <w:bottom w:val="nil"/>
              <w:right w:val="nil"/>
            </w:tcBorders>
            <w:shd w:val="solid" w:color="99CCFF" w:fill="auto"/>
          </w:tcPr>
          <w:p w14:paraId="2F8482D9"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321" w:type="dxa"/>
            <w:gridSpan w:val="2"/>
            <w:tcBorders>
              <w:top w:val="nil"/>
              <w:left w:val="nil"/>
              <w:bottom w:val="nil"/>
              <w:right w:val="nil"/>
            </w:tcBorders>
            <w:shd w:val="solid" w:color="FFFFCC" w:fill="auto"/>
          </w:tcPr>
          <w:p w14:paraId="099C7E9A"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947" w:type="dxa"/>
            <w:gridSpan w:val="2"/>
            <w:tcBorders>
              <w:top w:val="nil"/>
              <w:left w:val="nil"/>
              <w:bottom w:val="nil"/>
              <w:right w:val="single" w:sz="4" w:space="0" w:color="auto"/>
            </w:tcBorders>
            <w:shd w:val="solid" w:color="FFFFCC" w:fill="auto"/>
          </w:tcPr>
          <w:p w14:paraId="53B17D29"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r>
      <w:tr w:rsidR="00D4394F" w14:paraId="431C2F3F" w14:textId="77777777" w:rsidTr="00D4321E">
        <w:trPr>
          <w:trHeight w:val="290"/>
        </w:trPr>
        <w:tc>
          <w:tcPr>
            <w:tcW w:w="1776" w:type="dxa"/>
            <w:tcBorders>
              <w:top w:val="nil"/>
              <w:left w:val="single" w:sz="4" w:space="0" w:color="auto"/>
              <w:bottom w:val="nil"/>
              <w:right w:val="nil"/>
            </w:tcBorders>
          </w:tcPr>
          <w:p w14:paraId="47899066" w14:textId="77777777" w:rsidR="00D4394F" w:rsidRPr="00BB3FD1" w:rsidRDefault="00D4394F" w:rsidP="00B66F1C">
            <w:pPr>
              <w:autoSpaceDE w:val="0"/>
              <w:autoSpaceDN w:val="0"/>
              <w:adjustRightInd w:val="0"/>
              <w:spacing w:after="0"/>
              <w:rPr>
                <w:rFonts w:ascii="Calibri" w:hAnsi="Calibri" w:cs="Calibri"/>
                <w:color w:val="000000"/>
                <w:sz w:val="18"/>
                <w:szCs w:val="18"/>
                <w:lang w:val="en-AU"/>
              </w:rPr>
            </w:pPr>
            <w:r w:rsidRPr="00BB3FD1">
              <w:rPr>
                <w:rFonts w:ascii="Calibri" w:hAnsi="Calibri" w:cs="Calibri"/>
                <w:color w:val="000000"/>
                <w:sz w:val="18"/>
                <w:szCs w:val="18"/>
                <w:lang w:val="en-AU"/>
              </w:rPr>
              <w:t>2-butoxyethanol</w:t>
            </w:r>
          </w:p>
        </w:tc>
        <w:tc>
          <w:tcPr>
            <w:tcW w:w="801" w:type="dxa"/>
            <w:tcBorders>
              <w:top w:val="nil"/>
              <w:left w:val="nil"/>
              <w:right w:val="nil"/>
            </w:tcBorders>
            <w:shd w:val="solid" w:color="FFCC99" w:fill="auto"/>
          </w:tcPr>
          <w:p w14:paraId="037562B7"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0</w:t>
            </w:r>
          </w:p>
        </w:tc>
        <w:tc>
          <w:tcPr>
            <w:tcW w:w="1372" w:type="dxa"/>
            <w:gridSpan w:val="3"/>
            <w:tcBorders>
              <w:top w:val="nil"/>
              <w:left w:val="nil"/>
              <w:bottom w:val="nil"/>
              <w:right w:val="nil"/>
            </w:tcBorders>
            <w:shd w:val="solid" w:color="FFCC99" w:fill="auto"/>
          </w:tcPr>
          <w:p w14:paraId="4958A8CC"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0</w:t>
            </w:r>
          </w:p>
        </w:tc>
        <w:tc>
          <w:tcPr>
            <w:tcW w:w="1038" w:type="dxa"/>
            <w:tcBorders>
              <w:top w:val="nil"/>
              <w:left w:val="nil"/>
              <w:bottom w:val="nil"/>
              <w:right w:val="nil"/>
            </w:tcBorders>
            <w:shd w:val="solid" w:color="99CCFF" w:fill="auto"/>
          </w:tcPr>
          <w:p w14:paraId="69507B4A"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230" w:type="dxa"/>
            <w:gridSpan w:val="2"/>
            <w:tcBorders>
              <w:top w:val="nil"/>
              <w:left w:val="nil"/>
              <w:bottom w:val="nil"/>
              <w:right w:val="nil"/>
            </w:tcBorders>
            <w:shd w:val="solid" w:color="99CCFF" w:fill="auto"/>
          </w:tcPr>
          <w:p w14:paraId="4F96B646"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u w:val="single"/>
                <w:lang w:val="en-AU"/>
              </w:rPr>
            </w:pPr>
            <w:r w:rsidRPr="00BB3FD1">
              <w:rPr>
                <w:rFonts w:ascii="Calibri" w:hAnsi="Calibri" w:cs="Calibri"/>
                <w:b/>
                <w:bCs/>
                <w:color w:val="000000"/>
                <w:sz w:val="18"/>
                <w:szCs w:val="18"/>
                <w:u w:val="single"/>
                <w:lang w:val="en-AU"/>
              </w:rPr>
              <w:t>0</w:t>
            </w:r>
          </w:p>
        </w:tc>
        <w:tc>
          <w:tcPr>
            <w:tcW w:w="1321" w:type="dxa"/>
            <w:gridSpan w:val="2"/>
            <w:tcBorders>
              <w:top w:val="nil"/>
              <w:left w:val="nil"/>
              <w:bottom w:val="nil"/>
              <w:right w:val="nil"/>
            </w:tcBorders>
            <w:shd w:val="solid" w:color="FFFFCC" w:fill="auto"/>
          </w:tcPr>
          <w:p w14:paraId="63DB86F3" w14:textId="3FCB53E4"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c>
          <w:tcPr>
            <w:tcW w:w="947" w:type="dxa"/>
            <w:gridSpan w:val="2"/>
            <w:tcBorders>
              <w:top w:val="nil"/>
              <w:left w:val="nil"/>
              <w:bottom w:val="nil"/>
              <w:right w:val="single" w:sz="4" w:space="0" w:color="auto"/>
            </w:tcBorders>
            <w:shd w:val="solid" w:color="FFFFCC" w:fill="auto"/>
          </w:tcPr>
          <w:p w14:paraId="77D50B37"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1</w:t>
            </w:r>
          </w:p>
        </w:tc>
      </w:tr>
      <w:tr w:rsidR="00D4394F" w14:paraId="04549D84" w14:textId="77777777" w:rsidTr="00D4321E">
        <w:trPr>
          <w:trHeight w:val="290"/>
        </w:trPr>
        <w:tc>
          <w:tcPr>
            <w:tcW w:w="1776" w:type="dxa"/>
            <w:tcBorders>
              <w:top w:val="nil"/>
              <w:left w:val="single" w:sz="4" w:space="0" w:color="auto"/>
              <w:right w:val="nil"/>
            </w:tcBorders>
          </w:tcPr>
          <w:p w14:paraId="2B4D5DE1" w14:textId="77777777" w:rsidR="00D4394F" w:rsidRPr="00BB3FD1" w:rsidRDefault="00D4394F" w:rsidP="00B66F1C">
            <w:pPr>
              <w:autoSpaceDE w:val="0"/>
              <w:autoSpaceDN w:val="0"/>
              <w:adjustRightInd w:val="0"/>
              <w:spacing w:after="0"/>
              <w:rPr>
                <w:rFonts w:ascii="Calibri" w:hAnsi="Calibri" w:cs="Calibri"/>
                <w:color w:val="000000"/>
                <w:sz w:val="18"/>
                <w:szCs w:val="18"/>
                <w:lang w:val="en-AU"/>
              </w:rPr>
            </w:pPr>
            <w:r w:rsidRPr="00BB3FD1">
              <w:rPr>
                <w:rFonts w:ascii="Calibri" w:hAnsi="Calibri" w:cs="Calibri"/>
                <w:color w:val="000000"/>
                <w:sz w:val="18"/>
                <w:szCs w:val="18"/>
                <w:lang w:val="en-AU"/>
              </w:rPr>
              <w:t>Bronopol</w:t>
            </w:r>
          </w:p>
        </w:tc>
        <w:tc>
          <w:tcPr>
            <w:tcW w:w="801" w:type="dxa"/>
            <w:tcBorders>
              <w:top w:val="nil"/>
              <w:left w:val="nil"/>
              <w:right w:val="nil"/>
            </w:tcBorders>
            <w:shd w:val="solid" w:color="FFCC99" w:fill="auto"/>
          </w:tcPr>
          <w:p w14:paraId="521739FC" w14:textId="735B951C"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c>
          <w:tcPr>
            <w:tcW w:w="1372" w:type="dxa"/>
            <w:gridSpan w:val="3"/>
            <w:tcBorders>
              <w:top w:val="nil"/>
              <w:left w:val="nil"/>
              <w:bottom w:val="nil"/>
              <w:right w:val="nil"/>
            </w:tcBorders>
            <w:shd w:val="solid" w:color="FFCC99" w:fill="auto"/>
          </w:tcPr>
          <w:p w14:paraId="601849B1" w14:textId="0CA60F0C"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c>
          <w:tcPr>
            <w:tcW w:w="1038" w:type="dxa"/>
            <w:tcBorders>
              <w:top w:val="nil"/>
              <w:left w:val="nil"/>
              <w:bottom w:val="nil"/>
              <w:right w:val="nil"/>
            </w:tcBorders>
            <w:shd w:val="solid" w:color="99CCFF" w:fill="auto"/>
          </w:tcPr>
          <w:p w14:paraId="1ED000A4" w14:textId="517D2DDC"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c>
          <w:tcPr>
            <w:tcW w:w="1230" w:type="dxa"/>
            <w:gridSpan w:val="2"/>
            <w:tcBorders>
              <w:top w:val="nil"/>
              <w:left w:val="nil"/>
              <w:bottom w:val="nil"/>
              <w:right w:val="nil"/>
            </w:tcBorders>
            <w:shd w:val="solid" w:color="99CCFF" w:fill="auto"/>
          </w:tcPr>
          <w:p w14:paraId="2CB5584A" w14:textId="3F0E9B41"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c>
          <w:tcPr>
            <w:tcW w:w="1321" w:type="dxa"/>
            <w:gridSpan w:val="2"/>
            <w:tcBorders>
              <w:top w:val="nil"/>
              <w:left w:val="nil"/>
              <w:bottom w:val="nil"/>
              <w:right w:val="nil"/>
            </w:tcBorders>
            <w:shd w:val="solid" w:color="FFFFCC" w:fill="auto"/>
          </w:tcPr>
          <w:p w14:paraId="4408D803"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947" w:type="dxa"/>
            <w:gridSpan w:val="2"/>
            <w:tcBorders>
              <w:top w:val="nil"/>
              <w:left w:val="nil"/>
              <w:bottom w:val="nil"/>
              <w:right w:val="single" w:sz="4" w:space="0" w:color="auto"/>
            </w:tcBorders>
            <w:shd w:val="solid" w:color="FFFFCC" w:fill="auto"/>
          </w:tcPr>
          <w:p w14:paraId="2253CFB8"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u w:val="single"/>
                <w:lang w:val="en-AU"/>
              </w:rPr>
            </w:pPr>
            <w:r w:rsidRPr="00BB3FD1">
              <w:rPr>
                <w:rFonts w:ascii="Calibri" w:hAnsi="Calibri" w:cs="Calibri"/>
                <w:b/>
                <w:bCs/>
                <w:color w:val="000000"/>
                <w:sz w:val="18"/>
                <w:szCs w:val="18"/>
                <w:u w:val="single"/>
                <w:lang w:val="en-AU"/>
              </w:rPr>
              <w:t>0</w:t>
            </w:r>
          </w:p>
        </w:tc>
      </w:tr>
      <w:tr w:rsidR="00D4394F" w14:paraId="06E871C1" w14:textId="77777777" w:rsidTr="00D4321E">
        <w:trPr>
          <w:gridAfter w:val="1"/>
          <w:wAfter w:w="6" w:type="dxa"/>
          <w:trHeight w:val="290"/>
        </w:trPr>
        <w:tc>
          <w:tcPr>
            <w:tcW w:w="1776" w:type="dxa"/>
            <w:tcBorders>
              <w:top w:val="nil"/>
              <w:left w:val="single" w:sz="4" w:space="0" w:color="auto"/>
              <w:bottom w:val="nil"/>
            </w:tcBorders>
          </w:tcPr>
          <w:p w14:paraId="3D2B71FF" w14:textId="77777777" w:rsidR="00D4394F" w:rsidRPr="00BB3FD1" w:rsidRDefault="00D4394F" w:rsidP="00B66F1C">
            <w:pPr>
              <w:tabs>
                <w:tab w:val="left" w:pos="762"/>
              </w:tabs>
              <w:autoSpaceDE w:val="0"/>
              <w:autoSpaceDN w:val="0"/>
              <w:adjustRightInd w:val="0"/>
              <w:spacing w:after="0"/>
              <w:rPr>
                <w:rFonts w:ascii="Calibri" w:hAnsi="Calibri" w:cs="Calibri"/>
                <w:color w:val="000000"/>
                <w:sz w:val="18"/>
                <w:szCs w:val="18"/>
                <w:lang w:val="en-AU"/>
              </w:rPr>
            </w:pPr>
            <w:r w:rsidRPr="00BB3FD1">
              <w:rPr>
                <w:rFonts w:ascii="Calibri" w:hAnsi="Calibri" w:cs="Calibri"/>
                <w:color w:val="000000"/>
                <w:sz w:val="18"/>
                <w:szCs w:val="18"/>
                <w:lang w:val="en-AU"/>
              </w:rPr>
              <w:t>MCI</w:t>
            </w:r>
          </w:p>
        </w:tc>
        <w:tc>
          <w:tcPr>
            <w:tcW w:w="801" w:type="dxa"/>
            <w:tcBorders>
              <w:top w:val="nil"/>
              <w:left w:val="nil"/>
              <w:bottom w:val="nil"/>
              <w:right w:val="nil"/>
            </w:tcBorders>
            <w:shd w:val="clear" w:color="auto" w:fill="FFCC99"/>
          </w:tcPr>
          <w:p w14:paraId="46C12172" w14:textId="77777777" w:rsidR="00D4394F" w:rsidRPr="00BB3FD1" w:rsidRDefault="00D4394F" w:rsidP="00B66F1C">
            <w:pPr>
              <w:autoSpaceDE w:val="0"/>
              <w:autoSpaceDN w:val="0"/>
              <w:adjustRightInd w:val="0"/>
              <w:spacing w:after="0"/>
              <w:jc w:val="center"/>
              <w:rPr>
                <w:rFonts w:ascii="Calibri" w:hAnsi="Calibri" w:cs="Calibri"/>
                <w:color w:val="000000"/>
                <w:sz w:val="18"/>
                <w:szCs w:val="18"/>
                <w:lang w:val="en-AU"/>
              </w:rPr>
            </w:pPr>
            <w:r w:rsidRPr="00BB3FD1">
              <w:rPr>
                <w:rFonts w:ascii="Calibri" w:hAnsi="Calibri" w:cs="Calibri"/>
                <w:b/>
                <w:bCs/>
                <w:color w:val="000000"/>
                <w:sz w:val="18"/>
                <w:szCs w:val="18"/>
                <w:lang w:val="en-AU"/>
              </w:rPr>
              <w:t>0</w:t>
            </w:r>
          </w:p>
        </w:tc>
        <w:tc>
          <w:tcPr>
            <w:tcW w:w="1366" w:type="dxa"/>
            <w:gridSpan w:val="2"/>
            <w:tcBorders>
              <w:top w:val="nil"/>
              <w:left w:val="nil"/>
              <w:bottom w:val="nil"/>
              <w:right w:val="nil"/>
            </w:tcBorders>
            <w:shd w:val="solid" w:color="FFCC99" w:fill="auto"/>
          </w:tcPr>
          <w:p w14:paraId="7A2CFC22"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044" w:type="dxa"/>
            <w:gridSpan w:val="2"/>
            <w:tcBorders>
              <w:top w:val="nil"/>
              <w:left w:val="nil"/>
              <w:bottom w:val="nil"/>
              <w:right w:val="nil"/>
            </w:tcBorders>
            <w:shd w:val="solid" w:color="99CCFF" w:fill="auto"/>
          </w:tcPr>
          <w:p w14:paraId="2AD1AFDF"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1224" w:type="dxa"/>
            <w:tcBorders>
              <w:top w:val="nil"/>
              <w:left w:val="nil"/>
              <w:bottom w:val="nil"/>
              <w:right w:val="nil"/>
            </w:tcBorders>
            <w:shd w:val="solid" w:color="99CCFF" w:fill="auto"/>
          </w:tcPr>
          <w:p w14:paraId="4954B9E1"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0</w:t>
            </w:r>
          </w:p>
        </w:tc>
        <w:tc>
          <w:tcPr>
            <w:tcW w:w="1327" w:type="dxa"/>
            <w:gridSpan w:val="3"/>
            <w:tcBorders>
              <w:top w:val="nil"/>
              <w:left w:val="nil"/>
              <w:bottom w:val="nil"/>
              <w:right w:val="nil"/>
            </w:tcBorders>
            <w:shd w:val="solid" w:color="FFFFCC" w:fill="auto"/>
          </w:tcPr>
          <w:p w14:paraId="526BCB99"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c>
          <w:tcPr>
            <w:tcW w:w="941" w:type="dxa"/>
            <w:tcBorders>
              <w:top w:val="nil"/>
              <w:left w:val="nil"/>
              <w:bottom w:val="nil"/>
              <w:right w:val="single" w:sz="4" w:space="0" w:color="auto"/>
            </w:tcBorders>
            <w:shd w:val="solid" w:color="FFFFCC" w:fill="auto"/>
          </w:tcPr>
          <w:p w14:paraId="0C6E84C7" w14:textId="77777777"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0</w:t>
            </w:r>
          </w:p>
        </w:tc>
      </w:tr>
      <w:tr w:rsidR="00D4394F" w14:paraId="75477365" w14:textId="77777777" w:rsidTr="00D4321E">
        <w:trPr>
          <w:trHeight w:val="290"/>
        </w:trPr>
        <w:tc>
          <w:tcPr>
            <w:tcW w:w="1776" w:type="dxa"/>
            <w:tcBorders>
              <w:top w:val="nil"/>
              <w:left w:val="single" w:sz="4" w:space="0" w:color="auto"/>
              <w:bottom w:val="single" w:sz="4" w:space="0" w:color="auto"/>
              <w:right w:val="nil"/>
            </w:tcBorders>
          </w:tcPr>
          <w:p w14:paraId="1E60BA14" w14:textId="77777777" w:rsidR="00D4394F" w:rsidRPr="00BB3FD1" w:rsidRDefault="00D4394F" w:rsidP="00B66F1C">
            <w:pPr>
              <w:autoSpaceDE w:val="0"/>
              <w:autoSpaceDN w:val="0"/>
              <w:adjustRightInd w:val="0"/>
              <w:spacing w:after="0"/>
              <w:rPr>
                <w:rFonts w:ascii="Calibri" w:hAnsi="Calibri" w:cs="Calibri"/>
                <w:color w:val="000000"/>
                <w:sz w:val="18"/>
                <w:szCs w:val="18"/>
                <w:lang w:val="en-AU"/>
              </w:rPr>
            </w:pPr>
            <w:r w:rsidRPr="00BB3FD1">
              <w:rPr>
                <w:rFonts w:ascii="Calibri" w:hAnsi="Calibri" w:cs="Calibri"/>
                <w:color w:val="000000"/>
                <w:sz w:val="18"/>
                <w:szCs w:val="18"/>
                <w:lang w:val="en-AU"/>
              </w:rPr>
              <w:t>Acrylamide polymer</w:t>
            </w:r>
          </w:p>
        </w:tc>
        <w:tc>
          <w:tcPr>
            <w:tcW w:w="801" w:type="dxa"/>
            <w:tcBorders>
              <w:top w:val="nil"/>
              <w:left w:val="nil"/>
              <w:bottom w:val="single" w:sz="4" w:space="0" w:color="auto"/>
              <w:right w:val="nil"/>
            </w:tcBorders>
            <w:shd w:val="solid" w:color="FFCC99" w:fill="auto"/>
          </w:tcPr>
          <w:p w14:paraId="7FCF573F" w14:textId="1B744DD5"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1.1E-3</w:t>
            </w:r>
          </w:p>
        </w:tc>
        <w:tc>
          <w:tcPr>
            <w:tcW w:w="1372" w:type="dxa"/>
            <w:gridSpan w:val="3"/>
            <w:tcBorders>
              <w:top w:val="nil"/>
              <w:left w:val="nil"/>
              <w:bottom w:val="single" w:sz="4" w:space="0" w:color="auto"/>
              <w:right w:val="nil"/>
            </w:tcBorders>
            <w:shd w:val="solid" w:color="FFCC99" w:fill="auto"/>
          </w:tcPr>
          <w:p w14:paraId="5052FEC0" w14:textId="599C051E"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1.1E-3</w:t>
            </w:r>
          </w:p>
        </w:tc>
        <w:tc>
          <w:tcPr>
            <w:tcW w:w="1038" w:type="dxa"/>
            <w:tcBorders>
              <w:top w:val="nil"/>
              <w:left w:val="nil"/>
              <w:bottom w:val="single" w:sz="4" w:space="0" w:color="auto"/>
              <w:right w:val="nil"/>
            </w:tcBorders>
            <w:shd w:val="solid" w:color="99CCFF" w:fill="auto"/>
          </w:tcPr>
          <w:p w14:paraId="1B03F720" w14:textId="4A552238"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1.1E-3</w:t>
            </w:r>
          </w:p>
        </w:tc>
        <w:tc>
          <w:tcPr>
            <w:tcW w:w="1230" w:type="dxa"/>
            <w:gridSpan w:val="2"/>
            <w:tcBorders>
              <w:top w:val="nil"/>
              <w:left w:val="nil"/>
              <w:bottom w:val="single" w:sz="4" w:space="0" w:color="auto"/>
              <w:right w:val="nil"/>
            </w:tcBorders>
            <w:shd w:val="solid" w:color="99CCFF" w:fill="auto"/>
          </w:tcPr>
          <w:p w14:paraId="022C4545" w14:textId="2E66EF72"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1.1E-3</w:t>
            </w:r>
          </w:p>
        </w:tc>
        <w:tc>
          <w:tcPr>
            <w:tcW w:w="1321" w:type="dxa"/>
            <w:gridSpan w:val="2"/>
            <w:tcBorders>
              <w:top w:val="nil"/>
              <w:left w:val="nil"/>
              <w:bottom w:val="single" w:sz="4" w:space="0" w:color="auto"/>
              <w:right w:val="nil"/>
            </w:tcBorders>
            <w:shd w:val="solid" w:color="FFFFCC" w:fill="auto"/>
          </w:tcPr>
          <w:p w14:paraId="776A15D8" w14:textId="144B417B"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1.1E-3</w:t>
            </w:r>
          </w:p>
        </w:tc>
        <w:tc>
          <w:tcPr>
            <w:tcW w:w="947" w:type="dxa"/>
            <w:gridSpan w:val="2"/>
            <w:tcBorders>
              <w:top w:val="nil"/>
              <w:left w:val="nil"/>
              <w:bottom w:val="single" w:sz="4" w:space="0" w:color="auto"/>
              <w:right w:val="single" w:sz="4" w:space="0" w:color="auto"/>
            </w:tcBorders>
            <w:shd w:val="solid" w:color="FFFFCC" w:fill="auto"/>
          </w:tcPr>
          <w:p w14:paraId="3BD4FF00" w14:textId="50EDD2C4" w:rsidR="00D4394F" w:rsidRPr="00BB3FD1" w:rsidRDefault="00D4394F" w:rsidP="00B66F1C">
            <w:pPr>
              <w:autoSpaceDE w:val="0"/>
              <w:autoSpaceDN w:val="0"/>
              <w:adjustRightInd w:val="0"/>
              <w:spacing w:after="0"/>
              <w:jc w:val="center"/>
              <w:rPr>
                <w:rFonts w:ascii="Calibri" w:hAnsi="Calibri" w:cs="Calibri"/>
                <w:b/>
                <w:bCs/>
                <w:color w:val="000000"/>
                <w:sz w:val="18"/>
                <w:szCs w:val="18"/>
                <w:lang w:val="en-AU"/>
              </w:rPr>
            </w:pPr>
            <w:r w:rsidRPr="00BB3FD1">
              <w:rPr>
                <w:rFonts w:ascii="Calibri" w:hAnsi="Calibri" w:cs="Calibri"/>
                <w:b/>
                <w:bCs/>
                <w:color w:val="000000"/>
                <w:sz w:val="18"/>
                <w:szCs w:val="18"/>
                <w:lang w:val="en-AU"/>
              </w:rPr>
              <w:t xml:space="preserve"> 1.1E-3</w:t>
            </w:r>
          </w:p>
        </w:tc>
      </w:tr>
    </w:tbl>
    <w:p w14:paraId="5122E612" w14:textId="77777777" w:rsidR="00D4394F" w:rsidRDefault="00D4394F" w:rsidP="00D4394F">
      <w:pPr>
        <w:rPr>
          <w:lang w:val="en-GB"/>
        </w:rPr>
      </w:pPr>
    </w:p>
    <w:p w14:paraId="31B392CB" w14:textId="485F25A3" w:rsidR="002665DD" w:rsidRPr="002665DD" w:rsidRDefault="002665DD" w:rsidP="00F12614">
      <w:pPr>
        <w:pStyle w:val="Heading3"/>
        <w:numPr>
          <w:ilvl w:val="3"/>
          <w:numId w:val="1"/>
        </w:numPr>
      </w:pPr>
      <w:bookmarkStart w:id="695" w:name="_Toc494444665"/>
      <w:r w:rsidRPr="002665DD">
        <w:t>Summary of attenuation potential for organic compounds</w:t>
      </w:r>
      <w:bookmarkEnd w:id="695"/>
    </w:p>
    <w:p w14:paraId="70AE69C0" w14:textId="75DC16E9" w:rsidR="002665DD" w:rsidRDefault="00FB56A4" w:rsidP="002665DD">
      <w:pPr>
        <w:pStyle w:val="Body"/>
      </w:pPr>
      <w:r w:rsidRPr="00FB56A4">
        <w:t xml:space="preserve">In </w:t>
      </w:r>
      <w:r>
        <w:t xml:space="preserve">the above analysis of attenuation potential as a result of chemical/biological degradation, sorption, and dilution/dispersion, no explicit link was made with the various hydrostratigraphic layers relevant to the Gunnedah Basin. In the subsequent discussion the generic findings from the previous section are translated into layer-specific attenuation potential, expressed by the compound-specific Dilution Attenuation Factor (DAF). DAF values in </w:t>
      </w:r>
      <w:r>
        <w:fldChar w:fldCharType="begin" w:fldLock="1"/>
      </w:r>
      <w:r>
        <w:instrText xml:space="preserve"> REF _Ref467830368 \h  \* MERGEFORMAT </w:instrText>
      </w:r>
      <w:r>
        <w:fldChar w:fldCharType="separate"/>
      </w:r>
      <w:r w:rsidR="00335E79" w:rsidRPr="00D976C8">
        <w:t xml:space="preserve">Table </w:t>
      </w:r>
      <w:r w:rsidR="00335E79">
        <w:t>5</w:t>
      </w:r>
      <w:r w:rsidR="00335E79">
        <w:noBreakHyphen/>
        <w:t>18</w:t>
      </w:r>
      <w:r>
        <w:fldChar w:fldCharType="end"/>
      </w:r>
      <w:r>
        <w:t xml:space="preserve"> were obtained by consideration of the layers’ organic carbon content as a key factor in determining sorption, the half-life values selected in </w:t>
      </w:r>
      <w:r>
        <w:fldChar w:fldCharType="begin" w:fldLock="1"/>
      </w:r>
      <w:r>
        <w:instrText xml:space="preserve"> REF _Ref452903378 \h  \* MERGEFORMAT </w:instrText>
      </w:r>
      <w:r>
        <w:fldChar w:fldCharType="separate"/>
      </w:r>
      <w:r w:rsidR="00335E79" w:rsidRPr="00DA539C">
        <w:t xml:space="preserve">Table </w:t>
      </w:r>
      <w:r w:rsidR="00335E79">
        <w:t>4</w:t>
      </w:r>
      <w:r w:rsidR="00335E79">
        <w:noBreakHyphen/>
        <w:t>5</w:t>
      </w:r>
      <w:r>
        <w:fldChar w:fldCharType="end"/>
      </w:r>
      <w:r>
        <w:t>, and the dilution/dispersion effect based on a minimal transport distance of 0.5 km for the Namoi alluvium, Pilliga Sandstone, and Blythesdaly Group, and a transport distance of 3.4 km for the deeper Maules Creek Formations (upper, Bohena coal measures, and lower). The 3.4 km transport distance for the Maules Creek Format</w:t>
      </w:r>
      <w:r w:rsidR="009150A1">
        <w:t>io</w:t>
      </w:r>
      <w:r>
        <w:t>ns was the largest distance evaluated in section</w:t>
      </w:r>
      <w:r w:rsidR="00C06A63">
        <w:t xml:space="preserve"> </w:t>
      </w:r>
      <w:r w:rsidR="00C06A63">
        <w:fldChar w:fldCharType="begin" w:fldLock="1"/>
      </w:r>
      <w:r w:rsidR="00C06A63">
        <w:instrText xml:space="preserve"> REF _Ref467594866 \r \h </w:instrText>
      </w:r>
      <w:r w:rsidR="00C06A63">
        <w:fldChar w:fldCharType="separate"/>
      </w:r>
      <w:r w:rsidR="00335E79">
        <w:t>2.6.4.4</w:t>
      </w:r>
      <w:r w:rsidR="00C06A63">
        <w:fldChar w:fldCharType="end"/>
      </w:r>
      <w:r>
        <w:t xml:space="preserve">; this value is still very conservative as transport pathways </w:t>
      </w:r>
      <w:r w:rsidR="000A4AAB">
        <w:t>with</w:t>
      </w:r>
      <w:r>
        <w:t xml:space="preserve">in the Bohena coal measures are </w:t>
      </w:r>
      <w:r w:rsidR="000A4AAB">
        <w:t>extremely long</w:t>
      </w:r>
      <w:r>
        <w:t xml:space="preserve"> </w:t>
      </w:r>
      <w:r w:rsidR="000A4AAB">
        <w:t xml:space="preserve">(see </w:t>
      </w:r>
      <w:r w:rsidR="00A72F32">
        <w:t xml:space="preserve">Section </w:t>
      </w:r>
      <w:r w:rsidR="000A4AAB">
        <w:fldChar w:fldCharType="begin" w:fldLock="1"/>
      </w:r>
      <w:r w:rsidR="000A4AAB">
        <w:instrText xml:space="preserve"> REF _Ref467830830 \r \h </w:instrText>
      </w:r>
      <w:r w:rsidR="000A4AAB">
        <w:fldChar w:fldCharType="separate"/>
      </w:r>
      <w:r w:rsidR="00335E79">
        <w:t>2.6.4.3.2</w:t>
      </w:r>
      <w:r w:rsidR="000A4AAB">
        <w:fldChar w:fldCharType="end"/>
      </w:r>
      <w:r w:rsidR="000A4AAB">
        <w:t>).</w:t>
      </w:r>
      <w:r>
        <w:t xml:space="preserve">  </w:t>
      </w:r>
    </w:p>
    <w:p w14:paraId="60A22830" w14:textId="77777777" w:rsidR="002665DD" w:rsidRDefault="002665DD" w:rsidP="002665DD">
      <w:pPr>
        <w:pStyle w:val="Body"/>
      </w:pPr>
    </w:p>
    <w:p w14:paraId="47ECB631" w14:textId="53509202" w:rsidR="002665DD" w:rsidRPr="00D976C8" w:rsidRDefault="002665DD" w:rsidP="00D976C8">
      <w:pPr>
        <w:pStyle w:val="Imagecaption"/>
        <w:keepNext/>
        <w:pBdr>
          <w:top w:val="none" w:sz="0" w:space="0" w:color="auto"/>
        </w:pBdr>
      </w:pPr>
      <w:bookmarkStart w:id="696" w:name="_Ref467830368"/>
      <w:bookmarkStart w:id="697" w:name="_Toc494444746"/>
      <w:r w:rsidRPr="00D976C8">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18</w:t>
      </w:r>
      <w:r w:rsidR="00470577">
        <w:fldChar w:fldCharType="end"/>
      </w:r>
      <w:bookmarkEnd w:id="696"/>
      <w:r w:rsidRPr="00D976C8">
        <w:t xml:space="preserve">  Table of </w:t>
      </w:r>
      <w:r w:rsidR="000A4AAB" w:rsidRPr="00D976C8">
        <w:t xml:space="preserve">Dilution Attenuation Factors (DAF) </w:t>
      </w:r>
      <w:r w:rsidRPr="00D976C8">
        <w:t xml:space="preserve">for Gunnedah basin geology </w:t>
      </w:r>
      <w:r w:rsidR="00B26107" w:rsidRPr="00D976C8">
        <w:t xml:space="preserve">accounted for combined effect of chemical/biological degradation, sorption, and dilution/dispersion </w:t>
      </w:r>
      <w:r w:rsidRPr="00D976C8">
        <w:t xml:space="preserve">(organic chemicals). A = 2-methylphenol, B = Naphthalene, C = </w:t>
      </w:r>
      <w:r w:rsidR="004C29E8" w:rsidRPr="00D976C8">
        <w:t xml:space="preserve">d-Limonene, D = </w:t>
      </w:r>
      <w:r w:rsidRPr="00D976C8">
        <w:t xml:space="preserve">HMX, </w:t>
      </w:r>
      <w:r w:rsidR="004C29E8" w:rsidRPr="00D976C8">
        <w:t>E</w:t>
      </w:r>
      <w:r w:rsidRPr="00D976C8">
        <w:t xml:space="preserve"> = 2-butoxyethanol, </w:t>
      </w:r>
      <w:r w:rsidR="004C29E8" w:rsidRPr="00D976C8">
        <w:t>F</w:t>
      </w:r>
      <w:r w:rsidRPr="00D976C8">
        <w:t xml:space="preserve"> = Bronopol, </w:t>
      </w:r>
      <w:r w:rsidR="004C29E8" w:rsidRPr="00D976C8">
        <w:t>G</w:t>
      </w:r>
      <w:r w:rsidRPr="00D976C8">
        <w:t xml:space="preserve"> = Methylchloroisothiazolinone, H = Acrylamide polymer.  </w:t>
      </w:r>
      <w:r w:rsidR="000A4AAB" w:rsidRPr="00D976C8">
        <w:t xml:space="preserve">For </w:t>
      </w:r>
      <w:r w:rsidR="00B26107" w:rsidRPr="00D976C8">
        <w:t xml:space="preserve">effect of chemical/biological degradation, see </w:t>
      </w:r>
      <w:r w:rsidR="000A4AAB" w:rsidRPr="00D976C8">
        <w:t xml:space="preserve">layer-specific half-lifes </w:t>
      </w:r>
      <w:r w:rsidR="00B26107" w:rsidRPr="00D976C8">
        <w:t xml:space="preserve">in </w:t>
      </w:r>
      <w:r w:rsidR="000A4AAB" w:rsidRPr="00D976C8">
        <w:t xml:space="preserve">Table </w:t>
      </w:r>
      <w:r w:rsidR="00B26107" w:rsidRPr="00D976C8">
        <w:t>4.5.</w:t>
      </w:r>
      <w:r w:rsidR="000A4AAB" w:rsidRPr="00D976C8">
        <w:t xml:space="preserve"> For sorption effect layer-specific f</w:t>
      </w:r>
      <w:r w:rsidR="000A4AAB" w:rsidRPr="001F5949">
        <w:rPr>
          <w:vertAlign w:val="subscript"/>
        </w:rPr>
        <w:t>OC</w:t>
      </w:r>
      <w:r w:rsidR="001F5949">
        <w:t>_</w:t>
      </w:r>
      <w:r w:rsidR="001F5949" w:rsidRPr="001F5949">
        <w:rPr>
          <w:vertAlign w:val="subscript"/>
        </w:rPr>
        <w:t>r</w:t>
      </w:r>
      <w:r w:rsidR="000A4AAB" w:rsidRPr="00D976C8">
        <w:t xml:space="preserve"> values were used</w:t>
      </w:r>
      <w:r w:rsidR="00401816" w:rsidRPr="00D976C8">
        <w:t xml:space="preserve"> (fraction of organic carbon × scaling factor)</w:t>
      </w:r>
      <w:r w:rsidR="000A4AAB" w:rsidRPr="00D976C8">
        <w:t xml:space="preserve">. For effect of dilution/dispersion </w:t>
      </w:r>
      <w:r w:rsidR="00045993">
        <w:t xml:space="preserve">a 1 ML injection volume and </w:t>
      </w:r>
      <w:r w:rsidR="000A4AAB" w:rsidRPr="00D976C8">
        <w:t>travel distance of 0.5 km w</w:t>
      </w:r>
      <w:r w:rsidR="00CD5A5A">
        <w:t>as</w:t>
      </w:r>
      <w:r w:rsidR="000A4AAB" w:rsidRPr="00D976C8">
        <w:t xml:space="preserve"> used for Namoi alluvium, Pilliga Sandstone, and Blythesdale Group; 3.4 km distance was used for all three Maules Creek Formations. </w:t>
      </w:r>
      <w:r w:rsidR="00B26107" w:rsidRPr="00D976C8">
        <w:t>Colour codes are as follows:   DAF</w:t>
      </w:r>
      <w:r w:rsidR="005368C0" w:rsidRPr="00D976C8">
        <w:t xml:space="preserve"> ≤</w:t>
      </w:r>
      <w:r w:rsidR="00B26107" w:rsidRPr="00D976C8">
        <w:t xml:space="preserve"> 10</w:t>
      </w:r>
      <w:r w:rsidR="005368C0" w:rsidRPr="001F5949">
        <w:rPr>
          <w:vertAlign w:val="superscript"/>
        </w:rPr>
        <w:t>3</w:t>
      </w:r>
      <w:r w:rsidR="00B26107" w:rsidRPr="00D976C8">
        <w:t>: green; 10</w:t>
      </w:r>
      <w:r w:rsidR="005368C0" w:rsidRPr="001F5949">
        <w:rPr>
          <w:vertAlign w:val="superscript"/>
        </w:rPr>
        <w:t>3</w:t>
      </w:r>
      <w:r w:rsidR="00B26107" w:rsidRPr="00D976C8">
        <w:t xml:space="preserve"> ≤ DAF&lt; 10</w:t>
      </w:r>
      <w:r w:rsidR="005368C0" w:rsidRPr="001F5949">
        <w:rPr>
          <w:vertAlign w:val="superscript"/>
        </w:rPr>
        <w:t>6</w:t>
      </w:r>
      <w:r w:rsidR="00B26107" w:rsidRPr="00D976C8">
        <w:t>: orange; DAF ≥ 10</w:t>
      </w:r>
      <w:r w:rsidR="005368C0" w:rsidRPr="001F5949">
        <w:rPr>
          <w:vertAlign w:val="superscript"/>
        </w:rPr>
        <w:t>6</w:t>
      </w:r>
      <w:r w:rsidR="00B26107" w:rsidRPr="00D976C8">
        <w:t>: blue.</w:t>
      </w:r>
      <w:bookmarkEnd w:id="697"/>
    </w:p>
    <w:tbl>
      <w:tblPr>
        <w:tblStyle w:val="TableGrid"/>
        <w:tblW w:w="8926" w:type="dxa"/>
        <w:tblLayout w:type="fixed"/>
        <w:tblLook w:val="04A0" w:firstRow="1" w:lastRow="0" w:firstColumn="1" w:lastColumn="0" w:noHBand="0" w:noVBand="1"/>
      </w:tblPr>
      <w:tblGrid>
        <w:gridCol w:w="1129"/>
        <w:gridCol w:w="993"/>
        <w:gridCol w:w="992"/>
        <w:gridCol w:w="992"/>
        <w:gridCol w:w="992"/>
        <w:gridCol w:w="709"/>
        <w:gridCol w:w="709"/>
        <w:gridCol w:w="709"/>
        <w:gridCol w:w="708"/>
        <w:gridCol w:w="993"/>
      </w:tblGrid>
      <w:tr w:rsidR="002665DD" w:rsidRPr="00E6110F" w14:paraId="4CE226C4" w14:textId="77777777" w:rsidTr="00680183">
        <w:trPr>
          <w:trHeight w:val="132"/>
        </w:trPr>
        <w:tc>
          <w:tcPr>
            <w:tcW w:w="1129" w:type="dxa"/>
            <w:vMerge w:val="restart"/>
            <w:shd w:val="clear" w:color="auto" w:fill="F2F2F2" w:themeFill="background1" w:themeFillShade="F2"/>
          </w:tcPr>
          <w:p w14:paraId="5F166033" w14:textId="77777777" w:rsidR="002665DD" w:rsidRPr="00E6110F" w:rsidRDefault="002665DD" w:rsidP="00791BD3">
            <w:pPr>
              <w:pStyle w:val="Body"/>
              <w:jc w:val="center"/>
            </w:pPr>
            <w:r w:rsidRPr="00E6110F">
              <w:t>Geology</w:t>
            </w:r>
          </w:p>
        </w:tc>
        <w:tc>
          <w:tcPr>
            <w:tcW w:w="993" w:type="dxa"/>
            <w:vMerge w:val="restart"/>
            <w:shd w:val="clear" w:color="auto" w:fill="F2F2F2" w:themeFill="background1" w:themeFillShade="F2"/>
          </w:tcPr>
          <w:p w14:paraId="78755BAA" w14:textId="7401458A" w:rsidR="002665DD" w:rsidRPr="00E6110F" w:rsidRDefault="002665DD" w:rsidP="00791BD3">
            <w:pPr>
              <w:jc w:val="center"/>
              <w:rPr>
                <w:rFonts w:ascii="Calibri" w:hAnsi="Calibri" w:cs="Calibri"/>
                <w:color w:val="000000"/>
                <w:sz w:val="18"/>
                <w:szCs w:val="18"/>
                <w:lang w:val="en-GB"/>
              </w:rPr>
            </w:pPr>
            <w:r w:rsidRPr="00E6110F">
              <w:rPr>
                <w:rFonts w:ascii="Calibri" w:hAnsi="Calibri" w:cs="Calibri"/>
                <w:i/>
                <w:color w:val="000000"/>
                <w:sz w:val="18"/>
                <w:szCs w:val="18"/>
                <w:lang w:val="en-GB"/>
              </w:rPr>
              <w:t>f</w:t>
            </w:r>
            <w:r w:rsidRPr="00E6110F">
              <w:rPr>
                <w:rFonts w:ascii="Calibri" w:hAnsi="Calibri" w:cs="Calibri"/>
                <w:color w:val="000000"/>
                <w:sz w:val="18"/>
                <w:szCs w:val="18"/>
                <w:vertAlign w:val="subscript"/>
                <w:lang w:val="en-GB"/>
              </w:rPr>
              <w:t>OC</w:t>
            </w:r>
            <w:r w:rsidR="00591AB5">
              <w:rPr>
                <w:rFonts w:ascii="Calibri" w:hAnsi="Calibri" w:cs="Calibri"/>
                <w:color w:val="000000"/>
                <w:sz w:val="18"/>
                <w:szCs w:val="18"/>
                <w:vertAlign w:val="subscript"/>
                <w:lang w:val="en-GB"/>
              </w:rPr>
              <w:t>_r</w:t>
            </w:r>
            <w:r w:rsidRPr="00E6110F">
              <w:rPr>
                <w:rFonts w:ascii="Calibri" w:hAnsi="Calibri" w:cs="Calibri"/>
                <w:color w:val="000000"/>
                <w:sz w:val="18"/>
                <w:szCs w:val="18"/>
                <w:lang w:val="en-GB"/>
              </w:rPr>
              <w:t xml:space="preserve"> (g/g)</w:t>
            </w:r>
          </w:p>
        </w:tc>
        <w:tc>
          <w:tcPr>
            <w:tcW w:w="6804" w:type="dxa"/>
            <w:gridSpan w:val="8"/>
            <w:shd w:val="clear" w:color="auto" w:fill="F2F2F2" w:themeFill="background1" w:themeFillShade="F2"/>
          </w:tcPr>
          <w:p w14:paraId="494A927A" w14:textId="65445932" w:rsidR="002665DD" w:rsidRPr="00E6110F" w:rsidRDefault="00B26107" w:rsidP="005A1156">
            <w:pPr>
              <w:jc w:val="center"/>
              <w:rPr>
                <w:rFonts w:ascii="Calibri" w:hAnsi="Calibri" w:cs="Calibri"/>
                <w:color w:val="000000"/>
                <w:sz w:val="18"/>
                <w:szCs w:val="18"/>
                <w:lang w:val="en-GB"/>
              </w:rPr>
            </w:pPr>
            <w:r>
              <w:rPr>
                <w:rFonts w:ascii="Calibri" w:hAnsi="Calibri" w:cs="Calibri"/>
                <w:color w:val="000000"/>
                <w:sz w:val="18"/>
                <w:szCs w:val="18"/>
                <w:lang w:val="en-GB"/>
              </w:rPr>
              <w:t>Dilution Attenuation Factor (</w:t>
            </w:r>
            <w:r w:rsidR="000C4916">
              <w:rPr>
                <w:rFonts w:ascii="Calibri" w:hAnsi="Calibri" w:cs="Calibri"/>
                <w:color w:val="000000"/>
                <w:sz w:val="18"/>
                <w:szCs w:val="18"/>
                <w:lang w:val="en-GB"/>
              </w:rPr>
              <w:t>DAF</w:t>
            </w:r>
            <w:r>
              <w:rPr>
                <w:rFonts w:ascii="Calibri" w:hAnsi="Calibri" w:cs="Calibri"/>
                <w:color w:val="000000"/>
                <w:sz w:val="18"/>
                <w:szCs w:val="18"/>
                <w:lang w:val="en-GB"/>
              </w:rPr>
              <w:t>)</w:t>
            </w:r>
          </w:p>
        </w:tc>
      </w:tr>
      <w:tr w:rsidR="00680183" w:rsidRPr="00E6110F" w14:paraId="673ADECA" w14:textId="77777777" w:rsidTr="00680183">
        <w:trPr>
          <w:trHeight w:val="132"/>
        </w:trPr>
        <w:tc>
          <w:tcPr>
            <w:tcW w:w="1129" w:type="dxa"/>
            <w:vMerge/>
            <w:shd w:val="clear" w:color="auto" w:fill="F2F2F2" w:themeFill="background1" w:themeFillShade="F2"/>
          </w:tcPr>
          <w:p w14:paraId="1AF5FBE1" w14:textId="77777777" w:rsidR="002665DD" w:rsidRPr="00E6110F" w:rsidRDefault="002665DD" w:rsidP="00791BD3">
            <w:pPr>
              <w:pStyle w:val="Body"/>
              <w:jc w:val="center"/>
            </w:pPr>
          </w:p>
        </w:tc>
        <w:tc>
          <w:tcPr>
            <w:tcW w:w="993" w:type="dxa"/>
            <w:vMerge/>
            <w:shd w:val="clear" w:color="auto" w:fill="F2F2F2" w:themeFill="background1" w:themeFillShade="F2"/>
          </w:tcPr>
          <w:p w14:paraId="69CCB5EF" w14:textId="77777777" w:rsidR="002665DD" w:rsidRPr="00E6110F" w:rsidRDefault="002665DD" w:rsidP="00791BD3">
            <w:pPr>
              <w:jc w:val="center"/>
              <w:rPr>
                <w:rFonts w:ascii="Calibri" w:hAnsi="Calibri" w:cs="Calibri"/>
                <w:color w:val="000000"/>
                <w:sz w:val="18"/>
                <w:szCs w:val="18"/>
                <w:lang w:val="en-GB"/>
              </w:rPr>
            </w:pPr>
          </w:p>
        </w:tc>
        <w:tc>
          <w:tcPr>
            <w:tcW w:w="992" w:type="dxa"/>
            <w:tcBorders>
              <w:bottom w:val="single" w:sz="4" w:space="0" w:color="auto"/>
            </w:tcBorders>
            <w:shd w:val="clear" w:color="auto" w:fill="F2F2F2" w:themeFill="background1" w:themeFillShade="F2"/>
          </w:tcPr>
          <w:p w14:paraId="6D6C91CD" w14:textId="77777777" w:rsidR="002665DD" w:rsidRPr="00E6110F" w:rsidRDefault="002665DD" w:rsidP="00791BD3">
            <w:pPr>
              <w:jc w:val="center"/>
              <w:rPr>
                <w:rFonts w:ascii="Calibri" w:hAnsi="Calibri" w:cs="Calibri"/>
                <w:color w:val="000000"/>
                <w:sz w:val="18"/>
                <w:szCs w:val="18"/>
                <w:lang w:val="en-GB"/>
              </w:rPr>
            </w:pPr>
            <w:r>
              <w:rPr>
                <w:rFonts w:ascii="Calibri" w:hAnsi="Calibri" w:cs="Calibri"/>
                <w:color w:val="000000"/>
                <w:sz w:val="18"/>
                <w:szCs w:val="18"/>
                <w:lang w:val="en-GB"/>
              </w:rPr>
              <w:t>A</w:t>
            </w:r>
          </w:p>
        </w:tc>
        <w:tc>
          <w:tcPr>
            <w:tcW w:w="992" w:type="dxa"/>
            <w:tcBorders>
              <w:bottom w:val="single" w:sz="4" w:space="0" w:color="auto"/>
            </w:tcBorders>
            <w:shd w:val="clear" w:color="auto" w:fill="F2F2F2" w:themeFill="background1" w:themeFillShade="F2"/>
          </w:tcPr>
          <w:p w14:paraId="7922489A" w14:textId="77777777" w:rsidR="002665DD" w:rsidRPr="00E6110F" w:rsidRDefault="002665DD" w:rsidP="00791BD3">
            <w:pPr>
              <w:jc w:val="center"/>
              <w:rPr>
                <w:rFonts w:ascii="Calibri" w:hAnsi="Calibri" w:cs="Calibri"/>
                <w:color w:val="000000"/>
                <w:sz w:val="18"/>
                <w:szCs w:val="18"/>
                <w:lang w:val="en-GB"/>
              </w:rPr>
            </w:pPr>
            <w:r>
              <w:rPr>
                <w:rFonts w:ascii="Calibri" w:hAnsi="Calibri" w:cs="Calibri"/>
                <w:color w:val="000000"/>
                <w:sz w:val="18"/>
                <w:szCs w:val="18"/>
                <w:lang w:val="en-GB"/>
              </w:rPr>
              <w:t>B</w:t>
            </w:r>
          </w:p>
        </w:tc>
        <w:tc>
          <w:tcPr>
            <w:tcW w:w="992" w:type="dxa"/>
            <w:tcBorders>
              <w:bottom w:val="single" w:sz="4" w:space="0" w:color="auto"/>
            </w:tcBorders>
            <w:shd w:val="clear" w:color="auto" w:fill="F2F2F2" w:themeFill="background1" w:themeFillShade="F2"/>
          </w:tcPr>
          <w:p w14:paraId="334821C6" w14:textId="77777777" w:rsidR="002665DD" w:rsidRPr="00E6110F" w:rsidRDefault="002665DD" w:rsidP="00791BD3">
            <w:pPr>
              <w:jc w:val="center"/>
              <w:rPr>
                <w:rFonts w:ascii="Calibri" w:hAnsi="Calibri" w:cs="Calibri"/>
                <w:color w:val="000000"/>
                <w:sz w:val="18"/>
                <w:szCs w:val="18"/>
                <w:lang w:val="en-GB"/>
              </w:rPr>
            </w:pPr>
            <w:r>
              <w:rPr>
                <w:rFonts w:ascii="Calibri" w:hAnsi="Calibri" w:cs="Calibri"/>
                <w:color w:val="000000"/>
                <w:sz w:val="18"/>
                <w:szCs w:val="18"/>
                <w:lang w:val="en-GB"/>
              </w:rPr>
              <w:t>C</w:t>
            </w:r>
          </w:p>
        </w:tc>
        <w:tc>
          <w:tcPr>
            <w:tcW w:w="709" w:type="dxa"/>
            <w:tcBorders>
              <w:bottom w:val="single" w:sz="4" w:space="0" w:color="auto"/>
            </w:tcBorders>
            <w:shd w:val="clear" w:color="auto" w:fill="F2F2F2" w:themeFill="background1" w:themeFillShade="F2"/>
          </w:tcPr>
          <w:p w14:paraId="71447D12" w14:textId="77777777" w:rsidR="002665DD" w:rsidRPr="00E6110F" w:rsidRDefault="002665DD" w:rsidP="00791BD3">
            <w:pPr>
              <w:jc w:val="center"/>
              <w:rPr>
                <w:rFonts w:ascii="Calibri" w:hAnsi="Calibri" w:cs="Calibri"/>
                <w:color w:val="000000"/>
                <w:sz w:val="18"/>
                <w:szCs w:val="18"/>
                <w:lang w:val="en-GB"/>
              </w:rPr>
            </w:pPr>
            <w:r>
              <w:rPr>
                <w:rFonts w:ascii="Calibri" w:hAnsi="Calibri" w:cs="Calibri"/>
                <w:color w:val="000000"/>
                <w:sz w:val="18"/>
                <w:szCs w:val="18"/>
                <w:lang w:val="en-GB"/>
              </w:rPr>
              <w:t>D</w:t>
            </w:r>
          </w:p>
        </w:tc>
        <w:tc>
          <w:tcPr>
            <w:tcW w:w="709" w:type="dxa"/>
            <w:tcBorders>
              <w:bottom w:val="single" w:sz="4" w:space="0" w:color="auto"/>
            </w:tcBorders>
            <w:shd w:val="clear" w:color="auto" w:fill="F2F2F2" w:themeFill="background1" w:themeFillShade="F2"/>
          </w:tcPr>
          <w:p w14:paraId="6B7F1B11" w14:textId="77777777" w:rsidR="002665DD" w:rsidRPr="00E6110F" w:rsidRDefault="002665DD" w:rsidP="00791BD3">
            <w:pPr>
              <w:jc w:val="center"/>
              <w:rPr>
                <w:rFonts w:ascii="Calibri" w:hAnsi="Calibri" w:cs="Calibri"/>
                <w:color w:val="000000"/>
                <w:sz w:val="18"/>
                <w:szCs w:val="18"/>
                <w:lang w:val="en-GB"/>
              </w:rPr>
            </w:pPr>
            <w:r>
              <w:rPr>
                <w:rFonts w:ascii="Calibri" w:hAnsi="Calibri" w:cs="Calibri"/>
                <w:color w:val="000000"/>
                <w:sz w:val="18"/>
                <w:szCs w:val="18"/>
                <w:lang w:val="en-GB"/>
              </w:rPr>
              <w:t>E</w:t>
            </w:r>
          </w:p>
        </w:tc>
        <w:tc>
          <w:tcPr>
            <w:tcW w:w="709" w:type="dxa"/>
            <w:tcBorders>
              <w:bottom w:val="single" w:sz="4" w:space="0" w:color="auto"/>
            </w:tcBorders>
            <w:shd w:val="clear" w:color="auto" w:fill="F2F2F2" w:themeFill="background1" w:themeFillShade="F2"/>
          </w:tcPr>
          <w:p w14:paraId="063E3B03" w14:textId="77777777" w:rsidR="002665DD" w:rsidRPr="00E6110F" w:rsidRDefault="002665DD" w:rsidP="00791BD3">
            <w:pPr>
              <w:jc w:val="center"/>
              <w:rPr>
                <w:rFonts w:ascii="Calibri" w:hAnsi="Calibri" w:cs="Calibri"/>
                <w:color w:val="000000"/>
                <w:sz w:val="18"/>
                <w:szCs w:val="18"/>
                <w:lang w:val="en-GB"/>
              </w:rPr>
            </w:pPr>
            <w:r>
              <w:rPr>
                <w:rFonts w:ascii="Calibri" w:hAnsi="Calibri" w:cs="Calibri"/>
                <w:color w:val="000000"/>
                <w:sz w:val="18"/>
                <w:szCs w:val="18"/>
                <w:lang w:val="en-GB"/>
              </w:rPr>
              <w:t>F</w:t>
            </w:r>
          </w:p>
        </w:tc>
        <w:tc>
          <w:tcPr>
            <w:tcW w:w="708" w:type="dxa"/>
            <w:tcBorders>
              <w:bottom w:val="single" w:sz="4" w:space="0" w:color="auto"/>
            </w:tcBorders>
            <w:shd w:val="clear" w:color="auto" w:fill="F2F2F2" w:themeFill="background1" w:themeFillShade="F2"/>
          </w:tcPr>
          <w:p w14:paraId="1C6AA1DB" w14:textId="77777777" w:rsidR="002665DD" w:rsidRPr="00E6110F" w:rsidRDefault="002665DD" w:rsidP="00791BD3">
            <w:pPr>
              <w:jc w:val="center"/>
              <w:rPr>
                <w:rFonts w:ascii="Calibri" w:hAnsi="Calibri" w:cs="Calibri"/>
                <w:color w:val="000000"/>
                <w:sz w:val="18"/>
                <w:szCs w:val="18"/>
                <w:lang w:val="en-GB"/>
              </w:rPr>
            </w:pPr>
            <w:r>
              <w:rPr>
                <w:rFonts w:ascii="Calibri" w:hAnsi="Calibri" w:cs="Calibri"/>
                <w:color w:val="000000"/>
                <w:sz w:val="18"/>
                <w:szCs w:val="18"/>
                <w:lang w:val="en-GB"/>
              </w:rPr>
              <w:t>G</w:t>
            </w:r>
          </w:p>
        </w:tc>
        <w:tc>
          <w:tcPr>
            <w:tcW w:w="993" w:type="dxa"/>
            <w:tcBorders>
              <w:bottom w:val="single" w:sz="4" w:space="0" w:color="auto"/>
            </w:tcBorders>
            <w:shd w:val="clear" w:color="auto" w:fill="F2F2F2" w:themeFill="background1" w:themeFillShade="F2"/>
          </w:tcPr>
          <w:p w14:paraId="41D01823" w14:textId="77777777" w:rsidR="002665DD" w:rsidRPr="00E6110F" w:rsidRDefault="002665DD" w:rsidP="00791BD3">
            <w:pPr>
              <w:jc w:val="center"/>
              <w:rPr>
                <w:rFonts w:ascii="Calibri" w:hAnsi="Calibri" w:cs="Calibri"/>
                <w:color w:val="000000"/>
                <w:sz w:val="18"/>
                <w:szCs w:val="18"/>
                <w:lang w:val="en-GB"/>
              </w:rPr>
            </w:pPr>
            <w:r>
              <w:rPr>
                <w:rFonts w:ascii="Calibri" w:hAnsi="Calibri" w:cs="Calibri"/>
                <w:color w:val="000000"/>
                <w:sz w:val="18"/>
                <w:szCs w:val="18"/>
                <w:lang w:val="en-GB"/>
              </w:rPr>
              <w:t>H</w:t>
            </w:r>
          </w:p>
        </w:tc>
      </w:tr>
      <w:tr w:rsidR="00680183" w:rsidRPr="00E6110F" w14:paraId="54317553" w14:textId="77777777" w:rsidTr="00680183">
        <w:tc>
          <w:tcPr>
            <w:tcW w:w="1129" w:type="dxa"/>
          </w:tcPr>
          <w:p w14:paraId="5881D0AF" w14:textId="77777777" w:rsidR="000C4916" w:rsidRPr="00E6110F" w:rsidRDefault="000C4916" w:rsidP="00791BD3">
            <w:pPr>
              <w:pStyle w:val="Body"/>
              <w:jc w:val="center"/>
            </w:pPr>
            <w:r w:rsidRPr="00E6110F">
              <w:t>Namoi alluvium</w:t>
            </w:r>
          </w:p>
        </w:tc>
        <w:tc>
          <w:tcPr>
            <w:tcW w:w="993" w:type="dxa"/>
          </w:tcPr>
          <w:p w14:paraId="4CEFC4E6" w14:textId="6FD5B7B1" w:rsidR="000C4916" w:rsidRPr="00E6110F" w:rsidRDefault="000C4916" w:rsidP="00591AB5">
            <w:pPr>
              <w:pStyle w:val="Body"/>
              <w:jc w:val="center"/>
            </w:pPr>
            <w:r w:rsidRPr="00E6110F">
              <w:rPr>
                <w:i/>
              </w:rPr>
              <w:t>f</w:t>
            </w:r>
            <w:r w:rsidRPr="00E6110F">
              <w:rPr>
                <w:vertAlign w:val="subscript"/>
              </w:rPr>
              <w:t>OC</w:t>
            </w:r>
            <w:r w:rsidR="00591AB5">
              <w:rPr>
                <w:vertAlign w:val="subscript"/>
              </w:rPr>
              <w:t>_r</w:t>
            </w:r>
            <w:r w:rsidRPr="00E6110F">
              <w:t xml:space="preserve"> = 0.001</w:t>
            </w:r>
          </w:p>
        </w:tc>
        <w:tc>
          <w:tcPr>
            <w:tcW w:w="992" w:type="dxa"/>
            <w:tcBorders>
              <w:bottom w:val="single" w:sz="4" w:space="0" w:color="auto"/>
            </w:tcBorders>
            <w:shd w:val="clear" w:color="auto" w:fill="CACBF5" w:themeFill="accent6" w:themeFillTint="33"/>
          </w:tcPr>
          <w:p w14:paraId="25618CBD" w14:textId="6921C77D" w:rsidR="000C4916" w:rsidRPr="00E6110F" w:rsidRDefault="002566B1" w:rsidP="006A3D6A">
            <w:pPr>
              <w:pStyle w:val="Body"/>
              <w:jc w:val="center"/>
            </w:pPr>
            <w:r>
              <w:t>1</w:t>
            </w:r>
            <w:r w:rsidRPr="00DE7BAF">
              <w:t>E+10</w:t>
            </w:r>
          </w:p>
        </w:tc>
        <w:tc>
          <w:tcPr>
            <w:tcW w:w="992" w:type="dxa"/>
            <w:tcBorders>
              <w:bottom w:val="single" w:sz="4" w:space="0" w:color="auto"/>
            </w:tcBorders>
            <w:shd w:val="clear" w:color="auto" w:fill="CACBF5" w:themeFill="accent6" w:themeFillTint="33"/>
          </w:tcPr>
          <w:p w14:paraId="2A60F8B1" w14:textId="1FE90631" w:rsidR="000C4916" w:rsidRPr="00E6110F" w:rsidRDefault="000C4916" w:rsidP="006A3D6A">
            <w:pPr>
              <w:pStyle w:val="Body"/>
              <w:jc w:val="center"/>
            </w:pPr>
            <w:r>
              <w:t>1</w:t>
            </w:r>
            <w:r w:rsidRPr="00DE7BAF">
              <w:t>E+10</w:t>
            </w:r>
          </w:p>
        </w:tc>
        <w:tc>
          <w:tcPr>
            <w:tcW w:w="992" w:type="dxa"/>
            <w:tcBorders>
              <w:bottom w:val="single" w:sz="4" w:space="0" w:color="auto"/>
            </w:tcBorders>
            <w:shd w:val="clear" w:color="auto" w:fill="CACBF5" w:themeFill="accent6" w:themeFillTint="33"/>
          </w:tcPr>
          <w:p w14:paraId="65316375" w14:textId="7F9B4579" w:rsidR="000C4916" w:rsidRPr="00E6110F" w:rsidRDefault="000C4916" w:rsidP="006A3D6A">
            <w:pPr>
              <w:pStyle w:val="Body"/>
              <w:jc w:val="center"/>
            </w:pPr>
            <w:r>
              <w:t>1</w:t>
            </w:r>
            <w:r w:rsidRPr="00DE7BAF">
              <w:t>E+10</w:t>
            </w:r>
          </w:p>
        </w:tc>
        <w:tc>
          <w:tcPr>
            <w:tcW w:w="709" w:type="dxa"/>
            <w:tcBorders>
              <w:bottom w:val="single" w:sz="4" w:space="0" w:color="auto"/>
            </w:tcBorders>
            <w:shd w:val="clear" w:color="auto" w:fill="CACBF5" w:themeFill="accent6" w:themeFillTint="33"/>
          </w:tcPr>
          <w:p w14:paraId="32C17272" w14:textId="76227869" w:rsidR="000C4916" w:rsidRPr="00E6110F" w:rsidRDefault="000C4916" w:rsidP="00680183">
            <w:pPr>
              <w:pStyle w:val="Body"/>
              <w:jc w:val="center"/>
            </w:pPr>
            <w:r>
              <w:t>1</w:t>
            </w:r>
            <w:r w:rsidRPr="00DE7BAF">
              <w:t>E+10</w:t>
            </w:r>
          </w:p>
        </w:tc>
        <w:tc>
          <w:tcPr>
            <w:tcW w:w="709" w:type="dxa"/>
            <w:tcBorders>
              <w:bottom w:val="single" w:sz="4" w:space="0" w:color="auto"/>
            </w:tcBorders>
            <w:shd w:val="clear" w:color="auto" w:fill="CACBF5" w:themeFill="accent6" w:themeFillTint="33"/>
          </w:tcPr>
          <w:p w14:paraId="1D663C58" w14:textId="7BB7B729" w:rsidR="000C4916" w:rsidRPr="00E6110F" w:rsidRDefault="000C4916" w:rsidP="00680183">
            <w:pPr>
              <w:pStyle w:val="Body"/>
              <w:jc w:val="center"/>
            </w:pPr>
            <w:r>
              <w:t>1</w:t>
            </w:r>
            <w:r w:rsidRPr="00DE7BAF">
              <w:t>E+10</w:t>
            </w:r>
          </w:p>
        </w:tc>
        <w:tc>
          <w:tcPr>
            <w:tcW w:w="709" w:type="dxa"/>
            <w:tcBorders>
              <w:bottom w:val="single" w:sz="4" w:space="0" w:color="auto"/>
            </w:tcBorders>
            <w:shd w:val="clear" w:color="auto" w:fill="CACBF5" w:themeFill="accent6" w:themeFillTint="33"/>
          </w:tcPr>
          <w:p w14:paraId="7625AE3E" w14:textId="36A7B52E" w:rsidR="000C4916" w:rsidRPr="00E6110F" w:rsidRDefault="000C4916" w:rsidP="00680183">
            <w:pPr>
              <w:pStyle w:val="Body"/>
              <w:jc w:val="center"/>
            </w:pPr>
            <w:r>
              <w:t>1</w:t>
            </w:r>
            <w:r w:rsidRPr="00DE7BAF">
              <w:t>E+10</w:t>
            </w:r>
          </w:p>
        </w:tc>
        <w:tc>
          <w:tcPr>
            <w:tcW w:w="708" w:type="dxa"/>
            <w:tcBorders>
              <w:bottom w:val="single" w:sz="4" w:space="0" w:color="auto"/>
            </w:tcBorders>
            <w:shd w:val="clear" w:color="auto" w:fill="CACBF5" w:themeFill="accent6" w:themeFillTint="33"/>
          </w:tcPr>
          <w:p w14:paraId="1E9A7C28" w14:textId="231289F1" w:rsidR="000C4916" w:rsidRPr="00E6110F" w:rsidRDefault="000C4916" w:rsidP="00680183">
            <w:pPr>
              <w:pStyle w:val="Body"/>
              <w:jc w:val="center"/>
            </w:pPr>
            <w:r>
              <w:t>1</w:t>
            </w:r>
            <w:r w:rsidRPr="00DE7BAF">
              <w:t>E+10</w:t>
            </w:r>
          </w:p>
        </w:tc>
        <w:tc>
          <w:tcPr>
            <w:tcW w:w="993" w:type="dxa"/>
            <w:shd w:val="clear" w:color="auto" w:fill="E4F6CD" w:themeFill="accent3" w:themeFillTint="33"/>
          </w:tcPr>
          <w:p w14:paraId="2799D948" w14:textId="40FF53EE" w:rsidR="000C4916" w:rsidRPr="00E6110F" w:rsidRDefault="00791BD3" w:rsidP="00791BD3">
            <w:pPr>
              <w:pStyle w:val="Body"/>
              <w:jc w:val="center"/>
            </w:pPr>
            <w:r>
              <w:t>9.03</w:t>
            </w:r>
            <w:r w:rsidR="000C4916" w:rsidRPr="00DE7BAF">
              <w:t>E+02</w:t>
            </w:r>
          </w:p>
        </w:tc>
      </w:tr>
      <w:tr w:rsidR="00680183" w:rsidRPr="00E6110F" w14:paraId="44D0B5CB" w14:textId="77777777" w:rsidTr="00680183">
        <w:tc>
          <w:tcPr>
            <w:tcW w:w="1129" w:type="dxa"/>
          </w:tcPr>
          <w:p w14:paraId="086EC6A6" w14:textId="77777777" w:rsidR="004C29E8" w:rsidRPr="00E6110F" w:rsidRDefault="004C29E8" w:rsidP="00791BD3">
            <w:pPr>
              <w:pStyle w:val="Body"/>
              <w:jc w:val="center"/>
            </w:pPr>
            <w:r w:rsidRPr="00E6110F">
              <w:t>Pilliga Sandstone</w:t>
            </w:r>
          </w:p>
        </w:tc>
        <w:tc>
          <w:tcPr>
            <w:tcW w:w="993" w:type="dxa"/>
          </w:tcPr>
          <w:p w14:paraId="1CC78B73" w14:textId="74F4E52D" w:rsidR="004C29E8" w:rsidRPr="00E6110F" w:rsidRDefault="004C29E8" w:rsidP="00791BD3">
            <w:pPr>
              <w:pStyle w:val="Body"/>
              <w:jc w:val="center"/>
            </w:pPr>
            <w:r w:rsidRPr="00E6110F">
              <w:rPr>
                <w:i/>
              </w:rPr>
              <w:t>f</w:t>
            </w:r>
            <w:r w:rsidRPr="00E6110F">
              <w:rPr>
                <w:vertAlign w:val="subscript"/>
              </w:rPr>
              <w:t>OC</w:t>
            </w:r>
            <w:r w:rsidR="00591AB5">
              <w:rPr>
                <w:vertAlign w:val="subscript"/>
              </w:rPr>
              <w:t>_r</w:t>
            </w:r>
            <w:r w:rsidRPr="00E6110F">
              <w:t xml:space="preserve"> = 0</w:t>
            </w:r>
          </w:p>
          <w:p w14:paraId="2E3D76A5" w14:textId="3FB7B93C" w:rsidR="004C29E8" w:rsidRPr="00E6110F" w:rsidRDefault="004C29E8" w:rsidP="00791BD3">
            <w:pPr>
              <w:pStyle w:val="Body"/>
              <w:jc w:val="center"/>
            </w:pPr>
          </w:p>
        </w:tc>
        <w:tc>
          <w:tcPr>
            <w:tcW w:w="992" w:type="dxa"/>
            <w:shd w:val="clear" w:color="auto" w:fill="FFC000"/>
          </w:tcPr>
          <w:p w14:paraId="06FD76CE" w14:textId="7D32F83C" w:rsidR="004C29E8" w:rsidRPr="00E6110F" w:rsidRDefault="00791BD3" w:rsidP="00791BD3">
            <w:pPr>
              <w:pStyle w:val="Body"/>
              <w:jc w:val="center"/>
            </w:pPr>
            <w:r>
              <w:t>5.64</w:t>
            </w:r>
            <w:r w:rsidR="004C29E8" w:rsidRPr="00DE7BAF">
              <w:t>E+03</w:t>
            </w:r>
          </w:p>
        </w:tc>
        <w:tc>
          <w:tcPr>
            <w:tcW w:w="992" w:type="dxa"/>
            <w:shd w:val="clear" w:color="auto" w:fill="E4F6CD" w:themeFill="accent3" w:themeFillTint="33"/>
          </w:tcPr>
          <w:p w14:paraId="44C36EAA" w14:textId="339FF725" w:rsidR="004C29E8" w:rsidRPr="00E6110F" w:rsidRDefault="00791BD3" w:rsidP="00791BD3">
            <w:pPr>
              <w:pStyle w:val="Body"/>
              <w:jc w:val="center"/>
            </w:pPr>
            <w:r>
              <w:t>9.03</w:t>
            </w:r>
            <w:r w:rsidR="004C29E8" w:rsidRPr="00DE7BAF">
              <w:t>E+02</w:t>
            </w:r>
          </w:p>
        </w:tc>
        <w:tc>
          <w:tcPr>
            <w:tcW w:w="992" w:type="dxa"/>
            <w:shd w:val="clear" w:color="auto" w:fill="E4F6CD" w:themeFill="accent3" w:themeFillTint="33"/>
          </w:tcPr>
          <w:p w14:paraId="18794195" w14:textId="5FD90B33" w:rsidR="004C29E8" w:rsidRPr="00E6110F" w:rsidRDefault="00791BD3" w:rsidP="00791BD3">
            <w:pPr>
              <w:pStyle w:val="Body"/>
              <w:jc w:val="center"/>
            </w:pPr>
            <w:r>
              <w:t>9.03</w:t>
            </w:r>
            <w:r w:rsidR="004C29E8" w:rsidRPr="00DE7BAF">
              <w:t>E+02</w:t>
            </w:r>
          </w:p>
        </w:tc>
        <w:tc>
          <w:tcPr>
            <w:tcW w:w="709" w:type="dxa"/>
            <w:shd w:val="clear" w:color="auto" w:fill="CACBF5" w:themeFill="accent6" w:themeFillTint="33"/>
          </w:tcPr>
          <w:p w14:paraId="7ED5B217" w14:textId="746848A9" w:rsidR="004C29E8" w:rsidRPr="00E6110F" w:rsidRDefault="004C29E8" w:rsidP="00680183">
            <w:pPr>
              <w:pStyle w:val="Body"/>
              <w:jc w:val="center"/>
            </w:pPr>
            <w:r>
              <w:t>1</w:t>
            </w:r>
            <w:r w:rsidRPr="00DE7BAF">
              <w:t>E+10</w:t>
            </w:r>
          </w:p>
        </w:tc>
        <w:tc>
          <w:tcPr>
            <w:tcW w:w="709" w:type="dxa"/>
            <w:shd w:val="clear" w:color="auto" w:fill="CACBF5" w:themeFill="accent6" w:themeFillTint="33"/>
          </w:tcPr>
          <w:p w14:paraId="0640AE0C" w14:textId="1607FA67" w:rsidR="004C29E8" w:rsidRPr="00E6110F" w:rsidRDefault="004C29E8" w:rsidP="00680183">
            <w:pPr>
              <w:pStyle w:val="Body"/>
              <w:jc w:val="center"/>
            </w:pPr>
            <w:r>
              <w:t>1</w:t>
            </w:r>
            <w:r w:rsidRPr="00DE7BAF">
              <w:t>E+10</w:t>
            </w:r>
          </w:p>
        </w:tc>
        <w:tc>
          <w:tcPr>
            <w:tcW w:w="709" w:type="dxa"/>
            <w:shd w:val="clear" w:color="auto" w:fill="CACBF5" w:themeFill="accent6" w:themeFillTint="33"/>
          </w:tcPr>
          <w:p w14:paraId="7A61AEDD" w14:textId="26E1F4DE" w:rsidR="004C29E8" w:rsidRPr="00E6110F" w:rsidRDefault="004C29E8" w:rsidP="00680183">
            <w:pPr>
              <w:pStyle w:val="Body"/>
              <w:jc w:val="center"/>
            </w:pPr>
            <w:r>
              <w:t>1</w:t>
            </w:r>
            <w:r w:rsidRPr="00DE7BAF">
              <w:t>E+10</w:t>
            </w:r>
          </w:p>
        </w:tc>
        <w:tc>
          <w:tcPr>
            <w:tcW w:w="708" w:type="dxa"/>
            <w:shd w:val="clear" w:color="auto" w:fill="CACBF5" w:themeFill="accent6" w:themeFillTint="33"/>
          </w:tcPr>
          <w:p w14:paraId="107E5072" w14:textId="2E2E51ED" w:rsidR="004C29E8" w:rsidRPr="00E6110F" w:rsidRDefault="004C29E8" w:rsidP="00680183">
            <w:pPr>
              <w:pStyle w:val="Body"/>
              <w:jc w:val="center"/>
            </w:pPr>
            <w:r>
              <w:t>1</w:t>
            </w:r>
            <w:r w:rsidRPr="00DE7BAF">
              <w:t>E+10</w:t>
            </w:r>
          </w:p>
        </w:tc>
        <w:tc>
          <w:tcPr>
            <w:tcW w:w="993" w:type="dxa"/>
            <w:shd w:val="clear" w:color="auto" w:fill="E4F6CD" w:themeFill="accent3" w:themeFillTint="33"/>
          </w:tcPr>
          <w:p w14:paraId="58E0D824" w14:textId="247FD81E" w:rsidR="004C29E8" w:rsidRPr="00E6110F" w:rsidRDefault="00791BD3" w:rsidP="00791BD3">
            <w:pPr>
              <w:pStyle w:val="Body"/>
              <w:jc w:val="center"/>
            </w:pPr>
            <w:r>
              <w:t>9.03</w:t>
            </w:r>
            <w:r w:rsidR="004C29E8" w:rsidRPr="00DE7BAF">
              <w:t>E+02</w:t>
            </w:r>
          </w:p>
        </w:tc>
      </w:tr>
      <w:tr w:rsidR="00680183" w:rsidRPr="00E6110F" w14:paraId="4B5DAE19" w14:textId="77777777" w:rsidTr="00680183">
        <w:tc>
          <w:tcPr>
            <w:tcW w:w="1129" w:type="dxa"/>
          </w:tcPr>
          <w:p w14:paraId="15DB08FC" w14:textId="77777777" w:rsidR="004C29E8" w:rsidRPr="00E6110F" w:rsidRDefault="004C29E8" w:rsidP="00791BD3">
            <w:pPr>
              <w:pStyle w:val="Body"/>
              <w:jc w:val="center"/>
              <w:rPr>
                <w:strike/>
              </w:rPr>
            </w:pPr>
            <w:r w:rsidRPr="00E6110F">
              <w:t>Blythesdale Group</w:t>
            </w:r>
          </w:p>
        </w:tc>
        <w:tc>
          <w:tcPr>
            <w:tcW w:w="993" w:type="dxa"/>
          </w:tcPr>
          <w:p w14:paraId="5360B326" w14:textId="7208F47E" w:rsidR="004C29E8" w:rsidRPr="00E6110F" w:rsidRDefault="004C29E8" w:rsidP="00791BD3">
            <w:pPr>
              <w:pStyle w:val="Body"/>
              <w:jc w:val="center"/>
            </w:pPr>
            <w:r w:rsidRPr="00E6110F">
              <w:rPr>
                <w:i/>
              </w:rPr>
              <w:t>f</w:t>
            </w:r>
            <w:r w:rsidRPr="00E6110F">
              <w:rPr>
                <w:vertAlign w:val="subscript"/>
              </w:rPr>
              <w:t>OC</w:t>
            </w:r>
            <w:r w:rsidR="00591AB5">
              <w:rPr>
                <w:vertAlign w:val="subscript"/>
              </w:rPr>
              <w:t>_r</w:t>
            </w:r>
            <w:r w:rsidRPr="00E6110F">
              <w:t xml:space="preserve"> = 0.0008</w:t>
            </w:r>
            <w:r w:rsidR="000A4AAB">
              <w:t xml:space="preserve"> (rounded to 0.001)</w:t>
            </w:r>
          </w:p>
        </w:tc>
        <w:tc>
          <w:tcPr>
            <w:tcW w:w="992" w:type="dxa"/>
            <w:tcBorders>
              <w:bottom w:val="single" w:sz="4" w:space="0" w:color="auto"/>
            </w:tcBorders>
            <w:shd w:val="clear" w:color="auto" w:fill="FFC000"/>
          </w:tcPr>
          <w:p w14:paraId="3FC59305" w14:textId="29BB8844" w:rsidR="004C29E8" w:rsidRPr="00E6110F" w:rsidRDefault="00791BD3" w:rsidP="00791BD3">
            <w:pPr>
              <w:pStyle w:val="Body"/>
              <w:jc w:val="center"/>
            </w:pPr>
            <w:r>
              <w:t>1.07</w:t>
            </w:r>
            <w:r w:rsidR="004C29E8" w:rsidRPr="00DE7BAF">
              <w:t>E+04</w:t>
            </w:r>
          </w:p>
        </w:tc>
        <w:tc>
          <w:tcPr>
            <w:tcW w:w="992" w:type="dxa"/>
            <w:tcBorders>
              <w:bottom w:val="single" w:sz="4" w:space="0" w:color="auto"/>
            </w:tcBorders>
            <w:shd w:val="clear" w:color="auto" w:fill="E4F6CD" w:themeFill="accent3" w:themeFillTint="33"/>
          </w:tcPr>
          <w:p w14:paraId="19A5F4F8" w14:textId="178172C7" w:rsidR="004C29E8" w:rsidRPr="00E6110F" w:rsidRDefault="00791BD3" w:rsidP="00791BD3">
            <w:pPr>
              <w:pStyle w:val="Body"/>
              <w:jc w:val="center"/>
            </w:pPr>
            <w:r>
              <w:t>9.03</w:t>
            </w:r>
            <w:r w:rsidR="004C29E8" w:rsidRPr="00DE7BAF">
              <w:t>E+02</w:t>
            </w:r>
          </w:p>
        </w:tc>
        <w:tc>
          <w:tcPr>
            <w:tcW w:w="992" w:type="dxa"/>
            <w:tcBorders>
              <w:bottom w:val="single" w:sz="4" w:space="0" w:color="auto"/>
            </w:tcBorders>
            <w:shd w:val="clear" w:color="auto" w:fill="E4F6CD" w:themeFill="accent3" w:themeFillTint="33"/>
          </w:tcPr>
          <w:p w14:paraId="0EB392E2" w14:textId="30FA031D" w:rsidR="004C29E8" w:rsidRPr="00E6110F" w:rsidRDefault="00791BD3" w:rsidP="00791BD3">
            <w:pPr>
              <w:pStyle w:val="Body"/>
              <w:jc w:val="center"/>
            </w:pPr>
            <w:r>
              <w:t>9.03</w:t>
            </w:r>
            <w:r w:rsidR="004C29E8" w:rsidRPr="00DE7BAF">
              <w:t>E+02</w:t>
            </w:r>
          </w:p>
        </w:tc>
        <w:tc>
          <w:tcPr>
            <w:tcW w:w="709" w:type="dxa"/>
            <w:shd w:val="clear" w:color="auto" w:fill="CACBF5" w:themeFill="accent6" w:themeFillTint="33"/>
          </w:tcPr>
          <w:p w14:paraId="1A1691D7" w14:textId="4042B2BF" w:rsidR="004C29E8" w:rsidRPr="00E6110F" w:rsidRDefault="004C29E8" w:rsidP="00680183">
            <w:pPr>
              <w:pStyle w:val="Body"/>
              <w:jc w:val="center"/>
            </w:pPr>
            <w:r>
              <w:t>1</w:t>
            </w:r>
            <w:r w:rsidRPr="00DE7BAF">
              <w:t>E+10</w:t>
            </w:r>
          </w:p>
        </w:tc>
        <w:tc>
          <w:tcPr>
            <w:tcW w:w="709" w:type="dxa"/>
            <w:shd w:val="clear" w:color="auto" w:fill="CACBF5" w:themeFill="accent6" w:themeFillTint="33"/>
          </w:tcPr>
          <w:p w14:paraId="7A1B324A" w14:textId="57F81EF9" w:rsidR="004C29E8" w:rsidRPr="00E6110F" w:rsidRDefault="004C29E8" w:rsidP="00680183">
            <w:pPr>
              <w:pStyle w:val="Body"/>
              <w:jc w:val="center"/>
            </w:pPr>
            <w:r>
              <w:t>1</w:t>
            </w:r>
            <w:r w:rsidRPr="00DE7BAF">
              <w:t>E+10</w:t>
            </w:r>
          </w:p>
        </w:tc>
        <w:tc>
          <w:tcPr>
            <w:tcW w:w="709" w:type="dxa"/>
            <w:shd w:val="clear" w:color="auto" w:fill="CACBF5" w:themeFill="accent6" w:themeFillTint="33"/>
          </w:tcPr>
          <w:p w14:paraId="00652B36" w14:textId="6BB9C95D" w:rsidR="004C29E8" w:rsidRPr="00E6110F" w:rsidRDefault="004C29E8" w:rsidP="00680183">
            <w:pPr>
              <w:pStyle w:val="Body"/>
              <w:jc w:val="center"/>
            </w:pPr>
            <w:r>
              <w:t>1</w:t>
            </w:r>
            <w:r w:rsidRPr="00DE7BAF">
              <w:t>E+10</w:t>
            </w:r>
          </w:p>
        </w:tc>
        <w:tc>
          <w:tcPr>
            <w:tcW w:w="708" w:type="dxa"/>
            <w:shd w:val="clear" w:color="auto" w:fill="CACBF5" w:themeFill="accent6" w:themeFillTint="33"/>
          </w:tcPr>
          <w:p w14:paraId="44376081" w14:textId="608F73E4" w:rsidR="004C29E8" w:rsidRPr="00E6110F" w:rsidRDefault="00680183" w:rsidP="00680183">
            <w:pPr>
              <w:pStyle w:val="Body"/>
              <w:jc w:val="center"/>
            </w:pPr>
            <w:r>
              <w:t>1</w:t>
            </w:r>
            <w:r w:rsidR="004C29E8" w:rsidRPr="00DE7BAF">
              <w:t>E+10</w:t>
            </w:r>
          </w:p>
        </w:tc>
        <w:tc>
          <w:tcPr>
            <w:tcW w:w="993" w:type="dxa"/>
            <w:tcBorders>
              <w:bottom w:val="single" w:sz="4" w:space="0" w:color="auto"/>
            </w:tcBorders>
            <w:shd w:val="clear" w:color="auto" w:fill="E4F6CD" w:themeFill="accent3" w:themeFillTint="33"/>
          </w:tcPr>
          <w:p w14:paraId="1B7DFCF3" w14:textId="31540E67" w:rsidR="004C29E8" w:rsidRPr="00E6110F" w:rsidRDefault="00791BD3" w:rsidP="00791BD3">
            <w:pPr>
              <w:pStyle w:val="Body"/>
              <w:jc w:val="center"/>
              <w:rPr>
                <w:vertAlign w:val="superscript"/>
              </w:rPr>
            </w:pPr>
            <w:r>
              <w:t>9.03</w:t>
            </w:r>
            <w:r w:rsidR="004C29E8" w:rsidRPr="00DE7BAF">
              <w:t>E+02</w:t>
            </w:r>
          </w:p>
        </w:tc>
      </w:tr>
      <w:tr w:rsidR="00680183" w:rsidRPr="00E6110F" w14:paraId="7EC0CC1C" w14:textId="77777777" w:rsidTr="00680183">
        <w:tc>
          <w:tcPr>
            <w:tcW w:w="1129" w:type="dxa"/>
          </w:tcPr>
          <w:p w14:paraId="63ECDB48" w14:textId="389E2B88" w:rsidR="004C29E8" w:rsidRPr="00E6110F" w:rsidRDefault="004C29E8" w:rsidP="00791BD3">
            <w:pPr>
              <w:pStyle w:val="Body"/>
              <w:jc w:val="center"/>
            </w:pPr>
            <w:r w:rsidRPr="00E6110F">
              <w:t>Hoskisson seam</w:t>
            </w:r>
          </w:p>
        </w:tc>
        <w:tc>
          <w:tcPr>
            <w:tcW w:w="993" w:type="dxa"/>
          </w:tcPr>
          <w:p w14:paraId="082957AB" w14:textId="5C987D6F" w:rsidR="004C29E8" w:rsidRPr="00E6110F" w:rsidRDefault="004C29E8" w:rsidP="00591AB5">
            <w:pPr>
              <w:pStyle w:val="Body"/>
              <w:jc w:val="center"/>
            </w:pPr>
            <w:r w:rsidRPr="00E6110F">
              <w:rPr>
                <w:i/>
              </w:rPr>
              <w:t>f</w:t>
            </w:r>
            <w:r w:rsidRPr="00E6110F">
              <w:rPr>
                <w:vertAlign w:val="subscript"/>
              </w:rPr>
              <w:t>OC</w:t>
            </w:r>
            <w:r w:rsidR="00591AB5">
              <w:rPr>
                <w:vertAlign w:val="subscript"/>
              </w:rPr>
              <w:t>_r</w:t>
            </w:r>
            <w:r w:rsidRPr="00E6110F">
              <w:t xml:space="preserve"> = 0.275</w:t>
            </w:r>
          </w:p>
        </w:tc>
        <w:tc>
          <w:tcPr>
            <w:tcW w:w="992" w:type="dxa"/>
            <w:tcBorders>
              <w:bottom w:val="single" w:sz="4" w:space="0" w:color="auto"/>
            </w:tcBorders>
            <w:shd w:val="clear" w:color="auto" w:fill="CACBF5" w:themeFill="accent6" w:themeFillTint="33"/>
          </w:tcPr>
          <w:p w14:paraId="35150141" w14:textId="507C9C6D" w:rsidR="004C29E8" w:rsidRPr="00E6110F" w:rsidRDefault="00791BD3" w:rsidP="00791BD3">
            <w:pPr>
              <w:pStyle w:val="Body"/>
              <w:jc w:val="center"/>
            </w:pPr>
            <w:r>
              <w:t>9.88E+08</w:t>
            </w:r>
          </w:p>
        </w:tc>
        <w:tc>
          <w:tcPr>
            <w:tcW w:w="992" w:type="dxa"/>
            <w:shd w:val="clear" w:color="auto" w:fill="FFC000"/>
          </w:tcPr>
          <w:p w14:paraId="01DDF50E" w14:textId="5E0D4C3F" w:rsidR="004C29E8" w:rsidRPr="00E6110F" w:rsidRDefault="00791BD3" w:rsidP="00791BD3">
            <w:pPr>
              <w:pStyle w:val="Body"/>
              <w:jc w:val="center"/>
            </w:pPr>
            <w:r>
              <w:t>1.67</w:t>
            </w:r>
            <w:r w:rsidR="004C29E8" w:rsidRPr="00DE7BAF">
              <w:t>E+04</w:t>
            </w:r>
          </w:p>
        </w:tc>
        <w:tc>
          <w:tcPr>
            <w:tcW w:w="992" w:type="dxa"/>
            <w:shd w:val="clear" w:color="auto" w:fill="FFC000"/>
          </w:tcPr>
          <w:p w14:paraId="3B0ED6C7" w14:textId="1E9DA2B2" w:rsidR="004C29E8" w:rsidRPr="00E6110F" w:rsidRDefault="00791BD3" w:rsidP="00791BD3">
            <w:pPr>
              <w:pStyle w:val="Body"/>
              <w:jc w:val="center"/>
            </w:pPr>
            <w:r>
              <w:t>1.67</w:t>
            </w:r>
            <w:r w:rsidR="004C29E8" w:rsidRPr="00DE7BAF">
              <w:t>E+04</w:t>
            </w:r>
          </w:p>
        </w:tc>
        <w:tc>
          <w:tcPr>
            <w:tcW w:w="709" w:type="dxa"/>
            <w:shd w:val="clear" w:color="auto" w:fill="CACBF5" w:themeFill="accent6" w:themeFillTint="33"/>
          </w:tcPr>
          <w:p w14:paraId="43526F14" w14:textId="1E3AF865" w:rsidR="004C29E8" w:rsidRPr="00E6110F" w:rsidRDefault="004C29E8" w:rsidP="00680183">
            <w:pPr>
              <w:pStyle w:val="Body"/>
              <w:jc w:val="center"/>
            </w:pPr>
            <w:r>
              <w:t>1</w:t>
            </w:r>
            <w:r w:rsidRPr="00DE7BAF">
              <w:t>E+10</w:t>
            </w:r>
          </w:p>
        </w:tc>
        <w:tc>
          <w:tcPr>
            <w:tcW w:w="709" w:type="dxa"/>
            <w:shd w:val="clear" w:color="auto" w:fill="CACBF5" w:themeFill="accent6" w:themeFillTint="33"/>
          </w:tcPr>
          <w:p w14:paraId="54DCC0A6" w14:textId="13040872" w:rsidR="004C29E8" w:rsidRPr="00E6110F" w:rsidRDefault="004C29E8" w:rsidP="00680183">
            <w:pPr>
              <w:pStyle w:val="Body"/>
              <w:jc w:val="center"/>
            </w:pPr>
            <w:r>
              <w:t>1</w:t>
            </w:r>
            <w:r w:rsidRPr="00DE7BAF">
              <w:t>E+10</w:t>
            </w:r>
          </w:p>
        </w:tc>
        <w:tc>
          <w:tcPr>
            <w:tcW w:w="709" w:type="dxa"/>
            <w:shd w:val="clear" w:color="auto" w:fill="CACBF5" w:themeFill="accent6" w:themeFillTint="33"/>
          </w:tcPr>
          <w:p w14:paraId="33D78815" w14:textId="37A2AB79" w:rsidR="004C29E8" w:rsidRPr="00E6110F" w:rsidRDefault="004C29E8" w:rsidP="00680183">
            <w:pPr>
              <w:pStyle w:val="Body"/>
              <w:jc w:val="center"/>
            </w:pPr>
            <w:r>
              <w:t>1</w:t>
            </w:r>
            <w:r w:rsidRPr="00DE7BAF">
              <w:t>E+10</w:t>
            </w:r>
          </w:p>
        </w:tc>
        <w:tc>
          <w:tcPr>
            <w:tcW w:w="708" w:type="dxa"/>
            <w:shd w:val="clear" w:color="auto" w:fill="CACBF5" w:themeFill="accent6" w:themeFillTint="33"/>
          </w:tcPr>
          <w:p w14:paraId="6E8C570E" w14:textId="7C3B66B4" w:rsidR="004C29E8" w:rsidRPr="00E6110F" w:rsidRDefault="004C29E8" w:rsidP="00680183">
            <w:pPr>
              <w:pStyle w:val="Body"/>
              <w:jc w:val="center"/>
            </w:pPr>
            <w:r>
              <w:t>1</w:t>
            </w:r>
            <w:r w:rsidRPr="00DE7BAF">
              <w:t>E+10</w:t>
            </w:r>
          </w:p>
        </w:tc>
        <w:tc>
          <w:tcPr>
            <w:tcW w:w="993" w:type="dxa"/>
            <w:shd w:val="clear" w:color="auto" w:fill="FFC000"/>
          </w:tcPr>
          <w:p w14:paraId="18F4B497" w14:textId="4FC498DE" w:rsidR="004C29E8" w:rsidRPr="00E6110F" w:rsidRDefault="00791BD3" w:rsidP="00791BD3">
            <w:pPr>
              <w:pStyle w:val="Body"/>
              <w:jc w:val="center"/>
            </w:pPr>
            <w:r>
              <w:t>1.67</w:t>
            </w:r>
            <w:r w:rsidR="004C29E8" w:rsidRPr="00DE7BAF">
              <w:t>E+04</w:t>
            </w:r>
          </w:p>
        </w:tc>
      </w:tr>
      <w:tr w:rsidR="00680183" w:rsidRPr="00E6110F" w14:paraId="3F59987F" w14:textId="77777777" w:rsidTr="00680183">
        <w:tc>
          <w:tcPr>
            <w:tcW w:w="1129" w:type="dxa"/>
          </w:tcPr>
          <w:p w14:paraId="45634469" w14:textId="77777777" w:rsidR="004C29E8" w:rsidRPr="00E6110F" w:rsidRDefault="004C29E8" w:rsidP="00791BD3">
            <w:pPr>
              <w:pStyle w:val="Body"/>
              <w:jc w:val="center"/>
            </w:pPr>
            <w:r w:rsidRPr="00E6110F">
              <w:t>Maules Creek Formation (upper)</w:t>
            </w:r>
          </w:p>
        </w:tc>
        <w:tc>
          <w:tcPr>
            <w:tcW w:w="993" w:type="dxa"/>
          </w:tcPr>
          <w:p w14:paraId="0C443BE7" w14:textId="6110E84F" w:rsidR="004C29E8" w:rsidRPr="00E6110F" w:rsidRDefault="004C29E8" w:rsidP="00791BD3">
            <w:pPr>
              <w:pStyle w:val="Body"/>
              <w:jc w:val="center"/>
            </w:pPr>
            <w:r w:rsidRPr="00E6110F">
              <w:rPr>
                <w:i/>
              </w:rPr>
              <w:t>f</w:t>
            </w:r>
            <w:r w:rsidRPr="00E6110F">
              <w:rPr>
                <w:vertAlign w:val="subscript"/>
              </w:rPr>
              <w:t>OC</w:t>
            </w:r>
            <w:r w:rsidR="00591AB5">
              <w:rPr>
                <w:vertAlign w:val="subscript"/>
              </w:rPr>
              <w:t>_r</w:t>
            </w:r>
            <w:r w:rsidRPr="00E6110F">
              <w:t xml:space="preserve"> = 0</w:t>
            </w:r>
          </w:p>
          <w:p w14:paraId="30BAB289" w14:textId="608629E3" w:rsidR="004C29E8" w:rsidRPr="00E6110F" w:rsidRDefault="004C29E8" w:rsidP="00791BD3">
            <w:pPr>
              <w:pStyle w:val="Body"/>
              <w:jc w:val="center"/>
            </w:pPr>
          </w:p>
        </w:tc>
        <w:tc>
          <w:tcPr>
            <w:tcW w:w="992" w:type="dxa"/>
            <w:tcBorders>
              <w:bottom w:val="single" w:sz="4" w:space="0" w:color="auto"/>
            </w:tcBorders>
            <w:shd w:val="clear" w:color="auto" w:fill="FFC000"/>
          </w:tcPr>
          <w:p w14:paraId="055FEC4B" w14:textId="5E04D13F" w:rsidR="004C29E8" w:rsidRPr="00E6110F" w:rsidRDefault="00791BD3" w:rsidP="00791BD3">
            <w:pPr>
              <w:pStyle w:val="Body"/>
              <w:jc w:val="center"/>
            </w:pPr>
            <w:r>
              <w:t>1.04</w:t>
            </w:r>
            <w:r w:rsidR="004C29E8" w:rsidRPr="00DE7BAF">
              <w:t>E+05</w:t>
            </w:r>
          </w:p>
        </w:tc>
        <w:tc>
          <w:tcPr>
            <w:tcW w:w="992" w:type="dxa"/>
            <w:shd w:val="clear" w:color="auto" w:fill="FFC000"/>
          </w:tcPr>
          <w:p w14:paraId="4BF8A767" w14:textId="23ACB274" w:rsidR="004C29E8" w:rsidRPr="00E6110F" w:rsidRDefault="00791BD3" w:rsidP="00791BD3">
            <w:pPr>
              <w:pStyle w:val="Body"/>
              <w:jc w:val="center"/>
            </w:pPr>
            <w:r>
              <w:t>1.67</w:t>
            </w:r>
            <w:r w:rsidR="004C29E8" w:rsidRPr="00DE7BAF">
              <w:t>E+04</w:t>
            </w:r>
          </w:p>
        </w:tc>
        <w:tc>
          <w:tcPr>
            <w:tcW w:w="992" w:type="dxa"/>
            <w:shd w:val="clear" w:color="auto" w:fill="FFC000"/>
          </w:tcPr>
          <w:p w14:paraId="1D3AF010" w14:textId="1893FBED" w:rsidR="004C29E8" w:rsidRPr="00E6110F" w:rsidRDefault="00791BD3" w:rsidP="00791BD3">
            <w:pPr>
              <w:pStyle w:val="Body"/>
              <w:jc w:val="center"/>
            </w:pPr>
            <w:r>
              <w:t>1.67</w:t>
            </w:r>
            <w:r w:rsidR="004C29E8" w:rsidRPr="00DE7BAF">
              <w:t>E+04</w:t>
            </w:r>
          </w:p>
        </w:tc>
        <w:tc>
          <w:tcPr>
            <w:tcW w:w="709" w:type="dxa"/>
            <w:shd w:val="clear" w:color="auto" w:fill="CACBF5" w:themeFill="accent6" w:themeFillTint="33"/>
          </w:tcPr>
          <w:p w14:paraId="791860E3" w14:textId="65EAFBAD" w:rsidR="004C29E8" w:rsidRPr="00E6110F" w:rsidRDefault="004C29E8" w:rsidP="00680183">
            <w:pPr>
              <w:pStyle w:val="Body"/>
              <w:jc w:val="center"/>
            </w:pPr>
            <w:r>
              <w:t>1</w:t>
            </w:r>
            <w:r w:rsidRPr="00DE7BAF">
              <w:t>E+10</w:t>
            </w:r>
          </w:p>
        </w:tc>
        <w:tc>
          <w:tcPr>
            <w:tcW w:w="709" w:type="dxa"/>
            <w:shd w:val="clear" w:color="auto" w:fill="CACBF5" w:themeFill="accent6" w:themeFillTint="33"/>
          </w:tcPr>
          <w:p w14:paraId="28DC059C" w14:textId="40F3CA4D" w:rsidR="004C29E8" w:rsidRPr="00E6110F" w:rsidRDefault="004C29E8" w:rsidP="00680183">
            <w:pPr>
              <w:pStyle w:val="Body"/>
              <w:jc w:val="center"/>
            </w:pPr>
            <w:r>
              <w:t>1</w:t>
            </w:r>
            <w:r w:rsidRPr="00DE7BAF">
              <w:t>E+10</w:t>
            </w:r>
          </w:p>
        </w:tc>
        <w:tc>
          <w:tcPr>
            <w:tcW w:w="709" w:type="dxa"/>
            <w:shd w:val="clear" w:color="auto" w:fill="CACBF5" w:themeFill="accent6" w:themeFillTint="33"/>
          </w:tcPr>
          <w:p w14:paraId="1BD009CA" w14:textId="7739B6D8" w:rsidR="004C29E8" w:rsidRPr="00E6110F" w:rsidRDefault="004C29E8" w:rsidP="00680183">
            <w:pPr>
              <w:pStyle w:val="Body"/>
              <w:jc w:val="center"/>
            </w:pPr>
            <w:r>
              <w:t>1</w:t>
            </w:r>
            <w:r w:rsidRPr="00DE7BAF">
              <w:t>E+10</w:t>
            </w:r>
          </w:p>
        </w:tc>
        <w:tc>
          <w:tcPr>
            <w:tcW w:w="708" w:type="dxa"/>
            <w:shd w:val="clear" w:color="auto" w:fill="CACBF5" w:themeFill="accent6" w:themeFillTint="33"/>
          </w:tcPr>
          <w:p w14:paraId="1714553D" w14:textId="64513DD4" w:rsidR="004C29E8" w:rsidRPr="00E6110F" w:rsidRDefault="004C29E8" w:rsidP="00680183">
            <w:pPr>
              <w:pStyle w:val="Body"/>
              <w:jc w:val="center"/>
            </w:pPr>
            <w:r>
              <w:t>1</w:t>
            </w:r>
            <w:r w:rsidRPr="00DE7BAF">
              <w:t>E+10</w:t>
            </w:r>
          </w:p>
        </w:tc>
        <w:tc>
          <w:tcPr>
            <w:tcW w:w="993" w:type="dxa"/>
            <w:shd w:val="clear" w:color="auto" w:fill="FFC000"/>
          </w:tcPr>
          <w:p w14:paraId="0216CA40" w14:textId="00F06AB3" w:rsidR="004C29E8" w:rsidRPr="00E6110F" w:rsidRDefault="00791BD3" w:rsidP="00791BD3">
            <w:pPr>
              <w:pStyle w:val="Body"/>
              <w:jc w:val="center"/>
            </w:pPr>
            <w:r>
              <w:t>1.67</w:t>
            </w:r>
            <w:r w:rsidR="004C29E8" w:rsidRPr="00DE7BAF">
              <w:t>E+04</w:t>
            </w:r>
          </w:p>
        </w:tc>
      </w:tr>
      <w:tr w:rsidR="00680183" w:rsidRPr="00E6110F" w14:paraId="1763F466" w14:textId="77777777" w:rsidTr="00680183">
        <w:tc>
          <w:tcPr>
            <w:tcW w:w="1129" w:type="dxa"/>
          </w:tcPr>
          <w:p w14:paraId="6B3C1029" w14:textId="7B151CDD" w:rsidR="004C29E8" w:rsidRPr="00E6110F" w:rsidRDefault="00591AB5" w:rsidP="00591AB5">
            <w:pPr>
              <w:pStyle w:val="Body"/>
              <w:jc w:val="center"/>
            </w:pPr>
            <w:r>
              <w:t>Maules Creek Formation (</w:t>
            </w:r>
            <w:r w:rsidR="004C29E8" w:rsidRPr="00E6110F">
              <w:t>Bohena coal measures</w:t>
            </w:r>
            <w:r>
              <w:t>)</w:t>
            </w:r>
          </w:p>
        </w:tc>
        <w:tc>
          <w:tcPr>
            <w:tcW w:w="993" w:type="dxa"/>
          </w:tcPr>
          <w:p w14:paraId="4022CCEF" w14:textId="60AD087F" w:rsidR="004C29E8" w:rsidRPr="00E6110F" w:rsidRDefault="004C29E8" w:rsidP="00591AB5">
            <w:pPr>
              <w:pStyle w:val="Body"/>
              <w:jc w:val="center"/>
            </w:pPr>
            <w:r w:rsidRPr="00E6110F">
              <w:rPr>
                <w:i/>
              </w:rPr>
              <w:t>f</w:t>
            </w:r>
            <w:r w:rsidRPr="00E6110F">
              <w:rPr>
                <w:vertAlign w:val="subscript"/>
              </w:rPr>
              <w:t>OC</w:t>
            </w:r>
            <w:r w:rsidR="00591AB5">
              <w:rPr>
                <w:vertAlign w:val="subscript"/>
              </w:rPr>
              <w:t>_r</w:t>
            </w:r>
            <w:r w:rsidRPr="00E6110F">
              <w:t xml:space="preserve"> = 0.275</w:t>
            </w:r>
          </w:p>
        </w:tc>
        <w:tc>
          <w:tcPr>
            <w:tcW w:w="992" w:type="dxa"/>
            <w:tcBorders>
              <w:bottom w:val="single" w:sz="4" w:space="0" w:color="auto"/>
            </w:tcBorders>
            <w:shd w:val="clear" w:color="auto" w:fill="CACBF5" w:themeFill="accent6" w:themeFillTint="33"/>
          </w:tcPr>
          <w:p w14:paraId="121CBF2C" w14:textId="7AE74A44" w:rsidR="004C29E8" w:rsidRPr="00E6110F" w:rsidRDefault="00791BD3" w:rsidP="00791BD3">
            <w:pPr>
              <w:pStyle w:val="Body"/>
              <w:jc w:val="center"/>
            </w:pPr>
            <w:r>
              <w:t>9.88</w:t>
            </w:r>
            <w:r w:rsidR="004C29E8" w:rsidRPr="00DE7BAF">
              <w:t>E+0</w:t>
            </w:r>
            <w:r>
              <w:t>8</w:t>
            </w:r>
          </w:p>
        </w:tc>
        <w:tc>
          <w:tcPr>
            <w:tcW w:w="992" w:type="dxa"/>
            <w:shd w:val="clear" w:color="auto" w:fill="FFC000"/>
          </w:tcPr>
          <w:p w14:paraId="73DEC65C" w14:textId="13E16717" w:rsidR="004C29E8" w:rsidRPr="00E6110F" w:rsidRDefault="00791BD3" w:rsidP="00791BD3">
            <w:pPr>
              <w:pStyle w:val="Body"/>
              <w:jc w:val="center"/>
            </w:pPr>
            <w:r>
              <w:t>1.67</w:t>
            </w:r>
            <w:r w:rsidR="004C29E8" w:rsidRPr="00DE7BAF">
              <w:t>E+04</w:t>
            </w:r>
          </w:p>
        </w:tc>
        <w:tc>
          <w:tcPr>
            <w:tcW w:w="992" w:type="dxa"/>
            <w:shd w:val="clear" w:color="auto" w:fill="FFC000"/>
          </w:tcPr>
          <w:p w14:paraId="446CAD49" w14:textId="746151CE" w:rsidR="004C29E8" w:rsidRPr="00E6110F" w:rsidRDefault="00791BD3" w:rsidP="00791BD3">
            <w:pPr>
              <w:pStyle w:val="Body"/>
              <w:jc w:val="center"/>
            </w:pPr>
            <w:r>
              <w:t>1.67</w:t>
            </w:r>
            <w:r w:rsidR="004C29E8" w:rsidRPr="00DE7BAF">
              <w:t>E+04</w:t>
            </w:r>
          </w:p>
        </w:tc>
        <w:tc>
          <w:tcPr>
            <w:tcW w:w="709" w:type="dxa"/>
            <w:tcBorders>
              <w:bottom w:val="single" w:sz="4" w:space="0" w:color="auto"/>
            </w:tcBorders>
            <w:shd w:val="clear" w:color="auto" w:fill="CACBF5" w:themeFill="accent6" w:themeFillTint="33"/>
          </w:tcPr>
          <w:p w14:paraId="184098B9" w14:textId="01AB38E1" w:rsidR="004C29E8" w:rsidRPr="00E6110F" w:rsidRDefault="004C29E8" w:rsidP="00680183">
            <w:pPr>
              <w:pStyle w:val="Body"/>
              <w:jc w:val="center"/>
            </w:pPr>
            <w:r>
              <w:t>1</w:t>
            </w:r>
            <w:r w:rsidRPr="00DE7BAF">
              <w:t>E+10</w:t>
            </w:r>
          </w:p>
        </w:tc>
        <w:tc>
          <w:tcPr>
            <w:tcW w:w="709" w:type="dxa"/>
            <w:tcBorders>
              <w:bottom w:val="single" w:sz="4" w:space="0" w:color="auto"/>
            </w:tcBorders>
            <w:shd w:val="clear" w:color="auto" w:fill="CACBF5" w:themeFill="accent6" w:themeFillTint="33"/>
          </w:tcPr>
          <w:p w14:paraId="1BC4FFA3" w14:textId="44342380" w:rsidR="004C29E8" w:rsidRPr="00E6110F" w:rsidRDefault="004C29E8" w:rsidP="00680183">
            <w:pPr>
              <w:pStyle w:val="Body"/>
              <w:jc w:val="center"/>
            </w:pPr>
            <w:r>
              <w:t>1</w:t>
            </w:r>
            <w:r w:rsidRPr="00DE7BAF">
              <w:t>E+10</w:t>
            </w:r>
          </w:p>
        </w:tc>
        <w:tc>
          <w:tcPr>
            <w:tcW w:w="709" w:type="dxa"/>
            <w:tcBorders>
              <w:bottom w:val="single" w:sz="4" w:space="0" w:color="auto"/>
            </w:tcBorders>
            <w:shd w:val="clear" w:color="auto" w:fill="CACBF5" w:themeFill="accent6" w:themeFillTint="33"/>
          </w:tcPr>
          <w:p w14:paraId="6F8FCF9A" w14:textId="6D94A815" w:rsidR="004C29E8" w:rsidRPr="00E6110F" w:rsidRDefault="004C29E8" w:rsidP="00680183">
            <w:pPr>
              <w:pStyle w:val="Body"/>
              <w:jc w:val="center"/>
            </w:pPr>
            <w:r>
              <w:t>1</w:t>
            </w:r>
            <w:r w:rsidRPr="00DE7BAF">
              <w:t>E+10</w:t>
            </w:r>
          </w:p>
        </w:tc>
        <w:tc>
          <w:tcPr>
            <w:tcW w:w="708" w:type="dxa"/>
            <w:tcBorders>
              <w:bottom w:val="single" w:sz="4" w:space="0" w:color="auto"/>
            </w:tcBorders>
            <w:shd w:val="clear" w:color="auto" w:fill="CACBF5" w:themeFill="accent6" w:themeFillTint="33"/>
          </w:tcPr>
          <w:p w14:paraId="7B1C45E8" w14:textId="5E6BE2E8" w:rsidR="004C29E8" w:rsidRPr="00E6110F" w:rsidRDefault="004C29E8" w:rsidP="00680183">
            <w:pPr>
              <w:pStyle w:val="Body"/>
              <w:jc w:val="center"/>
            </w:pPr>
            <w:r>
              <w:t>1</w:t>
            </w:r>
            <w:r w:rsidRPr="00DE7BAF">
              <w:t>E+10</w:t>
            </w:r>
          </w:p>
        </w:tc>
        <w:tc>
          <w:tcPr>
            <w:tcW w:w="993" w:type="dxa"/>
            <w:shd w:val="clear" w:color="auto" w:fill="FFC000"/>
          </w:tcPr>
          <w:p w14:paraId="06B2E0BA" w14:textId="257984A7" w:rsidR="004C29E8" w:rsidRPr="00E6110F" w:rsidRDefault="00791BD3" w:rsidP="00791BD3">
            <w:pPr>
              <w:pStyle w:val="Body"/>
              <w:jc w:val="center"/>
            </w:pPr>
            <w:r>
              <w:t>1.67</w:t>
            </w:r>
            <w:r w:rsidR="004C29E8" w:rsidRPr="00DE7BAF">
              <w:t>E+04</w:t>
            </w:r>
          </w:p>
        </w:tc>
      </w:tr>
      <w:tr w:rsidR="00680183" w:rsidRPr="00E6110F" w14:paraId="58B34449" w14:textId="77777777" w:rsidTr="00680183">
        <w:tc>
          <w:tcPr>
            <w:tcW w:w="1129" w:type="dxa"/>
          </w:tcPr>
          <w:p w14:paraId="70A3A2B3" w14:textId="77777777" w:rsidR="004C29E8" w:rsidRPr="00E6110F" w:rsidRDefault="004C29E8" w:rsidP="00791BD3">
            <w:pPr>
              <w:pStyle w:val="Body"/>
              <w:jc w:val="center"/>
            </w:pPr>
            <w:r w:rsidRPr="00E6110F">
              <w:t>Maules Creek Formation (lower)</w:t>
            </w:r>
          </w:p>
        </w:tc>
        <w:tc>
          <w:tcPr>
            <w:tcW w:w="993" w:type="dxa"/>
          </w:tcPr>
          <w:p w14:paraId="50A5AF54" w14:textId="692BDC42" w:rsidR="004C29E8" w:rsidRPr="00E6110F" w:rsidRDefault="004C29E8" w:rsidP="00791BD3">
            <w:pPr>
              <w:pStyle w:val="Body"/>
              <w:jc w:val="center"/>
            </w:pPr>
            <w:r w:rsidRPr="00E6110F">
              <w:rPr>
                <w:i/>
              </w:rPr>
              <w:t>f</w:t>
            </w:r>
            <w:r w:rsidRPr="00E6110F">
              <w:rPr>
                <w:vertAlign w:val="subscript"/>
              </w:rPr>
              <w:t>OC</w:t>
            </w:r>
            <w:r w:rsidR="00591AB5">
              <w:rPr>
                <w:vertAlign w:val="subscript"/>
              </w:rPr>
              <w:t>_r</w:t>
            </w:r>
            <w:r w:rsidRPr="00E6110F">
              <w:t xml:space="preserve"> = 0</w:t>
            </w:r>
          </w:p>
          <w:p w14:paraId="7F43FE8E" w14:textId="5F437B43" w:rsidR="004C29E8" w:rsidRPr="00E6110F" w:rsidRDefault="004C29E8" w:rsidP="00791BD3">
            <w:pPr>
              <w:pStyle w:val="Body"/>
              <w:jc w:val="center"/>
            </w:pPr>
          </w:p>
        </w:tc>
        <w:tc>
          <w:tcPr>
            <w:tcW w:w="992" w:type="dxa"/>
            <w:shd w:val="clear" w:color="auto" w:fill="FFC000"/>
          </w:tcPr>
          <w:p w14:paraId="6E899401" w14:textId="5B86D98F" w:rsidR="004C29E8" w:rsidRPr="00E6110F" w:rsidRDefault="00791BD3" w:rsidP="00791BD3">
            <w:pPr>
              <w:pStyle w:val="Body"/>
              <w:jc w:val="center"/>
            </w:pPr>
            <w:r>
              <w:t>1.04</w:t>
            </w:r>
            <w:r w:rsidR="004C29E8" w:rsidRPr="00DE7BAF">
              <w:t>E+05</w:t>
            </w:r>
          </w:p>
        </w:tc>
        <w:tc>
          <w:tcPr>
            <w:tcW w:w="992" w:type="dxa"/>
            <w:shd w:val="clear" w:color="auto" w:fill="FFC000"/>
          </w:tcPr>
          <w:p w14:paraId="2EFFE579" w14:textId="33453049" w:rsidR="004C29E8" w:rsidRPr="00E6110F" w:rsidRDefault="00791BD3" w:rsidP="00791BD3">
            <w:pPr>
              <w:pStyle w:val="Body"/>
              <w:jc w:val="center"/>
            </w:pPr>
            <w:r>
              <w:t>1.67</w:t>
            </w:r>
            <w:r w:rsidR="004C29E8" w:rsidRPr="00DE7BAF">
              <w:t>E+04</w:t>
            </w:r>
          </w:p>
        </w:tc>
        <w:tc>
          <w:tcPr>
            <w:tcW w:w="992" w:type="dxa"/>
            <w:shd w:val="clear" w:color="auto" w:fill="FFC000"/>
          </w:tcPr>
          <w:p w14:paraId="2A131738" w14:textId="24C12208" w:rsidR="004C29E8" w:rsidRPr="00E6110F" w:rsidRDefault="00791BD3" w:rsidP="00791BD3">
            <w:pPr>
              <w:pStyle w:val="Body"/>
              <w:jc w:val="center"/>
            </w:pPr>
            <w:r>
              <w:t>1.67</w:t>
            </w:r>
            <w:r w:rsidR="004C29E8" w:rsidRPr="00DE7BAF">
              <w:t>E+04</w:t>
            </w:r>
          </w:p>
        </w:tc>
        <w:tc>
          <w:tcPr>
            <w:tcW w:w="709" w:type="dxa"/>
            <w:shd w:val="clear" w:color="auto" w:fill="CACBF5" w:themeFill="accent6" w:themeFillTint="33"/>
          </w:tcPr>
          <w:p w14:paraId="396E8507" w14:textId="5C5EF763" w:rsidR="004C29E8" w:rsidRPr="00E6110F" w:rsidRDefault="004C29E8" w:rsidP="00680183">
            <w:pPr>
              <w:pStyle w:val="Body"/>
              <w:jc w:val="center"/>
            </w:pPr>
            <w:r>
              <w:t>1</w:t>
            </w:r>
            <w:r w:rsidRPr="00DE7BAF">
              <w:t>E+10</w:t>
            </w:r>
          </w:p>
        </w:tc>
        <w:tc>
          <w:tcPr>
            <w:tcW w:w="709" w:type="dxa"/>
            <w:shd w:val="clear" w:color="auto" w:fill="CACBF5" w:themeFill="accent6" w:themeFillTint="33"/>
          </w:tcPr>
          <w:p w14:paraId="69D64130" w14:textId="5F1D997E" w:rsidR="004C29E8" w:rsidRPr="00E6110F" w:rsidRDefault="004C29E8" w:rsidP="00680183">
            <w:pPr>
              <w:pStyle w:val="Body"/>
              <w:jc w:val="center"/>
            </w:pPr>
            <w:r>
              <w:t>1</w:t>
            </w:r>
            <w:r w:rsidRPr="00DE7BAF">
              <w:t>E+10</w:t>
            </w:r>
          </w:p>
        </w:tc>
        <w:tc>
          <w:tcPr>
            <w:tcW w:w="709" w:type="dxa"/>
            <w:shd w:val="clear" w:color="auto" w:fill="CACBF5" w:themeFill="accent6" w:themeFillTint="33"/>
          </w:tcPr>
          <w:p w14:paraId="5B8FAAF9" w14:textId="5AB387CD" w:rsidR="004C29E8" w:rsidRPr="00E6110F" w:rsidRDefault="004C29E8" w:rsidP="00680183">
            <w:pPr>
              <w:pStyle w:val="Body"/>
              <w:jc w:val="center"/>
            </w:pPr>
            <w:r>
              <w:t>1</w:t>
            </w:r>
            <w:r w:rsidRPr="00DE7BAF">
              <w:t>E+10</w:t>
            </w:r>
          </w:p>
        </w:tc>
        <w:tc>
          <w:tcPr>
            <w:tcW w:w="708" w:type="dxa"/>
            <w:shd w:val="clear" w:color="auto" w:fill="CACBF5" w:themeFill="accent6" w:themeFillTint="33"/>
          </w:tcPr>
          <w:p w14:paraId="319EF8CF" w14:textId="73632ECD" w:rsidR="004C29E8" w:rsidRPr="00E6110F" w:rsidRDefault="004C29E8" w:rsidP="00680183">
            <w:pPr>
              <w:pStyle w:val="Body"/>
              <w:jc w:val="center"/>
            </w:pPr>
            <w:r>
              <w:t>1</w:t>
            </w:r>
            <w:r w:rsidRPr="00DE7BAF">
              <w:t>E+10</w:t>
            </w:r>
          </w:p>
        </w:tc>
        <w:tc>
          <w:tcPr>
            <w:tcW w:w="993" w:type="dxa"/>
            <w:shd w:val="clear" w:color="auto" w:fill="FFC000"/>
          </w:tcPr>
          <w:p w14:paraId="3ABBFBAF" w14:textId="3406D799" w:rsidR="004C29E8" w:rsidRPr="00E6110F" w:rsidRDefault="00791BD3" w:rsidP="00791BD3">
            <w:pPr>
              <w:pStyle w:val="Body"/>
              <w:jc w:val="center"/>
            </w:pPr>
            <w:r>
              <w:t>1.67</w:t>
            </w:r>
            <w:r w:rsidR="004C29E8" w:rsidRPr="00DE7BAF">
              <w:t>E+04</w:t>
            </w:r>
          </w:p>
        </w:tc>
      </w:tr>
    </w:tbl>
    <w:p w14:paraId="704F8AF2" w14:textId="77777777" w:rsidR="002665DD" w:rsidRPr="00E6110F" w:rsidRDefault="002665DD" w:rsidP="002665DD">
      <w:pPr>
        <w:rPr>
          <w:lang w:val="en-GB"/>
        </w:rPr>
      </w:pPr>
    </w:p>
    <w:p w14:paraId="569AD14E" w14:textId="11105118" w:rsidR="00913D7C" w:rsidRDefault="00913D7C" w:rsidP="00913D7C">
      <w:pPr>
        <w:pStyle w:val="Body"/>
      </w:pPr>
      <w:r>
        <w:t xml:space="preserve">To aid with the interpretation of the magnitude of the DAF values, three classes were considered and values in </w:t>
      </w:r>
      <w:r>
        <w:fldChar w:fldCharType="begin" w:fldLock="1"/>
      </w:r>
      <w:r>
        <w:instrText xml:space="preserve"> REF _Ref467830368 \h  \* MERGEFORMAT </w:instrText>
      </w:r>
      <w:r>
        <w:fldChar w:fldCharType="separate"/>
      </w:r>
      <w:r w:rsidR="00335E79" w:rsidRPr="00D976C8">
        <w:t xml:space="preserve">Table </w:t>
      </w:r>
      <w:r w:rsidR="00335E79">
        <w:t>5</w:t>
      </w:r>
      <w:r w:rsidR="00335E79">
        <w:noBreakHyphen/>
        <w:t>18</w:t>
      </w:r>
      <w:r>
        <w:fldChar w:fldCharType="end"/>
      </w:r>
      <w:r>
        <w:t xml:space="preserve"> were colour coded accordingly:</w:t>
      </w:r>
    </w:p>
    <w:p w14:paraId="0C5C7083" w14:textId="6177D506" w:rsidR="00913D7C" w:rsidRDefault="00913D7C" w:rsidP="00217A03">
      <w:pPr>
        <w:pStyle w:val="Body"/>
        <w:numPr>
          <w:ilvl w:val="0"/>
          <w:numId w:val="61"/>
        </w:numPr>
      </w:pPr>
      <w:r>
        <w:t xml:space="preserve">Class 1: </w:t>
      </w:r>
      <w:r w:rsidR="005368C0">
        <w:t>D</w:t>
      </w:r>
      <w:r w:rsidRPr="00B26107">
        <w:t xml:space="preserve">AF </w:t>
      </w:r>
      <w:r w:rsidR="005368C0" w:rsidRPr="00B26107">
        <w:t>≤</w:t>
      </w:r>
      <w:r w:rsidRPr="00B26107">
        <w:t xml:space="preserve"> 10</w:t>
      </w:r>
      <w:r w:rsidR="005368C0">
        <w:rPr>
          <w:vertAlign w:val="superscript"/>
        </w:rPr>
        <w:t>3</w:t>
      </w:r>
      <w:r>
        <w:t>. Such values would typica</w:t>
      </w:r>
      <w:r w:rsidR="005368C0">
        <w:t xml:space="preserve">lly reduce concentrations from </w:t>
      </w:r>
      <w:r>
        <w:t>g/L to mi</w:t>
      </w:r>
      <w:r w:rsidR="005368C0">
        <w:t>lli</w:t>
      </w:r>
      <w:r>
        <w:t xml:space="preserve">gram/L (DAF = </w:t>
      </w:r>
      <w:r w:rsidRPr="00B26107">
        <w:t>10</w:t>
      </w:r>
      <w:r w:rsidRPr="00913D7C">
        <w:rPr>
          <w:vertAlign w:val="superscript"/>
        </w:rPr>
        <w:t>3</w:t>
      </w:r>
      <w:r>
        <w:t>)</w:t>
      </w:r>
      <w:r w:rsidR="00342F01">
        <w:t>.</w:t>
      </w:r>
    </w:p>
    <w:p w14:paraId="5154F687" w14:textId="02007DA1" w:rsidR="00913D7C" w:rsidRDefault="00913D7C" w:rsidP="00217A03">
      <w:pPr>
        <w:pStyle w:val="Body"/>
        <w:numPr>
          <w:ilvl w:val="0"/>
          <w:numId w:val="61"/>
        </w:numPr>
      </w:pPr>
      <w:r>
        <w:t xml:space="preserve">Class 2: </w:t>
      </w:r>
      <w:r w:rsidRPr="00B26107">
        <w:t>10</w:t>
      </w:r>
      <w:r w:rsidR="005368C0">
        <w:rPr>
          <w:vertAlign w:val="superscript"/>
        </w:rPr>
        <w:t>3</w:t>
      </w:r>
      <w:r w:rsidRPr="00B26107">
        <w:t xml:space="preserve"> ≤ DAF &lt; 10</w:t>
      </w:r>
      <w:r w:rsidR="005368C0">
        <w:rPr>
          <w:vertAlign w:val="superscript"/>
        </w:rPr>
        <w:t>6</w:t>
      </w:r>
      <w:r>
        <w:t>. Such values would typically reduce concentrations from g/L to microgram/L</w:t>
      </w:r>
      <w:r w:rsidR="005368C0">
        <w:t xml:space="preserve"> </w:t>
      </w:r>
      <w:r>
        <w:t xml:space="preserve">(DAF = </w:t>
      </w:r>
      <w:r w:rsidRPr="00B26107">
        <w:t>10</w:t>
      </w:r>
      <w:r>
        <w:rPr>
          <w:vertAlign w:val="superscript"/>
        </w:rPr>
        <w:t>6</w:t>
      </w:r>
      <w:r w:rsidR="005368C0">
        <w:t>)</w:t>
      </w:r>
      <w:r w:rsidR="00342F01">
        <w:t>.</w:t>
      </w:r>
    </w:p>
    <w:p w14:paraId="438287F0" w14:textId="6CF932F7" w:rsidR="00913D7C" w:rsidRDefault="00913D7C" w:rsidP="00217A03">
      <w:pPr>
        <w:pStyle w:val="Body"/>
        <w:numPr>
          <w:ilvl w:val="0"/>
          <w:numId w:val="61"/>
        </w:numPr>
      </w:pPr>
      <w:r>
        <w:t xml:space="preserve">Class 3: </w:t>
      </w:r>
      <w:r w:rsidRPr="00B26107">
        <w:t xml:space="preserve">DAF </w:t>
      </w:r>
      <w:r>
        <w:t>≥</w:t>
      </w:r>
      <w:r w:rsidRPr="00B26107">
        <w:t xml:space="preserve"> 10</w:t>
      </w:r>
      <w:r w:rsidR="005368C0">
        <w:rPr>
          <w:vertAlign w:val="superscript"/>
        </w:rPr>
        <w:t>6</w:t>
      </w:r>
      <w:r>
        <w:t xml:space="preserve">. Such values would typically reduce concentrations from g/L to nanogram/L (DAF = </w:t>
      </w:r>
      <w:r w:rsidRPr="00B26107">
        <w:t>10</w:t>
      </w:r>
      <w:r w:rsidRPr="00913D7C">
        <w:rPr>
          <w:vertAlign w:val="superscript"/>
        </w:rPr>
        <w:t>9</w:t>
      </w:r>
      <w:r>
        <w:t>) or lower.</w:t>
      </w:r>
    </w:p>
    <w:p w14:paraId="3A03C64F" w14:textId="4355EEA6" w:rsidR="005F51C2" w:rsidRPr="00FB56A4" w:rsidRDefault="005F51C2" w:rsidP="005F51C2">
      <w:pPr>
        <w:pStyle w:val="Body"/>
      </w:pPr>
      <w:r>
        <w:t xml:space="preserve">The above DAF classes (incorporating effects of all three attenuation processes), together with DAF values from </w:t>
      </w:r>
      <w:r>
        <w:fldChar w:fldCharType="begin" w:fldLock="1"/>
      </w:r>
      <w:r>
        <w:instrText xml:space="preserve"> REF _Ref476605456 \h </w:instrText>
      </w:r>
      <w:r>
        <w:fldChar w:fldCharType="separate"/>
      </w:r>
      <w:r>
        <w:t xml:space="preserve">Table </w:t>
      </w:r>
      <w:r>
        <w:rPr>
          <w:noProof/>
        </w:rPr>
        <w:t>5</w:t>
      </w:r>
      <w:r>
        <w:noBreakHyphen/>
      </w:r>
      <w:r>
        <w:rPr>
          <w:noProof/>
        </w:rPr>
        <w:t>16</w:t>
      </w:r>
      <w:r>
        <w:fldChar w:fldCharType="end"/>
      </w:r>
      <w:r>
        <w:t xml:space="preserve"> (only dilution/dispersion as attenuation process) represent a simple and cost-effective approach to a high-throughput screening process that could initially be used prior to  undertaking more detailed hydrostratigraphically informed analyses.</w:t>
      </w:r>
      <w:r w:rsidR="00651C69">
        <w:t xml:space="preserve"> </w:t>
      </w:r>
      <w:r w:rsidR="008A5B47">
        <w:t xml:space="preserve">Its use, however, does require sufficient hydrostratigraphical and hydrochemical information to ascertain that the above DAF values are indeed applicable. </w:t>
      </w:r>
    </w:p>
    <w:p w14:paraId="604E8D41" w14:textId="77B7E3DD" w:rsidR="001B188C" w:rsidRPr="00EF0173" w:rsidRDefault="001B188C" w:rsidP="002665DD">
      <w:pPr>
        <w:pStyle w:val="Heading3"/>
        <w:numPr>
          <w:ilvl w:val="3"/>
          <w:numId w:val="1"/>
        </w:numPr>
      </w:pPr>
      <w:bookmarkStart w:id="698" w:name="_Toc494444666"/>
      <w:r w:rsidRPr="00EF0173">
        <w:t>Multiple-well releases</w:t>
      </w:r>
      <w:r w:rsidR="00F12614" w:rsidRPr="00EF0173">
        <w:t xml:space="preserve"> and cumulative effects</w:t>
      </w:r>
      <w:bookmarkEnd w:id="698"/>
    </w:p>
    <w:p w14:paraId="1EFD96C0" w14:textId="690B8C2E" w:rsidR="00F12614" w:rsidRDefault="00F12614" w:rsidP="00F12614">
      <w:pPr>
        <w:pStyle w:val="Body"/>
      </w:pPr>
      <w:r>
        <w:t>Hydraulic fracturing fluids released from multiple wells may lead to so-called cumulative effects</w:t>
      </w:r>
      <w:r w:rsidR="006A15EC">
        <w:t>; when chemicals are injected from different CSG wells, concentrations in groundwater may increase because of the principle of additivity. The exact magnitude of the combined concentration downstream from a well field will depend on several factors, including groundwater flow direction and rate, spacing between the wells, and positioning of the wells with respect to the main groundwater flow direction. A</w:t>
      </w:r>
      <w:r w:rsidR="00AF4128">
        <w:t xml:space="preserve"> qualitative analysis is undertaken to explore if </w:t>
      </w:r>
      <w:r w:rsidR="006A15EC">
        <w:t>cumulative effect</w:t>
      </w:r>
      <w:r w:rsidR="00AF4128">
        <w:t>s could exist, and if so, how important it could be.</w:t>
      </w:r>
      <w:r w:rsidR="006A15EC">
        <w:t xml:space="preserve"> </w:t>
      </w:r>
    </w:p>
    <w:p w14:paraId="0AE0A1E7" w14:textId="6D20BC24" w:rsidR="00DC0867" w:rsidRDefault="00B81823" w:rsidP="00F12614">
      <w:pPr>
        <w:pStyle w:val="Body"/>
      </w:pPr>
      <w:r w:rsidRPr="00AF4128">
        <w:t xml:space="preserve">The </w:t>
      </w:r>
      <w:r w:rsidR="00AF4128">
        <w:t>potential cumulative effects from</w:t>
      </w:r>
      <w:r w:rsidRPr="00AF4128">
        <w:t xml:space="preserve"> </w:t>
      </w:r>
      <w:r w:rsidR="00AF4128">
        <w:t xml:space="preserve">multiple CSG </w:t>
      </w:r>
      <w:r w:rsidR="00DC0867" w:rsidRPr="00AF4128">
        <w:t xml:space="preserve">wells </w:t>
      </w:r>
      <w:r w:rsidR="007C063A">
        <w:t>were</w:t>
      </w:r>
      <w:r w:rsidR="00AF4128">
        <w:t xml:space="preserve"> explored using </w:t>
      </w:r>
      <w:r>
        <w:t xml:space="preserve">the particle tracking analysis undertaken for the Gunnedah </w:t>
      </w:r>
      <w:r w:rsidR="007C063A">
        <w:t>B</w:t>
      </w:r>
      <w:r>
        <w:t xml:space="preserve">asin (Pilliga Sandstone, see </w:t>
      </w:r>
      <w:r>
        <w:fldChar w:fldCharType="begin" w:fldLock="1"/>
      </w:r>
      <w:r>
        <w:instrText xml:space="preserve"> REF _Ref467604267 \h </w:instrText>
      </w:r>
      <w:r>
        <w:fldChar w:fldCharType="separate"/>
      </w:r>
      <w:r w:rsidR="00335E79">
        <w:t xml:space="preserve">Figure </w:t>
      </w:r>
      <w:r w:rsidR="00335E79">
        <w:rPr>
          <w:noProof/>
        </w:rPr>
        <w:t>5</w:t>
      </w:r>
      <w:r w:rsidR="00335E79">
        <w:noBreakHyphen/>
      </w:r>
      <w:r w:rsidR="00335E79">
        <w:rPr>
          <w:noProof/>
        </w:rPr>
        <w:t>23</w:t>
      </w:r>
      <w:r>
        <w:fldChar w:fldCharType="end"/>
      </w:r>
      <w:r>
        <w:t>).</w:t>
      </w:r>
      <w:r w:rsidR="00AF4128">
        <w:t xml:space="preserve"> The results are repeated here with a focus on the receptors closest to the NPGA; these receptors did have pathways into the area with potential CSG wells. Backtracking particle analysis is used, with multiple particles (i.e. 9) released for each receptor. In doing so</w:t>
      </w:r>
      <w:r w:rsidR="007C063A">
        <w:t>,</w:t>
      </w:r>
      <w:r w:rsidR="00AF4128">
        <w:t xml:space="preserve"> more pathways can be explored than when a single particle is used, as small changes of the location of the starting position of the particle may result in a different pathway. </w:t>
      </w:r>
      <w:r w:rsidR="00AF4128">
        <w:fldChar w:fldCharType="begin" w:fldLock="1"/>
      </w:r>
      <w:r w:rsidR="00AF4128">
        <w:instrText xml:space="preserve"> REF _Ref467604267 \h </w:instrText>
      </w:r>
      <w:r w:rsidR="00AF4128">
        <w:fldChar w:fldCharType="separate"/>
      </w:r>
      <w:r w:rsidR="00335E79">
        <w:t xml:space="preserve">Figure </w:t>
      </w:r>
      <w:r w:rsidR="00335E79">
        <w:rPr>
          <w:noProof/>
        </w:rPr>
        <w:t>5</w:t>
      </w:r>
      <w:r w:rsidR="00335E79">
        <w:noBreakHyphen/>
      </w:r>
      <w:r w:rsidR="00335E79">
        <w:rPr>
          <w:noProof/>
        </w:rPr>
        <w:t>23</w:t>
      </w:r>
      <w:r w:rsidR="00AF4128">
        <w:fldChar w:fldCharType="end"/>
      </w:r>
      <w:r w:rsidR="00AF4128">
        <w:t xml:space="preserve"> shows multiple pathways that converge around a few grid cells that could contain CSG wells. Most pathways end up in a single cell that was found to have a high recharge value. In other words, the blue-coloured cells are high recharge zones where water replenishes the groundwater; groundwater flow would naturally be from </w:t>
      </w:r>
      <w:r w:rsidR="00D02B97">
        <w:t>those recharge cells towards areas with lower hydraulic head: this can be a surface water feature, a groundwater dependent ecosystem, or a water bore.</w:t>
      </w:r>
      <w:r w:rsidR="00AF4128">
        <w:t xml:space="preserve"> </w:t>
      </w:r>
      <w:r w:rsidR="00D02B97">
        <w:t>The observation that most receptors are connected to a small recharge area indicates that</w:t>
      </w:r>
      <w:r w:rsidR="007C063A">
        <w:t>,</w:t>
      </w:r>
      <w:r w:rsidR="00D02B97">
        <w:t xml:space="preserve"> at most</w:t>
      </w:r>
      <w:r w:rsidR="007C063A">
        <w:t>,</w:t>
      </w:r>
      <w:r w:rsidR="00D02B97">
        <w:t xml:space="preserve"> a couple of CSG wells </w:t>
      </w:r>
      <w:r w:rsidR="00151D8B">
        <w:t xml:space="preserve">(at most 3) </w:t>
      </w:r>
      <w:r w:rsidR="00D02B97">
        <w:t>could contribute to a minor accumulation effect</w:t>
      </w:r>
      <w:r w:rsidR="003C7F48">
        <w:t xml:space="preserve"> (the actual effect depends on the distance to the source: as soon as the distance between multiple sources and receptor becomes more than 3 km</w:t>
      </w:r>
      <w:r w:rsidR="008B451E">
        <w:t xml:space="preserve"> [based on </w:t>
      </w:r>
      <w:r w:rsidR="008B451E">
        <w:fldChar w:fldCharType="begin" w:fldLock="1"/>
      </w:r>
      <w:r w:rsidR="008B451E">
        <w:instrText xml:space="preserve"> REF _Ref476605456 \h </w:instrText>
      </w:r>
      <w:r w:rsidR="008B451E">
        <w:fldChar w:fldCharType="separate"/>
      </w:r>
      <w:r w:rsidR="008B451E">
        <w:t xml:space="preserve">Table </w:t>
      </w:r>
      <w:r w:rsidR="008B451E">
        <w:rPr>
          <w:noProof/>
        </w:rPr>
        <w:t>5</w:t>
      </w:r>
      <w:r w:rsidR="008B451E">
        <w:noBreakHyphen/>
      </w:r>
      <w:r w:rsidR="008B451E">
        <w:rPr>
          <w:noProof/>
        </w:rPr>
        <w:t>16</w:t>
      </w:r>
      <w:r w:rsidR="008B451E">
        <w:fldChar w:fldCharType="end"/>
      </w:r>
      <w:r w:rsidR="008B451E">
        <w:t>]</w:t>
      </w:r>
      <w:r w:rsidR="003C7F48">
        <w:t>, dilution is sufficiently large to neutralise accumulation effects)</w:t>
      </w:r>
      <w:r w:rsidR="00D02B97">
        <w:t xml:space="preserve">. This should not be of concern, as the dilution factors are very large making the groundwater system fairly robust to cumulative effects.  </w:t>
      </w:r>
    </w:p>
    <w:p w14:paraId="20BC12E6" w14:textId="4975FD88" w:rsidR="00490432" w:rsidRDefault="00673246" w:rsidP="000567D0">
      <w:pPr>
        <w:pStyle w:val="Body"/>
        <w:ind w:left="1440" w:firstLine="720"/>
        <w:jc w:val="center"/>
      </w:pPr>
      <w:r>
        <w:rPr>
          <w:noProof/>
          <w:lang w:val="en-AU" w:eastAsia="en-AU"/>
        </w:rPr>
        <w:drawing>
          <wp:inline distT="0" distB="0" distL="0" distR="0" wp14:anchorId="679BFAF1" wp14:editId="75E62759">
            <wp:extent cx="5486400" cy="3200400"/>
            <wp:effectExtent l="0" t="0" r="0" b="0"/>
            <wp:docPr id="18" name="Figure_5-23.png"/>
            <wp:cNvGraphicFramePr/>
            <a:graphic xmlns:a="http://schemas.openxmlformats.org/drawingml/2006/main">
              <a:graphicData uri="http://schemas.openxmlformats.org/drawingml/2006/picture">
                <pic:pic xmlns:pic="http://schemas.openxmlformats.org/drawingml/2006/picture">
                  <pic:nvPicPr>
                    <pic:cNvPr id="18" name="Figure_5-23.png"/>
                    <pic:cNvPicPr/>
                  </pic:nvPicPr>
                  <pic:blipFill>
                    <a:blip r:embed="rId207" cstate="email">
                      <a:extLst>
                        <a:ext uri="{28A0092B-C50C-407E-A947-70E740481C1C}">
                          <a14:useLocalDpi xmlns:a14="http://schemas.microsoft.com/office/drawing/2010/main"/>
                        </a:ext>
                      </a:extLst>
                    </a:blip>
                    <a:stretch>
                      <a:fillRect/>
                    </a:stretch>
                  </pic:blipFill>
                  <pic:spPr>
                    <a:xfrm>
                      <a:off x="0" y="0"/>
                      <a:ext cx="5727700" cy="5727700"/>
                    </a:xfrm>
                    <a:prstGeom prst="rect">
                      <a:avLst/>
                    </a:prstGeom>
                    <a:noFill/>
                    <a:ln>
                      <a:noFill/>
                    </a:ln>
                  </pic:spPr>
                </pic:pic>
              </a:graphicData>
            </a:graphic>
          </wp:inline>
        </w:drawing>
      </w:r>
    </w:p>
    <w:p w14:paraId="3ABFA536" w14:textId="0A8CAD6B" w:rsidR="00490432" w:rsidRPr="00F12614" w:rsidRDefault="00490432" w:rsidP="00490432">
      <w:pPr>
        <w:pStyle w:val="Imagecaption"/>
      </w:pPr>
      <w:bookmarkStart w:id="699" w:name="_Ref467604267"/>
      <w:bookmarkStart w:id="700" w:name="_Toc477347665"/>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23</w:t>
      </w:r>
      <w:r w:rsidR="00254026">
        <w:fldChar w:fldCharType="end"/>
      </w:r>
      <w:bookmarkEnd w:id="699"/>
      <w:r>
        <w:t xml:space="preserve"> </w:t>
      </w:r>
      <w:r w:rsidR="000C71D3">
        <w:t>Calculated p</w:t>
      </w:r>
      <w:r>
        <w:t xml:space="preserve">article pathlines </w:t>
      </w:r>
      <w:r w:rsidR="000C71D3">
        <w:t xml:space="preserve">in Pilliga Sandstone </w:t>
      </w:r>
      <w:r>
        <w:t>show receptors</w:t>
      </w:r>
      <w:r w:rsidR="008B451E">
        <w:t>-</w:t>
      </w:r>
      <w:r>
        <w:t>sources</w:t>
      </w:r>
      <w:r w:rsidR="008B451E">
        <w:t xml:space="preserve"> connections</w:t>
      </w:r>
      <w:r>
        <w:t>.</w:t>
      </w:r>
      <w:r w:rsidR="008B451E">
        <w:t xml:space="preserve"> Backward partical tracking with 9 particles released per receptor.</w:t>
      </w:r>
      <w:bookmarkEnd w:id="700"/>
      <w:r w:rsidR="008B451E">
        <w:t xml:space="preserve"> </w:t>
      </w:r>
    </w:p>
    <w:p w14:paraId="7C718D15" w14:textId="77777777" w:rsidR="008D61CF" w:rsidRDefault="0083468D" w:rsidP="0083468D">
      <w:pPr>
        <w:pStyle w:val="Heading3"/>
      </w:pPr>
      <w:bookmarkStart w:id="701" w:name="_Toc494444667"/>
      <w:r>
        <w:t>Inorganic substances</w:t>
      </w:r>
      <w:bookmarkEnd w:id="701"/>
    </w:p>
    <w:p w14:paraId="74FA84C4" w14:textId="131D873E" w:rsidR="001E3301" w:rsidRDefault="008D61CF" w:rsidP="008D61CF">
      <w:pPr>
        <w:pStyle w:val="Heading3"/>
        <w:numPr>
          <w:ilvl w:val="3"/>
          <w:numId w:val="1"/>
        </w:numPr>
      </w:pPr>
      <w:bookmarkStart w:id="702" w:name="_Ref467688882"/>
      <w:bookmarkStart w:id="703" w:name="_Toc494444668"/>
      <w:r>
        <w:t xml:space="preserve">Attenuation due to </w:t>
      </w:r>
      <w:r w:rsidR="00D44B92">
        <w:t xml:space="preserve">dilution, dispersion and </w:t>
      </w:r>
      <w:r>
        <w:t>sorption</w:t>
      </w:r>
      <w:bookmarkEnd w:id="702"/>
      <w:bookmarkEnd w:id="703"/>
    </w:p>
    <w:p w14:paraId="478DC69B" w14:textId="13DE8056" w:rsidR="007E1C58" w:rsidRDefault="00D44B92" w:rsidP="00D44B92">
      <w:pPr>
        <w:pStyle w:val="Body"/>
      </w:pPr>
      <w:r>
        <w:t>Inorganic substances do not degrade (unless by radioactive decay), hence the attenuation models (Equation 1</w:t>
      </w:r>
      <w:r w:rsidR="00651F38">
        <w:t>0</w:t>
      </w:r>
      <w:r>
        <w:t xml:space="preserve">) used for organics cannot be used for inorganics. Therefore the 3D analytical solution </w:t>
      </w:r>
      <w:r w:rsidR="00651F38">
        <w:t xml:space="preserve">of Leij and Bradford (1994) </w:t>
      </w:r>
      <w:r>
        <w:t xml:space="preserve">was applied </w:t>
      </w:r>
      <w:r w:rsidR="00651F38">
        <w:t xml:space="preserve">to derive </w:t>
      </w:r>
      <w:r>
        <w:t>DAF value</w:t>
      </w:r>
      <w:r w:rsidR="00651F38">
        <w:t>s</w:t>
      </w:r>
      <w:r>
        <w:t xml:space="preserve"> due to dilution and dispersion. </w:t>
      </w:r>
      <w:r w:rsidR="00837ED9">
        <w:t>Model a</w:t>
      </w:r>
      <w:r>
        <w:t xml:space="preserve">ssumptions were the same as those used </w:t>
      </w:r>
      <w:r w:rsidR="00837ED9">
        <w:t xml:space="preserve">in </w:t>
      </w:r>
      <w:r w:rsidR="007C063A">
        <w:t>S</w:t>
      </w:r>
      <w:r w:rsidR="00837ED9">
        <w:t xml:space="preserve">ection </w:t>
      </w:r>
      <w:r w:rsidR="00837ED9">
        <w:fldChar w:fldCharType="begin" w:fldLock="1"/>
      </w:r>
      <w:r w:rsidR="00837ED9">
        <w:instrText xml:space="preserve"> REF _Ref458951219 \r \h </w:instrText>
      </w:r>
      <w:r w:rsidR="00837ED9">
        <w:fldChar w:fldCharType="separate"/>
      </w:r>
      <w:r w:rsidR="00335E79">
        <w:t>5.2.1.3</w:t>
      </w:r>
      <w:r w:rsidR="00837ED9">
        <w:fldChar w:fldCharType="end"/>
      </w:r>
      <w:r>
        <w:t xml:space="preserve">. </w:t>
      </w:r>
      <w:r w:rsidR="007E1C58">
        <w:t xml:space="preserve">In terms of the particle velocities, maximum values </w:t>
      </w:r>
      <w:r w:rsidR="002A1652">
        <w:t xml:space="preserve">from the Pilliga Sandstone </w:t>
      </w:r>
      <w:r w:rsidR="007E1C58">
        <w:t>were used as this would result in the fastest transport and hence earliest arrival in a receptor; this approach is conservative.</w:t>
      </w:r>
      <w:r w:rsidR="002A1652">
        <w:t xml:space="preserve"> Note that the geogenic inorganic elements As, Ba, and U present in the coal seam formations are assumed to migrate mainly within the coal seam formations. As the coal seam formations investigated here (i.e. Maulus Creek in Gunnedah and Walloon Coal Measures in Surat) have much lower particle velocities than the values used from the Pilliga Sandstone, the migration within the coal seam formations would be further retarded. </w:t>
      </w:r>
    </w:p>
    <w:p w14:paraId="6413D571" w14:textId="721B0C14" w:rsidR="0007521A" w:rsidRDefault="0007521A" w:rsidP="00D44B92">
      <w:pPr>
        <w:pStyle w:val="Body"/>
      </w:pPr>
      <w:r>
        <w:fldChar w:fldCharType="begin" w:fldLock="1"/>
      </w:r>
      <w:r>
        <w:instrText xml:space="preserve"> REF _Ref467661461 \h </w:instrText>
      </w:r>
      <w:r>
        <w:fldChar w:fldCharType="separate"/>
      </w:r>
      <w:r w:rsidR="00335E79">
        <w:t xml:space="preserve">Figure </w:t>
      </w:r>
      <w:r w:rsidR="00335E79">
        <w:rPr>
          <w:noProof/>
        </w:rPr>
        <w:t>5</w:t>
      </w:r>
      <w:r w:rsidR="00335E79">
        <w:noBreakHyphen/>
      </w:r>
      <w:r w:rsidR="00335E79">
        <w:rPr>
          <w:noProof/>
        </w:rPr>
        <w:t>24</w:t>
      </w:r>
      <w:r>
        <w:fldChar w:fldCharType="end"/>
      </w:r>
      <w:r>
        <w:t xml:space="preserve"> illustrates the effect of increasing travel distance on barium concentrations: for a receptor at a distance of 50 m the dilution is about 20, while at 500 m the dilution increases to </w:t>
      </w:r>
      <w:r w:rsidRPr="005368C0">
        <w:t>90</w:t>
      </w:r>
      <w:r w:rsidR="005368C0" w:rsidRPr="005368C0">
        <w:t>3</w:t>
      </w:r>
      <w:r>
        <w:t>.</w:t>
      </w:r>
      <w:r w:rsidR="002A2C9C">
        <w:t xml:space="preserve"> The effect of increasing sorption is also shown: at 500 m and with mild sorption (</w:t>
      </w:r>
      <w:r w:rsidR="002A2C9C" w:rsidRPr="00A63DFB">
        <w:rPr>
          <w:i/>
        </w:rPr>
        <w:t>R</w:t>
      </w:r>
      <w:r w:rsidR="002A2C9C">
        <w:t xml:space="preserve"> = 4.2) the breakthrough curve is later compared to the simulation without sorption (</w:t>
      </w:r>
      <w:r w:rsidR="002A2C9C" w:rsidRPr="00A63DFB">
        <w:rPr>
          <w:i/>
        </w:rPr>
        <w:t>R</w:t>
      </w:r>
      <w:r w:rsidR="002A2C9C">
        <w:t xml:space="preserve"> = 1). The maximum concentrations are identical for both </w:t>
      </w:r>
      <w:proofErr w:type="gramStart"/>
      <w:r w:rsidR="007B3DC4" w:rsidRPr="00E6110F">
        <w:rPr>
          <w:i/>
        </w:rPr>
        <w:t>R</w:t>
      </w:r>
      <w:r w:rsidR="007B3DC4" w:rsidRPr="007B3DC4">
        <w:rPr>
          <w:i/>
          <w:vertAlign w:val="subscript"/>
        </w:rPr>
        <w:t>f</w:t>
      </w:r>
      <w:proofErr w:type="gramEnd"/>
      <w:r w:rsidR="007B3DC4">
        <w:t xml:space="preserve"> </w:t>
      </w:r>
      <w:r w:rsidR="002A2C9C">
        <w:t xml:space="preserve">= 1 and </w:t>
      </w:r>
      <w:r w:rsidR="007B3DC4" w:rsidRPr="00E6110F">
        <w:rPr>
          <w:i/>
        </w:rPr>
        <w:t>R</w:t>
      </w:r>
      <w:r w:rsidR="007B3DC4" w:rsidRPr="007B3DC4">
        <w:rPr>
          <w:i/>
          <w:vertAlign w:val="subscript"/>
        </w:rPr>
        <w:t>f</w:t>
      </w:r>
      <w:r w:rsidR="007B3DC4">
        <w:t xml:space="preserve"> </w:t>
      </w:r>
      <w:r w:rsidR="002A2C9C">
        <w:t>= 4.2.</w:t>
      </w:r>
    </w:p>
    <w:p w14:paraId="174D047F" w14:textId="59B01087" w:rsidR="00883E8E" w:rsidRDefault="00883E8E" w:rsidP="00D44B92">
      <w:pPr>
        <w:pStyle w:val="Body"/>
      </w:pPr>
      <w:r>
        <w:t xml:space="preserve">A full analysis of the effects of sorption and dilution/dispersion for two travel distances is shown for barium in </w:t>
      </w:r>
      <w:r>
        <w:fldChar w:fldCharType="begin" w:fldLock="1"/>
      </w:r>
      <w:r>
        <w:instrText xml:space="preserve"> REF _Ref467671692 \h </w:instrText>
      </w:r>
      <w:r>
        <w:fldChar w:fldCharType="separate"/>
      </w:r>
      <w:r w:rsidR="00335E79">
        <w:t xml:space="preserve">Figure </w:t>
      </w:r>
      <w:r w:rsidR="00335E79">
        <w:rPr>
          <w:noProof/>
        </w:rPr>
        <w:t>5</w:t>
      </w:r>
      <w:r w:rsidR="00335E79">
        <w:noBreakHyphen/>
      </w:r>
      <w:r w:rsidR="00335E79">
        <w:rPr>
          <w:noProof/>
        </w:rPr>
        <w:t>25</w:t>
      </w:r>
      <w:r>
        <w:fldChar w:fldCharType="end"/>
      </w:r>
      <w:r>
        <w:t>. Sorption results in solute retardation which is responsible for delaying the arrival time of the solute at a given receptor; for barium weak sorption results in arrival times from a few decades (receptor at 500 m) to a few hundred (receptor at 3</w:t>
      </w:r>
      <w:r w:rsidR="005368C0">
        <w:t>,</w:t>
      </w:r>
      <w:r>
        <w:t>500 m) of years. For strong sorption (</w:t>
      </w:r>
      <w:r w:rsidRPr="00A63DFB">
        <w:rPr>
          <w:i/>
        </w:rPr>
        <w:t>R</w:t>
      </w:r>
      <w:r>
        <w:t xml:space="preserve"> = 2</w:t>
      </w:r>
      <w:r w:rsidR="005368C0">
        <w:t>,</w:t>
      </w:r>
      <w:r>
        <w:t>625), the arrival times now become verly large, from several tens of thousands of years to hundreds of thousands of years.  Dilution and dispersion, on the other hand, has the effect of reducing the concentration, with more dilution at greater travel distances.</w:t>
      </w:r>
    </w:p>
    <w:p w14:paraId="29B5D674" w14:textId="532B8594" w:rsidR="00BE7B95" w:rsidRDefault="00D44B92" w:rsidP="00D44B92">
      <w:pPr>
        <w:pStyle w:val="Body"/>
      </w:pPr>
      <w:r>
        <w:t xml:space="preserve">DAF values are </w:t>
      </w:r>
      <w:r w:rsidR="003971D0">
        <w:t>calculated for all inorganic elements considering a travel distance to a receptor equal to 500 m and minimum and maximum sorption values (</w:t>
      </w:r>
      <w:r>
        <w:fldChar w:fldCharType="begin" w:fldLock="1"/>
      </w:r>
      <w:r>
        <w:instrText xml:space="preserve"> REF _Ref454471875 \h </w:instrText>
      </w:r>
      <w:r>
        <w:fldChar w:fldCharType="separate"/>
      </w:r>
      <w:r w:rsidR="00335E79">
        <w:t xml:space="preserve">Table </w:t>
      </w:r>
      <w:r w:rsidR="00335E79">
        <w:rPr>
          <w:noProof/>
        </w:rPr>
        <w:t>5</w:t>
      </w:r>
      <w:r w:rsidR="00335E79">
        <w:noBreakHyphen/>
      </w:r>
      <w:r w:rsidR="00335E79">
        <w:rPr>
          <w:noProof/>
        </w:rPr>
        <w:t>19</w:t>
      </w:r>
      <w:r>
        <w:fldChar w:fldCharType="end"/>
      </w:r>
      <w:r w:rsidR="003971D0">
        <w:t>).</w:t>
      </w:r>
      <w:r>
        <w:t xml:space="preserve"> </w:t>
      </w:r>
      <w:r w:rsidR="003971D0">
        <w:t xml:space="preserve">As discussed above, </w:t>
      </w:r>
      <w:r>
        <w:t xml:space="preserve">sorption </w:t>
      </w:r>
      <w:r w:rsidR="003971D0">
        <w:t xml:space="preserve">does not affect </w:t>
      </w:r>
      <w:r>
        <w:t>the maximum concentration at the receptor. Sorption is important</w:t>
      </w:r>
      <w:r w:rsidR="003971D0">
        <w:t>,</w:t>
      </w:r>
      <w:r>
        <w:t xml:space="preserve"> however</w:t>
      </w:r>
      <w:r w:rsidR="003971D0">
        <w:t>,</w:t>
      </w:r>
      <w:r>
        <w:t xml:space="preserve"> in determining the travel time to reach the receptor.  </w:t>
      </w:r>
    </w:p>
    <w:p w14:paraId="0908EA52" w14:textId="2DFFA852" w:rsidR="00DB0917" w:rsidRDefault="00DB0917" w:rsidP="00DB0917">
      <w:pPr>
        <w:pStyle w:val="Body"/>
        <w:jc w:val="center"/>
      </w:pPr>
      <w:r w:rsidRPr="00DB0917">
        <w:rPr>
          <w:noProof/>
          <w:lang w:val="en-AU" w:eastAsia="en-AU"/>
        </w:rPr>
        <w:drawing>
          <wp:inline distT="0" distB="0" distL="0" distR="0" wp14:anchorId="07A59FC4" wp14:editId="77856161">
            <wp:extent cx="3723226" cy="3391388"/>
            <wp:effectExtent l="0" t="0" r="0" b="0"/>
            <wp:docPr id="136" name="Picture 136" descr="Chart of barium concentration at modelled receptors." title="Fig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3749797" cy="3415590"/>
                    </a:xfrm>
                    <a:prstGeom prst="rect">
                      <a:avLst/>
                    </a:prstGeom>
                    <a:noFill/>
                    <a:ln>
                      <a:noFill/>
                    </a:ln>
                  </pic:spPr>
                </pic:pic>
              </a:graphicData>
            </a:graphic>
          </wp:inline>
        </w:drawing>
      </w:r>
    </w:p>
    <w:p w14:paraId="78D92C02" w14:textId="3D15899D" w:rsidR="00DB0917" w:rsidRDefault="00DB0917" w:rsidP="00DB0917">
      <w:pPr>
        <w:pStyle w:val="Imagecaption"/>
      </w:pPr>
      <w:bookmarkStart w:id="704" w:name="_Ref467661461"/>
      <w:bookmarkStart w:id="705" w:name="_Toc477347666"/>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24</w:t>
      </w:r>
      <w:r w:rsidR="00254026">
        <w:fldChar w:fldCharType="end"/>
      </w:r>
      <w:bookmarkEnd w:id="704"/>
      <w:r>
        <w:t xml:space="preserve"> Calculated barium concentrations (C/C</w:t>
      </w:r>
      <w:r w:rsidRPr="0007521A">
        <w:rPr>
          <w:vertAlign w:val="subscript"/>
        </w:rPr>
        <w:t>0</w:t>
      </w:r>
      <w:r>
        <w:t xml:space="preserve">) remaining at receptors (at 50 and 500 m from source) with (retardation </w:t>
      </w:r>
      <w:proofErr w:type="gramStart"/>
      <w:r w:rsidR="007B3DC4" w:rsidRPr="00E6110F">
        <w:t>R</w:t>
      </w:r>
      <w:r w:rsidR="007B3DC4" w:rsidRPr="007B3DC4">
        <w:rPr>
          <w:i w:val="0"/>
          <w:vertAlign w:val="subscript"/>
        </w:rPr>
        <w:t>f</w:t>
      </w:r>
      <w:proofErr w:type="gramEnd"/>
      <w:r w:rsidR="007B3DC4">
        <w:t xml:space="preserve"> </w:t>
      </w:r>
      <w:r>
        <w:t xml:space="preserve">= 4.2) and without (retardation </w:t>
      </w:r>
      <w:r w:rsidR="007B3DC4" w:rsidRPr="00E6110F">
        <w:t>R</w:t>
      </w:r>
      <w:r w:rsidR="007B3DC4" w:rsidRPr="007B3DC4">
        <w:rPr>
          <w:i w:val="0"/>
          <w:vertAlign w:val="subscript"/>
        </w:rPr>
        <w:t>f</w:t>
      </w:r>
      <w:r w:rsidR="007B3DC4">
        <w:t xml:space="preserve"> </w:t>
      </w:r>
      <w:r>
        <w:t>= 1) sorption.</w:t>
      </w:r>
      <w:bookmarkEnd w:id="705"/>
    </w:p>
    <w:p w14:paraId="7A8D0570" w14:textId="77777777" w:rsidR="00D44B92" w:rsidRDefault="00D44B92" w:rsidP="00D44B92">
      <w:pPr>
        <w:pStyle w:val="Body"/>
      </w:pPr>
    </w:p>
    <w:p w14:paraId="1F0BF75B" w14:textId="02207818" w:rsidR="00DA3EE9" w:rsidRDefault="003201E0" w:rsidP="00DA3EE9">
      <w:pPr>
        <w:pStyle w:val="Body"/>
        <w:jc w:val="center"/>
      </w:pPr>
      <w:r w:rsidRPr="003201E0">
        <w:rPr>
          <w:noProof/>
          <w:lang w:val="en-AU" w:eastAsia="en-AU"/>
        </w:rPr>
        <w:drawing>
          <wp:inline distT="0" distB="0" distL="0" distR="0" wp14:anchorId="7FEDEADC" wp14:editId="0141375A">
            <wp:extent cx="3916017" cy="3428529"/>
            <wp:effectExtent l="0" t="0" r="8890" b="635"/>
            <wp:docPr id="148" name="Picture 148" descr="Chart of the effect of retardation and distance on modelled barium concentrations." title="Fig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3961572" cy="3468413"/>
                    </a:xfrm>
                    <a:prstGeom prst="rect">
                      <a:avLst/>
                    </a:prstGeom>
                    <a:noFill/>
                    <a:ln>
                      <a:noFill/>
                    </a:ln>
                  </pic:spPr>
                </pic:pic>
              </a:graphicData>
            </a:graphic>
          </wp:inline>
        </w:drawing>
      </w:r>
    </w:p>
    <w:p w14:paraId="7F3CA319" w14:textId="3AED3D18" w:rsidR="00DA3EE9" w:rsidRDefault="00DA3EE9" w:rsidP="003201E0">
      <w:pPr>
        <w:pStyle w:val="Imagecaption"/>
      </w:pPr>
      <w:bookmarkStart w:id="706" w:name="_Ref467671692"/>
      <w:bookmarkStart w:id="707" w:name="_Toc477347667"/>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25</w:t>
      </w:r>
      <w:r w:rsidR="00254026">
        <w:fldChar w:fldCharType="end"/>
      </w:r>
      <w:bookmarkEnd w:id="706"/>
      <w:r>
        <w:t xml:space="preserve"> Effect of retardation </w:t>
      </w:r>
      <w:r w:rsidR="003201E0">
        <w:t>(</w:t>
      </w:r>
      <w:proofErr w:type="gramStart"/>
      <w:r w:rsidR="007B3DC4" w:rsidRPr="00E6110F">
        <w:t>R</w:t>
      </w:r>
      <w:r w:rsidR="007B3DC4" w:rsidRPr="007B3DC4">
        <w:rPr>
          <w:i w:val="0"/>
          <w:vertAlign w:val="subscript"/>
        </w:rPr>
        <w:t>f</w:t>
      </w:r>
      <w:proofErr w:type="gramEnd"/>
      <w:r w:rsidR="007B3DC4">
        <w:t xml:space="preserve"> </w:t>
      </w:r>
      <w:r w:rsidR="003201E0">
        <w:t xml:space="preserve">= 4.2 and </w:t>
      </w:r>
      <w:r w:rsidR="007B3DC4" w:rsidRPr="00E6110F">
        <w:t>R</w:t>
      </w:r>
      <w:r w:rsidR="007B3DC4" w:rsidRPr="007B3DC4">
        <w:rPr>
          <w:i w:val="0"/>
          <w:vertAlign w:val="subscript"/>
        </w:rPr>
        <w:t>f</w:t>
      </w:r>
      <w:r w:rsidR="007B3DC4">
        <w:t xml:space="preserve"> </w:t>
      </w:r>
      <w:r w:rsidR="003201E0">
        <w:t xml:space="preserve">= 2625) </w:t>
      </w:r>
      <w:r>
        <w:t>and travel dist</w:t>
      </w:r>
      <w:r w:rsidR="003201E0">
        <w:t>ance (500, 1400, and 3500 m) on barium concentrations at receptors.</w:t>
      </w:r>
      <w:bookmarkEnd w:id="707"/>
    </w:p>
    <w:p w14:paraId="623A1EE7" w14:textId="2F5EEC43" w:rsidR="009D77BC" w:rsidRPr="00BE7B95" w:rsidRDefault="009D77BC" w:rsidP="009D77BC">
      <w:pPr>
        <w:pStyle w:val="Imagecaption"/>
        <w:keepNext/>
        <w:pBdr>
          <w:top w:val="none" w:sz="0" w:space="0" w:color="auto"/>
        </w:pBdr>
      </w:pPr>
      <w:bookmarkStart w:id="708" w:name="_Ref454471875"/>
      <w:bookmarkStart w:id="709" w:name="_Toc494444747"/>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19</w:t>
      </w:r>
      <w:r w:rsidR="00470577">
        <w:fldChar w:fldCharType="end"/>
      </w:r>
      <w:bookmarkEnd w:id="708"/>
      <w:r>
        <w:t xml:space="preserve"> Sorption parameters K</w:t>
      </w:r>
      <w:r w:rsidRPr="00D4086A">
        <w:rPr>
          <w:vertAlign w:val="subscript"/>
        </w:rPr>
        <w:t>d</w:t>
      </w:r>
      <w:r>
        <w:t xml:space="preserve"> and </w:t>
      </w:r>
      <w:r w:rsidR="00837ED9">
        <w:t xml:space="preserve">retardation factor </w:t>
      </w:r>
      <w:r w:rsidR="007B3DC4" w:rsidRPr="00E6110F">
        <w:t>R</w:t>
      </w:r>
      <w:r w:rsidR="007B3DC4" w:rsidRPr="007B3DC4">
        <w:rPr>
          <w:i w:val="0"/>
          <w:vertAlign w:val="subscript"/>
        </w:rPr>
        <w:t>f</w:t>
      </w:r>
      <w:r>
        <w:t xml:space="preserve">, </w:t>
      </w:r>
      <w:r w:rsidR="00902AD9">
        <w:t>travel time from source to receptor (T</w:t>
      </w:r>
      <w:r w:rsidR="00902AD9" w:rsidRPr="00902AD9">
        <w:rPr>
          <w:vertAlign w:val="subscript"/>
        </w:rPr>
        <w:t>max</w:t>
      </w:r>
      <w:r w:rsidR="00902AD9">
        <w:t xml:space="preserve">), </w:t>
      </w:r>
      <w:r>
        <w:t>calculated maximum concentration (C</w:t>
      </w:r>
      <w:r w:rsidRPr="009D77BC">
        <w:rPr>
          <w:vertAlign w:val="subscript"/>
        </w:rPr>
        <w:t>max</w:t>
      </w:r>
      <w:r>
        <w:t xml:space="preserve">) </w:t>
      </w:r>
      <w:r w:rsidR="00D4086A">
        <w:t xml:space="preserve">and DAF </w:t>
      </w:r>
      <w:r>
        <w:t xml:space="preserve">at 500 m downstream </w:t>
      </w:r>
      <w:r w:rsidR="00EF3AC6">
        <w:t xml:space="preserve">the </w:t>
      </w:r>
      <w:r>
        <w:t>solute source.</w:t>
      </w:r>
      <w:r w:rsidR="00B66F1C">
        <w:t xml:space="preserve"> Unit input concentration assumed.</w:t>
      </w:r>
      <w:r w:rsidR="003B5BB4">
        <w:t xml:space="preserve"> Attenuation due to sorption and dilution/dispersion</w:t>
      </w:r>
      <w:r w:rsidR="00045993">
        <w:t xml:space="preserve"> (1 ML injection volume)</w:t>
      </w:r>
      <w:r w:rsidR="003B5BB4">
        <w:t>.</w:t>
      </w:r>
      <w:bookmarkEnd w:id="709"/>
    </w:p>
    <w:tbl>
      <w:tblPr>
        <w:tblW w:w="0" w:type="auto"/>
        <w:tblInd w:w="-3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03"/>
        <w:gridCol w:w="1149"/>
        <w:gridCol w:w="283"/>
        <w:gridCol w:w="709"/>
        <w:gridCol w:w="1276"/>
        <w:gridCol w:w="141"/>
        <w:gridCol w:w="1276"/>
        <w:gridCol w:w="1134"/>
        <w:gridCol w:w="1134"/>
      </w:tblGrid>
      <w:tr w:rsidR="009D77BC" w14:paraId="1937F39A" w14:textId="414FD015" w:rsidTr="005368C0">
        <w:trPr>
          <w:trHeight w:val="290"/>
        </w:trPr>
        <w:tc>
          <w:tcPr>
            <w:tcW w:w="1003" w:type="dxa"/>
            <w:tcBorders>
              <w:top w:val="single" w:sz="4" w:space="0" w:color="auto"/>
              <w:bottom w:val="single" w:sz="4" w:space="0" w:color="auto"/>
            </w:tcBorders>
            <w:shd w:val="clear" w:color="auto" w:fill="F2F2F2" w:themeFill="background1" w:themeFillShade="F2"/>
          </w:tcPr>
          <w:p w14:paraId="5AED396D" w14:textId="351D5A89" w:rsidR="009D77BC" w:rsidRPr="005368C0" w:rsidRDefault="005368C0" w:rsidP="005368C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Element</w:t>
            </w:r>
          </w:p>
        </w:tc>
        <w:tc>
          <w:tcPr>
            <w:tcW w:w="1432" w:type="dxa"/>
            <w:gridSpan w:val="2"/>
            <w:tcBorders>
              <w:top w:val="single" w:sz="4" w:space="0" w:color="auto"/>
              <w:bottom w:val="single" w:sz="4" w:space="0" w:color="auto"/>
            </w:tcBorders>
            <w:shd w:val="clear" w:color="auto" w:fill="F2F2F2" w:themeFill="background1" w:themeFillShade="F2"/>
          </w:tcPr>
          <w:p w14:paraId="59C0E483" w14:textId="77777777" w:rsidR="009D77BC" w:rsidRPr="005368C0" w:rsidRDefault="009D77BC"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i/>
                <w:color w:val="000000"/>
                <w:sz w:val="18"/>
                <w:szCs w:val="18"/>
                <w:lang w:val="en-AU"/>
              </w:rPr>
              <w:t>K</w:t>
            </w:r>
            <w:r w:rsidRPr="005368C0">
              <w:rPr>
                <w:rFonts w:ascii="Calibri" w:hAnsi="Calibri" w:cs="Calibri"/>
                <w:color w:val="000000"/>
                <w:sz w:val="18"/>
                <w:szCs w:val="18"/>
                <w:vertAlign w:val="subscript"/>
                <w:lang w:val="en-AU"/>
              </w:rPr>
              <w:t>d</w:t>
            </w:r>
            <w:r w:rsidRPr="005368C0">
              <w:rPr>
                <w:rFonts w:ascii="Calibri" w:hAnsi="Calibri" w:cs="Calibri"/>
                <w:color w:val="000000"/>
                <w:sz w:val="18"/>
                <w:szCs w:val="18"/>
                <w:lang w:val="en-AU"/>
              </w:rPr>
              <w:t xml:space="preserve"> (L/kg)</w:t>
            </w:r>
          </w:p>
        </w:tc>
        <w:tc>
          <w:tcPr>
            <w:tcW w:w="709" w:type="dxa"/>
            <w:tcBorders>
              <w:top w:val="single" w:sz="4" w:space="0" w:color="auto"/>
              <w:bottom w:val="single" w:sz="4" w:space="0" w:color="auto"/>
            </w:tcBorders>
            <w:shd w:val="clear" w:color="auto" w:fill="F2F2F2" w:themeFill="background1" w:themeFillShade="F2"/>
          </w:tcPr>
          <w:p w14:paraId="580B4E3B" w14:textId="706555E8" w:rsidR="009D77BC" w:rsidRPr="005368C0" w:rsidRDefault="007B3DC4" w:rsidP="005368C0">
            <w:pPr>
              <w:autoSpaceDE w:val="0"/>
              <w:autoSpaceDN w:val="0"/>
              <w:adjustRightInd w:val="0"/>
              <w:spacing w:after="0"/>
              <w:jc w:val="center"/>
              <w:rPr>
                <w:rFonts w:ascii="Calibri" w:hAnsi="Calibri" w:cs="Calibri"/>
                <w:i/>
                <w:color w:val="000000"/>
                <w:sz w:val="18"/>
                <w:szCs w:val="18"/>
                <w:lang w:val="en-AU"/>
              </w:rPr>
            </w:pPr>
            <w:r w:rsidRPr="007B3DC4">
              <w:rPr>
                <w:rFonts w:asciiTheme="majorHAnsi" w:hAnsiTheme="majorHAnsi"/>
                <w:i/>
                <w:sz w:val="18"/>
                <w:szCs w:val="18"/>
              </w:rPr>
              <w:t>R</w:t>
            </w:r>
            <w:r w:rsidRPr="007B3DC4">
              <w:rPr>
                <w:rFonts w:asciiTheme="majorHAnsi" w:hAnsiTheme="majorHAnsi"/>
                <w:i/>
                <w:sz w:val="18"/>
                <w:szCs w:val="18"/>
                <w:vertAlign w:val="subscript"/>
              </w:rPr>
              <w:t>f</w:t>
            </w:r>
            <w:r w:rsidRPr="005368C0">
              <w:rPr>
                <w:rFonts w:ascii="Calibri" w:hAnsi="Calibri" w:cs="Calibri"/>
                <w:color w:val="000000"/>
                <w:sz w:val="18"/>
                <w:szCs w:val="18"/>
                <w:lang w:val="en-AU"/>
              </w:rPr>
              <w:t xml:space="preserve"> </w:t>
            </w:r>
            <w:r w:rsidR="00C93ECF" w:rsidRPr="005368C0">
              <w:rPr>
                <w:rFonts w:ascii="Calibri" w:hAnsi="Calibri" w:cs="Calibri"/>
                <w:color w:val="000000"/>
                <w:sz w:val="18"/>
                <w:szCs w:val="18"/>
                <w:lang w:val="en-AU"/>
              </w:rPr>
              <w:t>(-)</w:t>
            </w:r>
          </w:p>
        </w:tc>
        <w:tc>
          <w:tcPr>
            <w:tcW w:w="1417" w:type="dxa"/>
            <w:gridSpan w:val="2"/>
            <w:tcBorders>
              <w:top w:val="single" w:sz="4" w:space="0" w:color="auto"/>
              <w:bottom w:val="single" w:sz="4" w:space="0" w:color="auto"/>
            </w:tcBorders>
            <w:shd w:val="clear" w:color="auto" w:fill="F2F2F2" w:themeFill="background1" w:themeFillShade="F2"/>
          </w:tcPr>
          <w:p w14:paraId="44C502B4" w14:textId="147E317D" w:rsidR="009D77BC" w:rsidRPr="005368C0" w:rsidRDefault="009D77BC"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i/>
                <w:color w:val="000000"/>
                <w:sz w:val="18"/>
                <w:szCs w:val="18"/>
                <w:lang w:val="en-AU"/>
              </w:rPr>
              <w:t>T</w:t>
            </w:r>
            <w:r w:rsidRPr="005368C0">
              <w:rPr>
                <w:rFonts w:ascii="Calibri" w:hAnsi="Calibri" w:cs="Calibri"/>
                <w:color w:val="000000"/>
                <w:sz w:val="18"/>
                <w:szCs w:val="18"/>
                <w:vertAlign w:val="subscript"/>
                <w:lang w:val="en-AU"/>
              </w:rPr>
              <w:t>max</w:t>
            </w:r>
            <w:r w:rsidRPr="005368C0">
              <w:rPr>
                <w:rFonts w:ascii="Calibri" w:hAnsi="Calibri" w:cs="Calibri"/>
                <w:color w:val="000000"/>
                <w:sz w:val="18"/>
                <w:szCs w:val="18"/>
                <w:lang w:val="en-AU"/>
              </w:rPr>
              <w:t xml:space="preserve"> (d</w:t>
            </w:r>
            <w:r w:rsidR="00FE3AC7" w:rsidRPr="005368C0">
              <w:rPr>
                <w:rFonts w:ascii="Calibri" w:hAnsi="Calibri" w:cs="Calibri"/>
                <w:color w:val="000000"/>
                <w:sz w:val="18"/>
                <w:szCs w:val="18"/>
                <w:lang w:val="en-AU"/>
              </w:rPr>
              <w:t>ays</w:t>
            </w:r>
            <w:r w:rsidRPr="005368C0">
              <w:rPr>
                <w:rFonts w:ascii="Calibri" w:hAnsi="Calibri" w:cs="Calibri"/>
                <w:color w:val="000000"/>
                <w:sz w:val="18"/>
                <w:szCs w:val="18"/>
                <w:lang w:val="en-AU"/>
              </w:rPr>
              <w:t>)</w:t>
            </w:r>
          </w:p>
        </w:tc>
        <w:tc>
          <w:tcPr>
            <w:tcW w:w="1276" w:type="dxa"/>
            <w:tcBorders>
              <w:top w:val="single" w:sz="4" w:space="0" w:color="auto"/>
              <w:bottom w:val="single" w:sz="4" w:space="0" w:color="auto"/>
            </w:tcBorders>
            <w:shd w:val="clear" w:color="auto" w:fill="F2F2F2" w:themeFill="background1" w:themeFillShade="F2"/>
          </w:tcPr>
          <w:p w14:paraId="550581FD" w14:textId="483D3D9C" w:rsidR="009D77BC" w:rsidRPr="005368C0" w:rsidRDefault="009D77BC"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i/>
                <w:color w:val="000000"/>
                <w:sz w:val="18"/>
                <w:szCs w:val="18"/>
                <w:lang w:val="en-AU"/>
              </w:rPr>
              <w:t>T</w:t>
            </w:r>
            <w:r w:rsidRPr="005368C0">
              <w:rPr>
                <w:rFonts w:ascii="Calibri" w:hAnsi="Calibri" w:cs="Calibri"/>
                <w:color w:val="000000"/>
                <w:sz w:val="18"/>
                <w:szCs w:val="18"/>
                <w:vertAlign w:val="subscript"/>
                <w:lang w:val="en-AU"/>
              </w:rPr>
              <w:t>max</w:t>
            </w:r>
            <w:r w:rsidRPr="005368C0">
              <w:rPr>
                <w:rFonts w:ascii="Calibri" w:hAnsi="Calibri" w:cs="Calibri"/>
                <w:color w:val="000000"/>
                <w:sz w:val="18"/>
                <w:szCs w:val="18"/>
                <w:lang w:val="en-AU"/>
              </w:rPr>
              <w:t xml:space="preserve"> (y</w:t>
            </w:r>
            <w:r w:rsidR="00FE3AC7" w:rsidRPr="005368C0">
              <w:rPr>
                <w:rFonts w:ascii="Calibri" w:hAnsi="Calibri" w:cs="Calibri"/>
                <w:color w:val="000000"/>
                <w:sz w:val="18"/>
                <w:szCs w:val="18"/>
                <w:lang w:val="en-AU"/>
              </w:rPr>
              <w:t>ears</w:t>
            </w:r>
            <w:r w:rsidRPr="005368C0">
              <w:rPr>
                <w:rFonts w:ascii="Calibri" w:hAnsi="Calibri" w:cs="Calibri"/>
                <w:color w:val="000000"/>
                <w:sz w:val="18"/>
                <w:szCs w:val="18"/>
                <w:lang w:val="en-AU"/>
              </w:rPr>
              <w:t>)</w:t>
            </w:r>
          </w:p>
        </w:tc>
        <w:tc>
          <w:tcPr>
            <w:tcW w:w="1134" w:type="dxa"/>
            <w:tcBorders>
              <w:top w:val="single" w:sz="4" w:space="0" w:color="auto"/>
              <w:bottom w:val="single" w:sz="4" w:space="0" w:color="auto"/>
            </w:tcBorders>
            <w:shd w:val="clear" w:color="auto" w:fill="F2F2F2" w:themeFill="background1" w:themeFillShade="F2"/>
          </w:tcPr>
          <w:p w14:paraId="4F58B581" w14:textId="335233E8" w:rsidR="009D77BC" w:rsidRPr="005368C0" w:rsidRDefault="009D77BC"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i/>
                <w:color w:val="000000"/>
                <w:sz w:val="18"/>
                <w:szCs w:val="18"/>
                <w:lang w:val="en-AU"/>
              </w:rPr>
              <w:t>C</w:t>
            </w:r>
            <w:r w:rsidRPr="005368C0">
              <w:rPr>
                <w:rFonts w:ascii="Calibri" w:hAnsi="Calibri" w:cs="Calibri"/>
                <w:color w:val="000000"/>
                <w:sz w:val="18"/>
                <w:szCs w:val="18"/>
                <w:vertAlign w:val="subscript"/>
                <w:lang w:val="en-AU"/>
              </w:rPr>
              <w:t>max</w:t>
            </w:r>
            <w:r w:rsidR="00C93ECF" w:rsidRPr="005368C0">
              <w:rPr>
                <w:rFonts w:ascii="Calibri" w:hAnsi="Calibri" w:cs="Calibri"/>
                <w:color w:val="000000"/>
                <w:sz w:val="18"/>
                <w:szCs w:val="18"/>
                <w:vertAlign w:val="subscript"/>
                <w:lang w:val="en-AU"/>
              </w:rPr>
              <w:t xml:space="preserve"> </w:t>
            </w:r>
            <w:r w:rsidR="00C93ECF" w:rsidRPr="005368C0">
              <w:rPr>
                <w:rFonts w:ascii="Calibri" w:hAnsi="Calibri" w:cs="Calibri"/>
                <w:color w:val="000000"/>
                <w:sz w:val="18"/>
                <w:szCs w:val="18"/>
                <w:lang w:val="en-AU"/>
              </w:rPr>
              <w:t>(-)</w:t>
            </w:r>
          </w:p>
        </w:tc>
        <w:tc>
          <w:tcPr>
            <w:tcW w:w="1134" w:type="dxa"/>
            <w:tcBorders>
              <w:top w:val="single" w:sz="4" w:space="0" w:color="auto"/>
              <w:bottom w:val="single" w:sz="4" w:space="0" w:color="auto"/>
            </w:tcBorders>
            <w:shd w:val="clear" w:color="auto" w:fill="F2F2F2" w:themeFill="background1" w:themeFillShade="F2"/>
          </w:tcPr>
          <w:p w14:paraId="2DEE9AB5" w14:textId="48580968" w:rsidR="009D77BC" w:rsidRPr="005368C0" w:rsidRDefault="009D77BC"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DAF</w:t>
            </w:r>
          </w:p>
        </w:tc>
      </w:tr>
      <w:tr w:rsidR="00716998" w14:paraId="1BAE832D" w14:textId="35B1ECDE" w:rsidTr="005368C0">
        <w:trPr>
          <w:trHeight w:val="290"/>
        </w:trPr>
        <w:tc>
          <w:tcPr>
            <w:tcW w:w="1003" w:type="dxa"/>
            <w:tcBorders>
              <w:top w:val="single" w:sz="4" w:space="0" w:color="auto"/>
            </w:tcBorders>
          </w:tcPr>
          <w:p w14:paraId="12891757" w14:textId="77777777"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Barium</w:t>
            </w:r>
          </w:p>
        </w:tc>
        <w:tc>
          <w:tcPr>
            <w:tcW w:w="1149" w:type="dxa"/>
            <w:tcBorders>
              <w:top w:val="single" w:sz="4" w:space="0" w:color="auto"/>
            </w:tcBorders>
          </w:tcPr>
          <w:p w14:paraId="30512785" w14:textId="139E8B29"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0.2</w:t>
            </w:r>
          </w:p>
        </w:tc>
        <w:tc>
          <w:tcPr>
            <w:tcW w:w="992" w:type="dxa"/>
            <w:gridSpan w:val="2"/>
            <w:tcBorders>
              <w:top w:val="single" w:sz="4" w:space="0" w:color="auto"/>
            </w:tcBorders>
          </w:tcPr>
          <w:p w14:paraId="3465D4A9" w14:textId="2197A5E4"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4.2</w:t>
            </w:r>
          </w:p>
        </w:tc>
        <w:tc>
          <w:tcPr>
            <w:tcW w:w="1276" w:type="dxa"/>
            <w:tcBorders>
              <w:top w:val="nil"/>
              <w:left w:val="nil"/>
              <w:bottom w:val="nil"/>
              <w:right w:val="nil"/>
            </w:tcBorders>
            <w:shd w:val="clear" w:color="auto" w:fill="auto"/>
          </w:tcPr>
          <w:p w14:paraId="419C2BD7" w14:textId="7215FC78"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1.4E+04</w:t>
            </w:r>
          </w:p>
        </w:tc>
        <w:tc>
          <w:tcPr>
            <w:tcW w:w="1417" w:type="dxa"/>
            <w:gridSpan w:val="2"/>
            <w:tcBorders>
              <w:top w:val="nil"/>
              <w:left w:val="nil"/>
              <w:bottom w:val="nil"/>
              <w:right w:val="nil"/>
            </w:tcBorders>
            <w:shd w:val="clear" w:color="auto" w:fill="auto"/>
          </w:tcPr>
          <w:p w14:paraId="1F4AA5C8" w14:textId="50837E48"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3.8E+01</w:t>
            </w:r>
          </w:p>
        </w:tc>
        <w:tc>
          <w:tcPr>
            <w:tcW w:w="1134" w:type="dxa"/>
            <w:tcBorders>
              <w:top w:val="single" w:sz="4" w:space="0" w:color="auto"/>
            </w:tcBorders>
          </w:tcPr>
          <w:p w14:paraId="0DC6B8DC" w14:textId="47B9348B"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0.0011</w:t>
            </w:r>
          </w:p>
        </w:tc>
        <w:tc>
          <w:tcPr>
            <w:tcW w:w="1134" w:type="dxa"/>
            <w:tcBorders>
              <w:top w:val="single" w:sz="4" w:space="0" w:color="auto"/>
            </w:tcBorders>
          </w:tcPr>
          <w:p w14:paraId="05D8D5B2" w14:textId="26EE09C9"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90</w:t>
            </w:r>
            <w:r w:rsidR="005368C0">
              <w:rPr>
                <w:rFonts w:ascii="Calibri" w:hAnsi="Calibri" w:cs="Calibri"/>
                <w:color w:val="000000"/>
                <w:sz w:val="18"/>
                <w:szCs w:val="18"/>
                <w:lang w:val="en-AU"/>
              </w:rPr>
              <w:t>3</w:t>
            </w:r>
          </w:p>
        </w:tc>
      </w:tr>
      <w:tr w:rsidR="00716998" w14:paraId="676D8FBB" w14:textId="77777777" w:rsidTr="005368C0">
        <w:trPr>
          <w:trHeight w:val="290"/>
        </w:trPr>
        <w:tc>
          <w:tcPr>
            <w:tcW w:w="1003" w:type="dxa"/>
          </w:tcPr>
          <w:p w14:paraId="28639AD4" w14:textId="77777777"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p>
        </w:tc>
        <w:tc>
          <w:tcPr>
            <w:tcW w:w="1149" w:type="dxa"/>
          </w:tcPr>
          <w:p w14:paraId="10378A1D" w14:textId="6D488EE3"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164</w:t>
            </w:r>
          </w:p>
        </w:tc>
        <w:tc>
          <w:tcPr>
            <w:tcW w:w="992" w:type="dxa"/>
            <w:gridSpan w:val="2"/>
          </w:tcPr>
          <w:p w14:paraId="3DBA3EDF" w14:textId="59EE1C56"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26</w:t>
            </w:r>
            <w:r w:rsidR="00342F01" w:rsidRPr="005368C0">
              <w:rPr>
                <w:rFonts w:ascii="Calibri" w:hAnsi="Calibri" w:cs="Calibri"/>
                <w:color w:val="000000"/>
                <w:sz w:val="18"/>
                <w:szCs w:val="18"/>
                <w:lang w:val="en-AU"/>
              </w:rPr>
              <w:t>30</w:t>
            </w:r>
          </w:p>
        </w:tc>
        <w:tc>
          <w:tcPr>
            <w:tcW w:w="1276" w:type="dxa"/>
            <w:tcBorders>
              <w:top w:val="nil"/>
              <w:left w:val="nil"/>
              <w:bottom w:val="nil"/>
              <w:right w:val="nil"/>
            </w:tcBorders>
            <w:shd w:val="clear" w:color="auto" w:fill="auto"/>
          </w:tcPr>
          <w:p w14:paraId="2D0ABDAA" w14:textId="5F905F34"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8.8E+06</w:t>
            </w:r>
          </w:p>
        </w:tc>
        <w:tc>
          <w:tcPr>
            <w:tcW w:w="1417" w:type="dxa"/>
            <w:gridSpan w:val="2"/>
            <w:tcBorders>
              <w:top w:val="nil"/>
              <w:left w:val="nil"/>
              <w:bottom w:val="nil"/>
              <w:right w:val="nil"/>
            </w:tcBorders>
            <w:shd w:val="clear" w:color="auto" w:fill="auto"/>
          </w:tcPr>
          <w:p w14:paraId="101AF5A2" w14:textId="40A13FEF"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2.4E+04</w:t>
            </w:r>
          </w:p>
        </w:tc>
        <w:tc>
          <w:tcPr>
            <w:tcW w:w="1134" w:type="dxa"/>
          </w:tcPr>
          <w:p w14:paraId="754DF747" w14:textId="63DFE7DF" w:rsidR="00716998" w:rsidRPr="005368C0" w:rsidRDefault="00716998"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0.0011</w:t>
            </w:r>
          </w:p>
        </w:tc>
        <w:tc>
          <w:tcPr>
            <w:tcW w:w="1134" w:type="dxa"/>
          </w:tcPr>
          <w:p w14:paraId="4B145E2C" w14:textId="5B278081" w:rsidR="00716998" w:rsidRPr="005368C0" w:rsidRDefault="005368C0" w:rsidP="005368C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903</w:t>
            </w:r>
          </w:p>
        </w:tc>
      </w:tr>
      <w:tr w:rsidR="00F50E00" w14:paraId="219E6802" w14:textId="6A8AC75B" w:rsidTr="005368C0">
        <w:trPr>
          <w:trHeight w:val="290"/>
        </w:trPr>
        <w:tc>
          <w:tcPr>
            <w:tcW w:w="1003" w:type="dxa"/>
          </w:tcPr>
          <w:p w14:paraId="10EB121E" w14:textId="1A0C1BD4"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Boron</w:t>
            </w:r>
          </w:p>
        </w:tc>
        <w:tc>
          <w:tcPr>
            <w:tcW w:w="1149" w:type="dxa"/>
          </w:tcPr>
          <w:p w14:paraId="2522C84A"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0.03</w:t>
            </w:r>
          </w:p>
        </w:tc>
        <w:tc>
          <w:tcPr>
            <w:tcW w:w="992" w:type="dxa"/>
            <w:gridSpan w:val="2"/>
          </w:tcPr>
          <w:p w14:paraId="426A8BFC"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1.48</w:t>
            </w:r>
          </w:p>
        </w:tc>
        <w:tc>
          <w:tcPr>
            <w:tcW w:w="1276" w:type="dxa"/>
            <w:tcBorders>
              <w:top w:val="nil"/>
              <w:left w:val="nil"/>
              <w:bottom w:val="nil"/>
              <w:right w:val="nil"/>
            </w:tcBorders>
            <w:shd w:val="clear" w:color="auto" w:fill="auto"/>
          </w:tcPr>
          <w:p w14:paraId="0C8918DE" w14:textId="3A87074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4.9E+03</w:t>
            </w:r>
          </w:p>
        </w:tc>
        <w:tc>
          <w:tcPr>
            <w:tcW w:w="1417" w:type="dxa"/>
            <w:gridSpan w:val="2"/>
            <w:tcBorders>
              <w:top w:val="nil"/>
              <w:left w:val="nil"/>
              <w:bottom w:val="nil"/>
              <w:right w:val="nil"/>
            </w:tcBorders>
            <w:shd w:val="clear" w:color="auto" w:fill="auto"/>
          </w:tcPr>
          <w:p w14:paraId="028BB9B8" w14:textId="607843BD"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1.4E+01</w:t>
            </w:r>
          </w:p>
        </w:tc>
        <w:tc>
          <w:tcPr>
            <w:tcW w:w="1134" w:type="dxa"/>
          </w:tcPr>
          <w:p w14:paraId="45607CBE"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0.0011</w:t>
            </w:r>
          </w:p>
        </w:tc>
        <w:tc>
          <w:tcPr>
            <w:tcW w:w="1134" w:type="dxa"/>
          </w:tcPr>
          <w:p w14:paraId="690EE904" w14:textId="78E518E9" w:rsidR="00F50E00" w:rsidRPr="005368C0" w:rsidRDefault="005368C0" w:rsidP="005368C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903</w:t>
            </w:r>
          </w:p>
        </w:tc>
      </w:tr>
      <w:tr w:rsidR="00F50E00" w14:paraId="2E0F0093" w14:textId="7C0E1B10" w:rsidTr="005368C0">
        <w:trPr>
          <w:trHeight w:val="290"/>
        </w:trPr>
        <w:tc>
          <w:tcPr>
            <w:tcW w:w="1003" w:type="dxa"/>
          </w:tcPr>
          <w:p w14:paraId="5508DD2E"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p>
        </w:tc>
        <w:tc>
          <w:tcPr>
            <w:tcW w:w="1149" w:type="dxa"/>
          </w:tcPr>
          <w:p w14:paraId="501A205A"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0.22</w:t>
            </w:r>
          </w:p>
        </w:tc>
        <w:tc>
          <w:tcPr>
            <w:tcW w:w="992" w:type="dxa"/>
            <w:gridSpan w:val="2"/>
          </w:tcPr>
          <w:p w14:paraId="1557F317"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4.52</w:t>
            </w:r>
          </w:p>
        </w:tc>
        <w:tc>
          <w:tcPr>
            <w:tcW w:w="1276" w:type="dxa"/>
            <w:tcBorders>
              <w:top w:val="nil"/>
              <w:left w:val="nil"/>
              <w:bottom w:val="nil"/>
              <w:right w:val="nil"/>
            </w:tcBorders>
            <w:shd w:val="clear" w:color="auto" w:fill="auto"/>
          </w:tcPr>
          <w:p w14:paraId="6A157D63" w14:textId="692EFDD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1.5E+04</w:t>
            </w:r>
          </w:p>
        </w:tc>
        <w:tc>
          <w:tcPr>
            <w:tcW w:w="1417" w:type="dxa"/>
            <w:gridSpan w:val="2"/>
            <w:tcBorders>
              <w:top w:val="nil"/>
              <w:left w:val="nil"/>
              <w:bottom w:val="nil"/>
              <w:right w:val="nil"/>
            </w:tcBorders>
            <w:shd w:val="clear" w:color="auto" w:fill="auto"/>
          </w:tcPr>
          <w:p w14:paraId="55783C78" w14:textId="0493FAA0"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4.1E+01</w:t>
            </w:r>
          </w:p>
        </w:tc>
        <w:tc>
          <w:tcPr>
            <w:tcW w:w="1134" w:type="dxa"/>
          </w:tcPr>
          <w:p w14:paraId="00B4AAF4"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0.0011</w:t>
            </w:r>
          </w:p>
        </w:tc>
        <w:tc>
          <w:tcPr>
            <w:tcW w:w="1134" w:type="dxa"/>
          </w:tcPr>
          <w:p w14:paraId="44312222" w14:textId="102E01E5" w:rsidR="00F50E00" w:rsidRPr="005368C0" w:rsidRDefault="005368C0" w:rsidP="005368C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903</w:t>
            </w:r>
          </w:p>
        </w:tc>
      </w:tr>
      <w:tr w:rsidR="00F50E00" w14:paraId="72BEBD5F" w14:textId="2BF74CCB" w:rsidTr="005368C0">
        <w:trPr>
          <w:trHeight w:val="290"/>
        </w:trPr>
        <w:tc>
          <w:tcPr>
            <w:tcW w:w="1003" w:type="dxa"/>
          </w:tcPr>
          <w:p w14:paraId="1095C825" w14:textId="203C13C5"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Uranium</w:t>
            </w:r>
          </w:p>
        </w:tc>
        <w:tc>
          <w:tcPr>
            <w:tcW w:w="1149" w:type="dxa"/>
          </w:tcPr>
          <w:p w14:paraId="5D2BF005"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5</w:t>
            </w:r>
          </w:p>
        </w:tc>
        <w:tc>
          <w:tcPr>
            <w:tcW w:w="992" w:type="dxa"/>
            <w:gridSpan w:val="2"/>
          </w:tcPr>
          <w:p w14:paraId="79A3D754"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81</w:t>
            </w:r>
          </w:p>
        </w:tc>
        <w:tc>
          <w:tcPr>
            <w:tcW w:w="1276" w:type="dxa"/>
            <w:tcBorders>
              <w:top w:val="nil"/>
              <w:left w:val="nil"/>
              <w:bottom w:val="nil"/>
              <w:right w:val="nil"/>
            </w:tcBorders>
            <w:shd w:val="clear" w:color="auto" w:fill="auto"/>
          </w:tcPr>
          <w:p w14:paraId="1D889C11" w14:textId="4ACD1325"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2.7E+05</w:t>
            </w:r>
          </w:p>
        </w:tc>
        <w:tc>
          <w:tcPr>
            <w:tcW w:w="1417" w:type="dxa"/>
            <w:gridSpan w:val="2"/>
            <w:tcBorders>
              <w:top w:val="nil"/>
              <w:left w:val="nil"/>
              <w:bottom w:val="nil"/>
              <w:right w:val="nil"/>
            </w:tcBorders>
            <w:shd w:val="clear" w:color="auto" w:fill="auto"/>
          </w:tcPr>
          <w:p w14:paraId="1CD7F70B" w14:textId="10D633F5"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7.4E+02</w:t>
            </w:r>
          </w:p>
        </w:tc>
        <w:tc>
          <w:tcPr>
            <w:tcW w:w="1134" w:type="dxa"/>
          </w:tcPr>
          <w:p w14:paraId="242D23AF"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0.0011</w:t>
            </w:r>
          </w:p>
        </w:tc>
        <w:tc>
          <w:tcPr>
            <w:tcW w:w="1134" w:type="dxa"/>
          </w:tcPr>
          <w:p w14:paraId="4949C470" w14:textId="5ED158C0" w:rsidR="00F50E00" w:rsidRPr="005368C0" w:rsidRDefault="005368C0" w:rsidP="005368C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903</w:t>
            </w:r>
          </w:p>
        </w:tc>
      </w:tr>
      <w:tr w:rsidR="00F50E00" w14:paraId="54FEACE4" w14:textId="2E01DB79" w:rsidTr="005368C0">
        <w:trPr>
          <w:trHeight w:val="290"/>
        </w:trPr>
        <w:tc>
          <w:tcPr>
            <w:tcW w:w="1003" w:type="dxa"/>
          </w:tcPr>
          <w:p w14:paraId="1A73ECAF"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p>
        </w:tc>
        <w:tc>
          <w:tcPr>
            <w:tcW w:w="1149" w:type="dxa"/>
          </w:tcPr>
          <w:p w14:paraId="6C4BC31F"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5000</w:t>
            </w:r>
          </w:p>
        </w:tc>
        <w:tc>
          <w:tcPr>
            <w:tcW w:w="992" w:type="dxa"/>
            <w:gridSpan w:val="2"/>
          </w:tcPr>
          <w:p w14:paraId="31897C64" w14:textId="1EC1F8D2"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8000</w:t>
            </w:r>
            <w:r w:rsidR="00342F01" w:rsidRPr="005368C0">
              <w:rPr>
                <w:rFonts w:ascii="Calibri" w:hAnsi="Calibri" w:cs="Calibri"/>
                <w:color w:val="000000"/>
                <w:sz w:val="18"/>
                <w:szCs w:val="18"/>
                <w:lang w:val="en-AU"/>
              </w:rPr>
              <w:t>0</w:t>
            </w:r>
          </w:p>
        </w:tc>
        <w:tc>
          <w:tcPr>
            <w:tcW w:w="1276" w:type="dxa"/>
            <w:tcBorders>
              <w:top w:val="nil"/>
              <w:left w:val="nil"/>
              <w:bottom w:val="nil"/>
              <w:right w:val="nil"/>
            </w:tcBorders>
            <w:shd w:val="clear" w:color="auto" w:fill="auto"/>
          </w:tcPr>
          <w:p w14:paraId="0275D330" w14:textId="38645DD0"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2.7E+08</w:t>
            </w:r>
          </w:p>
        </w:tc>
        <w:tc>
          <w:tcPr>
            <w:tcW w:w="1417" w:type="dxa"/>
            <w:gridSpan w:val="2"/>
            <w:tcBorders>
              <w:top w:val="nil"/>
              <w:left w:val="nil"/>
              <w:bottom w:val="nil"/>
              <w:right w:val="nil"/>
            </w:tcBorders>
            <w:shd w:val="clear" w:color="auto" w:fill="auto"/>
          </w:tcPr>
          <w:p w14:paraId="7D337728" w14:textId="61D3AE65"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7.3E+05</w:t>
            </w:r>
          </w:p>
        </w:tc>
        <w:tc>
          <w:tcPr>
            <w:tcW w:w="1134" w:type="dxa"/>
          </w:tcPr>
          <w:p w14:paraId="3A6F2582"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0.0011</w:t>
            </w:r>
          </w:p>
        </w:tc>
        <w:tc>
          <w:tcPr>
            <w:tcW w:w="1134" w:type="dxa"/>
          </w:tcPr>
          <w:p w14:paraId="184D822F" w14:textId="50B09C54" w:rsidR="00F50E00" w:rsidRPr="005368C0" w:rsidRDefault="005368C0" w:rsidP="005368C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903</w:t>
            </w:r>
          </w:p>
        </w:tc>
      </w:tr>
      <w:tr w:rsidR="00F50E00" w14:paraId="2EE2B5A4" w14:textId="7087F4A7" w:rsidTr="005368C0">
        <w:trPr>
          <w:trHeight w:val="290"/>
        </w:trPr>
        <w:tc>
          <w:tcPr>
            <w:tcW w:w="1003" w:type="dxa"/>
          </w:tcPr>
          <w:p w14:paraId="493B774D" w14:textId="172673FA"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Arsenic</w:t>
            </w:r>
          </w:p>
        </w:tc>
        <w:tc>
          <w:tcPr>
            <w:tcW w:w="1149" w:type="dxa"/>
          </w:tcPr>
          <w:p w14:paraId="095CA1F6"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2.9</w:t>
            </w:r>
          </w:p>
        </w:tc>
        <w:tc>
          <w:tcPr>
            <w:tcW w:w="992" w:type="dxa"/>
            <w:gridSpan w:val="2"/>
          </w:tcPr>
          <w:p w14:paraId="41BE1DCE" w14:textId="370B8264"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47</w:t>
            </w:r>
          </w:p>
        </w:tc>
        <w:tc>
          <w:tcPr>
            <w:tcW w:w="1276" w:type="dxa"/>
            <w:tcBorders>
              <w:top w:val="nil"/>
              <w:left w:val="nil"/>
              <w:bottom w:val="nil"/>
              <w:right w:val="nil"/>
            </w:tcBorders>
            <w:shd w:val="clear" w:color="auto" w:fill="auto"/>
          </w:tcPr>
          <w:p w14:paraId="358A2D98" w14:textId="0ED44888"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1.6E+05</w:t>
            </w:r>
          </w:p>
        </w:tc>
        <w:tc>
          <w:tcPr>
            <w:tcW w:w="1417" w:type="dxa"/>
            <w:gridSpan w:val="2"/>
            <w:tcBorders>
              <w:top w:val="nil"/>
              <w:left w:val="nil"/>
              <w:bottom w:val="nil"/>
              <w:right w:val="nil"/>
            </w:tcBorders>
            <w:shd w:val="clear" w:color="auto" w:fill="auto"/>
          </w:tcPr>
          <w:p w14:paraId="1103FE2F" w14:textId="518E7963"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4.3E+02</w:t>
            </w:r>
          </w:p>
        </w:tc>
        <w:tc>
          <w:tcPr>
            <w:tcW w:w="1134" w:type="dxa"/>
          </w:tcPr>
          <w:p w14:paraId="613AFC02"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0.0011</w:t>
            </w:r>
          </w:p>
        </w:tc>
        <w:tc>
          <w:tcPr>
            <w:tcW w:w="1134" w:type="dxa"/>
          </w:tcPr>
          <w:p w14:paraId="2AC1919F" w14:textId="5A16D484" w:rsidR="00F50E00" w:rsidRPr="005368C0" w:rsidRDefault="005368C0" w:rsidP="005368C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903</w:t>
            </w:r>
          </w:p>
        </w:tc>
      </w:tr>
      <w:tr w:rsidR="00F50E00" w14:paraId="2EA64426" w14:textId="5EFC4A6A" w:rsidTr="005368C0">
        <w:trPr>
          <w:trHeight w:val="290"/>
        </w:trPr>
        <w:tc>
          <w:tcPr>
            <w:tcW w:w="1003" w:type="dxa"/>
          </w:tcPr>
          <w:p w14:paraId="4A5F110C" w14:textId="77777777" w:rsidR="00F50E00" w:rsidRPr="005368C0" w:rsidRDefault="00F50E00" w:rsidP="00F50E00">
            <w:pPr>
              <w:autoSpaceDE w:val="0"/>
              <w:autoSpaceDN w:val="0"/>
              <w:adjustRightInd w:val="0"/>
              <w:spacing w:after="0"/>
              <w:jc w:val="right"/>
              <w:rPr>
                <w:rFonts w:ascii="Calibri" w:hAnsi="Calibri" w:cs="Calibri"/>
                <w:color w:val="000000"/>
                <w:sz w:val="18"/>
                <w:szCs w:val="18"/>
                <w:lang w:val="en-AU"/>
              </w:rPr>
            </w:pPr>
          </w:p>
        </w:tc>
        <w:tc>
          <w:tcPr>
            <w:tcW w:w="1149" w:type="dxa"/>
          </w:tcPr>
          <w:p w14:paraId="3C1DC33D"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17.3</w:t>
            </w:r>
          </w:p>
        </w:tc>
        <w:tc>
          <w:tcPr>
            <w:tcW w:w="992" w:type="dxa"/>
            <w:gridSpan w:val="2"/>
          </w:tcPr>
          <w:p w14:paraId="5CD7D8BF" w14:textId="474DFD74"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278</w:t>
            </w:r>
          </w:p>
        </w:tc>
        <w:tc>
          <w:tcPr>
            <w:tcW w:w="1276" w:type="dxa"/>
            <w:tcBorders>
              <w:top w:val="nil"/>
              <w:left w:val="nil"/>
              <w:bottom w:val="single" w:sz="4" w:space="0" w:color="auto"/>
              <w:right w:val="nil"/>
            </w:tcBorders>
            <w:shd w:val="clear" w:color="auto" w:fill="auto"/>
          </w:tcPr>
          <w:p w14:paraId="5FA2EC34" w14:textId="3144EFA0"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9.3E+05</w:t>
            </w:r>
          </w:p>
        </w:tc>
        <w:tc>
          <w:tcPr>
            <w:tcW w:w="1417" w:type="dxa"/>
            <w:gridSpan w:val="2"/>
            <w:tcBorders>
              <w:top w:val="nil"/>
              <w:left w:val="nil"/>
              <w:bottom w:val="single" w:sz="4" w:space="0" w:color="auto"/>
              <w:right w:val="nil"/>
            </w:tcBorders>
            <w:shd w:val="clear" w:color="auto" w:fill="auto"/>
          </w:tcPr>
          <w:p w14:paraId="084C7869" w14:textId="3CA99A3A"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2.5E+03</w:t>
            </w:r>
          </w:p>
        </w:tc>
        <w:tc>
          <w:tcPr>
            <w:tcW w:w="1134" w:type="dxa"/>
          </w:tcPr>
          <w:p w14:paraId="78B40EBC" w14:textId="77777777" w:rsidR="00F50E00" w:rsidRPr="005368C0" w:rsidRDefault="00F50E00" w:rsidP="005368C0">
            <w:pPr>
              <w:autoSpaceDE w:val="0"/>
              <w:autoSpaceDN w:val="0"/>
              <w:adjustRightInd w:val="0"/>
              <w:spacing w:after="0"/>
              <w:jc w:val="center"/>
              <w:rPr>
                <w:rFonts w:ascii="Calibri" w:hAnsi="Calibri" w:cs="Calibri"/>
                <w:color w:val="000000"/>
                <w:sz w:val="18"/>
                <w:szCs w:val="18"/>
                <w:lang w:val="en-AU"/>
              </w:rPr>
            </w:pPr>
            <w:r w:rsidRPr="005368C0">
              <w:rPr>
                <w:rFonts w:ascii="Calibri" w:hAnsi="Calibri" w:cs="Calibri"/>
                <w:color w:val="000000"/>
                <w:sz w:val="18"/>
                <w:szCs w:val="18"/>
                <w:lang w:val="en-AU"/>
              </w:rPr>
              <w:t>0.0011</w:t>
            </w:r>
          </w:p>
        </w:tc>
        <w:tc>
          <w:tcPr>
            <w:tcW w:w="1134" w:type="dxa"/>
          </w:tcPr>
          <w:p w14:paraId="0FBFB38E" w14:textId="12CBF25B" w:rsidR="00F50E00" w:rsidRPr="005368C0" w:rsidRDefault="005368C0" w:rsidP="005368C0">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903</w:t>
            </w:r>
          </w:p>
        </w:tc>
      </w:tr>
    </w:tbl>
    <w:p w14:paraId="6BCC6B43" w14:textId="77777777" w:rsidR="00D10D81" w:rsidRDefault="00D10D81" w:rsidP="001E3301">
      <w:pPr>
        <w:pStyle w:val="Body"/>
      </w:pPr>
    </w:p>
    <w:p w14:paraId="3F530B71" w14:textId="5F7C9B44" w:rsidR="00770FBF" w:rsidRDefault="00770FBF" w:rsidP="001E3301">
      <w:pPr>
        <w:pStyle w:val="Body"/>
      </w:pPr>
      <w:r>
        <w:t>For receptor distances of 1</w:t>
      </w:r>
      <w:r w:rsidR="00BD7856">
        <w:t>,</w:t>
      </w:r>
      <w:r>
        <w:t>400 and 3</w:t>
      </w:r>
      <w:r w:rsidR="00BD7856">
        <w:t>,</w:t>
      </w:r>
      <w:r>
        <w:t xml:space="preserve">500 m characteristics of the solute breakthrough at receptor are summarised in </w:t>
      </w:r>
      <w:r>
        <w:fldChar w:fldCharType="begin" w:fldLock="1"/>
      </w:r>
      <w:r>
        <w:instrText xml:space="preserve"> REF _Ref467675278 \h </w:instrText>
      </w:r>
      <w:r>
        <w:fldChar w:fldCharType="separate"/>
      </w:r>
      <w:r w:rsidR="00335E79">
        <w:t xml:space="preserve">Table </w:t>
      </w:r>
      <w:r w:rsidR="00335E79">
        <w:rPr>
          <w:noProof/>
        </w:rPr>
        <w:t>5</w:t>
      </w:r>
      <w:r w:rsidR="00335E79">
        <w:noBreakHyphen/>
      </w:r>
      <w:r w:rsidR="00335E79">
        <w:rPr>
          <w:noProof/>
        </w:rPr>
        <w:t>20</w:t>
      </w:r>
      <w:r>
        <w:fldChar w:fldCharType="end"/>
      </w:r>
      <w:r>
        <w:t xml:space="preserve"> and </w:t>
      </w:r>
      <w:r>
        <w:fldChar w:fldCharType="begin" w:fldLock="1"/>
      </w:r>
      <w:r>
        <w:instrText xml:space="preserve"> REF _Ref467675275 \h </w:instrText>
      </w:r>
      <w:r>
        <w:fldChar w:fldCharType="separate"/>
      </w:r>
      <w:r w:rsidR="00335E79">
        <w:t xml:space="preserve">Table </w:t>
      </w:r>
      <w:r w:rsidR="00335E79">
        <w:rPr>
          <w:noProof/>
        </w:rPr>
        <w:t>5</w:t>
      </w:r>
      <w:r w:rsidR="00335E79">
        <w:noBreakHyphen/>
      </w:r>
      <w:r w:rsidR="00335E79">
        <w:rPr>
          <w:noProof/>
        </w:rPr>
        <w:t>21</w:t>
      </w:r>
      <w:r>
        <w:fldChar w:fldCharType="end"/>
      </w:r>
      <w:r>
        <w:t xml:space="preserve">. DAF values have now increased to </w:t>
      </w:r>
      <w:r w:rsidR="005368C0">
        <w:t>4,</w:t>
      </w:r>
      <w:r w:rsidR="005368C0" w:rsidRPr="005368C0">
        <w:t>400</w:t>
      </w:r>
      <w:r w:rsidRPr="005368C0">
        <w:t xml:space="preserve"> and </w:t>
      </w:r>
      <w:r w:rsidR="005368C0" w:rsidRPr="005368C0">
        <w:t>16,7</w:t>
      </w:r>
      <w:r w:rsidR="00BD7856" w:rsidRPr="005368C0">
        <w:t>00</w:t>
      </w:r>
      <w:r>
        <w:t xml:space="preserve"> for receptor distances of 1</w:t>
      </w:r>
      <w:r w:rsidR="00BD7856">
        <w:t>,</w:t>
      </w:r>
      <w:r>
        <w:t>400 and 3</w:t>
      </w:r>
      <w:r w:rsidR="00BD7856">
        <w:t>,</w:t>
      </w:r>
      <w:r>
        <w:t>500 m, respectively. Furthermore, as a general rule, peak concentrations will appear at receptors</w:t>
      </w:r>
      <w:r w:rsidR="00F742D2">
        <w:t xml:space="preserve"> only after a very long travel time, mostly in excess of several hundred years (even when the lowest sorption parameters are considerd). The only exception is boron, whose peak concentration could potentially be observed at a 500 m receptor 51 years after injection. </w:t>
      </w:r>
    </w:p>
    <w:p w14:paraId="0F42A523" w14:textId="77777777" w:rsidR="00770FBF" w:rsidRDefault="00770FBF" w:rsidP="001E3301">
      <w:pPr>
        <w:pStyle w:val="Body"/>
      </w:pPr>
    </w:p>
    <w:p w14:paraId="73052D28" w14:textId="3B719A49" w:rsidR="00600B19" w:rsidRPr="00BE7B95" w:rsidRDefault="00600B19" w:rsidP="00600B19">
      <w:pPr>
        <w:pStyle w:val="Imagecaption"/>
        <w:keepNext/>
        <w:pBdr>
          <w:top w:val="none" w:sz="0" w:space="0" w:color="auto"/>
        </w:pBdr>
      </w:pPr>
      <w:bookmarkStart w:id="710" w:name="_Ref467675278"/>
      <w:bookmarkStart w:id="711" w:name="_Toc494444748"/>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20</w:t>
      </w:r>
      <w:r w:rsidR="00470577">
        <w:fldChar w:fldCharType="end"/>
      </w:r>
      <w:bookmarkEnd w:id="710"/>
      <w:r>
        <w:t xml:space="preserve"> Sorption parameters K</w:t>
      </w:r>
      <w:r w:rsidRPr="00D4086A">
        <w:rPr>
          <w:vertAlign w:val="subscript"/>
        </w:rPr>
        <w:t>d</w:t>
      </w:r>
      <w:r>
        <w:t xml:space="preserve"> and retardation factor </w:t>
      </w:r>
      <w:r w:rsidR="007B3DC4" w:rsidRPr="00E6110F">
        <w:t>R</w:t>
      </w:r>
      <w:r w:rsidR="007B3DC4" w:rsidRPr="007B3DC4">
        <w:rPr>
          <w:i w:val="0"/>
          <w:vertAlign w:val="subscript"/>
        </w:rPr>
        <w:t>f</w:t>
      </w:r>
      <w:r>
        <w:t>, travel time from source to receptor (T</w:t>
      </w:r>
      <w:r w:rsidRPr="00902AD9">
        <w:rPr>
          <w:vertAlign w:val="subscript"/>
        </w:rPr>
        <w:t>max</w:t>
      </w:r>
      <w:r>
        <w:t>), calculated maximum concentration (C</w:t>
      </w:r>
      <w:r w:rsidRPr="009D77BC">
        <w:rPr>
          <w:vertAlign w:val="subscript"/>
        </w:rPr>
        <w:t>max</w:t>
      </w:r>
      <w:r>
        <w:t>) and DAF at 1400 m downstream the solute source. Unit input concentration assumed.</w:t>
      </w:r>
      <w:r w:rsidR="003B5BB4">
        <w:t xml:space="preserve"> Attenuation due to sorption and dilution/dispersion</w:t>
      </w:r>
      <w:r w:rsidR="00045993">
        <w:t xml:space="preserve"> (1 ML injection volume)</w:t>
      </w:r>
      <w:r w:rsidR="003B5BB4">
        <w:t>.</w:t>
      </w:r>
      <w:bookmarkEnd w:id="711"/>
    </w:p>
    <w:tbl>
      <w:tblPr>
        <w:tblW w:w="0" w:type="auto"/>
        <w:tblInd w:w="-3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03"/>
        <w:gridCol w:w="1149"/>
        <w:gridCol w:w="283"/>
        <w:gridCol w:w="709"/>
        <w:gridCol w:w="1276"/>
        <w:gridCol w:w="141"/>
        <w:gridCol w:w="1276"/>
        <w:gridCol w:w="1134"/>
        <w:gridCol w:w="1134"/>
      </w:tblGrid>
      <w:tr w:rsidR="00600B19" w14:paraId="00BC42D7" w14:textId="77777777" w:rsidTr="00463627">
        <w:trPr>
          <w:trHeight w:val="290"/>
        </w:trPr>
        <w:tc>
          <w:tcPr>
            <w:tcW w:w="1003" w:type="dxa"/>
            <w:tcBorders>
              <w:top w:val="single" w:sz="4" w:space="0" w:color="auto"/>
              <w:bottom w:val="single" w:sz="4" w:space="0" w:color="auto"/>
            </w:tcBorders>
            <w:shd w:val="clear" w:color="auto" w:fill="F2F2F2" w:themeFill="background1" w:themeFillShade="F2"/>
          </w:tcPr>
          <w:p w14:paraId="28A24EE5" w14:textId="56E7AFD6" w:rsidR="00600B19" w:rsidRPr="00463627" w:rsidRDefault="00463627" w:rsidP="00463627">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Element</w:t>
            </w:r>
          </w:p>
        </w:tc>
        <w:tc>
          <w:tcPr>
            <w:tcW w:w="1432" w:type="dxa"/>
            <w:gridSpan w:val="2"/>
            <w:tcBorders>
              <w:top w:val="single" w:sz="4" w:space="0" w:color="auto"/>
              <w:bottom w:val="single" w:sz="4" w:space="0" w:color="auto"/>
            </w:tcBorders>
            <w:shd w:val="clear" w:color="auto" w:fill="F2F2F2" w:themeFill="background1" w:themeFillShade="F2"/>
          </w:tcPr>
          <w:p w14:paraId="75B9684D" w14:textId="77777777" w:rsidR="00600B19" w:rsidRPr="00463627" w:rsidRDefault="00600B19"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i/>
                <w:color w:val="000000"/>
                <w:sz w:val="18"/>
                <w:szCs w:val="18"/>
                <w:lang w:val="en-AU"/>
              </w:rPr>
              <w:t>K</w:t>
            </w:r>
            <w:r w:rsidRPr="00463627">
              <w:rPr>
                <w:rFonts w:ascii="Calibri" w:hAnsi="Calibri" w:cs="Calibri"/>
                <w:color w:val="000000"/>
                <w:sz w:val="18"/>
                <w:szCs w:val="18"/>
                <w:vertAlign w:val="subscript"/>
                <w:lang w:val="en-AU"/>
              </w:rPr>
              <w:t>d</w:t>
            </w:r>
            <w:r w:rsidRPr="00463627">
              <w:rPr>
                <w:rFonts w:ascii="Calibri" w:hAnsi="Calibri" w:cs="Calibri"/>
                <w:color w:val="000000"/>
                <w:sz w:val="18"/>
                <w:szCs w:val="18"/>
                <w:lang w:val="en-AU"/>
              </w:rPr>
              <w:t xml:space="preserve"> (L/kg)</w:t>
            </w:r>
          </w:p>
        </w:tc>
        <w:tc>
          <w:tcPr>
            <w:tcW w:w="709" w:type="dxa"/>
            <w:tcBorders>
              <w:top w:val="single" w:sz="4" w:space="0" w:color="auto"/>
              <w:bottom w:val="single" w:sz="4" w:space="0" w:color="auto"/>
            </w:tcBorders>
            <w:shd w:val="clear" w:color="auto" w:fill="F2F2F2" w:themeFill="background1" w:themeFillShade="F2"/>
          </w:tcPr>
          <w:p w14:paraId="64E34C41" w14:textId="78547EB1" w:rsidR="00600B19" w:rsidRPr="00463627" w:rsidRDefault="00600B19" w:rsidP="00463627">
            <w:pPr>
              <w:autoSpaceDE w:val="0"/>
              <w:autoSpaceDN w:val="0"/>
              <w:adjustRightInd w:val="0"/>
              <w:spacing w:after="0"/>
              <w:jc w:val="center"/>
              <w:rPr>
                <w:rFonts w:ascii="Calibri" w:hAnsi="Calibri" w:cs="Calibri"/>
                <w:i/>
                <w:color w:val="000000"/>
                <w:sz w:val="18"/>
                <w:szCs w:val="18"/>
                <w:lang w:val="en-AU"/>
              </w:rPr>
            </w:pPr>
            <w:r w:rsidRPr="00463627">
              <w:rPr>
                <w:rFonts w:ascii="Calibri" w:hAnsi="Calibri" w:cs="Calibri"/>
                <w:i/>
                <w:color w:val="000000"/>
                <w:sz w:val="18"/>
                <w:szCs w:val="18"/>
                <w:lang w:val="en-AU"/>
              </w:rPr>
              <w:t>R</w:t>
            </w:r>
            <w:r w:rsidR="007B3DC4" w:rsidRPr="007B3DC4">
              <w:rPr>
                <w:rFonts w:ascii="Calibri" w:hAnsi="Calibri" w:cs="Calibri"/>
                <w:i/>
                <w:color w:val="000000"/>
                <w:sz w:val="18"/>
                <w:szCs w:val="18"/>
                <w:vertAlign w:val="subscript"/>
                <w:lang w:val="en-AU"/>
              </w:rPr>
              <w:t>f</w:t>
            </w:r>
            <w:r w:rsidRPr="00463627">
              <w:rPr>
                <w:rFonts w:ascii="Calibri" w:hAnsi="Calibri" w:cs="Calibri"/>
                <w:color w:val="000000"/>
                <w:sz w:val="18"/>
                <w:szCs w:val="18"/>
                <w:lang w:val="en-AU"/>
              </w:rPr>
              <w:t xml:space="preserve"> (-)</w:t>
            </w:r>
          </w:p>
        </w:tc>
        <w:tc>
          <w:tcPr>
            <w:tcW w:w="1417" w:type="dxa"/>
            <w:gridSpan w:val="2"/>
            <w:tcBorders>
              <w:top w:val="single" w:sz="4" w:space="0" w:color="auto"/>
              <w:bottom w:val="single" w:sz="4" w:space="0" w:color="auto"/>
            </w:tcBorders>
            <w:shd w:val="clear" w:color="auto" w:fill="F2F2F2" w:themeFill="background1" w:themeFillShade="F2"/>
          </w:tcPr>
          <w:p w14:paraId="7EF1443C" w14:textId="77777777" w:rsidR="00600B19" w:rsidRPr="00463627" w:rsidRDefault="00600B19"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i/>
                <w:color w:val="000000"/>
                <w:sz w:val="18"/>
                <w:szCs w:val="18"/>
                <w:lang w:val="en-AU"/>
              </w:rPr>
              <w:t>T</w:t>
            </w:r>
            <w:r w:rsidRPr="00463627">
              <w:rPr>
                <w:rFonts w:ascii="Calibri" w:hAnsi="Calibri" w:cs="Calibri"/>
                <w:color w:val="000000"/>
                <w:sz w:val="18"/>
                <w:szCs w:val="18"/>
                <w:vertAlign w:val="subscript"/>
                <w:lang w:val="en-AU"/>
              </w:rPr>
              <w:t>max</w:t>
            </w:r>
            <w:r w:rsidRPr="00463627">
              <w:rPr>
                <w:rFonts w:ascii="Calibri" w:hAnsi="Calibri" w:cs="Calibri"/>
                <w:color w:val="000000"/>
                <w:sz w:val="18"/>
                <w:szCs w:val="18"/>
                <w:lang w:val="en-AU"/>
              </w:rPr>
              <w:t xml:space="preserve"> (days)</w:t>
            </w:r>
          </w:p>
        </w:tc>
        <w:tc>
          <w:tcPr>
            <w:tcW w:w="1276" w:type="dxa"/>
            <w:tcBorders>
              <w:top w:val="single" w:sz="4" w:space="0" w:color="auto"/>
              <w:bottom w:val="single" w:sz="4" w:space="0" w:color="auto"/>
            </w:tcBorders>
            <w:shd w:val="clear" w:color="auto" w:fill="F2F2F2" w:themeFill="background1" w:themeFillShade="F2"/>
          </w:tcPr>
          <w:p w14:paraId="08D39DD9" w14:textId="77777777" w:rsidR="00600B19" w:rsidRPr="00463627" w:rsidRDefault="00600B19"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i/>
                <w:color w:val="000000"/>
                <w:sz w:val="18"/>
                <w:szCs w:val="18"/>
                <w:lang w:val="en-AU"/>
              </w:rPr>
              <w:t>T</w:t>
            </w:r>
            <w:r w:rsidRPr="00463627">
              <w:rPr>
                <w:rFonts w:ascii="Calibri" w:hAnsi="Calibri" w:cs="Calibri"/>
                <w:color w:val="000000"/>
                <w:sz w:val="18"/>
                <w:szCs w:val="18"/>
                <w:vertAlign w:val="subscript"/>
                <w:lang w:val="en-AU"/>
              </w:rPr>
              <w:t>max</w:t>
            </w:r>
            <w:r w:rsidRPr="00463627">
              <w:rPr>
                <w:rFonts w:ascii="Calibri" w:hAnsi="Calibri" w:cs="Calibri"/>
                <w:color w:val="000000"/>
                <w:sz w:val="18"/>
                <w:szCs w:val="18"/>
                <w:lang w:val="en-AU"/>
              </w:rPr>
              <w:t xml:space="preserve"> (years)</w:t>
            </w:r>
          </w:p>
        </w:tc>
        <w:tc>
          <w:tcPr>
            <w:tcW w:w="1134" w:type="dxa"/>
            <w:tcBorders>
              <w:top w:val="single" w:sz="4" w:space="0" w:color="auto"/>
              <w:bottom w:val="single" w:sz="4" w:space="0" w:color="auto"/>
            </w:tcBorders>
            <w:shd w:val="clear" w:color="auto" w:fill="F2F2F2" w:themeFill="background1" w:themeFillShade="F2"/>
          </w:tcPr>
          <w:p w14:paraId="395B3E9C" w14:textId="11518FE5" w:rsidR="00600B19" w:rsidRPr="00463627" w:rsidRDefault="00600B19"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i/>
                <w:color w:val="000000"/>
                <w:sz w:val="18"/>
                <w:szCs w:val="18"/>
                <w:lang w:val="en-AU"/>
              </w:rPr>
              <w:t>C</w:t>
            </w:r>
            <w:r w:rsidRPr="00463627">
              <w:rPr>
                <w:rFonts w:ascii="Calibri" w:hAnsi="Calibri" w:cs="Calibri"/>
                <w:color w:val="000000"/>
                <w:sz w:val="18"/>
                <w:szCs w:val="18"/>
                <w:vertAlign w:val="subscript"/>
                <w:lang w:val="en-AU"/>
              </w:rPr>
              <w:t xml:space="preserve">max </w:t>
            </w:r>
            <w:r w:rsidRPr="00463627">
              <w:rPr>
                <w:rFonts w:ascii="Calibri" w:hAnsi="Calibri" w:cs="Calibri"/>
                <w:color w:val="000000"/>
                <w:sz w:val="18"/>
                <w:szCs w:val="18"/>
                <w:lang w:val="en-AU"/>
              </w:rPr>
              <w:t>(-)</w:t>
            </w:r>
          </w:p>
        </w:tc>
        <w:tc>
          <w:tcPr>
            <w:tcW w:w="1134" w:type="dxa"/>
            <w:tcBorders>
              <w:top w:val="single" w:sz="4" w:space="0" w:color="auto"/>
              <w:bottom w:val="single" w:sz="4" w:space="0" w:color="auto"/>
            </w:tcBorders>
            <w:shd w:val="clear" w:color="auto" w:fill="F2F2F2" w:themeFill="background1" w:themeFillShade="F2"/>
          </w:tcPr>
          <w:p w14:paraId="7C7DCA06" w14:textId="77777777" w:rsidR="00600B19" w:rsidRPr="00463627" w:rsidRDefault="00600B19"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DAF</w:t>
            </w:r>
          </w:p>
        </w:tc>
      </w:tr>
      <w:tr w:rsidR="00F50E00" w14:paraId="525EAEEC" w14:textId="77777777" w:rsidTr="00463627">
        <w:trPr>
          <w:trHeight w:val="290"/>
        </w:trPr>
        <w:tc>
          <w:tcPr>
            <w:tcW w:w="1003" w:type="dxa"/>
            <w:tcBorders>
              <w:top w:val="single" w:sz="4" w:space="0" w:color="auto"/>
            </w:tcBorders>
          </w:tcPr>
          <w:p w14:paraId="515CF2EB" w14:textId="77777777" w:rsidR="00F50E00" w:rsidRPr="00463627" w:rsidRDefault="00F50E0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Barium</w:t>
            </w:r>
          </w:p>
        </w:tc>
        <w:tc>
          <w:tcPr>
            <w:tcW w:w="1149" w:type="dxa"/>
            <w:tcBorders>
              <w:top w:val="single" w:sz="4" w:space="0" w:color="auto"/>
            </w:tcBorders>
          </w:tcPr>
          <w:p w14:paraId="75DFFFC7" w14:textId="77777777" w:rsidR="00F50E00" w:rsidRPr="00463627" w:rsidRDefault="00F50E0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0.2</w:t>
            </w:r>
          </w:p>
        </w:tc>
        <w:tc>
          <w:tcPr>
            <w:tcW w:w="992" w:type="dxa"/>
            <w:gridSpan w:val="2"/>
            <w:tcBorders>
              <w:top w:val="single" w:sz="4" w:space="0" w:color="auto"/>
            </w:tcBorders>
          </w:tcPr>
          <w:p w14:paraId="2D647BDE" w14:textId="77777777" w:rsidR="00F50E00" w:rsidRPr="00463627" w:rsidRDefault="00F50E0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4.2</w:t>
            </w:r>
          </w:p>
        </w:tc>
        <w:tc>
          <w:tcPr>
            <w:tcW w:w="1276" w:type="dxa"/>
            <w:tcBorders>
              <w:top w:val="nil"/>
              <w:left w:val="nil"/>
              <w:bottom w:val="nil"/>
              <w:right w:val="nil"/>
            </w:tcBorders>
            <w:shd w:val="clear" w:color="auto" w:fill="auto"/>
          </w:tcPr>
          <w:p w14:paraId="02F0AFD2" w14:textId="30795FD8" w:rsidR="00F50E00" w:rsidRPr="00463627" w:rsidRDefault="00F50E0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5.3E+04</w:t>
            </w:r>
          </w:p>
        </w:tc>
        <w:tc>
          <w:tcPr>
            <w:tcW w:w="1417" w:type="dxa"/>
            <w:gridSpan w:val="2"/>
            <w:tcBorders>
              <w:top w:val="nil"/>
              <w:left w:val="nil"/>
              <w:bottom w:val="nil"/>
              <w:right w:val="nil"/>
            </w:tcBorders>
            <w:shd w:val="clear" w:color="auto" w:fill="auto"/>
          </w:tcPr>
          <w:p w14:paraId="6695B94B" w14:textId="3BF41AFE" w:rsidR="00F50E00" w:rsidRPr="00463627" w:rsidRDefault="00F50E0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1.4E+02</w:t>
            </w:r>
          </w:p>
        </w:tc>
        <w:tc>
          <w:tcPr>
            <w:tcW w:w="1134" w:type="dxa"/>
            <w:tcBorders>
              <w:top w:val="nil"/>
              <w:left w:val="nil"/>
              <w:bottom w:val="nil"/>
              <w:right w:val="nil"/>
            </w:tcBorders>
            <w:shd w:val="clear" w:color="auto" w:fill="auto"/>
          </w:tcPr>
          <w:p w14:paraId="18F26052" w14:textId="41F66F0B" w:rsidR="00F50E00" w:rsidRPr="00463627" w:rsidRDefault="00F50E0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0.000</w:t>
            </w:r>
            <w:r w:rsidR="005368C0" w:rsidRPr="00463627">
              <w:rPr>
                <w:rFonts w:ascii="Calibri" w:hAnsi="Calibri"/>
                <w:color w:val="000000"/>
                <w:sz w:val="18"/>
                <w:szCs w:val="18"/>
              </w:rPr>
              <w:t>23</w:t>
            </w:r>
          </w:p>
        </w:tc>
        <w:tc>
          <w:tcPr>
            <w:tcW w:w="1134" w:type="dxa"/>
            <w:tcBorders>
              <w:top w:val="single" w:sz="4" w:space="0" w:color="auto"/>
              <w:left w:val="nil"/>
              <w:bottom w:val="nil"/>
              <w:right w:val="single" w:sz="4" w:space="0" w:color="auto"/>
            </w:tcBorders>
            <w:shd w:val="clear" w:color="auto" w:fill="auto"/>
          </w:tcPr>
          <w:p w14:paraId="2565EDC0" w14:textId="15F28951" w:rsidR="00F50E0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4</w:t>
            </w:r>
            <w:r w:rsidR="00BD7856" w:rsidRPr="00463627">
              <w:rPr>
                <w:rFonts w:ascii="Calibri" w:hAnsi="Calibri"/>
                <w:color w:val="000000"/>
                <w:sz w:val="18"/>
                <w:szCs w:val="18"/>
              </w:rPr>
              <w:t>,</w:t>
            </w:r>
            <w:r w:rsidRPr="00463627">
              <w:rPr>
                <w:rFonts w:ascii="Calibri" w:hAnsi="Calibri"/>
                <w:color w:val="000000"/>
                <w:sz w:val="18"/>
                <w:szCs w:val="18"/>
              </w:rPr>
              <w:t>40</w:t>
            </w:r>
            <w:r w:rsidR="00F50E00" w:rsidRPr="00463627">
              <w:rPr>
                <w:rFonts w:ascii="Calibri" w:hAnsi="Calibri"/>
                <w:color w:val="000000"/>
                <w:sz w:val="18"/>
                <w:szCs w:val="18"/>
              </w:rPr>
              <w:t>0</w:t>
            </w:r>
          </w:p>
        </w:tc>
      </w:tr>
      <w:tr w:rsidR="005368C0" w14:paraId="7544012F" w14:textId="77777777" w:rsidTr="00463627">
        <w:trPr>
          <w:trHeight w:val="290"/>
        </w:trPr>
        <w:tc>
          <w:tcPr>
            <w:tcW w:w="1003" w:type="dxa"/>
          </w:tcPr>
          <w:p w14:paraId="15697B37"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p>
        </w:tc>
        <w:tc>
          <w:tcPr>
            <w:tcW w:w="1149" w:type="dxa"/>
          </w:tcPr>
          <w:p w14:paraId="0AA89A8A"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164</w:t>
            </w:r>
          </w:p>
        </w:tc>
        <w:tc>
          <w:tcPr>
            <w:tcW w:w="992" w:type="dxa"/>
            <w:gridSpan w:val="2"/>
          </w:tcPr>
          <w:p w14:paraId="013D6466" w14:textId="6A96EC66"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2,630</w:t>
            </w:r>
          </w:p>
        </w:tc>
        <w:tc>
          <w:tcPr>
            <w:tcW w:w="1276" w:type="dxa"/>
            <w:tcBorders>
              <w:top w:val="nil"/>
              <w:left w:val="nil"/>
              <w:bottom w:val="nil"/>
              <w:right w:val="nil"/>
            </w:tcBorders>
            <w:shd w:val="clear" w:color="auto" w:fill="auto"/>
          </w:tcPr>
          <w:p w14:paraId="2B413C60" w14:textId="3B20D677"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3.3E+07</w:t>
            </w:r>
          </w:p>
        </w:tc>
        <w:tc>
          <w:tcPr>
            <w:tcW w:w="1417" w:type="dxa"/>
            <w:gridSpan w:val="2"/>
            <w:tcBorders>
              <w:top w:val="nil"/>
              <w:left w:val="nil"/>
              <w:bottom w:val="nil"/>
              <w:right w:val="nil"/>
            </w:tcBorders>
            <w:shd w:val="clear" w:color="auto" w:fill="auto"/>
          </w:tcPr>
          <w:p w14:paraId="00B605DF" w14:textId="59200FC3"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9.0E+04</w:t>
            </w:r>
          </w:p>
        </w:tc>
        <w:tc>
          <w:tcPr>
            <w:tcW w:w="1134" w:type="dxa"/>
            <w:tcBorders>
              <w:top w:val="nil"/>
              <w:left w:val="nil"/>
              <w:bottom w:val="nil"/>
              <w:right w:val="nil"/>
            </w:tcBorders>
            <w:shd w:val="clear" w:color="auto" w:fill="auto"/>
          </w:tcPr>
          <w:p w14:paraId="620BF691" w14:textId="1E5D28A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0.00023</w:t>
            </w:r>
          </w:p>
        </w:tc>
        <w:tc>
          <w:tcPr>
            <w:tcW w:w="1134" w:type="dxa"/>
            <w:tcBorders>
              <w:top w:val="nil"/>
              <w:left w:val="nil"/>
              <w:bottom w:val="nil"/>
              <w:right w:val="single" w:sz="4" w:space="0" w:color="auto"/>
            </w:tcBorders>
            <w:shd w:val="clear" w:color="auto" w:fill="auto"/>
          </w:tcPr>
          <w:p w14:paraId="7FFF03DC" w14:textId="3DCD5AB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4,400</w:t>
            </w:r>
          </w:p>
        </w:tc>
      </w:tr>
      <w:tr w:rsidR="005368C0" w14:paraId="4F60BE3B" w14:textId="77777777" w:rsidTr="00463627">
        <w:trPr>
          <w:trHeight w:val="290"/>
        </w:trPr>
        <w:tc>
          <w:tcPr>
            <w:tcW w:w="1003" w:type="dxa"/>
          </w:tcPr>
          <w:p w14:paraId="4CEE686D"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Boron</w:t>
            </w:r>
          </w:p>
        </w:tc>
        <w:tc>
          <w:tcPr>
            <w:tcW w:w="1149" w:type="dxa"/>
          </w:tcPr>
          <w:p w14:paraId="7128FD47"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0.03</w:t>
            </w:r>
          </w:p>
        </w:tc>
        <w:tc>
          <w:tcPr>
            <w:tcW w:w="992" w:type="dxa"/>
            <w:gridSpan w:val="2"/>
          </w:tcPr>
          <w:p w14:paraId="4C898B45"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1.48</w:t>
            </w:r>
          </w:p>
        </w:tc>
        <w:tc>
          <w:tcPr>
            <w:tcW w:w="1276" w:type="dxa"/>
            <w:tcBorders>
              <w:top w:val="nil"/>
              <w:left w:val="nil"/>
              <w:bottom w:val="nil"/>
              <w:right w:val="nil"/>
            </w:tcBorders>
            <w:shd w:val="clear" w:color="auto" w:fill="auto"/>
          </w:tcPr>
          <w:p w14:paraId="53B0C748" w14:textId="3E097EC9"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1.9E+04</w:t>
            </w:r>
          </w:p>
        </w:tc>
        <w:tc>
          <w:tcPr>
            <w:tcW w:w="1417" w:type="dxa"/>
            <w:gridSpan w:val="2"/>
            <w:tcBorders>
              <w:top w:val="nil"/>
              <w:left w:val="nil"/>
              <w:bottom w:val="nil"/>
              <w:right w:val="nil"/>
            </w:tcBorders>
            <w:shd w:val="clear" w:color="auto" w:fill="auto"/>
          </w:tcPr>
          <w:p w14:paraId="3FDA009B" w14:textId="0D51C1C9"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5.1E+01</w:t>
            </w:r>
          </w:p>
        </w:tc>
        <w:tc>
          <w:tcPr>
            <w:tcW w:w="1134" w:type="dxa"/>
            <w:tcBorders>
              <w:top w:val="nil"/>
              <w:left w:val="nil"/>
              <w:bottom w:val="nil"/>
              <w:right w:val="nil"/>
            </w:tcBorders>
            <w:shd w:val="clear" w:color="auto" w:fill="auto"/>
          </w:tcPr>
          <w:p w14:paraId="2955FFEB" w14:textId="06CD3A1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0.00023</w:t>
            </w:r>
          </w:p>
        </w:tc>
        <w:tc>
          <w:tcPr>
            <w:tcW w:w="1134" w:type="dxa"/>
            <w:tcBorders>
              <w:top w:val="nil"/>
              <w:left w:val="nil"/>
              <w:bottom w:val="nil"/>
              <w:right w:val="single" w:sz="4" w:space="0" w:color="auto"/>
            </w:tcBorders>
            <w:shd w:val="clear" w:color="auto" w:fill="auto"/>
          </w:tcPr>
          <w:p w14:paraId="6347AA65" w14:textId="38063368"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4,400</w:t>
            </w:r>
          </w:p>
        </w:tc>
      </w:tr>
      <w:tr w:rsidR="005368C0" w14:paraId="4E79C0C3" w14:textId="77777777" w:rsidTr="00463627">
        <w:trPr>
          <w:trHeight w:val="290"/>
        </w:trPr>
        <w:tc>
          <w:tcPr>
            <w:tcW w:w="1003" w:type="dxa"/>
          </w:tcPr>
          <w:p w14:paraId="4D6EB998"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p>
        </w:tc>
        <w:tc>
          <w:tcPr>
            <w:tcW w:w="1149" w:type="dxa"/>
          </w:tcPr>
          <w:p w14:paraId="2BD2E618"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0.22</w:t>
            </w:r>
          </w:p>
        </w:tc>
        <w:tc>
          <w:tcPr>
            <w:tcW w:w="992" w:type="dxa"/>
            <w:gridSpan w:val="2"/>
          </w:tcPr>
          <w:p w14:paraId="54D1F372"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4.52</w:t>
            </w:r>
          </w:p>
        </w:tc>
        <w:tc>
          <w:tcPr>
            <w:tcW w:w="1276" w:type="dxa"/>
            <w:tcBorders>
              <w:top w:val="nil"/>
              <w:left w:val="nil"/>
              <w:bottom w:val="nil"/>
              <w:right w:val="nil"/>
            </w:tcBorders>
            <w:shd w:val="clear" w:color="auto" w:fill="auto"/>
          </w:tcPr>
          <w:p w14:paraId="15753642" w14:textId="1483EA8E"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5.7E+04</w:t>
            </w:r>
          </w:p>
        </w:tc>
        <w:tc>
          <w:tcPr>
            <w:tcW w:w="1417" w:type="dxa"/>
            <w:gridSpan w:val="2"/>
            <w:tcBorders>
              <w:top w:val="nil"/>
              <w:left w:val="nil"/>
              <w:bottom w:val="nil"/>
              <w:right w:val="nil"/>
            </w:tcBorders>
            <w:shd w:val="clear" w:color="auto" w:fill="auto"/>
          </w:tcPr>
          <w:p w14:paraId="4CAF2D49" w14:textId="23C9F559"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1.5E+02</w:t>
            </w:r>
          </w:p>
        </w:tc>
        <w:tc>
          <w:tcPr>
            <w:tcW w:w="1134" w:type="dxa"/>
            <w:tcBorders>
              <w:top w:val="nil"/>
              <w:left w:val="nil"/>
              <w:bottom w:val="nil"/>
              <w:right w:val="nil"/>
            </w:tcBorders>
            <w:shd w:val="clear" w:color="auto" w:fill="auto"/>
          </w:tcPr>
          <w:p w14:paraId="776922E8" w14:textId="7923198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0.00023</w:t>
            </w:r>
          </w:p>
        </w:tc>
        <w:tc>
          <w:tcPr>
            <w:tcW w:w="1134" w:type="dxa"/>
            <w:tcBorders>
              <w:top w:val="nil"/>
              <w:left w:val="nil"/>
              <w:bottom w:val="nil"/>
              <w:right w:val="single" w:sz="4" w:space="0" w:color="auto"/>
            </w:tcBorders>
            <w:shd w:val="clear" w:color="auto" w:fill="auto"/>
          </w:tcPr>
          <w:p w14:paraId="176D12DF" w14:textId="47B7C31E"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4,400</w:t>
            </w:r>
          </w:p>
        </w:tc>
      </w:tr>
      <w:tr w:rsidR="005368C0" w14:paraId="7ABF0988" w14:textId="77777777" w:rsidTr="00463627">
        <w:trPr>
          <w:trHeight w:val="290"/>
        </w:trPr>
        <w:tc>
          <w:tcPr>
            <w:tcW w:w="1003" w:type="dxa"/>
          </w:tcPr>
          <w:p w14:paraId="2FE4EB2F"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Uranium</w:t>
            </w:r>
          </w:p>
        </w:tc>
        <w:tc>
          <w:tcPr>
            <w:tcW w:w="1149" w:type="dxa"/>
          </w:tcPr>
          <w:p w14:paraId="7C1F2497"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5</w:t>
            </w:r>
          </w:p>
        </w:tc>
        <w:tc>
          <w:tcPr>
            <w:tcW w:w="992" w:type="dxa"/>
            <w:gridSpan w:val="2"/>
          </w:tcPr>
          <w:p w14:paraId="51CBAFBD"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81</w:t>
            </w:r>
          </w:p>
        </w:tc>
        <w:tc>
          <w:tcPr>
            <w:tcW w:w="1276" w:type="dxa"/>
            <w:tcBorders>
              <w:top w:val="nil"/>
              <w:left w:val="nil"/>
              <w:bottom w:val="nil"/>
              <w:right w:val="nil"/>
            </w:tcBorders>
            <w:shd w:val="clear" w:color="auto" w:fill="auto"/>
          </w:tcPr>
          <w:p w14:paraId="0E21BB4E" w14:textId="15D60DCF"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1.0E+06</w:t>
            </w:r>
          </w:p>
        </w:tc>
        <w:tc>
          <w:tcPr>
            <w:tcW w:w="1417" w:type="dxa"/>
            <w:gridSpan w:val="2"/>
            <w:tcBorders>
              <w:top w:val="nil"/>
              <w:left w:val="nil"/>
              <w:bottom w:val="nil"/>
              <w:right w:val="nil"/>
            </w:tcBorders>
            <w:shd w:val="clear" w:color="auto" w:fill="auto"/>
          </w:tcPr>
          <w:p w14:paraId="3F1B6A6A" w14:textId="4FDC73B3"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2.8E+03</w:t>
            </w:r>
          </w:p>
        </w:tc>
        <w:tc>
          <w:tcPr>
            <w:tcW w:w="1134" w:type="dxa"/>
            <w:tcBorders>
              <w:top w:val="nil"/>
              <w:left w:val="nil"/>
              <w:bottom w:val="nil"/>
              <w:right w:val="nil"/>
            </w:tcBorders>
            <w:shd w:val="clear" w:color="auto" w:fill="auto"/>
          </w:tcPr>
          <w:p w14:paraId="19CE3E80" w14:textId="0FD7AAB1"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0.00023</w:t>
            </w:r>
          </w:p>
        </w:tc>
        <w:tc>
          <w:tcPr>
            <w:tcW w:w="1134" w:type="dxa"/>
            <w:tcBorders>
              <w:top w:val="nil"/>
              <w:left w:val="nil"/>
              <w:bottom w:val="nil"/>
              <w:right w:val="single" w:sz="4" w:space="0" w:color="auto"/>
            </w:tcBorders>
            <w:shd w:val="clear" w:color="auto" w:fill="auto"/>
          </w:tcPr>
          <w:p w14:paraId="18406DBF" w14:textId="7C888306"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4,400</w:t>
            </w:r>
          </w:p>
        </w:tc>
      </w:tr>
      <w:tr w:rsidR="005368C0" w14:paraId="1FD18AAA" w14:textId="77777777" w:rsidTr="00463627">
        <w:trPr>
          <w:trHeight w:val="290"/>
        </w:trPr>
        <w:tc>
          <w:tcPr>
            <w:tcW w:w="1003" w:type="dxa"/>
          </w:tcPr>
          <w:p w14:paraId="0DDD9BBF"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p>
        </w:tc>
        <w:tc>
          <w:tcPr>
            <w:tcW w:w="1149" w:type="dxa"/>
          </w:tcPr>
          <w:p w14:paraId="09ACB340" w14:textId="02885DE3"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5,000</w:t>
            </w:r>
          </w:p>
        </w:tc>
        <w:tc>
          <w:tcPr>
            <w:tcW w:w="992" w:type="dxa"/>
            <w:gridSpan w:val="2"/>
          </w:tcPr>
          <w:p w14:paraId="41654EF4" w14:textId="3AF7FB98"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80,000</w:t>
            </w:r>
          </w:p>
        </w:tc>
        <w:tc>
          <w:tcPr>
            <w:tcW w:w="1276" w:type="dxa"/>
            <w:tcBorders>
              <w:top w:val="nil"/>
              <w:left w:val="nil"/>
              <w:bottom w:val="nil"/>
              <w:right w:val="nil"/>
            </w:tcBorders>
            <w:shd w:val="clear" w:color="auto" w:fill="auto"/>
          </w:tcPr>
          <w:p w14:paraId="6692C306" w14:textId="574F6807"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1.0E+09</w:t>
            </w:r>
          </w:p>
        </w:tc>
        <w:tc>
          <w:tcPr>
            <w:tcW w:w="1417" w:type="dxa"/>
            <w:gridSpan w:val="2"/>
            <w:tcBorders>
              <w:top w:val="nil"/>
              <w:left w:val="nil"/>
              <w:bottom w:val="nil"/>
              <w:right w:val="nil"/>
            </w:tcBorders>
            <w:shd w:val="clear" w:color="auto" w:fill="auto"/>
          </w:tcPr>
          <w:p w14:paraId="2750BBF6" w14:textId="1C56B1C2"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2.7E+06</w:t>
            </w:r>
          </w:p>
        </w:tc>
        <w:tc>
          <w:tcPr>
            <w:tcW w:w="1134" w:type="dxa"/>
            <w:tcBorders>
              <w:top w:val="nil"/>
              <w:left w:val="nil"/>
              <w:bottom w:val="nil"/>
              <w:right w:val="nil"/>
            </w:tcBorders>
            <w:shd w:val="clear" w:color="auto" w:fill="auto"/>
          </w:tcPr>
          <w:p w14:paraId="5F478CBB" w14:textId="4A942902"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0.00023</w:t>
            </w:r>
          </w:p>
        </w:tc>
        <w:tc>
          <w:tcPr>
            <w:tcW w:w="1134" w:type="dxa"/>
            <w:tcBorders>
              <w:top w:val="nil"/>
              <w:left w:val="nil"/>
              <w:bottom w:val="nil"/>
              <w:right w:val="single" w:sz="4" w:space="0" w:color="auto"/>
            </w:tcBorders>
            <w:shd w:val="clear" w:color="auto" w:fill="auto"/>
          </w:tcPr>
          <w:p w14:paraId="56EEBCE5" w14:textId="4CE9E212"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4,400</w:t>
            </w:r>
          </w:p>
        </w:tc>
      </w:tr>
      <w:tr w:rsidR="005368C0" w14:paraId="795CDFB0" w14:textId="77777777" w:rsidTr="00463627">
        <w:trPr>
          <w:trHeight w:val="290"/>
        </w:trPr>
        <w:tc>
          <w:tcPr>
            <w:tcW w:w="1003" w:type="dxa"/>
          </w:tcPr>
          <w:p w14:paraId="44C15DB2"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Arsenic</w:t>
            </w:r>
          </w:p>
        </w:tc>
        <w:tc>
          <w:tcPr>
            <w:tcW w:w="1149" w:type="dxa"/>
          </w:tcPr>
          <w:p w14:paraId="49344982"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2.9</w:t>
            </w:r>
          </w:p>
        </w:tc>
        <w:tc>
          <w:tcPr>
            <w:tcW w:w="992" w:type="dxa"/>
            <w:gridSpan w:val="2"/>
          </w:tcPr>
          <w:p w14:paraId="75F4E3E1"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47</w:t>
            </w:r>
          </w:p>
        </w:tc>
        <w:tc>
          <w:tcPr>
            <w:tcW w:w="1276" w:type="dxa"/>
            <w:tcBorders>
              <w:top w:val="nil"/>
              <w:left w:val="nil"/>
              <w:bottom w:val="nil"/>
              <w:right w:val="nil"/>
            </w:tcBorders>
            <w:shd w:val="clear" w:color="auto" w:fill="auto"/>
          </w:tcPr>
          <w:p w14:paraId="4ED71EE8" w14:textId="44EE1174"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5.9E+05</w:t>
            </w:r>
          </w:p>
        </w:tc>
        <w:tc>
          <w:tcPr>
            <w:tcW w:w="1417" w:type="dxa"/>
            <w:gridSpan w:val="2"/>
            <w:tcBorders>
              <w:top w:val="nil"/>
              <w:left w:val="nil"/>
              <w:bottom w:val="nil"/>
              <w:right w:val="nil"/>
            </w:tcBorders>
            <w:shd w:val="clear" w:color="auto" w:fill="auto"/>
          </w:tcPr>
          <w:p w14:paraId="2DC980FA" w14:textId="7C206EE5"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1.6E+03</w:t>
            </w:r>
          </w:p>
        </w:tc>
        <w:tc>
          <w:tcPr>
            <w:tcW w:w="1134" w:type="dxa"/>
            <w:tcBorders>
              <w:top w:val="nil"/>
              <w:left w:val="nil"/>
              <w:bottom w:val="nil"/>
              <w:right w:val="nil"/>
            </w:tcBorders>
            <w:shd w:val="clear" w:color="auto" w:fill="auto"/>
          </w:tcPr>
          <w:p w14:paraId="2665B05E" w14:textId="6885BE19"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0.00023</w:t>
            </w:r>
          </w:p>
        </w:tc>
        <w:tc>
          <w:tcPr>
            <w:tcW w:w="1134" w:type="dxa"/>
            <w:tcBorders>
              <w:top w:val="nil"/>
              <w:left w:val="nil"/>
              <w:bottom w:val="nil"/>
              <w:right w:val="single" w:sz="4" w:space="0" w:color="auto"/>
            </w:tcBorders>
            <w:shd w:val="clear" w:color="auto" w:fill="auto"/>
          </w:tcPr>
          <w:p w14:paraId="262BCCCF" w14:textId="6DB7B561"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4,400</w:t>
            </w:r>
          </w:p>
        </w:tc>
      </w:tr>
      <w:tr w:rsidR="005368C0" w14:paraId="271CDE76" w14:textId="77777777" w:rsidTr="00463627">
        <w:trPr>
          <w:trHeight w:val="290"/>
        </w:trPr>
        <w:tc>
          <w:tcPr>
            <w:tcW w:w="1003" w:type="dxa"/>
          </w:tcPr>
          <w:p w14:paraId="7AFE4F81" w14:textId="77777777" w:rsidR="005368C0" w:rsidRPr="00463627" w:rsidRDefault="005368C0" w:rsidP="005368C0">
            <w:pPr>
              <w:autoSpaceDE w:val="0"/>
              <w:autoSpaceDN w:val="0"/>
              <w:adjustRightInd w:val="0"/>
              <w:spacing w:after="0"/>
              <w:jc w:val="right"/>
              <w:rPr>
                <w:rFonts w:ascii="Calibri" w:hAnsi="Calibri" w:cs="Calibri"/>
                <w:color w:val="000000"/>
                <w:sz w:val="18"/>
                <w:szCs w:val="18"/>
                <w:lang w:val="en-AU"/>
              </w:rPr>
            </w:pPr>
          </w:p>
        </w:tc>
        <w:tc>
          <w:tcPr>
            <w:tcW w:w="1149" w:type="dxa"/>
          </w:tcPr>
          <w:p w14:paraId="093D0FB6"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17.3</w:t>
            </w:r>
          </w:p>
        </w:tc>
        <w:tc>
          <w:tcPr>
            <w:tcW w:w="992" w:type="dxa"/>
            <w:gridSpan w:val="2"/>
          </w:tcPr>
          <w:p w14:paraId="069078BC"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278</w:t>
            </w:r>
          </w:p>
        </w:tc>
        <w:tc>
          <w:tcPr>
            <w:tcW w:w="1276" w:type="dxa"/>
            <w:tcBorders>
              <w:top w:val="nil"/>
              <w:left w:val="nil"/>
              <w:bottom w:val="single" w:sz="4" w:space="0" w:color="auto"/>
              <w:right w:val="nil"/>
            </w:tcBorders>
            <w:shd w:val="clear" w:color="auto" w:fill="auto"/>
          </w:tcPr>
          <w:p w14:paraId="6F747FF0" w14:textId="034B4CA5"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3.5E+06</w:t>
            </w:r>
          </w:p>
        </w:tc>
        <w:tc>
          <w:tcPr>
            <w:tcW w:w="1417" w:type="dxa"/>
            <w:gridSpan w:val="2"/>
            <w:tcBorders>
              <w:top w:val="nil"/>
              <w:left w:val="nil"/>
              <w:bottom w:val="single" w:sz="4" w:space="0" w:color="auto"/>
              <w:right w:val="nil"/>
            </w:tcBorders>
            <w:shd w:val="clear" w:color="auto" w:fill="auto"/>
          </w:tcPr>
          <w:p w14:paraId="635D0A81" w14:textId="7AC7F662"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9.5E+03</w:t>
            </w:r>
          </w:p>
        </w:tc>
        <w:tc>
          <w:tcPr>
            <w:tcW w:w="1134" w:type="dxa"/>
            <w:tcBorders>
              <w:top w:val="nil"/>
              <w:left w:val="nil"/>
              <w:bottom w:val="single" w:sz="4" w:space="0" w:color="auto"/>
              <w:right w:val="nil"/>
            </w:tcBorders>
            <w:shd w:val="clear" w:color="auto" w:fill="auto"/>
          </w:tcPr>
          <w:p w14:paraId="0368DB7F" w14:textId="7A4E500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0.00023</w:t>
            </w:r>
          </w:p>
        </w:tc>
        <w:tc>
          <w:tcPr>
            <w:tcW w:w="1134" w:type="dxa"/>
            <w:tcBorders>
              <w:top w:val="nil"/>
              <w:left w:val="nil"/>
              <w:bottom w:val="single" w:sz="4" w:space="0" w:color="auto"/>
              <w:right w:val="single" w:sz="4" w:space="0" w:color="auto"/>
            </w:tcBorders>
            <w:shd w:val="clear" w:color="auto" w:fill="auto"/>
          </w:tcPr>
          <w:p w14:paraId="68B94870" w14:textId="59FC921C"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4,400</w:t>
            </w:r>
          </w:p>
        </w:tc>
      </w:tr>
    </w:tbl>
    <w:p w14:paraId="1FD842CA" w14:textId="77777777" w:rsidR="00600B19" w:rsidRDefault="00600B19" w:rsidP="00600B19">
      <w:pPr>
        <w:pStyle w:val="Body"/>
      </w:pPr>
    </w:p>
    <w:p w14:paraId="4686FE2C" w14:textId="496A9D86" w:rsidR="00600B19" w:rsidRPr="00BE7B95" w:rsidRDefault="00600B19" w:rsidP="00600B19">
      <w:pPr>
        <w:pStyle w:val="Imagecaption"/>
        <w:keepNext/>
        <w:pBdr>
          <w:top w:val="none" w:sz="0" w:space="0" w:color="auto"/>
        </w:pBdr>
      </w:pPr>
      <w:bookmarkStart w:id="712" w:name="_Ref467675275"/>
      <w:bookmarkStart w:id="713" w:name="_Toc494444749"/>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21</w:t>
      </w:r>
      <w:r w:rsidR="00470577">
        <w:fldChar w:fldCharType="end"/>
      </w:r>
      <w:bookmarkEnd w:id="712"/>
      <w:r>
        <w:t xml:space="preserve"> Sorption parameters K</w:t>
      </w:r>
      <w:r w:rsidRPr="00D4086A">
        <w:rPr>
          <w:vertAlign w:val="subscript"/>
        </w:rPr>
        <w:t>d</w:t>
      </w:r>
      <w:r>
        <w:t xml:space="preserve"> and retardation factor </w:t>
      </w:r>
      <w:r w:rsidR="007B3DC4" w:rsidRPr="00E6110F">
        <w:t>R</w:t>
      </w:r>
      <w:r w:rsidR="007B3DC4" w:rsidRPr="007B3DC4">
        <w:rPr>
          <w:i w:val="0"/>
          <w:vertAlign w:val="subscript"/>
        </w:rPr>
        <w:t>f</w:t>
      </w:r>
      <w:r>
        <w:t>, travel time from source to receptor (T</w:t>
      </w:r>
      <w:r w:rsidRPr="00902AD9">
        <w:rPr>
          <w:vertAlign w:val="subscript"/>
        </w:rPr>
        <w:t>max</w:t>
      </w:r>
      <w:r>
        <w:t>), calculated maximum concentration (C</w:t>
      </w:r>
      <w:r w:rsidRPr="009D77BC">
        <w:rPr>
          <w:vertAlign w:val="subscript"/>
        </w:rPr>
        <w:t>max</w:t>
      </w:r>
      <w:r>
        <w:t>) and DAF at 3</w:t>
      </w:r>
      <w:r w:rsidR="00BD7856">
        <w:t>,</w:t>
      </w:r>
      <w:r>
        <w:t>500 m downstream the solute source. Unit input concentration assumed.</w:t>
      </w:r>
      <w:r w:rsidR="003B5BB4">
        <w:t xml:space="preserve"> Attenuation due to sorption and dilution/dispersion</w:t>
      </w:r>
      <w:r w:rsidR="00045993">
        <w:t xml:space="preserve"> (1ML injection volume)</w:t>
      </w:r>
      <w:r w:rsidR="003B5BB4">
        <w:t>.</w:t>
      </w:r>
      <w:bookmarkEnd w:id="713"/>
    </w:p>
    <w:tbl>
      <w:tblPr>
        <w:tblW w:w="0" w:type="auto"/>
        <w:tblInd w:w="-3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03"/>
        <w:gridCol w:w="1149"/>
        <w:gridCol w:w="283"/>
        <w:gridCol w:w="709"/>
        <w:gridCol w:w="1276"/>
        <w:gridCol w:w="141"/>
        <w:gridCol w:w="1276"/>
        <w:gridCol w:w="1134"/>
        <w:gridCol w:w="1134"/>
      </w:tblGrid>
      <w:tr w:rsidR="00600B19" w14:paraId="171AAC42" w14:textId="77777777" w:rsidTr="00463627">
        <w:trPr>
          <w:trHeight w:val="290"/>
        </w:trPr>
        <w:tc>
          <w:tcPr>
            <w:tcW w:w="1003" w:type="dxa"/>
            <w:tcBorders>
              <w:top w:val="single" w:sz="4" w:space="0" w:color="auto"/>
              <w:bottom w:val="single" w:sz="4" w:space="0" w:color="auto"/>
            </w:tcBorders>
            <w:shd w:val="clear" w:color="auto" w:fill="F2F2F2" w:themeFill="background1" w:themeFillShade="F2"/>
          </w:tcPr>
          <w:p w14:paraId="43D1C011" w14:textId="211EB97F" w:rsidR="00600B19" w:rsidRPr="00463627" w:rsidRDefault="00463627" w:rsidP="00463627">
            <w:pPr>
              <w:autoSpaceDE w:val="0"/>
              <w:autoSpaceDN w:val="0"/>
              <w:adjustRightInd w:val="0"/>
              <w:spacing w:after="0"/>
              <w:jc w:val="center"/>
              <w:rPr>
                <w:rFonts w:ascii="Calibri" w:hAnsi="Calibri" w:cs="Calibri"/>
                <w:color w:val="000000"/>
                <w:sz w:val="18"/>
                <w:szCs w:val="18"/>
                <w:lang w:val="en-AU"/>
              </w:rPr>
            </w:pPr>
            <w:r>
              <w:rPr>
                <w:rFonts w:ascii="Calibri" w:hAnsi="Calibri" w:cs="Calibri"/>
                <w:color w:val="000000"/>
                <w:sz w:val="18"/>
                <w:szCs w:val="18"/>
                <w:lang w:val="en-AU"/>
              </w:rPr>
              <w:t>Element</w:t>
            </w:r>
          </w:p>
        </w:tc>
        <w:tc>
          <w:tcPr>
            <w:tcW w:w="1432" w:type="dxa"/>
            <w:gridSpan w:val="2"/>
            <w:tcBorders>
              <w:top w:val="single" w:sz="4" w:space="0" w:color="auto"/>
              <w:bottom w:val="single" w:sz="4" w:space="0" w:color="auto"/>
            </w:tcBorders>
            <w:shd w:val="clear" w:color="auto" w:fill="F2F2F2" w:themeFill="background1" w:themeFillShade="F2"/>
          </w:tcPr>
          <w:p w14:paraId="60C21D19" w14:textId="77777777" w:rsidR="00600B19" w:rsidRPr="00463627" w:rsidRDefault="00600B19"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i/>
                <w:color w:val="000000"/>
                <w:sz w:val="18"/>
                <w:szCs w:val="18"/>
                <w:lang w:val="en-AU"/>
              </w:rPr>
              <w:t>K</w:t>
            </w:r>
            <w:r w:rsidRPr="00463627">
              <w:rPr>
                <w:rFonts w:ascii="Calibri" w:hAnsi="Calibri" w:cs="Calibri"/>
                <w:color w:val="000000"/>
                <w:sz w:val="18"/>
                <w:szCs w:val="18"/>
                <w:vertAlign w:val="subscript"/>
                <w:lang w:val="en-AU"/>
              </w:rPr>
              <w:t>d</w:t>
            </w:r>
            <w:r w:rsidRPr="00463627">
              <w:rPr>
                <w:rFonts w:ascii="Calibri" w:hAnsi="Calibri" w:cs="Calibri"/>
                <w:color w:val="000000"/>
                <w:sz w:val="18"/>
                <w:szCs w:val="18"/>
                <w:lang w:val="en-AU"/>
              </w:rPr>
              <w:t xml:space="preserve"> (L/kg)</w:t>
            </w:r>
          </w:p>
        </w:tc>
        <w:tc>
          <w:tcPr>
            <w:tcW w:w="709" w:type="dxa"/>
            <w:tcBorders>
              <w:top w:val="single" w:sz="4" w:space="0" w:color="auto"/>
              <w:bottom w:val="single" w:sz="4" w:space="0" w:color="auto"/>
            </w:tcBorders>
            <w:shd w:val="clear" w:color="auto" w:fill="F2F2F2" w:themeFill="background1" w:themeFillShade="F2"/>
          </w:tcPr>
          <w:p w14:paraId="11E32885" w14:textId="405D4057" w:rsidR="00600B19" w:rsidRPr="00463627" w:rsidRDefault="007B3DC4" w:rsidP="00463627">
            <w:pPr>
              <w:autoSpaceDE w:val="0"/>
              <w:autoSpaceDN w:val="0"/>
              <w:adjustRightInd w:val="0"/>
              <w:spacing w:after="0"/>
              <w:jc w:val="center"/>
              <w:rPr>
                <w:rFonts w:ascii="Calibri" w:hAnsi="Calibri" w:cs="Calibri"/>
                <w:i/>
                <w:color w:val="000000"/>
                <w:sz w:val="18"/>
                <w:szCs w:val="18"/>
                <w:lang w:val="en-AU"/>
              </w:rPr>
            </w:pPr>
            <w:r w:rsidRPr="007B3DC4">
              <w:rPr>
                <w:rFonts w:asciiTheme="majorHAnsi" w:hAnsiTheme="majorHAnsi"/>
                <w:i/>
                <w:sz w:val="18"/>
                <w:szCs w:val="18"/>
              </w:rPr>
              <w:t>R</w:t>
            </w:r>
            <w:r w:rsidRPr="007B3DC4">
              <w:rPr>
                <w:rFonts w:asciiTheme="majorHAnsi" w:hAnsiTheme="majorHAnsi"/>
                <w:i/>
                <w:sz w:val="18"/>
                <w:szCs w:val="18"/>
                <w:vertAlign w:val="subscript"/>
              </w:rPr>
              <w:t>f</w:t>
            </w:r>
            <w:r w:rsidRPr="00463627">
              <w:rPr>
                <w:rFonts w:ascii="Calibri" w:hAnsi="Calibri" w:cs="Calibri"/>
                <w:color w:val="000000"/>
                <w:sz w:val="18"/>
                <w:szCs w:val="18"/>
                <w:lang w:val="en-AU"/>
              </w:rPr>
              <w:t xml:space="preserve"> </w:t>
            </w:r>
            <w:r w:rsidR="00600B19" w:rsidRPr="00463627">
              <w:rPr>
                <w:rFonts w:ascii="Calibri" w:hAnsi="Calibri" w:cs="Calibri"/>
                <w:color w:val="000000"/>
                <w:sz w:val="18"/>
                <w:szCs w:val="18"/>
                <w:lang w:val="en-AU"/>
              </w:rPr>
              <w:t>(-)</w:t>
            </w:r>
          </w:p>
        </w:tc>
        <w:tc>
          <w:tcPr>
            <w:tcW w:w="1417" w:type="dxa"/>
            <w:gridSpan w:val="2"/>
            <w:tcBorders>
              <w:top w:val="single" w:sz="4" w:space="0" w:color="auto"/>
              <w:bottom w:val="single" w:sz="4" w:space="0" w:color="auto"/>
            </w:tcBorders>
            <w:shd w:val="clear" w:color="auto" w:fill="F2F2F2" w:themeFill="background1" w:themeFillShade="F2"/>
          </w:tcPr>
          <w:p w14:paraId="52962106" w14:textId="77777777" w:rsidR="00600B19" w:rsidRPr="00463627" w:rsidRDefault="00600B19"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i/>
                <w:color w:val="000000"/>
                <w:sz w:val="18"/>
                <w:szCs w:val="18"/>
                <w:lang w:val="en-AU"/>
              </w:rPr>
              <w:t>T</w:t>
            </w:r>
            <w:r w:rsidRPr="00463627">
              <w:rPr>
                <w:rFonts w:ascii="Calibri" w:hAnsi="Calibri" w:cs="Calibri"/>
                <w:color w:val="000000"/>
                <w:sz w:val="18"/>
                <w:szCs w:val="18"/>
                <w:vertAlign w:val="subscript"/>
                <w:lang w:val="en-AU"/>
              </w:rPr>
              <w:t>max</w:t>
            </w:r>
            <w:r w:rsidRPr="00463627">
              <w:rPr>
                <w:rFonts w:ascii="Calibri" w:hAnsi="Calibri" w:cs="Calibri"/>
                <w:color w:val="000000"/>
                <w:sz w:val="18"/>
                <w:szCs w:val="18"/>
                <w:lang w:val="en-AU"/>
              </w:rPr>
              <w:t xml:space="preserve"> (days)</w:t>
            </w:r>
          </w:p>
        </w:tc>
        <w:tc>
          <w:tcPr>
            <w:tcW w:w="1276" w:type="dxa"/>
            <w:tcBorders>
              <w:top w:val="single" w:sz="4" w:space="0" w:color="auto"/>
              <w:bottom w:val="single" w:sz="4" w:space="0" w:color="auto"/>
            </w:tcBorders>
            <w:shd w:val="clear" w:color="auto" w:fill="F2F2F2" w:themeFill="background1" w:themeFillShade="F2"/>
          </w:tcPr>
          <w:p w14:paraId="647DD18C" w14:textId="77777777" w:rsidR="00600B19" w:rsidRPr="00463627" w:rsidRDefault="00600B19"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i/>
                <w:color w:val="000000"/>
                <w:sz w:val="18"/>
                <w:szCs w:val="18"/>
                <w:lang w:val="en-AU"/>
              </w:rPr>
              <w:t>T</w:t>
            </w:r>
            <w:r w:rsidRPr="00463627">
              <w:rPr>
                <w:rFonts w:ascii="Calibri" w:hAnsi="Calibri" w:cs="Calibri"/>
                <w:color w:val="000000"/>
                <w:sz w:val="18"/>
                <w:szCs w:val="18"/>
                <w:vertAlign w:val="subscript"/>
                <w:lang w:val="en-AU"/>
              </w:rPr>
              <w:t>max</w:t>
            </w:r>
            <w:r w:rsidRPr="00463627">
              <w:rPr>
                <w:rFonts w:ascii="Calibri" w:hAnsi="Calibri" w:cs="Calibri"/>
                <w:color w:val="000000"/>
                <w:sz w:val="18"/>
                <w:szCs w:val="18"/>
                <w:lang w:val="en-AU"/>
              </w:rPr>
              <w:t xml:space="preserve"> (years)</w:t>
            </w:r>
          </w:p>
        </w:tc>
        <w:tc>
          <w:tcPr>
            <w:tcW w:w="1134" w:type="dxa"/>
            <w:tcBorders>
              <w:top w:val="single" w:sz="4" w:space="0" w:color="auto"/>
              <w:bottom w:val="single" w:sz="4" w:space="0" w:color="auto"/>
            </w:tcBorders>
            <w:shd w:val="clear" w:color="auto" w:fill="F2F2F2" w:themeFill="background1" w:themeFillShade="F2"/>
          </w:tcPr>
          <w:p w14:paraId="49DCD70D" w14:textId="730D7C49" w:rsidR="00600B19" w:rsidRPr="00463627" w:rsidRDefault="00600B19"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i/>
                <w:color w:val="000000"/>
                <w:sz w:val="18"/>
                <w:szCs w:val="18"/>
                <w:lang w:val="en-AU"/>
              </w:rPr>
              <w:t>C</w:t>
            </w:r>
            <w:r w:rsidRPr="00463627">
              <w:rPr>
                <w:rFonts w:ascii="Calibri" w:hAnsi="Calibri" w:cs="Calibri"/>
                <w:color w:val="000000"/>
                <w:sz w:val="18"/>
                <w:szCs w:val="18"/>
                <w:vertAlign w:val="subscript"/>
                <w:lang w:val="en-AU"/>
              </w:rPr>
              <w:t xml:space="preserve">max </w:t>
            </w:r>
            <w:r w:rsidRPr="00463627">
              <w:rPr>
                <w:rFonts w:ascii="Calibri" w:hAnsi="Calibri" w:cs="Calibri"/>
                <w:color w:val="000000"/>
                <w:sz w:val="18"/>
                <w:szCs w:val="18"/>
                <w:lang w:val="en-AU"/>
              </w:rPr>
              <w:t>(-)</w:t>
            </w:r>
          </w:p>
        </w:tc>
        <w:tc>
          <w:tcPr>
            <w:tcW w:w="1134" w:type="dxa"/>
            <w:tcBorders>
              <w:top w:val="single" w:sz="4" w:space="0" w:color="auto"/>
              <w:bottom w:val="single" w:sz="4" w:space="0" w:color="auto"/>
            </w:tcBorders>
            <w:shd w:val="clear" w:color="auto" w:fill="F2F2F2" w:themeFill="background1" w:themeFillShade="F2"/>
          </w:tcPr>
          <w:p w14:paraId="3832FCD8" w14:textId="77777777" w:rsidR="00600B19" w:rsidRPr="00463627" w:rsidRDefault="00600B19"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DAF</w:t>
            </w:r>
          </w:p>
        </w:tc>
      </w:tr>
      <w:tr w:rsidR="00F50E00" w14:paraId="561E945F" w14:textId="77777777" w:rsidTr="00463627">
        <w:trPr>
          <w:trHeight w:val="290"/>
        </w:trPr>
        <w:tc>
          <w:tcPr>
            <w:tcW w:w="1003" w:type="dxa"/>
            <w:tcBorders>
              <w:top w:val="single" w:sz="4" w:space="0" w:color="auto"/>
            </w:tcBorders>
          </w:tcPr>
          <w:p w14:paraId="754F25E2" w14:textId="77777777" w:rsidR="00F50E00" w:rsidRPr="00463627" w:rsidRDefault="00F50E0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Barium</w:t>
            </w:r>
          </w:p>
        </w:tc>
        <w:tc>
          <w:tcPr>
            <w:tcW w:w="1149" w:type="dxa"/>
            <w:tcBorders>
              <w:top w:val="single" w:sz="4" w:space="0" w:color="auto"/>
            </w:tcBorders>
          </w:tcPr>
          <w:p w14:paraId="786D3AFF" w14:textId="77777777" w:rsidR="00F50E00" w:rsidRPr="00463627" w:rsidRDefault="00F50E0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0.2</w:t>
            </w:r>
          </w:p>
        </w:tc>
        <w:tc>
          <w:tcPr>
            <w:tcW w:w="992" w:type="dxa"/>
            <w:gridSpan w:val="2"/>
            <w:tcBorders>
              <w:top w:val="single" w:sz="4" w:space="0" w:color="auto"/>
            </w:tcBorders>
          </w:tcPr>
          <w:p w14:paraId="117D380F" w14:textId="77777777" w:rsidR="00F50E00" w:rsidRPr="00463627" w:rsidRDefault="00F50E0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4.2</w:t>
            </w:r>
          </w:p>
        </w:tc>
        <w:tc>
          <w:tcPr>
            <w:tcW w:w="1276" w:type="dxa"/>
            <w:tcBorders>
              <w:top w:val="nil"/>
              <w:left w:val="nil"/>
              <w:bottom w:val="nil"/>
              <w:right w:val="nil"/>
            </w:tcBorders>
            <w:shd w:val="clear" w:color="auto" w:fill="auto"/>
          </w:tcPr>
          <w:p w14:paraId="0BDC4ED3" w14:textId="3280268F" w:rsidR="00F50E00" w:rsidRPr="00463627" w:rsidRDefault="00F50E0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1.5E+05</w:t>
            </w:r>
          </w:p>
        </w:tc>
        <w:tc>
          <w:tcPr>
            <w:tcW w:w="1417" w:type="dxa"/>
            <w:gridSpan w:val="2"/>
            <w:tcBorders>
              <w:top w:val="nil"/>
              <w:left w:val="nil"/>
              <w:bottom w:val="nil"/>
              <w:right w:val="nil"/>
            </w:tcBorders>
            <w:shd w:val="clear" w:color="auto" w:fill="auto"/>
          </w:tcPr>
          <w:p w14:paraId="1DC8B10C" w14:textId="28144C3B" w:rsidR="00F50E00" w:rsidRPr="00463627" w:rsidRDefault="00F50E0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4.0E+02</w:t>
            </w:r>
          </w:p>
        </w:tc>
        <w:tc>
          <w:tcPr>
            <w:tcW w:w="1134" w:type="dxa"/>
            <w:tcBorders>
              <w:top w:val="nil"/>
              <w:left w:val="nil"/>
              <w:bottom w:val="nil"/>
              <w:right w:val="nil"/>
            </w:tcBorders>
            <w:shd w:val="clear" w:color="auto" w:fill="auto"/>
          </w:tcPr>
          <w:p w14:paraId="373CDC45" w14:textId="2452B52C" w:rsidR="00F50E0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5.9</w:t>
            </w:r>
            <w:r w:rsidR="00F50E00" w:rsidRPr="00463627">
              <w:rPr>
                <w:rFonts w:ascii="Calibri" w:hAnsi="Calibri"/>
                <w:color w:val="000000"/>
                <w:sz w:val="18"/>
                <w:szCs w:val="18"/>
              </w:rPr>
              <w:t>E-05</w:t>
            </w:r>
          </w:p>
        </w:tc>
        <w:tc>
          <w:tcPr>
            <w:tcW w:w="1134" w:type="dxa"/>
            <w:tcBorders>
              <w:top w:val="single" w:sz="4" w:space="0" w:color="auto"/>
              <w:left w:val="nil"/>
              <w:bottom w:val="nil"/>
              <w:right w:val="single" w:sz="4" w:space="0" w:color="auto"/>
            </w:tcBorders>
            <w:shd w:val="clear" w:color="auto" w:fill="auto"/>
          </w:tcPr>
          <w:p w14:paraId="34DB24C6" w14:textId="231D6CC6" w:rsidR="00F50E0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16,700</w:t>
            </w:r>
          </w:p>
        </w:tc>
      </w:tr>
      <w:tr w:rsidR="005368C0" w14:paraId="1610BCAD" w14:textId="77777777" w:rsidTr="00463627">
        <w:trPr>
          <w:trHeight w:val="290"/>
        </w:trPr>
        <w:tc>
          <w:tcPr>
            <w:tcW w:w="1003" w:type="dxa"/>
          </w:tcPr>
          <w:p w14:paraId="6E2EF58C"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p>
        </w:tc>
        <w:tc>
          <w:tcPr>
            <w:tcW w:w="1149" w:type="dxa"/>
          </w:tcPr>
          <w:p w14:paraId="1A8EF16D"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164</w:t>
            </w:r>
          </w:p>
        </w:tc>
        <w:tc>
          <w:tcPr>
            <w:tcW w:w="992" w:type="dxa"/>
            <w:gridSpan w:val="2"/>
          </w:tcPr>
          <w:p w14:paraId="78D095EC" w14:textId="1585CE31"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2,630</w:t>
            </w:r>
          </w:p>
        </w:tc>
        <w:tc>
          <w:tcPr>
            <w:tcW w:w="1276" w:type="dxa"/>
            <w:tcBorders>
              <w:top w:val="nil"/>
              <w:left w:val="nil"/>
              <w:bottom w:val="nil"/>
              <w:right w:val="nil"/>
            </w:tcBorders>
            <w:shd w:val="clear" w:color="auto" w:fill="auto"/>
          </w:tcPr>
          <w:p w14:paraId="751468D4" w14:textId="50DA58A8"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9.1E+07</w:t>
            </w:r>
          </w:p>
        </w:tc>
        <w:tc>
          <w:tcPr>
            <w:tcW w:w="1417" w:type="dxa"/>
            <w:gridSpan w:val="2"/>
            <w:tcBorders>
              <w:top w:val="nil"/>
              <w:left w:val="nil"/>
              <w:bottom w:val="nil"/>
              <w:right w:val="nil"/>
            </w:tcBorders>
            <w:shd w:val="clear" w:color="auto" w:fill="auto"/>
          </w:tcPr>
          <w:p w14:paraId="2B069503" w14:textId="71C85403"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2.5E+05</w:t>
            </w:r>
          </w:p>
        </w:tc>
        <w:tc>
          <w:tcPr>
            <w:tcW w:w="1134" w:type="dxa"/>
            <w:tcBorders>
              <w:top w:val="nil"/>
              <w:left w:val="nil"/>
              <w:bottom w:val="nil"/>
              <w:right w:val="nil"/>
            </w:tcBorders>
            <w:shd w:val="clear" w:color="auto" w:fill="auto"/>
          </w:tcPr>
          <w:p w14:paraId="368F61A4" w14:textId="24285099"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5.9E-05</w:t>
            </w:r>
          </w:p>
        </w:tc>
        <w:tc>
          <w:tcPr>
            <w:tcW w:w="1134" w:type="dxa"/>
            <w:tcBorders>
              <w:top w:val="nil"/>
              <w:left w:val="nil"/>
              <w:bottom w:val="nil"/>
              <w:right w:val="single" w:sz="4" w:space="0" w:color="auto"/>
            </w:tcBorders>
            <w:shd w:val="clear" w:color="auto" w:fill="auto"/>
          </w:tcPr>
          <w:p w14:paraId="35A1AA58" w14:textId="5DF1A23D"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16,700</w:t>
            </w:r>
          </w:p>
        </w:tc>
      </w:tr>
      <w:tr w:rsidR="005368C0" w14:paraId="1ECE008B" w14:textId="77777777" w:rsidTr="00463627">
        <w:trPr>
          <w:trHeight w:val="290"/>
        </w:trPr>
        <w:tc>
          <w:tcPr>
            <w:tcW w:w="1003" w:type="dxa"/>
          </w:tcPr>
          <w:p w14:paraId="1B22EFFF"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Boron</w:t>
            </w:r>
          </w:p>
        </w:tc>
        <w:tc>
          <w:tcPr>
            <w:tcW w:w="1149" w:type="dxa"/>
          </w:tcPr>
          <w:p w14:paraId="265DD77D"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0.03</w:t>
            </w:r>
          </w:p>
        </w:tc>
        <w:tc>
          <w:tcPr>
            <w:tcW w:w="992" w:type="dxa"/>
            <w:gridSpan w:val="2"/>
          </w:tcPr>
          <w:p w14:paraId="7920A5AE"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1.48</w:t>
            </w:r>
          </w:p>
        </w:tc>
        <w:tc>
          <w:tcPr>
            <w:tcW w:w="1276" w:type="dxa"/>
            <w:tcBorders>
              <w:top w:val="nil"/>
              <w:left w:val="nil"/>
              <w:bottom w:val="nil"/>
              <w:right w:val="nil"/>
            </w:tcBorders>
            <w:shd w:val="clear" w:color="auto" w:fill="auto"/>
          </w:tcPr>
          <w:p w14:paraId="74810B27" w14:textId="2D4BDF9E"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5.1E+04</w:t>
            </w:r>
          </w:p>
        </w:tc>
        <w:tc>
          <w:tcPr>
            <w:tcW w:w="1417" w:type="dxa"/>
            <w:gridSpan w:val="2"/>
            <w:tcBorders>
              <w:top w:val="nil"/>
              <w:left w:val="nil"/>
              <w:bottom w:val="nil"/>
              <w:right w:val="nil"/>
            </w:tcBorders>
            <w:shd w:val="clear" w:color="auto" w:fill="auto"/>
          </w:tcPr>
          <w:p w14:paraId="1595DC9E" w14:textId="52CE72DC"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1.4E+02</w:t>
            </w:r>
          </w:p>
        </w:tc>
        <w:tc>
          <w:tcPr>
            <w:tcW w:w="1134" w:type="dxa"/>
            <w:tcBorders>
              <w:top w:val="nil"/>
              <w:left w:val="nil"/>
              <w:bottom w:val="nil"/>
              <w:right w:val="nil"/>
            </w:tcBorders>
            <w:shd w:val="clear" w:color="auto" w:fill="auto"/>
          </w:tcPr>
          <w:p w14:paraId="313D6035" w14:textId="1C0CCB0A"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5.9E-05</w:t>
            </w:r>
          </w:p>
        </w:tc>
        <w:tc>
          <w:tcPr>
            <w:tcW w:w="1134" w:type="dxa"/>
            <w:tcBorders>
              <w:top w:val="nil"/>
              <w:left w:val="nil"/>
              <w:bottom w:val="nil"/>
              <w:right w:val="single" w:sz="4" w:space="0" w:color="auto"/>
            </w:tcBorders>
            <w:shd w:val="clear" w:color="auto" w:fill="auto"/>
          </w:tcPr>
          <w:p w14:paraId="1AA09DAF" w14:textId="3D2F913B"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16,700</w:t>
            </w:r>
          </w:p>
        </w:tc>
      </w:tr>
      <w:tr w:rsidR="005368C0" w14:paraId="0580264D" w14:textId="77777777" w:rsidTr="00463627">
        <w:trPr>
          <w:trHeight w:val="290"/>
        </w:trPr>
        <w:tc>
          <w:tcPr>
            <w:tcW w:w="1003" w:type="dxa"/>
          </w:tcPr>
          <w:p w14:paraId="5FF7904A"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p>
        </w:tc>
        <w:tc>
          <w:tcPr>
            <w:tcW w:w="1149" w:type="dxa"/>
          </w:tcPr>
          <w:p w14:paraId="37673EC6"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0.22</w:t>
            </w:r>
          </w:p>
        </w:tc>
        <w:tc>
          <w:tcPr>
            <w:tcW w:w="992" w:type="dxa"/>
            <w:gridSpan w:val="2"/>
          </w:tcPr>
          <w:p w14:paraId="0EE00E3F"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4.52</w:t>
            </w:r>
          </w:p>
        </w:tc>
        <w:tc>
          <w:tcPr>
            <w:tcW w:w="1276" w:type="dxa"/>
            <w:tcBorders>
              <w:top w:val="nil"/>
              <w:left w:val="nil"/>
              <w:bottom w:val="nil"/>
              <w:right w:val="nil"/>
            </w:tcBorders>
            <w:shd w:val="clear" w:color="auto" w:fill="auto"/>
          </w:tcPr>
          <w:p w14:paraId="448F31F8" w14:textId="5519402E"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1.6E+05</w:t>
            </w:r>
          </w:p>
        </w:tc>
        <w:tc>
          <w:tcPr>
            <w:tcW w:w="1417" w:type="dxa"/>
            <w:gridSpan w:val="2"/>
            <w:tcBorders>
              <w:top w:val="nil"/>
              <w:left w:val="nil"/>
              <w:bottom w:val="nil"/>
              <w:right w:val="nil"/>
            </w:tcBorders>
            <w:shd w:val="clear" w:color="auto" w:fill="auto"/>
          </w:tcPr>
          <w:p w14:paraId="447CE1F1" w14:textId="44C011E2"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4.3E+02</w:t>
            </w:r>
          </w:p>
        </w:tc>
        <w:tc>
          <w:tcPr>
            <w:tcW w:w="1134" w:type="dxa"/>
            <w:tcBorders>
              <w:top w:val="nil"/>
              <w:left w:val="nil"/>
              <w:bottom w:val="nil"/>
              <w:right w:val="nil"/>
            </w:tcBorders>
            <w:shd w:val="clear" w:color="auto" w:fill="auto"/>
          </w:tcPr>
          <w:p w14:paraId="05F4B525" w14:textId="7AE928FC"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5.9E-05</w:t>
            </w:r>
          </w:p>
        </w:tc>
        <w:tc>
          <w:tcPr>
            <w:tcW w:w="1134" w:type="dxa"/>
            <w:tcBorders>
              <w:top w:val="nil"/>
              <w:left w:val="nil"/>
              <w:bottom w:val="nil"/>
              <w:right w:val="single" w:sz="4" w:space="0" w:color="auto"/>
            </w:tcBorders>
            <w:shd w:val="clear" w:color="auto" w:fill="auto"/>
          </w:tcPr>
          <w:p w14:paraId="17D5F0B6" w14:textId="7FD5A9EB"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16,700</w:t>
            </w:r>
          </w:p>
        </w:tc>
      </w:tr>
      <w:tr w:rsidR="005368C0" w14:paraId="34A08DDC" w14:textId="77777777" w:rsidTr="00463627">
        <w:trPr>
          <w:trHeight w:val="290"/>
        </w:trPr>
        <w:tc>
          <w:tcPr>
            <w:tcW w:w="1003" w:type="dxa"/>
          </w:tcPr>
          <w:p w14:paraId="204A0395"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Uranium</w:t>
            </w:r>
          </w:p>
        </w:tc>
        <w:tc>
          <w:tcPr>
            <w:tcW w:w="1149" w:type="dxa"/>
          </w:tcPr>
          <w:p w14:paraId="52783A07"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5</w:t>
            </w:r>
          </w:p>
        </w:tc>
        <w:tc>
          <w:tcPr>
            <w:tcW w:w="992" w:type="dxa"/>
            <w:gridSpan w:val="2"/>
          </w:tcPr>
          <w:p w14:paraId="695702A5"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81</w:t>
            </w:r>
          </w:p>
        </w:tc>
        <w:tc>
          <w:tcPr>
            <w:tcW w:w="1276" w:type="dxa"/>
            <w:tcBorders>
              <w:top w:val="nil"/>
              <w:left w:val="nil"/>
              <w:bottom w:val="nil"/>
              <w:right w:val="nil"/>
            </w:tcBorders>
            <w:shd w:val="clear" w:color="auto" w:fill="auto"/>
          </w:tcPr>
          <w:p w14:paraId="4A0D678E" w14:textId="177AD788"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2.8E+06</w:t>
            </w:r>
          </w:p>
        </w:tc>
        <w:tc>
          <w:tcPr>
            <w:tcW w:w="1417" w:type="dxa"/>
            <w:gridSpan w:val="2"/>
            <w:tcBorders>
              <w:top w:val="nil"/>
              <w:left w:val="nil"/>
              <w:bottom w:val="nil"/>
              <w:right w:val="nil"/>
            </w:tcBorders>
            <w:shd w:val="clear" w:color="auto" w:fill="auto"/>
          </w:tcPr>
          <w:p w14:paraId="7F4A96D6" w14:textId="5EAB3A5F"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7.7E+03</w:t>
            </w:r>
          </w:p>
        </w:tc>
        <w:tc>
          <w:tcPr>
            <w:tcW w:w="1134" w:type="dxa"/>
            <w:tcBorders>
              <w:top w:val="nil"/>
              <w:left w:val="nil"/>
              <w:bottom w:val="nil"/>
              <w:right w:val="nil"/>
            </w:tcBorders>
            <w:shd w:val="clear" w:color="auto" w:fill="auto"/>
          </w:tcPr>
          <w:p w14:paraId="6B89914A" w14:textId="7D8A2015"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5.9E-05</w:t>
            </w:r>
          </w:p>
        </w:tc>
        <w:tc>
          <w:tcPr>
            <w:tcW w:w="1134" w:type="dxa"/>
            <w:tcBorders>
              <w:top w:val="nil"/>
              <w:left w:val="nil"/>
              <w:bottom w:val="nil"/>
              <w:right w:val="single" w:sz="4" w:space="0" w:color="auto"/>
            </w:tcBorders>
            <w:shd w:val="clear" w:color="auto" w:fill="auto"/>
          </w:tcPr>
          <w:p w14:paraId="1797C656" w14:textId="58F85252"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16,700</w:t>
            </w:r>
          </w:p>
        </w:tc>
      </w:tr>
      <w:tr w:rsidR="005368C0" w14:paraId="7F36FFA0" w14:textId="77777777" w:rsidTr="00463627">
        <w:trPr>
          <w:trHeight w:val="290"/>
        </w:trPr>
        <w:tc>
          <w:tcPr>
            <w:tcW w:w="1003" w:type="dxa"/>
          </w:tcPr>
          <w:p w14:paraId="0E6F08BE"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p>
        </w:tc>
        <w:tc>
          <w:tcPr>
            <w:tcW w:w="1149" w:type="dxa"/>
          </w:tcPr>
          <w:p w14:paraId="54AF1001" w14:textId="7BC2390A"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5,000</w:t>
            </w:r>
          </w:p>
        </w:tc>
        <w:tc>
          <w:tcPr>
            <w:tcW w:w="992" w:type="dxa"/>
            <w:gridSpan w:val="2"/>
          </w:tcPr>
          <w:p w14:paraId="5B05CBEE" w14:textId="0D6E89DB"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80,000</w:t>
            </w:r>
          </w:p>
        </w:tc>
        <w:tc>
          <w:tcPr>
            <w:tcW w:w="1276" w:type="dxa"/>
            <w:tcBorders>
              <w:top w:val="nil"/>
              <w:left w:val="nil"/>
              <w:bottom w:val="nil"/>
              <w:right w:val="nil"/>
            </w:tcBorders>
            <w:shd w:val="clear" w:color="auto" w:fill="auto"/>
          </w:tcPr>
          <w:p w14:paraId="086D53F0" w14:textId="69EB30AA"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2.8E+09</w:t>
            </w:r>
          </w:p>
        </w:tc>
        <w:tc>
          <w:tcPr>
            <w:tcW w:w="1417" w:type="dxa"/>
            <w:gridSpan w:val="2"/>
            <w:tcBorders>
              <w:top w:val="nil"/>
              <w:left w:val="nil"/>
              <w:bottom w:val="nil"/>
              <w:right w:val="nil"/>
            </w:tcBorders>
            <w:shd w:val="clear" w:color="auto" w:fill="auto"/>
          </w:tcPr>
          <w:p w14:paraId="6539D5EF" w14:textId="7EB6E802"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7.6E+06</w:t>
            </w:r>
          </w:p>
        </w:tc>
        <w:tc>
          <w:tcPr>
            <w:tcW w:w="1134" w:type="dxa"/>
            <w:tcBorders>
              <w:top w:val="nil"/>
              <w:left w:val="nil"/>
              <w:bottom w:val="nil"/>
              <w:right w:val="nil"/>
            </w:tcBorders>
            <w:shd w:val="clear" w:color="auto" w:fill="auto"/>
          </w:tcPr>
          <w:p w14:paraId="76D1110E" w14:textId="3FA6F932"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5.9E-05</w:t>
            </w:r>
          </w:p>
        </w:tc>
        <w:tc>
          <w:tcPr>
            <w:tcW w:w="1134" w:type="dxa"/>
            <w:tcBorders>
              <w:top w:val="nil"/>
              <w:left w:val="nil"/>
              <w:bottom w:val="nil"/>
              <w:right w:val="single" w:sz="4" w:space="0" w:color="auto"/>
            </w:tcBorders>
            <w:shd w:val="clear" w:color="auto" w:fill="auto"/>
          </w:tcPr>
          <w:p w14:paraId="4D88411E" w14:textId="0E598FE0"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16,700</w:t>
            </w:r>
          </w:p>
        </w:tc>
      </w:tr>
      <w:tr w:rsidR="005368C0" w14:paraId="6F1E08D0" w14:textId="77777777" w:rsidTr="00463627">
        <w:trPr>
          <w:trHeight w:val="290"/>
        </w:trPr>
        <w:tc>
          <w:tcPr>
            <w:tcW w:w="1003" w:type="dxa"/>
          </w:tcPr>
          <w:p w14:paraId="7BF99442"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Arsenic</w:t>
            </w:r>
          </w:p>
        </w:tc>
        <w:tc>
          <w:tcPr>
            <w:tcW w:w="1149" w:type="dxa"/>
          </w:tcPr>
          <w:p w14:paraId="30B9A0FD"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2.9</w:t>
            </w:r>
          </w:p>
        </w:tc>
        <w:tc>
          <w:tcPr>
            <w:tcW w:w="992" w:type="dxa"/>
            <w:gridSpan w:val="2"/>
          </w:tcPr>
          <w:p w14:paraId="5C61CADF"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47</w:t>
            </w:r>
          </w:p>
        </w:tc>
        <w:tc>
          <w:tcPr>
            <w:tcW w:w="1276" w:type="dxa"/>
            <w:tcBorders>
              <w:top w:val="nil"/>
              <w:left w:val="nil"/>
              <w:bottom w:val="nil"/>
              <w:right w:val="nil"/>
            </w:tcBorders>
            <w:shd w:val="clear" w:color="auto" w:fill="auto"/>
          </w:tcPr>
          <w:p w14:paraId="2EB0B95C" w14:textId="49EF9767"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1.6E+06</w:t>
            </w:r>
          </w:p>
        </w:tc>
        <w:tc>
          <w:tcPr>
            <w:tcW w:w="1417" w:type="dxa"/>
            <w:gridSpan w:val="2"/>
            <w:tcBorders>
              <w:top w:val="nil"/>
              <w:left w:val="nil"/>
              <w:bottom w:val="nil"/>
              <w:right w:val="nil"/>
            </w:tcBorders>
            <w:shd w:val="clear" w:color="auto" w:fill="auto"/>
          </w:tcPr>
          <w:p w14:paraId="4CC3CAEC" w14:textId="07901BDE"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4.5E+03</w:t>
            </w:r>
          </w:p>
        </w:tc>
        <w:tc>
          <w:tcPr>
            <w:tcW w:w="1134" w:type="dxa"/>
            <w:tcBorders>
              <w:top w:val="nil"/>
              <w:left w:val="nil"/>
              <w:bottom w:val="nil"/>
              <w:right w:val="nil"/>
            </w:tcBorders>
            <w:shd w:val="clear" w:color="auto" w:fill="auto"/>
          </w:tcPr>
          <w:p w14:paraId="0E4CAB09" w14:textId="7A75B34E"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5.9E-05</w:t>
            </w:r>
          </w:p>
        </w:tc>
        <w:tc>
          <w:tcPr>
            <w:tcW w:w="1134" w:type="dxa"/>
            <w:tcBorders>
              <w:top w:val="nil"/>
              <w:left w:val="nil"/>
              <w:bottom w:val="nil"/>
              <w:right w:val="single" w:sz="4" w:space="0" w:color="auto"/>
            </w:tcBorders>
            <w:shd w:val="clear" w:color="auto" w:fill="auto"/>
          </w:tcPr>
          <w:p w14:paraId="2E4A2FF1" w14:textId="6ED2C28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16,700</w:t>
            </w:r>
          </w:p>
        </w:tc>
      </w:tr>
      <w:tr w:rsidR="005368C0" w14:paraId="2F40FE32" w14:textId="77777777" w:rsidTr="00463627">
        <w:trPr>
          <w:trHeight w:val="290"/>
        </w:trPr>
        <w:tc>
          <w:tcPr>
            <w:tcW w:w="1003" w:type="dxa"/>
          </w:tcPr>
          <w:p w14:paraId="6E4512B7"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p>
        </w:tc>
        <w:tc>
          <w:tcPr>
            <w:tcW w:w="1149" w:type="dxa"/>
          </w:tcPr>
          <w:p w14:paraId="6AEBD9C2"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17.3</w:t>
            </w:r>
          </w:p>
        </w:tc>
        <w:tc>
          <w:tcPr>
            <w:tcW w:w="992" w:type="dxa"/>
            <w:gridSpan w:val="2"/>
          </w:tcPr>
          <w:p w14:paraId="750DDB3D" w14:textId="777777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s="Calibri"/>
                <w:color w:val="000000"/>
                <w:sz w:val="18"/>
                <w:szCs w:val="18"/>
                <w:lang w:val="en-AU"/>
              </w:rPr>
              <w:t>278</w:t>
            </w:r>
          </w:p>
        </w:tc>
        <w:tc>
          <w:tcPr>
            <w:tcW w:w="1276" w:type="dxa"/>
            <w:tcBorders>
              <w:top w:val="nil"/>
              <w:left w:val="nil"/>
              <w:bottom w:val="single" w:sz="4" w:space="0" w:color="auto"/>
              <w:right w:val="nil"/>
            </w:tcBorders>
            <w:shd w:val="clear" w:color="auto" w:fill="auto"/>
          </w:tcPr>
          <w:p w14:paraId="2FA0A56D" w14:textId="3E89D822"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9.6E+06</w:t>
            </w:r>
          </w:p>
        </w:tc>
        <w:tc>
          <w:tcPr>
            <w:tcW w:w="1417" w:type="dxa"/>
            <w:gridSpan w:val="2"/>
            <w:tcBorders>
              <w:top w:val="nil"/>
              <w:left w:val="nil"/>
              <w:bottom w:val="single" w:sz="4" w:space="0" w:color="auto"/>
              <w:right w:val="nil"/>
            </w:tcBorders>
            <w:shd w:val="clear" w:color="auto" w:fill="auto"/>
          </w:tcPr>
          <w:p w14:paraId="40F72096" w14:textId="49356AF1" w:rsidR="005368C0" w:rsidRPr="00463627" w:rsidRDefault="005368C0" w:rsidP="00463627">
            <w:pPr>
              <w:autoSpaceDE w:val="0"/>
              <w:autoSpaceDN w:val="0"/>
              <w:adjustRightInd w:val="0"/>
              <w:spacing w:after="0"/>
              <w:jc w:val="center"/>
              <w:rPr>
                <w:rFonts w:ascii="Calibri" w:hAnsi="Calibri"/>
                <w:color w:val="000000"/>
                <w:sz w:val="18"/>
                <w:szCs w:val="18"/>
              </w:rPr>
            </w:pPr>
            <w:r w:rsidRPr="00463627">
              <w:rPr>
                <w:rFonts w:ascii="Calibri" w:hAnsi="Calibri"/>
                <w:color w:val="000000"/>
                <w:sz w:val="18"/>
                <w:szCs w:val="18"/>
              </w:rPr>
              <w:t>2.6E+04</w:t>
            </w:r>
          </w:p>
        </w:tc>
        <w:tc>
          <w:tcPr>
            <w:tcW w:w="1134" w:type="dxa"/>
            <w:tcBorders>
              <w:top w:val="nil"/>
              <w:left w:val="nil"/>
              <w:bottom w:val="single" w:sz="4" w:space="0" w:color="auto"/>
              <w:right w:val="nil"/>
            </w:tcBorders>
            <w:shd w:val="clear" w:color="auto" w:fill="auto"/>
          </w:tcPr>
          <w:p w14:paraId="63A9FA19" w14:textId="32A7FEE3"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5.9E-05</w:t>
            </w:r>
          </w:p>
        </w:tc>
        <w:tc>
          <w:tcPr>
            <w:tcW w:w="1134" w:type="dxa"/>
            <w:tcBorders>
              <w:top w:val="nil"/>
              <w:left w:val="nil"/>
              <w:bottom w:val="single" w:sz="4" w:space="0" w:color="auto"/>
              <w:right w:val="single" w:sz="4" w:space="0" w:color="auto"/>
            </w:tcBorders>
            <w:shd w:val="clear" w:color="auto" w:fill="auto"/>
          </w:tcPr>
          <w:p w14:paraId="0AEC8899" w14:textId="3B635477" w:rsidR="005368C0" w:rsidRPr="00463627" w:rsidRDefault="005368C0" w:rsidP="00463627">
            <w:pPr>
              <w:autoSpaceDE w:val="0"/>
              <w:autoSpaceDN w:val="0"/>
              <w:adjustRightInd w:val="0"/>
              <w:spacing w:after="0"/>
              <w:jc w:val="center"/>
              <w:rPr>
                <w:rFonts w:ascii="Calibri" w:hAnsi="Calibri" w:cs="Calibri"/>
                <w:color w:val="000000"/>
                <w:sz w:val="18"/>
                <w:szCs w:val="18"/>
                <w:lang w:val="en-AU"/>
              </w:rPr>
            </w:pPr>
            <w:r w:rsidRPr="00463627">
              <w:rPr>
                <w:rFonts w:ascii="Calibri" w:hAnsi="Calibri"/>
                <w:color w:val="000000"/>
                <w:sz w:val="18"/>
                <w:szCs w:val="18"/>
              </w:rPr>
              <w:t>16,700</w:t>
            </w:r>
          </w:p>
        </w:tc>
      </w:tr>
    </w:tbl>
    <w:p w14:paraId="6B6488DF" w14:textId="77777777" w:rsidR="00600B19" w:rsidRDefault="00600B19" w:rsidP="00600B19">
      <w:pPr>
        <w:pStyle w:val="Body"/>
      </w:pPr>
    </w:p>
    <w:p w14:paraId="0AE3C282" w14:textId="0CBF3AF8" w:rsidR="00600B19" w:rsidRDefault="00F41D7D" w:rsidP="00600B19">
      <w:pPr>
        <w:pStyle w:val="Body"/>
      </w:pPr>
      <w:r>
        <w:t>The resulting dilution factors are primarily applicable to the coal seam target formations (i.e. Hoskisson/Bohema seam and Maules Creek Formation in the Gunnedah Basin and Walloon Coal Measures in the Surat Basin), as these would be the main source of the elements As, Ba and U. For the element B (a hydraulic fracturing additive) there may potentially be pathways through shallower groundwater as a result of the leaky well pathways (</w:t>
      </w:r>
      <w:r w:rsidR="007C063A">
        <w:t>S</w:t>
      </w:r>
      <w:r>
        <w:t xml:space="preserve">ection </w:t>
      </w:r>
      <w:r w:rsidR="006C0469">
        <w:fldChar w:fldCharType="begin" w:fldLock="1"/>
      </w:r>
      <w:r w:rsidR="006C0469">
        <w:instrText xml:space="preserve"> REF _Ref446688442 \r \h </w:instrText>
      </w:r>
      <w:r w:rsidR="006C0469">
        <w:fldChar w:fldCharType="separate"/>
      </w:r>
      <w:r w:rsidR="00335E79">
        <w:t>2.6.2</w:t>
      </w:r>
      <w:r w:rsidR="006C0469">
        <w:fldChar w:fldCharType="end"/>
      </w:r>
      <w:r>
        <w:t xml:space="preserve">). </w:t>
      </w:r>
      <w:r w:rsidR="004643DE">
        <w:t xml:space="preserve">As unperturbed coal seam formations exhibit reducing geochemical conditions, uranium is predominantly present as U(IV) </w:t>
      </w:r>
      <w:r w:rsidR="00735DDC">
        <w:t>– dominated by the aqueous species U(OH)</w:t>
      </w:r>
      <w:r w:rsidR="00735DDC" w:rsidRPr="00735DDC">
        <w:rPr>
          <w:vertAlign w:val="subscript"/>
        </w:rPr>
        <w:t>4</w:t>
      </w:r>
      <w:r w:rsidR="00735DDC">
        <w:t xml:space="preserve">(aq) – </w:t>
      </w:r>
      <w:r w:rsidR="004643DE">
        <w:t>which is not readily available for migration owing to its low solubility and high sorption</w:t>
      </w:r>
      <w:r w:rsidR="00735DDC">
        <w:t xml:space="preserve"> (Ochs et al. 2015)</w:t>
      </w:r>
      <w:r w:rsidR="004643DE">
        <w:t>.</w:t>
      </w:r>
      <w:r w:rsidR="006C0469">
        <w:t xml:space="preserve"> </w:t>
      </w:r>
      <w:r w:rsidR="00735DDC">
        <w:t xml:space="preserve">For example, Ochs et al. (2015) recommended a </w:t>
      </w:r>
      <w:r w:rsidR="00735DDC" w:rsidRPr="00735DDC">
        <w:rPr>
          <w:i/>
        </w:rPr>
        <w:t>K</w:t>
      </w:r>
      <w:r w:rsidR="00735DDC" w:rsidRPr="00735DDC">
        <w:rPr>
          <w:vertAlign w:val="subscript"/>
        </w:rPr>
        <w:t>d</w:t>
      </w:r>
      <w:r w:rsidR="00735DDC">
        <w:t xml:space="preserve"> value of 30,000 L/kg for </w:t>
      </w:r>
      <w:proofErr w:type="gramStart"/>
      <w:r w:rsidR="00735DDC">
        <w:t>U(</w:t>
      </w:r>
      <w:proofErr w:type="gramEnd"/>
      <w:r w:rsidR="00735DDC">
        <w:t xml:space="preserve">IV) compared to 50 L/kg for U(VI) for a calcite dominated solid phase and a pore-water pH of 10. </w:t>
      </w:r>
      <w:r w:rsidR="006C0469">
        <w:t xml:space="preserve">In other words, the higher </w:t>
      </w:r>
      <w:proofErr w:type="gramStart"/>
      <w:r w:rsidR="006C0469" w:rsidRPr="006C0469">
        <w:rPr>
          <w:i/>
        </w:rPr>
        <w:t>K</w:t>
      </w:r>
      <w:r w:rsidR="006C0469" w:rsidRPr="006C0469">
        <w:rPr>
          <w:vertAlign w:val="subscript"/>
        </w:rPr>
        <w:t>d</w:t>
      </w:r>
      <w:proofErr w:type="gramEnd"/>
      <w:r w:rsidR="006C0469">
        <w:t xml:space="preserve"> = 5</w:t>
      </w:r>
      <w:r w:rsidR="00BD7856">
        <w:t>,</w:t>
      </w:r>
      <w:r w:rsidR="006C0469">
        <w:t xml:space="preserve">000 L/kg for U is probably more representative for such deep groundwater conditions than the low </w:t>
      </w:r>
      <w:r w:rsidR="006C0469" w:rsidRPr="006C0469">
        <w:rPr>
          <w:i/>
        </w:rPr>
        <w:t>K</w:t>
      </w:r>
      <w:r w:rsidR="006C0469" w:rsidRPr="006C0469">
        <w:rPr>
          <w:vertAlign w:val="subscript"/>
        </w:rPr>
        <w:t>d</w:t>
      </w:r>
      <w:r w:rsidR="006C0469">
        <w:t xml:space="preserve"> = 5 L/kg.</w:t>
      </w:r>
    </w:p>
    <w:p w14:paraId="1C3BCAF9" w14:textId="696A70AF" w:rsidR="00D10D81" w:rsidRDefault="00D10D81" w:rsidP="00905B24">
      <w:pPr>
        <w:pStyle w:val="Heading3"/>
      </w:pPr>
      <w:bookmarkStart w:id="714" w:name="_Toc494444669"/>
      <w:r>
        <w:t>Linking spatial analysis and DAF values</w:t>
      </w:r>
      <w:bookmarkEnd w:id="714"/>
    </w:p>
    <w:p w14:paraId="60B20564" w14:textId="53ABB805" w:rsidR="00D9345C" w:rsidRDefault="00D10D81" w:rsidP="001E3301">
      <w:pPr>
        <w:pStyle w:val="Body"/>
      </w:pPr>
      <w:r>
        <w:t>In a final analysis</w:t>
      </w:r>
      <w:r w:rsidR="007C063A">
        <w:t>,</w:t>
      </w:r>
      <w:r>
        <w:t xml:space="preserve"> the frequency distributions displaying proximity between CSG wells and specific receptors are combined with compound-specific DAF values </w:t>
      </w:r>
      <w:r w:rsidR="00735DDC">
        <w:t xml:space="preserve">(e.g. </w:t>
      </w:r>
      <w:r w:rsidR="00735DDC">
        <w:fldChar w:fldCharType="begin" w:fldLock="1"/>
      </w:r>
      <w:r w:rsidR="00735DDC">
        <w:instrText xml:space="preserve"> REF _Ref467830368 \h  \* MERGEFORMAT </w:instrText>
      </w:r>
      <w:r w:rsidR="00735DDC">
        <w:fldChar w:fldCharType="separate"/>
      </w:r>
      <w:r w:rsidR="00335E79" w:rsidRPr="00D976C8">
        <w:t xml:space="preserve">Table </w:t>
      </w:r>
      <w:r w:rsidR="00335E79">
        <w:t>5</w:t>
      </w:r>
      <w:r w:rsidR="00335E79">
        <w:noBreakHyphen/>
        <w:t>18</w:t>
      </w:r>
      <w:r w:rsidR="00735DDC">
        <w:fldChar w:fldCharType="end"/>
      </w:r>
      <w:r w:rsidR="00735DDC">
        <w:t xml:space="preserve">) </w:t>
      </w:r>
      <w:r>
        <w:t xml:space="preserve">to attribute a likelihood to the various DAF values. The procedure is illustrated for 2-methylphenol in </w:t>
      </w:r>
      <w:r>
        <w:fldChar w:fldCharType="begin" w:fldLock="1"/>
      </w:r>
      <w:r>
        <w:instrText xml:space="preserve"> REF _Ref454472342 \h </w:instrText>
      </w:r>
      <w:r>
        <w:fldChar w:fldCharType="separate"/>
      </w:r>
      <w:r w:rsidR="00335E79">
        <w:t xml:space="preserve">Figure </w:t>
      </w:r>
      <w:r w:rsidR="00335E79">
        <w:rPr>
          <w:noProof/>
        </w:rPr>
        <w:t>5</w:t>
      </w:r>
      <w:r w:rsidR="00335E79">
        <w:noBreakHyphen/>
      </w:r>
      <w:r w:rsidR="00335E79">
        <w:rPr>
          <w:noProof/>
        </w:rPr>
        <w:t>26</w:t>
      </w:r>
      <w:r>
        <w:fldChar w:fldCharType="end"/>
      </w:r>
      <w:r>
        <w:t>. Note that these results are for the Gunnedah Basin; similar results can be obtained for the Surat Basin</w:t>
      </w:r>
      <w:r w:rsidR="00735DDC">
        <w:t xml:space="preserve"> (see Section </w:t>
      </w:r>
      <w:r w:rsidR="00FB1C16">
        <w:fldChar w:fldCharType="begin" w:fldLock="1"/>
      </w:r>
      <w:r w:rsidR="00FB1C16">
        <w:instrText xml:space="preserve"> REF _Ref470884735 \r \h </w:instrText>
      </w:r>
      <w:r w:rsidR="00FB1C16">
        <w:fldChar w:fldCharType="separate"/>
      </w:r>
      <w:r w:rsidR="00335E79">
        <w:t>5.3.3</w:t>
      </w:r>
      <w:r w:rsidR="00FB1C16">
        <w:fldChar w:fldCharType="end"/>
      </w:r>
      <w:r w:rsidR="00735DDC">
        <w:t>)</w:t>
      </w:r>
      <w:r>
        <w:t xml:space="preserve">. From the particle tracking analysis in the Gunnedah Basin the minimum, mean, and maximum travel </w:t>
      </w:r>
      <w:r w:rsidR="00137C6C">
        <w:t>time</w:t>
      </w:r>
      <w:r>
        <w:t xml:space="preserve"> between receptors </w:t>
      </w:r>
      <w:r w:rsidR="00FB1C16">
        <w:t xml:space="preserve">in the Pilliga Sandstone </w:t>
      </w:r>
      <w:r>
        <w:t xml:space="preserve">and CSG wells </w:t>
      </w:r>
      <w:r w:rsidR="00FB1C16">
        <w:t xml:space="preserve">with plausible pathways into the Pilliga Sandstone </w:t>
      </w:r>
      <w:r>
        <w:t xml:space="preserve">were found to be </w:t>
      </w:r>
      <w:r w:rsidR="00137C6C">
        <w:t>10 years (</w:t>
      </w:r>
      <w:r>
        <w:t>3</w:t>
      </w:r>
      <w:r w:rsidR="00BD7856">
        <w:t>,</w:t>
      </w:r>
      <w:r>
        <w:t>66</w:t>
      </w:r>
      <w:r w:rsidR="00BD7856">
        <w:t>0</w:t>
      </w:r>
      <w:r w:rsidR="00137C6C">
        <w:t xml:space="preserve"> days)</w:t>
      </w:r>
      <w:r>
        <w:t xml:space="preserve">, </w:t>
      </w:r>
      <w:r w:rsidR="00137C6C">
        <w:t>34 years (</w:t>
      </w:r>
      <w:r>
        <w:t>12</w:t>
      </w:r>
      <w:r w:rsidR="00BD7856">
        <w:t>,</w:t>
      </w:r>
      <w:r>
        <w:t>3</w:t>
      </w:r>
      <w:r w:rsidR="00BD7856">
        <w:t>00</w:t>
      </w:r>
      <w:r w:rsidR="00137C6C">
        <w:t xml:space="preserve"> days)</w:t>
      </w:r>
      <w:r>
        <w:t xml:space="preserve">, and </w:t>
      </w:r>
      <w:r w:rsidR="00137C6C">
        <w:t>92 years (</w:t>
      </w:r>
      <w:r>
        <w:t>33</w:t>
      </w:r>
      <w:r w:rsidR="00BD7856">
        <w:t>,500</w:t>
      </w:r>
      <w:r>
        <w:t xml:space="preserve"> days</w:t>
      </w:r>
      <w:r w:rsidR="00137C6C">
        <w:t>)</w:t>
      </w:r>
      <w:r w:rsidR="008D1240">
        <w:t xml:space="preserve"> for the &lt; 100 year travel class (see </w:t>
      </w:r>
      <w:r w:rsidR="008D1240">
        <w:fldChar w:fldCharType="begin" w:fldLock="1"/>
      </w:r>
      <w:r w:rsidR="008D1240">
        <w:instrText xml:space="preserve"> REF _Ref454384797 \h </w:instrText>
      </w:r>
      <w:r w:rsidR="008D1240">
        <w:fldChar w:fldCharType="separate"/>
      </w:r>
      <w:r w:rsidR="008D1240" w:rsidRPr="00DA539C">
        <w:t xml:space="preserve">Table </w:t>
      </w:r>
      <w:r w:rsidR="008D1240">
        <w:rPr>
          <w:noProof/>
        </w:rPr>
        <w:t>2</w:t>
      </w:r>
      <w:r w:rsidR="008D1240">
        <w:noBreakHyphen/>
      </w:r>
      <w:r w:rsidR="008D1240">
        <w:rPr>
          <w:noProof/>
        </w:rPr>
        <w:t>24</w:t>
      </w:r>
      <w:r w:rsidR="008D1240">
        <w:fldChar w:fldCharType="end"/>
      </w:r>
      <w:r w:rsidR="008D1240">
        <w:t>)</w:t>
      </w:r>
      <w:r>
        <w:t>. For each of these travel times a DAF value was calculated</w:t>
      </w:r>
      <w:r w:rsidR="00735DDC">
        <w:t xml:space="preserve"> (</w:t>
      </w:r>
      <w:r w:rsidR="00735DDC">
        <w:fldChar w:fldCharType="begin" w:fldLock="1"/>
      </w:r>
      <w:r w:rsidR="00735DDC">
        <w:instrText xml:space="preserve"> REF _Ref454472342 \h </w:instrText>
      </w:r>
      <w:r w:rsidR="00735DDC">
        <w:fldChar w:fldCharType="separate"/>
      </w:r>
      <w:r w:rsidR="00335E79">
        <w:t xml:space="preserve">Figure </w:t>
      </w:r>
      <w:r w:rsidR="00335E79">
        <w:rPr>
          <w:noProof/>
        </w:rPr>
        <w:t>5</w:t>
      </w:r>
      <w:r w:rsidR="00335E79">
        <w:noBreakHyphen/>
      </w:r>
      <w:r w:rsidR="00335E79">
        <w:rPr>
          <w:noProof/>
        </w:rPr>
        <w:t>26</w:t>
      </w:r>
      <w:r w:rsidR="00735DDC">
        <w:fldChar w:fldCharType="end"/>
      </w:r>
      <w:r w:rsidR="00735DDC">
        <w:t>)</w:t>
      </w:r>
      <w:r>
        <w:t xml:space="preserve">: </w:t>
      </w:r>
    </w:p>
    <w:p w14:paraId="4E6F144C" w14:textId="79FCCD65" w:rsidR="00D9345C" w:rsidRDefault="00D9345C" w:rsidP="00217A03">
      <w:pPr>
        <w:pStyle w:val="Body"/>
        <w:numPr>
          <w:ilvl w:val="0"/>
          <w:numId w:val="70"/>
        </w:numPr>
      </w:pPr>
      <w:r>
        <w:t xml:space="preserve">For travel time </w:t>
      </w:r>
      <w:r w:rsidRPr="00D9345C">
        <w:rPr>
          <w:i/>
        </w:rPr>
        <w:t>t</w:t>
      </w:r>
      <w:r>
        <w:t xml:space="preserve"> = 10 years: DAF = </w:t>
      </w:r>
      <w:r w:rsidR="00D10D81" w:rsidRPr="00137C6C">
        <w:t>6.2</w:t>
      </w:r>
      <w:r w:rsidR="00695EFE" w:rsidRPr="00137C6C">
        <w:t xml:space="preserve"> </w:t>
      </w:r>
      <w:r>
        <w:t>if only chemical/biological degradation and sorption is accounted for and DAF =</w:t>
      </w:r>
      <w:r w:rsidR="00695EFE" w:rsidRPr="00137C6C">
        <w:t xml:space="preserve"> 5.6</w:t>
      </w:r>
      <w:r w:rsidR="00B36B8E" w:rsidRPr="00137C6C">
        <w:t>4</w:t>
      </w:r>
      <w:r w:rsidR="00695EFE" w:rsidRPr="00137C6C">
        <w:t xml:space="preserve">E3 when </w:t>
      </w:r>
      <w:r>
        <w:t xml:space="preserve">also </w:t>
      </w:r>
      <w:r w:rsidR="00695EFE" w:rsidRPr="00137C6C">
        <w:t>dilution/dispersion is accounted for</w:t>
      </w:r>
      <w:r w:rsidR="00D10D81" w:rsidRPr="00137C6C">
        <w:t xml:space="preserve">, </w:t>
      </w:r>
    </w:p>
    <w:p w14:paraId="128FA0F0" w14:textId="66A5AF44" w:rsidR="00D9345C" w:rsidRDefault="00D9345C" w:rsidP="00217A03">
      <w:pPr>
        <w:pStyle w:val="Body"/>
        <w:numPr>
          <w:ilvl w:val="0"/>
          <w:numId w:val="70"/>
        </w:numPr>
      </w:pPr>
      <w:r>
        <w:t xml:space="preserve">For travel time </w:t>
      </w:r>
      <w:r w:rsidRPr="00D9345C">
        <w:rPr>
          <w:i/>
        </w:rPr>
        <w:t>t</w:t>
      </w:r>
      <w:r>
        <w:t xml:space="preserve"> = 34 years: DAF = </w:t>
      </w:r>
      <w:r w:rsidR="00D10D81" w:rsidRPr="00137C6C">
        <w:t>475</w:t>
      </w:r>
      <w:r w:rsidR="00695EFE" w:rsidRPr="00137C6C">
        <w:t xml:space="preserve"> </w:t>
      </w:r>
      <w:r>
        <w:t>if only chemical/biological degradation and sorption is accounted for and DAF =</w:t>
      </w:r>
      <w:r w:rsidRPr="00137C6C">
        <w:t xml:space="preserve"> </w:t>
      </w:r>
      <w:r w:rsidR="00695EFE" w:rsidRPr="00137C6C">
        <w:t>2.</w:t>
      </w:r>
      <w:r w:rsidR="00137C6C" w:rsidRPr="00137C6C">
        <w:t>0</w:t>
      </w:r>
      <w:r w:rsidR="00695EFE" w:rsidRPr="00137C6C">
        <w:t xml:space="preserve">8E6 when </w:t>
      </w:r>
      <w:r>
        <w:t xml:space="preserve">also </w:t>
      </w:r>
      <w:r w:rsidR="00695EFE" w:rsidRPr="00137C6C">
        <w:t>dilution/dispersion is accounted for</w:t>
      </w:r>
      <w:r w:rsidR="00D10D81" w:rsidRPr="00137C6C">
        <w:t xml:space="preserve">, and </w:t>
      </w:r>
    </w:p>
    <w:p w14:paraId="33DD2BEF" w14:textId="4167EBDF" w:rsidR="00D9345C" w:rsidRDefault="00D9345C" w:rsidP="00217A03">
      <w:pPr>
        <w:pStyle w:val="Body"/>
        <w:numPr>
          <w:ilvl w:val="0"/>
          <w:numId w:val="70"/>
        </w:numPr>
      </w:pPr>
      <w:r>
        <w:t xml:space="preserve">For travel time </w:t>
      </w:r>
      <w:r w:rsidRPr="00D9345C">
        <w:rPr>
          <w:i/>
        </w:rPr>
        <w:t>t</w:t>
      </w:r>
      <w:r>
        <w:t xml:space="preserve"> = 92 years: DAF =</w:t>
      </w:r>
      <w:r w:rsidR="00D10D81" w:rsidRPr="00137C6C">
        <w:t>1.</w:t>
      </w:r>
      <w:r w:rsidR="00137C6C" w:rsidRPr="00137C6C">
        <w:t>8</w:t>
      </w:r>
      <w:r w:rsidR="00D10D81" w:rsidRPr="00137C6C">
        <w:t>5E+7</w:t>
      </w:r>
      <w:r w:rsidR="00695EFE" w:rsidRPr="00137C6C">
        <w:t xml:space="preserve"> </w:t>
      </w:r>
      <w:r>
        <w:t xml:space="preserve">if only chemical/biological degradation and sorption is accounted for and DAF </w:t>
      </w:r>
      <w:r w:rsidR="00695EFE" w:rsidRPr="00137C6C">
        <w:t xml:space="preserve">&gt; 1E10 when </w:t>
      </w:r>
      <w:r>
        <w:t xml:space="preserve">also </w:t>
      </w:r>
      <w:r w:rsidR="00695EFE" w:rsidRPr="00137C6C">
        <w:t>dilution/dispersion is accounted for</w:t>
      </w:r>
      <w:r w:rsidR="00D10D81" w:rsidRPr="00137C6C">
        <w:t>.</w:t>
      </w:r>
      <w:r w:rsidR="00D10D81">
        <w:t xml:space="preserve"> </w:t>
      </w:r>
    </w:p>
    <w:p w14:paraId="14747459" w14:textId="57B27013" w:rsidR="00D10D81" w:rsidRDefault="00D10D81" w:rsidP="00D9345C">
      <w:pPr>
        <w:pStyle w:val="Body"/>
      </w:pPr>
      <w:r>
        <w:t>For these travel times, also the linear distance between the CSG well and specific receptor is known: in this case these are 0.5, 1.4, and 3.5 km. In other words, one now has t</w:t>
      </w:r>
      <w:r w:rsidR="00695EFE">
        <w:t>he following data sets: {DAF=5.6</w:t>
      </w:r>
      <w:r w:rsidR="00137C6C">
        <w:t>4E3, 0.5 km}, {DAF=2.0</w:t>
      </w:r>
      <w:r w:rsidR="00695EFE">
        <w:t>8E6</w:t>
      </w:r>
      <w:r>
        <w:t xml:space="preserve">, 1.4 km}, and {DAF = </w:t>
      </w:r>
      <w:r w:rsidR="00695EFE">
        <w:t>&gt;1</w:t>
      </w:r>
      <w:r>
        <w:t>E</w:t>
      </w:r>
      <w:r w:rsidR="00695EFE">
        <w:t>10</w:t>
      </w:r>
      <w:r>
        <w:t>, 3.5 km}. From the frequency</w:t>
      </w:r>
      <w:r w:rsidR="00F75B56">
        <w:t>-proximity</w:t>
      </w:r>
      <w:r>
        <w:t xml:space="preserve"> curve, the likelihood for the proximities 0.5, 1.4, and 3.5 </w:t>
      </w:r>
      <w:r w:rsidR="00F37909">
        <w:t xml:space="preserve">km </w:t>
      </w:r>
      <w:r>
        <w:t>can be derived. These are 0.0</w:t>
      </w:r>
      <w:r w:rsidR="00F37909">
        <w:t>1</w:t>
      </w:r>
      <w:r>
        <w:t>5%, 0.</w:t>
      </w:r>
      <w:r w:rsidR="00F37909">
        <w:t>04</w:t>
      </w:r>
      <w:r>
        <w:t xml:space="preserve">%, and </w:t>
      </w:r>
      <w:r w:rsidR="00F37909">
        <w:t>0.</w:t>
      </w:r>
      <w:r>
        <w:t>2</w:t>
      </w:r>
      <w:r w:rsidR="00F37909">
        <w:t>5</w:t>
      </w:r>
      <w:r>
        <w:t>%</w:t>
      </w:r>
      <w:r w:rsidR="00F37909">
        <w:t>; note these probabilities represent probability of non-exceedance</w:t>
      </w:r>
      <w:r>
        <w:t xml:space="preserve">. This means that </w:t>
      </w:r>
      <w:r w:rsidR="00F37909">
        <w:t xml:space="preserve">the probability of having </w:t>
      </w:r>
      <w:r>
        <w:t xml:space="preserve">a DAF value </w:t>
      </w:r>
      <w:r w:rsidR="00F37909">
        <w:t>less than or equal to</w:t>
      </w:r>
      <w:r>
        <w:t xml:space="preserve"> </w:t>
      </w:r>
      <w:r w:rsidR="00695EFE">
        <w:t>5.6</w:t>
      </w:r>
      <w:r w:rsidR="00137C6C">
        <w:t>4</w:t>
      </w:r>
      <w:r w:rsidR="00695EFE">
        <w:t>E3</w:t>
      </w:r>
      <w:r>
        <w:t xml:space="preserve"> </w:t>
      </w:r>
      <w:r w:rsidR="00F37909">
        <w:t xml:space="preserve">is </w:t>
      </w:r>
      <w:r>
        <w:t>0.0</w:t>
      </w:r>
      <w:r w:rsidR="00F37909">
        <w:t>1</w:t>
      </w:r>
      <w:r>
        <w:t xml:space="preserve">5%, whereas </w:t>
      </w:r>
      <w:r w:rsidR="00F37909">
        <w:t xml:space="preserve">the probability of having </w:t>
      </w:r>
      <w:r>
        <w:t xml:space="preserve">a DAF value </w:t>
      </w:r>
      <w:r w:rsidR="00F37909">
        <w:t>less than or equal to</w:t>
      </w:r>
      <w:r>
        <w:t xml:space="preserve"> </w:t>
      </w:r>
      <w:r w:rsidR="00695EFE">
        <w:t>1</w:t>
      </w:r>
      <w:r>
        <w:t>E</w:t>
      </w:r>
      <w:r w:rsidR="00695EFE">
        <w:t>10</w:t>
      </w:r>
      <w:r>
        <w:t xml:space="preserve"> </w:t>
      </w:r>
      <w:r w:rsidR="00F75B56">
        <w:t xml:space="preserve">is </w:t>
      </w:r>
      <w:r w:rsidR="00F37909">
        <w:t>0.</w:t>
      </w:r>
      <w:r>
        <w:t>2</w:t>
      </w:r>
      <w:r w:rsidR="00F37909">
        <w:t>5</w:t>
      </w:r>
      <w:r>
        <w:t>%</w:t>
      </w:r>
      <w:r w:rsidR="00CF2529">
        <w:t xml:space="preserve">. </w:t>
      </w:r>
      <w:r w:rsidR="00F37909">
        <w:t>Or</w:t>
      </w:r>
      <w:r w:rsidR="00F75B56">
        <w:t>,</w:t>
      </w:r>
      <w:r w:rsidR="00F37909">
        <w:t xml:space="preserve"> conversely, the probability of having a DAF value larger than </w:t>
      </w:r>
      <w:r w:rsidR="00695EFE">
        <w:t>5.6</w:t>
      </w:r>
      <w:r w:rsidR="00137C6C">
        <w:t>4</w:t>
      </w:r>
      <w:r w:rsidR="00695EFE">
        <w:t>E3</w:t>
      </w:r>
      <w:r w:rsidR="00F37909">
        <w:t xml:space="preserve"> is 100-0.015 = 99.985% and the probability of having a DAF value larger than 1.E</w:t>
      </w:r>
      <w:r w:rsidR="00695EFE">
        <w:t>10</w:t>
      </w:r>
      <w:r w:rsidR="00F37909">
        <w:t xml:space="preserve"> is 100 – 0.25% = 99.75 %. </w:t>
      </w:r>
      <w:r w:rsidR="00CF2529">
        <w:t xml:space="preserve">Clearly, the higher DAF values are much more likely than the small DAF values. </w:t>
      </w:r>
      <w:r w:rsidR="005E4893">
        <w:t>Similar analyses can be undertaken for the other assets and other chemicals.</w:t>
      </w:r>
      <w:r>
        <w:t xml:space="preserve">  </w:t>
      </w:r>
    </w:p>
    <w:p w14:paraId="6E1CC3FB" w14:textId="30E3FD10" w:rsidR="00F75B56" w:rsidRDefault="00F75B56" w:rsidP="00F75B56">
      <w:pPr>
        <w:pStyle w:val="Body"/>
      </w:pPr>
      <w:r>
        <w:t>The overall conclusion from the Level-2 analysis is that all the selected organic and inorganic chemicals exhibit large to very large DAF values, with the lowest calculated DAF values (around 900) having a very low probability o</w:t>
      </w:r>
      <w:r w:rsidR="008D1240">
        <w:t>f</w:t>
      </w:r>
      <w:r>
        <w:t xml:space="preserve"> non-exceedance of less than one tenth of a percent (i.e. 0.015%, based on the data shown in </w:t>
      </w:r>
      <w:r>
        <w:fldChar w:fldCharType="begin" w:fldLock="1"/>
      </w:r>
      <w:r>
        <w:instrText xml:space="preserve"> REF _Ref454472342 \h </w:instrText>
      </w:r>
      <w:r>
        <w:fldChar w:fldCharType="separate"/>
      </w:r>
      <w:r w:rsidR="00335E79">
        <w:t xml:space="preserve">Figure </w:t>
      </w:r>
      <w:r w:rsidR="00335E79">
        <w:rPr>
          <w:noProof/>
        </w:rPr>
        <w:t>5</w:t>
      </w:r>
      <w:r w:rsidR="00335E79">
        <w:noBreakHyphen/>
      </w:r>
      <w:r w:rsidR="00335E79">
        <w:rPr>
          <w:noProof/>
        </w:rPr>
        <w:t>26</w:t>
      </w:r>
      <w:r>
        <w:fldChar w:fldCharType="end"/>
      </w:r>
      <w:r>
        <w:t xml:space="preserve">). In other words, there is a 0.015% chance </w:t>
      </w:r>
      <w:r w:rsidR="008D1240">
        <w:t xml:space="preserve">of finding </w:t>
      </w:r>
      <w:r>
        <w:t>DAF value</w:t>
      </w:r>
      <w:r w:rsidR="008D1240">
        <w:t>s smaller than</w:t>
      </w:r>
      <w:r>
        <w:t xml:space="preserve"> 900 in the case study area (a very small chance indeed). Conversely, there is a 99.985% chance </w:t>
      </w:r>
      <w:r w:rsidR="00211930">
        <w:t xml:space="preserve">(100% - 0.015%) that </w:t>
      </w:r>
      <w:r>
        <w:t xml:space="preserve">DAF values </w:t>
      </w:r>
      <w:r w:rsidR="00211930">
        <w:t xml:space="preserve">in excess of 900 </w:t>
      </w:r>
      <w:r>
        <w:t>will be encountered in the case study area. In conclusion: a DAF value as low as 900 is very rare (i.e. unlikely) in the study area; an overwhelming majority of DAF values will be much larger.</w:t>
      </w:r>
    </w:p>
    <w:p w14:paraId="77B01BE4" w14:textId="4C48451E" w:rsidR="00F75B56" w:rsidRDefault="00F75B56" w:rsidP="00F75B56">
      <w:pPr>
        <w:pStyle w:val="Body"/>
      </w:pPr>
      <w:r>
        <w:t>Even the largest calculated DAF values (&gt; 10</w:t>
      </w:r>
      <w:r w:rsidRPr="007A25F2">
        <w:rPr>
          <w:vertAlign w:val="superscript"/>
        </w:rPr>
        <w:t>10</w:t>
      </w:r>
      <w:r>
        <w:t xml:space="preserve">) </w:t>
      </w:r>
      <w:r w:rsidR="008D1240">
        <w:t xml:space="preserve">are applicable to </w:t>
      </w:r>
      <w:r>
        <w:t xml:space="preserve">more than 99.75% </w:t>
      </w:r>
      <w:r w:rsidR="008D1240">
        <w:t xml:space="preserve">(100% - 0.25%) </w:t>
      </w:r>
      <w:r>
        <w:t>of the water bores</w:t>
      </w:r>
      <w:r w:rsidR="008D1240">
        <w:t>; in fact, because 99.75% of CSG well-water bore distances are larger then 3,4 km,</w:t>
      </w:r>
      <w:r>
        <w:t xml:space="preserve"> </w:t>
      </w:r>
      <w:r w:rsidR="008D1240">
        <w:t xml:space="preserve">many water bores will have </w:t>
      </w:r>
      <w:r>
        <w:t>DAF values in excess of 10</w:t>
      </w:r>
      <w:r w:rsidRPr="007A25F2">
        <w:rPr>
          <w:vertAlign w:val="superscript"/>
        </w:rPr>
        <w:t>10</w:t>
      </w:r>
      <w:r>
        <w:t xml:space="preserve"> (based on the data shown in </w:t>
      </w:r>
      <w:r>
        <w:fldChar w:fldCharType="begin" w:fldLock="1"/>
      </w:r>
      <w:r>
        <w:instrText xml:space="preserve"> REF _Ref454472342 \h </w:instrText>
      </w:r>
      <w:r>
        <w:fldChar w:fldCharType="separate"/>
      </w:r>
      <w:r w:rsidR="00335E79">
        <w:t xml:space="preserve">Figure </w:t>
      </w:r>
      <w:r w:rsidR="00335E79">
        <w:rPr>
          <w:noProof/>
        </w:rPr>
        <w:t>5</w:t>
      </w:r>
      <w:r w:rsidR="00335E79">
        <w:noBreakHyphen/>
      </w:r>
      <w:r w:rsidR="00335E79">
        <w:rPr>
          <w:noProof/>
        </w:rPr>
        <w:t>26</w:t>
      </w:r>
      <w:r>
        <w:fldChar w:fldCharType="end"/>
      </w:r>
      <w:r>
        <w:t xml:space="preserve">). </w:t>
      </w:r>
    </w:p>
    <w:p w14:paraId="252E2E3A" w14:textId="7A309D81" w:rsidR="00F75B56" w:rsidRDefault="00F75B56" w:rsidP="00F75B56">
      <w:pPr>
        <w:pStyle w:val="Body"/>
      </w:pPr>
      <w:r>
        <w:t xml:space="preserve">DAF values for other hydrostratigraphic units within the test case area of the Gunnedah Basin will </w:t>
      </w:r>
      <w:r w:rsidR="008D1240">
        <w:t>at least have the same magnitude or higher</w:t>
      </w:r>
      <w:r>
        <w:t xml:space="preserve"> because their travel times are much longer (see</w:t>
      </w:r>
      <w:r w:rsidR="00F759C6">
        <w:t xml:space="preserve"> </w:t>
      </w:r>
      <w:r w:rsidR="004A298A">
        <w:fldChar w:fldCharType="begin" w:fldLock="1"/>
      </w:r>
      <w:r w:rsidR="004A298A">
        <w:instrText xml:space="preserve"> REF _Ref454474831 \h </w:instrText>
      </w:r>
      <w:r w:rsidR="004A298A">
        <w:fldChar w:fldCharType="separate"/>
      </w:r>
      <w:r w:rsidR="004A298A" w:rsidRPr="00DA539C">
        <w:t xml:space="preserve">Table </w:t>
      </w:r>
      <w:r w:rsidR="004A298A">
        <w:rPr>
          <w:noProof/>
        </w:rPr>
        <w:t>2</w:t>
      </w:r>
      <w:r w:rsidR="004A298A">
        <w:noBreakHyphen/>
      </w:r>
      <w:r w:rsidR="004A298A">
        <w:rPr>
          <w:noProof/>
        </w:rPr>
        <w:t>23</w:t>
      </w:r>
      <w:r w:rsidR="004A298A">
        <w:fldChar w:fldCharType="end"/>
      </w:r>
      <w:r>
        <w:t>). Even when the proximity-frequency relationships for different receptors yield higher probabilities for shorter travel distances, the very large DAF values will guarantee that the overall risk for exposure to unacceptable concentrations remains low.</w:t>
      </w:r>
      <w:r w:rsidR="005E1653">
        <w:t xml:space="preserve"> Use of these DAF values in other sedimentary basins is discussed in Section </w:t>
      </w:r>
      <w:r w:rsidR="005E1653">
        <w:fldChar w:fldCharType="begin" w:fldLock="1"/>
      </w:r>
      <w:r w:rsidR="005E1653">
        <w:instrText xml:space="preserve"> REF _Ref477011490 \r \h </w:instrText>
      </w:r>
      <w:r w:rsidR="005E1653">
        <w:fldChar w:fldCharType="separate"/>
      </w:r>
      <w:r w:rsidR="005E1653">
        <w:t>5.6.3</w:t>
      </w:r>
      <w:r w:rsidR="005E1653">
        <w:fldChar w:fldCharType="end"/>
      </w:r>
      <w:r w:rsidR="005E1653">
        <w:t xml:space="preserve">.  </w:t>
      </w:r>
    </w:p>
    <w:p w14:paraId="52A02B56" w14:textId="57079323" w:rsidR="00D10D81" w:rsidRDefault="00D67CAB" w:rsidP="001E3301">
      <w:pPr>
        <w:pStyle w:val="Body"/>
      </w:pPr>
      <w:r w:rsidRPr="00D67CAB">
        <w:rPr>
          <w:noProof/>
          <w:lang w:val="en-AU" w:eastAsia="en-AU"/>
        </w:rPr>
        <w:drawing>
          <wp:inline distT="0" distB="0" distL="0" distR="0" wp14:anchorId="71940B6A" wp14:editId="26BF17A0">
            <wp:extent cx="5727700" cy="4312386"/>
            <wp:effectExtent l="0" t="0" r="6350" b="0"/>
            <wp:docPr id="91" name="Picture 91" descr="Side-by-side charts corresponding proximities to CSG well and DAF values for 2-methylphenol." title="Fig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727700" cy="4312386"/>
                    </a:xfrm>
                    <a:prstGeom prst="rect">
                      <a:avLst/>
                    </a:prstGeom>
                    <a:noFill/>
                    <a:ln>
                      <a:noFill/>
                    </a:ln>
                  </pic:spPr>
                </pic:pic>
              </a:graphicData>
            </a:graphic>
          </wp:inline>
        </w:drawing>
      </w:r>
    </w:p>
    <w:p w14:paraId="4FE1BA79" w14:textId="2E8DF26F" w:rsidR="00905B24" w:rsidRDefault="00D10D81" w:rsidP="007D42FE">
      <w:pPr>
        <w:pStyle w:val="Imagecaption"/>
      </w:pPr>
      <w:bookmarkStart w:id="715" w:name="_Ref454472342"/>
      <w:bookmarkStart w:id="716" w:name="_Toc477347668"/>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26</w:t>
      </w:r>
      <w:r w:rsidR="00254026">
        <w:fldChar w:fldCharType="end"/>
      </w:r>
      <w:bookmarkEnd w:id="715"/>
      <w:r>
        <w:t xml:space="preserve"> Combination of frequency distribution of proximities (distance between CSG well and receptor) and DAF values for 2-methylphenol.</w:t>
      </w:r>
      <w:r w:rsidR="001A0793">
        <w:t xml:space="preserve"> Right panel shows DAF values based on chemical/biological degradation and sorption only (top) and DAF values accounting for all three attenuation processes (chemical/biological degradation and sorption and dilution/dispersion). DAF values representative for Pilliga Sandstone conditions.</w:t>
      </w:r>
      <w:bookmarkEnd w:id="716"/>
      <w:r w:rsidR="001A0793">
        <w:t xml:space="preserve"> </w:t>
      </w:r>
    </w:p>
    <w:p w14:paraId="316FD818" w14:textId="77777777" w:rsidR="005E1653" w:rsidRPr="005E1653" w:rsidRDefault="005E1653" w:rsidP="00217A03">
      <w:pPr>
        <w:pStyle w:val="Body"/>
      </w:pPr>
    </w:p>
    <w:p w14:paraId="2AC1CC23" w14:textId="77777777" w:rsidR="005E1653" w:rsidRDefault="005E1653" w:rsidP="00217A03">
      <w:pPr>
        <w:pStyle w:val="Body"/>
        <w:rPr>
          <w:rFonts w:ascii="Calibri-Bold" w:hAnsi="Calibri-Bold" w:cs="Calibri-Bold"/>
          <w:b/>
          <w:bCs/>
          <w:color w:val="00AEEF"/>
          <w:sz w:val="30"/>
          <w:szCs w:val="30"/>
        </w:rPr>
      </w:pPr>
    </w:p>
    <w:p w14:paraId="67C13620" w14:textId="77777777" w:rsidR="005E1653" w:rsidRDefault="005E1653" w:rsidP="00217A03">
      <w:pPr>
        <w:pStyle w:val="Body"/>
        <w:rPr>
          <w:rFonts w:ascii="Calibri-Bold" w:hAnsi="Calibri-Bold" w:cs="Calibri-Bold"/>
          <w:b/>
          <w:bCs/>
          <w:color w:val="00AEEF"/>
          <w:sz w:val="30"/>
          <w:szCs w:val="30"/>
        </w:rPr>
      </w:pPr>
    </w:p>
    <w:p w14:paraId="0C4EC6C9" w14:textId="77777777" w:rsidR="005E1653" w:rsidRDefault="005E1653" w:rsidP="00217A03">
      <w:pPr>
        <w:pStyle w:val="Body"/>
        <w:rPr>
          <w:rFonts w:ascii="Calibri-Bold" w:hAnsi="Calibri-Bold" w:cs="Calibri-Bold"/>
          <w:b/>
          <w:bCs/>
          <w:color w:val="00AEEF"/>
          <w:sz w:val="30"/>
          <w:szCs w:val="30"/>
        </w:rPr>
      </w:pPr>
    </w:p>
    <w:p w14:paraId="452CC331" w14:textId="77777777" w:rsidR="005E1653" w:rsidRDefault="005E1653" w:rsidP="00217A03">
      <w:pPr>
        <w:pStyle w:val="Body"/>
        <w:rPr>
          <w:rFonts w:ascii="Calibri-Bold" w:hAnsi="Calibri-Bold" w:cs="Calibri-Bold"/>
          <w:b/>
          <w:bCs/>
          <w:color w:val="00AEEF"/>
          <w:sz w:val="30"/>
          <w:szCs w:val="30"/>
        </w:rPr>
      </w:pPr>
    </w:p>
    <w:p w14:paraId="61491527" w14:textId="77777777" w:rsidR="005E1653" w:rsidRDefault="005E1653" w:rsidP="00217A03">
      <w:pPr>
        <w:pStyle w:val="Body"/>
        <w:rPr>
          <w:rFonts w:ascii="Calibri-Bold" w:hAnsi="Calibri-Bold" w:cs="Calibri-Bold"/>
          <w:b/>
          <w:bCs/>
          <w:color w:val="00AEEF"/>
          <w:sz w:val="30"/>
          <w:szCs w:val="30"/>
        </w:rPr>
      </w:pPr>
    </w:p>
    <w:p w14:paraId="4BBD57A7" w14:textId="77777777" w:rsidR="005E1653" w:rsidRDefault="005E1653" w:rsidP="00217A03">
      <w:pPr>
        <w:pStyle w:val="Body"/>
        <w:rPr>
          <w:rFonts w:ascii="Calibri-Bold" w:hAnsi="Calibri-Bold" w:cs="Calibri-Bold"/>
          <w:b/>
          <w:bCs/>
          <w:color w:val="00AEEF"/>
          <w:sz w:val="30"/>
          <w:szCs w:val="30"/>
        </w:rPr>
      </w:pPr>
    </w:p>
    <w:p w14:paraId="08DAD737" w14:textId="77777777" w:rsidR="005E1653" w:rsidRDefault="005E1653" w:rsidP="00217A03">
      <w:pPr>
        <w:pStyle w:val="Body"/>
        <w:rPr>
          <w:rFonts w:ascii="Calibri-Bold" w:hAnsi="Calibri-Bold" w:cs="Calibri-Bold"/>
          <w:b/>
          <w:bCs/>
          <w:color w:val="00AEEF"/>
          <w:sz w:val="30"/>
          <w:szCs w:val="30"/>
        </w:rPr>
      </w:pPr>
    </w:p>
    <w:p w14:paraId="4E7F0A35" w14:textId="77777777" w:rsidR="005E1653" w:rsidRDefault="005E1653" w:rsidP="00217A03">
      <w:pPr>
        <w:pStyle w:val="Body"/>
        <w:rPr>
          <w:rFonts w:ascii="Calibri-Bold" w:hAnsi="Calibri-Bold" w:cs="Calibri-Bold"/>
          <w:b/>
          <w:bCs/>
          <w:color w:val="00AEEF"/>
          <w:sz w:val="30"/>
          <w:szCs w:val="30"/>
        </w:rPr>
      </w:pPr>
    </w:p>
    <w:p w14:paraId="6C867D9E" w14:textId="111004F0" w:rsidR="00905B24" w:rsidRDefault="00905B24" w:rsidP="00151689">
      <w:pPr>
        <w:pStyle w:val="Heading2"/>
      </w:pPr>
      <w:bookmarkStart w:id="717" w:name="_Toc494444670"/>
      <w:r>
        <w:t>Appli</w:t>
      </w:r>
      <w:r w:rsidR="006C0469">
        <w:t>c</w:t>
      </w:r>
      <w:r>
        <w:t>ation to Surat Basin</w:t>
      </w:r>
      <w:bookmarkEnd w:id="717"/>
    </w:p>
    <w:p w14:paraId="0CF7AB27" w14:textId="2400C00F" w:rsidR="00905B24" w:rsidRDefault="00403BFA" w:rsidP="00403BFA">
      <w:pPr>
        <w:pStyle w:val="Heading3"/>
      </w:pPr>
      <w:bookmarkStart w:id="718" w:name="_Toc494444671"/>
      <w:r>
        <w:t>Organic substances</w:t>
      </w:r>
      <w:bookmarkEnd w:id="718"/>
    </w:p>
    <w:p w14:paraId="1CD74966" w14:textId="77777777" w:rsidR="00E06719" w:rsidRDefault="00E06719" w:rsidP="00E06719">
      <w:pPr>
        <w:pStyle w:val="Heading3"/>
        <w:numPr>
          <w:ilvl w:val="3"/>
          <w:numId w:val="1"/>
        </w:numPr>
      </w:pPr>
      <w:bookmarkStart w:id="719" w:name="_Ref477108268"/>
      <w:bookmarkStart w:id="720" w:name="_Toc494444672"/>
      <w:r>
        <w:t>Attenuation due to chemical/biological degradation</w:t>
      </w:r>
      <w:bookmarkEnd w:id="719"/>
      <w:bookmarkEnd w:id="720"/>
    </w:p>
    <w:p w14:paraId="4ADCD5FC" w14:textId="30E83FAC" w:rsidR="00E06719" w:rsidRPr="00E06719" w:rsidRDefault="00E06719" w:rsidP="00E06719">
      <w:pPr>
        <w:pStyle w:val="Body"/>
      </w:pPr>
      <w:r>
        <w:t xml:space="preserve">As demonstrated in </w:t>
      </w:r>
      <w:r w:rsidR="007C063A">
        <w:t>S</w:t>
      </w:r>
      <w:r>
        <w:t xml:space="preserve">ection </w:t>
      </w:r>
      <w:r>
        <w:fldChar w:fldCharType="begin" w:fldLock="1"/>
      </w:r>
      <w:r>
        <w:instrText xml:space="preserve"> REF _Ref467760949 \r \h </w:instrText>
      </w:r>
      <w:r>
        <w:fldChar w:fldCharType="separate"/>
      </w:r>
      <w:r w:rsidR="00335E79">
        <w:t>5.2.1.1</w:t>
      </w:r>
      <w:r>
        <w:fldChar w:fldCharType="end"/>
      </w:r>
      <w:r>
        <w:t>, the two key parameters that govern chemical/biological degradation are the compounds</w:t>
      </w:r>
      <w:r w:rsidR="00913D7C">
        <w:t>’</w:t>
      </w:r>
      <w:r>
        <w:t xml:space="preserve"> half-life and the travel time from source to receptor. </w:t>
      </w:r>
      <w:r w:rsidR="00913D7C">
        <w:t xml:space="preserve">Relevant half-lifes for the Surat Basin hydrostratigraphic units were discussed in </w:t>
      </w:r>
      <w:r w:rsidR="00913D7C" w:rsidRPr="001F5949">
        <w:fldChar w:fldCharType="begin" w:fldLock="1"/>
      </w:r>
      <w:r w:rsidR="00913D7C" w:rsidRPr="001F5949">
        <w:instrText xml:space="preserve"> REF _Ref467516820 \h  \* MERGEFORMAT </w:instrText>
      </w:r>
      <w:r w:rsidR="00913D7C" w:rsidRPr="001F5949">
        <w:fldChar w:fldCharType="separate"/>
      </w:r>
      <w:r w:rsidR="00335E79" w:rsidRPr="00DA539C">
        <w:t xml:space="preserve">Table </w:t>
      </w:r>
      <w:r w:rsidR="00335E79">
        <w:t>4</w:t>
      </w:r>
      <w:r w:rsidR="00335E79">
        <w:noBreakHyphen/>
        <w:t>6</w:t>
      </w:r>
      <w:r w:rsidR="00913D7C" w:rsidRPr="001F5949">
        <w:fldChar w:fldCharType="end"/>
      </w:r>
      <w:r w:rsidR="00913D7C" w:rsidRPr="001F5949">
        <w:t>.</w:t>
      </w:r>
      <w:r w:rsidR="00913D7C">
        <w:t xml:space="preserve"> </w:t>
      </w:r>
      <w:r w:rsidR="00801DDB">
        <w:t>For reasons of conservatism (transport distance to receptors are much larger in the Surat Basin compared to those in the Pilliga Sandstone), the generic results based on a minimum travel time (</w:t>
      </w:r>
      <w:r w:rsidR="001110D8">
        <w:fldChar w:fldCharType="begin" w:fldLock="1"/>
      </w:r>
      <w:r w:rsidR="001110D8">
        <w:instrText xml:space="preserve"> REF _Ref470864661 \h </w:instrText>
      </w:r>
      <w:r w:rsidR="001110D8">
        <w:fldChar w:fldCharType="separate"/>
      </w:r>
      <w:r w:rsidR="00335E79">
        <w:t xml:space="preserve">Table </w:t>
      </w:r>
      <w:r w:rsidR="00335E79">
        <w:rPr>
          <w:noProof/>
        </w:rPr>
        <w:t>5</w:t>
      </w:r>
      <w:r w:rsidR="00335E79">
        <w:noBreakHyphen/>
      </w:r>
      <w:r w:rsidR="00335E79">
        <w:rPr>
          <w:noProof/>
        </w:rPr>
        <w:t>2</w:t>
      </w:r>
      <w:r w:rsidR="001110D8">
        <w:fldChar w:fldCharType="end"/>
      </w:r>
      <w:r w:rsidR="00801DDB">
        <w:t xml:space="preserve">) were used to derive layer-specific dilution values (see </w:t>
      </w:r>
      <w:r w:rsidR="00801DDB">
        <w:fldChar w:fldCharType="begin" w:fldLock="1"/>
      </w:r>
      <w:r w:rsidR="00801DDB">
        <w:instrText xml:space="preserve"> REF _Ref467832674 \h  \* MERGEFORMAT </w:instrText>
      </w:r>
      <w:r w:rsidR="00801DDB">
        <w:fldChar w:fldCharType="separate"/>
      </w:r>
      <w:r w:rsidR="00335E79" w:rsidRPr="00D976C8">
        <w:t xml:space="preserve">Table </w:t>
      </w:r>
      <w:r w:rsidR="00335E79">
        <w:t>5</w:t>
      </w:r>
      <w:r w:rsidR="00335E79">
        <w:noBreakHyphen/>
        <w:t>22</w:t>
      </w:r>
      <w:r w:rsidR="00801DDB">
        <w:fldChar w:fldCharType="end"/>
      </w:r>
      <w:r w:rsidR="00801DDB">
        <w:t xml:space="preserve">). As a result, the attenuation values derived for the Surat Basin will be at least as large as those for the Gunnedah Basin. </w:t>
      </w:r>
    </w:p>
    <w:p w14:paraId="6841634B" w14:textId="77777777" w:rsidR="00913D7C" w:rsidRDefault="00913D7C" w:rsidP="00913D7C">
      <w:pPr>
        <w:pStyle w:val="Heading3"/>
        <w:numPr>
          <w:ilvl w:val="3"/>
          <w:numId w:val="1"/>
        </w:numPr>
      </w:pPr>
      <w:bookmarkStart w:id="721" w:name="_Toc494444673"/>
      <w:r>
        <w:t>Attenuation due to chemical/biological degradation and sorption</w:t>
      </w:r>
      <w:bookmarkEnd w:id="721"/>
    </w:p>
    <w:p w14:paraId="0A30F4F0" w14:textId="1E1FBE43" w:rsidR="00913D7C" w:rsidRDefault="00913D7C" w:rsidP="00905B24">
      <w:pPr>
        <w:pStyle w:val="Body"/>
      </w:pPr>
      <w:r>
        <w:t xml:space="preserve">In a second series of calculations both chemical/biological degradation and sorption was considered. The compound-specific </w:t>
      </w:r>
      <w:r w:rsidR="007C063A">
        <w:t xml:space="preserve">partition </w:t>
      </w:r>
      <w:r>
        <w:t xml:space="preserve">coefficients </w:t>
      </w:r>
      <w:r w:rsidRPr="00BD7856">
        <w:rPr>
          <w:i/>
        </w:rPr>
        <w:t>K</w:t>
      </w:r>
      <w:r w:rsidRPr="007C063A">
        <w:rPr>
          <w:vertAlign w:val="subscript"/>
        </w:rPr>
        <w:t>d</w:t>
      </w:r>
      <w:r>
        <w:t xml:space="preserve"> used for the Surat Basin </w:t>
      </w:r>
      <w:r w:rsidR="00801DDB">
        <w:t>(</w:t>
      </w:r>
      <w:r w:rsidR="00801DDB">
        <w:fldChar w:fldCharType="begin" w:fldLock="1"/>
      </w:r>
      <w:r w:rsidR="00801DDB">
        <w:instrText xml:space="preserve"> REF _Ref454469662 \h </w:instrText>
      </w:r>
      <w:r w:rsidR="00801DDB">
        <w:fldChar w:fldCharType="separate"/>
      </w:r>
      <w:r w:rsidR="00335E79">
        <w:t xml:space="preserve">Table </w:t>
      </w:r>
      <w:r w:rsidR="00335E79">
        <w:rPr>
          <w:noProof/>
        </w:rPr>
        <w:t>5</w:t>
      </w:r>
      <w:r w:rsidR="00335E79">
        <w:noBreakHyphen/>
      </w:r>
      <w:r w:rsidR="00335E79">
        <w:rPr>
          <w:noProof/>
        </w:rPr>
        <w:t>9</w:t>
      </w:r>
      <w:r w:rsidR="00801DDB">
        <w:fldChar w:fldCharType="end"/>
      </w:r>
      <w:r w:rsidR="00801DDB">
        <w:t xml:space="preserve">) </w:t>
      </w:r>
      <w:r>
        <w:t xml:space="preserve">were derived based on compound-specific baseline </w:t>
      </w:r>
      <w:r w:rsidRPr="00BD7856">
        <w:rPr>
          <w:i/>
        </w:rPr>
        <w:t>K</w:t>
      </w:r>
      <w:r w:rsidRPr="007C063A">
        <w:rPr>
          <w:vertAlign w:val="subscript"/>
        </w:rPr>
        <w:t>OC</w:t>
      </w:r>
      <w:r w:rsidRPr="007C063A">
        <w:t xml:space="preserve"> </w:t>
      </w:r>
      <w:r>
        <w:t>values and the fraction of organic carbon (</w:t>
      </w:r>
      <w:r w:rsidR="00801DDB">
        <w:t xml:space="preserve">for </w:t>
      </w:r>
      <w:r w:rsidRPr="001F5949">
        <w:rPr>
          <w:i/>
        </w:rPr>
        <w:t>f</w:t>
      </w:r>
      <w:r w:rsidRPr="007C063A">
        <w:rPr>
          <w:vertAlign w:val="subscript"/>
        </w:rPr>
        <w:t>OC</w:t>
      </w:r>
      <w:r w:rsidR="003C157A">
        <w:rPr>
          <w:vertAlign w:val="subscript"/>
        </w:rPr>
        <w:t>_r</w:t>
      </w:r>
      <w:r w:rsidR="00801DDB">
        <w:t xml:space="preserve"> values, see </w:t>
      </w:r>
      <w:r>
        <w:fldChar w:fldCharType="begin" w:fldLock="1"/>
      </w:r>
      <w:r>
        <w:instrText xml:space="preserve"> REF _Ref467528297 \h </w:instrText>
      </w:r>
      <w:r>
        <w:fldChar w:fldCharType="separate"/>
      </w:r>
      <w:r w:rsidR="00335E79">
        <w:t xml:space="preserve">Table </w:t>
      </w:r>
      <w:r w:rsidR="00335E79">
        <w:rPr>
          <w:noProof/>
        </w:rPr>
        <w:t>5</w:t>
      </w:r>
      <w:r w:rsidR="00335E79">
        <w:noBreakHyphen/>
      </w:r>
      <w:r w:rsidR="00335E79">
        <w:rPr>
          <w:noProof/>
        </w:rPr>
        <w:t>8</w:t>
      </w:r>
      <w:r>
        <w:fldChar w:fldCharType="end"/>
      </w:r>
      <w:r w:rsidR="00801DDB">
        <w:t>)</w:t>
      </w:r>
      <w:r>
        <w:t>.</w:t>
      </w:r>
      <w:r w:rsidR="00853770">
        <w:t xml:space="preserve"> As with the chemical/biological degradation, effect of sorption for specific hydrostratigraphic layers was obtained on the basis of the generic calculations (</w:t>
      </w:r>
      <w:r w:rsidR="007C063A">
        <w:t>S</w:t>
      </w:r>
      <w:r w:rsidR="00853770">
        <w:t xml:space="preserve">ection </w:t>
      </w:r>
      <w:r w:rsidR="00853770">
        <w:fldChar w:fldCharType="begin" w:fldLock="1"/>
      </w:r>
      <w:r w:rsidR="00853770">
        <w:instrText xml:space="preserve"> REF _Ref467833142 \r \h </w:instrText>
      </w:r>
      <w:r w:rsidR="00853770">
        <w:fldChar w:fldCharType="separate"/>
      </w:r>
      <w:r w:rsidR="00335E79">
        <w:t>5.2.1.2</w:t>
      </w:r>
      <w:r w:rsidR="00853770">
        <w:fldChar w:fldCharType="end"/>
      </w:r>
      <w:r w:rsidR="00853770">
        <w:t xml:space="preserve">). </w:t>
      </w:r>
    </w:p>
    <w:p w14:paraId="788412FD" w14:textId="77777777" w:rsidR="00913D7C" w:rsidRDefault="00913D7C" w:rsidP="00913D7C">
      <w:pPr>
        <w:pStyle w:val="Heading3"/>
        <w:numPr>
          <w:ilvl w:val="3"/>
          <w:numId w:val="1"/>
        </w:numPr>
      </w:pPr>
      <w:bookmarkStart w:id="722" w:name="_Toc494444674"/>
      <w:r>
        <w:t>Attenuation due to dilution and dispersion</w:t>
      </w:r>
      <w:bookmarkEnd w:id="722"/>
    </w:p>
    <w:p w14:paraId="51F9D598" w14:textId="5FD9265C" w:rsidR="00913D7C" w:rsidRDefault="00853770" w:rsidP="00905B24">
      <w:pPr>
        <w:pStyle w:val="Body"/>
      </w:pPr>
      <w:r>
        <w:t>The final and third attenuation process that will be included is the attenuation due to dilution and dispersion in groundwater. The methodology applied to the Gunnedah Basin will equally be applied to the Surat Basin layers. For reasons of conservatism (transport distances to receptors are much larger in the Surat Basin compared to those in the Pilliga Sandstone), the generic results based on a Pilliga Sandstone travel distances (from 0.5 to 3.4 km) will be used here.</w:t>
      </w:r>
      <w:r w:rsidR="00DA0980">
        <w:t xml:space="preserve"> For final results, see </w:t>
      </w:r>
      <w:r w:rsidR="00DA0980">
        <w:fldChar w:fldCharType="begin" w:fldLock="1"/>
      </w:r>
      <w:r w:rsidR="00DA0980">
        <w:instrText xml:space="preserve"> REF _Ref467832674 \h  \* MERGEFORMAT </w:instrText>
      </w:r>
      <w:r w:rsidR="00DA0980">
        <w:fldChar w:fldCharType="separate"/>
      </w:r>
      <w:r w:rsidR="00335E79" w:rsidRPr="00D976C8">
        <w:t xml:space="preserve">Table </w:t>
      </w:r>
      <w:r w:rsidR="00335E79">
        <w:t>5</w:t>
      </w:r>
      <w:r w:rsidR="00335E79">
        <w:noBreakHyphen/>
        <w:t>22</w:t>
      </w:r>
      <w:r w:rsidR="00DA0980">
        <w:fldChar w:fldCharType="end"/>
      </w:r>
      <w:r w:rsidR="00DA0980">
        <w:t>.</w:t>
      </w:r>
    </w:p>
    <w:p w14:paraId="6A3BC3F5" w14:textId="77777777" w:rsidR="00DA0980" w:rsidRPr="002665DD" w:rsidRDefault="00DA0980" w:rsidP="00DA0980">
      <w:pPr>
        <w:pStyle w:val="Heading3"/>
        <w:numPr>
          <w:ilvl w:val="3"/>
          <w:numId w:val="1"/>
        </w:numPr>
      </w:pPr>
      <w:bookmarkStart w:id="723" w:name="_Ref477108297"/>
      <w:bookmarkStart w:id="724" w:name="_Toc494444675"/>
      <w:r w:rsidRPr="002665DD">
        <w:t>Summary of attenuation potential for organic compounds</w:t>
      </w:r>
      <w:bookmarkEnd w:id="723"/>
      <w:bookmarkEnd w:id="724"/>
    </w:p>
    <w:p w14:paraId="5C4792D5" w14:textId="53D5EAB0" w:rsidR="002665DD" w:rsidRDefault="002566B1" w:rsidP="002665DD">
      <w:pPr>
        <w:pStyle w:val="Body"/>
      </w:pPr>
      <w:r>
        <w:t>The layer-specific attenuation potential, expressed by the compound-specific Dilution Attenuation Factor (DAF)</w:t>
      </w:r>
      <w:r w:rsidR="00853770">
        <w:t xml:space="preserve"> values</w:t>
      </w:r>
      <w:r>
        <w:t>,</w:t>
      </w:r>
      <w:r w:rsidR="00853770">
        <w:t xml:space="preserve"> </w:t>
      </w:r>
      <w:r>
        <w:t xml:space="preserve">are summarised </w:t>
      </w:r>
      <w:r w:rsidR="00853770">
        <w:t>in</w:t>
      </w:r>
      <w:r w:rsidR="003C157A">
        <w:t xml:space="preserve"> </w:t>
      </w:r>
      <w:r w:rsidR="003C157A">
        <w:fldChar w:fldCharType="begin" w:fldLock="1"/>
      </w:r>
      <w:r w:rsidR="003C157A">
        <w:instrText xml:space="preserve"> REF _Ref467832674 \h  \* MERGEFORMAT </w:instrText>
      </w:r>
      <w:r w:rsidR="003C157A">
        <w:fldChar w:fldCharType="separate"/>
      </w:r>
      <w:r w:rsidR="00335E79" w:rsidRPr="00D976C8">
        <w:t xml:space="preserve">Table </w:t>
      </w:r>
      <w:r w:rsidR="00335E79">
        <w:t>5</w:t>
      </w:r>
      <w:r w:rsidR="00335E79">
        <w:noBreakHyphen/>
        <w:t>22</w:t>
      </w:r>
      <w:r w:rsidR="003C157A">
        <w:fldChar w:fldCharType="end"/>
      </w:r>
      <w:r>
        <w:t>. These values</w:t>
      </w:r>
      <w:r w:rsidR="00853770">
        <w:t xml:space="preserve"> were obtained by consideration of the layers’ organic carbon content as a key factor in determining sorption, the half-life values selected in</w:t>
      </w:r>
      <w:r>
        <w:t xml:space="preserve"> </w:t>
      </w:r>
      <w:r>
        <w:fldChar w:fldCharType="begin" w:fldLock="1"/>
      </w:r>
      <w:r>
        <w:instrText xml:space="preserve"> REF _Ref467516820 \h  \* MERGEFORMAT </w:instrText>
      </w:r>
      <w:r>
        <w:fldChar w:fldCharType="separate"/>
      </w:r>
      <w:r w:rsidR="00335E79" w:rsidRPr="00DA539C">
        <w:t xml:space="preserve">Table </w:t>
      </w:r>
      <w:r w:rsidR="00335E79">
        <w:t>4</w:t>
      </w:r>
      <w:r w:rsidR="00335E79">
        <w:noBreakHyphen/>
        <w:t>6</w:t>
      </w:r>
      <w:r>
        <w:fldChar w:fldCharType="end"/>
      </w:r>
      <w:r w:rsidR="00853770">
        <w:t xml:space="preserve">, and the dilution/dispersion effect based on a minimal transport distance of 0.5 km for the </w:t>
      </w:r>
      <w:r>
        <w:t xml:space="preserve">Dawson River </w:t>
      </w:r>
      <w:r w:rsidR="00853770">
        <w:t xml:space="preserve">alluvium, </w:t>
      </w:r>
      <w:r>
        <w:t>BMO Group</w:t>
      </w:r>
      <w:r w:rsidR="00853770">
        <w:t xml:space="preserve">, and </w:t>
      </w:r>
      <w:r>
        <w:t>Gubberamunda</w:t>
      </w:r>
      <w:r w:rsidR="00853770">
        <w:t xml:space="preserve">, and a transport distance of 3.4 km for the deeper </w:t>
      </w:r>
      <w:r>
        <w:t>Springbok</w:t>
      </w:r>
      <w:r w:rsidR="00DA0980">
        <w:t xml:space="preserve"> Sandstone</w:t>
      </w:r>
      <w:r>
        <w:t>, Walloon Coal Measures and Hutton Sandstone</w:t>
      </w:r>
      <w:r w:rsidR="00853770">
        <w:t xml:space="preserve">. The 3.4 km transport distance for the </w:t>
      </w:r>
      <w:r>
        <w:t>last three formations</w:t>
      </w:r>
      <w:r w:rsidR="00853770">
        <w:t xml:space="preserve"> was the largest distance evaluated in section</w:t>
      </w:r>
      <w:r w:rsidR="005764AF">
        <w:t xml:space="preserve"> </w:t>
      </w:r>
      <w:r w:rsidR="005764AF">
        <w:fldChar w:fldCharType="begin" w:fldLock="1"/>
      </w:r>
      <w:r w:rsidR="005764AF">
        <w:instrText xml:space="preserve"> REF _Ref458951219 \r \h </w:instrText>
      </w:r>
      <w:r w:rsidR="005764AF">
        <w:fldChar w:fldCharType="separate"/>
      </w:r>
      <w:r w:rsidR="00335E79">
        <w:t>5.2.1.3</w:t>
      </w:r>
      <w:r w:rsidR="005764AF">
        <w:fldChar w:fldCharType="end"/>
      </w:r>
      <w:r w:rsidR="00853770">
        <w:t>; this value is still very conservative as transport pathways within the</w:t>
      </w:r>
      <w:r w:rsidR="00DA0980">
        <w:t>se formations are considerable longer, i.e. on average 10 km for Springbok Sandstone, 11 km for the</w:t>
      </w:r>
      <w:r w:rsidR="00853770">
        <w:t xml:space="preserve"> </w:t>
      </w:r>
      <w:r>
        <w:t>Walloon Coal Measures</w:t>
      </w:r>
      <w:r w:rsidR="00DA0980">
        <w:t>, and 33 km for the Hutton Sandstone</w:t>
      </w:r>
      <w:r w:rsidR="00853770">
        <w:t xml:space="preserve"> (see</w:t>
      </w:r>
      <w:r w:rsidR="00DA0980">
        <w:t xml:space="preserve"> </w:t>
      </w:r>
      <w:r w:rsidR="00DA0980">
        <w:fldChar w:fldCharType="begin" w:fldLock="1"/>
      </w:r>
      <w:r w:rsidR="00DA0980">
        <w:instrText xml:space="preserve"> REF _Ref458337224 \h </w:instrText>
      </w:r>
      <w:r w:rsidR="00DA0980">
        <w:fldChar w:fldCharType="separate"/>
      </w:r>
      <w:r w:rsidR="00335E79">
        <w:t xml:space="preserve">Table </w:t>
      </w:r>
      <w:r w:rsidR="00335E79">
        <w:rPr>
          <w:noProof/>
        </w:rPr>
        <w:t>2</w:t>
      </w:r>
      <w:r w:rsidR="00335E79">
        <w:noBreakHyphen/>
      </w:r>
      <w:r w:rsidR="00335E79">
        <w:rPr>
          <w:noProof/>
        </w:rPr>
        <w:t>26</w:t>
      </w:r>
      <w:r w:rsidR="00DA0980">
        <w:fldChar w:fldCharType="end"/>
      </w:r>
      <w:r w:rsidR="00853770">
        <w:t xml:space="preserve">).  </w:t>
      </w:r>
    </w:p>
    <w:p w14:paraId="6470AFAB" w14:textId="77777777" w:rsidR="00DA0980" w:rsidRDefault="00DA0980" w:rsidP="002665DD">
      <w:pPr>
        <w:pStyle w:val="Body"/>
      </w:pPr>
    </w:p>
    <w:p w14:paraId="03D4184B" w14:textId="77777777" w:rsidR="00DA0980" w:rsidRDefault="00DA0980" w:rsidP="002665DD">
      <w:pPr>
        <w:pStyle w:val="Body"/>
      </w:pPr>
    </w:p>
    <w:p w14:paraId="7AB4AAD1" w14:textId="77777777" w:rsidR="00DA0980" w:rsidRDefault="00DA0980" w:rsidP="002665DD">
      <w:pPr>
        <w:pStyle w:val="Body"/>
      </w:pPr>
    </w:p>
    <w:p w14:paraId="2D832F71" w14:textId="77777777" w:rsidR="001110D8" w:rsidRDefault="001110D8" w:rsidP="002665DD">
      <w:pPr>
        <w:pStyle w:val="Body"/>
      </w:pPr>
    </w:p>
    <w:p w14:paraId="5D54F631" w14:textId="465345CE" w:rsidR="00DA0980" w:rsidRPr="00D976C8" w:rsidRDefault="002665DD" w:rsidP="00D976C8">
      <w:pPr>
        <w:pStyle w:val="Imagecaption"/>
        <w:keepNext/>
        <w:pBdr>
          <w:top w:val="none" w:sz="0" w:space="0" w:color="auto"/>
        </w:pBdr>
      </w:pPr>
      <w:bookmarkStart w:id="725" w:name="_Ref467832674"/>
      <w:bookmarkStart w:id="726" w:name="_Toc494444750"/>
      <w:r w:rsidRPr="00D976C8">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22</w:t>
      </w:r>
      <w:r w:rsidR="00470577">
        <w:fldChar w:fldCharType="end"/>
      </w:r>
      <w:bookmarkEnd w:id="725"/>
      <w:r w:rsidRPr="00D976C8">
        <w:t xml:space="preserve">  </w:t>
      </w:r>
      <w:r w:rsidR="00DA0980" w:rsidRPr="00D976C8">
        <w:t>Table of Dilution Attenuation Factors (DAF) for Surat basin geology accounted for combined effect of chemical/biological degradation, sorption, and dilution/dispersion (organic chemicals). A = 2-methylphenol, B = Naphthalene, C = d-Limonene, D = HMX, E = 2-butoxyethanol, F = Bronopol, G = Methylchloroisothiazolinone, H = Acrylamide polymer.  For effect of chemical/biological degradation, see layer-specific half-lifes in Table 4.6. For sorption effect layer-specific f</w:t>
      </w:r>
      <w:r w:rsidR="00DA0980" w:rsidRPr="001F5949">
        <w:rPr>
          <w:vertAlign w:val="subscript"/>
        </w:rPr>
        <w:t>OC</w:t>
      </w:r>
      <w:r w:rsidR="003C157A" w:rsidRPr="001F5949">
        <w:rPr>
          <w:vertAlign w:val="subscript"/>
        </w:rPr>
        <w:t>_r</w:t>
      </w:r>
      <w:r w:rsidR="00DA0980" w:rsidRPr="001F5949">
        <w:rPr>
          <w:vertAlign w:val="subscript"/>
        </w:rPr>
        <w:t xml:space="preserve"> </w:t>
      </w:r>
      <w:r w:rsidR="00DA0980" w:rsidRPr="00D976C8">
        <w:t xml:space="preserve">values were used. For effect of dilution/dispersion </w:t>
      </w:r>
      <w:r w:rsidR="00045993">
        <w:t xml:space="preserve">a 1 ML injection volume and </w:t>
      </w:r>
      <w:r w:rsidR="00DA0980" w:rsidRPr="00D976C8">
        <w:t>travel distance of 0.5 km w</w:t>
      </w:r>
      <w:r w:rsidR="00045993">
        <w:t>as</w:t>
      </w:r>
      <w:r w:rsidR="00DA0980" w:rsidRPr="00D976C8">
        <w:t xml:space="preserve"> used for Dawson River alluvium, BMO Group, and Gubberamunda Sandstone; 3.4 km distance was used for all subsequent layers. Colour codes are as follows:  </w:t>
      </w:r>
      <w:r w:rsidR="00E93E42" w:rsidRPr="00D976C8">
        <w:t>DAF ≤ 10</w:t>
      </w:r>
      <w:r w:rsidR="00E93E42" w:rsidRPr="001F5949">
        <w:rPr>
          <w:vertAlign w:val="superscript"/>
        </w:rPr>
        <w:t>3</w:t>
      </w:r>
      <w:r w:rsidR="00E93E42" w:rsidRPr="00D976C8">
        <w:t>: green; 10</w:t>
      </w:r>
      <w:r w:rsidR="00E93E42" w:rsidRPr="001F5949">
        <w:rPr>
          <w:vertAlign w:val="superscript"/>
        </w:rPr>
        <w:t>3</w:t>
      </w:r>
      <w:r w:rsidR="00E93E42" w:rsidRPr="00D976C8">
        <w:t xml:space="preserve"> ≤ DAF&lt; 10</w:t>
      </w:r>
      <w:r w:rsidR="00E93E42" w:rsidRPr="001F5949">
        <w:rPr>
          <w:vertAlign w:val="superscript"/>
        </w:rPr>
        <w:t>6</w:t>
      </w:r>
      <w:r w:rsidR="00E93E42" w:rsidRPr="00D976C8">
        <w:t>: orange; DAF ≥ 10</w:t>
      </w:r>
      <w:r w:rsidR="00E93E42" w:rsidRPr="001F5949">
        <w:rPr>
          <w:vertAlign w:val="superscript"/>
        </w:rPr>
        <w:t>6</w:t>
      </w:r>
      <w:r w:rsidR="00E93E42" w:rsidRPr="00D976C8">
        <w:t>: blue.</w:t>
      </w:r>
      <w:bookmarkEnd w:id="726"/>
    </w:p>
    <w:tbl>
      <w:tblPr>
        <w:tblStyle w:val="TableGrid"/>
        <w:tblW w:w="8926" w:type="dxa"/>
        <w:tblLayout w:type="fixed"/>
        <w:tblLook w:val="04A0" w:firstRow="1" w:lastRow="0" w:firstColumn="1" w:lastColumn="0" w:noHBand="0" w:noVBand="1"/>
      </w:tblPr>
      <w:tblGrid>
        <w:gridCol w:w="1129"/>
        <w:gridCol w:w="993"/>
        <w:gridCol w:w="911"/>
        <w:gridCol w:w="931"/>
        <w:gridCol w:w="993"/>
        <w:gridCol w:w="708"/>
        <w:gridCol w:w="709"/>
        <w:gridCol w:w="709"/>
        <w:gridCol w:w="850"/>
        <w:gridCol w:w="993"/>
      </w:tblGrid>
      <w:tr w:rsidR="002665DD" w:rsidRPr="00E6110F" w14:paraId="30FD2D48" w14:textId="77777777" w:rsidTr="00CB0E5B">
        <w:trPr>
          <w:trHeight w:val="115"/>
        </w:trPr>
        <w:tc>
          <w:tcPr>
            <w:tcW w:w="1129" w:type="dxa"/>
            <w:vMerge w:val="restart"/>
            <w:shd w:val="clear" w:color="auto" w:fill="F2F2F2" w:themeFill="background1" w:themeFillShade="F2"/>
          </w:tcPr>
          <w:p w14:paraId="5C190068" w14:textId="77777777" w:rsidR="002665DD" w:rsidRPr="00E6110F" w:rsidRDefault="002665DD" w:rsidP="00E93E42">
            <w:pPr>
              <w:pStyle w:val="Body"/>
              <w:jc w:val="center"/>
            </w:pPr>
            <w:r w:rsidRPr="00E6110F">
              <w:t>Geology</w:t>
            </w:r>
          </w:p>
        </w:tc>
        <w:tc>
          <w:tcPr>
            <w:tcW w:w="993" w:type="dxa"/>
            <w:vMerge w:val="restart"/>
            <w:shd w:val="clear" w:color="auto" w:fill="F2F2F2" w:themeFill="background1" w:themeFillShade="F2"/>
          </w:tcPr>
          <w:p w14:paraId="46317983" w14:textId="2700E96A" w:rsidR="002665DD" w:rsidRPr="00E6110F" w:rsidRDefault="002665DD" w:rsidP="00E93E42">
            <w:pPr>
              <w:jc w:val="center"/>
              <w:rPr>
                <w:rFonts w:ascii="Calibri" w:hAnsi="Calibri" w:cs="Calibri"/>
                <w:color w:val="000000"/>
                <w:sz w:val="18"/>
                <w:szCs w:val="18"/>
                <w:lang w:val="en-GB"/>
              </w:rPr>
            </w:pPr>
            <w:r w:rsidRPr="00E6110F">
              <w:rPr>
                <w:rFonts w:ascii="Calibri" w:hAnsi="Calibri" w:cs="Calibri"/>
                <w:i/>
                <w:color w:val="000000"/>
                <w:sz w:val="18"/>
                <w:szCs w:val="18"/>
                <w:lang w:val="en-GB"/>
              </w:rPr>
              <w:t>f</w:t>
            </w:r>
            <w:r w:rsidRPr="00E6110F">
              <w:rPr>
                <w:rFonts w:ascii="Calibri" w:hAnsi="Calibri" w:cs="Calibri"/>
                <w:color w:val="000000"/>
                <w:sz w:val="18"/>
                <w:szCs w:val="18"/>
                <w:vertAlign w:val="subscript"/>
                <w:lang w:val="en-GB"/>
              </w:rPr>
              <w:t>OC</w:t>
            </w:r>
            <w:r w:rsidR="00CB0E5B">
              <w:rPr>
                <w:rFonts w:ascii="Calibri" w:hAnsi="Calibri" w:cs="Calibri"/>
                <w:color w:val="000000"/>
                <w:sz w:val="18"/>
                <w:szCs w:val="18"/>
                <w:vertAlign w:val="subscript"/>
                <w:lang w:val="en-GB"/>
              </w:rPr>
              <w:t>_r</w:t>
            </w:r>
            <w:r w:rsidRPr="00E6110F">
              <w:rPr>
                <w:rFonts w:ascii="Calibri" w:hAnsi="Calibri" w:cs="Calibri"/>
                <w:color w:val="000000"/>
                <w:sz w:val="18"/>
                <w:szCs w:val="18"/>
                <w:lang w:val="en-GB"/>
              </w:rPr>
              <w:t xml:space="preserve"> (g/g)</w:t>
            </w:r>
          </w:p>
        </w:tc>
        <w:tc>
          <w:tcPr>
            <w:tcW w:w="6804" w:type="dxa"/>
            <w:gridSpan w:val="8"/>
            <w:shd w:val="clear" w:color="auto" w:fill="F2F2F2" w:themeFill="background1" w:themeFillShade="F2"/>
          </w:tcPr>
          <w:p w14:paraId="730F675C" w14:textId="4C6F269C" w:rsidR="002665DD" w:rsidRPr="00E6110F" w:rsidRDefault="00A71C39" w:rsidP="005A1156">
            <w:pPr>
              <w:jc w:val="center"/>
              <w:rPr>
                <w:rFonts w:ascii="Calibri" w:hAnsi="Calibri" w:cs="Calibri"/>
                <w:color w:val="000000"/>
                <w:sz w:val="18"/>
                <w:szCs w:val="18"/>
                <w:lang w:val="en-GB"/>
              </w:rPr>
            </w:pPr>
            <w:r>
              <w:rPr>
                <w:rFonts w:ascii="Calibri" w:hAnsi="Calibri" w:cs="Calibri"/>
                <w:color w:val="000000"/>
                <w:sz w:val="18"/>
                <w:szCs w:val="18"/>
                <w:lang w:val="en-GB"/>
              </w:rPr>
              <w:t>Dilution Attenuation Factor (DAF)</w:t>
            </w:r>
          </w:p>
        </w:tc>
      </w:tr>
      <w:tr w:rsidR="003C157A" w:rsidRPr="00E6110F" w14:paraId="7D530663" w14:textId="77777777" w:rsidTr="00CB0E5B">
        <w:trPr>
          <w:trHeight w:val="114"/>
        </w:trPr>
        <w:tc>
          <w:tcPr>
            <w:tcW w:w="1129" w:type="dxa"/>
            <w:vMerge/>
            <w:shd w:val="clear" w:color="auto" w:fill="F2F2F2" w:themeFill="background1" w:themeFillShade="F2"/>
          </w:tcPr>
          <w:p w14:paraId="7BBEFC8B" w14:textId="77777777" w:rsidR="002665DD" w:rsidRPr="00E6110F" w:rsidRDefault="002665DD" w:rsidP="00E93E42">
            <w:pPr>
              <w:pStyle w:val="Body"/>
              <w:jc w:val="center"/>
            </w:pPr>
          </w:p>
        </w:tc>
        <w:tc>
          <w:tcPr>
            <w:tcW w:w="993" w:type="dxa"/>
            <w:vMerge/>
            <w:shd w:val="clear" w:color="auto" w:fill="F2F2F2" w:themeFill="background1" w:themeFillShade="F2"/>
          </w:tcPr>
          <w:p w14:paraId="68EB5515" w14:textId="77777777" w:rsidR="002665DD" w:rsidRPr="00E6110F" w:rsidRDefault="002665DD" w:rsidP="00E93E42">
            <w:pPr>
              <w:jc w:val="center"/>
              <w:rPr>
                <w:rFonts w:ascii="Calibri" w:hAnsi="Calibri" w:cs="Calibri"/>
                <w:color w:val="000000"/>
                <w:sz w:val="18"/>
                <w:szCs w:val="18"/>
                <w:lang w:val="en-GB"/>
              </w:rPr>
            </w:pPr>
          </w:p>
        </w:tc>
        <w:tc>
          <w:tcPr>
            <w:tcW w:w="911" w:type="dxa"/>
            <w:tcBorders>
              <w:bottom w:val="single" w:sz="4" w:space="0" w:color="auto"/>
            </w:tcBorders>
            <w:shd w:val="clear" w:color="auto" w:fill="F2F2F2" w:themeFill="background1" w:themeFillShade="F2"/>
          </w:tcPr>
          <w:p w14:paraId="272BF8BF" w14:textId="77777777" w:rsidR="002665DD" w:rsidRPr="00E6110F" w:rsidRDefault="002665DD" w:rsidP="00E93E42">
            <w:pPr>
              <w:jc w:val="center"/>
              <w:rPr>
                <w:rFonts w:ascii="Calibri" w:hAnsi="Calibri" w:cs="Calibri"/>
                <w:color w:val="000000"/>
                <w:sz w:val="18"/>
                <w:szCs w:val="18"/>
                <w:lang w:val="en-GB"/>
              </w:rPr>
            </w:pPr>
            <w:r>
              <w:rPr>
                <w:rFonts w:ascii="Calibri" w:hAnsi="Calibri" w:cs="Calibri"/>
                <w:color w:val="000000"/>
                <w:sz w:val="18"/>
                <w:szCs w:val="18"/>
                <w:lang w:val="en-GB"/>
              </w:rPr>
              <w:t>A</w:t>
            </w:r>
          </w:p>
        </w:tc>
        <w:tc>
          <w:tcPr>
            <w:tcW w:w="931" w:type="dxa"/>
            <w:tcBorders>
              <w:bottom w:val="single" w:sz="4" w:space="0" w:color="auto"/>
            </w:tcBorders>
            <w:shd w:val="clear" w:color="auto" w:fill="F2F2F2" w:themeFill="background1" w:themeFillShade="F2"/>
          </w:tcPr>
          <w:p w14:paraId="5CF2835D" w14:textId="77777777" w:rsidR="002665DD" w:rsidRPr="00E6110F" w:rsidRDefault="002665DD" w:rsidP="00E93E42">
            <w:pPr>
              <w:jc w:val="center"/>
              <w:rPr>
                <w:rFonts w:ascii="Calibri" w:hAnsi="Calibri" w:cs="Calibri"/>
                <w:color w:val="000000"/>
                <w:sz w:val="18"/>
                <w:szCs w:val="18"/>
                <w:lang w:val="en-GB"/>
              </w:rPr>
            </w:pPr>
            <w:r>
              <w:rPr>
                <w:rFonts w:ascii="Calibri" w:hAnsi="Calibri" w:cs="Calibri"/>
                <w:color w:val="000000"/>
                <w:sz w:val="18"/>
                <w:szCs w:val="18"/>
                <w:lang w:val="en-GB"/>
              </w:rPr>
              <w:t>B</w:t>
            </w:r>
          </w:p>
        </w:tc>
        <w:tc>
          <w:tcPr>
            <w:tcW w:w="993" w:type="dxa"/>
            <w:tcBorders>
              <w:bottom w:val="single" w:sz="4" w:space="0" w:color="auto"/>
            </w:tcBorders>
            <w:shd w:val="clear" w:color="auto" w:fill="F2F2F2" w:themeFill="background1" w:themeFillShade="F2"/>
          </w:tcPr>
          <w:p w14:paraId="5EA667AA" w14:textId="77777777" w:rsidR="002665DD" w:rsidRPr="00E6110F" w:rsidRDefault="002665DD" w:rsidP="00E93E42">
            <w:pPr>
              <w:jc w:val="center"/>
              <w:rPr>
                <w:rFonts w:ascii="Calibri" w:hAnsi="Calibri" w:cs="Calibri"/>
                <w:color w:val="000000"/>
                <w:sz w:val="18"/>
                <w:szCs w:val="18"/>
                <w:lang w:val="en-GB"/>
              </w:rPr>
            </w:pPr>
            <w:r>
              <w:rPr>
                <w:rFonts w:ascii="Calibri" w:hAnsi="Calibri" w:cs="Calibri"/>
                <w:color w:val="000000"/>
                <w:sz w:val="18"/>
                <w:szCs w:val="18"/>
                <w:lang w:val="en-GB"/>
              </w:rPr>
              <w:t>C</w:t>
            </w:r>
          </w:p>
        </w:tc>
        <w:tc>
          <w:tcPr>
            <w:tcW w:w="708" w:type="dxa"/>
            <w:tcBorders>
              <w:bottom w:val="single" w:sz="4" w:space="0" w:color="auto"/>
            </w:tcBorders>
            <w:shd w:val="clear" w:color="auto" w:fill="F2F2F2" w:themeFill="background1" w:themeFillShade="F2"/>
          </w:tcPr>
          <w:p w14:paraId="30E3DFA4" w14:textId="77777777" w:rsidR="002665DD" w:rsidRPr="00E6110F" w:rsidRDefault="002665DD" w:rsidP="00E93E42">
            <w:pPr>
              <w:jc w:val="center"/>
              <w:rPr>
                <w:rFonts w:ascii="Calibri" w:hAnsi="Calibri" w:cs="Calibri"/>
                <w:color w:val="000000"/>
                <w:sz w:val="18"/>
                <w:szCs w:val="18"/>
                <w:lang w:val="en-GB"/>
              </w:rPr>
            </w:pPr>
            <w:r>
              <w:rPr>
                <w:rFonts w:ascii="Calibri" w:hAnsi="Calibri" w:cs="Calibri"/>
                <w:color w:val="000000"/>
                <w:sz w:val="18"/>
                <w:szCs w:val="18"/>
                <w:lang w:val="en-GB"/>
              </w:rPr>
              <w:t>D</w:t>
            </w:r>
          </w:p>
        </w:tc>
        <w:tc>
          <w:tcPr>
            <w:tcW w:w="709" w:type="dxa"/>
            <w:tcBorders>
              <w:bottom w:val="single" w:sz="4" w:space="0" w:color="auto"/>
            </w:tcBorders>
            <w:shd w:val="clear" w:color="auto" w:fill="F2F2F2" w:themeFill="background1" w:themeFillShade="F2"/>
          </w:tcPr>
          <w:p w14:paraId="31076C39" w14:textId="77777777" w:rsidR="002665DD" w:rsidRPr="00E6110F" w:rsidRDefault="002665DD" w:rsidP="00E93E42">
            <w:pPr>
              <w:jc w:val="center"/>
              <w:rPr>
                <w:rFonts w:ascii="Calibri" w:hAnsi="Calibri" w:cs="Calibri"/>
                <w:color w:val="000000"/>
                <w:sz w:val="18"/>
                <w:szCs w:val="18"/>
                <w:lang w:val="en-GB"/>
              </w:rPr>
            </w:pPr>
            <w:r>
              <w:rPr>
                <w:rFonts w:ascii="Calibri" w:hAnsi="Calibri" w:cs="Calibri"/>
                <w:color w:val="000000"/>
                <w:sz w:val="18"/>
                <w:szCs w:val="18"/>
                <w:lang w:val="en-GB"/>
              </w:rPr>
              <w:t>E</w:t>
            </w:r>
          </w:p>
        </w:tc>
        <w:tc>
          <w:tcPr>
            <w:tcW w:w="709" w:type="dxa"/>
            <w:tcBorders>
              <w:bottom w:val="single" w:sz="4" w:space="0" w:color="auto"/>
            </w:tcBorders>
            <w:shd w:val="clear" w:color="auto" w:fill="F2F2F2" w:themeFill="background1" w:themeFillShade="F2"/>
          </w:tcPr>
          <w:p w14:paraId="04CF91CA" w14:textId="77777777" w:rsidR="002665DD" w:rsidRPr="00E6110F" w:rsidRDefault="002665DD" w:rsidP="00E93E42">
            <w:pPr>
              <w:jc w:val="center"/>
              <w:rPr>
                <w:rFonts w:ascii="Calibri" w:hAnsi="Calibri" w:cs="Calibri"/>
                <w:color w:val="000000"/>
                <w:sz w:val="18"/>
                <w:szCs w:val="18"/>
                <w:lang w:val="en-GB"/>
              </w:rPr>
            </w:pPr>
            <w:r>
              <w:rPr>
                <w:rFonts w:ascii="Calibri" w:hAnsi="Calibri" w:cs="Calibri"/>
                <w:color w:val="000000"/>
                <w:sz w:val="18"/>
                <w:szCs w:val="18"/>
                <w:lang w:val="en-GB"/>
              </w:rPr>
              <w:t>F</w:t>
            </w:r>
          </w:p>
        </w:tc>
        <w:tc>
          <w:tcPr>
            <w:tcW w:w="850" w:type="dxa"/>
            <w:tcBorders>
              <w:bottom w:val="single" w:sz="4" w:space="0" w:color="auto"/>
            </w:tcBorders>
            <w:shd w:val="clear" w:color="auto" w:fill="F2F2F2" w:themeFill="background1" w:themeFillShade="F2"/>
          </w:tcPr>
          <w:p w14:paraId="2A18A603" w14:textId="77777777" w:rsidR="002665DD" w:rsidRPr="00E6110F" w:rsidRDefault="002665DD" w:rsidP="00E93E42">
            <w:pPr>
              <w:jc w:val="center"/>
              <w:rPr>
                <w:rFonts w:ascii="Calibri" w:hAnsi="Calibri" w:cs="Calibri"/>
                <w:color w:val="000000"/>
                <w:sz w:val="18"/>
                <w:szCs w:val="18"/>
                <w:lang w:val="en-GB"/>
              </w:rPr>
            </w:pPr>
            <w:r>
              <w:rPr>
                <w:rFonts w:ascii="Calibri" w:hAnsi="Calibri" w:cs="Calibri"/>
                <w:color w:val="000000"/>
                <w:sz w:val="18"/>
                <w:szCs w:val="18"/>
                <w:lang w:val="en-GB"/>
              </w:rPr>
              <w:t>G</w:t>
            </w:r>
          </w:p>
        </w:tc>
        <w:tc>
          <w:tcPr>
            <w:tcW w:w="993" w:type="dxa"/>
            <w:tcBorders>
              <w:bottom w:val="single" w:sz="4" w:space="0" w:color="auto"/>
            </w:tcBorders>
            <w:shd w:val="clear" w:color="auto" w:fill="F2F2F2" w:themeFill="background1" w:themeFillShade="F2"/>
          </w:tcPr>
          <w:p w14:paraId="0EA57A57" w14:textId="77777777" w:rsidR="002665DD" w:rsidRPr="00E6110F" w:rsidRDefault="002665DD" w:rsidP="00E93E42">
            <w:pPr>
              <w:jc w:val="center"/>
              <w:rPr>
                <w:rFonts w:ascii="Calibri" w:hAnsi="Calibri" w:cs="Calibri"/>
                <w:color w:val="000000"/>
                <w:sz w:val="18"/>
                <w:szCs w:val="18"/>
                <w:lang w:val="en-GB"/>
              </w:rPr>
            </w:pPr>
            <w:r>
              <w:rPr>
                <w:rFonts w:ascii="Calibri" w:hAnsi="Calibri" w:cs="Calibri"/>
                <w:color w:val="000000"/>
                <w:sz w:val="18"/>
                <w:szCs w:val="18"/>
                <w:lang w:val="en-GB"/>
              </w:rPr>
              <w:t>H</w:t>
            </w:r>
          </w:p>
        </w:tc>
      </w:tr>
      <w:tr w:rsidR="003C157A" w:rsidRPr="00E6110F" w14:paraId="0073A408" w14:textId="77777777" w:rsidTr="00CB0E5B">
        <w:tc>
          <w:tcPr>
            <w:tcW w:w="1129" w:type="dxa"/>
          </w:tcPr>
          <w:p w14:paraId="7528F94D" w14:textId="77777777" w:rsidR="00A71C39" w:rsidRPr="00E6110F" w:rsidRDefault="00A71C39" w:rsidP="00E93E42">
            <w:pPr>
              <w:pStyle w:val="Body"/>
              <w:jc w:val="center"/>
            </w:pPr>
            <w:r w:rsidRPr="00E6110F">
              <w:t>Dawson River alluvium</w:t>
            </w:r>
          </w:p>
        </w:tc>
        <w:tc>
          <w:tcPr>
            <w:tcW w:w="993" w:type="dxa"/>
          </w:tcPr>
          <w:p w14:paraId="1855574F" w14:textId="690744F2" w:rsidR="00A71C39" w:rsidRPr="00E6110F" w:rsidRDefault="00A71C39" w:rsidP="00E93E42">
            <w:pPr>
              <w:pStyle w:val="Body"/>
              <w:jc w:val="center"/>
            </w:pPr>
            <w:r w:rsidRPr="00E6110F">
              <w:rPr>
                <w:i/>
              </w:rPr>
              <w:t>f</w:t>
            </w:r>
            <w:r w:rsidRPr="00E6110F">
              <w:rPr>
                <w:vertAlign w:val="subscript"/>
              </w:rPr>
              <w:t>OC</w:t>
            </w:r>
            <w:r w:rsidR="00CB0E5B">
              <w:rPr>
                <w:vertAlign w:val="subscript"/>
              </w:rPr>
              <w:t>_r</w:t>
            </w:r>
            <w:r w:rsidRPr="00E6110F">
              <w:t xml:space="preserve"> = 0.001</w:t>
            </w:r>
          </w:p>
        </w:tc>
        <w:tc>
          <w:tcPr>
            <w:tcW w:w="911" w:type="dxa"/>
            <w:tcBorders>
              <w:bottom w:val="single" w:sz="4" w:space="0" w:color="auto"/>
            </w:tcBorders>
            <w:shd w:val="clear" w:color="auto" w:fill="CACBF5" w:themeFill="accent6" w:themeFillTint="33"/>
          </w:tcPr>
          <w:p w14:paraId="1D032EB1" w14:textId="72766F47" w:rsidR="00A71C39" w:rsidRPr="00E6110F" w:rsidRDefault="00A71C39" w:rsidP="003C157A">
            <w:pPr>
              <w:pStyle w:val="Body"/>
              <w:jc w:val="center"/>
            </w:pPr>
            <w:r>
              <w:t>1</w:t>
            </w:r>
            <w:r w:rsidRPr="00DE7BAF">
              <w:t>E+10</w:t>
            </w:r>
          </w:p>
        </w:tc>
        <w:tc>
          <w:tcPr>
            <w:tcW w:w="931" w:type="dxa"/>
            <w:tcBorders>
              <w:bottom w:val="single" w:sz="4" w:space="0" w:color="auto"/>
            </w:tcBorders>
            <w:shd w:val="clear" w:color="auto" w:fill="CACBF5" w:themeFill="accent6" w:themeFillTint="33"/>
          </w:tcPr>
          <w:p w14:paraId="1E231099" w14:textId="12D1DE7F" w:rsidR="00A71C39" w:rsidRPr="00E6110F" w:rsidRDefault="00A71C39" w:rsidP="003C157A">
            <w:pPr>
              <w:pStyle w:val="Body"/>
              <w:jc w:val="center"/>
            </w:pPr>
            <w:r>
              <w:t>1</w:t>
            </w:r>
            <w:r w:rsidRPr="00DE7BAF">
              <w:t>E+10</w:t>
            </w:r>
          </w:p>
        </w:tc>
        <w:tc>
          <w:tcPr>
            <w:tcW w:w="993" w:type="dxa"/>
            <w:tcBorders>
              <w:bottom w:val="single" w:sz="4" w:space="0" w:color="auto"/>
            </w:tcBorders>
            <w:shd w:val="clear" w:color="auto" w:fill="CACBF5" w:themeFill="accent6" w:themeFillTint="33"/>
          </w:tcPr>
          <w:p w14:paraId="42407E52" w14:textId="058AB0AB" w:rsidR="00A71C39" w:rsidRPr="00E6110F" w:rsidRDefault="00A71C39" w:rsidP="003C157A">
            <w:pPr>
              <w:pStyle w:val="Body"/>
              <w:jc w:val="center"/>
            </w:pPr>
            <w:r>
              <w:t>1</w:t>
            </w:r>
            <w:r w:rsidRPr="00DE7BAF">
              <w:t>E+10</w:t>
            </w:r>
          </w:p>
        </w:tc>
        <w:tc>
          <w:tcPr>
            <w:tcW w:w="708" w:type="dxa"/>
            <w:tcBorders>
              <w:bottom w:val="single" w:sz="4" w:space="0" w:color="auto"/>
            </w:tcBorders>
            <w:shd w:val="clear" w:color="auto" w:fill="CACBF5" w:themeFill="accent6" w:themeFillTint="33"/>
          </w:tcPr>
          <w:p w14:paraId="3F3AE73B" w14:textId="1ADE471D" w:rsidR="00A71C39" w:rsidRPr="00E6110F" w:rsidRDefault="00A71C39" w:rsidP="003C157A">
            <w:pPr>
              <w:pStyle w:val="Body"/>
              <w:jc w:val="center"/>
            </w:pPr>
            <w:r>
              <w:t>1</w:t>
            </w:r>
            <w:r w:rsidRPr="00DE7BAF">
              <w:t>E+10</w:t>
            </w:r>
          </w:p>
        </w:tc>
        <w:tc>
          <w:tcPr>
            <w:tcW w:w="709" w:type="dxa"/>
            <w:tcBorders>
              <w:bottom w:val="single" w:sz="4" w:space="0" w:color="auto"/>
            </w:tcBorders>
            <w:shd w:val="clear" w:color="auto" w:fill="CACBF5" w:themeFill="accent6" w:themeFillTint="33"/>
          </w:tcPr>
          <w:p w14:paraId="24E39CC9" w14:textId="6B28086B" w:rsidR="00A71C39" w:rsidRPr="00E6110F" w:rsidRDefault="00A71C39" w:rsidP="003C157A">
            <w:pPr>
              <w:pStyle w:val="Body"/>
              <w:jc w:val="center"/>
            </w:pPr>
            <w:r>
              <w:t>1</w:t>
            </w:r>
            <w:r w:rsidRPr="00DE7BAF">
              <w:t>E+10</w:t>
            </w:r>
          </w:p>
        </w:tc>
        <w:tc>
          <w:tcPr>
            <w:tcW w:w="709" w:type="dxa"/>
            <w:tcBorders>
              <w:bottom w:val="single" w:sz="4" w:space="0" w:color="auto"/>
            </w:tcBorders>
            <w:shd w:val="clear" w:color="auto" w:fill="CACBF5" w:themeFill="accent6" w:themeFillTint="33"/>
          </w:tcPr>
          <w:p w14:paraId="4B028D41" w14:textId="67ADACAC" w:rsidR="00A71C39" w:rsidRPr="00E6110F" w:rsidRDefault="00A71C39" w:rsidP="003C157A">
            <w:pPr>
              <w:pStyle w:val="Body"/>
              <w:jc w:val="center"/>
            </w:pPr>
            <w:r>
              <w:t>1</w:t>
            </w:r>
            <w:r w:rsidRPr="00DE7BAF">
              <w:t>E+10</w:t>
            </w:r>
          </w:p>
        </w:tc>
        <w:tc>
          <w:tcPr>
            <w:tcW w:w="850" w:type="dxa"/>
            <w:tcBorders>
              <w:bottom w:val="single" w:sz="4" w:space="0" w:color="auto"/>
            </w:tcBorders>
            <w:shd w:val="clear" w:color="auto" w:fill="CACBF5" w:themeFill="accent6" w:themeFillTint="33"/>
          </w:tcPr>
          <w:p w14:paraId="3BF1E655" w14:textId="6C304371" w:rsidR="00A71C39" w:rsidRPr="00E6110F" w:rsidRDefault="00A71C39" w:rsidP="003C157A">
            <w:pPr>
              <w:pStyle w:val="Body"/>
              <w:jc w:val="center"/>
            </w:pPr>
            <w:r>
              <w:t>1</w:t>
            </w:r>
            <w:r w:rsidRPr="00DE7BAF">
              <w:t>E+10</w:t>
            </w:r>
          </w:p>
        </w:tc>
        <w:tc>
          <w:tcPr>
            <w:tcW w:w="993" w:type="dxa"/>
            <w:shd w:val="clear" w:color="auto" w:fill="E4F6CD" w:themeFill="accent3" w:themeFillTint="33"/>
          </w:tcPr>
          <w:p w14:paraId="4A1E1E0D" w14:textId="109C3FBD" w:rsidR="00A71C39" w:rsidRPr="00E6110F" w:rsidRDefault="00A71C39" w:rsidP="00E93E42">
            <w:pPr>
              <w:pStyle w:val="Body"/>
              <w:jc w:val="center"/>
            </w:pPr>
            <w:r w:rsidRPr="00E93E42">
              <w:t>9.0</w:t>
            </w:r>
            <w:r w:rsidR="00E93E42" w:rsidRPr="00E93E42">
              <w:t>3</w:t>
            </w:r>
            <w:r w:rsidRPr="00E93E42">
              <w:t>E+02</w:t>
            </w:r>
          </w:p>
        </w:tc>
      </w:tr>
      <w:tr w:rsidR="003C157A" w:rsidRPr="00E6110F" w14:paraId="5DD52E7E" w14:textId="77777777" w:rsidTr="00CB0E5B">
        <w:tc>
          <w:tcPr>
            <w:tcW w:w="1129" w:type="dxa"/>
          </w:tcPr>
          <w:p w14:paraId="6F686912" w14:textId="77777777" w:rsidR="00A71C39" w:rsidRPr="00E6110F" w:rsidRDefault="00A71C39" w:rsidP="00E93E42">
            <w:pPr>
              <w:pStyle w:val="Body"/>
              <w:jc w:val="center"/>
            </w:pPr>
            <w:r w:rsidRPr="00E6110F">
              <w:t>Bungil Formation-Mooga Sandstone-Orallo Formation (BMO Group)</w:t>
            </w:r>
          </w:p>
        </w:tc>
        <w:tc>
          <w:tcPr>
            <w:tcW w:w="993" w:type="dxa"/>
          </w:tcPr>
          <w:p w14:paraId="1393D127" w14:textId="56ECF604" w:rsidR="00A71C39" w:rsidRPr="00E6110F" w:rsidRDefault="00A71C39" w:rsidP="00E93E42">
            <w:pPr>
              <w:pStyle w:val="Body"/>
              <w:jc w:val="center"/>
            </w:pPr>
            <w:r w:rsidRPr="00E6110F">
              <w:rPr>
                <w:i/>
              </w:rPr>
              <w:t>f</w:t>
            </w:r>
            <w:r w:rsidRPr="00E6110F">
              <w:rPr>
                <w:vertAlign w:val="subscript"/>
              </w:rPr>
              <w:t>OC</w:t>
            </w:r>
            <w:r w:rsidR="00CB0E5B">
              <w:rPr>
                <w:vertAlign w:val="subscript"/>
              </w:rPr>
              <w:t>_r</w:t>
            </w:r>
            <w:r w:rsidRPr="00E6110F">
              <w:t xml:space="preserve"> = 0</w:t>
            </w:r>
          </w:p>
          <w:p w14:paraId="28CB7CB1" w14:textId="4D5FE44D" w:rsidR="00A71C39" w:rsidRPr="00E6110F" w:rsidRDefault="00A71C39" w:rsidP="00E93E42">
            <w:pPr>
              <w:pStyle w:val="Body"/>
              <w:jc w:val="center"/>
            </w:pPr>
          </w:p>
        </w:tc>
        <w:tc>
          <w:tcPr>
            <w:tcW w:w="911" w:type="dxa"/>
            <w:shd w:val="clear" w:color="auto" w:fill="FFC000"/>
          </w:tcPr>
          <w:p w14:paraId="217B5CA2" w14:textId="4B272CBC" w:rsidR="00A71C39" w:rsidRPr="00E6110F" w:rsidRDefault="00A71C39" w:rsidP="00E93E42">
            <w:pPr>
              <w:pStyle w:val="Body"/>
              <w:jc w:val="center"/>
            </w:pPr>
            <w:r w:rsidRPr="00DE7BAF">
              <w:t>5.6</w:t>
            </w:r>
            <w:r w:rsidR="00E93E42">
              <w:t>4</w:t>
            </w:r>
            <w:r w:rsidRPr="00DE7BAF">
              <w:t>E+03</w:t>
            </w:r>
          </w:p>
        </w:tc>
        <w:tc>
          <w:tcPr>
            <w:tcW w:w="931" w:type="dxa"/>
            <w:shd w:val="clear" w:color="auto" w:fill="E4F6CD" w:themeFill="accent3" w:themeFillTint="33"/>
          </w:tcPr>
          <w:p w14:paraId="149D6D86" w14:textId="6A4F3B2B" w:rsidR="00A71C39" w:rsidRPr="00E6110F" w:rsidRDefault="00A71C39" w:rsidP="00E93E42">
            <w:pPr>
              <w:pStyle w:val="Body"/>
              <w:jc w:val="center"/>
            </w:pPr>
            <w:r w:rsidRPr="00DE7BAF">
              <w:t>9.0</w:t>
            </w:r>
            <w:r w:rsidR="00E93E42">
              <w:t>3</w:t>
            </w:r>
            <w:r w:rsidRPr="00DE7BAF">
              <w:t>E+02</w:t>
            </w:r>
          </w:p>
        </w:tc>
        <w:tc>
          <w:tcPr>
            <w:tcW w:w="993" w:type="dxa"/>
            <w:shd w:val="clear" w:color="auto" w:fill="E4F6CD" w:themeFill="accent3" w:themeFillTint="33"/>
          </w:tcPr>
          <w:p w14:paraId="767F69C5" w14:textId="5E08A18F" w:rsidR="00A71C39" w:rsidRPr="00E6110F" w:rsidRDefault="00A71C39" w:rsidP="00E93E42">
            <w:pPr>
              <w:pStyle w:val="Body"/>
              <w:jc w:val="center"/>
            </w:pPr>
            <w:r w:rsidRPr="00DE7BAF">
              <w:t>9</w:t>
            </w:r>
            <w:r w:rsidR="00E93E42">
              <w:t>.03</w:t>
            </w:r>
            <w:r w:rsidRPr="00DE7BAF">
              <w:t>E+02</w:t>
            </w:r>
          </w:p>
        </w:tc>
        <w:tc>
          <w:tcPr>
            <w:tcW w:w="708" w:type="dxa"/>
            <w:shd w:val="clear" w:color="auto" w:fill="CACBF5" w:themeFill="accent6" w:themeFillTint="33"/>
          </w:tcPr>
          <w:p w14:paraId="11099E55" w14:textId="2897AA7B"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19D44893" w14:textId="1F688C66"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7FF0E1AD" w14:textId="28759F9A" w:rsidR="00A71C39" w:rsidRPr="00E6110F" w:rsidRDefault="00A71C39" w:rsidP="003C157A">
            <w:pPr>
              <w:pStyle w:val="Body"/>
              <w:jc w:val="center"/>
            </w:pPr>
            <w:r>
              <w:t>1</w:t>
            </w:r>
            <w:r w:rsidRPr="00DE7BAF">
              <w:t>E+10</w:t>
            </w:r>
          </w:p>
        </w:tc>
        <w:tc>
          <w:tcPr>
            <w:tcW w:w="850" w:type="dxa"/>
            <w:shd w:val="clear" w:color="auto" w:fill="CACBF5" w:themeFill="accent6" w:themeFillTint="33"/>
          </w:tcPr>
          <w:p w14:paraId="570EA57A" w14:textId="24A73D52" w:rsidR="00A71C39" w:rsidRPr="00E6110F" w:rsidRDefault="00A71C39" w:rsidP="003C157A">
            <w:pPr>
              <w:pStyle w:val="Body"/>
              <w:jc w:val="center"/>
            </w:pPr>
            <w:r>
              <w:t>1</w:t>
            </w:r>
            <w:r w:rsidRPr="00DE7BAF">
              <w:t>E+10</w:t>
            </w:r>
          </w:p>
        </w:tc>
        <w:tc>
          <w:tcPr>
            <w:tcW w:w="993" w:type="dxa"/>
            <w:shd w:val="clear" w:color="auto" w:fill="E4F6CD" w:themeFill="accent3" w:themeFillTint="33"/>
          </w:tcPr>
          <w:p w14:paraId="67EF2E6E" w14:textId="7486C6F9" w:rsidR="00A71C39" w:rsidRPr="00E6110F" w:rsidRDefault="00A71C39" w:rsidP="00E93E42">
            <w:pPr>
              <w:pStyle w:val="Body"/>
              <w:jc w:val="center"/>
            </w:pPr>
            <w:r w:rsidRPr="00DE7BAF">
              <w:t>9.0</w:t>
            </w:r>
            <w:r w:rsidR="00E93E42">
              <w:t>3</w:t>
            </w:r>
            <w:r w:rsidRPr="00DE7BAF">
              <w:t>E+02</w:t>
            </w:r>
          </w:p>
        </w:tc>
      </w:tr>
      <w:tr w:rsidR="003C157A" w:rsidRPr="00E6110F" w14:paraId="7CFA515D" w14:textId="77777777" w:rsidTr="00CB0E5B">
        <w:tc>
          <w:tcPr>
            <w:tcW w:w="1129" w:type="dxa"/>
          </w:tcPr>
          <w:p w14:paraId="56656D44" w14:textId="7E2DCB35" w:rsidR="00A71C39" w:rsidRPr="00E6110F" w:rsidRDefault="00A71C39" w:rsidP="00E93E42">
            <w:pPr>
              <w:pStyle w:val="Body"/>
              <w:jc w:val="center"/>
              <w:rPr>
                <w:strike/>
              </w:rPr>
            </w:pPr>
            <w:r w:rsidRPr="00E6110F">
              <w:t>Gubbera</w:t>
            </w:r>
            <w:r w:rsidR="00CB0E5B">
              <w:t>-</w:t>
            </w:r>
            <w:r w:rsidRPr="00E6110F">
              <w:t>munda Sandstone</w:t>
            </w:r>
          </w:p>
        </w:tc>
        <w:tc>
          <w:tcPr>
            <w:tcW w:w="993" w:type="dxa"/>
          </w:tcPr>
          <w:p w14:paraId="0C1DAD36" w14:textId="5BA6EC31" w:rsidR="00A71C39" w:rsidRPr="00E6110F" w:rsidRDefault="00A71C39" w:rsidP="00E93E42">
            <w:pPr>
              <w:pStyle w:val="Body"/>
              <w:jc w:val="center"/>
            </w:pPr>
            <w:r w:rsidRPr="00E6110F">
              <w:rPr>
                <w:i/>
              </w:rPr>
              <w:t>f</w:t>
            </w:r>
            <w:r w:rsidRPr="00E6110F">
              <w:rPr>
                <w:vertAlign w:val="subscript"/>
              </w:rPr>
              <w:t>OC</w:t>
            </w:r>
            <w:r w:rsidR="00CB0E5B">
              <w:rPr>
                <w:vertAlign w:val="subscript"/>
              </w:rPr>
              <w:t>_r</w:t>
            </w:r>
            <w:r w:rsidRPr="00E6110F">
              <w:t xml:space="preserve"> = 0.0008 </w:t>
            </w:r>
            <w:r>
              <w:t>(rounded to 0.001)</w:t>
            </w:r>
          </w:p>
          <w:p w14:paraId="698AAC7C" w14:textId="3F65C160" w:rsidR="00A71C39" w:rsidRPr="00E6110F" w:rsidRDefault="00A71C39" w:rsidP="00E93E42">
            <w:pPr>
              <w:pStyle w:val="Body"/>
              <w:jc w:val="center"/>
            </w:pPr>
          </w:p>
        </w:tc>
        <w:tc>
          <w:tcPr>
            <w:tcW w:w="911" w:type="dxa"/>
            <w:tcBorders>
              <w:bottom w:val="single" w:sz="4" w:space="0" w:color="auto"/>
            </w:tcBorders>
            <w:shd w:val="clear" w:color="auto" w:fill="FFC000"/>
          </w:tcPr>
          <w:p w14:paraId="0807EFE9" w14:textId="53B5AC62" w:rsidR="00A71C39" w:rsidRPr="00E6110F" w:rsidRDefault="00A71C39" w:rsidP="00E93E42">
            <w:pPr>
              <w:pStyle w:val="Body"/>
              <w:jc w:val="center"/>
            </w:pPr>
            <w:r w:rsidRPr="00DE7BAF">
              <w:t>1.1</w:t>
            </w:r>
            <w:r w:rsidR="00E93E42">
              <w:t>3</w:t>
            </w:r>
            <w:r w:rsidRPr="00DE7BAF">
              <w:t>E+04</w:t>
            </w:r>
          </w:p>
        </w:tc>
        <w:tc>
          <w:tcPr>
            <w:tcW w:w="931" w:type="dxa"/>
            <w:tcBorders>
              <w:bottom w:val="single" w:sz="4" w:space="0" w:color="auto"/>
            </w:tcBorders>
            <w:shd w:val="clear" w:color="auto" w:fill="E4F6CD" w:themeFill="accent3" w:themeFillTint="33"/>
          </w:tcPr>
          <w:p w14:paraId="338B6F79" w14:textId="4ACA89BF" w:rsidR="00A71C39" w:rsidRPr="00E6110F" w:rsidRDefault="00A71C39" w:rsidP="00E93E42">
            <w:pPr>
              <w:pStyle w:val="Body"/>
              <w:jc w:val="center"/>
            </w:pPr>
            <w:r w:rsidRPr="00DE7BAF">
              <w:t>9.0</w:t>
            </w:r>
            <w:r w:rsidR="00E93E42">
              <w:t>3</w:t>
            </w:r>
            <w:r w:rsidRPr="00DE7BAF">
              <w:t>E+02</w:t>
            </w:r>
          </w:p>
        </w:tc>
        <w:tc>
          <w:tcPr>
            <w:tcW w:w="993" w:type="dxa"/>
            <w:tcBorders>
              <w:bottom w:val="single" w:sz="4" w:space="0" w:color="auto"/>
            </w:tcBorders>
            <w:shd w:val="clear" w:color="auto" w:fill="E4F6CD" w:themeFill="accent3" w:themeFillTint="33"/>
          </w:tcPr>
          <w:p w14:paraId="074046C8" w14:textId="61CBF408" w:rsidR="00A71C39" w:rsidRPr="00E6110F" w:rsidRDefault="00A71C39" w:rsidP="00E93E42">
            <w:pPr>
              <w:pStyle w:val="Body"/>
              <w:jc w:val="center"/>
            </w:pPr>
            <w:r w:rsidRPr="00DE7BAF">
              <w:t>9</w:t>
            </w:r>
            <w:r w:rsidR="00E93E42">
              <w:t>.03</w:t>
            </w:r>
            <w:r w:rsidRPr="00DE7BAF">
              <w:t>E+02</w:t>
            </w:r>
          </w:p>
        </w:tc>
        <w:tc>
          <w:tcPr>
            <w:tcW w:w="708" w:type="dxa"/>
            <w:shd w:val="clear" w:color="auto" w:fill="CACBF5" w:themeFill="accent6" w:themeFillTint="33"/>
          </w:tcPr>
          <w:p w14:paraId="47E8279E" w14:textId="4637DA33"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593C9FE3" w14:textId="47EE27C3"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05CEB2C4" w14:textId="03601788" w:rsidR="00A71C39" w:rsidRPr="00E6110F" w:rsidRDefault="00A71C39" w:rsidP="003C157A">
            <w:pPr>
              <w:pStyle w:val="Body"/>
              <w:jc w:val="center"/>
            </w:pPr>
            <w:r>
              <w:t>1</w:t>
            </w:r>
            <w:r w:rsidRPr="00DE7BAF">
              <w:t>E+10</w:t>
            </w:r>
          </w:p>
        </w:tc>
        <w:tc>
          <w:tcPr>
            <w:tcW w:w="850" w:type="dxa"/>
            <w:shd w:val="clear" w:color="auto" w:fill="CACBF5" w:themeFill="accent6" w:themeFillTint="33"/>
          </w:tcPr>
          <w:p w14:paraId="65ACC0DF" w14:textId="09E17A30" w:rsidR="00A71C39" w:rsidRPr="00E6110F" w:rsidRDefault="00A71C39" w:rsidP="003C157A">
            <w:pPr>
              <w:pStyle w:val="Body"/>
              <w:jc w:val="center"/>
            </w:pPr>
            <w:r>
              <w:t>1</w:t>
            </w:r>
            <w:r w:rsidRPr="00DE7BAF">
              <w:t>E+10</w:t>
            </w:r>
          </w:p>
        </w:tc>
        <w:tc>
          <w:tcPr>
            <w:tcW w:w="993" w:type="dxa"/>
            <w:tcBorders>
              <w:bottom w:val="single" w:sz="4" w:space="0" w:color="auto"/>
            </w:tcBorders>
            <w:shd w:val="clear" w:color="auto" w:fill="E4F6CD" w:themeFill="accent3" w:themeFillTint="33"/>
          </w:tcPr>
          <w:p w14:paraId="2F7029A4" w14:textId="29FC85C9" w:rsidR="00A71C39" w:rsidRPr="00E6110F" w:rsidRDefault="00A71C39" w:rsidP="00E93E42">
            <w:pPr>
              <w:pStyle w:val="Body"/>
              <w:jc w:val="center"/>
              <w:rPr>
                <w:vertAlign w:val="superscript"/>
              </w:rPr>
            </w:pPr>
            <w:r w:rsidRPr="00DE7BAF">
              <w:t>9.0</w:t>
            </w:r>
            <w:r w:rsidR="00E93E42">
              <w:t>3</w:t>
            </w:r>
            <w:r w:rsidRPr="00DE7BAF">
              <w:t>E+02</w:t>
            </w:r>
          </w:p>
        </w:tc>
      </w:tr>
      <w:tr w:rsidR="003C157A" w:rsidRPr="00E6110F" w14:paraId="74970090" w14:textId="77777777" w:rsidTr="00CB0E5B">
        <w:tc>
          <w:tcPr>
            <w:tcW w:w="1129" w:type="dxa"/>
          </w:tcPr>
          <w:p w14:paraId="2A10665B" w14:textId="77777777" w:rsidR="00A71C39" w:rsidRPr="00E6110F" w:rsidRDefault="00A71C39" w:rsidP="00E93E42">
            <w:pPr>
              <w:pStyle w:val="Body"/>
              <w:jc w:val="center"/>
            </w:pPr>
            <w:r w:rsidRPr="00E6110F">
              <w:t>Westbourne Formation</w:t>
            </w:r>
          </w:p>
        </w:tc>
        <w:tc>
          <w:tcPr>
            <w:tcW w:w="993" w:type="dxa"/>
          </w:tcPr>
          <w:p w14:paraId="5233776A" w14:textId="2DBFED7E" w:rsidR="00A71C39" w:rsidRPr="00E6110F" w:rsidRDefault="00A71C39" w:rsidP="00E93E42">
            <w:pPr>
              <w:pStyle w:val="Body"/>
              <w:jc w:val="center"/>
            </w:pPr>
            <w:r w:rsidRPr="00E6110F">
              <w:rPr>
                <w:i/>
              </w:rPr>
              <w:t>f</w:t>
            </w:r>
            <w:r w:rsidRPr="00E6110F">
              <w:rPr>
                <w:vertAlign w:val="subscript"/>
              </w:rPr>
              <w:t>OC</w:t>
            </w:r>
            <w:r w:rsidR="00CB0E5B">
              <w:rPr>
                <w:vertAlign w:val="subscript"/>
              </w:rPr>
              <w:t>_r</w:t>
            </w:r>
            <w:r w:rsidRPr="00E6110F">
              <w:t xml:space="preserve"> = 0</w:t>
            </w:r>
          </w:p>
          <w:p w14:paraId="0DEEDDE4" w14:textId="7F1A8CF3" w:rsidR="00A71C39" w:rsidRPr="00E6110F" w:rsidRDefault="00A71C39" w:rsidP="00E93E42">
            <w:pPr>
              <w:pStyle w:val="Body"/>
              <w:jc w:val="center"/>
            </w:pPr>
          </w:p>
        </w:tc>
        <w:tc>
          <w:tcPr>
            <w:tcW w:w="911" w:type="dxa"/>
            <w:tcBorders>
              <w:bottom w:val="single" w:sz="4" w:space="0" w:color="auto"/>
            </w:tcBorders>
            <w:shd w:val="clear" w:color="auto" w:fill="FFC000"/>
          </w:tcPr>
          <w:p w14:paraId="1FC32D60" w14:textId="2D814FE1" w:rsidR="00A71C39" w:rsidRPr="00E6110F" w:rsidRDefault="00A71C39" w:rsidP="00E93E42">
            <w:pPr>
              <w:pStyle w:val="Body"/>
              <w:jc w:val="center"/>
            </w:pPr>
            <w:r>
              <w:t>1.</w:t>
            </w:r>
            <w:r w:rsidR="00E93E42">
              <w:t>05</w:t>
            </w:r>
            <w:r>
              <w:t>E+05</w:t>
            </w:r>
          </w:p>
        </w:tc>
        <w:tc>
          <w:tcPr>
            <w:tcW w:w="931" w:type="dxa"/>
            <w:shd w:val="clear" w:color="auto" w:fill="FFC000"/>
          </w:tcPr>
          <w:p w14:paraId="1DB08289" w14:textId="0C250BE9" w:rsidR="00A71C39" w:rsidRPr="00E6110F" w:rsidRDefault="00E93E42" w:rsidP="00E93E42">
            <w:pPr>
              <w:pStyle w:val="Body"/>
              <w:jc w:val="center"/>
            </w:pPr>
            <w:r>
              <w:t>1.67</w:t>
            </w:r>
            <w:r w:rsidR="00A71C39" w:rsidRPr="00DE7BAF">
              <w:t>E+04</w:t>
            </w:r>
          </w:p>
        </w:tc>
        <w:tc>
          <w:tcPr>
            <w:tcW w:w="993" w:type="dxa"/>
            <w:shd w:val="clear" w:color="auto" w:fill="FFC000"/>
          </w:tcPr>
          <w:p w14:paraId="178C8043" w14:textId="6BDF016E" w:rsidR="00A71C39" w:rsidRPr="00E6110F" w:rsidRDefault="00E93E42" w:rsidP="00E93E42">
            <w:pPr>
              <w:pStyle w:val="Body"/>
              <w:jc w:val="center"/>
            </w:pPr>
            <w:r>
              <w:t>1.67</w:t>
            </w:r>
            <w:r w:rsidRPr="00DE7BAF">
              <w:t>E+04</w:t>
            </w:r>
          </w:p>
        </w:tc>
        <w:tc>
          <w:tcPr>
            <w:tcW w:w="708" w:type="dxa"/>
            <w:shd w:val="clear" w:color="auto" w:fill="CACBF5" w:themeFill="accent6" w:themeFillTint="33"/>
          </w:tcPr>
          <w:p w14:paraId="0421508D" w14:textId="7EF8E43B"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0343CBA4" w14:textId="104388AC"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5AE80B5F" w14:textId="1CEBE18E" w:rsidR="00A71C39" w:rsidRPr="00E6110F" w:rsidRDefault="00A71C39" w:rsidP="003C157A">
            <w:pPr>
              <w:pStyle w:val="Body"/>
              <w:jc w:val="center"/>
            </w:pPr>
            <w:r>
              <w:t>1</w:t>
            </w:r>
            <w:r w:rsidRPr="00DE7BAF">
              <w:t>E+10</w:t>
            </w:r>
          </w:p>
        </w:tc>
        <w:tc>
          <w:tcPr>
            <w:tcW w:w="850" w:type="dxa"/>
            <w:shd w:val="clear" w:color="auto" w:fill="CACBF5" w:themeFill="accent6" w:themeFillTint="33"/>
          </w:tcPr>
          <w:p w14:paraId="13092F95" w14:textId="464A02F0" w:rsidR="00A71C39" w:rsidRPr="00E6110F" w:rsidRDefault="00A71C39" w:rsidP="003C157A">
            <w:pPr>
              <w:pStyle w:val="Body"/>
              <w:jc w:val="center"/>
            </w:pPr>
            <w:r>
              <w:t>1</w:t>
            </w:r>
            <w:r w:rsidRPr="00DE7BAF">
              <w:t>E+10</w:t>
            </w:r>
          </w:p>
        </w:tc>
        <w:tc>
          <w:tcPr>
            <w:tcW w:w="993" w:type="dxa"/>
            <w:shd w:val="clear" w:color="auto" w:fill="FFC000"/>
          </w:tcPr>
          <w:p w14:paraId="6273191B" w14:textId="471D44B7" w:rsidR="00A71C39" w:rsidRPr="00E6110F" w:rsidRDefault="00E93E42" w:rsidP="00E93E42">
            <w:pPr>
              <w:pStyle w:val="Body"/>
              <w:jc w:val="center"/>
            </w:pPr>
            <w:r>
              <w:t>1.67</w:t>
            </w:r>
            <w:r w:rsidRPr="00DE7BAF">
              <w:t>E+04</w:t>
            </w:r>
          </w:p>
        </w:tc>
      </w:tr>
      <w:tr w:rsidR="003C157A" w:rsidRPr="00E6110F" w14:paraId="5C0FB094" w14:textId="77777777" w:rsidTr="00CB0E5B">
        <w:tc>
          <w:tcPr>
            <w:tcW w:w="1129" w:type="dxa"/>
          </w:tcPr>
          <w:p w14:paraId="5FFD99C2" w14:textId="77777777" w:rsidR="00A71C39" w:rsidRPr="00E6110F" w:rsidRDefault="00A71C39" w:rsidP="00E93E42">
            <w:pPr>
              <w:pStyle w:val="Body"/>
              <w:jc w:val="center"/>
            </w:pPr>
            <w:r w:rsidRPr="00E6110F">
              <w:t>Springbok Sandstone</w:t>
            </w:r>
          </w:p>
        </w:tc>
        <w:tc>
          <w:tcPr>
            <w:tcW w:w="993" w:type="dxa"/>
          </w:tcPr>
          <w:p w14:paraId="1F0094A6" w14:textId="3706BE82" w:rsidR="00A71C39" w:rsidRPr="00E6110F" w:rsidRDefault="00A71C39" w:rsidP="00E93E42">
            <w:pPr>
              <w:pStyle w:val="Body"/>
              <w:jc w:val="center"/>
            </w:pPr>
            <w:r w:rsidRPr="00E6110F">
              <w:rPr>
                <w:i/>
              </w:rPr>
              <w:t>f</w:t>
            </w:r>
            <w:r w:rsidRPr="00E6110F">
              <w:rPr>
                <w:vertAlign w:val="subscript"/>
              </w:rPr>
              <w:t>OC</w:t>
            </w:r>
            <w:r w:rsidR="00CB0E5B">
              <w:rPr>
                <w:vertAlign w:val="subscript"/>
              </w:rPr>
              <w:t>_r</w:t>
            </w:r>
            <w:r w:rsidRPr="00E6110F">
              <w:t xml:space="preserve"> = 0</w:t>
            </w:r>
          </w:p>
          <w:p w14:paraId="745370BB" w14:textId="5CA16106" w:rsidR="00A71C39" w:rsidRPr="00E6110F" w:rsidRDefault="00A71C39" w:rsidP="00E93E42">
            <w:pPr>
              <w:pStyle w:val="Body"/>
              <w:jc w:val="center"/>
            </w:pPr>
          </w:p>
        </w:tc>
        <w:tc>
          <w:tcPr>
            <w:tcW w:w="911" w:type="dxa"/>
            <w:tcBorders>
              <w:bottom w:val="single" w:sz="4" w:space="0" w:color="auto"/>
            </w:tcBorders>
            <w:shd w:val="clear" w:color="auto" w:fill="FFC000"/>
          </w:tcPr>
          <w:p w14:paraId="40189A43" w14:textId="0CA9DD71" w:rsidR="00A71C39" w:rsidRPr="00E6110F" w:rsidRDefault="00A71C39" w:rsidP="00E93E42">
            <w:pPr>
              <w:pStyle w:val="Body"/>
              <w:jc w:val="center"/>
            </w:pPr>
            <w:r w:rsidRPr="00DE7BAF">
              <w:t>1.</w:t>
            </w:r>
            <w:r w:rsidR="00E93E42">
              <w:t>05</w:t>
            </w:r>
            <w:r w:rsidRPr="00DE7BAF">
              <w:t>E+05</w:t>
            </w:r>
          </w:p>
        </w:tc>
        <w:tc>
          <w:tcPr>
            <w:tcW w:w="931" w:type="dxa"/>
            <w:shd w:val="clear" w:color="auto" w:fill="FFC000"/>
          </w:tcPr>
          <w:p w14:paraId="0AE2DE93" w14:textId="616157AB" w:rsidR="00A71C39" w:rsidRPr="00E6110F" w:rsidRDefault="00E93E42" w:rsidP="00E93E42">
            <w:pPr>
              <w:pStyle w:val="Body"/>
              <w:jc w:val="center"/>
            </w:pPr>
            <w:r>
              <w:t>1.67</w:t>
            </w:r>
            <w:r w:rsidR="00A71C39" w:rsidRPr="00DE7BAF">
              <w:t>E+04</w:t>
            </w:r>
          </w:p>
        </w:tc>
        <w:tc>
          <w:tcPr>
            <w:tcW w:w="993" w:type="dxa"/>
            <w:shd w:val="clear" w:color="auto" w:fill="FFC000"/>
          </w:tcPr>
          <w:p w14:paraId="3C8165E6" w14:textId="6A594E2D" w:rsidR="00A71C39" w:rsidRPr="00E6110F" w:rsidRDefault="00E93E42" w:rsidP="00E93E42">
            <w:pPr>
              <w:pStyle w:val="Body"/>
              <w:jc w:val="center"/>
            </w:pPr>
            <w:r>
              <w:t>1.67</w:t>
            </w:r>
            <w:r w:rsidRPr="00DE7BAF">
              <w:t>E+04</w:t>
            </w:r>
          </w:p>
        </w:tc>
        <w:tc>
          <w:tcPr>
            <w:tcW w:w="708" w:type="dxa"/>
            <w:shd w:val="clear" w:color="auto" w:fill="CACBF5" w:themeFill="accent6" w:themeFillTint="33"/>
          </w:tcPr>
          <w:p w14:paraId="4B2F00BF" w14:textId="3F780A0C"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5ACFE594" w14:textId="31EA37E3"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74A74B1C" w14:textId="3E2A6AC2" w:rsidR="00A71C39" w:rsidRPr="00E6110F" w:rsidRDefault="00A71C39" w:rsidP="003C157A">
            <w:pPr>
              <w:pStyle w:val="Body"/>
              <w:jc w:val="center"/>
            </w:pPr>
            <w:r>
              <w:t>1</w:t>
            </w:r>
            <w:r w:rsidRPr="00DE7BAF">
              <w:t>E+10</w:t>
            </w:r>
          </w:p>
        </w:tc>
        <w:tc>
          <w:tcPr>
            <w:tcW w:w="850" w:type="dxa"/>
            <w:shd w:val="clear" w:color="auto" w:fill="CACBF5" w:themeFill="accent6" w:themeFillTint="33"/>
          </w:tcPr>
          <w:p w14:paraId="50F96409" w14:textId="32C2DF3C" w:rsidR="00A71C39" w:rsidRPr="00E6110F" w:rsidRDefault="00A71C39" w:rsidP="003C157A">
            <w:pPr>
              <w:pStyle w:val="Body"/>
              <w:jc w:val="center"/>
            </w:pPr>
            <w:r>
              <w:t>1</w:t>
            </w:r>
            <w:r w:rsidRPr="00DE7BAF">
              <w:t>E+10</w:t>
            </w:r>
          </w:p>
        </w:tc>
        <w:tc>
          <w:tcPr>
            <w:tcW w:w="993" w:type="dxa"/>
            <w:shd w:val="clear" w:color="auto" w:fill="FFC000"/>
          </w:tcPr>
          <w:p w14:paraId="0A7F98A5" w14:textId="7DB597B2" w:rsidR="00A71C39" w:rsidRPr="00E6110F" w:rsidRDefault="00E93E42" w:rsidP="00E93E42">
            <w:pPr>
              <w:pStyle w:val="Body"/>
              <w:jc w:val="center"/>
            </w:pPr>
            <w:r>
              <w:t>1.67</w:t>
            </w:r>
            <w:r w:rsidRPr="00DE7BAF">
              <w:t>E+04</w:t>
            </w:r>
          </w:p>
        </w:tc>
      </w:tr>
      <w:tr w:rsidR="003C157A" w:rsidRPr="00E6110F" w14:paraId="4FE39B57" w14:textId="77777777" w:rsidTr="00CB0E5B">
        <w:tc>
          <w:tcPr>
            <w:tcW w:w="1129" w:type="dxa"/>
          </w:tcPr>
          <w:p w14:paraId="60F61846" w14:textId="77777777" w:rsidR="00A71C39" w:rsidRPr="00E6110F" w:rsidRDefault="00A71C39" w:rsidP="00E93E42">
            <w:pPr>
              <w:pStyle w:val="Body"/>
              <w:jc w:val="center"/>
            </w:pPr>
            <w:r w:rsidRPr="00E6110F">
              <w:t>Walloon Coal Measures</w:t>
            </w:r>
          </w:p>
        </w:tc>
        <w:tc>
          <w:tcPr>
            <w:tcW w:w="993" w:type="dxa"/>
          </w:tcPr>
          <w:p w14:paraId="5C0E0E98" w14:textId="18C762DC" w:rsidR="00A71C39" w:rsidRPr="00E6110F" w:rsidRDefault="00A71C39" w:rsidP="00E93E42">
            <w:pPr>
              <w:pStyle w:val="Body"/>
              <w:jc w:val="center"/>
            </w:pPr>
            <w:r w:rsidRPr="00E6110F">
              <w:rPr>
                <w:i/>
              </w:rPr>
              <w:t>f</w:t>
            </w:r>
            <w:r w:rsidRPr="00E6110F">
              <w:rPr>
                <w:vertAlign w:val="subscript"/>
              </w:rPr>
              <w:t>OC</w:t>
            </w:r>
            <w:r w:rsidR="00CB0E5B">
              <w:rPr>
                <w:vertAlign w:val="subscript"/>
              </w:rPr>
              <w:t>_r</w:t>
            </w:r>
            <w:r w:rsidRPr="00E6110F">
              <w:t xml:space="preserve"> = 0.0126</w:t>
            </w:r>
          </w:p>
          <w:p w14:paraId="2252BCE8" w14:textId="0D75831B" w:rsidR="00A71C39" w:rsidRPr="00E6110F" w:rsidRDefault="00A71C39" w:rsidP="00E93E42">
            <w:pPr>
              <w:pStyle w:val="Body"/>
              <w:jc w:val="center"/>
            </w:pPr>
          </w:p>
        </w:tc>
        <w:tc>
          <w:tcPr>
            <w:tcW w:w="911" w:type="dxa"/>
            <w:tcBorders>
              <w:bottom w:val="single" w:sz="4" w:space="0" w:color="auto"/>
            </w:tcBorders>
            <w:shd w:val="clear" w:color="auto" w:fill="CACBF5" w:themeFill="accent6" w:themeFillTint="33"/>
          </w:tcPr>
          <w:p w14:paraId="5B25C208" w14:textId="64216F2C" w:rsidR="00A71C39" w:rsidRPr="00E6110F" w:rsidRDefault="00E93E42" w:rsidP="00E93E42">
            <w:pPr>
              <w:pStyle w:val="Body"/>
              <w:jc w:val="center"/>
            </w:pPr>
            <w:r>
              <w:t>3.36</w:t>
            </w:r>
            <w:r w:rsidR="00A71C39">
              <w:t>E+08</w:t>
            </w:r>
          </w:p>
        </w:tc>
        <w:tc>
          <w:tcPr>
            <w:tcW w:w="931" w:type="dxa"/>
            <w:shd w:val="clear" w:color="auto" w:fill="FFC000"/>
          </w:tcPr>
          <w:p w14:paraId="52919E1F" w14:textId="6BEC1A77" w:rsidR="00A71C39" w:rsidRPr="00E6110F" w:rsidRDefault="00E93E42" w:rsidP="00E93E42">
            <w:pPr>
              <w:pStyle w:val="Body"/>
              <w:jc w:val="center"/>
            </w:pPr>
            <w:r>
              <w:t>1.67</w:t>
            </w:r>
            <w:r w:rsidR="00A71C39" w:rsidRPr="00DE7BAF">
              <w:t>E+04</w:t>
            </w:r>
          </w:p>
        </w:tc>
        <w:tc>
          <w:tcPr>
            <w:tcW w:w="993" w:type="dxa"/>
            <w:shd w:val="clear" w:color="auto" w:fill="FFC000"/>
          </w:tcPr>
          <w:p w14:paraId="376BF6B6" w14:textId="7F7B5F4C" w:rsidR="00A71C39" w:rsidRPr="00E6110F" w:rsidRDefault="00E93E42" w:rsidP="00E93E42">
            <w:pPr>
              <w:pStyle w:val="Body"/>
              <w:jc w:val="center"/>
            </w:pPr>
            <w:r>
              <w:t>1.67</w:t>
            </w:r>
            <w:r w:rsidRPr="00DE7BAF">
              <w:t>E+04</w:t>
            </w:r>
          </w:p>
        </w:tc>
        <w:tc>
          <w:tcPr>
            <w:tcW w:w="708" w:type="dxa"/>
            <w:shd w:val="clear" w:color="auto" w:fill="CACBF5" w:themeFill="accent6" w:themeFillTint="33"/>
          </w:tcPr>
          <w:p w14:paraId="43E469BA" w14:textId="048796E8"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49C0A4C2" w14:textId="5090152F"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7E7D82A3" w14:textId="64EE4D7F" w:rsidR="00A71C39" w:rsidRPr="00E6110F" w:rsidRDefault="00A71C39" w:rsidP="003C157A">
            <w:pPr>
              <w:pStyle w:val="Body"/>
              <w:jc w:val="center"/>
            </w:pPr>
            <w:r>
              <w:t>1</w:t>
            </w:r>
            <w:r w:rsidRPr="00DE7BAF">
              <w:t>E+10</w:t>
            </w:r>
          </w:p>
        </w:tc>
        <w:tc>
          <w:tcPr>
            <w:tcW w:w="850" w:type="dxa"/>
            <w:shd w:val="clear" w:color="auto" w:fill="CACBF5" w:themeFill="accent6" w:themeFillTint="33"/>
          </w:tcPr>
          <w:p w14:paraId="30099117" w14:textId="63A08B81" w:rsidR="00A71C39" w:rsidRPr="00E6110F" w:rsidRDefault="00A71C39" w:rsidP="003C157A">
            <w:pPr>
              <w:pStyle w:val="Body"/>
              <w:jc w:val="center"/>
            </w:pPr>
            <w:r>
              <w:t>1</w:t>
            </w:r>
            <w:r w:rsidRPr="00DE7BAF">
              <w:t>E+10</w:t>
            </w:r>
          </w:p>
        </w:tc>
        <w:tc>
          <w:tcPr>
            <w:tcW w:w="993" w:type="dxa"/>
            <w:shd w:val="clear" w:color="auto" w:fill="FFC000"/>
          </w:tcPr>
          <w:p w14:paraId="7A0FEC27" w14:textId="49593F88" w:rsidR="00A71C39" w:rsidRPr="00E6110F" w:rsidRDefault="00E93E42" w:rsidP="00E93E42">
            <w:pPr>
              <w:pStyle w:val="Body"/>
              <w:jc w:val="center"/>
            </w:pPr>
            <w:r>
              <w:t>1.67</w:t>
            </w:r>
            <w:r w:rsidRPr="00DE7BAF">
              <w:t>E+04</w:t>
            </w:r>
          </w:p>
        </w:tc>
      </w:tr>
      <w:tr w:rsidR="003C157A" w:rsidRPr="00E6110F" w14:paraId="28BAD76E" w14:textId="77777777" w:rsidTr="00CB0E5B">
        <w:tc>
          <w:tcPr>
            <w:tcW w:w="1129" w:type="dxa"/>
          </w:tcPr>
          <w:p w14:paraId="69CB2627" w14:textId="77777777" w:rsidR="00A71C39" w:rsidRPr="00E6110F" w:rsidRDefault="00A71C39" w:rsidP="00E93E42">
            <w:pPr>
              <w:pStyle w:val="Body"/>
              <w:jc w:val="center"/>
            </w:pPr>
            <w:r w:rsidRPr="00E6110F">
              <w:t>Hutton Sandstone</w:t>
            </w:r>
          </w:p>
        </w:tc>
        <w:tc>
          <w:tcPr>
            <w:tcW w:w="993" w:type="dxa"/>
          </w:tcPr>
          <w:p w14:paraId="3183A64C" w14:textId="34285F66" w:rsidR="00A71C39" w:rsidRPr="00E6110F" w:rsidRDefault="00A71C39" w:rsidP="00E93E42">
            <w:pPr>
              <w:pStyle w:val="Body"/>
              <w:jc w:val="center"/>
            </w:pPr>
            <w:r w:rsidRPr="00E6110F">
              <w:rPr>
                <w:i/>
              </w:rPr>
              <w:t>f</w:t>
            </w:r>
            <w:r w:rsidRPr="00E6110F">
              <w:rPr>
                <w:vertAlign w:val="subscript"/>
              </w:rPr>
              <w:t>OC</w:t>
            </w:r>
            <w:r w:rsidR="00CB0E5B">
              <w:rPr>
                <w:vertAlign w:val="subscript"/>
              </w:rPr>
              <w:t>_r</w:t>
            </w:r>
            <w:r w:rsidRPr="00E6110F">
              <w:t xml:space="preserve"> = 0</w:t>
            </w:r>
          </w:p>
          <w:p w14:paraId="228F7C51" w14:textId="4C5BBB4C" w:rsidR="00A71C39" w:rsidRPr="00E6110F" w:rsidRDefault="00A71C39" w:rsidP="00E93E42">
            <w:pPr>
              <w:pStyle w:val="Body"/>
              <w:jc w:val="center"/>
            </w:pPr>
          </w:p>
        </w:tc>
        <w:tc>
          <w:tcPr>
            <w:tcW w:w="911" w:type="dxa"/>
            <w:shd w:val="clear" w:color="auto" w:fill="FFC000"/>
          </w:tcPr>
          <w:p w14:paraId="75A0E692" w14:textId="5538A485" w:rsidR="00A71C39" w:rsidRPr="00E6110F" w:rsidRDefault="00A71C39" w:rsidP="00E93E42">
            <w:pPr>
              <w:pStyle w:val="Body"/>
              <w:jc w:val="center"/>
            </w:pPr>
            <w:r w:rsidRPr="00DE7BAF">
              <w:t>1.</w:t>
            </w:r>
            <w:r w:rsidR="00E93E42">
              <w:t>05</w:t>
            </w:r>
            <w:r w:rsidRPr="00DE7BAF">
              <w:t>E+05</w:t>
            </w:r>
          </w:p>
        </w:tc>
        <w:tc>
          <w:tcPr>
            <w:tcW w:w="931" w:type="dxa"/>
            <w:shd w:val="clear" w:color="auto" w:fill="FFC000"/>
          </w:tcPr>
          <w:p w14:paraId="38BA6341" w14:textId="3FF41D84" w:rsidR="00A71C39" w:rsidRPr="00E6110F" w:rsidRDefault="00E93E42" w:rsidP="00E93E42">
            <w:pPr>
              <w:pStyle w:val="Body"/>
              <w:jc w:val="center"/>
            </w:pPr>
            <w:r>
              <w:t>1.67</w:t>
            </w:r>
            <w:r w:rsidR="00A71C39" w:rsidRPr="00DE7BAF">
              <w:t>E+04</w:t>
            </w:r>
          </w:p>
        </w:tc>
        <w:tc>
          <w:tcPr>
            <w:tcW w:w="993" w:type="dxa"/>
            <w:shd w:val="clear" w:color="auto" w:fill="FFC000"/>
          </w:tcPr>
          <w:p w14:paraId="617E83F6" w14:textId="1F924D1F" w:rsidR="00A71C39" w:rsidRPr="00E6110F" w:rsidRDefault="00E93E42" w:rsidP="00E93E42">
            <w:pPr>
              <w:pStyle w:val="Body"/>
              <w:jc w:val="center"/>
            </w:pPr>
            <w:r>
              <w:t>1.67</w:t>
            </w:r>
            <w:r w:rsidRPr="00DE7BAF">
              <w:t>E+04</w:t>
            </w:r>
          </w:p>
        </w:tc>
        <w:tc>
          <w:tcPr>
            <w:tcW w:w="708" w:type="dxa"/>
            <w:shd w:val="clear" w:color="auto" w:fill="CACBF5" w:themeFill="accent6" w:themeFillTint="33"/>
          </w:tcPr>
          <w:p w14:paraId="4D995BEB" w14:textId="167085BE"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28D0C77B" w14:textId="017CA54C" w:rsidR="00A71C39" w:rsidRPr="00E6110F" w:rsidRDefault="00A71C39" w:rsidP="003C157A">
            <w:pPr>
              <w:pStyle w:val="Body"/>
              <w:jc w:val="center"/>
            </w:pPr>
            <w:r>
              <w:t>1</w:t>
            </w:r>
            <w:r w:rsidRPr="00DE7BAF">
              <w:t>E+10</w:t>
            </w:r>
          </w:p>
        </w:tc>
        <w:tc>
          <w:tcPr>
            <w:tcW w:w="709" w:type="dxa"/>
            <w:shd w:val="clear" w:color="auto" w:fill="CACBF5" w:themeFill="accent6" w:themeFillTint="33"/>
          </w:tcPr>
          <w:p w14:paraId="6C817FBD" w14:textId="555C553F" w:rsidR="00A71C39" w:rsidRPr="00E6110F" w:rsidRDefault="00A71C39" w:rsidP="003C157A">
            <w:pPr>
              <w:pStyle w:val="Body"/>
              <w:jc w:val="center"/>
            </w:pPr>
            <w:r>
              <w:t>1</w:t>
            </w:r>
            <w:r w:rsidRPr="00DE7BAF">
              <w:t>E+10</w:t>
            </w:r>
          </w:p>
        </w:tc>
        <w:tc>
          <w:tcPr>
            <w:tcW w:w="850" w:type="dxa"/>
            <w:shd w:val="clear" w:color="auto" w:fill="CACBF5" w:themeFill="accent6" w:themeFillTint="33"/>
          </w:tcPr>
          <w:p w14:paraId="3F0E6F7E" w14:textId="5CC80CE1" w:rsidR="00A71C39" w:rsidRPr="00E6110F" w:rsidRDefault="00A71C39" w:rsidP="003C157A">
            <w:pPr>
              <w:pStyle w:val="Body"/>
              <w:jc w:val="center"/>
            </w:pPr>
            <w:r>
              <w:t>1</w:t>
            </w:r>
            <w:r w:rsidRPr="00DE7BAF">
              <w:t>E+10</w:t>
            </w:r>
          </w:p>
        </w:tc>
        <w:tc>
          <w:tcPr>
            <w:tcW w:w="993" w:type="dxa"/>
            <w:shd w:val="clear" w:color="auto" w:fill="FFC000"/>
          </w:tcPr>
          <w:p w14:paraId="27D81C1A" w14:textId="5F01D9C2" w:rsidR="00A71C39" w:rsidRPr="00E6110F" w:rsidRDefault="00E93E42" w:rsidP="00E93E42">
            <w:pPr>
              <w:pStyle w:val="Body"/>
              <w:jc w:val="center"/>
            </w:pPr>
            <w:r>
              <w:t>1.67</w:t>
            </w:r>
            <w:r w:rsidRPr="00DE7BAF">
              <w:t>E+04</w:t>
            </w:r>
          </w:p>
        </w:tc>
      </w:tr>
    </w:tbl>
    <w:p w14:paraId="4BD4C74E" w14:textId="3CEEDC98" w:rsidR="00403BFA" w:rsidRDefault="00403BFA" w:rsidP="00403BFA">
      <w:pPr>
        <w:pStyle w:val="Heading3"/>
      </w:pPr>
      <w:bookmarkStart w:id="727" w:name="_Toc494444676"/>
      <w:r>
        <w:t>Inorganic substances</w:t>
      </w:r>
      <w:bookmarkEnd w:id="727"/>
    </w:p>
    <w:p w14:paraId="2803711B" w14:textId="1555274B" w:rsidR="00F34D06" w:rsidRDefault="00403BFA" w:rsidP="00403BFA">
      <w:pPr>
        <w:pStyle w:val="Body"/>
      </w:pPr>
      <w:r>
        <w:t xml:space="preserve">The </w:t>
      </w:r>
      <w:r w:rsidR="00E1673C">
        <w:t xml:space="preserve">analysis undertaken for the Gunnedah Basin can be used as a guide to infer contaminant behaviour in the Surat Basin. Based on considerations in </w:t>
      </w:r>
      <w:r w:rsidR="007C063A">
        <w:t>S</w:t>
      </w:r>
      <w:r w:rsidR="00E1673C">
        <w:t xml:space="preserve">ection </w:t>
      </w:r>
      <w:r w:rsidR="00414050">
        <w:fldChar w:fldCharType="begin" w:fldLock="1"/>
      </w:r>
      <w:r w:rsidR="00414050">
        <w:instrText xml:space="preserve"> REF _Ref467687019 \r \h </w:instrText>
      </w:r>
      <w:r w:rsidR="00414050">
        <w:fldChar w:fldCharType="separate"/>
      </w:r>
      <w:r w:rsidR="00335E79">
        <w:t>4.4.1.1</w:t>
      </w:r>
      <w:r w:rsidR="00414050">
        <w:fldChar w:fldCharType="end"/>
      </w:r>
      <w:r w:rsidR="00414050">
        <w:t xml:space="preserve"> </w:t>
      </w:r>
      <w:r w:rsidR="00E1673C">
        <w:t xml:space="preserve">in regards to the lack of information to derive basin specific partition coefficients </w:t>
      </w:r>
      <w:proofErr w:type="gramStart"/>
      <w:r w:rsidR="00E1673C" w:rsidRPr="00BD7856">
        <w:rPr>
          <w:i/>
        </w:rPr>
        <w:t>K</w:t>
      </w:r>
      <w:r w:rsidR="00E1673C" w:rsidRPr="007C063A">
        <w:rPr>
          <w:vertAlign w:val="subscript"/>
        </w:rPr>
        <w:t>d</w:t>
      </w:r>
      <w:proofErr w:type="gramEnd"/>
      <w:r w:rsidR="00E1673C" w:rsidRPr="007C063A">
        <w:t xml:space="preserve">, the same </w:t>
      </w:r>
      <w:r w:rsidR="00E1673C" w:rsidRPr="00BD7856">
        <w:rPr>
          <w:i/>
        </w:rPr>
        <w:t>K</w:t>
      </w:r>
      <w:r w:rsidR="00E1673C" w:rsidRPr="007C063A">
        <w:rPr>
          <w:vertAlign w:val="subscript"/>
        </w:rPr>
        <w:t>d</w:t>
      </w:r>
      <w:r w:rsidR="00E1673C" w:rsidRPr="007C063A">
        <w:t xml:space="preserve"> values </w:t>
      </w:r>
      <w:r w:rsidR="008063EA" w:rsidRPr="007C063A">
        <w:t xml:space="preserve">will </w:t>
      </w:r>
      <w:r w:rsidR="007F6CD5" w:rsidRPr="007C063A">
        <w:t>be used for Surat and Gunnedah B</w:t>
      </w:r>
      <w:r w:rsidR="008063EA" w:rsidRPr="007C063A">
        <w:t xml:space="preserve">asin. As the discussion in </w:t>
      </w:r>
      <w:r w:rsidR="007C063A" w:rsidRPr="007C063A">
        <w:t>S</w:t>
      </w:r>
      <w:r w:rsidR="008063EA" w:rsidRPr="00C956E6">
        <w:t xml:space="preserve">ection </w:t>
      </w:r>
      <w:r w:rsidR="00F34D06" w:rsidRPr="000412E7">
        <w:fldChar w:fldCharType="begin" w:fldLock="1"/>
      </w:r>
      <w:r w:rsidR="00F34D06" w:rsidRPr="00E44C0B">
        <w:instrText xml:space="preserve"> REF _Ref467688882 \r \h </w:instrText>
      </w:r>
      <w:r w:rsidR="007C063A">
        <w:instrText xml:space="preserve"> \* MERGEFORMAT </w:instrText>
      </w:r>
      <w:r w:rsidR="00F34D06" w:rsidRPr="000412E7">
        <w:fldChar w:fldCharType="separate"/>
      </w:r>
      <w:r w:rsidR="00335E79">
        <w:t>5.2.2.1</w:t>
      </w:r>
      <w:r w:rsidR="00F34D06" w:rsidRPr="000412E7">
        <w:fldChar w:fldCharType="end"/>
      </w:r>
      <w:r w:rsidR="00F34D06" w:rsidRPr="00E44C0B">
        <w:t xml:space="preserve"> </w:t>
      </w:r>
      <w:r w:rsidR="008063EA" w:rsidRPr="00E44C0B">
        <w:t>highlighted, the main parameter determining the degree of dilution is the travel distance</w:t>
      </w:r>
      <w:r w:rsidR="00F34D06" w:rsidRPr="00E44C0B">
        <w:t xml:space="preserve"> (i.e. distance between chemical source and receptor)</w:t>
      </w:r>
      <w:r w:rsidR="008063EA" w:rsidRPr="00E44C0B">
        <w:t xml:space="preserve">. The retardation factor </w:t>
      </w:r>
      <w:proofErr w:type="gramStart"/>
      <w:r w:rsidR="007B3DC4" w:rsidRPr="00E6110F">
        <w:rPr>
          <w:i/>
        </w:rPr>
        <w:t>R</w:t>
      </w:r>
      <w:r w:rsidR="007B3DC4" w:rsidRPr="007B3DC4">
        <w:rPr>
          <w:i/>
          <w:vertAlign w:val="subscript"/>
        </w:rPr>
        <w:t>f</w:t>
      </w:r>
      <w:proofErr w:type="gramEnd"/>
      <w:r w:rsidR="008063EA" w:rsidRPr="007C063A">
        <w:t>, which determines the chemical’s travel velocity, does not affect the dilution but does determine the arrival time</w:t>
      </w:r>
      <w:r w:rsidR="007F6CD5" w:rsidRPr="007C063A">
        <w:t xml:space="preserve"> of the maximum</w:t>
      </w:r>
      <w:r w:rsidR="007F6CD5">
        <w:t xml:space="preserve"> concentration</w:t>
      </w:r>
      <w:r w:rsidR="008063EA">
        <w:t xml:space="preserve">. </w:t>
      </w:r>
    </w:p>
    <w:p w14:paraId="689A0E72" w14:textId="49C8B9EA" w:rsidR="009B5D66" w:rsidRDefault="008063EA" w:rsidP="00403BFA">
      <w:pPr>
        <w:pStyle w:val="Body"/>
      </w:pPr>
      <w:r>
        <w:t>Given these conditions, the analysis</w:t>
      </w:r>
      <w:r w:rsidR="00F34D06">
        <w:t xml:space="preserve"> here</w:t>
      </w:r>
      <w:r>
        <w:t xml:space="preserve"> will be limited to an assessment of the </w:t>
      </w:r>
      <w:r w:rsidR="00CB0E5B">
        <w:t xml:space="preserve">effects of </w:t>
      </w:r>
      <w:r>
        <w:t xml:space="preserve">very low pore-water velocity </w:t>
      </w:r>
      <w:r w:rsidR="00D71ED2" w:rsidRPr="00D71ED2">
        <w:rPr>
          <w:i/>
        </w:rPr>
        <w:t>v</w:t>
      </w:r>
      <w:r w:rsidR="00D71ED2">
        <w:t xml:space="preserve"> </w:t>
      </w:r>
      <w:r w:rsidR="007F6CD5">
        <w:t>derived for</w:t>
      </w:r>
      <w:r>
        <w:t xml:space="preserve"> the Walloon Coal Measures</w:t>
      </w:r>
      <w:r w:rsidR="007F6CD5">
        <w:t xml:space="preserve"> based on the particle tracking analysis (</w:t>
      </w:r>
      <w:r w:rsidR="007C063A">
        <w:t>S</w:t>
      </w:r>
      <w:r w:rsidR="007F6CD5">
        <w:t xml:space="preserve">ection </w:t>
      </w:r>
      <w:r w:rsidR="007F6CD5">
        <w:fldChar w:fldCharType="begin" w:fldLock="1"/>
      </w:r>
      <w:r w:rsidR="007F6CD5">
        <w:instrText xml:space="preserve"> REF _Ref467744861 \r \h </w:instrText>
      </w:r>
      <w:r w:rsidR="007F6CD5">
        <w:fldChar w:fldCharType="separate"/>
      </w:r>
      <w:r w:rsidR="00335E79">
        <w:t>2.6.5.4</w:t>
      </w:r>
      <w:r w:rsidR="007F6CD5">
        <w:fldChar w:fldCharType="end"/>
      </w:r>
      <w:r w:rsidR="007F6CD5">
        <w:t>)</w:t>
      </w:r>
      <w:r>
        <w:t xml:space="preserve">, </w:t>
      </w:r>
      <w:r w:rsidR="007F6CD5">
        <w:t xml:space="preserve">i.e. </w:t>
      </w:r>
      <w:r>
        <w:t xml:space="preserve">on average </w:t>
      </w:r>
      <w:r w:rsidR="00CB0E5B" w:rsidRPr="00CB0E5B">
        <w:rPr>
          <w:i/>
        </w:rPr>
        <w:t>v</w:t>
      </w:r>
      <w:r w:rsidR="00CB0E5B">
        <w:t xml:space="preserve"> = </w:t>
      </w:r>
      <w:r>
        <w:t>4.6×10</w:t>
      </w:r>
      <w:r w:rsidRPr="008063EA">
        <w:rPr>
          <w:vertAlign w:val="superscript"/>
        </w:rPr>
        <w:t>-4</w:t>
      </w:r>
      <w:r>
        <w:t xml:space="preserve"> m/day, or </w:t>
      </w:r>
      <w:r w:rsidR="00F34D06">
        <w:t xml:space="preserve">300 </w:t>
      </w:r>
      <w:r>
        <w:t xml:space="preserve">times slower than the value of 0.14 m/day used for the Gunnedah Basin. </w:t>
      </w:r>
      <w:r w:rsidR="009B5D66">
        <w:t>For the Gubberamunda Sandstone aquifer of the Surat Basin, similarly low velocit</w:t>
      </w:r>
      <w:r w:rsidR="00027002">
        <w:t>ies</w:t>
      </w:r>
      <w:r w:rsidR="009B5D66">
        <w:t xml:space="preserve"> were derived (i.e. between </w:t>
      </w:r>
      <w:r w:rsidR="00CB0E5B" w:rsidRPr="00CB0E5B">
        <w:rPr>
          <w:i/>
        </w:rPr>
        <w:t>v</w:t>
      </w:r>
      <w:r w:rsidR="00CB0E5B">
        <w:t xml:space="preserve"> = </w:t>
      </w:r>
      <w:r w:rsidR="009B5D66">
        <w:t>3.71 – 6.13×10</w:t>
      </w:r>
      <w:r w:rsidR="009B5D66" w:rsidRPr="008063EA">
        <w:rPr>
          <w:vertAlign w:val="superscript"/>
        </w:rPr>
        <w:t>-4</w:t>
      </w:r>
      <w:r w:rsidR="009B5D66">
        <w:t xml:space="preserve"> m/day) (</w:t>
      </w:r>
      <w:r w:rsidR="00873848">
        <w:fldChar w:fldCharType="begin" w:fldLock="1"/>
      </w:r>
      <w:r w:rsidR="00873848">
        <w:instrText xml:space="preserve"> REF _Ref454476026 \h </w:instrText>
      </w:r>
      <w:r w:rsidR="00873848">
        <w:fldChar w:fldCharType="separate"/>
      </w:r>
      <w:r w:rsidR="00335E79">
        <w:t xml:space="preserve">Table </w:t>
      </w:r>
      <w:r w:rsidR="00335E79">
        <w:rPr>
          <w:noProof/>
        </w:rPr>
        <w:t>2</w:t>
      </w:r>
      <w:r w:rsidR="00335E79">
        <w:noBreakHyphen/>
      </w:r>
      <w:r w:rsidR="00335E79">
        <w:rPr>
          <w:noProof/>
        </w:rPr>
        <w:t>27</w:t>
      </w:r>
      <w:r w:rsidR="00873848">
        <w:fldChar w:fldCharType="end"/>
      </w:r>
      <w:r w:rsidR="009B5D66">
        <w:t>).</w:t>
      </w:r>
      <w:r w:rsidR="00873848">
        <w:t xml:space="preserve"> Therefore, the subsequent discussion for the Walloon Coal Measures is </w:t>
      </w:r>
      <w:r w:rsidR="00CB0E5B">
        <w:t xml:space="preserve">also </w:t>
      </w:r>
      <w:r w:rsidR="00873848">
        <w:t>representative for the Gubberamunda Sandstone aquifer.</w:t>
      </w:r>
    </w:p>
    <w:p w14:paraId="28DBC23A" w14:textId="5566F60D" w:rsidR="0079563E" w:rsidRDefault="00F34D06" w:rsidP="00403BFA">
      <w:pPr>
        <w:pStyle w:val="Body"/>
      </w:pPr>
      <w:r>
        <w:t xml:space="preserve">The pore-water velocity </w:t>
      </w:r>
      <w:r w:rsidRPr="00E83DD3">
        <w:rPr>
          <w:i/>
        </w:rPr>
        <w:t>v</w:t>
      </w:r>
      <w:r>
        <w:t xml:space="preserve"> does affect, however, the dispersion coefficients </w:t>
      </w:r>
      <w:r w:rsidRPr="00E83DD3">
        <w:rPr>
          <w:i/>
        </w:rPr>
        <w:t>D</w:t>
      </w:r>
      <w:r>
        <w:t xml:space="preserve">, given that </w:t>
      </w:r>
      <w:r w:rsidRPr="00E83DD3">
        <w:rPr>
          <w:i/>
        </w:rPr>
        <w:t>D</w:t>
      </w:r>
      <w:r>
        <w:t xml:space="preserve"> = λ×v. Using the same dispersivity as for the Gunnedah calculations (</w:t>
      </w:r>
      <w:r w:rsidR="00E83DD3">
        <w:t>λ</w:t>
      </w:r>
      <w:r w:rsidR="00E83DD3" w:rsidRPr="00E83DD3">
        <w:rPr>
          <w:vertAlign w:val="subscript"/>
        </w:rPr>
        <w:t>L</w:t>
      </w:r>
      <w:r w:rsidR="00E83DD3">
        <w:t xml:space="preserve"> = </w:t>
      </w:r>
      <w:r>
        <w:t>7</w:t>
      </w:r>
      <w:r w:rsidR="00E83DD3">
        <w:t>.14</w:t>
      </w:r>
      <w:r>
        <w:t xml:space="preserve"> m), the dispersion coefficients </w:t>
      </w:r>
      <w:r w:rsidR="00D71ED2">
        <w:t xml:space="preserve">for the Surat </w:t>
      </w:r>
      <w:r>
        <w:t xml:space="preserve">become as follows: </w:t>
      </w:r>
      <w:r w:rsidR="00E83DD3">
        <w:t>D</w:t>
      </w:r>
      <w:r w:rsidR="00E83DD3" w:rsidRPr="00E83DD3">
        <w:rPr>
          <w:vertAlign w:val="subscript"/>
        </w:rPr>
        <w:t>L</w:t>
      </w:r>
      <w:r w:rsidR="00E83DD3">
        <w:t xml:space="preserve"> = </w:t>
      </w:r>
      <w:r w:rsidR="00984F74">
        <w:t>4.6×10</w:t>
      </w:r>
      <w:r w:rsidR="00984F74" w:rsidRPr="00E83DD3">
        <w:rPr>
          <w:vertAlign w:val="superscript"/>
        </w:rPr>
        <w:t>-</w:t>
      </w:r>
      <w:r w:rsidR="00984F74">
        <w:rPr>
          <w:vertAlign w:val="superscript"/>
        </w:rPr>
        <w:t>4</w:t>
      </w:r>
      <w:r w:rsidR="00984F74">
        <w:t xml:space="preserve"> ×7.14 m</w:t>
      </w:r>
      <w:r w:rsidR="00984F74" w:rsidRPr="00E83DD3">
        <w:rPr>
          <w:vertAlign w:val="superscript"/>
        </w:rPr>
        <w:t>2</w:t>
      </w:r>
      <w:r w:rsidR="00984F74">
        <w:t xml:space="preserve">/day = </w:t>
      </w:r>
      <w:r w:rsidR="00E83DD3">
        <w:t>3.3×10</w:t>
      </w:r>
      <w:r w:rsidR="00E83DD3" w:rsidRPr="00E83DD3">
        <w:rPr>
          <w:vertAlign w:val="superscript"/>
        </w:rPr>
        <w:t>-3</w:t>
      </w:r>
      <w:r w:rsidR="00E83DD3">
        <w:t xml:space="preserve"> m</w:t>
      </w:r>
      <w:r w:rsidR="00E83DD3" w:rsidRPr="00E83DD3">
        <w:rPr>
          <w:vertAlign w:val="superscript"/>
        </w:rPr>
        <w:t>2</w:t>
      </w:r>
      <w:r w:rsidR="00E83DD3">
        <w:t xml:space="preserve">/day, </w:t>
      </w:r>
      <w:r w:rsidR="0079563E">
        <w:t xml:space="preserve">and </w:t>
      </w:r>
      <w:r w:rsidR="00E83DD3">
        <w:t>D</w:t>
      </w:r>
      <w:r w:rsidR="00E83DD3" w:rsidRPr="00E83DD3">
        <w:rPr>
          <w:vertAlign w:val="subscript"/>
        </w:rPr>
        <w:t>TH</w:t>
      </w:r>
      <w:r w:rsidR="00E83DD3">
        <w:t xml:space="preserve"> = D</w:t>
      </w:r>
      <w:r w:rsidR="00E83DD3" w:rsidRPr="00E83DD3">
        <w:rPr>
          <w:vertAlign w:val="subscript"/>
        </w:rPr>
        <w:t>TV</w:t>
      </w:r>
      <w:r w:rsidR="00E83DD3">
        <w:t xml:space="preserve"> = 3.3×10</w:t>
      </w:r>
      <w:r w:rsidR="00E83DD3" w:rsidRPr="00E83DD3">
        <w:rPr>
          <w:vertAlign w:val="superscript"/>
        </w:rPr>
        <w:t>-4</w:t>
      </w:r>
      <w:r w:rsidR="00E83DD3">
        <w:t xml:space="preserve"> m</w:t>
      </w:r>
      <w:r w:rsidR="00E83DD3" w:rsidRPr="00E83DD3">
        <w:rPr>
          <w:vertAlign w:val="superscript"/>
        </w:rPr>
        <w:t>2</w:t>
      </w:r>
      <w:r w:rsidR="00E83DD3">
        <w:t>/day.</w:t>
      </w:r>
      <w:r w:rsidR="00D71ED2">
        <w:t xml:space="preserve"> </w:t>
      </w:r>
      <w:r w:rsidR="0079563E">
        <w:t>Although the dispersion coefficients for the high (Gunnedah Basin) and low (Surat Basin) velocity values are different, their so-called Peclet Number (Pe) is identical:</w:t>
      </w:r>
    </w:p>
    <w:p w14:paraId="378DC90E" w14:textId="21917007" w:rsidR="0079563E" w:rsidRPr="00853A9F" w:rsidRDefault="00853A9F" w:rsidP="00853A9F">
      <w:pPr>
        <w:pStyle w:val="Body"/>
        <w:tabs>
          <w:tab w:val="center" w:pos="4253"/>
          <w:tab w:val="right" w:pos="8222"/>
        </w:tabs>
        <w:rPr>
          <w:sz w:val="24"/>
          <w:szCs w:val="24"/>
        </w:rPr>
      </w:pPr>
      <w:r>
        <w:tab/>
      </w:r>
      <m:oMath>
        <m:r>
          <w:rPr>
            <w:rFonts w:ascii="Cambria Math" w:hAnsi="Cambria Math"/>
          </w:rPr>
          <m:t>Pe=</m:t>
        </m:r>
        <m:f>
          <m:fPr>
            <m:ctrlPr>
              <w:rPr>
                <w:rFonts w:ascii="Cambria Math" w:hAnsi="Cambria Math"/>
                <w:i/>
              </w:rPr>
            </m:ctrlPr>
          </m:fPr>
          <m:num>
            <m:r>
              <w:rPr>
                <w:rFonts w:ascii="Cambria Math" w:hAnsi="Cambria Math"/>
              </w:rPr>
              <m:t>vL</m:t>
            </m:r>
          </m:num>
          <m:den>
            <m:r>
              <w:rPr>
                <w:rFonts w:ascii="Cambria Math" w:hAnsi="Cambria Math"/>
              </w:rPr>
              <m:t>D</m:t>
            </m:r>
          </m:den>
        </m:f>
        <m:r>
          <w:rPr>
            <w:rFonts w:ascii="Cambria Math" w:hAnsi="Cambria Math"/>
          </w:rPr>
          <m:t>=</m:t>
        </m:r>
        <m:f>
          <m:fPr>
            <m:ctrlPr>
              <w:rPr>
                <w:rFonts w:ascii="Cambria Math" w:hAnsi="Cambria Math"/>
                <w:i/>
              </w:rPr>
            </m:ctrlPr>
          </m:fPr>
          <m:num>
            <m:r>
              <w:rPr>
                <w:rFonts w:ascii="Cambria Math" w:hAnsi="Cambria Math"/>
              </w:rPr>
              <m:t>0.14x500</m:t>
            </m:r>
          </m:num>
          <m:den>
            <m:r>
              <w:rPr>
                <w:rFonts w:ascii="Cambria Math" w:hAnsi="Cambria Math"/>
              </w:rPr>
              <m:t>1</m:t>
            </m:r>
          </m:den>
        </m:f>
        <m:r>
          <w:rPr>
            <w:rFonts w:ascii="Cambria Math" w:hAnsi="Cambria Math"/>
          </w:rPr>
          <m:t>(Gunnedah)=</m:t>
        </m:r>
        <m:f>
          <m:fPr>
            <m:ctrlPr>
              <w:rPr>
                <w:rFonts w:ascii="Cambria Math" w:hAnsi="Cambria Math"/>
                <w:i/>
              </w:rPr>
            </m:ctrlPr>
          </m:fPr>
          <m:num>
            <m:r>
              <w:rPr>
                <w:rFonts w:ascii="Cambria Math" w:hAnsi="Cambria Math"/>
              </w:rPr>
              <m:t>0.00046x500</m:t>
            </m:r>
          </m:num>
          <m:den>
            <m:r>
              <w:rPr>
                <w:rFonts w:ascii="Cambria Math" w:hAnsi="Cambria Math"/>
              </w:rPr>
              <m:t>0.0033</m:t>
            </m:r>
          </m:den>
        </m:f>
        <m:r>
          <w:rPr>
            <w:rFonts w:ascii="Cambria Math" w:hAnsi="Cambria Math"/>
          </w:rPr>
          <m:t>(Surat)=70</m:t>
        </m:r>
      </m:oMath>
      <w:r>
        <w:rPr>
          <w:sz w:val="24"/>
          <w:szCs w:val="24"/>
        </w:rPr>
        <w:tab/>
      </w:r>
      <w:r w:rsidRPr="00FB11BD">
        <w:t>(</w:t>
      </w:r>
      <w:r w:rsidR="00FB11BD" w:rsidRPr="00FB11BD">
        <w:t>18</w:t>
      </w:r>
      <w:r w:rsidRPr="00FB11BD">
        <w:t>)</w:t>
      </w:r>
    </w:p>
    <w:p w14:paraId="4313DD7F" w14:textId="63E9E177" w:rsidR="00853A9F" w:rsidRDefault="0079563E" w:rsidP="00403BFA">
      <w:pPr>
        <w:pStyle w:val="Body"/>
      </w:pPr>
      <w:proofErr w:type="gramStart"/>
      <w:r>
        <w:t>where</w:t>
      </w:r>
      <w:proofErr w:type="gramEnd"/>
      <w:r>
        <w:t xml:space="preserve"> </w:t>
      </w:r>
      <w:r w:rsidRPr="00FB11BD">
        <w:rPr>
          <w:i/>
        </w:rPr>
        <w:t>v</w:t>
      </w:r>
      <w:r>
        <w:t xml:space="preserve"> and </w:t>
      </w:r>
      <w:r w:rsidRPr="00FB11BD">
        <w:rPr>
          <w:i/>
        </w:rPr>
        <w:t>D</w:t>
      </w:r>
      <w:r>
        <w:t xml:space="preserve"> are as defined previously and </w:t>
      </w:r>
      <w:r w:rsidRPr="00FB11BD">
        <w:rPr>
          <w:i/>
        </w:rPr>
        <w:t>L</w:t>
      </w:r>
      <w:r>
        <w:t xml:space="preserve"> is transport distance (here assumed 500 m). Peclet Numbers are used to determine the relative contribution of advection over dispersion to solute transport (</w:t>
      </w:r>
      <w:r w:rsidR="00F05FE0">
        <w:t>Huysmans and Dassargues 2005</w:t>
      </w:r>
      <w:r>
        <w:t>).</w:t>
      </w:r>
      <w:r w:rsidR="000C432B">
        <w:t xml:space="preserve"> </w:t>
      </w:r>
      <w:r w:rsidR="000C432B" w:rsidRPr="000C432B">
        <w:t xml:space="preserve">Values of Pe </w:t>
      </w:r>
      <w:r w:rsidR="000C432B">
        <w:t>smaller than</w:t>
      </w:r>
      <w:r w:rsidR="000C432B" w:rsidRPr="000C432B">
        <w:t xml:space="preserve"> 1 indicate </w:t>
      </w:r>
      <w:r w:rsidR="000C432B">
        <w:t>solute</w:t>
      </w:r>
      <w:r w:rsidR="000C432B" w:rsidRPr="000C432B">
        <w:t xml:space="preserve"> transport over </w:t>
      </w:r>
      <w:r w:rsidR="000C432B">
        <w:t xml:space="preserve">the </w:t>
      </w:r>
      <w:r w:rsidR="000C432B" w:rsidRPr="000C432B">
        <w:t xml:space="preserve">distance </w:t>
      </w:r>
      <w:r w:rsidR="000C432B" w:rsidRPr="009507F1">
        <w:rPr>
          <w:i/>
        </w:rPr>
        <w:t>L</w:t>
      </w:r>
      <w:r w:rsidR="000C432B" w:rsidRPr="000C432B">
        <w:t xml:space="preserve"> is</w:t>
      </w:r>
      <w:r w:rsidR="000C432B">
        <w:t xml:space="preserve"> </w:t>
      </w:r>
      <w:r w:rsidR="000C432B" w:rsidRPr="000C432B">
        <w:t xml:space="preserve">dominated by </w:t>
      </w:r>
      <w:r w:rsidR="000C432B">
        <w:t>dispersion</w:t>
      </w:r>
      <w:r w:rsidR="000C432B" w:rsidRPr="000C432B">
        <w:t xml:space="preserve">, whereas </w:t>
      </w:r>
      <w:r w:rsidR="000C432B">
        <w:t xml:space="preserve">Pe </w:t>
      </w:r>
      <w:r w:rsidR="000C432B" w:rsidRPr="000C432B">
        <w:t xml:space="preserve">values </w:t>
      </w:r>
      <w:r w:rsidR="000C432B">
        <w:t xml:space="preserve">larger than </w:t>
      </w:r>
      <w:r w:rsidR="000C432B" w:rsidRPr="000C432B">
        <w:t>10 are characteristic</w:t>
      </w:r>
      <w:r w:rsidR="000C432B">
        <w:t xml:space="preserve"> </w:t>
      </w:r>
      <w:r w:rsidR="000C432B" w:rsidRPr="000C432B">
        <w:t>of advection-dominated systems</w:t>
      </w:r>
      <w:r w:rsidR="000C432B">
        <w:t xml:space="preserve"> (Mazurek et al. 2011).</w:t>
      </w:r>
      <w:r w:rsidR="00027002">
        <w:t xml:space="preserve"> </w:t>
      </w:r>
      <w:r>
        <w:t xml:space="preserve">The </w:t>
      </w:r>
      <w:r w:rsidR="009507F1">
        <w:t xml:space="preserve">calculated </w:t>
      </w:r>
      <w:r>
        <w:t xml:space="preserve">Peclet Number of 70 </w:t>
      </w:r>
      <w:r w:rsidR="009507F1">
        <w:t xml:space="preserve">(equation </w:t>
      </w:r>
      <w:r w:rsidR="00FB11BD">
        <w:t>18</w:t>
      </w:r>
      <w:r w:rsidR="009507F1">
        <w:t xml:space="preserve">) </w:t>
      </w:r>
      <w:r>
        <w:t xml:space="preserve">indicates </w:t>
      </w:r>
      <w:r w:rsidR="009507F1">
        <w:t xml:space="preserve">solute transport is dominated by advection. This is further demonstrated in </w:t>
      </w:r>
      <w:r w:rsidR="00B00FDF">
        <w:fldChar w:fldCharType="begin" w:fldLock="1"/>
      </w:r>
      <w:r w:rsidR="00B00FDF">
        <w:instrText xml:space="preserve"> REF _Ref467745229 \h </w:instrText>
      </w:r>
      <w:r w:rsidR="00B00FDF">
        <w:fldChar w:fldCharType="separate"/>
      </w:r>
      <w:r w:rsidR="00335E79">
        <w:t xml:space="preserve">Figure </w:t>
      </w:r>
      <w:r w:rsidR="00335E79">
        <w:rPr>
          <w:noProof/>
        </w:rPr>
        <w:t>5</w:t>
      </w:r>
      <w:r w:rsidR="00335E79">
        <w:noBreakHyphen/>
      </w:r>
      <w:r w:rsidR="00335E79">
        <w:rPr>
          <w:noProof/>
        </w:rPr>
        <w:t>27</w:t>
      </w:r>
      <w:r w:rsidR="00B00FDF">
        <w:fldChar w:fldCharType="end"/>
      </w:r>
      <w:r w:rsidR="00B00FDF">
        <w:t>a</w:t>
      </w:r>
      <w:r w:rsidR="009507F1">
        <w:t xml:space="preserve">, where the dispersion-velocity relationship is depicted for three values of the </w:t>
      </w:r>
      <w:r w:rsidR="00B00FDF">
        <w:t xml:space="preserve">(longitudinal) </w:t>
      </w:r>
      <w:r w:rsidR="009507F1">
        <w:t xml:space="preserve">dispersivity </w:t>
      </w:r>
      <w:r w:rsidR="00B00FDF">
        <w:t xml:space="preserve">parameter </w:t>
      </w:r>
      <w:r w:rsidR="009507F1">
        <w:t>(λ</w:t>
      </w:r>
      <w:r w:rsidR="009507F1" w:rsidRPr="00E83DD3">
        <w:rPr>
          <w:vertAlign w:val="subscript"/>
        </w:rPr>
        <w:t>L</w:t>
      </w:r>
      <w:r w:rsidR="009507F1">
        <w:t xml:space="preserve"> = 0.714, 7.14, and 71.4 m). These relationships are plotted against a background of three </w:t>
      </w:r>
      <w:r w:rsidR="00B00FDF">
        <w:t xml:space="preserve">characteristic transport </w:t>
      </w:r>
      <w:r w:rsidR="009507F1">
        <w:t xml:space="preserve">systems: a dispersion dominated system for Pe ≤ 1 (coloured blue), an advection dominated system </w:t>
      </w:r>
      <w:r w:rsidR="00B00FDF">
        <w:t xml:space="preserve">with Pe ≥ 10 </w:t>
      </w:r>
      <w:r w:rsidR="009507F1">
        <w:t xml:space="preserve">(coloured green), and a transition zone </w:t>
      </w:r>
      <w:r w:rsidR="00B00FDF">
        <w:t xml:space="preserve">with </w:t>
      </w:r>
      <w:r w:rsidR="00853A9F">
        <w:t xml:space="preserve">1 ≤ Pe ≤ 10 </w:t>
      </w:r>
      <w:r w:rsidR="009507F1">
        <w:t>(coloured white)</w:t>
      </w:r>
      <w:r w:rsidR="00853A9F">
        <w:t>.</w:t>
      </w:r>
      <w:r w:rsidR="009507F1">
        <w:t xml:space="preserve"> </w:t>
      </w:r>
    </w:p>
    <w:p w14:paraId="69EA9ED0" w14:textId="55E9AEE7" w:rsidR="00F36FB6" w:rsidRDefault="00FB11BD" w:rsidP="00544E2B">
      <w:pPr>
        <w:pStyle w:val="Body"/>
        <w:tabs>
          <w:tab w:val="right" w:pos="851"/>
        </w:tabs>
      </w:pPr>
      <w:r>
        <w:t xml:space="preserve">Using </w:t>
      </w:r>
      <w:r w:rsidR="00D71ED2">
        <w:t>the dispersion coefficients</w:t>
      </w:r>
      <w:r>
        <w:t xml:space="preserve"> </w:t>
      </w:r>
      <w:r w:rsidRPr="00FB11BD">
        <w:rPr>
          <w:i/>
        </w:rPr>
        <w:t>D</w:t>
      </w:r>
      <w:r w:rsidRPr="00FB11BD">
        <w:rPr>
          <w:vertAlign w:val="subscript"/>
        </w:rPr>
        <w:t>L</w:t>
      </w:r>
      <w:r>
        <w:t xml:space="preserve"> of 1 and 0.0033 m</w:t>
      </w:r>
      <w:r w:rsidRPr="00FB11BD">
        <w:rPr>
          <w:vertAlign w:val="superscript"/>
        </w:rPr>
        <w:t>2</w:t>
      </w:r>
      <w:r>
        <w:t>/day</w:t>
      </w:r>
      <w:r w:rsidR="00D71ED2">
        <w:t>, the solute migration was calculated for a receptor at 500 m while neglecting sorption (</w:t>
      </w:r>
      <w:r w:rsidR="00D71ED2" w:rsidRPr="00B36B8E">
        <w:rPr>
          <w:i/>
        </w:rPr>
        <w:t>R</w:t>
      </w:r>
      <w:r w:rsidR="00D71ED2">
        <w:t xml:space="preserve"> = 1) as the sole purpose of the calculation was to understand the effect of a reduced dispersion (which is independent of </w:t>
      </w:r>
      <w:r w:rsidR="00D71ED2" w:rsidRPr="00B36B8E">
        <w:rPr>
          <w:i/>
        </w:rPr>
        <w:t>R</w:t>
      </w:r>
      <w:r w:rsidR="00D71ED2">
        <w:t xml:space="preserve">). Solute breakthrough for a high velocity and low velocity environment are compared in </w:t>
      </w:r>
      <w:r w:rsidR="00D71ED2">
        <w:fldChar w:fldCharType="begin" w:fldLock="1"/>
      </w:r>
      <w:r w:rsidR="00D71ED2">
        <w:instrText xml:space="preserve"> REF _Ref467745229 \h </w:instrText>
      </w:r>
      <w:r w:rsidR="00D71ED2">
        <w:fldChar w:fldCharType="separate"/>
      </w:r>
      <w:r w:rsidR="00335E79">
        <w:t xml:space="preserve">Figure </w:t>
      </w:r>
      <w:r w:rsidR="00335E79">
        <w:rPr>
          <w:noProof/>
        </w:rPr>
        <w:t>5</w:t>
      </w:r>
      <w:r w:rsidR="00335E79">
        <w:noBreakHyphen/>
      </w:r>
      <w:r w:rsidR="00335E79">
        <w:rPr>
          <w:noProof/>
        </w:rPr>
        <w:t>27</w:t>
      </w:r>
      <w:r w:rsidR="00D71ED2">
        <w:fldChar w:fldCharType="end"/>
      </w:r>
      <w:r w:rsidR="0079563E">
        <w:t>b</w:t>
      </w:r>
      <w:r w:rsidR="00D71ED2">
        <w:t xml:space="preserve">; as expected, the breakthrough is later under the conditions of a lower velocity. More importantly, because of the very low dispersion coefficients used in both simulations (i.e. both </w:t>
      </w:r>
      <w:r w:rsidR="00D71ED2" w:rsidRPr="00FB11BD">
        <w:rPr>
          <w:i/>
        </w:rPr>
        <w:t>D</w:t>
      </w:r>
      <w:r w:rsidR="00D71ED2" w:rsidRPr="00E83DD3">
        <w:rPr>
          <w:vertAlign w:val="subscript"/>
        </w:rPr>
        <w:t>L</w:t>
      </w:r>
      <w:r w:rsidR="00D71ED2">
        <w:t xml:space="preserve"> = 1 and 3.3×10</w:t>
      </w:r>
      <w:r w:rsidR="00D71ED2" w:rsidRPr="00E83DD3">
        <w:rPr>
          <w:vertAlign w:val="superscript"/>
        </w:rPr>
        <w:t>-3</w:t>
      </w:r>
      <w:r w:rsidR="00D71ED2">
        <w:t xml:space="preserve"> m</w:t>
      </w:r>
      <w:r w:rsidR="00D71ED2" w:rsidRPr="00E83DD3">
        <w:rPr>
          <w:vertAlign w:val="superscript"/>
        </w:rPr>
        <w:t>2</w:t>
      </w:r>
      <w:r w:rsidR="00D71ED2">
        <w:t>/day are considered small relative to the travel distance of 500 m), the effect of dispersion is nearly identical hence the peak concen</w:t>
      </w:r>
      <w:r w:rsidR="0079563E">
        <w:t>t</w:t>
      </w:r>
      <w:r w:rsidR="00D71ED2">
        <w:t>rations are nearly identical.</w:t>
      </w:r>
      <w:r w:rsidR="00C43AE9">
        <w:t xml:space="preserve"> As was evident from </w:t>
      </w:r>
      <w:r w:rsidR="00C43AE9">
        <w:fldChar w:fldCharType="begin" w:fldLock="1"/>
      </w:r>
      <w:r w:rsidR="00C43AE9">
        <w:instrText xml:space="preserve"> REF _Ref467745229 \h </w:instrText>
      </w:r>
      <w:r w:rsidR="00C43AE9">
        <w:fldChar w:fldCharType="separate"/>
      </w:r>
      <w:r w:rsidR="00335E79">
        <w:t xml:space="preserve">Figure </w:t>
      </w:r>
      <w:r w:rsidR="00335E79">
        <w:rPr>
          <w:noProof/>
        </w:rPr>
        <w:t>5</w:t>
      </w:r>
      <w:r w:rsidR="00335E79">
        <w:noBreakHyphen/>
      </w:r>
      <w:r w:rsidR="00335E79">
        <w:rPr>
          <w:noProof/>
        </w:rPr>
        <w:t>27</w:t>
      </w:r>
      <w:r w:rsidR="00C43AE9">
        <w:fldChar w:fldCharType="end"/>
      </w:r>
      <w:r w:rsidR="00C43AE9">
        <w:t xml:space="preserve">a, both the low and high velocity cases have a high and identical Pe = 70, which clearly falls within the advection dominated system. Under those conditions, the effect of dispersion on decreasing solute concentrations is </w:t>
      </w:r>
      <w:r w:rsidR="0039614E">
        <w:t>identical</w:t>
      </w:r>
      <w:r w:rsidR="00C43AE9">
        <w:t xml:space="preserve"> for both velocities.</w:t>
      </w:r>
      <w:r w:rsidR="0039614E">
        <w:t xml:space="preserve"> Note that the advection-dispersion solute transport (equation </w:t>
      </w:r>
      <w:r w:rsidR="00544E2B">
        <w:t>1</w:t>
      </w:r>
      <w:r w:rsidR="00027002">
        <w:t>5 and 16</w:t>
      </w:r>
      <w:r w:rsidR="0039614E">
        <w:t>) can be written in dimensionless form, in which case the Peclet Number becomes the only parameter determining solute distribution in space and time (Toride et al. 1999</w:t>
      </w:r>
      <w:r w:rsidR="009668E4">
        <w:t>; van Genuchten et al. 2012</w:t>
      </w:r>
      <w:r w:rsidR="0039614E">
        <w:t xml:space="preserve">).  </w:t>
      </w:r>
      <w:r w:rsidR="00C43AE9">
        <w:t xml:space="preserve"> </w:t>
      </w:r>
    </w:p>
    <w:p w14:paraId="16434699" w14:textId="68DB7298" w:rsidR="00403BFA" w:rsidRDefault="00D71ED2" w:rsidP="00403BFA">
      <w:pPr>
        <w:pStyle w:val="Body"/>
      </w:pPr>
      <w:r>
        <w:t xml:space="preserve"> </w:t>
      </w:r>
    </w:p>
    <w:p w14:paraId="41684803" w14:textId="0E269265" w:rsidR="00E92655" w:rsidRDefault="00B47E9A" w:rsidP="00E92655">
      <w:pPr>
        <w:pStyle w:val="Body"/>
        <w:jc w:val="center"/>
      </w:pPr>
      <w:r w:rsidRPr="00B47E9A">
        <w:rPr>
          <w:noProof/>
          <w:lang w:val="en-AU" w:eastAsia="en-AU"/>
        </w:rPr>
        <w:drawing>
          <wp:inline distT="0" distB="0" distL="0" distR="0" wp14:anchorId="59CF489C" wp14:editId="2258D5C9">
            <wp:extent cx="5727700" cy="2580444"/>
            <wp:effectExtent l="0" t="0" r="6350" b="0"/>
            <wp:docPr id="93" name="Picture 93" descr="Charts showing relationship between velocity and dispersion coefficient for different values of dispersivity in the Gunnedah and Surat basins." title="Fig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5727700" cy="2580444"/>
                    </a:xfrm>
                    <a:prstGeom prst="rect">
                      <a:avLst/>
                    </a:prstGeom>
                    <a:noFill/>
                    <a:ln>
                      <a:noFill/>
                    </a:ln>
                  </pic:spPr>
                </pic:pic>
              </a:graphicData>
            </a:graphic>
          </wp:inline>
        </w:drawing>
      </w:r>
    </w:p>
    <w:p w14:paraId="2A5133E8" w14:textId="6F406683" w:rsidR="00E92655" w:rsidRDefault="00E92655" w:rsidP="00E92655">
      <w:pPr>
        <w:pStyle w:val="Imagecaption"/>
      </w:pPr>
      <w:bookmarkStart w:id="728" w:name="_Ref467745229"/>
      <w:bookmarkStart w:id="729" w:name="_Toc477347669"/>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27</w:t>
      </w:r>
      <w:r w:rsidR="00254026">
        <w:fldChar w:fldCharType="end"/>
      </w:r>
      <w:bookmarkEnd w:id="728"/>
      <w:r>
        <w:t xml:space="preserve"> </w:t>
      </w:r>
      <w:r w:rsidR="00F36FB6">
        <w:t xml:space="preserve">A: Relationship between velocity and dispersion coefficient for different values of dispersivity λL. Blue coloured area indicates dispersion dominated transport (Pe ≤1); green coloured area indicates advection dominated transport (Pe ≥1). B: </w:t>
      </w:r>
      <w:r>
        <w:t>Barium concentrations at a 500 m receptor using high velocity (0.14 m/day) and low velocity (3.3×10</w:t>
      </w:r>
      <w:r w:rsidRPr="00E92655">
        <w:rPr>
          <w:vertAlign w:val="superscript"/>
        </w:rPr>
        <w:t>-3</w:t>
      </w:r>
      <w:r>
        <w:t xml:space="preserve"> m/day). Sorption is not considered (R=1).</w:t>
      </w:r>
      <w:bookmarkEnd w:id="729"/>
    </w:p>
    <w:p w14:paraId="45C813AD" w14:textId="77777777" w:rsidR="00F36FB6" w:rsidRDefault="00F36FB6" w:rsidP="00403BFA">
      <w:pPr>
        <w:pStyle w:val="Body"/>
      </w:pPr>
    </w:p>
    <w:p w14:paraId="4CF93DC2" w14:textId="43F9B7C3" w:rsidR="00E92655" w:rsidRDefault="00D71ED2" w:rsidP="00403BFA">
      <w:pPr>
        <w:pStyle w:val="Body"/>
      </w:pPr>
      <w:r>
        <w:t>Note that use of s</w:t>
      </w:r>
      <w:r w:rsidR="00E92655">
        <w:t>mall dispersion values is conservative</w:t>
      </w:r>
      <w:r>
        <w:t xml:space="preserve">; indeed, the larger the dispersion the larger the solute spreading and hence the smaller the peak concentration. </w:t>
      </w:r>
    </w:p>
    <w:p w14:paraId="5E0B7EB1" w14:textId="41AE0D52" w:rsidR="00D71ED2" w:rsidRPr="00403BFA" w:rsidRDefault="00D71ED2" w:rsidP="00403BFA">
      <w:pPr>
        <w:pStyle w:val="Body"/>
      </w:pPr>
      <w:r>
        <w:t>These analysis indicate that</w:t>
      </w:r>
      <w:r w:rsidR="0004088E">
        <w:t>, for the same travel distance between source and receptor as considered for the Gunnedah Basin calculations,</w:t>
      </w:r>
      <w:r>
        <w:t xml:space="preserve"> dilution in the Surat Basin Walloon Coal Measures is </w:t>
      </w:r>
      <w:r w:rsidR="00E023FF">
        <w:t>at least as high</w:t>
      </w:r>
      <w:r w:rsidR="0004088E">
        <w:t xml:space="preserve">. Therefore, the dilution factors derived for the Gunnedah </w:t>
      </w:r>
      <w:r w:rsidR="007C063A">
        <w:t>B</w:t>
      </w:r>
      <w:r w:rsidR="0004088E">
        <w:t xml:space="preserve">asin can be used as guide values for the Surat Basin. </w:t>
      </w:r>
      <w:r w:rsidR="005E1653">
        <w:t xml:space="preserve">Use of these DAF values in other sedimentary basins is discussed in Section </w:t>
      </w:r>
      <w:r w:rsidR="005E1653">
        <w:fldChar w:fldCharType="begin" w:fldLock="1"/>
      </w:r>
      <w:r w:rsidR="005E1653">
        <w:instrText xml:space="preserve"> REF _Ref477011490 \r \h </w:instrText>
      </w:r>
      <w:r w:rsidR="005E1653">
        <w:fldChar w:fldCharType="separate"/>
      </w:r>
      <w:r w:rsidR="005E1653">
        <w:t>5.6.3</w:t>
      </w:r>
      <w:r w:rsidR="005E1653">
        <w:fldChar w:fldCharType="end"/>
      </w:r>
      <w:r w:rsidR="005E1653">
        <w:t>.</w:t>
      </w:r>
      <w:r w:rsidR="0004088E">
        <w:t xml:space="preserve"> </w:t>
      </w:r>
      <w:r>
        <w:t xml:space="preserve"> </w:t>
      </w:r>
    </w:p>
    <w:p w14:paraId="51ACFF56" w14:textId="77777777" w:rsidR="00751DEA" w:rsidRDefault="00751DEA" w:rsidP="00751DEA">
      <w:pPr>
        <w:pStyle w:val="Heading3"/>
      </w:pPr>
      <w:bookmarkStart w:id="730" w:name="_Ref470884735"/>
      <w:bookmarkStart w:id="731" w:name="_Toc494444677"/>
      <w:r>
        <w:t>Linking spatial analysis and DAF values</w:t>
      </w:r>
      <w:bookmarkEnd w:id="730"/>
      <w:bookmarkEnd w:id="731"/>
    </w:p>
    <w:p w14:paraId="611E451E" w14:textId="411B9CAF" w:rsidR="005E4893" w:rsidRDefault="00751DEA" w:rsidP="00751DEA">
      <w:pPr>
        <w:pStyle w:val="Body"/>
      </w:pPr>
      <w:r>
        <w:t xml:space="preserve">In </w:t>
      </w:r>
      <w:r w:rsidR="00684561">
        <w:t xml:space="preserve">the same way as was done for the Gunndah Basin, </w:t>
      </w:r>
      <w:r>
        <w:t>the frequency distributions displaying proximity between CSG wells and specific receptors are combined with compound-specific DAF values to attribute a likelihood to the various DAF values</w:t>
      </w:r>
      <w:r w:rsidR="00684561">
        <w:t xml:space="preserve"> (</w:t>
      </w:r>
      <w:r w:rsidR="00684561">
        <w:fldChar w:fldCharType="begin" w:fldLock="1"/>
      </w:r>
      <w:r w:rsidR="00684561">
        <w:instrText xml:space="preserve"> REF _Ref467845060 \h </w:instrText>
      </w:r>
      <w:r w:rsidR="00684561">
        <w:fldChar w:fldCharType="separate"/>
      </w:r>
      <w:r w:rsidR="00335E79">
        <w:t xml:space="preserve">Figure </w:t>
      </w:r>
      <w:r w:rsidR="00335E79">
        <w:rPr>
          <w:noProof/>
        </w:rPr>
        <w:t>5</w:t>
      </w:r>
      <w:r w:rsidR="00335E79">
        <w:noBreakHyphen/>
      </w:r>
      <w:r w:rsidR="00335E79">
        <w:rPr>
          <w:noProof/>
        </w:rPr>
        <w:t>28</w:t>
      </w:r>
      <w:r w:rsidR="00684561">
        <w:fldChar w:fldCharType="end"/>
      </w:r>
      <w:r w:rsidR="00684561">
        <w:t>)</w:t>
      </w:r>
      <w:r>
        <w:t xml:space="preserve">. The procedure is </w:t>
      </w:r>
      <w:r w:rsidR="00684561">
        <w:t xml:space="preserve">again </w:t>
      </w:r>
      <w:r>
        <w:t>illustrated for 2-methylphenol</w:t>
      </w:r>
      <w:r w:rsidR="00684561">
        <w:t>; the DAF values are the same as those for the Pilliga Sandstone</w:t>
      </w:r>
      <w:r w:rsidR="000F6979">
        <w:t xml:space="preserve"> (based on analysis in </w:t>
      </w:r>
      <w:r w:rsidR="00343D73">
        <w:t xml:space="preserve">Sections </w:t>
      </w:r>
      <w:r w:rsidR="00343D73">
        <w:fldChar w:fldCharType="begin" w:fldLock="1"/>
      </w:r>
      <w:r w:rsidR="00343D73">
        <w:instrText xml:space="preserve"> REF _Ref477108268 \r \h </w:instrText>
      </w:r>
      <w:r w:rsidR="00343D73">
        <w:fldChar w:fldCharType="separate"/>
      </w:r>
      <w:r w:rsidR="00343D73">
        <w:t>5.3.1.1</w:t>
      </w:r>
      <w:r w:rsidR="00343D73">
        <w:fldChar w:fldCharType="end"/>
      </w:r>
      <w:r w:rsidR="00343D73">
        <w:t xml:space="preserve"> to </w:t>
      </w:r>
      <w:r w:rsidR="00343D73">
        <w:fldChar w:fldCharType="begin" w:fldLock="1"/>
      </w:r>
      <w:r w:rsidR="00343D73">
        <w:instrText xml:space="preserve"> REF _Ref477108297 \r \h </w:instrText>
      </w:r>
      <w:r w:rsidR="00343D73">
        <w:fldChar w:fldCharType="separate"/>
      </w:r>
      <w:r w:rsidR="00343D73">
        <w:t>5.3.1.4</w:t>
      </w:r>
      <w:r w:rsidR="00343D73">
        <w:fldChar w:fldCharType="end"/>
      </w:r>
      <w:r w:rsidR="000F6979">
        <w:t>)</w:t>
      </w:r>
      <w:r w:rsidR="00684561">
        <w:t>. The only difference is with the distance-proximity data</w:t>
      </w:r>
      <w:r w:rsidR="00996CE3">
        <w:t>, which are specific to the Surat Basin</w:t>
      </w:r>
      <w:r w:rsidR="00343D73">
        <w:t xml:space="preserve"> (based on analysis in Section </w:t>
      </w:r>
      <w:r w:rsidR="00343D73">
        <w:fldChar w:fldCharType="begin" w:fldLock="1"/>
      </w:r>
      <w:r w:rsidR="00343D73">
        <w:instrText xml:space="preserve"> REF _Ref470859400 \r \h </w:instrText>
      </w:r>
      <w:r w:rsidR="00343D73">
        <w:fldChar w:fldCharType="separate"/>
      </w:r>
      <w:r w:rsidR="00343D73">
        <w:t>3.3</w:t>
      </w:r>
      <w:r w:rsidR="00343D73">
        <w:fldChar w:fldCharType="end"/>
      </w:r>
      <w:r w:rsidR="00343D73">
        <w:t>)</w:t>
      </w:r>
      <w:r w:rsidR="00684561">
        <w:t>.</w:t>
      </w:r>
      <w:r>
        <w:t xml:space="preserve"> From the </w:t>
      </w:r>
      <w:r w:rsidR="00684561">
        <w:t xml:space="preserve">cumulative probability </w:t>
      </w:r>
      <w:r>
        <w:t xml:space="preserve">curve, the likelihood </w:t>
      </w:r>
      <w:r w:rsidR="00684561">
        <w:t xml:space="preserve">(i.e. probability of non-exceedance) </w:t>
      </w:r>
      <w:r>
        <w:t xml:space="preserve">for the proximities 0.5, 1.4, and 3.5 km </w:t>
      </w:r>
      <w:r w:rsidR="00684561">
        <w:t>was</w:t>
      </w:r>
      <w:r>
        <w:t xml:space="preserve"> derived</w:t>
      </w:r>
      <w:r w:rsidR="00684561">
        <w:t xml:space="preserve"> to be</w:t>
      </w:r>
      <w:r>
        <w:t xml:space="preserve"> 0.05%, 0.4%, and 2%</w:t>
      </w:r>
      <w:r w:rsidR="00684561">
        <w:t>, respectively.</w:t>
      </w:r>
      <w:r>
        <w:t xml:space="preserve"> This means that the probability of having a DAF value l</w:t>
      </w:r>
      <w:r w:rsidR="00684561">
        <w:t xml:space="preserve">ess than or equal to </w:t>
      </w:r>
      <w:r w:rsidR="00684561" w:rsidRPr="0026538F">
        <w:t>5.6</w:t>
      </w:r>
      <w:r w:rsidR="00E93E42" w:rsidRPr="0026538F">
        <w:t>4</w:t>
      </w:r>
      <w:r w:rsidR="00684561" w:rsidRPr="0026538F">
        <w:t>E3</w:t>
      </w:r>
      <w:r w:rsidR="00684561">
        <w:t xml:space="preserve"> is 0.</w:t>
      </w:r>
      <w:r>
        <w:t>5%, whereas the probability of having a DAF value less than or equal to 1E</w:t>
      </w:r>
      <w:r w:rsidR="00684561">
        <w:t>10 is</w:t>
      </w:r>
      <w:r>
        <w:t xml:space="preserve"> 2%. Or conversely, the probability of ha</w:t>
      </w:r>
      <w:r w:rsidR="00684561">
        <w:t>ving a DAF value larger than 5.6</w:t>
      </w:r>
      <w:r w:rsidR="0026538F">
        <w:t>4</w:t>
      </w:r>
      <w:r w:rsidR="00684561">
        <w:t>E3</w:t>
      </w:r>
      <w:r>
        <w:t xml:space="preserve"> is 100-0.015 = 99.985% and the probability of hav</w:t>
      </w:r>
      <w:r w:rsidR="00684561">
        <w:t>ing a DAF value larger than 1.E10</w:t>
      </w:r>
      <w:r>
        <w:t xml:space="preserve"> is 100 – 0.25% = 99.75 %. Clearly, the higher DAF values are much more likely than the small DAF values. </w:t>
      </w:r>
      <w:r w:rsidR="005E4893">
        <w:t xml:space="preserve">Similar analyses can be undertaken for the other assets and other chemicals. </w:t>
      </w:r>
    </w:p>
    <w:p w14:paraId="0E764346" w14:textId="77777777" w:rsidR="00002E2C" w:rsidRDefault="00002E2C" w:rsidP="00751DEA">
      <w:pPr>
        <w:pStyle w:val="Body"/>
      </w:pPr>
    </w:p>
    <w:p w14:paraId="7D7915BD" w14:textId="223CC04C" w:rsidR="00751DEA" w:rsidRDefault="00690345" w:rsidP="00751DEA">
      <w:pPr>
        <w:pStyle w:val="Body"/>
      </w:pPr>
      <w:r w:rsidRPr="00690345">
        <w:rPr>
          <w:noProof/>
          <w:lang w:val="en-AU" w:eastAsia="en-AU"/>
        </w:rPr>
        <w:drawing>
          <wp:inline distT="0" distB="0" distL="0" distR="0" wp14:anchorId="7B5D39F0" wp14:editId="439D8D97">
            <wp:extent cx="5727700" cy="3780669"/>
            <wp:effectExtent l="0" t="0" r="6350" b="0"/>
            <wp:docPr id="47" name="Picture 47" descr="Side-by-side charts corresponding proximities to CSG well and DAF values for 2-methylphenol." title="Fig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7"/>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5727700" cy="3780669"/>
                    </a:xfrm>
                    <a:prstGeom prst="rect">
                      <a:avLst/>
                    </a:prstGeom>
                    <a:noFill/>
                    <a:ln>
                      <a:noFill/>
                    </a:ln>
                  </pic:spPr>
                </pic:pic>
              </a:graphicData>
            </a:graphic>
          </wp:inline>
        </w:drawing>
      </w:r>
    </w:p>
    <w:p w14:paraId="2FEC2BA7" w14:textId="0CD777CD" w:rsidR="00751DEA" w:rsidRDefault="00751DEA" w:rsidP="00684561">
      <w:pPr>
        <w:pStyle w:val="Imagecaption"/>
      </w:pPr>
      <w:bookmarkStart w:id="732" w:name="_Ref467845060"/>
      <w:bookmarkStart w:id="733" w:name="_Toc477347670"/>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28</w:t>
      </w:r>
      <w:r w:rsidR="00254026">
        <w:fldChar w:fldCharType="end"/>
      </w:r>
      <w:bookmarkEnd w:id="732"/>
      <w:r>
        <w:t xml:space="preserve"> </w:t>
      </w:r>
      <w:r w:rsidR="00684561">
        <w:t>Combination of frequency distribution of proximities (distance between CSG well and receptor</w:t>
      </w:r>
      <w:r w:rsidR="00EC0001">
        <w:t>s: stock and domestic bores</w:t>
      </w:r>
      <w:r w:rsidR="0028402E">
        <w:t>, left panel</w:t>
      </w:r>
      <w:r w:rsidR="00684561">
        <w:t>) and DAF values for 2-methylphenol. Right panel shows DAF values based on chemical/biological degradation and sorption only (top) and DAF values accounting for all three attenuation processes (chemical/biological degradation and sorption and dilution/dispersion). DAF values representative for BMO Group conditions</w:t>
      </w:r>
      <w:r w:rsidR="00002E2C">
        <w:t xml:space="preserve"> (</w:t>
      </w:r>
      <w:r w:rsidR="00996CE3">
        <w:t xml:space="preserve">from </w:t>
      </w:r>
      <w:r w:rsidR="00996CE3">
        <w:fldChar w:fldCharType="begin" w:fldLock="1"/>
      </w:r>
      <w:r w:rsidR="00996CE3">
        <w:instrText xml:space="preserve"> REF _Ref467832674 \h </w:instrText>
      </w:r>
      <w:r w:rsidR="00996CE3">
        <w:fldChar w:fldCharType="separate"/>
      </w:r>
      <w:r w:rsidR="00996CE3" w:rsidRPr="00D976C8">
        <w:t xml:space="preserve">Table </w:t>
      </w:r>
      <w:r w:rsidR="00996CE3">
        <w:rPr>
          <w:noProof/>
        </w:rPr>
        <w:t>5</w:t>
      </w:r>
      <w:r w:rsidR="00996CE3">
        <w:noBreakHyphen/>
      </w:r>
      <w:r w:rsidR="00996CE3">
        <w:rPr>
          <w:noProof/>
        </w:rPr>
        <w:t>22</w:t>
      </w:r>
      <w:r w:rsidR="00996CE3">
        <w:fldChar w:fldCharType="end"/>
      </w:r>
      <w:r w:rsidR="00002E2C">
        <w:t>)</w:t>
      </w:r>
      <w:r w:rsidR="00684561">
        <w:t>.</w:t>
      </w:r>
      <w:bookmarkEnd w:id="733"/>
    </w:p>
    <w:p w14:paraId="3E5BE1B8" w14:textId="77777777" w:rsidR="007A25F2" w:rsidRDefault="007A25F2" w:rsidP="007A25F2">
      <w:pPr>
        <w:pStyle w:val="Body"/>
      </w:pPr>
    </w:p>
    <w:p w14:paraId="7BE01E87" w14:textId="081E6E56" w:rsidR="00996CE3" w:rsidRDefault="00996CE3" w:rsidP="007A25F2">
      <w:pPr>
        <w:pStyle w:val="Body"/>
      </w:pPr>
      <w:r>
        <w:t>DAF values previously derived for the Pilliga Sandstone are used as guide values for the Surat Basin</w:t>
      </w:r>
      <w:r w:rsidR="005D059C">
        <w:t xml:space="preserve"> (</w:t>
      </w:r>
      <w:r w:rsidR="005D059C">
        <w:fldChar w:fldCharType="begin" w:fldLock="1"/>
      </w:r>
      <w:r w:rsidR="005D059C">
        <w:instrText xml:space="preserve"> REF _Ref467832674 \h </w:instrText>
      </w:r>
      <w:r w:rsidR="005D059C">
        <w:fldChar w:fldCharType="separate"/>
      </w:r>
      <w:r w:rsidR="005D059C" w:rsidRPr="00D976C8">
        <w:t xml:space="preserve">Table </w:t>
      </w:r>
      <w:r w:rsidR="005D059C">
        <w:rPr>
          <w:noProof/>
        </w:rPr>
        <w:t>5</w:t>
      </w:r>
      <w:r w:rsidR="005D059C">
        <w:noBreakHyphen/>
      </w:r>
      <w:r w:rsidR="005D059C">
        <w:rPr>
          <w:noProof/>
        </w:rPr>
        <w:t>22</w:t>
      </w:r>
      <w:r w:rsidR="005D059C">
        <w:fldChar w:fldCharType="end"/>
      </w:r>
      <w:r w:rsidR="005D059C">
        <w:t>)</w:t>
      </w:r>
      <w:r>
        <w:t>. Th</w:t>
      </w:r>
      <w:r w:rsidR="005D059C">
        <w:t xml:space="preserve">is is based on findings that dilution in the Surat Basin Walloon Coal Measures and aquifers such as the Gubberamunda Sandstone aquifer and the BMO group aquifer is at least as high </w:t>
      </w:r>
      <w:r>
        <w:t xml:space="preserve">as considered for </w:t>
      </w:r>
      <w:r w:rsidR="005D059C">
        <w:t>the Gunnedah Basin calculations</w:t>
      </w:r>
      <w:r>
        <w:t xml:space="preserve">. </w:t>
      </w:r>
    </w:p>
    <w:p w14:paraId="6EF8C3C0" w14:textId="77777777" w:rsidR="00EC0001" w:rsidRDefault="007A25F2" w:rsidP="007A25F2">
      <w:pPr>
        <w:pStyle w:val="Body"/>
      </w:pPr>
      <w:r>
        <w:t xml:space="preserve">The overall conclusion from the Level-2 analysis is that all the selected organic and inorganic chemicals exhibit large to very large DAF values, with the lowest calculated DAF values (around 900) having a very low probability of less than one tenth of a percent (i.e. 0.05%, based on the data shown in </w:t>
      </w:r>
      <w:r>
        <w:fldChar w:fldCharType="begin" w:fldLock="1"/>
      </w:r>
      <w:r>
        <w:instrText xml:space="preserve"> REF _Ref467845060 \h </w:instrText>
      </w:r>
      <w:r>
        <w:fldChar w:fldCharType="separate"/>
      </w:r>
      <w:r w:rsidR="00335E79">
        <w:t xml:space="preserve">Figure </w:t>
      </w:r>
      <w:r w:rsidR="00335E79">
        <w:rPr>
          <w:noProof/>
        </w:rPr>
        <w:t>5</w:t>
      </w:r>
      <w:r w:rsidR="00335E79">
        <w:noBreakHyphen/>
      </w:r>
      <w:r w:rsidR="00335E79">
        <w:rPr>
          <w:noProof/>
        </w:rPr>
        <w:t>28</w:t>
      </w:r>
      <w:r>
        <w:fldChar w:fldCharType="end"/>
      </w:r>
      <w:r>
        <w:t>). Even the largest calculated DAF values (&gt; 10</w:t>
      </w:r>
      <w:r w:rsidRPr="007A25F2">
        <w:rPr>
          <w:vertAlign w:val="superscript"/>
        </w:rPr>
        <w:t>10</w:t>
      </w:r>
      <w:r>
        <w:t>) still have a high probability of exceedance, i.e. more than 98% of the water bores will have DAF values in excess of 10</w:t>
      </w:r>
      <w:r w:rsidRPr="007A25F2">
        <w:rPr>
          <w:vertAlign w:val="superscript"/>
        </w:rPr>
        <w:t>10</w:t>
      </w:r>
      <w:r>
        <w:t xml:space="preserve"> (based on the data shown in </w:t>
      </w:r>
      <w:r>
        <w:fldChar w:fldCharType="begin" w:fldLock="1"/>
      </w:r>
      <w:r>
        <w:instrText xml:space="preserve"> REF _Ref467845060 \h </w:instrText>
      </w:r>
      <w:r>
        <w:fldChar w:fldCharType="separate"/>
      </w:r>
      <w:r w:rsidR="00335E79">
        <w:t xml:space="preserve">Figure </w:t>
      </w:r>
      <w:r w:rsidR="00335E79">
        <w:rPr>
          <w:noProof/>
        </w:rPr>
        <w:t>5</w:t>
      </w:r>
      <w:r w:rsidR="00335E79">
        <w:noBreakHyphen/>
      </w:r>
      <w:r w:rsidR="00335E79">
        <w:rPr>
          <w:noProof/>
        </w:rPr>
        <w:t>28</w:t>
      </w:r>
      <w:r>
        <w:fldChar w:fldCharType="end"/>
      </w:r>
      <w:r>
        <w:t>).</w:t>
      </w:r>
      <w:r w:rsidR="00742625">
        <w:t xml:space="preserve"> </w:t>
      </w:r>
    </w:p>
    <w:p w14:paraId="07F99609" w14:textId="78F2BC4C" w:rsidR="00813DD8" w:rsidRDefault="00EC0001" w:rsidP="007A25F2">
      <w:pPr>
        <w:pStyle w:val="Body"/>
      </w:pPr>
      <w:r>
        <w:t xml:space="preserve">DAF values for other hydrostratigraphic units within the test case area of the Surat Basin will </w:t>
      </w:r>
      <w:r w:rsidR="00343D73">
        <w:t>at least be as large</w:t>
      </w:r>
      <w:r>
        <w:t xml:space="preserve"> </w:t>
      </w:r>
      <w:proofErr w:type="gramStart"/>
      <w:r w:rsidR="00EA20EE">
        <w:t xml:space="preserve">or larger than in those of the Pilliga Sandstone Gunnedah sedimentary Basins </w:t>
      </w:r>
      <w:r>
        <w:t xml:space="preserve">(see </w:t>
      </w:r>
      <w:r>
        <w:fldChar w:fldCharType="begin" w:fldLock="1"/>
      </w:r>
      <w:r>
        <w:instrText xml:space="preserve"> REF _Ref467832674 \h  \* MERGEFORMAT </w:instrText>
      </w:r>
      <w:r>
        <w:fldChar w:fldCharType="separate"/>
      </w:r>
      <w:r w:rsidR="00335E79" w:rsidRPr="00D976C8">
        <w:t xml:space="preserve">Table </w:t>
      </w:r>
      <w:r w:rsidR="00335E79">
        <w:t>5</w:t>
      </w:r>
      <w:r w:rsidR="00335E79">
        <w:noBreakHyphen/>
        <w:t>22</w:t>
      </w:r>
      <w:r>
        <w:fldChar w:fldCharType="end"/>
      </w:r>
      <w:proofErr w:type="gramEnd"/>
      <w:r>
        <w:t>).</w:t>
      </w:r>
      <w:r w:rsidR="00EF7C90">
        <w:t xml:space="preserve"> Even when the proximity-frequency relationships for different receptors yield higher probabilities for shorter travel distances, the very large DAF values will guarantee that the overall risk for exposure to unacceptable concentrations remains low. </w:t>
      </w:r>
    </w:p>
    <w:p w14:paraId="757B9629" w14:textId="3901C891" w:rsidR="00813DD8" w:rsidRDefault="0064229D" w:rsidP="0064229D">
      <w:pPr>
        <w:pStyle w:val="Heading2"/>
      </w:pPr>
      <w:bookmarkStart w:id="734" w:name="_Ref477021888"/>
      <w:bookmarkStart w:id="735" w:name="_Toc494444678"/>
      <w:r>
        <w:t>Conclusion</w:t>
      </w:r>
      <w:r w:rsidR="00610FC5">
        <w:t>s</w:t>
      </w:r>
      <w:r>
        <w:t xml:space="preserve"> for Level-2 analysis</w:t>
      </w:r>
      <w:bookmarkEnd w:id="734"/>
      <w:bookmarkEnd w:id="735"/>
    </w:p>
    <w:p w14:paraId="213C9277" w14:textId="3AA12B50" w:rsidR="00813DD8" w:rsidRPr="00E6110F" w:rsidRDefault="00813DD8" w:rsidP="00813DD8">
      <w:pPr>
        <w:pStyle w:val="Body"/>
      </w:pPr>
      <w:r>
        <w:t>Specifically, the conclusion for t</w:t>
      </w:r>
      <w:r w:rsidRPr="00E6110F">
        <w:t xml:space="preserve">he chemicals </w:t>
      </w:r>
      <w:r>
        <w:t>selected here for the proof-of-concept-testing is</w:t>
      </w:r>
      <w:r w:rsidRPr="00E6110F">
        <w:t>:</w:t>
      </w:r>
    </w:p>
    <w:p w14:paraId="2BCBA48A" w14:textId="5C657F7D" w:rsidR="00813DD8" w:rsidRPr="00E6110F" w:rsidRDefault="00813DD8" w:rsidP="00C117A3">
      <w:pPr>
        <w:pStyle w:val="Body"/>
        <w:numPr>
          <w:ilvl w:val="0"/>
          <w:numId w:val="5"/>
        </w:numPr>
      </w:pPr>
      <w:r>
        <w:t>For t</w:t>
      </w:r>
      <w:r w:rsidRPr="00E6110F">
        <w:t>ypical hydraulic fracturing and drilling chemicals:</w:t>
      </w:r>
    </w:p>
    <w:p w14:paraId="3E741CA6" w14:textId="079F3FED" w:rsidR="00813DD8" w:rsidRDefault="00813DD8" w:rsidP="00C117A3">
      <w:pPr>
        <w:pStyle w:val="Body"/>
        <w:numPr>
          <w:ilvl w:val="1"/>
          <w:numId w:val="5"/>
        </w:numPr>
      </w:pPr>
      <w:proofErr w:type="gramStart"/>
      <w:r w:rsidRPr="00E6110F">
        <w:rPr>
          <w:i/>
        </w:rPr>
        <w:t>bronopol</w:t>
      </w:r>
      <w:proofErr w:type="gramEnd"/>
      <w:r>
        <w:rPr>
          <w:i/>
        </w:rPr>
        <w:t xml:space="preserve">, </w:t>
      </w:r>
      <w:r w:rsidRPr="00E6110F">
        <w:rPr>
          <w:i/>
        </w:rPr>
        <w:t>methyl-chloro-isothiazolinone</w:t>
      </w:r>
      <w:r>
        <w:rPr>
          <w:i/>
        </w:rPr>
        <w:t>:</w:t>
      </w:r>
      <w:r>
        <w:t xml:space="preserve"> chemicals are unlikely to pose a risk of adverse health effects (</w:t>
      </w:r>
      <w:r w:rsidR="005764AF">
        <w:t xml:space="preserve">based on </w:t>
      </w:r>
      <w:r>
        <w:t>long-term public exposure) NICNAS (201</w:t>
      </w:r>
      <w:r w:rsidR="003D4440">
        <w:t>7</w:t>
      </w:r>
      <w:r>
        <w:t>b). The NICNAS (201</w:t>
      </w:r>
      <w:r w:rsidR="003D4440">
        <w:t>7</w:t>
      </w:r>
      <w:r>
        <w:t xml:space="preserve">b) assessment </w:t>
      </w:r>
      <w:r w:rsidR="005764AF">
        <w:t>of surface and shallow groundwater risks remains valid for deeper groundwater related risks</w:t>
      </w:r>
      <w:r>
        <w:t>, as both chemicals have very large DAF values of 10</w:t>
      </w:r>
      <w:r w:rsidRPr="00813DD8">
        <w:rPr>
          <w:vertAlign w:val="superscript"/>
        </w:rPr>
        <w:t>10</w:t>
      </w:r>
      <w:r>
        <w:t xml:space="preserve"> or larger</w:t>
      </w:r>
      <w:r w:rsidR="006429F6">
        <w:t>, which is sufficiently large to reduce initial source concentrations to levels ‘of low concern’</w:t>
      </w:r>
      <w:r>
        <w:t xml:space="preserve">. </w:t>
      </w:r>
    </w:p>
    <w:p w14:paraId="077BCFF8" w14:textId="488A6D9C" w:rsidR="00813DD8" w:rsidRPr="00E6110F" w:rsidRDefault="00813DD8" w:rsidP="00C117A3">
      <w:pPr>
        <w:pStyle w:val="Body"/>
        <w:numPr>
          <w:ilvl w:val="1"/>
          <w:numId w:val="5"/>
        </w:numPr>
      </w:pPr>
      <w:proofErr w:type="gramStart"/>
      <w:r w:rsidRPr="00E6110F">
        <w:rPr>
          <w:i/>
        </w:rPr>
        <w:t>boron</w:t>
      </w:r>
      <w:proofErr w:type="gramEnd"/>
      <w:r w:rsidRPr="00E6110F">
        <w:t xml:space="preserve"> (</w:t>
      </w:r>
      <w:r w:rsidRPr="00E6110F">
        <w:rPr>
          <w:i/>
        </w:rPr>
        <w:t>boric acid, borax</w:t>
      </w:r>
      <w:r w:rsidRPr="00E6110F">
        <w:t>)</w:t>
      </w:r>
      <w:r>
        <w:t xml:space="preserve">: </w:t>
      </w:r>
      <w:r w:rsidRPr="00E6110F">
        <w:t xml:space="preserve">chemical </w:t>
      </w:r>
      <w:r>
        <w:t>of potential concern (a potential risk of adverse health effects in case of long-term public exposure</w:t>
      </w:r>
      <w:r w:rsidR="005764AF">
        <w:t>)</w:t>
      </w:r>
      <w:r>
        <w:t xml:space="preserve"> </w:t>
      </w:r>
      <w:r w:rsidR="005764AF">
        <w:t>based on the assessment of surface and shallow groundwater risks (</w:t>
      </w:r>
      <w:r>
        <w:t>NICNAS 201</w:t>
      </w:r>
      <w:r w:rsidR="003D4440">
        <w:t>7</w:t>
      </w:r>
      <w:r>
        <w:t>b).</w:t>
      </w:r>
      <w:r w:rsidR="006429F6">
        <w:t xml:space="preserve"> </w:t>
      </w:r>
      <w:r w:rsidR="00EA20EE">
        <w:t xml:space="preserve">Under the conditions of this study any boron moving from deeper groundwater to a receptor is likely to be diluted sufficiently to reduce </w:t>
      </w:r>
      <w:r w:rsidR="006429F6">
        <w:t xml:space="preserve">concentrations to </w:t>
      </w:r>
      <w:r w:rsidR="00EA20EE">
        <w:t xml:space="preserve">below guideline values </w:t>
      </w:r>
      <w:r w:rsidR="006429F6">
        <w:t xml:space="preserve">(also see </w:t>
      </w:r>
      <w:r w:rsidR="006429F6">
        <w:fldChar w:fldCharType="begin" w:fldLock="1"/>
      </w:r>
      <w:r w:rsidR="006429F6">
        <w:instrText xml:space="preserve"> REF _Ref467853174 \h  \* MERGEFORMAT </w:instrText>
      </w:r>
      <w:r w:rsidR="006429F6">
        <w:fldChar w:fldCharType="separate"/>
      </w:r>
      <w:r w:rsidR="00335E79" w:rsidRPr="00D976C8">
        <w:t xml:space="preserve">Table </w:t>
      </w:r>
      <w:r w:rsidR="00335E79">
        <w:t>5</w:t>
      </w:r>
      <w:r w:rsidR="00335E79">
        <w:noBreakHyphen/>
        <w:t>24</w:t>
      </w:r>
      <w:r w:rsidR="006429F6">
        <w:fldChar w:fldCharType="end"/>
      </w:r>
      <w:r w:rsidR="00B40C3A">
        <w:t>)</w:t>
      </w:r>
      <w:r w:rsidR="006429F6">
        <w:t>.</w:t>
      </w:r>
    </w:p>
    <w:p w14:paraId="33E61165" w14:textId="4422B5F0" w:rsidR="00813DD8" w:rsidRPr="00E6110F" w:rsidRDefault="00813DD8" w:rsidP="00C117A3">
      <w:pPr>
        <w:pStyle w:val="Body"/>
        <w:numPr>
          <w:ilvl w:val="1"/>
          <w:numId w:val="5"/>
        </w:numPr>
      </w:pPr>
      <w:proofErr w:type="gramStart"/>
      <w:r w:rsidRPr="00E6110F">
        <w:rPr>
          <w:i/>
        </w:rPr>
        <w:t>limonene</w:t>
      </w:r>
      <w:proofErr w:type="gramEnd"/>
      <w:r>
        <w:rPr>
          <w:i/>
        </w:rPr>
        <w:t>:</w:t>
      </w:r>
      <w:r>
        <w:t xml:space="preserve"> </w:t>
      </w:r>
      <w:r w:rsidR="001110D8">
        <w:t xml:space="preserve">this </w:t>
      </w:r>
      <w:r>
        <w:t>c</w:t>
      </w:r>
      <w:r w:rsidRPr="00E6110F">
        <w:t>hemical could not be assessed based on the Inventory Multi-tiered Assessment and Prioritisation Framework</w:t>
      </w:r>
      <w:r>
        <w:t xml:space="preserve"> (NICNAS 2015).</w:t>
      </w:r>
      <w:r w:rsidR="006429F6">
        <w:t xml:space="preserve"> </w:t>
      </w:r>
      <w:r w:rsidR="00B75E7E">
        <w:t>With DAF values ranging from 900 up to 10</w:t>
      </w:r>
      <w:r w:rsidR="00B75E7E" w:rsidRPr="00B75E7E">
        <w:rPr>
          <w:vertAlign w:val="superscript"/>
        </w:rPr>
        <w:t>10</w:t>
      </w:r>
      <w:r w:rsidR="00B75E7E">
        <w:t xml:space="preserve"> (depending on hydrostratigraphy), t</w:t>
      </w:r>
      <w:r w:rsidR="006429F6">
        <w:t xml:space="preserve">he current analysis indicates that it is </w:t>
      </w:r>
      <w:r w:rsidR="00527149">
        <w:t>very</w:t>
      </w:r>
      <w:r w:rsidR="00B40C3A">
        <w:t xml:space="preserve"> </w:t>
      </w:r>
      <w:r w:rsidR="006429F6">
        <w:t xml:space="preserve">likely that attenuation for limonene would be sufficient to reduce its concentrations to levels ‘of low concern’, </w:t>
      </w:r>
    </w:p>
    <w:p w14:paraId="1C36214A" w14:textId="4D6E874A" w:rsidR="00813DD8" w:rsidRPr="00E6110F" w:rsidRDefault="00813DD8" w:rsidP="00C117A3">
      <w:pPr>
        <w:pStyle w:val="Body"/>
        <w:numPr>
          <w:ilvl w:val="1"/>
          <w:numId w:val="5"/>
        </w:numPr>
      </w:pPr>
      <w:proofErr w:type="gramStart"/>
      <w:r w:rsidRPr="007C1E7A">
        <w:rPr>
          <w:i/>
        </w:rPr>
        <w:t>acrylamide</w:t>
      </w:r>
      <w:proofErr w:type="gramEnd"/>
      <w:r w:rsidRPr="007C1E7A">
        <w:rPr>
          <w:i/>
        </w:rPr>
        <w:t xml:space="preserve"> polymer</w:t>
      </w:r>
      <w:r>
        <w:rPr>
          <w:i/>
        </w:rPr>
        <w:t>:</w:t>
      </w:r>
      <w:r>
        <w:t xml:space="preserve"> </w:t>
      </w:r>
      <w:r w:rsidR="00B75E7E">
        <w:t xml:space="preserve">this </w:t>
      </w:r>
      <w:r>
        <w:t>chemical represent</w:t>
      </w:r>
      <w:r w:rsidR="00B75E7E">
        <w:t>s</w:t>
      </w:r>
      <w:r>
        <w:t xml:space="preserve"> an important group of polymers used in hydraulic fracturing and that are of low concern for human health (NICNAS 201</w:t>
      </w:r>
      <w:r w:rsidR="003D4440">
        <w:t>7</w:t>
      </w:r>
      <w:r>
        <w:t>b) and the environment (DoE</w:t>
      </w:r>
      <w:r w:rsidR="00527149">
        <w:t>E</w:t>
      </w:r>
      <w:r>
        <w:t xml:space="preserve"> 201</w:t>
      </w:r>
      <w:r w:rsidR="003D4440">
        <w:t>7</w:t>
      </w:r>
      <w:r>
        <w:t>b)</w:t>
      </w:r>
      <w:r w:rsidR="006429F6">
        <w:t>.</w:t>
      </w:r>
      <w:r>
        <w:t xml:space="preserve"> </w:t>
      </w:r>
      <w:r w:rsidR="00B75E7E">
        <w:t>Based on DAF values ranging from 900 up to 16,700 (depending on hydrostratigraphy), t</w:t>
      </w:r>
      <w:r w:rsidR="006429F6">
        <w:t xml:space="preserve">he current analysis indicates that it is </w:t>
      </w:r>
      <w:r w:rsidR="00527149">
        <w:t xml:space="preserve">very </w:t>
      </w:r>
      <w:r w:rsidR="006429F6">
        <w:t>likely that attenuation for acrylamide polymer would be sufficient to reduce its concentrations to levels ‘of low concern’.</w:t>
      </w:r>
    </w:p>
    <w:p w14:paraId="63A7E64D" w14:textId="3450DC2C" w:rsidR="00813DD8" w:rsidRPr="00E6110F" w:rsidRDefault="00813DD8" w:rsidP="00C117A3">
      <w:pPr>
        <w:pStyle w:val="Body"/>
        <w:numPr>
          <w:ilvl w:val="0"/>
          <w:numId w:val="5"/>
        </w:numPr>
      </w:pPr>
      <w:r w:rsidRPr="00E6110F">
        <w:t>Explosives</w:t>
      </w:r>
      <w:r w:rsidR="006429F6">
        <w:t xml:space="preserve"> (</w:t>
      </w:r>
      <w:r w:rsidR="006429F6" w:rsidRPr="00865428">
        <w:rPr>
          <w:i/>
        </w:rPr>
        <w:t>HMX</w:t>
      </w:r>
      <w:r w:rsidR="006429F6">
        <w:t>): because this chemical has a very large DAF values of 10</w:t>
      </w:r>
      <w:r w:rsidR="006429F6" w:rsidRPr="00813DD8">
        <w:rPr>
          <w:vertAlign w:val="superscript"/>
        </w:rPr>
        <w:t>10</w:t>
      </w:r>
      <w:r w:rsidR="006429F6">
        <w:t xml:space="preserve"> or larger, this is consider</w:t>
      </w:r>
      <w:r w:rsidR="007C063A">
        <w:t>e</w:t>
      </w:r>
      <w:r w:rsidR="006429F6">
        <w:t>d sufficiently large to reduce initial source concentrations to levels ‘of low concern’.</w:t>
      </w:r>
      <w:r w:rsidR="0064229D">
        <w:t xml:space="preserve"> </w:t>
      </w:r>
    </w:p>
    <w:p w14:paraId="681B6040" w14:textId="2EE3A735" w:rsidR="0064229D" w:rsidRPr="00E6110F" w:rsidRDefault="00813DD8" w:rsidP="00C117A3">
      <w:pPr>
        <w:pStyle w:val="Body"/>
        <w:numPr>
          <w:ilvl w:val="0"/>
          <w:numId w:val="5"/>
        </w:numPr>
      </w:pPr>
      <w:r w:rsidRPr="00E6110F">
        <w:t xml:space="preserve">Geogenics: </w:t>
      </w:r>
      <w:r w:rsidRPr="00E6110F">
        <w:rPr>
          <w:i/>
        </w:rPr>
        <w:t>2-methylphenol</w:t>
      </w:r>
      <w:r w:rsidRPr="00E6110F">
        <w:t xml:space="preserve">, </w:t>
      </w:r>
      <w:r w:rsidRPr="00E6110F">
        <w:rPr>
          <w:i/>
        </w:rPr>
        <w:t>naphthalene</w:t>
      </w:r>
      <w:r w:rsidRPr="00E6110F">
        <w:t xml:space="preserve">, </w:t>
      </w:r>
      <w:r w:rsidRPr="00E6110F">
        <w:rPr>
          <w:i/>
        </w:rPr>
        <w:t>uranium</w:t>
      </w:r>
      <w:r w:rsidRPr="00E6110F">
        <w:t xml:space="preserve">, </w:t>
      </w:r>
      <w:r w:rsidRPr="00E6110F">
        <w:rPr>
          <w:i/>
        </w:rPr>
        <w:t>arsenic</w:t>
      </w:r>
      <w:r w:rsidRPr="00E6110F">
        <w:t xml:space="preserve">, </w:t>
      </w:r>
      <w:r>
        <w:t xml:space="preserve">and </w:t>
      </w:r>
      <w:r w:rsidRPr="00E6110F">
        <w:rPr>
          <w:i/>
        </w:rPr>
        <w:t>barium</w:t>
      </w:r>
      <w:r w:rsidRPr="00E6110F">
        <w:t>.</w:t>
      </w:r>
      <w:r w:rsidR="006429F6">
        <w:t xml:space="preserve"> </w:t>
      </w:r>
      <w:r w:rsidR="0064229D">
        <w:t xml:space="preserve"> Based on the same reasoning as the previous chemicals, a sufficient dilution can be obtained to reduce concentrations to levels ‘of low concern’ (also see </w:t>
      </w:r>
      <w:r w:rsidR="0064229D">
        <w:fldChar w:fldCharType="begin" w:fldLock="1"/>
      </w:r>
      <w:r w:rsidR="0064229D">
        <w:instrText xml:space="preserve"> REF _Ref467876203 \h  \* MERGEFORMAT </w:instrText>
      </w:r>
      <w:r w:rsidR="0064229D">
        <w:fldChar w:fldCharType="separate"/>
      </w:r>
      <w:r w:rsidR="00335E79" w:rsidRPr="00D976C8">
        <w:t xml:space="preserve">Table </w:t>
      </w:r>
      <w:r w:rsidR="00335E79">
        <w:t>5</w:t>
      </w:r>
      <w:r w:rsidR="00335E79">
        <w:noBreakHyphen/>
        <w:t>25</w:t>
      </w:r>
      <w:r w:rsidR="0064229D">
        <w:fldChar w:fldCharType="end"/>
      </w:r>
      <w:r w:rsidR="0064229D">
        <w:t>).</w:t>
      </w:r>
    </w:p>
    <w:p w14:paraId="20919888" w14:textId="14784270" w:rsidR="00A93085" w:rsidRDefault="00A93085" w:rsidP="00610FC5">
      <w:pPr>
        <w:pStyle w:val="Heading2"/>
      </w:pPr>
      <w:r>
        <w:br w:type="page"/>
      </w:r>
      <w:bookmarkStart w:id="736" w:name="_Toc494444679"/>
      <w:r w:rsidR="00610FC5">
        <w:t>Mixed toxicity</w:t>
      </w:r>
      <w:bookmarkEnd w:id="736"/>
    </w:p>
    <w:p w14:paraId="4C33B7FF" w14:textId="6080A405" w:rsidR="00610FC5" w:rsidRDefault="00610FC5" w:rsidP="00610FC5">
      <w:pPr>
        <w:pStyle w:val="Body"/>
        <w:rPr>
          <w:rFonts w:asciiTheme="majorHAnsi" w:hAnsiTheme="majorHAnsi" w:cs="AdvOT999035f4"/>
          <w:lang w:val="en-AU"/>
        </w:rPr>
      </w:pPr>
      <w:r>
        <w:rPr>
          <w:rFonts w:asciiTheme="majorHAnsi" w:hAnsiTheme="majorHAnsi" w:cs="AdvOT999035f4"/>
          <w:lang w:val="en-AU"/>
        </w:rPr>
        <w:t xml:space="preserve">This study </w:t>
      </w:r>
      <w:r w:rsidRPr="00610FC5">
        <w:rPr>
          <w:rFonts w:asciiTheme="majorHAnsi" w:hAnsiTheme="majorHAnsi" w:cs="AdvOT999035f4"/>
          <w:lang w:val="en-AU"/>
        </w:rPr>
        <w:t>only consider</w:t>
      </w:r>
      <w:r>
        <w:rPr>
          <w:rFonts w:asciiTheme="majorHAnsi" w:hAnsiTheme="majorHAnsi" w:cs="AdvOT999035f4"/>
          <w:lang w:val="en-AU"/>
        </w:rPr>
        <w:t>s</w:t>
      </w:r>
      <w:r w:rsidRPr="00610FC5">
        <w:rPr>
          <w:rFonts w:asciiTheme="majorHAnsi" w:hAnsiTheme="majorHAnsi" w:cs="AdvOT999035f4"/>
          <w:lang w:val="en-AU"/>
        </w:rPr>
        <w:t xml:space="preserve"> the toxicity of chemicals in isolation</w:t>
      </w:r>
      <w:r>
        <w:rPr>
          <w:rFonts w:asciiTheme="majorHAnsi" w:hAnsiTheme="majorHAnsi" w:cs="AdvOT999035f4"/>
          <w:lang w:val="en-AU"/>
        </w:rPr>
        <w:t>,</w:t>
      </w:r>
      <w:r w:rsidRPr="00610FC5">
        <w:rPr>
          <w:rFonts w:asciiTheme="majorHAnsi" w:hAnsiTheme="majorHAnsi" w:cs="AdvOT999035f4"/>
          <w:lang w:val="en-AU"/>
        </w:rPr>
        <w:t xml:space="preserve"> whereas in the </w:t>
      </w:r>
      <w:r>
        <w:rPr>
          <w:rFonts w:asciiTheme="majorHAnsi" w:hAnsiTheme="majorHAnsi" w:cs="AdvOT999035f4"/>
          <w:lang w:val="en-AU"/>
        </w:rPr>
        <w:t xml:space="preserve">deeper groundwater and potentially in connected surface water </w:t>
      </w:r>
      <w:r w:rsidRPr="00610FC5">
        <w:rPr>
          <w:rFonts w:asciiTheme="majorHAnsi" w:hAnsiTheme="majorHAnsi" w:cs="AdvOT999035f4"/>
          <w:lang w:val="en-AU"/>
        </w:rPr>
        <w:t>environment</w:t>
      </w:r>
      <w:r>
        <w:rPr>
          <w:rFonts w:asciiTheme="majorHAnsi" w:hAnsiTheme="majorHAnsi" w:cs="AdvOT999035f4"/>
          <w:lang w:val="en-AU"/>
        </w:rPr>
        <w:t>s</w:t>
      </w:r>
      <w:r w:rsidRPr="00610FC5">
        <w:rPr>
          <w:rFonts w:asciiTheme="majorHAnsi" w:hAnsiTheme="majorHAnsi" w:cs="AdvOT999035f4"/>
          <w:lang w:val="en-AU"/>
        </w:rPr>
        <w:t xml:space="preserve"> organisms </w:t>
      </w:r>
      <w:r>
        <w:rPr>
          <w:rFonts w:asciiTheme="majorHAnsi" w:hAnsiTheme="majorHAnsi" w:cs="AdvOT999035f4"/>
          <w:lang w:val="en-AU"/>
        </w:rPr>
        <w:t>may be</w:t>
      </w:r>
      <w:r w:rsidRPr="00610FC5">
        <w:rPr>
          <w:rFonts w:asciiTheme="majorHAnsi" w:hAnsiTheme="majorHAnsi" w:cs="AdvOT999035f4"/>
          <w:lang w:val="en-AU"/>
        </w:rPr>
        <w:t xml:space="preserve"> exposed to </w:t>
      </w:r>
      <w:r>
        <w:rPr>
          <w:rFonts w:asciiTheme="majorHAnsi" w:hAnsiTheme="majorHAnsi" w:cs="AdvOT999035f4"/>
          <w:lang w:val="en-AU"/>
        </w:rPr>
        <w:t>several</w:t>
      </w:r>
      <w:r w:rsidRPr="00610FC5">
        <w:rPr>
          <w:rFonts w:asciiTheme="majorHAnsi" w:hAnsiTheme="majorHAnsi" w:cs="AdvOT999035f4"/>
          <w:lang w:val="en-AU"/>
        </w:rPr>
        <w:t xml:space="preserve"> di</w:t>
      </w:r>
      <w:r w:rsidRPr="00610FC5">
        <w:rPr>
          <w:rFonts w:asciiTheme="majorHAnsi" w:hAnsiTheme="majorHAnsi" w:cs="AdvOT999035f4+fb"/>
          <w:lang w:val="en-AU"/>
        </w:rPr>
        <w:t>ff</w:t>
      </w:r>
      <w:r w:rsidRPr="00610FC5">
        <w:rPr>
          <w:rFonts w:asciiTheme="majorHAnsi" w:hAnsiTheme="majorHAnsi" w:cs="AdvOT999035f4"/>
          <w:lang w:val="en-AU"/>
        </w:rPr>
        <w:t>erent</w:t>
      </w:r>
      <w:r>
        <w:rPr>
          <w:rFonts w:asciiTheme="majorHAnsi" w:hAnsiTheme="majorHAnsi" w:cs="AdvOT999035f4"/>
          <w:lang w:val="en-AU"/>
        </w:rPr>
        <w:t xml:space="preserve"> chemicals at the same time</w:t>
      </w:r>
      <w:r w:rsidR="0071148B">
        <w:rPr>
          <w:rFonts w:asciiTheme="majorHAnsi" w:hAnsiTheme="majorHAnsi" w:cs="AdvOT999035f4"/>
          <w:lang w:val="en-AU"/>
        </w:rPr>
        <w:t xml:space="preserve"> as a result of drilling and/or hydraulic fracturing</w:t>
      </w:r>
      <w:r>
        <w:rPr>
          <w:rFonts w:asciiTheme="majorHAnsi" w:hAnsiTheme="majorHAnsi" w:cs="AdvOT999035f4"/>
          <w:lang w:val="en-AU"/>
        </w:rPr>
        <w:t xml:space="preserve">. This could potentially be true for </w:t>
      </w:r>
      <w:r w:rsidR="00A7022D">
        <w:rPr>
          <w:rFonts w:asciiTheme="majorHAnsi" w:hAnsiTheme="majorHAnsi" w:cs="AdvOT999035f4"/>
          <w:lang w:val="en-AU"/>
        </w:rPr>
        <w:t xml:space="preserve">drilling or </w:t>
      </w:r>
      <w:r>
        <w:rPr>
          <w:rFonts w:asciiTheme="majorHAnsi" w:hAnsiTheme="majorHAnsi" w:cs="AdvOT999035f4"/>
          <w:lang w:val="en-AU"/>
        </w:rPr>
        <w:t xml:space="preserve">hydraulic fracturing fluids where several chemicals are combined in the fluid mix or are injected </w:t>
      </w:r>
      <w:r w:rsidR="00A7022D">
        <w:rPr>
          <w:rFonts w:asciiTheme="majorHAnsi" w:hAnsiTheme="majorHAnsi" w:cs="AdvOT999035f4"/>
          <w:lang w:val="en-AU"/>
        </w:rPr>
        <w:t xml:space="preserve">one after the other. For instance, Santos reports 18 chemicals present in its Scotia drilling fluids (Santos 2016). </w:t>
      </w:r>
      <w:r w:rsidR="0071148B">
        <w:rPr>
          <w:rFonts w:asciiTheme="majorHAnsi" w:hAnsiTheme="majorHAnsi" w:cs="AdvOT999035f4"/>
          <w:lang w:val="en-AU"/>
        </w:rPr>
        <w:t xml:space="preserve">Hydraulic fracturing fluids reported by Halliburton (2014) had up to 21 different chemicals. </w:t>
      </w:r>
    </w:p>
    <w:p w14:paraId="2BED80A7" w14:textId="0F59B34E" w:rsidR="0071148B" w:rsidRDefault="0071148B" w:rsidP="0071148B">
      <w:pPr>
        <w:pStyle w:val="Body"/>
        <w:rPr>
          <w:rFonts w:asciiTheme="majorHAnsi" w:hAnsiTheme="majorHAnsi" w:cs="AdvOT999035f4"/>
          <w:lang w:val="en-AU"/>
        </w:rPr>
      </w:pPr>
      <w:r>
        <w:rPr>
          <w:rFonts w:asciiTheme="majorHAnsi" w:hAnsiTheme="majorHAnsi" w:cs="AdvOT999035f4"/>
          <w:lang w:val="en-AU"/>
        </w:rPr>
        <w:t xml:space="preserve">It was beyond the scope of this study </w:t>
      </w:r>
      <w:r w:rsidRPr="0071148B">
        <w:rPr>
          <w:rFonts w:asciiTheme="majorHAnsi" w:hAnsiTheme="majorHAnsi" w:cs="AdvOT999035f4"/>
          <w:lang w:val="en-AU"/>
        </w:rPr>
        <w:t xml:space="preserve">to look at how components in a mixture may interact and what effect this can have on organisms in the environment when they are exposed, simultaneously, to different </w:t>
      </w:r>
      <w:r>
        <w:rPr>
          <w:rFonts w:asciiTheme="majorHAnsi" w:hAnsiTheme="majorHAnsi" w:cs="AdvOT999035f4"/>
          <w:lang w:val="en-AU"/>
        </w:rPr>
        <w:t>chemicals</w:t>
      </w:r>
      <w:r w:rsidRPr="0071148B">
        <w:rPr>
          <w:rFonts w:asciiTheme="majorHAnsi" w:hAnsiTheme="majorHAnsi" w:cs="AdvOT999035f4"/>
          <w:lang w:val="en-AU"/>
        </w:rPr>
        <w:t xml:space="preserve">. </w:t>
      </w:r>
      <w:r>
        <w:rPr>
          <w:rFonts w:asciiTheme="majorHAnsi" w:hAnsiTheme="majorHAnsi" w:cs="AdvOT999035f4"/>
          <w:lang w:val="en-AU"/>
        </w:rPr>
        <w:t xml:space="preserve">For a review of </w:t>
      </w:r>
      <w:r w:rsidRPr="0071148B">
        <w:rPr>
          <w:rFonts w:asciiTheme="majorHAnsi" w:hAnsiTheme="majorHAnsi" w:cs="AdvOT999035f4"/>
          <w:lang w:val="en-AU"/>
        </w:rPr>
        <w:t>current approaches used to evaluate the effect of mixtures in order to understand how this impacts the assessment of risk that pollutants can pose to the environment</w:t>
      </w:r>
      <w:r>
        <w:rPr>
          <w:rFonts w:asciiTheme="majorHAnsi" w:hAnsiTheme="majorHAnsi" w:cs="AdvOT999035f4"/>
          <w:lang w:val="en-AU"/>
        </w:rPr>
        <w:t>, the reader is reffered to Hyes et al. (2016).</w:t>
      </w:r>
    </w:p>
    <w:p w14:paraId="226171DB" w14:textId="352919EA" w:rsidR="0071148B" w:rsidRDefault="0071148B" w:rsidP="0071148B">
      <w:pPr>
        <w:pStyle w:val="Body"/>
        <w:rPr>
          <w:rFonts w:asciiTheme="majorHAnsi" w:hAnsiTheme="majorHAnsi" w:cs="AdvOT999035f4"/>
          <w:lang w:val="en-AU"/>
        </w:rPr>
      </w:pPr>
      <w:r>
        <w:rPr>
          <w:rFonts w:asciiTheme="majorHAnsi" w:hAnsiTheme="majorHAnsi" w:cs="AdvOT999035f4"/>
          <w:lang w:val="en-AU"/>
        </w:rPr>
        <w:t>However, based on the assessments of attenuation, especially due to sorption onto organic matter and potentially</w:t>
      </w:r>
      <w:r w:rsidR="002B4E46">
        <w:rPr>
          <w:rFonts w:asciiTheme="majorHAnsi" w:hAnsiTheme="majorHAnsi" w:cs="AdvOT999035f4"/>
          <w:lang w:val="en-AU"/>
        </w:rPr>
        <w:t xml:space="preserve"> on the</w:t>
      </w:r>
      <w:r>
        <w:rPr>
          <w:rFonts w:asciiTheme="majorHAnsi" w:hAnsiTheme="majorHAnsi" w:cs="AdvOT999035f4"/>
          <w:lang w:val="en-AU"/>
        </w:rPr>
        <w:t xml:space="preserve"> </w:t>
      </w:r>
      <w:r w:rsidR="002B4E46">
        <w:rPr>
          <w:rFonts w:asciiTheme="majorHAnsi" w:hAnsiTheme="majorHAnsi" w:cs="AdvOT999035f4"/>
          <w:lang w:val="en-AU"/>
        </w:rPr>
        <w:t>rock and/or sediment matrix, there are some preliminary conclusions that can be made that allow to address the issue of mixed toxicity from the viewpoint of whether or not combined exposure to several chemicals is at all possible.</w:t>
      </w:r>
      <w:r w:rsidR="00354864">
        <w:rPr>
          <w:rFonts w:asciiTheme="majorHAnsi" w:hAnsiTheme="majorHAnsi" w:cs="AdvOT999035f4"/>
          <w:lang w:val="en-AU"/>
        </w:rPr>
        <w:t xml:space="preserve"> Indeed, when different chemicals have different sorption coefficients (</w:t>
      </w:r>
      <w:r w:rsidR="00354864" w:rsidRPr="004C5CBF">
        <w:rPr>
          <w:rFonts w:asciiTheme="majorHAnsi" w:hAnsiTheme="majorHAnsi" w:cs="AdvOT999035f4"/>
          <w:i/>
          <w:lang w:val="en-AU"/>
        </w:rPr>
        <w:t>K</w:t>
      </w:r>
      <w:r w:rsidR="00354864" w:rsidRPr="004C5CBF">
        <w:rPr>
          <w:rFonts w:asciiTheme="majorHAnsi" w:hAnsiTheme="majorHAnsi" w:cs="AdvOT999035f4"/>
          <w:vertAlign w:val="subscript"/>
          <w:lang w:val="en-AU"/>
        </w:rPr>
        <w:t>OC</w:t>
      </w:r>
      <w:r w:rsidR="00354864">
        <w:rPr>
          <w:rFonts w:asciiTheme="majorHAnsi" w:hAnsiTheme="majorHAnsi" w:cs="AdvOT999035f4"/>
          <w:lang w:val="en-AU"/>
        </w:rPr>
        <w:t xml:space="preserve">), their concentrations in groundwater will be spread differently, with those that have the lowest  </w:t>
      </w:r>
      <w:r w:rsidR="00354864" w:rsidRPr="004C5CBF">
        <w:rPr>
          <w:rFonts w:asciiTheme="majorHAnsi" w:hAnsiTheme="majorHAnsi" w:cs="AdvOT999035f4"/>
          <w:i/>
          <w:lang w:val="en-AU"/>
        </w:rPr>
        <w:t>K</w:t>
      </w:r>
      <w:r w:rsidR="00354864" w:rsidRPr="004C5CBF">
        <w:rPr>
          <w:rFonts w:asciiTheme="majorHAnsi" w:hAnsiTheme="majorHAnsi" w:cs="AdvOT999035f4"/>
          <w:vertAlign w:val="subscript"/>
          <w:lang w:val="en-AU"/>
        </w:rPr>
        <w:t>OC</w:t>
      </w:r>
      <w:r w:rsidR="00354864">
        <w:rPr>
          <w:rFonts w:asciiTheme="majorHAnsi" w:hAnsiTheme="majorHAnsi" w:cs="AdvOT999035f4"/>
          <w:lang w:val="en-AU"/>
        </w:rPr>
        <w:t xml:space="preserve"> arriving first and those with the highest </w:t>
      </w:r>
      <w:r w:rsidR="00354864" w:rsidRPr="004C5CBF">
        <w:rPr>
          <w:rFonts w:asciiTheme="majorHAnsi" w:hAnsiTheme="majorHAnsi" w:cs="AdvOT999035f4"/>
          <w:i/>
          <w:lang w:val="en-AU"/>
        </w:rPr>
        <w:t>K</w:t>
      </w:r>
      <w:r w:rsidR="00354864" w:rsidRPr="004C5CBF">
        <w:rPr>
          <w:rFonts w:asciiTheme="majorHAnsi" w:hAnsiTheme="majorHAnsi" w:cs="AdvOT999035f4"/>
          <w:vertAlign w:val="subscript"/>
          <w:lang w:val="en-AU"/>
        </w:rPr>
        <w:t>OC</w:t>
      </w:r>
      <w:r w:rsidR="00354864">
        <w:rPr>
          <w:rFonts w:asciiTheme="majorHAnsi" w:hAnsiTheme="majorHAnsi" w:cs="AdvOT999035f4"/>
          <w:lang w:val="en-AU"/>
        </w:rPr>
        <w:t xml:space="preserve"> arriving last. This results in process similar to chromatographic separation, where chemicals flowing through a chromatographic column are separated based on their interaction with the column material. </w:t>
      </w:r>
    </w:p>
    <w:p w14:paraId="04D40459" w14:textId="39BB9422" w:rsidR="00354864" w:rsidRDefault="00354864" w:rsidP="0071148B">
      <w:pPr>
        <w:pStyle w:val="Body"/>
        <w:rPr>
          <w:rFonts w:asciiTheme="majorHAnsi" w:hAnsiTheme="majorHAnsi" w:cs="AdvOT999035f4"/>
          <w:lang w:val="en-AU"/>
        </w:rPr>
      </w:pPr>
      <w:r>
        <w:rPr>
          <w:rFonts w:asciiTheme="majorHAnsi" w:hAnsiTheme="majorHAnsi" w:cs="AdvOT999035f4"/>
          <w:lang w:val="en-AU"/>
        </w:rPr>
        <w:t xml:space="preserve">For instance, taking the example of limonene and 2-butoxyethanol: the smallest </w:t>
      </w:r>
      <w:r w:rsidRPr="004C5CBF">
        <w:rPr>
          <w:rFonts w:asciiTheme="majorHAnsi" w:hAnsiTheme="majorHAnsi" w:cs="AdvOT999035f4"/>
          <w:i/>
          <w:lang w:val="en-AU"/>
        </w:rPr>
        <w:t>K</w:t>
      </w:r>
      <w:r w:rsidRPr="004C5CBF">
        <w:rPr>
          <w:rFonts w:asciiTheme="majorHAnsi" w:hAnsiTheme="majorHAnsi" w:cs="AdvOT999035f4"/>
          <w:vertAlign w:val="subscript"/>
          <w:lang w:val="en-AU"/>
        </w:rPr>
        <w:t>OC</w:t>
      </w:r>
      <w:r>
        <w:rPr>
          <w:rFonts w:asciiTheme="majorHAnsi" w:hAnsiTheme="majorHAnsi" w:cs="AdvOT999035f4"/>
          <w:lang w:val="en-AU"/>
        </w:rPr>
        <w:t xml:space="preserve"> for limonene is 1000 L/kg whereas that for 2-butoxyethanol is 3 L/kg</w:t>
      </w:r>
      <w:r w:rsidR="004C5CBF">
        <w:rPr>
          <w:rFonts w:asciiTheme="majorHAnsi" w:hAnsiTheme="majorHAnsi" w:cs="AdvOT999035f4"/>
          <w:lang w:val="en-AU"/>
        </w:rPr>
        <w:t xml:space="preserve"> (</w:t>
      </w:r>
      <w:r w:rsidR="004C5CBF">
        <w:rPr>
          <w:rFonts w:asciiTheme="majorHAnsi" w:hAnsiTheme="majorHAnsi" w:cs="AdvOT999035f4"/>
          <w:lang w:val="en-AU"/>
        </w:rPr>
        <w:fldChar w:fldCharType="begin" w:fldLock="1"/>
      </w:r>
      <w:r w:rsidR="004C5CBF">
        <w:rPr>
          <w:rFonts w:asciiTheme="majorHAnsi" w:hAnsiTheme="majorHAnsi" w:cs="AdvOT999035f4"/>
          <w:lang w:val="en-AU"/>
        </w:rPr>
        <w:instrText xml:space="preserve"> REF _Ref452901860 \h  \* MERGEFORMAT </w:instrText>
      </w:r>
      <w:r w:rsidR="004C5CBF">
        <w:rPr>
          <w:rFonts w:asciiTheme="majorHAnsi" w:hAnsiTheme="majorHAnsi" w:cs="AdvOT999035f4"/>
          <w:lang w:val="en-AU"/>
        </w:rPr>
      </w:r>
      <w:r w:rsidR="004C5CBF">
        <w:rPr>
          <w:rFonts w:asciiTheme="majorHAnsi" w:hAnsiTheme="majorHAnsi" w:cs="AdvOT999035f4"/>
          <w:lang w:val="en-AU"/>
        </w:rPr>
        <w:fldChar w:fldCharType="separate"/>
      </w:r>
      <w:r w:rsidR="00335E79" w:rsidRPr="007D42FE">
        <w:rPr>
          <w:rFonts w:asciiTheme="majorHAnsi" w:hAnsiTheme="majorHAnsi" w:cs="AdvOT999035f4"/>
          <w:lang w:val="en-AU"/>
        </w:rPr>
        <w:t>Table 4</w:t>
      </w:r>
      <w:r w:rsidR="00335E79" w:rsidRPr="007D42FE">
        <w:rPr>
          <w:rFonts w:asciiTheme="majorHAnsi" w:hAnsiTheme="majorHAnsi" w:cs="AdvOT999035f4"/>
          <w:lang w:val="en-AU"/>
        </w:rPr>
        <w:noBreakHyphen/>
        <w:t>4</w:t>
      </w:r>
      <w:r w:rsidR="004C5CBF">
        <w:rPr>
          <w:rFonts w:asciiTheme="majorHAnsi" w:hAnsiTheme="majorHAnsi" w:cs="AdvOT999035f4"/>
          <w:lang w:val="en-AU"/>
        </w:rPr>
        <w:fldChar w:fldCharType="end"/>
      </w:r>
      <w:r w:rsidR="004C5CBF">
        <w:rPr>
          <w:rFonts w:asciiTheme="majorHAnsi" w:hAnsiTheme="majorHAnsi" w:cs="AdvOT999035f4"/>
          <w:lang w:val="en-AU"/>
        </w:rPr>
        <w:t>)</w:t>
      </w:r>
      <w:r>
        <w:rPr>
          <w:rFonts w:asciiTheme="majorHAnsi" w:hAnsiTheme="majorHAnsi" w:cs="AdvOT999035f4"/>
          <w:lang w:val="en-AU"/>
        </w:rPr>
        <w:t xml:space="preserve">. Based on these values, limonene will travel about 350 times faster than 2-butoxyethanol. As a result, the </w:t>
      </w:r>
      <w:r w:rsidR="00C37A8B">
        <w:rPr>
          <w:rFonts w:asciiTheme="majorHAnsi" w:hAnsiTheme="majorHAnsi" w:cs="AdvOT999035f4"/>
          <w:lang w:val="en-AU"/>
        </w:rPr>
        <w:t xml:space="preserve">maximum concentrations at any receptor will be separated in time such that any organism will not be exposed to the maximum concentration of both chemicals. </w:t>
      </w:r>
    </w:p>
    <w:p w14:paraId="68955E41" w14:textId="42C4FF0E" w:rsidR="00C37A8B" w:rsidRPr="0071148B" w:rsidRDefault="00C37A8B" w:rsidP="0071148B">
      <w:pPr>
        <w:pStyle w:val="Body"/>
        <w:rPr>
          <w:rFonts w:asciiTheme="majorHAnsi" w:hAnsiTheme="majorHAnsi" w:cs="AdvOT999035f4"/>
          <w:lang w:val="en-AU"/>
        </w:rPr>
      </w:pPr>
      <w:r>
        <w:rPr>
          <w:rFonts w:asciiTheme="majorHAnsi" w:hAnsiTheme="majorHAnsi" w:cs="AdvOT999035f4"/>
          <w:lang w:val="en-AU"/>
        </w:rPr>
        <w:t xml:space="preserve">This very simplistic analysis can be done for any combination of chemicals to identify which chemicals might travel at a similar velocity, and hence identify groups of chemicals to which organisms may be exposed at the same time. Such information may guide an experimental programme in selecting </w:t>
      </w:r>
      <w:r w:rsidR="004C5CBF">
        <w:rPr>
          <w:rFonts w:asciiTheme="majorHAnsi" w:hAnsiTheme="majorHAnsi" w:cs="AdvOT999035f4"/>
          <w:lang w:val="en-AU"/>
        </w:rPr>
        <w:t xml:space="preserve">a </w:t>
      </w:r>
      <w:r>
        <w:rPr>
          <w:rFonts w:asciiTheme="majorHAnsi" w:hAnsiTheme="majorHAnsi" w:cs="AdvOT999035f4"/>
          <w:lang w:val="en-AU"/>
        </w:rPr>
        <w:t xml:space="preserve">relevant mix of chemicals for testing. </w:t>
      </w:r>
    </w:p>
    <w:p w14:paraId="66FDE760" w14:textId="59CAB6C0" w:rsidR="00610FC5" w:rsidRDefault="00610FC5" w:rsidP="00610FC5">
      <w:pPr>
        <w:pStyle w:val="Body"/>
      </w:pPr>
      <w:r>
        <w:br w:type="page"/>
      </w:r>
    </w:p>
    <w:p w14:paraId="78C7B102" w14:textId="0D235C1E" w:rsidR="00D10D81" w:rsidRDefault="00151689" w:rsidP="00151689">
      <w:pPr>
        <w:pStyle w:val="Heading2"/>
      </w:pPr>
      <w:bookmarkStart w:id="737" w:name="_Ref472440224"/>
      <w:bookmarkStart w:id="738" w:name="_Toc494444680"/>
      <w:r>
        <w:t xml:space="preserve">Applications </w:t>
      </w:r>
      <w:r w:rsidR="0066243F">
        <w:t>with</w:t>
      </w:r>
      <w:r>
        <w:t xml:space="preserve"> DAF values</w:t>
      </w:r>
      <w:bookmarkEnd w:id="737"/>
      <w:bookmarkEnd w:id="738"/>
    </w:p>
    <w:p w14:paraId="421AF2D9" w14:textId="13465E09" w:rsidR="0066243F" w:rsidRDefault="0066243F" w:rsidP="0066243F">
      <w:pPr>
        <w:pStyle w:val="Heading3"/>
      </w:pPr>
      <w:r>
        <w:t xml:space="preserve"> </w:t>
      </w:r>
      <w:bookmarkStart w:id="739" w:name="_Ref467871983"/>
      <w:bookmarkStart w:id="740" w:name="_Toc494444681"/>
      <w:r>
        <w:t>Significance of DAF values</w:t>
      </w:r>
      <w:bookmarkEnd w:id="739"/>
      <w:bookmarkEnd w:id="740"/>
    </w:p>
    <w:p w14:paraId="6FBFF190" w14:textId="5D1279B1" w:rsidR="008138A0" w:rsidRDefault="00712F52" w:rsidP="00712F52">
      <w:pPr>
        <w:pStyle w:val="Body"/>
      </w:pPr>
      <w:r>
        <w:t>The application of the combined attenuation processes, i.e. chemical/biological degradadion, sorption, and dilution/dispersion, results in large to very large dilution factors for deep groundwater. For all chemicals investigated, the overall minimum DAF value is just under 1</w:t>
      </w:r>
      <w:r w:rsidR="00BD7856">
        <w:t>,</w:t>
      </w:r>
      <w:r>
        <w:t>000 (i.e. 90</w:t>
      </w:r>
      <w:r w:rsidR="0026538F">
        <w:t>3</w:t>
      </w:r>
      <w:r>
        <w:t>), whereas most other values exceeded 10</w:t>
      </w:r>
      <w:r w:rsidRPr="00712F52">
        <w:rPr>
          <w:vertAlign w:val="superscript"/>
        </w:rPr>
        <w:t>4</w:t>
      </w:r>
      <w:r>
        <w:t xml:space="preserve"> or even 10</w:t>
      </w:r>
      <w:r w:rsidRPr="00712F52">
        <w:rPr>
          <w:vertAlign w:val="superscript"/>
        </w:rPr>
        <w:t>10</w:t>
      </w:r>
      <w:r>
        <w:t xml:space="preserve"> (</w:t>
      </w:r>
      <w:r>
        <w:fldChar w:fldCharType="begin" w:fldLock="1"/>
      </w:r>
      <w:r>
        <w:instrText xml:space="preserve"> REF _Ref467830368 \h  \* MERGEFORMAT </w:instrText>
      </w:r>
      <w:r>
        <w:fldChar w:fldCharType="separate"/>
      </w:r>
      <w:r w:rsidR="00335E79" w:rsidRPr="00D976C8">
        <w:t xml:space="preserve">Table </w:t>
      </w:r>
      <w:r w:rsidR="00335E79">
        <w:t>5</w:t>
      </w:r>
      <w:r w:rsidR="00335E79">
        <w:noBreakHyphen/>
        <w:t>18</w:t>
      </w:r>
      <w:r>
        <w:fldChar w:fldCharType="end"/>
      </w:r>
      <w:r>
        <w:t xml:space="preserve"> and </w:t>
      </w:r>
      <w:r>
        <w:fldChar w:fldCharType="begin" w:fldLock="1"/>
      </w:r>
      <w:r>
        <w:instrText xml:space="preserve"> REF _Ref467832674 \h  \* MERGEFORMAT </w:instrText>
      </w:r>
      <w:r>
        <w:fldChar w:fldCharType="separate"/>
      </w:r>
      <w:r w:rsidR="00335E79" w:rsidRPr="00D976C8">
        <w:t xml:space="preserve">Table </w:t>
      </w:r>
      <w:r w:rsidR="00335E79">
        <w:t>5</w:t>
      </w:r>
      <w:r w:rsidR="00335E79">
        <w:noBreakHyphen/>
        <w:t>22</w:t>
      </w:r>
      <w:r>
        <w:fldChar w:fldCharType="end"/>
      </w:r>
      <w:r>
        <w:t>). The significance of such large</w:t>
      </w:r>
      <w:r w:rsidR="00D14B7F">
        <w:t xml:space="preserve"> values is </w:t>
      </w:r>
      <w:r w:rsidR="002F4B85">
        <w:t xml:space="preserve">first </w:t>
      </w:r>
      <w:r w:rsidR="00D14B7F">
        <w:t xml:space="preserve">illustrated on the basis of the </w:t>
      </w:r>
      <w:r w:rsidR="00F133CD">
        <w:t xml:space="preserve">ecotoxicity </w:t>
      </w:r>
      <w:r w:rsidR="00D14B7F">
        <w:t xml:space="preserve">data from </w:t>
      </w:r>
      <w:r w:rsidR="00FD76B2">
        <w:fldChar w:fldCharType="begin" w:fldLock="1"/>
      </w:r>
      <w:r w:rsidR="00FD76B2">
        <w:instrText xml:space="preserve"> REF _Ref472513601 \h </w:instrText>
      </w:r>
      <w:r w:rsidR="00FD76B2">
        <w:fldChar w:fldCharType="separate"/>
      </w:r>
      <w:r w:rsidR="00FD76B2">
        <w:t xml:space="preserve">Table </w:t>
      </w:r>
      <w:r w:rsidR="00FD76B2">
        <w:rPr>
          <w:noProof/>
        </w:rPr>
        <w:t>5</w:t>
      </w:r>
      <w:r w:rsidR="00FD76B2">
        <w:noBreakHyphen/>
      </w:r>
      <w:r w:rsidR="00FD76B2">
        <w:rPr>
          <w:noProof/>
        </w:rPr>
        <w:t>23</w:t>
      </w:r>
      <w:r w:rsidR="00FD76B2">
        <w:fldChar w:fldCharType="end"/>
      </w:r>
      <w:r w:rsidR="00FD76B2">
        <w:t xml:space="preserve"> </w:t>
      </w:r>
      <w:r w:rsidR="00262E05">
        <w:t>and</w:t>
      </w:r>
      <w:r w:rsidR="00704C90">
        <w:t xml:space="preserve"> </w:t>
      </w:r>
      <w:r w:rsidR="00704C90">
        <w:fldChar w:fldCharType="begin" w:fldLock="1"/>
      </w:r>
      <w:r w:rsidR="00704C90">
        <w:instrText xml:space="preserve"> REF _Ref467853174 \h </w:instrText>
      </w:r>
      <w:r w:rsidR="00704C90">
        <w:fldChar w:fldCharType="separate"/>
      </w:r>
      <w:r w:rsidR="00704C90" w:rsidRPr="00D976C8">
        <w:t xml:space="preserve">Table </w:t>
      </w:r>
      <w:r w:rsidR="00704C90">
        <w:rPr>
          <w:noProof/>
        </w:rPr>
        <w:t>5</w:t>
      </w:r>
      <w:r w:rsidR="00704C90">
        <w:noBreakHyphen/>
      </w:r>
      <w:r w:rsidR="00704C90">
        <w:rPr>
          <w:noProof/>
        </w:rPr>
        <w:t>24</w:t>
      </w:r>
      <w:r w:rsidR="00704C90">
        <w:fldChar w:fldCharType="end"/>
      </w:r>
      <w:r w:rsidR="00D14B7F">
        <w:t xml:space="preserve">. Based on available data regarding concentrations of hydraulic fracturing chemicals after dilution but prior to injection </w:t>
      </w:r>
      <w:r w:rsidR="00262E05">
        <w:t>(CPI) or concentrations of geogenic</w:t>
      </w:r>
      <w:r w:rsidR="00D14B7F">
        <w:t xml:space="preserve"> </w:t>
      </w:r>
      <w:r w:rsidR="00262E05">
        <w:t xml:space="preserve">chemicals following interaction between coal samples and leaching fluids (CGL), </w:t>
      </w:r>
      <w:r w:rsidR="00D14B7F">
        <w:t>and their corresponding predicted no effect concentrations (PNEC)</w:t>
      </w:r>
      <w:r w:rsidR="00262E05">
        <w:t xml:space="preserve"> (for ecosystem protection) and drinking water guideline value (for protection of human health</w:t>
      </w:r>
      <w:r w:rsidR="00671C3A">
        <w:t>, DWGV</w:t>
      </w:r>
      <w:r w:rsidR="00262E05">
        <w:t>)</w:t>
      </w:r>
      <w:r w:rsidR="00D14B7F">
        <w:t>, the minimum DAF values were calculated that would ensure the PNEC</w:t>
      </w:r>
      <w:r w:rsidR="00262E05">
        <w:t xml:space="preserve"> and drinking water guideline</w:t>
      </w:r>
      <w:r w:rsidR="00D14B7F">
        <w:t xml:space="preserve"> values would not be exceeded, i.e. </w:t>
      </w:r>
      <w:r w:rsidR="002F4B85">
        <w:t>the risk quotion RQ = CPI</w:t>
      </w:r>
      <w:r w:rsidR="00262E05">
        <w:t xml:space="preserve"> (or CGL)</w:t>
      </w:r>
      <w:r w:rsidR="002F4B85">
        <w:t xml:space="preserve">/PNEC &lt; </w:t>
      </w:r>
      <w:r w:rsidR="00D14B7F">
        <w:t xml:space="preserve">1. PNEC values are for chronic aquatic ecotoxicity and were </w:t>
      </w:r>
      <w:r w:rsidR="00D14B7F" w:rsidRPr="0038103B">
        <w:t>calculated using toxicity test data such as LC50, EC50, other L(E)Cx values, NOEC (no observed effect concentration) and LOEC (lowest observed effect concentration)</w:t>
      </w:r>
      <w:r w:rsidR="00D14B7F">
        <w:t xml:space="preserve"> (</w:t>
      </w:r>
      <w:r w:rsidR="00FC0D93">
        <w:t xml:space="preserve">Section </w:t>
      </w:r>
      <w:r w:rsidR="00FC0D93">
        <w:fldChar w:fldCharType="begin" w:fldLock="1"/>
      </w:r>
      <w:r w:rsidR="00FC0D93">
        <w:instrText xml:space="preserve"> REF _Ref472513464 \r \h </w:instrText>
      </w:r>
      <w:r w:rsidR="00FC0D93">
        <w:fldChar w:fldCharType="separate"/>
      </w:r>
      <w:r w:rsidR="00335E79">
        <w:t>4.6</w:t>
      </w:r>
      <w:r w:rsidR="00FC0D93">
        <w:fldChar w:fldCharType="end"/>
      </w:r>
      <w:r w:rsidR="00FC0D93">
        <w:t xml:space="preserve"> and </w:t>
      </w:r>
      <w:r w:rsidR="00D14B7F">
        <w:t>DoE</w:t>
      </w:r>
      <w:r w:rsidR="00527149">
        <w:t>E</w:t>
      </w:r>
      <w:r w:rsidR="00D14B7F">
        <w:t xml:space="preserve"> 201</w:t>
      </w:r>
      <w:r w:rsidR="003D4440">
        <w:t>7</w:t>
      </w:r>
      <w:r w:rsidR="00082F14">
        <w:t>b</w:t>
      </w:r>
      <w:r w:rsidR="00D14B7F">
        <w:t>)</w:t>
      </w:r>
      <w:r w:rsidR="00D14B7F" w:rsidRPr="0038103B">
        <w:t>.</w:t>
      </w:r>
      <w:r w:rsidR="00A735B5">
        <w:t xml:space="preserve"> These PNEC values for aquatic ecotoxicity are very conservative since based on limited toxicity data requiring use of large </w:t>
      </w:r>
      <w:r w:rsidR="00AA078B">
        <w:t>assessment or safety</w:t>
      </w:r>
      <w:r w:rsidR="00A735B5">
        <w:t xml:space="preserve"> factors.</w:t>
      </w:r>
    </w:p>
    <w:p w14:paraId="7414E30E" w14:textId="5D5D4FE6" w:rsidR="00DA0171" w:rsidRDefault="00DA0171" w:rsidP="00712F52">
      <w:pPr>
        <w:pStyle w:val="Body"/>
      </w:pPr>
      <w:r>
        <w:t xml:space="preserve">Based on results from </w:t>
      </w:r>
      <w:r>
        <w:fldChar w:fldCharType="begin" w:fldLock="1"/>
      </w:r>
      <w:r>
        <w:instrText xml:space="preserve"> REF _Ref472513601 \h </w:instrText>
      </w:r>
      <w:r>
        <w:fldChar w:fldCharType="separate"/>
      </w:r>
      <w:r w:rsidR="00335E79">
        <w:t xml:space="preserve">Table </w:t>
      </w:r>
      <w:r w:rsidR="00335E79">
        <w:rPr>
          <w:noProof/>
        </w:rPr>
        <w:t>5</w:t>
      </w:r>
      <w:r w:rsidR="00335E79">
        <w:noBreakHyphen/>
      </w:r>
      <w:r w:rsidR="00335E79">
        <w:rPr>
          <w:noProof/>
        </w:rPr>
        <w:t>23</w:t>
      </w:r>
      <w:r>
        <w:fldChar w:fldCharType="end"/>
      </w:r>
      <w:r>
        <w:t>, the largest required DAF value for ecosystem protection is nearly 6,000 (for MCI) and 54 for protection of human health (boron). Due to lack of many PNEC and drinking water guide values, DAF values could only be calculated for a small number of chemicals.</w:t>
      </w:r>
      <w:r w:rsidR="00704C90">
        <w:t xml:space="preserve"> </w:t>
      </w:r>
      <w:r w:rsidR="008B1802">
        <w:t xml:space="preserve">For the geogenic compound naphthalene, a </w:t>
      </w:r>
      <w:r w:rsidR="00421E1F">
        <w:t xml:space="preserve">recommended maximum </w:t>
      </w:r>
      <w:r w:rsidR="008B1802">
        <w:t xml:space="preserve">drinking water </w:t>
      </w:r>
      <w:r w:rsidR="00421E1F">
        <w:t xml:space="preserve">concentration </w:t>
      </w:r>
      <w:r w:rsidR="008B1802">
        <w:t xml:space="preserve">of 0.1 mg/L was proposed in the US by </w:t>
      </w:r>
      <w:r w:rsidR="00421E1F">
        <w:t>ATSDR (2005)</w:t>
      </w:r>
      <w:r w:rsidR="008B1802">
        <w:t xml:space="preserve">. Based on this value, </w:t>
      </w:r>
      <w:r w:rsidR="008B3B76">
        <w:t>n</w:t>
      </w:r>
      <w:r w:rsidR="008B3B76" w:rsidRPr="008B3B76">
        <w:t xml:space="preserve">o dilution or attenuation would be required </w:t>
      </w:r>
      <w:r w:rsidR="008B3B76">
        <w:t xml:space="preserve">to </w:t>
      </w:r>
      <w:r w:rsidR="008B1802">
        <w:t xml:space="preserve">satisfly the condition RQ &lt; 1. </w:t>
      </w:r>
      <w:r w:rsidR="00704C90">
        <w:t xml:space="preserve">Note that DAF values in </w:t>
      </w:r>
      <w:r w:rsidR="00704C90">
        <w:fldChar w:fldCharType="begin" w:fldLock="1"/>
      </w:r>
      <w:r w:rsidR="00704C90">
        <w:instrText xml:space="preserve"> REF _Ref472513601 \h </w:instrText>
      </w:r>
      <w:r w:rsidR="008B3B76">
        <w:instrText xml:space="preserve"> \* MERGEFORMAT </w:instrText>
      </w:r>
      <w:r w:rsidR="00704C90">
        <w:fldChar w:fldCharType="separate"/>
      </w:r>
      <w:r w:rsidR="00704C90">
        <w:t>Table 5</w:t>
      </w:r>
      <w:r w:rsidR="00704C90">
        <w:noBreakHyphen/>
        <w:t>23</w:t>
      </w:r>
      <w:r w:rsidR="00704C90">
        <w:fldChar w:fldCharType="end"/>
      </w:r>
      <w:r w:rsidR="00704C90">
        <w:t xml:space="preserve"> (and </w:t>
      </w:r>
      <w:r w:rsidR="00704C90">
        <w:fldChar w:fldCharType="begin" w:fldLock="1"/>
      </w:r>
      <w:r w:rsidR="00704C90">
        <w:instrText xml:space="preserve"> REF _Ref467853174 \h </w:instrText>
      </w:r>
      <w:r w:rsidR="008B3B76">
        <w:instrText xml:space="preserve"> \* MERGEFORMAT </w:instrText>
      </w:r>
      <w:r w:rsidR="00704C90">
        <w:fldChar w:fldCharType="separate"/>
      </w:r>
      <w:r w:rsidR="00704C90" w:rsidRPr="00D976C8">
        <w:t xml:space="preserve">Table </w:t>
      </w:r>
      <w:r w:rsidR="00704C90">
        <w:t>5</w:t>
      </w:r>
      <w:r w:rsidR="00704C90">
        <w:noBreakHyphen/>
        <w:t>24</w:t>
      </w:r>
      <w:r w:rsidR="00704C90">
        <w:fldChar w:fldCharType="end"/>
      </w:r>
      <w:r w:rsidR="00F90149">
        <w:t xml:space="preserve"> and </w:t>
      </w:r>
      <w:r w:rsidR="00F90149">
        <w:fldChar w:fldCharType="begin" w:fldLock="1"/>
      </w:r>
      <w:r w:rsidR="00F90149">
        <w:instrText xml:space="preserve"> REF _Ref467876203 \h </w:instrText>
      </w:r>
      <w:r w:rsidR="008B3B76">
        <w:instrText xml:space="preserve"> \* MERGEFORMAT </w:instrText>
      </w:r>
      <w:r w:rsidR="00F90149">
        <w:fldChar w:fldCharType="separate"/>
      </w:r>
      <w:r w:rsidR="00F90149" w:rsidRPr="00D976C8">
        <w:t xml:space="preserve">Table </w:t>
      </w:r>
      <w:r w:rsidR="00F90149">
        <w:t>5</w:t>
      </w:r>
      <w:r w:rsidR="00F90149">
        <w:noBreakHyphen/>
        <w:t>25</w:t>
      </w:r>
      <w:r w:rsidR="00F90149">
        <w:fldChar w:fldCharType="end"/>
      </w:r>
      <w:r w:rsidR="00704C90">
        <w:t>) have no relation</w:t>
      </w:r>
      <w:r w:rsidR="00671C3A">
        <w:t>shp</w:t>
      </w:r>
      <w:r w:rsidR="00704C90">
        <w:t xml:space="preserve"> </w:t>
      </w:r>
      <w:r w:rsidR="00671C3A">
        <w:t>to any specific travel distance; the DAF values are simply calculated as CPI/PNEC or CGL/DWGV.</w:t>
      </w:r>
    </w:p>
    <w:p w14:paraId="44ED9C4B" w14:textId="77777777" w:rsidR="00A93085" w:rsidRDefault="00A93085" w:rsidP="00712F52">
      <w:pPr>
        <w:pStyle w:val="Body"/>
      </w:pPr>
    </w:p>
    <w:p w14:paraId="709D787E" w14:textId="16D3D838" w:rsidR="00774B85" w:rsidRPr="00A75C84" w:rsidRDefault="00774B85" w:rsidP="00774B85">
      <w:pPr>
        <w:pStyle w:val="Imagecaption"/>
        <w:keepNext/>
        <w:pBdr>
          <w:top w:val="none" w:sz="0" w:space="0" w:color="auto"/>
        </w:pBdr>
      </w:pPr>
      <w:bookmarkStart w:id="741" w:name="_Ref472513601"/>
      <w:bookmarkStart w:id="742" w:name="_Toc494444751"/>
      <w:r>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23</w:t>
      </w:r>
      <w:r w:rsidR="00470577">
        <w:fldChar w:fldCharType="end"/>
      </w:r>
      <w:bookmarkEnd w:id="741"/>
      <w:r>
        <w:t xml:space="preserve"> </w:t>
      </w:r>
      <w:r w:rsidRPr="00D6215B">
        <w:t>Predicted no effect concentrations (PNEC) for the protection of aquatic freshwater biota and drinking water guideline concentrations for Australia</w:t>
      </w:r>
      <w:r w:rsidR="00F616DB">
        <w:t xml:space="preserve"> (</w:t>
      </w:r>
      <w:r w:rsidR="00F616DB" w:rsidRPr="00F616DB">
        <w:t>NHMRC and NHMMC (2011</w:t>
      </w:r>
      <w:r w:rsidR="00F616DB">
        <w:t>)</w:t>
      </w:r>
      <w:r w:rsidR="00FD76B2">
        <w:t>, and minimum DAF to satisfy the condition RQ &lt; 1</w:t>
      </w:r>
      <w:r>
        <w:t>.</w:t>
      </w:r>
      <w:r w:rsidR="0066008E">
        <w:t xml:space="preserve"> NR = not reported.</w:t>
      </w:r>
      <w:r w:rsidR="00073163">
        <w:t xml:space="preserve"> NC = not calculated.</w:t>
      </w:r>
      <w:bookmarkEnd w:id="742"/>
    </w:p>
    <w:tbl>
      <w:tblPr>
        <w:tblW w:w="9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6"/>
        <w:gridCol w:w="2153"/>
        <w:gridCol w:w="1358"/>
        <w:gridCol w:w="868"/>
        <w:gridCol w:w="993"/>
        <w:gridCol w:w="1176"/>
        <w:gridCol w:w="1176"/>
      </w:tblGrid>
      <w:tr w:rsidR="0066008E" w:rsidRPr="003B3AB5" w14:paraId="35F4D8A7" w14:textId="77777777" w:rsidTr="0066008E">
        <w:trPr>
          <w:trHeight w:val="157"/>
        </w:trPr>
        <w:tc>
          <w:tcPr>
            <w:tcW w:w="1286" w:type="dxa"/>
            <w:vMerge w:val="restart"/>
            <w:shd w:val="clear" w:color="000000" w:fill="D9D9D9"/>
            <w:vAlign w:val="center"/>
            <w:hideMark/>
          </w:tcPr>
          <w:p w14:paraId="64246FB5" w14:textId="77777777" w:rsidR="0066008E" w:rsidRPr="001F5949" w:rsidRDefault="0066008E" w:rsidP="00186A83">
            <w:pPr>
              <w:spacing w:after="0"/>
              <w:jc w:val="center"/>
              <w:rPr>
                <w:rFonts w:ascii="Calibri" w:eastAsia="Times New Roman" w:hAnsi="Calibri" w:cs="Times New Roman"/>
                <w:bCs/>
                <w:color w:val="000000"/>
                <w:sz w:val="18"/>
                <w:szCs w:val="18"/>
                <w:lang w:eastAsia="en-AU"/>
              </w:rPr>
            </w:pPr>
            <w:r w:rsidRPr="001F5949">
              <w:rPr>
                <w:rFonts w:ascii="Calibri" w:eastAsia="Times New Roman" w:hAnsi="Calibri" w:cs="Times New Roman"/>
                <w:bCs/>
                <w:color w:val="000000"/>
                <w:sz w:val="18"/>
                <w:szCs w:val="18"/>
                <w:lang w:eastAsia="en-AU"/>
              </w:rPr>
              <w:t>CAS No.</w:t>
            </w:r>
          </w:p>
        </w:tc>
        <w:tc>
          <w:tcPr>
            <w:tcW w:w="2153" w:type="dxa"/>
            <w:vMerge w:val="restart"/>
            <w:shd w:val="clear" w:color="000000" w:fill="D9D9D9"/>
            <w:vAlign w:val="center"/>
            <w:hideMark/>
          </w:tcPr>
          <w:p w14:paraId="64DE6F5C" w14:textId="77777777" w:rsidR="0066008E" w:rsidRPr="001F5949" w:rsidRDefault="0066008E" w:rsidP="00186A83">
            <w:pPr>
              <w:spacing w:after="0"/>
              <w:jc w:val="center"/>
              <w:rPr>
                <w:rFonts w:ascii="Calibri" w:eastAsia="Times New Roman" w:hAnsi="Calibri" w:cs="Times New Roman"/>
                <w:bCs/>
                <w:color w:val="000000"/>
                <w:sz w:val="18"/>
                <w:szCs w:val="18"/>
                <w:lang w:eastAsia="en-AU"/>
              </w:rPr>
            </w:pPr>
            <w:r w:rsidRPr="001F5949">
              <w:rPr>
                <w:rFonts w:ascii="Calibri" w:eastAsia="Times New Roman" w:hAnsi="Calibri" w:cs="Times New Roman"/>
                <w:bCs/>
                <w:color w:val="000000"/>
                <w:sz w:val="18"/>
                <w:szCs w:val="18"/>
                <w:lang w:eastAsia="en-AU"/>
              </w:rPr>
              <w:t>CAS Chemical Name</w:t>
            </w:r>
          </w:p>
        </w:tc>
        <w:tc>
          <w:tcPr>
            <w:tcW w:w="1358" w:type="dxa"/>
            <w:vMerge w:val="restart"/>
            <w:shd w:val="clear" w:color="000000" w:fill="D9D9D9"/>
          </w:tcPr>
          <w:p w14:paraId="3B3888F5" w14:textId="77777777" w:rsidR="00314CB5" w:rsidRPr="001F5949" w:rsidRDefault="0066008E" w:rsidP="00774B85">
            <w:pPr>
              <w:spacing w:after="0"/>
              <w:jc w:val="center"/>
              <w:rPr>
                <w:rFonts w:ascii="Calibri" w:eastAsia="Times New Roman" w:hAnsi="Calibri" w:cs="Times New Roman"/>
                <w:bCs/>
                <w:color w:val="000000"/>
                <w:sz w:val="18"/>
                <w:szCs w:val="18"/>
                <w:lang w:eastAsia="en-AU"/>
              </w:rPr>
            </w:pPr>
            <w:r w:rsidRPr="001F5949">
              <w:rPr>
                <w:rFonts w:ascii="Calibri" w:eastAsia="Times New Roman" w:hAnsi="Calibri" w:cs="Times New Roman"/>
                <w:bCs/>
                <w:color w:val="000000"/>
                <w:sz w:val="18"/>
                <w:szCs w:val="18"/>
                <w:lang w:eastAsia="en-AU"/>
              </w:rPr>
              <w:t>Concentration prior to injection</w:t>
            </w:r>
            <w:r w:rsidR="00314CB5" w:rsidRPr="001F5949">
              <w:rPr>
                <w:rFonts w:ascii="Calibri" w:eastAsia="Times New Roman" w:hAnsi="Calibri" w:cs="Times New Roman"/>
                <w:bCs/>
                <w:color w:val="000000"/>
                <w:sz w:val="18"/>
                <w:szCs w:val="18"/>
                <w:lang w:eastAsia="en-AU"/>
              </w:rPr>
              <w:t>/</w:t>
            </w:r>
          </w:p>
          <w:p w14:paraId="1F46FB77" w14:textId="02EAEDAF" w:rsidR="0066008E" w:rsidRPr="001F5949" w:rsidRDefault="00314CB5" w:rsidP="00774B85">
            <w:pPr>
              <w:spacing w:after="0"/>
              <w:jc w:val="center"/>
              <w:rPr>
                <w:rFonts w:ascii="Calibri" w:eastAsia="Times New Roman" w:hAnsi="Calibri" w:cs="Times New Roman"/>
                <w:bCs/>
                <w:color w:val="000000"/>
                <w:sz w:val="18"/>
                <w:szCs w:val="18"/>
                <w:lang w:eastAsia="en-AU"/>
              </w:rPr>
            </w:pPr>
            <w:r w:rsidRPr="001F5949">
              <w:rPr>
                <w:rFonts w:ascii="Calibri" w:eastAsia="Times New Roman" w:hAnsi="Calibri" w:cs="Times New Roman"/>
                <w:bCs/>
                <w:color w:val="000000"/>
                <w:sz w:val="18"/>
                <w:szCs w:val="18"/>
                <w:lang w:eastAsia="en-AU"/>
              </w:rPr>
              <w:t>geogenic concentration</w:t>
            </w:r>
            <w:r w:rsidR="0066008E" w:rsidRPr="001F5949">
              <w:rPr>
                <w:rFonts w:ascii="Calibri" w:eastAsia="Times New Roman" w:hAnsi="Calibri" w:cs="Times New Roman"/>
                <w:bCs/>
                <w:color w:val="000000"/>
                <w:sz w:val="18"/>
                <w:szCs w:val="18"/>
                <w:lang w:eastAsia="en-AU"/>
              </w:rPr>
              <w:t xml:space="preserve"> (mg/L)</w:t>
            </w:r>
          </w:p>
        </w:tc>
        <w:tc>
          <w:tcPr>
            <w:tcW w:w="1861" w:type="dxa"/>
            <w:gridSpan w:val="2"/>
            <w:shd w:val="clear" w:color="000000" w:fill="D9D9D9"/>
            <w:vAlign w:val="center"/>
            <w:hideMark/>
          </w:tcPr>
          <w:p w14:paraId="4462F8E2" w14:textId="510DF398" w:rsidR="0066008E" w:rsidRPr="001F5949" w:rsidRDefault="0066008E" w:rsidP="00774B85">
            <w:pPr>
              <w:spacing w:after="0"/>
              <w:jc w:val="center"/>
              <w:rPr>
                <w:rFonts w:ascii="Calibri" w:eastAsia="Times New Roman" w:hAnsi="Calibri" w:cs="Times New Roman"/>
                <w:bCs/>
                <w:color w:val="000000"/>
                <w:sz w:val="18"/>
                <w:szCs w:val="18"/>
                <w:lang w:eastAsia="en-AU"/>
              </w:rPr>
            </w:pPr>
            <w:r w:rsidRPr="001F5949">
              <w:rPr>
                <w:rFonts w:ascii="Calibri" w:eastAsia="Times New Roman" w:hAnsi="Calibri" w:cs="Times New Roman"/>
                <w:bCs/>
                <w:color w:val="000000"/>
                <w:sz w:val="18"/>
                <w:szCs w:val="18"/>
                <w:lang w:eastAsia="en-AU"/>
              </w:rPr>
              <w:t xml:space="preserve">Ecosystem protection </w:t>
            </w:r>
          </w:p>
        </w:tc>
        <w:tc>
          <w:tcPr>
            <w:tcW w:w="2352" w:type="dxa"/>
            <w:gridSpan w:val="2"/>
            <w:shd w:val="clear" w:color="000000" w:fill="D9D9D9"/>
            <w:vAlign w:val="center"/>
            <w:hideMark/>
          </w:tcPr>
          <w:p w14:paraId="23F2D57D" w14:textId="3E084B7D" w:rsidR="0066008E" w:rsidRPr="001F5949" w:rsidRDefault="0066008E" w:rsidP="00186A83">
            <w:pPr>
              <w:spacing w:after="0"/>
              <w:jc w:val="center"/>
              <w:rPr>
                <w:rFonts w:ascii="Calibri" w:eastAsia="Times New Roman" w:hAnsi="Calibri" w:cs="Times New Roman"/>
                <w:bCs/>
                <w:color w:val="000000"/>
                <w:sz w:val="18"/>
                <w:szCs w:val="18"/>
                <w:lang w:eastAsia="en-AU"/>
              </w:rPr>
            </w:pPr>
            <w:r w:rsidRPr="001F5949">
              <w:rPr>
                <w:rFonts w:ascii="Calibri" w:eastAsia="Times New Roman" w:hAnsi="Calibri" w:cs="Times New Roman"/>
                <w:bCs/>
                <w:color w:val="000000"/>
                <w:sz w:val="18"/>
                <w:szCs w:val="18"/>
                <w:lang w:eastAsia="en-AU"/>
              </w:rPr>
              <w:t>Protection of human health</w:t>
            </w:r>
          </w:p>
        </w:tc>
      </w:tr>
      <w:tr w:rsidR="00E876FB" w:rsidRPr="003B3AB5" w14:paraId="34256D3D" w14:textId="77777777" w:rsidTr="00186A83">
        <w:trPr>
          <w:trHeight w:val="157"/>
        </w:trPr>
        <w:tc>
          <w:tcPr>
            <w:tcW w:w="1286" w:type="dxa"/>
            <w:vMerge/>
            <w:shd w:val="clear" w:color="000000" w:fill="D9D9D9"/>
            <w:vAlign w:val="center"/>
          </w:tcPr>
          <w:p w14:paraId="0C67D558" w14:textId="77777777" w:rsidR="00E876FB" w:rsidRPr="001F5949" w:rsidRDefault="00E876FB" w:rsidP="00186A83">
            <w:pPr>
              <w:spacing w:after="0"/>
              <w:jc w:val="center"/>
              <w:rPr>
                <w:rFonts w:ascii="Calibri" w:eastAsia="Times New Roman" w:hAnsi="Calibri" w:cs="Times New Roman"/>
                <w:bCs/>
                <w:color w:val="000000"/>
                <w:sz w:val="18"/>
                <w:szCs w:val="18"/>
                <w:lang w:eastAsia="en-AU"/>
              </w:rPr>
            </w:pPr>
          </w:p>
        </w:tc>
        <w:tc>
          <w:tcPr>
            <w:tcW w:w="2153" w:type="dxa"/>
            <w:vMerge/>
            <w:shd w:val="clear" w:color="000000" w:fill="D9D9D9"/>
            <w:vAlign w:val="center"/>
          </w:tcPr>
          <w:p w14:paraId="06705A67" w14:textId="77777777" w:rsidR="00E876FB" w:rsidRPr="001F5949" w:rsidRDefault="00E876FB" w:rsidP="00186A83">
            <w:pPr>
              <w:spacing w:after="0"/>
              <w:jc w:val="center"/>
              <w:rPr>
                <w:rFonts w:ascii="Calibri" w:eastAsia="Times New Roman" w:hAnsi="Calibri" w:cs="Times New Roman"/>
                <w:bCs/>
                <w:color w:val="000000"/>
                <w:sz w:val="18"/>
                <w:szCs w:val="18"/>
                <w:lang w:eastAsia="en-AU"/>
              </w:rPr>
            </w:pPr>
          </w:p>
        </w:tc>
        <w:tc>
          <w:tcPr>
            <w:tcW w:w="1358" w:type="dxa"/>
            <w:vMerge/>
            <w:shd w:val="clear" w:color="000000" w:fill="D9D9D9"/>
          </w:tcPr>
          <w:p w14:paraId="3D41F555" w14:textId="77777777" w:rsidR="00E876FB" w:rsidRPr="001F5949" w:rsidRDefault="00E876FB" w:rsidP="00774B85">
            <w:pPr>
              <w:spacing w:after="0"/>
              <w:jc w:val="center"/>
              <w:rPr>
                <w:rFonts w:ascii="Calibri" w:eastAsia="Times New Roman" w:hAnsi="Calibri" w:cs="Times New Roman"/>
                <w:bCs/>
                <w:color w:val="000000"/>
                <w:sz w:val="18"/>
                <w:szCs w:val="18"/>
                <w:lang w:eastAsia="en-AU"/>
              </w:rPr>
            </w:pPr>
          </w:p>
        </w:tc>
        <w:tc>
          <w:tcPr>
            <w:tcW w:w="868" w:type="dxa"/>
            <w:shd w:val="clear" w:color="000000" w:fill="D9D9D9"/>
            <w:vAlign w:val="center"/>
          </w:tcPr>
          <w:p w14:paraId="1CCF5BCB" w14:textId="0129D7A1" w:rsidR="00E876FB" w:rsidRPr="001F5949" w:rsidRDefault="00E876FB" w:rsidP="00774B85">
            <w:pPr>
              <w:spacing w:after="0"/>
              <w:jc w:val="center"/>
              <w:rPr>
                <w:rFonts w:ascii="Calibri" w:eastAsia="Times New Roman" w:hAnsi="Calibri" w:cs="Times New Roman"/>
                <w:bCs/>
                <w:color w:val="000000"/>
                <w:sz w:val="18"/>
                <w:szCs w:val="18"/>
                <w:lang w:eastAsia="en-AU"/>
              </w:rPr>
            </w:pPr>
            <w:r w:rsidRPr="001F5949">
              <w:rPr>
                <w:rFonts w:ascii="Calibri" w:eastAsia="Times New Roman" w:hAnsi="Calibri" w:cs="Times New Roman"/>
                <w:bCs/>
                <w:color w:val="000000"/>
                <w:sz w:val="18"/>
                <w:szCs w:val="18"/>
                <w:lang w:eastAsia="en-AU"/>
              </w:rPr>
              <w:t>PNEC (mg/L)</w:t>
            </w:r>
          </w:p>
        </w:tc>
        <w:tc>
          <w:tcPr>
            <w:tcW w:w="993" w:type="dxa"/>
            <w:shd w:val="clear" w:color="000000" w:fill="D9D9D9"/>
            <w:vAlign w:val="center"/>
          </w:tcPr>
          <w:p w14:paraId="1F48D532" w14:textId="6D5F6F7C" w:rsidR="00E876FB" w:rsidRPr="001F5949" w:rsidRDefault="00E876FB" w:rsidP="00774B85">
            <w:pPr>
              <w:spacing w:after="0"/>
              <w:jc w:val="center"/>
              <w:rPr>
                <w:rFonts w:ascii="Calibri" w:eastAsia="Times New Roman" w:hAnsi="Calibri" w:cs="Times New Roman"/>
                <w:bCs/>
                <w:color w:val="000000"/>
                <w:sz w:val="18"/>
                <w:szCs w:val="18"/>
                <w:lang w:eastAsia="en-AU"/>
              </w:rPr>
            </w:pPr>
            <w:r w:rsidRPr="001F5949">
              <w:rPr>
                <w:rFonts w:ascii="Calibri" w:eastAsia="Times New Roman" w:hAnsi="Calibri" w:cs="Times New Roman"/>
                <w:bCs/>
                <w:color w:val="000000"/>
                <w:sz w:val="18"/>
                <w:szCs w:val="18"/>
                <w:lang w:val="en-AU" w:eastAsia="en-AU"/>
              </w:rPr>
              <w:t>Minimum DAF for RQ &lt; 1</w:t>
            </w:r>
          </w:p>
        </w:tc>
        <w:tc>
          <w:tcPr>
            <w:tcW w:w="1176" w:type="dxa"/>
            <w:shd w:val="clear" w:color="000000" w:fill="D9D9D9"/>
            <w:vAlign w:val="center"/>
          </w:tcPr>
          <w:p w14:paraId="22DABECD" w14:textId="631E059C" w:rsidR="00E876FB" w:rsidRPr="001F5949" w:rsidRDefault="00E876FB" w:rsidP="00186A83">
            <w:pPr>
              <w:spacing w:after="0"/>
              <w:jc w:val="center"/>
              <w:rPr>
                <w:rFonts w:ascii="Calibri" w:eastAsia="Times New Roman" w:hAnsi="Calibri" w:cs="Times New Roman"/>
                <w:bCs/>
                <w:color w:val="000000"/>
                <w:sz w:val="18"/>
                <w:szCs w:val="18"/>
                <w:lang w:eastAsia="en-AU"/>
              </w:rPr>
            </w:pPr>
            <w:r w:rsidRPr="001F5949">
              <w:rPr>
                <w:rFonts w:ascii="Calibri" w:eastAsia="Times New Roman" w:hAnsi="Calibri" w:cs="Times New Roman"/>
                <w:bCs/>
                <w:color w:val="000000"/>
                <w:sz w:val="18"/>
                <w:szCs w:val="18"/>
                <w:lang w:eastAsia="en-AU"/>
              </w:rPr>
              <w:t>Drinking water guideline value (mg/L)</w:t>
            </w:r>
          </w:p>
        </w:tc>
        <w:tc>
          <w:tcPr>
            <w:tcW w:w="1176" w:type="dxa"/>
            <w:shd w:val="clear" w:color="000000" w:fill="D9D9D9"/>
            <w:vAlign w:val="center"/>
          </w:tcPr>
          <w:p w14:paraId="4827A659" w14:textId="606E6765" w:rsidR="00E876FB" w:rsidRPr="001F5949" w:rsidRDefault="00E876FB" w:rsidP="00186A83">
            <w:pPr>
              <w:spacing w:after="0"/>
              <w:jc w:val="center"/>
              <w:rPr>
                <w:rFonts w:ascii="Calibri" w:eastAsia="Times New Roman" w:hAnsi="Calibri" w:cs="Times New Roman"/>
                <w:bCs/>
                <w:color w:val="000000"/>
                <w:sz w:val="18"/>
                <w:szCs w:val="18"/>
                <w:lang w:eastAsia="en-AU"/>
              </w:rPr>
            </w:pPr>
            <w:r w:rsidRPr="001F5949">
              <w:rPr>
                <w:rFonts w:ascii="Calibri" w:eastAsia="Times New Roman" w:hAnsi="Calibri" w:cs="Times New Roman"/>
                <w:bCs/>
                <w:color w:val="000000"/>
                <w:sz w:val="18"/>
                <w:szCs w:val="18"/>
                <w:lang w:val="en-AU" w:eastAsia="en-AU"/>
              </w:rPr>
              <w:t>Minimum DAF for RQ &lt; 1</w:t>
            </w:r>
          </w:p>
        </w:tc>
      </w:tr>
      <w:tr w:rsidR="00E876FB" w:rsidRPr="006C5C10" w14:paraId="1FB1B236" w14:textId="77777777" w:rsidTr="00186A83">
        <w:trPr>
          <w:trHeight w:val="20"/>
        </w:trPr>
        <w:tc>
          <w:tcPr>
            <w:tcW w:w="1286" w:type="dxa"/>
            <w:shd w:val="clear" w:color="auto" w:fill="auto"/>
            <w:vAlign w:val="center"/>
            <w:hideMark/>
          </w:tcPr>
          <w:p w14:paraId="0D285A02"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95-48-7</w:t>
            </w:r>
          </w:p>
        </w:tc>
        <w:tc>
          <w:tcPr>
            <w:tcW w:w="2153" w:type="dxa"/>
            <w:shd w:val="clear" w:color="auto" w:fill="auto"/>
            <w:vAlign w:val="center"/>
            <w:hideMark/>
          </w:tcPr>
          <w:p w14:paraId="6011C24F"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2-methylphenol</w:t>
            </w:r>
            <w:r>
              <w:rPr>
                <w:rFonts w:ascii="Calibri" w:eastAsia="Times New Roman" w:hAnsi="Calibri" w:cs="Times New Roman"/>
                <w:color w:val="000000"/>
                <w:sz w:val="18"/>
                <w:szCs w:val="18"/>
                <w:lang w:eastAsia="en-AU"/>
              </w:rPr>
              <w:t xml:space="preserve"> </w:t>
            </w:r>
            <w:r w:rsidRPr="00A75C84">
              <w:rPr>
                <w:rFonts w:ascii="Calibri" w:eastAsia="Times New Roman" w:hAnsi="Calibri" w:cs="Times New Roman"/>
                <w:color w:val="000000"/>
                <w:sz w:val="18"/>
                <w:szCs w:val="18"/>
                <w:lang w:eastAsia="en-AU"/>
              </w:rPr>
              <w:t>(o-cresol)</w:t>
            </w:r>
          </w:p>
        </w:tc>
        <w:tc>
          <w:tcPr>
            <w:tcW w:w="1358" w:type="dxa"/>
          </w:tcPr>
          <w:p w14:paraId="56AFBBFA" w14:textId="0480A59F"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0.021</w:t>
            </w:r>
            <w:r w:rsidRPr="00073163">
              <w:rPr>
                <w:rFonts w:ascii="Calibri" w:eastAsia="Times New Roman" w:hAnsi="Calibri" w:cs="Times New Roman"/>
                <w:color w:val="000000"/>
                <w:sz w:val="18"/>
                <w:szCs w:val="18"/>
                <w:vertAlign w:val="superscript"/>
                <w:lang w:eastAsia="en-AU"/>
              </w:rPr>
              <w:t>a</w:t>
            </w:r>
          </w:p>
        </w:tc>
        <w:tc>
          <w:tcPr>
            <w:tcW w:w="868" w:type="dxa"/>
            <w:shd w:val="clear" w:color="auto" w:fill="auto"/>
            <w:vAlign w:val="center"/>
            <w:hideMark/>
          </w:tcPr>
          <w:p w14:paraId="2D61E57A" w14:textId="266DA06A"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993" w:type="dxa"/>
            <w:shd w:val="clear" w:color="auto" w:fill="auto"/>
            <w:vAlign w:val="center"/>
          </w:tcPr>
          <w:p w14:paraId="24584AC2" w14:textId="5D2728AF"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c>
          <w:tcPr>
            <w:tcW w:w="1176" w:type="dxa"/>
            <w:shd w:val="clear" w:color="auto" w:fill="auto"/>
            <w:noWrap/>
            <w:vAlign w:val="center"/>
            <w:hideMark/>
          </w:tcPr>
          <w:p w14:paraId="77EF97F5"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1176" w:type="dxa"/>
            <w:shd w:val="clear" w:color="auto" w:fill="auto"/>
            <w:vAlign w:val="center"/>
          </w:tcPr>
          <w:p w14:paraId="6A38CA31" w14:textId="08C5B330"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r>
      <w:tr w:rsidR="00E876FB" w:rsidRPr="006C5C10" w14:paraId="6BE9FF6B" w14:textId="77777777" w:rsidTr="00186A83">
        <w:trPr>
          <w:trHeight w:val="20"/>
        </w:trPr>
        <w:tc>
          <w:tcPr>
            <w:tcW w:w="1286" w:type="dxa"/>
            <w:shd w:val="clear" w:color="auto" w:fill="auto"/>
            <w:vAlign w:val="center"/>
            <w:hideMark/>
          </w:tcPr>
          <w:p w14:paraId="7F0E977B"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91-20-3</w:t>
            </w:r>
          </w:p>
        </w:tc>
        <w:tc>
          <w:tcPr>
            <w:tcW w:w="2153" w:type="dxa"/>
            <w:shd w:val="clear" w:color="auto" w:fill="auto"/>
            <w:vAlign w:val="center"/>
            <w:hideMark/>
          </w:tcPr>
          <w:p w14:paraId="6DD65007"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naphthalene</w:t>
            </w:r>
          </w:p>
        </w:tc>
        <w:tc>
          <w:tcPr>
            <w:tcW w:w="1358" w:type="dxa"/>
          </w:tcPr>
          <w:p w14:paraId="482A92FC" w14:textId="0594C7FD" w:rsidR="00E876FB" w:rsidRPr="00A75C84" w:rsidRDefault="00B93863" w:rsidP="00774B85">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0.00006</w:t>
            </w:r>
            <w:r w:rsidRPr="004D2A50">
              <w:rPr>
                <w:rFonts w:ascii="Calibri" w:eastAsia="Times New Roman" w:hAnsi="Calibri" w:cs="Times New Roman"/>
                <w:color w:val="000000"/>
                <w:sz w:val="18"/>
                <w:szCs w:val="18"/>
                <w:vertAlign w:val="superscript"/>
                <w:lang w:eastAsia="en-AU"/>
              </w:rPr>
              <w:t>i</w:t>
            </w:r>
          </w:p>
        </w:tc>
        <w:tc>
          <w:tcPr>
            <w:tcW w:w="868" w:type="dxa"/>
            <w:shd w:val="clear" w:color="auto" w:fill="auto"/>
            <w:vAlign w:val="center"/>
            <w:hideMark/>
          </w:tcPr>
          <w:p w14:paraId="08D328C6" w14:textId="2ECB4BE0" w:rsidR="00E876FB" w:rsidRPr="00A75C84" w:rsidRDefault="00E876FB" w:rsidP="00774B85">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0.016</w:t>
            </w:r>
          </w:p>
        </w:tc>
        <w:tc>
          <w:tcPr>
            <w:tcW w:w="993" w:type="dxa"/>
            <w:shd w:val="clear" w:color="auto" w:fill="auto"/>
            <w:vAlign w:val="center"/>
          </w:tcPr>
          <w:p w14:paraId="51C9109B" w14:textId="37C8F952" w:rsidR="00E876FB" w:rsidRPr="00A75C84" w:rsidRDefault="006358E9" w:rsidP="00774B85">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0.004</w:t>
            </w:r>
          </w:p>
        </w:tc>
        <w:tc>
          <w:tcPr>
            <w:tcW w:w="1176" w:type="dxa"/>
            <w:shd w:val="clear" w:color="auto" w:fill="auto"/>
            <w:noWrap/>
            <w:vAlign w:val="center"/>
            <w:hideMark/>
          </w:tcPr>
          <w:p w14:paraId="67CF45EC"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1176" w:type="dxa"/>
            <w:shd w:val="clear" w:color="auto" w:fill="auto"/>
            <w:vAlign w:val="center"/>
          </w:tcPr>
          <w:p w14:paraId="298EF216" w14:textId="2377FE6C"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r>
      <w:tr w:rsidR="00E876FB" w:rsidRPr="006C5C10" w14:paraId="14442863" w14:textId="77777777" w:rsidTr="00186A83">
        <w:trPr>
          <w:trHeight w:val="20"/>
        </w:trPr>
        <w:tc>
          <w:tcPr>
            <w:tcW w:w="1286" w:type="dxa"/>
            <w:shd w:val="clear" w:color="auto" w:fill="auto"/>
            <w:vAlign w:val="center"/>
            <w:hideMark/>
          </w:tcPr>
          <w:p w14:paraId="0AF8AC60"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138-86-3</w:t>
            </w:r>
          </w:p>
        </w:tc>
        <w:tc>
          <w:tcPr>
            <w:tcW w:w="2153" w:type="dxa"/>
            <w:shd w:val="clear" w:color="auto" w:fill="auto"/>
            <w:vAlign w:val="center"/>
            <w:hideMark/>
          </w:tcPr>
          <w:p w14:paraId="00F9A623"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limonene</w:t>
            </w:r>
          </w:p>
        </w:tc>
        <w:tc>
          <w:tcPr>
            <w:tcW w:w="1358" w:type="dxa"/>
          </w:tcPr>
          <w:p w14:paraId="07C392F5" w14:textId="7B700105"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94</w:t>
            </w:r>
            <w:r w:rsidRPr="00073163">
              <w:rPr>
                <w:rFonts w:ascii="Calibri" w:eastAsia="Times New Roman" w:hAnsi="Calibri" w:cs="Times New Roman"/>
                <w:color w:val="000000"/>
                <w:sz w:val="18"/>
                <w:szCs w:val="18"/>
                <w:vertAlign w:val="superscript"/>
                <w:lang w:eastAsia="en-AU"/>
              </w:rPr>
              <w:t>b</w:t>
            </w:r>
          </w:p>
        </w:tc>
        <w:tc>
          <w:tcPr>
            <w:tcW w:w="868" w:type="dxa"/>
            <w:shd w:val="clear" w:color="auto" w:fill="auto"/>
            <w:vAlign w:val="center"/>
            <w:hideMark/>
          </w:tcPr>
          <w:p w14:paraId="7FE6B38E" w14:textId="2455B9BF"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993" w:type="dxa"/>
            <w:shd w:val="clear" w:color="auto" w:fill="auto"/>
            <w:vAlign w:val="center"/>
          </w:tcPr>
          <w:p w14:paraId="0467363B" w14:textId="4250BAF5"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c>
          <w:tcPr>
            <w:tcW w:w="1176" w:type="dxa"/>
            <w:shd w:val="clear" w:color="auto" w:fill="auto"/>
            <w:noWrap/>
            <w:vAlign w:val="center"/>
            <w:hideMark/>
          </w:tcPr>
          <w:p w14:paraId="7B990299"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1176" w:type="dxa"/>
            <w:shd w:val="clear" w:color="auto" w:fill="auto"/>
            <w:vAlign w:val="center"/>
          </w:tcPr>
          <w:p w14:paraId="06981AAE" w14:textId="4D6841BC"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r>
      <w:tr w:rsidR="00E876FB" w:rsidRPr="006C5C10" w14:paraId="029238A0" w14:textId="77777777" w:rsidTr="00186A83">
        <w:trPr>
          <w:trHeight w:val="20"/>
        </w:trPr>
        <w:tc>
          <w:tcPr>
            <w:tcW w:w="1286" w:type="dxa"/>
            <w:shd w:val="clear" w:color="auto" w:fill="auto"/>
            <w:vAlign w:val="center"/>
            <w:hideMark/>
          </w:tcPr>
          <w:p w14:paraId="15CE27C0"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2691-41-0</w:t>
            </w:r>
          </w:p>
        </w:tc>
        <w:tc>
          <w:tcPr>
            <w:tcW w:w="2153" w:type="dxa"/>
            <w:shd w:val="clear" w:color="auto" w:fill="auto"/>
            <w:vAlign w:val="center"/>
            <w:hideMark/>
          </w:tcPr>
          <w:p w14:paraId="20D7A13B"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HMX</w:t>
            </w:r>
          </w:p>
        </w:tc>
        <w:tc>
          <w:tcPr>
            <w:tcW w:w="1358" w:type="dxa"/>
          </w:tcPr>
          <w:p w14:paraId="39409A36" w14:textId="72E3B0F3"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NR</w:t>
            </w:r>
          </w:p>
        </w:tc>
        <w:tc>
          <w:tcPr>
            <w:tcW w:w="868" w:type="dxa"/>
            <w:shd w:val="clear" w:color="auto" w:fill="auto"/>
            <w:vAlign w:val="center"/>
            <w:hideMark/>
          </w:tcPr>
          <w:p w14:paraId="236921DD" w14:textId="74E967D0"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993" w:type="dxa"/>
            <w:shd w:val="clear" w:color="auto" w:fill="auto"/>
            <w:vAlign w:val="center"/>
          </w:tcPr>
          <w:p w14:paraId="0B511BEB" w14:textId="2E212CBC"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c>
          <w:tcPr>
            <w:tcW w:w="1176" w:type="dxa"/>
            <w:shd w:val="clear" w:color="auto" w:fill="auto"/>
            <w:noWrap/>
            <w:vAlign w:val="center"/>
            <w:hideMark/>
          </w:tcPr>
          <w:p w14:paraId="1891E22A"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1176" w:type="dxa"/>
            <w:shd w:val="clear" w:color="auto" w:fill="auto"/>
            <w:vAlign w:val="center"/>
          </w:tcPr>
          <w:p w14:paraId="41A8C4C9" w14:textId="33AEB498"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r>
      <w:tr w:rsidR="00E876FB" w:rsidRPr="006C5C10" w14:paraId="1651116D" w14:textId="77777777" w:rsidTr="00186A83">
        <w:trPr>
          <w:trHeight w:val="20"/>
        </w:trPr>
        <w:tc>
          <w:tcPr>
            <w:tcW w:w="1286" w:type="dxa"/>
            <w:shd w:val="clear" w:color="auto" w:fill="auto"/>
            <w:noWrap/>
            <w:vAlign w:val="center"/>
            <w:hideMark/>
          </w:tcPr>
          <w:p w14:paraId="3E93114A"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111-76-2</w:t>
            </w:r>
          </w:p>
        </w:tc>
        <w:tc>
          <w:tcPr>
            <w:tcW w:w="2153" w:type="dxa"/>
            <w:shd w:val="clear" w:color="auto" w:fill="auto"/>
            <w:noWrap/>
            <w:vAlign w:val="center"/>
            <w:hideMark/>
          </w:tcPr>
          <w:p w14:paraId="2B0B2272"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2-butoxyethanol</w:t>
            </w:r>
          </w:p>
        </w:tc>
        <w:tc>
          <w:tcPr>
            <w:tcW w:w="1358" w:type="dxa"/>
          </w:tcPr>
          <w:p w14:paraId="19BF879C" w14:textId="76059AA5" w:rsidR="00E876FB" w:rsidRPr="00A75C84" w:rsidRDefault="00E34EB3" w:rsidP="00E34EB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40</w:t>
            </w:r>
            <w:r w:rsidR="00E876FB">
              <w:rPr>
                <w:rFonts w:ascii="Calibri" w:eastAsia="Times New Roman" w:hAnsi="Calibri" w:cs="Times New Roman"/>
                <w:color w:val="000000"/>
                <w:sz w:val="18"/>
                <w:szCs w:val="18"/>
                <w:vertAlign w:val="superscript"/>
                <w:lang w:eastAsia="en-AU"/>
              </w:rPr>
              <w:t>c</w:t>
            </w:r>
          </w:p>
        </w:tc>
        <w:tc>
          <w:tcPr>
            <w:tcW w:w="868" w:type="dxa"/>
            <w:shd w:val="clear" w:color="auto" w:fill="auto"/>
            <w:noWrap/>
            <w:vAlign w:val="center"/>
            <w:hideMark/>
          </w:tcPr>
          <w:p w14:paraId="305AB46B" w14:textId="7E68E8FF" w:rsidR="00E876FB" w:rsidRPr="00A75C84" w:rsidRDefault="00E876FB" w:rsidP="00774B85">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0.165</w:t>
            </w:r>
          </w:p>
        </w:tc>
        <w:tc>
          <w:tcPr>
            <w:tcW w:w="993" w:type="dxa"/>
            <w:shd w:val="clear" w:color="auto" w:fill="auto"/>
            <w:vAlign w:val="center"/>
          </w:tcPr>
          <w:p w14:paraId="653542BB" w14:textId="5E4E39F5" w:rsidR="00E876FB" w:rsidRPr="00A75C84" w:rsidRDefault="00E876FB" w:rsidP="00774B85">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242</w:t>
            </w:r>
          </w:p>
        </w:tc>
        <w:tc>
          <w:tcPr>
            <w:tcW w:w="1176" w:type="dxa"/>
            <w:shd w:val="clear" w:color="auto" w:fill="auto"/>
            <w:noWrap/>
            <w:vAlign w:val="center"/>
            <w:hideMark/>
          </w:tcPr>
          <w:p w14:paraId="002C7D16" w14:textId="2A9DFAAD" w:rsidR="00E876FB" w:rsidRPr="00A75C84" w:rsidRDefault="00E25A0A"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NR</w:t>
            </w:r>
          </w:p>
        </w:tc>
        <w:tc>
          <w:tcPr>
            <w:tcW w:w="1176" w:type="dxa"/>
            <w:shd w:val="clear" w:color="auto" w:fill="auto"/>
            <w:vAlign w:val="center"/>
          </w:tcPr>
          <w:p w14:paraId="474DFF89" w14:textId="09A68A01" w:rsidR="00E876FB" w:rsidRPr="00A75C84" w:rsidRDefault="00E25A0A"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r>
      <w:tr w:rsidR="00E876FB" w:rsidRPr="006C5C10" w14:paraId="20167A6E" w14:textId="77777777" w:rsidTr="00186A83">
        <w:trPr>
          <w:trHeight w:val="20"/>
        </w:trPr>
        <w:tc>
          <w:tcPr>
            <w:tcW w:w="1286" w:type="dxa"/>
            <w:shd w:val="clear" w:color="auto" w:fill="auto"/>
            <w:noWrap/>
            <w:vAlign w:val="center"/>
            <w:hideMark/>
          </w:tcPr>
          <w:p w14:paraId="3F16303B"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52-51-7</w:t>
            </w:r>
          </w:p>
        </w:tc>
        <w:tc>
          <w:tcPr>
            <w:tcW w:w="2153" w:type="dxa"/>
            <w:shd w:val="clear" w:color="auto" w:fill="auto"/>
            <w:noWrap/>
            <w:vAlign w:val="center"/>
            <w:hideMark/>
          </w:tcPr>
          <w:p w14:paraId="514512A9"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bronopol</w:t>
            </w:r>
          </w:p>
        </w:tc>
        <w:tc>
          <w:tcPr>
            <w:tcW w:w="1358" w:type="dxa"/>
          </w:tcPr>
          <w:p w14:paraId="296B43E4" w14:textId="6BE5804A"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15</w:t>
            </w:r>
            <w:r w:rsidRPr="00073163">
              <w:rPr>
                <w:rFonts w:ascii="Calibri" w:eastAsia="Times New Roman" w:hAnsi="Calibri" w:cs="Times New Roman"/>
                <w:color w:val="000000"/>
                <w:sz w:val="18"/>
                <w:szCs w:val="18"/>
                <w:vertAlign w:val="superscript"/>
                <w:lang w:eastAsia="en-AU"/>
              </w:rPr>
              <w:t>d</w:t>
            </w:r>
          </w:p>
        </w:tc>
        <w:tc>
          <w:tcPr>
            <w:tcW w:w="868" w:type="dxa"/>
            <w:shd w:val="clear" w:color="auto" w:fill="auto"/>
            <w:noWrap/>
            <w:vAlign w:val="center"/>
            <w:hideMark/>
          </w:tcPr>
          <w:p w14:paraId="242AE2C3"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993" w:type="dxa"/>
            <w:shd w:val="clear" w:color="auto" w:fill="auto"/>
            <w:vAlign w:val="center"/>
          </w:tcPr>
          <w:p w14:paraId="61E9C551" w14:textId="62C6714F"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c>
          <w:tcPr>
            <w:tcW w:w="1176" w:type="dxa"/>
            <w:shd w:val="clear" w:color="auto" w:fill="auto"/>
            <w:noWrap/>
            <w:vAlign w:val="center"/>
            <w:hideMark/>
          </w:tcPr>
          <w:p w14:paraId="123A3C66"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1176" w:type="dxa"/>
            <w:shd w:val="clear" w:color="auto" w:fill="auto"/>
            <w:vAlign w:val="center"/>
          </w:tcPr>
          <w:p w14:paraId="6043B227" w14:textId="1C96DAE2"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r>
      <w:tr w:rsidR="00E876FB" w:rsidRPr="006C5C10" w14:paraId="5B2AB6DF" w14:textId="77777777" w:rsidTr="00186A83">
        <w:trPr>
          <w:trHeight w:val="20"/>
        </w:trPr>
        <w:tc>
          <w:tcPr>
            <w:tcW w:w="1286" w:type="dxa"/>
            <w:shd w:val="clear" w:color="auto" w:fill="auto"/>
            <w:noWrap/>
            <w:vAlign w:val="center"/>
            <w:hideMark/>
          </w:tcPr>
          <w:p w14:paraId="196395E5"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26172-55-4</w:t>
            </w:r>
          </w:p>
        </w:tc>
        <w:tc>
          <w:tcPr>
            <w:tcW w:w="2153" w:type="dxa"/>
            <w:shd w:val="clear" w:color="auto" w:fill="auto"/>
            <w:noWrap/>
            <w:vAlign w:val="center"/>
            <w:hideMark/>
          </w:tcPr>
          <w:p w14:paraId="1C7A340E"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MCI</w:t>
            </w:r>
          </w:p>
        </w:tc>
        <w:tc>
          <w:tcPr>
            <w:tcW w:w="1358" w:type="dxa"/>
          </w:tcPr>
          <w:p w14:paraId="2795CB66" w14:textId="12E4166E"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4</w:t>
            </w:r>
            <w:r w:rsidRPr="00073163">
              <w:rPr>
                <w:rFonts w:ascii="Calibri" w:eastAsia="Times New Roman" w:hAnsi="Calibri" w:cs="Times New Roman"/>
                <w:color w:val="000000"/>
                <w:sz w:val="18"/>
                <w:szCs w:val="18"/>
                <w:vertAlign w:val="superscript"/>
                <w:lang w:eastAsia="en-AU"/>
              </w:rPr>
              <w:t>b</w:t>
            </w:r>
          </w:p>
        </w:tc>
        <w:tc>
          <w:tcPr>
            <w:tcW w:w="868" w:type="dxa"/>
            <w:shd w:val="clear" w:color="auto" w:fill="auto"/>
            <w:noWrap/>
            <w:vAlign w:val="center"/>
            <w:hideMark/>
          </w:tcPr>
          <w:p w14:paraId="38C95BE3" w14:textId="70A3808A" w:rsidR="00E876FB" w:rsidRPr="00E25A0A" w:rsidRDefault="00E25A0A" w:rsidP="00186A83">
            <w:pPr>
              <w:spacing w:after="0"/>
              <w:jc w:val="center"/>
              <w:rPr>
                <w:rFonts w:ascii="Calibri" w:eastAsia="Times New Roman" w:hAnsi="Calibri" w:cs="Times New Roman"/>
                <w:color w:val="000000"/>
                <w:sz w:val="18"/>
                <w:szCs w:val="18"/>
                <w:lang w:eastAsia="en-AU"/>
              </w:rPr>
            </w:pPr>
            <w:r w:rsidRPr="00E25A0A">
              <w:rPr>
                <w:rFonts w:ascii="Calibri" w:eastAsia="Times New Roman" w:hAnsi="Calibri" w:cs="Times New Roman"/>
                <w:color w:val="000000"/>
                <w:sz w:val="18"/>
                <w:szCs w:val="18"/>
                <w:lang w:val="en-AU" w:eastAsia="en-AU"/>
              </w:rPr>
              <w:t>0.00062</w:t>
            </w:r>
            <w:r w:rsidRPr="00E25A0A">
              <w:rPr>
                <w:rFonts w:ascii="Calibri" w:eastAsia="Times New Roman" w:hAnsi="Calibri" w:cs="Times New Roman"/>
                <w:color w:val="000000"/>
                <w:sz w:val="18"/>
                <w:szCs w:val="18"/>
                <w:vertAlign w:val="superscript"/>
                <w:lang w:val="en-AU" w:eastAsia="en-AU"/>
              </w:rPr>
              <w:t>f</w:t>
            </w:r>
          </w:p>
        </w:tc>
        <w:tc>
          <w:tcPr>
            <w:tcW w:w="993" w:type="dxa"/>
            <w:shd w:val="clear" w:color="auto" w:fill="auto"/>
            <w:vAlign w:val="center"/>
          </w:tcPr>
          <w:p w14:paraId="172BC9F7" w14:textId="3547CCB8" w:rsidR="00E876FB" w:rsidRPr="00A75C84" w:rsidRDefault="00E25A0A" w:rsidP="00186A83">
            <w:pPr>
              <w:spacing w:after="0"/>
              <w:jc w:val="center"/>
              <w:rPr>
                <w:rFonts w:ascii="Calibri" w:eastAsia="Times New Roman" w:hAnsi="Calibri" w:cs="Times New Roman"/>
                <w:color w:val="000000"/>
                <w:sz w:val="18"/>
                <w:szCs w:val="18"/>
                <w:lang w:eastAsia="en-AU"/>
              </w:rPr>
            </w:pPr>
            <w:r>
              <w:rPr>
                <w:rFonts w:ascii="Calibri" w:hAnsi="Calibri"/>
                <w:color w:val="000000"/>
                <w:sz w:val="18"/>
                <w:szCs w:val="18"/>
              </w:rPr>
              <w:t>5,968</w:t>
            </w:r>
          </w:p>
        </w:tc>
        <w:tc>
          <w:tcPr>
            <w:tcW w:w="1176" w:type="dxa"/>
            <w:shd w:val="clear" w:color="auto" w:fill="auto"/>
            <w:noWrap/>
            <w:vAlign w:val="center"/>
            <w:hideMark/>
          </w:tcPr>
          <w:p w14:paraId="26519E7B"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1176" w:type="dxa"/>
            <w:shd w:val="clear" w:color="auto" w:fill="auto"/>
            <w:vAlign w:val="center"/>
          </w:tcPr>
          <w:p w14:paraId="05EFCA26" w14:textId="6257C287"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r>
      <w:tr w:rsidR="00E876FB" w:rsidRPr="006C5C10" w14:paraId="79C41626" w14:textId="77777777" w:rsidTr="00186A83">
        <w:trPr>
          <w:trHeight w:val="20"/>
        </w:trPr>
        <w:tc>
          <w:tcPr>
            <w:tcW w:w="1286" w:type="dxa"/>
            <w:shd w:val="clear" w:color="auto" w:fill="auto"/>
            <w:noWrap/>
            <w:vAlign w:val="center"/>
            <w:hideMark/>
          </w:tcPr>
          <w:p w14:paraId="10B66327"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9003-05-8</w:t>
            </w:r>
          </w:p>
        </w:tc>
        <w:tc>
          <w:tcPr>
            <w:tcW w:w="2153" w:type="dxa"/>
            <w:shd w:val="clear" w:color="auto" w:fill="auto"/>
            <w:noWrap/>
            <w:vAlign w:val="center"/>
            <w:hideMark/>
          </w:tcPr>
          <w:p w14:paraId="4006965A"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a</w:t>
            </w:r>
            <w:r w:rsidRPr="00A75C84">
              <w:rPr>
                <w:rFonts w:ascii="Calibri" w:eastAsia="Times New Roman" w:hAnsi="Calibri" w:cs="Times New Roman"/>
                <w:color w:val="000000"/>
                <w:sz w:val="18"/>
                <w:szCs w:val="18"/>
                <w:lang w:eastAsia="en-AU"/>
              </w:rPr>
              <w:t>crylamide polymer</w:t>
            </w:r>
          </w:p>
        </w:tc>
        <w:tc>
          <w:tcPr>
            <w:tcW w:w="1358" w:type="dxa"/>
          </w:tcPr>
          <w:p w14:paraId="40C3ED50" w14:textId="1F9CAAA9"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NR</w:t>
            </w:r>
          </w:p>
        </w:tc>
        <w:tc>
          <w:tcPr>
            <w:tcW w:w="868" w:type="dxa"/>
            <w:shd w:val="clear" w:color="auto" w:fill="auto"/>
            <w:noWrap/>
            <w:vAlign w:val="center"/>
            <w:hideMark/>
          </w:tcPr>
          <w:p w14:paraId="1B889B9C"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993" w:type="dxa"/>
            <w:shd w:val="clear" w:color="auto" w:fill="auto"/>
            <w:vAlign w:val="center"/>
          </w:tcPr>
          <w:p w14:paraId="57C2C399" w14:textId="7C21A10B"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c>
          <w:tcPr>
            <w:tcW w:w="1176" w:type="dxa"/>
            <w:shd w:val="clear" w:color="auto" w:fill="auto"/>
            <w:noWrap/>
            <w:vAlign w:val="center"/>
            <w:hideMark/>
          </w:tcPr>
          <w:p w14:paraId="0A34058D" w14:textId="77777777" w:rsidR="00E876FB" w:rsidRPr="00A75C84" w:rsidRDefault="00E876FB"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1176" w:type="dxa"/>
            <w:shd w:val="clear" w:color="auto" w:fill="auto"/>
            <w:vAlign w:val="center"/>
          </w:tcPr>
          <w:p w14:paraId="65D6BAAB" w14:textId="5BCE983F" w:rsidR="00E876FB"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r>
      <w:tr w:rsidR="004E5C45" w:rsidRPr="006C5C10" w14:paraId="7A58911A" w14:textId="77777777" w:rsidTr="00186A83">
        <w:trPr>
          <w:trHeight w:val="20"/>
        </w:trPr>
        <w:tc>
          <w:tcPr>
            <w:tcW w:w="1286" w:type="dxa"/>
            <w:shd w:val="clear" w:color="auto" w:fill="auto"/>
            <w:noWrap/>
            <w:vAlign w:val="center"/>
          </w:tcPr>
          <w:p w14:paraId="72929C73" w14:textId="77777777" w:rsidR="004E5C45" w:rsidRPr="00A75C84" w:rsidRDefault="004E5C45" w:rsidP="00186A83">
            <w:pPr>
              <w:spacing w:after="0"/>
              <w:jc w:val="center"/>
              <w:rPr>
                <w:rFonts w:eastAsia="Times New Roman" w:cs="Times New Roman"/>
                <w:color w:val="000000"/>
                <w:sz w:val="18"/>
                <w:szCs w:val="18"/>
                <w:lang w:eastAsia="en-AU"/>
              </w:rPr>
            </w:pPr>
            <w:r w:rsidRPr="00A75C84">
              <w:rPr>
                <w:rFonts w:eastAsia="Times New Roman" w:cs="Times New Roman"/>
                <w:color w:val="000000"/>
                <w:sz w:val="18"/>
                <w:szCs w:val="18"/>
                <w:lang w:eastAsia="en-AU"/>
              </w:rPr>
              <w:t>#</w:t>
            </w:r>
          </w:p>
        </w:tc>
        <w:tc>
          <w:tcPr>
            <w:tcW w:w="2153" w:type="dxa"/>
            <w:shd w:val="clear" w:color="auto" w:fill="auto"/>
            <w:noWrap/>
            <w:vAlign w:val="center"/>
          </w:tcPr>
          <w:p w14:paraId="7D88D04D" w14:textId="77777777" w:rsidR="004E5C45" w:rsidRPr="00A75C84" w:rsidRDefault="004E5C45"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b</w:t>
            </w:r>
            <w:r w:rsidRPr="00A75C84">
              <w:rPr>
                <w:rFonts w:ascii="Calibri" w:eastAsia="Times New Roman" w:hAnsi="Calibri" w:cs="Times New Roman"/>
                <w:color w:val="000000"/>
                <w:sz w:val="18"/>
                <w:szCs w:val="18"/>
                <w:lang w:eastAsia="en-AU"/>
              </w:rPr>
              <w:t xml:space="preserve">oron </w:t>
            </w:r>
          </w:p>
          <w:p w14:paraId="04AC02CD" w14:textId="6DF5EE09" w:rsidR="004E5C45" w:rsidRPr="00A75C84" w:rsidRDefault="00DA0171"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w:t>
            </w:r>
            <w:r w:rsidR="004E5C45" w:rsidRPr="00A75C84">
              <w:rPr>
                <w:rFonts w:ascii="Calibri" w:eastAsia="Times New Roman" w:hAnsi="Calibri" w:cs="Times New Roman"/>
                <w:color w:val="000000"/>
                <w:sz w:val="18"/>
                <w:szCs w:val="18"/>
                <w:lang w:eastAsia="en-AU"/>
              </w:rPr>
              <w:t>boric acid, H</w:t>
            </w:r>
            <w:r w:rsidR="004E5C45" w:rsidRPr="00A75C84">
              <w:rPr>
                <w:rFonts w:ascii="Calibri" w:eastAsia="Times New Roman" w:hAnsi="Calibri" w:cs="Times New Roman"/>
                <w:color w:val="000000"/>
                <w:sz w:val="18"/>
                <w:szCs w:val="18"/>
                <w:vertAlign w:val="subscript"/>
                <w:lang w:eastAsia="en-AU"/>
              </w:rPr>
              <w:t>3</w:t>
            </w:r>
            <w:r w:rsidR="004E5C45" w:rsidRPr="00A75C84">
              <w:rPr>
                <w:rFonts w:ascii="Calibri" w:eastAsia="Times New Roman" w:hAnsi="Calibri" w:cs="Times New Roman"/>
                <w:color w:val="000000"/>
                <w:sz w:val="18"/>
                <w:szCs w:val="18"/>
                <w:lang w:eastAsia="en-AU"/>
              </w:rPr>
              <w:t>BO</w:t>
            </w:r>
            <w:r w:rsidR="004E5C45" w:rsidRPr="00A75C84">
              <w:rPr>
                <w:rFonts w:ascii="Calibri" w:eastAsia="Times New Roman" w:hAnsi="Calibri" w:cs="Times New Roman"/>
                <w:color w:val="000000"/>
                <w:sz w:val="18"/>
                <w:szCs w:val="18"/>
                <w:vertAlign w:val="subscript"/>
                <w:lang w:eastAsia="en-AU"/>
              </w:rPr>
              <w:t>3</w:t>
            </w:r>
            <w:r w:rsidR="004E5C45" w:rsidRPr="00A75C84">
              <w:rPr>
                <w:rFonts w:ascii="Calibri" w:eastAsia="Times New Roman" w:hAnsi="Calibri" w:cs="Times New Roman"/>
                <w:color w:val="000000"/>
                <w:sz w:val="18"/>
                <w:szCs w:val="18"/>
                <w:lang w:eastAsia="en-AU"/>
              </w:rPr>
              <w:t xml:space="preserve">) </w:t>
            </w:r>
          </w:p>
        </w:tc>
        <w:tc>
          <w:tcPr>
            <w:tcW w:w="1358" w:type="dxa"/>
          </w:tcPr>
          <w:p w14:paraId="76B2F7FB" w14:textId="3C7B5A81" w:rsidR="004E5C45" w:rsidRPr="00A75C84" w:rsidRDefault="004E5C45" w:rsidP="00FC7487">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216</w:t>
            </w:r>
          </w:p>
        </w:tc>
        <w:tc>
          <w:tcPr>
            <w:tcW w:w="868" w:type="dxa"/>
            <w:shd w:val="clear" w:color="auto" w:fill="auto"/>
            <w:noWrap/>
            <w:vAlign w:val="center"/>
          </w:tcPr>
          <w:p w14:paraId="07047CFC" w14:textId="45CC4C1C" w:rsidR="004E5C45" w:rsidRPr="00A75C84" w:rsidRDefault="004E5C45" w:rsidP="00262E05">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0.83</w:t>
            </w:r>
            <w:r w:rsidR="00262E05" w:rsidRPr="00262E05">
              <w:rPr>
                <w:rFonts w:ascii="Calibri" w:eastAsia="Times New Roman" w:hAnsi="Calibri" w:cs="Times New Roman"/>
                <w:color w:val="000000"/>
                <w:sz w:val="18"/>
                <w:szCs w:val="18"/>
                <w:vertAlign w:val="superscript"/>
                <w:lang w:eastAsia="en-AU"/>
              </w:rPr>
              <w:t>g</w:t>
            </w:r>
          </w:p>
        </w:tc>
        <w:tc>
          <w:tcPr>
            <w:tcW w:w="993" w:type="dxa"/>
            <w:shd w:val="clear" w:color="auto" w:fill="auto"/>
            <w:vAlign w:val="center"/>
          </w:tcPr>
          <w:p w14:paraId="55F42A71" w14:textId="27440F96" w:rsidR="004E5C45" w:rsidRPr="00A75C84" w:rsidRDefault="004E5C45" w:rsidP="00774B85">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260</w:t>
            </w:r>
            <w:r w:rsidR="00262E05" w:rsidRPr="00262E05">
              <w:rPr>
                <w:rFonts w:ascii="Calibri" w:eastAsia="Times New Roman" w:hAnsi="Calibri" w:cs="Times New Roman"/>
                <w:color w:val="000000"/>
                <w:sz w:val="18"/>
                <w:szCs w:val="18"/>
                <w:vertAlign w:val="superscript"/>
                <w:lang w:eastAsia="en-AU"/>
              </w:rPr>
              <w:t>g</w:t>
            </w:r>
            <w:r>
              <w:rPr>
                <w:rFonts w:ascii="Calibri" w:eastAsia="Times New Roman" w:hAnsi="Calibri" w:cs="Times New Roman"/>
                <w:color w:val="000000"/>
                <w:sz w:val="18"/>
                <w:szCs w:val="18"/>
                <w:lang w:eastAsia="en-AU"/>
              </w:rPr>
              <w:t xml:space="preserve"> (45)</w:t>
            </w:r>
            <w:r w:rsidR="00262E05" w:rsidRPr="00262E05">
              <w:rPr>
                <w:rFonts w:ascii="Calibri" w:eastAsia="Times New Roman" w:hAnsi="Calibri" w:cs="Times New Roman"/>
                <w:color w:val="000000"/>
                <w:sz w:val="18"/>
                <w:szCs w:val="18"/>
                <w:vertAlign w:val="superscript"/>
                <w:lang w:eastAsia="en-AU"/>
              </w:rPr>
              <w:t>h</w:t>
            </w:r>
          </w:p>
        </w:tc>
        <w:tc>
          <w:tcPr>
            <w:tcW w:w="1176" w:type="dxa"/>
            <w:shd w:val="clear" w:color="auto" w:fill="auto"/>
            <w:noWrap/>
            <w:vAlign w:val="center"/>
          </w:tcPr>
          <w:p w14:paraId="029488D2" w14:textId="77777777" w:rsidR="004E5C45" w:rsidRPr="00A75C84" w:rsidRDefault="004E5C45"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4</w:t>
            </w:r>
          </w:p>
        </w:tc>
        <w:tc>
          <w:tcPr>
            <w:tcW w:w="1176" w:type="dxa"/>
            <w:shd w:val="clear" w:color="auto" w:fill="auto"/>
            <w:vAlign w:val="center"/>
          </w:tcPr>
          <w:p w14:paraId="130D2531" w14:textId="11CA25BD" w:rsidR="004E5C45" w:rsidRPr="00A75C84" w:rsidRDefault="00E876FB"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54</w:t>
            </w:r>
          </w:p>
        </w:tc>
      </w:tr>
      <w:tr w:rsidR="00C92A1E" w:rsidRPr="006C5C10" w14:paraId="3AD9CEBA" w14:textId="77777777" w:rsidTr="00186A83">
        <w:trPr>
          <w:trHeight w:val="20"/>
        </w:trPr>
        <w:tc>
          <w:tcPr>
            <w:tcW w:w="1286" w:type="dxa"/>
            <w:vMerge w:val="restart"/>
            <w:shd w:val="clear" w:color="auto" w:fill="auto"/>
            <w:noWrap/>
            <w:vAlign w:val="center"/>
            <w:hideMark/>
          </w:tcPr>
          <w:p w14:paraId="32C39D83"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w:t>
            </w:r>
          </w:p>
        </w:tc>
        <w:tc>
          <w:tcPr>
            <w:tcW w:w="2153" w:type="dxa"/>
            <w:vMerge w:val="restart"/>
            <w:shd w:val="clear" w:color="auto" w:fill="auto"/>
            <w:noWrap/>
            <w:vAlign w:val="center"/>
            <w:hideMark/>
          </w:tcPr>
          <w:p w14:paraId="157E893A"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u</w:t>
            </w:r>
            <w:r w:rsidRPr="00A75C84">
              <w:rPr>
                <w:rFonts w:ascii="Calibri" w:eastAsia="Times New Roman" w:hAnsi="Calibri" w:cs="Times New Roman"/>
                <w:color w:val="000000"/>
                <w:sz w:val="18"/>
                <w:szCs w:val="18"/>
                <w:lang w:eastAsia="en-AU"/>
              </w:rPr>
              <w:t>ranium</w:t>
            </w:r>
          </w:p>
        </w:tc>
        <w:tc>
          <w:tcPr>
            <w:tcW w:w="1358" w:type="dxa"/>
            <w:vMerge w:val="restart"/>
          </w:tcPr>
          <w:p w14:paraId="1CB413D1" w14:textId="66AA715C" w:rsidR="00C92A1E" w:rsidRPr="00A75C84" w:rsidRDefault="00C92A1E" w:rsidP="00C92A1E">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0.018</w:t>
            </w:r>
            <w:r w:rsidRPr="00C92A1E">
              <w:rPr>
                <w:rFonts w:ascii="Calibri" w:eastAsia="Times New Roman" w:hAnsi="Calibri" w:cs="Times New Roman"/>
                <w:color w:val="000000"/>
                <w:sz w:val="18"/>
                <w:szCs w:val="18"/>
                <w:vertAlign w:val="superscript"/>
                <w:lang w:eastAsia="en-AU"/>
              </w:rPr>
              <w:t>a</w:t>
            </w:r>
          </w:p>
        </w:tc>
        <w:tc>
          <w:tcPr>
            <w:tcW w:w="868" w:type="dxa"/>
            <w:shd w:val="clear" w:color="auto" w:fill="auto"/>
            <w:noWrap/>
            <w:vAlign w:val="center"/>
            <w:hideMark/>
          </w:tcPr>
          <w:p w14:paraId="0673E223" w14:textId="4AE05F47" w:rsidR="00C92A1E" w:rsidRPr="00A75C84" w:rsidRDefault="00C92A1E" w:rsidP="00774B85">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0.0005</w:t>
            </w:r>
          </w:p>
        </w:tc>
        <w:tc>
          <w:tcPr>
            <w:tcW w:w="993" w:type="dxa"/>
            <w:shd w:val="clear" w:color="auto" w:fill="auto"/>
            <w:vAlign w:val="center"/>
          </w:tcPr>
          <w:p w14:paraId="3263395B" w14:textId="13168500" w:rsidR="00C92A1E" w:rsidRPr="00A75C84" w:rsidRDefault="00C92A1E" w:rsidP="00774B85">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36</w:t>
            </w:r>
          </w:p>
        </w:tc>
        <w:tc>
          <w:tcPr>
            <w:tcW w:w="1176" w:type="dxa"/>
            <w:shd w:val="clear" w:color="auto" w:fill="auto"/>
            <w:noWrap/>
            <w:vAlign w:val="center"/>
            <w:hideMark/>
          </w:tcPr>
          <w:p w14:paraId="3B1BE219"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0.0017</w:t>
            </w:r>
          </w:p>
        </w:tc>
        <w:tc>
          <w:tcPr>
            <w:tcW w:w="1176" w:type="dxa"/>
            <w:shd w:val="clear" w:color="auto" w:fill="auto"/>
            <w:vAlign w:val="center"/>
          </w:tcPr>
          <w:p w14:paraId="239C363F" w14:textId="61F91376"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11</w:t>
            </w:r>
          </w:p>
        </w:tc>
      </w:tr>
      <w:tr w:rsidR="00C92A1E" w:rsidRPr="006C5C10" w14:paraId="25D050AB" w14:textId="77777777" w:rsidTr="00186A83">
        <w:trPr>
          <w:trHeight w:val="20"/>
        </w:trPr>
        <w:tc>
          <w:tcPr>
            <w:tcW w:w="1286" w:type="dxa"/>
            <w:vMerge/>
            <w:shd w:val="clear" w:color="auto" w:fill="auto"/>
            <w:noWrap/>
            <w:vAlign w:val="center"/>
          </w:tcPr>
          <w:p w14:paraId="50DC861E"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p>
        </w:tc>
        <w:tc>
          <w:tcPr>
            <w:tcW w:w="2153" w:type="dxa"/>
            <w:vMerge/>
            <w:shd w:val="clear" w:color="auto" w:fill="auto"/>
            <w:noWrap/>
            <w:vAlign w:val="center"/>
          </w:tcPr>
          <w:p w14:paraId="371210DB"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p>
        </w:tc>
        <w:tc>
          <w:tcPr>
            <w:tcW w:w="1358" w:type="dxa"/>
            <w:vMerge/>
          </w:tcPr>
          <w:p w14:paraId="2CE88A15" w14:textId="5538AEBD" w:rsidR="00C92A1E" w:rsidRPr="00A75C84" w:rsidRDefault="00C92A1E" w:rsidP="00774B85">
            <w:pPr>
              <w:spacing w:after="0"/>
              <w:jc w:val="center"/>
              <w:rPr>
                <w:rFonts w:ascii="Calibri" w:eastAsia="Times New Roman" w:hAnsi="Calibri" w:cs="Times New Roman"/>
                <w:color w:val="000000"/>
                <w:sz w:val="18"/>
                <w:szCs w:val="18"/>
                <w:lang w:eastAsia="en-AU"/>
              </w:rPr>
            </w:pPr>
          </w:p>
        </w:tc>
        <w:tc>
          <w:tcPr>
            <w:tcW w:w="868" w:type="dxa"/>
            <w:shd w:val="clear" w:color="auto" w:fill="auto"/>
            <w:noWrap/>
            <w:vAlign w:val="center"/>
          </w:tcPr>
          <w:p w14:paraId="14D2BC7C" w14:textId="4368F76B" w:rsidR="00C92A1E" w:rsidRPr="00A75C84" w:rsidRDefault="00C92A1E" w:rsidP="00774B85">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0.015</w:t>
            </w:r>
          </w:p>
        </w:tc>
        <w:tc>
          <w:tcPr>
            <w:tcW w:w="993" w:type="dxa"/>
            <w:shd w:val="clear" w:color="auto" w:fill="auto"/>
            <w:vAlign w:val="center"/>
          </w:tcPr>
          <w:p w14:paraId="4B1D60DF" w14:textId="25CDC346" w:rsidR="00C92A1E" w:rsidRPr="00A75C84" w:rsidRDefault="00C92A1E" w:rsidP="00774B85">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1.2</w:t>
            </w:r>
          </w:p>
        </w:tc>
        <w:tc>
          <w:tcPr>
            <w:tcW w:w="1176" w:type="dxa"/>
            <w:shd w:val="clear" w:color="auto" w:fill="auto"/>
            <w:noWrap/>
            <w:vAlign w:val="center"/>
          </w:tcPr>
          <w:p w14:paraId="1A605AD8"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NR</w:t>
            </w:r>
            <w:r w:rsidRPr="00A75C84">
              <w:rPr>
                <w:rFonts w:ascii="Calibri" w:eastAsia="Times New Roman" w:hAnsi="Calibri" w:cs="Times New Roman"/>
                <w:color w:val="000000"/>
                <w:sz w:val="18"/>
                <w:szCs w:val="18"/>
                <w:lang w:eastAsia="en-AU"/>
              </w:rPr>
              <w:t xml:space="preserve"> </w:t>
            </w:r>
          </w:p>
        </w:tc>
        <w:tc>
          <w:tcPr>
            <w:tcW w:w="1176" w:type="dxa"/>
            <w:shd w:val="clear" w:color="auto" w:fill="auto"/>
            <w:vAlign w:val="center"/>
          </w:tcPr>
          <w:p w14:paraId="411A3782" w14:textId="7D89DCAB"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r>
      <w:tr w:rsidR="00C92A1E" w:rsidRPr="006C5C10" w14:paraId="59C2A7FE" w14:textId="77777777" w:rsidTr="00C92A1E">
        <w:trPr>
          <w:trHeight w:val="20"/>
        </w:trPr>
        <w:tc>
          <w:tcPr>
            <w:tcW w:w="1286" w:type="dxa"/>
            <w:shd w:val="clear" w:color="auto" w:fill="auto"/>
            <w:noWrap/>
            <w:vAlign w:val="center"/>
            <w:hideMark/>
          </w:tcPr>
          <w:p w14:paraId="43B36CD0"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w:t>
            </w:r>
          </w:p>
        </w:tc>
        <w:tc>
          <w:tcPr>
            <w:tcW w:w="2153" w:type="dxa"/>
            <w:shd w:val="clear" w:color="auto" w:fill="auto"/>
            <w:noWrap/>
            <w:vAlign w:val="center"/>
            <w:hideMark/>
          </w:tcPr>
          <w:p w14:paraId="55624659"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b</w:t>
            </w:r>
            <w:r w:rsidRPr="00A75C84">
              <w:rPr>
                <w:rFonts w:ascii="Calibri" w:eastAsia="Times New Roman" w:hAnsi="Calibri" w:cs="Times New Roman"/>
                <w:color w:val="000000"/>
                <w:sz w:val="18"/>
                <w:szCs w:val="18"/>
                <w:lang w:eastAsia="en-AU"/>
              </w:rPr>
              <w:t>arium</w:t>
            </w:r>
          </w:p>
        </w:tc>
        <w:tc>
          <w:tcPr>
            <w:tcW w:w="1358" w:type="dxa"/>
          </w:tcPr>
          <w:p w14:paraId="31A15F6B" w14:textId="7AB69FCB" w:rsidR="00C92A1E" w:rsidRPr="00A75C84" w:rsidRDefault="0043628D"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1.1</w:t>
            </w:r>
            <w:r w:rsidRPr="0043628D">
              <w:rPr>
                <w:rFonts w:ascii="Calibri" w:eastAsia="Times New Roman" w:hAnsi="Calibri" w:cs="Times New Roman"/>
                <w:color w:val="000000"/>
                <w:sz w:val="18"/>
                <w:szCs w:val="18"/>
                <w:vertAlign w:val="superscript"/>
                <w:lang w:eastAsia="en-AU"/>
              </w:rPr>
              <w:t>a</w:t>
            </w:r>
          </w:p>
        </w:tc>
        <w:tc>
          <w:tcPr>
            <w:tcW w:w="868" w:type="dxa"/>
            <w:shd w:val="clear" w:color="auto" w:fill="auto"/>
            <w:noWrap/>
            <w:vAlign w:val="center"/>
            <w:hideMark/>
          </w:tcPr>
          <w:p w14:paraId="6165EC70"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NR</w:t>
            </w:r>
          </w:p>
        </w:tc>
        <w:tc>
          <w:tcPr>
            <w:tcW w:w="993" w:type="dxa"/>
            <w:shd w:val="clear" w:color="auto" w:fill="auto"/>
            <w:vAlign w:val="center"/>
          </w:tcPr>
          <w:p w14:paraId="3631958E" w14:textId="1E2C6A84"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c>
          <w:tcPr>
            <w:tcW w:w="1176" w:type="dxa"/>
            <w:shd w:val="clear" w:color="auto" w:fill="auto"/>
            <w:noWrap/>
            <w:vAlign w:val="center"/>
            <w:hideMark/>
          </w:tcPr>
          <w:p w14:paraId="30667E0F"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2</w:t>
            </w:r>
          </w:p>
        </w:tc>
        <w:tc>
          <w:tcPr>
            <w:tcW w:w="1176" w:type="dxa"/>
            <w:shd w:val="clear" w:color="auto" w:fill="auto"/>
            <w:vAlign w:val="center"/>
          </w:tcPr>
          <w:p w14:paraId="27433E88" w14:textId="3A4E4A10" w:rsidR="00C92A1E" w:rsidRPr="00A75C84" w:rsidRDefault="0043628D"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0.6</w:t>
            </w:r>
          </w:p>
        </w:tc>
      </w:tr>
      <w:tr w:rsidR="00C92A1E" w:rsidRPr="003B3AB5" w14:paraId="40452359" w14:textId="77777777" w:rsidTr="00C92A1E">
        <w:trPr>
          <w:trHeight w:val="157"/>
        </w:trPr>
        <w:tc>
          <w:tcPr>
            <w:tcW w:w="1286" w:type="dxa"/>
            <w:vMerge w:val="restart"/>
            <w:shd w:val="clear" w:color="auto" w:fill="auto"/>
            <w:noWrap/>
            <w:vAlign w:val="center"/>
            <w:hideMark/>
          </w:tcPr>
          <w:p w14:paraId="1BB3AB25"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w:t>
            </w:r>
          </w:p>
        </w:tc>
        <w:tc>
          <w:tcPr>
            <w:tcW w:w="2153" w:type="dxa"/>
            <w:vMerge w:val="restart"/>
            <w:shd w:val="clear" w:color="auto" w:fill="auto"/>
            <w:noWrap/>
            <w:vAlign w:val="center"/>
            <w:hideMark/>
          </w:tcPr>
          <w:p w14:paraId="56B9652F"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a</w:t>
            </w:r>
            <w:r w:rsidRPr="00A75C84">
              <w:rPr>
                <w:rFonts w:ascii="Calibri" w:eastAsia="Times New Roman" w:hAnsi="Calibri" w:cs="Times New Roman"/>
                <w:color w:val="000000"/>
                <w:sz w:val="18"/>
                <w:szCs w:val="18"/>
                <w:lang w:eastAsia="en-AU"/>
              </w:rPr>
              <w:t>rsenic</w:t>
            </w:r>
          </w:p>
        </w:tc>
        <w:tc>
          <w:tcPr>
            <w:tcW w:w="1358" w:type="dxa"/>
            <w:vMerge w:val="restart"/>
          </w:tcPr>
          <w:p w14:paraId="3AD7BF7A" w14:textId="7D775951"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0.023</w:t>
            </w:r>
            <w:r w:rsidRPr="00C92A1E">
              <w:rPr>
                <w:rFonts w:ascii="Calibri" w:eastAsia="Times New Roman" w:hAnsi="Calibri" w:cs="Times New Roman"/>
                <w:color w:val="000000"/>
                <w:sz w:val="18"/>
                <w:szCs w:val="18"/>
                <w:vertAlign w:val="superscript"/>
                <w:lang w:eastAsia="en-AU"/>
              </w:rPr>
              <w:t>a</w:t>
            </w:r>
          </w:p>
        </w:tc>
        <w:tc>
          <w:tcPr>
            <w:tcW w:w="868" w:type="dxa"/>
            <w:shd w:val="clear" w:color="auto" w:fill="auto"/>
            <w:noWrap/>
            <w:vAlign w:val="center"/>
            <w:hideMark/>
          </w:tcPr>
          <w:p w14:paraId="56989CCC" w14:textId="0899C8F3" w:rsidR="00C92A1E" w:rsidRPr="00A75C84" w:rsidRDefault="00C92A1E" w:rsidP="00C92A1E">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0.013 – As(V)</w:t>
            </w:r>
            <w:r w:rsidR="00E25A0A" w:rsidRPr="00E25A0A">
              <w:rPr>
                <w:rFonts w:ascii="Calibri" w:eastAsia="Times New Roman" w:hAnsi="Calibri" w:cs="Times New Roman"/>
                <w:color w:val="000000"/>
                <w:sz w:val="18"/>
                <w:szCs w:val="18"/>
                <w:vertAlign w:val="superscript"/>
                <w:lang w:eastAsia="en-AU"/>
              </w:rPr>
              <w:t>e</w:t>
            </w:r>
          </w:p>
        </w:tc>
        <w:tc>
          <w:tcPr>
            <w:tcW w:w="993" w:type="dxa"/>
            <w:shd w:val="clear" w:color="auto" w:fill="auto"/>
            <w:vAlign w:val="center"/>
          </w:tcPr>
          <w:p w14:paraId="39B8E8C8" w14:textId="00256A71" w:rsidR="00C92A1E" w:rsidRPr="00A75C84" w:rsidRDefault="00C92A1E" w:rsidP="00C92A1E">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2</w:t>
            </w:r>
          </w:p>
        </w:tc>
        <w:tc>
          <w:tcPr>
            <w:tcW w:w="1176" w:type="dxa"/>
            <w:shd w:val="clear" w:color="auto" w:fill="auto"/>
            <w:noWrap/>
            <w:vAlign w:val="center"/>
            <w:hideMark/>
          </w:tcPr>
          <w:p w14:paraId="3D0D2813"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0.01</w:t>
            </w:r>
          </w:p>
        </w:tc>
        <w:tc>
          <w:tcPr>
            <w:tcW w:w="1176" w:type="dxa"/>
            <w:shd w:val="clear" w:color="auto" w:fill="auto"/>
            <w:vAlign w:val="center"/>
          </w:tcPr>
          <w:p w14:paraId="05C70CDD" w14:textId="320B7AEB"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2.3</w:t>
            </w:r>
          </w:p>
        </w:tc>
      </w:tr>
      <w:tr w:rsidR="00C92A1E" w:rsidRPr="003B3AB5" w14:paraId="500095F3" w14:textId="77777777" w:rsidTr="00C92A1E">
        <w:trPr>
          <w:trHeight w:val="157"/>
        </w:trPr>
        <w:tc>
          <w:tcPr>
            <w:tcW w:w="1286" w:type="dxa"/>
            <w:vMerge/>
            <w:shd w:val="clear" w:color="auto" w:fill="auto"/>
            <w:noWrap/>
            <w:vAlign w:val="center"/>
          </w:tcPr>
          <w:p w14:paraId="63B28E71"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p>
        </w:tc>
        <w:tc>
          <w:tcPr>
            <w:tcW w:w="2153" w:type="dxa"/>
            <w:vMerge/>
            <w:shd w:val="clear" w:color="auto" w:fill="auto"/>
            <w:noWrap/>
            <w:vAlign w:val="center"/>
          </w:tcPr>
          <w:p w14:paraId="540F6EEC" w14:textId="77777777" w:rsidR="00C92A1E" w:rsidRDefault="00C92A1E" w:rsidP="00186A83">
            <w:pPr>
              <w:spacing w:after="0"/>
              <w:jc w:val="center"/>
              <w:rPr>
                <w:rFonts w:ascii="Calibri" w:eastAsia="Times New Roman" w:hAnsi="Calibri" w:cs="Times New Roman"/>
                <w:color w:val="000000"/>
                <w:sz w:val="18"/>
                <w:szCs w:val="18"/>
                <w:lang w:eastAsia="en-AU"/>
              </w:rPr>
            </w:pPr>
          </w:p>
        </w:tc>
        <w:tc>
          <w:tcPr>
            <w:tcW w:w="1358" w:type="dxa"/>
            <w:vMerge/>
          </w:tcPr>
          <w:p w14:paraId="6F1F46D2" w14:textId="77777777" w:rsidR="00C92A1E" w:rsidRPr="00A75C84" w:rsidRDefault="00C92A1E" w:rsidP="00186A83">
            <w:pPr>
              <w:spacing w:after="0"/>
              <w:jc w:val="center"/>
              <w:rPr>
                <w:rFonts w:ascii="Calibri" w:eastAsia="Times New Roman" w:hAnsi="Calibri" w:cs="Times New Roman"/>
                <w:color w:val="000000"/>
                <w:sz w:val="18"/>
                <w:szCs w:val="18"/>
                <w:lang w:eastAsia="en-AU"/>
              </w:rPr>
            </w:pPr>
          </w:p>
        </w:tc>
        <w:tc>
          <w:tcPr>
            <w:tcW w:w="868" w:type="dxa"/>
            <w:shd w:val="clear" w:color="auto" w:fill="auto"/>
            <w:noWrap/>
            <w:vAlign w:val="center"/>
          </w:tcPr>
          <w:p w14:paraId="734DC378" w14:textId="4F896B80" w:rsidR="00C92A1E" w:rsidRPr="00A75C84" w:rsidRDefault="00C92A1E" w:rsidP="00186A83">
            <w:pPr>
              <w:spacing w:after="0"/>
              <w:jc w:val="center"/>
              <w:rPr>
                <w:rFonts w:ascii="Calibri" w:eastAsia="Times New Roman" w:hAnsi="Calibri" w:cs="Times New Roman"/>
                <w:color w:val="000000"/>
                <w:sz w:val="18"/>
                <w:szCs w:val="18"/>
                <w:lang w:eastAsia="en-AU"/>
              </w:rPr>
            </w:pPr>
            <w:r w:rsidRPr="00A75C84">
              <w:rPr>
                <w:rFonts w:ascii="Calibri" w:eastAsia="Times New Roman" w:hAnsi="Calibri" w:cs="Times New Roman"/>
                <w:color w:val="000000"/>
                <w:sz w:val="18"/>
                <w:szCs w:val="18"/>
                <w:lang w:eastAsia="en-AU"/>
              </w:rPr>
              <w:t>0.024 – As(III)</w:t>
            </w:r>
            <w:r w:rsidR="00E25A0A" w:rsidRPr="00E25A0A">
              <w:rPr>
                <w:rFonts w:ascii="Calibri" w:eastAsia="Times New Roman" w:hAnsi="Calibri" w:cs="Times New Roman"/>
                <w:color w:val="000000"/>
                <w:sz w:val="18"/>
                <w:szCs w:val="18"/>
                <w:vertAlign w:val="superscript"/>
                <w:lang w:eastAsia="en-AU"/>
              </w:rPr>
              <w:t>e</w:t>
            </w:r>
          </w:p>
        </w:tc>
        <w:tc>
          <w:tcPr>
            <w:tcW w:w="993" w:type="dxa"/>
            <w:shd w:val="clear" w:color="auto" w:fill="auto"/>
            <w:vAlign w:val="center"/>
          </w:tcPr>
          <w:p w14:paraId="1DECE67E" w14:textId="7239E4CD"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1</w:t>
            </w:r>
          </w:p>
        </w:tc>
        <w:tc>
          <w:tcPr>
            <w:tcW w:w="1176" w:type="dxa"/>
            <w:shd w:val="clear" w:color="auto" w:fill="auto"/>
            <w:noWrap/>
            <w:vAlign w:val="center"/>
          </w:tcPr>
          <w:p w14:paraId="24534186" w14:textId="621C496E"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NR</w:t>
            </w:r>
          </w:p>
        </w:tc>
        <w:tc>
          <w:tcPr>
            <w:tcW w:w="1176" w:type="dxa"/>
            <w:shd w:val="clear" w:color="auto" w:fill="auto"/>
            <w:vAlign w:val="center"/>
          </w:tcPr>
          <w:p w14:paraId="29056BAD" w14:textId="1F3F7FF3" w:rsidR="00C92A1E" w:rsidRPr="00A75C84" w:rsidRDefault="00C92A1E" w:rsidP="00186A83">
            <w:pPr>
              <w:spacing w:after="0"/>
              <w:jc w:val="center"/>
              <w:rPr>
                <w:rFonts w:ascii="Calibri" w:eastAsia="Times New Roman" w:hAnsi="Calibri" w:cs="Times New Roman"/>
                <w:color w:val="000000"/>
                <w:sz w:val="18"/>
                <w:szCs w:val="18"/>
                <w:lang w:eastAsia="en-AU"/>
              </w:rPr>
            </w:pPr>
            <w:r>
              <w:rPr>
                <w:rFonts w:ascii="Calibri" w:eastAsia="Times New Roman" w:hAnsi="Calibri" w:cs="Times New Roman"/>
                <w:color w:val="000000"/>
                <w:sz w:val="18"/>
                <w:szCs w:val="18"/>
                <w:lang w:eastAsia="en-AU"/>
              </w:rPr>
              <w:t>NC</w:t>
            </w:r>
          </w:p>
        </w:tc>
      </w:tr>
    </w:tbl>
    <w:p w14:paraId="5E778CBE" w14:textId="2D850CF1" w:rsidR="00073163" w:rsidRDefault="00073163" w:rsidP="004E5C45">
      <w:pPr>
        <w:pStyle w:val="Body"/>
        <w:spacing w:line="200" w:lineRule="atLeast"/>
      </w:pPr>
      <w:r w:rsidRPr="00073163">
        <w:rPr>
          <w:vertAlign w:val="superscript"/>
        </w:rPr>
        <w:t>a</w:t>
      </w:r>
      <w:r>
        <w:t xml:space="preserve"> </w:t>
      </w:r>
      <w:r w:rsidR="00C92A1E" w:rsidRPr="00117D8A">
        <w:t>pH</w:t>
      </w:r>
      <w:r w:rsidR="00C92A1E">
        <w:t> </w:t>
      </w:r>
      <w:r w:rsidR="00C92A1E" w:rsidRPr="00117D8A">
        <w:t xml:space="preserve">7 leach test </w:t>
      </w:r>
      <w:r w:rsidR="00E34EB3">
        <w:t xml:space="preserve">on coal samples </w:t>
      </w:r>
      <w:r w:rsidR="00C92A1E" w:rsidRPr="00117D8A">
        <w:t>(citrate added</w:t>
      </w:r>
      <w:r w:rsidR="0043628D">
        <w:t xml:space="preserve">, a </w:t>
      </w:r>
      <w:r w:rsidR="0043628D" w:rsidRPr="00500250">
        <w:t>common constituent of hydraulic fracturing fluids</w:t>
      </w:r>
      <w:r w:rsidR="00C92A1E" w:rsidRPr="00117D8A">
        <w:t xml:space="preserve">): </w:t>
      </w:r>
      <w:r>
        <w:t>Apte et al. (201</w:t>
      </w:r>
      <w:r w:rsidR="003D4440">
        <w:t>7a</w:t>
      </w:r>
      <w:r>
        <w:t>)</w:t>
      </w:r>
      <w:r w:rsidR="004E5C45">
        <w:t xml:space="preserve">; </w:t>
      </w:r>
      <w:r w:rsidRPr="004E5C45">
        <w:rPr>
          <w:vertAlign w:val="superscript"/>
        </w:rPr>
        <w:t>b</w:t>
      </w:r>
      <w:r>
        <w:t xml:space="preserve"> Santos </w:t>
      </w:r>
      <w:r w:rsidR="00E876FB">
        <w:t>(</w:t>
      </w:r>
      <w:r>
        <w:t>2014</w:t>
      </w:r>
      <w:r w:rsidR="00E876FB">
        <w:t>)</w:t>
      </w:r>
      <w:r w:rsidR="004E5C45">
        <w:t xml:space="preserve">; </w:t>
      </w:r>
      <w:r w:rsidRPr="004E5C45">
        <w:rPr>
          <w:vertAlign w:val="superscript"/>
        </w:rPr>
        <w:t>c</w:t>
      </w:r>
      <w:r>
        <w:t xml:space="preserve"> </w:t>
      </w:r>
      <w:r w:rsidR="00E34EB3">
        <w:t>NICNAS (201</w:t>
      </w:r>
      <w:r w:rsidR="003D4440">
        <w:t>7c</w:t>
      </w:r>
      <w:r w:rsidR="00E876FB">
        <w:t>)</w:t>
      </w:r>
      <w:r w:rsidR="004E5C45">
        <w:t xml:space="preserve">; </w:t>
      </w:r>
      <w:r w:rsidRPr="004E5C45">
        <w:rPr>
          <w:vertAlign w:val="superscript"/>
        </w:rPr>
        <w:t>d</w:t>
      </w:r>
      <w:r>
        <w:t xml:space="preserve"> Coordinator General </w:t>
      </w:r>
      <w:r w:rsidR="00E876FB">
        <w:t>(</w:t>
      </w:r>
      <w:r>
        <w:t>2010</w:t>
      </w:r>
      <w:r w:rsidR="00E876FB">
        <w:t>)</w:t>
      </w:r>
      <w:r w:rsidR="00E25A0A">
        <w:t xml:space="preserve">; </w:t>
      </w:r>
      <w:r w:rsidR="00E25A0A" w:rsidRPr="00E25A0A">
        <w:rPr>
          <w:vertAlign w:val="superscript"/>
        </w:rPr>
        <w:t>e</w:t>
      </w:r>
      <w:r w:rsidR="00E25A0A">
        <w:t xml:space="preserve"> high reliability (ANZECC/ARMCANZ 2000); </w:t>
      </w:r>
      <w:r w:rsidR="00E25A0A" w:rsidRPr="00E25A0A">
        <w:rPr>
          <w:vertAlign w:val="superscript"/>
        </w:rPr>
        <w:t>f</w:t>
      </w:r>
      <w:r w:rsidR="00E25A0A">
        <w:t xml:space="preserve"> (DoEE 201</w:t>
      </w:r>
      <w:r w:rsidR="003D4440">
        <w:t>7b</w:t>
      </w:r>
      <w:r w:rsidR="00E25A0A">
        <w:t>)</w:t>
      </w:r>
      <w:r w:rsidR="00262E05">
        <w:t xml:space="preserve">; </w:t>
      </w:r>
      <w:r w:rsidR="00262E05" w:rsidRPr="00262E05">
        <w:rPr>
          <w:vertAlign w:val="superscript"/>
        </w:rPr>
        <w:t>g</w:t>
      </w:r>
      <w:r w:rsidR="00262E05" w:rsidRPr="00262E05">
        <w:t xml:space="preserve"> for B (boron); </w:t>
      </w:r>
      <w:r w:rsidR="00262E05" w:rsidRPr="00262E05">
        <w:rPr>
          <w:vertAlign w:val="superscript"/>
        </w:rPr>
        <w:t>h</w:t>
      </w:r>
      <w:r w:rsidR="00262E05" w:rsidRPr="00262E05">
        <w:t xml:space="preserve"> for boric acid (=260/(61.8/10.8))</w:t>
      </w:r>
      <w:r w:rsidR="00B93863">
        <w:t xml:space="preserve">; </w:t>
      </w:r>
      <w:r w:rsidR="00B93863" w:rsidRPr="008B1802">
        <w:rPr>
          <w:vertAlign w:val="superscript"/>
        </w:rPr>
        <w:t>i</w:t>
      </w:r>
      <w:r w:rsidR="00120638" w:rsidRPr="00120638">
        <w:t xml:space="preserve"> </w:t>
      </w:r>
      <w:r w:rsidR="00120638" w:rsidRPr="00E6110F">
        <w:t xml:space="preserve">Stearman et al. </w:t>
      </w:r>
      <w:r w:rsidR="00120638">
        <w:t>(</w:t>
      </w:r>
      <w:r w:rsidR="00120638" w:rsidRPr="00E6110F">
        <w:t>2014</w:t>
      </w:r>
      <w:r w:rsidR="00120638">
        <w:t>).</w:t>
      </w:r>
      <w:r w:rsidR="00262E05">
        <w:t xml:space="preserve"> </w:t>
      </w:r>
    </w:p>
    <w:p w14:paraId="5946DFA9" w14:textId="34541E48" w:rsidR="00DA0171" w:rsidRDefault="00DA0171" w:rsidP="00DA0171">
      <w:pPr>
        <w:pStyle w:val="Body"/>
      </w:pPr>
      <w:r>
        <w:t xml:space="preserve">The largest required DAF value for ecosystem protection, using data from </w:t>
      </w:r>
      <w:r>
        <w:fldChar w:fldCharType="begin" w:fldLock="1"/>
      </w:r>
      <w:r>
        <w:instrText xml:space="preserve"> REF _Ref467853174 \h  \* MERGEFORMAT </w:instrText>
      </w:r>
      <w:r>
        <w:fldChar w:fldCharType="separate"/>
      </w:r>
      <w:r w:rsidR="00335E79" w:rsidRPr="00D976C8">
        <w:t xml:space="preserve">Table </w:t>
      </w:r>
      <w:r w:rsidR="00335E79">
        <w:t>5</w:t>
      </w:r>
      <w:r w:rsidR="00335E79">
        <w:noBreakHyphen/>
        <w:t>24</w:t>
      </w:r>
      <w:r>
        <w:fldChar w:fldCharType="end"/>
      </w:r>
      <w:r>
        <w:t>, is approximately 2,500,000 (for h</w:t>
      </w:r>
      <w:r w:rsidRPr="00E73D3B">
        <w:rPr>
          <w:rFonts w:eastAsia="Times New Roman" w:cs="Times New Roman"/>
          <w:lang w:val="en-AU" w:eastAsia="en-AU"/>
        </w:rPr>
        <w:t>ypochlorous acid, sodium salt</w:t>
      </w:r>
      <w:r>
        <w:rPr>
          <w:rFonts w:eastAsia="Times New Roman" w:cs="Times New Roman"/>
          <w:lang w:val="en-AU" w:eastAsia="en-AU"/>
        </w:rPr>
        <w:t>)</w:t>
      </w:r>
      <w:r>
        <w:t>. The next largest DAF value is approximately 600,000 (for carbonic acid</w:t>
      </w:r>
      <w:r w:rsidR="00F20278">
        <w:t>,</w:t>
      </w:r>
      <w:r>
        <w:t xml:space="preserve"> sodium</w:t>
      </w:r>
      <w:r w:rsidR="00F20278">
        <w:t xml:space="preserve"> salt</w:t>
      </w:r>
      <w:r>
        <w:t xml:space="preserve">). All other DAF values are smaller or much smaller. When only attenuation due to dilution and dispersion is considered, a condition which would be relevant for non-degrading organic compounds and inorganic chemicals, the minimum DAF value of around 900 was obtained for a travel distance of 0.5 km, while a </w:t>
      </w:r>
      <w:r w:rsidRPr="0026538F">
        <w:t>DAF = 4,</w:t>
      </w:r>
      <w:r>
        <w:t>8</w:t>
      </w:r>
      <w:r w:rsidRPr="0026538F">
        <w:t>50</w:t>
      </w:r>
      <w:r>
        <w:t xml:space="preserve"> was obtained for a 1.5 km travel distance, and DAF = 13</w:t>
      </w:r>
      <w:r w:rsidRPr="0026538F">
        <w:t>,</w:t>
      </w:r>
      <w:r>
        <w:t>8</w:t>
      </w:r>
      <w:r w:rsidRPr="0026538F">
        <w:t>00 for a 3 km</w:t>
      </w:r>
      <w:r>
        <w:t xml:space="preserve"> travel distance (based on </w:t>
      </w:r>
      <w:r>
        <w:fldChar w:fldCharType="begin" w:fldLock="1"/>
      </w:r>
      <w:r>
        <w:instrText xml:space="preserve"> REF _Ref468263363 \h  \* MERGEFORMAT </w:instrText>
      </w:r>
      <w:r>
        <w:fldChar w:fldCharType="separate"/>
      </w:r>
      <w:r w:rsidR="00335E79" w:rsidRPr="00F045B7">
        <w:t xml:space="preserve">Table </w:t>
      </w:r>
      <w:r w:rsidR="00335E79">
        <w:t>5</w:t>
      </w:r>
      <w:r w:rsidR="00335E79">
        <w:noBreakHyphen/>
        <w:t>26</w:t>
      </w:r>
      <w:r>
        <w:fldChar w:fldCharType="end"/>
      </w:r>
      <w:r>
        <w:t xml:space="preserve">). The evidence from </w:t>
      </w:r>
      <w:r>
        <w:fldChar w:fldCharType="begin" w:fldLock="1"/>
      </w:r>
      <w:r>
        <w:instrText xml:space="preserve"> REF _Ref467853174 \h  \* MERGEFORMAT </w:instrText>
      </w:r>
      <w:r>
        <w:fldChar w:fldCharType="separate"/>
      </w:r>
      <w:r w:rsidR="00335E79" w:rsidRPr="00D976C8">
        <w:t xml:space="preserve">Table </w:t>
      </w:r>
      <w:r w:rsidR="00335E79">
        <w:t>5</w:t>
      </w:r>
      <w:r w:rsidR="00335E79">
        <w:noBreakHyphen/>
        <w:t>24</w:t>
      </w:r>
      <w:r>
        <w:fldChar w:fldCharType="end"/>
      </w:r>
      <w:r>
        <w:t xml:space="preserve"> shows that for most chemicals sufficiently large dilution values would be obtained to meet the requirement RQ &lt; 1, within a travel distance of around 1 km</w:t>
      </w:r>
      <w:r w:rsidR="00F20278">
        <w:t>, even without taking dilution within the receiving waterbody into account</w:t>
      </w:r>
      <w:r>
        <w:t xml:space="preserve">. Such information may be used to derive setback distances beyond which one may reasonably assume the combined attenuation processes would result in concentrations of hydraulic fracturing chemicals that would not cause a negative impact on human health and the environment. </w:t>
      </w:r>
    </w:p>
    <w:p w14:paraId="1DB83654" w14:textId="77777777" w:rsidR="00A93085" w:rsidRDefault="00A93085" w:rsidP="00D976C8">
      <w:pPr>
        <w:pStyle w:val="Imagecaption"/>
        <w:keepNext/>
        <w:pBdr>
          <w:top w:val="none" w:sz="0" w:space="0" w:color="auto"/>
        </w:pBdr>
      </w:pPr>
    </w:p>
    <w:p w14:paraId="0F68DC3D" w14:textId="1CF96D0D" w:rsidR="00E73D3B" w:rsidRPr="00D976C8" w:rsidRDefault="00E6320B" w:rsidP="00D976C8">
      <w:pPr>
        <w:pStyle w:val="Imagecaption"/>
        <w:keepNext/>
        <w:pBdr>
          <w:top w:val="none" w:sz="0" w:space="0" w:color="auto"/>
        </w:pBdr>
      </w:pPr>
      <w:bookmarkStart w:id="743" w:name="_Ref467853174"/>
      <w:bookmarkStart w:id="744" w:name="_Toc494444752"/>
      <w:r w:rsidRPr="00D976C8">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24</w:t>
      </w:r>
      <w:r w:rsidR="00470577">
        <w:fldChar w:fldCharType="end"/>
      </w:r>
      <w:bookmarkEnd w:id="743"/>
      <w:r w:rsidRPr="00D976C8">
        <w:t xml:space="preserve"> Selection of hydraulic fracturing chemicals with previously estimated concentrations prior to injection </w:t>
      </w:r>
      <w:r w:rsidR="00712F52" w:rsidRPr="00D976C8">
        <w:t xml:space="preserve">– CPI </w:t>
      </w:r>
      <w:r w:rsidRPr="00D976C8">
        <w:t>(NICNAS 201</w:t>
      </w:r>
      <w:r w:rsidR="003D4440">
        <w:t>7c</w:t>
      </w:r>
      <w:r w:rsidRPr="00D976C8">
        <w:t xml:space="preserve">) and PNEC </w:t>
      </w:r>
      <w:r w:rsidR="00E71864" w:rsidRPr="00D976C8">
        <w:t xml:space="preserve">values for </w:t>
      </w:r>
      <w:r w:rsidR="00774B85" w:rsidRPr="00D976C8">
        <w:t xml:space="preserve">aquatic </w:t>
      </w:r>
      <w:r w:rsidR="00E71864" w:rsidRPr="00D976C8">
        <w:t xml:space="preserve">ecosystem protection </w:t>
      </w:r>
      <w:r w:rsidRPr="00D976C8">
        <w:t>(DoE</w:t>
      </w:r>
      <w:r w:rsidR="00527149" w:rsidRPr="00D976C8">
        <w:t>E</w:t>
      </w:r>
      <w:r w:rsidRPr="00D976C8">
        <w:t xml:space="preserve"> 201</w:t>
      </w:r>
      <w:r w:rsidR="003D4440">
        <w:t>7b</w:t>
      </w:r>
      <w:r w:rsidRPr="00D976C8">
        <w:t xml:space="preserve">). Minimum Dilution Attenuation Factor (DAF) was calculated as </w:t>
      </w:r>
      <w:r w:rsidR="00712F52" w:rsidRPr="00D976C8">
        <w:t>CPI</w:t>
      </w:r>
      <w:r w:rsidRPr="00D976C8">
        <w:t>/PNEC</w:t>
      </w:r>
      <w:r w:rsidR="00712F52" w:rsidRPr="00D976C8">
        <w:t>.</w:t>
      </w:r>
      <w:r w:rsidR="00450CED" w:rsidRPr="00D976C8">
        <w:t xml:space="preserve"> </w:t>
      </w:r>
      <w:r w:rsidR="00450CED" w:rsidRPr="001F5949">
        <w:rPr>
          <w:vertAlign w:val="superscript"/>
        </w:rPr>
        <w:t>#</w:t>
      </w:r>
      <w:r w:rsidR="00450CED" w:rsidRPr="00D976C8">
        <w:t>Na</w:t>
      </w:r>
      <w:r w:rsidR="00450CED" w:rsidRPr="001F5949">
        <w:rPr>
          <w:vertAlign w:val="subscript"/>
        </w:rPr>
        <w:t>2</w:t>
      </w:r>
      <w:r w:rsidR="00450CED" w:rsidRPr="00D976C8">
        <w:t>CO</w:t>
      </w:r>
      <w:r w:rsidR="00450CED" w:rsidRPr="001F5949">
        <w:rPr>
          <w:vertAlign w:val="subscript"/>
        </w:rPr>
        <w:t>3</w:t>
      </w:r>
      <w:r w:rsidR="00450CED" w:rsidRPr="00D976C8">
        <w:t xml:space="preserve"> - Alternative names: sodium carbonate, soda ash: when dissolved in water, it forms carbonic acid (H</w:t>
      </w:r>
      <w:r w:rsidR="00450CED" w:rsidRPr="001F5949">
        <w:rPr>
          <w:vertAlign w:val="subscript"/>
        </w:rPr>
        <w:t>2</w:t>
      </w:r>
      <w:r w:rsidR="00450CED" w:rsidRPr="00D976C8">
        <w:t>CO</w:t>
      </w:r>
      <w:r w:rsidR="00450CED" w:rsidRPr="001F5949">
        <w:rPr>
          <w:vertAlign w:val="subscript"/>
        </w:rPr>
        <w:t>3</w:t>
      </w:r>
      <w:r w:rsidR="00450CED" w:rsidRPr="00D976C8">
        <w:t>) and sodium hydroxide (NaOH).</w:t>
      </w:r>
      <w:r w:rsidR="00853EEF" w:rsidRPr="00D976C8">
        <w:t xml:space="preserve"> </w:t>
      </w:r>
      <w:r w:rsidR="00853EEF" w:rsidRPr="001F5949">
        <w:rPr>
          <w:vertAlign w:val="superscript"/>
        </w:rPr>
        <w:t>@</w:t>
      </w:r>
      <w:r w:rsidR="00853EEF" w:rsidRPr="00D976C8">
        <w:t xml:space="preserve">NaClO – althernative names: sodium hypochlorite, chloride of soda, bleach: when dissolved in water, it forms chlorine and </w:t>
      </w:r>
      <w:r w:rsidR="002A72B7" w:rsidRPr="00D976C8">
        <w:t>sodium hydroxide</w:t>
      </w:r>
      <w:r w:rsidR="00262E05" w:rsidRPr="00D976C8">
        <w:t>.</w:t>
      </w:r>
      <w:bookmarkEnd w:id="744"/>
    </w:p>
    <w:tbl>
      <w:tblPr>
        <w:tblW w:w="822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835"/>
        <w:gridCol w:w="1559"/>
        <w:gridCol w:w="993"/>
        <w:gridCol w:w="1559"/>
      </w:tblGrid>
      <w:tr w:rsidR="00E73D3B" w:rsidRPr="00E73D3B" w14:paraId="0179167B" w14:textId="77777777" w:rsidTr="004442DF">
        <w:trPr>
          <w:trHeight w:val="740"/>
        </w:trPr>
        <w:tc>
          <w:tcPr>
            <w:tcW w:w="1276" w:type="dxa"/>
            <w:shd w:val="clear" w:color="000000" w:fill="F2F2F2" w:themeFill="background1" w:themeFillShade="F2"/>
            <w:hideMark/>
          </w:tcPr>
          <w:p w14:paraId="5837E3FE" w14:textId="77777777" w:rsidR="00E73D3B" w:rsidRPr="001F5949" w:rsidRDefault="00E73D3B" w:rsidP="00E73D3B">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CAS No.</w:t>
            </w:r>
          </w:p>
        </w:tc>
        <w:tc>
          <w:tcPr>
            <w:tcW w:w="2835" w:type="dxa"/>
            <w:shd w:val="clear" w:color="000000" w:fill="F2F2F2" w:themeFill="background1" w:themeFillShade="F2"/>
            <w:hideMark/>
          </w:tcPr>
          <w:p w14:paraId="733264A2" w14:textId="77777777" w:rsidR="00E73D3B" w:rsidRPr="001F5949" w:rsidRDefault="00E73D3B" w:rsidP="00E73D3B">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CAS Chemical Name</w:t>
            </w:r>
          </w:p>
        </w:tc>
        <w:tc>
          <w:tcPr>
            <w:tcW w:w="1559" w:type="dxa"/>
            <w:shd w:val="clear" w:color="000000" w:fill="F2F2F2" w:themeFill="background1" w:themeFillShade="F2"/>
            <w:hideMark/>
          </w:tcPr>
          <w:p w14:paraId="6F4B8120" w14:textId="0CD0F841" w:rsidR="00E73D3B" w:rsidRPr="001F5949" w:rsidRDefault="009D181D" w:rsidP="00E73D3B">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Conc. a</w:t>
            </w:r>
            <w:r w:rsidR="00E73D3B" w:rsidRPr="001F5949">
              <w:rPr>
                <w:rFonts w:ascii="Calibri" w:eastAsia="Times New Roman" w:hAnsi="Calibri" w:cs="Times New Roman"/>
                <w:bCs/>
                <w:color w:val="000000"/>
                <w:sz w:val="18"/>
                <w:szCs w:val="18"/>
                <w:lang w:val="en-AU" w:eastAsia="en-AU"/>
              </w:rPr>
              <w:t>fter Final Dilution Prior to Injection     (</w:t>
            </w:r>
            <w:r w:rsidR="008766EA" w:rsidRPr="001F5949">
              <w:rPr>
                <w:rFonts w:ascii="Calibri" w:eastAsia="Times New Roman" w:hAnsi="Calibri" w:cs="Times New Roman"/>
                <w:bCs/>
                <w:color w:val="000000"/>
                <w:sz w:val="18"/>
                <w:szCs w:val="18"/>
                <w:lang w:val="en-AU" w:eastAsia="en-AU"/>
              </w:rPr>
              <w:t>m</w:t>
            </w:r>
            <w:r w:rsidR="00E73D3B" w:rsidRPr="001F5949">
              <w:rPr>
                <w:rFonts w:ascii="Calibri" w:eastAsia="Times New Roman" w:hAnsi="Calibri" w:cs="Times New Roman"/>
                <w:bCs/>
                <w:color w:val="000000"/>
                <w:sz w:val="18"/>
                <w:szCs w:val="18"/>
                <w:lang w:val="en-AU" w:eastAsia="en-AU"/>
              </w:rPr>
              <w:t xml:space="preserve">g/kg or </w:t>
            </w:r>
            <w:r w:rsidR="008766EA" w:rsidRPr="001F5949">
              <w:rPr>
                <w:rFonts w:ascii="Calibri" w:eastAsia="Times New Roman" w:hAnsi="Calibri" w:cs="Times New Roman"/>
                <w:bCs/>
                <w:color w:val="000000"/>
                <w:sz w:val="18"/>
                <w:szCs w:val="18"/>
                <w:lang w:val="en-AU" w:eastAsia="en-AU"/>
              </w:rPr>
              <w:t>m</w:t>
            </w:r>
            <w:r w:rsidR="00E73D3B" w:rsidRPr="001F5949">
              <w:rPr>
                <w:rFonts w:ascii="Calibri" w:eastAsia="Times New Roman" w:hAnsi="Calibri" w:cs="Times New Roman"/>
                <w:bCs/>
                <w:color w:val="000000"/>
                <w:sz w:val="18"/>
                <w:szCs w:val="18"/>
                <w:lang w:val="en-AU" w:eastAsia="en-AU"/>
              </w:rPr>
              <w:t>g/L)</w:t>
            </w:r>
          </w:p>
        </w:tc>
        <w:tc>
          <w:tcPr>
            <w:tcW w:w="993" w:type="dxa"/>
            <w:shd w:val="clear" w:color="000000" w:fill="F2F2F2" w:themeFill="background1" w:themeFillShade="F2"/>
            <w:hideMark/>
          </w:tcPr>
          <w:p w14:paraId="3EA5A694" w14:textId="77777777" w:rsidR="00E73D3B" w:rsidRPr="001F5949" w:rsidRDefault="00E73D3B" w:rsidP="00E73D3B">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PNEC (mg/L)</w:t>
            </w:r>
          </w:p>
        </w:tc>
        <w:tc>
          <w:tcPr>
            <w:tcW w:w="1559" w:type="dxa"/>
            <w:shd w:val="clear" w:color="000000" w:fill="F2F2F2" w:themeFill="background1" w:themeFillShade="F2"/>
            <w:hideMark/>
          </w:tcPr>
          <w:p w14:paraId="73F462A4" w14:textId="390DA9CD" w:rsidR="00E73D3B" w:rsidRPr="001F5949" w:rsidRDefault="00E73D3B" w:rsidP="00712F52">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Mini</w:t>
            </w:r>
            <w:r w:rsidR="00C956E6" w:rsidRPr="001F5949">
              <w:rPr>
                <w:rFonts w:ascii="Calibri" w:eastAsia="Times New Roman" w:hAnsi="Calibri" w:cs="Times New Roman"/>
                <w:bCs/>
                <w:color w:val="000000"/>
                <w:sz w:val="18"/>
                <w:szCs w:val="18"/>
                <w:lang w:val="en-AU" w:eastAsia="en-AU"/>
              </w:rPr>
              <w:t>m</w:t>
            </w:r>
            <w:r w:rsidRPr="001F5949">
              <w:rPr>
                <w:rFonts w:ascii="Calibri" w:eastAsia="Times New Roman" w:hAnsi="Calibri" w:cs="Times New Roman"/>
                <w:bCs/>
                <w:color w:val="000000"/>
                <w:sz w:val="18"/>
                <w:szCs w:val="18"/>
                <w:lang w:val="en-AU" w:eastAsia="en-AU"/>
              </w:rPr>
              <w:t>um DAF for R</w:t>
            </w:r>
            <w:r w:rsidR="00712F52" w:rsidRPr="001F5949">
              <w:rPr>
                <w:rFonts w:ascii="Calibri" w:eastAsia="Times New Roman" w:hAnsi="Calibri" w:cs="Times New Roman"/>
                <w:bCs/>
                <w:color w:val="000000"/>
                <w:sz w:val="18"/>
                <w:szCs w:val="18"/>
                <w:lang w:val="en-AU" w:eastAsia="en-AU"/>
              </w:rPr>
              <w:t>Q</w:t>
            </w:r>
            <w:r w:rsidRPr="001F5949">
              <w:rPr>
                <w:rFonts w:ascii="Calibri" w:eastAsia="Times New Roman" w:hAnsi="Calibri" w:cs="Times New Roman"/>
                <w:bCs/>
                <w:color w:val="000000"/>
                <w:sz w:val="18"/>
                <w:szCs w:val="18"/>
                <w:lang w:val="en-AU" w:eastAsia="en-AU"/>
              </w:rPr>
              <w:t xml:space="preserve"> &lt; 1</w:t>
            </w:r>
          </w:p>
        </w:tc>
      </w:tr>
      <w:tr w:rsidR="008766EA" w:rsidRPr="00E73D3B" w14:paraId="32A5B78E" w14:textId="77777777" w:rsidTr="004442DF">
        <w:trPr>
          <w:trHeight w:val="431"/>
        </w:trPr>
        <w:tc>
          <w:tcPr>
            <w:tcW w:w="1276" w:type="dxa"/>
            <w:shd w:val="clear" w:color="auto" w:fill="auto"/>
            <w:vAlign w:val="center"/>
            <w:hideMark/>
          </w:tcPr>
          <w:p w14:paraId="136926CE"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107-21-1</w:t>
            </w:r>
          </w:p>
        </w:tc>
        <w:tc>
          <w:tcPr>
            <w:tcW w:w="2835" w:type="dxa"/>
            <w:shd w:val="clear" w:color="auto" w:fill="auto"/>
            <w:vAlign w:val="center"/>
            <w:hideMark/>
          </w:tcPr>
          <w:p w14:paraId="4402772A"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1,2-Ethanediol</w:t>
            </w:r>
          </w:p>
        </w:tc>
        <w:tc>
          <w:tcPr>
            <w:tcW w:w="1559" w:type="dxa"/>
            <w:shd w:val="clear" w:color="auto" w:fill="auto"/>
            <w:vAlign w:val="center"/>
          </w:tcPr>
          <w:p w14:paraId="2DA2674B" w14:textId="466129FD"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496</w:t>
            </w:r>
          </w:p>
        </w:tc>
        <w:tc>
          <w:tcPr>
            <w:tcW w:w="993" w:type="dxa"/>
            <w:shd w:val="clear" w:color="auto" w:fill="F2F2F2" w:themeFill="background1" w:themeFillShade="F2"/>
            <w:vAlign w:val="center"/>
            <w:hideMark/>
          </w:tcPr>
          <w:p w14:paraId="4A616457"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8766EA">
              <w:rPr>
                <w:rFonts w:ascii="Calibri" w:hAnsi="Calibri"/>
                <w:color w:val="000000"/>
                <w:sz w:val="18"/>
                <w:szCs w:val="18"/>
              </w:rPr>
              <w:t>10</w:t>
            </w:r>
          </w:p>
        </w:tc>
        <w:tc>
          <w:tcPr>
            <w:tcW w:w="1559" w:type="dxa"/>
            <w:shd w:val="clear" w:color="auto" w:fill="auto"/>
            <w:vAlign w:val="center"/>
          </w:tcPr>
          <w:p w14:paraId="15532B02" w14:textId="76772868"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50</w:t>
            </w:r>
          </w:p>
        </w:tc>
      </w:tr>
      <w:tr w:rsidR="008766EA" w:rsidRPr="00E73D3B" w14:paraId="16B5C686" w14:textId="77777777" w:rsidTr="004442DF">
        <w:trPr>
          <w:trHeight w:val="409"/>
        </w:trPr>
        <w:tc>
          <w:tcPr>
            <w:tcW w:w="1276" w:type="dxa"/>
            <w:shd w:val="clear" w:color="auto" w:fill="auto"/>
            <w:vAlign w:val="center"/>
            <w:hideMark/>
          </w:tcPr>
          <w:p w14:paraId="1A7F9589"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1310-73-2</w:t>
            </w:r>
          </w:p>
        </w:tc>
        <w:tc>
          <w:tcPr>
            <w:tcW w:w="2835" w:type="dxa"/>
            <w:shd w:val="clear" w:color="auto" w:fill="auto"/>
            <w:vAlign w:val="center"/>
            <w:hideMark/>
          </w:tcPr>
          <w:p w14:paraId="2B985F2B"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Sodium hydroxide (Na(OH))</w:t>
            </w:r>
          </w:p>
        </w:tc>
        <w:tc>
          <w:tcPr>
            <w:tcW w:w="1559" w:type="dxa"/>
            <w:shd w:val="clear" w:color="auto" w:fill="auto"/>
            <w:vAlign w:val="center"/>
          </w:tcPr>
          <w:p w14:paraId="0F87C985" w14:textId="1894A096"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137.5</w:t>
            </w:r>
          </w:p>
        </w:tc>
        <w:tc>
          <w:tcPr>
            <w:tcW w:w="993" w:type="dxa"/>
            <w:shd w:val="clear" w:color="auto" w:fill="F2F2F2" w:themeFill="background1" w:themeFillShade="F2"/>
            <w:vAlign w:val="center"/>
            <w:hideMark/>
          </w:tcPr>
          <w:p w14:paraId="674A9F13"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2.4</w:t>
            </w:r>
          </w:p>
        </w:tc>
        <w:tc>
          <w:tcPr>
            <w:tcW w:w="1559" w:type="dxa"/>
            <w:shd w:val="clear" w:color="auto" w:fill="auto"/>
            <w:vAlign w:val="center"/>
          </w:tcPr>
          <w:p w14:paraId="34C578BD" w14:textId="54560D33"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57</w:t>
            </w:r>
          </w:p>
        </w:tc>
      </w:tr>
      <w:tr w:rsidR="008766EA" w:rsidRPr="00E73D3B" w14:paraId="222A9BBE" w14:textId="77777777" w:rsidTr="004442DF">
        <w:trPr>
          <w:trHeight w:val="408"/>
        </w:trPr>
        <w:tc>
          <w:tcPr>
            <w:tcW w:w="1276" w:type="dxa"/>
            <w:shd w:val="clear" w:color="auto" w:fill="auto"/>
            <w:vAlign w:val="center"/>
            <w:hideMark/>
          </w:tcPr>
          <w:p w14:paraId="792408D4"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2682-20-4</w:t>
            </w:r>
          </w:p>
        </w:tc>
        <w:tc>
          <w:tcPr>
            <w:tcW w:w="2835" w:type="dxa"/>
            <w:shd w:val="clear" w:color="auto" w:fill="auto"/>
            <w:vAlign w:val="center"/>
            <w:hideMark/>
          </w:tcPr>
          <w:p w14:paraId="76739576"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3(2H)-Isothiazolone, 2-methyl-</w:t>
            </w:r>
          </w:p>
        </w:tc>
        <w:tc>
          <w:tcPr>
            <w:tcW w:w="1559" w:type="dxa"/>
            <w:shd w:val="clear" w:color="auto" w:fill="auto"/>
            <w:vAlign w:val="center"/>
          </w:tcPr>
          <w:p w14:paraId="4B39D829" w14:textId="1667B58B"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1.1</w:t>
            </w:r>
          </w:p>
        </w:tc>
        <w:tc>
          <w:tcPr>
            <w:tcW w:w="993" w:type="dxa"/>
            <w:shd w:val="clear" w:color="auto" w:fill="F2F2F2" w:themeFill="background1" w:themeFillShade="F2"/>
            <w:vAlign w:val="center"/>
            <w:hideMark/>
          </w:tcPr>
          <w:p w14:paraId="05268653"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0.0007</w:t>
            </w:r>
          </w:p>
        </w:tc>
        <w:tc>
          <w:tcPr>
            <w:tcW w:w="1559" w:type="dxa"/>
            <w:shd w:val="clear" w:color="auto" w:fill="auto"/>
            <w:vAlign w:val="center"/>
          </w:tcPr>
          <w:p w14:paraId="31FBC112" w14:textId="6EFF5C18"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1,571</w:t>
            </w:r>
          </w:p>
        </w:tc>
      </w:tr>
      <w:tr w:rsidR="008766EA" w:rsidRPr="00E73D3B" w14:paraId="7640C69B" w14:textId="77777777" w:rsidTr="004442DF">
        <w:trPr>
          <w:trHeight w:val="400"/>
        </w:trPr>
        <w:tc>
          <w:tcPr>
            <w:tcW w:w="1276" w:type="dxa"/>
            <w:shd w:val="clear" w:color="auto" w:fill="auto"/>
            <w:vAlign w:val="center"/>
            <w:hideMark/>
          </w:tcPr>
          <w:p w14:paraId="57A59772"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497-19-8</w:t>
            </w:r>
          </w:p>
        </w:tc>
        <w:tc>
          <w:tcPr>
            <w:tcW w:w="2835" w:type="dxa"/>
            <w:shd w:val="clear" w:color="auto" w:fill="auto"/>
            <w:vAlign w:val="center"/>
            <w:hideMark/>
          </w:tcPr>
          <w:p w14:paraId="06AFDEF0" w14:textId="1545DCC1"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Carbonic acid sodium salt (1:2)</w:t>
            </w:r>
            <w:r w:rsidR="00450CED" w:rsidRPr="008853BC">
              <w:rPr>
                <w:rFonts w:ascii="Calibri" w:eastAsia="Times New Roman" w:hAnsi="Calibri" w:cs="Times New Roman"/>
                <w:color w:val="000000"/>
                <w:sz w:val="18"/>
                <w:szCs w:val="18"/>
                <w:vertAlign w:val="superscript"/>
                <w:lang w:val="en-AU" w:eastAsia="en-AU"/>
              </w:rPr>
              <w:t>#</w:t>
            </w:r>
          </w:p>
        </w:tc>
        <w:tc>
          <w:tcPr>
            <w:tcW w:w="1559" w:type="dxa"/>
            <w:shd w:val="clear" w:color="auto" w:fill="auto"/>
            <w:vAlign w:val="center"/>
          </w:tcPr>
          <w:p w14:paraId="24084D98" w14:textId="23AC6140"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2,532,000</w:t>
            </w:r>
          </w:p>
        </w:tc>
        <w:tc>
          <w:tcPr>
            <w:tcW w:w="993" w:type="dxa"/>
            <w:shd w:val="clear" w:color="auto" w:fill="F2F2F2" w:themeFill="background1" w:themeFillShade="F2"/>
            <w:vAlign w:val="center"/>
            <w:hideMark/>
          </w:tcPr>
          <w:p w14:paraId="6D9580BB"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4.24</w:t>
            </w:r>
          </w:p>
        </w:tc>
        <w:tc>
          <w:tcPr>
            <w:tcW w:w="1559" w:type="dxa"/>
            <w:shd w:val="clear" w:color="auto" w:fill="auto"/>
            <w:vAlign w:val="center"/>
          </w:tcPr>
          <w:p w14:paraId="1B786ED6" w14:textId="557CEDFE"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597,170</w:t>
            </w:r>
          </w:p>
        </w:tc>
      </w:tr>
      <w:tr w:rsidR="008766EA" w:rsidRPr="00E73D3B" w14:paraId="55EE96EE" w14:textId="77777777" w:rsidTr="004442DF">
        <w:trPr>
          <w:trHeight w:val="832"/>
        </w:trPr>
        <w:tc>
          <w:tcPr>
            <w:tcW w:w="1276" w:type="dxa"/>
            <w:shd w:val="clear" w:color="auto" w:fill="auto"/>
            <w:vAlign w:val="center"/>
            <w:hideMark/>
          </w:tcPr>
          <w:p w14:paraId="2E10115C"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55566-30-8</w:t>
            </w:r>
          </w:p>
        </w:tc>
        <w:tc>
          <w:tcPr>
            <w:tcW w:w="2835" w:type="dxa"/>
            <w:shd w:val="clear" w:color="auto" w:fill="auto"/>
            <w:vAlign w:val="center"/>
            <w:hideMark/>
          </w:tcPr>
          <w:p w14:paraId="3976C360"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Phosphonium, tetrakis(hydroxymethyl)-, sulfate (2:1) (salt)</w:t>
            </w:r>
          </w:p>
        </w:tc>
        <w:tc>
          <w:tcPr>
            <w:tcW w:w="1559" w:type="dxa"/>
            <w:shd w:val="clear" w:color="auto" w:fill="auto"/>
            <w:vAlign w:val="center"/>
          </w:tcPr>
          <w:p w14:paraId="1C320242" w14:textId="271BA03B"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41.25</w:t>
            </w:r>
          </w:p>
        </w:tc>
        <w:tc>
          <w:tcPr>
            <w:tcW w:w="993" w:type="dxa"/>
            <w:shd w:val="clear" w:color="auto" w:fill="F2F2F2" w:themeFill="background1" w:themeFillShade="F2"/>
            <w:vAlign w:val="center"/>
            <w:hideMark/>
          </w:tcPr>
          <w:p w14:paraId="458D6349"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0.94</w:t>
            </w:r>
          </w:p>
        </w:tc>
        <w:tc>
          <w:tcPr>
            <w:tcW w:w="1559" w:type="dxa"/>
            <w:shd w:val="clear" w:color="auto" w:fill="auto"/>
            <w:vAlign w:val="center"/>
          </w:tcPr>
          <w:p w14:paraId="5C26C208" w14:textId="34C30B0E"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44</w:t>
            </w:r>
          </w:p>
        </w:tc>
      </w:tr>
      <w:tr w:rsidR="008766EA" w:rsidRPr="00E73D3B" w14:paraId="6C568268" w14:textId="77777777" w:rsidTr="004442DF">
        <w:trPr>
          <w:trHeight w:val="510"/>
        </w:trPr>
        <w:tc>
          <w:tcPr>
            <w:tcW w:w="1276" w:type="dxa"/>
            <w:shd w:val="clear" w:color="auto" w:fill="auto"/>
            <w:vAlign w:val="center"/>
            <w:hideMark/>
          </w:tcPr>
          <w:p w14:paraId="3D210320"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64-19-7</w:t>
            </w:r>
          </w:p>
        </w:tc>
        <w:tc>
          <w:tcPr>
            <w:tcW w:w="2835" w:type="dxa"/>
            <w:shd w:val="clear" w:color="auto" w:fill="auto"/>
            <w:vAlign w:val="center"/>
            <w:hideMark/>
          </w:tcPr>
          <w:p w14:paraId="3681B439"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Acetic acid</w:t>
            </w:r>
          </w:p>
        </w:tc>
        <w:tc>
          <w:tcPr>
            <w:tcW w:w="1559" w:type="dxa"/>
            <w:shd w:val="clear" w:color="auto" w:fill="auto"/>
            <w:vAlign w:val="center"/>
          </w:tcPr>
          <w:p w14:paraId="28EBC121" w14:textId="69DEB1F3"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525</w:t>
            </w:r>
          </w:p>
        </w:tc>
        <w:tc>
          <w:tcPr>
            <w:tcW w:w="993" w:type="dxa"/>
            <w:shd w:val="clear" w:color="auto" w:fill="F2F2F2" w:themeFill="background1" w:themeFillShade="F2"/>
            <w:vAlign w:val="center"/>
            <w:hideMark/>
          </w:tcPr>
          <w:p w14:paraId="775CE155"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15</w:t>
            </w:r>
          </w:p>
        </w:tc>
        <w:tc>
          <w:tcPr>
            <w:tcW w:w="1559" w:type="dxa"/>
            <w:shd w:val="clear" w:color="auto" w:fill="auto"/>
            <w:vAlign w:val="center"/>
          </w:tcPr>
          <w:p w14:paraId="413D6B9F" w14:textId="398BF380"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35</w:t>
            </w:r>
          </w:p>
        </w:tc>
      </w:tr>
      <w:tr w:rsidR="008766EA" w:rsidRPr="00E73D3B" w14:paraId="00C45CE4" w14:textId="77777777" w:rsidTr="004442DF">
        <w:trPr>
          <w:trHeight w:val="440"/>
        </w:trPr>
        <w:tc>
          <w:tcPr>
            <w:tcW w:w="1276" w:type="dxa"/>
            <w:shd w:val="clear" w:color="auto" w:fill="auto"/>
            <w:vAlign w:val="center"/>
            <w:hideMark/>
          </w:tcPr>
          <w:p w14:paraId="4DD5D334"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67-63-0</w:t>
            </w:r>
          </w:p>
        </w:tc>
        <w:tc>
          <w:tcPr>
            <w:tcW w:w="2835" w:type="dxa"/>
            <w:shd w:val="clear" w:color="auto" w:fill="auto"/>
            <w:vAlign w:val="center"/>
            <w:hideMark/>
          </w:tcPr>
          <w:p w14:paraId="1F1462CF"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2-Propanol</w:t>
            </w:r>
          </w:p>
        </w:tc>
        <w:tc>
          <w:tcPr>
            <w:tcW w:w="1559" w:type="dxa"/>
            <w:shd w:val="clear" w:color="auto" w:fill="auto"/>
            <w:vAlign w:val="center"/>
          </w:tcPr>
          <w:p w14:paraId="6C1F6EC5" w14:textId="1F5DB229"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13.4</w:t>
            </w:r>
          </w:p>
        </w:tc>
        <w:tc>
          <w:tcPr>
            <w:tcW w:w="993" w:type="dxa"/>
            <w:shd w:val="clear" w:color="auto" w:fill="F2F2F2" w:themeFill="background1" w:themeFillShade="F2"/>
            <w:vAlign w:val="center"/>
            <w:hideMark/>
          </w:tcPr>
          <w:p w14:paraId="0CE97807"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500</w:t>
            </w:r>
          </w:p>
        </w:tc>
        <w:tc>
          <w:tcPr>
            <w:tcW w:w="1559" w:type="dxa"/>
            <w:shd w:val="clear" w:color="auto" w:fill="auto"/>
            <w:vAlign w:val="center"/>
          </w:tcPr>
          <w:p w14:paraId="73AE4CC7" w14:textId="525C1167"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0.03</w:t>
            </w:r>
          </w:p>
        </w:tc>
      </w:tr>
      <w:tr w:rsidR="008766EA" w:rsidRPr="00E73D3B" w14:paraId="32F8458A" w14:textId="77777777" w:rsidTr="004442DF">
        <w:trPr>
          <w:trHeight w:val="418"/>
        </w:trPr>
        <w:tc>
          <w:tcPr>
            <w:tcW w:w="1276" w:type="dxa"/>
            <w:shd w:val="clear" w:color="auto" w:fill="auto"/>
            <w:vAlign w:val="center"/>
            <w:hideMark/>
          </w:tcPr>
          <w:p w14:paraId="082C4E34"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7447-40-7</w:t>
            </w:r>
          </w:p>
        </w:tc>
        <w:tc>
          <w:tcPr>
            <w:tcW w:w="2835" w:type="dxa"/>
            <w:shd w:val="clear" w:color="auto" w:fill="auto"/>
            <w:vAlign w:val="center"/>
            <w:hideMark/>
          </w:tcPr>
          <w:p w14:paraId="26C0DD49"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Potassium chloride (KCl)</w:t>
            </w:r>
          </w:p>
        </w:tc>
        <w:tc>
          <w:tcPr>
            <w:tcW w:w="1559" w:type="dxa"/>
            <w:shd w:val="clear" w:color="auto" w:fill="auto"/>
            <w:vAlign w:val="center"/>
          </w:tcPr>
          <w:p w14:paraId="4FF607EE" w14:textId="6888A489"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22,963</w:t>
            </w:r>
          </w:p>
        </w:tc>
        <w:tc>
          <w:tcPr>
            <w:tcW w:w="993" w:type="dxa"/>
            <w:shd w:val="clear" w:color="auto" w:fill="F2F2F2" w:themeFill="background1" w:themeFillShade="F2"/>
            <w:vAlign w:val="center"/>
            <w:hideMark/>
          </w:tcPr>
          <w:p w14:paraId="2C9B25D1"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3.73</w:t>
            </w:r>
          </w:p>
        </w:tc>
        <w:tc>
          <w:tcPr>
            <w:tcW w:w="1559" w:type="dxa"/>
            <w:shd w:val="clear" w:color="auto" w:fill="auto"/>
            <w:vAlign w:val="center"/>
          </w:tcPr>
          <w:p w14:paraId="570697BE" w14:textId="02EB28AA"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6,156</w:t>
            </w:r>
          </w:p>
        </w:tc>
      </w:tr>
      <w:tr w:rsidR="008766EA" w:rsidRPr="00E73D3B" w14:paraId="2C0D93D7" w14:textId="77777777" w:rsidTr="004442DF">
        <w:trPr>
          <w:trHeight w:val="538"/>
        </w:trPr>
        <w:tc>
          <w:tcPr>
            <w:tcW w:w="1276" w:type="dxa"/>
            <w:shd w:val="clear" w:color="auto" w:fill="auto"/>
            <w:vAlign w:val="center"/>
            <w:hideMark/>
          </w:tcPr>
          <w:p w14:paraId="7990A016"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75-57-0</w:t>
            </w:r>
          </w:p>
        </w:tc>
        <w:tc>
          <w:tcPr>
            <w:tcW w:w="2835" w:type="dxa"/>
            <w:shd w:val="clear" w:color="auto" w:fill="auto"/>
            <w:vAlign w:val="center"/>
            <w:hideMark/>
          </w:tcPr>
          <w:p w14:paraId="3C5A6DD8"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Methanaminium, N,N,N-trimethyl-, chloride (1:1)</w:t>
            </w:r>
          </w:p>
        </w:tc>
        <w:tc>
          <w:tcPr>
            <w:tcW w:w="1559" w:type="dxa"/>
            <w:shd w:val="clear" w:color="auto" w:fill="auto"/>
            <w:vAlign w:val="center"/>
          </w:tcPr>
          <w:p w14:paraId="7434C910" w14:textId="5D1D0D36"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1,273</w:t>
            </w:r>
          </w:p>
        </w:tc>
        <w:tc>
          <w:tcPr>
            <w:tcW w:w="993" w:type="dxa"/>
            <w:shd w:val="clear" w:color="auto" w:fill="F2F2F2" w:themeFill="background1" w:themeFillShade="F2"/>
            <w:vAlign w:val="center"/>
            <w:hideMark/>
          </w:tcPr>
          <w:p w14:paraId="28126399"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4.62</w:t>
            </w:r>
          </w:p>
        </w:tc>
        <w:tc>
          <w:tcPr>
            <w:tcW w:w="1559" w:type="dxa"/>
            <w:shd w:val="clear" w:color="auto" w:fill="auto"/>
            <w:vAlign w:val="center"/>
          </w:tcPr>
          <w:p w14:paraId="6483B6ED" w14:textId="1283B17E"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276</w:t>
            </w:r>
          </w:p>
        </w:tc>
      </w:tr>
      <w:tr w:rsidR="008766EA" w:rsidRPr="00E73D3B" w14:paraId="5EA8FDD8" w14:textId="77777777" w:rsidTr="004442DF">
        <w:trPr>
          <w:trHeight w:val="405"/>
        </w:trPr>
        <w:tc>
          <w:tcPr>
            <w:tcW w:w="1276" w:type="dxa"/>
            <w:shd w:val="clear" w:color="auto" w:fill="auto"/>
            <w:vAlign w:val="center"/>
            <w:hideMark/>
          </w:tcPr>
          <w:p w14:paraId="1FED6E9B"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7647-01-0</w:t>
            </w:r>
          </w:p>
        </w:tc>
        <w:tc>
          <w:tcPr>
            <w:tcW w:w="2835" w:type="dxa"/>
            <w:shd w:val="clear" w:color="auto" w:fill="auto"/>
            <w:vAlign w:val="center"/>
            <w:hideMark/>
          </w:tcPr>
          <w:p w14:paraId="72B8FF6E"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Hydrochloric acid</w:t>
            </w:r>
          </w:p>
        </w:tc>
        <w:tc>
          <w:tcPr>
            <w:tcW w:w="1559" w:type="dxa"/>
            <w:shd w:val="clear" w:color="auto" w:fill="auto"/>
            <w:vAlign w:val="center"/>
          </w:tcPr>
          <w:p w14:paraId="3E2C17F8" w14:textId="3E90AA9B"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52.5</w:t>
            </w:r>
          </w:p>
        </w:tc>
        <w:tc>
          <w:tcPr>
            <w:tcW w:w="993" w:type="dxa"/>
            <w:shd w:val="clear" w:color="auto" w:fill="F2F2F2" w:themeFill="background1" w:themeFillShade="F2"/>
            <w:vAlign w:val="center"/>
            <w:hideMark/>
          </w:tcPr>
          <w:p w14:paraId="3CA06C6C"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6.20</w:t>
            </w:r>
          </w:p>
        </w:tc>
        <w:tc>
          <w:tcPr>
            <w:tcW w:w="1559" w:type="dxa"/>
            <w:shd w:val="clear" w:color="auto" w:fill="auto"/>
            <w:vAlign w:val="center"/>
          </w:tcPr>
          <w:p w14:paraId="716C3137" w14:textId="613CD6F0"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8</w:t>
            </w:r>
          </w:p>
        </w:tc>
      </w:tr>
      <w:tr w:rsidR="008766EA" w:rsidRPr="00E73D3B" w14:paraId="3ACEF740" w14:textId="77777777" w:rsidTr="004442DF">
        <w:trPr>
          <w:trHeight w:val="553"/>
        </w:trPr>
        <w:tc>
          <w:tcPr>
            <w:tcW w:w="1276" w:type="dxa"/>
            <w:shd w:val="clear" w:color="auto" w:fill="auto"/>
            <w:vAlign w:val="center"/>
            <w:hideMark/>
          </w:tcPr>
          <w:p w14:paraId="141F32D8"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7681-52-9</w:t>
            </w:r>
          </w:p>
        </w:tc>
        <w:tc>
          <w:tcPr>
            <w:tcW w:w="2835" w:type="dxa"/>
            <w:shd w:val="clear" w:color="auto" w:fill="auto"/>
            <w:vAlign w:val="center"/>
            <w:hideMark/>
          </w:tcPr>
          <w:p w14:paraId="0BEE471D" w14:textId="22CF02B6"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Hypochlorous acid, sodium salt (1:1)</w:t>
            </w:r>
            <w:r w:rsidR="00853EEF" w:rsidRPr="008853BC">
              <w:rPr>
                <w:rFonts w:ascii="Calibri" w:eastAsia="Times New Roman" w:hAnsi="Calibri" w:cs="Times New Roman"/>
                <w:color w:val="000000"/>
                <w:sz w:val="18"/>
                <w:szCs w:val="18"/>
                <w:vertAlign w:val="superscript"/>
                <w:lang w:val="en-AU" w:eastAsia="en-AU"/>
              </w:rPr>
              <w:t>@</w:t>
            </w:r>
          </w:p>
        </w:tc>
        <w:tc>
          <w:tcPr>
            <w:tcW w:w="1559" w:type="dxa"/>
            <w:shd w:val="clear" w:color="auto" w:fill="auto"/>
            <w:vAlign w:val="center"/>
          </w:tcPr>
          <w:p w14:paraId="4F2AD151" w14:textId="4EEDDBEB"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57.7500</w:t>
            </w:r>
          </w:p>
        </w:tc>
        <w:tc>
          <w:tcPr>
            <w:tcW w:w="993" w:type="dxa"/>
            <w:shd w:val="clear" w:color="auto" w:fill="F2F2F2" w:themeFill="background1" w:themeFillShade="F2"/>
            <w:vAlign w:val="center"/>
            <w:hideMark/>
          </w:tcPr>
          <w:p w14:paraId="38ACE997" w14:textId="0064FA71"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0.00</w:t>
            </w:r>
            <w:r>
              <w:rPr>
                <w:rFonts w:ascii="Calibri" w:eastAsia="Times New Roman" w:hAnsi="Calibri" w:cs="Times New Roman"/>
                <w:i/>
                <w:color w:val="000000"/>
                <w:sz w:val="18"/>
                <w:szCs w:val="18"/>
                <w:lang w:val="en-AU" w:eastAsia="en-AU"/>
              </w:rPr>
              <w:t>0023</w:t>
            </w:r>
          </w:p>
        </w:tc>
        <w:tc>
          <w:tcPr>
            <w:tcW w:w="1559" w:type="dxa"/>
            <w:shd w:val="clear" w:color="auto" w:fill="auto"/>
            <w:vAlign w:val="center"/>
          </w:tcPr>
          <w:p w14:paraId="5C8A258A" w14:textId="760E8D73"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2,510,870</w:t>
            </w:r>
          </w:p>
        </w:tc>
      </w:tr>
      <w:tr w:rsidR="008766EA" w:rsidRPr="00E73D3B" w14:paraId="4AD36502" w14:textId="77777777" w:rsidTr="004442DF">
        <w:trPr>
          <w:trHeight w:val="688"/>
        </w:trPr>
        <w:tc>
          <w:tcPr>
            <w:tcW w:w="1276" w:type="dxa"/>
            <w:shd w:val="clear" w:color="auto" w:fill="auto"/>
            <w:vAlign w:val="center"/>
            <w:hideMark/>
          </w:tcPr>
          <w:p w14:paraId="30F01D1B"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7727-54-0</w:t>
            </w:r>
          </w:p>
        </w:tc>
        <w:tc>
          <w:tcPr>
            <w:tcW w:w="2835" w:type="dxa"/>
            <w:shd w:val="clear" w:color="auto" w:fill="auto"/>
            <w:vAlign w:val="center"/>
            <w:hideMark/>
          </w:tcPr>
          <w:p w14:paraId="069959E5"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Peroxydisulfuric acid ([(HO)S(O)</w:t>
            </w:r>
            <w:r w:rsidRPr="00E73D3B">
              <w:rPr>
                <w:rFonts w:ascii="Calibri" w:eastAsia="Times New Roman" w:hAnsi="Calibri" w:cs="Times New Roman"/>
                <w:color w:val="000000"/>
                <w:sz w:val="18"/>
                <w:szCs w:val="18"/>
                <w:vertAlign w:val="subscript"/>
                <w:lang w:val="en-AU" w:eastAsia="en-AU"/>
              </w:rPr>
              <w:t>2</w:t>
            </w:r>
            <w:r w:rsidRPr="00E73D3B">
              <w:rPr>
                <w:rFonts w:ascii="Calibri" w:eastAsia="Times New Roman" w:hAnsi="Calibri" w:cs="Times New Roman"/>
                <w:color w:val="000000"/>
                <w:sz w:val="18"/>
                <w:szCs w:val="18"/>
                <w:lang w:val="en-AU" w:eastAsia="en-AU"/>
              </w:rPr>
              <w:t>]2O</w:t>
            </w:r>
            <w:r w:rsidRPr="00E73D3B">
              <w:rPr>
                <w:rFonts w:ascii="Calibri" w:eastAsia="Times New Roman" w:hAnsi="Calibri" w:cs="Times New Roman"/>
                <w:color w:val="000000"/>
                <w:sz w:val="18"/>
                <w:szCs w:val="18"/>
                <w:vertAlign w:val="subscript"/>
                <w:lang w:val="en-AU" w:eastAsia="en-AU"/>
              </w:rPr>
              <w:t>2</w:t>
            </w:r>
            <w:r w:rsidRPr="00E73D3B">
              <w:rPr>
                <w:rFonts w:ascii="Calibri" w:eastAsia="Times New Roman" w:hAnsi="Calibri" w:cs="Times New Roman"/>
                <w:color w:val="000000"/>
                <w:sz w:val="18"/>
                <w:szCs w:val="18"/>
                <w:lang w:val="en-AU" w:eastAsia="en-AU"/>
              </w:rPr>
              <w:t>), ammonium salt (1:2)</w:t>
            </w:r>
          </w:p>
        </w:tc>
        <w:tc>
          <w:tcPr>
            <w:tcW w:w="1559" w:type="dxa"/>
            <w:shd w:val="clear" w:color="auto" w:fill="auto"/>
            <w:vAlign w:val="center"/>
          </w:tcPr>
          <w:p w14:paraId="441A6BCD" w14:textId="161A9785"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452.1</w:t>
            </w:r>
          </w:p>
        </w:tc>
        <w:tc>
          <w:tcPr>
            <w:tcW w:w="993" w:type="dxa"/>
            <w:shd w:val="clear" w:color="auto" w:fill="F2F2F2" w:themeFill="background1" w:themeFillShade="F2"/>
            <w:vAlign w:val="center"/>
            <w:hideMark/>
          </w:tcPr>
          <w:p w14:paraId="44A6677F"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0.92</w:t>
            </w:r>
          </w:p>
        </w:tc>
        <w:tc>
          <w:tcPr>
            <w:tcW w:w="1559" w:type="dxa"/>
            <w:shd w:val="clear" w:color="auto" w:fill="auto"/>
            <w:vAlign w:val="center"/>
          </w:tcPr>
          <w:p w14:paraId="3EDD4CAD" w14:textId="275573EF"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491</w:t>
            </w:r>
          </w:p>
        </w:tc>
      </w:tr>
      <w:tr w:rsidR="008766EA" w:rsidRPr="00E73D3B" w14:paraId="279FAFF7" w14:textId="77777777" w:rsidTr="004442DF">
        <w:trPr>
          <w:trHeight w:val="401"/>
        </w:trPr>
        <w:tc>
          <w:tcPr>
            <w:tcW w:w="1276" w:type="dxa"/>
            <w:shd w:val="clear" w:color="auto" w:fill="auto"/>
            <w:vAlign w:val="center"/>
            <w:hideMark/>
          </w:tcPr>
          <w:p w14:paraId="2AD6E79A"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7786-30-3</w:t>
            </w:r>
          </w:p>
        </w:tc>
        <w:tc>
          <w:tcPr>
            <w:tcW w:w="2835" w:type="dxa"/>
            <w:shd w:val="clear" w:color="auto" w:fill="auto"/>
            <w:vAlign w:val="center"/>
            <w:hideMark/>
          </w:tcPr>
          <w:p w14:paraId="117FCBAD"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Magnesium chloride (MgCl</w:t>
            </w:r>
            <w:r w:rsidRPr="00A63DFB">
              <w:rPr>
                <w:rFonts w:ascii="Calibri" w:eastAsia="Times New Roman" w:hAnsi="Calibri" w:cs="Times New Roman"/>
                <w:color w:val="000000"/>
                <w:sz w:val="18"/>
                <w:szCs w:val="18"/>
                <w:vertAlign w:val="subscript"/>
                <w:lang w:val="en-AU" w:eastAsia="en-AU"/>
              </w:rPr>
              <w:t>2</w:t>
            </w:r>
            <w:r w:rsidRPr="00E73D3B">
              <w:rPr>
                <w:rFonts w:ascii="Calibri" w:eastAsia="Times New Roman" w:hAnsi="Calibri" w:cs="Times New Roman"/>
                <w:color w:val="000000"/>
                <w:sz w:val="18"/>
                <w:szCs w:val="18"/>
                <w:lang w:val="en-AU" w:eastAsia="en-AU"/>
              </w:rPr>
              <w:t>)</w:t>
            </w:r>
          </w:p>
        </w:tc>
        <w:tc>
          <w:tcPr>
            <w:tcW w:w="1559" w:type="dxa"/>
            <w:shd w:val="clear" w:color="auto" w:fill="auto"/>
            <w:vAlign w:val="center"/>
          </w:tcPr>
          <w:p w14:paraId="6EB55F52" w14:textId="1533984B"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3.4</w:t>
            </w:r>
          </w:p>
        </w:tc>
        <w:tc>
          <w:tcPr>
            <w:tcW w:w="993" w:type="dxa"/>
            <w:shd w:val="clear" w:color="auto" w:fill="F2F2F2" w:themeFill="background1" w:themeFillShade="F2"/>
            <w:vAlign w:val="center"/>
            <w:hideMark/>
          </w:tcPr>
          <w:p w14:paraId="3F16C4D3"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2.12</w:t>
            </w:r>
          </w:p>
        </w:tc>
        <w:tc>
          <w:tcPr>
            <w:tcW w:w="1559" w:type="dxa"/>
            <w:shd w:val="clear" w:color="auto" w:fill="auto"/>
            <w:vAlign w:val="center"/>
          </w:tcPr>
          <w:p w14:paraId="6789AC31" w14:textId="144D54BE"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2</w:t>
            </w:r>
          </w:p>
        </w:tc>
      </w:tr>
      <w:tr w:rsidR="008766EA" w:rsidRPr="00E73D3B" w14:paraId="037DEC18" w14:textId="77777777" w:rsidTr="004442DF">
        <w:trPr>
          <w:trHeight w:val="549"/>
        </w:trPr>
        <w:tc>
          <w:tcPr>
            <w:tcW w:w="1276" w:type="dxa"/>
            <w:shd w:val="clear" w:color="auto" w:fill="auto"/>
            <w:vAlign w:val="center"/>
            <w:hideMark/>
          </w:tcPr>
          <w:p w14:paraId="342E5A3E"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77-92-9</w:t>
            </w:r>
          </w:p>
        </w:tc>
        <w:tc>
          <w:tcPr>
            <w:tcW w:w="2835" w:type="dxa"/>
            <w:shd w:val="clear" w:color="auto" w:fill="auto"/>
            <w:vAlign w:val="center"/>
            <w:hideMark/>
          </w:tcPr>
          <w:p w14:paraId="7148C93F"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1,2,3-Propanetricarboxylic acid, 2-hydroxy-</w:t>
            </w:r>
          </w:p>
        </w:tc>
        <w:tc>
          <w:tcPr>
            <w:tcW w:w="1559" w:type="dxa"/>
            <w:shd w:val="clear" w:color="auto" w:fill="auto"/>
            <w:vAlign w:val="center"/>
          </w:tcPr>
          <w:p w14:paraId="105D7618" w14:textId="776639F4"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1,765</w:t>
            </w:r>
          </w:p>
        </w:tc>
        <w:tc>
          <w:tcPr>
            <w:tcW w:w="993" w:type="dxa"/>
            <w:shd w:val="clear" w:color="auto" w:fill="F2F2F2" w:themeFill="background1" w:themeFillShade="F2"/>
            <w:vAlign w:val="center"/>
            <w:hideMark/>
          </w:tcPr>
          <w:p w14:paraId="6C88221A" w14:textId="5452459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15.3</w:t>
            </w:r>
          </w:p>
        </w:tc>
        <w:tc>
          <w:tcPr>
            <w:tcW w:w="1559" w:type="dxa"/>
            <w:shd w:val="clear" w:color="auto" w:fill="auto"/>
            <w:vAlign w:val="center"/>
          </w:tcPr>
          <w:p w14:paraId="3D911FCE" w14:textId="75B8CA59"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115</w:t>
            </w:r>
          </w:p>
        </w:tc>
      </w:tr>
      <w:tr w:rsidR="008766EA" w:rsidRPr="00E73D3B" w14:paraId="7BA20C02" w14:textId="77777777" w:rsidTr="004442DF">
        <w:trPr>
          <w:trHeight w:val="401"/>
        </w:trPr>
        <w:tc>
          <w:tcPr>
            <w:tcW w:w="1276" w:type="dxa"/>
            <w:shd w:val="clear" w:color="auto" w:fill="auto"/>
            <w:vAlign w:val="center"/>
            <w:hideMark/>
          </w:tcPr>
          <w:p w14:paraId="10D7086C"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9000-30-0</w:t>
            </w:r>
          </w:p>
        </w:tc>
        <w:tc>
          <w:tcPr>
            <w:tcW w:w="2835" w:type="dxa"/>
            <w:shd w:val="clear" w:color="auto" w:fill="auto"/>
            <w:vAlign w:val="center"/>
            <w:hideMark/>
          </w:tcPr>
          <w:p w14:paraId="246AD773"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Guar gum</w:t>
            </w:r>
          </w:p>
        </w:tc>
        <w:tc>
          <w:tcPr>
            <w:tcW w:w="1559" w:type="dxa"/>
            <w:shd w:val="clear" w:color="auto" w:fill="auto"/>
            <w:vAlign w:val="center"/>
          </w:tcPr>
          <w:p w14:paraId="31D823CE" w14:textId="27CA3523"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2,600</w:t>
            </w:r>
          </w:p>
        </w:tc>
        <w:tc>
          <w:tcPr>
            <w:tcW w:w="993" w:type="dxa"/>
            <w:shd w:val="clear" w:color="auto" w:fill="F2F2F2" w:themeFill="background1" w:themeFillShade="F2"/>
            <w:vAlign w:val="center"/>
            <w:hideMark/>
          </w:tcPr>
          <w:p w14:paraId="4BE2652F"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0.22</w:t>
            </w:r>
          </w:p>
        </w:tc>
        <w:tc>
          <w:tcPr>
            <w:tcW w:w="1559" w:type="dxa"/>
            <w:shd w:val="clear" w:color="auto" w:fill="auto"/>
            <w:vAlign w:val="center"/>
          </w:tcPr>
          <w:p w14:paraId="4750A3A0" w14:textId="4D37A38E"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11,927</w:t>
            </w:r>
          </w:p>
        </w:tc>
      </w:tr>
      <w:tr w:rsidR="008766EA" w:rsidRPr="00E73D3B" w14:paraId="1CDAA32B" w14:textId="77777777" w:rsidTr="004442DF">
        <w:trPr>
          <w:trHeight w:val="263"/>
        </w:trPr>
        <w:tc>
          <w:tcPr>
            <w:tcW w:w="1276" w:type="dxa"/>
            <w:shd w:val="clear" w:color="auto" w:fill="auto"/>
            <w:vAlign w:val="center"/>
            <w:hideMark/>
          </w:tcPr>
          <w:p w14:paraId="24F8C1AB"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7647-14-5</w:t>
            </w:r>
          </w:p>
        </w:tc>
        <w:tc>
          <w:tcPr>
            <w:tcW w:w="2835" w:type="dxa"/>
            <w:shd w:val="clear" w:color="auto" w:fill="auto"/>
            <w:vAlign w:val="center"/>
            <w:hideMark/>
          </w:tcPr>
          <w:p w14:paraId="762A82CD" w14:textId="77777777" w:rsidR="008766EA" w:rsidRPr="00E73D3B" w:rsidRDefault="008766EA" w:rsidP="008766EA">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Sodium chloride</w:t>
            </w:r>
          </w:p>
        </w:tc>
        <w:tc>
          <w:tcPr>
            <w:tcW w:w="1559" w:type="dxa"/>
            <w:shd w:val="clear" w:color="auto" w:fill="auto"/>
            <w:vAlign w:val="center"/>
          </w:tcPr>
          <w:p w14:paraId="57E8EFD4" w14:textId="2E079DDA"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400</w:t>
            </w:r>
          </w:p>
        </w:tc>
        <w:tc>
          <w:tcPr>
            <w:tcW w:w="993" w:type="dxa"/>
            <w:shd w:val="clear" w:color="auto" w:fill="F2F2F2" w:themeFill="background1" w:themeFillShade="F2"/>
            <w:vAlign w:val="center"/>
            <w:hideMark/>
          </w:tcPr>
          <w:p w14:paraId="1E456D83" w14:textId="77777777" w:rsidR="008766EA" w:rsidRPr="00CF6E27" w:rsidRDefault="008766EA" w:rsidP="008766EA">
            <w:pPr>
              <w:spacing w:after="0"/>
              <w:jc w:val="center"/>
              <w:rPr>
                <w:rFonts w:ascii="Calibri" w:eastAsia="Times New Roman" w:hAnsi="Calibri" w:cs="Times New Roman"/>
                <w:i/>
                <w:color w:val="000000"/>
                <w:sz w:val="18"/>
                <w:szCs w:val="18"/>
                <w:lang w:val="en-AU" w:eastAsia="en-AU"/>
              </w:rPr>
            </w:pPr>
            <w:r w:rsidRPr="00CF6E27">
              <w:rPr>
                <w:rFonts w:ascii="Calibri" w:eastAsia="Times New Roman" w:hAnsi="Calibri" w:cs="Times New Roman"/>
                <w:i/>
                <w:color w:val="000000"/>
                <w:sz w:val="18"/>
                <w:szCs w:val="18"/>
                <w:lang w:val="en-AU" w:eastAsia="en-AU"/>
              </w:rPr>
              <w:t>3.14</w:t>
            </w:r>
          </w:p>
        </w:tc>
        <w:tc>
          <w:tcPr>
            <w:tcW w:w="1559" w:type="dxa"/>
            <w:shd w:val="clear" w:color="auto" w:fill="auto"/>
            <w:vAlign w:val="center"/>
          </w:tcPr>
          <w:p w14:paraId="6886F7BB" w14:textId="5807A3ED" w:rsidR="008766EA" w:rsidRPr="00E73D3B" w:rsidRDefault="008766EA" w:rsidP="008766EA">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127</w:t>
            </w:r>
          </w:p>
        </w:tc>
      </w:tr>
    </w:tbl>
    <w:p w14:paraId="40F9F91D" w14:textId="485DEE18" w:rsidR="00DA0171" w:rsidRDefault="00DA0171" w:rsidP="00DA0171">
      <w:pPr>
        <w:pStyle w:val="Body"/>
      </w:pPr>
      <w:r>
        <w:t xml:space="preserve">We next compare maximum concentrations of inorganic elements measured in laboratory tests where coal samples were subjected to acidic fluids to simulate effects of hydraulic fracturing fluids on release of inorganic elements (see Section </w:t>
      </w:r>
      <w:r>
        <w:fldChar w:fldCharType="begin" w:fldLock="1"/>
      </w:r>
      <w:r>
        <w:instrText xml:space="preserve"> REF _Ref470964871 \r \h </w:instrText>
      </w:r>
      <w:r>
        <w:fldChar w:fldCharType="separate"/>
      </w:r>
      <w:r w:rsidR="00335E79">
        <w:t>4.5</w:t>
      </w:r>
      <w:r>
        <w:fldChar w:fldCharType="end"/>
      </w:r>
      <w:r>
        <w:t xml:space="preserve">) with their </w:t>
      </w:r>
      <w:r w:rsidRPr="00B76F29">
        <w:t>water quality guidelines for aquatic ecosystem protection</w:t>
      </w:r>
      <w:r>
        <w:t>. The minimum DAF value was calculated that would result in a risk quotiont RQ &lt; 1 (</w:t>
      </w:r>
      <w:r>
        <w:fldChar w:fldCharType="begin" w:fldLock="1"/>
      </w:r>
      <w:r>
        <w:instrText xml:space="preserve"> REF _Ref467876203 \h  \* MERGEFORMAT </w:instrText>
      </w:r>
      <w:r>
        <w:fldChar w:fldCharType="separate"/>
      </w:r>
      <w:r w:rsidR="00335E79" w:rsidRPr="00D976C8">
        <w:t xml:space="preserve">Table </w:t>
      </w:r>
      <w:r w:rsidR="00335E79">
        <w:t>5</w:t>
      </w:r>
      <w:r w:rsidR="00335E79">
        <w:noBreakHyphen/>
        <w:t>25</w:t>
      </w:r>
      <w:r>
        <w:fldChar w:fldCharType="end"/>
      </w:r>
      <w:r>
        <w:t>). The largest required DAF value is 9,200 for lanthanum, with the next larger 2,600 for aluminium. In other words, for all inorganic elements, except lanthanum, a sufficiently large DAF value is obtained within a distance of 1.5 km travel distance</w:t>
      </w:r>
      <w:r w:rsidRPr="00C24951">
        <w:t xml:space="preserve"> </w:t>
      </w:r>
      <w:r>
        <w:t>(</w:t>
      </w:r>
      <w:r w:rsidRPr="0026538F">
        <w:t>DAF = 4,</w:t>
      </w:r>
      <w:r>
        <w:t>85</w:t>
      </w:r>
      <w:r w:rsidRPr="0026538F">
        <w:t>0</w:t>
      </w:r>
      <w:r>
        <w:t>). This assessment does only account for dilution/dispersion; additional attenuation (e.g. due to sorption) is likely for most of these elements.</w:t>
      </w:r>
    </w:p>
    <w:p w14:paraId="12618C53" w14:textId="77777777" w:rsidR="0064229D" w:rsidRDefault="0064229D" w:rsidP="00C95533">
      <w:pPr>
        <w:pStyle w:val="Body"/>
      </w:pPr>
    </w:p>
    <w:p w14:paraId="130D706B" w14:textId="5A22819C" w:rsidR="00E13005" w:rsidRPr="00E13005" w:rsidRDefault="000C519C" w:rsidP="00D976C8">
      <w:pPr>
        <w:pStyle w:val="Imagecaption"/>
        <w:keepNext/>
        <w:pBdr>
          <w:top w:val="none" w:sz="0" w:space="0" w:color="auto"/>
        </w:pBdr>
      </w:pPr>
      <w:bookmarkStart w:id="745" w:name="_Ref467876203"/>
      <w:bookmarkStart w:id="746" w:name="_Toc494444753"/>
      <w:r w:rsidRPr="00D976C8">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25</w:t>
      </w:r>
      <w:r w:rsidR="00470577">
        <w:fldChar w:fldCharType="end"/>
      </w:r>
      <w:bookmarkEnd w:id="745"/>
      <w:r w:rsidRPr="00D976C8">
        <w:t xml:space="preserve"> Selection of </w:t>
      </w:r>
      <w:r w:rsidR="00B137E7" w:rsidRPr="00D976C8">
        <w:t>trace</w:t>
      </w:r>
      <w:r w:rsidRPr="00D976C8">
        <w:t xml:space="preserve"> elements measured in laboratory test</w:t>
      </w:r>
      <w:r w:rsidR="00B137E7" w:rsidRPr="00D976C8">
        <w:t>s</w:t>
      </w:r>
      <w:r w:rsidRPr="00D976C8">
        <w:t>, guide values</w:t>
      </w:r>
      <w:r w:rsidR="00F616DB">
        <w:t xml:space="preserve"> (</w:t>
      </w:r>
      <w:r w:rsidR="00F616DB" w:rsidRPr="00787225">
        <w:t>NHMRC and NHMMC 2011</w:t>
      </w:r>
      <w:r w:rsidR="00F616DB">
        <w:t>)</w:t>
      </w:r>
      <w:r w:rsidRPr="00D976C8">
        <w:t>, and minimum Dilution Attenuation Factor (DAF) required to achieve RQ &lt; 1.</w:t>
      </w:r>
      <w:bookmarkEnd w:id="746"/>
      <w:r>
        <w:fldChar w:fldCharType="begin"/>
      </w:r>
      <w:r>
        <w:instrText xml:space="preserve"> LINK </w:instrText>
      </w:r>
      <w:r w:rsidR="00542EC5">
        <w:instrText xml:space="preserve">Excel.Sheet.12 "C:\\Research Projects\\CSG\\NICNAS\\Reports\\Milestone 17\\Reviews\\PECs SW and GW.xlsx" Geogenics!R3C27:R24C31 </w:instrText>
      </w:r>
      <w:r>
        <w:instrText xml:space="preserve">\a \f 4 \h </w:instrText>
      </w:r>
      <w:r w:rsidR="00CF6E27">
        <w:instrText xml:space="preserve"> \* MERGEFORMAT </w:instrText>
      </w:r>
      <w:r>
        <w:fldChar w:fldCharType="separate"/>
      </w:r>
    </w:p>
    <w:tbl>
      <w:tblPr>
        <w:tblW w:w="5944" w:type="dxa"/>
        <w:tblLook w:val="04A0" w:firstRow="1" w:lastRow="0" w:firstColumn="1" w:lastColumn="0" w:noHBand="0" w:noVBand="1"/>
      </w:tblPr>
      <w:tblGrid>
        <w:gridCol w:w="960"/>
        <w:gridCol w:w="960"/>
        <w:gridCol w:w="1080"/>
        <w:gridCol w:w="1480"/>
        <w:gridCol w:w="1464"/>
      </w:tblGrid>
      <w:tr w:rsidR="00E13005" w:rsidRPr="00E13005" w14:paraId="29369846" w14:textId="77777777" w:rsidTr="00E13005">
        <w:trPr>
          <w:divId w:val="199173917"/>
          <w:trHeight w:val="790"/>
        </w:trPr>
        <w:tc>
          <w:tcPr>
            <w:tcW w:w="960" w:type="dxa"/>
            <w:shd w:val="clear" w:color="000000" w:fill="F2F2F2" w:themeFill="background1" w:themeFillShade="F2"/>
            <w:vAlign w:val="center"/>
            <w:hideMark/>
          </w:tcPr>
          <w:p w14:paraId="1B66E148" w14:textId="77777777" w:rsidR="00E13005" w:rsidRPr="00E13005" w:rsidRDefault="00E13005" w:rsidP="00E13005">
            <w:pPr>
              <w:pStyle w:val="Body"/>
            </w:pPr>
            <w:r w:rsidRPr="00E13005">
              <w:t>Element</w:t>
            </w:r>
          </w:p>
        </w:tc>
        <w:tc>
          <w:tcPr>
            <w:tcW w:w="960" w:type="dxa"/>
            <w:shd w:val="clear" w:color="000000" w:fill="F2F2F2" w:themeFill="background1" w:themeFillShade="F2"/>
            <w:vAlign w:val="center"/>
            <w:hideMark/>
          </w:tcPr>
          <w:p w14:paraId="54DD4199" w14:textId="77777777" w:rsidR="00E13005" w:rsidRPr="00E13005" w:rsidRDefault="00E13005" w:rsidP="00E13005">
            <w:pPr>
              <w:pStyle w:val="Body"/>
            </w:pPr>
            <w:r w:rsidRPr="00E13005">
              <w:t>Units</w:t>
            </w:r>
          </w:p>
        </w:tc>
        <w:tc>
          <w:tcPr>
            <w:tcW w:w="1080" w:type="dxa"/>
            <w:shd w:val="clear" w:color="000000" w:fill="F2F2F2" w:themeFill="background1" w:themeFillShade="F2"/>
            <w:vAlign w:val="center"/>
            <w:hideMark/>
          </w:tcPr>
          <w:p w14:paraId="472A7E7F" w14:textId="77777777" w:rsidR="00E13005" w:rsidRPr="00E13005" w:rsidRDefault="00E13005" w:rsidP="00E13005">
            <w:pPr>
              <w:pStyle w:val="Body"/>
            </w:pPr>
            <w:r w:rsidRPr="00E13005">
              <w:t>Guideline value</w:t>
            </w:r>
          </w:p>
        </w:tc>
        <w:tc>
          <w:tcPr>
            <w:tcW w:w="1480" w:type="dxa"/>
            <w:shd w:val="clear" w:color="000000" w:fill="F2F2F2" w:themeFill="background1" w:themeFillShade="F2"/>
            <w:vAlign w:val="center"/>
            <w:hideMark/>
          </w:tcPr>
          <w:p w14:paraId="4443A7E7" w14:textId="77777777" w:rsidR="00E13005" w:rsidRPr="00E13005" w:rsidRDefault="00E13005" w:rsidP="00E13005">
            <w:pPr>
              <w:pStyle w:val="Body"/>
            </w:pPr>
            <w:r w:rsidRPr="00E13005">
              <w:t>Maximum concentration</w:t>
            </w:r>
          </w:p>
        </w:tc>
        <w:tc>
          <w:tcPr>
            <w:tcW w:w="1464" w:type="dxa"/>
            <w:shd w:val="clear" w:color="000000" w:fill="F2F2F2" w:themeFill="background1" w:themeFillShade="F2"/>
            <w:vAlign w:val="center"/>
            <w:hideMark/>
          </w:tcPr>
          <w:p w14:paraId="728D139E" w14:textId="77777777" w:rsidR="00E13005" w:rsidRPr="00E13005" w:rsidRDefault="00E13005" w:rsidP="00E13005">
            <w:pPr>
              <w:pStyle w:val="Body"/>
            </w:pPr>
            <w:r w:rsidRPr="00E13005">
              <w:t>Minimum DAF for RQ &lt;1</w:t>
            </w:r>
          </w:p>
        </w:tc>
      </w:tr>
      <w:tr w:rsidR="00E13005" w:rsidRPr="00E13005" w14:paraId="7425DCBE" w14:textId="77777777" w:rsidTr="00E13005">
        <w:trPr>
          <w:divId w:val="199173917"/>
          <w:trHeight w:hRule="exact" w:val="340"/>
        </w:trPr>
        <w:tc>
          <w:tcPr>
            <w:tcW w:w="960" w:type="dxa"/>
            <w:shd w:val="clear" w:color="auto" w:fill="auto"/>
            <w:vAlign w:val="center"/>
            <w:hideMark/>
          </w:tcPr>
          <w:p w14:paraId="2E7C8348" w14:textId="77777777" w:rsidR="00E13005" w:rsidRPr="00E13005" w:rsidRDefault="00E13005" w:rsidP="00E13005">
            <w:pPr>
              <w:pStyle w:val="Body"/>
            </w:pPr>
            <w:r w:rsidRPr="00E13005">
              <w:t>Al</w:t>
            </w:r>
          </w:p>
        </w:tc>
        <w:tc>
          <w:tcPr>
            <w:tcW w:w="960" w:type="dxa"/>
            <w:shd w:val="clear" w:color="auto" w:fill="auto"/>
            <w:vAlign w:val="center"/>
            <w:hideMark/>
          </w:tcPr>
          <w:p w14:paraId="79C5306D" w14:textId="77777777" w:rsidR="00E13005" w:rsidRPr="00E13005" w:rsidRDefault="00E13005" w:rsidP="00E13005">
            <w:pPr>
              <w:pStyle w:val="Body"/>
            </w:pPr>
            <w:r w:rsidRPr="00E13005">
              <w:t>mg/L</w:t>
            </w:r>
          </w:p>
        </w:tc>
        <w:tc>
          <w:tcPr>
            <w:tcW w:w="1080" w:type="dxa"/>
            <w:shd w:val="clear" w:color="000000" w:fill="F2F2F2"/>
            <w:vAlign w:val="center"/>
            <w:hideMark/>
          </w:tcPr>
          <w:p w14:paraId="1CDFCC8C" w14:textId="77777777" w:rsidR="00E13005" w:rsidRPr="00E13005" w:rsidRDefault="00E13005" w:rsidP="00E13005">
            <w:pPr>
              <w:pStyle w:val="Body"/>
            </w:pPr>
            <w:r w:rsidRPr="00E13005">
              <w:t>0.055</w:t>
            </w:r>
          </w:p>
        </w:tc>
        <w:tc>
          <w:tcPr>
            <w:tcW w:w="1480" w:type="dxa"/>
            <w:shd w:val="clear" w:color="auto" w:fill="auto"/>
            <w:vAlign w:val="center"/>
            <w:hideMark/>
          </w:tcPr>
          <w:p w14:paraId="50B6CF94" w14:textId="77777777" w:rsidR="00E13005" w:rsidRPr="00E13005" w:rsidRDefault="00E13005" w:rsidP="00E13005">
            <w:pPr>
              <w:pStyle w:val="Body"/>
            </w:pPr>
            <w:r w:rsidRPr="00E13005">
              <w:t>143</w:t>
            </w:r>
          </w:p>
        </w:tc>
        <w:tc>
          <w:tcPr>
            <w:tcW w:w="1464" w:type="dxa"/>
            <w:shd w:val="clear" w:color="auto" w:fill="auto"/>
            <w:vAlign w:val="center"/>
            <w:hideMark/>
          </w:tcPr>
          <w:p w14:paraId="10464DDD" w14:textId="77777777" w:rsidR="00E13005" w:rsidRPr="00E13005" w:rsidRDefault="00E13005" w:rsidP="00E13005">
            <w:pPr>
              <w:pStyle w:val="Body"/>
            </w:pPr>
            <w:r w:rsidRPr="00E13005">
              <w:t>2600</w:t>
            </w:r>
          </w:p>
        </w:tc>
      </w:tr>
      <w:tr w:rsidR="00E13005" w:rsidRPr="00E13005" w14:paraId="6799290A" w14:textId="77777777" w:rsidTr="00E13005">
        <w:trPr>
          <w:divId w:val="199173917"/>
          <w:trHeight w:hRule="exact" w:val="340"/>
        </w:trPr>
        <w:tc>
          <w:tcPr>
            <w:tcW w:w="960" w:type="dxa"/>
            <w:shd w:val="clear" w:color="auto" w:fill="auto"/>
            <w:vAlign w:val="center"/>
            <w:hideMark/>
          </w:tcPr>
          <w:p w14:paraId="6B924D79" w14:textId="77777777" w:rsidR="00E13005" w:rsidRPr="00E13005" w:rsidRDefault="00E13005" w:rsidP="00E13005">
            <w:pPr>
              <w:pStyle w:val="Body"/>
            </w:pPr>
            <w:r w:rsidRPr="00E13005">
              <w:t>Sb</w:t>
            </w:r>
          </w:p>
        </w:tc>
        <w:tc>
          <w:tcPr>
            <w:tcW w:w="960" w:type="dxa"/>
            <w:shd w:val="clear" w:color="auto" w:fill="auto"/>
            <w:vAlign w:val="center"/>
            <w:hideMark/>
          </w:tcPr>
          <w:p w14:paraId="66B2FCE3" w14:textId="77777777" w:rsidR="00E13005" w:rsidRPr="00E13005" w:rsidRDefault="00E13005" w:rsidP="00E13005">
            <w:pPr>
              <w:pStyle w:val="Body"/>
            </w:pPr>
            <w:r w:rsidRPr="00E13005">
              <w:t>μg/L</w:t>
            </w:r>
          </w:p>
        </w:tc>
        <w:tc>
          <w:tcPr>
            <w:tcW w:w="1080" w:type="dxa"/>
            <w:shd w:val="clear" w:color="000000" w:fill="F2F2F2"/>
            <w:vAlign w:val="center"/>
            <w:hideMark/>
          </w:tcPr>
          <w:p w14:paraId="7B9C79E3" w14:textId="77777777" w:rsidR="00E13005" w:rsidRPr="00E13005" w:rsidRDefault="00E13005" w:rsidP="00E13005">
            <w:pPr>
              <w:pStyle w:val="Body"/>
            </w:pPr>
            <w:r w:rsidRPr="00E13005">
              <w:t>9</w:t>
            </w:r>
          </w:p>
        </w:tc>
        <w:tc>
          <w:tcPr>
            <w:tcW w:w="1480" w:type="dxa"/>
            <w:shd w:val="clear" w:color="auto" w:fill="auto"/>
            <w:vAlign w:val="center"/>
            <w:hideMark/>
          </w:tcPr>
          <w:p w14:paraId="3CFCE91C" w14:textId="77777777" w:rsidR="00E13005" w:rsidRPr="00E13005" w:rsidRDefault="00E13005" w:rsidP="00E13005">
            <w:pPr>
              <w:pStyle w:val="Body"/>
            </w:pPr>
            <w:r w:rsidRPr="00E13005">
              <w:t>1.51</w:t>
            </w:r>
          </w:p>
        </w:tc>
        <w:tc>
          <w:tcPr>
            <w:tcW w:w="1464" w:type="dxa"/>
            <w:shd w:val="clear" w:color="auto" w:fill="auto"/>
            <w:vAlign w:val="center"/>
            <w:hideMark/>
          </w:tcPr>
          <w:p w14:paraId="4D87A386" w14:textId="77777777" w:rsidR="00E13005" w:rsidRPr="00E13005" w:rsidRDefault="00E13005" w:rsidP="00E13005">
            <w:pPr>
              <w:pStyle w:val="Body"/>
            </w:pPr>
            <w:r w:rsidRPr="00E13005">
              <w:t>0.2</w:t>
            </w:r>
          </w:p>
        </w:tc>
      </w:tr>
      <w:tr w:rsidR="00E13005" w:rsidRPr="00E13005" w14:paraId="4B2C0991" w14:textId="77777777" w:rsidTr="00E13005">
        <w:trPr>
          <w:divId w:val="199173917"/>
          <w:trHeight w:hRule="exact" w:val="340"/>
        </w:trPr>
        <w:tc>
          <w:tcPr>
            <w:tcW w:w="960" w:type="dxa"/>
            <w:shd w:val="clear" w:color="auto" w:fill="auto"/>
            <w:vAlign w:val="center"/>
            <w:hideMark/>
          </w:tcPr>
          <w:p w14:paraId="79C84AE8" w14:textId="77777777" w:rsidR="00E13005" w:rsidRPr="00E13005" w:rsidRDefault="00E13005" w:rsidP="00E13005">
            <w:pPr>
              <w:pStyle w:val="Body"/>
            </w:pPr>
            <w:r w:rsidRPr="00E13005">
              <w:t>As</w:t>
            </w:r>
          </w:p>
        </w:tc>
        <w:tc>
          <w:tcPr>
            <w:tcW w:w="960" w:type="dxa"/>
            <w:shd w:val="clear" w:color="auto" w:fill="auto"/>
            <w:vAlign w:val="center"/>
            <w:hideMark/>
          </w:tcPr>
          <w:p w14:paraId="13EEA42A" w14:textId="77777777" w:rsidR="00E13005" w:rsidRPr="00E13005" w:rsidRDefault="00E13005" w:rsidP="00E13005">
            <w:pPr>
              <w:pStyle w:val="Body"/>
            </w:pPr>
            <w:r w:rsidRPr="00E13005">
              <w:t>μg/L</w:t>
            </w:r>
          </w:p>
        </w:tc>
        <w:tc>
          <w:tcPr>
            <w:tcW w:w="1080" w:type="dxa"/>
            <w:shd w:val="clear" w:color="000000" w:fill="F2F2F2"/>
            <w:vAlign w:val="center"/>
            <w:hideMark/>
          </w:tcPr>
          <w:p w14:paraId="451C98BA" w14:textId="77777777" w:rsidR="00E13005" w:rsidRPr="00E13005" w:rsidRDefault="00E13005" w:rsidP="00E13005">
            <w:pPr>
              <w:pStyle w:val="Body"/>
            </w:pPr>
            <w:r w:rsidRPr="00E13005">
              <w:t>13</w:t>
            </w:r>
          </w:p>
        </w:tc>
        <w:tc>
          <w:tcPr>
            <w:tcW w:w="1480" w:type="dxa"/>
            <w:shd w:val="clear" w:color="auto" w:fill="auto"/>
            <w:vAlign w:val="center"/>
            <w:hideMark/>
          </w:tcPr>
          <w:p w14:paraId="751BFD9F" w14:textId="77777777" w:rsidR="00E13005" w:rsidRPr="00E13005" w:rsidRDefault="00E13005" w:rsidP="00E13005">
            <w:pPr>
              <w:pStyle w:val="Body"/>
            </w:pPr>
            <w:r w:rsidRPr="00E13005">
              <w:t>23</w:t>
            </w:r>
          </w:p>
        </w:tc>
        <w:tc>
          <w:tcPr>
            <w:tcW w:w="1464" w:type="dxa"/>
            <w:shd w:val="clear" w:color="auto" w:fill="auto"/>
            <w:vAlign w:val="center"/>
            <w:hideMark/>
          </w:tcPr>
          <w:p w14:paraId="4DDDA5BC" w14:textId="77777777" w:rsidR="00E13005" w:rsidRPr="00E13005" w:rsidRDefault="00E13005" w:rsidP="00E13005">
            <w:pPr>
              <w:pStyle w:val="Body"/>
            </w:pPr>
            <w:r w:rsidRPr="00E13005">
              <w:t>2</w:t>
            </w:r>
          </w:p>
        </w:tc>
      </w:tr>
      <w:tr w:rsidR="00E13005" w:rsidRPr="00E13005" w14:paraId="4E5690DD" w14:textId="77777777" w:rsidTr="00E13005">
        <w:trPr>
          <w:divId w:val="199173917"/>
          <w:trHeight w:hRule="exact" w:val="340"/>
        </w:trPr>
        <w:tc>
          <w:tcPr>
            <w:tcW w:w="960" w:type="dxa"/>
            <w:shd w:val="clear" w:color="auto" w:fill="auto"/>
            <w:vAlign w:val="center"/>
            <w:hideMark/>
          </w:tcPr>
          <w:p w14:paraId="7377EB92" w14:textId="77777777" w:rsidR="00E13005" w:rsidRPr="00E13005" w:rsidRDefault="00E13005" w:rsidP="00E13005">
            <w:pPr>
              <w:pStyle w:val="Body"/>
            </w:pPr>
            <w:r w:rsidRPr="00E13005">
              <w:t>Be</w:t>
            </w:r>
          </w:p>
        </w:tc>
        <w:tc>
          <w:tcPr>
            <w:tcW w:w="960" w:type="dxa"/>
            <w:shd w:val="clear" w:color="auto" w:fill="auto"/>
            <w:vAlign w:val="center"/>
            <w:hideMark/>
          </w:tcPr>
          <w:p w14:paraId="5A952F75" w14:textId="77777777" w:rsidR="00E13005" w:rsidRPr="00E13005" w:rsidRDefault="00E13005" w:rsidP="00E13005">
            <w:pPr>
              <w:pStyle w:val="Body"/>
            </w:pPr>
            <w:r w:rsidRPr="00E13005">
              <w:t>μg/L</w:t>
            </w:r>
          </w:p>
        </w:tc>
        <w:tc>
          <w:tcPr>
            <w:tcW w:w="1080" w:type="dxa"/>
            <w:shd w:val="clear" w:color="000000" w:fill="F2F2F2"/>
            <w:vAlign w:val="center"/>
            <w:hideMark/>
          </w:tcPr>
          <w:p w14:paraId="284A793E" w14:textId="77777777" w:rsidR="00E13005" w:rsidRPr="00E13005" w:rsidRDefault="00E13005" w:rsidP="00E13005">
            <w:pPr>
              <w:pStyle w:val="Body"/>
            </w:pPr>
            <w:r w:rsidRPr="00E13005">
              <w:t>0.13</w:t>
            </w:r>
          </w:p>
        </w:tc>
        <w:tc>
          <w:tcPr>
            <w:tcW w:w="1480" w:type="dxa"/>
            <w:shd w:val="clear" w:color="auto" w:fill="auto"/>
            <w:vAlign w:val="center"/>
            <w:hideMark/>
          </w:tcPr>
          <w:p w14:paraId="4C19FBEA" w14:textId="77777777" w:rsidR="00E13005" w:rsidRPr="00E13005" w:rsidRDefault="00E13005" w:rsidP="00E13005">
            <w:pPr>
              <w:pStyle w:val="Body"/>
            </w:pPr>
            <w:r w:rsidRPr="00E13005">
              <w:t>13</w:t>
            </w:r>
          </w:p>
        </w:tc>
        <w:tc>
          <w:tcPr>
            <w:tcW w:w="1464" w:type="dxa"/>
            <w:shd w:val="clear" w:color="auto" w:fill="auto"/>
            <w:vAlign w:val="center"/>
            <w:hideMark/>
          </w:tcPr>
          <w:p w14:paraId="1BE22949" w14:textId="77777777" w:rsidR="00E13005" w:rsidRPr="00E13005" w:rsidRDefault="00E13005" w:rsidP="00E13005">
            <w:pPr>
              <w:pStyle w:val="Body"/>
            </w:pPr>
            <w:r w:rsidRPr="00E13005">
              <w:t>100</w:t>
            </w:r>
          </w:p>
        </w:tc>
      </w:tr>
      <w:tr w:rsidR="00E13005" w:rsidRPr="00E13005" w14:paraId="7D93695D" w14:textId="77777777" w:rsidTr="00E13005">
        <w:trPr>
          <w:divId w:val="199173917"/>
          <w:trHeight w:hRule="exact" w:val="340"/>
        </w:trPr>
        <w:tc>
          <w:tcPr>
            <w:tcW w:w="960" w:type="dxa"/>
            <w:shd w:val="clear" w:color="auto" w:fill="auto"/>
            <w:vAlign w:val="center"/>
            <w:hideMark/>
          </w:tcPr>
          <w:p w14:paraId="6A0042BA" w14:textId="77777777" w:rsidR="00E13005" w:rsidRPr="00E13005" w:rsidRDefault="00E13005" w:rsidP="00E13005">
            <w:pPr>
              <w:pStyle w:val="Body"/>
            </w:pPr>
            <w:r w:rsidRPr="00E13005">
              <w:t>B</w:t>
            </w:r>
          </w:p>
        </w:tc>
        <w:tc>
          <w:tcPr>
            <w:tcW w:w="960" w:type="dxa"/>
            <w:shd w:val="clear" w:color="auto" w:fill="auto"/>
            <w:vAlign w:val="center"/>
            <w:hideMark/>
          </w:tcPr>
          <w:p w14:paraId="270CCE9C" w14:textId="77777777" w:rsidR="00E13005" w:rsidRPr="00E13005" w:rsidRDefault="00E13005" w:rsidP="00E13005">
            <w:pPr>
              <w:pStyle w:val="Body"/>
            </w:pPr>
            <w:r w:rsidRPr="00E13005">
              <w:t>μg/L</w:t>
            </w:r>
          </w:p>
        </w:tc>
        <w:tc>
          <w:tcPr>
            <w:tcW w:w="1080" w:type="dxa"/>
            <w:shd w:val="clear" w:color="000000" w:fill="F2F2F2"/>
            <w:vAlign w:val="center"/>
            <w:hideMark/>
          </w:tcPr>
          <w:p w14:paraId="315F05DF" w14:textId="77777777" w:rsidR="00E13005" w:rsidRPr="00E13005" w:rsidRDefault="00E13005" w:rsidP="00E13005">
            <w:pPr>
              <w:pStyle w:val="Body"/>
            </w:pPr>
            <w:r w:rsidRPr="00E13005">
              <w:t>370</w:t>
            </w:r>
          </w:p>
        </w:tc>
        <w:tc>
          <w:tcPr>
            <w:tcW w:w="1480" w:type="dxa"/>
            <w:shd w:val="clear" w:color="auto" w:fill="auto"/>
            <w:vAlign w:val="center"/>
            <w:hideMark/>
          </w:tcPr>
          <w:p w14:paraId="257115A1" w14:textId="77777777" w:rsidR="00E13005" w:rsidRPr="00E13005" w:rsidRDefault="00E13005" w:rsidP="00E13005">
            <w:pPr>
              <w:pStyle w:val="Body"/>
            </w:pPr>
            <w:r w:rsidRPr="00E13005">
              <w:t>617</w:t>
            </w:r>
          </w:p>
        </w:tc>
        <w:tc>
          <w:tcPr>
            <w:tcW w:w="1464" w:type="dxa"/>
            <w:shd w:val="clear" w:color="auto" w:fill="auto"/>
            <w:vAlign w:val="center"/>
            <w:hideMark/>
          </w:tcPr>
          <w:p w14:paraId="7E577E40" w14:textId="77777777" w:rsidR="00E13005" w:rsidRPr="00E13005" w:rsidRDefault="00E13005" w:rsidP="00E13005">
            <w:pPr>
              <w:pStyle w:val="Body"/>
            </w:pPr>
            <w:r w:rsidRPr="00E13005">
              <w:t>2</w:t>
            </w:r>
          </w:p>
        </w:tc>
      </w:tr>
      <w:tr w:rsidR="00E13005" w:rsidRPr="00E13005" w14:paraId="31BA1E51" w14:textId="77777777" w:rsidTr="00E13005">
        <w:trPr>
          <w:divId w:val="199173917"/>
          <w:trHeight w:hRule="exact" w:val="340"/>
        </w:trPr>
        <w:tc>
          <w:tcPr>
            <w:tcW w:w="960" w:type="dxa"/>
            <w:shd w:val="clear" w:color="auto" w:fill="auto"/>
            <w:vAlign w:val="center"/>
            <w:hideMark/>
          </w:tcPr>
          <w:p w14:paraId="1B3E0867" w14:textId="77777777" w:rsidR="00E13005" w:rsidRPr="00E13005" w:rsidRDefault="00E13005" w:rsidP="00E13005">
            <w:pPr>
              <w:pStyle w:val="Body"/>
            </w:pPr>
            <w:r w:rsidRPr="00E13005">
              <w:t>Cd</w:t>
            </w:r>
          </w:p>
        </w:tc>
        <w:tc>
          <w:tcPr>
            <w:tcW w:w="960" w:type="dxa"/>
            <w:shd w:val="clear" w:color="auto" w:fill="auto"/>
            <w:vAlign w:val="center"/>
            <w:hideMark/>
          </w:tcPr>
          <w:p w14:paraId="35D51562" w14:textId="77777777" w:rsidR="00E13005" w:rsidRPr="00E13005" w:rsidRDefault="00E13005" w:rsidP="00E13005">
            <w:pPr>
              <w:pStyle w:val="Body"/>
            </w:pPr>
            <w:r w:rsidRPr="00E13005">
              <w:t>μg/L</w:t>
            </w:r>
          </w:p>
        </w:tc>
        <w:tc>
          <w:tcPr>
            <w:tcW w:w="1080" w:type="dxa"/>
            <w:shd w:val="clear" w:color="000000" w:fill="F2F2F2"/>
            <w:vAlign w:val="center"/>
            <w:hideMark/>
          </w:tcPr>
          <w:p w14:paraId="4AA232C2" w14:textId="77777777" w:rsidR="00E13005" w:rsidRPr="00E13005" w:rsidRDefault="00E13005" w:rsidP="00E13005">
            <w:pPr>
              <w:pStyle w:val="Body"/>
            </w:pPr>
            <w:r w:rsidRPr="00E13005">
              <w:t>0.2</w:t>
            </w:r>
          </w:p>
        </w:tc>
        <w:tc>
          <w:tcPr>
            <w:tcW w:w="1480" w:type="dxa"/>
            <w:shd w:val="clear" w:color="auto" w:fill="auto"/>
            <w:vAlign w:val="center"/>
            <w:hideMark/>
          </w:tcPr>
          <w:p w14:paraId="4B82145E" w14:textId="77777777" w:rsidR="00E13005" w:rsidRPr="00E13005" w:rsidRDefault="00E13005" w:rsidP="00E13005">
            <w:pPr>
              <w:pStyle w:val="Body"/>
            </w:pPr>
            <w:r w:rsidRPr="00E13005">
              <w:t>33</w:t>
            </w:r>
          </w:p>
        </w:tc>
        <w:tc>
          <w:tcPr>
            <w:tcW w:w="1464" w:type="dxa"/>
            <w:shd w:val="clear" w:color="auto" w:fill="auto"/>
            <w:vAlign w:val="center"/>
            <w:hideMark/>
          </w:tcPr>
          <w:p w14:paraId="58543675" w14:textId="77777777" w:rsidR="00E13005" w:rsidRPr="00E13005" w:rsidRDefault="00E13005" w:rsidP="00E13005">
            <w:pPr>
              <w:pStyle w:val="Body"/>
            </w:pPr>
            <w:r w:rsidRPr="00E13005">
              <w:t>165</w:t>
            </w:r>
          </w:p>
        </w:tc>
      </w:tr>
      <w:tr w:rsidR="00E13005" w:rsidRPr="00E13005" w14:paraId="4568CE9F" w14:textId="77777777" w:rsidTr="00E13005">
        <w:trPr>
          <w:divId w:val="199173917"/>
          <w:trHeight w:hRule="exact" w:val="340"/>
        </w:trPr>
        <w:tc>
          <w:tcPr>
            <w:tcW w:w="960" w:type="dxa"/>
            <w:shd w:val="clear" w:color="auto" w:fill="auto"/>
            <w:vAlign w:val="center"/>
            <w:hideMark/>
          </w:tcPr>
          <w:p w14:paraId="4C29CDE9" w14:textId="77777777" w:rsidR="00E13005" w:rsidRPr="00E13005" w:rsidRDefault="00E13005" w:rsidP="00E13005">
            <w:pPr>
              <w:pStyle w:val="Body"/>
            </w:pPr>
            <w:r w:rsidRPr="00E13005">
              <w:t>Cr</w:t>
            </w:r>
          </w:p>
        </w:tc>
        <w:tc>
          <w:tcPr>
            <w:tcW w:w="960" w:type="dxa"/>
            <w:shd w:val="clear" w:color="auto" w:fill="auto"/>
            <w:vAlign w:val="center"/>
            <w:hideMark/>
          </w:tcPr>
          <w:p w14:paraId="7ACD3E3B" w14:textId="77777777" w:rsidR="00E13005" w:rsidRPr="00E13005" w:rsidRDefault="00E13005" w:rsidP="00E13005">
            <w:pPr>
              <w:pStyle w:val="Body"/>
            </w:pPr>
            <w:r w:rsidRPr="00E13005">
              <w:t>μg/L</w:t>
            </w:r>
          </w:p>
        </w:tc>
        <w:tc>
          <w:tcPr>
            <w:tcW w:w="1080" w:type="dxa"/>
            <w:shd w:val="clear" w:color="000000" w:fill="F2F2F2"/>
            <w:vAlign w:val="center"/>
            <w:hideMark/>
          </w:tcPr>
          <w:p w14:paraId="2ED94E6D" w14:textId="77777777" w:rsidR="00E13005" w:rsidRPr="00E13005" w:rsidRDefault="00E13005" w:rsidP="00E13005">
            <w:pPr>
              <w:pStyle w:val="Body"/>
            </w:pPr>
            <w:r w:rsidRPr="00E13005">
              <w:t>1</w:t>
            </w:r>
          </w:p>
        </w:tc>
        <w:tc>
          <w:tcPr>
            <w:tcW w:w="1480" w:type="dxa"/>
            <w:shd w:val="clear" w:color="auto" w:fill="auto"/>
            <w:vAlign w:val="center"/>
            <w:hideMark/>
          </w:tcPr>
          <w:p w14:paraId="61A28223" w14:textId="77777777" w:rsidR="00E13005" w:rsidRPr="00E13005" w:rsidRDefault="00E13005" w:rsidP="00E13005">
            <w:pPr>
              <w:pStyle w:val="Body"/>
            </w:pPr>
            <w:r w:rsidRPr="00E13005">
              <w:t>134</w:t>
            </w:r>
          </w:p>
        </w:tc>
        <w:tc>
          <w:tcPr>
            <w:tcW w:w="1464" w:type="dxa"/>
            <w:shd w:val="clear" w:color="auto" w:fill="auto"/>
            <w:vAlign w:val="center"/>
            <w:hideMark/>
          </w:tcPr>
          <w:p w14:paraId="3267710D" w14:textId="77777777" w:rsidR="00E13005" w:rsidRPr="00E13005" w:rsidRDefault="00E13005" w:rsidP="00E13005">
            <w:pPr>
              <w:pStyle w:val="Body"/>
            </w:pPr>
            <w:r w:rsidRPr="00E13005">
              <w:t>134</w:t>
            </w:r>
          </w:p>
        </w:tc>
      </w:tr>
      <w:tr w:rsidR="00E13005" w:rsidRPr="00E13005" w14:paraId="165C848B" w14:textId="77777777" w:rsidTr="00E13005">
        <w:trPr>
          <w:divId w:val="199173917"/>
          <w:trHeight w:hRule="exact" w:val="340"/>
        </w:trPr>
        <w:tc>
          <w:tcPr>
            <w:tcW w:w="960" w:type="dxa"/>
            <w:shd w:val="clear" w:color="auto" w:fill="auto"/>
            <w:vAlign w:val="center"/>
            <w:hideMark/>
          </w:tcPr>
          <w:p w14:paraId="60CB8DDD" w14:textId="77777777" w:rsidR="00E13005" w:rsidRPr="00E13005" w:rsidRDefault="00E13005" w:rsidP="00E13005">
            <w:pPr>
              <w:pStyle w:val="Body"/>
            </w:pPr>
            <w:r w:rsidRPr="00E13005">
              <w:t>Co</w:t>
            </w:r>
          </w:p>
        </w:tc>
        <w:tc>
          <w:tcPr>
            <w:tcW w:w="960" w:type="dxa"/>
            <w:shd w:val="clear" w:color="auto" w:fill="auto"/>
            <w:vAlign w:val="center"/>
            <w:hideMark/>
          </w:tcPr>
          <w:p w14:paraId="7C0E4AE5" w14:textId="77777777" w:rsidR="00E13005" w:rsidRPr="00E13005" w:rsidRDefault="00E13005" w:rsidP="00E13005">
            <w:pPr>
              <w:pStyle w:val="Body"/>
            </w:pPr>
            <w:r w:rsidRPr="00E13005">
              <w:t>μg/L</w:t>
            </w:r>
          </w:p>
        </w:tc>
        <w:tc>
          <w:tcPr>
            <w:tcW w:w="1080" w:type="dxa"/>
            <w:shd w:val="clear" w:color="000000" w:fill="F2F2F2"/>
            <w:vAlign w:val="center"/>
            <w:hideMark/>
          </w:tcPr>
          <w:p w14:paraId="4B5C3DCF" w14:textId="77777777" w:rsidR="00E13005" w:rsidRPr="00E13005" w:rsidRDefault="00E13005" w:rsidP="00E13005">
            <w:pPr>
              <w:pStyle w:val="Body"/>
            </w:pPr>
            <w:r w:rsidRPr="00E13005">
              <w:t>1.4</w:t>
            </w:r>
          </w:p>
        </w:tc>
        <w:tc>
          <w:tcPr>
            <w:tcW w:w="1480" w:type="dxa"/>
            <w:shd w:val="clear" w:color="auto" w:fill="auto"/>
            <w:vAlign w:val="center"/>
            <w:hideMark/>
          </w:tcPr>
          <w:p w14:paraId="2CBC098A" w14:textId="77777777" w:rsidR="00E13005" w:rsidRPr="00E13005" w:rsidRDefault="00E13005" w:rsidP="00E13005">
            <w:pPr>
              <w:pStyle w:val="Body"/>
            </w:pPr>
            <w:r w:rsidRPr="00E13005">
              <w:t>36</w:t>
            </w:r>
          </w:p>
        </w:tc>
        <w:tc>
          <w:tcPr>
            <w:tcW w:w="1464" w:type="dxa"/>
            <w:shd w:val="clear" w:color="auto" w:fill="auto"/>
            <w:vAlign w:val="center"/>
            <w:hideMark/>
          </w:tcPr>
          <w:p w14:paraId="44C6B6B8" w14:textId="77777777" w:rsidR="00E13005" w:rsidRPr="00E13005" w:rsidRDefault="00E13005" w:rsidP="00E13005">
            <w:pPr>
              <w:pStyle w:val="Body"/>
            </w:pPr>
            <w:r w:rsidRPr="00E13005">
              <w:t>26</w:t>
            </w:r>
          </w:p>
        </w:tc>
      </w:tr>
      <w:tr w:rsidR="00E13005" w:rsidRPr="00E13005" w14:paraId="231C86E0" w14:textId="77777777" w:rsidTr="00E13005">
        <w:trPr>
          <w:divId w:val="199173917"/>
          <w:trHeight w:hRule="exact" w:val="340"/>
        </w:trPr>
        <w:tc>
          <w:tcPr>
            <w:tcW w:w="960" w:type="dxa"/>
            <w:shd w:val="clear" w:color="auto" w:fill="auto"/>
            <w:vAlign w:val="center"/>
            <w:hideMark/>
          </w:tcPr>
          <w:p w14:paraId="765577D9" w14:textId="77777777" w:rsidR="00E13005" w:rsidRPr="00E13005" w:rsidRDefault="00E13005" w:rsidP="00E13005">
            <w:pPr>
              <w:pStyle w:val="Body"/>
            </w:pPr>
            <w:r w:rsidRPr="00E13005">
              <w:t>Cu</w:t>
            </w:r>
          </w:p>
        </w:tc>
        <w:tc>
          <w:tcPr>
            <w:tcW w:w="960" w:type="dxa"/>
            <w:shd w:val="clear" w:color="auto" w:fill="auto"/>
            <w:vAlign w:val="center"/>
            <w:hideMark/>
          </w:tcPr>
          <w:p w14:paraId="47E3B83E" w14:textId="77777777" w:rsidR="00E13005" w:rsidRPr="00E13005" w:rsidRDefault="00E13005" w:rsidP="00E13005">
            <w:pPr>
              <w:pStyle w:val="Body"/>
            </w:pPr>
            <w:r w:rsidRPr="00E13005">
              <w:t>μg/L</w:t>
            </w:r>
          </w:p>
        </w:tc>
        <w:tc>
          <w:tcPr>
            <w:tcW w:w="1080" w:type="dxa"/>
            <w:shd w:val="clear" w:color="000000" w:fill="F2F2F2"/>
            <w:vAlign w:val="center"/>
            <w:hideMark/>
          </w:tcPr>
          <w:p w14:paraId="061FF878" w14:textId="77777777" w:rsidR="00E13005" w:rsidRPr="00E13005" w:rsidRDefault="00E13005" w:rsidP="00E13005">
            <w:pPr>
              <w:pStyle w:val="Body"/>
            </w:pPr>
            <w:r w:rsidRPr="00E13005">
              <w:t>1.4</w:t>
            </w:r>
          </w:p>
        </w:tc>
        <w:tc>
          <w:tcPr>
            <w:tcW w:w="1480" w:type="dxa"/>
            <w:shd w:val="clear" w:color="auto" w:fill="auto"/>
            <w:vAlign w:val="center"/>
            <w:hideMark/>
          </w:tcPr>
          <w:p w14:paraId="138BD42F" w14:textId="77777777" w:rsidR="00E13005" w:rsidRPr="00E13005" w:rsidRDefault="00E13005" w:rsidP="00E13005">
            <w:pPr>
              <w:pStyle w:val="Body"/>
            </w:pPr>
            <w:r w:rsidRPr="00E13005">
              <w:t>196</w:t>
            </w:r>
          </w:p>
        </w:tc>
        <w:tc>
          <w:tcPr>
            <w:tcW w:w="1464" w:type="dxa"/>
            <w:shd w:val="clear" w:color="auto" w:fill="auto"/>
            <w:vAlign w:val="center"/>
            <w:hideMark/>
          </w:tcPr>
          <w:p w14:paraId="7657D893" w14:textId="77777777" w:rsidR="00E13005" w:rsidRPr="00E13005" w:rsidRDefault="00E13005" w:rsidP="00E13005">
            <w:pPr>
              <w:pStyle w:val="Body"/>
            </w:pPr>
            <w:r w:rsidRPr="00E13005">
              <w:t>140</w:t>
            </w:r>
          </w:p>
        </w:tc>
      </w:tr>
      <w:tr w:rsidR="00E13005" w:rsidRPr="00E13005" w14:paraId="21F68721" w14:textId="77777777" w:rsidTr="00E13005">
        <w:trPr>
          <w:divId w:val="199173917"/>
          <w:trHeight w:hRule="exact" w:val="340"/>
        </w:trPr>
        <w:tc>
          <w:tcPr>
            <w:tcW w:w="960" w:type="dxa"/>
            <w:shd w:val="clear" w:color="auto" w:fill="auto"/>
            <w:vAlign w:val="center"/>
            <w:hideMark/>
          </w:tcPr>
          <w:p w14:paraId="186F0270" w14:textId="77777777" w:rsidR="00E13005" w:rsidRPr="00E13005" w:rsidRDefault="00E13005" w:rsidP="00E13005">
            <w:pPr>
              <w:pStyle w:val="Body"/>
            </w:pPr>
            <w:r w:rsidRPr="00E13005">
              <w:t>Ga</w:t>
            </w:r>
          </w:p>
        </w:tc>
        <w:tc>
          <w:tcPr>
            <w:tcW w:w="960" w:type="dxa"/>
            <w:shd w:val="clear" w:color="auto" w:fill="auto"/>
            <w:vAlign w:val="center"/>
            <w:hideMark/>
          </w:tcPr>
          <w:p w14:paraId="75BD4BF7" w14:textId="77777777" w:rsidR="00E13005" w:rsidRPr="00E13005" w:rsidRDefault="00E13005" w:rsidP="00E13005">
            <w:pPr>
              <w:pStyle w:val="Body"/>
            </w:pPr>
            <w:r w:rsidRPr="00E13005">
              <w:t>μg/L</w:t>
            </w:r>
          </w:p>
        </w:tc>
        <w:tc>
          <w:tcPr>
            <w:tcW w:w="1080" w:type="dxa"/>
            <w:shd w:val="clear" w:color="000000" w:fill="F2F2F2"/>
            <w:vAlign w:val="center"/>
            <w:hideMark/>
          </w:tcPr>
          <w:p w14:paraId="7A18354B" w14:textId="77777777" w:rsidR="00E13005" w:rsidRPr="00E13005" w:rsidRDefault="00E13005" w:rsidP="00E13005">
            <w:pPr>
              <w:pStyle w:val="Body"/>
            </w:pPr>
            <w:r w:rsidRPr="00E13005">
              <w:t>18</w:t>
            </w:r>
          </w:p>
        </w:tc>
        <w:tc>
          <w:tcPr>
            <w:tcW w:w="1480" w:type="dxa"/>
            <w:shd w:val="clear" w:color="auto" w:fill="auto"/>
            <w:vAlign w:val="center"/>
            <w:hideMark/>
          </w:tcPr>
          <w:p w14:paraId="0DC1741D" w14:textId="77777777" w:rsidR="00E13005" w:rsidRPr="00E13005" w:rsidRDefault="00E13005" w:rsidP="00E13005">
            <w:pPr>
              <w:pStyle w:val="Body"/>
            </w:pPr>
            <w:r w:rsidRPr="00E13005">
              <w:t>65</w:t>
            </w:r>
          </w:p>
        </w:tc>
        <w:tc>
          <w:tcPr>
            <w:tcW w:w="1464" w:type="dxa"/>
            <w:shd w:val="clear" w:color="auto" w:fill="auto"/>
            <w:vAlign w:val="center"/>
            <w:hideMark/>
          </w:tcPr>
          <w:p w14:paraId="5190255F" w14:textId="77777777" w:rsidR="00E13005" w:rsidRPr="00E13005" w:rsidRDefault="00E13005" w:rsidP="00E13005">
            <w:pPr>
              <w:pStyle w:val="Body"/>
            </w:pPr>
            <w:r w:rsidRPr="00E13005">
              <w:t>4</w:t>
            </w:r>
          </w:p>
        </w:tc>
      </w:tr>
      <w:tr w:rsidR="00E13005" w:rsidRPr="00E13005" w14:paraId="51A98976" w14:textId="77777777" w:rsidTr="00E13005">
        <w:trPr>
          <w:divId w:val="199173917"/>
          <w:trHeight w:hRule="exact" w:val="340"/>
        </w:trPr>
        <w:tc>
          <w:tcPr>
            <w:tcW w:w="960" w:type="dxa"/>
            <w:shd w:val="clear" w:color="auto" w:fill="auto"/>
            <w:vAlign w:val="center"/>
            <w:hideMark/>
          </w:tcPr>
          <w:p w14:paraId="09AAB9C2" w14:textId="77777777" w:rsidR="00E13005" w:rsidRPr="00E13005" w:rsidRDefault="00E13005" w:rsidP="00E13005">
            <w:pPr>
              <w:pStyle w:val="Body"/>
            </w:pPr>
            <w:r w:rsidRPr="00E13005">
              <w:t>La</w:t>
            </w:r>
          </w:p>
        </w:tc>
        <w:tc>
          <w:tcPr>
            <w:tcW w:w="960" w:type="dxa"/>
            <w:shd w:val="clear" w:color="auto" w:fill="auto"/>
            <w:vAlign w:val="center"/>
            <w:hideMark/>
          </w:tcPr>
          <w:p w14:paraId="75A506DD" w14:textId="77777777" w:rsidR="00E13005" w:rsidRPr="00E13005" w:rsidRDefault="00E13005" w:rsidP="00E13005">
            <w:pPr>
              <w:pStyle w:val="Body"/>
            </w:pPr>
            <w:r w:rsidRPr="00E13005">
              <w:t>μg/L</w:t>
            </w:r>
          </w:p>
        </w:tc>
        <w:tc>
          <w:tcPr>
            <w:tcW w:w="1080" w:type="dxa"/>
            <w:shd w:val="clear" w:color="000000" w:fill="F2F2F2"/>
            <w:vAlign w:val="center"/>
            <w:hideMark/>
          </w:tcPr>
          <w:p w14:paraId="57053FC0" w14:textId="77777777" w:rsidR="00E13005" w:rsidRPr="00E13005" w:rsidRDefault="00E13005" w:rsidP="00E13005">
            <w:pPr>
              <w:pStyle w:val="Body"/>
            </w:pPr>
            <w:r w:rsidRPr="00E13005">
              <w:t>0.04</w:t>
            </w:r>
          </w:p>
        </w:tc>
        <w:tc>
          <w:tcPr>
            <w:tcW w:w="1480" w:type="dxa"/>
            <w:shd w:val="clear" w:color="auto" w:fill="auto"/>
            <w:vAlign w:val="center"/>
            <w:hideMark/>
          </w:tcPr>
          <w:p w14:paraId="7F6B7F24" w14:textId="77777777" w:rsidR="00E13005" w:rsidRPr="00E13005" w:rsidRDefault="00E13005" w:rsidP="00E13005">
            <w:pPr>
              <w:pStyle w:val="Body"/>
            </w:pPr>
            <w:r w:rsidRPr="00E13005">
              <w:t>368</w:t>
            </w:r>
          </w:p>
        </w:tc>
        <w:tc>
          <w:tcPr>
            <w:tcW w:w="1464" w:type="dxa"/>
            <w:shd w:val="clear" w:color="auto" w:fill="auto"/>
            <w:vAlign w:val="center"/>
            <w:hideMark/>
          </w:tcPr>
          <w:p w14:paraId="59F9727A" w14:textId="77777777" w:rsidR="00E13005" w:rsidRPr="00E13005" w:rsidRDefault="00E13005" w:rsidP="00E13005">
            <w:pPr>
              <w:pStyle w:val="Body"/>
            </w:pPr>
            <w:r w:rsidRPr="00E13005">
              <w:t>9200</w:t>
            </w:r>
          </w:p>
        </w:tc>
      </w:tr>
      <w:tr w:rsidR="00E13005" w:rsidRPr="00E13005" w14:paraId="0737BCC9" w14:textId="77777777" w:rsidTr="00E13005">
        <w:trPr>
          <w:divId w:val="199173917"/>
          <w:trHeight w:hRule="exact" w:val="340"/>
        </w:trPr>
        <w:tc>
          <w:tcPr>
            <w:tcW w:w="960" w:type="dxa"/>
            <w:shd w:val="clear" w:color="auto" w:fill="auto"/>
            <w:vAlign w:val="center"/>
            <w:hideMark/>
          </w:tcPr>
          <w:p w14:paraId="700B5738" w14:textId="77777777" w:rsidR="00E13005" w:rsidRPr="00E13005" w:rsidRDefault="00E13005" w:rsidP="00E13005">
            <w:pPr>
              <w:pStyle w:val="Body"/>
            </w:pPr>
            <w:r w:rsidRPr="00E13005">
              <w:t>Pb</w:t>
            </w:r>
          </w:p>
        </w:tc>
        <w:tc>
          <w:tcPr>
            <w:tcW w:w="960" w:type="dxa"/>
            <w:shd w:val="clear" w:color="auto" w:fill="auto"/>
            <w:vAlign w:val="center"/>
            <w:hideMark/>
          </w:tcPr>
          <w:p w14:paraId="7E1DF9FF" w14:textId="77777777" w:rsidR="00E13005" w:rsidRPr="00E13005" w:rsidRDefault="00E13005" w:rsidP="00E13005">
            <w:pPr>
              <w:pStyle w:val="Body"/>
            </w:pPr>
            <w:r w:rsidRPr="00E13005">
              <w:t>μg/L</w:t>
            </w:r>
          </w:p>
        </w:tc>
        <w:tc>
          <w:tcPr>
            <w:tcW w:w="1080" w:type="dxa"/>
            <w:shd w:val="clear" w:color="000000" w:fill="F2F2F2"/>
            <w:vAlign w:val="center"/>
            <w:hideMark/>
          </w:tcPr>
          <w:p w14:paraId="5F0CB92D" w14:textId="77777777" w:rsidR="00E13005" w:rsidRPr="00E13005" w:rsidRDefault="00E13005" w:rsidP="00E13005">
            <w:pPr>
              <w:pStyle w:val="Body"/>
            </w:pPr>
            <w:r w:rsidRPr="00E13005">
              <w:t>3.4</w:t>
            </w:r>
          </w:p>
        </w:tc>
        <w:tc>
          <w:tcPr>
            <w:tcW w:w="1480" w:type="dxa"/>
            <w:shd w:val="clear" w:color="auto" w:fill="auto"/>
            <w:vAlign w:val="center"/>
            <w:hideMark/>
          </w:tcPr>
          <w:p w14:paraId="0628D1D6" w14:textId="77777777" w:rsidR="00E13005" w:rsidRPr="00E13005" w:rsidRDefault="00E13005" w:rsidP="00E13005">
            <w:pPr>
              <w:pStyle w:val="Body"/>
            </w:pPr>
            <w:r w:rsidRPr="00E13005">
              <w:t>1648</w:t>
            </w:r>
          </w:p>
        </w:tc>
        <w:tc>
          <w:tcPr>
            <w:tcW w:w="1464" w:type="dxa"/>
            <w:shd w:val="clear" w:color="auto" w:fill="auto"/>
            <w:vAlign w:val="center"/>
            <w:hideMark/>
          </w:tcPr>
          <w:p w14:paraId="6706B417" w14:textId="77777777" w:rsidR="00E13005" w:rsidRPr="00E13005" w:rsidRDefault="00E13005" w:rsidP="00E13005">
            <w:pPr>
              <w:pStyle w:val="Body"/>
            </w:pPr>
            <w:r w:rsidRPr="00E13005">
              <w:t>485</w:t>
            </w:r>
          </w:p>
        </w:tc>
      </w:tr>
      <w:tr w:rsidR="00E13005" w:rsidRPr="00E13005" w14:paraId="7BD36215" w14:textId="77777777" w:rsidTr="00E13005">
        <w:trPr>
          <w:divId w:val="199173917"/>
          <w:trHeight w:hRule="exact" w:val="340"/>
        </w:trPr>
        <w:tc>
          <w:tcPr>
            <w:tcW w:w="960" w:type="dxa"/>
            <w:shd w:val="clear" w:color="auto" w:fill="auto"/>
            <w:vAlign w:val="center"/>
            <w:hideMark/>
          </w:tcPr>
          <w:p w14:paraId="00522A1D" w14:textId="77777777" w:rsidR="00E13005" w:rsidRPr="00E13005" w:rsidRDefault="00E13005" w:rsidP="00E13005">
            <w:pPr>
              <w:pStyle w:val="Body"/>
            </w:pPr>
            <w:r w:rsidRPr="00E13005">
              <w:t>Mn</w:t>
            </w:r>
          </w:p>
        </w:tc>
        <w:tc>
          <w:tcPr>
            <w:tcW w:w="960" w:type="dxa"/>
            <w:shd w:val="clear" w:color="auto" w:fill="auto"/>
            <w:vAlign w:val="center"/>
            <w:hideMark/>
          </w:tcPr>
          <w:p w14:paraId="6B264BC3" w14:textId="77777777" w:rsidR="00E13005" w:rsidRPr="00E13005" w:rsidRDefault="00E13005" w:rsidP="00E13005">
            <w:pPr>
              <w:pStyle w:val="Body"/>
            </w:pPr>
            <w:r w:rsidRPr="00E13005">
              <w:t>mg/L</w:t>
            </w:r>
          </w:p>
        </w:tc>
        <w:tc>
          <w:tcPr>
            <w:tcW w:w="1080" w:type="dxa"/>
            <w:shd w:val="clear" w:color="000000" w:fill="F2F2F2"/>
            <w:vAlign w:val="center"/>
            <w:hideMark/>
          </w:tcPr>
          <w:p w14:paraId="37355EA5" w14:textId="77777777" w:rsidR="00E13005" w:rsidRPr="00E13005" w:rsidRDefault="00E13005" w:rsidP="00E13005">
            <w:pPr>
              <w:pStyle w:val="Body"/>
            </w:pPr>
            <w:r w:rsidRPr="00E13005">
              <w:t>1.7</w:t>
            </w:r>
          </w:p>
        </w:tc>
        <w:tc>
          <w:tcPr>
            <w:tcW w:w="1480" w:type="dxa"/>
            <w:shd w:val="clear" w:color="auto" w:fill="auto"/>
            <w:vAlign w:val="center"/>
            <w:hideMark/>
          </w:tcPr>
          <w:p w14:paraId="157CA9E6" w14:textId="77777777" w:rsidR="00E13005" w:rsidRPr="00E13005" w:rsidRDefault="00E13005" w:rsidP="00E13005">
            <w:pPr>
              <w:pStyle w:val="Body"/>
            </w:pPr>
            <w:r w:rsidRPr="00E13005">
              <w:t>21</w:t>
            </w:r>
          </w:p>
        </w:tc>
        <w:tc>
          <w:tcPr>
            <w:tcW w:w="1464" w:type="dxa"/>
            <w:shd w:val="clear" w:color="auto" w:fill="auto"/>
            <w:vAlign w:val="center"/>
            <w:hideMark/>
          </w:tcPr>
          <w:p w14:paraId="6A8E9ABE" w14:textId="77777777" w:rsidR="00E13005" w:rsidRPr="00E13005" w:rsidRDefault="00E13005" w:rsidP="00E13005">
            <w:pPr>
              <w:pStyle w:val="Body"/>
            </w:pPr>
            <w:r w:rsidRPr="00E13005">
              <w:t>12</w:t>
            </w:r>
          </w:p>
        </w:tc>
      </w:tr>
      <w:tr w:rsidR="00E13005" w:rsidRPr="00E13005" w14:paraId="53281E02" w14:textId="77777777" w:rsidTr="00E13005">
        <w:trPr>
          <w:divId w:val="199173917"/>
          <w:trHeight w:hRule="exact" w:val="340"/>
        </w:trPr>
        <w:tc>
          <w:tcPr>
            <w:tcW w:w="960" w:type="dxa"/>
            <w:shd w:val="clear" w:color="auto" w:fill="auto"/>
            <w:vAlign w:val="center"/>
            <w:hideMark/>
          </w:tcPr>
          <w:p w14:paraId="7766B184" w14:textId="77777777" w:rsidR="00E13005" w:rsidRPr="00E13005" w:rsidRDefault="00E13005" w:rsidP="00E13005">
            <w:pPr>
              <w:pStyle w:val="Body"/>
            </w:pPr>
            <w:r w:rsidRPr="00E13005">
              <w:t>Mo</w:t>
            </w:r>
          </w:p>
        </w:tc>
        <w:tc>
          <w:tcPr>
            <w:tcW w:w="960" w:type="dxa"/>
            <w:shd w:val="clear" w:color="auto" w:fill="auto"/>
            <w:vAlign w:val="center"/>
            <w:hideMark/>
          </w:tcPr>
          <w:p w14:paraId="39B518C1" w14:textId="77777777" w:rsidR="00E13005" w:rsidRPr="00E13005" w:rsidRDefault="00E13005" w:rsidP="00E13005">
            <w:pPr>
              <w:pStyle w:val="Body"/>
            </w:pPr>
            <w:r w:rsidRPr="00E13005">
              <w:t>μg/L</w:t>
            </w:r>
          </w:p>
        </w:tc>
        <w:tc>
          <w:tcPr>
            <w:tcW w:w="1080" w:type="dxa"/>
            <w:shd w:val="clear" w:color="000000" w:fill="F2F2F2"/>
            <w:vAlign w:val="center"/>
            <w:hideMark/>
          </w:tcPr>
          <w:p w14:paraId="73836B11" w14:textId="77777777" w:rsidR="00E13005" w:rsidRPr="00E13005" w:rsidRDefault="00E13005" w:rsidP="00E13005">
            <w:pPr>
              <w:pStyle w:val="Body"/>
            </w:pPr>
            <w:r w:rsidRPr="00E13005">
              <w:t>34</w:t>
            </w:r>
          </w:p>
        </w:tc>
        <w:tc>
          <w:tcPr>
            <w:tcW w:w="1480" w:type="dxa"/>
            <w:shd w:val="clear" w:color="auto" w:fill="auto"/>
            <w:vAlign w:val="center"/>
            <w:hideMark/>
          </w:tcPr>
          <w:p w14:paraId="13AF6BE8" w14:textId="77777777" w:rsidR="00E13005" w:rsidRPr="00E13005" w:rsidRDefault="00E13005" w:rsidP="00E13005">
            <w:pPr>
              <w:pStyle w:val="Body"/>
            </w:pPr>
            <w:r w:rsidRPr="00E13005">
              <w:t>6.4</w:t>
            </w:r>
          </w:p>
        </w:tc>
        <w:tc>
          <w:tcPr>
            <w:tcW w:w="1464" w:type="dxa"/>
            <w:shd w:val="clear" w:color="auto" w:fill="auto"/>
            <w:vAlign w:val="center"/>
            <w:hideMark/>
          </w:tcPr>
          <w:p w14:paraId="4BCB5928" w14:textId="77777777" w:rsidR="00E13005" w:rsidRPr="00E13005" w:rsidRDefault="00E13005" w:rsidP="00E13005">
            <w:pPr>
              <w:pStyle w:val="Body"/>
            </w:pPr>
            <w:r w:rsidRPr="00E13005">
              <w:t>0.2</w:t>
            </w:r>
          </w:p>
        </w:tc>
      </w:tr>
      <w:tr w:rsidR="00E13005" w:rsidRPr="00E13005" w14:paraId="2659C6DC" w14:textId="77777777" w:rsidTr="00E13005">
        <w:trPr>
          <w:divId w:val="199173917"/>
          <w:trHeight w:hRule="exact" w:val="340"/>
        </w:trPr>
        <w:tc>
          <w:tcPr>
            <w:tcW w:w="960" w:type="dxa"/>
            <w:shd w:val="clear" w:color="auto" w:fill="auto"/>
            <w:vAlign w:val="center"/>
            <w:hideMark/>
          </w:tcPr>
          <w:p w14:paraId="451421B2" w14:textId="77777777" w:rsidR="00E13005" w:rsidRPr="00E13005" w:rsidRDefault="00E13005" w:rsidP="00E13005">
            <w:pPr>
              <w:pStyle w:val="Body"/>
            </w:pPr>
            <w:r w:rsidRPr="00E13005">
              <w:t>Ni</w:t>
            </w:r>
          </w:p>
        </w:tc>
        <w:tc>
          <w:tcPr>
            <w:tcW w:w="960" w:type="dxa"/>
            <w:shd w:val="clear" w:color="auto" w:fill="auto"/>
            <w:vAlign w:val="center"/>
            <w:hideMark/>
          </w:tcPr>
          <w:p w14:paraId="305D83E1" w14:textId="77777777" w:rsidR="00E13005" w:rsidRPr="00E13005" w:rsidRDefault="00E13005" w:rsidP="00E13005">
            <w:pPr>
              <w:pStyle w:val="Body"/>
            </w:pPr>
            <w:r w:rsidRPr="00E13005">
              <w:t>μg/L</w:t>
            </w:r>
          </w:p>
        </w:tc>
        <w:tc>
          <w:tcPr>
            <w:tcW w:w="1080" w:type="dxa"/>
            <w:shd w:val="clear" w:color="000000" w:fill="F2F2F2"/>
            <w:vAlign w:val="center"/>
            <w:hideMark/>
          </w:tcPr>
          <w:p w14:paraId="0E991CE4" w14:textId="77777777" w:rsidR="00E13005" w:rsidRPr="00E13005" w:rsidRDefault="00E13005" w:rsidP="00E13005">
            <w:pPr>
              <w:pStyle w:val="Body"/>
            </w:pPr>
            <w:r w:rsidRPr="00E13005">
              <w:t>11</w:t>
            </w:r>
          </w:p>
        </w:tc>
        <w:tc>
          <w:tcPr>
            <w:tcW w:w="1480" w:type="dxa"/>
            <w:shd w:val="clear" w:color="auto" w:fill="auto"/>
            <w:vAlign w:val="center"/>
            <w:hideMark/>
          </w:tcPr>
          <w:p w14:paraId="22F61B9D" w14:textId="77777777" w:rsidR="00E13005" w:rsidRPr="00E13005" w:rsidRDefault="00E13005" w:rsidP="00E13005">
            <w:pPr>
              <w:pStyle w:val="Body"/>
            </w:pPr>
            <w:r w:rsidRPr="00E13005">
              <w:t>35</w:t>
            </w:r>
          </w:p>
        </w:tc>
        <w:tc>
          <w:tcPr>
            <w:tcW w:w="1464" w:type="dxa"/>
            <w:shd w:val="clear" w:color="auto" w:fill="auto"/>
            <w:vAlign w:val="center"/>
            <w:hideMark/>
          </w:tcPr>
          <w:p w14:paraId="568E2622" w14:textId="77777777" w:rsidR="00E13005" w:rsidRPr="00E13005" w:rsidRDefault="00E13005" w:rsidP="00E13005">
            <w:pPr>
              <w:pStyle w:val="Body"/>
            </w:pPr>
            <w:r w:rsidRPr="00E13005">
              <w:t>3</w:t>
            </w:r>
          </w:p>
        </w:tc>
      </w:tr>
      <w:tr w:rsidR="00E13005" w:rsidRPr="00E13005" w14:paraId="066A6AC8" w14:textId="77777777" w:rsidTr="00E13005">
        <w:trPr>
          <w:divId w:val="199173917"/>
          <w:trHeight w:hRule="exact" w:val="340"/>
        </w:trPr>
        <w:tc>
          <w:tcPr>
            <w:tcW w:w="960" w:type="dxa"/>
            <w:shd w:val="clear" w:color="auto" w:fill="auto"/>
            <w:vAlign w:val="center"/>
            <w:hideMark/>
          </w:tcPr>
          <w:p w14:paraId="5D2EBDF6" w14:textId="77777777" w:rsidR="00E13005" w:rsidRPr="00E13005" w:rsidRDefault="00E13005" w:rsidP="00E13005">
            <w:pPr>
              <w:pStyle w:val="Body"/>
            </w:pPr>
            <w:r w:rsidRPr="00E13005">
              <w:t>Se</w:t>
            </w:r>
          </w:p>
        </w:tc>
        <w:tc>
          <w:tcPr>
            <w:tcW w:w="960" w:type="dxa"/>
            <w:shd w:val="clear" w:color="auto" w:fill="auto"/>
            <w:vAlign w:val="center"/>
            <w:hideMark/>
          </w:tcPr>
          <w:p w14:paraId="653A709D" w14:textId="77777777" w:rsidR="00E13005" w:rsidRPr="00E13005" w:rsidRDefault="00E13005" w:rsidP="00E13005">
            <w:pPr>
              <w:pStyle w:val="Body"/>
            </w:pPr>
            <w:r w:rsidRPr="00E13005">
              <w:t>μg/L</w:t>
            </w:r>
          </w:p>
        </w:tc>
        <w:tc>
          <w:tcPr>
            <w:tcW w:w="1080" w:type="dxa"/>
            <w:shd w:val="clear" w:color="000000" w:fill="F2F2F2"/>
            <w:vAlign w:val="center"/>
            <w:hideMark/>
          </w:tcPr>
          <w:p w14:paraId="0DFF269B" w14:textId="77777777" w:rsidR="00E13005" w:rsidRPr="00E13005" w:rsidRDefault="00E13005" w:rsidP="00E13005">
            <w:pPr>
              <w:pStyle w:val="Body"/>
            </w:pPr>
            <w:r w:rsidRPr="00E13005">
              <w:t>5</w:t>
            </w:r>
          </w:p>
        </w:tc>
        <w:tc>
          <w:tcPr>
            <w:tcW w:w="1480" w:type="dxa"/>
            <w:shd w:val="clear" w:color="auto" w:fill="auto"/>
            <w:vAlign w:val="center"/>
            <w:hideMark/>
          </w:tcPr>
          <w:p w14:paraId="1078CD8C" w14:textId="77777777" w:rsidR="00E13005" w:rsidRPr="00E13005" w:rsidRDefault="00E13005" w:rsidP="00E13005">
            <w:pPr>
              <w:pStyle w:val="Body"/>
            </w:pPr>
            <w:r w:rsidRPr="00E13005">
              <w:t>11</w:t>
            </w:r>
          </w:p>
        </w:tc>
        <w:tc>
          <w:tcPr>
            <w:tcW w:w="1464" w:type="dxa"/>
            <w:shd w:val="clear" w:color="auto" w:fill="auto"/>
            <w:vAlign w:val="center"/>
            <w:hideMark/>
          </w:tcPr>
          <w:p w14:paraId="0572210C" w14:textId="77777777" w:rsidR="00E13005" w:rsidRPr="00E13005" w:rsidRDefault="00E13005" w:rsidP="00E13005">
            <w:pPr>
              <w:pStyle w:val="Body"/>
            </w:pPr>
            <w:r w:rsidRPr="00E13005">
              <w:t>2</w:t>
            </w:r>
          </w:p>
        </w:tc>
      </w:tr>
      <w:tr w:rsidR="00E13005" w:rsidRPr="00E13005" w14:paraId="44957DAE" w14:textId="77777777" w:rsidTr="00E13005">
        <w:trPr>
          <w:divId w:val="199173917"/>
          <w:trHeight w:hRule="exact" w:val="340"/>
        </w:trPr>
        <w:tc>
          <w:tcPr>
            <w:tcW w:w="960" w:type="dxa"/>
            <w:shd w:val="clear" w:color="auto" w:fill="auto"/>
            <w:vAlign w:val="center"/>
            <w:hideMark/>
          </w:tcPr>
          <w:p w14:paraId="3B8F2E95" w14:textId="77777777" w:rsidR="00E13005" w:rsidRPr="00E13005" w:rsidRDefault="00E13005" w:rsidP="00E13005">
            <w:pPr>
              <w:pStyle w:val="Body"/>
            </w:pPr>
            <w:r w:rsidRPr="00E13005">
              <w:t>Tl</w:t>
            </w:r>
          </w:p>
        </w:tc>
        <w:tc>
          <w:tcPr>
            <w:tcW w:w="960" w:type="dxa"/>
            <w:shd w:val="clear" w:color="auto" w:fill="auto"/>
            <w:vAlign w:val="center"/>
            <w:hideMark/>
          </w:tcPr>
          <w:p w14:paraId="7EFADF3E" w14:textId="77777777" w:rsidR="00E13005" w:rsidRPr="00E13005" w:rsidRDefault="00E13005" w:rsidP="00E13005">
            <w:pPr>
              <w:pStyle w:val="Body"/>
            </w:pPr>
            <w:r w:rsidRPr="00E13005">
              <w:t>μg/L</w:t>
            </w:r>
          </w:p>
        </w:tc>
        <w:tc>
          <w:tcPr>
            <w:tcW w:w="1080" w:type="dxa"/>
            <w:shd w:val="clear" w:color="000000" w:fill="F2F2F2"/>
            <w:vAlign w:val="center"/>
            <w:hideMark/>
          </w:tcPr>
          <w:p w14:paraId="79535AE9" w14:textId="77777777" w:rsidR="00E13005" w:rsidRPr="00E13005" w:rsidRDefault="00E13005" w:rsidP="00E13005">
            <w:pPr>
              <w:pStyle w:val="Body"/>
            </w:pPr>
            <w:r w:rsidRPr="00E13005">
              <w:t>0.03</w:t>
            </w:r>
          </w:p>
        </w:tc>
        <w:tc>
          <w:tcPr>
            <w:tcW w:w="1480" w:type="dxa"/>
            <w:shd w:val="clear" w:color="auto" w:fill="auto"/>
            <w:vAlign w:val="center"/>
            <w:hideMark/>
          </w:tcPr>
          <w:p w14:paraId="0DD3938F" w14:textId="77777777" w:rsidR="00E13005" w:rsidRPr="00E13005" w:rsidRDefault="00E13005" w:rsidP="00E13005">
            <w:pPr>
              <w:pStyle w:val="Body"/>
            </w:pPr>
            <w:r w:rsidRPr="00E13005">
              <w:t>4.2</w:t>
            </w:r>
          </w:p>
        </w:tc>
        <w:tc>
          <w:tcPr>
            <w:tcW w:w="1464" w:type="dxa"/>
            <w:shd w:val="clear" w:color="auto" w:fill="auto"/>
            <w:vAlign w:val="center"/>
            <w:hideMark/>
          </w:tcPr>
          <w:p w14:paraId="08D0929E" w14:textId="77777777" w:rsidR="00E13005" w:rsidRPr="00E13005" w:rsidRDefault="00E13005" w:rsidP="00E13005">
            <w:pPr>
              <w:pStyle w:val="Body"/>
            </w:pPr>
            <w:r w:rsidRPr="00E13005">
              <w:t>140</w:t>
            </w:r>
          </w:p>
        </w:tc>
      </w:tr>
      <w:tr w:rsidR="00E13005" w:rsidRPr="00E13005" w14:paraId="78F8DEE3" w14:textId="77777777" w:rsidTr="00E13005">
        <w:trPr>
          <w:divId w:val="199173917"/>
          <w:trHeight w:hRule="exact" w:val="340"/>
        </w:trPr>
        <w:tc>
          <w:tcPr>
            <w:tcW w:w="960" w:type="dxa"/>
            <w:shd w:val="clear" w:color="auto" w:fill="auto"/>
            <w:vAlign w:val="center"/>
            <w:hideMark/>
          </w:tcPr>
          <w:p w14:paraId="36036496" w14:textId="77777777" w:rsidR="00E13005" w:rsidRPr="00E13005" w:rsidRDefault="00E13005" w:rsidP="00E13005">
            <w:pPr>
              <w:pStyle w:val="Body"/>
            </w:pPr>
            <w:r w:rsidRPr="00E13005">
              <w:t>Sn</w:t>
            </w:r>
          </w:p>
        </w:tc>
        <w:tc>
          <w:tcPr>
            <w:tcW w:w="960" w:type="dxa"/>
            <w:shd w:val="clear" w:color="auto" w:fill="auto"/>
            <w:vAlign w:val="center"/>
            <w:hideMark/>
          </w:tcPr>
          <w:p w14:paraId="3B36A94E" w14:textId="77777777" w:rsidR="00E13005" w:rsidRPr="00E13005" w:rsidRDefault="00E13005" w:rsidP="00E13005">
            <w:pPr>
              <w:pStyle w:val="Body"/>
            </w:pPr>
            <w:r w:rsidRPr="00E13005">
              <w:t>μg/L</w:t>
            </w:r>
          </w:p>
        </w:tc>
        <w:tc>
          <w:tcPr>
            <w:tcW w:w="1080" w:type="dxa"/>
            <w:shd w:val="clear" w:color="000000" w:fill="F2F2F2"/>
            <w:vAlign w:val="center"/>
            <w:hideMark/>
          </w:tcPr>
          <w:p w14:paraId="3B09F4DF" w14:textId="77777777" w:rsidR="00E13005" w:rsidRPr="00E13005" w:rsidRDefault="00E13005" w:rsidP="00E13005">
            <w:pPr>
              <w:pStyle w:val="Body"/>
            </w:pPr>
            <w:r w:rsidRPr="00E13005">
              <w:t>3</w:t>
            </w:r>
          </w:p>
        </w:tc>
        <w:tc>
          <w:tcPr>
            <w:tcW w:w="1480" w:type="dxa"/>
            <w:shd w:val="clear" w:color="auto" w:fill="auto"/>
            <w:vAlign w:val="center"/>
            <w:hideMark/>
          </w:tcPr>
          <w:p w14:paraId="0803D932" w14:textId="77777777" w:rsidR="00E13005" w:rsidRPr="00E13005" w:rsidRDefault="00E13005" w:rsidP="00E13005">
            <w:pPr>
              <w:pStyle w:val="Body"/>
            </w:pPr>
            <w:r w:rsidRPr="00E13005">
              <w:t>0.68</w:t>
            </w:r>
          </w:p>
        </w:tc>
        <w:tc>
          <w:tcPr>
            <w:tcW w:w="1464" w:type="dxa"/>
            <w:shd w:val="clear" w:color="auto" w:fill="auto"/>
            <w:vAlign w:val="center"/>
            <w:hideMark/>
          </w:tcPr>
          <w:p w14:paraId="16AFFFE6" w14:textId="77777777" w:rsidR="00E13005" w:rsidRPr="00E13005" w:rsidRDefault="00E13005" w:rsidP="00E13005">
            <w:pPr>
              <w:pStyle w:val="Body"/>
            </w:pPr>
            <w:r w:rsidRPr="00E13005">
              <w:t>0.2</w:t>
            </w:r>
          </w:p>
        </w:tc>
      </w:tr>
      <w:tr w:rsidR="00E13005" w:rsidRPr="00E13005" w14:paraId="44D7B15A" w14:textId="77777777" w:rsidTr="00E13005">
        <w:trPr>
          <w:divId w:val="199173917"/>
          <w:trHeight w:hRule="exact" w:val="340"/>
        </w:trPr>
        <w:tc>
          <w:tcPr>
            <w:tcW w:w="960" w:type="dxa"/>
            <w:shd w:val="clear" w:color="auto" w:fill="auto"/>
            <w:vAlign w:val="center"/>
            <w:hideMark/>
          </w:tcPr>
          <w:p w14:paraId="7E8B9D7A" w14:textId="77777777" w:rsidR="00E13005" w:rsidRPr="00E13005" w:rsidRDefault="00E13005" w:rsidP="00E13005">
            <w:pPr>
              <w:pStyle w:val="Body"/>
            </w:pPr>
            <w:r w:rsidRPr="00E13005">
              <w:t>U</w:t>
            </w:r>
          </w:p>
        </w:tc>
        <w:tc>
          <w:tcPr>
            <w:tcW w:w="960" w:type="dxa"/>
            <w:shd w:val="clear" w:color="auto" w:fill="auto"/>
            <w:vAlign w:val="center"/>
            <w:hideMark/>
          </w:tcPr>
          <w:p w14:paraId="4D254AA1" w14:textId="77777777" w:rsidR="00E13005" w:rsidRPr="00E13005" w:rsidRDefault="00E13005" w:rsidP="00E13005">
            <w:pPr>
              <w:pStyle w:val="Body"/>
            </w:pPr>
            <w:r w:rsidRPr="00E13005">
              <w:t>μg/L</w:t>
            </w:r>
          </w:p>
        </w:tc>
        <w:tc>
          <w:tcPr>
            <w:tcW w:w="1080" w:type="dxa"/>
            <w:shd w:val="clear" w:color="000000" w:fill="F2F2F2"/>
            <w:vAlign w:val="center"/>
            <w:hideMark/>
          </w:tcPr>
          <w:p w14:paraId="2AACDF53" w14:textId="77777777" w:rsidR="00E13005" w:rsidRPr="00E13005" w:rsidRDefault="00E13005" w:rsidP="00E13005">
            <w:pPr>
              <w:pStyle w:val="Body"/>
            </w:pPr>
            <w:r w:rsidRPr="00E13005">
              <w:t>0.5</w:t>
            </w:r>
          </w:p>
        </w:tc>
        <w:tc>
          <w:tcPr>
            <w:tcW w:w="1480" w:type="dxa"/>
            <w:shd w:val="clear" w:color="auto" w:fill="auto"/>
            <w:vAlign w:val="center"/>
            <w:hideMark/>
          </w:tcPr>
          <w:p w14:paraId="45004F04" w14:textId="77777777" w:rsidR="00E13005" w:rsidRPr="00E13005" w:rsidRDefault="00E13005" w:rsidP="00E13005">
            <w:pPr>
              <w:pStyle w:val="Body"/>
            </w:pPr>
            <w:r w:rsidRPr="00E13005">
              <w:t>18</w:t>
            </w:r>
          </w:p>
        </w:tc>
        <w:tc>
          <w:tcPr>
            <w:tcW w:w="1464" w:type="dxa"/>
            <w:shd w:val="clear" w:color="auto" w:fill="auto"/>
            <w:vAlign w:val="center"/>
            <w:hideMark/>
          </w:tcPr>
          <w:p w14:paraId="37E41A74" w14:textId="77777777" w:rsidR="00E13005" w:rsidRPr="00E13005" w:rsidRDefault="00E13005" w:rsidP="00E13005">
            <w:pPr>
              <w:pStyle w:val="Body"/>
            </w:pPr>
            <w:r w:rsidRPr="00E13005">
              <w:t>36</w:t>
            </w:r>
          </w:p>
        </w:tc>
      </w:tr>
      <w:tr w:rsidR="00E13005" w:rsidRPr="00E13005" w14:paraId="2C4BBCB6" w14:textId="77777777" w:rsidTr="00E13005">
        <w:trPr>
          <w:divId w:val="199173917"/>
          <w:trHeight w:hRule="exact" w:val="340"/>
        </w:trPr>
        <w:tc>
          <w:tcPr>
            <w:tcW w:w="960" w:type="dxa"/>
            <w:shd w:val="clear" w:color="auto" w:fill="auto"/>
            <w:vAlign w:val="center"/>
            <w:hideMark/>
          </w:tcPr>
          <w:p w14:paraId="21BBA20A" w14:textId="77777777" w:rsidR="00E13005" w:rsidRPr="00E13005" w:rsidRDefault="00E13005" w:rsidP="00E13005">
            <w:pPr>
              <w:pStyle w:val="Body"/>
            </w:pPr>
            <w:r w:rsidRPr="00E13005">
              <w:t>V</w:t>
            </w:r>
          </w:p>
        </w:tc>
        <w:tc>
          <w:tcPr>
            <w:tcW w:w="960" w:type="dxa"/>
            <w:shd w:val="clear" w:color="auto" w:fill="auto"/>
            <w:vAlign w:val="center"/>
            <w:hideMark/>
          </w:tcPr>
          <w:p w14:paraId="36441307" w14:textId="77777777" w:rsidR="00E13005" w:rsidRPr="00E13005" w:rsidRDefault="00E13005" w:rsidP="00E13005">
            <w:pPr>
              <w:pStyle w:val="Body"/>
            </w:pPr>
            <w:r w:rsidRPr="00E13005">
              <w:t>μg/L</w:t>
            </w:r>
          </w:p>
        </w:tc>
        <w:tc>
          <w:tcPr>
            <w:tcW w:w="1080" w:type="dxa"/>
            <w:shd w:val="clear" w:color="000000" w:fill="F2F2F2"/>
            <w:vAlign w:val="center"/>
            <w:hideMark/>
          </w:tcPr>
          <w:p w14:paraId="6C9AD2A0" w14:textId="77777777" w:rsidR="00E13005" w:rsidRPr="00E13005" w:rsidRDefault="00E13005" w:rsidP="00E13005">
            <w:pPr>
              <w:pStyle w:val="Body"/>
            </w:pPr>
            <w:r w:rsidRPr="00E13005">
              <w:t>6</w:t>
            </w:r>
          </w:p>
        </w:tc>
        <w:tc>
          <w:tcPr>
            <w:tcW w:w="1480" w:type="dxa"/>
            <w:shd w:val="clear" w:color="auto" w:fill="auto"/>
            <w:vAlign w:val="center"/>
            <w:hideMark/>
          </w:tcPr>
          <w:p w14:paraId="0A8F3139" w14:textId="77777777" w:rsidR="00E13005" w:rsidRPr="00E13005" w:rsidRDefault="00E13005" w:rsidP="00E13005">
            <w:pPr>
              <w:pStyle w:val="Body"/>
            </w:pPr>
            <w:r w:rsidRPr="00E13005">
              <w:t>370</w:t>
            </w:r>
          </w:p>
        </w:tc>
        <w:tc>
          <w:tcPr>
            <w:tcW w:w="1464" w:type="dxa"/>
            <w:shd w:val="clear" w:color="auto" w:fill="auto"/>
            <w:vAlign w:val="center"/>
            <w:hideMark/>
          </w:tcPr>
          <w:p w14:paraId="32601D2B" w14:textId="77777777" w:rsidR="00E13005" w:rsidRPr="00E13005" w:rsidRDefault="00E13005" w:rsidP="00E13005">
            <w:pPr>
              <w:pStyle w:val="Body"/>
            </w:pPr>
            <w:r w:rsidRPr="00E13005">
              <w:t>62</w:t>
            </w:r>
          </w:p>
        </w:tc>
      </w:tr>
      <w:tr w:rsidR="00E13005" w:rsidRPr="00E13005" w14:paraId="1C76C26C" w14:textId="77777777" w:rsidTr="00E13005">
        <w:trPr>
          <w:divId w:val="199173917"/>
          <w:trHeight w:val="300"/>
        </w:trPr>
        <w:tc>
          <w:tcPr>
            <w:tcW w:w="960" w:type="dxa"/>
            <w:shd w:val="clear" w:color="auto" w:fill="auto"/>
            <w:vAlign w:val="center"/>
            <w:hideMark/>
          </w:tcPr>
          <w:p w14:paraId="70934D88" w14:textId="77777777" w:rsidR="00E13005" w:rsidRPr="00E13005" w:rsidRDefault="00E13005" w:rsidP="00E13005">
            <w:pPr>
              <w:pStyle w:val="Body"/>
            </w:pPr>
            <w:r w:rsidRPr="00E13005">
              <w:t>Zn</w:t>
            </w:r>
          </w:p>
        </w:tc>
        <w:tc>
          <w:tcPr>
            <w:tcW w:w="960" w:type="dxa"/>
            <w:shd w:val="clear" w:color="auto" w:fill="auto"/>
            <w:vAlign w:val="center"/>
            <w:hideMark/>
          </w:tcPr>
          <w:p w14:paraId="5E125C2E" w14:textId="77777777" w:rsidR="00E13005" w:rsidRPr="00E13005" w:rsidRDefault="00E13005" w:rsidP="00E13005">
            <w:pPr>
              <w:pStyle w:val="Body"/>
            </w:pPr>
            <w:r w:rsidRPr="00E13005">
              <w:t>μg/L</w:t>
            </w:r>
          </w:p>
        </w:tc>
        <w:tc>
          <w:tcPr>
            <w:tcW w:w="1080" w:type="dxa"/>
            <w:shd w:val="clear" w:color="000000" w:fill="F2F2F2"/>
            <w:vAlign w:val="center"/>
            <w:hideMark/>
          </w:tcPr>
          <w:p w14:paraId="016741A2" w14:textId="77777777" w:rsidR="00E13005" w:rsidRPr="00E13005" w:rsidRDefault="00E13005" w:rsidP="00E13005">
            <w:pPr>
              <w:pStyle w:val="Body"/>
            </w:pPr>
            <w:r w:rsidRPr="00E13005">
              <w:t>8</w:t>
            </w:r>
          </w:p>
        </w:tc>
        <w:tc>
          <w:tcPr>
            <w:tcW w:w="1480" w:type="dxa"/>
            <w:shd w:val="clear" w:color="auto" w:fill="auto"/>
            <w:vAlign w:val="center"/>
            <w:hideMark/>
          </w:tcPr>
          <w:p w14:paraId="714D8D0F" w14:textId="77777777" w:rsidR="00E13005" w:rsidRPr="00E13005" w:rsidRDefault="00E13005" w:rsidP="00E13005">
            <w:pPr>
              <w:pStyle w:val="Body"/>
            </w:pPr>
            <w:r w:rsidRPr="00E13005">
              <w:t>595</w:t>
            </w:r>
          </w:p>
        </w:tc>
        <w:tc>
          <w:tcPr>
            <w:tcW w:w="1464" w:type="dxa"/>
            <w:shd w:val="clear" w:color="auto" w:fill="auto"/>
            <w:vAlign w:val="center"/>
            <w:hideMark/>
          </w:tcPr>
          <w:p w14:paraId="472974E8" w14:textId="77777777" w:rsidR="00E13005" w:rsidRPr="00E13005" w:rsidRDefault="00E13005" w:rsidP="00E13005">
            <w:pPr>
              <w:pStyle w:val="Body"/>
            </w:pPr>
            <w:r w:rsidRPr="00E13005">
              <w:t>74</w:t>
            </w:r>
          </w:p>
        </w:tc>
      </w:tr>
    </w:tbl>
    <w:p w14:paraId="6DA8EE59" w14:textId="37CC4050" w:rsidR="00AD5EB1" w:rsidRDefault="000C519C" w:rsidP="00D976C8">
      <w:pPr>
        <w:pStyle w:val="Imagecaption"/>
        <w:keepNext/>
        <w:pBdr>
          <w:top w:val="none" w:sz="0" w:space="0" w:color="auto"/>
        </w:pBdr>
      </w:pPr>
      <w:r>
        <w:fldChar w:fldCharType="end"/>
      </w:r>
    </w:p>
    <w:p w14:paraId="47C8BB4F" w14:textId="1EBAF257" w:rsidR="00463627" w:rsidRDefault="008D6643" w:rsidP="009C2EC4">
      <w:pPr>
        <w:pStyle w:val="Body"/>
      </w:pPr>
      <w:r w:rsidRPr="00BD7856">
        <w:t>In a final analysis a relationship is derived between</w:t>
      </w:r>
      <w:r w:rsidRPr="00B11A4A">
        <w:t xml:space="preserve"> the travel distance </w:t>
      </w:r>
      <w:proofErr w:type="gramStart"/>
      <w:r w:rsidRPr="00B11A4A">
        <w:t>or</w:t>
      </w:r>
      <w:proofErr w:type="gramEnd"/>
      <w:r w:rsidRPr="00B11A4A">
        <w:t xml:space="preserve"> setback distance that is required</w:t>
      </w:r>
      <w:r w:rsidRPr="00A63DFB">
        <w:t xml:space="preserve"> to achieve a given DAF value, considering only dilution and dispersion as attenuation processes</w:t>
      </w:r>
      <w:r w:rsidR="00A80B1D" w:rsidRPr="00A63DFB">
        <w:t xml:space="preserve"> (</w:t>
      </w:r>
      <w:r w:rsidR="00A80B1D" w:rsidRPr="00A63DFB">
        <w:fldChar w:fldCharType="begin" w:fldLock="1"/>
      </w:r>
      <w:r w:rsidR="00A80B1D" w:rsidRPr="00A63DFB">
        <w:instrText xml:space="preserve"> REF _Ref468220408 \h </w:instrText>
      </w:r>
      <w:r w:rsidR="00C956E6" w:rsidRPr="00A63DFB">
        <w:instrText xml:space="preserve"> \* MERGEFORMAT </w:instrText>
      </w:r>
      <w:r w:rsidR="00A80B1D" w:rsidRPr="00A63DFB">
        <w:fldChar w:fldCharType="separate"/>
      </w:r>
      <w:r w:rsidR="00335E79">
        <w:t xml:space="preserve">Figure </w:t>
      </w:r>
      <w:r w:rsidR="00335E79">
        <w:rPr>
          <w:noProof/>
        </w:rPr>
        <w:t>5</w:t>
      </w:r>
      <w:r w:rsidR="00335E79">
        <w:rPr>
          <w:noProof/>
        </w:rPr>
        <w:noBreakHyphen/>
        <w:t>29</w:t>
      </w:r>
      <w:r w:rsidR="00A80B1D" w:rsidRPr="00A63DFB">
        <w:fldChar w:fldCharType="end"/>
      </w:r>
      <w:r w:rsidR="00A80B1D" w:rsidRPr="00A63DFB">
        <w:t>)</w:t>
      </w:r>
      <w:r w:rsidRPr="00A63DFB">
        <w:t>. The setback distance is the minimal distance between a CSG well and a receptor that is considered sufficient to reduce the chemical concentration to values below regulatory limits or no-effect levels</w:t>
      </w:r>
      <w:r w:rsidR="00F20278">
        <w:t>, without taking dilution within the receiving waterbody into account</w:t>
      </w:r>
      <w:r w:rsidRPr="00A63DFB">
        <w:t xml:space="preserve">. </w:t>
      </w:r>
      <w:r w:rsidR="00E04C61">
        <w:t xml:space="preserve">Note this is an example only; actual values for setback distance would need to be developed based on site-specific circumstances. </w:t>
      </w:r>
      <w:r w:rsidR="009C2EC4" w:rsidRPr="00A63DFB">
        <w:t>The relationship</w:t>
      </w:r>
      <w:r w:rsidR="00463627">
        <w:t>s</w:t>
      </w:r>
      <w:r w:rsidR="009C2EC4" w:rsidRPr="00A63DFB">
        <w:t xml:space="preserve"> </w:t>
      </w:r>
      <w:r w:rsidR="00AE1F1D">
        <w:t xml:space="preserve">depicted </w:t>
      </w:r>
      <w:r w:rsidR="009C2EC4" w:rsidRPr="00A63DFB">
        <w:t xml:space="preserve">in </w:t>
      </w:r>
      <w:r w:rsidR="009C2EC4" w:rsidRPr="00A63DFB">
        <w:fldChar w:fldCharType="begin" w:fldLock="1"/>
      </w:r>
      <w:r w:rsidR="009C2EC4" w:rsidRPr="00A63DFB">
        <w:instrText xml:space="preserve"> REF _Ref468220408 \h </w:instrText>
      </w:r>
      <w:r w:rsidR="00C956E6" w:rsidRPr="00A63DFB">
        <w:instrText xml:space="preserve"> \* MERGEFORMAT </w:instrText>
      </w:r>
      <w:r w:rsidR="009C2EC4" w:rsidRPr="00A63DFB">
        <w:fldChar w:fldCharType="separate"/>
      </w:r>
      <w:r w:rsidR="00335E79">
        <w:t xml:space="preserve">Figure </w:t>
      </w:r>
      <w:r w:rsidR="00335E79">
        <w:rPr>
          <w:noProof/>
        </w:rPr>
        <w:t>5</w:t>
      </w:r>
      <w:r w:rsidR="00335E79">
        <w:rPr>
          <w:noProof/>
        </w:rPr>
        <w:noBreakHyphen/>
        <w:t>29</w:t>
      </w:r>
      <w:r w:rsidR="009C2EC4" w:rsidRPr="00A63DFB">
        <w:fldChar w:fldCharType="end"/>
      </w:r>
      <w:r w:rsidR="00463627">
        <w:t xml:space="preserve"> are derived for different source geometries and volum</w:t>
      </w:r>
      <w:r w:rsidR="00AE1F1D">
        <w:t>es of injected fluids; the first set of relationships are withou</w:t>
      </w:r>
      <w:r w:rsidR="00545908">
        <w:t>t</w:t>
      </w:r>
      <w:r w:rsidR="00463627">
        <w:t xml:space="preserve"> consideration of degradation and sorption (</w:t>
      </w:r>
      <w:r w:rsidR="00463627">
        <w:fldChar w:fldCharType="begin" w:fldLock="1"/>
      </w:r>
      <w:r w:rsidR="00463627">
        <w:instrText xml:space="preserve"> REF _Ref468220408 \h </w:instrText>
      </w:r>
      <w:r w:rsidR="00463627">
        <w:fldChar w:fldCharType="separate"/>
      </w:r>
      <w:r w:rsidR="00335E79">
        <w:t xml:space="preserve">Figure </w:t>
      </w:r>
      <w:r w:rsidR="00335E79">
        <w:rPr>
          <w:noProof/>
        </w:rPr>
        <w:t>5</w:t>
      </w:r>
      <w:r w:rsidR="00335E79">
        <w:noBreakHyphen/>
      </w:r>
      <w:r w:rsidR="00335E79">
        <w:rPr>
          <w:noProof/>
        </w:rPr>
        <w:t>29</w:t>
      </w:r>
      <w:r w:rsidR="00463627">
        <w:fldChar w:fldCharType="end"/>
      </w:r>
      <w:r w:rsidR="00463627">
        <w:t xml:space="preserve">a). The relationships further show how dilution increases as </w:t>
      </w:r>
      <w:r w:rsidR="009C2EC4" w:rsidRPr="00A63DFB">
        <w:t xml:space="preserve">additional </w:t>
      </w:r>
      <w:r w:rsidR="00463627">
        <w:t>a</w:t>
      </w:r>
      <w:r w:rsidR="009C2EC4" w:rsidRPr="00A63DFB">
        <w:t xml:space="preserve">ttenuation due </w:t>
      </w:r>
      <w:r w:rsidR="00AE1F1D">
        <w:t xml:space="preserve">to </w:t>
      </w:r>
      <w:r w:rsidR="009C2EC4" w:rsidRPr="00A63DFB">
        <w:t>degradation</w:t>
      </w:r>
      <w:r w:rsidR="00463627">
        <w:t xml:space="preserve"> (</w:t>
      </w:r>
      <w:r w:rsidR="00463627">
        <w:fldChar w:fldCharType="begin" w:fldLock="1"/>
      </w:r>
      <w:r w:rsidR="00463627">
        <w:instrText xml:space="preserve"> REF _Ref468220408 \h </w:instrText>
      </w:r>
      <w:r w:rsidR="00463627">
        <w:fldChar w:fldCharType="separate"/>
      </w:r>
      <w:r w:rsidR="00335E79">
        <w:t xml:space="preserve">Figure </w:t>
      </w:r>
      <w:r w:rsidR="00335E79">
        <w:rPr>
          <w:noProof/>
        </w:rPr>
        <w:t>5</w:t>
      </w:r>
      <w:r w:rsidR="00335E79">
        <w:noBreakHyphen/>
      </w:r>
      <w:r w:rsidR="00335E79">
        <w:rPr>
          <w:noProof/>
        </w:rPr>
        <w:t>29</w:t>
      </w:r>
      <w:r w:rsidR="00463627">
        <w:fldChar w:fldCharType="end"/>
      </w:r>
      <w:r w:rsidR="00463627">
        <w:t xml:space="preserve"> b) and </w:t>
      </w:r>
      <w:r w:rsidR="00027002">
        <w:t xml:space="preserve">both </w:t>
      </w:r>
      <w:r w:rsidR="00463627">
        <w:t>degradation and</w:t>
      </w:r>
      <w:r w:rsidR="00463627" w:rsidRPr="00A63DFB">
        <w:t xml:space="preserve"> sorption </w:t>
      </w:r>
      <w:r w:rsidR="00027002">
        <w:t>are</w:t>
      </w:r>
      <w:r w:rsidR="00463627">
        <w:t xml:space="preserve"> accounted for (</w:t>
      </w:r>
      <w:r w:rsidR="00463627">
        <w:fldChar w:fldCharType="begin" w:fldLock="1"/>
      </w:r>
      <w:r w:rsidR="00463627">
        <w:instrText xml:space="preserve"> REF _Ref468220408 \h </w:instrText>
      </w:r>
      <w:r w:rsidR="00463627">
        <w:fldChar w:fldCharType="separate"/>
      </w:r>
      <w:r w:rsidR="00335E79">
        <w:t xml:space="preserve">Figure </w:t>
      </w:r>
      <w:r w:rsidR="00335E79">
        <w:rPr>
          <w:noProof/>
        </w:rPr>
        <w:t>5</w:t>
      </w:r>
      <w:r w:rsidR="00335E79">
        <w:noBreakHyphen/>
      </w:r>
      <w:r w:rsidR="00335E79">
        <w:rPr>
          <w:noProof/>
        </w:rPr>
        <w:t>29</w:t>
      </w:r>
      <w:r w:rsidR="00463627">
        <w:fldChar w:fldCharType="end"/>
      </w:r>
      <w:r w:rsidR="00463627">
        <w:t>c and d)</w:t>
      </w:r>
      <w:r w:rsidR="009C2EC4" w:rsidRPr="00A63DFB">
        <w:t xml:space="preserve">. </w:t>
      </w:r>
      <w:r w:rsidR="00463627">
        <w:t xml:space="preserve">Because differences between the cubic </w:t>
      </w:r>
      <w:r w:rsidR="00545908">
        <w:t>(C-1, C-2, and C-3) and rectangular</w:t>
      </w:r>
      <w:r w:rsidR="00463627">
        <w:t xml:space="preserve"> </w:t>
      </w:r>
      <w:r w:rsidR="00545908">
        <w:t xml:space="preserve">(R-1, R-2, and R-3) </w:t>
      </w:r>
      <w:r w:rsidR="00463627">
        <w:t>source</w:t>
      </w:r>
      <w:r w:rsidR="00545908">
        <w:t>s</w:t>
      </w:r>
      <w:r w:rsidR="00463627">
        <w:t xml:space="preserve"> are negligible</w:t>
      </w:r>
      <w:r w:rsidR="00992C83">
        <w:t xml:space="preserve"> (</w:t>
      </w:r>
      <w:r w:rsidR="00992C83">
        <w:fldChar w:fldCharType="begin" w:fldLock="1"/>
      </w:r>
      <w:r w:rsidR="00992C83">
        <w:instrText xml:space="preserve"> REF _Ref476605456 \h </w:instrText>
      </w:r>
      <w:r w:rsidR="00992C83">
        <w:fldChar w:fldCharType="separate"/>
      </w:r>
      <w:r w:rsidR="00335E79">
        <w:t xml:space="preserve">Table </w:t>
      </w:r>
      <w:r w:rsidR="00335E79">
        <w:rPr>
          <w:noProof/>
        </w:rPr>
        <w:t>5</w:t>
      </w:r>
      <w:r w:rsidR="00335E79">
        <w:noBreakHyphen/>
      </w:r>
      <w:r w:rsidR="00335E79">
        <w:rPr>
          <w:noProof/>
        </w:rPr>
        <w:t>16</w:t>
      </w:r>
      <w:r w:rsidR="00992C83">
        <w:fldChar w:fldCharType="end"/>
      </w:r>
      <w:r w:rsidR="00992C83">
        <w:t>)</w:t>
      </w:r>
      <w:r w:rsidR="00463627">
        <w:t xml:space="preserve">, the cubic source C-2 (1ML injected volume) is used for exploring the effects of degradation </w:t>
      </w:r>
      <w:r w:rsidR="00AE1F1D">
        <w:t>(</w:t>
      </w:r>
      <w:r w:rsidR="00AE1F1D">
        <w:fldChar w:fldCharType="begin" w:fldLock="1"/>
      </w:r>
      <w:r w:rsidR="00AE1F1D">
        <w:instrText xml:space="preserve"> REF _Ref468220408 \h </w:instrText>
      </w:r>
      <w:r w:rsidR="00AE1F1D">
        <w:fldChar w:fldCharType="separate"/>
      </w:r>
      <w:r w:rsidR="00335E79">
        <w:t xml:space="preserve">Figure </w:t>
      </w:r>
      <w:r w:rsidR="00335E79">
        <w:rPr>
          <w:noProof/>
        </w:rPr>
        <w:t>5</w:t>
      </w:r>
      <w:r w:rsidR="00335E79">
        <w:noBreakHyphen/>
      </w:r>
      <w:r w:rsidR="00335E79">
        <w:rPr>
          <w:noProof/>
        </w:rPr>
        <w:t>29</w:t>
      </w:r>
      <w:r w:rsidR="00AE1F1D">
        <w:fldChar w:fldCharType="end"/>
      </w:r>
      <w:r w:rsidR="00AE1F1D">
        <w:t xml:space="preserve">b) </w:t>
      </w:r>
      <w:r w:rsidR="00463627">
        <w:t>and sorption on attenuation</w:t>
      </w:r>
      <w:r w:rsidR="00AE1F1D">
        <w:t xml:space="preserve"> (</w:t>
      </w:r>
      <w:r w:rsidR="00AE1F1D">
        <w:fldChar w:fldCharType="begin" w:fldLock="1"/>
      </w:r>
      <w:r w:rsidR="00AE1F1D">
        <w:instrText xml:space="preserve"> REF _Ref468220408 \h </w:instrText>
      </w:r>
      <w:r w:rsidR="00AE1F1D">
        <w:fldChar w:fldCharType="separate"/>
      </w:r>
      <w:r w:rsidR="00335E79">
        <w:t xml:space="preserve">Figure </w:t>
      </w:r>
      <w:r w:rsidR="00335E79">
        <w:rPr>
          <w:noProof/>
        </w:rPr>
        <w:t>5</w:t>
      </w:r>
      <w:r w:rsidR="00335E79">
        <w:noBreakHyphen/>
      </w:r>
      <w:r w:rsidR="00335E79">
        <w:rPr>
          <w:noProof/>
        </w:rPr>
        <w:t>29</w:t>
      </w:r>
      <w:r w:rsidR="00AE1F1D">
        <w:fldChar w:fldCharType="end"/>
      </w:r>
      <w:r w:rsidR="00AE1F1D">
        <w:t>c and d)</w:t>
      </w:r>
      <w:r w:rsidR="00463627">
        <w:t>.</w:t>
      </w:r>
    </w:p>
    <w:p w14:paraId="60CD9E98" w14:textId="6AB025A6" w:rsidR="00B137E7" w:rsidRDefault="00545908" w:rsidP="009C2EC4">
      <w:pPr>
        <w:pStyle w:val="Body"/>
      </w:pPr>
      <w:r>
        <w:t>In terms of source volume, as expected, the larger the injected volume of fracturing fluids, the smaller the dilution</w:t>
      </w:r>
      <w:r w:rsidR="00992C83">
        <w:t xml:space="preserve"> (</w:t>
      </w:r>
      <w:r w:rsidR="00992C83">
        <w:fldChar w:fldCharType="begin" w:fldLock="1"/>
      </w:r>
      <w:r w:rsidR="00992C83">
        <w:instrText xml:space="preserve"> REF _Ref476605456 \h </w:instrText>
      </w:r>
      <w:r w:rsidR="00992C83">
        <w:fldChar w:fldCharType="separate"/>
      </w:r>
      <w:r w:rsidR="00335E79">
        <w:t xml:space="preserve">Table </w:t>
      </w:r>
      <w:r w:rsidR="00335E79">
        <w:rPr>
          <w:noProof/>
        </w:rPr>
        <w:t>5</w:t>
      </w:r>
      <w:r w:rsidR="00335E79">
        <w:noBreakHyphen/>
      </w:r>
      <w:r w:rsidR="00335E79">
        <w:rPr>
          <w:noProof/>
        </w:rPr>
        <w:t>16</w:t>
      </w:r>
      <w:r w:rsidR="00992C83">
        <w:fldChar w:fldCharType="end"/>
      </w:r>
      <w:r w:rsidR="00992C83">
        <w:t>)</w:t>
      </w:r>
      <w:r>
        <w:t xml:space="preserve">. Each time the volume is doubled, the dilution factor is decreased by a factor two. Given the flow conditions of these simulations, the dilution is not sensitive to the geometry of the plume; the much more elongated rectangular plumes produce nearly the same dilution, certainly at distances larger than 1 km. </w:t>
      </w:r>
      <w:r w:rsidR="00010399">
        <w:t xml:space="preserve">When </w:t>
      </w:r>
      <w:r>
        <w:t xml:space="preserve">an initial plume height of 5 m (the mimimum height considered) </w:t>
      </w:r>
      <w:r w:rsidR="00010399">
        <w:t xml:space="preserve">or 2 </w:t>
      </w:r>
      <w:r w:rsidR="00AE1F1D">
        <w:t xml:space="preserve">m </w:t>
      </w:r>
      <w:r w:rsidR="00010399">
        <w:t>wide (the minimum width considered)</w:t>
      </w:r>
      <w:r>
        <w:t xml:space="preserve"> </w:t>
      </w:r>
      <w:r w:rsidR="00010399">
        <w:t>is used, its concentration at the centre of the plume does not differ from that when a 10 × 10 × 10 m</w:t>
      </w:r>
      <w:r w:rsidR="00010399" w:rsidRPr="00010399">
        <w:rPr>
          <w:vertAlign w:val="superscript"/>
        </w:rPr>
        <w:t>3</w:t>
      </w:r>
      <w:r w:rsidR="00010399">
        <w:t xml:space="preserve"> cube is used.</w:t>
      </w:r>
    </w:p>
    <w:p w14:paraId="40880A69" w14:textId="1A55DF28" w:rsidR="00010399" w:rsidRDefault="00010399" w:rsidP="009C2EC4">
      <w:pPr>
        <w:pStyle w:val="Body"/>
      </w:pPr>
      <w:r>
        <w:t>Incorporating degradation into the advection dispersion solute transport model has a large effect on the DAF values; for instance, at 2 km distance the DAF value increases from 7,500 without degradation to 270,000 with degradation (</w:t>
      </w:r>
      <w:r w:rsidR="00AE1F1D">
        <w:t xml:space="preserve">example </w:t>
      </w:r>
      <w:r>
        <w:t xml:space="preserve">half-life </w:t>
      </w:r>
      <w:r w:rsidRPr="00010399">
        <w:rPr>
          <w:i/>
        </w:rPr>
        <w:t>T</w:t>
      </w:r>
      <w:r w:rsidRPr="00010399">
        <w:rPr>
          <w:vertAlign w:val="subscript"/>
        </w:rPr>
        <w:t xml:space="preserve">1/2 </w:t>
      </w:r>
      <w:r>
        <w:t>= 1</w:t>
      </w:r>
      <w:r w:rsidR="00AE1F1D">
        <w:t>,</w:t>
      </w:r>
      <w:r>
        <w:t xml:space="preserve">386 days). For a half-life </w:t>
      </w:r>
      <w:r w:rsidRPr="00010399">
        <w:rPr>
          <w:i/>
        </w:rPr>
        <w:t>T</w:t>
      </w:r>
      <w:r w:rsidRPr="00010399">
        <w:rPr>
          <w:vertAlign w:val="subscript"/>
        </w:rPr>
        <w:t xml:space="preserve">1/2 </w:t>
      </w:r>
      <w:r>
        <w:t>= 693 days the DAF value becomes 3×10</w:t>
      </w:r>
      <w:r w:rsidRPr="00010399">
        <w:rPr>
          <w:vertAlign w:val="superscript"/>
        </w:rPr>
        <w:t>8</w:t>
      </w:r>
      <w:r>
        <w:t xml:space="preserve"> (</w:t>
      </w:r>
      <w:r w:rsidRPr="00A63DFB">
        <w:fldChar w:fldCharType="begin" w:fldLock="1"/>
      </w:r>
      <w:r w:rsidRPr="00A63DFB">
        <w:instrText xml:space="preserve"> REF _Ref468220408 \h  \* MERGEFORMAT </w:instrText>
      </w:r>
      <w:r w:rsidRPr="00A63DFB">
        <w:fldChar w:fldCharType="separate"/>
      </w:r>
      <w:r w:rsidR="00335E79">
        <w:t xml:space="preserve">Figure </w:t>
      </w:r>
      <w:r w:rsidR="00335E79">
        <w:rPr>
          <w:noProof/>
        </w:rPr>
        <w:t>5</w:t>
      </w:r>
      <w:r w:rsidR="00335E79">
        <w:rPr>
          <w:noProof/>
        </w:rPr>
        <w:noBreakHyphen/>
        <w:t>29</w:t>
      </w:r>
      <w:r w:rsidRPr="00A63DFB">
        <w:fldChar w:fldCharType="end"/>
      </w:r>
      <w:r>
        <w:t>b).</w:t>
      </w:r>
    </w:p>
    <w:p w14:paraId="53C791FC" w14:textId="4C575261" w:rsidR="00010399" w:rsidRDefault="00010399" w:rsidP="009C2EC4">
      <w:pPr>
        <w:pStyle w:val="Body"/>
      </w:pPr>
      <w:r>
        <w:t>Even larger DAF values are obtained when subsequently sorption is accounted for. Compared to the DAF value of 7,500 (without sorption</w:t>
      </w:r>
      <w:r w:rsidR="003052E7">
        <w:t xml:space="preserve"> and half-life </w:t>
      </w:r>
      <w:r w:rsidR="003052E7" w:rsidRPr="00010399">
        <w:rPr>
          <w:i/>
        </w:rPr>
        <w:t>T</w:t>
      </w:r>
      <w:r w:rsidR="003052E7" w:rsidRPr="00010399">
        <w:rPr>
          <w:vertAlign w:val="subscript"/>
        </w:rPr>
        <w:t xml:space="preserve">1/2 </w:t>
      </w:r>
      <w:r w:rsidR="003052E7">
        <w:t>= 1</w:t>
      </w:r>
      <w:r w:rsidR="00026E2F">
        <w:t>,</w:t>
      </w:r>
      <w:r w:rsidR="003052E7">
        <w:t>386 days</w:t>
      </w:r>
      <w:r>
        <w:t xml:space="preserve">), taking the retardation factor </w:t>
      </w:r>
      <w:proofErr w:type="gramStart"/>
      <w:r w:rsidR="007B3DC4" w:rsidRPr="00E6110F">
        <w:rPr>
          <w:i/>
        </w:rPr>
        <w:t>R</w:t>
      </w:r>
      <w:r w:rsidR="007B3DC4" w:rsidRPr="007B3DC4">
        <w:rPr>
          <w:i/>
          <w:vertAlign w:val="subscript"/>
        </w:rPr>
        <w:t>f</w:t>
      </w:r>
      <w:proofErr w:type="gramEnd"/>
      <w:r w:rsidR="007B3DC4">
        <w:t xml:space="preserve"> </w:t>
      </w:r>
      <w:r>
        <w:t>= 2 increase</w:t>
      </w:r>
      <w:r w:rsidR="003052E7">
        <w:t>s</w:t>
      </w:r>
      <w:r>
        <w:t xml:space="preserve"> the DAF value to 3×10</w:t>
      </w:r>
      <w:r w:rsidRPr="00010399">
        <w:rPr>
          <w:vertAlign w:val="superscript"/>
        </w:rPr>
        <w:t>8</w:t>
      </w:r>
      <w:r>
        <w:rPr>
          <w:vertAlign w:val="superscript"/>
        </w:rPr>
        <w:t xml:space="preserve"> </w:t>
      </w:r>
      <w:r>
        <w:t>(</w:t>
      </w:r>
      <w:r w:rsidRPr="00A63DFB">
        <w:fldChar w:fldCharType="begin" w:fldLock="1"/>
      </w:r>
      <w:r w:rsidRPr="00A63DFB">
        <w:instrText xml:space="preserve"> REF _Ref468220408 \h  \* MERGEFORMAT </w:instrText>
      </w:r>
      <w:r w:rsidRPr="00A63DFB">
        <w:fldChar w:fldCharType="separate"/>
      </w:r>
      <w:r w:rsidR="00335E79">
        <w:t xml:space="preserve">Figure </w:t>
      </w:r>
      <w:r w:rsidR="00335E79">
        <w:rPr>
          <w:noProof/>
        </w:rPr>
        <w:t>5</w:t>
      </w:r>
      <w:r w:rsidR="00335E79">
        <w:rPr>
          <w:noProof/>
        </w:rPr>
        <w:noBreakHyphen/>
        <w:t>29</w:t>
      </w:r>
      <w:r w:rsidRPr="00A63DFB">
        <w:fldChar w:fldCharType="end"/>
      </w:r>
      <w:r w:rsidR="003052E7">
        <w:t>c</w:t>
      </w:r>
      <w:r>
        <w:t>).</w:t>
      </w:r>
      <w:r w:rsidR="003052E7">
        <w:t xml:space="preserve"> If the half-life </w:t>
      </w:r>
      <w:r w:rsidR="003052E7" w:rsidRPr="00010399">
        <w:rPr>
          <w:i/>
        </w:rPr>
        <w:t>T</w:t>
      </w:r>
      <w:r w:rsidR="003052E7" w:rsidRPr="00010399">
        <w:rPr>
          <w:vertAlign w:val="subscript"/>
        </w:rPr>
        <w:t xml:space="preserve">1/2 </w:t>
      </w:r>
      <w:r w:rsidR="003052E7">
        <w:t>= 693 days, the DAF value becomes 5×10</w:t>
      </w:r>
      <w:r w:rsidR="003052E7">
        <w:rPr>
          <w:vertAlign w:val="superscript"/>
        </w:rPr>
        <w:t xml:space="preserve">14 </w:t>
      </w:r>
      <w:r w:rsidR="003052E7">
        <w:t>(</w:t>
      </w:r>
      <w:r w:rsidR="003052E7" w:rsidRPr="00A63DFB">
        <w:fldChar w:fldCharType="begin" w:fldLock="1"/>
      </w:r>
      <w:r w:rsidR="003052E7" w:rsidRPr="00A63DFB">
        <w:instrText xml:space="preserve"> REF _Ref468220408 \h  \* MERGEFORMAT </w:instrText>
      </w:r>
      <w:r w:rsidR="003052E7" w:rsidRPr="00A63DFB">
        <w:fldChar w:fldCharType="separate"/>
      </w:r>
      <w:r w:rsidR="00335E79">
        <w:t xml:space="preserve">Figure </w:t>
      </w:r>
      <w:r w:rsidR="00335E79">
        <w:rPr>
          <w:noProof/>
        </w:rPr>
        <w:t>5</w:t>
      </w:r>
      <w:r w:rsidR="00335E79">
        <w:rPr>
          <w:noProof/>
        </w:rPr>
        <w:noBreakHyphen/>
        <w:t>29</w:t>
      </w:r>
      <w:r w:rsidR="003052E7" w:rsidRPr="00A63DFB">
        <w:fldChar w:fldCharType="end"/>
      </w:r>
      <w:r w:rsidR="003052E7">
        <w:t>d).</w:t>
      </w:r>
    </w:p>
    <w:p w14:paraId="534CB351" w14:textId="4E57E39D" w:rsidR="00010399" w:rsidRPr="00A63DFB" w:rsidRDefault="00010399" w:rsidP="009C2EC4">
      <w:pPr>
        <w:pStyle w:val="Body"/>
      </w:pPr>
    </w:p>
    <w:p w14:paraId="649C2C60" w14:textId="12EC1203" w:rsidR="008D6643" w:rsidRPr="00A63DFB" w:rsidRDefault="00763664" w:rsidP="00C95533">
      <w:pPr>
        <w:pStyle w:val="Body"/>
        <w:rPr>
          <w:sz w:val="22"/>
          <w:szCs w:val="22"/>
        </w:rPr>
      </w:pPr>
      <w:r w:rsidRPr="00763664">
        <w:rPr>
          <w:noProof/>
          <w:lang w:val="en-AU" w:eastAsia="en-AU"/>
        </w:rPr>
        <w:drawing>
          <wp:inline distT="0" distB="0" distL="0" distR="0" wp14:anchorId="1EAAAB4E" wp14:editId="2FE7C630">
            <wp:extent cx="5727700" cy="4916319"/>
            <wp:effectExtent l="0" t="0" r="6350" b="0"/>
            <wp:docPr id="27" name="Picture 27" descr="Charts showing dilution attenuation factor versus travel distance." title="Fig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5727700" cy="4916319"/>
                    </a:xfrm>
                    <a:prstGeom prst="rect">
                      <a:avLst/>
                    </a:prstGeom>
                    <a:noFill/>
                    <a:ln>
                      <a:noFill/>
                    </a:ln>
                  </pic:spPr>
                </pic:pic>
              </a:graphicData>
            </a:graphic>
          </wp:inline>
        </w:drawing>
      </w:r>
    </w:p>
    <w:p w14:paraId="33BED9FE" w14:textId="1C795277" w:rsidR="00612308" w:rsidRDefault="00612308" w:rsidP="009C2EC4">
      <w:pPr>
        <w:pStyle w:val="Body"/>
        <w:jc w:val="center"/>
      </w:pPr>
    </w:p>
    <w:p w14:paraId="05CC2B37" w14:textId="50C34200" w:rsidR="005510E8" w:rsidRDefault="00612308" w:rsidP="005510E8">
      <w:pPr>
        <w:pStyle w:val="Imagecaption"/>
      </w:pPr>
      <w:bookmarkStart w:id="747" w:name="_Ref468220408"/>
      <w:bookmarkStart w:id="748" w:name="_Toc477347671"/>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29</w:t>
      </w:r>
      <w:r w:rsidR="00254026">
        <w:fldChar w:fldCharType="end"/>
      </w:r>
      <w:bookmarkEnd w:id="747"/>
      <w:r>
        <w:t xml:space="preserve"> Dilution attenuation factor (DAF) in function of travel distance or setback distance</w:t>
      </w:r>
      <w:r w:rsidR="00E04C61">
        <w:t xml:space="preserve"> (this is an example only; actual values would need to be developed based on site-specific circumstances)</w:t>
      </w:r>
      <w:r>
        <w:t xml:space="preserve">.  </w:t>
      </w:r>
      <w:r w:rsidR="005510E8">
        <w:t xml:space="preserve">(A) Dilution and dispersion without degradation and without sorption. </w:t>
      </w:r>
      <w:r w:rsidR="008D6643">
        <w:t>Closed circles are calculated</w:t>
      </w:r>
      <w:r w:rsidR="005510E8">
        <w:t>; coloured lines are fitted.</w:t>
      </w:r>
      <w:r w:rsidR="008D6643">
        <w:t xml:space="preserve"> </w:t>
      </w:r>
      <w:r w:rsidR="005510E8">
        <w:t>Cubic source types are C-1</w:t>
      </w:r>
      <w:r w:rsidR="00A302B3">
        <w:t xml:space="preserve"> (0.5 ML)</w:t>
      </w:r>
      <w:r w:rsidR="005510E8">
        <w:t xml:space="preserve">, C-2 </w:t>
      </w:r>
      <w:r w:rsidR="00A302B3">
        <w:t xml:space="preserve">(1 ML) </w:t>
      </w:r>
      <w:r w:rsidR="005510E8">
        <w:t>and C-3</w:t>
      </w:r>
      <w:r w:rsidR="00A302B3">
        <w:t xml:space="preserve"> (2 ML)</w:t>
      </w:r>
      <w:r w:rsidR="005510E8">
        <w:t>; open circles are for rectangular source types R-1, R-2 and R-3</w:t>
      </w:r>
      <w:r w:rsidR="008D6643">
        <w:t>.</w:t>
      </w:r>
      <w:r w:rsidR="005510E8">
        <w:t xml:space="preserve"> (B) Dilution, dispersion and degradation for cubic source type C-2. (C) Dilution, dispersion, degradation and sorption for cubic source type C-2 (half-life T</w:t>
      </w:r>
      <w:r w:rsidR="005510E8" w:rsidRPr="005510E8">
        <w:rPr>
          <w:vertAlign w:val="subscript"/>
        </w:rPr>
        <w:t xml:space="preserve">1/2 </w:t>
      </w:r>
      <w:r w:rsidR="005510E8">
        <w:t>= 1</w:t>
      </w:r>
      <w:r w:rsidR="00C00087">
        <w:t>,</w:t>
      </w:r>
      <w:r w:rsidR="005510E8">
        <w:t>386 days). (D) Dilution, dispersion, degradation and sorption for cubic source type C-2 (half-life T</w:t>
      </w:r>
      <w:r w:rsidR="005510E8" w:rsidRPr="005510E8">
        <w:rPr>
          <w:vertAlign w:val="subscript"/>
        </w:rPr>
        <w:t xml:space="preserve">1/2 </w:t>
      </w:r>
      <w:r w:rsidR="005510E8">
        <w:t>= 693 days).</w:t>
      </w:r>
      <w:bookmarkEnd w:id="748"/>
    </w:p>
    <w:p w14:paraId="07BA78D8" w14:textId="08EE17B8" w:rsidR="00DA0171" w:rsidRDefault="00DA0171" w:rsidP="00DA0171">
      <w:pPr>
        <w:pStyle w:val="Body"/>
      </w:pPr>
      <w:r>
        <w:t>F</w:t>
      </w:r>
      <w:r w:rsidRPr="00A63DFB">
        <w:t xml:space="preserve">or many chemicals the relationship in </w:t>
      </w:r>
      <w:r w:rsidRPr="00A63DFB">
        <w:fldChar w:fldCharType="begin" w:fldLock="1"/>
      </w:r>
      <w:r w:rsidRPr="00A63DFB">
        <w:instrText xml:space="preserve"> REF _Ref468220408 \h  \* MERGEFORMAT </w:instrText>
      </w:r>
      <w:r w:rsidRPr="00A63DFB">
        <w:fldChar w:fldCharType="separate"/>
      </w:r>
      <w:r w:rsidR="00335E79">
        <w:t xml:space="preserve">Figure </w:t>
      </w:r>
      <w:r w:rsidR="00335E79">
        <w:rPr>
          <w:noProof/>
        </w:rPr>
        <w:t>5</w:t>
      </w:r>
      <w:r w:rsidR="00335E79">
        <w:rPr>
          <w:noProof/>
        </w:rPr>
        <w:noBreakHyphen/>
        <w:t>29</w:t>
      </w:r>
      <w:r w:rsidRPr="00A63DFB">
        <w:fldChar w:fldCharType="end"/>
      </w:r>
      <w:proofErr w:type="gramStart"/>
      <w:r>
        <w:t>a</w:t>
      </w:r>
      <w:r w:rsidRPr="00A63DFB">
        <w:t xml:space="preserve"> is</w:t>
      </w:r>
      <w:proofErr w:type="gramEnd"/>
      <w:r w:rsidRPr="00A63DFB">
        <w:t xml:space="preserve"> a conservative estimate that can be used if no site-specific information on sorption and degradation is available. The data from </w:t>
      </w:r>
      <w:r w:rsidRPr="00A63DFB">
        <w:fldChar w:fldCharType="begin" w:fldLock="1"/>
      </w:r>
      <w:r w:rsidRPr="00A63DFB">
        <w:instrText xml:space="preserve"> REF _Ref468220408 \h  \* MERGEFORMAT </w:instrText>
      </w:r>
      <w:r w:rsidRPr="00A63DFB">
        <w:fldChar w:fldCharType="separate"/>
      </w:r>
      <w:r w:rsidR="00335E79">
        <w:t xml:space="preserve">Figure </w:t>
      </w:r>
      <w:r w:rsidR="00335E79">
        <w:rPr>
          <w:noProof/>
        </w:rPr>
        <w:t>5</w:t>
      </w:r>
      <w:r w:rsidR="00335E79">
        <w:rPr>
          <w:noProof/>
        </w:rPr>
        <w:noBreakHyphen/>
        <w:t>29</w:t>
      </w:r>
      <w:r w:rsidRPr="00A63DFB">
        <w:fldChar w:fldCharType="end"/>
      </w:r>
      <w:proofErr w:type="gramStart"/>
      <w:r>
        <w:t>a</w:t>
      </w:r>
      <w:proofErr w:type="gramEnd"/>
      <w:r w:rsidRPr="00A63DFB">
        <w:t xml:space="preserve"> are</w:t>
      </w:r>
      <w:r w:rsidRPr="00BD7856">
        <w:t xml:space="preserve"> also provided in </w:t>
      </w:r>
      <w:r w:rsidRPr="00A63DFB">
        <w:fldChar w:fldCharType="begin" w:fldLock="1"/>
      </w:r>
      <w:r w:rsidRPr="00A63DFB">
        <w:instrText xml:space="preserve"> REF _Ref468263363 \h  \* MERGEFORMAT </w:instrText>
      </w:r>
      <w:r w:rsidRPr="00A63DFB">
        <w:fldChar w:fldCharType="separate"/>
      </w:r>
      <w:r w:rsidR="00335E79" w:rsidRPr="00F045B7">
        <w:t xml:space="preserve">Table </w:t>
      </w:r>
      <w:r w:rsidR="00335E79">
        <w:t>5</w:t>
      </w:r>
      <w:r w:rsidR="00335E79">
        <w:noBreakHyphen/>
        <w:t>26</w:t>
      </w:r>
      <w:r w:rsidRPr="00A63DFB">
        <w:fldChar w:fldCharType="end"/>
      </w:r>
      <w:r>
        <w:t xml:space="preserve"> (for the cubic C-1, C-2, and C-3 source types)</w:t>
      </w:r>
      <w:r w:rsidRPr="00A63DFB">
        <w:t xml:space="preserve">. </w:t>
      </w:r>
      <w:r>
        <w:t>For an injection volume of 0.5 ML a</w:t>
      </w:r>
      <w:r w:rsidRPr="00A63DFB">
        <w:t xml:space="preserve"> setback distance of 2 km would satisfy all </w:t>
      </w:r>
      <w:r>
        <w:t xml:space="preserve">but two </w:t>
      </w:r>
      <w:r w:rsidR="00F20278">
        <w:t xml:space="preserve">of </w:t>
      </w:r>
      <w:r w:rsidRPr="00A63DFB">
        <w:t xml:space="preserve">the DAF criteria from </w:t>
      </w:r>
      <w:r w:rsidRPr="00A63DFB">
        <w:fldChar w:fldCharType="begin" w:fldLock="1"/>
      </w:r>
      <w:r w:rsidRPr="00A63DFB">
        <w:instrText xml:space="preserve"> REF _Ref467853174 \h  \* MERGEFORMAT </w:instrText>
      </w:r>
      <w:r w:rsidRPr="00A63DFB">
        <w:fldChar w:fldCharType="separate"/>
      </w:r>
      <w:r w:rsidR="00335E79" w:rsidRPr="00D976C8">
        <w:t xml:space="preserve">Table </w:t>
      </w:r>
      <w:r w:rsidR="00335E79">
        <w:t>5</w:t>
      </w:r>
      <w:r w:rsidR="00335E79">
        <w:noBreakHyphen/>
        <w:t>24</w:t>
      </w:r>
      <w:r w:rsidRPr="00A63DFB">
        <w:fldChar w:fldCharType="end"/>
      </w:r>
      <w:r w:rsidRPr="00A63DFB">
        <w:t xml:space="preserve"> (</w:t>
      </w:r>
      <w:r w:rsidR="00F20278">
        <w:t>org</w:t>
      </w:r>
      <w:r w:rsidRPr="00A63DFB">
        <w:t xml:space="preserve">anic and inorganic hydraulic fracturing chemicals) and </w:t>
      </w:r>
      <w:r w:rsidRPr="00A63DFB">
        <w:fldChar w:fldCharType="begin" w:fldLock="1"/>
      </w:r>
      <w:r w:rsidRPr="00A63DFB">
        <w:instrText xml:space="preserve"> REF _Ref467876203 \h  \* MERGEFORMAT </w:instrText>
      </w:r>
      <w:r w:rsidRPr="00A63DFB">
        <w:fldChar w:fldCharType="separate"/>
      </w:r>
      <w:r w:rsidR="00335E79" w:rsidRPr="00D976C8">
        <w:t xml:space="preserve">Table </w:t>
      </w:r>
      <w:r w:rsidR="00335E79">
        <w:t>5</w:t>
      </w:r>
      <w:r w:rsidR="00335E79">
        <w:noBreakHyphen/>
        <w:t>25</w:t>
      </w:r>
      <w:r w:rsidRPr="00A63DFB">
        <w:fldChar w:fldCharType="end"/>
      </w:r>
      <w:r w:rsidRPr="00A63DFB">
        <w:t xml:space="preserve"> (geogenics)</w:t>
      </w:r>
      <w:r w:rsidR="00F20278">
        <w:t xml:space="preserve"> (the exception being hypochlorous acid and carbonic acid sodium salt)</w:t>
      </w:r>
      <w:r w:rsidRPr="00A63DFB">
        <w:t xml:space="preserve">. </w:t>
      </w:r>
    </w:p>
    <w:p w14:paraId="1CC3D57B" w14:textId="70B6191C" w:rsidR="00B137E7" w:rsidRDefault="00B137E7" w:rsidP="00B137E7">
      <w:pPr>
        <w:pStyle w:val="Body"/>
      </w:pPr>
      <w:r>
        <w:t xml:space="preserve">It is important to note that the injection volumes in </w:t>
      </w:r>
      <w:r>
        <w:fldChar w:fldCharType="begin" w:fldLock="1"/>
      </w:r>
      <w:r>
        <w:instrText xml:space="preserve"> REF _Ref468263363 \h  \* MERGEFORMAT </w:instrText>
      </w:r>
      <w:r>
        <w:fldChar w:fldCharType="separate"/>
      </w:r>
      <w:r w:rsidR="00335E79" w:rsidRPr="00F045B7">
        <w:t xml:space="preserve">Table </w:t>
      </w:r>
      <w:r w:rsidR="00335E79">
        <w:t>5</w:t>
      </w:r>
      <w:r w:rsidR="00335E79">
        <w:noBreakHyphen/>
        <w:t>26</w:t>
      </w:r>
      <w:r>
        <w:fldChar w:fldCharType="end"/>
      </w:r>
      <w:r>
        <w:t xml:space="preserve"> each have an estimated probability of occurrence, based on current industry practice (see discussion in Section </w:t>
      </w:r>
      <w:r>
        <w:fldChar w:fldCharType="begin" w:fldLock="1"/>
      </w:r>
      <w:r>
        <w:instrText xml:space="preserve"> REF _Ref458951219 \r \h </w:instrText>
      </w:r>
      <w:r>
        <w:fldChar w:fldCharType="separate"/>
      </w:r>
      <w:r w:rsidR="00335E79">
        <w:t>5.2.1.3</w:t>
      </w:r>
      <w:r>
        <w:fldChar w:fldCharType="end"/>
      </w:r>
      <w:r>
        <w:t>). The 0.5 ML injection volume has a probability of non-exceedance of 18%: 18 times out of 100 a smaller volume is used, or conversely, 82 times out of 100 a larger volume is used. The 1ML injection volume has a probability of non-exceedance of 66%: 66 times out of 100 a smaller volume will be used, while in 34 times out of 100 a larger volume is used. Finally, the 2 ML injection volume has a probability of non-exceedance of 99%: 99 times out of 100 a smaller volume will be used, and only in one out of 100 times a larger volume.</w:t>
      </w:r>
    </w:p>
    <w:p w14:paraId="2FA7532F" w14:textId="77777777" w:rsidR="009C2EC4" w:rsidRDefault="009C2EC4" w:rsidP="00D976C8">
      <w:pPr>
        <w:pStyle w:val="Imagecaption"/>
        <w:keepNext/>
        <w:pBdr>
          <w:top w:val="none" w:sz="0" w:space="0" w:color="auto"/>
        </w:pBdr>
      </w:pPr>
    </w:p>
    <w:p w14:paraId="5352135E" w14:textId="61622258" w:rsidR="00F045B7" w:rsidRPr="00F045B7" w:rsidRDefault="00F045B7" w:rsidP="00D976C8">
      <w:pPr>
        <w:pStyle w:val="Imagecaption"/>
        <w:keepNext/>
        <w:pBdr>
          <w:top w:val="none" w:sz="0" w:space="0" w:color="auto"/>
        </w:pBdr>
      </w:pPr>
      <w:bookmarkStart w:id="749" w:name="_Ref468263363"/>
      <w:bookmarkStart w:id="750" w:name="_Toc494444754"/>
      <w:r w:rsidRPr="00F045B7">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26</w:t>
      </w:r>
      <w:r w:rsidR="00470577">
        <w:fldChar w:fldCharType="end"/>
      </w:r>
      <w:bookmarkEnd w:id="749"/>
      <w:r w:rsidRPr="00F045B7">
        <w:t xml:space="preserve"> Setback distances </w:t>
      </w:r>
      <w:r w:rsidR="003E5F5B">
        <w:t xml:space="preserve">to obtain minimum </w:t>
      </w:r>
      <w:r w:rsidRPr="00F045B7">
        <w:t xml:space="preserve">DAF values </w:t>
      </w:r>
      <w:r w:rsidR="000B21D3">
        <w:t xml:space="preserve">for which RQ &lt; 1 </w:t>
      </w:r>
      <w:r w:rsidRPr="00F045B7">
        <w:t>(attenuation based on dilution and dispersion only</w:t>
      </w:r>
      <w:r w:rsidR="000332BD">
        <w:t>, source type C-</w:t>
      </w:r>
      <w:r w:rsidR="00D95730">
        <w:t>1, C-</w:t>
      </w:r>
      <w:r w:rsidR="000332BD">
        <w:t>2</w:t>
      </w:r>
      <w:r w:rsidR="00D95730">
        <w:t>, and C-</w:t>
      </w:r>
      <w:r w:rsidR="004A28B9">
        <w:t>3</w:t>
      </w:r>
      <w:r w:rsidRPr="00F045B7">
        <w:t>).</w:t>
      </w:r>
      <w:r w:rsidR="00D95730">
        <w:t xml:space="preserve"> Injected volumes in megalitres (1 ML = one million </w:t>
      </w:r>
      <w:r w:rsidR="004162B6">
        <w:t>litres</w:t>
      </w:r>
      <w:r w:rsidR="00D95730">
        <w:t>)</w:t>
      </w:r>
      <w:r w:rsidR="00026E2F">
        <w:t>.</w:t>
      </w:r>
      <w:r w:rsidR="00E04C61">
        <w:t xml:space="preserve"> This is an example only; actual values would need to be developed based on site-specific circumstances.</w:t>
      </w:r>
      <w:bookmarkEnd w:id="750"/>
    </w:p>
    <w:tbl>
      <w:tblPr>
        <w:tblStyle w:val="TableGrid"/>
        <w:tblW w:w="6374" w:type="dxa"/>
        <w:tblLayout w:type="fixed"/>
        <w:tblLook w:val="04A0" w:firstRow="1" w:lastRow="0" w:firstColumn="1" w:lastColumn="0" w:noHBand="0" w:noVBand="1"/>
      </w:tblPr>
      <w:tblGrid>
        <w:gridCol w:w="2122"/>
        <w:gridCol w:w="1559"/>
        <w:gridCol w:w="1417"/>
        <w:gridCol w:w="1276"/>
      </w:tblGrid>
      <w:tr w:rsidR="00D95730" w:rsidRPr="00E6110F" w14:paraId="162E72F4" w14:textId="77777777" w:rsidTr="00D95730">
        <w:tc>
          <w:tcPr>
            <w:tcW w:w="2122" w:type="dxa"/>
            <w:shd w:val="clear" w:color="auto" w:fill="F2F2F2" w:themeFill="background1" w:themeFillShade="F2"/>
          </w:tcPr>
          <w:p w14:paraId="6E6C20B5" w14:textId="72123357" w:rsidR="00D95730" w:rsidRPr="00E6110F" w:rsidRDefault="00D95730" w:rsidP="009C2EC4">
            <w:pPr>
              <w:pStyle w:val="Body"/>
            </w:pPr>
            <w:r>
              <w:t>Setback distance (km)</w:t>
            </w:r>
          </w:p>
        </w:tc>
        <w:tc>
          <w:tcPr>
            <w:tcW w:w="1559" w:type="dxa"/>
            <w:shd w:val="clear" w:color="auto" w:fill="F2F2F2" w:themeFill="background1" w:themeFillShade="F2"/>
          </w:tcPr>
          <w:p w14:paraId="67D1DA2C" w14:textId="2347CD24" w:rsidR="00D95730" w:rsidRDefault="00D95730" w:rsidP="00D14158">
            <w:pPr>
              <w:jc w:val="center"/>
              <w:rPr>
                <w:rFonts w:ascii="Calibri" w:hAnsi="Calibri" w:cs="Calibri"/>
                <w:color w:val="000000"/>
                <w:sz w:val="18"/>
                <w:szCs w:val="18"/>
                <w:lang w:val="en-GB"/>
              </w:rPr>
            </w:pPr>
            <w:r>
              <w:rPr>
                <w:rFonts w:ascii="Calibri" w:hAnsi="Calibri" w:cs="Calibri"/>
                <w:color w:val="000000"/>
                <w:sz w:val="18"/>
                <w:szCs w:val="18"/>
                <w:lang w:val="en-GB"/>
              </w:rPr>
              <w:t xml:space="preserve">DAF </w:t>
            </w:r>
            <w:r w:rsidR="00C00087">
              <w:rPr>
                <w:rFonts w:ascii="Calibri" w:hAnsi="Calibri" w:cs="Calibri"/>
                <w:color w:val="000000"/>
                <w:sz w:val="18"/>
                <w:szCs w:val="18"/>
                <w:lang w:val="en-GB"/>
              </w:rPr>
              <w:t>C-1</w:t>
            </w:r>
          </w:p>
          <w:p w14:paraId="7283C6E2" w14:textId="78ABBB6C" w:rsidR="00D95730" w:rsidRDefault="00D95730" w:rsidP="00D14158">
            <w:pPr>
              <w:jc w:val="center"/>
              <w:rPr>
                <w:rFonts w:ascii="Calibri" w:hAnsi="Calibri" w:cs="Calibri"/>
                <w:color w:val="000000"/>
                <w:sz w:val="18"/>
                <w:szCs w:val="18"/>
                <w:lang w:val="en-GB"/>
              </w:rPr>
            </w:pPr>
            <w:r>
              <w:rPr>
                <w:rFonts w:ascii="Calibri" w:hAnsi="Calibri" w:cs="Calibri"/>
                <w:color w:val="000000"/>
                <w:sz w:val="18"/>
                <w:szCs w:val="18"/>
                <w:lang w:val="en-GB"/>
              </w:rPr>
              <w:t>(0.5 ML injected)</w:t>
            </w:r>
          </w:p>
        </w:tc>
        <w:tc>
          <w:tcPr>
            <w:tcW w:w="1417" w:type="dxa"/>
            <w:shd w:val="clear" w:color="auto" w:fill="F2F2F2" w:themeFill="background1" w:themeFillShade="F2"/>
          </w:tcPr>
          <w:p w14:paraId="4356D68A" w14:textId="1495A616" w:rsidR="00D95730" w:rsidRDefault="00D95730" w:rsidP="00D14158">
            <w:pPr>
              <w:jc w:val="center"/>
              <w:rPr>
                <w:rFonts w:ascii="Calibri" w:hAnsi="Calibri" w:cs="Calibri"/>
                <w:color w:val="000000"/>
                <w:sz w:val="18"/>
                <w:szCs w:val="18"/>
                <w:lang w:val="en-GB"/>
              </w:rPr>
            </w:pPr>
            <w:r>
              <w:rPr>
                <w:rFonts w:ascii="Calibri" w:hAnsi="Calibri" w:cs="Calibri"/>
                <w:color w:val="000000"/>
                <w:sz w:val="18"/>
                <w:szCs w:val="18"/>
                <w:lang w:val="en-GB"/>
              </w:rPr>
              <w:t xml:space="preserve">DAF </w:t>
            </w:r>
            <w:r w:rsidR="00C00087">
              <w:rPr>
                <w:rFonts w:ascii="Calibri" w:hAnsi="Calibri" w:cs="Calibri"/>
                <w:color w:val="000000"/>
                <w:sz w:val="18"/>
                <w:szCs w:val="18"/>
                <w:lang w:val="en-GB"/>
              </w:rPr>
              <w:t>C-2</w:t>
            </w:r>
          </w:p>
          <w:p w14:paraId="65798DF6" w14:textId="75713DF4" w:rsidR="00D95730" w:rsidRDefault="00D95730" w:rsidP="00D14158">
            <w:pPr>
              <w:jc w:val="center"/>
              <w:rPr>
                <w:rFonts w:ascii="Calibri" w:hAnsi="Calibri" w:cs="Calibri"/>
                <w:color w:val="000000"/>
                <w:sz w:val="18"/>
                <w:szCs w:val="18"/>
                <w:lang w:val="en-GB"/>
              </w:rPr>
            </w:pPr>
            <w:r>
              <w:rPr>
                <w:rFonts w:ascii="Calibri" w:hAnsi="Calibri" w:cs="Calibri"/>
                <w:color w:val="000000"/>
                <w:sz w:val="18"/>
                <w:szCs w:val="18"/>
                <w:lang w:val="en-GB"/>
              </w:rPr>
              <w:t>(1ML injected)</w:t>
            </w:r>
          </w:p>
        </w:tc>
        <w:tc>
          <w:tcPr>
            <w:tcW w:w="1276" w:type="dxa"/>
            <w:shd w:val="clear" w:color="auto" w:fill="F2F2F2" w:themeFill="background1" w:themeFillShade="F2"/>
            <w:vAlign w:val="center"/>
          </w:tcPr>
          <w:p w14:paraId="7D0DEADD" w14:textId="4C1162D2" w:rsidR="00D95730" w:rsidRDefault="00D95730" w:rsidP="00D95730">
            <w:pPr>
              <w:jc w:val="center"/>
              <w:rPr>
                <w:rFonts w:ascii="Calibri" w:hAnsi="Calibri" w:cs="Calibri"/>
                <w:color w:val="000000"/>
                <w:sz w:val="18"/>
                <w:szCs w:val="18"/>
                <w:lang w:val="en-GB"/>
              </w:rPr>
            </w:pPr>
            <w:r>
              <w:rPr>
                <w:rFonts w:ascii="Calibri" w:hAnsi="Calibri" w:cs="Calibri"/>
                <w:color w:val="000000"/>
                <w:sz w:val="18"/>
                <w:szCs w:val="18"/>
                <w:lang w:val="en-GB"/>
              </w:rPr>
              <w:t xml:space="preserve">DAF </w:t>
            </w:r>
            <w:r w:rsidR="00C00087">
              <w:rPr>
                <w:rFonts w:ascii="Calibri" w:hAnsi="Calibri" w:cs="Calibri"/>
                <w:color w:val="000000"/>
                <w:sz w:val="18"/>
                <w:szCs w:val="18"/>
                <w:lang w:val="en-GB"/>
              </w:rPr>
              <w:t>C-3</w:t>
            </w:r>
          </w:p>
          <w:p w14:paraId="51320ACA" w14:textId="19F81B3F" w:rsidR="00D95730" w:rsidRPr="00E6110F" w:rsidRDefault="00D95730" w:rsidP="00D95730">
            <w:pPr>
              <w:jc w:val="center"/>
              <w:rPr>
                <w:rFonts w:ascii="Calibri" w:hAnsi="Calibri" w:cs="Calibri"/>
                <w:color w:val="000000"/>
                <w:sz w:val="18"/>
                <w:szCs w:val="18"/>
                <w:lang w:val="en-GB"/>
              </w:rPr>
            </w:pPr>
            <w:r>
              <w:rPr>
                <w:rFonts w:ascii="Calibri" w:hAnsi="Calibri" w:cs="Calibri"/>
                <w:color w:val="000000"/>
                <w:sz w:val="18"/>
                <w:szCs w:val="18"/>
                <w:lang w:val="en-GB"/>
              </w:rPr>
              <w:t xml:space="preserve">(2ML injected) </w:t>
            </w:r>
          </w:p>
        </w:tc>
      </w:tr>
      <w:tr w:rsidR="007A3C52" w:rsidRPr="00E6110F" w14:paraId="684022AF" w14:textId="77777777" w:rsidTr="00D95730">
        <w:tc>
          <w:tcPr>
            <w:tcW w:w="2122" w:type="dxa"/>
          </w:tcPr>
          <w:p w14:paraId="0EFCBB02" w14:textId="359236FE" w:rsidR="007A3C52" w:rsidRPr="00E6110F" w:rsidRDefault="007A3C52" w:rsidP="007A3C52">
            <w:pPr>
              <w:pStyle w:val="Body"/>
            </w:pPr>
            <w:r>
              <w:t>0.5</w:t>
            </w:r>
          </w:p>
        </w:tc>
        <w:tc>
          <w:tcPr>
            <w:tcW w:w="1559" w:type="dxa"/>
          </w:tcPr>
          <w:p w14:paraId="5B059189" w14:textId="7709A51A" w:rsidR="007A3C52" w:rsidRPr="007A3C52" w:rsidRDefault="007A3C52" w:rsidP="007A3C52">
            <w:pPr>
              <w:pStyle w:val="Body"/>
              <w:jc w:val="center"/>
            </w:pPr>
            <w:r w:rsidRPr="007A3C52">
              <w:t>1,798</w:t>
            </w:r>
          </w:p>
        </w:tc>
        <w:tc>
          <w:tcPr>
            <w:tcW w:w="1417" w:type="dxa"/>
          </w:tcPr>
          <w:p w14:paraId="7A77EBAE" w14:textId="4EF9B2D2" w:rsidR="007A3C52" w:rsidRPr="003052E7" w:rsidRDefault="007A3C52" w:rsidP="007A3C52">
            <w:pPr>
              <w:pStyle w:val="Body"/>
              <w:jc w:val="center"/>
            </w:pPr>
            <w:r w:rsidRPr="003052E7">
              <w:t>903</w:t>
            </w:r>
          </w:p>
        </w:tc>
        <w:tc>
          <w:tcPr>
            <w:tcW w:w="1276" w:type="dxa"/>
          </w:tcPr>
          <w:p w14:paraId="109EF054" w14:textId="69E13562" w:rsidR="007A3C52" w:rsidRPr="003052E7" w:rsidRDefault="007A3C52" w:rsidP="007A3C52">
            <w:pPr>
              <w:pStyle w:val="Body"/>
              <w:jc w:val="center"/>
            </w:pPr>
            <w:r>
              <w:t>454</w:t>
            </w:r>
          </w:p>
        </w:tc>
      </w:tr>
      <w:tr w:rsidR="007A3C52" w:rsidRPr="00E6110F" w14:paraId="09C3FA43" w14:textId="77777777" w:rsidTr="00D95730">
        <w:tc>
          <w:tcPr>
            <w:tcW w:w="2122" w:type="dxa"/>
          </w:tcPr>
          <w:p w14:paraId="7F7F83BD" w14:textId="455482DE" w:rsidR="007A3C52" w:rsidRPr="00E6110F" w:rsidRDefault="007A3C52" w:rsidP="007A3C52">
            <w:pPr>
              <w:pStyle w:val="Body"/>
            </w:pPr>
            <w:r>
              <w:t>1</w:t>
            </w:r>
          </w:p>
        </w:tc>
        <w:tc>
          <w:tcPr>
            <w:tcW w:w="1559" w:type="dxa"/>
          </w:tcPr>
          <w:p w14:paraId="2E49DA82" w14:textId="480FC7F6" w:rsidR="007A3C52" w:rsidRPr="007A3C52" w:rsidRDefault="007A3C52" w:rsidP="007A3C52">
            <w:pPr>
              <w:pStyle w:val="Body"/>
              <w:jc w:val="center"/>
            </w:pPr>
            <w:r w:rsidRPr="007A3C52">
              <w:t>5,238</w:t>
            </w:r>
          </w:p>
        </w:tc>
        <w:tc>
          <w:tcPr>
            <w:tcW w:w="1417" w:type="dxa"/>
          </w:tcPr>
          <w:p w14:paraId="4A9EF6FE" w14:textId="5C4DFD40" w:rsidR="007A3C52" w:rsidRPr="003052E7" w:rsidRDefault="007A3C52" w:rsidP="007A3C52">
            <w:pPr>
              <w:pStyle w:val="Body"/>
              <w:jc w:val="center"/>
            </w:pPr>
            <w:r w:rsidRPr="003052E7">
              <w:t>2,620</w:t>
            </w:r>
          </w:p>
        </w:tc>
        <w:tc>
          <w:tcPr>
            <w:tcW w:w="1276" w:type="dxa"/>
          </w:tcPr>
          <w:p w14:paraId="59EDE6A4" w14:textId="7AD49FA9" w:rsidR="007A3C52" w:rsidRPr="003052E7" w:rsidRDefault="007A3C52" w:rsidP="007A3C52">
            <w:pPr>
              <w:pStyle w:val="Body"/>
              <w:jc w:val="center"/>
            </w:pPr>
            <w:r>
              <w:t>1,314</w:t>
            </w:r>
          </w:p>
        </w:tc>
      </w:tr>
      <w:tr w:rsidR="00D95730" w:rsidRPr="00E6110F" w14:paraId="54CD0A37" w14:textId="77777777" w:rsidTr="00D95730">
        <w:tc>
          <w:tcPr>
            <w:tcW w:w="2122" w:type="dxa"/>
          </w:tcPr>
          <w:p w14:paraId="3E6485A0" w14:textId="1603F1C6" w:rsidR="00D95730" w:rsidRPr="009262B6" w:rsidRDefault="00D95730" w:rsidP="00D95730">
            <w:pPr>
              <w:pStyle w:val="Body"/>
            </w:pPr>
            <w:r>
              <w:t>1.5</w:t>
            </w:r>
          </w:p>
        </w:tc>
        <w:tc>
          <w:tcPr>
            <w:tcW w:w="1559" w:type="dxa"/>
          </w:tcPr>
          <w:p w14:paraId="4374CA37" w14:textId="2CD8BDB8" w:rsidR="00D95730" w:rsidRPr="007A3C52" w:rsidRDefault="007A3C52" w:rsidP="007A3C52">
            <w:pPr>
              <w:pStyle w:val="Body"/>
              <w:jc w:val="center"/>
            </w:pPr>
            <w:r w:rsidRPr="007A3C52">
              <w:t>9,700</w:t>
            </w:r>
          </w:p>
        </w:tc>
        <w:tc>
          <w:tcPr>
            <w:tcW w:w="1417" w:type="dxa"/>
          </w:tcPr>
          <w:p w14:paraId="0931E145" w14:textId="36F96DB9" w:rsidR="00D95730" w:rsidRPr="003052E7" w:rsidRDefault="00D95730" w:rsidP="00D95730">
            <w:pPr>
              <w:pStyle w:val="Body"/>
              <w:jc w:val="center"/>
            </w:pPr>
            <w:r w:rsidRPr="003052E7">
              <w:t>4,850</w:t>
            </w:r>
          </w:p>
        </w:tc>
        <w:tc>
          <w:tcPr>
            <w:tcW w:w="1276" w:type="dxa"/>
          </w:tcPr>
          <w:p w14:paraId="31672830" w14:textId="3387C671" w:rsidR="00D95730" w:rsidRPr="003052E7" w:rsidRDefault="007A3C52" w:rsidP="00D95730">
            <w:pPr>
              <w:pStyle w:val="Body"/>
              <w:jc w:val="center"/>
            </w:pPr>
            <w:r>
              <w:t>2,425</w:t>
            </w:r>
          </w:p>
        </w:tc>
      </w:tr>
      <w:tr w:rsidR="00D95730" w:rsidRPr="00E6110F" w14:paraId="347821E1" w14:textId="77777777" w:rsidTr="00D95730">
        <w:tc>
          <w:tcPr>
            <w:tcW w:w="2122" w:type="dxa"/>
          </w:tcPr>
          <w:p w14:paraId="4461F583" w14:textId="68C65624" w:rsidR="00D95730" w:rsidRPr="00E6110F" w:rsidRDefault="00D95730" w:rsidP="00D95730">
            <w:pPr>
              <w:pStyle w:val="Body"/>
            </w:pPr>
            <w:r w:rsidRPr="009262B6">
              <w:t>2</w:t>
            </w:r>
          </w:p>
        </w:tc>
        <w:tc>
          <w:tcPr>
            <w:tcW w:w="1559" w:type="dxa"/>
          </w:tcPr>
          <w:p w14:paraId="775F529E" w14:textId="20770967" w:rsidR="00D95730" w:rsidRPr="003052E7" w:rsidRDefault="000835B2" w:rsidP="00D95730">
            <w:pPr>
              <w:pStyle w:val="Body"/>
              <w:jc w:val="center"/>
            </w:pPr>
            <w:r w:rsidRPr="007A3C52">
              <w:t>15,015</w:t>
            </w:r>
          </w:p>
        </w:tc>
        <w:tc>
          <w:tcPr>
            <w:tcW w:w="1417" w:type="dxa"/>
          </w:tcPr>
          <w:p w14:paraId="47C756BB" w14:textId="19F31426" w:rsidR="00D95730" w:rsidRPr="003052E7" w:rsidRDefault="00D95730" w:rsidP="00D95730">
            <w:pPr>
              <w:pStyle w:val="Body"/>
              <w:jc w:val="center"/>
            </w:pPr>
            <w:r w:rsidRPr="003052E7">
              <w:t>7,500</w:t>
            </w:r>
          </w:p>
        </w:tc>
        <w:tc>
          <w:tcPr>
            <w:tcW w:w="1276" w:type="dxa"/>
          </w:tcPr>
          <w:p w14:paraId="7D146A38" w14:textId="515135BF" w:rsidR="00D95730" w:rsidRPr="007A3C52" w:rsidRDefault="007A3C52" w:rsidP="007A3C52">
            <w:pPr>
              <w:pStyle w:val="Body"/>
              <w:jc w:val="center"/>
            </w:pPr>
            <w:r w:rsidRPr="007A3C52">
              <w:t>3</w:t>
            </w:r>
            <w:r>
              <w:t>,</w:t>
            </w:r>
            <w:r w:rsidRPr="007A3C52">
              <w:t>758</w:t>
            </w:r>
          </w:p>
        </w:tc>
      </w:tr>
      <w:tr w:rsidR="00D95730" w:rsidRPr="00E6110F" w14:paraId="7B8BF7C4" w14:textId="77777777" w:rsidTr="00D95730">
        <w:tc>
          <w:tcPr>
            <w:tcW w:w="2122" w:type="dxa"/>
          </w:tcPr>
          <w:p w14:paraId="7FB87C84" w14:textId="1BE391E6" w:rsidR="00D95730" w:rsidRPr="00E6110F" w:rsidRDefault="00D95730" w:rsidP="00D95730">
            <w:pPr>
              <w:pStyle w:val="Body"/>
            </w:pPr>
            <w:r>
              <w:t>3</w:t>
            </w:r>
          </w:p>
        </w:tc>
        <w:tc>
          <w:tcPr>
            <w:tcW w:w="1559" w:type="dxa"/>
          </w:tcPr>
          <w:p w14:paraId="2C9DCDB3" w14:textId="5564294E" w:rsidR="00D95730" w:rsidRPr="003052E7" w:rsidRDefault="007A3C52" w:rsidP="00D95730">
            <w:pPr>
              <w:pStyle w:val="Body"/>
              <w:jc w:val="center"/>
            </w:pPr>
            <w:r>
              <w:t>27,600</w:t>
            </w:r>
          </w:p>
        </w:tc>
        <w:tc>
          <w:tcPr>
            <w:tcW w:w="1417" w:type="dxa"/>
          </w:tcPr>
          <w:p w14:paraId="37DC4099" w14:textId="1D58A34A" w:rsidR="00D95730" w:rsidRPr="003052E7" w:rsidRDefault="00D95730" w:rsidP="00D95730">
            <w:pPr>
              <w:pStyle w:val="Body"/>
              <w:jc w:val="center"/>
            </w:pPr>
            <w:r w:rsidRPr="003052E7">
              <w:t>13,800</w:t>
            </w:r>
          </w:p>
        </w:tc>
        <w:tc>
          <w:tcPr>
            <w:tcW w:w="1276" w:type="dxa"/>
          </w:tcPr>
          <w:p w14:paraId="638DD49A" w14:textId="4E3B3AF2" w:rsidR="00D95730" w:rsidRPr="003052E7" w:rsidRDefault="007A3C52" w:rsidP="00D95730">
            <w:pPr>
              <w:pStyle w:val="Body"/>
              <w:jc w:val="center"/>
            </w:pPr>
            <w:r>
              <w:t>6,900</w:t>
            </w:r>
          </w:p>
        </w:tc>
      </w:tr>
    </w:tbl>
    <w:p w14:paraId="44FD00C6" w14:textId="77777777" w:rsidR="009C2EC4" w:rsidRDefault="009C2EC4" w:rsidP="009C2EC4">
      <w:pPr>
        <w:pStyle w:val="Body"/>
      </w:pPr>
    </w:p>
    <w:p w14:paraId="4690DC14" w14:textId="7DBD04E2" w:rsidR="00712F52" w:rsidRPr="0066243F" w:rsidRDefault="00712F52" w:rsidP="0066243F">
      <w:pPr>
        <w:pStyle w:val="Heading3"/>
      </w:pPr>
      <w:bookmarkStart w:id="751" w:name="_Ref477011488"/>
      <w:bookmarkStart w:id="752" w:name="_Toc494444682"/>
      <w:r w:rsidRPr="0066243F">
        <w:t>Further uses of the DAF values</w:t>
      </w:r>
      <w:bookmarkEnd w:id="751"/>
      <w:bookmarkEnd w:id="752"/>
    </w:p>
    <w:p w14:paraId="3E57C93A" w14:textId="72F25176" w:rsidR="00712F52" w:rsidRDefault="00712F52" w:rsidP="00712F52">
      <w:pPr>
        <w:pStyle w:val="Body"/>
      </w:pPr>
      <w:r>
        <w:t xml:space="preserve">When a site-specific assessment has to be undertaken, the DAF values can be used to derive predicted environmental concentrations (PEC) for specific receptors provided an estimate of the chemical concentration at the source (the coal seams affected by the stimulation activity) is available. The PEC values would be obtained by dividing the source concentration by the </w:t>
      </w:r>
      <w:r w:rsidR="00AE1F1D">
        <w:t xml:space="preserve">relevant </w:t>
      </w:r>
      <w:r>
        <w:t>DAF values</w:t>
      </w:r>
      <w:r w:rsidR="00DA279C">
        <w:t xml:space="preserve"> (see </w:t>
      </w:r>
      <w:r w:rsidR="00DA279C">
        <w:fldChar w:fldCharType="begin" w:fldLock="1"/>
      </w:r>
      <w:r w:rsidR="00DA279C">
        <w:instrText xml:space="preserve"> REF _Ref471040216 \h  \* MERGEFORMAT </w:instrText>
      </w:r>
      <w:r w:rsidR="00DA279C">
        <w:fldChar w:fldCharType="separate"/>
      </w:r>
      <w:r w:rsidR="00335E79" w:rsidRPr="00D976C8">
        <w:t xml:space="preserve">Table </w:t>
      </w:r>
      <w:r w:rsidR="00335E79">
        <w:t>5</w:t>
      </w:r>
      <w:r w:rsidR="00335E79">
        <w:noBreakHyphen/>
        <w:t>27</w:t>
      </w:r>
      <w:r w:rsidR="00DA279C">
        <w:fldChar w:fldCharType="end"/>
      </w:r>
      <w:r w:rsidR="00DA279C">
        <w:t xml:space="preserve"> for some hypothetical examples)</w:t>
      </w:r>
      <w:r>
        <w:t>.</w:t>
      </w:r>
      <w:r w:rsidR="00A000EC">
        <w:t xml:space="preserve"> Such PECs can subsequently be used to inform human health and/or environmental risk assessments (NICNAS 201</w:t>
      </w:r>
      <w:r w:rsidR="003D4440">
        <w:t>7</w:t>
      </w:r>
      <w:r w:rsidR="00A000EC">
        <w:t>a).</w:t>
      </w:r>
    </w:p>
    <w:p w14:paraId="745B7C43" w14:textId="0530ADF9" w:rsidR="004A1616" w:rsidRDefault="004A1616" w:rsidP="004A1616">
      <w:pPr>
        <w:pStyle w:val="Body"/>
      </w:pPr>
      <w:r>
        <w:t xml:space="preserve">Another potential use is the derivation of maximum chemical concentrations of hydraulic fracturing fluids for safe operations: based on the DAF values, maximum chemical concentrations at the well site (based on an individual well or on a series of wells if risks of cumulative effects are plausible) can be derived that would not lead to exceeding the no-effect concentration for given receptors. This would provide a metric that can be monitored and thus managed at the well site. Alternatively, it may be used to derive a limit to the total injected chemical mass at a well field to ensure the maximum chemical concentrations for safe operations are not exceeded (see </w:t>
      </w:r>
      <w:r>
        <w:fldChar w:fldCharType="begin" w:fldLock="1"/>
      </w:r>
      <w:r>
        <w:instrText xml:space="preserve"> REF _Ref471049033 \h </w:instrText>
      </w:r>
      <w:r>
        <w:fldChar w:fldCharType="separate"/>
      </w:r>
      <w:r w:rsidR="00335E79">
        <w:t xml:space="preserve">Figure </w:t>
      </w:r>
      <w:r w:rsidR="00335E79">
        <w:rPr>
          <w:noProof/>
        </w:rPr>
        <w:t>5</w:t>
      </w:r>
      <w:r w:rsidR="00335E79">
        <w:noBreakHyphen/>
      </w:r>
      <w:r w:rsidR="00335E79">
        <w:rPr>
          <w:noProof/>
        </w:rPr>
        <w:t>30</w:t>
      </w:r>
      <w:r>
        <w:fldChar w:fldCharType="end"/>
      </w:r>
      <w:r>
        <w:t xml:space="preserve"> for some examples</w:t>
      </w:r>
      <w:r w:rsidR="00DF6AB4">
        <w:t>; injected volumes are total hydraulic fracture volume</w:t>
      </w:r>
      <w:r>
        <w:t xml:space="preserve">). </w:t>
      </w:r>
    </w:p>
    <w:p w14:paraId="74BB048E" w14:textId="77777777" w:rsidR="004A1616" w:rsidRDefault="004A1616" w:rsidP="004A1616">
      <w:pPr>
        <w:pStyle w:val="Body"/>
      </w:pPr>
      <w:r w:rsidRPr="004D19AC">
        <w:t>In addition, DAF values could also be used to derive limits for safe</w:t>
      </w:r>
      <w:r>
        <w:t xml:space="preserve"> half-life</w:t>
      </w:r>
      <w:r w:rsidRPr="004D19AC">
        <w:t xml:space="preserve"> </w:t>
      </w:r>
      <w:r>
        <w:t>(</w:t>
      </w:r>
      <w:r w:rsidRPr="004D19AC">
        <w:rPr>
          <w:i/>
        </w:rPr>
        <w:t>T</w:t>
      </w:r>
      <w:r w:rsidRPr="004D19AC">
        <w:rPr>
          <w:vertAlign w:val="subscript"/>
        </w:rPr>
        <w:t>1/2</w:t>
      </w:r>
      <w:r>
        <w:t>)</w:t>
      </w:r>
      <w:r w:rsidRPr="004D19AC">
        <w:t xml:space="preserve"> values, to further limit potential impacts on receptors</w:t>
      </w:r>
      <w:r>
        <w:t xml:space="preserve"> (see example in </w:t>
      </w:r>
      <w:r>
        <w:fldChar w:fldCharType="begin" w:fldLock="1"/>
      </w:r>
      <w:r>
        <w:instrText xml:space="preserve"> REF _Ref471055593 \h </w:instrText>
      </w:r>
      <w:r>
        <w:fldChar w:fldCharType="separate"/>
      </w:r>
      <w:r w:rsidR="00335E79">
        <w:t xml:space="preserve">Figure </w:t>
      </w:r>
      <w:r w:rsidR="00335E79">
        <w:rPr>
          <w:noProof/>
        </w:rPr>
        <w:t>5</w:t>
      </w:r>
      <w:r w:rsidR="00335E79">
        <w:noBreakHyphen/>
      </w:r>
      <w:r w:rsidR="00335E79">
        <w:rPr>
          <w:noProof/>
        </w:rPr>
        <w:t>31</w:t>
      </w:r>
      <w:r>
        <w:fldChar w:fldCharType="end"/>
      </w:r>
      <w:r>
        <w:t>)</w:t>
      </w:r>
      <w:r w:rsidRPr="004D19AC">
        <w:t>.</w:t>
      </w:r>
      <w:r>
        <w:t xml:space="preserve"> Indeed, if substances with similar chemical action are available, then preference could be given to those that have demonstrated degradation potential under anaerobic conditions and with acceptable half-life. </w:t>
      </w:r>
    </w:p>
    <w:p w14:paraId="74D04106" w14:textId="77777777" w:rsidR="004A1616" w:rsidRDefault="004A1616" w:rsidP="00712F52">
      <w:pPr>
        <w:pStyle w:val="Body"/>
      </w:pPr>
    </w:p>
    <w:p w14:paraId="017CA887" w14:textId="77777777" w:rsidR="00E04C61" w:rsidRDefault="00E04C61" w:rsidP="00712F52">
      <w:pPr>
        <w:pStyle w:val="Body"/>
      </w:pPr>
    </w:p>
    <w:p w14:paraId="36C05D6A" w14:textId="77777777" w:rsidR="004A1616" w:rsidRDefault="004A1616" w:rsidP="00712F52">
      <w:pPr>
        <w:pStyle w:val="Body"/>
      </w:pPr>
    </w:p>
    <w:p w14:paraId="4CB5C7CF" w14:textId="4612A732" w:rsidR="00133A87" w:rsidRPr="00D976C8" w:rsidRDefault="00133A87" w:rsidP="00D976C8">
      <w:pPr>
        <w:pStyle w:val="Imagecaption"/>
        <w:keepNext/>
        <w:pBdr>
          <w:top w:val="none" w:sz="0" w:space="0" w:color="auto"/>
        </w:pBdr>
      </w:pPr>
      <w:bookmarkStart w:id="753" w:name="_Ref471040216"/>
      <w:bookmarkStart w:id="754" w:name="_Toc494444755"/>
      <w:r w:rsidRPr="00D976C8">
        <w:t xml:space="preserve">Table </w:t>
      </w:r>
      <w:r w:rsidR="00470577">
        <w:fldChar w:fldCharType="begin" w:fldLock="1"/>
      </w:r>
      <w:r w:rsidR="00470577">
        <w:instrText xml:space="preserve"> STYLEREF 1 \s </w:instrText>
      </w:r>
      <w:r w:rsidR="00470577">
        <w:fldChar w:fldCharType="separate"/>
      </w:r>
      <w:r w:rsidR="00335E79">
        <w:rPr>
          <w:noProof/>
        </w:rPr>
        <w:t>5</w:t>
      </w:r>
      <w:r w:rsidR="00470577">
        <w:fldChar w:fldCharType="end"/>
      </w:r>
      <w:r w:rsidR="00470577">
        <w:noBreakHyphen/>
      </w:r>
      <w:r w:rsidR="00470577">
        <w:fldChar w:fldCharType="begin"/>
      </w:r>
      <w:r w:rsidR="00470577">
        <w:instrText xml:space="preserve"> SEQ Table \* ARABIC \s 1 </w:instrText>
      </w:r>
      <w:r w:rsidR="00470577">
        <w:fldChar w:fldCharType="separate"/>
      </w:r>
      <w:r w:rsidR="00951AFC">
        <w:rPr>
          <w:noProof/>
        </w:rPr>
        <w:t>27</w:t>
      </w:r>
      <w:r w:rsidR="00470577">
        <w:fldChar w:fldCharType="end"/>
      </w:r>
      <w:bookmarkEnd w:id="753"/>
      <w:r w:rsidRPr="00D976C8">
        <w:t xml:space="preserve"> Selection of hydraulic fracturing chemicals with previously estimated concentrations prior to injection – CPI (NICNAS 201</w:t>
      </w:r>
      <w:r w:rsidR="003D4440">
        <w:t>7c</w:t>
      </w:r>
      <w:r w:rsidRPr="00D976C8">
        <w:t xml:space="preserve">). Calculated predicted environmental concentrations (PEC) for 1ML of injected fluids at three travel distances from injection source. </w:t>
      </w:r>
      <w:r w:rsidRPr="001F5949">
        <w:rPr>
          <w:vertAlign w:val="superscript"/>
        </w:rPr>
        <w:t>#</w:t>
      </w:r>
      <w:r w:rsidRPr="00D976C8">
        <w:t>Na</w:t>
      </w:r>
      <w:r w:rsidRPr="001F5949">
        <w:rPr>
          <w:vertAlign w:val="subscript"/>
        </w:rPr>
        <w:t>2</w:t>
      </w:r>
      <w:r w:rsidRPr="00D976C8">
        <w:t>CO</w:t>
      </w:r>
      <w:r w:rsidRPr="001F5949">
        <w:rPr>
          <w:vertAlign w:val="subscript"/>
        </w:rPr>
        <w:t>3</w:t>
      </w:r>
      <w:r w:rsidRPr="00D976C8">
        <w:t xml:space="preserve"> - Alternative names: sodium carbonate, soda ash: when dissolved in water, it forms carbonic acid (H</w:t>
      </w:r>
      <w:r w:rsidRPr="001F5949">
        <w:rPr>
          <w:vertAlign w:val="subscript"/>
        </w:rPr>
        <w:t>2</w:t>
      </w:r>
      <w:r w:rsidRPr="00D976C8">
        <w:t>CO</w:t>
      </w:r>
      <w:r w:rsidRPr="001F5949">
        <w:rPr>
          <w:vertAlign w:val="subscript"/>
        </w:rPr>
        <w:t>3</w:t>
      </w:r>
      <w:r w:rsidRPr="00D976C8">
        <w:t xml:space="preserve">) and sodium hydroxide (NaOH). </w:t>
      </w:r>
      <w:r w:rsidRPr="001F5949">
        <w:rPr>
          <w:vertAlign w:val="superscript"/>
        </w:rPr>
        <w:t>@</w:t>
      </w:r>
      <w:r w:rsidRPr="00D976C8">
        <w:t>NaClO – althernative names: sodium hypochlorite, chloride of soda, bleach: when dissolved in water, it forms chlorine and sodium hydroxide.</w:t>
      </w:r>
      <w:bookmarkEnd w:id="754"/>
    </w:p>
    <w:tbl>
      <w:tblPr>
        <w:tblW w:w="864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835"/>
        <w:gridCol w:w="1559"/>
        <w:gridCol w:w="993"/>
        <w:gridCol w:w="992"/>
        <w:gridCol w:w="992"/>
      </w:tblGrid>
      <w:tr w:rsidR="00133A87" w:rsidRPr="00E73D3B" w14:paraId="6540EF38" w14:textId="3664FABD" w:rsidTr="001F5949">
        <w:trPr>
          <w:trHeight w:val="740"/>
        </w:trPr>
        <w:tc>
          <w:tcPr>
            <w:tcW w:w="1276" w:type="dxa"/>
            <w:shd w:val="clear" w:color="000000" w:fill="F2F2F2" w:themeFill="background1" w:themeFillShade="F2"/>
            <w:hideMark/>
          </w:tcPr>
          <w:p w14:paraId="74BF3E6A" w14:textId="77777777" w:rsidR="00133A87" w:rsidRPr="001F5949" w:rsidRDefault="00133A87" w:rsidP="00926118">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CAS No.</w:t>
            </w:r>
          </w:p>
        </w:tc>
        <w:tc>
          <w:tcPr>
            <w:tcW w:w="2835" w:type="dxa"/>
            <w:shd w:val="clear" w:color="000000" w:fill="F2F2F2" w:themeFill="background1" w:themeFillShade="F2"/>
            <w:hideMark/>
          </w:tcPr>
          <w:p w14:paraId="67CA7020" w14:textId="77777777" w:rsidR="00133A87" w:rsidRPr="001F5949" w:rsidRDefault="00133A87" w:rsidP="00926118">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CAS Chemical Name</w:t>
            </w:r>
          </w:p>
        </w:tc>
        <w:tc>
          <w:tcPr>
            <w:tcW w:w="1559" w:type="dxa"/>
            <w:shd w:val="clear" w:color="000000" w:fill="F2F2F2" w:themeFill="background1" w:themeFillShade="F2"/>
            <w:hideMark/>
          </w:tcPr>
          <w:p w14:paraId="5C3C7322" w14:textId="77777777" w:rsidR="00133A87" w:rsidRPr="001F5949" w:rsidRDefault="00133A87" w:rsidP="00926118">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Conc. After Final Dilution Prior to Injection     (mg/kg or mg/L)</w:t>
            </w:r>
          </w:p>
        </w:tc>
        <w:tc>
          <w:tcPr>
            <w:tcW w:w="993" w:type="dxa"/>
            <w:shd w:val="clear" w:color="000000" w:fill="F2F2F2" w:themeFill="background1" w:themeFillShade="F2"/>
            <w:hideMark/>
          </w:tcPr>
          <w:p w14:paraId="3F22FECB" w14:textId="77777777" w:rsidR="00133A87" w:rsidRPr="001F5949" w:rsidRDefault="00133A87" w:rsidP="00133A87">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 xml:space="preserve">PEC </w:t>
            </w:r>
          </w:p>
          <w:p w14:paraId="1619D4B1" w14:textId="3C9598A0" w:rsidR="00133A87" w:rsidRPr="001F5949" w:rsidRDefault="00133A87" w:rsidP="00133A87">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at 1 km (mg/L)</w:t>
            </w:r>
          </w:p>
        </w:tc>
        <w:tc>
          <w:tcPr>
            <w:tcW w:w="992" w:type="dxa"/>
            <w:shd w:val="clear" w:color="000000" w:fill="F2F2F2" w:themeFill="background1" w:themeFillShade="F2"/>
            <w:hideMark/>
          </w:tcPr>
          <w:p w14:paraId="6DFD1EC8" w14:textId="77777777" w:rsidR="00133A87" w:rsidRPr="001F5949" w:rsidRDefault="00133A87" w:rsidP="00133A87">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 xml:space="preserve">PEC </w:t>
            </w:r>
          </w:p>
          <w:p w14:paraId="78014F02" w14:textId="573571D6" w:rsidR="00133A87" w:rsidRPr="001F5949" w:rsidRDefault="00133A87" w:rsidP="00133A87">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at 2 km (mg/L)</w:t>
            </w:r>
          </w:p>
        </w:tc>
        <w:tc>
          <w:tcPr>
            <w:tcW w:w="992" w:type="dxa"/>
            <w:shd w:val="clear" w:color="000000" w:fill="F2F2F2" w:themeFill="background1" w:themeFillShade="F2"/>
          </w:tcPr>
          <w:p w14:paraId="499A0F5B" w14:textId="77777777" w:rsidR="00133A87" w:rsidRPr="001F5949" w:rsidRDefault="00133A87" w:rsidP="00133A87">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 xml:space="preserve">PEC </w:t>
            </w:r>
          </w:p>
          <w:p w14:paraId="5AF40325" w14:textId="431E287E" w:rsidR="00133A87" w:rsidRPr="001F5949" w:rsidRDefault="00133A87" w:rsidP="00133A87">
            <w:pPr>
              <w:spacing w:after="0"/>
              <w:jc w:val="center"/>
              <w:rPr>
                <w:rFonts w:ascii="Calibri" w:eastAsia="Times New Roman" w:hAnsi="Calibri" w:cs="Times New Roman"/>
                <w:bCs/>
                <w:color w:val="000000"/>
                <w:sz w:val="18"/>
                <w:szCs w:val="18"/>
                <w:lang w:val="en-AU" w:eastAsia="en-AU"/>
              </w:rPr>
            </w:pPr>
            <w:r w:rsidRPr="001F5949">
              <w:rPr>
                <w:rFonts w:ascii="Calibri" w:eastAsia="Times New Roman" w:hAnsi="Calibri" w:cs="Times New Roman"/>
                <w:bCs/>
                <w:color w:val="000000"/>
                <w:sz w:val="18"/>
                <w:szCs w:val="18"/>
                <w:lang w:val="en-AU" w:eastAsia="en-AU"/>
              </w:rPr>
              <w:t>at 3 km (mg/L)</w:t>
            </w:r>
          </w:p>
        </w:tc>
      </w:tr>
      <w:tr w:rsidR="00A000EC" w:rsidRPr="00E73D3B" w14:paraId="46B0041E" w14:textId="5E297E27" w:rsidTr="001F5949">
        <w:trPr>
          <w:trHeight w:val="470"/>
        </w:trPr>
        <w:tc>
          <w:tcPr>
            <w:tcW w:w="1276" w:type="dxa"/>
            <w:shd w:val="clear" w:color="auto" w:fill="auto"/>
            <w:vAlign w:val="center"/>
            <w:hideMark/>
          </w:tcPr>
          <w:p w14:paraId="07261BFA"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10043-35-3</w:t>
            </w:r>
          </w:p>
        </w:tc>
        <w:tc>
          <w:tcPr>
            <w:tcW w:w="2835" w:type="dxa"/>
            <w:shd w:val="clear" w:color="auto" w:fill="auto"/>
            <w:vAlign w:val="center"/>
            <w:hideMark/>
          </w:tcPr>
          <w:p w14:paraId="5C0BF71F"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Boric acid (H</w:t>
            </w:r>
            <w:r w:rsidRPr="00E73D3B">
              <w:rPr>
                <w:rFonts w:ascii="Calibri" w:eastAsia="Times New Roman" w:hAnsi="Calibri" w:cs="Times New Roman"/>
                <w:color w:val="000000"/>
                <w:sz w:val="18"/>
                <w:szCs w:val="18"/>
                <w:vertAlign w:val="subscript"/>
                <w:lang w:val="en-AU" w:eastAsia="en-AU"/>
              </w:rPr>
              <w:t>3</w:t>
            </w:r>
            <w:r w:rsidRPr="00E73D3B">
              <w:rPr>
                <w:rFonts w:ascii="Calibri" w:eastAsia="Times New Roman" w:hAnsi="Calibri" w:cs="Times New Roman"/>
                <w:color w:val="000000"/>
                <w:sz w:val="18"/>
                <w:szCs w:val="18"/>
                <w:lang w:val="en-AU" w:eastAsia="en-AU"/>
              </w:rPr>
              <w:t>BO</w:t>
            </w:r>
            <w:r w:rsidRPr="00E73D3B">
              <w:rPr>
                <w:rFonts w:ascii="Calibri" w:eastAsia="Times New Roman" w:hAnsi="Calibri" w:cs="Times New Roman"/>
                <w:color w:val="000000"/>
                <w:sz w:val="18"/>
                <w:szCs w:val="18"/>
                <w:vertAlign w:val="subscript"/>
                <w:lang w:val="en-AU" w:eastAsia="en-AU"/>
              </w:rPr>
              <w:t>3</w:t>
            </w:r>
            <w:r w:rsidRPr="00E73D3B">
              <w:rPr>
                <w:rFonts w:ascii="Calibri" w:eastAsia="Times New Roman" w:hAnsi="Calibri" w:cs="Times New Roman"/>
                <w:color w:val="000000"/>
                <w:sz w:val="18"/>
                <w:szCs w:val="18"/>
                <w:lang w:val="en-AU" w:eastAsia="en-AU"/>
              </w:rPr>
              <w:t>)</w:t>
            </w:r>
          </w:p>
        </w:tc>
        <w:tc>
          <w:tcPr>
            <w:tcW w:w="1559" w:type="dxa"/>
            <w:shd w:val="clear" w:color="auto" w:fill="auto"/>
            <w:vAlign w:val="center"/>
          </w:tcPr>
          <w:p w14:paraId="52144E08"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216</w:t>
            </w:r>
          </w:p>
        </w:tc>
        <w:tc>
          <w:tcPr>
            <w:tcW w:w="993" w:type="dxa"/>
            <w:shd w:val="clear" w:color="auto" w:fill="auto"/>
            <w:vAlign w:val="center"/>
          </w:tcPr>
          <w:p w14:paraId="700266B7" w14:textId="258CD4EA"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8.24E-05</w:t>
            </w:r>
          </w:p>
        </w:tc>
        <w:tc>
          <w:tcPr>
            <w:tcW w:w="992" w:type="dxa"/>
            <w:shd w:val="clear" w:color="auto" w:fill="auto"/>
            <w:vAlign w:val="center"/>
          </w:tcPr>
          <w:p w14:paraId="272B6435" w14:textId="26D0D1A0"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2.88E-05</w:t>
            </w:r>
          </w:p>
        </w:tc>
        <w:tc>
          <w:tcPr>
            <w:tcW w:w="992" w:type="dxa"/>
            <w:vAlign w:val="center"/>
          </w:tcPr>
          <w:p w14:paraId="78D98498" w14:textId="3406BEF1"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1.57E-05</w:t>
            </w:r>
          </w:p>
        </w:tc>
      </w:tr>
      <w:tr w:rsidR="00A000EC" w:rsidRPr="00E73D3B" w14:paraId="5E9639DB" w14:textId="4BC0A0AC" w:rsidTr="001F5949">
        <w:trPr>
          <w:trHeight w:val="431"/>
        </w:trPr>
        <w:tc>
          <w:tcPr>
            <w:tcW w:w="1276" w:type="dxa"/>
            <w:shd w:val="clear" w:color="auto" w:fill="auto"/>
            <w:vAlign w:val="center"/>
            <w:hideMark/>
          </w:tcPr>
          <w:p w14:paraId="699ADBF2"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107-21-1</w:t>
            </w:r>
          </w:p>
        </w:tc>
        <w:tc>
          <w:tcPr>
            <w:tcW w:w="2835" w:type="dxa"/>
            <w:shd w:val="clear" w:color="auto" w:fill="auto"/>
            <w:vAlign w:val="center"/>
            <w:hideMark/>
          </w:tcPr>
          <w:p w14:paraId="74F4C613"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1,2-Ethanediol</w:t>
            </w:r>
          </w:p>
        </w:tc>
        <w:tc>
          <w:tcPr>
            <w:tcW w:w="1559" w:type="dxa"/>
            <w:shd w:val="clear" w:color="auto" w:fill="auto"/>
            <w:vAlign w:val="center"/>
          </w:tcPr>
          <w:p w14:paraId="6D5FCE12"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496</w:t>
            </w:r>
          </w:p>
        </w:tc>
        <w:tc>
          <w:tcPr>
            <w:tcW w:w="993" w:type="dxa"/>
            <w:shd w:val="clear" w:color="auto" w:fill="auto"/>
            <w:vAlign w:val="center"/>
          </w:tcPr>
          <w:p w14:paraId="0F717C75" w14:textId="01D7F8E6"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1.89E-04</w:t>
            </w:r>
          </w:p>
        </w:tc>
        <w:tc>
          <w:tcPr>
            <w:tcW w:w="992" w:type="dxa"/>
            <w:shd w:val="clear" w:color="auto" w:fill="auto"/>
            <w:vAlign w:val="center"/>
          </w:tcPr>
          <w:p w14:paraId="0FC047FC" w14:textId="55743EC2"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6.61E-05</w:t>
            </w:r>
          </w:p>
        </w:tc>
        <w:tc>
          <w:tcPr>
            <w:tcW w:w="992" w:type="dxa"/>
            <w:vAlign w:val="center"/>
          </w:tcPr>
          <w:p w14:paraId="37E0BE3A" w14:textId="679882F3"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3.59E-05</w:t>
            </w:r>
          </w:p>
        </w:tc>
      </w:tr>
      <w:tr w:rsidR="00A000EC" w:rsidRPr="00E73D3B" w14:paraId="19B2F3E4" w14:textId="43EE8572" w:rsidTr="001F5949">
        <w:trPr>
          <w:trHeight w:val="409"/>
        </w:trPr>
        <w:tc>
          <w:tcPr>
            <w:tcW w:w="1276" w:type="dxa"/>
            <w:shd w:val="clear" w:color="auto" w:fill="auto"/>
            <w:vAlign w:val="center"/>
            <w:hideMark/>
          </w:tcPr>
          <w:p w14:paraId="44365FF3"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1310-73-2</w:t>
            </w:r>
          </w:p>
        </w:tc>
        <w:tc>
          <w:tcPr>
            <w:tcW w:w="2835" w:type="dxa"/>
            <w:shd w:val="clear" w:color="auto" w:fill="auto"/>
            <w:vAlign w:val="center"/>
            <w:hideMark/>
          </w:tcPr>
          <w:p w14:paraId="750BBB80"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Sodium hydroxide (Na(OH))</w:t>
            </w:r>
          </w:p>
        </w:tc>
        <w:tc>
          <w:tcPr>
            <w:tcW w:w="1559" w:type="dxa"/>
            <w:shd w:val="clear" w:color="auto" w:fill="auto"/>
            <w:vAlign w:val="center"/>
          </w:tcPr>
          <w:p w14:paraId="5E250F9D"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137.5</w:t>
            </w:r>
          </w:p>
        </w:tc>
        <w:tc>
          <w:tcPr>
            <w:tcW w:w="993" w:type="dxa"/>
            <w:shd w:val="clear" w:color="auto" w:fill="auto"/>
            <w:vAlign w:val="center"/>
          </w:tcPr>
          <w:p w14:paraId="4ED4EC73" w14:textId="60E49963"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5.25E-05</w:t>
            </w:r>
          </w:p>
        </w:tc>
        <w:tc>
          <w:tcPr>
            <w:tcW w:w="992" w:type="dxa"/>
            <w:shd w:val="clear" w:color="auto" w:fill="auto"/>
            <w:vAlign w:val="center"/>
          </w:tcPr>
          <w:p w14:paraId="597FDFA0" w14:textId="3CDD677F"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1.83E-05</w:t>
            </w:r>
          </w:p>
        </w:tc>
        <w:tc>
          <w:tcPr>
            <w:tcW w:w="992" w:type="dxa"/>
            <w:vAlign w:val="center"/>
          </w:tcPr>
          <w:p w14:paraId="3082401B" w14:textId="14D848A2"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9.96E-06</w:t>
            </w:r>
          </w:p>
        </w:tc>
      </w:tr>
      <w:tr w:rsidR="00A000EC" w:rsidRPr="00E73D3B" w14:paraId="33C96024" w14:textId="0FE20F8C" w:rsidTr="001F5949">
        <w:trPr>
          <w:trHeight w:val="542"/>
        </w:trPr>
        <w:tc>
          <w:tcPr>
            <w:tcW w:w="1276" w:type="dxa"/>
            <w:shd w:val="clear" w:color="auto" w:fill="auto"/>
            <w:vAlign w:val="center"/>
            <w:hideMark/>
          </w:tcPr>
          <w:p w14:paraId="0143217D"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26172-55-4</w:t>
            </w:r>
          </w:p>
        </w:tc>
        <w:tc>
          <w:tcPr>
            <w:tcW w:w="2835" w:type="dxa"/>
            <w:shd w:val="clear" w:color="auto" w:fill="auto"/>
            <w:vAlign w:val="center"/>
            <w:hideMark/>
          </w:tcPr>
          <w:p w14:paraId="0768599B"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3(2H)-Isothiazolone, 5-chloro-2-methyl-</w:t>
            </w:r>
          </w:p>
        </w:tc>
        <w:tc>
          <w:tcPr>
            <w:tcW w:w="1559" w:type="dxa"/>
            <w:shd w:val="clear" w:color="auto" w:fill="auto"/>
            <w:vAlign w:val="center"/>
          </w:tcPr>
          <w:p w14:paraId="494254B1"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3.7</w:t>
            </w:r>
          </w:p>
        </w:tc>
        <w:tc>
          <w:tcPr>
            <w:tcW w:w="993" w:type="dxa"/>
            <w:shd w:val="clear" w:color="auto" w:fill="auto"/>
            <w:vAlign w:val="center"/>
          </w:tcPr>
          <w:p w14:paraId="10B7F74A" w14:textId="48672BFE"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1.41E-06</w:t>
            </w:r>
          </w:p>
        </w:tc>
        <w:tc>
          <w:tcPr>
            <w:tcW w:w="992" w:type="dxa"/>
            <w:shd w:val="clear" w:color="auto" w:fill="auto"/>
            <w:vAlign w:val="center"/>
          </w:tcPr>
          <w:p w14:paraId="7C9679BE" w14:textId="390F9181"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4.93E-07</w:t>
            </w:r>
          </w:p>
        </w:tc>
        <w:tc>
          <w:tcPr>
            <w:tcW w:w="992" w:type="dxa"/>
            <w:vAlign w:val="center"/>
          </w:tcPr>
          <w:p w14:paraId="6E7B2920" w14:textId="254DE0B9"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2.68E-07</w:t>
            </w:r>
          </w:p>
        </w:tc>
      </w:tr>
      <w:tr w:rsidR="00A000EC" w:rsidRPr="00E73D3B" w14:paraId="455911DA" w14:textId="05E5A478" w:rsidTr="001F5949">
        <w:trPr>
          <w:trHeight w:val="408"/>
        </w:trPr>
        <w:tc>
          <w:tcPr>
            <w:tcW w:w="1276" w:type="dxa"/>
            <w:shd w:val="clear" w:color="auto" w:fill="auto"/>
            <w:vAlign w:val="center"/>
            <w:hideMark/>
          </w:tcPr>
          <w:p w14:paraId="4F7A1121"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2682-20-4</w:t>
            </w:r>
          </w:p>
        </w:tc>
        <w:tc>
          <w:tcPr>
            <w:tcW w:w="2835" w:type="dxa"/>
            <w:shd w:val="clear" w:color="auto" w:fill="auto"/>
            <w:vAlign w:val="center"/>
            <w:hideMark/>
          </w:tcPr>
          <w:p w14:paraId="18F006D7"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3(2H)-Isothiazolone, 2-methyl-</w:t>
            </w:r>
          </w:p>
        </w:tc>
        <w:tc>
          <w:tcPr>
            <w:tcW w:w="1559" w:type="dxa"/>
            <w:shd w:val="clear" w:color="auto" w:fill="auto"/>
            <w:vAlign w:val="center"/>
          </w:tcPr>
          <w:p w14:paraId="4B433681"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1.1</w:t>
            </w:r>
          </w:p>
        </w:tc>
        <w:tc>
          <w:tcPr>
            <w:tcW w:w="993" w:type="dxa"/>
            <w:shd w:val="clear" w:color="auto" w:fill="auto"/>
            <w:vAlign w:val="center"/>
          </w:tcPr>
          <w:p w14:paraId="6C8EC8E1" w14:textId="37B2F166"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4.20E-07</w:t>
            </w:r>
          </w:p>
        </w:tc>
        <w:tc>
          <w:tcPr>
            <w:tcW w:w="992" w:type="dxa"/>
            <w:shd w:val="clear" w:color="auto" w:fill="auto"/>
            <w:vAlign w:val="center"/>
          </w:tcPr>
          <w:p w14:paraId="3CBD4DA9" w14:textId="66E3A7E0"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1.47E-07</w:t>
            </w:r>
          </w:p>
        </w:tc>
        <w:tc>
          <w:tcPr>
            <w:tcW w:w="992" w:type="dxa"/>
            <w:vAlign w:val="center"/>
          </w:tcPr>
          <w:p w14:paraId="55E33C2D" w14:textId="46AC23B3"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7.97E-08</w:t>
            </w:r>
          </w:p>
        </w:tc>
      </w:tr>
      <w:tr w:rsidR="00A000EC" w:rsidRPr="00E73D3B" w14:paraId="47B85A18" w14:textId="0988671D" w:rsidTr="001F5949">
        <w:trPr>
          <w:trHeight w:val="400"/>
        </w:trPr>
        <w:tc>
          <w:tcPr>
            <w:tcW w:w="1276" w:type="dxa"/>
            <w:shd w:val="clear" w:color="auto" w:fill="auto"/>
            <w:vAlign w:val="center"/>
            <w:hideMark/>
          </w:tcPr>
          <w:p w14:paraId="050EC0A6"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497-19-8</w:t>
            </w:r>
          </w:p>
        </w:tc>
        <w:tc>
          <w:tcPr>
            <w:tcW w:w="2835" w:type="dxa"/>
            <w:shd w:val="clear" w:color="auto" w:fill="auto"/>
            <w:vAlign w:val="center"/>
            <w:hideMark/>
          </w:tcPr>
          <w:p w14:paraId="22015BBA"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Carbonic acid sodium salt (1:2)</w:t>
            </w:r>
            <w:r>
              <w:rPr>
                <w:rFonts w:ascii="Calibri" w:eastAsia="Times New Roman" w:hAnsi="Calibri" w:cs="Times New Roman"/>
                <w:color w:val="000000"/>
                <w:sz w:val="18"/>
                <w:szCs w:val="18"/>
                <w:lang w:val="en-AU" w:eastAsia="en-AU"/>
              </w:rPr>
              <w:t>#</w:t>
            </w:r>
          </w:p>
        </w:tc>
        <w:tc>
          <w:tcPr>
            <w:tcW w:w="1559" w:type="dxa"/>
            <w:shd w:val="clear" w:color="auto" w:fill="auto"/>
            <w:vAlign w:val="center"/>
          </w:tcPr>
          <w:p w14:paraId="2928A39F"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2,532,000</w:t>
            </w:r>
          </w:p>
        </w:tc>
        <w:tc>
          <w:tcPr>
            <w:tcW w:w="993" w:type="dxa"/>
            <w:shd w:val="clear" w:color="auto" w:fill="auto"/>
            <w:vAlign w:val="center"/>
          </w:tcPr>
          <w:p w14:paraId="1719D551" w14:textId="54E2765F"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9.66E-01</w:t>
            </w:r>
          </w:p>
        </w:tc>
        <w:tc>
          <w:tcPr>
            <w:tcW w:w="992" w:type="dxa"/>
            <w:shd w:val="clear" w:color="auto" w:fill="auto"/>
            <w:vAlign w:val="center"/>
          </w:tcPr>
          <w:p w14:paraId="55195400" w14:textId="0EE40D61"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3.38E-01</w:t>
            </w:r>
          </w:p>
        </w:tc>
        <w:tc>
          <w:tcPr>
            <w:tcW w:w="992" w:type="dxa"/>
            <w:vAlign w:val="center"/>
          </w:tcPr>
          <w:p w14:paraId="50E87211" w14:textId="5DE2072C"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1.83E-01</w:t>
            </w:r>
          </w:p>
        </w:tc>
      </w:tr>
      <w:tr w:rsidR="00A000EC" w:rsidRPr="00E73D3B" w14:paraId="60452E4C" w14:textId="006CC84D" w:rsidTr="001F5949">
        <w:trPr>
          <w:trHeight w:val="832"/>
        </w:trPr>
        <w:tc>
          <w:tcPr>
            <w:tcW w:w="1276" w:type="dxa"/>
            <w:shd w:val="clear" w:color="auto" w:fill="auto"/>
            <w:vAlign w:val="center"/>
            <w:hideMark/>
          </w:tcPr>
          <w:p w14:paraId="0665193F"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55566-30-8</w:t>
            </w:r>
          </w:p>
        </w:tc>
        <w:tc>
          <w:tcPr>
            <w:tcW w:w="2835" w:type="dxa"/>
            <w:shd w:val="clear" w:color="auto" w:fill="auto"/>
            <w:vAlign w:val="center"/>
            <w:hideMark/>
          </w:tcPr>
          <w:p w14:paraId="6F864726"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Phosphonium, tetrakis(hydroxymethyl)-, sulfate (2:1) (salt)</w:t>
            </w:r>
          </w:p>
        </w:tc>
        <w:tc>
          <w:tcPr>
            <w:tcW w:w="1559" w:type="dxa"/>
            <w:shd w:val="clear" w:color="auto" w:fill="auto"/>
            <w:vAlign w:val="center"/>
          </w:tcPr>
          <w:p w14:paraId="0D645EAA"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41.25</w:t>
            </w:r>
          </w:p>
        </w:tc>
        <w:tc>
          <w:tcPr>
            <w:tcW w:w="993" w:type="dxa"/>
            <w:shd w:val="clear" w:color="auto" w:fill="auto"/>
            <w:vAlign w:val="center"/>
          </w:tcPr>
          <w:p w14:paraId="5E905BEC" w14:textId="433A0105"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1.57E-05</w:t>
            </w:r>
          </w:p>
        </w:tc>
        <w:tc>
          <w:tcPr>
            <w:tcW w:w="992" w:type="dxa"/>
            <w:shd w:val="clear" w:color="auto" w:fill="auto"/>
            <w:vAlign w:val="center"/>
          </w:tcPr>
          <w:p w14:paraId="63236777" w14:textId="2345F516"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5.50E-06</w:t>
            </w:r>
          </w:p>
        </w:tc>
        <w:tc>
          <w:tcPr>
            <w:tcW w:w="992" w:type="dxa"/>
            <w:vAlign w:val="center"/>
          </w:tcPr>
          <w:p w14:paraId="684CE872" w14:textId="4DD7FF6B"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2.99E-06</w:t>
            </w:r>
          </w:p>
        </w:tc>
      </w:tr>
      <w:tr w:rsidR="00A000EC" w:rsidRPr="00E73D3B" w14:paraId="6AFDF4C8" w14:textId="697E3946" w:rsidTr="001F5949">
        <w:trPr>
          <w:trHeight w:val="510"/>
        </w:trPr>
        <w:tc>
          <w:tcPr>
            <w:tcW w:w="1276" w:type="dxa"/>
            <w:shd w:val="clear" w:color="auto" w:fill="auto"/>
            <w:vAlign w:val="center"/>
            <w:hideMark/>
          </w:tcPr>
          <w:p w14:paraId="590E134B"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64-19-7</w:t>
            </w:r>
          </w:p>
        </w:tc>
        <w:tc>
          <w:tcPr>
            <w:tcW w:w="2835" w:type="dxa"/>
            <w:shd w:val="clear" w:color="auto" w:fill="auto"/>
            <w:vAlign w:val="center"/>
            <w:hideMark/>
          </w:tcPr>
          <w:p w14:paraId="0C06FD7D"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Acetic acid</w:t>
            </w:r>
          </w:p>
        </w:tc>
        <w:tc>
          <w:tcPr>
            <w:tcW w:w="1559" w:type="dxa"/>
            <w:shd w:val="clear" w:color="auto" w:fill="auto"/>
            <w:vAlign w:val="center"/>
          </w:tcPr>
          <w:p w14:paraId="033764B4"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525</w:t>
            </w:r>
          </w:p>
        </w:tc>
        <w:tc>
          <w:tcPr>
            <w:tcW w:w="993" w:type="dxa"/>
            <w:shd w:val="clear" w:color="auto" w:fill="auto"/>
            <w:vAlign w:val="center"/>
          </w:tcPr>
          <w:p w14:paraId="7F1EFB05" w14:textId="726E8F13"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2.00E-04</w:t>
            </w:r>
          </w:p>
        </w:tc>
        <w:tc>
          <w:tcPr>
            <w:tcW w:w="992" w:type="dxa"/>
            <w:shd w:val="clear" w:color="auto" w:fill="auto"/>
            <w:vAlign w:val="center"/>
          </w:tcPr>
          <w:p w14:paraId="6290E069" w14:textId="1673B8A0"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7.00E-05</w:t>
            </w:r>
          </w:p>
        </w:tc>
        <w:tc>
          <w:tcPr>
            <w:tcW w:w="992" w:type="dxa"/>
            <w:vAlign w:val="center"/>
          </w:tcPr>
          <w:p w14:paraId="2A683242" w14:textId="707E9B2D"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3.80E-05</w:t>
            </w:r>
          </w:p>
        </w:tc>
      </w:tr>
      <w:tr w:rsidR="00A000EC" w:rsidRPr="00E73D3B" w14:paraId="6E5E7A1E" w14:textId="7A5CE32B" w:rsidTr="001F5949">
        <w:trPr>
          <w:trHeight w:val="440"/>
        </w:trPr>
        <w:tc>
          <w:tcPr>
            <w:tcW w:w="1276" w:type="dxa"/>
            <w:shd w:val="clear" w:color="auto" w:fill="auto"/>
            <w:vAlign w:val="center"/>
            <w:hideMark/>
          </w:tcPr>
          <w:p w14:paraId="2BA4984A"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67-63-0</w:t>
            </w:r>
          </w:p>
        </w:tc>
        <w:tc>
          <w:tcPr>
            <w:tcW w:w="2835" w:type="dxa"/>
            <w:shd w:val="clear" w:color="auto" w:fill="auto"/>
            <w:vAlign w:val="center"/>
            <w:hideMark/>
          </w:tcPr>
          <w:p w14:paraId="64731DA1"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2-Propanol</w:t>
            </w:r>
          </w:p>
        </w:tc>
        <w:tc>
          <w:tcPr>
            <w:tcW w:w="1559" w:type="dxa"/>
            <w:shd w:val="clear" w:color="auto" w:fill="auto"/>
            <w:vAlign w:val="center"/>
          </w:tcPr>
          <w:p w14:paraId="2F44A605"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13.4</w:t>
            </w:r>
          </w:p>
        </w:tc>
        <w:tc>
          <w:tcPr>
            <w:tcW w:w="993" w:type="dxa"/>
            <w:shd w:val="clear" w:color="auto" w:fill="auto"/>
            <w:vAlign w:val="center"/>
          </w:tcPr>
          <w:p w14:paraId="77A1E34E" w14:textId="4414115F"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5.11E-06</w:t>
            </w:r>
          </w:p>
        </w:tc>
        <w:tc>
          <w:tcPr>
            <w:tcW w:w="992" w:type="dxa"/>
            <w:shd w:val="clear" w:color="auto" w:fill="auto"/>
            <w:vAlign w:val="center"/>
          </w:tcPr>
          <w:p w14:paraId="189A3135" w14:textId="50EB4573"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1.79E-06</w:t>
            </w:r>
          </w:p>
        </w:tc>
        <w:tc>
          <w:tcPr>
            <w:tcW w:w="992" w:type="dxa"/>
            <w:vAlign w:val="center"/>
          </w:tcPr>
          <w:p w14:paraId="5883D69D" w14:textId="6CD421BE"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9.71E-07</w:t>
            </w:r>
          </w:p>
        </w:tc>
      </w:tr>
      <w:tr w:rsidR="00A000EC" w:rsidRPr="00E73D3B" w14:paraId="0C7DA754" w14:textId="54CD37C0" w:rsidTr="001F5949">
        <w:trPr>
          <w:trHeight w:val="418"/>
        </w:trPr>
        <w:tc>
          <w:tcPr>
            <w:tcW w:w="1276" w:type="dxa"/>
            <w:shd w:val="clear" w:color="auto" w:fill="auto"/>
            <w:vAlign w:val="center"/>
            <w:hideMark/>
          </w:tcPr>
          <w:p w14:paraId="397FD61F"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7447-40-7</w:t>
            </w:r>
          </w:p>
        </w:tc>
        <w:tc>
          <w:tcPr>
            <w:tcW w:w="2835" w:type="dxa"/>
            <w:shd w:val="clear" w:color="auto" w:fill="auto"/>
            <w:vAlign w:val="center"/>
            <w:hideMark/>
          </w:tcPr>
          <w:p w14:paraId="78463B99"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Potassium chloride (KCl)</w:t>
            </w:r>
          </w:p>
        </w:tc>
        <w:tc>
          <w:tcPr>
            <w:tcW w:w="1559" w:type="dxa"/>
            <w:shd w:val="clear" w:color="auto" w:fill="auto"/>
            <w:vAlign w:val="center"/>
          </w:tcPr>
          <w:p w14:paraId="396962B4"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22,963</w:t>
            </w:r>
          </w:p>
        </w:tc>
        <w:tc>
          <w:tcPr>
            <w:tcW w:w="993" w:type="dxa"/>
            <w:shd w:val="clear" w:color="auto" w:fill="auto"/>
            <w:vAlign w:val="center"/>
          </w:tcPr>
          <w:p w14:paraId="1AFC72A1" w14:textId="211F757B"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8.76E-03</w:t>
            </w:r>
          </w:p>
        </w:tc>
        <w:tc>
          <w:tcPr>
            <w:tcW w:w="992" w:type="dxa"/>
            <w:shd w:val="clear" w:color="auto" w:fill="auto"/>
            <w:vAlign w:val="center"/>
          </w:tcPr>
          <w:p w14:paraId="61C638CB" w14:textId="4EEAA21C"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3.06E-03</w:t>
            </w:r>
          </w:p>
        </w:tc>
        <w:tc>
          <w:tcPr>
            <w:tcW w:w="992" w:type="dxa"/>
            <w:vAlign w:val="center"/>
          </w:tcPr>
          <w:p w14:paraId="5FE09E1C" w14:textId="1A59EF61"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1.66E-03</w:t>
            </w:r>
          </w:p>
        </w:tc>
      </w:tr>
      <w:tr w:rsidR="00A000EC" w:rsidRPr="00E73D3B" w14:paraId="5B98DFF9" w14:textId="471E7E73" w:rsidTr="001F5949">
        <w:trPr>
          <w:trHeight w:val="538"/>
        </w:trPr>
        <w:tc>
          <w:tcPr>
            <w:tcW w:w="1276" w:type="dxa"/>
            <w:shd w:val="clear" w:color="auto" w:fill="auto"/>
            <w:vAlign w:val="center"/>
            <w:hideMark/>
          </w:tcPr>
          <w:p w14:paraId="4B89045A"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75-57-0</w:t>
            </w:r>
          </w:p>
        </w:tc>
        <w:tc>
          <w:tcPr>
            <w:tcW w:w="2835" w:type="dxa"/>
            <w:shd w:val="clear" w:color="auto" w:fill="auto"/>
            <w:vAlign w:val="center"/>
            <w:hideMark/>
          </w:tcPr>
          <w:p w14:paraId="6278CB6F"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Methanaminium, N,N,N-trimethyl-, chloride (1:1)</w:t>
            </w:r>
          </w:p>
        </w:tc>
        <w:tc>
          <w:tcPr>
            <w:tcW w:w="1559" w:type="dxa"/>
            <w:shd w:val="clear" w:color="auto" w:fill="auto"/>
            <w:vAlign w:val="center"/>
          </w:tcPr>
          <w:p w14:paraId="4F2139E4"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1,273</w:t>
            </w:r>
          </w:p>
        </w:tc>
        <w:tc>
          <w:tcPr>
            <w:tcW w:w="993" w:type="dxa"/>
            <w:shd w:val="clear" w:color="auto" w:fill="auto"/>
            <w:vAlign w:val="center"/>
          </w:tcPr>
          <w:p w14:paraId="48B6AE21" w14:textId="0741229A"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4.86E-04</w:t>
            </w:r>
          </w:p>
        </w:tc>
        <w:tc>
          <w:tcPr>
            <w:tcW w:w="992" w:type="dxa"/>
            <w:shd w:val="clear" w:color="auto" w:fill="auto"/>
            <w:vAlign w:val="center"/>
          </w:tcPr>
          <w:p w14:paraId="2342FAB6" w14:textId="68D9108F"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1.70E-04</w:t>
            </w:r>
          </w:p>
        </w:tc>
        <w:tc>
          <w:tcPr>
            <w:tcW w:w="992" w:type="dxa"/>
            <w:vAlign w:val="center"/>
          </w:tcPr>
          <w:p w14:paraId="77E5D94A" w14:textId="6A5D3B01"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9.23E-05</w:t>
            </w:r>
          </w:p>
        </w:tc>
      </w:tr>
      <w:tr w:rsidR="00A000EC" w:rsidRPr="00E73D3B" w14:paraId="6F31740B" w14:textId="47CDF214" w:rsidTr="001F5949">
        <w:trPr>
          <w:trHeight w:val="405"/>
        </w:trPr>
        <w:tc>
          <w:tcPr>
            <w:tcW w:w="1276" w:type="dxa"/>
            <w:shd w:val="clear" w:color="auto" w:fill="auto"/>
            <w:vAlign w:val="center"/>
            <w:hideMark/>
          </w:tcPr>
          <w:p w14:paraId="12D534B8"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7647-01-0</w:t>
            </w:r>
          </w:p>
        </w:tc>
        <w:tc>
          <w:tcPr>
            <w:tcW w:w="2835" w:type="dxa"/>
            <w:shd w:val="clear" w:color="auto" w:fill="auto"/>
            <w:vAlign w:val="center"/>
            <w:hideMark/>
          </w:tcPr>
          <w:p w14:paraId="1854217B"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Hydrochloric acid</w:t>
            </w:r>
          </w:p>
        </w:tc>
        <w:tc>
          <w:tcPr>
            <w:tcW w:w="1559" w:type="dxa"/>
            <w:shd w:val="clear" w:color="auto" w:fill="auto"/>
            <w:vAlign w:val="center"/>
          </w:tcPr>
          <w:p w14:paraId="6E952CB8"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52.5</w:t>
            </w:r>
          </w:p>
        </w:tc>
        <w:tc>
          <w:tcPr>
            <w:tcW w:w="993" w:type="dxa"/>
            <w:shd w:val="clear" w:color="auto" w:fill="auto"/>
            <w:vAlign w:val="center"/>
          </w:tcPr>
          <w:p w14:paraId="6BE18228" w14:textId="15AD7546"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2.00E-05</w:t>
            </w:r>
          </w:p>
        </w:tc>
        <w:tc>
          <w:tcPr>
            <w:tcW w:w="992" w:type="dxa"/>
            <w:shd w:val="clear" w:color="auto" w:fill="auto"/>
            <w:vAlign w:val="center"/>
          </w:tcPr>
          <w:p w14:paraId="454B275A" w14:textId="3A78C516"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7.00E-06</w:t>
            </w:r>
          </w:p>
        </w:tc>
        <w:tc>
          <w:tcPr>
            <w:tcW w:w="992" w:type="dxa"/>
            <w:vAlign w:val="center"/>
          </w:tcPr>
          <w:p w14:paraId="42CCCF65" w14:textId="462DC1D8"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3.80E-06</w:t>
            </w:r>
          </w:p>
        </w:tc>
      </w:tr>
      <w:tr w:rsidR="00A000EC" w:rsidRPr="00E73D3B" w14:paraId="184C6558" w14:textId="463D1F45" w:rsidTr="001F5949">
        <w:trPr>
          <w:trHeight w:val="553"/>
        </w:trPr>
        <w:tc>
          <w:tcPr>
            <w:tcW w:w="1276" w:type="dxa"/>
            <w:shd w:val="clear" w:color="auto" w:fill="auto"/>
            <w:vAlign w:val="center"/>
            <w:hideMark/>
          </w:tcPr>
          <w:p w14:paraId="573DCDB8"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7681-52-9</w:t>
            </w:r>
          </w:p>
        </w:tc>
        <w:tc>
          <w:tcPr>
            <w:tcW w:w="2835" w:type="dxa"/>
            <w:shd w:val="clear" w:color="auto" w:fill="auto"/>
            <w:vAlign w:val="center"/>
            <w:hideMark/>
          </w:tcPr>
          <w:p w14:paraId="7909F244"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Hypochlorous acid, sodium salt (1:1)</w:t>
            </w:r>
            <w:r>
              <w:rPr>
                <w:rFonts w:ascii="Calibri" w:eastAsia="Times New Roman" w:hAnsi="Calibri" w:cs="Times New Roman"/>
                <w:color w:val="000000"/>
                <w:sz w:val="18"/>
                <w:szCs w:val="18"/>
                <w:lang w:val="en-AU" w:eastAsia="en-AU"/>
              </w:rPr>
              <w:t>@</w:t>
            </w:r>
          </w:p>
        </w:tc>
        <w:tc>
          <w:tcPr>
            <w:tcW w:w="1559" w:type="dxa"/>
            <w:shd w:val="clear" w:color="auto" w:fill="auto"/>
            <w:vAlign w:val="center"/>
          </w:tcPr>
          <w:p w14:paraId="0DA02686"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57.7500</w:t>
            </w:r>
          </w:p>
        </w:tc>
        <w:tc>
          <w:tcPr>
            <w:tcW w:w="993" w:type="dxa"/>
            <w:shd w:val="clear" w:color="auto" w:fill="auto"/>
            <w:vAlign w:val="center"/>
          </w:tcPr>
          <w:p w14:paraId="53F2940E" w14:textId="6472680A"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2.20E-05</w:t>
            </w:r>
          </w:p>
        </w:tc>
        <w:tc>
          <w:tcPr>
            <w:tcW w:w="992" w:type="dxa"/>
            <w:shd w:val="clear" w:color="auto" w:fill="auto"/>
            <w:vAlign w:val="center"/>
          </w:tcPr>
          <w:p w14:paraId="1C26D1D4" w14:textId="140E290B"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7.70E-06</w:t>
            </w:r>
          </w:p>
        </w:tc>
        <w:tc>
          <w:tcPr>
            <w:tcW w:w="992" w:type="dxa"/>
            <w:vAlign w:val="center"/>
          </w:tcPr>
          <w:p w14:paraId="31E58225" w14:textId="7E494390"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4.18E-06</w:t>
            </w:r>
          </w:p>
        </w:tc>
      </w:tr>
      <w:tr w:rsidR="00A000EC" w:rsidRPr="00E73D3B" w14:paraId="4A0BD13E" w14:textId="4CBE8461" w:rsidTr="001F5949">
        <w:trPr>
          <w:trHeight w:val="688"/>
        </w:trPr>
        <w:tc>
          <w:tcPr>
            <w:tcW w:w="1276" w:type="dxa"/>
            <w:shd w:val="clear" w:color="auto" w:fill="auto"/>
            <w:vAlign w:val="center"/>
            <w:hideMark/>
          </w:tcPr>
          <w:p w14:paraId="45D8A4B4"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7727-54-0</w:t>
            </w:r>
          </w:p>
        </w:tc>
        <w:tc>
          <w:tcPr>
            <w:tcW w:w="2835" w:type="dxa"/>
            <w:shd w:val="clear" w:color="auto" w:fill="auto"/>
            <w:vAlign w:val="center"/>
            <w:hideMark/>
          </w:tcPr>
          <w:p w14:paraId="23336F06"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Peroxydisulfuric acid ([(HO)S(O)</w:t>
            </w:r>
            <w:r w:rsidRPr="00E73D3B">
              <w:rPr>
                <w:rFonts w:ascii="Calibri" w:eastAsia="Times New Roman" w:hAnsi="Calibri" w:cs="Times New Roman"/>
                <w:color w:val="000000"/>
                <w:sz w:val="18"/>
                <w:szCs w:val="18"/>
                <w:vertAlign w:val="subscript"/>
                <w:lang w:val="en-AU" w:eastAsia="en-AU"/>
              </w:rPr>
              <w:t>2</w:t>
            </w:r>
            <w:r w:rsidRPr="00E73D3B">
              <w:rPr>
                <w:rFonts w:ascii="Calibri" w:eastAsia="Times New Roman" w:hAnsi="Calibri" w:cs="Times New Roman"/>
                <w:color w:val="000000"/>
                <w:sz w:val="18"/>
                <w:szCs w:val="18"/>
                <w:lang w:val="en-AU" w:eastAsia="en-AU"/>
              </w:rPr>
              <w:t>]2O</w:t>
            </w:r>
            <w:r w:rsidRPr="00E73D3B">
              <w:rPr>
                <w:rFonts w:ascii="Calibri" w:eastAsia="Times New Roman" w:hAnsi="Calibri" w:cs="Times New Roman"/>
                <w:color w:val="000000"/>
                <w:sz w:val="18"/>
                <w:szCs w:val="18"/>
                <w:vertAlign w:val="subscript"/>
                <w:lang w:val="en-AU" w:eastAsia="en-AU"/>
              </w:rPr>
              <w:t>2</w:t>
            </w:r>
            <w:r w:rsidRPr="00E73D3B">
              <w:rPr>
                <w:rFonts w:ascii="Calibri" w:eastAsia="Times New Roman" w:hAnsi="Calibri" w:cs="Times New Roman"/>
                <w:color w:val="000000"/>
                <w:sz w:val="18"/>
                <w:szCs w:val="18"/>
                <w:lang w:val="en-AU" w:eastAsia="en-AU"/>
              </w:rPr>
              <w:t>), ammonium salt (1:2)</w:t>
            </w:r>
          </w:p>
        </w:tc>
        <w:tc>
          <w:tcPr>
            <w:tcW w:w="1559" w:type="dxa"/>
            <w:shd w:val="clear" w:color="auto" w:fill="auto"/>
            <w:vAlign w:val="center"/>
          </w:tcPr>
          <w:p w14:paraId="073706A9"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452.1</w:t>
            </w:r>
          </w:p>
        </w:tc>
        <w:tc>
          <w:tcPr>
            <w:tcW w:w="993" w:type="dxa"/>
            <w:shd w:val="clear" w:color="auto" w:fill="auto"/>
            <w:vAlign w:val="center"/>
          </w:tcPr>
          <w:p w14:paraId="65072DD3" w14:textId="5BB1F0D5"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1.73E-04</w:t>
            </w:r>
          </w:p>
        </w:tc>
        <w:tc>
          <w:tcPr>
            <w:tcW w:w="992" w:type="dxa"/>
            <w:shd w:val="clear" w:color="auto" w:fill="auto"/>
            <w:vAlign w:val="center"/>
          </w:tcPr>
          <w:p w14:paraId="5F75ECD7" w14:textId="54710F97"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6.03E-05</w:t>
            </w:r>
          </w:p>
        </w:tc>
        <w:tc>
          <w:tcPr>
            <w:tcW w:w="992" w:type="dxa"/>
            <w:vAlign w:val="center"/>
          </w:tcPr>
          <w:p w14:paraId="43E96D42" w14:textId="1070097F"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3.28E-05</w:t>
            </w:r>
          </w:p>
        </w:tc>
      </w:tr>
      <w:tr w:rsidR="00A000EC" w:rsidRPr="00E73D3B" w14:paraId="7C99CBAC" w14:textId="6D1145A8" w:rsidTr="001F5949">
        <w:trPr>
          <w:trHeight w:val="401"/>
        </w:trPr>
        <w:tc>
          <w:tcPr>
            <w:tcW w:w="1276" w:type="dxa"/>
            <w:shd w:val="clear" w:color="auto" w:fill="auto"/>
            <w:vAlign w:val="center"/>
            <w:hideMark/>
          </w:tcPr>
          <w:p w14:paraId="426708E5"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7786-30-3</w:t>
            </w:r>
          </w:p>
        </w:tc>
        <w:tc>
          <w:tcPr>
            <w:tcW w:w="2835" w:type="dxa"/>
            <w:shd w:val="clear" w:color="auto" w:fill="auto"/>
            <w:vAlign w:val="center"/>
            <w:hideMark/>
          </w:tcPr>
          <w:p w14:paraId="05CD1D13"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Magnesium chloride (MgCl</w:t>
            </w:r>
            <w:r w:rsidRPr="00A63DFB">
              <w:rPr>
                <w:rFonts w:ascii="Calibri" w:eastAsia="Times New Roman" w:hAnsi="Calibri" w:cs="Times New Roman"/>
                <w:color w:val="000000"/>
                <w:sz w:val="18"/>
                <w:szCs w:val="18"/>
                <w:vertAlign w:val="subscript"/>
                <w:lang w:val="en-AU" w:eastAsia="en-AU"/>
              </w:rPr>
              <w:t>2</w:t>
            </w:r>
            <w:r w:rsidRPr="00E73D3B">
              <w:rPr>
                <w:rFonts w:ascii="Calibri" w:eastAsia="Times New Roman" w:hAnsi="Calibri" w:cs="Times New Roman"/>
                <w:color w:val="000000"/>
                <w:sz w:val="18"/>
                <w:szCs w:val="18"/>
                <w:lang w:val="en-AU" w:eastAsia="en-AU"/>
              </w:rPr>
              <w:t>)</w:t>
            </w:r>
          </w:p>
        </w:tc>
        <w:tc>
          <w:tcPr>
            <w:tcW w:w="1559" w:type="dxa"/>
            <w:shd w:val="clear" w:color="auto" w:fill="auto"/>
            <w:vAlign w:val="center"/>
          </w:tcPr>
          <w:p w14:paraId="28E11A40"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3.4</w:t>
            </w:r>
          </w:p>
        </w:tc>
        <w:tc>
          <w:tcPr>
            <w:tcW w:w="993" w:type="dxa"/>
            <w:shd w:val="clear" w:color="auto" w:fill="auto"/>
            <w:vAlign w:val="center"/>
          </w:tcPr>
          <w:p w14:paraId="5EB8D381" w14:textId="3529075B"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1.30E-06</w:t>
            </w:r>
          </w:p>
        </w:tc>
        <w:tc>
          <w:tcPr>
            <w:tcW w:w="992" w:type="dxa"/>
            <w:shd w:val="clear" w:color="auto" w:fill="auto"/>
            <w:vAlign w:val="center"/>
          </w:tcPr>
          <w:p w14:paraId="7396D5ED" w14:textId="020C0D12"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4.53E-07</w:t>
            </w:r>
          </w:p>
        </w:tc>
        <w:tc>
          <w:tcPr>
            <w:tcW w:w="992" w:type="dxa"/>
            <w:vAlign w:val="center"/>
          </w:tcPr>
          <w:p w14:paraId="4AAA1F37" w14:textId="235E2B4E"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2.46E-07</w:t>
            </w:r>
          </w:p>
        </w:tc>
      </w:tr>
      <w:tr w:rsidR="00A000EC" w:rsidRPr="00E73D3B" w14:paraId="3F786237" w14:textId="7B7C4B15" w:rsidTr="001F5949">
        <w:trPr>
          <w:trHeight w:val="549"/>
        </w:trPr>
        <w:tc>
          <w:tcPr>
            <w:tcW w:w="1276" w:type="dxa"/>
            <w:shd w:val="clear" w:color="auto" w:fill="auto"/>
            <w:vAlign w:val="center"/>
            <w:hideMark/>
          </w:tcPr>
          <w:p w14:paraId="332778F3"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77-92-9</w:t>
            </w:r>
          </w:p>
        </w:tc>
        <w:tc>
          <w:tcPr>
            <w:tcW w:w="2835" w:type="dxa"/>
            <w:shd w:val="clear" w:color="auto" w:fill="auto"/>
            <w:vAlign w:val="center"/>
            <w:hideMark/>
          </w:tcPr>
          <w:p w14:paraId="0C57D8AC"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1,2,3-Propanetricarboxylic acid, 2-hydroxy-</w:t>
            </w:r>
          </w:p>
        </w:tc>
        <w:tc>
          <w:tcPr>
            <w:tcW w:w="1559" w:type="dxa"/>
            <w:shd w:val="clear" w:color="auto" w:fill="auto"/>
            <w:vAlign w:val="center"/>
          </w:tcPr>
          <w:p w14:paraId="21200285"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1,765</w:t>
            </w:r>
          </w:p>
        </w:tc>
        <w:tc>
          <w:tcPr>
            <w:tcW w:w="993" w:type="dxa"/>
            <w:shd w:val="clear" w:color="auto" w:fill="auto"/>
            <w:vAlign w:val="center"/>
          </w:tcPr>
          <w:p w14:paraId="640D7F75" w14:textId="6EB018EA"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6.74E-04</w:t>
            </w:r>
          </w:p>
        </w:tc>
        <w:tc>
          <w:tcPr>
            <w:tcW w:w="992" w:type="dxa"/>
            <w:shd w:val="clear" w:color="auto" w:fill="auto"/>
            <w:vAlign w:val="center"/>
          </w:tcPr>
          <w:p w14:paraId="74DF8EDB" w14:textId="74B8C815"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2.35E-04</w:t>
            </w:r>
          </w:p>
        </w:tc>
        <w:tc>
          <w:tcPr>
            <w:tcW w:w="992" w:type="dxa"/>
            <w:vAlign w:val="center"/>
          </w:tcPr>
          <w:p w14:paraId="6A59571E" w14:textId="6FE0D03A"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1.28E-04</w:t>
            </w:r>
          </w:p>
        </w:tc>
      </w:tr>
      <w:tr w:rsidR="00A000EC" w:rsidRPr="00E73D3B" w14:paraId="339951C4" w14:textId="007008B9" w:rsidTr="001F5949">
        <w:trPr>
          <w:trHeight w:val="401"/>
        </w:trPr>
        <w:tc>
          <w:tcPr>
            <w:tcW w:w="1276" w:type="dxa"/>
            <w:shd w:val="clear" w:color="auto" w:fill="auto"/>
            <w:vAlign w:val="center"/>
            <w:hideMark/>
          </w:tcPr>
          <w:p w14:paraId="085CBF29"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9000-30-0</w:t>
            </w:r>
          </w:p>
        </w:tc>
        <w:tc>
          <w:tcPr>
            <w:tcW w:w="2835" w:type="dxa"/>
            <w:shd w:val="clear" w:color="auto" w:fill="auto"/>
            <w:vAlign w:val="center"/>
            <w:hideMark/>
          </w:tcPr>
          <w:p w14:paraId="691E3FF0"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Guar gum</w:t>
            </w:r>
          </w:p>
        </w:tc>
        <w:tc>
          <w:tcPr>
            <w:tcW w:w="1559" w:type="dxa"/>
            <w:shd w:val="clear" w:color="auto" w:fill="auto"/>
            <w:vAlign w:val="center"/>
          </w:tcPr>
          <w:p w14:paraId="4887D54B"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2,600</w:t>
            </w:r>
          </w:p>
        </w:tc>
        <w:tc>
          <w:tcPr>
            <w:tcW w:w="993" w:type="dxa"/>
            <w:shd w:val="clear" w:color="auto" w:fill="auto"/>
            <w:vAlign w:val="center"/>
          </w:tcPr>
          <w:p w14:paraId="1E0E88CC" w14:textId="1EA131FD"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9.92E-04</w:t>
            </w:r>
          </w:p>
        </w:tc>
        <w:tc>
          <w:tcPr>
            <w:tcW w:w="992" w:type="dxa"/>
            <w:shd w:val="clear" w:color="auto" w:fill="auto"/>
            <w:vAlign w:val="center"/>
          </w:tcPr>
          <w:p w14:paraId="2EA2B8D3" w14:textId="29078690"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3.47E-04</w:t>
            </w:r>
          </w:p>
        </w:tc>
        <w:tc>
          <w:tcPr>
            <w:tcW w:w="992" w:type="dxa"/>
            <w:vAlign w:val="center"/>
          </w:tcPr>
          <w:p w14:paraId="650B471E" w14:textId="20C1F903"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1.88E-04</w:t>
            </w:r>
          </w:p>
        </w:tc>
      </w:tr>
      <w:tr w:rsidR="00A000EC" w:rsidRPr="00E73D3B" w14:paraId="2D090741" w14:textId="7CB446A7" w:rsidTr="001F5949">
        <w:trPr>
          <w:trHeight w:val="300"/>
        </w:trPr>
        <w:tc>
          <w:tcPr>
            <w:tcW w:w="1276" w:type="dxa"/>
            <w:shd w:val="clear" w:color="auto" w:fill="auto"/>
            <w:vAlign w:val="center"/>
            <w:hideMark/>
          </w:tcPr>
          <w:p w14:paraId="1BE2A140"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111-76-2</w:t>
            </w:r>
          </w:p>
        </w:tc>
        <w:tc>
          <w:tcPr>
            <w:tcW w:w="2835" w:type="dxa"/>
            <w:shd w:val="clear" w:color="auto" w:fill="auto"/>
            <w:vAlign w:val="center"/>
            <w:hideMark/>
          </w:tcPr>
          <w:p w14:paraId="6050CDF1"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2-butoxyethanol</w:t>
            </w:r>
          </w:p>
        </w:tc>
        <w:tc>
          <w:tcPr>
            <w:tcW w:w="1559" w:type="dxa"/>
            <w:shd w:val="clear" w:color="auto" w:fill="auto"/>
            <w:vAlign w:val="center"/>
          </w:tcPr>
          <w:p w14:paraId="16F99183"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40</w:t>
            </w:r>
          </w:p>
        </w:tc>
        <w:tc>
          <w:tcPr>
            <w:tcW w:w="993" w:type="dxa"/>
            <w:shd w:val="clear" w:color="auto" w:fill="auto"/>
            <w:vAlign w:val="center"/>
          </w:tcPr>
          <w:p w14:paraId="7F5004D6" w14:textId="4C7AB27E"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1.53E-05</w:t>
            </w:r>
          </w:p>
        </w:tc>
        <w:tc>
          <w:tcPr>
            <w:tcW w:w="992" w:type="dxa"/>
            <w:shd w:val="clear" w:color="auto" w:fill="auto"/>
            <w:vAlign w:val="center"/>
          </w:tcPr>
          <w:p w14:paraId="3BD67310" w14:textId="1A1E73C7"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5.33E-06</w:t>
            </w:r>
          </w:p>
        </w:tc>
        <w:tc>
          <w:tcPr>
            <w:tcW w:w="992" w:type="dxa"/>
            <w:vAlign w:val="center"/>
          </w:tcPr>
          <w:p w14:paraId="2B076A88" w14:textId="1D4C5144"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2.90E-06</w:t>
            </w:r>
          </w:p>
        </w:tc>
      </w:tr>
      <w:tr w:rsidR="00A000EC" w:rsidRPr="00E73D3B" w14:paraId="48855FCA" w14:textId="568EB29B" w:rsidTr="001F5949">
        <w:trPr>
          <w:trHeight w:val="263"/>
        </w:trPr>
        <w:tc>
          <w:tcPr>
            <w:tcW w:w="1276" w:type="dxa"/>
            <w:shd w:val="clear" w:color="auto" w:fill="auto"/>
            <w:vAlign w:val="center"/>
            <w:hideMark/>
          </w:tcPr>
          <w:p w14:paraId="4E68054E"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7647-14-5</w:t>
            </w:r>
          </w:p>
        </w:tc>
        <w:tc>
          <w:tcPr>
            <w:tcW w:w="2835" w:type="dxa"/>
            <w:shd w:val="clear" w:color="auto" w:fill="auto"/>
            <w:vAlign w:val="center"/>
            <w:hideMark/>
          </w:tcPr>
          <w:p w14:paraId="07A06020" w14:textId="77777777" w:rsidR="00A000EC" w:rsidRPr="00E73D3B" w:rsidRDefault="00A000EC" w:rsidP="00A000EC">
            <w:pPr>
              <w:spacing w:after="0"/>
              <w:rPr>
                <w:rFonts w:ascii="Calibri" w:eastAsia="Times New Roman" w:hAnsi="Calibri" w:cs="Times New Roman"/>
                <w:color w:val="000000"/>
                <w:sz w:val="18"/>
                <w:szCs w:val="18"/>
                <w:lang w:val="en-AU" w:eastAsia="en-AU"/>
              </w:rPr>
            </w:pPr>
            <w:r w:rsidRPr="00E73D3B">
              <w:rPr>
                <w:rFonts w:ascii="Calibri" w:eastAsia="Times New Roman" w:hAnsi="Calibri" w:cs="Times New Roman"/>
                <w:color w:val="000000"/>
                <w:sz w:val="18"/>
                <w:szCs w:val="18"/>
                <w:lang w:val="en-AU" w:eastAsia="en-AU"/>
              </w:rPr>
              <w:t>Sodium chloride</w:t>
            </w:r>
          </w:p>
        </w:tc>
        <w:tc>
          <w:tcPr>
            <w:tcW w:w="1559" w:type="dxa"/>
            <w:shd w:val="clear" w:color="auto" w:fill="auto"/>
            <w:vAlign w:val="center"/>
          </w:tcPr>
          <w:p w14:paraId="2E94567C" w14:textId="77777777" w:rsidR="00A000EC" w:rsidRPr="00E73D3B" w:rsidRDefault="00A000EC" w:rsidP="00A000EC">
            <w:pPr>
              <w:spacing w:after="0"/>
              <w:jc w:val="center"/>
              <w:rPr>
                <w:rFonts w:ascii="Calibri" w:eastAsia="Times New Roman" w:hAnsi="Calibri" w:cs="Times New Roman"/>
                <w:color w:val="000000"/>
                <w:sz w:val="18"/>
                <w:szCs w:val="18"/>
                <w:lang w:val="en-AU" w:eastAsia="en-AU"/>
              </w:rPr>
            </w:pPr>
            <w:r>
              <w:rPr>
                <w:rFonts w:ascii="Calibri" w:hAnsi="Calibri"/>
                <w:color w:val="000000"/>
                <w:sz w:val="18"/>
                <w:szCs w:val="18"/>
              </w:rPr>
              <w:t>400</w:t>
            </w:r>
          </w:p>
        </w:tc>
        <w:tc>
          <w:tcPr>
            <w:tcW w:w="993" w:type="dxa"/>
            <w:shd w:val="clear" w:color="auto" w:fill="auto"/>
            <w:vAlign w:val="center"/>
            <w:hideMark/>
          </w:tcPr>
          <w:p w14:paraId="0BC6A8FE" w14:textId="13D66B7B"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1.53E-04</w:t>
            </w:r>
          </w:p>
        </w:tc>
        <w:tc>
          <w:tcPr>
            <w:tcW w:w="992" w:type="dxa"/>
            <w:shd w:val="clear" w:color="auto" w:fill="auto"/>
            <w:vAlign w:val="center"/>
          </w:tcPr>
          <w:p w14:paraId="5F4DD8DC" w14:textId="23E615FE" w:rsidR="00A000EC" w:rsidRP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5.33E-05</w:t>
            </w:r>
          </w:p>
        </w:tc>
        <w:tc>
          <w:tcPr>
            <w:tcW w:w="992" w:type="dxa"/>
            <w:vAlign w:val="center"/>
          </w:tcPr>
          <w:p w14:paraId="3B66BDEC" w14:textId="4CE66F9D" w:rsidR="00A000EC" w:rsidRDefault="00A000EC" w:rsidP="00A000EC">
            <w:pPr>
              <w:spacing w:after="0"/>
              <w:jc w:val="center"/>
              <w:rPr>
                <w:rFonts w:ascii="Calibri" w:hAnsi="Calibri"/>
                <w:color w:val="000000"/>
                <w:sz w:val="18"/>
                <w:szCs w:val="18"/>
              </w:rPr>
            </w:pPr>
            <w:r w:rsidRPr="00A000EC">
              <w:rPr>
                <w:rFonts w:ascii="Calibri" w:hAnsi="Calibri"/>
                <w:color w:val="000000"/>
                <w:sz w:val="18"/>
                <w:szCs w:val="18"/>
              </w:rPr>
              <w:t>2.90E-05</w:t>
            </w:r>
          </w:p>
        </w:tc>
      </w:tr>
    </w:tbl>
    <w:p w14:paraId="54A508B2" w14:textId="77777777" w:rsidR="0039268A" w:rsidRDefault="0039268A" w:rsidP="00DA0171">
      <w:pPr>
        <w:pStyle w:val="Body"/>
      </w:pPr>
    </w:p>
    <w:p w14:paraId="789C9DBB" w14:textId="77777777" w:rsidR="009C2299" w:rsidRDefault="009C2299" w:rsidP="00712F52">
      <w:pPr>
        <w:pStyle w:val="Body"/>
      </w:pPr>
    </w:p>
    <w:p w14:paraId="2B5C198D" w14:textId="7A77A3CF" w:rsidR="009C2299" w:rsidRDefault="009C2299" w:rsidP="00712F52">
      <w:pPr>
        <w:pStyle w:val="Body"/>
      </w:pPr>
      <w:r w:rsidRPr="009C2299">
        <w:rPr>
          <w:noProof/>
          <w:lang w:val="en-AU" w:eastAsia="en-AU"/>
        </w:rPr>
        <w:drawing>
          <wp:inline distT="0" distB="0" distL="0" distR="0" wp14:anchorId="20C57D5E" wp14:editId="6476AE2A">
            <wp:extent cx="5727700" cy="5598610"/>
            <wp:effectExtent l="0" t="0" r="6350" b="2540"/>
            <wp:docPr id="8" name="Picture 8" descr="Charts of estimated maximum chemical concentration prior to injection, based on total injection volume and distance to the nearest receptor." title="Fig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727700" cy="5598610"/>
                    </a:xfrm>
                    <a:prstGeom prst="rect">
                      <a:avLst/>
                    </a:prstGeom>
                    <a:noFill/>
                    <a:ln>
                      <a:noFill/>
                    </a:ln>
                  </pic:spPr>
                </pic:pic>
              </a:graphicData>
            </a:graphic>
          </wp:inline>
        </w:drawing>
      </w:r>
    </w:p>
    <w:p w14:paraId="074D1190" w14:textId="447F4C79" w:rsidR="009C2299" w:rsidRDefault="009C2299" w:rsidP="009C2299">
      <w:pPr>
        <w:pStyle w:val="Imagecaption"/>
      </w:pPr>
      <w:bookmarkStart w:id="755" w:name="_Ref471049033"/>
      <w:bookmarkStart w:id="756" w:name="_Toc477347672"/>
      <w:r>
        <w:t xml:space="preserve">Figure </w:t>
      </w:r>
      <w:r w:rsidR="00254026">
        <w:fldChar w:fldCharType="begin" w:fldLock="1"/>
      </w:r>
      <w:r w:rsidR="00254026">
        <w:instrText xml:space="preserve"> STYLEREF 1 \s </w:instrText>
      </w:r>
      <w:r w:rsidR="00254026">
        <w:fldChar w:fldCharType="separate"/>
      </w:r>
      <w:r w:rsidR="00335E79">
        <w:rPr>
          <w:noProof/>
        </w:rPr>
        <w:t>5</w:t>
      </w:r>
      <w:r w:rsidR="00254026">
        <w:fldChar w:fldCharType="end"/>
      </w:r>
      <w:r w:rsidR="00254026">
        <w:noBreakHyphen/>
      </w:r>
      <w:r w:rsidR="00254026">
        <w:fldChar w:fldCharType="begin"/>
      </w:r>
      <w:r w:rsidR="00254026">
        <w:instrText xml:space="preserve"> SEQ Figure \* ARABIC \s 1 </w:instrText>
      </w:r>
      <w:r w:rsidR="00254026">
        <w:fldChar w:fldCharType="separate"/>
      </w:r>
      <w:r w:rsidR="00951AFC">
        <w:rPr>
          <w:noProof/>
        </w:rPr>
        <w:t>30</w:t>
      </w:r>
      <w:r w:rsidR="00254026">
        <w:fldChar w:fldCharType="end"/>
      </w:r>
      <w:bookmarkEnd w:id="755"/>
      <w:r>
        <w:t xml:space="preserve"> Estimated maximum chemical concentration prior to injection for different injection volumes (</w:t>
      </w:r>
      <w:r w:rsidR="00DF6AB4">
        <w:t xml:space="preserve">total hydraulic fracture volume </w:t>
      </w:r>
      <w:r>
        <w:t>in ML, megalitres) and distances to the nearest receptor (0.5, 1, and 2 km).</w:t>
      </w:r>
      <w:r w:rsidR="00BD5E0E">
        <w:t xml:space="preserve"> Based on DAF values </w:t>
      </w:r>
      <w:r w:rsidR="00BD5E0E" w:rsidRPr="00BD5E0E">
        <w:t xml:space="preserve">from </w:t>
      </w:r>
      <w:r w:rsidR="00BD5E0E" w:rsidRPr="00BD5E0E">
        <w:fldChar w:fldCharType="begin" w:fldLock="1"/>
      </w:r>
      <w:r w:rsidR="00BD5E0E" w:rsidRPr="00BD5E0E">
        <w:instrText xml:space="preserve"> REF _Ref468263363 \h  \* MERGEFORMAT </w:instrText>
      </w:r>
      <w:r w:rsidR="00BD5E0E" w:rsidRPr="00BD5E0E">
        <w:fldChar w:fldCharType="separate"/>
      </w:r>
      <w:r w:rsidR="00335E79" w:rsidRPr="00F045B7">
        <w:t xml:space="preserve">Table </w:t>
      </w:r>
      <w:r w:rsidR="00335E79">
        <w:rPr>
          <w:noProof/>
        </w:rPr>
        <w:t>5</w:t>
      </w:r>
      <w:r w:rsidR="00335E79">
        <w:rPr>
          <w:noProof/>
        </w:rPr>
        <w:noBreakHyphen/>
        <w:t>26</w:t>
      </w:r>
      <w:r w:rsidR="00BD5E0E" w:rsidRPr="00BD5E0E">
        <w:fldChar w:fldCharType="end"/>
      </w:r>
      <w:r w:rsidR="00BD5E0E">
        <w:t xml:space="preserve"> (dispersion/dilution only)</w:t>
      </w:r>
      <w:r w:rsidR="007872D5">
        <w:t xml:space="preserve"> and PNEC values from </w:t>
      </w:r>
      <w:r w:rsidR="007872D5">
        <w:fldChar w:fldCharType="begin" w:fldLock="1"/>
      </w:r>
      <w:r w:rsidR="007872D5">
        <w:instrText xml:space="preserve"> REF _Ref467853174 \h  \* MERGEFORMAT </w:instrText>
      </w:r>
      <w:r w:rsidR="007872D5">
        <w:fldChar w:fldCharType="separate"/>
      </w:r>
      <w:r w:rsidR="00335E79" w:rsidRPr="00D976C8">
        <w:t xml:space="preserve">Table </w:t>
      </w:r>
      <w:r w:rsidR="00335E79">
        <w:t>5</w:t>
      </w:r>
      <w:r w:rsidR="00335E79">
        <w:noBreakHyphen/>
        <w:t>24</w:t>
      </w:r>
      <w:r w:rsidR="007872D5">
        <w:fldChar w:fldCharType="end"/>
      </w:r>
      <w:r w:rsidR="007872D5">
        <w:t xml:space="preserve"> </w:t>
      </w:r>
      <w:r w:rsidR="00BD5E0E">
        <w:t>.</w:t>
      </w:r>
      <w:r w:rsidR="007872D5">
        <w:t xml:space="preserve"> Higher permissible concentrations may be obtained if degradation can be demonstrated.</w:t>
      </w:r>
      <w:bookmarkEnd w:id="756"/>
    </w:p>
    <w:p w14:paraId="52A41449" w14:textId="77777777" w:rsidR="009C2299" w:rsidRDefault="009C2299" w:rsidP="00712F52">
      <w:pPr>
        <w:pStyle w:val="Body"/>
      </w:pPr>
    </w:p>
    <w:p w14:paraId="5C88FE0F" w14:textId="2E8E83F0" w:rsidR="00712F52" w:rsidRDefault="00254026" w:rsidP="00254026">
      <w:pPr>
        <w:pStyle w:val="Body"/>
        <w:jc w:val="center"/>
      </w:pPr>
      <w:r w:rsidRPr="00254026">
        <w:rPr>
          <w:noProof/>
          <w:lang w:val="en-AU" w:eastAsia="en-AU"/>
        </w:rPr>
        <w:drawing>
          <wp:inline distT="0" distB="0" distL="0" distR="0" wp14:anchorId="66B0BAC2" wp14:editId="466243A8">
            <wp:extent cx="3517265" cy="3218815"/>
            <wp:effectExtent l="0" t="0" r="6985" b="635"/>
            <wp:docPr id="31" name="Picture 31" descr="Chart of Dilution Attenuation Factor versus half-life." title="Fig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3517265" cy="3218815"/>
                    </a:xfrm>
                    <a:prstGeom prst="rect">
                      <a:avLst/>
                    </a:prstGeom>
                    <a:noFill/>
                    <a:ln>
                      <a:noFill/>
                    </a:ln>
                  </pic:spPr>
                </pic:pic>
              </a:graphicData>
            </a:graphic>
          </wp:inline>
        </w:drawing>
      </w:r>
    </w:p>
    <w:p w14:paraId="0F795A6F" w14:textId="7D34EC9A" w:rsidR="00254026" w:rsidRDefault="00254026" w:rsidP="00254026">
      <w:pPr>
        <w:pStyle w:val="Imagecaption"/>
      </w:pPr>
      <w:bookmarkStart w:id="757" w:name="_Ref471055593"/>
      <w:bookmarkStart w:id="758" w:name="_Toc477347673"/>
      <w:r>
        <w:t xml:space="preserve">Figure </w:t>
      </w:r>
      <w:r>
        <w:fldChar w:fldCharType="begin" w:fldLock="1"/>
      </w:r>
      <w:r>
        <w:instrText xml:space="preserve"> STYLEREF 1 \s </w:instrText>
      </w:r>
      <w:r>
        <w:fldChar w:fldCharType="separate"/>
      </w:r>
      <w:r w:rsidR="00335E79">
        <w:rPr>
          <w:noProof/>
        </w:rPr>
        <w:t>5</w:t>
      </w:r>
      <w:r>
        <w:fldChar w:fldCharType="end"/>
      </w:r>
      <w:r>
        <w:noBreakHyphen/>
      </w:r>
      <w:r>
        <w:fldChar w:fldCharType="begin"/>
      </w:r>
      <w:r>
        <w:instrText xml:space="preserve"> SEQ Figure \* ARABIC \s 1 </w:instrText>
      </w:r>
      <w:r>
        <w:fldChar w:fldCharType="separate"/>
      </w:r>
      <w:r w:rsidR="00951AFC">
        <w:rPr>
          <w:noProof/>
        </w:rPr>
        <w:t>31</w:t>
      </w:r>
      <w:r>
        <w:fldChar w:fldCharType="end"/>
      </w:r>
      <w:bookmarkEnd w:id="757"/>
      <w:r>
        <w:t xml:space="preserve"> Estimated m</w:t>
      </w:r>
      <w:r w:rsidR="008A6377">
        <w:t>aximum</w:t>
      </w:r>
      <w:r>
        <w:t xml:space="preserve"> half-life T</w:t>
      </w:r>
      <w:r w:rsidRPr="00254026">
        <w:rPr>
          <w:vertAlign w:val="subscript"/>
        </w:rPr>
        <w:t>1/2</w:t>
      </w:r>
      <w:r>
        <w:t xml:space="preserve"> (days) to achieve a given DAF for three travel distances to the nearest receptor (0.5, 1, and 2 km) (based on dilution/dispersion model C-2, without sorption).</w:t>
      </w:r>
      <w:bookmarkEnd w:id="758"/>
    </w:p>
    <w:p w14:paraId="39419650" w14:textId="77777777" w:rsidR="0039268A" w:rsidRPr="0066243F" w:rsidRDefault="0039268A" w:rsidP="0039268A">
      <w:pPr>
        <w:pStyle w:val="Heading3"/>
      </w:pPr>
      <w:bookmarkStart w:id="759" w:name="_Ref477011490"/>
      <w:bookmarkStart w:id="760" w:name="_Toc494444683"/>
      <w:r w:rsidRPr="0066243F">
        <w:t xml:space="preserve">Usage of </w:t>
      </w:r>
      <w:r>
        <w:t xml:space="preserve">methodology and </w:t>
      </w:r>
      <w:r w:rsidRPr="0066243F">
        <w:t>DAF values outside study areas</w:t>
      </w:r>
      <w:bookmarkEnd w:id="759"/>
      <w:bookmarkEnd w:id="760"/>
    </w:p>
    <w:p w14:paraId="24304E9C" w14:textId="77777777" w:rsidR="0039268A" w:rsidRDefault="0039268A" w:rsidP="0039268A">
      <w:pPr>
        <w:pStyle w:val="Body"/>
      </w:pPr>
      <w:r w:rsidRPr="000D086F">
        <w:t xml:space="preserve">The </w:t>
      </w:r>
      <w:r>
        <w:t xml:space="preserve">methodology, including the use of the </w:t>
      </w:r>
      <w:r w:rsidRPr="000D086F">
        <w:t>DAF tool</w:t>
      </w:r>
      <w:r>
        <w:t>,</w:t>
      </w:r>
      <w:r w:rsidRPr="000D086F">
        <w:t xml:space="preserve"> can be used in any other region if pathways are characterised </w:t>
      </w:r>
      <w:r>
        <w:t xml:space="preserve">in terms of i) </w:t>
      </w:r>
      <w:r w:rsidRPr="000D086F">
        <w:t>travel time</w:t>
      </w:r>
      <w:r>
        <w:t xml:space="preserve"> and travel time classes</w:t>
      </w:r>
      <w:r w:rsidRPr="000D086F">
        <w:t xml:space="preserve"> and </w:t>
      </w:r>
      <w:r>
        <w:t xml:space="preserve">ii) </w:t>
      </w:r>
      <w:r w:rsidRPr="000D086F">
        <w:t xml:space="preserve">attenuation </w:t>
      </w:r>
      <w:r>
        <w:t>potential that can be expected along the particle pathways</w:t>
      </w:r>
      <w:r w:rsidRPr="000D086F">
        <w:t xml:space="preserve">. This requires that </w:t>
      </w:r>
      <w:r>
        <w:t xml:space="preserve">i) </w:t>
      </w:r>
      <w:r w:rsidRPr="000D086F">
        <w:t xml:space="preserve">particle tracking analysis is undertaken to characterise travel time distributions, </w:t>
      </w:r>
      <w:r>
        <w:t xml:space="preserve">and </w:t>
      </w:r>
      <w:r w:rsidRPr="000D086F">
        <w:t xml:space="preserve">ii) </w:t>
      </w:r>
      <w:r>
        <w:t xml:space="preserve">the </w:t>
      </w:r>
      <w:r w:rsidRPr="000D086F">
        <w:t xml:space="preserve">hydrogeology is </w:t>
      </w:r>
      <w:r>
        <w:t xml:space="preserve">sufficiently characterised (broad mineralogy and hydrochemistry) to derive geological and chemical (for organics and radionuclides) </w:t>
      </w:r>
      <w:r w:rsidRPr="000D086F">
        <w:t>attenuation factors.</w:t>
      </w:r>
      <w:r>
        <w:t xml:space="preserve"> In other words, the hazard screening methodology has a broad applicability; however, applicability of the specific DAF values derived in this study to other regions requires careful consideration of pathways, travel times and attenuation potential.  </w:t>
      </w:r>
    </w:p>
    <w:p w14:paraId="6C447E73" w14:textId="2F254DCE" w:rsidR="0039268A" w:rsidRDefault="0039268A" w:rsidP="0039268A">
      <w:pPr>
        <w:pStyle w:val="Body"/>
      </w:pPr>
      <w:r>
        <w:t>The applicability of current DAF values els</w:t>
      </w:r>
      <w:r w:rsidR="00553F1B">
        <w:t>e</w:t>
      </w:r>
      <w:r>
        <w:t>where can be addressed by considering the three broad groups of processes that contribute to attenuation:</w:t>
      </w:r>
    </w:p>
    <w:p w14:paraId="1AB4026F" w14:textId="2D2289AA" w:rsidR="0039268A" w:rsidRDefault="0039268A" w:rsidP="00217A03">
      <w:pPr>
        <w:pStyle w:val="Body"/>
        <w:numPr>
          <w:ilvl w:val="0"/>
          <w:numId w:val="75"/>
        </w:numPr>
      </w:pPr>
      <w:r>
        <w:t>Flow-related attenuation owing to dilution and dispersion</w:t>
      </w:r>
      <w:r w:rsidR="00B202BA">
        <w:t xml:space="preserve"> (high applicability)</w:t>
      </w:r>
      <w:r>
        <w:t xml:space="preserve">: </w:t>
      </w:r>
      <w:r w:rsidR="008A0EB0">
        <w:t xml:space="preserve">DAF values derived for </w:t>
      </w:r>
      <w:r w:rsidR="00896A4B">
        <w:t xml:space="preserve">this </w:t>
      </w:r>
      <w:r w:rsidR="00B202BA">
        <w:t xml:space="preserve">type of </w:t>
      </w:r>
      <w:r w:rsidR="00896A4B">
        <w:t>attenuation</w:t>
      </w:r>
      <w:r w:rsidR="00B202BA">
        <w:t xml:space="preserve"> </w:t>
      </w:r>
      <w:r w:rsidR="008A0EB0">
        <w:t xml:space="preserve">are valid for both organic and inorganic chemicals. </w:t>
      </w:r>
      <w:r w:rsidR="00655205">
        <w:t xml:space="preserve">DAF values based on the relatively short travel distances and injected volumes discussed in Section </w:t>
      </w:r>
      <w:r w:rsidR="00655205">
        <w:fldChar w:fldCharType="begin" w:fldLock="1"/>
      </w:r>
      <w:r w:rsidR="00655205">
        <w:instrText xml:space="preserve"> REF _Ref467871983 \r \h </w:instrText>
      </w:r>
      <w:r w:rsidR="00655205">
        <w:fldChar w:fldCharType="separate"/>
      </w:r>
      <w:r w:rsidR="00335E79">
        <w:t>5.6.1</w:t>
      </w:r>
      <w:r w:rsidR="00655205">
        <w:fldChar w:fldCharType="end"/>
      </w:r>
      <w:r w:rsidR="00655205">
        <w:t xml:space="preserve"> and related uses of DAF values (Sections </w:t>
      </w:r>
      <w:r w:rsidR="00655205">
        <w:fldChar w:fldCharType="begin" w:fldLock="1"/>
      </w:r>
      <w:r w:rsidR="00655205">
        <w:instrText xml:space="preserve"> REF _Ref477011488 \r \h </w:instrText>
      </w:r>
      <w:r w:rsidR="00655205">
        <w:fldChar w:fldCharType="separate"/>
      </w:r>
      <w:r w:rsidR="00335E79">
        <w:t>5.6.2</w:t>
      </w:r>
      <w:r w:rsidR="00655205">
        <w:fldChar w:fldCharType="end"/>
      </w:r>
      <w:r w:rsidR="00655205">
        <w:t xml:space="preserve"> and </w:t>
      </w:r>
      <w:r w:rsidR="00655205">
        <w:fldChar w:fldCharType="begin" w:fldLock="1"/>
      </w:r>
      <w:r w:rsidR="00655205">
        <w:instrText xml:space="preserve"> REF _Ref477011490 \r \h </w:instrText>
      </w:r>
      <w:r w:rsidR="00655205">
        <w:fldChar w:fldCharType="separate"/>
      </w:r>
      <w:r w:rsidR="00335E79">
        <w:t>5.6.3</w:t>
      </w:r>
      <w:r w:rsidR="00655205">
        <w:fldChar w:fldCharType="end"/>
      </w:r>
      <w:r w:rsidR="00655205">
        <w:t>) have a high applicabili</w:t>
      </w:r>
      <w:r w:rsidR="00920E22">
        <w:t>ty elsewhere. The main reason being</w:t>
      </w:r>
      <w:r w:rsidR="00655205">
        <w:t xml:space="preserve"> that</w:t>
      </w:r>
      <w:r w:rsidR="00920E22">
        <w:t xml:space="preserve"> dilution and dispersion within coal target formations within relatively short distances </w:t>
      </w:r>
      <w:r w:rsidR="007D42FE">
        <w:t xml:space="preserve">from the chemical source </w:t>
      </w:r>
      <w:r w:rsidR="00920E22">
        <w:t>(up to 2-3 km) are likely similar to very similar across most sedimentary coal basins.</w:t>
      </w:r>
      <w:r w:rsidR="00655205">
        <w:t xml:space="preserve"> </w:t>
      </w:r>
      <w:r w:rsidR="007D42FE">
        <w:t xml:space="preserve">In some cases applying dilution factors based on dilution and dispersion </w:t>
      </w:r>
      <w:r w:rsidR="00A9191A">
        <w:t xml:space="preserve">only </w:t>
      </w:r>
      <w:r w:rsidR="007D42FE">
        <w:t>might be enough to reduce concentrations to a low risk level and further analysis involving dilution attenuation factors due to sorption and/or degradation might not be required.</w:t>
      </w:r>
      <w:r w:rsidR="008A0EB0">
        <w:t xml:space="preserve"> </w:t>
      </w:r>
      <w:r w:rsidR="00553F1B">
        <w:t xml:space="preserve">Practically, </w:t>
      </w:r>
      <w:r w:rsidR="006304E1">
        <w:t xml:space="preserve">the recommended use of current DAF values (owing to dilution and dispersion) is </w:t>
      </w:r>
      <w:r w:rsidR="00553F1B">
        <w:t xml:space="preserve">as </w:t>
      </w:r>
      <w:r w:rsidR="006304E1">
        <w:t xml:space="preserve">part of </w:t>
      </w:r>
      <w:r w:rsidR="00553F1B">
        <w:t xml:space="preserve">a screening </w:t>
      </w:r>
      <w:r w:rsidR="006304E1">
        <w:t>step</w:t>
      </w:r>
      <w:r w:rsidR="00553F1B">
        <w:t xml:space="preserve"> in chemical risk and/or environmental impact assesments</w:t>
      </w:r>
      <w:r w:rsidR="006304E1">
        <w:t>.</w:t>
      </w:r>
      <w:r w:rsidR="00896A4B">
        <w:t xml:space="preserve"> </w:t>
      </w:r>
    </w:p>
    <w:p w14:paraId="06CE0B29" w14:textId="5329F473" w:rsidR="0039268A" w:rsidRDefault="0039268A" w:rsidP="00217A03">
      <w:pPr>
        <w:pStyle w:val="Body"/>
        <w:numPr>
          <w:ilvl w:val="0"/>
          <w:numId w:val="75"/>
        </w:numPr>
      </w:pPr>
      <w:r>
        <w:t>Geological attenuation due to sorption onto organic carbon and minerals</w:t>
      </w:r>
      <w:r w:rsidR="00B202BA">
        <w:t xml:space="preserve"> (medium </w:t>
      </w:r>
      <w:r w:rsidR="00AF2D3B">
        <w:t xml:space="preserve">to low </w:t>
      </w:r>
      <w:r w:rsidR="00B202BA">
        <w:t>applicability)</w:t>
      </w:r>
      <w:r>
        <w:t>:</w:t>
      </w:r>
      <w:r w:rsidR="002478A6">
        <w:t xml:space="preserve"> DAF values based on geological attenuation (</w:t>
      </w:r>
      <w:r w:rsidR="00C53B28">
        <w:t xml:space="preserve">sorption of </w:t>
      </w:r>
      <w:r w:rsidR="002478A6">
        <w:t>organics and inorganic</w:t>
      </w:r>
      <w:r w:rsidR="00C53B28">
        <w:t>s</w:t>
      </w:r>
      <w:r w:rsidR="002478A6">
        <w:t>) make use of site-specific information on sorption characteristics of geological media (including organic carbon, mainly in the coal seams).</w:t>
      </w:r>
      <w:r w:rsidR="00B033D4">
        <w:t xml:space="preserve"> Other information such as formation water hydrochemistry (pH, dissolved compounds such as carbonates) may be equally important </w:t>
      </w:r>
      <w:r w:rsidR="00C53B28">
        <w:t xml:space="preserve">in determining sorption behaviour. </w:t>
      </w:r>
      <w:r w:rsidR="00FB4AC7">
        <w:t xml:space="preserve">In basins where geological media and formation hydrochemistry are similar to the conditions of this study, applicability </w:t>
      </w:r>
      <w:r w:rsidR="00AF2D3B">
        <w:t xml:space="preserve">of </w:t>
      </w:r>
      <w:r w:rsidR="00E07160">
        <w:t xml:space="preserve">current </w:t>
      </w:r>
      <w:r w:rsidR="00AF2D3B">
        <w:t xml:space="preserve">DAF values </w:t>
      </w:r>
      <w:r w:rsidR="00FB4AC7">
        <w:t xml:space="preserve">would be medium. </w:t>
      </w:r>
      <w:r w:rsidR="007B48E5">
        <w:t xml:space="preserve">In this case, its recommended use is restricted to being part of a screening step in chemical risk and/or environmental impact assesments. </w:t>
      </w:r>
      <w:r w:rsidR="00FB4AC7">
        <w:t>Where such conditions are markedly different, applicability would be low and requires reassessing DAF values based on the current methodology</w:t>
      </w:r>
      <w:r w:rsidR="007B48E5">
        <w:t>, also for screening purposes</w:t>
      </w:r>
      <w:r w:rsidR="00FB4AC7">
        <w:t>.</w:t>
      </w:r>
    </w:p>
    <w:p w14:paraId="3401F95D" w14:textId="28BB35DF" w:rsidR="00CB7683" w:rsidRDefault="0039268A" w:rsidP="00217A03">
      <w:pPr>
        <w:pStyle w:val="Body"/>
        <w:numPr>
          <w:ilvl w:val="0"/>
          <w:numId w:val="75"/>
        </w:numPr>
      </w:pPr>
      <w:r>
        <w:t>Chemical or biological attenuation as a result of degradation (organics) or decay (radionuclides)</w:t>
      </w:r>
      <w:r w:rsidR="00B202BA">
        <w:t xml:space="preserve"> (medium applicability)</w:t>
      </w:r>
      <w:r>
        <w:t>:</w:t>
      </w:r>
      <w:r w:rsidR="00400A2D">
        <w:t xml:space="preserve"> In addition to dilution due to dilution/dispersion and sorption, organic compounds (and radionuclides) will be subject to further dilution owing to chemical or biological degradation. </w:t>
      </w:r>
      <w:r w:rsidR="00A328E2">
        <w:t xml:space="preserve">Formation hydrochemistry, including redox potential (aerobic or anaerobic), and presence of microbial communities that facilitate biological degradation are key conditions that determine potential for this type of attenuation. </w:t>
      </w:r>
      <w:r w:rsidR="00CB7683">
        <w:t>For b</w:t>
      </w:r>
      <w:r w:rsidR="00A328E2">
        <w:t>asins with similar conditions as those considered in this study</w:t>
      </w:r>
      <w:r w:rsidR="00CB7683">
        <w:t>,</w:t>
      </w:r>
      <w:r w:rsidR="00A328E2">
        <w:t xml:space="preserve"> </w:t>
      </w:r>
      <w:r w:rsidR="00CB7683">
        <w:t xml:space="preserve">applicability of current DAF values would be medium. </w:t>
      </w:r>
      <w:r w:rsidR="00AB5ED8">
        <w:t xml:space="preserve">In this case, its recommended use is restricted to being part of a screening step in chemical risk and/or environmental impact assesments. </w:t>
      </w:r>
      <w:r w:rsidR="00CB7683">
        <w:t>If such conditions are considerably different, applicability would be low and requires reassessing DAF values based on the current methodology</w:t>
      </w:r>
      <w:r w:rsidR="00CC161C">
        <w:t>, also for screening purposes</w:t>
      </w:r>
      <w:r w:rsidR="00CB7683">
        <w:t>.</w:t>
      </w:r>
    </w:p>
    <w:p w14:paraId="4A074608" w14:textId="08A8BDFB" w:rsidR="0039268A" w:rsidRDefault="0039268A" w:rsidP="0039268A">
      <w:pPr>
        <w:pStyle w:val="Body"/>
      </w:pPr>
      <w:r>
        <w:t xml:space="preserve">Particle tracking analyses require a calibrated groundwater flow model with sufficient spatial discretisation to represent the CSG well fields and have a reasonable spatial granularity in representing the potentially impacted receptors. The software requirements for undertaking particle tracking analysis are straightforward, with tested simulators such as </w:t>
      </w:r>
      <w:r w:rsidRPr="00E6110F">
        <w:t>MODPATH</w:t>
      </w:r>
      <w:r>
        <w:t>, which</w:t>
      </w:r>
      <w:r w:rsidRPr="00E6110F">
        <w:t xml:space="preserve"> is a </w:t>
      </w:r>
      <w:r>
        <w:t xml:space="preserve">free-domain </w:t>
      </w:r>
      <w:r w:rsidRPr="00E6110F">
        <w:t xml:space="preserve">particle-tracking post-processing model that computes three-dimensional flow paths using output from groundwater flow </w:t>
      </w:r>
      <w:r>
        <w:t>simulations based on MODFLOW (Harbaugh 2005</w:t>
      </w:r>
      <w:r w:rsidRPr="00E6110F">
        <w:t>). The program uses a semi-analytical particle-tracking scheme that allows an analytical expression of a particle’s flow path to be obtained within each finite-difference grid cell.</w:t>
      </w:r>
      <w:r>
        <w:t xml:space="preserve"> These are very CPU efficient calculations that require only a fraction of the time needed to run the groundwater flow model.</w:t>
      </w:r>
      <w:r w:rsidR="006739A0">
        <w:t xml:space="preserve"> </w:t>
      </w:r>
      <w:r>
        <w:t xml:space="preserve">Particle tracking calculations do not require additional data, except for the locations (X, Y, </w:t>
      </w:r>
      <w:proofErr w:type="gramStart"/>
      <w:r>
        <w:t>Z</w:t>
      </w:r>
      <w:proofErr w:type="gramEnd"/>
      <w:r>
        <w:t xml:space="preserve">) of the receptor and contaminant source. </w:t>
      </w:r>
    </w:p>
    <w:p w14:paraId="1B1D1C97" w14:textId="6CC75559" w:rsidR="00B113E2" w:rsidRDefault="00242776" w:rsidP="00242776">
      <w:pPr>
        <w:pStyle w:val="Body"/>
      </w:pPr>
      <w:r>
        <w:t xml:space="preserve">Specifically, the applicability of the DAF values for the Bandanna Formation (Bowen Basin, QLD) is discussed next. </w:t>
      </w:r>
      <w:r w:rsidRPr="00F9565D">
        <w:t>The Surat Basin is underlain by the Bowen Basin, with the Clematis/Showground Sandstones as major aquifers and the Banda</w:t>
      </w:r>
      <w:r>
        <w:t>n</w:t>
      </w:r>
      <w:r w:rsidRPr="00F9565D">
        <w:t xml:space="preserve">na Formation as the main target formation (OGIA 2016). These aquifers are separated from the above Precipice Sandstone by the Moolayember Formation (aquitard) and from the </w:t>
      </w:r>
      <w:r>
        <w:t xml:space="preserve">underlying </w:t>
      </w:r>
      <w:r w:rsidRPr="00F9565D">
        <w:t>Banda</w:t>
      </w:r>
      <w:r>
        <w:t>n</w:t>
      </w:r>
      <w:r w:rsidRPr="00F9565D">
        <w:t>na Formation by the Rewan Group (aquitard)</w:t>
      </w:r>
      <w:r>
        <w:t xml:space="preserve"> (</w:t>
      </w:r>
      <w:r>
        <w:fldChar w:fldCharType="begin" w:fldLock="1"/>
      </w:r>
      <w:r>
        <w:instrText xml:space="preserve"> REF _Ref476586454 \h  \* MERGEFORMAT </w:instrText>
      </w:r>
      <w:r>
        <w:fldChar w:fldCharType="end"/>
      </w:r>
      <w:r w:rsidRPr="00F34532">
        <w:t>Table 2</w:t>
      </w:r>
      <w:r w:rsidRPr="00F34532">
        <w:noBreakHyphen/>
        <w:t>25</w:t>
      </w:r>
      <w:r>
        <w:t xml:space="preserve">). </w:t>
      </w:r>
      <w:r w:rsidR="00B113E2" w:rsidRPr="00B113E2">
        <w:t>The Bandana Formation is mainly composed of sandstone, siltstone, mudstone, carbonaceous mudstone, coal and oil shale</w:t>
      </w:r>
      <w:r w:rsidR="00B113E2">
        <w:t>.</w:t>
      </w:r>
      <w:r w:rsidR="00B113E2" w:rsidRPr="00B113E2">
        <w:t xml:space="preserve"> </w:t>
      </w:r>
      <w:r w:rsidR="00B113E2">
        <w:t xml:space="preserve">This is similar to the Walloon Coal Measures, which is mainly composes of </w:t>
      </w:r>
      <w:r w:rsidR="00B113E2" w:rsidRPr="00B113E2">
        <w:t>fine to medium-grained lithic sandstone, siltstone, mudstone, and coal (</w:t>
      </w:r>
      <w:r w:rsidR="00B113E2">
        <w:t>OGIA 2016</w:t>
      </w:r>
      <w:r w:rsidR="00B113E2" w:rsidRPr="00B113E2">
        <w:t>).</w:t>
      </w:r>
    </w:p>
    <w:p w14:paraId="42D7C94A" w14:textId="651CC0CB" w:rsidR="00242776" w:rsidRDefault="008B27C1" w:rsidP="00242776">
      <w:pPr>
        <w:pStyle w:val="Body"/>
      </w:pPr>
      <w:r>
        <w:t xml:space="preserve">Consistent with the general discussion on applicability of DAF values (see above), the applicability of current DAF values will be discussed on the basis of the three broad groups of processes that contribute to attenuation: </w:t>
      </w:r>
    </w:p>
    <w:p w14:paraId="3B45F239" w14:textId="50941F69" w:rsidR="00242776" w:rsidRPr="00F9565D" w:rsidRDefault="00242776" w:rsidP="00217A03">
      <w:pPr>
        <w:pStyle w:val="Body"/>
        <w:numPr>
          <w:ilvl w:val="0"/>
          <w:numId w:val="75"/>
        </w:numPr>
      </w:pPr>
      <w:r>
        <w:t xml:space="preserve">Flow-related attenuation owing to dilution and dispersion: </w:t>
      </w:r>
      <w:r w:rsidRPr="005A72FA">
        <w:t xml:space="preserve">Median permeability in the Bandanna Formation is 0.17 – 22 mD; by comparison, median permeability for the Walloon Coal Measures (Surat Basin) is from 0.12 mD to 35 mD (OGIA 2016). </w:t>
      </w:r>
      <w:r w:rsidR="005A72FA">
        <w:t>Coal porosity of Walloon Coal Measures is 1% (</w:t>
      </w:r>
      <w:r w:rsidR="003412E3">
        <w:t>OGIA 2016</w:t>
      </w:r>
      <w:r w:rsidR="005A72FA">
        <w:t xml:space="preserve">); although no reliable porosity data are available for the Bandanna Formation, it is not expected to be significantly larger owing to its greater burial depth. </w:t>
      </w:r>
      <w:r w:rsidRPr="005A72FA">
        <w:t>Given the similarity in permeability</w:t>
      </w:r>
      <w:r w:rsidR="005A72FA">
        <w:t xml:space="preserve"> and inferred similarity in porosity</w:t>
      </w:r>
      <w:r w:rsidRPr="005A72FA">
        <w:t xml:space="preserve">, it is expected that when the same volume of hydraulic fracturing fluid is injected, similar chemical plumes will develop in the coal seams and interburden. Therefore, hydraulic fracturing into the Bandanna coal formations is not expected to yield significantly less dilution and dispersion than in the Walloon Coal Measures. </w:t>
      </w:r>
      <w:r w:rsidR="006128E2">
        <w:t>DAF values based on dilution and dispersion are therefore applicable to the Bandanna Formation.</w:t>
      </w:r>
    </w:p>
    <w:p w14:paraId="1F36DA72" w14:textId="77777777" w:rsidR="00BF33CB" w:rsidRDefault="00B44904" w:rsidP="00217A03">
      <w:pPr>
        <w:pStyle w:val="Body"/>
        <w:numPr>
          <w:ilvl w:val="0"/>
          <w:numId w:val="75"/>
        </w:numPr>
      </w:pPr>
      <w:r>
        <w:t xml:space="preserve">Geological attenuation due to sorption onto organic carbon and minerals: </w:t>
      </w:r>
    </w:p>
    <w:p w14:paraId="69741820" w14:textId="5F31EDCF" w:rsidR="00E26DC2" w:rsidRDefault="00BF33CB" w:rsidP="00217A03">
      <w:pPr>
        <w:pStyle w:val="Body"/>
        <w:numPr>
          <w:ilvl w:val="1"/>
          <w:numId w:val="75"/>
        </w:numPr>
      </w:pPr>
      <w:r>
        <w:t xml:space="preserve">Sorption onto organic carbon: </w:t>
      </w:r>
      <w:r w:rsidR="00E26DC2" w:rsidRPr="005A72FA">
        <w:t>The thickness of the Bandan</w:t>
      </w:r>
      <w:r w:rsidR="002B6A2D" w:rsidRPr="005A72FA">
        <w:t>n</w:t>
      </w:r>
      <w:r w:rsidR="00E26DC2" w:rsidRPr="005A72FA">
        <w:t>a Formation can be more than 500 m but is generally between 150 and 200 m. Coal seam thickness within the Bandanna Formation is variable and can reach up to 10 m, but averages less than 2 m</w:t>
      </w:r>
      <w:r w:rsidR="003160D6" w:rsidRPr="005A72FA">
        <w:t xml:space="preserve"> (</w:t>
      </w:r>
      <w:r w:rsidR="002B6A2D" w:rsidRPr="005A72FA">
        <w:t xml:space="preserve">OGIA 2016). </w:t>
      </w:r>
      <w:r w:rsidR="009D7A17" w:rsidRPr="005A72FA">
        <w:t xml:space="preserve">Santos (2014) reported coal seam thicknesses between 8-9 m with 6 coal seams across a 60 – 100 m thick Bandanna Formation. Based on the latter data, the </w:t>
      </w:r>
      <w:r w:rsidR="003160D6" w:rsidRPr="005A72FA">
        <w:t xml:space="preserve">scaling factor </w:t>
      </w:r>
      <w:r w:rsidR="009D7A17" w:rsidRPr="005A72FA">
        <w:t xml:space="preserve">for organic carbon </w:t>
      </w:r>
      <w:r w:rsidR="003160D6" w:rsidRPr="005A72FA">
        <w:t xml:space="preserve">is </w:t>
      </w:r>
      <w:r w:rsidR="00872A24" w:rsidRPr="005A72FA">
        <w:t xml:space="preserve">therefore </w:t>
      </w:r>
      <w:r w:rsidR="009D7A17" w:rsidRPr="005A72FA">
        <w:t>between 0.48 (48</w:t>
      </w:r>
      <w:r w:rsidR="003160D6" w:rsidRPr="005A72FA">
        <w:t>/1</w:t>
      </w:r>
      <w:r w:rsidR="009D7A17" w:rsidRPr="005A72FA">
        <w:t>0</w:t>
      </w:r>
      <w:r w:rsidR="003160D6" w:rsidRPr="005A72FA">
        <w:t>0</w:t>
      </w:r>
      <w:r w:rsidR="009D7A17" w:rsidRPr="005A72FA">
        <w:t>) and 0.9 (54/60)</w:t>
      </w:r>
      <w:r w:rsidR="00E26DC2" w:rsidRPr="005A72FA">
        <w:t>.</w:t>
      </w:r>
      <w:r w:rsidR="006739A0" w:rsidRPr="005A72FA">
        <w:t xml:space="preserve"> This is </w:t>
      </w:r>
      <w:r w:rsidR="009D7A17" w:rsidRPr="005A72FA">
        <w:t>higher than for</w:t>
      </w:r>
      <w:r w:rsidR="006739A0" w:rsidRPr="005A72FA">
        <w:t xml:space="preserve"> the Walloon Coal Measures, where </w:t>
      </w:r>
      <w:r w:rsidR="003160D6" w:rsidRPr="005A72FA">
        <w:t xml:space="preserve">average </w:t>
      </w:r>
      <w:r w:rsidR="006739A0" w:rsidRPr="005A72FA">
        <w:t>total formation thickness was 375 m and coal seam thickness 15 m</w:t>
      </w:r>
      <w:r w:rsidR="003160D6" w:rsidRPr="005A72FA">
        <w:t>, yielding a scaling factor of 15/375 = 0.04</w:t>
      </w:r>
      <w:r w:rsidR="006739A0" w:rsidRPr="005A72FA">
        <w:t>.</w:t>
      </w:r>
      <w:r w:rsidR="00F43B6E" w:rsidRPr="005A72FA">
        <w:t xml:space="preserve"> </w:t>
      </w:r>
      <w:r w:rsidR="00142A33" w:rsidRPr="005A72FA">
        <w:t xml:space="preserve">As a result, the available carbon for sorption of organic chemicals introduced into the </w:t>
      </w:r>
      <w:r w:rsidR="00A969C6">
        <w:t xml:space="preserve">Bandanna Formation </w:t>
      </w:r>
      <w:r w:rsidR="00142A33" w:rsidRPr="005A72FA">
        <w:t xml:space="preserve">coal seams does not </w:t>
      </w:r>
      <w:r w:rsidR="00A11BF5">
        <w:t>appear to be</w:t>
      </w:r>
      <w:r w:rsidR="00142A33" w:rsidRPr="005A72FA">
        <w:t xml:space="preserve"> less than for the Walloon Coal Measures. Therefore, </w:t>
      </w:r>
      <w:r w:rsidR="00BE3839" w:rsidRPr="005A72FA">
        <w:t xml:space="preserve">the </w:t>
      </w:r>
      <w:r w:rsidR="00142A33" w:rsidRPr="005A72FA">
        <w:t>opportunity for sorption and thus geological attenuation is not expected to be less than for the Walloon Coal Measures</w:t>
      </w:r>
      <w:r w:rsidR="00D974E4" w:rsidRPr="005A72FA">
        <w:t xml:space="preserve"> (discussed in Section </w:t>
      </w:r>
      <w:r w:rsidR="00D974E4" w:rsidRPr="005A72FA">
        <w:fldChar w:fldCharType="begin" w:fldLock="1"/>
      </w:r>
      <w:r w:rsidR="00D974E4" w:rsidRPr="005A72FA">
        <w:instrText xml:space="preserve"> REF _Ref477092383 \r \h </w:instrText>
      </w:r>
      <w:r w:rsidR="005A72FA">
        <w:instrText xml:space="preserve"> \* MERGEFORMAT </w:instrText>
      </w:r>
      <w:r w:rsidR="00D974E4" w:rsidRPr="005A72FA">
        <w:fldChar w:fldCharType="separate"/>
      </w:r>
      <w:r w:rsidR="00D974E4" w:rsidRPr="005A72FA">
        <w:t>4.3.3.1.2</w:t>
      </w:r>
      <w:r w:rsidR="00D974E4" w:rsidRPr="005A72FA">
        <w:fldChar w:fldCharType="end"/>
      </w:r>
      <w:r w:rsidR="00D974E4" w:rsidRPr="005A72FA">
        <w:t>)</w:t>
      </w:r>
      <w:r w:rsidR="00142A33" w:rsidRPr="005A72FA">
        <w:t>.</w:t>
      </w:r>
      <w:r w:rsidR="00EE6E9B">
        <w:t xml:space="preserve"> DAF values for organic chemicals are thus considered applicable to the Bandanna Formation.</w:t>
      </w:r>
    </w:p>
    <w:p w14:paraId="3D21B3F5" w14:textId="1EFF7152" w:rsidR="00BF33CB" w:rsidRPr="005A72FA" w:rsidRDefault="00BF33CB" w:rsidP="00217A03">
      <w:pPr>
        <w:pStyle w:val="Body"/>
        <w:numPr>
          <w:ilvl w:val="1"/>
          <w:numId w:val="75"/>
        </w:numPr>
      </w:pPr>
      <w:r>
        <w:t xml:space="preserve">Sorption onto minerals: Based on the similarity in </w:t>
      </w:r>
      <w:r w:rsidR="002031D6">
        <w:t>lithology</w:t>
      </w:r>
      <w:r w:rsidR="00EE6E9B">
        <w:t xml:space="preserve"> (</w:t>
      </w:r>
      <w:r w:rsidR="0004792A">
        <w:t>sandstone/siltstone/mudstone/coal</w:t>
      </w:r>
      <w:r w:rsidR="00EE6E9B">
        <w:t>)</w:t>
      </w:r>
      <w:r>
        <w:t>, pH (7.8 for Bandanna compared to 8 for Walloon Coal Measures, TDS (2</w:t>
      </w:r>
      <w:r w:rsidR="004F3FE1">
        <w:t>,</w:t>
      </w:r>
      <w:r>
        <w:t>500 mg/L for Bandanna compared to 1</w:t>
      </w:r>
      <w:r w:rsidR="004F3FE1">
        <w:t>,</w:t>
      </w:r>
      <w:r>
        <w:t>700 – 3</w:t>
      </w:r>
      <w:r w:rsidR="004F3FE1">
        <w:t>,</w:t>
      </w:r>
      <w:r>
        <w:t xml:space="preserve">800 mg/L for Walloon Coal Measures), and redoxpotential (both assumed to be </w:t>
      </w:r>
      <w:r w:rsidR="00BE3786">
        <w:t>anaerobic</w:t>
      </w:r>
      <w:r>
        <w:t>)</w:t>
      </w:r>
      <w:r w:rsidR="00EE6E9B">
        <w:t>, the sorption potential for norganic chemicals is considered similar to that for the Walloon Coal Measures</w:t>
      </w:r>
      <w:r w:rsidR="004F3FE1">
        <w:t xml:space="preserve"> (</w:t>
      </w:r>
      <w:r w:rsidR="00A73E90">
        <w:t xml:space="preserve">for hydrochemistry data for Bandanna Formation, see </w:t>
      </w:r>
      <w:r w:rsidR="004F3FE1">
        <w:t>OGIA 2016)</w:t>
      </w:r>
      <w:r w:rsidR="00EE6E9B">
        <w:t>. DAF values for inorganic chemicals are considered applicable to the Bandanna Formation.</w:t>
      </w:r>
    </w:p>
    <w:p w14:paraId="424F95A4" w14:textId="337BC410" w:rsidR="00BE3786" w:rsidRPr="005A72FA" w:rsidRDefault="0004792A" w:rsidP="00217A03">
      <w:pPr>
        <w:pStyle w:val="Body"/>
        <w:numPr>
          <w:ilvl w:val="0"/>
          <w:numId w:val="75"/>
        </w:numPr>
      </w:pPr>
      <w:r>
        <w:t>Chemical or biological attenuation as a result of degradation (organics) or decay (radionuclides)</w:t>
      </w:r>
      <w:r w:rsidR="00BE3786">
        <w:t>: Based on similarities in hydrochemistry and redox potential (assumed anaerobic), the potential for chemical (hydrolysis) and/or anaerobic biological attenuation is assumed similar. DAF values for organic chemicals derived under conditions of anaerobic degradation or hydrolysis are considered applicable to the Bandanna Formation.</w:t>
      </w:r>
    </w:p>
    <w:p w14:paraId="79889AFD" w14:textId="07910DE5" w:rsidR="00525896" w:rsidRDefault="00525896" w:rsidP="00525896">
      <w:pPr>
        <w:pStyle w:val="Heading3"/>
      </w:pPr>
      <w:bookmarkStart w:id="761" w:name="_Toc494444684"/>
      <w:r>
        <w:t>Key assumptions that underpin analyses and results</w:t>
      </w:r>
      <w:bookmarkEnd w:id="761"/>
    </w:p>
    <w:p w14:paraId="57A8222B" w14:textId="0FE8810F" w:rsidR="00525896" w:rsidRDefault="00525896" w:rsidP="00525896">
      <w:pPr>
        <w:pStyle w:val="Body"/>
      </w:pPr>
      <w:r>
        <w:t>Key assumptions that underpin the current analyses and results are as follows:</w:t>
      </w:r>
    </w:p>
    <w:p w14:paraId="1273602A" w14:textId="26018FA2" w:rsidR="00525896" w:rsidRDefault="00525896" w:rsidP="00217A03">
      <w:pPr>
        <w:pStyle w:val="Body"/>
        <w:numPr>
          <w:ilvl w:val="0"/>
          <w:numId w:val="72"/>
        </w:numPr>
      </w:pPr>
      <w:r w:rsidRPr="00525896">
        <w:t>The results of the study are predicated on current scientific understands in several differen</w:t>
      </w:r>
      <w:r w:rsidR="00E03F62">
        <w:t>t</w:t>
      </w:r>
      <w:r w:rsidRPr="00525896">
        <w:t xml:space="preserve"> fields, including geology, hydrogeology, groundwater modelling, toxicology and ecotoxicology, and fracture modelling techniques. Similarly, the results are heavily informed by current or near-current groundwater models used in Queensland and New South Wales. Significant changes to the underlying scientific paradigms or groundwater models, as new information emerges, may warrant reconsideration of these results.</w:t>
      </w:r>
    </w:p>
    <w:p w14:paraId="56372A54" w14:textId="5C1B37BC" w:rsidR="00525896" w:rsidRDefault="00525896" w:rsidP="00217A03">
      <w:pPr>
        <w:pStyle w:val="Body"/>
        <w:numPr>
          <w:ilvl w:val="0"/>
          <w:numId w:val="72"/>
        </w:numPr>
      </w:pPr>
      <w:r w:rsidRPr="00525896">
        <w:t xml:space="preserve">The study </w:t>
      </w:r>
      <w:r w:rsidR="00E03F62">
        <w:t xml:space="preserve">further </w:t>
      </w:r>
      <w:r w:rsidRPr="00525896">
        <w:t>assumes</w:t>
      </w:r>
      <w:r w:rsidR="00E03F62">
        <w:t xml:space="preserve"> </w:t>
      </w:r>
      <w:r w:rsidRPr="00525896">
        <w:t xml:space="preserve">vertical CSG wells; </w:t>
      </w:r>
      <w:r w:rsidR="00E03F62">
        <w:t>a single</w:t>
      </w:r>
      <w:r w:rsidRPr="00525896">
        <w:t xml:space="preserve"> CSG well </w:t>
      </w:r>
      <w:r w:rsidR="00E03F62">
        <w:t>per</w:t>
      </w:r>
      <w:r w:rsidRPr="00525896">
        <w:t xml:space="preserve"> well pad; </w:t>
      </w:r>
      <w:r w:rsidR="00E03F62">
        <w:t>one</w:t>
      </w:r>
      <w:r w:rsidRPr="00525896">
        <w:t xml:space="preserve"> hydraulic fracture operation </w:t>
      </w:r>
      <w:r w:rsidR="00E03F62">
        <w:t>per</w:t>
      </w:r>
      <w:r w:rsidRPr="00525896">
        <w:t xml:space="preserve"> well over the life of the well; </w:t>
      </w:r>
      <w:r w:rsidR="00E03F62">
        <w:t xml:space="preserve">and </w:t>
      </w:r>
      <w:r w:rsidRPr="00525896">
        <w:t xml:space="preserve">every well </w:t>
      </w:r>
      <w:r w:rsidR="00E03F62">
        <w:t xml:space="preserve">in the case study area </w:t>
      </w:r>
      <w:r w:rsidRPr="00525896">
        <w:t>is hydraulically fractured</w:t>
      </w:r>
      <w:r>
        <w:t>.</w:t>
      </w:r>
    </w:p>
    <w:p w14:paraId="2EB89403" w14:textId="7238BD01" w:rsidR="00525896" w:rsidRDefault="00525896" w:rsidP="00217A03">
      <w:pPr>
        <w:pStyle w:val="Body"/>
        <w:numPr>
          <w:ilvl w:val="0"/>
          <w:numId w:val="72"/>
        </w:numPr>
      </w:pPr>
      <w:r w:rsidRPr="00525896">
        <w:t>The study also assume</w:t>
      </w:r>
      <w:r w:rsidR="00BD3654">
        <w:t xml:space="preserve">s a </w:t>
      </w:r>
      <w:r w:rsidR="00BD3654" w:rsidRPr="00525896">
        <w:t>relatively constant</w:t>
      </w:r>
      <w:r w:rsidRPr="00525896">
        <w:t xml:space="preserve"> </w:t>
      </w:r>
      <w:r w:rsidR="00BD3654">
        <w:t>w</w:t>
      </w:r>
      <w:r w:rsidRPr="00525896">
        <w:t>ell spacing (</w:t>
      </w:r>
      <w:r w:rsidR="00BD3654">
        <w:t>approximately</w:t>
      </w:r>
      <w:r w:rsidRPr="00525896">
        <w:t xml:space="preserve"> 1 well/ km</w:t>
      </w:r>
      <w:r w:rsidRPr="00BD3654">
        <w:rPr>
          <w:vertAlign w:val="superscript"/>
        </w:rPr>
        <w:t>2</w:t>
      </w:r>
      <w:r w:rsidRPr="00525896">
        <w:t>)</w:t>
      </w:r>
      <w:r w:rsidR="00BD3654">
        <w:t>, especially in undertaking the solute particle tracking simulations.</w:t>
      </w:r>
    </w:p>
    <w:p w14:paraId="4A5A857B" w14:textId="3F544549" w:rsidR="00525896" w:rsidRDefault="00525896" w:rsidP="00217A03">
      <w:pPr>
        <w:pStyle w:val="Body"/>
        <w:numPr>
          <w:ilvl w:val="0"/>
          <w:numId w:val="72"/>
        </w:numPr>
      </w:pPr>
      <w:r w:rsidRPr="00525896">
        <w:t xml:space="preserve">No faults or faulting </w:t>
      </w:r>
      <w:r w:rsidR="00BD3654">
        <w:t xml:space="preserve">was considered in the </w:t>
      </w:r>
      <w:r w:rsidR="00BD3654" w:rsidRPr="00525896">
        <w:t xml:space="preserve">groundwater </w:t>
      </w:r>
      <w:r w:rsidR="00BD3654">
        <w:t xml:space="preserve">flow </w:t>
      </w:r>
      <w:r w:rsidR="00BD3654" w:rsidRPr="00525896">
        <w:t xml:space="preserve">models </w:t>
      </w:r>
      <w:r w:rsidR="00BD3654">
        <w:t>that were the basis for the solute particle tracking; while this assumption is valid for the considered case study areas, a different approach may need to be invoked when flow paths are modified by the presence of fault zones, whether they act as conduits or barriers to flow (McCallum et al. 2016)</w:t>
      </w:r>
      <w:r>
        <w:t>.</w:t>
      </w:r>
    </w:p>
    <w:p w14:paraId="2632DBD4" w14:textId="17D97549" w:rsidR="00525896" w:rsidRDefault="00525896" w:rsidP="00217A03">
      <w:pPr>
        <w:pStyle w:val="Body"/>
        <w:numPr>
          <w:ilvl w:val="0"/>
          <w:numId w:val="72"/>
        </w:numPr>
      </w:pPr>
      <w:r w:rsidRPr="00525896">
        <w:t xml:space="preserve">Chemical half-lives for CSG chemicals </w:t>
      </w:r>
      <w:r w:rsidR="00A930D0">
        <w:t xml:space="preserve">considered here will be </w:t>
      </w:r>
      <w:r w:rsidRPr="00525896">
        <w:t>similar to those reported in this study</w:t>
      </w:r>
      <w:r>
        <w:t>.</w:t>
      </w:r>
    </w:p>
    <w:p w14:paraId="1FC01318" w14:textId="3EB55762" w:rsidR="00525896" w:rsidRDefault="00525896" w:rsidP="00217A03">
      <w:pPr>
        <w:pStyle w:val="Body"/>
        <w:numPr>
          <w:ilvl w:val="0"/>
          <w:numId w:val="72"/>
        </w:numPr>
      </w:pPr>
      <w:r w:rsidRPr="00525896">
        <w:t>Most / all receptors are connected to relatively small recharge areas, and that at most a couple of CSG wells per receptor could contribute to accumulation effects</w:t>
      </w:r>
      <w:r>
        <w:t>.</w:t>
      </w:r>
    </w:p>
    <w:p w14:paraId="0F25F85A" w14:textId="48861625" w:rsidR="00525896" w:rsidRPr="00525896" w:rsidRDefault="00525896" w:rsidP="00217A03">
      <w:pPr>
        <w:pStyle w:val="Body"/>
        <w:numPr>
          <w:ilvl w:val="0"/>
          <w:numId w:val="72"/>
        </w:numPr>
      </w:pPr>
      <w:r w:rsidRPr="00525896">
        <w:t>Chemical hazards can effectively be assessed individually</w:t>
      </w:r>
      <w:r w:rsidR="00290850">
        <w:t>,</w:t>
      </w:r>
      <w:r w:rsidRPr="00525896">
        <w:t xml:space="preserve"> i</w:t>
      </w:r>
      <w:r w:rsidR="00290850">
        <w:t>.</w:t>
      </w:r>
      <w:r w:rsidRPr="00525896">
        <w:t>e</w:t>
      </w:r>
      <w:r w:rsidR="00290850">
        <w:t>.</w:t>
      </w:r>
      <w:r w:rsidRPr="00525896">
        <w:t xml:space="preserve"> there are no significant additive or synergistic mixture toxicity effects</w:t>
      </w:r>
      <w:r>
        <w:t>.</w:t>
      </w:r>
    </w:p>
    <w:p w14:paraId="77EB5348" w14:textId="44F73C7F" w:rsidR="00E713C3" w:rsidRDefault="00E8296A" w:rsidP="00254026">
      <w:pPr>
        <w:pStyle w:val="Caption"/>
      </w:pPr>
      <w:r w:rsidRPr="00E6110F">
        <w:br w:type="page"/>
      </w:r>
    </w:p>
    <w:p w14:paraId="779C8B85" w14:textId="77777777" w:rsidR="007E43AF" w:rsidRPr="00E6110F" w:rsidRDefault="007E43AF" w:rsidP="007E43AF">
      <w:pPr>
        <w:pStyle w:val="Heading1"/>
      </w:pPr>
      <w:bookmarkStart w:id="762" w:name="_Toc494444685"/>
      <w:r w:rsidRPr="00E6110F">
        <w:t>Research outcomes and outputs</w:t>
      </w:r>
      <w:bookmarkEnd w:id="762"/>
    </w:p>
    <w:p w14:paraId="4BA17204" w14:textId="709620E6" w:rsidR="007E43AF" w:rsidRPr="00E6110F" w:rsidRDefault="00232C8C" w:rsidP="007E43AF">
      <w:pPr>
        <w:pStyle w:val="Heading2"/>
      </w:pPr>
      <w:bookmarkStart w:id="763" w:name="_Toc494444686"/>
      <w:r w:rsidRPr="00E6110F">
        <w:t>R</w:t>
      </w:r>
      <w:r w:rsidR="007E43AF" w:rsidRPr="00E6110F">
        <w:t>esearch outcomes</w:t>
      </w:r>
      <w:bookmarkEnd w:id="763"/>
    </w:p>
    <w:p w14:paraId="0B9FD14F" w14:textId="627D17C7" w:rsidR="007E43AF" w:rsidRPr="00B11A4A" w:rsidRDefault="00B07C55" w:rsidP="007E43AF">
      <w:pPr>
        <w:pStyle w:val="Body"/>
      </w:pPr>
      <w:r>
        <w:t>Specific o</w:t>
      </w:r>
      <w:r w:rsidR="007E43AF" w:rsidRPr="00B11A4A">
        <w:t xml:space="preserve">utcomes from </w:t>
      </w:r>
      <w:r w:rsidR="00232C8C" w:rsidRPr="00B11A4A">
        <w:t>this</w:t>
      </w:r>
      <w:r w:rsidR="007E43AF" w:rsidRPr="00B11A4A">
        <w:t xml:space="preserve"> assessment include:</w:t>
      </w:r>
    </w:p>
    <w:p w14:paraId="4AE0C055" w14:textId="69BFD10A" w:rsidR="009D0043" w:rsidRPr="00A63DFB" w:rsidRDefault="007E43AF" w:rsidP="00C117A3">
      <w:pPr>
        <w:pStyle w:val="Body"/>
        <w:numPr>
          <w:ilvl w:val="0"/>
          <w:numId w:val="12"/>
        </w:numPr>
      </w:pPr>
      <w:r w:rsidRPr="00A63DFB">
        <w:t xml:space="preserve">rigorous, independent, and transparent science </w:t>
      </w:r>
      <w:r w:rsidR="009D0043" w:rsidRPr="00A63DFB">
        <w:t>that significantly strengthens the level of knowledge about potential groundwater contamination from CSG chemicals in Australia, and what risks they may pose to the public and the environment,</w:t>
      </w:r>
    </w:p>
    <w:p w14:paraId="6E61C8A0" w14:textId="1B3A3DA2" w:rsidR="0036654D" w:rsidRPr="00A63DFB" w:rsidRDefault="009D0043" w:rsidP="00C117A3">
      <w:pPr>
        <w:pStyle w:val="Body"/>
        <w:numPr>
          <w:ilvl w:val="0"/>
          <w:numId w:val="12"/>
        </w:numPr>
      </w:pPr>
      <w:r w:rsidRPr="00A63DFB">
        <w:t>t</w:t>
      </w:r>
      <w:r w:rsidR="0036654D" w:rsidRPr="00A63DFB">
        <w:t xml:space="preserve">his </w:t>
      </w:r>
      <w:r w:rsidRPr="00A63DFB">
        <w:t xml:space="preserve">knowledge base </w:t>
      </w:r>
      <w:r w:rsidR="0036654D" w:rsidRPr="00A63DFB">
        <w:t>directly informs our understanding of which chemicals can continue to be used safely, and which chemicals are likely to require extra monitoring, industry management and regulatory consideration</w:t>
      </w:r>
      <w:r w:rsidRPr="00A63DFB">
        <w:t>,</w:t>
      </w:r>
    </w:p>
    <w:p w14:paraId="22AC7D42" w14:textId="6341FC51" w:rsidR="007E43AF" w:rsidRPr="00A63DFB" w:rsidRDefault="007E43AF" w:rsidP="00C117A3">
      <w:pPr>
        <w:pStyle w:val="Body"/>
        <w:numPr>
          <w:ilvl w:val="0"/>
          <w:numId w:val="12"/>
        </w:numPr>
      </w:pPr>
      <w:r w:rsidRPr="00A63DFB">
        <w:t>improved evidentiary base to inform regulatory and CSG industry decision making</w:t>
      </w:r>
      <w:r w:rsidR="0036654D" w:rsidRPr="00A63DFB">
        <w:t xml:space="preserve"> regarding the planning, operation and monitoring of CSG well fields,</w:t>
      </w:r>
    </w:p>
    <w:p w14:paraId="4E4E059F" w14:textId="7579995F" w:rsidR="007E43AF" w:rsidRPr="00A63DFB" w:rsidRDefault="007E43AF" w:rsidP="00C117A3">
      <w:pPr>
        <w:pStyle w:val="Body"/>
        <w:numPr>
          <w:ilvl w:val="0"/>
          <w:numId w:val="12"/>
        </w:numPr>
      </w:pPr>
      <w:r w:rsidRPr="00A63DFB">
        <w:t>research addressing a major IESC research priority and known knowledge gap, resulting in new scientific information being available to the IESC and others when developing advice for regulatory decision makers</w:t>
      </w:r>
      <w:r w:rsidR="0036654D" w:rsidRPr="00A63DFB">
        <w:t>,</w:t>
      </w:r>
    </w:p>
    <w:p w14:paraId="223A8AE4" w14:textId="41147A0C" w:rsidR="007E43AF" w:rsidRPr="00A63DFB" w:rsidRDefault="007E43AF" w:rsidP="00C117A3">
      <w:pPr>
        <w:pStyle w:val="Body"/>
        <w:numPr>
          <w:ilvl w:val="0"/>
          <w:numId w:val="12"/>
        </w:numPr>
        <w:rPr>
          <w:sz w:val="22"/>
          <w:szCs w:val="22"/>
        </w:rPr>
      </w:pPr>
      <w:r w:rsidRPr="00A63DFB">
        <w:t xml:space="preserve">improved community confidence in </w:t>
      </w:r>
      <w:r w:rsidR="0036654D" w:rsidRPr="00A63DFB">
        <w:t xml:space="preserve">i) safety of hydraulic fracturing operations in regards to potential risks to deeper groundwater, ii) </w:t>
      </w:r>
      <w:r w:rsidRPr="00A63DFB">
        <w:t>regulatory decision making regarding the risks from hydraulic fracturing chemicals used in CSG extraction in Australia.</w:t>
      </w:r>
    </w:p>
    <w:p w14:paraId="3AEF1669" w14:textId="77777777" w:rsidR="007E43AF" w:rsidRPr="00E6110F" w:rsidRDefault="007E43AF" w:rsidP="007E43AF">
      <w:pPr>
        <w:pStyle w:val="Body"/>
      </w:pPr>
    </w:p>
    <w:p w14:paraId="013B7BDC" w14:textId="7B0B5153" w:rsidR="007E43AF" w:rsidRPr="00E6110F" w:rsidRDefault="00232C8C" w:rsidP="00D10D81">
      <w:pPr>
        <w:pStyle w:val="Heading2"/>
      </w:pPr>
      <w:bookmarkStart w:id="764" w:name="_Toc494444687"/>
      <w:r w:rsidRPr="00E6110F">
        <w:t>R</w:t>
      </w:r>
      <w:r w:rsidR="007E43AF" w:rsidRPr="00E6110F">
        <w:t>esearch outputs</w:t>
      </w:r>
      <w:bookmarkEnd w:id="764"/>
    </w:p>
    <w:p w14:paraId="620B65DC" w14:textId="22766016" w:rsidR="007E43AF" w:rsidRPr="00B11A4A" w:rsidRDefault="007E43AF" w:rsidP="007E43AF">
      <w:pPr>
        <w:pStyle w:val="Body"/>
      </w:pPr>
      <w:r w:rsidRPr="00B11A4A">
        <w:t>Regarding potential sources of organic and inorganic contaminants</w:t>
      </w:r>
      <w:r w:rsidR="00C956E6" w:rsidRPr="00A63DFB">
        <w:t>, the outputs of this research include</w:t>
      </w:r>
      <w:r w:rsidRPr="00B11A4A">
        <w:t>:</w:t>
      </w:r>
    </w:p>
    <w:p w14:paraId="6A4F98F0" w14:textId="54D5B2FB" w:rsidR="007E43AF" w:rsidRPr="00A63DFB" w:rsidRDefault="007E43AF" w:rsidP="00C117A3">
      <w:pPr>
        <w:pStyle w:val="Body"/>
        <w:numPr>
          <w:ilvl w:val="0"/>
          <w:numId w:val="12"/>
        </w:numPr>
      </w:pPr>
      <w:r w:rsidRPr="00A63DFB">
        <w:t>published information on the suite of chemicals used in hydraulic fracturing fluids</w:t>
      </w:r>
      <w:r w:rsidR="009D0043" w:rsidRPr="00A63DFB">
        <w:t>,</w:t>
      </w:r>
      <w:r w:rsidRPr="00A63DFB">
        <w:t xml:space="preserve"> </w:t>
      </w:r>
    </w:p>
    <w:p w14:paraId="636B6AD4" w14:textId="7B4980AA" w:rsidR="007E43AF" w:rsidRPr="00A63DFB" w:rsidRDefault="007E43AF" w:rsidP="00C117A3">
      <w:pPr>
        <w:pStyle w:val="Body"/>
        <w:numPr>
          <w:ilvl w:val="0"/>
          <w:numId w:val="12"/>
        </w:numPr>
      </w:pPr>
      <w:r w:rsidRPr="00A63DFB">
        <w:t xml:space="preserve">data on </w:t>
      </w:r>
      <w:r w:rsidR="00B07C55">
        <w:t xml:space="preserve">organic and inorganic </w:t>
      </w:r>
      <w:r w:rsidRPr="00A63DFB">
        <w:t xml:space="preserve">geogenic contaminants (identity, </w:t>
      </w:r>
      <w:r w:rsidR="00B07C55">
        <w:t xml:space="preserve">toxicity, </w:t>
      </w:r>
      <w:r w:rsidRPr="00A63DFB">
        <w:t xml:space="preserve">concentrations, and time dependency of concentrations) in </w:t>
      </w:r>
      <w:r w:rsidR="009D0043" w:rsidRPr="00A63DFB">
        <w:t>coal seam</w:t>
      </w:r>
      <w:r w:rsidRPr="00A63DFB">
        <w:t xml:space="preserve"> water</w:t>
      </w:r>
      <w:r w:rsidR="009D0043" w:rsidRPr="00A63DFB">
        <w:t>s,</w:t>
      </w:r>
    </w:p>
    <w:p w14:paraId="0D0877FB" w14:textId="3839D65D" w:rsidR="00054EA6" w:rsidRPr="00A63DFB" w:rsidRDefault="007E43AF" w:rsidP="00C117A3">
      <w:pPr>
        <w:pStyle w:val="Body"/>
        <w:numPr>
          <w:ilvl w:val="0"/>
          <w:numId w:val="12"/>
        </w:numPr>
      </w:pPr>
      <w:r w:rsidRPr="00A63DFB">
        <w:t xml:space="preserve">better understanding of the </w:t>
      </w:r>
      <w:r w:rsidR="00054EA6" w:rsidRPr="00A63DFB">
        <w:t>risk for large-scale migration of geogenic organic and inorganic contaminants that may have been mobilised through interactions between coal and</w:t>
      </w:r>
      <w:r w:rsidRPr="00A63DFB">
        <w:t xml:space="preserve"> hydraulic fracturing fluids; </w:t>
      </w:r>
    </w:p>
    <w:p w14:paraId="3CE74B4C" w14:textId="66F640C8" w:rsidR="007E43AF" w:rsidRPr="00A63DFB" w:rsidRDefault="007E43AF" w:rsidP="00B07C55">
      <w:pPr>
        <w:pStyle w:val="Body"/>
        <w:numPr>
          <w:ilvl w:val="0"/>
          <w:numId w:val="12"/>
        </w:numPr>
        <w:ind w:left="357" w:hanging="357"/>
      </w:pPr>
      <w:proofErr w:type="gramStart"/>
      <w:r w:rsidRPr="00A63DFB">
        <w:t>determination</w:t>
      </w:r>
      <w:proofErr w:type="gramEnd"/>
      <w:r w:rsidRPr="00A63DFB">
        <w:t xml:space="preserve"> of </w:t>
      </w:r>
      <w:r w:rsidR="00054EA6" w:rsidRPr="00A63DFB">
        <w:t>degradation/transpormation pathways and</w:t>
      </w:r>
      <w:r w:rsidRPr="00A63DFB">
        <w:t xml:space="preserve"> parameters quantifying the </w:t>
      </w:r>
      <w:r w:rsidR="00054EA6" w:rsidRPr="00A63DFB">
        <w:t xml:space="preserve">potential for organic </w:t>
      </w:r>
      <w:r w:rsidRPr="00A63DFB">
        <w:t>chemical</w:t>
      </w:r>
      <w:r w:rsidR="00054EA6" w:rsidRPr="00A63DFB">
        <w:t>s to break down</w:t>
      </w:r>
      <w:r w:rsidRPr="00A63DFB">
        <w:t xml:space="preserve"> in the water phase for use in </w:t>
      </w:r>
      <w:r w:rsidR="00054EA6" w:rsidRPr="00A63DFB">
        <w:t>solute transport</w:t>
      </w:r>
      <w:r w:rsidRPr="00A63DFB">
        <w:t xml:space="preserve"> models; sorption/desorption behaviour of hydraulic fracturing chemicals for use in </w:t>
      </w:r>
      <w:r w:rsidR="00054EA6" w:rsidRPr="00A63DFB">
        <w:t xml:space="preserve">solute transport </w:t>
      </w:r>
      <w:r w:rsidRPr="00A63DFB">
        <w:t>models</w:t>
      </w:r>
      <w:r w:rsidR="00B07C55">
        <w:t>.</w:t>
      </w:r>
    </w:p>
    <w:p w14:paraId="104067B2" w14:textId="77777777" w:rsidR="007E43AF" w:rsidRPr="00A63DFB" w:rsidRDefault="007E43AF" w:rsidP="007E43AF">
      <w:pPr>
        <w:pStyle w:val="Body"/>
      </w:pPr>
      <w:r w:rsidRPr="00A63DFB">
        <w:t>Regarding pathways for contaminant migration:</w:t>
      </w:r>
    </w:p>
    <w:p w14:paraId="6850A3EB" w14:textId="77777777" w:rsidR="00B07C55" w:rsidRDefault="007E43AF" w:rsidP="00B07C55">
      <w:pPr>
        <w:pStyle w:val="Body"/>
        <w:numPr>
          <w:ilvl w:val="0"/>
          <w:numId w:val="12"/>
        </w:numPr>
      </w:pPr>
      <w:r w:rsidRPr="00A63DFB">
        <w:t>better understanding of the risks posed by leaky wells</w:t>
      </w:r>
      <w:r w:rsidR="00054EA6" w:rsidRPr="00A63DFB">
        <w:t xml:space="preserve"> (</w:t>
      </w:r>
      <w:r w:rsidR="00B07C55">
        <w:t xml:space="preserve">due to </w:t>
      </w:r>
      <w:r w:rsidR="00054EA6" w:rsidRPr="00A63DFB">
        <w:t xml:space="preserve">well rupture during injection), </w:t>
      </w:r>
    </w:p>
    <w:p w14:paraId="7AF39673" w14:textId="78AD5266" w:rsidR="007E43AF" w:rsidRPr="00B07C55" w:rsidRDefault="00054EA6" w:rsidP="00B07C55">
      <w:pPr>
        <w:pStyle w:val="Body"/>
        <w:numPr>
          <w:ilvl w:val="0"/>
          <w:numId w:val="12"/>
        </w:numPr>
      </w:pPr>
      <w:r w:rsidRPr="00A63DFB">
        <w:t>assessment of likelihood and characteristics of fracture growth into a well through pre-fracturing permeability and new fractures,</w:t>
      </w:r>
    </w:p>
    <w:p w14:paraId="6DDFB9AD" w14:textId="6181773C" w:rsidR="007E43AF" w:rsidRPr="00B11A4A" w:rsidRDefault="007E43AF" w:rsidP="00C117A3">
      <w:pPr>
        <w:pStyle w:val="Body"/>
        <w:numPr>
          <w:ilvl w:val="0"/>
          <w:numId w:val="12"/>
        </w:numPr>
      </w:pPr>
      <w:r w:rsidRPr="00B11A4A">
        <w:t xml:space="preserve">assessment of likelihood and characteristics of </w:t>
      </w:r>
      <w:r w:rsidR="00054EA6" w:rsidRPr="00B11A4A">
        <w:t xml:space="preserve">fracture growth </w:t>
      </w:r>
      <w:r w:rsidRPr="00B11A4A">
        <w:t>into aquifers</w:t>
      </w:r>
      <w:r w:rsidR="00054EA6" w:rsidRPr="00B11A4A">
        <w:t>, and fracture growth into a fault,</w:t>
      </w:r>
    </w:p>
    <w:p w14:paraId="3AE32473" w14:textId="3EC81CFA" w:rsidR="007E43AF" w:rsidRPr="00A63DFB" w:rsidRDefault="007E43AF" w:rsidP="00C117A3">
      <w:pPr>
        <w:pStyle w:val="Body"/>
        <w:numPr>
          <w:ilvl w:val="0"/>
          <w:numId w:val="12"/>
        </w:numPr>
      </w:pPr>
      <w:proofErr w:type="gramStart"/>
      <w:r w:rsidRPr="00A63DFB">
        <w:t>set</w:t>
      </w:r>
      <w:proofErr w:type="gramEnd"/>
      <w:r w:rsidRPr="00A63DFB">
        <w:t xml:space="preserve"> of conceptual models (pictorials) to help communicate the issues and provide a common basis for informed discussions</w:t>
      </w:r>
      <w:r w:rsidR="00054EA6" w:rsidRPr="00A63DFB">
        <w:t>.</w:t>
      </w:r>
    </w:p>
    <w:p w14:paraId="36FA1A55" w14:textId="07E45E8E" w:rsidR="007E43AF" w:rsidRPr="00A63DFB" w:rsidRDefault="00B07C55" w:rsidP="007E43AF">
      <w:pPr>
        <w:pStyle w:val="Body"/>
      </w:pPr>
      <w:r>
        <w:t>Regarding r</w:t>
      </w:r>
      <w:r w:rsidR="007E43AF" w:rsidRPr="00A63DFB">
        <w:t>eceptor-pathway analysis:</w:t>
      </w:r>
    </w:p>
    <w:p w14:paraId="33D0FE74" w14:textId="1E6FA2AE" w:rsidR="007E43AF" w:rsidRPr="00A63DFB" w:rsidRDefault="007E43AF" w:rsidP="00C117A3">
      <w:pPr>
        <w:pStyle w:val="Body"/>
        <w:numPr>
          <w:ilvl w:val="0"/>
          <w:numId w:val="12"/>
        </w:numPr>
      </w:pPr>
      <w:r w:rsidRPr="00A63DFB">
        <w:t xml:space="preserve">potential </w:t>
      </w:r>
      <w:r w:rsidR="00054EA6" w:rsidRPr="00A63DFB">
        <w:t xml:space="preserve">economic, ecological, and </w:t>
      </w:r>
      <w:r w:rsidR="008035AA" w:rsidRPr="00A63DFB">
        <w:t>socio</w:t>
      </w:r>
      <w:r w:rsidR="00054EA6" w:rsidRPr="00A63DFB">
        <w:t xml:space="preserve">cultural </w:t>
      </w:r>
      <w:r w:rsidRPr="00A63DFB">
        <w:t xml:space="preserve">receptors identified, including </w:t>
      </w:r>
      <w:r w:rsidR="008035AA" w:rsidRPr="00A63DFB">
        <w:t>a spatial analysis of their proximity to CSG wells, resulting in proximity-</w:t>
      </w:r>
      <w:r w:rsidRPr="00A63DFB">
        <w:t xml:space="preserve">likelihood </w:t>
      </w:r>
      <w:r w:rsidR="008035AA" w:rsidRPr="00A63DFB">
        <w:t xml:space="preserve">functions </w:t>
      </w:r>
      <w:r w:rsidRPr="00A63DFB">
        <w:t xml:space="preserve">for </w:t>
      </w:r>
      <w:r w:rsidR="008035AA" w:rsidRPr="00A63DFB">
        <w:t xml:space="preserve">two test case areas (Gunnedah </w:t>
      </w:r>
      <w:r w:rsidR="00B07C55">
        <w:t xml:space="preserve">Basin </w:t>
      </w:r>
      <w:r w:rsidR="008035AA" w:rsidRPr="00A63DFB">
        <w:t>and Surat</w:t>
      </w:r>
      <w:r w:rsidR="00B07C55">
        <w:t xml:space="preserve"> Basin</w:t>
      </w:r>
      <w:r w:rsidR="008035AA" w:rsidRPr="00A63DFB">
        <w:t>),</w:t>
      </w:r>
    </w:p>
    <w:p w14:paraId="73BE7E3B" w14:textId="42DAE6A6" w:rsidR="007E43AF" w:rsidRPr="00A63DFB" w:rsidRDefault="008035AA" w:rsidP="00C117A3">
      <w:pPr>
        <w:pStyle w:val="Body"/>
        <w:numPr>
          <w:ilvl w:val="0"/>
          <w:numId w:val="12"/>
        </w:numPr>
      </w:pPr>
      <w:r w:rsidRPr="00A63DFB">
        <w:t>for a limited number of p</w:t>
      </w:r>
      <w:r w:rsidR="00B07C55">
        <w:t>lausible</w:t>
      </w:r>
      <w:r w:rsidRPr="00A63DFB">
        <w:t xml:space="preserve"> pathways</w:t>
      </w:r>
      <w:r w:rsidR="007E43AF" w:rsidRPr="00A63DFB">
        <w:t xml:space="preserve">, undertake </w:t>
      </w:r>
      <w:r w:rsidR="00B07C55">
        <w:t xml:space="preserve">solute </w:t>
      </w:r>
      <w:r w:rsidRPr="00A63DFB">
        <w:t xml:space="preserve">particle-tracking analysis to explore the degree of isolation of the target coal seam formations from other groundwater systems with previously identified receptors; established travel time and travel distance statistics for use in analysis of attenuation </w:t>
      </w:r>
      <w:r w:rsidR="007E43AF" w:rsidRPr="00A63DFB">
        <w:t xml:space="preserve">and overall risk </w:t>
      </w:r>
    </w:p>
    <w:p w14:paraId="5ADBC314" w14:textId="4465ECBE" w:rsidR="008035AA" w:rsidRPr="00A63DFB" w:rsidRDefault="00B07C55" w:rsidP="008035AA">
      <w:pPr>
        <w:pStyle w:val="Body"/>
      </w:pPr>
      <w:r>
        <w:t>Regarding a</w:t>
      </w:r>
      <w:r w:rsidR="008035AA" w:rsidRPr="00A63DFB">
        <w:t>ttenuation capacity of the deeper groundwater:</w:t>
      </w:r>
    </w:p>
    <w:p w14:paraId="6DFD9252" w14:textId="051141C3" w:rsidR="007E43AF" w:rsidRPr="00A63DFB" w:rsidRDefault="007E43AF" w:rsidP="00C117A3">
      <w:pPr>
        <w:pStyle w:val="Body"/>
        <w:numPr>
          <w:ilvl w:val="0"/>
          <w:numId w:val="12"/>
        </w:numPr>
      </w:pPr>
      <w:r w:rsidRPr="00A63DFB">
        <w:t>better understanding of the attenuation capacity of the subsurface (dilution</w:t>
      </w:r>
      <w:r w:rsidR="008035AA" w:rsidRPr="00A63DFB">
        <w:t>/dispersion</w:t>
      </w:r>
      <w:r w:rsidRPr="00A63DFB">
        <w:t xml:space="preserve">, </w:t>
      </w:r>
      <w:r w:rsidR="008035AA" w:rsidRPr="00A63DFB">
        <w:t>sor</w:t>
      </w:r>
      <w:r w:rsidR="00B07C55">
        <w:t>p</w:t>
      </w:r>
      <w:r w:rsidR="008035AA" w:rsidRPr="00A63DFB">
        <w:t>tion</w:t>
      </w:r>
      <w:r w:rsidRPr="00A63DFB">
        <w:t>, degradation</w:t>
      </w:r>
      <w:r w:rsidR="008035AA" w:rsidRPr="00A63DFB">
        <w:t>/transformation</w:t>
      </w:r>
      <w:r w:rsidRPr="00A63DFB">
        <w:t>)</w:t>
      </w:r>
      <w:r w:rsidR="009E4BD0" w:rsidRPr="00A63DFB">
        <w:t xml:space="preserve"> for </w:t>
      </w:r>
      <w:r w:rsidR="00B07C55">
        <w:t>coal seam gas</w:t>
      </w:r>
      <w:r w:rsidR="009E4BD0" w:rsidRPr="00A63DFB">
        <w:t xml:space="preserve"> chemicals,</w:t>
      </w:r>
    </w:p>
    <w:p w14:paraId="24AEFD32" w14:textId="064FC0B3" w:rsidR="009E4BD0" w:rsidRPr="00A63DFB" w:rsidRDefault="009E4BD0" w:rsidP="00C117A3">
      <w:pPr>
        <w:pStyle w:val="Body"/>
        <w:numPr>
          <w:ilvl w:val="0"/>
          <w:numId w:val="12"/>
        </w:numPr>
      </w:pPr>
      <w:r w:rsidRPr="00A63DFB">
        <w:t>derivation of dilution attenuation factors for key hydrostratigraphic units in the Gunnedah and Surat basin that integrate effects of all relevant attenuation processes,</w:t>
      </w:r>
    </w:p>
    <w:p w14:paraId="2F6B3371" w14:textId="7E753F68" w:rsidR="007E43AF" w:rsidRPr="00A63DFB" w:rsidRDefault="009E4BD0" w:rsidP="00B07C55">
      <w:pPr>
        <w:pStyle w:val="Body"/>
        <w:numPr>
          <w:ilvl w:val="0"/>
          <w:numId w:val="12"/>
        </w:numPr>
      </w:pPr>
      <w:proofErr w:type="gramStart"/>
      <w:r w:rsidRPr="00A63DFB">
        <w:t>derivation</w:t>
      </w:r>
      <w:proofErr w:type="gramEnd"/>
      <w:r w:rsidRPr="00A63DFB">
        <w:t xml:space="preserve"> of setback distances that ensure sufficient attenuation to reduce CSG chemical concentrations in the dee</w:t>
      </w:r>
      <w:r w:rsidR="00B07C55">
        <w:t>per groundwater to safe levels.</w:t>
      </w:r>
    </w:p>
    <w:p w14:paraId="3EA13909" w14:textId="77777777" w:rsidR="007E43AF" w:rsidRPr="00E6110F" w:rsidRDefault="007E43AF" w:rsidP="007E43AF">
      <w:pPr>
        <w:pStyle w:val="ListBullet"/>
        <w:tabs>
          <w:tab w:val="clear" w:pos="360"/>
        </w:tabs>
        <w:ind w:left="0" w:firstLine="0"/>
      </w:pPr>
    </w:p>
    <w:p w14:paraId="4A15F6F2" w14:textId="43699777" w:rsidR="007E43AF" w:rsidRPr="00E6110F" w:rsidRDefault="007E43AF" w:rsidP="00D10D81">
      <w:pPr>
        <w:pStyle w:val="Heading2"/>
      </w:pPr>
      <w:bookmarkStart w:id="765" w:name="_Toc494444688"/>
      <w:r w:rsidRPr="00E6110F">
        <w:t>H</w:t>
      </w:r>
      <w:r w:rsidR="00232C8C" w:rsidRPr="00E6110F">
        <w:t>as</w:t>
      </w:r>
      <w:r w:rsidRPr="00E6110F">
        <w:t xml:space="preserve"> this research improve</w:t>
      </w:r>
      <w:r w:rsidR="00232C8C" w:rsidRPr="00E6110F">
        <w:t>d</w:t>
      </w:r>
      <w:r w:rsidRPr="00E6110F">
        <w:t xml:space="preserve"> the existing evidence base?</w:t>
      </w:r>
      <w:bookmarkEnd w:id="765"/>
    </w:p>
    <w:p w14:paraId="47AF723D" w14:textId="7C8BF757" w:rsidR="007E43AF" w:rsidRPr="00B11A4A" w:rsidRDefault="007E43AF" w:rsidP="007E43AF">
      <w:pPr>
        <w:pStyle w:val="Body"/>
      </w:pPr>
      <w:r w:rsidRPr="00B11A4A">
        <w:t xml:space="preserve">By means of improved process understanding for all components of the source-pathway-receptor chain we </w:t>
      </w:r>
      <w:r w:rsidR="002774FA" w:rsidRPr="00B11A4A">
        <w:t xml:space="preserve">have significantly </w:t>
      </w:r>
      <w:r w:rsidRPr="00B11A4A">
        <w:t>improve</w:t>
      </w:r>
      <w:r w:rsidR="002774FA" w:rsidRPr="00B11A4A">
        <w:t>d</w:t>
      </w:r>
      <w:r w:rsidRPr="00B11A4A">
        <w:t xml:space="preserve"> the evidence base available to those assessing potential risks posed to deeper groundwater from chemicals used in drilling and hydraulic fracturing. Improvement of the evidence base for each component is as follows:</w:t>
      </w:r>
    </w:p>
    <w:p w14:paraId="30BE5D36" w14:textId="3510FC7E" w:rsidR="007E43AF" w:rsidRPr="00A63DFB" w:rsidRDefault="007E43AF" w:rsidP="00C117A3">
      <w:pPr>
        <w:pStyle w:val="Body"/>
        <w:numPr>
          <w:ilvl w:val="0"/>
          <w:numId w:val="12"/>
        </w:numPr>
      </w:pPr>
      <w:r w:rsidRPr="00A63DFB">
        <w:t>Does a contaminant source exist</w:t>
      </w:r>
      <w:r w:rsidR="00D5492C">
        <w:t xml:space="preserve"> in deeper groundwater</w:t>
      </w:r>
      <w:r w:rsidRPr="00A63DFB">
        <w:t xml:space="preserve">? </w:t>
      </w:r>
      <w:r w:rsidR="00D5492C">
        <w:t>By i</w:t>
      </w:r>
      <w:r w:rsidRPr="00A63DFB">
        <w:t>dentif</w:t>
      </w:r>
      <w:r w:rsidR="00D5492C">
        <w:t>ying</w:t>
      </w:r>
      <w:r w:rsidRPr="00A63DFB">
        <w:t xml:space="preserve"> </w:t>
      </w:r>
      <w:r w:rsidR="00D5492C">
        <w:t xml:space="preserve">chemicals that have previously been rigorously assessed and found to be </w:t>
      </w:r>
      <w:r w:rsidR="00D5492C" w:rsidRPr="004004AA">
        <w:t>of low concern to the environment</w:t>
      </w:r>
      <w:r w:rsidR="00D5492C">
        <w:t xml:space="preserve"> and/or</w:t>
      </w:r>
      <w:r w:rsidR="00D5492C" w:rsidRPr="004004AA">
        <w:t xml:space="preserve"> human health</w:t>
      </w:r>
      <w:r w:rsidR="00D5492C" w:rsidRPr="00A63DFB">
        <w:t xml:space="preserve"> </w:t>
      </w:r>
      <w:r w:rsidRPr="00A63DFB">
        <w:t xml:space="preserve">dentify, </w:t>
      </w:r>
      <w:r w:rsidR="00D5492C">
        <w:t xml:space="preserve">a high-throughput screening </w:t>
      </w:r>
      <w:r w:rsidR="00591CCB">
        <w:t xml:space="preserve">provides evidence to determine for which chemical a contaminant source exists in deeper groundwater. If a chemical is not ‘of low concern’, the evidence base for that chemical is expanded to include its attenuation behaviour </w:t>
      </w:r>
      <w:r w:rsidRPr="00A63DFB">
        <w:t xml:space="preserve">in the coal seam formations following hydraulic fracturing, </w:t>
      </w:r>
      <w:r w:rsidR="00591CCB">
        <w:t>its</w:t>
      </w:r>
      <w:r w:rsidRPr="00A63DFB">
        <w:t xml:space="preserve"> mobility, </w:t>
      </w:r>
      <w:r w:rsidR="00591CCB">
        <w:t>and spat</w:t>
      </w:r>
      <w:r w:rsidRPr="00A63DFB">
        <w:t xml:space="preserve">ial extent of contaminant plume. This will inform whether </w:t>
      </w:r>
      <w:r w:rsidR="006E64DA">
        <w:t xml:space="preserve">or not </w:t>
      </w:r>
      <w:r w:rsidRPr="00A63DFB">
        <w:t xml:space="preserve">there is a conceivable risk for contamination (e.g. if bounding estimates demonstrate that </w:t>
      </w:r>
      <w:r w:rsidR="00591CCB">
        <w:t>the potential for dilution and attenuation is very high</w:t>
      </w:r>
      <w:r w:rsidRPr="00A63DFB">
        <w:t xml:space="preserve">, no further </w:t>
      </w:r>
      <w:r w:rsidR="00591CCB">
        <w:t xml:space="preserve">more detailed </w:t>
      </w:r>
      <w:r w:rsidRPr="00A63DFB">
        <w:t xml:space="preserve">pathway analysis would be required).    </w:t>
      </w:r>
    </w:p>
    <w:p w14:paraId="120AAC4C" w14:textId="3C8C8D0B" w:rsidR="007E43AF" w:rsidRPr="00A63DFB" w:rsidRDefault="007E43AF" w:rsidP="00C117A3">
      <w:pPr>
        <w:pStyle w:val="Body"/>
        <w:numPr>
          <w:ilvl w:val="0"/>
          <w:numId w:val="12"/>
        </w:numPr>
      </w:pPr>
      <w:r w:rsidRPr="00A63DFB">
        <w:t xml:space="preserve">What happens along the identified pathways? For a number of </w:t>
      </w:r>
      <w:r w:rsidR="002774FA" w:rsidRPr="00A63DFB">
        <w:t xml:space="preserve">plausible fate and transport release </w:t>
      </w:r>
      <w:r w:rsidRPr="00A63DFB">
        <w:t xml:space="preserve">pathways, contaminant fate </w:t>
      </w:r>
      <w:r w:rsidR="002774FA" w:rsidRPr="00A63DFB">
        <w:t>has been</w:t>
      </w:r>
      <w:r w:rsidRPr="00A63DFB">
        <w:t xml:space="preserve"> </w:t>
      </w:r>
      <w:r w:rsidR="002774FA" w:rsidRPr="00A63DFB">
        <w:t>generically</w:t>
      </w:r>
      <w:r w:rsidRPr="00A63DFB">
        <w:t xml:space="preserve"> quantified including effects of attenuation as a natural means to decrease concentrations. This will provide insight into timescales of migration, residual concentrations at receptor endpoints, and potential cumulative effects along the pathway (e.g. mass accumulation by aggregation of pathways).</w:t>
      </w:r>
    </w:p>
    <w:p w14:paraId="3E80A49E" w14:textId="1CE08F7B" w:rsidR="007E43AF" w:rsidRPr="00A63DFB" w:rsidRDefault="007E43AF" w:rsidP="00C117A3">
      <w:pPr>
        <w:pStyle w:val="Body"/>
        <w:numPr>
          <w:ilvl w:val="0"/>
          <w:numId w:val="12"/>
        </w:numPr>
      </w:pPr>
      <w:r w:rsidRPr="00A63DFB">
        <w:t>What is the potential exposure for humans and the environment? By providing robust estimates of predicte</w:t>
      </w:r>
      <w:r w:rsidR="002774FA" w:rsidRPr="00A63DFB">
        <w:t>d concentrations in groundwater</w:t>
      </w:r>
      <w:r w:rsidRPr="00A63DFB">
        <w:t xml:space="preserve">, consequences for humans and the environment will be assessed more reliably. By linking the consequences (i.e. </w:t>
      </w:r>
      <w:r w:rsidR="002774FA" w:rsidRPr="00A63DFB">
        <w:t>degree of attenuation</w:t>
      </w:r>
      <w:r w:rsidRPr="00A63DFB">
        <w:t xml:space="preserve">) with likelihood for </w:t>
      </w:r>
      <w:r w:rsidR="006E3AEE" w:rsidRPr="00A63DFB">
        <w:t>such attenuation to occur</w:t>
      </w:r>
      <w:r w:rsidRPr="00A63DFB">
        <w:t xml:space="preserve">, </w:t>
      </w:r>
      <w:r w:rsidR="006E3AEE" w:rsidRPr="00A63DFB">
        <w:t xml:space="preserve">the </w:t>
      </w:r>
      <w:r w:rsidRPr="00A63DFB">
        <w:t xml:space="preserve">overall </w:t>
      </w:r>
      <w:r w:rsidR="006E3AEE" w:rsidRPr="00A63DFB">
        <w:t xml:space="preserve">likelihood for low or high exposure levels to chemicals </w:t>
      </w:r>
      <w:r w:rsidRPr="00A63DFB">
        <w:t>can be determined.</w:t>
      </w:r>
    </w:p>
    <w:p w14:paraId="68382666" w14:textId="15921490" w:rsidR="007E43AF" w:rsidRPr="00A63DFB" w:rsidRDefault="007E43AF" w:rsidP="007E43AF">
      <w:pPr>
        <w:pStyle w:val="Body"/>
      </w:pPr>
      <w:r w:rsidRPr="00A63DFB">
        <w:t>Who benefit</w:t>
      </w:r>
      <w:r w:rsidR="00232C8C" w:rsidRPr="00A63DFB">
        <w:t>s</w:t>
      </w:r>
      <w:r w:rsidRPr="00A63DFB">
        <w:t xml:space="preserve"> from the results?</w:t>
      </w:r>
    </w:p>
    <w:p w14:paraId="4D261190" w14:textId="396FA814" w:rsidR="007E43AF" w:rsidRPr="00A63DFB" w:rsidRDefault="007E43AF" w:rsidP="00C117A3">
      <w:pPr>
        <w:pStyle w:val="Body"/>
        <w:numPr>
          <w:ilvl w:val="0"/>
          <w:numId w:val="12"/>
        </w:numPr>
      </w:pPr>
      <w:r w:rsidRPr="00A63DFB">
        <w:t xml:space="preserve">Communities: improved understanding of CSG extraction processes and its risks, leading to a better acceptance of CSG industry, and </w:t>
      </w:r>
      <w:r w:rsidR="00B40059" w:rsidRPr="00A63DFB">
        <w:t>increased trust in CSG industry</w:t>
      </w:r>
      <w:r w:rsidRPr="00A63DFB">
        <w:t>; a better management of industry practices will result in reduced risk to human health; additional revenue stream for landholders and communities</w:t>
      </w:r>
      <w:r w:rsidR="00B40059" w:rsidRPr="00A63DFB">
        <w:t>,</w:t>
      </w:r>
    </w:p>
    <w:p w14:paraId="487C9A7A" w14:textId="28544AA6" w:rsidR="007E43AF" w:rsidRPr="00A63DFB" w:rsidRDefault="00B40059" w:rsidP="00C117A3">
      <w:pPr>
        <w:pStyle w:val="Body"/>
        <w:numPr>
          <w:ilvl w:val="0"/>
          <w:numId w:val="12"/>
        </w:numPr>
      </w:pPr>
      <w:r w:rsidRPr="00A63DFB">
        <w:t>Government and</w:t>
      </w:r>
      <w:r w:rsidR="007E43AF" w:rsidRPr="00A63DFB">
        <w:t xml:space="preserve"> regulators: strengthened (i.e. science-based) regulatory regime, reduced uncertainty about potential impacts and thus more confidence in approving or rejecting new projects, independent peer-reviewed reference material available for government and regulator</w:t>
      </w:r>
    </w:p>
    <w:p w14:paraId="6F3F1A00" w14:textId="3C4A83B2" w:rsidR="007E43AF" w:rsidRPr="00A63DFB" w:rsidRDefault="007E43AF" w:rsidP="00C117A3">
      <w:pPr>
        <w:pStyle w:val="Body"/>
        <w:numPr>
          <w:ilvl w:val="0"/>
          <w:numId w:val="12"/>
        </w:numPr>
        <w:rPr>
          <w:sz w:val="22"/>
          <w:szCs w:val="22"/>
        </w:rPr>
      </w:pPr>
      <w:r w:rsidRPr="00A63DFB">
        <w:t>Industry: better underpinning of social licence to operate, more effective fracturing operations with less risk for failure, better management of risks associated with CSG extraction, less uncertain regulatory regime, secure access to sufficient amounts of locally produced gas to meet demands</w:t>
      </w:r>
      <w:r w:rsidR="00B40059" w:rsidRPr="00A63DFB">
        <w:t>.</w:t>
      </w:r>
    </w:p>
    <w:p w14:paraId="7A144B60" w14:textId="6D106A1A" w:rsidR="00B40059" w:rsidRPr="00A63DFB" w:rsidRDefault="00B40059" w:rsidP="007E43AF">
      <w:pPr>
        <w:pStyle w:val="Heading1"/>
        <w:numPr>
          <w:ilvl w:val="0"/>
          <w:numId w:val="0"/>
        </w:numPr>
        <w:ind w:left="360"/>
        <w:rPr>
          <w:sz w:val="22"/>
          <w:szCs w:val="22"/>
        </w:rPr>
      </w:pPr>
      <w:r w:rsidRPr="00A63DFB">
        <w:rPr>
          <w:sz w:val="22"/>
          <w:szCs w:val="22"/>
        </w:rPr>
        <w:br w:type="page"/>
      </w:r>
    </w:p>
    <w:p w14:paraId="13555986" w14:textId="6E1DD9C6" w:rsidR="00A44A9A" w:rsidRPr="00E6110F" w:rsidRDefault="00A44A9A" w:rsidP="00563D0F">
      <w:pPr>
        <w:pStyle w:val="Heading1"/>
      </w:pPr>
      <w:bookmarkStart w:id="766" w:name="_Toc494444689"/>
      <w:r w:rsidRPr="00E6110F">
        <w:t>Summary</w:t>
      </w:r>
      <w:bookmarkEnd w:id="766"/>
    </w:p>
    <w:p w14:paraId="6EE8CEE2" w14:textId="2847E5CA" w:rsidR="00640F5F" w:rsidRPr="00A63DFB" w:rsidRDefault="00382D72" w:rsidP="00640F5F">
      <w:pPr>
        <w:pStyle w:val="Body"/>
      </w:pPr>
      <w:r w:rsidRPr="00B11A4A">
        <w:t>A</w:t>
      </w:r>
      <w:r w:rsidR="00640F5F" w:rsidRPr="00B11A4A">
        <w:t xml:space="preserve"> </w:t>
      </w:r>
      <w:r w:rsidRPr="00B11A4A">
        <w:t>two-level</w:t>
      </w:r>
      <w:r w:rsidR="00640F5F" w:rsidRPr="00A63DFB">
        <w:t xml:space="preserve"> hazard screening framework </w:t>
      </w:r>
      <w:r w:rsidRPr="00A63DFB">
        <w:t xml:space="preserve">was developed and tested which </w:t>
      </w:r>
      <w:r w:rsidR="00640F5F" w:rsidRPr="00A63DFB">
        <w:t>involve</w:t>
      </w:r>
      <w:r w:rsidRPr="00A63DFB">
        <w:t xml:space="preserve">d, at </w:t>
      </w:r>
      <w:r w:rsidR="00640F5F" w:rsidRPr="00A63DFB">
        <w:t>Level 1</w:t>
      </w:r>
      <w:r w:rsidRPr="00A63DFB">
        <w:t>,</w:t>
      </w:r>
      <w:r w:rsidR="00640F5F" w:rsidRPr="00A63DFB">
        <w:t xml:space="preserve"> a </w:t>
      </w:r>
      <w:r w:rsidR="00A7743E" w:rsidRPr="00A63DFB">
        <w:t xml:space="preserve">cost-effective </w:t>
      </w:r>
      <w:r w:rsidR="00640F5F" w:rsidRPr="00A63DFB">
        <w:t xml:space="preserve">high-throughput screening of </w:t>
      </w:r>
      <w:r w:rsidRPr="00A63DFB">
        <w:t xml:space="preserve">CSG </w:t>
      </w:r>
      <w:r w:rsidR="00640F5F" w:rsidRPr="00A63DFB">
        <w:t xml:space="preserve">chemicals </w:t>
      </w:r>
      <w:r w:rsidR="00EA1675">
        <w:t>that have previously been rigorously assessed and found to be of low concern</w:t>
      </w:r>
      <w:r w:rsidR="00640F5F" w:rsidRPr="00A63DFB">
        <w:t xml:space="preserve"> </w:t>
      </w:r>
      <w:r w:rsidR="00EA1675" w:rsidRPr="00A63DFB">
        <w:t xml:space="preserve">to the environment </w:t>
      </w:r>
      <w:r w:rsidR="00EA1675">
        <w:t>and/</w:t>
      </w:r>
      <w:r w:rsidR="00EA1675" w:rsidRPr="00A63DFB">
        <w:t xml:space="preserve">or human health </w:t>
      </w:r>
      <w:r w:rsidR="00EA1675">
        <w:t>(that is, “</w:t>
      </w:r>
      <w:r w:rsidR="00640F5F" w:rsidRPr="00A63DFB">
        <w:t xml:space="preserve">of </w:t>
      </w:r>
      <w:r w:rsidR="00E573FF" w:rsidRPr="00A63DFB">
        <w:t>low</w:t>
      </w:r>
      <w:r w:rsidR="00640F5F" w:rsidRPr="00A63DFB">
        <w:t xml:space="preserve"> concern</w:t>
      </w:r>
      <w:r w:rsidR="00EA1675">
        <w:t>”)</w:t>
      </w:r>
      <w:r w:rsidR="00640F5F" w:rsidRPr="00A63DFB">
        <w:t xml:space="preserve">, </w:t>
      </w:r>
      <w:r w:rsidRPr="00A63DFB">
        <w:t xml:space="preserve">and for chemicals not screened out at Level 1 a further analysis, </w:t>
      </w:r>
      <w:r w:rsidR="00640F5F" w:rsidRPr="00A63DFB">
        <w:t>Level 2</w:t>
      </w:r>
      <w:r w:rsidRPr="00A63DFB">
        <w:t>,</w:t>
      </w:r>
      <w:r w:rsidR="00640F5F" w:rsidRPr="00A63DFB">
        <w:t xml:space="preserve"> to allow ranking </w:t>
      </w:r>
      <w:r w:rsidRPr="00A63DFB">
        <w:t xml:space="preserve">and evaluation </w:t>
      </w:r>
      <w:r w:rsidR="00640F5F" w:rsidRPr="00A63DFB">
        <w:t>of the chemical hazard on the basis of a calculated dil</w:t>
      </w:r>
      <w:r w:rsidRPr="00A63DFB">
        <w:t>ution attenuation factor (DAF)</w:t>
      </w:r>
      <w:r w:rsidR="00640F5F" w:rsidRPr="00A63DFB">
        <w:t xml:space="preserve">. </w:t>
      </w:r>
    </w:p>
    <w:p w14:paraId="5EC8C366" w14:textId="31465FF2" w:rsidR="00A7743E" w:rsidRPr="00A63DFB" w:rsidRDefault="00382D72" w:rsidP="00A7743E">
      <w:pPr>
        <w:pStyle w:val="Body"/>
      </w:pPr>
      <w:r w:rsidRPr="00A63DFB">
        <w:t xml:space="preserve">The site-independent </w:t>
      </w:r>
      <w:r w:rsidR="00640F5F" w:rsidRPr="00A63DFB">
        <w:t>Level 1</w:t>
      </w:r>
      <w:r w:rsidRPr="00A63DFB">
        <w:t xml:space="preserve"> screening </w:t>
      </w:r>
      <w:r w:rsidR="00A7743E" w:rsidRPr="00A63DFB">
        <w:t>used existing lists and rules for screening chemicals and lists of chemicals</w:t>
      </w:r>
      <w:r w:rsidR="00EA1675">
        <w:t xml:space="preserve"> that have previously been rigorously assessed and found to be of low concern</w:t>
      </w:r>
      <w:r w:rsidR="00EA1675" w:rsidRPr="00A63DFB">
        <w:t xml:space="preserve"> to the environment </w:t>
      </w:r>
      <w:r w:rsidR="00EA1675">
        <w:t>and/</w:t>
      </w:r>
      <w:r w:rsidR="00EA1675" w:rsidRPr="00A63DFB">
        <w:t xml:space="preserve">or human health </w:t>
      </w:r>
      <w:r w:rsidR="00EA1675">
        <w:t>(“</w:t>
      </w:r>
      <w:r w:rsidR="00EA1675" w:rsidRPr="00A63DFB">
        <w:t>of low concern</w:t>
      </w:r>
      <w:r w:rsidR="00EA1675">
        <w:t>”)</w:t>
      </w:r>
      <w:r w:rsidR="00A7743E" w:rsidRPr="00A63DFB">
        <w:t xml:space="preserve">. </w:t>
      </w:r>
      <w:r w:rsidR="00F35663" w:rsidRPr="00A63DFB">
        <w:t xml:space="preserve">This </w:t>
      </w:r>
      <w:r w:rsidR="00A7743E" w:rsidRPr="00A63DFB">
        <w:t>involved consideration of data on health effects and ecotoxicity and the intrinsic physico-chemical properties of the chemical that will affect potential exposure.</w:t>
      </w:r>
    </w:p>
    <w:p w14:paraId="559FADFA" w14:textId="77777777" w:rsidR="009B2104" w:rsidRDefault="00640F5F" w:rsidP="00640F5F">
      <w:pPr>
        <w:pStyle w:val="Body"/>
      </w:pPr>
      <w:r w:rsidRPr="00A63DFB">
        <w:t>The Level-2 a</w:t>
      </w:r>
      <w:r w:rsidR="00382D72" w:rsidRPr="00A63DFB">
        <w:t xml:space="preserve">nalysis </w:t>
      </w:r>
      <w:r w:rsidRPr="00A63DFB">
        <w:t>combine</w:t>
      </w:r>
      <w:r w:rsidR="00382D72" w:rsidRPr="00A63DFB">
        <w:t>d</w:t>
      </w:r>
      <w:r w:rsidR="009B2104">
        <w:t>:</w:t>
      </w:r>
    </w:p>
    <w:p w14:paraId="1971E59B" w14:textId="72850196" w:rsidR="009B2104" w:rsidRDefault="00640F5F" w:rsidP="00217A03">
      <w:pPr>
        <w:pStyle w:val="Body"/>
        <w:numPr>
          <w:ilvl w:val="0"/>
          <w:numId w:val="86"/>
        </w:numPr>
      </w:pPr>
      <w:r w:rsidRPr="00A63DFB">
        <w:t xml:space="preserve">spatial analyses of contaminant source-receptor </w:t>
      </w:r>
      <w:r w:rsidR="000E15BD" w:rsidRPr="00A63DFB">
        <w:t xml:space="preserve">proximities </w:t>
      </w:r>
      <w:r w:rsidR="002D4C66">
        <w:t xml:space="preserve">(shortest distance between CSG wells and receptors identified within the </w:t>
      </w:r>
      <w:r w:rsidR="002D4C66" w:rsidRPr="00E6110F">
        <w:t>asset registers developed within the Bioregional Assessment Program</w:t>
      </w:r>
      <w:r w:rsidR="002D4C66">
        <w:t xml:space="preserve">) </w:t>
      </w:r>
      <w:r w:rsidR="000E15BD" w:rsidRPr="00A63DFB">
        <w:t>resulting in proximity</w:t>
      </w:r>
      <w:r w:rsidRPr="00A63DFB">
        <w:t>-frequency relationships</w:t>
      </w:r>
      <w:r w:rsidR="000E15BD" w:rsidRPr="00A63DFB">
        <w:t xml:space="preserve"> for different groups of receptors</w:t>
      </w:r>
      <w:r w:rsidRPr="00A63DFB">
        <w:t xml:space="preserve">, </w:t>
      </w:r>
    </w:p>
    <w:p w14:paraId="31DD712D" w14:textId="43E5999E" w:rsidR="009B2104" w:rsidRDefault="00640F5F" w:rsidP="00217A03">
      <w:pPr>
        <w:pStyle w:val="Body"/>
        <w:numPr>
          <w:ilvl w:val="0"/>
          <w:numId w:val="86"/>
        </w:numPr>
      </w:pPr>
      <w:r w:rsidRPr="00A63DFB">
        <w:t>chemical</w:t>
      </w:r>
      <w:r w:rsidR="000E15BD" w:rsidRPr="00A63DFB">
        <w:t>/</w:t>
      </w:r>
      <w:r w:rsidRPr="00A63DFB">
        <w:t>biological</w:t>
      </w:r>
      <w:r w:rsidR="000E15BD" w:rsidRPr="00A63DFB">
        <w:t>,</w:t>
      </w:r>
      <w:r w:rsidRPr="00A63DFB">
        <w:t xml:space="preserve"> geological </w:t>
      </w:r>
      <w:r w:rsidR="000E15BD" w:rsidRPr="00A63DFB">
        <w:t xml:space="preserve">(due to sorption) and flow-related (dilution/dispersion) </w:t>
      </w:r>
      <w:r w:rsidRPr="00A63DFB">
        <w:t xml:space="preserve">attenuation information for </w:t>
      </w:r>
      <w:r w:rsidR="000E15BD" w:rsidRPr="00A63DFB">
        <w:t xml:space="preserve">a selection of </w:t>
      </w:r>
      <w:r w:rsidRPr="00A63DFB">
        <w:t xml:space="preserve">characteristic chemicals,  </w:t>
      </w:r>
    </w:p>
    <w:p w14:paraId="147A828A" w14:textId="15464584" w:rsidR="00640F5F" w:rsidRPr="00A63DFB" w:rsidRDefault="00640F5F" w:rsidP="00217A03">
      <w:pPr>
        <w:pStyle w:val="Body"/>
        <w:numPr>
          <w:ilvl w:val="0"/>
          <w:numId w:val="86"/>
        </w:numPr>
      </w:pPr>
      <w:proofErr w:type="gramStart"/>
      <w:r w:rsidRPr="00A63DFB">
        <w:t>the</w:t>
      </w:r>
      <w:proofErr w:type="gramEnd"/>
      <w:r w:rsidRPr="00A63DFB">
        <w:t xml:space="preserve"> conceptual models </w:t>
      </w:r>
      <w:r w:rsidR="000E15BD" w:rsidRPr="00A63DFB">
        <w:t xml:space="preserve">with plausible fate and transport release pathways </w:t>
      </w:r>
      <w:r w:rsidRPr="00A63DFB">
        <w:t>and calculation tools required to estimate the degree of attenuation that chemicals would experience prior to potentially reaching receptors.</w:t>
      </w:r>
    </w:p>
    <w:p w14:paraId="36EEE364" w14:textId="05DBC834" w:rsidR="00A7743E" w:rsidRPr="00A63DFB" w:rsidRDefault="000E15BD" w:rsidP="00A7743E">
      <w:pPr>
        <w:pStyle w:val="Body"/>
      </w:pPr>
      <w:r w:rsidRPr="00A63DFB">
        <w:t xml:space="preserve">Mainly to inform and strengthen the Level-2 analysis, </w:t>
      </w:r>
      <w:r w:rsidR="00640F5F" w:rsidRPr="00A63DFB">
        <w:t xml:space="preserve">a national and international literature review </w:t>
      </w:r>
      <w:r w:rsidRPr="00A63DFB">
        <w:t xml:space="preserve">was undertaken </w:t>
      </w:r>
      <w:r w:rsidR="00640F5F" w:rsidRPr="00A63DFB">
        <w:t>with a focus on plausible pathways</w:t>
      </w:r>
      <w:r w:rsidR="002D4C66">
        <w:t xml:space="preserve"> for hydraulic fracturing fluids to migrate from the gas well to a groundwater resource</w:t>
      </w:r>
      <w:r w:rsidR="00640F5F" w:rsidRPr="00A63DFB">
        <w:t>, hazard screening approaches</w:t>
      </w:r>
      <w:r w:rsidRPr="00A63DFB">
        <w:t xml:space="preserve">, </w:t>
      </w:r>
      <w:r w:rsidR="002D4C66">
        <w:t xml:space="preserve">chemical </w:t>
      </w:r>
      <w:r w:rsidRPr="00A63DFB">
        <w:t xml:space="preserve">toxicity, and exposure assessment methodologies. </w:t>
      </w:r>
      <w:r w:rsidR="00A7743E" w:rsidRPr="00A63DFB">
        <w:t>Several studies in the US</w:t>
      </w:r>
      <w:r w:rsidR="002D4C66">
        <w:t>A</w:t>
      </w:r>
      <w:r w:rsidR="00A7743E" w:rsidRPr="00A63DFB">
        <w:t xml:space="preserve"> concluded that hydraulic fracturing itself appears not to present a significant environmental risk, except when abandoned or suspended well casings are intersected by fracturing fluids during the high-pressure stage of fluid injection. Geomechanical modelling and experimental studies generally agree that physical constraints on hydraulic fracture propagation will</w:t>
      </w:r>
      <w:r w:rsidR="00A0740C">
        <w:t>, in the USA,</w:t>
      </w:r>
      <w:r w:rsidR="00A7743E" w:rsidRPr="00A63DFB">
        <w:t xml:space="preserve"> prevent induced fractures from extending from deep zones into drinking water resources. </w:t>
      </w:r>
      <w:r w:rsidR="00A0740C">
        <w:t xml:space="preserve">This is in contrast to the Australian contexts, where stock and domestic bores already screen into the target coal measures. </w:t>
      </w:r>
      <w:r w:rsidR="00A7743E" w:rsidRPr="00A63DFB">
        <w:t xml:space="preserve">Several studies highlighted that </w:t>
      </w:r>
      <w:r w:rsidR="00A0740C">
        <w:t xml:space="preserve">maintaining good </w:t>
      </w:r>
      <w:r w:rsidR="00A7743E" w:rsidRPr="00A63DFB">
        <w:t>well integrity is the key to minimi</w:t>
      </w:r>
      <w:r w:rsidR="00011BB4" w:rsidRPr="00A63DFB">
        <w:t>s</w:t>
      </w:r>
      <w:r w:rsidR="00A7743E" w:rsidRPr="00B11A4A">
        <w:t xml:space="preserve">ing many of the risks associated with hydraulic fracturing and unconventional resource extraction. Likewise, producing </w:t>
      </w:r>
      <w:r w:rsidR="002D4C66">
        <w:t xml:space="preserve">gas </w:t>
      </w:r>
      <w:r w:rsidR="00A7743E" w:rsidRPr="00B11A4A">
        <w:t>wells situated in the same target formation</w:t>
      </w:r>
      <w:r w:rsidR="00A7743E" w:rsidRPr="00A63DFB">
        <w:t xml:space="preserve"> as new </w:t>
      </w:r>
      <w:r w:rsidR="002D4C66">
        <w:t xml:space="preserve">gas </w:t>
      </w:r>
      <w:r w:rsidR="00A7743E" w:rsidRPr="00A63DFB">
        <w:t xml:space="preserve">wells involved with fracture stimulation may be affected by hydraulic fracturing fluids when the inter-wellbore distance is </w:t>
      </w:r>
      <w:r w:rsidR="00A0740C">
        <w:t>less than</w:t>
      </w:r>
      <w:r w:rsidR="00A7743E" w:rsidRPr="00A63DFB">
        <w:t xml:space="preserve"> approximately 250 m.</w:t>
      </w:r>
    </w:p>
    <w:p w14:paraId="4DC65819" w14:textId="77777777" w:rsidR="00780433" w:rsidRDefault="00F35663" w:rsidP="00F35663">
      <w:pPr>
        <w:pStyle w:val="Body"/>
      </w:pPr>
      <w:r w:rsidRPr="00A63DFB">
        <w:t>To demonstrate the Level-2 analysis, r</w:t>
      </w:r>
      <w:r w:rsidR="00640F5F" w:rsidRPr="00A63DFB">
        <w:t xml:space="preserve">epresentative chemicals have been selected for assessment of attenuation and dilution from typical chemical groups (chemical indicators) </w:t>
      </w:r>
      <w:r w:rsidRPr="00A63DFB">
        <w:t>that represent different behaviour in regards to</w:t>
      </w:r>
      <w:r w:rsidR="00780433">
        <w:t>:</w:t>
      </w:r>
    </w:p>
    <w:p w14:paraId="6906C033" w14:textId="41CCC01F" w:rsidR="00780433" w:rsidRDefault="00640F5F" w:rsidP="00217A03">
      <w:pPr>
        <w:pStyle w:val="Body"/>
        <w:numPr>
          <w:ilvl w:val="0"/>
          <w:numId w:val="87"/>
        </w:numPr>
      </w:pPr>
      <w:r w:rsidRPr="00A63DFB">
        <w:t xml:space="preserve">physicochemical properties mobility (geological attenuation) and persistence (biological and chemical attenuation), </w:t>
      </w:r>
    </w:p>
    <w:p w14:paraId="1AA5330D" w14:textId="1C16CC13" w:rsidR="00780433" w:rsidRDefault="00640F5F" w:rsidP="00217A03">
      <w:pPr>
        <w:pStyle w:val="Body"/>
        <w:numPr>
          <w:ilvl w:val="0"/>
          <w:numId w:val="87"/>
        </w:numPr>
      </w:pPr>
      <w:r w:rsidRPr="00A63DFB">
        <w:t xml:space="preserve">health effects and ecotoxicity,  </w:t>
      </w:r>
    </w:p>
    <w:p w14:paraId="41BF0F7A" w14:textId="1E582825" w:rsidR="00780433" w:rsidRDefault="00640F5F" w:rsidP="00217A03">
      <w:pPr>
        <w:pStyle w:val="Body"/>
        <w:numPr>
          <w:ilvl w:val="0"/>
          <w:numId w:val="87"/>
        </w:numPr>
      </w:pPr>
      <w:proofErr w:type="gramStart"/>
      <w:r w:rsidRPr="00A63DFB">
        <w:t>chemical</w:t>
      </w:r>
      <w:proofErr w:type="gramEnd"/>
      <w:r w:rsidRPr="00A63DFB">
        <w:t xml:space="preserve"> use for CSG extraction in Australia.</w:t>
      </w:r>
      <w:r w:rsidR="00F35663" w:rsidRPr="00A63DFB">
        <w:t xml:space="preserve"> </w:t>
      </w:r>
    </w:p>
    <w:p w14:paraId="020A90CC" w14:textId="59C19CF3" w:rsidR="00640F5F" w:rsidRPr="00A63DFB" w:rsidRDefault="00640F5F" w:rsidP="00F35663">
      <w:pPr>
        <w:pStyle w:val="Body"/>
      </w:pPr>
      <w:r w:rsidRPr="00A63DFB">
        <w:t xml:space="preserve">The chemicals tested include </w:t>
      </w:r>
      <w:r w:rsidR="00F35663" w:rsidRPr="00A63DFB">
        <w:t>t</w:t>
      </w:r>
      <w:r w:rsidRPr="00A63DFB">
        <w:t>ypical hydraulic fracturing and drilling chemicals</w:t>
      </w:r>
      <w:r w:rsidR="00F35663" w:rsidRPr="00A63DFB">
        <w:t xml:space="preserve"> (</w:t>
      </w:r>
      <w:r w:rsidR="00F35663" w:rsidRPr="00A63DFB">
        <w:rPr>
          <w:i/>
        </w:rPr>
        <w:t>acrylamide polymer, boron</w:t>
      </w:r>
      <w:r w:rsidR="00F35663" w:rsidRPr="00A63DFB">
        <w:t xml:space="preserve"> (</w:t>
      </w:r>
      <w:r w:rsidR="00F35663" w:rsidRPr="00A63DFB">
        <w:rPr>
          <w:i/>
        </w:rPr>
        <w:t>boric acid, borax</w:t>
      </w:r>
      <w:r w:rsidR="00F35663" w:rsidRPr="00A63DFB">
        <w:t xml:space="preserve">), </w:t>
      </w:r>
      <w:r w:rsidR="00F35663" w:rsidRPr="00A63DFB">
        <w:rPr>
          <w:i/>
        </w:rPr>
        <w:t>bronopol, limonene, methyl-chloro-isothiazolinone</w:t>
      </w:r>
      <w:r w:rsidR="00F35663" w:rsidRPr="00A63DFB">
        <w:t>), e</w:t>
      </w:r>
      <w:r w:rsidRPr="00A63DFB">
        <w:t xml:space="preserve">xplosives used to obtain a pattern of perforations through the casing and cement sheath </w:t>
      </w:r>
      <w:r w:rsidR="00F35663" w:rsidRPr="00A63DFB">
        <w:t>(</w:t>
      </w:r>
      <w:r w:rsidRPr="00A63DFB">
        <w:t>HMX</w:t>
      </w:r>
      <w:r w:rsidR="00F35663" w:rsidRPr="00A63DFB">
        <w:t>:</w:t>
      </w:r>
      <w:r w:rsidRPr="00A63DFB">
        <w:t xml:space="preserve"> </w:t>
      </w:r>
      <w:r w:rsidR="00011BB4" w:rsidRPr="00A63DFB">
        <w:rPr>
          <w:i/>
        </w:rPr>
        <w:t>c</w:t>
      </w:r>
      <w:r w:rsidR="00011BB4" w:rsidRPr="00B11A4A">
        <w:rPr>
          <w:i/>
        </w:rPr>
        <w:t xml:space="preserve">yclotetramethylene </w:t>
      </w:r>
      <w:r w:rsidR="00011BB4" w:rsidRPr="00A63DFB">
        <w:rPr>
          <w:i/>
        </w:rPr>
        <w:t>t</w:t>
      </w:r>
      <w:r w:rsidRPr="00B11A4A">
        <w:rPr>
          <w:i/>
        </w:rPr>
        <w:t>rinitramine</w:t>
      </w:r>
      <w:r w:rsidRPr="00B11A4A">
        <w:t>)</w:t>
      </w:r>
      <w:r w:rsidR="00F35663" w:rsidRPr="00B11A4A">
        <w:t>, and several g</w:t>
      </w:r>
      <w:r w:rsidRPr="00A63DFB">
        <w:t>eogenic</w:t>
      </w:r>
      <w:r w:rsidR="00F35663" w:rsidRPr="00A63DFB">
        <w:t xml:space="preserve"> chemicals (</w:t>
      </w:r>
      <w:r w:rsidRPr="00A63DFB">
        <w:rPr>
          <w:i/>
        </w:rPr>
        <w:t>2-methylphenol</w:t>
      </w:r>
      <w:r w:rsidRPr="00A63DFB">
        <w:t xml:space="preserve">, </w:t>
      </w:r>
      <w:r w:rsidRPr="00A63DFB">
        <w:rPr>
          <w:i/>
        </w:rPr>
        <w:t>naphthalene</w:t>
      </w:r>
      <w:r w:rsidRPr="00A63DFB">
        <w:t xml:space="preserve">, </w:t>
      </w:r>
      <w:r w:rsidRPr="00A63DFB">
        <w:rPr>
          <w:i/>
        </w:rPr>
        <w:t>uranium</w:t>
      </w:r>
      <w:r w:rsidRPr="00A63DFB">
        <w:t xml:space="preserve">, </w:t>
      </w:r>
      <w:r w:rsidRPr="00A63DFB">
        <w:rPr>
          <w:i/>
        </w:rPr>
        <w:t>arsenic</w:t>
      </w:r>
      <w:r w:rsidRPr="00A63DFB">
        <w:t xml:space="preserve">, and </w:t>
      </w:r>
      <w:r w:rsidRPr="00A63DFB">
        <w:rPr>
          <w:i/>
        </w:rPr>
        <w:t>barium</w:t>
      </w:r>
      <w:r w:rsidR="00F35663" w:rsidRPr="00A63DFB">
        <w:t>).</w:t>
      </w:r>
    </w:p>
    <w:p w14:paraId="1392B3B9" w14:textId="3B2E14D7" w:rsidR="00104E71" w:rsidRPr="00A63DFB" w:rsidRDefault="00640F5F" w:rsidP="0087029C">
      <w:pPr>
        <w:pStyle w:val="Body"/>
      </w:pPr>
      <w:r w:rsidRPr="00A63DFB">
        <w:t>B</w:t>
      </w:r>
      <w:r w:rsidR="00104E71" w:rsidRPr="00A63DFB">
        <w:t xml:space="preserve">uilding on the literature review on plausible fate pathways, </w:t>
      </w:r>
      <w:r w:rsidR="00F35663" w:rsidRPr="00A63DFB">
        <w:t xml:space="preserve">the following </w:t>
      </w:r>
      <w:r w:rsidR="00104E71" w:rsidRPr="00A63DFB">
        <w:t xml:space="preserve">four plausible fate and transport release scenarios have been developed for which the chemical-specific DAF in groundwater-related receptors </w:t>
      </w:r>
      <w:r w:rsidR="00F35663" w:rsidRPr="00A63DFB">
        <w:t xml:space="preserve">have </w:t>
      </w:r>
      <w:r w:rsidR="00104E71" w:rsidRPr="00A63DFB">
        <w:t>be</w:t>
      </w:r>
      <w:r w:rsidR="00F35663" w:rsidRPr="00A63DFB">
        <w:t>en</w:t>
      </w:r>
      <w:r w:rsidR="00104E71" w:rsidRPr="00A63DFB">
        <w:t xml:space="preserve"> assessed</w:t>
      </w:r>
      <w:r w:rsidR="00F35663" w:rsidRPr="00A63DFB">
        <w:t>:</w:t>
      </w:r>
      <w:r w:rsidR="00104E71" w:rsidRPr="00A63DFB">
        <w:t xml:space="preserve"> </w:t>
      </w:r>
    </w:p>
    <w:p w14:paraId="0265C049" w14:textId="569A2639" w:rsidR="00104E71" w:rsidRPr="00A63DFB" w:rsidRDefault="00104E71" w:rsidP="00C117A3">
      <w:pPr>
        <w:pStyle w:val="Body"/>
        <w:numPr>
          <w:ilvl w:val="0"/>
          <w:numId w:val="6"/>
        </w:numPr>
      </w:pPr>
      <w:r w:rsidRPr="00A63DFB">
        <w:t>Fracture growth into an overlying aquifer</w:t>
      </w:r>
      <w:r w:rsidR="00F06665" w:rsidRPr="00A63DFB">
        <w:t xml:space="preserve"> (</w:t>
      </w:r>
      <w:r w:rsidR="00011BB4" w:rsidRPr="00A63DFB">
        <w:t>P</w:t>
      </w:r>
      <w:r w:rsidR="00F06665" w:rsidRPr="00B11A4A">
        <w:t>athway A)</w:t>
      </w:r>
      <w:r w:rsidRPr="00B11A4A">
        <w:t xml:space="preserve">: This scenario considers hydraulic fracture fluid loss into an overlying aquifer. The scenario considers site conditions that favour height growth of a vertical hydraulic fracture upward towards and into a shallower aquifer. </w:t>
      </w:r>
    </w:p>
    <w:p w14:paraId="148E6978" w14:textId="72B93D09" w:rsidR="00104E71" w:rsidRPr="00A63DFB" w:rsidRDefault="00104E71" w:rsidP="00C117A3">
      <w:pPr>
        <w:pStyle w:val="Body"/>
        <w:numPr>
          <w:ilvl w:val="0"/>
          <w:numId w:val="6"/>
        </w:numPr>
      </w:pPr>
      <w:r w:rsidRPr="00A63DFB">
        <w:t>Fracture growth into a well through pre-fracturing</w:t>
      </w:r>
      <w:r w:rsidR="00F35663" w:rsidRPr="00A63DFB">
        <w:t xml:space="preserve"> permeability and new fractures</w:t>
      </w:r>
      <w:r w:rsidR="00F06665" w:rsidRPr="00A63DFB">
        <w:t xml:space="preserve"> (</w:t>
      </w:r>
      <w:r w:rsidR="00011BB4" w:rsidRPr="00A63DFB">
        <w:t>P</w:t>
      </w:r>
      <w:r w:rsidR="00F06665" w:rsidRPr="00B11A4A">
        <w:t>athway B)</w:t>
      </w:r>
      <w:r w:rsidRPr="00B11A4A">
        <w:t>: This involves two wells within the same coal seam, connected by a</w:t>
      </w:r>
      <w:r w:rsidR="00F06665" w:rsidRPr="00A63DFB">
        <w:t xml:space="preserve"> pre-existing hydraulic facture.</w:t>
      </w:r>
      <w:r w:rsidRPr="00A63DFB">
        <w:t xml:space="preserve"> </w:t>
      </w:r>
    </w:p>
    <w:p w14:paraId="3670D5DF" w14:textId="4767646D" w:rsidR="00104E71" w:rsidRPr="00B11A4A" w:rsidRDefault="00104E71" w:rsidP="00C117A3">
      <w:pPr>
        <w:pStyle w:val="Body"/>
        <w:numPr>
          <w:ilvl w:val="0"/>
          <w:numId w:val="6"/>
        </w:numPr>
      </w:pPr>
      <w:r w:rsidRPr="00A63DFB">
        <w:t>We</w:t>
      </w:r>
      <w:r w:rsidR="00F35663" w:rsidRPr="00A63DFB">
        <w:t>ll rupture during injection</w:t>
      </w:r>
      <w:r w:rsidR="00F06665" w:rsidRPr="00A63DFB">
        <w:t xml:space="preserve"> (</w:t>
      </w:r>
      <w:r w:rsidR="00011BB4" w:rsidRPr="00A63DFB">
        <w:t>P</w:t>
      </w:r>
      <w:r w:rsidR="00F06665" w:rsidRPr="00B11A4A">
        <w:t>athway C)</w:t>
      </w:r>
      <w:r w:rsidRPr="00B11A4A">
        <w:t xml:space="preserve">: This scenario considers rupture of a cased well during a fracturing injection operation. </w:t>
      </w:r>
    </w:p>
    <w:p w14:paraId="5326610B" w14:textId="648481A3" w:rsidR="00104E71" w:rsidRPr="00B11A4A" w:rsidRDefault="00F35663" w:rsidP="00C117A3">
      <w:pPr>
        <w:pStyle w:val="Body"/>
        <w:numPr>
          <w:ilvl w:val="0"/>
          <w:numId w:val="6"/>
        </w:numPr>
      </w:pPr>
      <w:r w:rsidRPr="00A63DFB">
        <w:t>Fracture growth into a fault</w:t>
      </w:r>
      <w:r w:rsidR="00F06665" w:rsidRPr="00A63DFB">
        <w:t xml:space="preserve"> (</w:t>
      </w:r>
      <w:r w:rsidR="00011BB4" w:rsidRPr="00A63DFB">
        <w:t>P</w:t>
      </w:r>
      <w:r w:rsidR="00F06665" w:rsidRPr="00B11A4A">
        <w:t>athway D)</w:t>
      </w:r>
      <w:r w:rsidR="00104E71" w:rsidRPr="00B11A4A">
        <w:t>: assessment of leakage potential via a fault that connects the coal seam to an overlying aquifer.</w:t>
      </w:r>
    </w:p>
    <w:p w14:paraId="30FDC675" w14:textId="1163D588" w:rsidR="00104E71" w:rsidRPr="00A63DFB" w:rsidRDefault="00F06665" w:rsidP="00F06665">
      <w:pPr>
        <w:pStyle w:val="Body"/>
      </w:pPr>
      <w:r w:rsidRPr="00A63DFB">
        <w:t xml:space="preserve">By applying </w:t>
      </w:r>
      <w:r w:rsidR="004B0C32">
        <w:t>multiple</w:t>
      </w:r>
      <w:r w:rsidR="004B0C32" w:rsidRPr="00A63DFB">
        <w:t xml:space="preserve"> </w:t>
      </w:r>
      <w:r w:rsidR="00104E71" w:rsidRPr="00A63DFB">
        <w:t xml:space="preserve">lines of </w:t>
      </w:r>
      <w:r w:rsidR="002D4C66">
        <w:t xml:space="preserve">quantitative and semi-quantitative </w:t>
      </w:r>
      <w:r w:rsidR="00104E71" w:rsidRPr="00A63DFB">
        <w:t xml:space="preserve">evidence </w:t>
      </w:r>
      <w:r w:rsidR="004B0C32">
        <w:t xml:space="preserve">and expert judgements </w:t>
      </w:r>
      <w:r w:rsidR="00104E71" w:rsidRPr="00A63DFB">
        <w:t>to each plausible pathway, the assessment conclude</w:t>
      </w:r>
      <w:r w:rsidRPr="00A63DFB">
        <w:t>d</w:t>
      </w:r>
      <w:r w:rsidR="00104E71" w:rsidRPr="00A63DFB">
        <w:t xml:space="preserve"> that pathways are either unlikely (</w:t>
      </w:r>
      <w:r w:rsidR="004B0C32">
        <w:t>high to very high confidence</w:t>
      </w:r>
      <w:r w:rsidR="00104E71" w:rsidRPr="00A63DFB">
        <w:t xml:space="preserve"> for </w:t>
      </w:r>
      <w:r w:rsidR="00011BB4" w:rsidRPr="00A63DFB">
        <w:t>P</w:t>
      </w:r>
      <w:r w:rsidR="00104E71" w:rsidRPr="00B11A4A">
        <w:t xml:space="preserve">athway C) or extremely unlikely (&lt;5% probability for </w:t>
      </w:r>
      <w:r w:rsidR="00011BB4" w:rsidRPr="00A63DFB">
        <w:t>P</w:t>
      </w:r>
      <w:r w:rsidR="00104E71" w:rsidRPr="00B11A4A">
        <w:t>athways A, B, and D)</w:t>
      </w:r>
      <w:r w:rsidRPr="00B11A4A">
        <w:t xml:space="preserve"> in an Australian context</w:t>
      </w:r>
      <w:r w:rsidR="00104E71" w:rsidRPr="00A63DFB">
        <w:t xml:space="preserve">. </w:t>
      </w:r>
    </w:p>
    <w:p w14:paraId="3F387DDE" w14:textId="5CD7843F" w:rsidR="0087029C" w:rsidRPr="00B11A4A" w:rsidRDefault="0087029C" w:rsidP="0087029C">
      <w:pPr>
        <w:pStyle w:val="Body"/>
      </w:pPr>
      <w:r w:rsidRPr="00B11A4A">
        <w:t xml:space="preserve">A spatial analysis of proximity of ecologic, economic and socio-cultural assets to CSG wells in subdomains of the Gunnedah and Surat Basins provided insight in the number and frequency of such assets that were at close distance from existing or planned CSG wells. </w:t>
      </w:r>
      <w:r w:rsidR="00581493" w:rsidRPr="00E6110F">
        <w:t>Cumulative probability plots of distance of assets from CSG wells</w:t>
      </w:r>
      <w:r w:rsidR="00E76A37">
        <w:t xml:space="preserve"> illustrate CSG wells are generally at large to very large distance</w:t>
      </w:r>
      <w:r w:rsidR="00AA0297">
        <w:t>s</w:t>
      </w:r>
      <w:r w:rsidR="00E76A37">
        <w:t xml:space="preserve"> from the above three classes of assets. </w:t>
      </w:r>
      <w:r w:rsidR="00AA0297">
        <w:t>For instance</w:t>
      </w:r>
      <w:r w:rsidR="00E76A37">
        <w:t>, the probability of encountering a CSG well within 1 km distance from an asset ranges from about 1% (</w:t>
      </w:r>
      <w:r w:rsidR="00FA1EEE">
        <w:t xml:space="preserve">assets in the </w:t>
      </w:r>
      <w:r w:rsidR="00E76A37">
        <w:t xml:space="preserve">Groundwater Dependent Ecosystems Class) to 0.02 % (water bores in </w:t>
      </w:r>
      <w:r w:rsidR="00AA0297">
        <w:t xml:space="preserve">the </w:t>
      </w:r>
      <w:r w:rsidR="00E76A37">
        <w:t xml:space="preserve">Gunnedah </w:t>
      </w:r>
      <w:r w:rsidR="00AA0297">
        <w:t>Basin</w:t>
      </w:r>
      <w:r w:rsidR="00E76A37">
        <w:t xml:space="preserve"> Water Access Right class). </w:t>
      </w:r>
      <w:r w:rsidR="003A3BFB">
        <w:t xml:space="preserve">In the Surat Basin a similarly small fraction of assets was encountered within 1 km of CSG wells, i.e. 0.3% for assets within the Groundwater Dependent Ecosystems class and 0.4% for water bores (Water Access Right class). </w:t>
      </w:r>
      <w:r w:rsidR="00E76A37">
        <w:t>Surface water features</w:t>
      </w:r>
      <w:r w:rsidR="00596BA5">
        <w:t xml:space="preserve"> at a distance of 1 km from CSG wells had probabilities of 2% in the Gunnedah Basin </w:t>
      </w:r>
      <w:r w:rsidR="003A3BFB">
        <w:t xml:space="preserve">while in the </w:t>
      </w:r>
      <w:r w:rsidR="00596BA5">
        <w:t>Surat Basin</w:t>
      </w:r>
      <w:r w:rsidR="003A3BFB">
        <w:t xml:space="preserve"> there was no surface water feature within 29 km of a CSG well</w:t>
      </w:r>
      <w:r w:rsidR="00596BA5">
        <w:t>. No sociocultural asset was within less than 1</w:t>
      </w:r>
      <w:r w:rsidR="00596BA5">
        <w:rPr>
          <w:lang w:val="en-AU"/>
        </w:rPr>
        <w:t xml:space="preserve">3 km </w:t>
      </w:r>
      <w:r w:rsidR="00E57353">
        <w:rPr>
          <w:lang w:val="en-AU"/>
        </w:rPr>
        <w:t xml:space="preserve">from the nearest CSG well </w:t>
      </w:r>
      <w:r w:rsidR="003A3BFB">
        <w:rPr>
          <w:lang w:val="en-AU"/>
        </w:rPr>
        <w:t xml:space="preserve">in the Gunnedah Basin and </w:t>
      </w:r>
      <w:r w:rsidR="00E57353">
        <w:rPr>
          <w:lang w:val="en-AU"/>
        </w:rPr>
        <w:t xml:space="preserve">less than </w:t>
      </w:r>
      <w:r w:rsidR="003A3BFB">
        <w:rPr>
          <w:lang w:val="en-AU"/>
        </w:rPr>
        <w:t>4</w:t>
      </w:r>
      <w:r w:rsidR="00E57353">
        <w:rPr>
          <w:lang w:val="en-AU"/>
        </w:rPr>
        <w:t xml:space="preserve">0 km </w:t>
      </w:r>
      <w:r w:rsidR="003A3BFB">
        <w:rPr>
          <w:lang w:val="en-AU"/>
        </w:rPr>
        <w:t>in the Surat Basin</w:t>
      </w:r>
      <w:r w:rsidR="00596BA5">
        <w:rPr>
          <w:lang w:val="en-AU"/>
        </w:rPr>
        <w:t>.</w:t>
      </w:r>
    </w:p>
    <w:p w14:paraId="487DCCA6" w14:textId="45687AA7" w:rsidR="0087029C" w:rsidRPr="00A63DFB" w:rsidRDefault="0087029C" w:rsidP="0087029C">
      <w:pPr>
        <w:pStyle w:val="Body"/>
      </w:pPr>
      <w:r w:rsidRPr="00B11A4A">
        <w:t xml:space="preserve">In a </w:t>
      </w:r>
      <w:r w:rsidR="0049628B" w:rsidRPr="00B11A4A">
        <w:t>subsequent</w:t>
      </w:r>
      <w:r w:rsidRPr="00B11A4A">
        <w:t xml:space="preserve"> analysis</w:t>
      </w:r>
      <w:r w:rsidR="00011BB4" w:rsidRPr="00A63DFB">
        <w:t>,</w:t>
      </w:r>
      <w:r w:rsidRPr="00B11A4A">
        <w:t xml:space="preserve"> </w:t>
      </w:r>
      <w:r w:rsidR="002D4C66">
        <w:t xml:space="preserve">solute </w:t>
      </w:r>
      <w:r w:rsidRPr="00B11A4A">
        <w:t xml:space="preserve">particle tracking </w:t>
      </w:r>
      <w:r w:rsidR="002D4C66">
        <w:t xml:space="preserve">analysis </w:t>
      </w:r>
      <w:r w:rsidRPr="00B11A4A">
        <w:t xml:space="preserve">with existing regional-scale groundwater models was undertaken to identify if </w:t>
      </w:r>
      <w:r w:rsidR="0049628B" w:rsidRPr="00A63DFB">
        <w:t xml:space="preserve">the previously identified </w:t>
      </w:r>
      <w:r w:rsidRPr="00A63DFB">
        <w:t>assets could potentially be connected to CSG well locations through groundwater</w:t>
      </w:r>
      <w:r w:rsidR="002D4C66">
        <w:t xml:space="preserve"> in the unlikely event that plausible fate pathways existed (Pathways A-D)</w:t>
      </w:r>
      <w:r w:rsidRPr="00A63DFB">
        <w:t xml:space="preserve">. In the subdomains </w:t>
      </w:r>
      <w:r w:rsidR="0049628B" w:rsidRPr="00A63DFB">
        <w:t xml:space="preserve">of the Gunnedah and Surat Basins </w:t>
      </w:r>
      <w:r w:rsidRPr="00A63DFB">
        <w:t xml:space="preserve">where particle tracking was undertaken, the number of potential connections was found to be relatively small. </w:t>
      </w:r>
      <w:r w:rsidR="0049628B" w:rsidRPr="00A63DFB">
        <w:t>Where connections had been</w:t>
      </w:r>
      <w:r w:rsidRPr="00A63DFB">
        <w:t xml:space="preserve"> identified, the travel time through groundwater was determined</w:t>
      </w:r>
      <w:r w:rsidR="0049628B" w:rsidRPr="00A63DFB">
        <w:t xml:space="preserve"> to be very long, from hundreds to tens of thousands of years</w:t>
      </w:r>
      <w:r w:rsidRPr="00A63DFB">
        <w:t xml:space="preserve">. </w:t>
      </w:r>
      <w:r w:rsidR="002D4C66">
        <w:t xml:space="preserve">The reason for these long timescales is the combination of large </w:t>
      </w:r>
      <w:r w:rsidR="000412C2">
        <w:t xml:space="preserve">separation distances, </w:t>
      </w:r>
      <w:r w:rsidR="002D4C66">
        <w:t>slow groundwater velocities</w:t>
      </w:r>
      <w:r w:rsidR="000412C2">
        <w:t xml:space="preserve"> and the presence of low permeability formations effectively isolating receptors at the surface from deeper groundwater pathways. </w:t>
      </w:r>
      <w:r w:rsidRPr="00A63DFB">
        <w:t>For the same assets, the proximity to the connected wells was also determined as a means to assign a likelihood to the degree of solute attenuation</w:t>
      </w:r>
      <w:r w:rsidR="000412C2">
        <w:t xml:space="preserve"> associated with a given pathway</w:t>
      </w:r>
      <w:r w:rsidRPr="00A63DFB">
        <w:t xml:space="preserve">.  </w:t>
      </w:r>
    </w:p>
    <w:p w14:paraId="2770E78B" w14:textId="751F4791" w:rsidR="00C046F5" w:rsidRPr="00A63DFB" w:rsidRDefault="000412C2" w:rsidP="0087029C">
      <w:pPr>
        <w:pStyle w:val="Body"/>
      </w:pPr>
      <w:r w:rsidRPr="00A63DFB">
        <w:t xml:space="preserve">From the literature study, </w:t>
      </w:r>
      <w:r>
        <w:t>a baseline</w:t>
      </w:r>
      <w:r w:rsidRPr="00B11A4A">
        <w:t xml:space="preserve"> set of </w:t>
      </w:r>
      <w:r>
        <w:t xml:space="preserve">chemical </w:t>
      </w:r>
      <w:r w:rsidRPr="00A63DFB">
        <w:t>degradation constants (half-lives)</w:t>
      </w:r>
      <w:r w:rsidRPr="00B11A4A">
        <w:t xml:space="preserve"> and sorption coefficients were derived. These values where then rescaled to specific geological formations within the two case study areas</w:t>
      </w:r>
      <w:r>
        <w:t>, taking into account the fraction of organic carbon with each formation</w:t>
      </w:r>
      <w:r w:rsidRPr="00B11A4A">
        <w:t>.</w:t>
      </w:r>
      <w:r>
        <w:t xml:space="preserve"> </w:t>
      </w:r>
      <w:r w:rsidR="0087029C" w:rsidRPr="00A63DFB">
        <w:t xml:space="preserve">On the basis of </w:t>
      </w:r>
      <w:r>
        <w:t xml:space="preserve">rescaled </w:t>
      </w:r>
      <w:r w:rsidR="0087029C" w:rsidRPr="00A63DFB">
        <w:t xml:space="preserve">degradation constants (half-lives), chemical </w:t>
      </w:r>
      <w:r w:rsidR="0049628B" w:rsidRPr="00A63DFB">
        <w:t xml:space="preserve">(hydrolysis) </w:t>
      </w:r>
      <w:r w:rsidR="0087029C" w:rsidRPr="00A63DFB">
        <w:t xml:space="preserve">and microbiological degradation </w:t>
      </w:r>
      <w:r w:rsidR="0049628B" w:rsidRPr="00A63DFB">
        <w:t xml:space="preserve">(aerobic or anaerobic) </w:t>
      </w:r>
      <w:r w:rsidR="0087029C" w:rsidRPr="00A63DFB">
        <w:t xml:space="preserve">was calculated for a series of organic compounds that are either present in hydraulic fracturing fluid or that occur naturally in coal formations. </w:t>
      </w:r>
      <w:r>
        <w:t>C</w:t>
      </w:r>
      <w:r w:rsidR="00C046F5" w:rsidRPr="00B11A4A">
        <w:t>alculat</w:t>
      </w:r>
      <w:r>
        <w:t>ions</w:t>
      </w:r>
      <w:r w:rsidR="00C046F5" w:rsidRPr="00B11A4A">
        <w:t xml:space="preserve"> </w:t>
      </w:r>
      <w:r>
        <w:t>considered conservative</w:t>
      </w:r>
      <w:r w:rsidR="00C046F5" w:rsidRPr="00A63DFB">
        <w:t xml:space="preserve"> travel distances that were encountered in the particle tracking analysis. </w:t>
      </w:r>
      <w:r>
        <w:t xml:space="preserve">Particle tracking analysis resulted in several </w:t>
      </w:r>
      <w:r w:rsidR="00C046F5" w:rsidRPr="00A63DFB">
        <w:t>travel time group</w:t>
      </w:r>
      <w:r>
        <w:t>s</w:t>
      </w:r>
      <w:r w:rsidR="00C046F5" w:rsidRPr="00A63DFB">
        <w:t xml:space="preserve"> </w:t>
      </w:r>
      <w:r>
        <w:t>(0-100 years, 100-1000 years, etc.)</w:t>
      </w:r>
      <w:r w:rsidR="002948C2">
        <w:t>. The first</w:t>
      </w:r>
      <w:r w:rsidR="00C046F5" w:rsidRPr="00A63DFB">
        <w:t xml:space="preserve"> travel time </w:t>
      </w:r>
      <w:r w:rsidR="002948C2">
        <w:t xml:space="preserve">group </w:t>
      </w:r>
      <w:r w:rsidR="00C046F5" w:rsidRPr="00A63DFB">
        <w:t xml:space="preserve">of </w:t>
      </w:r>
      <w:r w:rsidR="002948C2">
        <w:t xml:space="preserve">up to </w:t>
      </w:r>
      <w:r w:rsidR="00C046F5" w:rsidRPr="00A63DFB">
        <w:t>100 years</w:t>
      </w:r>
      <w:r w:rsidR="002948C2">
        <w:t xml:space="preserve"> yielded minimum</w:t>
      </w:r>
      <w:r w:rsidR="00C046F5" w:rsidRPr="00A63DFB">
        <w:t>, mean, and maximum travel time</w:t>
      </w:r>
      <w:r w:rsidR="002948C2">
        <w:t>s</w:t>
      </w:r>
      <w:r w:rsidR="00C046F5" w:rsidRPr="00A63DFB">
        <w:t xml:space="preserve"> </w:t>
      </w:r>
      <w:r w:rsidR="002948C2">
        <w:t xml:space="preserve">of 10, 34, and 92 years, respectively; these travel times </w:t>
      </w:r>
      <w:r w:rsidR="00C046F5" w:rsidRPr="00A63DFB">
        <w:t>were selected for the calculation</w:t>
      </w:r>
      <w:r w:rsidR="002948C2">
        <w:t xml:space="preserve"> of chemical mass loss in deeper groundwater following hydraulic fracturing</w:t>
      </w:r>
      <w:r w:rsidR="00C046F5" w:rsidRPr="00A63DFB">
        <w:t xml:space="preserve">. The calculation considered first only degradation without sorption. In a second calculation degradation was combined with sorption. In a third calculation </w:t>
      </w:r>
      <w:r w:rsidR="002948C2">
        <w:t xml:space="preserve">a three-dimensional advection-dispersion analytical solution model was invoked to determine </w:t>
      </w:r>
      <w:r w:rsidR="00C046F5" w:rsidRPr="00A63DFB">
        <w:t xml:space="preserve">dilution and dispersion as the </w:t>
      </w:r>
      <w:r w:rsidR="0049628B" w:rsidRPr="00A63DFB">
        <w:t>third</w:t>
      </w:r>
      <w:r w:rsidR="00C046F5" w:rsidRPr="00A63DFB">
        <w:t xml:space="preserve"> process of attenuation. Dilution attenuation factors (DAF) were derived for the different travel times and </w:t>
      </w:r>
      <w:r w:rsidR="0049628B" w:rsidRPr="00A63DFB">
        <w:t xml:space="preserve">the combined attenuation </w:t>
      </w:r>
      <w:r w:rsidR="00C046F5" w:rsidRPr="00A63DFB">
        <w:t>p</w:t>
      </w:r>
      <w:r w:rsidR="0049628B" w:rsidRPr="00A63DFB">
        <w:t>rocesses</w:t>
      </w:r>
      <w:r w:rsidR="00C046F5" w:rsidRPr="00A63DFB">
        <w:t>. For the shortest</w:t>
      </w:r>
      <w:r w:rsidR="002948C2">
        <w:t xml:space="preserve"> (10 years)</w:t>
      </w:r>
      <w:r w:rsidR="00C046F5" w:rsidRPr="00A63DFB">
        <w:t>, mean</w:t>
      </w:r>
      <w:r w:rsidR="002948C2">
        <w:t xml:space="preserve"> (34 years)</w:t>
      </w:r>
      <w:r w:rsidR="00C046F5" w:rsidRPr="00A63DFB">
        <w:t xml:space="preserve">, and maximum </w:t>
      </w:r>
      <w:r w:rsidR="002948C2">
        <w:t xml:space="preserve">(92 years) </w:t>
      </w:r>
      <w:r w:rsidR="00C046F5" w:rsidRPr="00A63DFB">
        <w:t xml:space="preserve">travel time considered, the DAF were all extremely large </w:t>
      </w:r>
      <w:r w:rsidR="00461847" w:rsidRPr="00A63DFB">
        <w:t>(from nearly 1,000 to more than 10</w:t>
      </w:r>
      <w:r w:rsidR="00461847" w:rsidRPr="00A63DFB">
        <w:rPr>
          <w:vertAlign w:val="superscript"/>
        </w:rPr>
        <w:t>10</w:t>
      </w:r>
      <w:r w:rsidR="00461847" w:rsidRPr="00A63DFB">
        <w:t xml:space="preserve">) </w:t>
      </w:r>
      <w:r w:rsidR="00C046F5" w:rsidRPr="00A63DFB">
        <w:t xml:space="preserve">owing to the </w:t>
      </w:r>
      <w:r w:rsidR="0049628B" w:rsidRPr="00A63DFB">
        <w:t xml:space="preserve">combined effect of </w:t>
      </w:r>
      <w:r w:rsidR="00C046F5" w:rsidRPr="00A63DFB">
        <w:t>short half-lives</w:t>
      </w:r>
      <w:r w:rsidR="0049628B" w:rsidRPr="00A63DFB">
        <w:t>, sorption (for those hydrostratigraphic units where organic carbon is present),</w:t>
      </w:r>
      <w:r w:rsidR="00C046F5" w:rsidRPr="00A63DFB">
        <w:t xml:space="preserve"> </w:t>
      </w:r>
      <w:r w:rsidR="0049628B" w:rsidRPr="00A63DFB">
        <w:t>and dilution/dispersion</w:t>
      </w:r>
      <w:r w:rsidR="002948C2">
        <w:t xml:space="preserve"> over travel distances from 0.5 to 3.4 km</w:t>
      </w:r>
      <w:r w:rsidR="0049628B" w:rsidRPr="00A63DFB">
        <w:t xml:space="preserve">. </w:t>
      </w:r>
      <w:r w:rsidR="00C046F5" w:rsidRPr="00A63DFB">
        <w:t xml:space="preserve"> </w:t>
      </w:r>
    </w:p>
    <w:p w14:paraId="4A8CC508" w14:textId="0C7534E2" w:rsidR="00C046F5" w:rsidRPr="00A63DFB" w:rsidRDefault="00C046F5" w:rsidP="0087029C">
      <w:pPr>
        <w:pStyle w:val="Body"/>
      </w:pPr>
      <w:r w:rsidRPr="00A63DFB">
        <w:t>In a final analysis</w:t>
      </w:r>
      <w:r w:rsidR="00011BB4" w:rsidRPr="00A63DFB">
        <w:t>,</w:t>
      </w:r>
      <w:r w:rsidRPr="00B11A4A">
        <w:t xml:space="preserve"> the calculated DAF values were linked to the frequency-proximity results: in this way a likelihood was assigned to DAF values indicating that</w:t>
      </w:r>
      <w:r w:rsidRPr="00A63DFB">
        <w:t xml:space="preserve"> </w:t>
      </w:r>
      <w:r w:rsidR="00A930D0">
        <w:t>small</w:t>
      </w:r>
      <w:r w:rsidRPr="00A63DFB">
        <w:t xml:space="preserve"> DAF values (short travel times) have a very low likelihood in the areas investigated.  </w:t>
      </w:r>
    </w:p>
    <w:p w14:paraId="68A1B6CA" w14:textId="077ADBB0" w:rsidR="00102896" w:rsidRPr="00B11A4A" w:rsidRDefault="00011BB4" w:rsidP="00102896">
      <w:pPr>
        <w:pStyle w:val="Body"/>
      </w:pPr>
      <w:r w:rsidRPr="00A63DFB">
        <w:t>A</w:t>
      </w:r>
      <w:r w:rsidR="00102896" w:rsidRPr="00B11A4A">
        <w:t xml:space="preserve"> relationship was derived between the </w:t>
      </w:r>
      <w:r w:rsidR="002948C2">
        <w:t xml:space="preserve">minimal </w:t>
      </w:r>
      <w:r w:rsidR="00F37617" w:rsidRPr="00B11A4A">
        <w:t xml:space="preserve">chemical </w:t>
      </w:r>
      <w:r w:rsidR="00102896" w:rsidRPr="00B11A4A">
        <w:t>travel distance or setback distance that is required to achieve a given DAF value</w:t>
      </w:r>
      <w:r w:rsidR="002948C2">
        <w:t xml:space="preserve"> based on known predicted-no-effect-concentrations </w:t>
      </w:r>
      <w:r w:rsidR="00AC7245">
        <w:t xml:space="preserve">(PNEC) </w:t>
      </w:r>
      <w:r w:rsidR="002948C2">
        <w:t>and chemical concentrations prior to injection</w:t>
      </w:r>
      <w:r w:rsidR="00102896" w:rsidRPr="00B11A4A">
        <w:t>. The setba</w:t>
      </w:r>
      <w:r w:rsidR="00102896" w:rsidRPr="00A63DFB">
        <w:t xml:space="preserve">ck distance is the </w:t>
      </w:r>
      <w:r w:rsidR="00F37617" w:rsidRPr="00A63DFB">
        <w:t xml:space="preserve">conservative </w:t>
      </w:r>
      <w:r w:rsidR="00102896" w:rsidRPr="00A63DFB">
        <w:t xml:space="preserve">minimal distance between a CSG well and a receptor that is considered sufficient to reduce the chemical concentration to values below regulatory limits or no-effect levels. </w:t>
      </w:r>
      <w:r w:rsidR="002948C2">
        <w:t>The most</w:t>
      </w:r>
      <w:r w:rsidR="00F37617" w:rsidRPr="00A63DFB">
        <w:t xml:space="preserve"> conservative </w:t>
      </w:r>
      <w:r w:rsidR="002948C2">
        <w:t xml:space="preserve">setback distance </w:t>
      </w:r>
      <w:r w:rsidR="00F37617" w:rsidRPr="00A63DFB">
        <w:t>does n</w:t>
      </w:r>
      <w:r w:rsidR="00102896" w:rsidRPr="00A63DFB">
        <w:t xml:space="preserve">ot account for additional </w:t>
      </w:r>
      <w:r w:rsidR="00F37617" w:rsidRPr="00A63DFB">
        <w:t>a</w:t>
      </w:r>
      <w:r w:rsidR="00102896" w:rsidRPr="00A63DFB">
        <w:t xml:space="preserve">ttenuation due to sorption and/or degradation. </w:t>
      </w:r>
      <w:r w:rsidR="002948C2">
        <w:t xml:space="preserve">Less conservative setback distances can be obtained if also attenuation due to degradation and sorption is accounted for. </w:t>
      </w:r>
      <w:r w:rsidR="004C2753">
        <w:t xml:space="preserve">Based on </w:t>
      </w:r>
      <w:r w:rsidR="00F23AA1">
        <w:t>the</w:t>
      </w:r>
      <w:r w:rsidR="004C2753" w:rsidRPr="00A63DFB">
        <w:t xml:space="preserve"> broad range of </w:t>
      </w:r>
      <w:r w:rsidR="00F23AA1">
        <w:t xml:space="preserve">types of </w:t>
      </w:r>
      <w:r w:rsidR="004C2753" w:rsidRPr="00A63DFB">
        <w:t xml:space="preserve">organic and inorganic hydraulic fracturing and geogenic </w:t>
      </w:r>
      <w:r w:rsidR="004C2753" w:rsidRPr="00B11A4A">
        <w:t>chemicals</w:t>
      </w:r>
      <w:r w:rsidR="004C2753" w:rsidRPr="00A63DFB">
        <w:t xml:space="preserve"> </w:t>
      </w:r>
      <w:r w:rsidR="004C2753">
        <w:t>evaluated, a</w:t>
      </w:r>
      <w:r w:rsidR="00102896" w:rsidRPr="00A63DFB">
        <w:t xml:space="preserve"> setback distance of 2 km would satisfy the DAF criteria </w:t>
      </w:r>
      <w:r w:rsidR="004C2753">
        <w:t xml:space="preserve">for </w:t>
      </w:r>
      <w:r w:rsidR="002948C2">
        <w:t xml:space="preserve">most </w:t>
      </w:r>
      <w:r w:rsidR="004C2753">
        <w:t xml:space="preserve">of </w:t>
      </w:r>
      <w:r w:rsidR="002948C2">
        <w:t>the chemicals considered</w:t>
      </w:r>
      <w:r w:rsidR="00F23AA1">
        <w:t xml:space="preserve"> in this study</w:t>
      </w:r>
      <w:r w:rsidR="004C2753">
        <w:t>.</w:t>
      </w:r>
      <w:r w:rsidR="00102896" w:rsidRPr="00B11A4A">
        <w:t xml:space="preserve"> </w:t>
      </w:r>
    </w:p>
    <w:p w14:paraId="016F1978" w14:textId="06F35687" w:rsidR="00CF6F2B" w:rsidRDefault="0052304B" w:rsidP="0087029C">
      <w:pPr>
        <w:pStyle w:val="Body"/>
      </w:pPr>
      <w:r>
        <w:t>Based on consideration of</w:t>
      </w:r>
      <w:r w:rsidR="00A41708">
        <w:t xml:space="preserve"> the</w:t>
      </w:r>
      <w:r>
        <w:t xml:space="preserve"> eleven chemicals (drilling </w:t>
      </w:r>
      <w:r w:rsidR="00A41708">
        <w:t xml:space="preserve">chemicals, </w:t>
      </w:r>
      <w:r w:rsidRPr="00B11A4A">
        <w:t>hydraulic fracturing chemicals</w:t>
      </w:r>
      <w:r w:rsidR="00A41708">
        <w:t>,</w:t>
      </w:r>
      <w:r w:rsidRPr="00B11A4A">
        <w:t xml:space="preserve"> </w:t>
      </w:r>
      <w:r>
        <w:t>and geogenic</w:t>
      </w:r>
      <w:r w:rsidR="00A41708">
        <w:t xml:space="preserve"> chemical</w:t>
      </w:r>
      <w:r>
        <w:t>s)</w:t>
      </w:r>
      <w:r w:rsidR="00A41708">
        <w:t>,</w:t>
      </w:r>
      <w:r>
        <w:t xml:space="preserve"> t</w:t>
      </w:r>
      <w:r w:rsidR="00033C81" w:rsidRPr="00B11A4A">
        <w:t xml:space="preserve">he overall conclusions from this study </w:t>
      </w:r>
      <w:r w:rsidR="00CF6F2B">
        <w:t>are formulated as follows:</w:t>
      </w:r>
    </w:p>
    <w:p w14:paraId="5A11D10E" w14:textId="2B281650" w:rsidR="00CF6F2B" w:rsidRDefault="00CF6F2B" w:rsidP="00217A03">
      <w:pPr>
        <w:pStyle w:val="Body"/>
        <w:numPr>
          <w:ilvl w:val="0"/>
          <w:numId w:val="76"/>
        </w:numPr>
      </w:pPr>
      <w:r>
        <w:t xml:space="preserve">If the risk is measured at receptors such as those in the Bioregional Assessment register (including groundwater dependent ecosystems at or near the land surface), then this study </w:t>
      </w:r>
      <w:r w:rsidR="00033C81" w:rsidRPr="00B11A4A">
        <w:t>indicate</w:t>
      </w:r>
      <w:r>
        <w:t>s</w:t>
      </w:r>
      <w:r w:rsidR="00033C81" w:rsidRPr="00B11A4A">
        <w:t xml:space="preserve"> that the risk for contamination of deeper groundwater </w:t>
      </w:r>
      <w:r w:rsidR="00D92AC4">
        <w:t xml:space="preserve">by coal sea gas chemicals </w:t>
      </w:r>
      <w:r w:rsidR="00033C81" w:rsidRPr="00B11A4A">
        <w:t>is small to very small</w:t>
      </w:r>
      <w:r w:rsidR="004004AA" w:rsidRPr="00B11A4A">
        <w:t xml:space="preserve"> for the two case study areas</w:t>
      </w:r>
      <w:r w:rsidR="00D92AC4">
        <w:t xml:space="preserve"> and for the eleven chemicals </w:t>
      </w:r>
      <w:r w:rsidR="00DE0D23">
        <w:t>involved at the Level-2 analysis</w:t>
      </w:r>
      <w:r w:rsidR="008120D2">
        <w:t>. This conclusion has a very high level of confidence.</w:t>
      </w:r>
    </w:p>
    <w:p w14:paraId="76BE17AC" w14:textId="7B2361F1" w:rsidR="00D33D5E" w:rsidRDefault="00CF6F2B" w:rsidP="00217A03">
      <w:pPr>
        <w:pStyle w:val="Body"/>
        <w:numPr>
          <w:ilvl w:val="0"/>
          <w:numId w:val="76"/>
        </w:numPr>
      </w:pPr>
      <w:r>
        <w:t>If the risk is assessed at receptors such as “groundwater”</w:t>
      </w:r>
      <w:r w:rsidR="00AA6FCF">
        <w:t xml:space="preserve"> </w:t>
      </w:r>
      <w:r w:rsidR="00A41708" w:rsidRPr="00A41708">
        <w:t xml:space="preserve">the methods described here can be used to calculate an ‘offset distance’ from hydraulically fractured CSG wells beyond which risks are low. For example, assuming a fracking fluid volume of 1 ML and concentrations set out in </w:t>
      </w:r>
      <w:r w:rsidR="00A41708">
        <w:fldChar w:fldCharType="begin"/>
      </w:r>
      <w:r w:rsidR="00A41708">
        <w:instrText xml:space="preserve"> REF _Ref472513601 \h </w:instrText>
      </w:r>
      <w:r w:rsidR="00A41708">
        <w:fldChar w:fldCharType="separate"/>
      </w:r>
      <w:r w:rsidR="00951AFC">
        <w:t xml:space="preserve">Table </w:t>
      </w:r>
      <w:r w:rsidR="00951AFC">
        <w:rPr>
          <w:noProof/>
        </w:rPr>
        <w:t>5</w:t>
      </w:r>
      <w:r w:rsidR="00951AFC">
        <w:noBreakHyphen/>
      </w:r>
      <w:r w:rsidR="00951AFC">
        <w:rPr>
          <w:noProof/>
        </w:rPr>
        <w:t>23</w:t>
      </w:r>
      <w:r w:rsidR="00A41708">
        <w:fldChar w:fldCharType="end"/>
      </w:r>
      <w:r w:rsidR="00A41708" w:rsidRPr="00A41708">
        <w:t xml:space="preserve">, </w:t>
      </w:r>
      <w:r>
        <w:t xml:space="preserve">the point of assessment </w:t>
      </w:r>
      <w:r w:rsidR="00A41708">
        <w:t>must</w:t>
      </w:r>
      <w:r>
        <w:t xml:space="preserve"> be at least 500 m</w:t>
      </w:r>
      <w:r w:rsidR="00FC7487">
        <w:t xml:space="preserve"> </w:t>
      </w:r>
      <w:r w:rsidR="0052304B">
        <w:t>(</w:t>
      </w:r>
      <w:r w:rsidR="0052304B" w:rsidRPr="00546607">
        <w:rPr>
          <w:rFonts w:eastAsia="Times New Roman" w:cs="Times New Roman"/>
          <w:lang w:eastAsia="en-AU"/>
        </w:rPr>
        <w:t xml:space="preserve">2-butoxyethanol, </w:t>
      </w:r>
      <w:r w:rsidR="00A3711C">
        <w:rPr>
          <w:rFonts w:eastAsia="Times New Roman" w:cs="Times New Roman"/>
          <w:lang w:eastAsia="en-AU"/>
        </w:rPr>
        <w:t xml:space="preserve">naphthalene, </w:t>
      </w:r>
      <w:r w:rsidR="0052304B" w:rsidRPr="00546607">
        <w:rPr>
          <w:rFonts w:eastAsia="Times New Roman" w:cs="Times New Roman"/>
          <w:lang w:eastAsia="en-AU"/>
        </w:rPr>
        <w:t>arsenic, bariu</w:t>
      </w:r>
      <w:r w:rsidR="0052304B" w:rsidRPr="00B93863">
        <w:rPr>
          <w:rFonts w:eastAsia="Times New Roman" w:cs="Times New Roman"/>
          <w:lang w:eastAsia="en-AU"/>
        </w:rPr>
        <w:t>m, boron, uranium</w:t>
      </w:r>
      <w:r w:rsidR="0052304B">
        <w:t>)</w:t>
      </w:r>
      <w:r>
        <w:t xml:space="preserve">, </w:t>
      </w:r>
      <w:r w:rsidR="00A41708">
        <w:t>or</w:t>
      </w:r>
      <w:r>
        <w:t xml:space="preserve"> </w:t>
      </w:r>
      <w:r w:rsidR="00D92AC4">
        <w:t>2</w:t>
      </w:r>
      <w:r>
        <w:t>,</w:t>
      </w:r>
      <w:r w:rsidR="00D92AC4">
        <w:t>0</w:t>
      </w:r>
      <w:r>
        <w:t xml:space="preserve">00 m </w:t>
      </w:r>
      <w:r w:rsidR="00D92AC4">
        <w:t xml:space="preserve">for </w:t>
      </w:r>
      <w:r w:rsidR="00D92AC4" w:rsidRPr="00B8683A">
        <w:t>methyl-chloro-isothiazolinone</w:t>
      </w:r>
      <w:r w:rsidR="00D92AC4" w:rsidRPr="00546607">
        <w:rPr>
          <w:rFonts w:eastAsia="Times New Roman" w:cs="Times New Roman"/>
          <w:lang w:eastAsia="en-AU"/>
        </w:rPr>
        <w:t xml:space="preserve"> </w:t>
      </w:r>
      <w:r w:rsidR="0067327E" w:rsidRPr="00B93863">
        <w:rPr>
          <w:rFonts w:eastAsia="Times New Roman" w:cs="Times New Roman"/>
          <w:lang w:eastAsia="en-AU"/>
        </w:rPr>
        <w:t>(</w:t>
      </w:r>
      <w:r w:rsidR="00D92AC4" w:rsidRPr="00B93863">
        <w:rPr>
          <w:rFonts w:eastAsia="Times New Roman" w:cs="Times New Roman"/>
          <w:lang w:eastAsia="en-AU"/>
        </w:rPr>
        <w:t>MCI</w:t>
      </w:r>
      <w:r w:rsidR="00D92AC4">
        <w:t>)</w:t>
      </w:r>
      <w:r w:rsidR="00A41708">
        <w:t>,</w:t>
      </w:r>
      <w:r w:rsidR="00D92AC4">
        <w:t xml:space="preserve"> </w:t>
      </w:r>
      <w:r w:rsidR="00A41708">
        <w:t xml:space="preserve">from the </w:t>
      </w:r>
      <w:r>
        <w:t xml:space="preserve">CSG well to ensure </w:t>
      </w:r>
      <w:r w:rsidR="00A41708">
        <w:t>that concentrations will fall below the</w:t>
      </w:r>
      <w:r w:rsidR="00546607">
        <w:t xml:space="preserve"> p</w:t>
      </w:r>
      <w:r w:rsidR="00546607" w:rsidRPr="00D6215B">
        <w:t>redicted no effect concentrations (PNEC) for the protection of aquatic freshwater biota and drinking water guideline concentrations for Australia</w:t>
      </w:r>
      <w:r w:rsidR="00B63E17">
        <w:t xml:space="preserve"> (for naphthalene a recommended maximum </w:t>
      </w:r>
      <w:r w:rsidR="00262FCE">
        <w:t xml:space="preserve">drinking water </w:t>
      </w:r>
      <w:r w:rsidR="00B63E17">
        <w:t>concentration from the US was used)</w:t>
      </w:r>
      <w:r w:rsidR="00A41708">
        <w:t>. This conclusion</w:t>
      </w:r>
      <w:r w:rsidR="00546607">
        <w:t xml:space="preserve"> </w:t>
      </w:r>
      <w:r w:rsidR="00D33D5E">
        <w:t>has a very high level of confidence.</w:t>
      </w:r>
    </w:p>
    <w:p w14:paraId="40CF734A" w14:textId="52222905" w:rsidR="00CF6F2B" w:rsidRDefault="00A41708" w:rsidP="00217A03">
      <w:pPr>
        <w:pStyle w:val="Body"/>
        <w:numPr>
          <w:ilvl w:val="0"/>
          <w:numId w:val="76"/>
        </w:numPr>
      </w:pPr>
      <w:r w:rsidRPr="00A41708">
        <w:t xml:space="preserve">It was not possible to extend this example </w:t>
      </w:r>
      <w:r w:rsidR="00A914C4">
        <w:t>at receptors such as “groundwater” for 2-methylphenol, limonene, HMX, bronopol, and acrylamide polymer cannot at present be determined with a very high level of confidence d</w:t>
      </w:r>
      <w:r w:rsidR="00D60BB6">
        <w:t xml:space="preserve">ue to lack of data on </w:t>
      </w:r>
      <w:r w:rsidR="005E28E4">
        <w:t xml:space="preserve">concentrations </w:t>
      </w:r>
      <w:r w:rsidR="00066252">
        <w:t xml:space="preserve">prior to injection and/or PNEC and drinking water guide values for </w:t>
      </w:r>
      <w:r w:rsidR="007F6573">
        <w:t xml:space="preserve">these chemicals. However, based on the derived DAF for each of these chemicals, </w:t>
      </w:r>
      <w:r w:rsidR="00066252">
        <w:t>the required point of assessment relative to a CSG well to ensure small to very small risks</w:t>
      </w:r>
      <w:r w:rsidR="007F6573">
        <w:t xml:space="preserve"> is very likely similar </w:t>
      </w:r>
      <w:r w:rsidR="00AD456B">
        <w:t>to those of the chemicals for which sufficient data for assessment was available</w:t>
      </w:r>
      <w:r w:rsidR="00066252">
        <w:t>.</w:t>
      </w:r>
      <w:r w:rsidR="00675FC7">
        <w:t xml:space="preserve"> This conclusion has a high level of confidence.</w:t>
      </w:r>
    </w:p>
    <w:p w14:paraId="51ECB056" w14:textId="4E8A78F3" w:rsidR="00033C81" w:rsidRPr="00B11A4A" w:rsidRDefault="00033C81" w:rsidP="00CF6F2B">
      <w:pPr>
        <w:pStyle w:val="Body"/>
      </w:pPr>
      <w:r w:rsidRPr="00B11A4A">
        <w:t>Evidence to underpin th</w:t>
      </w:r>
      <w:r w:rsidR="007439C2">
        <w:t>ese</w:t>
      </w:r>
      <w:r w:rsidRPr="00B11A4A">
        <w:t xml:space="preserve"> conclusion</w:t>
      </w:r>
      <w:r w:rsidR="007439C2">
        <w:t>s</w:t>
      </w:r>
      <w:r w:rsidRPr="00B11A4A">
        <w:t xml:space="preserve"> include:</w:t>
      </w:r>
    </w:p>
    <w:p w14:paraId="7BB1B223" w14:textId="4A80582F" w:rsidR="00033C81" w:rsidRPr="00A63DFB" w:rsidRDefault="00033C81" w:rsidP="00217A03">
      <w:pPr>
        <w:pStyle w:val="Body"/>
        <w:numPr>
          <w:ilvl w:val="0"/>
          <w:numId w:val="63"/>
        </w:numPr>
      </w:pPr>
      <w:r w:rsidRPr="00A63DFB">
        <w:t>An assessment of the likelihood of each of four plausible fate and transport release pathways, with the conclusion being that such pathways are either unlikely (</w:t>
      </w:r>
      <w:r w:rsidR="004B0C32">
        <w:t>with a high to very high confidence</w:t>
      </w:r>
      <w:r w:rsidRPr="00A63DFB">
        <w:t>) or extremely unlikely (&lt;5% probability) in an Australian context,</w:t>
      </w:r>
    </w:p>
    <w:p w14:paraId="1ABDD77F" w14:textId="2F088551" w:rsidR="00033C81" w:rsidRPr="00A63DFB" w:rsidRDefault="00033C81" w:rsidP="00217A03">
      <w:pPr>
        <w:pStyle w:val="Body"/>
        <w:numPr>
          <w:ilvl w:val="0"/>
          <w:numId w:val="63"/>
        </w:numPr>
      </w:pPr>
      <w:r w:rsidRPr="00A63DFB">
        <w:t xml:space="preserve">A spatial analysis of proximity of ecologic, economic and sociocultural assets to CSG wells in subdomains of the Gunnedah and Surat Basins, which </w:t>
      </w:r>
      <w:r w:rsidR="00AC7245">
        <w:t>showed</w:t>
      </w:r>
      <w:r w:rsidRPr="00A63DFB">
        <w:t xml:space="preserve"> that the majority were at large </w:t>
      </w:r>
      <w:r w:rsidR="003C21D2" w:rsidRPr="00A63DFB">
        <w:t xml:space="preserve">(km) </w:t>
      </w:r>
      <w:r w:rsidRPr="00A63DFB">
        <w:t xml:space="preserve">to very </w:t>
      </w:r>
      <w:r w:rsidR="003C21D2" w:rsidRPr="00A63DFB">
        <w:t xml:space="preserve">large (tens of km) </w:t>
      </w:r>
      <w:r w:rsidRPr="00A63DFB">
        <w:t xml:space="preserve">distance from existing or planned CSG wells, </w:t>
      </w:r>
    </w:p>
    <w:p w14:paraId="634055A8" w14:textId="74EF35AF" w:rsidR="00033C81" w:rsidRPr="00A63DFB" w:rsidRDefault="003C21D2" w:rsidP="00217A03">
      <w:pPr>
        <w:pStyle w:val="Body"/>
        <w:numPr>
          <w:ilvl w:val="0"/>
          <w:numId w:val="63"/>
        </w:numPr>
      </w:pPr>
      <w:r w:rsidRPr="00A63DFB">
        <w:t>A numerical particle tracking analysis using state-of-the-ar</w:t>
      </w:r>
      <w:r w:rsidR="009D513F" w:rsidRPr="00A63DFB">
        <w:t>t</w:t>
      </w:r>
      <w:r w:rsidRPr="00B11A4A">
        <w:t xml:space="preserve"> regional-scale groundwater models, demonstrating in the subdomains of the Gunnedah and Surat Basins where particle tracking was undertaken, that the number of potential connections between </w:t>
      </w:r>
      <w:r w:rsidR="00AC7245">
        <w:t xml:space="preserve">CSG well locations and </w:t>
      </w:r>
      <w:r w:rsidRPr="00B11A4A">
        <w:t>existing receptors was found to be r</w:t>
      </w:r>
      <w:r w:rsidRPr="00A63DFB">
        <w:t>elatively small. Where connections had been identified, the travel time through groundwater was determined to be very long, from hundreds to tens of thousands of years,</w:t>
      </w:r>
    </w:p>
    <w:p w14:paraId="3904F987" w14:textId="41058847" w:rsidR="003C21D2" w:rsidRPr="00A63DFB" w:rsidRDefault="003C21D2" w:rsidP="00217A03">
      <w:pPr>
        <w:pStyle w:val="Body"/>
        <w:numPr>
          <w:ilvl w:val="0"/>
          <w:numId w:val="63"/>
        </w:numPr>
      </w:pPr>
      <w:r w:rsidRPr="00A63DFB">
        <w:t xml:space="preserve">Calculations of attenuation potential for organic compounds on the basis of degradation constants (half-lives) obtained from the literature, which indicated that for the long travel times typical of the </w:t>
      </w:r>
      <w:r w:rsidR="0010385B" w:rsidRPr="00A63DFB">
        <w:t xml:space="preserve">two </w:t>
      </w:r>
      <w:r w:rsidRPr="00A63DFB">
        <w:t>case study areas, chemical (hydrolysis) and microbiological (aerobic or anaerobic) degradation processes together with sorption onto org</w:t>
      </w:r>
      <w:r w:rsidR="00E61876" w:rsidRPr="00A63DFB">
        <w:t>anic matter would easily reduce</w:t>
      </w:r>
      <w:r w:rsidRPr="00A63DFB">
        <w:t xml:space="preserve"> chemical concentrations to below any hazardous level</w:t>
      </w:r>
      <w:r w:rsidR="00AC7245">
        <w:t>,</w:t>
      </w:r>
      <w:r w:rsidRPr="00A63DFB">
        <w:t xml:space="preserve"> </w:t>
      </w:r>
    </w:p>
    <w:p w14:paraId="490D77DA" w14:textId="162C410E" w:rsidR="003C21D2" w:rsidRPr="00A63DFB" w:rsidRDefault="0010385B" w:rsidP="00217A03">
      <w:pPr>
        <w:pStyle w:val="Body"/>
        <w:numPr>
          <w:ilvl w:val="0"/>
          <w:numId w:val="63"/>
        </w:numPr>
      </w:pPr>
      <w:r w:rsidRPr="00A63DFB">
        <w:t>Calculations of attenuation potential due to dilution and dispersion, which provided another line of evidence that</w:t>
      </w:r>
      <w:r w:rsidR="00AC7245">
        <w:t>,</w:t>
      </w:r>
      <w:r w:rsidRPr="00A63DFB">
        <w:t xml:space="preserve"> for the </w:t>
      </w:r>
      <w:r w:rsidR="00ED2D33" w:rsidRPr="00A63DFB">
        <w:t xml:space="preserve">large </w:t>
      </w:r>
      <w:r w:rsidRPr="00A63DFB">
        <w:t xml:space="preserve">travel </w:t>
      </w:r>
      <w:r w:rsidR="00ED2D33" w:rsidRPr="00A63DFB">
        <w:t>distances</w:t>
      </w:r>
      <w:r w:rsidR="00AC7245">
        <w:t>,</w:t>
      </w:r>
      <w:r w:rsidR="00ED2D33" w:rsidRPr="00A63DFB">
        <w:t xml:space="preserve"> </w:t>
      </w:r>
      <w:r w:rsidR="00AC7245">
        <w:t xml:space="preserve">a </w:t>
      </w:r>
      <w:r w:rsidR="00ED2D33" w:rsidRPr="00A63DFB">
        <w:t>significant decrease in chemical concentration can be obtained (also for inorganic chemicals)</w:t>
      </w:r>
      <w:r w:rsidRPr="00A63DFB">
        <w:t xml:space="preserve">. </w:t>
      </w:r>
    </w:p>
    <w:p w14:paraId="40BB4C84" w14:textId="3E7B017D" w:rsidR="00ED2D33" w:rsidRPr="00A63DFB" w:rsidRDefault="00ED2D33" w:rsidP="00217A03">
      <w:pPr>
        <w:pStyle w:val="Body"/>
        <w:numPr>
          <w:ilvl w:val="0"/>
          <w:numId w:val="63"/>
        </w:numPr>
      </w:pPr>
      <w:r w:rsidRPr="00A63DFB">
        <w:t xml:space="preserve">A comparison of the concentration of hydraulic fracturing chemicals prior to injection with PNEC values for chronic and overall aquatic ecotoxicity, which illustrated that the required attenuation to yield concentrations in groundwater that are not harmful </w:t>
      </w:r>
      <w:r w:rsidR="00E9391C" w:rsidRPr="00A63DFB">
        <w:t>is</w:t>
      </w:r>
      <w:r w:rsidRPr="00A63DFB">
        <w:t xml:space="preserve"> easily obtained by the dilution processes considered for </w:t>
      </w:r>
      <w:r w:rsidR="00E9391C" w:rsidRPr="00A63DFB">
        <w:t xml:space="preserve">a </w:t>
      </w:r>
      <w:r w:rsidRPr="00A63DFB">
        <w:t>distance between CSG well and receptor of approximately 2 km.</w:t>
      </w:r>
      <w:r w:rsidR="00E9391C" w:rsidRPr="00A63DFB">
        <w:t xml:space="preserve"> The same conclusion was reached when </w:t>
      </w:r>
      <w:r w:rsidR="004004AA" w:rsidRPr="00A63DFB">
        <w:t xml:space="preserve">a comparison was made between the </w:t>
      </w:r>
      <w:r w:rsidR="00E9391C" w:rsidRPr="00A63DFB">
        <w:t xml:space="preserve">maximum concentrations of inorganic elements measured in laboratory tests </w:t>
      </w:r>
      <w:r w:rsidR="004004AA" w:rsidRPr="00A63DFB">
        <w:t>(</w:t>
      </w:r>
      <w:r w:rsidR="00E9391C" w:rsidRPr="00A63DFB">
        <w:t>where coal samples were subjected to acidic fluids to simulate effects of hydraulic fracturing fluids on release of i</w:t>
      </w:r>
      <w:r w:rsidR="004004AA" w:rsidRPr="00A63DFB">
        <w:t xml:space="preserve">norganic elements) and </w:t>
      </w:r>
      <w:r w:rsidR="00E9391C" w:rsidRPr="00A63DFB">
        <w:t>their water quality guidelines for aquatic ecosystem protection.</w:t>
      </w:r>
    </w:p>
    <w:p w14:paraId="28375FC4" w14:textId="03195812" w:rsidR="00F2768C" w:rsidRPr="00A63DFB" w:rsidRDefault="00F2768C" w:rsidP="00AC7245">
      <w:pPr>
        <w:pStyle w:val="Body"/>
      </w:pPr>
      <w:r w:rsidRPr="00A63DFB">
        <w:t>Re</w:t>
      </w:r>
      <w:r w:rsidR="00AC7245">
        <w:t>c</w:t>
      </w:r>
      <w:r w:rsidRPr="00A63DFB">
        <w:t>ommendations for further research include:</w:t>
      </w:r>
    </w:p>
    <w:p w14:paraId="0FDA2D50" w14:textId="135B6FD0" w:rsidR="00F2768C" w:rsidRPr="00A63DFB" w:rsidRDefault="002D0A4D" w:rsidP="00217A03">
      <w:pPr>
        <w:pStyle w:val="Body"/>
        <w:numPr>
          <w:ilvl w:val="0"/>
          <w:numId w:val="63"/>
        </w:numPr>
      </w:pPr>
      <w:r>
        <w:t>T</w:t>
      </w:r>
      <w:r w:rsidR="00F2768C" w:rsidRPr="00A63DFB">
        <w:t xml:space="preserve">he attenuation calculations </w:t>
      </w:r>
      <w:r>
        <w:t xml:space="preserve">could be extended </w:t>
      </w:r>
      <w:r w:rsidR="00F2768C" w:rsidRPr="00A63DFB">
        <w:t>to the transformation products by using the degradation pathways identified here</w:t>
      </w:r>
      <w:r>
        <w:t>in this report</w:t>
      </w:r>
      <w:r w:rsidR="00F2768C" w:rsidRPr="00A63DFB">
        <w:t>. This requires further data collection regarding half-li</w:t>
      </w:r>
      <w:r>
        <w:t>v</w:t>
      </w:r>
      <w:r w:rsidR="00F2768C" w:rsidRPr="00A63DFB">
        <w:t>es and sorption behaviour</w:t>
      </w:r>
      <w:r w:rsidR="00AC7245">
        <w:t xml:space="preserve"> for each of the transformation products</w:t>
      </w:r>
      <w:r w:rsidR="00F2768C" w:rsidRPr="00A63DFB">
        <w:t xml:space="preserve">. </w:t>
      </w:r>
      <w:r>
        <w:t>These</w:t>
      </w:r>
      <w:r w:rsidR="00F2768C" w:rsidRPr="00A63DFB">
        <w:t xml:space="preserve"> calculations </w:t>
      </w:r>
      <w:r>
        <w:t xml:space="preserve">might help </w:t>
      </w:r>
      <w:r w:rsidR="00F2768C" w:rsidRPr="00A63DFB">
        <w:t>confirm that none of the transformation products could bioaccumulative because of a long half-life,</w:t>
      </w:r>
    </w:p>
    <w:p w14:paraId="596E5867" w14:textId="788F8410" w:rsidR="00F2768C" w:rsidRDefault="002D0A4D" w:rsidP="00217A03">
      <w:pPr>
        <w:pStyle w:val="Body"/>
        <w:numPr>
          <w:ilvl w:val="0"/>
          <w:numId w:val="63"/>
        </w:numPr>
      </w:pPr>
      <w:r>
        <w:t>T</w:t>
      </w:r>
      <w:r w:rsidR="00F2768C" w:rsidRPr="00A63DFB">
        <w:t xml:space="preserve">he list of chemicals with available PNEC data for ecosystem protection </w:t>
      </w:r>
      <w:r>
        <w:t xml:space="preserve">could be expanded </w:t>
      </w:r>
      <w:r w:rsidR="00F2768C" w:rsidRPr="00A63DFB">
        <w:t>such that minimal DAF values to achieve levels ‘of low concern’ c</w:t>
      </w:r>
      <w:r>
        <w:t>ould</w:t>
      </w:r>
      <w:r w:rsidR="00F2768C" w:rsidRPr="00A63DFB">
        <w:t xml:space="preserve"> be derived (provide</w:t>
      </w:r>
      <w:r>
        <w:t>d</w:t>
      </w:r>
      <w:r w:rsidR="00F2768C" w:rsidRPr="00A63DFB">
        <w:t xml:space="preserve"> </w:t>
      </w:r>
      <w:r>
        <w:t xml:space="preserve">their </w:t>
      </w:r>
      <w:r w:rsidR="00F2768C" w:rsidRPr="00A63DFB">
        <w:t>chemical concentration prior to injection is k</w:t>
      </w:r>
      <w:r w:rsidR="00186A83">
        <w:t>nown). The same holds true for chemicals without drinking water guideline values,</w:t>
      </w:r>
    </w:p>
    <w:p w14:paraId="0B0817BE" w14:textId="12F42CED" w:rsidR="008C1049" w:rsidRDefault="008C1049" w:rsidP="00217A03">
      <w:pPr>
        <w:pStyle w:val="Body"/>
        <w:numPr>
          <w:ilvl w:val="0"/>
          <w:numId w:val="63"/>
        </w:numPr>
      </w:pPr>
      <w:r>
        <w:t>E</w:t>
      </w:r>
      <w:r w:rsidRPr="008C1049">
        <w:t>valuation of mixture toxicity</w:t>
      </w:r>
      <w:r>
        <w:t>. This could include</w:t>
      </w:r>
      <w:r w:rsidRPr="008C1049">
        <w:t xml:space="preserve"> determin</w:t>
      </w:r>
      <w:r>
        <w:t>ation of</w:t>
      </w:r>
      <w:r w:rsidRPr="008C1049">
        <w:t xml:space="preserve"> the necessary input parameters needed to develop a concentration additive model such as toxicitiy units for each contaminant and characterisation of the modes of toxic interaction.</w:t>
      </w:r>
    </w:p>
    <w:p w14:paraId="72BFC71C" w14:textId="33CD8E3E" w:rsidR="00E574AA" w:rsidRPr="00A63DFB" w:rsidRDefault="00E574AA" w:rsidP="00217A03">
      <w:pPr>
        <w:pStyle w:val="Body"/>
        <w:numPr>
          <w:ilvl w:val="0"/>
          <w:numId w:val="63"/>
        </w:numPr>
      </w:pPr>
      <w:r>
        <w:t xml:space="preserve">Qualification of predictive uncertainty. </w:t>
      </w:r>
      <w:r w:rsidR="002E10AF">
        <w:t xml:space="preserve">A more systematic analysis of predictive uncertainty is warranted to </w:t>
      </w:r>
      <w:r w:rsidR="00FC252E">
        <w:t>capture are key sources of uncertainty such that reliable confidence intervals can be defined for particular outputs, such as the DAF values. Being able to apportion overall uncertainty to various contributing processes, parameters and boundary or initial conditions will allow future investments to be more targeted and aimed at reducing only those uncertainties that are key contributors to the overall uncertainty.</w:t>
      </w:r>
      <w:r w:rsidR="00515E1C">
        <w:t xml:space="preserve"> This would be especially valuable with regards to particle tracking analysis, as the current calculations are based on relatively coarse flow models with limited resolution in the hydrogeological models.</w:t>
      </w:r>
    </w:p>
    <w:p w14:paraId="146E84DA" w14:textId="0035A525" w:rsidR="00A44A9A" w:rsidRPr="00E6110F" w:rsidRDefault="00A44A9A" w:rsidP="00033C81">
      <w:pPr>
        <w:pStyle w:val="Body"/>
        <w:rPr>
          <w:rFonts w:ascii="Calibri-Bold" w:hAnsi="Calibri-Bold" w:cs="Calibri-Bold"/>
          <w:b/>
          <w:bCs/>
          <w:color w:val="00AEEF"/>
          <w:sz w:val="48"/>
          <w:szCs w:val="48"/>
        </w:rPr>
      </w:pPr>
      <w:r w:rsidRPr="00E6110F">
        <w:br w:type="page"/>
      </w:r>
    </w:p>
    <w:p w14:paraId="19E6F4F5" w14:textId="1812630C" w:rsidR="00E8296A" w:rsidRPr="00E6110F" w:rsidRDefault="00E8296A" w:rsidP="00563D0F">
      <w:pPr>
        <w:pStyle w:val="Heading1"/>
      </w:pPr>
      <w:bookmarkStart w:id="767" w:name="_Toc494444690"/>
      <w:r w:rsidRPr="00E6110F">
        <w:t>References</w:t>
      </w:r>
      <w:bookmarkEnd w:id="767"/>
    </w:p>
    <w:p w14:paraId="279D3996" w14:textId="357E964A" w:rsidR="00F916B6" w:rsidRPr="00D850DF" w:rsidRDefault="00F916B6" w:rsidP="00F916B6">
      <w:pPr>
        <w:pStyle w:val="Body"/>
        <w:spacing w:afterLines="20" w:after="48"/>
        <w:ind w:left="567" w:hanging="567"/>
        <w:rPr>
          <w:rFonts w:asciiTheme="majorHAnsi" w:hAnsiTheme="majorHAnsi"/>
        </w:rPr>
      </w:pPr>
      <w:r w:rsidRPr="00D850DF">
        <w:rPr>
          <w:rFonts w:asciiTheme="majorHAnsi" w:hAnsiTheme="majorHAnsi"/>
        </w:rPr>
        <w:t>Abraham WR, Hoffmann</w:t>
      </w:r>
      <w:r w:rsidR="00185938" w:rsidRPr="00D850DF">
        <w:rPr>
          <w:rFonts w:asciiTheme="majorHAnsi" w:hAnsiTheme="majorHAnsi"/>
        </w:rPr>
        <w:t xml:space="preserve"> HMR</w:t>
      </w:r>
      <w:r w:rsidRPr="00D850DF">
        <w:rPr>
          <w:rFonts w:asciiTheme="majorHAnsi" w:hAnsiTheme="majorHAnsi"/>
        </w:rPr>
        <w:t>, Kieslich</w:t>
      </w:r>
      <w:r w:rsidR="00185938" w:rsidRPr="00D850DF">
        <w:rPr>
          <w:rFonts w:asciiTheme="majorHAnsi" w:hAnsiTheme="majorHAnsi"/>
        </w:rPr>
        <w:t xml:space="preserve"> K</w:t>
      </w:r>
      <w:r w:rsidRPr="00D850DF">
        <w:rPr>
          <w:rFonts w:asciiTheme="majorHAnsi" w:hAnsiTheme="majorHAnsi"/>
        </w:rPr>
        <w:t>, Reng</w:t>
      </w:r>
      <w:r w:rsidR="00185938" w:rsidRPr="00D850DF">
        <w:rPr>
          <w:rFonts w:asciiTheme="majorHAnsi" w:hAnsiTheme="majorHAnsi"/>
        </w:rPr>
        <w:t xml:space="preserve"> G</w:t>
      </w:r>
      <w:r w:rsidRPr="00D850DF">
        <w:rPr>
          <w:rFonts w:asciiTheme="majorHAnsi" w:hAnsiTheme="majorHAnsi"/>
        </w:rPr>
        <w:t>, and Stumpf</w:t>
      </w:r>
      <w:r w:rsidR="00E70A71" w:rsidRPr="00D850DF">
        <w:rPr>
          <w:rFonts w:asciiTheme="majorHAnsi" w:hAnsiTheme="majorHAnsi"/>
        </w:rPr>
        <w:t xml:space="preserve"> </w:t>
      </w:r>
      <w:r w:rsidR="00185938" w:rsidRPr="00D850DF">
        <w:rPr>
          <w:rFonts w:asciiTheme="majorHAnsi" w:hAnsiTheme="majorHAnsi"/>
        </w:rPr>
        <w:t xml:space="preserve">B </w:t>
      </w:r>
      <w:r w:rsidR="00E70A71" w:rsidRPr="00D850DF">
        <w:rPr>
          <w:rFonts w:asciiTheme="majorHAnsi" w:hAnsiTheme="majorHAnsi"/>
        </w:rPr>
        <w:t>(</w:t>
      </w:r>
      <w:r w:rsidRPr="00D850DF">
        <w:rPr>
          <w:rFonts w:asciiTheme="majorHAnsi" w:hAnsiTheme="majorHAnsi"/>
        </w:rPr>
        <w:t>1985</w:t>
      </w:r>
      <w:r w:rsidR="00E70A71" w:rsidRPr="00D850DF">
        <w:rPr>
          <w:rFonts w:asciiTheme="majorHAnsi" w:hAnsiTheme="majorHAnsi"/>
        </w:rPr>
        <w:t>)</w:t>
      </w:r>
      <w:r w:rsidR="009D513F" w:rsidRPr="00D850DF">
        <w:rPr>
          <w:rFonts w:asciiTheme="majorHAnsi" w:hAnsiTheme="majorHAnsi"/>
        </w:rPr>
        <w:t>.</w:t>
      </w:r>
      <w:r w:rsidRPr="00D850DF">
        <w:rPr>
          <w:rFonts w:asciiTheme="majorHAnsi" w:hAnsiTheme="majorHAnsi"/>
        </w:rPr>
        <w:t xml:space="preserve"> Microbial transformation of some monoterpenoids and sesquiterpenoids. Ciba Foundation symposium, III: 146–160.</w:t>
      </w:r>
    </w:p>
    <w:p w14:paraId="695A7D2E" w14:textId="33882665" w:rsidR="00454359" w:rsidRPr="00D850DF" w:rsidRDefault="00454359" w:rsidP="00454359">
      <w:pPr>
        <w:pStyle w:val="Body"/>
        <w:spacing w:afterLines="20" w:after="48"/>
        <w:ind w:left="567" w:hanging="567"/>
        <w:rPr>
          <w:rFonts w:asciiTheme="majorHAnsi" w:hAnsiTheme="majorHAnsi"/>
        </w:rPr>
      </w:pPr>
      <w:r w:rsidRPr="00D850DF">
        <w:rPr>
          <w:rFonts w:asciiTheme="majorHAnsi" w:hAnsiTheme="majorHAnsi"/>
        </w:rPr>
        <w:t>Abrams D, H</w:t>
      </w:r>
      <w:r w:rsidR="002F3FEB" w:rsidRPr="00D850DF">
        <w:rPr>
          <w:rFonts w:asciiTheme="majorHAnsi" w:hAnsiTheme="majorHAnsi"/>
        </w:rPr>
        <w:t>a</w:t>
      </w:r>
      <w:r w:rsidRPr="00D850DF">
        <w:rPr>
          <w:rFonts w:asciiTheme="majorHAnsi" w:hAnsiTheme="majorHAnsi"/>
        </w:rPr>
        <w:t>it</w:t>
      </w:r>
      <w:r w:rsidR="002F3FEB" w:rsidRPr="00D850DF">
        <w:rPr>
          <w:rFonts w:asciiTheme="majorHAnsi" w:hAnsiTheme="majorHAnsi"/>
        </w:rPr>
        <w:t>j</w:t>
      </w:r>
      <w:r w:rsidRPr="00D850DF">
        <w:rPr>
          <w:rFonts w:asciiTheme="majorHAnsi" w:hAnsiTheme="majorHAnsi"/>
        </w:rPr>
        <w:t>ema H, and Kauffman L (2013)</w:t>
      </w:r>
      <w:r w:rsidR="009D513F" w:rsidRPr="00D850DF">
        <w:rPr>
          <w:rFonts w:asciiTheme="majorHAnsi" w:hAnsiTheme="majorHAnsi"/>
        </w:rPr>
        <w:t>.</w:t>
      </w:r>
      <w:r w:rsidRPr="00D850DF">
        <w:rPr>
          <w:rFonts w:asciiTheme="majorHAnsi" w:hAnsiTheme="majorHAnsi"/>
        </w:rPr>
        <w:t xml:space="preserve"> On </w:t>
      </w:r>
      <w:r w:rsidR="009D513F" w:rsidRPr="00D850DF">
        <w:rPr>
          <w:rFonts w:asciiTheme="majorHAnsi" w:hAnsiTheme="majorHAnsi"/>
        </w:rPr>
        <w:t>m</w:t>
      </w:r>
      <w:r w:rsidRPr="00D850DF">
        <w:rPr>
          <w:rFonts w:asciiTheme="majorHAnsi" w:hAnsiTheme="majorHAnsi"/>
        </w:rPr>
        <w:t xml:space="preserve">odeling </w:t>
      </w:r>
      <w:r w:rsidR="009D513F" w:rsidRPr="00D850DF">
        <w:rPr>
          <w:rFonts w:asciiTheme="majorHAnsi" w:hAnsiTheme="majorHAnsi"/>
        </w:rPr>
        <w:t>w</w:t>
      </w:r>
      <w:r w:rsidRPr="00D850DF">
        <w:rPr>
          <w:rFonts w:asciiTheme="majorHAnsi" w:hAnsiTheme="majorHAnsi"/>
        </w:rPr>
        <w:t xml:space="preserve">eak </w:t>
      </w:r>
      <w:r w:rsidR="009D513F" w:rsidRPr="00D850DF">
        <w:rPr>
          <w:rFonts w:asciiTheme="majorHAnsi" w:hAnsiTheme="majorHAnsi"/>
        </w:rPr>
        <w:t>s</w:t>
      </w:r>
      <w:r w:rsidRPr="00D850DF">
        <w:rPr>
          <w:rFonts w:asciiTheme="majorHAnsi" w:hAnsiTheme="majorHAnsi"/>
        </w:rPr>
        <w:t>inks in MODPATH. Groundwater 51: 597–602.</w:t>
      </w:r>
    </w:p>
    <w:p w14:paraId="41AB9BDA" w14:textId="406CA490" w:rsidR="00D9435D" w:rsidRPr="00D850DF" w:rsidRDefault="00D9435D" w:rsidP="00D9435D">
      <w:pPr>
        <w:pStyle w:val="Body"/>
        <w:spacing w:afterLines="20" w:after="48"/>
        <w:ind w:left="567" w:hanging="567"/>
        <w:rPr>
          <w:rFonts w:asciiTheme="majorHAnsi" w:hAnsiTheme="majorHAnsi"/>
        </w:rPr>
      </w:pPr>
      <w:r w:rsidRPr="00D850DF">
        <w:rPr>
          <w:rFonts w:asciiTheme="majorHAnsi" w:hAnsiTheme="majorHAnsi"/>
        </w:rPr>
        <w:t>Adey J (2005)</w:t>
      </w:r>
      <w:r w:rsidR="008A0EEA" w:rsidRPr="00D850DF">
        <w:rPr>
          <w:rFonts w:asciiTheme="majorHAnsi" w:hAnsiTheme="majorHAnsi"/>
        </w:rPr>
        <w:t>.</w:t>
      </w:r>
      <w:r w:rsidRPr="00D850DF">
        <w:rPr>
          <w:rFonts w:asciiTheme="majorHAnsi" w:hAnsiTheme="majorHAnsi"/>
        </w:rPr>
        <w:t xml:space="preserve"> Development of the partition coefficient (</w:t>
      </w:r>
      <w:proofErr w:type="gramStart"/>
      <w:r w:rsidRPr="00D850DF">
        <w:rPr>
          <w:rFonts w:asciiTheme="majorHAnsi" w:hAnsiTheme="majorHAnsi"/>
        </w:rPr>
        <w:t>Kd</w:t>
      </w:r>
      <w:proofErr w:type="gramEnd"/>
      <w:r w:rsidRPr="00D850DF">
        <w:rPr>
          <w:rFonts w:asciiTheme="majorHAnsi" w:hAnsiTheme="majorHAnsi"/>
        </w:rPr>
        <w:t xml:space="preserve">) test method for use in environmental risk assessments. UK Environment Agency </w:t>
      </w:r>
      <w:r w:rsidR="009D513F" w:rsidRPr="00D850DF">
        <w:rPr>
          <w:rFonts w:asciiTheme="majorHAnsi" w:hAnsiTheme="majorHAnsi"/>
        </w:rPr>
        <w:t xml:space="preserve">Science Report </w:t>
      </w:r>
      <w:r w:rsidRPr="00D850DF">
        <w:rPr>
          <w:rFonts w:asciiTheme="majorHAnsi" w:hAnsiTheme="majorHAnsi"/>
        </w:rPr>
        <w:t>SC020039/4, 67 pages.</w:t>
      </w:r>
    </w:p>
    <w:p w14:paraId="0D69149F" w14:textId="4ECA85FE" w:rsidR="00950BD1" w:rsidRPr="00D850DF" w:rsidRDefault="00950BD1" w:rsidP="00950BD1">
      <w:pPr>
        <w:pStyle w:val="Body"/>
        <w:spacing w:afterLines="20" w:after="48"/>
        <w:ind w:left="567" w:hanging="567"/>
        <w:rPr>
          <w:rFonts w:asciiTheme="majorHAnsi" w:hAnsiTheme="majorHAnsi"/>
        </w:rPr>
      </w:pPr>
      <w:r w:rsidRPr="00D850DF">
        <w:rPr>
          <w:rFonts w:asciiTheme="majorHAnsi" w:hAnsiTheme="majorHAnsi"/>
        </w:rPr>
        <w:t>Ahamad PYA, Kunhi</w:t>
      </w:r>
      <w:r w:rsidR="00185938" w:rsidRPr="00D850DF">
        <w:rPr>
          <w:rFonts w:asciiTheme="majorHAnsi" w:hAnsiTheme="majorHAnsi"/>
        </w:rPr>
        <w:t xml:space="preserve"> AAM</w:t>
      </w:r>
      <w:r w:rsidRPr="00D850DF">
        <w:rPr>
          <w:rFonts w:asciiTheme="majorHAnsi" w:hAnsiTheme="majorHAnsi"/>
        </w:rPr>
        <w:t>, and Divakar</w:t>
      </w:r>
      <w:r w:rsidR="00E70A71" w:rsidRPr="00D850DF">
        <w:rPr>
          <w:rFonts w:asciiTheme="majorHAnsi" w:hAnsiTheme="majorHAnsi"/>
        </w:rPr>
        <w:t xml:space="preserve"> </w:t>
      </w:r>
      <w:r w:rsidR="00185938" w:rsidRPr="00D850DF">
        <w:rPr>
          <w:rFonts w:asciiTheme="majorHAnsi" w:hAnsiTheme="majorHAnsi"/>
        </w:rPr>
        <w:t xml:space="preserve">S </w:t>
      </w:r>
      <w:r w:rsidR="00E70A71" w:rsidRPr="00D850DF">
        <w:rPr>
          <w:rFonts w:asciiTheme="majorHAnsi" w:hAnsiTheme="majorHAnsi"/>
        </w:rPr>
        <w:t>(</w:t>
      </w:r>
      <w:r w:rsidRPr="00D850DF">
        <w:rPr>
          <w:rFonts w:asciiTheme="majorHAnsi" w:hAnsiTheme="majorHAnsi"/>
        </w:rPr>
        <w:t>2001</w:t>
      </w:r>
      <w:r w:rsidR="00E70A71" w:rsidRPr="00D850DF">
        <w:rPr>
          <w:rFonts w:asciiTheme="majorHAnsi" w:hAnsiTheme="majorHAnsi"/>
        </w:rPr>
        <w:t>)</w:t>
      </w:r>
      <w:r w:rsidR="009D513F" w:rsidRPr="00D850DF">
        <w:rPr>
          <w:rFonts w:asciiTheme="majorHAnsi" w:hAnsiTheme="majorHAnsi"/>
        </w:rPr>
        <w:t>.</w:t>
      </w:r>
      <w:r w:rsidRPr="00D850DF">
        <w:rPr>
          <w:rFonts w:asciiTheme="majorHAnsi" w:hAnsiTheme="majorHAnsi"/>
        </w:rPr>
        <w:t xml:space="preserve"> New metabolic pathway for o-cresol degradation by Pseudomonas sp. CP4 as evidenced by 1H NMR spectroscopic studies. World Journal of Microbiology and Biotechnology 17: 371-377.</w:t>
      </w:r>
    </w:p>
    <w:p w14:paraId="6856C8CE" w14:textId="78049D78" w:rsidR="00B070A0" w:rsidRDefault="00B070A0" w:rsidP="00B070A0">
      <w:pPr>
        <w:pStyle w:val="Body"/>
        <w:spacing w:afterLines="20" w:after="48"/>
        <w:ind w:left="567" w:hanging="567"/>
        <w:rPr>
          <w:rFonts w:asciiTheme="majorHAnsi" w:hAnsiTheme="majorHAnsi"/>
        </w:rPr>
      </w:pPr>
      <w:r w:rsidRPr="00124C25">
        <w:rPr>
          <w:rFonts w:asciiTheme="majorHAnsi" w:hAnsiTheme="majorHAnsi"/>
        </w:rPr>
        <w:t>Allen DT</w:t>
      </w:r>
      <w:r>
        <w:rPr>
          <w:rFonts w:asciiTheme="majorHAnsi" w:hAnsiTheme="majorHAnsi"/>
        </w:rPr>
        <w:t>,</w:t>
      </w:r>
      <w:r w:rsidRPr="00124C25">
        <w:rPr>
          <w:rFonts w:asciiTheme="majorHAnsi" w:hAnsiTheme="majorHAnsi"/>
        </w:rPr>
        <w:t xml:space="preserve"> Torres V</w:t>
      </w:r>
      <w:r w:rsidRPr="00B070A0">
        <w:rPr>
          <w:rFonts w:asciiTheme="majorHAnsi" w:hAnsiTheme="majorHAnsi"/>
        </w:rPr>
        <w:t>M</w:t>
      </w:r>
      <w:r w:rsidRPr="00124C25">
        <w:rPr>
          <w:rFonts w:asciiTheme="majorHAnsi" w:hAnsiTheme="majorHAnsi"/>
        </w:rPr>
        <w:t xml:space="preserve">, Thomas J, Sullivan DW, Harrison M, Hendler A, Herndon SC, Kolb CE, Fraser MP, Hill AD, Lamb BK, Miskimins J, Sawyer RF, </w:t>
      </w:r>
      <w:r>
        <w:rPr>
          <w:rFonts w:asciiTheme="majorHAnsi" w:hAnsiTheme="majorHAnsi"/>
        </w:rPr>
        <w:t xml:space="preserve">and </w:t>
      </w:r>
      <w:r w:rsidRPr="00124C25">
        <w:rPr>
          <w:rFonts w:asciiTheme="majorHAnsi" w:hAnsiTheme="majorHAnsi"/>
        </w:rPr>
        <w:t xml:space="preserve">Seinfeld JH </w:t>
      </w:r>
      <w:r>
        <w:rPr>
          <w:rFonts w:asciiTheme="majorHAnsi" w:hAnsiTheme="majorHAnsi"/>
        </w:rPr>
        <w:t>(</w:t>
      </w:r>
      <w:r w:rsidRPr="00124C25">
        <w:rPr>
          <w:rFonts w:asciiTheme="majorHAnsi" w:hAnsiTheme="majorHAnsi"/>
        </w:rPr>
        <w:t>2013</w:t>
      </w:r>
      <w:r>
        <w:rPr>
          <w:rFonts w:asciiTheme="majorHAnsi" w:hAnsiTheme="majorHAnsi"/>
        </w:rPr>
        <w:t>)</w:t>
      </w:r>
      <w:r w:rsidRPr="00124C25">
        <w:rPr>
          <w:rFonts w:asciiTheme="majorHAnsi" w:hAnsiTheme="majorHAnsi"/>
        </w:rPr>
        <w:t>.</w:t>
      </w:r>
      <w:r>
        <w:rPr>
          <w:rFonts w:asciiTheme="majorHAnsi" w:hAnsiTheme="majorHAnsi"/>
        </w:rPr>
        <w:t xml:space="preserve"> </w:t>
      </w:r>
      <w:r w:rsidRPr="00124C25">
        <w:rPr>
          <w:rFonts w:asciiTheme="majorHAnsi" w:hAnsiTheme="majorHAnsi"/>
        </w:rPr>
        <w:t>Measurements of methane emissions at natural gas production sites in the United States.</w:t>
      </w:r>
      <w:r>
        <w:rPr>
          <w:rFonts w:asciiTheme="majorHAnsi" w:hAnsiTheme="majorHAnsi"/>
        </w:rPr>
        <w:t xml:space="preserve"> </w:t>
      </w:r>
      <w:r w:rsidRPr="00124C25">
        <w:rPr>
          <w:rFonts w:asciiTheme="majorHAnsi" w:hAnsiTheme="majorHAnsi"/>
        </w:rPr>
        <w:t>Proceedings of the National Academy of Science 110</w:t>
      </w:r>
      <w:r>
        <w:rPr>
          <w:rFonts w:asciiTheme="majorHAnsi" w:hAnsiTheme="majorHAnsi"/>
        </w:rPr>
        <w:t>:</w:t>
      </w:r>
      <w:r w:rsidRPr="00124C25">
        <w:rPr>
          <w:rFonts w:asciiTheme="majorHAnsi" w:hAnsiTheme="majorHAnsi"/>
        </w:rPr>
        <w:t xml:space="preserve"> 18023–18024.</w:t>
      </w:r>
    </w:p>
    <w:p w14:paraId="4A5E1F75" w14:textId="17EEC97C" w:rsidR="00AA1963" w:rsidRPr="00D850DF" w:rsidRDefault="00AA1963" w:rsidP="00AA1963">
      <w:pPr>
        <w:pStyle w:val="Body"/>
        <w:spacing w:afterLines="20" w:after="48"/>
        <w:ind w:left="567" w:hanging="567"/>
        <w:rPr>
          <w:rFonts w:asciiTheme="majorHAnsi" w:hAnsiTheme="majorHAnsi"/>
        </w:rPr>
      </w:pPr>
      <w:r w:rsidRPr="00D850DF">
        <w:rPr>
          <w:rFonts w:asciiTheme="majorHAnsi" w:hAnsiTheme="majorHAnsi"/>
        </w:rPr>
        <w:t>Ames LL</w:t>
      </w:r>
      <w:r w:rsidR="00185938" w:rsidRPr="00D850DF">
        <w:rPr>
          <w:rFonts w:asciiTheme="majorHAnsi" w:hAnsiTheme="majorHAnsi"/>
        </w:rPr>
        <w:t>,</w:t>
      </w:r>
      <w:r w:rsidRPr="00D850DF">
        <w:rPr>
          <w:rFonts w:asciiTheme="majorHAnsi" w:hAnsiTheme="majorHAnsi"/>
        </w:rPr>
        <w:t xml:space="preserve"> McGarra</w:t>
      </w:r>
      <w:r w:rsidR="00185938" w:rsidRPr="00D850DF">
        <w:rPr>
          <w:rFonts w:asciiTheme="majorHAnsi" w:hAnsiTheme="majorHAnsi"/>
        </w:rPr>
        <w:t>h</w:t>
      </w:r>
      <w:r w:rsidR="00E70A71" w:rsidRPr="00D850DF">
        <w:rPr>
          <w:rFonts w:asciiTheme="majorHAnsi" w:hAnsiTheme="majorHAnsi"/>
        </w:rPr>
        <w:t xml:space="preserve"> JE</w:t>
      </w:r>
      <w:r w:rsidR="00185938" w:rsidRPr="00D850DF">
        <w:rPr>
          <w:rFonts w:asciiTheme="majorHAnsi" w:hAnsiTheme="majorHAnsi"/>
        </w:rPr>
        <w:t>,</w:t>
      </w:r>
      <w:r w:rsidR="00E70A71" w:rsidRPr="00D850DF">
        <w:rPr>
          <w:rFonts w:asciiTheme="majorHAnsi" w:hAnsiTheme="majorHAnsi"/>
        </w:rPr>
        <w:t xml:space="preserve"> and Walker BA (1983)</w:t>
      </w:r>
      <w:r w:rsidR="009D513F" w:rsidRPr="00D850DF">
        <w:rPr>
          <w:rFonts w:asciiTheme="majorHAnsi" w:hAnsiTheme="majorHAnsi"/>
        </w:rPr>
        <w:t>.</w:t>
      </w:r>
      <w:r w:rsidRPr="00D850DF">
        <w:rPr>
          <w:rFonts w:asciiTheme="majorHAnsi" w:hAnsiTheme="majorHAnsi"/>
        </w:rPr>
        <w:t xml:space="preserve"> Sorption of trace constituents from aqueous solutions onto secondary minerals. 1. U</w:t>
      </w:r>
      <w:r w:rsidR="00370368" w:rsidRPr="00D850DF">
        <w:rPr>
          <w:rFonts w:asciiTheme="majorHAnsi" w:hAnsiTheme="majorHAnsi"/>
        </w:rPr>
        <w:t>ranium. Clays and Clay Minerals</w:t>
      </w:r>
      <w:r w:rsidRPr="00D850DF">
        <w:rPr>
          <w:rFonts w:asciiTheme="majorHAnsi" w:hAnsiTheme="majorHAnsi"/>
        </w:rPr>
        <w:t xml:space="preserve"> 31</w:t>
      </w:r>
      <w:r w:rsidR="00370368" w:rsidRPr="00D850DF">
        <w:rPr>
          <w:rFonts w:asciiTheme="majorHAnsi" w:hAnsiTheme="majorHAnsi"/>
        </w:rPr>
        <w:t>:</w:t>
      </w:r>
      <w:r w:rsidRPr="00D850DF">
        <w:rPr>
          <w:rFonts w:asciiTheme="majorHAnsi" w:hAnsiTheme="majorHAnsi"/>
        </w:rPr>
        <w:t xml:space="preserve"> 321-334.</w:t>
      </w:r>
    </w:p>
    <w:p w14:paraId="23EA0672" w14:textId="6ECB3683" w:rsidR="0068597D" w:rsidRPr="00D850DF" w:rsidRDefault="0068597D" w:rsidP="0068597D">
      <w:pPr>
        <w:pStyle w:val="Body"/>
        <w:spacing w:afterLines="20" w:after="48"/>
        <w:ind w:left="567" w:hanging="567"/>
        <w:rPr>
          <w:rFonts w:asciiTheme="majorHAnsi" w:hAnsiTheme="majorHAnsi"/>
        </w:rPr>
      </w:pPr>
      <w:r w:rsidRPr="00D850DF">
        <w:rPr>
          <w:rFonts w:asciiTheme="majorHAnsi" w:hAnsiTheme="majorHAnsi"/>
        </w:rPr>
        <w:t>Anderman ER and Hill MC (2001)</w:t>
      </w:r>
      <w:r w:rsidR="00CC4935">
        <w:rPr>
          <w:rFonts w:asciiTheme="majorHAnsi" w:hAnsiTheme="majorHAnsi"/>
        </w:rPr>
        <w:t>.</w:t>
      </w:r>
      <w:r w:rsidRPr="00D850DF">
        <w:rPr>
          <w:rFonts w:asciiTheme="majorHAnsi" w:hAnsiTheme="majorHAnsi"/>
        </w:rPr>
        <w:t xml:space="preserve"> </w:t>
      </w:r>
      <w:hyperlink r:id="rId216" w:history="1">
        <w:r w:rsidRPr="00D850DF">
          <w:rPr>
            <w:rFonts w:asciiTheme="majorHAnsi" w:hAnsiTheme="majorHAnsi"/>
          </w:rPr>
          <w:t>MODFLOW-2000</w:t>
        </w:r>
      </w:hyperlink>
      <w:r w:rsidRPr="00D850DF">
        <w:rPr>
          <w:rFonts w:asciiTheme="majorHAnsi" w:hAnsiTheme="majorHAnsi"/>
        </w:rPr>
        <w:t>, The U.S. Geological Survey Modular Ground-Water Model - Documentation of the Advective-transport observation (ADV2) Package, Version 2: U.S. Geological Survey Open-File Report 01-54, 69 p.</w:t>
      </w:r>
    </w:p>
    <w:p w14:paraId="10D6A5BC" w14:textId="4340BD2D" w:rsidR="00D9435D" w:rsidRPr="00D850DF" w:rsidRDefault="00D9435D" w:rsidP="00D9435D">
      <w:pPr>
        <w:pStyle w:val="Body"/>
        <w:spacing w:afterLines="20" w:after="48"/>
        <w:ind w:left="567" w:hanging="567"/>
        <w:rPr>
          <w:rFonts w:asciiTheme="majorHAnsi" w:hAnsiTheme="majorHAnsi"/>
        </w:rPr>
      </w:pPr>
      <w:r w:rsidRPr="00D850DF">
        <w:rPr>
          <w:rFonts w:asciiTheme="majorHAnsi" w:hAnsiTheme="majorHAnsi"/>
        </w:rPr>
        <w:t>ANZECC</w:t>
      </w:r>
      <w:r w:rsidR="00F054EA" w:rsidRPr="00D850DF">
        <w:rPr>
          <w:rFonts w:asciiTheme="majorHAnsi" w:hAnsiTheme="majorHAnsi"/>
        </w:rPr>
        <w:t>/</w:t>
      </w:r>
      <w:r w:rsidRPr="00D850DF">
        <w:rPr>
          <w:rFonts w:asciiTheme="majorHAnsi" w:hAnsiTheme="majorHAnsi"/>
        </w:rPr>
        <w:t>ARMCANZ (2000)</w:t>
      </w:r>
      <w:r w:rsidR="009D513F" w:rsidRPr="00D850DF">
        <w:rPr>
          <w:rFonts w:asciiTheme="majorHAnsi" w:hAnsiTheme="majorHAnsi"/>
        </w:rPr>
        <w:t>.</w:t>
      </w:r>
      <w:r w:rsidRPr="00D850DF">
        <w:rPr>
          <w:rFonts w:asciiTheme="majorHAnsi" w:hAnsiTheme="majorHAnsi"/>
        </w:rPr>
        <w:t xml:space="preserve"> Australian and New Zealand guidelines for fresh and marine water quality. National Water Quality Management Strategy, Document 4. Australian and New Zealand Environment and Conservation Council and Agriculture and Resource Management Council of Australia and New Zealand, Canberra.</w:t>
      </w:r>
    </w:p>
    <w:p w14:paraId="7C036B50" w14:textId="1CBACAFC" w:rsidR="000F310B" w:rsidRPr="00D850DF" w:rsidRDefault="000F310B" w:rsidP="00D9435D">
      <w:pPr>
        <w:pStyle w:val="Body"/>
        <w:spacing w:afterLines="20" w:after="48"/>
        <w:ind w:left="567" w:hanging="567"/>
        <w:rPr>
          <w:rFonts w:asciiTheme="majorHAnsi" w:hAnsiTheme="majorHAnsi"/>
        </w:rPr>
      </w:pPr>
      <w:r w:rsidRPr="00D850DF">
        <w:rPr>
          <w:rFonts w:asciiTheme="majorHAnsi" w:hAnsiTheme="majorHAnsi"/>
        </w:rPr>
        <w:t>APLNG (2015)</w:t>
      </w:r>
      <w:r w:rsidR="009D513F" w:rsidRPr="00D850DF">
        <w:rPr>
          <w:rFonts w:asciiTheme="majorHAnsi" w:hAnsiTheme="majorHAnsi"/>
        </w:rPr>
        <w:t>.</w:t>
      </w:r>
      <w:r w:rsidRPr="00D850DF">
        <w:rPr>
          <w:rFonts w:asciiTheme="majorHAnsi" w:hAnsiTheme="majorHAnsi"/>
        </w:rPr>
        <w:t xml:space="preserve"> 2014-2015 Groundwater assessment report (Q-1000-75-RP-001). 436 pp.</w:t>
      </w:r>
    </w:p>
    <w:p w14:paraId="52807211" w14:textId="70366E99" w:rsidR="001E0E3C" w:rsidRDefault="001E0E3C" w:rsidP="001E0E3C">
      <w:pPr>
        <w:pStyle w:val="Body"/>
        <w:spacing w:afterLines="20" w:after="48"/>
        <w:ind w:left="567" w:hanging="567"/>
        <w:rPr>
          <w:rStyle w:val="Hyperlink"/>
          <w:rFonts w:asciiTheme="majorHAnsi" w:hAnsiTheme="majorHAnsi"/>
        </w:rPr>
      </w:pPr>
      <w:r w:rsidRPr="00D850DF">
        <w:rPr>
          <w:rFonts w:asciiTheme="majorHAnsi" w:hAnsiTheme="majorHAnsi"/>
        </w:rPr>
        <w:t>APPEA (2014)</w:t>
      </w:r>
      <w:r w:rsidR="009D513F" w:rsidRPr="00D850DF">
        <w:rPr>
          <w:rFonts w:asciiTheme="majorHAnsi" w:hAnsiTheme="majorHAnsi"/>
        </w:rPr>
        <w:t>.</w:t>
      </w:r>
      <w:r w:rsidRPr="00D850DF">
        <w:rPr>
          <w:rFonts w:asciiTheme="majorHAnsi" w:hAnsiTheme="majorHAnsi"/>
        </w:rPr>
        <w:t xml:space="preserve"> Chemicals and compounds used in CSG Fraccing - Factsheet. APPEA (Australian Petroleum Production and Exploration Association). Available from </w:t>
      </w:r>
      <w:hyperlink r:id="rId217" w:history="1">
        <w:r w:rsidR="00E220E4" w:rsidRPr="00887BF4">
          <w:rPr>
            <w:rStyle w:val="Hyperlink"/>
            <w:rFonts w:asciiTheme="majorHAnsi" w:hAnsiTheme="majorHAnsi"/>
          </w:rPr>
          <w:t>www.appea.com.au/wp-content/uploads/2014/08/CSG-fraccing-chemicals.pdf</w:t>
        </w:r>
      </w:hyperlink>
    </w:p>
    <w:p w14:paraId="3C2C4AF0" w14:textId="481E628A" w:rsidR="00D05715" w:rsidRDefault="00D05715" w:rsidP="001E0E3C">
      <w:pPr>
        <w:pStyle w:val="Body"/>
        <w:spacing w:afterLines="20" w:after="48"/>
        <w:ind w:left="567" w:hanging="567"/>
        <w:rPr>
          <w:rFonts w:asciiTheme="majorHAnsi" w:hAnsiTheme="majorHAnsi"/>
        </w:rPr>
      </w:pPr>
      <w:bookmarkStart w:id="768" w:name="_Toc422743405"/>
      <w:r w:rsidRPr="00D850DF">
        <w:rPr>
          <w:rFonts w:asciiTheme="majorHAnsi" w:hAnsiTheme="majorHAnsi"/>
        </w:rPr>
        <w:t>APPEA (201</w:t>
      </w:r>
      <w:r>
        <w:rPr>
          <w:rFonts w:asciiTheme="majorHAnsi" w:hAnsiTheme="majorHAnsi"/>
        </w:rPr>
        <w:t>5</w:t>
      </w:r>
      <w:r w:rsidRPr="00D850DF">
        <w:rPr>
          <w:rFonts w:asciiTheme="majorHAnsi" w:hAnsiTheme="majorHAnsi"/>
        </w:rPr>
        <w:t>).</w:t>
      </w:r>
      <w:r>
        <w:rPr>
          <w:rFonts w:asciiTheme="majorHAnsi" w:hAnsiTheme="majorHAnsi"/>
        </w:rPr>
        <w:t xml:space="preserve"> </w:t>
      </w:r>
      <w:r w:rsidRPr="00D05715">
        <w:rPr>
          <w:rFonts w:asciiTheme="majorHAnsi" w:hAnsiTheme="majorHAnsi"/>
        </w:rPr>
        <w:t>Additional data and information provided by industry</w:t>
      </w:r>
      <w:bookmarkEnd w:id="768"/>
      <w:r>
        <w:rPr>
          <w:rFonts w:asciiTheme="majorHAnsi" w:hAnsiTheme="majorHAnsi"/>
        </w:rPr>
        <w:t xml:space="preserve"> to Office of Water Science (Department of Environment)</w:t>
      </w:r>
      <w:r w:rsidR="00C64DD1">
        <w:rPr>
          <w:rFonts w:asciiTheme="majorHAnsi" w:hAnsiTheme="majorHAnsi"/>
        </w:rPr>
        <w:t xml:space="preserve"> as part of </w:t>
      </w:r>
      <w:r w:rsidR="00C64DD1" w:rsidRPr="00D378BA">
        <w:rPr>
          <w:rFonts w:eastAsia="Times New Roman"/>
        </w:rPr>
        <w:t>The National Assessment of Chemicals Associated with Coal Seam Gas Extraction in Australia</w:t>
      </w:r>
      <w:r>
        <w:rPr>
          <w:rFonts w:asciiTheme="majorHAnsi" w:hAnsiTheme="majorHAnsi"/>
        </w:rPr>
        <w:t xml:space="preserve">. </w:t>
      </w:r>
      <w:r w:rsidRPr="00D850DF">
        <w:rPr>
          <w:rFonts w:asciiTheme="majorHAnsi" w:hAnsiTheme="majorHAnsi"/>
        </w:rPr>
        <w:t>APPEA (Australian Petroleum Production and Exploration Association).</w:t>
      </w:r>
    </w:p>
    <w:p w14:paraId="0E1D84E7" w14:textId="17678434" w:rsidR="00E220E4" w:rsidRPr="00D850DF" w:rsidRDefault="00E220E4" w:rsidP="001E0E3C">
      <w:pPr>
        <w:pStyle w:val="Body"/>
        <w:spacing w:afterLines="20" w:after="48"/>
        <w:ind w:left="567" w:hanging="567"/>
        <w:rPr>
          <w:rFonts w:asciiTheme="majorHAnsi" w:hAnsiTheme="majorHAnsi"/>
        </w:rPr>
      </w:pPr>
      <w:r>
        <w:rPr>
          <w:rFonts w:asciiTheme="majorHAnsi" w:hAnsiTheme="majorHAnsi"/>
        </w:rPr>
        <w:t>Appelo CAJ and Postma D (2004). Geochemistry, groundwater and poll</w:t>
      </w:r>
      <w:r w:rsidR="000742E4">
        <w:rPr>
          <w:rFonts w:asciiTheme="majorHAnsi" w:hAnsiTheme="majorHAnsi"/>
        </w:rPr>
        <w:t xml:space="preserve">ution. Second Edition. AA Balkema Publishers, Leiden, </w:t>
      </w:r>
      <w:proofErr w:type="gramStart"/>
      <w:r w:rsidR="000742E4">
        <w:rPr>
          <w:rFonts w:asciiTheme="majorHAnsi" w:hAnsiTheme="majorHAnsi"/>
        </w:rPr>
        <w:t>The</w:t>
      </w:r>
      <w:proofErr w:type="gramEnd"/>
      <w:r w:rsidR="000742E4">
        <w:rPr>
          <w:rFonts w:asciiTheme="majorHAnsi" w:hAnsiTheme="majorHAnsi"/>
        </w:rPr>
        <w:t xml:space="preserve"> Netherlands</w:t>
      </w:r>
      <w:r>
        <w:rPr>
          <w:rFonts w:asciiTheme="majorHAnsi" w:hAnsiTheme="majorHAnsi"/>
        </w:rPr>
        <w:t>.</w:t>
      </w:r>
    </w:p>
    <w:p w14:paraId="1D1D96E6" w14:textId="6CB729C6" w:rsidR="00977791" w:rsidRPr="00D850DF" w:rsidRDefault="00977791" w:rsidP="00977791">
      <w:pPr>
        <w:pStyle w:val="Body"/>
        <w:spacing w:afterLines="20" w:after="48"/>
        <w:ind w:left="567" w:hanging="567"/>
        <w:rPr>
          <w:rFonts w:asciiTheme="majorHAnsi" w:hAnsiTheme="majorHAnsi"/>
        </w:rPr>
      </w:pPr>
      <w:r w:rsidRPr="00D850DF">
        <w:rPr>
          <w:rFonts w:asciiTheme="majorHAnsi" w:hAnsiTheme="majorHAnsi"/>
        </w:rPr>
        <w:t>Apte SC, Williams M</w:t>
      </w:r>
      <w:r w:rsidR="00CC4935">
        <w:rPr>
          <w:rFonts w:asciiTheme="majorHAnsi" w:hAnsiTheme="majorHAnsi"/>
        </w:rPr>
        <w:t>,</w:t>
      </w:r>
      <w:r w:rsidRPr="00D850DF">
        <w:rPr>
          <w:rFonts w:asciiTheme="majorHAnsi" w:hAnsiTheme="majorHAnsi"/>
        </w:rPr>
        <w:t xml:space="preserve"> Kookana RS, Batley GE, King JJ, Jarolimek CV</w:t>
      </w:r>
      <w:r w:rsidR="00185938" w:rsidRPr="00D850DF">
        <w:rPr>
          <w:rFonts w:asciiTheme="majorHAnsi" w:hAnsiTheme="majorHAnsi"/>
        </w:rPr>
        <w:t>,</w:t>
      </w:r>
      <w:r w:rsidRPr="00D850DF">
        <w:rPr>
          <w:rFonts w:asciiTheme="majorHAnsi" w:hAnsiTheme="majorHAnsi"/>
        </w:rPr>
        <w:t xml:space="preserve"> </w:t>
      </w:r>
      <w:r w:rsidR="00185938" w:rsidRPr="00D850DF">
        <w:rPr>
          <w:rFonts w:asciiTheme="majorHAnsi" w:hAnsiTheme="majorHAnsi"/>
        </w:rPr>
        <w:t>and</w:t>
      </w:r>
      <w:r w:rsidRPr="00D850DF">
        <w:rPr>
          <w:rFonts w:asciiTheme="majorHAnsi" w:hAnsiTheme="majorHAnsi"/>
        </w:rPr>
        <w:t xml:space="preserve"> Jung RF (201</w:t>
      </w:r>
      <w:r w:rsidR="00BF1F87">
        <w:rPr>
          <w:rFonts w:asciiTheme="majorHAnsi" w:hAnsiTheme="majorHAnsi"/>
        </w:rPr>
        <w:t>7</w:t>
      </w:r>
      <w:r w:rsidR="009F6C68" w:rsidRPr="00D850DF">
        <w:rPr>
          <w:rFonts w:asciiTheme="majorHAnsi" w:hAnsiTheme="majorHAnsi"/>
        </w:rPr>
        <w:t>a</w:t>
      </w:r>
      <w:r w:rsidRPr="00D850DF">
        <w:rPr>
          <w:rFonts w:asciiTheme="majorHAnsi" w:hAnsiTheme="majorHAnsi"/>
        </w:rPr>
        <w:t>)</w:t>
      </w:r>
      <w:r w:rsidR="009D513F" w:rsidRPr="00D850DF">
        <w:rPr>
          <w:rFonts w:asciiTheme="majorHAnsi" w:hAnsiTheme="majorHAnsi"/>
        </w:rPr>
        <w:t>.</w:t>
      </w:r>
      <w:r w:rsidRPr="00D850DF">
        <w:rPr>
          <w:rFonts w:asciiTheme="majorHAnsi" w:hAnsiTheme="majorHAnsi"/>
        </w:rPr>
        <w:t xml:space="preserve"> Release of geogenic contaminants from Australian coal seams: experimental studies, Project report, report prepared by the Land </w:t>
      </w:r>
      <w:r w:rsidR="004A7452" w:rsidRPr="00D850DF">
        <w:rPr>
          <w:rFonts w:asciiTheme="majorHAnsi" w:hAnsiTheme="majorHAnsi"/>
        </w:rPr>
        <w:t>and</w:t>
      </w:r>
      <w:r w:rsidRPr="00D850DF">
        <w:rPr>
          <w:rFonts w:asciiTheme="majorHAnsi" w:hAnsiTheme="majorHAnsi"/>
        </w:rPr>
        <w:t xml:space="preserve"> Water Flagship, Commonwealth Scientific and Industrial Research Organisation (CSIRO) as part of the National Assessment of Chemicals Associated with Coal Seam Gas Extraction in Australia, Commonwealth of Australia, Canberra</w:t>
      </w:r>
      <w:r w:rsidR="00F916B6" w:rsidRPr="00D850DF">
        <w:rPr>
          <w:rFonts w:asciiTheme="majorHAnsi" w:hAnsiTheme="majorHAnsi"/>
        </w:rPr>
        <w:t>.</w:t>
      </w:r>
    </w:p>
    <w:p w14:paraId="3E55BC6E" w14:textId="49CA806C" w:rsidR="009F6C68" w:rsidRPr="00D850DF" w:rsidRDefault="009F6C68" w:rsidP="009F6C68">
      <w:pPr>
        <w:pStyle w:val="Body"/>
        <w:spacing w:afterLines="20" w:after="48"/>
        <w:ind w:left="567" w:hanging="567"/>
        <w:rPr>
          <w:rFonts w:asciiTheme="majorHAnsi" w:hAnsiTheme="majorHAnsi"/>
        </w:rPr>
      </w:pPr>
      <w:r w:rsidRPr="00D850DF">
        <w:rPr>
          <w:rFonts w:asciiTheme="majorHAnsi" w:hAnsiTheme="majorHAnsi"/>
        </w:rPr>
        <w:t>Apte SC, Williams M</w:t>
      </w:r>
      <w:r w:rsidR="00CC4935">
        <w:rPr>
          <w:rFonts w:asciiTheme="majorHAnsi" w:hAnsiTheme="majorHAnsi"/>
        </w:rPr>
        <w:t>,</w:t>
      </w:r>
      <w:r w:rsidRPr="00D850DF">
        <w:rPr>
          <w:rFonts w:asciiTheme="majorHAnsi" w:hAnsiTheme="majorHAnsi"/>
        </w:rPr>
        <w:t xml:space="preserve"> Kookana RS, Batley GE, King JJ, Jarolimek CV</w:t>
      </w:r>
      <w:r w:rsidR="00185938" w:rsidRPr="00D850DF">
        <w:rPr>
          <w:rFonts w:asciiTheme="majorHAnsi" w:hAnsiTheme="majorHAnsi"/>
        </w:rPr>
        <w:t>, and</w:t>
      </w:r>
      <w:r w:rsidRPr="00D850DF">
        <w:rPr>
          <w:rFonts w:asciiTheme="majorHAnsi" w:hAnsiTheme="majorHAnsi"/>
        </w:rPr>
        <w:t xml:space="preserve"> Jung RF (201</w:t>
      </w:r>
      <w:r w:rsidR="00BF1F87">
        <w:rPr>
          <w:rFonts w:asciiTheme="majorHAnsi" w:hAnsiTheme="majorHAnsi"/>
        </w:rPr>
        <w:t>7</w:t>
      </w:r>
      <w:r w:rsidRPr="00D850DF">
        <w:rPr>
          <w:rFonts w:asciiTheme="majorHAnsi" w:hAnsiTheme="majorHAnsi"/>
        </w:rPr>
        <w:t>b)</w:t>
      </w:r>
      <w:r w:rsidR="009D513F" w:rsidRPr="00D850DF">
        <w:rPr>
          <w:rFonts w:asciiTheme="majorHAnsi" w:hAnsiTheme="majorHAnsi"/>
        </w:rPr>
        <w:t>.</w:t>
      </w:r>
      <w:r w:rsidRPr="00D850DF">
        <w:rPr>
          <w:rFonts w:asciiTheme="majorHAnsi" w:hAnsiTheme="majorHAnsi"/>
        </w:rPr>
        <w:t xml:space="preserve"> Literature review of geogenic contaminants associated with the hydraulic fracturing of coal seams. Project report, report prepared by the Land </w:t>
      </w:r>
      <w:r w:rsidR="004A7452" w:rsidRPr="00D850DF">
        <w:rPr>
          <w:rFonts w:asciiTheme="majorHAnsi" w:hAnsiTheme="majorHAnsi"/>
        </w:rPr>
        <w:t>and</w:t>
      </w:r>
      <w:r w:rsidRPr="00D850DF">
        <w:rPr>
          <w:rFonts w:asciiTheme="majorHAnsi" w:hAnsiTheme="majorHAnsi"/>
        </w:rPr>
        <w:t xml:space="preserve"> Water Flagship, Commonwealth Scientific and Industrial Research Organisation (CSIRO) as part of the National Assessment of Chemicals Associated with Coal Seam Gas Extraction in Australia, Commonwealth of Australia, Canberra.</w:t>
      </w:r>
    </w:p>
    <w:p w14:paraId="7E422CEA" w14:textId="2CE741E9" w:rsidR="00F83BF6" w:rsidRPr="00D850DF" w:rsidRDefault="00671156" w:rsidP="00671156">
      <w:pPr>
        <w:pStyle w:val="Body"/>
        <w:spacing w:afterLines="20" w:after="48"/>
        <w:ind w:left="567" w:hanging="567"/>
        <w:rPr>
          <w:rFonts w:asciiTheme="majorHAnsi" w:hAnsiTheme="majorHAnsi"/>
        </w:rPr>
      </w:pPr>
      <w:r w:rsidRPr="00D850DF">
        <w:rPr>
          <w:rFonts w:asciiTheme="majorHAnsi" w:hAnsiTheme="majorHAnsi"/>
        </w:rPr>
        <w:t xml:space="preserve">Aronson D, Printup H, Shuler K, and Howard P </w:t>
      </w:r>
      <w:r w:rsidR="00F83BF6" w:rsidRPr="00D850DF">
        <w:rPr>
          <w:rFonts w:asciiTheme="majorHAnsi" w:hAnsiTheme="majorHAnsi"/>
        </w:rPr>
        <w:t>(1998)</w:t>
      </w:r>
      <w:r w:rsidR="009D513F" w:rsidRPr="00D850DF">
        <w:rPr>
          <w:rFonts w:asciiTheme="majorHAnsi" w:hAnsiTheme="majorHAnsi"/>
        </w:rPr>
        <w:t>.</w:t>
      </w:r>
      <w:r w:rsidRPr="00D850DF">
        <w:rPr>
          <w:rFonts w:asciiTheme="majorHAnsi" w:hAnsiTheme="majorHAnsi"/>
        </w:rPr>
        <w:t xml:space="preserve"> Chemical Fate Half-Lives for Toxics Release Inventory (TRI) Chemicals. Syracuse Research Corporation. Environmental Science Center</w:t>
      </w:r>
      <w:r w:rsidR="00626299" w:rsidRPr="00D850DF">
        <w:rPr>
          <w:rFonts w:asciiTheme="majorHAnsi" w:hAnsiTheme="majorHAnsi"/>
        </w:rPr>
        <w:t xml:space="preserve"> </w:t>
      </w:r>
      <w:r w:rsidRPr="00D850DF">
        <w:rPr>
          <w:rFonts w:asciiTheme="majorHAnsi" w:hAnsiTheme="majorHAnsi"/>
        </w:rPr>
        <w:t>SRC TR 98-008.</w:t>
      </w:r>
    </w:p>
    <w:p w14:paraId="6D1FEC92" w14:textId="0B5A5F3C"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 xml:space="preserve">ATSDR (1997). Toxicological Profile of HMX. </w:t>
      </w:r>
      <w:r w:rsidR="00CC4935">
        <w:rPr>
          <w:rFonts w:asciiTheme="majorHAnsi" w:hAnsiTheme="majorHAnsi"/>
        </w:rPr>
        <w:t xml:space="preserve">US </w:t>
      </w:r>
      <w:r w:rsidRPr="00D850DF">
        <w:rPr>
          <w:rFonts w:asciiTheme="majorHAnsi" w:hAnsiTheme="majorHAnsi"/>
        </w:rPr>
        <w:t xml:space="preserve">Department of Health and Human Services, Public Health Service, Agency for Toxic Substances and Disease Registry. </w:t>
      </w:r>
    </w:p>
    <w:p w14:paraId="61955882" w14:textId="25044236" w:rsidR="00F916B6" w:rsidRPr="00D850DF" w:rsidRDefault="00F916B6" w:rsidP="00F916B6">
      <w:pPr>
        <w:pStyle w:val="Body"/>
        <w:spacing w:afterLines="20" w:after="48"/>
        <w:ind w:left="567" w:hanging="567"/>
        <w:rPr>
          <w:rFonts w:asciiTheme="majorHAnsi" w:hAnsiTheme="majorHAnsi"/>
        </w:rPr>
      </w:pPr>
      <w:r w:rsidRPr="00D850DF">
        <w:rPr>
          <w:rFonts w:asciiTheme="majorHAnsi" w:hAnsiTheme="majorHAnsi"/>
        </w:rPr>
        <w:t xml:space="preserve">ATSDR </w:t>
      </w:r>
      <w:r w:rsidR="00067280" w:rsidRPr="00D850DF">
        <w:rPr>
          <w:rFonts w:asciiTheme="majorHAnsi" w:hAnsiTheme="majorHAnsi"/>
        </w:rPr>
        <w:t>(</w:t>
      </w:r>
      <w:r w:rsidRPr="00D850DF">
        <w:rPr>
          <w:rFonts w:asciiTheme="majorHAnsi" w:hAnsiTheme="majorHAnsi"/>
        </w:rPr>
        <w:t>1998</w:t>
      </w:r>
      <w:r w:rsidR="00067280" w:rsidRPr="00D850DF">
        <w:rPr>
          <w:rFonts w:asciiTheme="majorHAnsi" w:hAnsiTheme="majorHAnsi"/>
        </w:rPr>
        <w:t>)</w:t>
      </w:r>
      <w:r w:rsidRPr="00D850DF">
        <w:rPr>
          <w:rFonts w:asciiTheme="majorHAnsi" w:hAnsiTheme="majorHAnsi"/>
        </w:rPr>
        <w:t>. Toxicological Profile for 2-butoxyethanol and 2-butoxyethanol acetate. U.S Department of Health and Human Services, Public Health Service</w:t>
      </w:r>
      <w:r w:rsidR="00CC4935">
        <w:rPr>
          <w:rFonts w:asciiTheme="majorHAnsi" w:hAnsiTheme="majorHAnsi"/>
        </w:rPr>
        <w:t xml:space="preserve">, </w:t>
      </w:r>
      <w:r w:rsidR="00CC4935" w:rsidRPr="00D850DF">
        <w:rPr>
          <w:rFonts w:asciiTheme="majorHAnsi" w:hAnsiTheme="majorHAnsi"/>
        </w:rPr>
        <w:t>Agency for Toxic Substances and Disease Registry</w:t>
      </w:r>
      <w:r w:rsidRPr="00D850DF">
        <w:rPr>
          <w:rFonts w:asciiTheme="majorHAnsi" w:hAnsiTheme="majorHAnsi"/>
        </w:rPr>
        <w:t>.</w:t>
      </w:r>
    </w:p>
    <w:p w14:paraId="53E77279" w14:textId="7B9E23A5"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 xml:space="preserve">ATSDR (2005). Public Health Statement: Naphthalene, 1-methylnaphthalene, 2-methylnaphthalene. </w:t>
      </w:r>
      <w:r w:rsidR="00CC4935">
        <w:rPr>
          <w:rFonts w:asciiTheme="majorHAnsi" w:hAnsiTheme="majorHAnsi"/>
        </w:rPr>
        <w:t xml:space="preserve">US </w:t>
      </w:r>
      <w:r w:rsidRPr="00D850DF">
        <w:rPr>
          <w:rFonts w:asciiTheme="majorHAnsi" w:hAnsiTheme="majorHAnsi"/>
        </w:rPr>
        <w:t xml:space="preserve">Department of Health and Human Services, Public Health Service, Agency for Toxic Substances and Disease Registry. </w:t>
      </w:r>
    </w:p>
    <w:p w14:paraId="0314677C" w14:textId="4F89FC3A"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ATSDR (2007</w:t>
      </w:r>
      <w:r w:rsidR="008A0EEA" w:rsidRPr="00D850DF">
        <w:rPr>
          <w:rFonts w:asciiTheme="majorHAnsi" w:hAnsiTheme="majorHAnsi"/>
        </w:rPr>
        <w:t>a</w:t>
      </w:r>
      <w:r w:rsidRPr="00D850DF">
        <w:rPr>
          <w:rFonts w:asciiTheme="majorHAnsi" w:hAnsiTheme="majorHAnsi"/>
        </w:rPr>
        <w:t>)</w:t>
      </w:r>
      <w:r w:rsidR="009D513F" w:rsidRPr="00D850DF">
        <w:rPr>
          <w:rFonts w:asciiTheme="majorHAnsi" w:hAnsiTheme="majorHAnsi"/>
        </w:rPr>
        <w:t>.</w:t>
      </w:r>
      <w:r w:rsidRPr="00D850DF">
        <w:rPr>
          <w:rFonts w:asciiTheme="majorHAnsi" w:hAnsiTheme="majorHAnsi"/>
        </w:rPr>
        <w:t xml:space="preserve"> Toxicological Profile for Barium and Barium Compounds. </w:t>
      </w:r>
      <w:r w:rsidR="00CC4935" w:rsidRPr="00D850DF">
        <w:rPr>
          <w:rFonts w:asciiTheme="majorHAnsi" w:hAnsiTheme="majorHAnsi"/>
        </w:rPr>
        <w:t>PBS2008-100003.</w:t>
      </w:r>
      <w:r w:rsidR="00CC4935">
        <w:rPr>
          <w:rFonts w:asciiTheme="majorHAnsi" w:hAnsiTheme="majorHAnsi"/>
        </w:rPr>
        <w:t xml:space="preserve"> US </w:t>
      </w:r>
      <w:r w:rsidR="00CC4935" w:rsidRPr="00D850DF">
        <w:rPr>
          <w:rFonts w:asciiTheme="majorHAnsi" w:hAnsiTheme="majorHAnsi"/>
        </w:rPr>
        <w:t>Department of Health and Human Services, Public Health Service, Agency for Toxic Substances and Disease Registry.</w:t>
      </w:r>
      <w:r w:rsidRPr="00D850DF">
        <w:rPr>
          <w:rFonts w:asciiTheme="majorHAnsi" w:hAnsiTheme="majorHAnsi"/>
        </w:rPr>
        <w:t xml:space="preserve"> </w:t>
      </w:r>
    </w:p>
    <w:p w14:paraId="03098311" w14:textId="6729F431" w:rsidR="00CC4935" w:rsidRPr="00D850DF" w:rsidRDefault="00301DB0" w:rsidP="00CC4935">
      <w:pPr>
        <w:pStyle w:val="Body"/>
        <w:spacing w:afterLines="20" w:after="48"/>
        <w:ind w:left="567" w:hanging="567"/>
        <w:rPr>
          <w:rFonts w:asciiTheme="majorHAnsi" w:hAnsiTheme="majorHAnsi"/>
        </w:rPr>
      </w:pPr>
      <w:r w:rsidRPr="00D850DF">
        <w:rPr>
          <w:rFonts w:asciiTheme="majorHAnsi" w:hAnsiTheme="majorHAnsi"/>
        </w:rPr>
        <w:t>ATSDR (2007</w:t>
      </w:r>
      <w:r w:rsidR="008A0EEA" w:rsidRPr="00D850DF">
        <w:rPr>
          <w:rFonts w:asciiTheme="majorHAnsi" w:hAnsiTheme="majorHAnsi"/>
        </w:rPr>
        <w:t>b</w:t>
      </w:r>
      <w:r w:rsidRPr="00D850DF">
        <w:rPr>
          <w:rFonts w:asciiTheme="majorHAnsi" w:hAnsiTheme="majorHAnsi"/>
        </w:rPr>
        <w:t>)</w:t>
      </w:r>
      <w:r w:rsidR="009D513F" w:rsidRPr="00D850DF">
        <w:rPr>
          <w:rFonts w:asciiTheme="majorHAnsi" w:hAnsiTheme="majorHAnsi"/>
        </w:rPr>
        <w:t>.</w:t>
      </w:r>
      <w:r w:rsidRPr="00D850DF">
        <w:rPr>
          <w:rFonts w:asciiTheme="majorHAnsi" w:hAnsiTheme="majorHAnsi"/>
        </w:rPr>
        <w:t xml:space="preserve"> Toxicological Profile for Arsenic. Agency for Toxic Substances and Disease Registry. PB2008-100002, August 2007. </w:t>
      </w:r>
      <w:r w:rsidR="00CC4935">
        <w:rPr>
          <w:rFonts w:asciiTheme="majorHAnsi" w:hAnsiTheme="majorHAnsi"/>
        </w:rPr>
        <w:t xml:space="preserve">US </w:t>
      </w:r>
      <w:r w:rsidR="00CC4935" w:rsidRPr="00D850DF">
        <w:rPr>
          <w:rFonts w:asciiTheme="majorHAnsi" w:hAnsiTheme="majorHAnsi"/>
        </w:rPr>
        <w:t xml:space="preserve">Department of Health and Human Services, Public Health Service, Agency for Toxic Substances and Disease Registry. </w:t>
      </w:r>
    </w:p>
    <w:p w14:paraId="40E1F8B2" w14:textId="77777777" w:rsidR="00CC4935" w:rsidRDefault="00CC4935" w:rsidP="00CC4935">
      <w:pPr>
        <w:pStyle w:val="Body"/>
        <w:spacing w:afterLines="20" w:after="48"/>
        <w:ind w:left="567" w:hanging="567"/>
        <w:rPr>
          <w:rFonts w:asciiTheme="majorHAnsi" w:hAnsiTheme="majorHAnsi"/>
        </w:rPr>
      </w:pPr>
      <w:r>
        <w:rPr>
          <w:rFonts w:asciiTheme="majorHAnsi" w:hAnsiTheme="majorHAnsi"/>
        </w:rPr>
        <w:t>ATSDR</w:t>
      </w:r>
      <w:r w:rsidR="008A0EEA" w:rsidRPr="00D850DF">
        <w:rPr>
          <w:rFonts w:asciiTheme="majorHAnsi" w:hAnsiTheme="majorHAnsi"/>
        </w:rPr>
        <w:t xml:space="preserve"> </w:t>
      </w:r>
      <w:r w:rsidR="00301DB0" w:rsidRPr="00D850DF">
        <w:rPr>
          <w:rFonts w:asciiTheme="majorHAnsi" w:hAnsiTheme="majorHAnsi"/>
        </w:rPr>
        <w:t>(2008)</w:t>
      </w:r>
      <w:r w:rsidR="009D513F" w:rsidRPr="00D850DF">
        <w:rPr>
          <w:rFonts w:asciiTheme="majorHAnsi" w:hAnsiTheme="majorHAnsi"/>
        </w:rPr>
        <w:t>.</w:t>
      </w:r>
      <w:r w:rsidR="00301DB0" w:rsidRPr="00D850DF">
        <w:rPr>
          <w:rFonts w:asciiTheme="majorHAnsi" w:hAnsiTheme="majorHAnsi"/>
        </w:rPr>
        <w:t xml:space="preserve"> Toxicological Profile for Cresols. </w:t>
      </w:r>
      <w:r>
        <w:rPr>
          <w:rFonts w:asciiTheme="majorHAnsi" w:hAnsiTheme="majorHAnsi"/>
        </w:rPr>
        <w:t xml:space="preserve">US </w:t>
      </w:r>
      <w:r w:rsidRPr="00D850DF">
        <w:rPr>
          <w:rFonts w:asciiTheme="majorHAnsi" w:hAnsiTheme="majorHAnsi"/>
        </w:rPr>
        <w:t xml:space="preserve">Department of Health and Human Services, Public Health Service, Agency for Toxic Substances and Disease Registry. </w:t>
      </w:r>
    </w:p>
    <w:p w14:paraId="1D30E1EB" w14:textId="05E5AB79" w:rsidR="000E5170" w:rsidRDefault="000E5170" w:rsidP="000E5170">
      <w:pPr>
        <w:pStyle w:val="Body"/>
        <w:spacing w:afterLines="20" w:after="48"/>
        <w:ind w:left="567" w:hanging="567"/>
        <w:rPr>
          <w:rFonts w:asciiTheme="majorHAnsi" w:hAnsiTheme="majorHAnsi"/>
        </w:rPr>
      </w:pPr>
      <w:r w:rsidRPr="000E5170">
        <w:rPr>
          <w:rFonts w:asciiTheme="majorHAnsi" w:hAnsiTheme="majorHAnsi"/>
        </w:rPr>
        <w:t>Aziz CE, Newell CJ, Gonzales JR, Haas P, Clement TP, Sun Y-W (2000). BIOCHLOR Version 1.0 User’</w:t>
      </w:r>
      <w:r>
        <w:rPr>
          <w:rFonts w:asciiTheme="majorHAnsi" w:hAnsiTheme="majorHAnsi"/>
        </w:rPr>
        <w:t>s Manual. EPA/600/R-00/008</w:t>
      </w:r>
      <w:r w:rsidRPr="000E5170">
        <w:rPr>
          <w:rFonts w:asciiTheme="majorHAnsi" w:hAnsiTheme="majorHAnsi"/>
        </w:rPr>
        <w:t>.</w:t>
      </w:r>
    </w:p>
    <w:p w14:paraId="573B0670" w14:textId="52025D46" w:rsidR="000E5170" w:rsidRPr="00D850DF" w:rsidRDefault="000E5170" w:rsidP="000E5170">
      <w:pPr>
        <w:pStyle w:val="Body"/>
        <w:spacing w:afterLines="20" w:after="48"/>
        <w:ind w:left="567" w:hanging="567"/>
        <w:rPr>
          <w:rFonts w:asciiTheme="majorHAnsi" w:hAnsiTheme="majorHAnsi"/>
        </w:rPr>
      </w:pPr>
      <w:r w:rsidRPr="000E5170">
        <w:rPr>
          <w:rFonts w:asciiTheme="majorHAnsi" w:hAnsiTheme="majorHAnsi"/>
        </w:rPr>
        <w:t xml:space="preserve">Aziz CE, Newell CJ, </w:t>
      </w:r>
      <w:r>
        <w:rPr>
          <w:rFonts w:asciiTheme="majorHAnsi" w:hAnsiTheme="majorHAnsi"/>
        </w:rPr>
        <w:t xml:space="preserve">and </w:t>
      </w:r>
      <w:r w:rsidRPr="000E5170">
        <w:rPr>
          <w:rFonts w:asciiTheme="majorHAnsi" w:hAnsiTheme="majorHAnsi"/>
        </w:rPr>
        <w:t>Gonzales JR</w:t>
      </w:r>
      <w:r>
        <w:rPr>
          <w:rFonts w:asciiTheme="majorHAnsi" w:hAnsiTheme="majorHAnsi"/>
        </w:rPr>
        <w:t xml:space="preserve"> (2002). BIOCHLOR. Natural attenuation decision support system. </w:t>
      </w:r>
      <w:r w:rsidRPr="000E5170">
        <w:rPr>
          <w:rFonts w:asciiTheme="majorHAnsi" w:hAnsiTheme="majorHAnsi"/>
        </w:rPr>
        <w:t>Air Force Center for Environmental Excellence Technology Transfer Division</w:t>
      </w:r>
      <w:r>
        <w:rPr>
          <w:rFonts w:asciiTheme="majorHAnsi" w:hAnsiTheme="majorHAnsi"/>
        </w:rPr>
        <w:t>.</w:t>
      </w:r>
    </w:p>
    <w:p w14:paraId="3AEC5A52" w14:textId="4FD45411" w:rsidR="00AA1963" w:rsidRPr="00D850DF" w:rsidRDefault="00AA1963" w:rsidP="00AA1963">
      <w:pPr>
        <w:pStyle w:val="Body"/>
        <w:spacing w:afterLines="20" w:after="48"/>
        <w:ind w:left="567" w:hanging="567"/>
        <w:rPr>
          <w:rFonts w:asciiTheme="majorHAnsi" w:hAnsiTheme="majorHAnsi"/>
        </w:rPr>
      </w:pPr>
      <w:r w:rsidRPr="00D850DF">
        <w:rPr>
          <w:rFonts w:asciiTheme="majorHAnsi" w:hAnsiTheme="majorHAnsi"/>
        </w:rPr>
        <w:t>Bagi A, Pampanin DM, Brakstad OG</w:t>
      </w:r>
      <w:r w:rsidR="00185938" w:rsidRPr="00D850DF">
        <w:rPr>
          <w:rFonts w:asciiTheme="majorHAnsi" w:hAnsiTheme="majorHAnsi"/>
        </w:rPr>
        <w:t>,</w:t>
      </w:r>
      <w:r w:rsidRPr="00D850DF">
        <w:rPr>
          <w:rFonts w:asciiTheme="majorHAnsi" w:hAnsiTheme="majorHAnsi"/>
        </w:rPr>
        <w:t xml:space="preserve"> and Kommedeal R (2013)</w:t>
      </w:r>
      <w:r w:rsidR="009D513F" w:rsidRPr="00D850DF">
        <w:rPr>
          <w:rFonts w:asciiTheme="majorHAnsi" w:hAnsiTheme="majorHAnsi"/>
        </w:rPr>
        <w:t>.</w:t>
      </w:r>
      <w:r w:rsidRPr="00D850DF">
        <w:rPr>
          <w:rFonts w:asciiTheme="majorHAnsi" w:hAnsiTheme="majorHAnsi"/>
        </w:rPr>
        <w:t xml:space="preserve"> Estimation of hydrocarbon biodegradation rates in marine environments: A critical review of the Q10 approach. Marine Environmental Research 89</w:t>
      </w:r>
      <w:r w:rsidR="00370368" w:rsidRPr="00D850DF">
        <w:rPr>
          <w:rFonts w:asciiTheme="majorHAnsi" w:hAnsiTheme="majorHAnsi"/>
        </w:rPr>
        <w:t>:</w:t>
      </w:r>
      <w:r w:rsidRPr="00D850DF">
        <w:rPr>
          <w:rFonts w:asciiTheme="majorHAnsi" w:hAnsiTheme="majorHAnsi"/>
        </w:rPr>
        <w:t xml:space="preserve"> 83-90.</w:t>
      </w:r>
    </w:p>
    <w:p w14:paraId="1851DFAC" w14:textId="5E4E7A76" w:rsidR="00AA1963" w:rsidRPr="00D850DF" w:rsidRDefault="00AA1963" w:rsidP="00AA1963">
      <w:pPr>
        <w:pStyle w:val="Body"/>
        <w:spacing w:afterLines="20" w:after="48"/>
        <w:ind w:left="567" w:hanging="567"/>
        <w:rPr>
          <w:rFonts w:asciiTheme="majorHAnsi" w:hAnsiTheme="majorHAnsi"/>
        </w:rPr>
      </w:pPr>
      <w:r w:rsidRPr="00D850DF">
        <w:rPr>
          <w:rFonts w:asciiTheme="majorHAnsi" w:hAnsiTheme="majorHAnsi"/>
        </w:rPr>
        <w:t>Bagi A, Pampanin DM, Lanzen A, Brakstad OG</w:t>
      </w:r>
      <w:r w:rsidR="00185938" w:rsidRPr="00D850DF">
        <w:rPr>
          <w:rFonts w:asciiTheme="majorHAnsi" w:hAnsiTheme="majorHAnsi"/>
        </w:rPr>
        <w:t>,</w:t>
      </w:r>
      <w:r w:rsidRPr="00D850DF">
        <w:rPr>
          <w:rFonts w:asciiTheme="majorHAnsi" w:hAnsiTheme="majorHAnsi"/>
        </w:rPr>
        <w:t xml:space="preserve"> and Kommedeal</w:t>
      </w:r>
      <w:r w:rsidR="00185938" w:rsidRPr="00D850DF">
        <w:rPr>
          <w:rFonts w:asciiTheme="majorHAnsi" w:hAnsiTheme="majorHAnsi"/>
        </w:rPr>
        <w:t xml:space="preserve"> R</w:t>
      </w:r>
      <w:r w:rsidRPr="00D850DF">
        <w:rPr>
          <w:rFonts w:asciiTheme="majorHAnsi" w:hAnsiTheme="majorHAnsi"/>
        </w:rPr>
        <w:t xml:space="preserve"> (2014)</w:t>
      </w:r>
      <w:r w:rsidR="009D513F" w:rsidRPr="00D850DF">
        <w:rPr>
          <w:rFonts w:asciiTheme="majorHAnsi" w:hAnsiTheme="majorHAnsi"/>
        </w:rPr>
        <w:t>.</w:t>
      </w:r>
      <w:r w:rsidRPr="00D850DF">
        <w:rPr>
          <w:rFonts w:asciiTheme="majorHAnsi" w:hAnsiTheme="majorHAnsi"/>
        </w:rPr>
        <w:t xml:space="preserve"> Naphthalene biodegradation in temperate and arctic marine microcosms. Biodegradation 25</w:t>
      </w:r>
      <w:r w:rsidR="00370368" w:rsidRPr="00D850DF">
        <w:rPr>
          <w:rFonts w:asciiTheme="majorHAnsi" w:hAnsiTheme="majorHAnsi"/>
        </w:rPr>
        <w:t>:</w:t>
      </w:r>
      <w:r w:rsidRPr="00D850DF">
        <w:rPr>
          <w:rFonts w:asciiTheme="majorHAnsi" w:hAnsiTheme="majorHAnsi"/>
        </w:rPr>
        <w:t xml:space="preserve"> 111-125.</w:t>
      </w:r>
    </w:p>
    <w:p w14:paraId="06509234" w14:textId="4CE66721" w:rsidR="00CF0D79" w:rsidRPr="00D850DF" w:rsidRDefault="00CF0D79" w:rsidP="00CF0D79">
      <w:pPr>
        <w:pStyle w:val="Body"/>
        <w:spacing w:afterLines="20" w:after="48"/>
        <w:ind w:left="567" w:hanging="567"/>
        <w:rPr>
          <w:rFonts w:asciiTheme="majorHAnsi" w:hAnsiTheme="majorHAnsi"/>
        </w:rPr>
      </w:pPr>
      <w:r w:rsidRPr="00D850DF">
        <w:rPr>
          <w:rFonts w:asciiTheme="majorHAnsi" w:hAnsiTheme="majorHAnsi"/>
        </w:rPr>
        <w:t>Bair ES, Freeman DC</w:t>
      </w:r>
      <w:r w:rsidR="00185938" w:rsidRPr="00D850DF">
        <w:rPr>
          <w:rFonts w:asciiTheme="majorHAnsi" w:hAnsiTheme="majorHAnsi"/>
        </w:rPr>
        <w:t>,</w:t>
      </w:r>
      <w:r w:rsidRPr="00D850DF">
        <w:rPr>
          <w:rFonts w:asciiTheme="majorHAnsi" w:hAnsiTheme="majorHAnsi"/>
        </w:rPr>
        <w:t xml:space="preserve"> and Senko JM (2010)</w:t>
      </w:r>
      <w:r w:rsidR="009D513F" w:rsidRPr="00D850DF">
        <w:rPr>
          <w:rFonts w:asciiTheme="majorHAnsi" w:hAnsiTheme="majorHAnsi"/>
        </w:rPr>
        <w:t>.</w:t>
      </w:r>
      <w:r w:rsidRPr="00D850DF">
        <w:rPr>
          <w:rFonts w:asciiTheme="majorHAnsi" w:hAnsiTheme="majorHAnsi"/>
        </w:rPr>
        <w:t xml:space="preserve"> Subsurface gas invasion, Bainbridge Township, Geauga County, Ohio:</w:t>
      </w:r>
      <w:r w:rsidR="0060439B" w:rsidRPr="00D850DF">
        <w:rPr>
          <w:rFonts w:asciiTheme="majorHAnsi" w:hAnsiTheme="majorHAnsi"/>
        </w:rPr>
        <w:t xml:space="preserve"> </w:t>
      </w:r>
      <w:r w:rsidRPr="00D850DF">
        <w:rPr>
          <w:rFonts w:asciiTheme="majorHAnsi" w:hAnsiTheme="majorHAnsi"/>
        </w:rPr>
        <w:t xml:space="preserve">Expert Panel Technical Report: Submitted to Ohio Dept. of Natural Resources, Division of Mineral Resources Management: accessed </w:t>
      </w:r>
      <w:r w:rsidR="00EF1601" w:rsidRPr="00D850DF">
        <w:rPr>
          <w:rFonts w:asciiTheme="majorHAnsi" w:hAnsiTheme="majorHAnsi"/>
        </w:rPr>
        <w:t>April</w:t>
      </w:r>
      <w:r w:rsidRPr="00D850DF">
        <w:rPr>
          <w:rFonts w:asciiTheme="majorHAnsi" w:hAnsiTheme="majorHAnsi"/>
        </w:rPr>
        <w:t xml:space="preserve"> 1</w:t>
      </w:r>
      <w:r w:rsidR="00EF1601" w:rsidRPr="00D850DF">
        <w:rPr>
          <w:rFonts w:asciiTheme="majorHAnsi" w:hAnsiTheme="majorHAnsi"/>
        </w:rPr>
        <w:t>8</w:t>
      </w:r>
      <w:r w:rsidRPr="00D850DF">
        <w:rPr>
          <w:rFonts w:asciiTheme="majorHAnsi" w:hAnsiTheme="majorHAnsi"/>
        </w:rPr>
        <w:t>, 201</w:t>
      </w:r>
      <w:r w:rsidR="00EF1601" w:rsidRPr="00D850DF">
        <w:rPr>
          <w:rFonts w:asciiTheme="majorHAnsi" w:hAnsiTheme="majorHAnsi"/>
        </w:rPr>
        <w:t>6</w:t>
      </w:r>
      <w:r w:rsidRPr="00D850DF">
        <w:rPr>
          <w:rFonts w:asciiTheme="majorHAnsi" w:hAnsiTheme="majorHAnsi"/>
        </w:rPr>
        <w:t xml:space="preserve">, </w:t>
      </w:r>
      <w:hyperlink r:id="rId218" w:history="1">
        <w:r w:rsidR="0071601A" w:rsidRPr="00D850DF">
          <w:rPr>
            <w:rFonts w:asciiTheme="majorHAnsi" w:hAnsiTheme="majorHAnsi"/>
          </w:rPr>
          <w:t>http://www.dnr.state.oh.us/bainbridge/tabid/20484/Default.aspx</w:t>
        </w:r>
      </w:hyperlink>
      <w:r w:rsidRPr="00D850DF">
        <w:rPr>
          <w:rFonts w:asciiTheme="majorHAnsi" w:hAnsiTheme="majorHAnsi"/>
        </w:rPr>
        <w:t>.</w:t>
      </w:r>
    </w:p>
    <w:p w14:paraId="199F6998" w14:textId="2F02A8CA" w:rsidR="0071601A" w:rsidRDefault="0071601A" w:rsidP="000144B2">
      <w:pPr>
        <w:pStyle w:val="Body"/>
        <w:spacing w:afterLines="20" w:after="48"/>
        <w:ind w:left="567" w:hanging="567"/>
        <w:rPr>
          <w:rFonts w:asciiTheme="majorHAnsi" w:hAnsiTheme="majorHAnsi"/>
        </w:rPr>
      </w:pPr>
      <w:r w:rsidRPr="00D850DF">
        <w:rPr>
          <w:rFonts w:asciiTheme="majorHAnsi" w:hAnsiTheme="majorHAnsi"/>
        </w:rPr>
        <w:t>Balakrishnan VK, Halasz A and Hawari J (2003)</w:t>
      </w:r>
      <w:r w:rsidR="009D513F" w:rsidRPr="00D850DF">
        <w:rPr>
          <w:rFonts w:asciiTheme="majorHAnsi" w:hAnsiTheme="majorHAnsi"/>
        </w:rPr>
        <w:t>.</w:t>
      </w:r>
      <w:r w:rsidRPr="00D850DF">
        <w:rPr>
          <w:rFonts w:asciiTheme="majorHAnsi" w:hAnsiTheme="majorHAnsi"/>
        </w:rPr>
        <w:t xml:space="preserve"> Alkaline hydrolysis of the cyclic nitramine explosives RDX, HMX, and CL-20: New insights into degradation pathways obtained by the observation of novel intermediates</w:t>
      </w:r>
      <w:r w:rsidR="00626299" w:rsidRPr="00D850DF">
        <w:rPr>
          <w:rFonts w:asciiTheme="majorHAnsi" w:hAnsiTheme="majorHAnsi"/>
        </w:rPr>
        <w:t>.</w:t>
      </w:r>
      <w:r w:rsidRPr="00D850DF">
        <w:rPr>
          <w:rFonts w:asciiTheme="majorHAnsi" w:hAnsiTheme="majorHAnsi"/>
        </w:rPr>
        <w:t xml:space="preserve"> Environmental Science and Technology 37(9)</w:t>
      </w:r>
      <w:r w:rsidR="00370368" w:rsidRPr="00D850DF">
        <w:rPr>
          <w:rFonts w:asciiTheme="majorHAnsi" w:hAnsiTheme="majorHAnsi"/>
        </w:rPr>
        <w:t>:</w:t>
      </w:r>
      <w:r w:rsidRPr="00D850DF">
        <w:rPr>
          <w:rFonts w:asciiTheme="majorHAnsi" w:hAnsiTheme="majorHAnsi"/>
        </w:rPr>
        <w:t xml:space="preserve"> 1838-1843.</w:t>
      </w:r>
    </w:p>
    <w:p w14:paraId="56EE678A" w14:textId="77777777" w:rsidR="00186A83" w:rsidRPr="00186A83" w:rsidRDefault="00186A83" w:rsidP="00186A83">
      <w:pPr>
        <w:pStyle w:val="Body"/>
        <w:spacing w:afterLines="20" w:after="48"/>
        <w:ind w:left="567" w:hanging="567"/>
        <w:rPr>
          <w:rFonts w:asciiTheme="majorHAnsi" w:hAnsiTheme="majorHAnsi"/>
        </w:rPr>
      </w:pPr>
      <w:r w:rsidRPr="00186A83">
        <w:rPr>
          <w:rFonts w:asciiTheme="majorHAnsi" w:hAnsiTheme="majorHAnsi"/>
        </w:rPr>
        <w:t>Batley GE, van Dam R, Warne MSJ, Chapman JC, Fox DR, Hickey CW and Stauber JL (2014). Technical rationale for changes to the method for deriving Australian and New Zealand water quality guideline values for toxicants.  CSIRO Land and Water Report, 37 pp.</w:t>
      </w:r>
    </w:p>
    <w:p w14:paraId="0A4B179B" w14:textId="141218D7" w:rsidR="00850227" w:rsidRDefault="00850227" w:rsidP="00850227">
      <w:pPr>
        <w:pStyle w:val="Body"/>
        <w:spacing w:afterLines="20" w:after="48"/>
        <w:ind w:left="567" w:hanging="567"/>
        <w:rPr>
          <w:rFonts w:asciiTheme="majorHAnsi" w:hAnsiTheme="majorHAnsi"/>
        </w:rPr>
      </w:pPr>
      <w:r w:rsidRPr="00D850DF">
        <w:rPr>
          <w:rFonts w:asciiTheme="majorHAnsi" w:hAnsiTheme="majorHAnsi"/>
        </w:rPr>
        <w:t>Beatson RK and Newsam GN (1992)</w:t>
      </w:r>
      <w:r w:rsidR="009D513F" w:rsidRPr="00D850DF">
        <w:rPr>
          <w:rFonts w:asciiTheme="majorHAnsi" w:hAnsiTheme="majorHAnsi"/>
        </w:rPr>
        <w:t>.</w:t>
      </w:r>
      <w:r w:rsidRPr="00D850DF">
        <w:rPr>
          <w:rFonts w:asciiTheme="majorHAnsi" w:hAnsiTheme="majorHAnsi"/>
        </w:rPr>
        <w:t xml:space="preserve"> Fast evaluation of radial basis functions</w:t>
      </w:r>
      <w:r w:rsidR="00626299" w:rsidRPr="00D850DF">
        <w:rPr>
          <w:rFonts w:asciiTheme="majorHAnsi" w:hAnsiTheme="majorHAnsi"/>
        </w:rPr>
        <w:t>.</w:t>
      </w:r>
      <w:r w:rsidRPr="00D850DF">
        <w:rPr>
          <w:rFonts w:asciiTheme="majorHAnsi" w:hAnsiTheme="majorHAnsi"/>
        </w:rPr>
        <w:t xml:space="preserve"> Computers and Mathematics with Applications 24(12): 7-19.</w:t>
      </w:r>
    </w:p>
    <w:p w14:paraId="29F29FF2" w14:textId="1863EC0C" w:rsidR="00065A7A" w:rsidRDefault="00C77D6B" w:rsidP="00850227">
      <w:pPr>
        <w:pStyle w:val="Body"/>
        <w:spacing w:afterLines="20" w:after="48"/>
        <w:ind w:left="567" w:hanging="567"/>
        <w:rPr>
          <w:rFonts w:asciiTheme="majorHAnsi" w:hAnsiTheme="majorHAnsi"/>
        </w:rPr>
      </w:pPr>
      <w:r>
        <w:rPr>
          <w:lang w:eastAsia="en-AU"/>
        </w:rPr>
        <w:t>Binet MT, Batley G, Hickey C, Golding LA and Adams MS (2016). Guidelines for the protection of aquatic ecosystems, toxicant trigger values: Boron – Freshwater. Australian and New Zealand guidelines for fresh and marine water quality. Draft July 2016. Council of Australian Governments Standing Council on Environment and Water, Canberra, ACT, Australia.</w:t>
      </w:r>
    </w:p>
    <w:p w14:paraId="2AFAFE26" w14:textId="4B07A245" w:rsidR="00FA19D8" w:rsidRPr="00FA19D8" w:rsidRDefault="00FA19D8" w:rsidP="00FA19D8">
      <w:pPr>
        <w:pStyle w:val="Body"/>
        <w:spacing w:afterLines="20" w:after="48"/>
        <w:ind w:left="567" w:hanging="567"/>
        <w:rPr>
          <w:rFonts w:asciiTheme="majorHAnsi" w:hAnsiTheme="majorHAnsi"/>
        </w:rPr>
      </w:pPr>
      <w:r w:rsidRPr="00FA19D8">
        <w:rPr>
          <w:rFonts w:asciiTheme="majorHAnsi" w:hAnsiTheme="majorHAnsi"/>
        </w:rPr>
        <w:t>Boethling RS</w:t>
      </w:r>
      <w:r>
        <w:rPr>
          <w:rFonts w:asciiTheme="majorHAnsi" w:hAnsiTheme="majorHAnsi"/>
        </w:rPr>
        <w:t xml:space="preserve"> and</w:t>
      </w:r>
      <w:r w:rsidRPr="00FA19D8">
        <w:rPr>
          <w:rFonts w:asciiTheme="majorHAnsi" w:hAnsiTheme="majorHAnsi"/>
        </w:rPr>
        <w:t xml:space="preserve"> Sabljic A</w:t>
      </w:r>
      <w:r>
        <w:rPr>
          <w:rFonts w:asciiTheme="majorHAnsi" w:hAnsiTheme="majorHAnsi"/>
        </w:rPr>
        <w:t xml:space="preserve"> (</w:t>
      </w:r>
      <w:r w:rsidRPr="00FA19D8">
        <w:rPr>
          <w:rFonts w:asciiTheme="majorHAnsi" w:hAnsiTheme="majorHAnsi"/>
        </w:rPr>
        <w:t>1989</w:t>
      </w:r>
      <w:r>
        <w:rPr>
          <w:rFonts w:asciiTheme="majorHAnsi" w:hAnsiTheme="majorHAnsi"/>
        </w:rPr>
        <w:t>)</w:t>
      </w:r>
      <w:r w:rsidRPr="00FA19D8">
        <w:rPr>
          <w:rFonts w:asciiTheme="majorHAnsi" w:hAnsiTheme="majorHAnsi"/>
        </w:rPr>
        <w:t>. Screening-level model for aerobic biodegradability based on a survey of expert knowledge. Environ</w:t>
      </w:r>
      <w:r>
        <w:rPr>
          <w:rFonts w:asciiTheme="majorHAnsi" w:hAnsiTheme="majorHAnsi"/>
        </w:rPr>
        <w:t>mental</w:t>
      </w:r>
      <w:r w:rsidRPr="00FA19D8">
        <w:rPr>
          <w:rFonts w:asciiTheme="majorHAnsi" w:hAnsiTheme="majorHAnsi"/>
        </w:rPr>
        <w:t xml:space="preserve"> Sci</w:t>
      </w:r>
      <w:r>
        <w:rPr>
          <w:rFonts w:asciiTheme="majorHAnsi" w:hAnsiTheme="majorHAnsi"/>
        </w:rPr>
        <w:t>ence and</w:t>
      </w:r>
      <w:r w:rsidRPr="00FA19D8">
        <w:rPr>
          <w:rFonts w:asciiTheme="majorHAnsi" w:hAnsiTheme="majorHAnsi"/>
        </w:rPr>
        <w:t xml:space="preserve"> Technol</w:t>
      </w:r>
      <w:r>
        <w:rPr>
          <w:rFonts w:asciiTheme="majorHAnsi" w:hAnsiTheme="majorHAnsi"/>
        </w:rPr>
        <w:t>ogy</w:t>
      </w:r>
      <w:r w:rsidRPr="00FA19D8">
        <w:rPr>
          <w:rFonts w:asciiTheme="majorHAnsi" w:hAnsiTheme="majorHAnsi"/>
        </w:rPr>
        <w:t xml:space="preserve"> 23:672-</w:t>
      </w:r>
      <w:r>
        <w:rPr>
          <w:rFonts w:asciiTheme="majorHAnsi" w:hAnsiTheme="majorHAnsi"/>
        </w:rPr>
        <w:t>67</w:t>
      </w:r>
      <w:r w:rsidRPr="00FA19D8">
        <w:rPr>
          <w:rFonts w:asciiTheme="majorHAnsi" w:hAnsiTheme="majorHAnsi"/>
        </w:rPr>
        <w:t>9.</w:t>
      </w:r>
    </w:p>
    <w:p w14:paraId="7291CB50" w14:textId="094EAA94" w:rsidR="00FA19D8" w:rsidRDefault="00FA19D8" w:rsidP="00FA19D8">
      <w:pPr>
        <w:pStyle w:val="Body"/>
        <w:spacing w:afterLines="20" w:after="48"/>
        <w:ind w:left="567" w:hanging="567"/>
        <w:rPr>
          <w:rFonts w:asciiTheme="majorHAnsi" w:hAnsiTheme="majorHAnsi"/>
        </w:rPr>
      </w:pPr>
      <w:r w:rsidRPr="00FA19D8">
        <w:rPr>
          <w:rFonts w:asciiTheme="majorHAnsi" w:hAnsiTheme="majorHAnsi"/>
        </w:rPr>
        <w:t>Boethling RS, Howard PH, Meylan W, Stiteler W, Beaumann J, Tirado N</w:t>
      </w:r>
      <w:r>
        <w:rPr>
          <w:rFonts w:asciiTheme="majorHAnsi" w:hAnsiTheme="majorHAnsi"/>
        </w:rPr>
        <w:t xml:space="preserve"> (</w:t>
      </w:r>
      <w:r w:rsidRPr="00FA19D8">
        <w:rPr>
          <w:rFonts w:asciiTheme="majorHAnsi" w:hAnsiTheme="majorHAnsi"/>
        </w:rPr>
        <w:t>1994</w:t>
      </w:r>
      <w:r>
        <w:rPr>
          <w:rFonts w:asciiTheme="majorHAnsi" w:hAnsiTheme="majorHAnsi"/>
        </w:rPr>
        <w:t>)</w:t>
      </w:r>
      <w:r w:rsidRPr="00FA19D8">
        <w:rPr>
          <w:rFonts w:asciiTheme="majorHAnsi" w:hAnsiTheme="majorHAnsi"/>
        </w:rPr>
        <w:t>. Group contribution method for predicting probability and rate of aerobic biodegradation. Environ</w:t>
      </w:r>
      <w:r>
        <w:rPr>
          <w:rFonts w:asciiTheme="majorHAnsi" w:hAnsiTheme="majorHAnsi"/>
        </w:rPr>
        <w:t>mental</w:t>
      </w:r>
      <w:r w:rsidRPr="00FA19D8">
        <w:rPr>
          <w:rFonts w:asciiTheme="majorHAnsi" w:hAnsiTheme="majorHAnsi"/>
        </w:rPr>
        <w:t xml:space="preserve"> Sci</w:t>
      </w:r>
      <w:r>
        <w:rPr>
          <w:rFonts w:asciiTheme="majorHAnsi" w:hAnsiTheme="majorHAnsi"/>
        </w:rPr>
        <w:t>ence and</w:t>
      </w:r>
      <w:r w:rsidRPr="00FA19D8">
        <w:rPr>
          <w:rFonts w:asciiTheme="majorHAnsi" w:hAnsiTheme="majorHAnsi"/>
        </w:rPr>
        <w:t xml:space="preserve"> Technol</w:t>
      </w:r>
      <w:r>
        <w:rPr>
          <w:rFonts w:asciiTheme="majorHAnsi" w:hAnsiTheme="majorHAnsi"/>
        </w:rPr>
        <w:t>ogy</w:t>
      </w:r>
      <w:r w:rsidRPr="00FA19D8">
        <w:rPr>
          <w:rFonts w:asciiTheme="majorHAnsi" w:hAnsiTheme="majorHAnsi"/>
        </w:rPr>
        <w:t xml:space="preserve"> 28:459-</w:t>
      </w:r>
      <w:r>
        <w:rPr>
          <w:rFonts w:asciiTheme="majorHAnsi" w:hAnsiTheme="majorHAnsi"/>
        </w:rPr>
        <w:t>4</w:t>
      </w:r>
      <w:r w:rsidRPr="00FA19D8">
        <w:rPr>
          <w:rFonts w:asciiTheme="majorHAnsi" w:hAnsiTheme="majorHAnsi"/>
        </w:rPr>
        <w:t>65</w:t>
      </w:r>
      <w:r>
        <w:rPr>
          <w:rFonts w:asciiTheme="majorHAnsi" w:hAnsiTheme="majorHAnsi"/>
        </w:rPr>
        <w:t>.</w:t>
      </w:r>
    </w:p>
    <w:p w14:paraId="3E23BAB5" w14:textId="0960E033" w:rsidR="00D014DC" w:rsidRPr="00D850DF" w:rsidRDefault="00D014DC" w:rsidP="00D014DC">
      <w:pPr>
        <w:pStyle w:val="Body"/>
        <w:spacing w:afterLines="20" w:after="48"/>
        <w:ind w:left="567" w:hanging="567"/>
        <w:rPr>
          <w:rFonts w:asciiTheme="majorHAnsi" w:hAnsiTheme="majorHAnsi"/>
        </w:rPr>
      </w:pPr>
      <w:r w:rsidRPr="00D014DC">
        <w:rPr>
          <w:rFonts w:asciiTheme="majorHAnsi" w:hAnsiTheme="majorHAnsi"/>
        </w:rPr>
        <w:t>Boronina A, Renard P, Balderer W, and Stichler W</w:t>
      </w:r>
      <w:r>
        <w:rPr>
          <w:rFonts w:asciiTheme="majorHAnsi" w:hAnsiTheme="majorHAnsi"/>
        </w:rPr>
        <w:t xml:space="preserve"> (2005)</w:t>
      </w:r>
      <w:r w:rsidRPr="00D014DC">
        <w:rPr>
          <w:rFonts w:asciiTheme="majorHAnsi" w:hAnsiTheme="majorHAnsi"/>
        </w:rPr>
        <w:t>. Application of tritium in precipitation and in groundwater of</w:t>
      </w:r>
      <w:r>
        <w:rPr>
          <w:rFonts w:asciiTheme="majorHAnsi" w:hAnsiTheme="majorHAnsi"/>
        </w:rPr>
        <w:t xml:space="preserve"> </w:t>
      </w:r>
      <w:r w:rsidRPr="00D014DC">
        <w:rPr>
          <w:rFonts w:asciiTheme="majorHAnsi" w:hAnsiTheme="majorHAnsi"/>
        </w:rPr>
        <w:t xml:space="preserve">the Kouris catchment (Cyprus) for description of the regional </w:t>
      </w:r>
      <w:r>
        <w:rPr>
          <w:rFonts w:asciiTheme="majorHAnsi" w:hAnsiTheme="majorHAnsi"/>
        </w:rPr>
        <w:t>groundwater flow.</w:t>
      </w:r>
      <w:r w:rsidRPr="00D014DC">
        <w:rPr>
          <w:rFonts w:asciiTheme="majorHAnsi" w:hAnsiTheme="majorHAnsi"/>
        </w:rPr>
        <w:t xml:space="preserve"> Appl</w:t>
      </w:r>
      <w:r>
        <w:rPr>
          <w:rFonts w:asciiTheme="majorHAnsi" w:hAnsiTheme="majorHAnsi"/>
        </w:rPr>
        <w:t>ied</w:t>
      </w:r>
      <w:r w:rsidRPr="00D014DC">
        <w:rPr>
          <w:rFonts w:asciiTheme="majorHAnsi" w:hAnsiTheme="majorHAnsi"/>
        </w:rPr>
        <w:t xml:space="preserve"> Geochem</w:t>
      </w:r>
      <w:r>
        <w:rPr>
          <w:rFonts w:asciiTheme="majorHAnsi" w:hAnsiTheme="majorHAnsi"/>
        </w:rPr>
        <w:t xml:space="preserve">istry </w:t>
      </w:r>
      <w:r w:rsidRPr="00D014DC">
        <w:rPr>
          <w:rFonts w:asciiTheme="majorHAnsi" w:hAnsiTheme="majorHAnsi"/>
        </w:rPr>
        <w:t>20</w:t>
      </w:r>
      <w:r>
        <w:rPr>
          <w:rFonts w:asciiTheme="majorHAnsi" w:hAnsiTheme="majorHAnsi"/>
        </w:rPr>
        <w:t>:</w:t>
      </w:r>
      <w:r w:rsidRPr="00D014DC">
        <w:rPr>
          <w:rFonts w:asciiTheme="majorHAnsi" w:hAnsiTheme="majorHAnsi"/>
        </w:rPr>
        <w:t xml:space="preserve"> 1292–1308</w:t>
      </w:r>
      <w:r>
        <w:rPr>
          <w:rFonts w:asciiTheme="majorHAnsi" w:hAnsiTheme="majorHAnsi"/>
        </w:rPr>
        <w:t>.</w:t>
      </w:r>
      <w:r w:rsidRPr="00D014DC">
        <w:rPr>
          <w:rFonts w:asciiTheme="majorHAnsi" w:hAnsiTheme="majorHAnsi"/>
        </w:rPr>
        <w:t xml:space="preserve"> doi:10.10</w:t>
      </w:r>
      <w:r>
        <w:rPr>
          <w:rFonts w:asciiTheme="majorHAnsi" w:hAnsiTheme="majorHAnsi"/>
        </w:rPr>
        <w:t>16/j.apgeochem.2005.03.007</w:t>
      </w:r>
      <w:r w:rsidRPr="00D014DC">
        <w:rPr>
          <w:rFonts w:asciiTheme="majorHAnsi" w:hAnsiTheme="majorHAnsi"/>
        </w:rPr>
        <w:t>.</w:t>
      </w:r>
    </w:p>
    <w:p w14:paraId="69DEF9FC" w14:textId="77DC7BDC" w:rsidR="00D9435D" w:rsidRPr="00D850DF" w:rsidRDefault="00D9435D" w:rsidP="000144B2">
      <w:pPr>
        <w:pStyle w:val="Body"/>
        <w:spacing w:afterLines="20" w:after="48"/>
        <w:ind w:left="567" w:hanging="567"/>
        <w:rPr>
          <w:rFonts w:asciiTheme="majorHAnsi" w:hAnsiTheme="majorHAnsi"/>
        </w:rPr>
      </w:pPr>
      <w:r w:rsidRPr="00D850DF">
        <w:rPr>
          <w:rFonts w:asciiTheme="majorHAnsi" w:hAnsiTheme="majorHAnsi"/>
        </w:rPr>
        <w:t>Bowen HJM (1966)</w:t>
      </w:r>
      <w:r w:rsidR="009D513F" w:rsidRPr="00D850DF">
        <w:rPr>
          <w:rFonts w:asciiTheme="majorHAnsi" w:hAnsiTheme="majorHAnsi"/>
        </w:rPr>
        <w:t>.</w:t>
      </w:r>
      <w:r w:rsidRPr="00D850DF">
        <w:rPr>
          <w:rFonts w:asciiTheme="majorHAnsi" w:hAnsiTheme="majorHAnsi"/>
        </w:rPr>
        <w:t xml:space="preserve"> Trace elements in biochemistry, New York, Academic Press, p. 19.</w:t>
      </w:r>
    </w:p>
    <w:p w14:paraId="527F10F0" w14:textId="2AC2029F" w:rsidR="00055F1D" w:rsidRPr="00D850DF" w:rsidRDefault="00B9481C" w:rsidP="00055F1D">
      <w:pPr>
        <w:pStyle w:val="Body"/>
        <w:spacing w:afterLines="20" w:after="48"/>
        <w:ind w:left="567" w:hanging="567"/>
        <w:rPr>
          <w:rFonts w:asciiTheme="majorHAnsi" w:hAnsiTheme="majorHAnsi"/>
          <w:lang w:val="en-AU"/>
        </w:rPr>
      </w:pPr>
      <w:r w:rsidRPr="00D850DF">
        <w:rPr>
          <w:rFonts w:asciiTheme="majorHAnsi" w:hAnsiTheme="majorHAnsi"/>
          <w:lang w:val="en-AU"/>
        </w:rPr>
        <w:t>Boyd SA, Johnston CT, Laird DA, Teppen BJ</w:t>
      </w:r>
      <w:r w:rsidR="00185938" w:rsidRPr="00D850DF">
        <w:rPr>
          <w:rFonts w:asciiTheme="majorHAnsi" w:hAnsiTheme="majorHAnsi"/>
          <w:lang w:val="en-AU"/>
        </w:rPr>
        <w:t>,</w:t>
      </w:r>
      <w:r w:rsidRPr="00D850DF">
        <w:rPr>
          <w:rFonts w:asciiTheme="majorHAnsi" w:hAnsiTheme="majorHAnsi"/>
          <w:lang w:val="en-AU"/>
        </w:rPr>
        <w:t xml:space="preserve"> and Li</w:t>
      </w:r>
      <w:r w:rsidR="00EA3F50" w:rsidRPr="00D850DF">
        <w:rPr>
          <w:rFonts w:asciiTheme="majorHAnsi" w:hAnsiTheme="majorHAnsi"/>
          <w:lang w:val="en-AU"/>
        </w:rPr>
        <w:t xml:space="preserve"> H (2011)</w:t>
      </w:r>
      <w:r w:rsidR="009D513F" w:rsidRPr="00D850DF">
        <w:rPr>
          <w:rFonts w:asciiTheme="majorHAnsi" w:hAnsiTheme="majorHAnsi"/>
          <w:lang w:val="en-AU"/>
        </w:rPr>
        <w:t>.</w:t>
      </w:r>
      <w:r w:rsidR="00EA3F50" w:rsidRPr="00D850DF">
        <w:rPr>
          <w:rFonts w:asciiTheme="majorHAnsi" w:hAnsiTheme="majorHAnsi"/>
          <w:lang w:val="en-AU"/>
        </w:rPr>
        <w:t xml:space="preserve"> </w:t>
      </w:r>
      <w:r w:rsidR="00055F1D" w:rsidRPr="00D850DF">
        <w:rPr>
          <w:rFonts w:asciiTheme="majorHAnsi" w:hAnsiTheme="majorHAnsi"/>
          <w:lang w:val="en-AU"/>
        </w:rPr>
        <w:t xml:space="preserve">Comprehensive </w:t>
      </w:r>
      <w:r w:rsidR="009D513F" w:rsidRPr="00D850DF">
        <w:rPr>
          <w:rFonts w:asciiTheme="majorHAnsi" w:hAnsiTheme="majorHAnsi"/>
          <w:lang w:val="en-AU"/>
        </w:rPr>
        <w:t>study of organic contaminant adsorption by clays: methodologies, mechanisms, and environmental implications. In</w:t>
      </w:r>
      <w:r w:rsidR="00055F1D" w:rsidRPr="00D850DF">
        <w:rPr>
          <w:rFonts w:asciiTheme="majorHAnsi" w:hAnsiTheme="majorHAnsi"/>
          <w:lang w:val="en-AU"/>
        </w:rPr>
        <w:t xml:space="preserve"> Biophysico-Chemical Processes of Anthropogenic Organic Compounds in Environmental Systems</w:t>
      </w:r>
      <w:r w:rsidRPr="00D850DF">
        <w:rPr>
          <w:rFonts w:asciiTheme="majorHAnsi" w:hAnsiTheme="majorHAnsi"/>
          <w:lang w:val="en-AU"/>
        </w:rPr>
        <w:t xml:space="preserve"> </w:t>
      </w:r>
      <w:r w:rsidR="00055F1D" w:rsidRPr="00D850DF">
        <w:rPr>
          <w:rFonts w:asciiTheme="majorHAnsi" w:hAnsiTheme="majorHAnsi"/>
          <w:lang w:val="en-AU"/>
        </w:rPr>
        <w:t>51-71</w:t>
      </w:r>
      <w:r w:rsidR="00626299" w:rsidRPr="00D850DF">
        <w:rPr>
          <w:rFonts w:asciiTheme="majorHAnsi" w:hAnsiTheme="majorHAnsi"/>
          <w:lang w:val="en-AU"/>
        </w:rPr>
        <w:t>, John Wiley &amp; Sons, Inc., Hoboken, NJ, USA</w:t>
      </w:r>
      <w:r w:rsidR="00055F1D" w:rsidRPr="00D850DF">
        <w:rPr>
          <w:rFonts w:asciiTheme="majorHAnsi" w:hAnsiTheme="majorHAnsi"/>
          <w:lang w:val="en-AU"/>
        </w:rPr>
        <w:t>.</w:t>
      </w:r>
    </w:p>
    <w:p w14:paraId="5551C365" w14:textId="2519FE92" w:rsidR="00EA3F50" w:rsidRPr="00D850DF" w:rsidRDefault="00EA3F50" w:rsidP="00EA3F50">
      <w:pPr>
        <w:pStyle w:val="Body"/>
        <w:spacing w:afterLines="20" w:after="48"/>
        <w:ind w:left="567" w:hanging="567"/>
        <w:rPr>
          <w:rFonts w:asciiTheme="majorHAnsi" w:hAnsiTheme="majorHAnsi"/>
          <w:lang w:val="en-AU"/>
        </w:rPr>
      </w:pPr>
      <w:r w:rsidRPr="00D850DF">
        <w:rPr>
          <w:rFonts w:asciiTheme="majorHAnsi" w:hAnsiTheme="majorHAnsi"/>
          <w:lang w:val="en-AU"/>
        </w:rPr>
        <w:t>Boyd SA (1982)</w:t>
      </w:r>
      <w:r w:rsidR="009D513F" w:rsidRPr="00D850DF">
        <w:rPr>
          <w:rFonts w:asciiTheme="majorHAnsi" w:hAnsiTheme="majorHAnsi"/>
          <w:lang w:val="en-AU"/>
        </w:rPr>
        <w:t>.</w:t>
      </w:r>
      <w:r w:rsidR="00CC4935">
        <w:rPr>
          <w:rFonts w:asciiTheme="majorHAnsi" w:hAnsiTheme="majorHAnsi"/>
          <w:lang w:val="en-AU"/>
        </w:rPr>
        <w:t xml:space="preserve"> Adsorption of</w:t>
      </w:r>
      <w:r w:rsidRPr="00D850DF">
        <w:rPr>
          <w:rFonts w:asciiTheme="majorHAnsi" w:hAnsiTheme="majorHAnsi"/>
          <w:lang w:val="en-AU"/>
        </w:rPr>
        <w:t xml:space="preserve"> substituted phenols by soils. Soil Science 134(5): 337-343.</w:t>
      </w:r>
    </w:p>
    <w:p w14:paraId="2AFAAB0C" w14:textId="6FEB60C8" w:rsidR="0071601A" w:rsidRPr="00D850DF" w:rsidRDefault="0071601A" w:rsidP="000144B2">
      <w:pPr>
        <w:pStyle w:val="Body"/>
        <w:spacing w:afterLines="20" w:after="48"/>
        <w:ind w:left="567" w:hanging="567"/>
        <w:rPr>
          <w:rFonts w:asciiTheme="majorHAnsi" w:hAnsiTheme="majorHAnsi"/>
        </w:rPr>
      </w:pPr>
      <w:r w:rsidRPr="00D850DF">
        <w:rPr>
          <w:rFonts w:asciiTheme="majorHAnsi" w:hAnsiTheme="majorHAnsi"/>
        </w:rPr>
        <w:t>Brannon J</w:t>
      </w:r>
      <w:r w:rsidR="000E4AFB" w:rsidRPr="00D850DF">
        <w:rPr>
          <w:rFonts w:asciiTheme="majorHAnsi" w:hAnsiTheme="majorHAnsi"/>
        </w:rPr>
        <w:t>M</w:t>
      </w:r>
      <w:r w:rsidRPr="00D850DF">
        <w:rPr>
          <w:rFonts w:asciiTheme="majorHAnsi" w:hAnsiTheme="majorHAnsi"/>
        </w:rPr>
        <w:t>, Price CB, Yost SL, Hayes C</w:t>
      </w:r>
      <w:r w:rsidR="00185938" w:rsidRPr="00D850DF">
        <w:rPr>
          <w:rFonts w:asciiTheme="majorHAnsi" w:hAnsiTheme="majorHAnsi"/>
        </w:rPr>
        <w:t xml:space="preserve">, </w:t>
      </w:r>
      <w:r w:rsidRPr="00D850DF">
        <w:rPr>
          <w:rFonts w:asciiTheme="majorHAnsi" w:hAnsiTheme="majorHAnsi"/>
        </w:rPr>
        <w:t>and Porter B (2005)</w:t>
      </w:r>
      <w:r w:rsidR="009D513F" w:rsidRPr="00D850DF">
        <w:rPr>
          <w:rFonts w:asciiTheme="majorHAnsi" w:hAnsiTheme="majorHAnsi"/>
        </w:rPr>
        <w:t>.</w:t>
      </w:r>
      <w:r w:rsidRPr="00D850DF">
        <w:rPr>
          <w:rFonts w:asciiTheme="majorHAnsi" w:hAnsiTheme="majorHAnsi"/>
        </w:rPr>
        <w:t xml:space="preserve"> Comparison of environmental fate and transport process descriptors of explosives in saline and freshwater systems</w:t>
      </w:r>
      <w:r w:rsidR="00626299" w:rsidRPr="00D850DF">
        <w:rPr>
          <w:rFonts w:asciiTheme="majorHAnsi" w:hAnsiTheme="majorHAnsi"/>
        </w:rPr>
        <w:t>.</w:t>
      </w:r>
      <w:r w:rsidRPr="00D850DF">
        <w:rPr>
          <w:rFonts w:asciiTheme="majorHAnsi" w:hAnsiTheme="majorHAnsi"/>
        </w:rPr>
        <w:t xml:space="preserve"> Marine Pollution Bulletin 50(3)</w:t>
      </w:r>
      <w:r w:rsidR="00370368" w:rsidRPr="00D850DF">
        <w:rPr>
          <w:rFonts w:asciiTheme="majorHAnsi" w:hAnsiTheme="majorHAnsi"/>
        </w:rPr>
        <w:t>:</w:t>
      </w:r>
      <w:r w:rsidRPr="00D850DF">
        <w:rPr>
          <w:rFonts w:asciiTheme="majorHAnsi" w:hAnsiTheme="majorHAnsi"/>
        </w:rPr>
        <w:t xml:space="preserve"> 247-251.</w:t>
      </w:r>
    </w:p>
    <w:p w14:paraId="377B5C82" w14:textId="0F38870B" w:rsidR="00A84DA6" w:rsidRPr="00D850DF" w:rsidRDefault="00A84DA6" w:rsidP="00A84DA6">
      <w:pPr>
        <w:pStyle w:val="Body"/>
        <w:spacing w:afterLines="20" w:after="48"/>
        <w:ind w:left="567" w:hanging="567"/>
        <w:rPr>
          <w:rFonts w:asciiTheme="majorHAnsi" w:hAnsiTheme="majorHAnsi"/>
        </w:rPr>
      </w:pPr>
      <w:r w:rsidRPr="00D850DF">
        <w:rPr>
          <w:rFonts w:asciiTheme="majorHAnsi" w:hAnsiTheme="majorHAnsi"/>
        </w:rPr>
        <w:t>Brantley</w:t>
      </w:r>
      <w:r w:rsidR="00E77ECF" w:rsidRPr="00D850DF">
        <w:rPr>
          <w:rFonts w:asciiTheme="majorHAnsi" w:hAnsiTheme="majorHAnsi"/>
        </w:rPr>
        <w:t xml:space="preserve"> SL</w:t>
      </w:r>
      <w:r w:rsidRPr="00D850DF">
        <w:rPr>
          <w:rFonts w:asciiTheme="majorHAnsi" w:hAnsiTheme="majorHAnsi"/>
        </w:rPr>
        <w:t>, Yoxtheimer D, Arjmand</w:t>
      </w:r>
      <w:r w:rsidR="00185938" w:rsidRPr="00D850DF">
        <w:rPr>
          <w:rFonts w:asciiTheme="majorHAnsi" w:hAnsiTheme="majorHAnsi"/>
        </w:rPr>
        <w:t xml:space="preserve"> S</w:t>
      </w:r>
      <w:r w:rsidRPr="00D850DF">
        <w:rPr>
          <w:rFonts w:asciiTheme="majorHAnsi" w:hAnsiTheme="majorHAnsi"/>
        </w:rPr>
        <w:t>, Grieve</w:t>
      </w:r>
      <w:r w:rsidR="00185938" w:rsidRPr="00D850DF">
        <w:rPr>
          <w:rFonts w:asciiTheme="majorHAnsi" w:hAnsiTheme="majorHAnsi"/>
        </w:rPr>
        <w:t xml:space="preserve"> P</w:t>
      </w:r>
      <w:r w:rsidRPr="00D850DF">
        <w:rPr>
          <w:rFonts w:asciiTheme="majorHAnsi" w:hAnsiTheme="majorHAnsi"/>
        </w:rPr>
        <w:t>, Vidic</w:t>
      </w:r>
      <w:r w:rsidR="00185938" w:rsidRPr="00D850DF">
        <w:rPr>
          <w:rFonts w:asciiTheme="majorHAnsi" w:hAnsiTheme="majorHAnsi"/>
        </w:rPr>
        <w:t xml:space="preserve"> R</w:t>
      </w:r>
      <w:r w:rsidRPr="00D850DF">
        <w:rPr>
          <w:rFonts w:asciiTheme="majorHAnsi" w:hAnsiTheme="majorHAnsi"/>
        </w:rPr>
        <w:t>, Pollak</w:t>
      </w:r>
      <w:r w:rsidR="00185938" w:rsidRPr="00D850DF">
        <w:rPr>
          <w:rFonts w:asciiTheme="majorHAnsi" w:hAnsiTheme="majorHAnsi"/>
        </w:rPr>
        <w:t xml:space="preserve"> J</w:t>
      </w:r>
      <w:r w:rsidRPr="00D850DF">
        <w:rPr>
          <w:rFonts w:asciiTheme="majorHAnsi" w:hAnsiTheme="majorHAnsi"/>
        </w:rPr>
        <w:t>, Llewellyn</w:t>
      </w:r>
      <w:r w:rsidR="00185938" w:rsidRPr="00D850DF">
        <w:rPr>
          <w:rFonts w:asciiTheme="majorHAnsi" w:hAnsiTheme="majorHAnsi"/>
        </w:rPr>
        <w:t xml:space="preserve"> GT</w:t>
      </w:r>
      <w:r w:rsidRPr="00D850DF">
        <w:rPr>
          <w:rFonts w:asciiTheme="majorHAnsi" w:hAnsiTheme="majorHAnsi"/>
        </w:rPr>
        <w:t>, Abad</w:t>
      </w:r>
      <w:r w:rsidR="00185938" w:rsidRPr="00D850DF">
        <w:rPr>
          <w:rFonts w:asciiTheme="majorHAnsi" w:hAnsiTheme="majorHAnsi"/>
        </w:rPr>
        <w:t xml:space="preserve"> J</w:t>
      </w:r>
      <w:r w:rsidRPr="00D850DF">
        <w:rPr>
          <w:rFonts w:asciiTheme="majorHAnsi" w:hAnsiTheme="majorHAnsi"/>
        </w:rPr>
        <w:t xml:space="preserve">, </w:t>
      </w:r>
      <w:r w:rsidR="00185938" w:rsidRPr="00D850DF">
        <w:rPr>
          <w:rFonts w:asciiTheme="majorHAnsi" w:hAnsiTheme="majorHAnsi"/>
        </w:rPr>
        <w:t xml:space="preserve">and </w:t>
      </w:r>
      <w:r w:rsidRPr="00D850DF">
        <w:rPr>
          <w:rFonts w:asciiTheme="majorHAnsi" w:hAnsiTheme="majorHAnsi"/>
        </w:rPr>
        <w:t xml:space="preserve">Simon </w:t>
      </w:r>
      <w:r w:rsidR="00185938" w:rsidRPr="00D850DF">
        <w:rPr>
          <w:rFonts w:asciiTheme="majorHAnsi" w:hAnsiTheme="majorHAnsi"/>
        </w:rPr>
        <w:t xml:space="preserve">C </w:t>
      </w:r>
      <w:r w:rsidRPr="00D850DF">
        <w:rPr>
          <w:rFonts w:asciiTheme="majorHAnsi" w:hAnsiTheme="majorHAnsi"/>
        </w:rPr>
        <w:t>(2014)</w:t>
      </w:r>
      <w:r w:rsidR="009D513F" w:rsidRPr="00D850DF">
        <w:rPr>
          <w:rFonts w:asciiTheme="majorHAnsi" w:hAnsiTheme="majorHAnsi"/>
        </w:rPr>
        <w:t>.</w:t>
      </w:r>
      <w:r w:rsidRPr="00D850DF">
        <w:rPr>
          <w:rFonts w:asciiTheme="majorHAnsi" w:hAnsiTheme="majorHAnsi"/>
        </w:rPr>
        <w:t xml:space="preserve"> Water resource impacts during unconventional shale gas development: The Pennsylvania experience. International Journal of Coal Geology 126: 140-156.</w:t>
      </w:r>
    </w:p>
    <w:p w14:paraId="642AA7BC" w14:textId="0132FCC1" w:rsidR="00D9435D" w:rsidRPr="00D850DF" w:rsidRDefault="00D9435D" w:rsidP="000144B2">
      <w:pPr>
        <w:pStyle w:val="Body"/>
        <w:spacing w:afterLines="20" w:after="48"/>
        <w:ind w:left="567" w:hanging="567"/>
        <w:rPr>
          <w:rFonts w:asciiTheme="majorHAnsi" w:hAnsiTheme="majorHAnsi"/>
        </w:rPr>
      </w:pPr>
      <w:r w:rsidRPr="00D850DF">
        <w:rPr>
          <w:rFonts w:asciiTheme="majorHAnsi" w:hAnsiTheme="majorHAnsi"/>
        </w:rPr>
        <w:t xml:space="preserve">Broermann J, Bassett RL, Weeks EP, </w:t>
      </w:r>
      <w:r w:rsidR="00276555" w:rsidRPr="00D850DF">
        <w:rPr>
          <w:rFonts w:asciiTheme="majorHAnsi" w:hAnsiTheme="majorHAnsi"/>
        </w:rPr>
        <w:t xml:space="preserve">and </w:t>
      </w:r>
      <w:r w:rsidRPr="00D850DF">
        <w:rPr>
          <w:rFonts w:asciiTheme="majorHAnsi" w:hAnsiTheme="majorHAnsi"/>
        </w:rPr>
        <w:t>Borgstrom M (1997)</w:t>
      </w:r>
      <w:r w:rsidR="009D513F" w:rsidRPr="00D850DF">
        <w:rPr>
          <w:rFonts w:asciiTheme="majorHAnsi" w:hAnsiTheme="majorHAnsi"/>
        </w:rPr>
        <w:t>.</w:t>
      </w:r>
      <w:r w:rsidRPr="00D850DF">
        <w:rPr>
          <w:rFonts w:asciiTheme="majorHAnsi" w:hAnsiTheme="majorHAnsi"/>
        </w:rPr>
        <w:t xml:space="preserve"> Estimation of αL, velocity, </w:t>
      </w:r>
      <w:proofErr w:type="gramStart"/>
      <w:r w:rsidRPr="00D850DF">
        <w:rPr>
          <w:rFonts w:asciiTheme="majorHAnsi" w:hAnsiTheme="majorHAnsi"/>
        </w:rPr>
        <w:t>Kd</w:t>
      </w:r>
      <w:proofErr w:type="gramEnd"/>
      <w:r w:rsidRPr="00D850DF">
        <w:rPr>
          <w:rFonts w:asciiTheme="majorHAnsi" w:hAnsiTheme="majorHAnsi"/>
        </w:rPr>
        <w:t xml:space="preserve"> and confidence limits from tracer injection test data. Ground Water 5</w:t>
      </w:r>
      <w:r w:rsidR="00370368" w:rsidRPr="00D850DF">
        <w:rPr>
          <w:rFonts w:asciiTheme="majorHAnsi" w:hAnsiTheme="majorHAnsi"/>
        </w:rPr>
        <w:t>:</w:t>
      </w:r>
      <w:r w:rsidRPr="00D850DF">
        <w:rPr>
          <w:rFonts w:asciiTheme="majorHAnsi" w:hAnsiTheme="majorHAnsi"/>
        </w:rPr>
        <w:t xml:space="preserve"> 1066–1076.</w:t>
      </w:r>
    </w:p>
    <w:p w14:paraId="14897A19" w14:textId="5E7460C5" w:rsidR="00A90320" w:rsidRPr="00D850DF" w:rsidRDefault="00A90320" w:rsidP="00A90320">
      <w:pPr>
        <w:pStyle w:val="Body"/>
        <w:spacing w:afterLines="20" w:after="48"/>
        <w:ind w:left="567" w:hanging="567"/>
        <w:rPr>
          <w:rFonts w:asciiTheme="majorHAnsi" w:hAnsiTheme="majorHAnsi"/>
        </w:rPr>
      </w:pPr>
      <w:r w:rsidRPr="00D850DF">
        <w:rPr>
          <w:rFonts w:asciiTheme="majorHAnsi" w:hAnsiTheme="majorHAnsi"/>
        </w:rPr>
        <w:t>Broomfield M (2012)</w:t>
      </w:r>
      <w:r w:rsidR="009D513F" w:rsidRPr="00D850DF">
        <w:rPr>
          <w:rFonts w:asciiTheme="majorHAnsi" w:hAnsiTheme="majorHAnsi"/>
        </w:rPr>
        <w:t>.</w:t>
      </w:r>
      <w:r w:rsidRPr="00D850DF">
        <w:rPr>
          <w:rFonts w:asciiTheme="majorHAnsi" w:hAnsiTheme="majorHAnsi"/>
        </w:rPr>
        <w:t xml:space="preserve"> Support to </w:t>
      </w:r>
      <w:r w:rsidR="009D513F" w:rsidRPr="00D850DF">
        <w:rPr>
          <w:rFonts w:asciiTheme="majorHAnsi" w:hAnsiTheme="majorHAnsi"/>
        </w:rPr>
        <w:t xml:space="preserve">the identification of potential risks for the environment and human health arising from hydrocarbons operations involving hydraulic fracturing </w:t>
      </w:r>
      <w:r w:rsidRPr="00D850DF">
        <w:rPr>
          <w:rFonts w:asciiTheme="majorHAnsi" w:hAnsiTheme="majorHAnsi"/>
        </w:rPr>
        <w:t>in Europe. Report for European Commission DG Environment, (17), 1–192. http://doi.org/AEA/R/ED57281.</w:t>
      </w:r>
    </w:p>
    <w:p w14:paraId="344E8077" w14:textId="33ECBC63" w:rsidR="008E49B8" w:rsidRPr="00D850DF" w:rsidRDefault="008E49B8" w:rsidP="008E49B8">
      <w:pPr>
        <w:pStyle w:val="Body"/>
        <w:spacing w:afterLines="20" w:after="48"/>
        <w:ind w:left="567" w:hanging="567"/>
        <w:rPr>
          <w:rFonts w:asciiTheme="majorHAnsi" w:hAnsiTheme="majorHAnsi"/>
        </w:rPr>
      </w:pPr>
      <w:r w:rsidRPr="00D850DF">
        <w:rPr>
          <w:rFonts w:asciiTheme="majorHAnsi" w:hAnsiTheme="majorHAnsi"/>
        </w:rPr>
        <w:t>Bunger AP (2015)</w:t>
      </w:r>
      <w:r w:rsidR="009D513F" w:rsidRPr="00D850DF">
        <w:rPr>
          <w:rFonts w:asciiTheme="majorHAnsi" w:hAnsiTheme="majorHAnsi"/>
        </w:rPr>
        <w:t>.</w:t>
      </w:r>
      <w:r w:rsidRPr="00D850DF">
        <w:rPr>
          <w:rFonts w:asciiTheme="majorHAnsi" w:hAnsiTheme="majorHAnsi"/>
        </w:rPr>
        <w:t xml:space="preserve"> Introduction to Hydraulic Fracturing Mechanics and Applications.</w:t>
      </w:r>
      <w:r w:rsidR="009D513F" w:rsidRPr="00D850DF">
        <w:rPr>
          <w:rFonts w:asciiTheme="majorHAnsi" w:hAnsiTheme="majorHAnsi"/>
        </w:rPr>
        <w:t xml:space="preserve">  </w:t>
      </w:r>
      <w:r w:rsidR="00050E7E" w:rsidRPr="00D850DF">
        <w:rPr>
          <w:rFonts w:asciiTheme="majorHAnsi" w:hAnsiTheme="majorHAnsi"/>
        </w:rPr>
        <w:t>University of Pittsburgh.</w:t>
      </w:r>
    </w:p>
    <w:p w14:paraId="3ED15F37" w14:textId="7B7DA08C" w:rsidR="00FD6F6D" w:rsidRPr="00D850DF" w:rsidRDefault="00FD6F6D" w:rsidP="000144B2">
      <w:pPr>
        <w:pStyle w:val="Body"/>
        <w:spacing w:afterLines="20" w:after="48"/>
        <w:ind w:left="567" w:hanging="567"/>
        <w:rPr>
          <w:rFonts w:asciiTheme="majorHAnsi" w:hAnsiTheme="majorHAnsi"/>
        </w:rPr>
      </w:pPr>
      <w:r w:rsidRPr="00D850DF">
        <w:rPr>
          <w:rFonts w:asciiTheme="majorHAnsi" w:hAnsiTheme="majorHAnsi"/>
        </w:rPr>
        <w:t xml:space="preserve">Bunger AP, Kear J, Lecampion B, </w:t>
      </w:r>
      <w:r w:rsidR="00276555" w:rsidRPr="00D850DF">
        <w:rPr>
          <w:rFonts w:asciiTheme="majorHAnsi" w:hAnsiTheme="majorHAnsi"/>
        </w:rPr>
        <w:t xml:space="preserve">and </w:t>
      </w:r>
      <w:r w:rsidRPr="00D850DF">
        <w:rPr>
          <w:rFonts w:asciiTheme="majorHAnsi" w:hAnsiTheme="majorHAnsi"/>
        </w:rPr>
        <w:t>Quesada D (2010)</w:t>
      </w:r>
      <w:r w:rsidR="009D513F" w:rsidRPr="00D850DF">
        <w:rPr>
          <w:rFonts w:asciiTheme="majorHAnsi" w:hAnsiTheme="majorHAnsi"/>
        </w:rPr>
        <w:t>.</w:t>
      </w:r>
      <w:r w:rsidRPr="00D850DF">
        <w:rPr>
          <w:rFonts w:asciiTheme="majorHAnsi" w:hAnsiTheme="majorHAnsi"/>
        </w:rPr>
        <w:t xml:space="preserve"> The geometry of a hydraulic fracture growing along a wellbore annulus. 9th HSTAM Int. Con. on Mechanics. Limassol, Cyprus, 12-14 July 2010. pp 341-350. </w:t>
      </w:r>
    </w:p>
    <w:p w14:paraId="0C836284" w14:textId="471F5E07" w:rsidR="00AA1963" w:rsidRPr="00D850DF" w:rsidRDefault="00AA1963" w:rsidP="00AA1963">
      <w:pPr>
        <w:pStyle w:val="Body"/>
        <w:spacing w:afterLines="20" w:after="48"/>
        <w:ind w:left="567" w:hanging="567"/>
        <w:rPr>
          <w:rFonts w:asciiTheme="majorHAnsi" w:hAnsiTheme="majorHAnsi"/>
        </w:rPr>
      </w:pPr>
      <w:r w:rsidRPr="00D850DF">
        <w:rPr>
          <w:rFonts w:asciiTheme="majorHAnsi" w:hAnsiTheme="majorHAnsi"/>
        </w:rPr>
        <w:t>Byrne RH and Laurie SH (1999)</w:t>
      </w:r>
      <w:r w:rsidR="009D513F" w:rsidRPr="00D850DF">
        <w:rPr>
          <w:rFonts w:asciiTheme="majorHAnsi" w:hAnsiTheme="majorHAnsi"/>
        </w:rPr>
        <w:t>.</w:t>
      </w:r>
      <w:r w:rsidRPr="00D850DF">
        <w:rPr>
          <w:rFonts w:asciiTheme="majorHAnsi" w:hAnsiTheme="majorHAnsi"/>
        </w:rPr>
        <w:t xml:space="preserve"> Influence of pressure on chemical equilibria in aqueous systems – with particular reference to seawater. Pure and Applied Chemistry 71</w:t>
      </w:r>
      <w:r w:rsidR="00370368" w:rsidRPr="00D850DF">
        <w:rPr>
          <w:rFonts w:asciiTheme="majorHAnsi" w:hAnsiTheme="majorHAnsi"/>
        </w:rPr>
        <w:t>:</w:t>
      </w:r>
      <w:r w:rsidRPr="00D850DF">
        <w:rPr>
          <w:rFonts w:asciiTheme="majorHAnsi" w:hAnsiTheme="majorHAnsi"/>
        </w:rPr>
        <w:t xml:space="preserve"> 871-890.</w:t>
      </w:r>
    </w:p>
    <w:p w14:paraId="21737440" w14:textId="779A0B70" w:rsidR="00977791" w:rsidRPr="00D850DF" w:rsidRDefault="00977791" w:rsidP="000144B2">
      <w:pPr>
        <w:pStyle w:val="Body"/>
        <w:spacing w:afterLines="20" w:after="48"/>
        <w:ind w:left="567" w:hanging="567"/>
        <w:rPr>
          <w:rFonts w:asciiTheme="majorHAnsi" w:hAnsiTheme="majorHAnsi"/>
        </w:rPr>
      </w:pPr>
      <w:r w:rsidRPr="00D850DF">
        <w:rPr>
          <w:rFonts w:asciiTheme="majorHAnsi" w:hAnsiTheme="majorHAnsi"/>
        </w:rPr>
        <w:t>Campin D (2015)</w:t>
      </w:r>
      <w:r w:rsidR="009D513F" w:rsidRPr="00D850DF">
        <w:rPr>
          <w:rFonts w:asciiTheme="majorHAnsi" w:hAnsiTheme="majorHAnsi"/>
        </w:rPr>
        <w:t>.</w:t>
      </w:r>
      <w:r w:rsidRPr="00D850DF">
        <w:rPr>
          <w:rFonts w:asciiTheme="majorHAnsi" w:hAnsiTheme="majorHAnsi"/>
        </w:rPr>
        <w:t xml:space="preserve"> Environmental Regulation of Hydraulic Fracturing. S</w:t>
      </w:r>
      <w:r w:rsidR="008A0EEA" w:rsidRPr="00D850DF">
        <w:rPr>
          <w:rFonts w:asciiTheme="majorHAnsi" w:hAnsiTheme="majorHAnsi"/>
        </w:rPr>
        <w:t xml:space="preserve">ociety of </w:t>
      </w:r>
      <w:r w:rsidRPr="00D850DF">
        <w:rPr>
          <w:rFonts w:asciiTheme="majorHAnsi" w:hAnsiTheme="majorHAnsi"/>
        </w:rPr>
        <w:t>P</w:t>
      </w:r>
      <w:r w:rsidR="008A0EEA" w:rsidRPr="00D850DF">
        <w:rPr>
          <w:rFonts w:asciiTheme="majorHAnsi" w:hAnsiTheme="majorHAnsi"/>
        </w:rPr>
        <w:t xml:space="preserve">etroleum </w:t>
      </w:r>
      <w:r w:rsidRPr="00D850DF">
        <w:rPr>
          <w:rFonts w:asciiTheme="majorHAnsi" w:hAnsiTheme="majorHAnsi"/>
        </w:rPr>
        <w:t>E</w:t>
      </w:r>
      <w:r w:rsidR="008A0EEA" w:rsidRPr="00D850DF">
        <w:rPr>
          <w:rFonts w:asciiTheme="majorHAnsi" w:hAnsiTheme="majorHAnsi"/>
        </w:rPr>
        <w:t>ngineers</w:t>
      </w:r>
      <w:r w:rsidRPr="00D850DF">
        <w:rPr>
          <w:rFonts w:asciiTheme="majorHAnsi" w:hAnsiTheme="majorHAnsi"/>
        </w:rPr>
        <w:t xml:space="preserve"> Operations and Productions: 1-33.</w:t>
      </w:r>
    </w:p>
    <w:p w14:paraId="474153B2" w14:textId="1FCEAE49" w:rsidR="0071601A" w:rsidRPr="00D850DF" w:rsidRDefault="0071601A" w:rsidP="000144B2">
      <w:pPr>
        <w:pStyle w:val="Body"/>
        <w:spacing w:afterLines="20" w:after="48"/>
        <w:ind w:left="567" w:hanging="567"/>
        <w:rPr>
          <w:rFonts w:asciiTheme="majorHAnsi" w:hAnsiTheme="majorHAnsi"/>
        </w:rPr>
      </w:pPr>
      <w:r w:rsidRPr="00D850DF">
        <w:rPr>
          <w:rFonts w:asciiTheme="majorHAnsi" w:hAnsiTheme="majorHAnsi"/>
        </w:rPr>
        <w:t>Carbajo JB, Perdigón-Melón</w:t>
      </w:r>
      <w:r w:rsidR="000E4AFB" w:rsidRPr="00D850DF">
        <w:rPr>
          <w:rFonts w:asciiTheme="majorHAnsi" w:hAnsiTheme="majorHAnsi"/>
        </w:rPr>
        <w:t xml:space="preserve"> </w:t>
      </w:r>
      <w:r w:rsidRPr="00D850DF">
        <w:rPr>
          <w:rFonts w:asciiTheme="majorHAnsi" w:hAnsiTheme="majorHAnsi"/>
        </w:rPr>
        <w:t>JA, Petre AL, Rosal R, Letón P</w:t>
      </w:r>
      <w:r w:rsidR="00276555" w:rsidRPr="00D850DF">
        <w:rPr>
          <w:rFonts w:asciiTheme="majorHAnsi" w:hAnsiTheme="majorHAnsi"/>
        </w:rPr>
        <w:t>,</w:t>
      </w:r>
      <w:r w:rsidRPr="00D850DF">
        <w:rPr>
          <w:rFonts w:asciiTheme="majorHAnsi" w:hAnsiTheme="majorHAnsi"/>
        </w:rPr>
        <w:t xml:space="preserve"> and García-Calvo E (201</w:t>
      </w:r>
      <w:r w:rsidR="003164D0">
        <w:rPr>
          <w:rFonts w:asciiTheme="majorHAnsi" w:hAnsiTheme="majorHAnsi"/>
        </w:rPr>
        <w:t>5</w:t>
      </w:r>
      <w:r w:rsidRPr="00D850DF">
        <w:rPr>
          <w:rFonts w:asciiTheme="majorHAnsi" w:hAnsiTheme="majorHAnsi"/>
        </w:rPr>
        <w:t>)</w:t>
      </w:r>
      <w:r w:rsidR="009D513F" w:rsidRPr="00D850DF">
        <w:rPr>
          <w:rFonts w:asciiTheme="majorHAnsi" w:hAnsiTheme="majorHAnsi"/>
        </w:rPr>
        <w:t>.</w:t>
      </w:r>
      <w:r w:rsidRPr="00D850DF">
        <w:rPr>
          <w:rFonts w:asciiTheme="majorHAnsi" w:hAnsiTheme="majorHAnsi"/>
        </w:rPr>
        <w:t xml:space="preserve"> Personal care product preservatives: Risk assessment and mixture toxicitie</w:t>
      </w:r>
      <w:r w:rsidR="00370368" w:rsidRPr="00D850DF">
        <w:rPr>
          <w:rFonts w:asciiTheme="majorHAnsi" w:hAnsiTheme="majorHAnsi"/>
        </w:rPr>
        <w:t>s with an industrial wastewater.</w:t>
      </w:r>
      <w:r w:rsidRPr="00D850DF">
        <w:rPr>
          <w:rFonts w:asciiTheme="majorHAnsi" w:hAnsiTheme="majorHAnsi"/>
        </w:rPr>
        <w:t xml:space="preserve"> Water Research 72</w:t>
      </w:r>
      <w:r w:rsidR="00370368" w:rsidRPr="00D850DF">
        <w:rPr>
          <w:rFonts w:asciiTheme="majorHAnsi" w:hAnsiTheme="majorHAnsi"/>
        </w:rPr>
        <w:t>:</w:t>
      </w:r>
      <w:r w:rsidRPr="00D850DF">
        <w:rPr>
          <w:rFonts w:asciiTheme="majorHAnsi" w:hAnsiTheme="majorHAnsi"/>
        </w:rPr>
        <w:t xml:space="preserve"> 174-185.</w:t>
      </w:r>
    </w:p>
    <w:p w14:paraId="549F8462" w14:textId="1C03F2D1" w:rsidR="00D9435D" w:rsidRPr="00D850DF" w:rsidRDefault="00D9435D" w:rsidP="000144B2">
      <w:pPr>
        <w:pStyle w:val="Body"/>
        <w:spacing w:afterLines="20" w:after="48"/>
        <w:ind w:left="567" w:hanging="567"/>
        <w:rPr>
          <w:rFonts w:asciiTheme="majorHAnsi" w:hAnsiTheme="majorHAnsi"/>
        </w:rPr>
      </w:pPr>
      <w:r w:rsidRPr="00D850DF">
        <w:rPr>
          <w:rFonts w:asciiTheme="majorHAnsi" w:hAnsiTheme="majorHAnsi"/>
        </w:rPr>
        <w:t>Caulfield</w:t>
      </w:r>
      <w:r w:rsidR="00E74674" w:rsidRPr="00D850DF">
        <w:rPr>
          <w:rFonts w:asciiTheme="majorHAnsi" w:hAnsiTheme="majorHAnsi"/>
        </w:rPr>
        <w:t xml:space="preserve"> M</w:t>
      </w:r>
      <w:r w:rsidRPr="00D850DF">
        <w:rPr>
          <w:rFonts w:asciiTheme="majorHAnsi" w:hAnsiTheme="majorHAnsi"/>
        </w:rPr>
        <w:t>J, Qiao GG</w:t>
      </w:r>
      <w:r w:rsidR="00276555" w:rsidRPr="00D850DF">
        <w:rPr>
          <w:rFonts w:asciiTheme="majorHAnsi" w:hAnsiTheme="majorHAnsi"/>
        </w:rPr>
        <w:t xml:space="preserve">, </w:t>
      </w:r>
      <w:r w:rsidRPr="00D850DF">
        <w:rPr>
          <w:rFonts w:asciiTheme="majorHAnsi" w:hAnsiTheme="majorHAnsi"/>
        </w:rPr>
        <w:t>and Solomon DH (2002)</w:t>
      </w:r>
      <w:r w:rsidR="009D513F" w:rsidRPr="00D850DF">
        <w:rPr>
          <w:rFonts w:asciiTheme="majorHAnsi" w:hAnsiTheme="majorHAnsi"/>
        </w:rPr>
        <w:t>.</w:t>
      </w:r>
      <w:r w:rsidRPr="00D850DF">
        <w:rPr>
          <w:rFonts w:asciiTheme="majorHAnsi" w:hAnsiTheme="majorHAnsi"/>
        </w:rPr>
        <w:t xml:space="preserve"> Some aspects of the properties and degradation of po</w:t>
      </w:r>
      <w:r w:rsidR="00370368" w:rsidRPr="00D850DF">
        <w:rPr>
          <w:rFonts w:asciiTheme="majorHAnsi" w:hAnsiTheme="majorHAnsi"/>
        </w:rPr>
        <w:t>lyacrylamides</w:t>
      </w:r>
      <w:r w:rsidR="00626299" w:rsidRPr="00D850DF">
        <w:rPr>
          <w:rFonts w:asciiTheme="majorHAnsi" w:hAnsiTheme="majorHAnsi"/>
        </w:rPr>
        <w:t>.</w:t>
      </w:r>
      <w:r w:rsidR="00370368" w:rsidRPr="00D850DF">
        <w:rPr>
          <w:rFonts w:asciiTheme="majorHAnsi" w:hAnsiTheme="majorHAnsi"/>
        </w:rPr>
        <w:t xml:space="preserve"> Chemical Reviews</w:t>
      </w:r>
      <w:r w:rsidRPr="00D850DF">
        <w:rPr>
          <w:rFonts w:asciiTheme="majorHAnsi" w:hAnsiTheme="majorHAnsi"/>
        </w:rPr>
        <w:t xml:space="preserve"> 102(9)</w:t>
      </w:r>
      <w:r w:rsidR="00370368" w:rsidRPr="00D850DF">
        <w:rPr>
          <w:rFonts w:asciiTheme="majorHAnsi" w:hAnsiTheme="majorHAnsi"/>
        </w:rPr>
        <w:t>:</w:t>
      </w:r>
      <w:r w:rsidRPr="00D850DF">
        <w:rPr>
          <w:rFonts w:asciiTheme="majorHAnsi" w:hAnsiTheme="majorHAnsi"/>
        </w:rPr>
        <w:t xml:space="preserve"> 3067-3083.</w:t>
      </w:r>
    </w:p>
    <w:p w14:paraId="5D8BF98A" w14:textId="3BF90C54"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CCME (1991)</w:t>
      </w:r>
      <w:r w:rsidR="009D513F" w:rsidRPr="00D850DF">
        <w:rPr>
          <w:rFonts w:asciiTheme="majorHAnsi" w:hAnsiTheme="majorHAnsi"/>
        </w:rPr>
        <w:t>.</w:t>
      </w:r>
      <w:r w:rsidRPr="00D850DF">
        <w:rPr>
          <w:rFonts w:asciiTheme="majorHAnsi" w:hAnsiTheme="majorHAnsi"/>
        </w:rPr>
        <w:t xml:space="preserve"> Boron. Guidelines for Canadian Drinking Water Quality, Canadian Environmental Quality Guidelines, Canadian Council of Ministers of the Environment, </w:t>
      </w:r>
      <w:hyperlink r:id="rId219" w:history="1">
        <w:r w:rsidRPr="00D850DF">
          <w:rPr>
            <w:rFonts w:asciiTheme="majorHAnsi" w:hAnsiTheme="majorHAnsi"/>
          </w:rPr>
          <w:t>http://healthycanadians.gc.ca/publications/healthy-living-vie-saine/water-boron-bore-eau/alt/water-boron-bore-eau-eng.pdf</w:t>
        </w:r>
      </w:hyperlink>
      <w:r w:rsidRPr="00D850DF">
        <w:rPr>
          <w:rFonts w:asciiTheme="majorHAnsi" w:hAnsiTheme="majorHAnsi"/>
        </w:rPr>
        <w:t xml:space="preserve"> (accessed 20 June 2016)</w:t>
      </w:r>
    </w:p>
    <w:p w14:paraId="095A22EA" w14:textId="5E86EF06" w:rsidR="00006088" w:rsidRPr="00D850DF" w:rsidRDefault="00006088" w:rsidP="00006088">
      <w:pPr>
        <w:pStyle w:val="Body"/>
        <w:spacing w:afterLines="20" w:after="48"/>
        <w:ind w:left="567" w:hanging="567"/>
        <w:rPr>
          <w:rFonts w:asciiTheme="majorHAnsi" w:hAnsiTheme="majorHAnsi"/>
        </w:rPr>
      </w:pPr>
      <w:r w:rsidRPr="00D850DF">
        <w:rPr>
          <w:rFonts w:asciiTheme="majorHAnsi" w:hAnsiTheme="majorHAnsi"/>
        </w:rPr>
        <w:t>CCME (1999</w:t>
      </w:r>
      <w:r w:rsidR="00301DB0" w:rsidRPr="00D850DF">
        <w:rPr>
          <w:rFonts w:asciiTheme="majorHAnsi" w:hAnsiTheme="majorHAnsi"/>
        </w:rPr>
        <w:t>a</w:t>
      </w:r>
      <w:r w:rsidRPr="00D850DF">
        <w:rPr>
          <w:rFonts w:asciiTheme="majorHAnsi" w:hAnsiTheme="majorHAnsi"/>
        </w:rPr>
        <w:t>)</w:t>
      </w:r>
      <w:r w:rsidR="009D513F" w:rsidRPr="00D850DF">
        <w:rPr>
          <w:rFonts w:asciiTheme="majorHAnsi" w:hAnsiTheme="majorHAnsi"/>
        </w:rPr>
        <w:t>.</w:t>
      </w:r>
      <w:r w:rsidR="008A0EEA" w:rsidRPr="00D850DF">
        <w:rPr>
          <w:rFonts w:asciiTheme="majorHAnsi" w:hAnsiTheme="majorHAnsi"/>
        </w:rPr>
        <w:t xml:space="preserve"> </w:t>
      </w:r>
      <w:r w:rsidRPr="00D850DF">
        <w:rPr>
          <w:rFonts w:asciiTheme="majorHAnsi" w:hAnsiTheme="majorHAnsi"/>
        </w:rPr>
        <w:t>Canadian water quality guidelines for the protection of aquatic life: Phenols — Mono</w:t>
      </w:r>
      <w:r w:rsidRPr="00D850DF">
        <w:rPr>
          <w:rFonts w:asciiTheme="majorHAnsi" w:hAnsiTheme="majorHAnsi"/>
        </w:rPr>
        <w:noBreakHyphen/>
        <w:t xml:space="preserve"> and dihydric phenols. In: Canadian environmental quality guidelines, Canadian Council of Ministers of the Environment, Winnipeg, 5 pages.</w:t>
      </w:r>
    </w:p>
    <w:p w14:paraId="6651303C" w14:textId="090FB309"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CCME (1999b)</w:t>
      </w:r>
      <w:r w:rsidR="009D513F" w:rsidRPr="00D850DF">
        <w:rPr>
          <w:rFonts w:asciiTheme="majorHAnsi" w:hAnsiTheme="majorHAnsi"/>
        </w:rPr>
        <w:t>.</w:t>
      </w:r>
      <w:r w:rsidRPr="00D850DF">
        <w:rPr>
          <w:rFonts w:asciiTheme="majorHAnsi" w:hAnsiTheme="majorHAnsi"/>
        </w:rPr>
        <w:t xml:space="preserve"> Canadian Water Quality Guidelines for the Protection of Aquatic Life; Polycyclic aromatic hydrocarbons (PAHs). In: Canadian Environmental Quality Guidelines, 1999, Canadian Council of Ministers of the Environment, Winnipeg.</w:t>
      </w:r>
    </w:p>
    <w:p w14:paraId="0869274D" w14:textId="275D82ED"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CCME (2009)</w:t>
      </w:r>
      <w:r w:rsidR="009D513F" w:rsidRPr="00D850DF">
        <w:rPr>
          <w:rFonts w:asciiTheme="majorHAnsi" w:hAnsiTheme="majorHAnsi"/>
        </w:rPr>
        <w:t>.</w:t>
      </w:r>
      <w:r w:rsidRPr="00D850DF">
        <w:rPr>
          <w:rFonts w:asciiTheme="majorHAnsi" w:hAnsiTheme="majorHAnsi"/>
        </w:rPr>
        <w:t xml:space="preserve"> Scientific criteria document for the development of the Canadian Water Quality Guidelines for boron.  Canadian Council of Ministers of the Environment.  Report No. PN1437, Ottawa, Canada, 63 pp.</w:t>
      </w:r>
    </w:p>
    <w:p w14:paraId="333C7CB9" w14:textId="65D3B5BA"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CCME (2011)</w:t>
      </w:r>
      <w:r w:rsidR="009D513F" w:rsidRPr="00D850DF">
        <w:rPr>
          <w:rFonts w:asciiTheme="majorHAnsi" w:hAnsiTheme="majorHAnsi"/>
        </w:rPr>
        <w:t>.</w:t>
      </w:r>
      <w:r w:rsidRPr="00D850DF">
        <w:rPr>
          <w:rFonts w:asciiTheme="majorHAnsi" w:hAnsiTheme="majorHAnsi"/>
        </w:rPr>
        <w:t xml:space="preserve"> Canadian Water Quality Guidelines for the Protection of Aquatic Life; Uranium. In: Canadian Environmental Quality Guidelines, 1999, Canadian Council of Ministers of the Environment, Winnipeg. </w:t>
      </w:r>
    </w:p>
    <w:p w14:paraId="768367F1" w14:textId="52AE0462" w:rsidR="00FD6F6D" w:rsidRPr="00D850DF" w:rsidRDefault="00FD6F6D" w:rsidP="000144B2">
      <w:pPr>
        <w:pStyle w:val="Body"/>
        <w:spacing w:afterLines="20" w:after="48"/>
        <w:ind w:left="567" w:hanging="567"/>
        <w:rPr>
          <w:rFonts w:asciiTheme="majorHAnsi" w:hAnsiTheme="majorHAnsi"/>
        </w:rPr>
      </w:pPr>
      <w:r w:rsidRPr="00D850DF">
        <w:rPr>
          <w:rFonts w:asciiTheme="majorHAnsi" w:hAnsiTheme="majorHAnsi"/>
        </w:rPr>
        <w:t>CDM Smith (2014)</w:t>
      </w:r>
      <w:r w:rsidR="009D513F" w:rsidRPr="00D850DF">
        <w:rPr>
          <w:rFonts w:asciiTheme="majorHAnsi" w:hAnsiTheme="majorHAnsi"/>
        </w:rPr>
        <w:t>.</w:t>
      </w:r>
      <w:r w:rsidRPr="00D850DF">
        <w:rPr>
          <w:rFonts w:asciiTheme="majorHAnsi" w:hAnsiTheme="majorHAnsi"/>
        </w:rPr>
        <w:t xml:space="preserve"> Santos Narrabri Gas Project Groundwater Impact Assessment, Subiaco, Western Australia.</w:t>
      </w:r>
    </w:p>
    <w:p w14:paraId="2F3DBEC9" w14:textId="1F8D0A32" w:rsidR="009612F2" w:rsidRPr="00D850DF" w:rsidRDefault="009612F2" w:rsidP="009612F2">
      <w:pPr>
        <w:pStyle w:val="Body"/>
        <w:spacing w:afterLines="20" w:after="48"/>
        <w:ind w:left="567" w:hanging="567"/>
        <w:rPr>
          <w:rFonts w:asciiTheme="majorHAnsi" w:hAnsiTheme="majorHAnsi"/>
        </w:rPr>
      </w:pPr>
      <w:r w:rsidRPr="00D850DF">
        <w:rPr>
          <w:rFonts w:asciiTheme="majorHAnsi" w:hAnsiTheme="majorHAnsi"/>
        </w:rPr>
        <w:t xml:space="preserve">Cerniglia CE </w:t>
      </w:r>
      <w:r w:rsidR="00276555" w:rsidRPr="00D850DF">
        <w:rPr>
          <w:rFonts w:asciiTheme="majorHAnsi" w:hAnsiTheme="majorHAnsi"/>
        </w:rPr>
        <w:t>(</w:t>
      </w:r>
      <w:r w:rsidRPr="00D850DF">
        <w:rPr>
          <w:rFonts w:asciiTheme="majorHAnsi" w:hAnsiTheme="majorHAnsi"/>
        </w:rPr>
        <w:t>1984</w:t>
      </w:r>
      <w:r w:rsidR="009D513F" w:rsidRPr="00D850DF">
        <w:rPr>
          <w:rFonts w:asciiTheme="majorHAnsi" w:hAnsiTheme="majorHAnsi"/>
        </w:rPr>
        <w:t>.</w:t>
      </w:r>
      <w:r w:rsidR="00276555" w:rsidRPr="00D850DF">
        <w:rPr>
          <w:rFonts w:asciiTheme="majorHAnsi" w:hAnsiTheme="majorHAnsi"/>
        </w:rPr>
        <w:t>)</w:t>
      </w:r>
      <w:r w:rsidRPr="00D850DF">
        <w:rPr>
          <w:rFonts w:asciiTheme="majorHAnsi" w:hAnsiTheme="majorHAnsi"/>
        </w:rPr>
        <w:t xml:space="preserve"> Microbial </w:t>
      </w:r>
      <w:r w:rsidR="009D513F" w:rsidRPr="00D850DF">
        <w:rPr>
          <w:rFonts w:asciiTheme="majorHAnsi" w:hAnsiTheme="majorHAnsi"/>
        </w:rPr>
        <w:t>m</w:t>
      </w:r>
      <w:r w:rsidRPr="00D850DF">
        <w:rPr>
          <w:rFonts w:asciiTheme="majorHAnsi" w:hAnsiTheme="majorHAnsi"/>
        </w:rPr>
        <w:t xml:space="preserve">etabolism of </w:t>
      </w:r>
      <w:r w:rsidR="009D513F" w:rsidRPr="00D850DF">
        <w:rPr>
          <w:rFonts w:asciiTheme="majorHAnsi" w:hAnsiTheme="majorHAnsi"/>
        </w:rPr>
        <w:t>polycyclic aromatic hydrocarbons</w:t>
      </w:r>
      <w:r w:rsidRPr="00D850DF">
        <w:rPr>
          <w:rFonts w:asciiTheme="majorHAnsi" w:hAnsiTheme="majorHAnsi"/>
        </w:rPr>
        <w:t>. Advances in Applied Microbiology 30: 31-71.</w:t>
      </w:r>
    </w:p>
    <w:p w14:paraId="2F33FFBF" w14:textId="5812BFED" w:rsidR="009F27C2" w:rsidRPr="00D850DF" w:rsidRDefault="009F27C2" w:rsidP="009F27C2">
      <w:pPr>
        <w:pStyle w:val="Body"/>
        <w:spacing w:afterLines="20" w:after="48"/>
        <w:ind w:left="567" w:hanging="567"/>
        <w:rPr>
          <w:rFonts w:asciiTheme="majorHAnsi" w:hAnsiTheme="majorHAnsi"/>
        </w:rPr>
      </w:pPr>
      <w:r w:rsidRPr="00D850DF">
        <w:rPr>
          <w:rFonts w:asciiTheme="majorHAnsi" w:hAnsiTheme="majorHAnsi"/>
        </w:rPr>
        <w:t>Challis BC and Yousaf TI (1990)</w:t>
      </w:r>
      <w:r w:rsidR="009D513F" w:rsidRPr="00D850DF">
        <w:rPr>
          <w:rFonts w:asciiTheme="majorHAnsi" w:hAnsiTheme="majorHAnsi"/>
        </w:rPr>
        <w:t>.</w:t>
      </w:r>
      <w:r w:rsidRPr="00D850DF">
        <w:rPr>
          <w:rFonts w:asciiTheme="majorHAnsi" w:hAnsiTheme="majorHAnsi"/>
        </w:rPr>
        <w:t xml:space="preserve"> Facile formation of N-nitrosamines from bromonitromethane and secondary amines. J</w:t>
      </w:r>
      <w:r w:rsidR="00203E7D" w:rsidRPr="00D850DF">
        <w:rPr>
          <w:rFonts w:asciiTheme="majorHAnsi" w:hAnsiTheme="majorHAnsi"/>
        </w:rPr>
        <w:t>ournal of the</w:t>
      </w:r>
      <w:r w:rsidRPr="00D850DF">
        <w:rPr>
          <w:rFonts w:asciiTheme="majorHAnsi" w:hAnsiTheme="majorHAnsi"/>
        </w:rPr>
        <w:t xml:space="preserve"> Chem</w:t>
      </w:r>
      <w:r w:rsidR="00B11A4A" w:rsidRPr="00D850DF">
        <w:rPr>
          <w:rFonts w:asciiTheme="majorHAnsi" w:hAnsiTheme="majorHAnsi"/>
        </w:rPr>
        <w:t>ical</w:t>
      </w:r>
      <w:r w:rsidRPr="00D850DF">
        <w:rPr>
          <w:rFonts w:asciiTheme="majorHAnsi" w:hAnsiTheme="majorHAnsi"/>
        </w:rPr>
        <w:t xml:space="preserve"> Soc</w:t>
      </w:r>
      <w:r w:rsidR="00B11A4A" w:rsidRPr="00D850DF">
        <w:rPr>
          <w:rFonts w:asciiTheme="majorHAnsi" w:hAnsiTheme="majorHAnsi"/>
        </w:rPr>
        <w:t>iety</w:t>
      </w:r>
      <w:r w:rsidRPr="00D850DF">
        <w:rPr>
          <w:rFonts w:asciiTheme="majorHAnsi" w:hAnsiTheme="majorHAnsi"/>
        </w:rPr>
        <w:t>, Chem</w:t>
      </w:r>
      <w:r w:rsidR="00B11A4A" w:rsidRPr="00D850DF">
        <w:rPr>
          <w:rFonts w:asciiTheme="majorHAnsi" w:hAnsiTheme="majorHAnsi"/>
        </w:rPr>
        <w:t>ical</w:t>
      </w:r>
      <w:r w:rsidRPr="00D850DF">
        <w:rPr>
          <w:rFonts w:asciiTheme="majorHAnsi" w:hAnsiTheme="majorHAnsi"/>
        </w:rPr>
        <w:t xml:space="preserve"> Commun</w:t>
      </w:r>
      <w:r w:rsidR="00B11A4A" w:rsidRPr="00D850DF">
        <w:rPr>
          <w:rFonts w:asciiTheme="majorHAnsi" w:hAnsiTheme="majorHAnsi"/>
        </w:rPr>
        <w:t>ications</w:t>
      </w:r>
      <w:r w:rsidRPr="00D850DF">
        <w:rPr>
          <w:rFonts w:asciiTheme="majorHAnsi" w:hAnsiTheme="majorHAnsi"/>
        </w:rPr>
        <w:t>. 22: 1598−1599.</w:t>
      </w:r>
    </w:p>
    <w:p w14:paraId="2C12AAE5" w14:textId="461CAE81" w:rsidR="00FD6F6D" w:rsidRPr="00D850DF" w:rsidRDefault="00FD6F6D" w:rsidP="000144B2">
      <w:pPr>
        <w:pStyle w:val="Body"/>
        <w:spacing w:afterLines="20" w:after="48"/>
        <w:ind w:left="567" w:hanging="567"/>
        <w:rPr>
          <w:rFonts w:asciiTheme="majorHAnsi" w:hAnsiTheme="majorHAnsi"/>
        </w:rPr>
      </w:pPr>
      <w:r w:rsidRPr="00D850DF">
        <w:rPr>
          <w:rFonts w:asciiTheme="majorHAnsi" w:hAnsiTheme="majorHAnsi"/>
        </w:rPr>
        <w:t>Commonwealth of Australia (2004)</w:t>
      </w:r>
      <w:r w:rsidR="009D513F" w:rsidRPr="00D850DF">
        <w:rPr>
          <w:rFonts w:asciiTheme="majorHAnsi" w:hAnsiTheme="majorHAnsi"/>
        </w:rPr>
        <w:t>.</w:t>
      </w:r>
      <w:r w:rsidRPr="00D850DF">
        <w:rPr>
          <w:rFonts w:asciiTheme="majorHAnsi" w:hAnsiTheme="majorHAnsi"/>
        </w:rPr>
        <w:t xml:space="preserve"> Approved Criteria for Classifying Hazardous Substances, 3rd edition, National Occupational Health and Safety Commission (NOHSC) NOHSC: 1008 (2004), Safe Work Australia. </w:t>
      </w:r>
    </w:p>
    <w:p w14:paraId="29747E6D" w14:textId="798CB4BC" w:rsidR="007E43AF" w:rsidRPr="00D850DF" w:rsidRDefault="007E43AF" w:rsidP="000144B2">
      <w:pPr>
        <w:pStyle w:val="Body"/>
        <w:spacing w:afterLines="20" w:after="48"/>
        <w:ind w:left="567" w:hanging="567"/>
        <w:rPr>
          <w:rFonts w:asciiTheme="majorHAnsi" w:hAnsiTheme="majorHAnsi"/>
        </w:rPr>
      </w:pPr>
      <w:r w:rsidRPr="00D850DF">
        <w:rPr>
          <w:rFonts w:asciiTheme="majorHAnsi" w:hAnsiTheme="majorHAnsi"/>
        </w:rPr>
        <w:t>Commonwealth of Australia</w:t>
      </w:r>
      <w:r w:rsidR="00E74674" w:rsidRPr="00D850DF">
        <w:rPr>
          <w:rFonts w:asciiTheme="majorHAnsi" w:hAnsiTheme="majorHAnsi"/>
        </w:rPr>
        <w:t xml:space="preserve"> (</w:t>
      </w:r>
      <w:r w:rsidRPr="00D850DF">
        <w:rPr>
          <w:rFonts w:asciiTheme="majorHAnsi" w:hAnsiTheme="majorHAnsi"/>
        </w:rPr>
        <w:t>2014a</w:t>
      </w:r>
      <w:r w:rsidR="00E74674" w:rsidRPr="00D850DF">
        <w:rPr>
          <w:rFonts w:asciiTheme="majorHAnsi" w:hAnsiTheme="majorHAnsi"/>
        </w:rPr>
        <w:t>)</w:t>
      </w:r>
      <w:r w:rsidR="00B11A4A" w:rsidRPr="00D850DF">
        <w:rPr>
          <w:rFonts w:asciiTheme="majorHAnsi" w:hAnsiTheme="majorHAnsi"/>
        </w:rPr>
        <w:t>.</w:t>
      </w:r>
      <w:r w:rsidRPr="00D850DF">
        <w:rPr>
          <w:rFonts w:asciiTheme="majorHAnsi" w:hAnsiTheme="majorHAnsi"/>
        </w:rPr>
        <w:t xml:space="preserve"> Background review: Bore integrity.</w:t>
      </w:r>
      <w:r w:rsidR="00340DBD" w:rsidRPr="00D850DF">
        <w:rPr>
          <w:rFonts w:asciiTheme="majorHAnsi" w:hAnsiTheme="majorHAnsi"/>
        </w:rPr>
        <w:t xml:space="preserve"> Department of the Environment, Canberra.</w:t>
      </w:r>
    </w:p>
    <w:p w14:paraId="74C127DD" w14:textId="77777777" w:rsidR="00340DBD" w:rsidRPr="00D850DF" w:rsidRDefault="007E43AF" w:rsidP="00340DBD">
      <w:pPr>
        <w:pStyle w:val="Body"/>
        <w:spacing w:afterLines="20" w:after="48"/>
        <w:ind w:left="567" w:hanging="567"/>
        <w:rPr>
          <w:rFonts w:asciiTheme="majorHAnsi" w:hAnsiTheme="majorHAnsi"/>
        </w:rPr>
      </w:pPr>
      <w:r w:rsidRPr="00D850DF">
        <w:rPr>
          <w:rFonts w:asciiTheme="majorHAnsi" w:hAnsiTheme="majorHAnsi"/>
        </w:rPr>
        <w:t>Commonwealth of Australi</w:t>
      </w:r>
      <w:r w:rsidR="00E74674" w:rsidRPr="00D850DF">
        <w:rPr>
          <w:rFonts w:asciiTheme="majorHAnsi" w:hAnsiTheme="majorHAnsi"/>
        </w:rPr>
        <w:t>a (</w:t>
      </w:r>
      <w:r w:rsidRPr="00D850DF">
        <w:rPr>
          <w:rFonts w:asciiTheme="majorHAnsi" w:hAnsiTheme="majorHAnsi"/>
        </w:rPr>
        <w:t>2014b</w:t>
      </w:r>
      <w:r w:rsidR="00E74674" w:rsidRPr="00D850DF">
        <w:rPr>
          <w:rFonts w:asciiTheme="majorHAnsi" w:hAnsiTheme="majorHAnsi"/>
        </w:rPr>
        <w:t>)</w:t>
      </w:r>
      <w:r w:rsidR="009D513F" w:rsidRPr="00D850DF">
        <w:rPr>
          <w:rFonts w:asciiTheme="majorHAnsi" w:hAnsiTheme="majorHAnsi"/>
        </w:rPr>
        <w:t>.</w:t>
      </w:r>
      <w:r w:rsidRPr="00D850DF">
        <w:rPr>
          <w:rFonts w:asciiTheme="majorHAnsi" w:hAnsiTheme="majorHAnsi"/>
        </w:rPr>
        <w:t xml:space="preserve"> Background review: Hydraulic fracturing (‘fraccing’) techniques, including reporting requirements and governance arrangements.</w:t>
      </w:r>
      <w:r w:rsidR="00340DBD" w:rsidRPr="00D850DF">
        <w:rPr>
          <w:rFonts w:asciiTheme="majorHAnsi" w:hAnsiTheme="majorHAnsi"/>
        </w:rPr>
        <w:t xml:space="preserve"> Department of the Environment, Canberra.</w:t>
      </w:r>
    </w:p>
    <w:p w14:paraId="37567854" w14:textId="1575ADCF"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COT (2006)</w:t>
      </w:r>
      <w:r w:rsidR="009D513F" w:rsidRPr="00D850DF">
        <w:rPr>
          <w:rFonts w:asciiTheme="majorHAnsi" w:hAnsiTheme="majorHAnsi"/>
        </w:rPr>
        <w:t>.</w:t>
      </w:r>
      <w:r w:rsidRPr="00D850DF">
        <w:rPr>
          <w:rFonts w:asciiTheme="majorHAnsi" w:hAnsiTheme="majorHAnsi"/>
        </w:rPr>
        <w:t xml:space="preserve"> COT Statement on uranium levels in water used to reconstitute infant formula. UK Committee of Chemicals in Food, Consumer Products and the Environment, COT statement 2006/07, May 2006. </w:t>
      </w:r>
    </w:p>
    <w:p w14:paraId="54159613" w14:textId="13A64EB1" w:rsidR="007E43AF" w:rsidRPr="00D850DF" w:rsidRDefault="007E43AF" w:rsidP="000144B2">
      <w:pPr>
        <w:pStyle w:val="Body"/>
        <w:spacing w:afterLines="20" w:after="48"/>
        <w:ind w:left="567" w:hanging="567"/>
        <w:rPr>
          <w:rFonts w:asciiTheme="majorHAnsi" w:hAnsiTheme="majorHAnsi"/>
        </w:rPr>
      </w:pPr>
      <w:r w:rsidRPr="00D850DF">
        <w:rPr>
          <w:rFonts w:asciiTheme="majorHAnsi" w:hAnsiTheme="majorHAnsi"/>
        </w:rPr>
        <w:t>Council of Canadian Academies</w:t>
      </w:r>
      <w:r w:rsidR="00E74674" w:rsidRPr="00D850DF">
        <w:rPr>
          <w:rFonts w:asciiTheme="majorHAnsi" w:hAnsiTheme="majorHAnsi"/>
        </w:rPr>
        <w:t xml:space="preserve"> (</w:t>
      </w:r>
      <w:r w:rsidRPr="00D850DF">
        <w:rPr>
          <w:rFonts w:asciiTheme="majorHAnsi" w:hAnsiTheme="majorHAnsi"/>
        </w:rPr>
        <w:t>2014</w:t>
      </w:r>
      <w:r w:rsidR="00E74674" w:rsidRPr="00D850DF">
        <w:rPr>
          <w:rFonts w:asciiTheme="majorHAnsi" w:hAnsiTheme="majorHAnsi"/>
        </w:rPr>
        <w:t>)</w:t>
      </w:r>
      <w:r w:rsidR="009D513F" w:rsidRPr="00D850DF">
        <w:rPr>
          <w:rFonts w:asciiTheme="majorHAnsi" w:hAnsiTheme="majorHAnsi"/>
        </w:rPr>
        <w:t>.</w:t>
      </w:r>
      <w:r w:rsidRPr="00D850DF">
        <w:rPr>
          <w:rFonts w:asciiTheme="majorHAnsi" w:hAnsiTheme="majorHAnsi"/>
        </w:rPr>
        <w:t xml:space="preserve"> Environmental Impacts of Shale Gas Extraction in Canada.</w:t>
      </w:r>
    </w:p>
    <w:p w14:paraId="5B2B2773" w14:textId="67BAC508" w:rsidR="007E43AF" w:rsidRPr="00D850DF" w:rsidRDefault="007E43AF" w:rsidP="000144B2">
      <w:pPr>
        <w:pStyle w:val="Body"/>
        <w:spacing w:afterLines="20" w:after="48"/>
        <w:ind w:left="567" w:hanging="567"/>
        <w:rPr>
          <w:rFonts w:asciiTheme="majorHAnsi" w:hAnsiTheme="majorHAnsi"/>
        </w:rPr>
      </w:pPr>
      <w:r w:rsidRPr="00D850DF">
        <w:rPr>
          <w:rFonts w:asciiTheme="majorHAnsi" w:hAnsiTheme="majorHAnsi"/>
        </w:rPr>
        <w:t xml:space="preserve">Covello VT </w:t>
      </w:r>
      <w:r w:rsidR="00E74674" w:rsidRPr="00D850DF">
        <w:rPr>
          <w:rFonts w:asciiTheme="majorHAnsi" w:hAnsiTheme="majorHAnsi"/>
        </w:rPr>
        <w:t>(</w:t>
      </w:r>
      <w:r w:rsidRPr="00D850DF">
        <w:rPr>
          <w:rFonts w:asciiTheme="majorHAnsi" w:hAnsiTheme="majorHAnsi"/>
        </w:rPr>
        <w:t>1983</w:t>
      </w:r>
      <w:r w:rsidR="00E74674" w:rsidRPr="00D850DF">
        <w:rPr>
          <w:rFonts w:asciiTheme="majorHAnsi" w:hAnsiTheme="majorHAnsi"/>
        </w:rPr>
        <w:t>)</w:t>
      </w:r>
      <w:r w:rsidR="009D513F" w:rsidRPr="00D850DF">
        <w:rPr>
          <w:rFonts w:asciiTheme="majorHAnsi" w:hAnsiTheme="majorHAnsi"/>
        </w:rPr>
        <w:t>.</w:t>
      </w:r>
      <w:r w:rsidRPr="00D850DF">
        <w:rPr>
          <w:rFonts w:asciiTheme="majorHAnsi" w:hAnsiTheme="majorHAnsi"/>
        </w:rPr>
        <w:t xml:space="preserve"> The perception of technological risks: A literature review. Technological Forecasting and Social Change</w:t>
      </w:r>
      <w:r w:rsidR="00370368" w:rsidRPr="00D850DF">
        <w:rPr>
          <w:rFonts w:asciiTheme="majorHAnsi" w:hAnsiTheme="majorHAnsi"/>
        </w:rPr>
        <w:t xml:space="preserve"> 23(4):</w:t>
      </w:r>
      <w:r w:rsidRPr="00D850DF">
        <w:rPr>
          <w:rFonts w:asciiTheme="majorHAnsi" w:hAnsiTheme="majorHAnsi"/>
        </w:rPr>
        <w:t xml:space="preserve"> 285-297.</w:t>
      </w:r>
    </w:p>
    <w:p w14:paraId="21954ABC" w14:textId="2F8E46C4" w:rsidR="007E43AF" w:rsidRDefault="007E43AF" w:rsidP="000144B2">
      <w:pPr>
        <w:pStyle w:val="Body"/>
        <w:spacing w:afterLines="20" w:after="48"/>
        <w:ind w:left="567" w:hanging="567"/>
        <w:rPr>
          <w:rFonts w:asciiTheme="majorHAnsi" w:hAnsiTheme="majorHAnsi"/>
        </w:rPr>
      </w:pPr>
      <w:r w:rsidRPr="00D850DF">
        <w:rPr>
          <w:rFonts w:asciiTheme="majorHAnsi" w:hAnsiTheme="majorHAnsi"/>
        </w:rPr>
        <w:t>Covello VT</w:t>
      </w:r>
      <w:r w:rsidR="00E74674" w:rsidRPr="00D850DF">
        <w:rPr>
          <w:rFonts w:asciiTheme="majorHAnsi" w:hAnsiTheme="majorHAnsi"/>
        </w:rPr>
        <w:t xml:space="preserve"> (</w:t>
      </w:r>
      <w:r w:rsidRPr="00D850DF">
        <w:rPr>
          <w:rFonts w:asciiTheme="majorHAnsi" w:hAnsiTheme="majorHAnsi"/>
        </w:rPr>
        <w:t>1992</w:t>
      </w:r>
      <w:r w:rsidR="00E74674" w:rsidRPr="00D850DF">
        <w:rPr>
          <w:rFonts w:asciiTheme="majorHAnsi" w:hAnsiTheme="majorHAnsi"/>
        </w:rPr>
        <w:t>)</w:t>
      </w:r>
      <w:r w:rsidR="009D513F" w:rsidRPr="00D850DF">
        <w:rPr>
          <w:rFonts w:asciiTheme="majorHAnsi" w:hAnsiTheme="majorHAnsi"/>
        </w:rPr>
        <w:t>.</w:t>
      </w:r>
      <w:r w:rsidRPr="00D850DF">
        <w:rPr>
          <w:rFonts w:asciiTheme="majorHAnsi" w:hAnsiTheme="majorHAnsi"/>
        </w:rPr>
        <w:t xml:space="preserve"> Risk Communication: An Emerging Area of Health Communication Research. In S. A. Deetz (Ed.), Communications Yearbook. Newbury Park (CA): Sage Publications.</w:t>
      </w:r>
    </w:p>
    <w:p w14:paraId="401D7B69" w14:textId="7147E959" w:rsidR="003164D0" w:rsidRPr="003164D0" w:rsidRDefault="003164D0" w:rsidP="003164D0">
      <w:pPr>
        <w:pStyle w:val="Body"/>
        <w:spacing w:afterLines="20" w:after="48"/>
        <w:ind w:left="567" w:hanging="567"/>
        <w:rPr>
          <w:rFonts w:asciiTheme="majorHAnsi" w:hAnsiTheme="majorHAnsi"/>
        </w:rPr>
      </w:pPr>
      <w:r w:rsidRPr="003164D0">
        <w:rPr>
          <w:rFonts w:asciiTheme="majorHAnsi" w:hAnsiTheme="majorHAnsi"/>
        </w:rPr>
        <w:t>CTFA (1992)</w:t>
      </w:r>
      <w:r>
        <w:rPr>
          <w:rFonts w:asciiTheme="majorHAnsi" w:hAnsiTheme="majorHAnsi"/>
        </w:rPr>
        <w:t>.</w:t>
      </w:r>
      <w:r w:rsidRPr="003164D0">
        <w:rPr>
          <w:rFonts w:asciiTheme="majorHAnsi" w:hAnsiTheme="majorHAnsi"/>
        </w:rPr>
        <w:t xml:space="preserve"> Final report on safety assessment of methylisothiazolinone and methylchloroisothiazolinone. Journal of the American College of Toxicology 11:75-127. </w:t>
      </w:r>
    </w:p>
    <w:p w14:paraId="2E8FC24D" w14:textId="3BE1367D" w:rsidR="00CA0636" w:rsidRDefault="00CA0636" w:rsidP="00CA0636">
      <w:pPr>
        <w:pStyle w:val="Body"/>
        <w:spacing w:afterLines="20" w:after="48"/>
        <w:ind w:left="567" w:hanging="567"/>
        <w:rPr>
          <w:rFonts w:asciiTheme="majorHAnsi" w:hAnsiTheme="majorHAnsi"/>
        </w:rPr>
      </w:pPr>
      <w:r w:rsidRPr="00D850DF">
        <w:rPr>
          <w:rFonts w:asciiTheme="majorHAnsi" w:hAnsiTheme="majorHAnsi"/>
        </w:rPr>
        <w:t xml:space="preserve">Cui N, Zhang X, Xie Q, Want S, Chen J, Huang L, Qiao X, Li X, </w:t>
      </w:r>
      <w:r w:rsidR="00276555" w:rsidRPr="00D850DF">
        <w:rPr>
          <w:rFonts w:asciiTheme="majorHAnsi" w:hAnsiTheme="majorHAnsi"/>
        </w:rPr>
        <w:t xml:space="preserve">and </w:t>
      </w:r>
      <w:proofErr w:type="gramStart"/>
      <w:r w:rsidRPr="00D850DF">
        <w:rPr>
          <w:rFonts w:asciiTheme="majorHAnsi" w:hAnsiTheme="majorHAnsi"/>
        </w:rPr>
        <w:t>Cai</w:t>
      </w:r>
      <w:proofErr w:type="gramEnd"/>
      <w:r w:rsidRPr="00D850DF">
        <w:rPr>
          <w:rFonts w:asciiTheme="majorHAnsi" w:hAnsiTheme="majorHAnsi"/>
        </w:rPr>
        <w:t xml:space="preserve"> X (2011)</w:t>
      </w:r>
      <w:r w:rsidR="009D513F" w:rsidRPr="00D850DF">
        <w:rPr>
          <w:rFonts w:asciiTheme="majorHAnsi" w:hAnsiTheme="majorHAnsi"/>
        </w:rPr>
        <w:t>.</w:t>
      </w:r>
      <w:r w:rsidRPr="00D850DF">
        <w:rPr>
          <w:rFonts w:asciiTheme="majorHAnsi" w:hAnsiTheme="majorHAnsi"/>
        </w:rPr>
        <w:t xml:space="preserve"> Toxicity profile of labile preservative bronopol in water: The role of more persistent and toxic transformation products. Environmental Pollution 159: 609-615.</w:t>
      </w:r>
    </w:p>
    <w:p w14:paraId="07398606" w14:textId="77777777" w:rsidR="00C84BD5" w:rsidRPr="00D850DF" w:rsidRDefault="00C84BD5" w:rsidP="00C84BD5">
      <w:pPr>
        <w:pStyle w:val="Body"/>
        <w:spacing w:afterLines="20" w:after="48"/>
        <w:ind w:left="567" w:hanging="567"/>
        <w:rPr>
          <w:rFonts w:asciiTheme="majorHAnsi" w:hAnsiTheme="majorHAnsi"/>
        </w:rPr>
      </w:pPr>
      <w:r w:rsidRPr="00D850DF">
        <w:rPr>
          <w:rFonts w:asciiTheme="majorHAnsi" w:hAnsiTheme="majorHAnsi"/>
        </w:rPr>
        <w:t>Davies RJ, Mathias SA, Moss J, Hustoft S, and Newport L (2012). Hydraulic fractures: How far can they go? Marine and Petroleum Geology 37: 1-6. http://dx.doi.org/10.1016/j.marpetgeo.2012.04.001</w:t>
      </w:r>
    </w:p>
    <w:p w14:paraId="44D74F13" w14:textId="77777777" w:rsidR="00C84BD5" w:rsidRPr="00D850DF" w:rsidRDefault="00C84BD5" w:rsidP="00C84BD5">
      <w:pPr>
        <w:pStyle w:val="Body"/>
        <w:spacing w:afterLines="20" w:after="48"/>
        <w:ind w:left="567" w:hanging="567"/>
        <w:rPr>
          <w:rFonts w:asciiTheme="majorHAnsi" w:hAnsiTheme="majorHAnsi"/>
        </w:rPr>
      </w:pPr>
      <w:r w:rsidRPr="00D850DF">
        <w:rPr>
          <w:rFonts w:asciiTheme="majorHAnsi" w:hAnsiTheme="majorHAnsi"/>
        </w:rPr>
        <w:t>Day S, Dell’Amico M, Fry R, and Tousi HJ (2014). Field Measurements of Fugitive Emissions from Equipment and Well Casings in Australian Coal Seam Gas Production Facilities: Report to the Department of the Environment. CSIRO Report.</w:t>
      </w:r>
    </w:p>
    <w:p w14:paraId="06F5E07E" w14:textId="5DCBFB68" w:rsidR="00291BC0" w:rsidRPr="00D850DF" w:rsidRDefault="00291BC0" w:rsidP="00291BC0">
      <w:pPr>
        <w:pStyle w:val="Body"/>
        <w:spacing w:afterLines="20" w:after="48"/>
        <w:ind w:left="567" w:hanging="567"/>
        <w:rPr>
          <w:rFonts w:asciiTheme="majorHAnsi" w:hAnsiTheme="majorHAnsi"/>
        </w:rPr>
      </w:pPr>
      <w:proofErr w:type="gramStart"/>
      <w:r w:rsidRPr="00D850DF">
        <w:rPr>
          <w:rFonts w:asciiTheme="majorHAnsi" w:hAnsiTheme="majorHAnsi"/>
        </w:rPr>
        <w:t>de</w:t>
      </w:r>
      <w:proofErr w:type="gramEnd"/>
      <w:r w:rsidRPr="00D850DF">
        <w:rPr>
          <w:rFonts w:asciiTheme="majorHAnsi" w:hAnsiTheme="majorHAnsi"/>
        </w:rPr>
        <w:t xml:space="preserve"> Maagd PG-J,  ten Hulscher DThEM, van den Heuvel H, Opperhuizen A, and Sijm DTHM (1998)</w:t>
      </w:r>
      <w:r w:rsidR="00203E7D" w:rsidRPr="00D850DF">
        <w:rPr>
          <w:rFonts w:asciiTheme="majorHAnsi" w:hAnsiTheme="majorHAnsi"/>
        </w:rPr>
        <w:t>.</w:t>
      </w:r>
      <w:r w:rsidRPr="00D850DF">
        <w:rPr>
          <w:rFonts w:asciiTheme="majorHAnsi" w:hAnsiTheme="majorHAnsi"/>
        </w:rPr>
        <w:t xml:space="preserve"> Physicochemical properties of polycyclic aromatic hydrocarbons: Aqueous solubilities, n-octanol/water partition coefficients, and Henry's law constants. Environmental Toxicology and Chemistry 17:251–257. </w:t>
      </w:r>
    </w:p>
    <w:p w14:paraId="3B3A30BF" w14:textId="75789DB8" w:rsidR="00FD6F6D" w:rsidRPr="00D850DF" w:rsidRDefault="00E74674" w:rsidP="000144B2">
      <w:pPr>
        <w:pStyle w:val="Body"/>
        <w:spacing w:afterLines="20" w:after="48"/>
        <w:ind w:left="567" w:hanging="567"/>
        <w:rPr>
          <w:rFonts w:asciiTheme="majorHAnsi" w:hAnsiTheme="majorHAnsi"/>
        </w:rPr>
      </w:pPr>
      <w:r w:rsidRPr="00D850DF">
        <w:rPr>
          <w:rFonts w:asciiTheme="majorHAnsi" w:hAnsiTheme="majorHAnsi"/>
        </w:rPr>
        <w:t>Department of</w:t>
      </w:r>
      <w:r w:rsidR="00FD6F6D" w:rsidRPr="00D850DF">
        <w:rPr>
          <w:rFonts w:asciiTheme="majorHAnsi" w:hAnsiTheme="majorHAnsi"/>
        </w:rPr>
        <w:t xml:space="preserve"> Mines and Petroleum (2013)</w:t>
      </w:r>
      <w:r w:rsidR="00203E7D" w:rsidRPr="00D850DF">
        <w:rPr>
          <w:rFonts w:asciiTheme="majorHAnsi" w:hAnsiTheme="majorHAnsi"/>
        </w:rPr>
        <w:t>.</w:t>
      </w:r>
      <w:r w:rsidR="00FD6F6D" w:rsidRPr="00D850DF">
        <w:rPr>
          <w:rFonts w:asciiTheme="majorHAnsi" w:hAnsiTheme="majorHAnsi"/>
        </w:rPr>
        <w:t xml:space="preserve"> Environmental Risk Assessment of Chemicals used in WA Petroleum Activities Guideline.</w:t>
      </w:r>
    </w:p>
    <w:p w14:paraId="579B65EC" w14:textId="79F20FFA" w:rsidR="00FA34BD" w:rsidRPr="00D850DF" w:rsidRDefault="008A0EEA" w:rsidP="00FA34BD">
      <w:pPr>
        <w:pStyle w:val="Body"/>
        <w:spacing w:afterLines="20" w:after="48"/>
        <w:ind w:left="567" w:hanging="567"/>
        <w:rPr>
          <w:rFonts w:asciiTheme="majorHAnsi" w:hAnsiTheme="majorHAnsi"/>
        </w:rPr>
      </w:pPr>
      <w:r w:rsidRPr="00D850DF">
        <w:rPr>
          <w:rFonts w:asciiTheme="majorHAnsi" w:hAnsiTheme="majorHAnsi"/>
        </w:rPr>
        <w:t xml:space="preserve">DNRM </w:t>
      </w:r>
      <w:r w:rsidR="00FA34BD" w:rsidRPr="00D850DF">
        <w:rPr>
          <w:rFonts w:asciiTheme="majorHAnsi" w:hAnsiTheme="majorHAnsi"/>
        </w:rPr>
        <w:t>(2011). Loss of well control. Petroleum and gas safety alert no. 48, 22 June 2011, Version 1.</w:t>
      </w:r>
      <w:r w:rsidR="00FA34BD" w:rsidRPr="00D850DF">
        <w:rPr>
          <w:rFonts w:asciiTheme="majorHAnsi" w:hAnsiTheme="majorHAnsi"/>
        </w:rPr>
        <w:tab/>
      </w:r>
      <w:r w:rsidR="009A62A3" w:rsidRPr="00D850DF">
        <w:rPr>
          <w:rFonts w:asciiTheme="majorHAnsi" w:hAnsiTheme="majorHAnsi"/>
        </w:rPr>
        <w:t>Department of Natural Resources and Mines</w:t>
      </w:r>
      <w:r w:rsidR="009A62A3">
        <w:rPr>
          <w:rFonts w:asciiTheme="majorHAnsi" w:hAnsiTheme="majorHAnsi"/>
        </w:rPr>
        <w:t>.</w:t>
      </w:r>
    </w:p>
    <w:p w14:paraId="426390F8" w14:textId="1445B380" w:rsidR="004F1118" w:rsidRPr="00D850DF" w:rsidRDefault="008A0EEA" w:rsidP="000144B2">
      <w:pPr>
        <w:pStyle w:val="Body"/>
        <w:spacing w:afterLines="20" w:after="48"/>
        <w:ind w:left="567" w:hanging="567"/>
        <w:rPr>
          <w:rFonts w:asciiTheme="majorHAnsi" w:hAnsiTheme="majorHAnsi"/>
        </w:rPr>
      </w:pPr>
      <w:r w:rsidRPr="00D850DF">
        <w:rPr>
          <w:rFonts w:asciiTheme="majorHAnsi" w:hAnsiTheme="majorHAnsi"/>
        </w:rPr>
        <w:t xml:space="preserve">DNRM </w:t>
      </w:r>
      <w:r w:rsidR="004F1118" w:rsidRPr="00D850DF">
        <w:rPr>
          <w:rFonts w:asciiTheme="majorHAnsi" w:hAnsiTheme="majorHAnsi"/>
        </w:rPr>
        <w:t>(2013)</w:t>
      </w:r>
      <w:r w:rsidR="00203E7D" w:rsidRPr="00D850DF">
        <w:rPr>
          <w:rFonts w:asciiTheme="majorHAnsi" w:hAnsiTheme="majorHAnsi"/>
        </w:rPr>
        <w:t>.</w:t>
      </w:r>
      <w:r w:rsidR="004F1118" w:rsidRPr="00D850DF">
        <w:rPr>
          <w:rFonts w:asciiTheme="majorHAnsi" w:hAnsiTheme="majorHAnsi"/>
        </w:rPr>
        <w:t xml:space="preserve"> Code of practice for constructing and abandoning coal seam gas wells and associated bores in Queensland. </w:t>
      </w:r>
      <w:r w:rsidR="009A62A3" w:rsidRPr="00D850DF">
        <w:rPr>
          <w:rFonts w:asciiTheme="majorHAnsi" w:hAnsiTheme="majorHAnsi"/>
        </w:rPr>
        <w:t>Department of Natural Resources and Mines</w:t>
      </w:r>
      <w:r w:rsidR="009A62A3">
        <w:rPr>
          <w:rFonts w:asciiTheme="majorHAnsi" w:hAnsiTheme="majorHAnsi"/>
        </w:rPr>
        <w:t>.</w:t>
      </w:r>
      <w:r w:rsidR="009A62A3" w:rsidRPr="00D850DF">
        <w:rPr>
          <w:rFonts w:asciiTheme="majorHAnsi" w:hAnsiTheme="majorHAnsi"/>
        </w:rPr>
        <w:t xml:space="preserve"> </w:t>
      </w:r>
      <w:r w:rsidR="004F1118" w:rsidRPr="00D850DF">
        <w:rPr>
          <w:rFonts w:asciiTheme="majorHAnsi" w:hAnsiTheme="majorHAnsi"/>
        </w:rPr>
        <w:t>Edition 2.0.</w:t>
      </w:r>
    </w:p>
    <w:p w14:paraId="13CDDFE9" w14:textId="2AA0D375" w:rsidR="00FA34BD" w:rsidRDefault="008A0EEA" w:rsidP="000144B2">
      <w:pPr>
        <w:pStyle w:val="Body"/>
        <w:spacing w:afterLines="20" w:after="48"/>
        <w:ind w:left="567" w:hanging="567"/>
        <w:rPr>
          <w:rFonts w:asciiTheme="majorHAnsi" w:hAnsiTheme="majorHAnsi"/>
          <w:shd w:val="clear" w:color="auto" w:fill="FFFFFF"/>
        </w:rPr>
      </w:pPr>
      <w:r w:rsidRPr="00D850DF">
        <w:rPr>
          <w:rFonts w:asciiTheme="majorHAnsi" w:hAnsiTheme="majorHAnsi"/>
        </w:rPr>
        <w:t xml:space="preserve">DNRM </w:t>
      </w:r>
      <w:r w:rsidR="003D0A77" w:rsidRPr="00D850DF">
        <w:rPr>
          <w:rFonts w:asciiTheme="majorHAnsi" w:hAnsiTheme="majorHAnsi"/>
        </w:rPr>
        <w:t>(2015)</w:t>
      </w:r>
      <w:r w:rsidR="00203E7D" w:rsidRPr="00D850DF">
        <w:rPr>
          <w:rFonts w:asciiTheme="majorHAnsi" w:hAnsiTheme="majorHAnsi"/>
        </w:rPr>
        <w:t>.</w:t>
      </w:r>
      <w:r w:rsidR="003D0A77" w:rsidRPr="00D850DF">
        <w:rPr>
          <w:rFonts w:asciiTheme="majorHAnsi" w:hAnsiTheme="majorHAnsi"/>
        </w:rPr>
        <w:t xml:space="preserve"> </w:t>
      </w:r>
      <w:r w:rsidR="002C417A" w:rsidRPr="00D850DF">
        <w:rPr>
          <w:rFonts w:asciiTheme="majorHAnsi" w:hAnsiTheme="majorHAnsi"/>
          <w:shd w:val="clear" w:color="auto" w:fill="FFFFFF"/>
        </w:rPr>
        <w:t>Surat Basin Groundwater Chemistry Baseline Assessment Database. Supplied by OGIA (</w:t>
      </w:r>
      <w:r w:rsidR="009A62A3" w:rsidRPr="00D850DF">
        <w:rPr>
          <w:rFonts w:asciiTheme="majorHAnsi" w:hAnsiTheme="majorHAnsi"/>
        </w:rPr>
        <w:t>Department of Natural Resources and Mines</w:t>
      </w:r>
      <w:r w:rsidR="002C417A" w:rsidRPr="00D850DF">
        <w:rPr>
          <w:rFonts w:asciiTheme="majorHAnsi" w:hAnsiTheme="majorHAnsi"/>
          <w:shd w:val="clear" w:color="auto" w:fill="FFFFFF"/>
        </w:rPr>
        <w:t>).</w:t>
      </w:r>
    </w:p>
    <w:p w14:paraId="13015CE7" w14:textId="78CEC39F" w:rsidR="00C84BD5" w:rsidRDefault="00C84BD5" w:rsidP="00C84BD5">
      <w:pPr>
        <w:pStyle w:val="Body"/>
        <w:spacing w:afterLines="20" w:after="48"/>
        <w:ind w:left="567" w:hanging="567"/>
        <w:rPr>
          <w:lang w:val="en-AU"/>
        </w:rPr>
      </w:pPr>
      <w:r w:rsidRPr="00C84BD5">
        <w:rPr>
          <w:rFonts w:asciiTheme="majorHAnsi" w:hAnsiTheme="majorHAnsi"/>
        </w:rPr>
        <w:t>Doble R, McCallum J, Turnadge C, Peeters L, Wu B, Mallants D (2016). Modelling inter‐aquifer leakage associated with well</w:t>
      </w:r>
      <w:r>
        <w:rPr>
          <w:rFonts w:asciiTheme="majorHAnsi" w:hAnsiTheme="majorHAnsi"/>
        </w:rPr>
        <w:t xml:space="preserve"> </w:t>
      </w:r>
      <w:r>
        <w:rPr>
          <w:lang w:val="en-AU"/>
        </w:rPr>
        <w:t>integrity failure, prepared by the Commonwealth Scientific and Industrial Research Organisation (CSIRO), Canberra.</w:t>
      </w:r>
    </w:p>
    <w:p w14:paraId="24F6563C" w14:textId="2FBB89FA" w:rsidR="0017252B" w:rsidRPr="0017252B" w:rsidRDefault="0017252B" w:rsidP="00C84BD5">
      <w:pPr>
        <w:pStyle w:val="Body"/>
        <w:spacing w:afterLines="20" w:after="48"/>
        <w:ind w:left="567" w:hanging="567"/>
        <w:rPr>
          <w:rFonts w:asciiTheme="majorHAnsi" w:hAnsiTheme="majorHAnsi"/>
        </w:rPr>
      </w:pPr>
      <w:r w:rsidRPr="0017252B">
        <w:rPr>
          <w:rFonts w:asciiTheme="majorHAnsi" w:hAnsiTheme="majorHAnsi"/>
        </w:rPr>
        <w:t xml:space="preserve">DoEE (2016a). Draft National Standard: National Standard for Environmental Risk Management of Industrial Chemicals. Report prepared by GHD for the Department of the Environment and Energy, November 2016, 31/33665. Commonwealth of Australia, Canberra. </w:t>
      </w:r>
    </w:p>
    <w:p w14:paraId="08D7698B" w14:textId="79E896B8" w:rsidR="00D65EE2" w:rsidRPr="0017252B" w:rsidRDefault="0017252B" w:rsidP="00C84BD5">
      <w:pPr>
        <w:pStyle w:val="Body"/>
        <w:spacing w:afterLines="20" w:after="48"/>
        <w:ind w:left="567" w:hanging="567"/>
        <w:rPr>
          <w:rFonts w:asciiTheme="majorHAnsi" w:hAnsiTheme="majorHAnsi"/>
        </w:rPr>
      </w:pPr>
      <w:r w:rsidRPr="0017252B">
        <w:rPr>
          <w:rFonts w:asciiTheme="majorHAnsi" w:hAnsiTheme="majorHAnsi"/>
        </w:rPr>
        <w:t>DoE</w:t>
      </w:r>
      <w:r>
        <w:rPr>
          <w:rFonts w:asciiTheme="majorHAnsi" w:hAnsiTheme="majorHAnsi"/>
        </w:rPr>
        <w:t>E</w:t>
      </w:r>
      <w:r w:rsidRPr="0017252B">
        <w:rPr>
          <w:rFonts w:asciiTheme="majorHAnsi" w:hAnsiTheme="majorHAnsi"/>
        </w:rPr>
        <w:t xml:space="preserve"> (2016b). National Standard for Environmental Risk Management of Industrial Chemicals: Discussion Paper. Report prepared by GHD for the Department of the Environment, March 2016, 31/33665. Commonwealth of Australia, Canberra.</w:t>
      </w:r>
    </w:p>
    <w:p w14:paraId="5E6E9572" w14:textId="671A7E67" w:rsidR="007E43AF" w:rsidRPr="00D850DF" w:rsidRDefault="008A0EEA" w:rsidP="000144B2">
      <w:pPr>
        <w:pStyle w:val="Body"/>
        <w:spacing w:afterLines="20" w:after="48"/>
        <w:ind w:left="567" w:hanging="567"/>
        <w:rPr>
          <w:rFonts w:asciiTheme="majorHAnsi" w:hAnsiTheme="majorHAnsi"/>
        </w:rPr>
      </w:pPr>
      <w:r w:rsidRPr="00D850DF">
        <w:rPr>
          <w:rFonts w:asciiTheme="majorHAnsi" w:hAnsiTheme="majorHAnsi"/>
        </w:rPr>
        <w:t>DoE</w:t>
      </w:r>
      <w:r w:rsidR="00527149">
        <w:rPr>
          <w:rFonts w:asciiTheme="majorHAnsi" w:hAnsiTheme="majorHAnsi"/>
        </w:rPr>
        <w:t>E</w:t>
      </w:r>
      <w:r w:rsidR="007E43AF" w:rsidRPr="00D850DF">
        <w:rPr>
          <w:rFonts w:asciiTheme="majorHAnsi" w:hAnsiTheme="majorHAnsi"/>
        </w:rPr>
        <w:t xml:space="preserve"> </w:t>
      </w:r>
      <w:r w:rsidR="00E74674" w:rsidRPr="00D850DF">
        <w:rPr>
          <w:rFonts w:asciiTheme="majorHAnsi" w:hAnsiTheme="majorHAnsi"/>
        </w:rPr>
        <w:t>(</w:t>
      </w:r>
      <w:r w:rsidR="007E43AF" w:rsidRPr="00D850DF">
        <w:rPr>
          <w:rFonts w:asciiTheme="majorHAnsi" w:hAnsiTheme="majorHAnsi"/>
        </w:rPr>
        <w:t>201</w:t>
      </w:r>
      <w:r w:rsidR="003D4440">
        <w:rPr>
          <w:rFonts w:asciiTheme="majorHAnsi" w:hAnsiTheme="majorHAnsi"/>
        </w:rPr>
        <w:t>7</w:t>
      </w:r>
      <w:r w:rsidR="004E1537" w:rsidRPr="00D850DF">
        <w:rPr>
          <w:rFonts w:asciiTheme="majorHAnsi" w:hAnsiTheme="majorHAnsi"/>
        </w:rPr>
        <w:t>a</w:t>
      </w:r>
      <w:r w:rsidR="00E74674" w:rsidRPr="00D850DF">
        <w:rPr>
          <w:rFonts w:asciiTheme="majorHAnsi" w:hAnsiTheme="majorHAnsi"/>
        </w:rPr>
        <w:t>)</w:t>
      </w:r>
      <w:r w:rsidR="00203E7D" w:rsidRPr="00D850DF">
        <w:rPr>
          <w:rFonts w:asciiTheme="majorHAnsi" w:hAnsiTheme="majorHAnsi"/>
        </w:rPr>
        <w:t>.</w:t>
      </w:r>
      <w:r w:rsidR="007E43AF" w:rsidRPr="00D850DF">
        <w:rPr>
          <w:rFonts w:asciiTheme="majorHAnsi" w:hAnsiTheme="majorHAnsi"/>
        </w:rPr>
        <w:t xml:space="preserve"> Literature review: Environmental risks from coal seam gas operations, </w:t>
      </w:r>
      <w:r w:rsidR="004E1537" w:rsidRPr="00D850DF">
        <w:rPr>
          <w:rFonts w:asciiTheme="majorHAnsi" w:hAnsiTheme="majorHAnsi"/>
        </w:rPr>
        <w:t>report p</w:t>
      </w:r>
      <w:r w:rsidR="007E43AF" w:rsidRPr="00D850DF">
        <w:rPr>
          <w:rFonts w:asciiTheme="majorHAnsi" w:hAnsiTheme="majorHAnsi"/>
        </w:rPr>
        <w:t>repared by the Chemical</w:t>
      </w:r>
      <w:r w:rsidR="004E1537" w:rsidRPr="00D850DF">
        <w:rPr>
          <w:rFonts w:asciiTheme="majorHAnsi" w:hAnsiTheme="majorHAnsi"/>
        </w:rPr>
        <w:t>s and</w:t>
      </w:r>
      <w:r w:rsidR="007E43AF" w:rsidRPr="00D850DF">
        <w:rPr>
          <w:rFonts w:asciiTheme="majorHAnsi" w:hAnsiTheme="majorHAnsi"/>
        </w:rPr>
        <w:t xml:space="preserve"> </w:t>
      </w:r>
      <w:r w:rsidR="004E1537" w:rsidRPr="00D850DF">
        <w:rPr>
          <w:rFonts w:asciiTheme="majorHAnsi" w:hAnsiTheme="majorHAnsi"/>
        </w:rPr>
        <w:t xml:space="preserve">Biotechnology </w:t>
      </w:r>
      <w:r w:rsidR="007E43AF" w:rsidRPr="00D850DF">
        <w:rPr>
          <w:rFonts w:asciiTheme="majorHAnsi" w:hAnsiTheme="majorHAnsi"/>
        </w:rPr>
        <w:t>Assessment</w:t>
      </w:r>
      <w:r w:rsidR="004E1537" w:rsidRPr="00D850DF">
        <w:rPr>
          <w:rFonts w:asciiTheme="majorHAnsi" w:hAnsiTheme="majorHAnsi"/>
        </w:rPr>
        <w:t>s</w:t>
      </w:r>
      <w:r w:rsidR="007E43AF" w:rsidRPr="00D850DF">
        <w:rPr>
          <w:rFonts w:asciiTheme="majorHAnsi" w:hAnsiTheme="majorHAnsi"/>
        </w:rPr>
        <w:t xml:space="preserve"> Section </w:t>
      </w:r>
      <w:r w:rsidR="004E1537" w:rsidRPr="00D850DF">
        <w:rPr>
          <w:rFonts w:asciiTheme="majorHAnsi" w:hAnsiTheme="majorHAnsi"/>
        </w:rPr>
        <w:t xml:space="preserve">(CBAS) </w:t>
      </w:r>
      <w:r w:rsidR="007E43AF" w:rsidRPr="00D850DF">
        <w:rPr>
          <w:rFonts w:asciiTheme="majorHAnsi" w:hAnsiTheme="majorHAnsi"/>
        </w:rPr>
        <w:t xml:space="preserve">of the </w:t>
      </w:r>
      <w:r w:rsidR="009A62A3">
        <w:rPr>
          <w:rFonts w:asciiTheme="majorHAnsi" w:hAnsiTheme="majorHAnsi"/>
        </w:rPr>
        <w:t>Department of the Environment</w:t>
      </w:r>
      <w:r w:rsidR="004E1537" w:rsidRPr="00D850DF">
        <w:rPr>
          <w:rFonts w:asciiTheme="majorHAnsi" w:hAnsiTheme="majorHAnsi"/>
        </w:rPr>
        <w:t xml:space="preserve"> </w:t>
      </w:r>
      <w:r w:rsidR="00291F9C">
        <w:rPr>
          <w:rFonts w:asciiTheme="majorHAnsi" w:hAnsiTheme="majorHAnsi"/>
        </w:rPr>
        <w:t xml:space="preserve">and Energy </w:t>
      </w:r>
      <w:r w:rsidR="004E1537" w:rsidRPr="00D850DF">
        <w:rPr>
          <w:rFonts w:asciiTheme="majorHAnsi" w:hAnsiTheme="majorHAnsi"/>
        </w:rPr>
        <w:t>as part of the National Assessment of Chemicals Associated with Coal Seam Gas Extraction in Australia, Commonwealth of Australia,</w:t>
      </w:r>
      <w:r w:rsidR="007E43AF" w:rsidRPr="00D850DF">
        <w:rPr>
          <w:rFonts w:asciiTheme="majorHAnsi" w:hAnsiTheme="majorHAnsi"/>
        </w:rPr>
        <w:t xml:space="preserve"> </w:t>
      </w:r>
      <w:proofErr w:type="gramStart"/>
      <w:r w:rsidR="007E43AF" w:rsidRPr="00D850DF">
        <w:rPr>
          <w:rFonts w:asciiTheme="majorHAnsi" w:hAnsiTheme="majorHAnsi"/>
        </w:rPr>
        <w:t>Canberra</w:t>
      </w:r>
      <w:proofErr w:type="gramEnd"/>
      <w:r w:rsidR="007E43AF" w:rsidRPr="00D850DF">
        <w:rPr>
          <w:rFonts w:asciiTheme="majorHAnsi" w:hAnsiTheme="majorHAnsi"/>
        </w:rPr>
        <w:t>.</w:t>
      </w:r>
    </w:p>
    <w:p w14:paraId="0213DE10" w14:textId="7E70164C" w:rsidR="004E1537" w:rsidRPr="00D850DF" w:rsidRDefault="008A0EEA" w:rsidP="000144B2">
      <w:pPr>
        <w:pStyle w:val="Body"/>
        <w:spacing w:afterLines="20" w:after="48"/>
        <w:ind w:left="567" w:hanging="567"/>
        <w:rPr>
          <w:rFonts w:asciiTheme="majorHAnsi" w:hAnsiTheme="majorHAnsi"/>
        </w:rPr>
      </w:pPr>
      <w:r w:rsidRPr="00D850DF">
        <w:rPr>
          <w:rFonts w:asciiTheme="majorHAnsi" w:hAnsiTheme="majorHAnsi"/>
        </w:rPr>
        <w:t>DoE</w:t>
      </w:r>
      <w:r w:rsidR="00527149">
        <w:rPr>
          <w:rFonts w:asciiTheme="majorHAnsi" w:hAnsiTheme="majorHAnsi"/>
        </w:rPr>
        <w:t>E</w:t>
      </w:r>
      <w:r w:rsidRPr="00D850DF">
        <w:rPr>
          <w:rFonts w:asciiTheme="majorHAnsi" w:hAnsiTheme="majorHAnsi"/>
        </w:rPr>
        <w:t xml:space="preserve"> </w:t>
      </w:r>
      <w:r w:rsidR="004E1537" w:rsidRPr="00D850DF">
        <w:rPr>
          <w:rFonts w:asciiTheme="majorHAnsi" w:hAnsiTheme="majorHAnsi"/>
        </w:rPr>
        <w:t>(201</w:t>
      </w:r>
      <w:r w:rsidR="003D4440">
        <w:rPr>
          <w:rFonts w:asciiTheme="majorHAnsi" w:hAnsiTheme="majorHAnsi"/>
        </w:rPr>
        <w:t>7</w:t>
      </w:r>
      <w:r w:rsidR="009B0BD2" w:rsidRPr="00D850DF">
        <w:rPr>
          <w:rFonts w:asciiTheme="majorHAnsi" w:hAnsiTheme="majorHAnsi"/>
        </w:rPr>
        <w:t>b</w:t>
      </w:r>
      <w:r w:rsidR="004E1537" w:rsidRPr="00D850DF">
        <w:rPr>
          <w:rFonts w:asciiTheme="majorHAnsi" w:hAnsiTheme="majorHAnsi"/>
        </w:rPr>
        <w:t>)</w:t>
      </w:r>
      <w:r w:rsidR="00203E7D" w:rsidRPr="00D850DF">
        <w:rPr>
          <w:rFonts w:asciiTheme="majorHAnsi" w:hAnsiTheme="majorHAnsi"/>
        </w:rPr>
        <w:t>.</w:t>
      </w:r>
      <w:r w:rsidR="004E1537" w:rsidRPr="00D850DF">
        <w:rPr>
          <w:rFonts w:asciiTheme="majorHAnsi" w:hAnsiTheme="majorHAnsi"/>
        </w:rPr>
        <w:t xml:space="preserve"> Environmental risk assessment framework for the coal seam gas industry – risk assessment,</w:t>
      </w:r>
      <w:r w:rsidR="004E1537" w:rsidRPr="00D850DF">
        <w:rPr>
          <w:rFonts w:asciiTheme="majorHAnsi" w:hAnsiTheme="majorHAnsi"/>
          <w:i/>
        </w:rPr>
        <w:t xml:space="preserve"> </w:t>
      </w:r>
      <w:r w:rsidR="004E1537" w:rsidRPr="00D850DF">
        <w:rPr>
          <w:rFonts w:asciiTheme="majorHAnsi" w:hAnsiTheme="majorHAnsi"/>
        </w:rPr>
        <w:t xml:space="preserve">report prepared by the Chemicals and Biotechnology Assessments Section (CBAS) of the </w:t>
      </w:r>
      <w:r w:rsidR="009A62A3">
        <w:rPr>
          <w:rFonts w:asciiTheme="majorHAnsi" w:hAnsiTheme="majorHAnsi"/>
        </w:rPr>
        <w:t>Department of the Environment</w:t>
      </w:r>
      <w:r w:rsidR="004E1537" w:rsidRPr="00D850DF">
        <w:rPr>
          <w:rFonts w:asciiTheme="majorHAnsi" w:hAnsiTheme="majorHAnsi"/>
        </w:rPr>
        <w:t xml:space="preserve"> </w:t>
      </w:r>
      <w:r w:rsidR="00291F9C">
        <w:rPr>
          <w:rFonts w:asciiTheme="majorHAnsi" w:hAnsiTheme="majorHAnsi"/>
        </w:rPr>
        <w:t xml:space="preserve">and Energy </w:t>
      </w:r>
      <w:r w:rsidR="004E1537" w:rsidRPr="00D850DF">
        <w:rPr>
          <w:rFonts w:asciiTheme="majorHAnsi" w:hAnsiTheme="majorHAnsi"/>
        </w:rPr>
        <w:t>as part of the National Assessment of Chemicals Associated with Coal Seam Gas Extraction in Australia, Commonwealth of Australia, Canberra.</w:t>
      </w:r>
    </w:p>
    <w:p w14:paraId="5BB61125" w14:textId="396743DE" w:rsidR="003F6DEC" w:rsidRPr="00D850DF" w:rsidRDefault="003F6DEC" w:rsidP="003F6DEC">
      <w:pPr>
        <w:pStyle w:val="Body"/>
        <w:spacing w:afterLines="20" w:after="48"/>
        <w:ind w:left="567" w:hanging="567"/>
        <w:rPr>
          <w:rFonts w:asciiTheme="majorHAnsi" w:hAnsiTheme="majorHAnsi"/>
        </w:rPr>
      </w:pPr>
      <w:r w:rsidRPr="00D850DF">
        <w:rPr>
          <w:rFonts w:asciiTheme="majorHAnsi" w:hAnsiTheme="majorHAnsi"/>
        </w:rPr>
        <w:t>Denome SA, Stanley</w:t>
      </w:r>
      <w:r w:rsidR="00276555" w:rsidRPr="00D850DF">
        <w:rPr>
          <w:rFonts w:asciiTheme="majorHAnsi" w:hAnsiTheme="majorHAnsi"/>
        </w:rPr>
        <w:t xml:space="preserve"> DC</w:t>
      </w:r>
      <w:r w:rsidRPr="00D850DF">
        <w:rPr>
          <w:rFonts w:asciiTheme="majorHAnsi" w:hAnsiTheme="majorHAnsi"/>
        </w:rPr>
        <w:t>, Olson</w:t>
      </w:r>
      <w:r w:rsidR="00276555" w:rsidRPr="00D850DF">
        <w:rPr>
          <w:rFonts w:asciiTheme="majorHAnsi" w:hAnsiTheme="majorHAnsi"/>
        </w:rPr>
        <w:t xml:space="preserve"> ES</w:t>
      </w:r>
      <w:r w:rsidRPr="00D850DF">
        <w:rPr>
          <w:rFonts w:asciiTheme="majorHAnsi" w:hAnsiTheme="majorHAnsi"/>
        </w:rPr>
        <w:t>, and Young</w:t>
      </w:r>
      <w:r w:rsidR="00276555" w:rsidRPr="00D850DF">
        <w:rPr>
          <w:rFonts w:asciiTheme="majorHAnsi" w:hAnsiTheme="majorHAnsi"/>
        </w:rPr>
        <w:t xml:space="preserve"> KD (</w:t>
      </w:r>
      <w:r w:rsidRPr="00D850DF">
        <w:rPr>
          <w:rFonts w:asciiTheme="majorHAnsi" w:hAnsiTheme="majorHAnsi"/>
        </w:rPr>
        <w:t>1993</w:t>
      </w:r>
      <w:r w:rsidR="00276555" w:rsidRPr="00D850DF">
        <w:rPr>
          <w:rFonts w:asciiTheme="majorHAnsi" w:hAnsiTheme="majorHAnsi"/>
        </w:rPr>
        <w:t>)</w:t>
      </w:r>
      <w:r w:rsidR="00203E7D" w:rsidRPr="00D850DF">
        <w:rPr>
          <w:rFonts w:asciiTheme="majorHAnsi" w:hAnsiTheme="majorHAnsi"/>
        </w:rPr>
        <w:t>.</w:t>
      </w:r>
      <w:r w:rsidRPr="00D850DF">
        <w:rPr>
          <w:rFonts w:asciiTheme="majorHAnsi" w:hAnsiTheme="majorHAnsi"/>
        </w:rPr>
        <w:t xml:space="preserve"> Metabolism of dibenzothiophene and naphthalene in Pseudomonas Strains: Complete DNA sequence of an upper naphthalene catabolic pathway. J</w:t>
      </w:r>
      <w:r w:rsidR="008A0EEA" w:rsidRPr="00D850DF">
        <w:rPr>
          <w:rFonts w:asciiTheme="majorHAnsi" w:hAnsiTheme="majorHAnsi"/>
        </w:rPr>
        <w:t>ournal of</w:t>
      </w:r>
      <w:r w:rsidRPr="00D850DF">
        <w:rPr>
          <w:rFonts w:asciiTheme="majorHAnsi" w:hAnsiTheme="majorHAnsi"/>
        </w:rPr>
        <w:t xml:space="preserve"> Bacteriol</w:t>
      </w:r>
      <w:r w:rsidR="008A0EEA" w:rsidRPr="00D850DF">
        <w:rPr>
          <w:rFonts w:asciiTheme="majorHAnsi" w:hAnsiTheme="majorHAnsi"/>
        </w:rPr>
        <w:t>ogy</w:t>
      </w:r>
      <w:r w:rsidRPr="00D850DF">
        <w:rPr>
          <w:rFonts w:asciiTheme="majorHAnsi" w:hAnsiTheme="majorHAnsi"/>
        </w:rPr>
        <w:t xml:space="preserve"> 175: 6890-6901.</w:t>
      </w:r>
    </w:p>
    <w:p w14:paraId="2D403512" w14:textId="20579D24" w:rsidR="00F916B6" w:rsidRPr="00D850DF" w:rsidRDefault="004855EB" w:rsidP="00F916B6">
      <w:pPr>
        <w:pStyle w:val="Body"/>
        <w:spacing w:afterLines="20" w:after="48"/>
        <w:ind w:left="567" w:hanging="567"/>
        <w:rPr>
          <w:rFonts w:asciiTheme="majorHAnsi" w:hAnsiTheme="majorHAnsi"/>
        </w:rPr>
      </w:pPr>
      <w:r w:rsidRPr="00D850DF">
        <w:rPr>
          <w:rFonts w:asciiTheme="majorHAnsi" w:hAnsiTheme="majorHAnsi"/>
        </w:rPr>
        <w:t>Dhavalikar RS and Bhattacharayya PK (</w:t>
      </w:r>
      <w:r w:rsidR="00F916B6" w:rsidRPr="00D850DF">
        <w:rPr>
          <w:rFonts w:asciiTheme="majorHAnsi" w:hAnsiTheme="majorHAnsi"/>
        </w:rPr>
        <w:t>1966</w:t>
      </w:r>
      <w:r w:rsidRPr="00D850DF">
        <w:rPr>
          <w:rFonts w:asciiTheme="majorHAnsi" w:hAnsiTheme="majorHAnsi"/>
        </w:rPr>
        <w:t>)</w:t>
      </w:r>
      <w:r w:rsidR="00203E7D" w:rsidRPr="00D850DF">
        <w:rPr>
          <w:rFonts w:asciiTheme="majorHAnsi" w:hAnsiTheme="majorHAnsi"/>
        </w:rPr>
        <w:t>.</w:t>
      </w:r>
      <w:r w:rsidR="00F916B6" w:rsidRPr="00D850DF">
        <w:rPr>
          <w:rFonts w:asciiTheme="majorHAnsi" w:hAnsiTheme="majorHAnsi"/>
        </w:rPr>
        <w:t xml:space="preserve"> Microbial transformation of terpenes: Part VIII — Fermentation of limonene by a soil pseudomonad. Indian J</w:t>
      </w:r>
      <w:r w:rsidR="008A0EEA" w:rsidRPr="00D850DF">
        <w:rPr>
          <w:rFonts w:asciiTheme="majorHAnsi" w:hAnsiTheme="majorHAnsi"/>
        </w:rPr>
        <w:t>ournal of</w:t>
      </w:r>
      <w:r w:rsidR="00F916B6" w:rsidRPr="00D850DF">
        <w:rPr>
          <w:rFonts w:asciiTheme="majorHAnsi" w:hAnsiTheme="majorHAnsi"/>
        </w:rPr>
        <w:t xml:space="preserve"> Biochem</w:t>
      </w:r>
      <w:r w:rsidR="008A0EEA" w:rsidRPr="00D850DF">
        <w:rPr>
          <w:rFonts w:asciiTheme="majorHAnsi" w:hAnsiTheme="majorHAnsi"/>
        </w:rPr>
        <w:t>istry</w:t>
      </w:r>
      <w:r w:rsidR="00F916B6" w:rsidRPr="00D850DF">
        <w:rPr>
          <w:rFonts w:asciiTheme="majorHAnsi" w:hAnsiTheme="majorHAnsi"/>
        </w:rPr>
        <w:t xml:space="preserve"> 3:144–157.</w:t>
      </w:r>
    </w:p>
    <w:p w14:paraId="64B93E96" w14:textId="0D7ABA17" w:rsidR="00D9435D" w:rsidRPr="00D850DF" w:rsidRDefault="00900E5C" w:rsidP="000144B2">
      <w:pPr>
        <w:pStyle w:val="Body"/>
        <w:spacing w:afterLines="20" w:after="48"/>
        <w:ind w:left="567" w:hanging="567"/>
        <w:rPr>
          <w:rFonts w:asciiTheme="majorHAnsi" w:hAnsiTheme="majorHAnsi"/>
        </w:rPr>
      </w:pPr>
      <w:hyperlink r:id="rId220" w:history="1">
        <w:r w:rsidR="00D9435D" w:rsidRPr="00D850DF">
          <w:rPr>
            <w:rFonts w:asciiTheme="majorHAnsi" w:hAnsiTheme="majorHAnsi"/>
          </w:rPr>
          <w:t>Dixit</w:t>
        </w:r>
      </w:hyperlink>
      <w:r w:rsidR="00D9435D" w:rsidRPr="00D850DF">
        <w:rPr>
          <w:rFonts w:asciiTheme="majorHAnsi" w:hAnsiTheme="majorHAnsi"/>
        </w:rPr>
        <w:t xml:space="preserve"> S</w:t>
      </w:r>
      <w:r w:rsidR="00E74674" w:rsidRPr="00D850DF">
        <w:rPr>
          <w:rFonts w:asciiTheme="majorHAnsi" w:hAnsiTheme="majorHAnsi"/>
        </w:rPr>
        <w:t xml:space="preserve"> and</w:t>
      </w:r>
      <w:r w:rsidR="00D9435D" w:rsidRPr="00D850DF">
        <w:rPr>
          <w:rFonts w:asciiTheme="majorHAnsi" w:hAnsiTheme="majorHAnsi"/>
        </w:rPr>
        <w:t xml:space="preserve"> </w:t>
      </w:r>
      <w:hyperlink r:id="rId221" w:history="1">
        <w:r w:rsidR="00D9435D" w:rsidRPr="00D850DF">
          <w:rPr>
            <w:rFonts w:asciiTheme="majorHAnsi" w:hAnsiTheme="majorHAnsi"/>
          </w:rPr>
          <w:t>Hering</w:t>
        </w:r>
      </w:hyperlink>
      <w:r w:rsidR="00D9435D" w:rsidRPr="00D850DF">
        <w:rPr>
          <w:rFonts w:asciiTheme="majorHAnsi" w:hAnsiTheme="majorHAnsi"/>
        </w:rPr>
        <w:t xml:space="preserve"> JG (2003)</w:t>
      </w:r>
      <w:r w:rsidR="00203E7D" w:rsidRPr="00D850DF">
        <w:rPr>
          <w:rFonts w:asciiTheme="majorHAnsi" w:hAnsiTheme="majorHAnsi"/>
        </w:rPr>
        <w:t>.</w:t>
      </w:r>
      <w:r w:rsidR="00D9435D" w:rsidRPr="00D850DF">
        <w:rPr>
          <w:rFonts w:asciiTheme="majorHAnsi" w:hAnsiTheme="majorHAnsi"/>
        </w:rPr>
        <w:t xml:space="preserve"> Comparison of </w:t>
      </w:r>
      <w:proofErr w:type="gramStart"/>
      <w:r w:rsidR="00D9435D" w:rsidRPr="00D850DF">
        <w:rPr>
          <w:rFonts w:asciiTheme="majorHAnsi" w:hAnsiTheme="majorHAnsi"/>
        </w:rPr>
        <w:t>arsenic(</w:t>
      </w:r>
      <w:proofErr w:type="gramEnd"/>
      <w:r w:rsidR="00D9435D" w:rsidRPr="00D850DF">
        <w:rPr>
          <w:rFonts w:asciiTheme="majorHAnsi" w:hAnsiTheme="majorHAnsi"/>
        </w:rPr>
        <w:t>V) and arsenic(III) sorption onto iron oxide minerals:  Implications for arsenic mobility</w:t>
      </w:r>
      <w:r w:rsidR="009B16E0" w:rsidRPr="00D850DF">
        <w:rPr>
          <w:rFonts w:asciiTheme="majorHAnsi" w:hAnsiTheme="majorHAnsi"/>
        </w:rPr>
        <w:t>.</w:t>
      </w:r>
      <w:r w:rsidR="00D9435D" w:rsidRPr="00D850DF">
        <w:rPr>
          <w:rFonts w:asciiTheme="majorHAnsi" w:hAnsiTheme="majorHAnsi"/>
        </w:rPr>
        <w:t xml:space="preserve"> Environ</w:t>
      </w:r>
      <w:r w:rsidR="008A0EEA" w:rsidRPr="00D850DF">
        <w:rPr>
          <w:rFonts w:asciiTheme="majorHAnsi" w:hAnsiTheme="majorHAnsi"/>
        </w:rPr>
        <w:t>mental</w:t>
      </w:r>
      <w:r w:rsidR="00D9435D" w:rsidRPr="00D850DF">
        <w:rPr>
          <w:rFonts w:asciiTheme="majorHAnsi" w:hAnsiTheme="majorHAnsi"/>
        </w:rPr>
        <w:t xml:space="preserve"> Sci</w:t>
      </w:r>
      <w:r w:rsidR="008A0EEA" w:rsidRPr="00D850DF">
        <w:rPr>
          <w:rFonts w:asciiTheme="majorHAnsi" w:hAnsiTheme="majorHAnsi"/>
        </w:rPr>
        <w:t>ence and</w:t>
      </w:r>
      <w:r w:rsidR="00D9435D" w:rsidRPr="00D850DF">
        <w:rPr>
          <w:rFonts w:asciiTheme="majorHAnsi" w:hAnsiTheme="majorHAnsi"/>
        </w:rPr>
        <w:t xml:space="preserve"> Technol</w:t>
      </w:r>
      <w:r w:rsidR="008A0EEA" w:rsidRPr="00D850DF">
        <w:rPr>
          <w:rFonts w:asciiTheme="majorHAnsi" w:hAnsiTheme="majorHAnsi"/>
        </w:rPr>
        <w:t>ogy</w:t>
      </w:r>
      <w:r w:rsidR="00D9435D" w:rsidRPr="00D850DF">
        <w:rPr>
          <w:rFonts w:asciiTheme="majorHAnsi" w:hAnsiTheme="majorHAnsi"/>
        </w:rPr>
        <w:t xml:space="preserve"> 37</w:t>
      </w:r>
      <w:r w:rsidR="00370368" w:rsidRPr="00D850DF">
        <w:rPr>
          <w:rFonts w:asciiTheme="majorHAnsi" w:hAnsiTheme="majorHAnsi"/>
        </w:rPr>
        <w:t>:</w:t>
      </w:r>
      <w:r w:rsidR="00D9435D" w:rsidRPr="00D850DF">
        <w:rPr>
          <w:rFonts w:asciiTheme="majorHAnsi" w:hAnsiTheme="majorHAnsi"/>
        </w:rPr>
        <w:t xml:space="preserve"> 4182–4189.</w:t>
      </w:r>
    </w:p>
    <w:p w14:paraId="352148C6" w14:textId="1BF7B78E" w:rsidR="00EE3952" w:rsidRDefault="00EE3952" w:rsidP="00EE3952">
      <w:pPr>
        <w:pStyle w:val="Body"/>
        <w:spacing w:afterLines="20" w:after="48"/>
        <w:ind w:left="567" w:hanging="567"/>
        <w:rPr>
          <w:rFonts w:asciiTheme="majorHAnsi" w:hAnsiTheme="majorHAnsi"/>
        </w:rPr>
      </w:pPr>
      <w:r w:rsidRPr="00D850DF">
        <w:rPr>
          <w:rFonts w:asciiTheme="majorHAnsi" w:hAnsiTheme="majorHAnsi"/>
        </w:rPr>
        <w:t>Douglass ML, Kabacoff BL, Anderson GA, and Chent MC (1978)</w:t>
      </w:r>
      <w:r w:rsidR="00203E7D" w:rsidRPr="00D850DF">
        <w:rPr>
          <w:rFonts w:asciiTheme="majorHAnsi" w:hAnsiTheme="majorHAnsi"/>
        </w:rPr>
        <w:t>.</w:t>
      </w:r>
      <w:r w:rsidRPr="00D850DF">
        <w:rPr>
          <w:rFonts w:asciiTheme="majorHAnsi" w:hAnsiTheme="majorHAnsi"/>
        </w:rPr>
        <w:t xml:space="preserve"> The chemistry of nitrosamine formation, inhibition and destruction. J</w:t>
      </w:r>
      <w:r w:rsidR="008A0EEA" w:rsidRPr="00D850DF">
        <w:rPr>
          <w:rFonts w:asciiTheme="majorHAnsi" w:hAnsiTheme="majorHAnsi"/>
        </w:rPr>
        <w:t>ournal of</w:t>
      </w:r>
      <w:r w:rsidRPr="00D850DF">
        <w:rPr>
          <w:rFonts w:asciiTheme="majorHAnsi" w:hAnsiTheme="majorHAnsi"/>
        </w:rPr>
        <w:t xml:space="preserve"> </w:t>
      </w:r>
      <w:r w:rsidR="008A0EEA" w:rsidRPr="00D850DF">
        <w:rPr>
          <w:rFonts w:asciiTheme="majorHAnsi" w:hAnsiTheme="majorHAnsi"/>
        </w:rPr>
        <w:t xml:space="preserve">the </w:t>
      </w:r>
      <w:r w:rsidRPr="00D850DF">
        <w:rPr>
          <w:rFonts w:asciiTheme="majorHAnsi" w:hAnsiTheme="majorHAnsi"/>
        </w:rPr>
        <w:t>Soc</w:t>
      </w:r>
      <w:r w:rsidR="008A0EEA" w:rsidRPr="00D850DF">
        <w:rPr>
          <w:rFonts w:asciiTheme="majorHAnsi" w:hAnsiTheme="majorHAnsi"/>
        </w:rPr>
        <w:t>iety</w:t>
      </w:r>
      <w:r w:rsidRPr="00D850DF">
        <w:rPr>
          <w:rFonts w:asciiTheme="majorHAnsi" w:hAnsiTheme="majorHAnsi"/>
        </w:rPr>
        <w:t xml:space="preserve"> </w:t>
      </w:r>
      <w:r w:rsidR="008A0EEA" w:rsidRPr="00D850DF">
        <w:rPr>
          <w:rFonts w:asciiTheme="majorHAnsi" w:hAnsiTheme="majorHAnsi"/>
        </w:rPr>
        <w:t xml:space="preserve">of </w:t>
      </w:r>
      <w:r w:rsidRPr="00D850DF">
        <w:rPr>
          <w:rFonts w:asciiTheme="majorHAnsi" w:hAnsiTheme="majorHAnsi"/>
        </w:rPr>
        <w:t>Cosmet</w:t>
      </w:r>
      <w:r w:rsidR="008A0EEA" w:rsidRPr="00D850DF">
        <w:rPr>
          <w:rFonts w:asciiTheme="majorHAnsi" w:hAnsiTheme="majorHAnsi"/>
        </w:rPr>
        <w:t>ics</w:t>
      </w:r>
      <w:r w:rsidRPr="00D850DF">
        <w:rPr>
          <w:rFonts w:asciiTheme="majorHAnsi" w:hAnsiTheme="majorHAnsi"/>
        </w:rPr>
        <w:t xml:space="preserve"> Chem</w:t>
      </w:r>
      <w:r w:rsidR="008A0EEA" w:rsidRPr="00D850DF">
        <w:rPr>
          <w:rFonts w:asciiTheme="majorHAnsi" w:hAnsiTheme="majorHAnsi"/>
        </w:rPr>
        <w:t>istry</w:t>
      </w:r>
      <w:r w:rsidRPr="00D850DF">
        <w:rPr>
          <w:rFonts w:asciiTheme="majorHAnsi" w:hAnsiTheme="majorHAnsi"/>
        </w:rPr>
        <w:t xml:space="preserve"> 29: 581−606.</w:t>
      </w:r>
    </w:p>
    <w:p w14:paraId="6E405BF2" w14:textId="754E0864" w:rsidR="00F10674" w:rsidRDefault="00F10674" w:rsidP="00EE3952">
      <w:pPr>
        <w:pStyle w:val="Body"/>
        <w:spacing w:afterLines="20" w:after="48"/>
        <w:ind w:left="567" w:hanging="567"/>
        <w:rPr>
          <w:rFonts w:asciiTheme="majorHAnsi" w:hAnsiTheme="majorHAnsi"/>
        </w:rPr>
      </w:pPr>
      <w:r w:rsidRPr="00E6110F">
        <w:t xml:space="preserve">Domenico </w:t>
      </w:r>
      <w:r>
        <w:t>PA (</w:t>
      </w:r>
      <w:r w:rsidRPr="00E6110F">
        <w:t>1987</w:t>
      </w:r>
      <w:r>
        <w:t>). An analytical model for multidimensional transport of a decaying contaminant species. Journal of hydrology 91: 49-58.</w:t>
      </w:r>
    </w:p>
    <w:p w14:paraId="12A252CF" w14:textId="4F82EFF3" w:rsidR="00F10674" w:rsidRPr="00D850DF" w:rsidRDefault="00F10674" w:rsidP="00EE3952">
      <w:pPr>
        <w:pStyle w:val="Body"/>
        <w:spacing w:afterLines="20" w:after="48"/>
        <w:ind w:left="567" w:hanging="567"/>
        <w:rPr>
          <w:rFonts w:asciiTheme="majorHAnsi" w:hAnsiTheme="majorHAnsi"/>
        </w:rPr>
      </w:pPr>
      <w:r w:rsidRPr="00E6110F">
        <w:t xml:space="preserve">Domenico </w:t>
      </w:r>
      <w:r>
        <w:t xml:space="preserve">PA </w:t>
      </w:r>
      <w:r w:rsidRPr="00E6110F">
        <w:t xml:space="preserve">and Robbins </w:t>
      </w:r>
      <w:r>
        <w:t>GA (</w:t>
      </w:r>
      <w:r w:rsidRPr="00E6110F">
        <w:t>1986</w:t>
      </w:r>
      <w:r>
        <w:t>). A new method of contaminant plume analysis. Groundwater 24(4): 476-485.</w:t>
      </w:r>
    </w:p>
    <w:p w14:paraId="18A25F55" w14:textId="75A86679" w:rsidR="00F916B6" w:rsidRPr="00D850DF" w:rsidRDefault="003D0A77" w:rsidP="00F916B6">
      <w:pPr>
        <w:pStyle w:val="Body"/>
        <w:spacing w:afterLines="20" w:after="48"/>
        <w:ind w:left="567" w:hanging="567"/>
        <w:rPr>
          <w:rFonts w:asciiTheme="majorHAnsi" w:hAnsiTheme="majorHAnsi"/>
        </w:rPr>
      </w:pPr>
      <w:r w:rsidRPr="00D850DF">
        <w:rPr>
          <w:rFonts w:asciiTheme="majorHAnsi" w:hAnsiTheme="majorHAnsi"/>
        </w:rPr>
        <w:t>DOW</w:t>
      </w:r>
      <w:r w:rsidR="00F916B6" w:rsidRPr="00D850DF">
        <w:rPr>
          <w:rFonts w:asciiTheme="majorHAnsi" w:hAnsiTheme="majorHAnsi"/>
        </w:rPr>
        <w:t xml:space="preserve"> </w:t>
      </w:r>
      <w:r w:rsidRPr="00D850DF">
        <w:rPr>
          <w:rFonts w:asciiTheme="majorHAnsi" w:hAnsiTheme="majorHAnsi"/>
        </w:rPr>
        <w:t>(</w:t>
      </w:r>
      <w:r w:rsidR="00F916B6" w:rsidRPr="00D850DF">
        <w:rPr>
          <w:rFonts w:asciiTheme="majorHAnsi" w:hAnsiTheme="majorHAnsi"/>
        </w:rPr>
        <w:t>1993</w:t>
      </w:r>
      <w:r w:rsidRPr="00D850DF">
        <w:rPr>
          <w:rFonts w:asciiTheme="majorHAnsi" w:hAnsiTheme="majorHAnsi"/>
        </w:rPr>
        <w:t>)</w:t>
      </w:r>
      <w:r w:rsidR="00203E7D" w:rsidRPr="00D850DF">
        <w:rPr>
          <w:rFonts w:asciiTheme="majorHAnsi" w:hAnsiTheme="majorHAnsi"/>
        </w:rPr>
        <w:t>.</w:t>
      </w:r>
      <w:r w:rsidR="00F916B6" w:rsidRPr="00D850DF">
        <w:rPr>
          <w:rFonts w:asciiTheme="majorHAnsi" w:hAnsiTheme="majorHAnsi"/>
        </w:rPr>
        <w:t xml:space="preserve"> The glycol ethers handbook. DOW Chemical Co. Midland MI.</w:t>
      </w:r>
    </w:p>
    <w:p w14:paraId="58CCD286" w14:textId="084F9662" w:rsidR="006C1D80" w:rsidRPr="00D850DF" w:rsidRDefault="006C1D80" w:rsidP="006C1D80">
      <w:pPr>
        <w:pStyle w:val="Body"/>
        <w:spacing w:afterLines="20" w:after="48"/>
        <w:ind w:left="567" w:hanging="567"/>
        <w:rPr>
          <w:rFonts w:asciiTheme="majorHAnsi" w:hAnsiTheme="majorHAnsi"/>
        </w:rPr>
      </w:pPr>
      <w:r w:rsidRPr="00D850DF">
        <w:rPr>
          <w:rFonts w:asciiTheme="majorHAnsi" w:hAnsiTheme="majorHAnsi"/>
        </w:rPr>
        <w:t>DP</w:t>
      </w:r>
      <w:r w:rsidR="004A7452" w:rsidRPr="00D850DF">
        <w:rPr>
          <w:rFonts w:asciiTheme="majorHAnsi" w:hAnsiTheme="majorHAnsi"/>
        </w:rPr>
        <w:t>and</w:t>
      </w:r>
      <w:r w:rsidRPr="00D850DF">
        <w:rPr>
          <w:rFonts w:asciiTheme="majorHAnsi" w:hAnsiTheme="majorHAnsi"/>
        </w:rPr>
        <w:t>E (2014)</w:t>
      </w:r>
      <w:r w:rsidR="00203E7D" w:rsidRPr="00D850DF">
        <w:rPr>
          <w:rFonts w:asciiTheme="majorHAnsi" w:hAnsiTheme="majorHAnsi"/>
        </w:rPr>
        <w:t>.</w:t>
      </w:r>
      <w:r w:rsidRPr="00D850DF">
        <w:rPr>
          <w:rFonts w:asciiTheme="majorHAnsi" w:hAnsiTheme="majorHAnsi"/>
        </w:rPr>
        <w:t xml:space="preserve"> Coal seam gas exclusion zones. Retrieved 5 August, 2016, from </w:t>
      </w:r>
      <w:hyperlink r:id="rId222" w:history="1">
        <w:r w:rsidR="003D0A77" w:rsidRPr="00D850DF">
          <w:rPr>
            <w:rStyle w:val="Hyperlink"/>
            <w:rFonts w:asciiTheme="majorHAnsi" w:hAnsiTheme="majorHAnsi"/>
          </w:rPr>
          <w:t>http://www.planning.nsw.gov.au/coal-seam-gas-exclusion-zones</w:t>
        </w:r>
      </w:hyperlink>
      <w:r w:rsidRPr="00D850DF">
        <w:rPr>
          <w:rFonts w:asciiTheme="majorHAnsi" w:hAnsiTheme="majorHAnsi"/>
        </w:rPr>
        <w:t>.</w:t>
      </w:r>
    </w:p>
    <w:p w14:paraId="4F1C823D" w14:textId="6048456B" w:rsidR="003D0A77" w:rsidRPr="00D850DF" w:rsidRDefault="003D0A77" w:rsidP="003D0A77">
      <w:pPr>
        <w:pStyle w:val="Body"/>
        <w:spacing w:afterLines="20" w:after="48"/>
        <w:ind w:left="567" w:hanging="567"/>
        <w:rPr>
          <w:rFonts w:asciiTheme="majorHAnsi" w:hAnsiTheme="majorHAnsi"/>
        </w:rPr>
      </w:pPr>
      <w:r w:rsidRPr="00D850DF">
        <w:rPr>
          <w:rFonts w:asciiTheme="majorHAnsi" w:hAnsiTheme="majorHAnsi"/>
        </w:rPr>
        <w:t>Duetz WA, Fjallman AHM, Ren S, Jourdat C, and W</w:t>
      </w:r>
      <w:r w:rsidR="00276555" w:rsidRPr="00D850DF">
        <w:rPr>
          <w:rFonts w:asciiTheme="majorHAnsi" w:hAnsiTheme="majorHAnsi"/>
        </w:rPr>
        <w:t>itholt</w:t>
      </w:r>
      <w:r w:rsidRPr="00D850DF">
        <w:rPr>
          <w:rFonts w:asciiTheme="majorHAnsi" w:hAnsiTheme="majorHAnsi"/>
        </w:rPr>
        <w:t xml:space="preserve"> B (2001)</w:t>
      </w:r>
      <w:r w:rsidR="00203E7D" w:rsidRPr="00D850DF">
        <w:rPr>
          <w:rFonts w:asciiTheme="majorHAnsi" w:hAnsiTheme="majorHAnsi"/>
        </w:rPr>
        <w:t>.</w:t>
      </w:r>
      <w:r w:rsidRPr="00D850DF">
        <w:rPr>
          <w:rFonts w:asciiTheme="majorHAnsi" w:hAnsiTheme="majorHAnsi"/>
        </w:rPr>
        <w:t xml:space="preserve"> Biotransformation of D-Limonene to (1) trans-Carveol by Toluene-Grown Rhodococcus opacus PWD4 Cells. </w:t>
      </w:r>
      <w:r w:rsidR="00543953" w:rsidRPr="00D850DF">
        <w:rPr>
          <w:rFonts w:asciiTheme="majorHAnsi" w:hAnsiTheme="majorHAnsi"/>
        </w:rPr>
        <w:t>Applied and Environmental Microbiology 67: 2829–2832.</w:t>
      </w:r>
    </w:p>
    <w:p w14:paraId="688351B8" w14:textId="27B1E465" w:rsidR="009F27C2" w:rsidRPr="00D850DF" w:rsidRDefault="009F27C2" w:rsidP="009F27C2">
      <w:pPr>
        <w:pStyle w:val="Body"/>
        <w:spacing w:afterLines="20" w:after="48"/>
        <w:ind w:left="567" w:hanging="567"/>
        <w:rPr>
          <w:rFonts w:asciiTheme="majorHAnsi" w:hAnsiTheme="majorHAnsi"/>
        </w:rPr>
      </w:pPr>
      <w:r w:rsidRPr="00D850DF">
        <w:rPr>
          <w:rFonts w:asciiTheme="majorHAnsi" w:hAnsiTheme="majorHAnsi"/>
        </w:rPr>
        <w:t>Dunnett PC and Telling GM (1984)</w:t>
      </w:r>
      <w:r w:rsidR="00203E7D" w:rsidRPr="00D850DF">
        <w:rPr>
          <w:rFonts w:asciiTheme="majorHAnsi" w:hAnsiTheme="majorHAnsi"/>
        </w:rPr>
        <w:t>.</w:t>
      </w:r>
      <w:r w:rsidRPr="00D850DF">
        <w:rPr>
          <w:rFonts w:asciiTheme="majorHAnsi" w:hAnsiTheme="majorHAnsi"/>
        </w:rPr>
        <w:t xml:space="preserve"> Study of the fate of bronopol and the effects of antioxidants on N-nitrosamine formation in shampoos and skin creams. Int</w:t>
      </w:r>
      <w:r w:rsidR="008A0EEA" w:rsidRPr="00D850DF">
        <w:rPr>
          <w:rFonts w:asciiTheme="majorHAnsi" w:hAnsiTheme="majorHAnsi"/>
        </w:rPr>
        <w:t xml:space="preserve">ernational </w:t>
      </w:r>
      <w:r w:rsidRPr="00D850DF">
        <w:rPr>
          <w:rFonts w:asciiTheme="majorHAnsi" w:hAnsiTheme="majorHAnsi"/>
        </w:rPr>
        <w:t>J</w:t>
      </w:r>
      <w:r w:rsidR="008A0EEA" w:rsidRPr="00D850DF">
        <w:rPr>
          <w:rFonts w:asciiTheme="majorHAnsi" w:hAnsiTheme="majorHAnsi"/>
        </w:rPr>
        <w:t>ournal of</w:t>
      </w:r>
      <w:r w:rsidRPr="00D850DF">
        <w:rPr>
          <w:rFonts w:asciiTheme="majorHAnsi" w:hAnsiTheme="majorHAnsi"/>
        </w:rPr>
        <w:t xml:space="preserve"> Cosmet</w:t>
      </w:r>
      <w:r w:rsidR="008A0EEA" w:rsidRPr="00D850DF">
        <w:rPr>
          <w:rFonts w:asciiTheme="majorHAnsi" w:hAnsiTheme="majorHAnsi"/>
        </w:rPr>
        <w:t>ic</w:t>
      </w:r>
      <w:r w:rsidRPr="00D850DF">
        <w:rPr>
          <w:rFonts w:asciiTheme="majorHAnsi" w:hAnsiTheme="majorHAnsi"/>
        </w:rPr>
        <w:t xml:space="preserve"> Sci</w:t>
      </w:r>
      <w:r w:rsidR="008A0EEA" w:rsidRPr="00D850DF">
        <w:rPr>
          <w:rFonts w:asciiTheme="majorHAnsi" w:hAnsiTheme="majorHAnsi"/>
        </w:rPr>
        <w:t>ence</w:t>
      </w:r>
      <w:r w:rsidRPr="00D850DF">
        <w:rPr>
          <w:rFonts w:asciiTheme="majorHAnsi" w:hAnsiTheme="majorHAnsi"/>
        </w:rPr>
        <w:t xml:space="preserve"> 6 (5): 241−247. DOI: 10.1111/j.1467-2494.1984.tb00381.x.</w:t>
      </w:r>
    </w:p>
    <w:p w14:paraId="42D43C53" w14:textId="35104178" w:rsidR="007331AE" w:rsidRPr="00D850DF" w:rsidRDefault="00544BBE" w:rsidP="000144B2">
      <w:pPr>
        <w:pStyle w:val="Body"/>
        <w:spacing w:afterLines="20" w:after="48"/>
        <w:ind w:left="567" w:hanging="567"/>
        <w:rPr>
          <w:rFonts w:asciiTheme="majorHAnsi" w:hAnsiTheme="majorHAnsi"/>
        </w:rPr>
      </w:pPr>
      <w:r w:rsidRPr="00D850DF">
        <w:rPr>
          <w:rFonts w:asciiTheme="majorHAnsi" w:hAnsiTheme="majorHAnsi"/>
        </w:rPr>
        <w:t>Dusseault M and Jackson R (2014)</w:t>
      </w:r>
      <w:r w:rsidR="00203E7D" w:rsidRPr="00D850DF">
        <w:rPr>
          <w:rFonts w:asciiTheme="majorHAnsi" w:hAnsiTheme="majorHAnsi"/>
        </w:rPr>
        <w:t>.</w:t>
      </w:r>
      <w:r w:rsidRPr="00D850DF">
        <w:rPr>
          <w:rFonts w:asciiTheme="majorHAnsi" w:hAnsiTheme="majorHAnsi"/>
        </w:rPr>
        <w:t xml:space="preserve"> Seepage pathways assessment for natural gas to shallow groundwater during well stimulation, in production, and after abandonment</w:t>
      </w:r>
      <w:r w:rsidR="00370368" w:rsidRPr="00D850DF">
        <w:rPr>
          <w:rFonts w:asciiTheme="majorHAnsi" w:hAnsiTheme="majorHAnsi"/>
        </w:rPr>
        <w:t>.</w:t>
      </w:r>
      <w:r w:rsidRPr="00D850DF">
        <w:rPr>
          <w:rFonts w:asciiTheme="majorHAnsi" w:hAnsiTheme="majorHAnsi"/>
        </w:rPr>
        <w:t xml:space="preserve"> Environ</w:t>
      </w:r>
      <w:r w:rsidR="00373201" w:rsidRPr="00D850DF">
        <w:rPr>
          <w:rFonts w:asciiTheme="majorHAnsi" w:hAnsiTheme="majorHAnsi"/>
        </w:rPr>
        <w:t>mental</w:t>
      </w:r>
      <w:r w:rsidRPr="00D850DF">
        <w:rPr>
          <w:rFonts w:asciiTheme="majorHAnsi" w:hAnsiTheme="majorHAnsi"/>
        </w:rPr>
        <w:t xml:space="preserve"> Geosci</w:t>
      </w:r>
      <w:r w:rsidR="00373201" w:rsidRPr="00D850DF">
        <w:rPr>
          <w:rFonts w:asciiTheme="majorHAnsi" w:hAnsiTheme="majorHAnsi"/>
        </w:rPr>
        <w:t>ences</w:t>
      </w:r>
      <w:r w:rsidRPr="00D850DF">
        <w:rPr>
          <w:rFonts w:asciiTheme="majorHAnsi" w:hAnsiTheme="majorHAnsi"/>
        </w:rPr>
        <w:t xml:space="preserve"> 21(3)</w:t>
      </w:r>
      <w:r w:rsidR="00370368" w:rsidRPr="00D850DF">
        <w:rPr>
          <w:rFonts w:asciiTheme="majorHAnsi" w:hAnsiTheme="majorHAnsi"/>
        </w:rPr>
        <w:t>:</w:t>
      </w:r>
      <w:r w:rsidRPr="00D850DF">
        <w:rPr>
          <w:rFonts w:asciiTheme="majorHAnsi" w:hAnsiTheme="majorHAnsi"/>
        </w:rPr>
        <w:t xml:space="preserve"> 107–126, doi:10.1306/eq.04231414004.</w:t>
      </w:r>
    </w:p>
    <w:p w14:paraId="795EFD8C" w14:textId="58DCD7AC" w:rsidR="00301DB0" w:rsidRPr="00D850DF" w:rsidRDefault="009B16E0" w:rsidP="00301DB0">
      <w:pPr>
        <w:pStyle w:val="Body"/>
        <w:spacing w:afterLines="20" w:after="48"/>
        <w:ind w:left="567" w:hanging="567"/>
        <w:rPr>
          <w:rFonts w:asciiTheme="majorHAnsi" w:hAnsiTheme="majorHAnsi"/>
        </w:rPr>
      </w:pPr>
      <w:r w:rsidRPr="00D850DF">
        <w:rPr>
          <w:rFonts w:asciiTheme="majorHAnsi" w:hAnsiTheme="majorHAnsi"/>
        </w:rPr>
        <w:t>Dyer S (2001)</w:t>
      </w:r>
      <w:r w:rsidR="00203E7D" w:rsidRPr="00D850DF">
        <w:rPr>
          <w:rFonts w:asciiTheme="majorHAnsi" w:hAnsiTheme="majorHAnsi"/>
        </w:rPr>
        <w:t>.</w:t>
      </w:r>
      <w:r w:rsidR="00301DB0" w:rsidRPr="00D850DF">
        <w:rPr>
          <w:rFonts w:asciiTheme="majorHAnsi" w:hAnsiTheme="majorHAnsi"/>
        </w:rPr>
        <w:t xml:space="preserve"> Determination of the aquatic PNEC</w:t>
      </w:r>
      <w:r w:rsidR="00373201" w:rsidRPr="00D850DF">
        <w:rPr>
          <w:rFonts w:asciiTheme="majorHAnsi" w:hAnsiTheme="majorHAnsi"/>
        </w:rPr>
        <w:t xml:space="preserve"> </w:t>
      </w:r>
      <w:r w:rsidR="00301DB0" w:rsidRPr="00D850DF">
        <w:rPr>
          <w:rFonts w:asciiTheme="majorHAnsi" w:hAnsiTheme="majorHAnsi"/>
        </w:rPr>
        <w:t>(0.05) for boron. Chemosphere 44</w:t>
      </w:r>
      <w:r w:rsidR="00370368" w:rsidRPr="00D850DF">
        <w:rPr>
          <w:rFonts w:asciiTheme="majorHAnsi" w:hAnsiTheme="majorHAnsi"/>
        </w:rPr>
        <w:t>:</w:t>
      </w:r>
      <w:r w:rsidR="00301DB0" w:rsidRPr="00D850DF">
        <w:rPr>
          <w:rFonts w:asciiTheme="majorHAnsi" w:hAnsiTheme="majorHAnsi"/>
        </w:rPr>
        <w:t xml:space="preserve"> 369-376.</w:t>
      </w:r>
    </w:p>
    <w:p w14:paraId="58A69A66" w14:textId="7D034A98" w:rsidR="00060EC2" w:rsidRPr="00D850DF" w:rsidRDefault="00060EC2" w:rsidP="000144B2">
      <w:pPr>
        <w:pStyle w:val="Body"/>
        <w:spacing w:afterLines="20" w:after="48"/>
        <w:ind w:left="567" w:hanging="567"/>
        <w:rPr>
          <w:rFonts w:asciiTheme="majorHAnsi" w:hAnsiTheme="majorHAnsi"/>
        </w:rPr>
      </w:pPr>
      <w:r w:rsidRPr="00D850DF">
        <w:rPr>
          <w:rFonts w:asciiTheme="majorHAnsi" w:hAnsiTheme="majorHAnsi"/>
        </w:rPr>
        <w:t>Eastern Star Gas (2008)</w:t>
      </w:r>
      <w:r w:rsidR="00203E7D" w:rsidRPr="00D850DF">
        <w:rPr>
          <w:rFonts w:asciiTheme="majorHAnsi" w:hAnsiTheme="majorHAnsi"/>
        </w:rPr>
        <w:t>.</w:t>
      </w:r>
      <w:r w:rsidRPr="00D850DF">
        <w:rPr>
          <w:rFonts w:asciiTheme="majorHAnsi" w:hAnsiTheme="majorHAnsi"/>
        </w:rPr>
        <w:t xml:space="preserve"> Dewhurst-2 well completion report. PEL-238, Gunnedah Basin, NSW.</w:t>
      </w:r>
    </w:p>
    <w:p w14:paraId="5576EE53" w14:textId="0272D110" w:rsidR="00291BC0" w:rsidRPr="00D850DF" w:rsidRDefault="00291BC0" w:rsidP="00291BC0">
      <w:pPr>
        <w:pStyle w:val="Body"/>
        <w:spacing w:afterLines="20" w:after="48"/>
        <w:ind w:left="567" w:hanging="567"/>
        <w:rPr>
          <w:rFonts w:asciiTheme="majorHAnsi" w:hAnsiTheme="majorHAnsi"/>
        </w:rPr>
      </w:pPr>
      <w:r w:rsidRPr="00D850DF">
        <w:rPr>
          <w:rFonts w:asciiTheme="majorHAnsi" w:hAnsiTheme="majorHAnsi"/>
        </w:rPr>
        <w:t xml:space="preserve">EC (2003). Naphthalene - Summary risk assessment report. </w:t>
      </w:r>
      <w:r w:rsidR="00CF3A84">
        <w:rPr>
          <w:rFonts w:asciiTheme="majorHAnsi" w:hAnsiTheme="majorHAnsi"/>
        </w:rPr>
        <w:t xml:space="preserve">European Commission </w:t>
      </w:r>
      <w:r w:rsidRPr="00D850DF">
        <w:rPr>
          <w:rFonts w:asciiTheme="majorHAnsi" w:hAnsiTheme="majorHAnsi"/>
        </w:rPr>
        <w:t>Special Publication I.03.81.17 pp.</w:t>
      </w:r>
      <w:r w:rsidR="00CF3A84">
        <w:rPr>
          <w:rFonts w:asciiTheme="majorHAnsi" w:hAnsiTheme="majorHAnsi"/>
        </w:rPr>
        <w:t xml:space="preserve"> </w:t>
      </w:r>
    </w:p>
    <w:p w14:paraId="62BCAC8D" w14:textId="77777777" w:rsidR="00AA1963" w:rsidRPr="00D850DF" w:rsidRDefault="00AA1963" w:rsidP="00AA1963">
      <w:pPr>
        <w:pStyle w:val="Body"/>
        <w:spacing w:afterLines="20" w:after="48"/>
        <w:ind w:left="567" w:hanging="567"/>
        <w:rPr>
          <w:rFonts w:asciiTheme="majorHAnsi" w:hAnsiTheme="majorHAnsi"/>
        </w:rPr>
      </w:pPr>
      <w:r w:rsidRPr="00D850DF">
        <w:rPr>
          <w:rFonts w:asciiTheme="majorHAnsi" w:hAnsiTheme="majorHAnsi"/>
        </w:rPr>
        <w:t xml:space="preserve">EFSA (2008). European Food Safety Authority. Scientific Opinion of the Panel on Plant Protection Products and their Residues on a request from EFSA related to the default Q10 value used to describe the temperature effect on transformation rates of pesticides in soil. The EFSA Journal (2007) 622, 1-32. </w:t>
      </w:r>
      <w:hyperlink r:id="rId223" w:history="1">
        <w:r w:rsidRPr="00D850DF">
          <w:rPr>
            <w:rFonts w:asciiTheme="majorHAnsi" w:hAnsiTheme="majorHAnsi"/>
          </w:rPr>
          <w:t>http://www.efsa.europa.eu/sites/default/files/scientific_output/files/main_documents/622.pdf</w:t>
        </w:r>
      </w:hyperlink>
    </w:p>
    <w:p w14:paraId="674E8162" w14:textId="0251AA66" w:rsidR="006A01BE" w:rsidRPr="00D850DF" w:rsidRDefault="006A01BE" w:rsidP="000144B2">
      <w:pPr>
        <w:pStyle w:val="Body"/>
        <w:spacing w:afterLines="20" w:after="48"/>
        <w:ind w:left="567" w:hanging="567"/>
        <w:rPr>
          <w:rFonts w:asciiTheme="majorHAnsi" w:hAnsiTheme="majorHAnsi"/>
        </w:rPr>
      </w:pPr>
      <w:r w:rsidRPr="00D850DF">
        <w:rPr>
          <w:rFonts w:asciiTheme="majorHAnsi" w:hAnsiTheme="majorHAnsi"/>
        </w:rPr>
        <w:t>Engelder T (2012)</w:t>
      </w:r>
      <w:r w:rsidR="00203E7D" w:rsidRPr="00D850DF">
        <w:rPr>
          <w:rFonts w:asciiTheme="majorHAnsi" w:hAnsiTheme="majorHAnsi"/>
        </w:rPr>
        <w:t>.</w:t>
      </w:r>
      <w:r w:rsidRPr="00D850DF">
        <w:rPr>
          <w:rFonts w:asciiTheme="majorHAnsi" w:hAnsiTheme="majorHAnsi"/>
        </w:rPr>
        <w:t xml:space="preserve"> Capillary tension and imbibition sequester frack fluid in Marcellus gas shale. Proceedings of the National Academy of Sciences USA, 10.1073/pnas.1216133110.</w:t>
      </w:r>
    </w:p>
    <w:p w14:paraId="5A96626C" w14:textId="1202C43A" w:rsidR="00B37EC2" w:rsidRPr="00D850DF" w:rsidRDefault="00B37EC2" w:rsidP="00B37EC2">
      <w:pPr>
        <w:pStyle w:val="Body"/>
        <w:spacing w:afterLines="20" w:after="48"/>
        <w:ind w:left="567" w:hanging="567"/>
        <w:rPr>
          <w:rFonts w:asciiTheme="majorHAnsi" w:hAnsiTheme="majorHAnsi"/>
        </w:rPr>
      </w:pPr>
      <w:r w:rsidRPr="00D850DF">
        <w:rPr>
          <w:rFonts w:asciiTheme="majorHAnsi" w:hAnsiTheme="majorHAnsi"/>
        </w:rPr>
        <w:t xml:space="preserve">Engelder T, Cathless LM, </w:t>
      </w:r>
      <w:r w:rsidR="00276555" w:rsidRPr="00D850DF">
        <w:rPr>
          <w:rFonts w:asciiTheme="majorHAnsi" w:hAnsiTheme="majorHAnsi"/>
        </w:rPr>
        <w:t xml:space="preserve">and </w:t>
      </w:r>
      <w:r w:rsidRPr="00D850DF">
        <w:rPr>
          <w:rFonts w:asciiTheme="majorHAnsi" w:hAnsiTheme="majorHAnsi"/>
        </w:rPr>
        <w:t>Bryndzia LT (2014)</w:t>
      </w:r>
      <w:r w:rsidR="00203E7D" w:rsidRPr="00D850DF">
        <w:rPr>
          <w:rFonts w:asciiTheme="majorHAnsi" w:hAnsiTheme="majorHAnsi"/>
        </w:rPr>
        <w:t>.</w:t>
      </w:r>
      <w:r w:rsidRPr="00D850DF">
        <w:rPr>
          <w:rFonts w:asciiTheme="majorHAnsi" w:hAnsiTheme="majorHAnsi"/>
        </w:rPr>
        <w:t xml:space="preserve"> The fate of residual treatment water in gas shale. Journal of Unconventional Oil and Gas Resources 7: 33-48.</w:t>
      </w:r>
    </w:p>
    <w:p w14:paraId="508ABA52" w14:textId="0F2EAF41" w:rsidR="0000301F" w:rsidRDefault="0000301F" w:rsidP="000144B2">
      <w:pPr>
        <w:pStyle w:val="Body"/>
        <w:spacing w:afterLines="20" w:after="48"/>
        <w:ind w:left="567" w:hanging="567"/>
        <w:rPr>
          <w:rFonts w:asciiTheme="majorHAnsi" w:hAnsiTheme="majorHAnsi"/>
        </w:rPr>
      </w:pPr>
      <w:proofErr w:type="gramStart"/>
      <w:r w:rsidRPr="00D850DF">
        <w:rPr>
          <w:rFonts w:asciiTheme="majorHAnsi" w:hAnsiTheme="majorHAnsi"/>
        </w:rPr>
        <w:t>enHealth</w:t>
      </w:r>
      <w:proofErr w:type="gramEnd"/>
      <w:r w:rsidRPr="00D850DF">
        <w:rPr>
          <w:rFonts w:asciiTheme="majorHAnsi" w:hAnsiTheme="majorHAnsi"/>
        </w:rPr>
        <w:t xml:space="preserve"> Human Risk Assessment (HHRA) (2012)</w:t>
      </w:r>
      <w:r w:rsidR="00203E7D" w:rsidRPr="00D850DF">
        <w:rPr>
          <w:rFonts w:asciiTheme="majorHAnsi" w:hAnsiTheme="majorHAnsi"/>
        </w:rPr>
        <w:t>.</w:t>
      </w:r>
      <w:r w:rsidRPr="00D850DF">
        <w:rPr>
          <w:rFonts w:asciiTheme="majorHAnsi" w:hAnsiTheme="majorHAnsi"/>
        </w:rPr>
        <w:t xml:space="preserve"> Environmental Health Risk Assessment, Guidelines for Assessing Human Health Risks from Environmental Hazards. Office of Health Protection of the Australian Government Department of Health.</w:t>
      </w:r>
    </w:p>
    <w:p w14:paraId="61701212" w14:textId="5A754621" w:rsidR="000F353D" w:rsidRPr="000F353D" w:rsidRDefault="000F353D" w:rsidP="000F353D">
      <w:pPr>
        <w:pStyle w:val="Body"/>
        <w:spacing w:afterLines="20" w:after="48"/>
        <w:ind w:left="567" w:hanging="567"/>
        <w:rPr>
          <w:rFonts w:asciiTheme="majorHAnsi" w:hAnsiTheme="majorHAnsi"/>
        </w:rPr>
      </w:pPr>
      <w:r w:rsidRPr="000F353D">
        <w:rPr>
          <w:rFonts w:asciiTheme="majorHAnsi" w:hAnsiTheme="majorHAnsi"/>
        </w:rPr>
        <w:t xml:space="preserve">Environment Canada </w:t>
      </w:r>
      <w:r>
        <w:rPr>
          <w:rFonts w:asciiTheme="majorHAnsi" w:hAnsiTheme="majorHAnsi"/>
        </w:rPr>
        <w:t>(</w:t>
      </w:r>
      <w:r w:rsidRPr="000F353D">
        <w:rPr>
          <w:rFonts w:asciiTheme="majorHAnsi" w:hAnsiTheme="majorHAnsi"/>
        </w:rPr>
        <w:t>2003</w:t>
      </w:r>
      <w:r>
        <w:rPr>
          <w:rFonts w:asciiTheme="majorHAnsi" w:hAnsiTheme="majorHAnsi"/>
        </w:rPr>
        <w:t>).</w:t>
      </w:r>
      <w:r w:rsidRPr="000F353D">
        <w:rPr>
          <w:rFonts w:asciiTheme="majorHAnsi" w:hAnsiTheme="majorHAnsi"/>
        </w:rPr>
        <w:t xml:space="preserve"> Guidance Manual for the Categorisation of Organic and Inorganic Substances on Canada’s Domestic Substances List. Determining Persistence, Bioaccumulation Potential and Inherent Toxicity to Non-Human Organisms, Existing Substances Branch, Environment Canada, June 2003. &lt;Available on request from Environment Canada at ESB.DSE@ec.gc.ca&gt;.</w:t>
      </w:r>
    </w:p>
    <w:p w14:paraId="6FA1D36B" w14:textId="6AEB1324" w:rsidR="00A228DE" w:rsidRDefault="00A228DE" w:rsidP="00A228DE">
      <w:pPr>
        <w:pStyle w:val="Body"/>
        <w:spacing w:afterLines="20" w:after="48"/>
        <w:ind w:left="567" w:hanging="567"/>
        <w:rPr>
          <w:rFonts w:asciiTheme="majorHAnsi" w:hAnsiTheme="majorHAnsi"/>
        </w:rPr>
      </w:pPr>
      <w:r w:rsidRPr="00D850DF">
        <w:rPr>
          <w:rFonts w:asciiTheme="majorHAnsi" w:hAnsiTheme="majorHAnsi"/>
        </w:rPr>
        <w:t>EPHC (2009</w:t>
      </w:r>
      <w:r w:rsidR="0017252B">
        <w:rPr>
          <w:rFonts w:asciiTheme="majorHAnsi" w:hAnsiTheme="majorHAnsi"/>
        </w:rPr>
        <w:t>a</w:t>
      </w:r>
      <w:r w:rsidRPr="00D850DF">
        <w:rPr>
          <w:rFonts w:asciiTheme="majorHAnsi" w:hAnsiTheme="majorHAnsi"/>
        </w:rPr>
        <w:t>)</w:t>
      </w:r>
      <w:r w:rsidR="00203E7D" w:rsidRPr="00D850DF">
        <w:rPr>
          <w:rFonts w:asciiTheme="majorHAnsi" w:hAnsiTheme="majorHAnsi"/>
        </w:rPr>
        <w:t>.</w:t>
      </w:r>
      <w:r w:rsidRPr="00D850DF">
        <w:rPr>
          <w:rFonts w:asciiTheme="majorHAnsi" w:hAnsiTheme="majorHAnsi"/>
        </w:rPr>
        <w:t xml:space="preserve"> Environmental Risk Assessment Guidance Manual for Industrial Chemicals. Prepared by Australian Environment Agency Pty Ltd for DoE, formerly Environment Protection Branch Department of the Environment, Water, Heritage and the Arts. Environment Protection and Heritage Council, available at                                      &lt;http://www.scew.gov.au/resource/chemical-risk-assessment-guidance-manuals&gt;.</w:t>
      </w:r>
    </w:p>
    <w:p w14:paraId="574A477C" w14:textId="02F67E10" w:rsidR="0017252B" w:rsidRPr="00D850DF" w:rsidRDefault="0017252B" w:rsidP="00A228DE">
      <w:pPr>
        <w:pStyle w:val="Body"/>
        <w:spacing w:afterLines="20" w:after="48"/>
        <w:ind w:left="567" w:hanging="567"/>
        <w:rPr>
          <w:rFonts w:asciiTheme="majorHAnsi" w:hAnsiTheme="majorHAnsi"/>
        </w:rPr>
      </w:pPr>
      <w:r w:rsidRPr="0017252B">
        <w:rPr>
          <w:rFonts w:asciiTheme="majorHAnsi" w:hAnsiTheme="majorHAnsi"/>
        </w:rPr>
        <w:t>EPHC (2009b). Environmental Risk Assessment Guidance Manual: for agricultural and veterinary chemicals. Environment Protection and Heritage Council (EPHC). Commonwealth of Australia, Canberra.</w:t>
      </w:r>
    </w:p>
    <w:p w14:paraId="5230E004" w14:textId="1BD29C28" w:rsidR="008B61A2" w:rsidRPr="00D850DF" w:rsidRDefault="008B61A2" w:rsidP="000144B2">
      <w:pPr>
        <w:pStyle w:val="Body"/>
        <w:spacing w:afterLines="20" w:after="48"/>
        <w:ind w:left="567" w:hanging="567"/>
        <w:rPr>
          <w:rFonts w:asciiTheme="majorHAnsi" w:hAnsiTheme="majorHAnsi"/>
        </w:rPr>
      </w:pPr>
      <w:r w:rsidRPr="00D850DF">
        <w:rPr>
          <w:rFonts w:asciiTheme="majorHAnsi" w:hAnsiTheme="majorHAnsi"/>
        </w:rPr>
        <w:t>Erdal BR</w:t>
      </w:r>
      <w:r w:rsidR="00CF3A84">
        <w:rPr>
          <w:rFonts w:asciiTheme="majorHAnsi" w:hAnsiTheme="majorHAnsi"/>
        </w:rPr>
        <w:t xml:space="preserve">, </w:t>
      </w:r>
      <w:r w:rsidR="00CF3A84" w:rsidRPr="00CF3A84">
        <w:rPr>
          <w:rFonts w:asciiTheme="majorHAnsi" w:hAnsiTheme="majorHAnsi"/>
        </w:rPr>
        <w:t>Aguilar RD</w:t>
      </w:r>
      <w:r w:rsidR="00CF3A84">
        <w:rPr>
          <w:rFonts w:asciiTheme="majorHAnsi" w:hAnsiTheme="majorHAnsi"/>
        </w:rPr>
        <w:t xml:space="preserve">, </w:t>
      </w:r>
      <w:r w:rsidR="00CF3A84" w:rsidRPr="00CF3A84">
        <w:rPr>
          <w:rFonts w:asciiTheme="majorHAnsi" w:hAnsiTheme="majorHAnsi"/>
        </w:rPr>
        <w:t>Bayhurst BP</w:t>
      </w:r>
      <w:r w:rsidR="00CF3A84">
        <w:rPr>
          <w:rFonts w:asciiTheme="majorHAnsi" w:hAnsiTheme="majorHAnsi"/>
        </w:rPr>
        <w:t xml:space="preserve">, </w:t>
      </w:r>
      <w:r w:rsidR="00CF3A84" w:rsidRPr="00CF3A84">
        <w:rPr>
          <w:rFonts w:asciiTheme="majorHAnsi" w:hAnsiTheme="majorHAnsi"/>
        </w:rPr>
        <w:t>Daniels WR</w:t>
      </w:r>
      <w:r w:rsidR="00CF3A84">
        <w:rPr>
          <w:rFonts w:asciiTheme="majorHAnsi" w:hAnsiTheme="majorHAnsi"/>
        </w:rPr>
        <w:t xml:space="preserve">, </w:t>
      </w:r>
      <w:r w:rsidR="00CF3A84" w:rsidRPr="00CF3A84">
        <w:rPr>
          <w:rFonts w:asciiTheme="majorHAnsi" w:hAnsiTheme="majorHAnsi"/>
        </w:rPr>
        <w:t>Duffy CJ</w:t>
      </w:r>
      <w:r w:rsidR="00CF3A84">
        <w:rPr>
          <w:rFonts w:asciiTheme="majorHAnsi" w:hAnsiTheme="majorHAnsi"/>
        </w:rPr>
        <w:t xml:space="preserve">, </w:t>
      </w:r>
      <w:r w:rsidR="00CF3A84" w:rsidRPr="00CF3A84">
        <w:rPr>
          <w:rFonts w:asciiTheme="majorHAnsi" w:hAnsiTheme="majorHAnsi"/>
        </w:rPr>
        <w:t>Lawrence FO</w:t>
      </w:r>
      <w:r w:rsidR="00CF3A84">
        <w:rPr>
          <w:rFonts w:asciiTheme="majorHAnsi" w:hAnsiTheme="majorHAnsi"/>
        </w:rPr>
        <w:t xml:space="preserve">, </w:t>
      </w:r>
      <w:r w:rsidR="00CF3A84" w:rsidRPr="00CF3A84">
        <w:rPr>
          <w:rFonts w:asciiTheme="majorHAnsi" w:hAnsiTheme="majorHAnsi"/>
        </w:rPr>
        <w:t>Maestas S</w:t>
      </w:r>
      <w:r w:rsidR="00CF3A84">
        <w:rPr>
          <w:rFonts w:asciiTheme="majorHAnsi" w:hAnsiTheme="majorHAnsi"/>
        </w:rPr>
        <w:t xml:space="preserve">, </w:t>
      </w:r>
      <w:r w:rsidR="00CF3A84" w:rsidRPr="00CF3A84">
        <w:rPr>
          <w:rFonts w:asciiTheme="majorHAnsi" w:hAnsiTheme="majorHAnsi"/>
        </w:rPr>
        <w:t>Oliver PQ</w:t>
      </w:r>
      <w:r w:rsidR="00CF3A84">
        <w:rPr>
          <w:rFonts w:asciiTheme="majorHAnsi" w:hAnsiTheme="majorHAnsi"/>
        </w:rPr>
        <w:t xml:space="preserve">, and </w:t>
      </w:r>
      <w:r w:rsidR="00CF3A84" w:rsidRPr="00CF3A84">
        <w:rPr>
          <w:rFonts w:asciiTheme="majorHAnsi" w:hAnsiTheme="majorHAnsi"/>
        </w:rPr>
        <w:t>Wolfsberg</w:t>
      </w:r>
      <w:r w:rsidR="00CF3A84">
        <w:rPr>
          <w:rFonts w:asciiTheme="majorHAnsi" w:hAnsiTheme="majorHAnsi"/>
        </w:rPr>
        <w:t xml:space="preserve"> </w:t>
      </w:r>
      <w:r w:rsidR="00CF3A84" w:rsidRPr="00CF3A84">
        <w:rPr>
          <w:rFonts w:asciiTheme="majorHAnsi" w:hAnsiTheme="majorHAnsi"/>
        </w:rPr>
        <w:t>K</w:t>
      </w:r>
      <w:r w:rsidR="00CF3A84" w:rsidRPr="00D850DF">
        <w:rPr>
          <w:rFonts w:asciiTheme="majorHAnsi" w:hAnsiTheme="majorHAnsi"/>
        </w:rPr>
        <w:t xml:space="preserve"> </w:t>
      </w:r>
      <w:r w:rsidRPr="00D850DF">
        <w:rPr>
          <w:rFonts w:asciiTheme="majorHAnsi" w:hAnsiTheme="majorHAnsi"/>
        </w:rPr>
        <w:t>(1979)</w:t>
      </w:r>
      <w:r w:rsidR="00203E7D" w:rsidRPr="00D850DF">
        <w:rPr>
          <w:rFonts w:asciiTheme="majorHAnsi" w:hAnsiTheme="majorHAnsi"/>
        </w:rPr>
        <w:t>.</w:t>
      </w:r>
      <w:r w:rsidRPr="00D850DF">
        <w:rPr>
          <w:rFonts w:asciiTheme="majorHAnsi" w:hAnsiTheme="majorHAnsi"/>
        </w:rPr>
        <w:t xml:space="preserve"> Sorption-desorption studies on granite. I. Initial studies of strontium, technetium, cesium, barium, cerium, europium, uranium, plutonium, and americium. LA-7456-MS Informal Report.</w:t>
      </w:r>
    </w:p>
    <w:p w14:paraId="68B8018E" w14:textId="1B34C81A" w:rsidR="000F310B" w:rsidRPr="00D850DF" w:rsidRDefault="000F310B" w:rsidP="000144B2">
      <w:pPr>
        <w:pStyle w:val="Body"/>
        <w:spacing w:afterLines="20" w:after="48"/>
        <w:ind w:left="567" w:hanging="567"/>
        <w:rPr>
          <w:rFonts w:asciiTheme="majorHAnsi" w:hAnsiTheme="majorHAnsi"/>
        </w:rPr>
      </w:pPr>
      <w:r w:rsidRPr="00D850DF">
        <w:rPr>
          <w:rFonts w:asciiTheme="majorHAnsi" w:hAnsiTheme="majorHAnsi"/>
        </w:rPr>
        <w:t xml:space="preserve">Esterle  JS,  Hamilton  SK,  Ward  V,  Tyson  S,  </w:t>
      </w:r>
      <w:r w:rsidR="00276555" w:rsidRPr="00D850DF">
        <w:rPr>
          <w:rFonts w:asciiTheme="majorHAnsi" w:hAnsiTheme="majorHAnsi"/>
        </w:rPr>
        <w:t xml:space="preserve">and </w:t>
      </w:r>
      <w:r w:rsidRPr="00D850DF">
        <w:rPr>
          <w:rFonts w:asciiTheme="majorHAnsi" w:hAnsiTheme="majorHAnsi"/>
        </w:rPr>
        <w:t>Sliwa  R  (2013)</w:t>
      </w:r>
      <w:r w:rsidR="00203E7D" w:rsidRPr="00D850DF">
        <w:rPr>
          <w:rFonts w:asciiTheme="majorHAnsi" w:hAnsiTheme="majorHAnsi"/>
        </w:rPr>
        <w:t>.</w:t>
      </w:r>
      <w:r w:rsidRPr="00D850DF">
        <w:rPr>
          <w:rFonts w:asciiTheme="majorHAnsi" w:hAnsiTheme="majorHAnsi"/>
        </w:rPr>
        <w:t xml:space="preserve">  Scales </w:t>
      </w:r>
      <w:r w:rsidR="00065463" w:rsidRPr="00D850DF">
        <w:rPr>
          <w:rFonts w:asciiTheme="majorHAnsi" w:hAnsiTheme="majorHAnsi"/>
        </w:rPr>
        <w:t>o</w:t>
      </w:r>
      <w:r w:rsidRPr="00D850DF">
        <w:rPr>
          <w:rFonts w:asciiTheme="majorHAnsi" w:hAnsiTheme="majorHAnsi"/>
        </w:rPr>
        <w:t>f Geological Heterogeneity within the Walloon Subgroup and its Coal Measures. February 2013. Final report of Activity 1.3 of the Healthy Head Waters Coal Seam Gas Water Feasibility Study. Department of Natural Resources and Mines.</w:t>
      </w:r>
    </w:p>
    <w:p w14:paraId="3DEF3F99" w14:textId="0922440E"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European Union (1998)</w:t>
      </w:r>
      <w:r w:rsidR="00203E7D" w:rsidRPr="00D850DF">
        <w:rPr>
          <w:rFonts w:asciiTheme="majorHAnsi" w:hAnsiTheme="majorHAnsi"/>
        </w:rPr>
        <w:t>.</w:t>
      </w:r>
      <w:r w:rsidRPr="00D850DF">
        <w:rPr>
          <w:rFonts w:asciiTheme="majorHAnsi" w:hAnsiTheme="majorHAnsi"/>
        </w:rPr>
        <w:t xml:space="preserve"> Council Directive 98/83/EC on the quality of water intended for human consumption. Official Journal of the European Communities. L330. </w:t>
      </w:r>
    </w:p>
    <w:p w14:paraId="276D8F84" w14:textId="029975A0" w:rsidR="00DA10F1" w:rsidRPr="00D850DF" w:rsidRDefault="00DA10F1" w:rsidP="00301DB0">
      <w:pPr>
        <w:pStyle w:val="Body"/>
        <w:spacing w:afterLines="20" w:after="48"/>
        <w:ind w:left="567" w:hanging="567"/>
        <w:rPr>
          <w:rFonts w:asciiTheme="majorHAnsi" w:hAnsiTheme="majorHAnsi"/>
        </w:rPr>
      </w:pPr>
      <w:r w:rsidRPr="00D850DF">
        <w:rPr>
          <w:rFonts w:asciiTheme="majorHAnsi" w:hAnsiTheme="majorHAnsi"/>
        </w:rPr>
        <w:t>Fetter CW (1993)</w:t>
      </w:r>
      <w:r w:rsidR="00203E7D" w:rsidRPr="00D850DF">
        <w:rPr>
          <w:rFonts w:asciiTheme="majorHAnsi" w:hAnsiTheme="majorHAnsi"/>
        </w:rPr>
        <w:t>.</w:t>
      </w:r>
      <w:r w:rsidRPr="00D850DF">
        <w:rPr>
          <w:rFonts w:asciiTheme="majorHAnsi" w:hAnsiTheme="majorHAnsi"/>
        </w:rPr>
        <w:t xml:space="preserve"> Contaminant hydrogeology. Macmillan Publishing Company. 458 pages.</w:t>
      </w:r>
    </w:p>
    <w:p w14:paraId="47EAAFAB" w14:textId="434D02C3" w:rsidR="00543953" w:rsidRPr="00D850DF" w:rsidRDefault="00543953" w:rsidP="00543953">
      <w:pPr>
        <w:pStyle w:val="Body"/>
        <w:spacing w:afterLines="20" w:after="48"/>
        <w:ind w:left="567" w:hanging="567"/>
        <w:rPr>
          <w:rFonts w:asciiTheme="majorHAnsi" w:hAnsiTheme="majorHAnsi"/>
        </w:rPr>
      </w:pPr>
      <w:r w:rsidRPr="00D850DF">
        <w:rPr>
          <w:rFonts w:asciiTheme="majorHAnsi" w:hAnsiTheme="majorHAnsi"/>
        </w:rPr>
        <w:t>Fisher M and Warpinski N (2012)</w:t>
      </w:r>
      <w:r w:rsidR="00203E7D" w:rsidRPr="00D850DF">
        <w:rPr>
          <w:rFonts w:asciiTheme="majorHAnsi" w:hAnsiTheme="majorHAnsi"/>
        </w:rPr>
        <w:t>.</w:t>
      </w:r>
      <w:r w:rsidRPr="00D850DF">
        <w:rPr>
          <w:rFonts w:asciiTheme="majorHAnsi" w:hAnsiTheme="majorHAnsi"/>
        </w:rPr>
        <w:t xml:space="preserve"> Hydraulic fracture height growth: Real data. S</w:t>
      </w:r>
      <w:r w:rsidR="00373201" w:rsidRPr="00D850DF">
        <w:rPr>
          <w:rFonts w:asciiTheme="majorHAnsi" w:hAnsiTheme="majorHAnsi"/>
        </w:rPr>
        <w:t xml:space="preserve">ociety of </w:t>
      </w:r>
      <w:r w:rsidRPr="00D850DF">
        <w:rPr>
          <w:rFonts w:asciiTheme="majorHAnsi" w:hAnsiTheme="majorHAnsi"/>
        </w:rPr>
        <w:t>P</w:t>
      </w:r>
      <w:r w:rsidR="00373201" w:rsidRPr="00D850DF">
        <w:rPr>
          <w:rFonts w:asciiTheme="majorHAnsi" w:hAnsiTheme="majorHAnsi"/>
        </w:rPr>
        <w:t xml:space="preserve">etroleum </w:t>
      </w:r>
      <w:r w:rsidRPr="00D850DF">
        <w:rPr>
          <w:rFonts w:asciiTheme="majorHAnsi" w:hAnsiTheme="majorHAnsi"/>
        </w:rPr>
        <w:t>E</w:t>
      </w:r>
      <w:r w:rsidR="00373201" w:rsidRPr="00D850DF">
        <w:rPr>
          <w:rFonts w:asciiTheme="majorHAnsi" w:hAnsiTheme="majorHAnsi"/>
        </w:rPr>
        <w:t>ngineers</w:t>
      </w:r>
      <w:r w:rsidRPr="00D850DF">
        <w:rPr>
          <w:rFonts w:asciiTheme="majorHAnsi" w:hAnsiTheme="majorHAnsi"/>
        </w:rPr>
        <w:t xml:space="preserve"> Prod</w:t>
      </w:r>
      <w:r w:rsidR="00373201" w:rsidRPr="00D850DF">
        <w:rPr>
          <w:rFonts w:asciiTheme="majorHAnsi" w:hAnsiTheme="majorHAnsi"/>
        </w:rPr>
        <w:t>uction and</w:t>
      </w:r>
      <w:r w:rsidRPr="00D850DF">
        <w:rPr>
          <w:rFonts w:asciiTheme="majorHAnsi" w:hAnsiTheme="majorHAnsi"/>
        </w:rPr>
        <w:t xml:space="preserve"> Oper</w:t>
      </w:r>
      <w:r w:rsidR="00373201" w:rsidRPr="00D850DF">
        <w:rPr>
          <w:rFonts w:asciiTheme="majorHAnsi" w:hAnsiTheme="majorHAnsi"/>
        </w:rPr>
        <w:t>ations</w:t>
      </w:r>
      <w:r w:rsidRPr="00D850DF">
        <w:rPr>
          <w:rFonts w:asciiTheme="majorHAnsi" w:hAnsiTheme="majorHAnsi"/>
        </w:rPr>
        <w:t xml:space="preserve"> 27: 8-19. </w:t>
      </w:r>
      <w:hyperlink r:id="rId224" w:history="1">
        <w:r w:rsidRPr="00D850DF">
          <w:rPr>
            <w:rFonts w:asciiTheme="majorHAnsi" w:hAnsiTheme="majorHAnsi"/>
          </w:rPr>
          <w:t>http://dx.doi.org/10.2118/145949-PA</w:t>
        </w:r>
      </w:hyperlink>
      <w:r w:rsidRPr="00D850DF">
        <w:rPr>
          <w:rFonts w:asciiTheme="majorHAnsi" w:hAnsiTheme="majorHAnsi"/>
        </w:rPr>
        <w:t>.</w:t>
      </w:r>
    </w:p>
    <w:p w14:paraId="4D8FFAF5" w14:textId="45BDA199" w:rsidR="007331AE" w:rsidRPr="00D850DF" w:rsidRDefault="007331AE" w:rsidP="000144B2">
      <w:pPr>
        <w:pStyle w:val="Body"/>
        <w:spacing w:afterLines="20" w:after="48"/>
        <w:ind w:left="567" w:hanging="567"/>
        <w:rPr>
          <w:rFonts w:asciiTheme="majorHAnsi" w:hAnsiTheme="majorHAnsi"/>
        </w:rPr>
      </w:pPr>
      <w:r w:rsidRPr="00D850DF">
        <w:rPr>
          <w:rFonts w:asciiTheme="majorHAnsi" w:hAnsiTheme="majorHAnsi"/>
        </w:rPr>
        <w:t>Flewelling SA, Tymchak MP, and Warpinski N (2013)</w:t>
      </w:r>
      <w:r w:rsidR="00203E7D" w:rsidRPr="00D850DF">
        <w:rPr>
          <w:rFonts w:asciiTheme="majorHAnsi" w:hAnsiTheme="majorHAnsi"/>
        </w:rPr>
        <w:t>.</w:t>
      </w:r>
      <w:r w:rsidRPr="00D850DF">
        <w:rPr>
          <w:rFonts w:asciiTheme="majorHAnsi" w:hAnsiTheme="majorHAnsi"/>
        </w:rPr>
        <w:t xml:space="preserve"> Hydraulic fracture height limits and fault interactions in tight oil and gas formations. Geophys</w:t>
      </w:r>
      <w:r w:rsidR="00373201" w:rsidRPr="00D850DF">
        <w:rPr>
          <w:rFonts w:asciiTheme="majorHAnsi" w:hAnsiTheme="majorHAnsi"/>
        </w:rPr>
        <w:t>ic</w:t>
      </w:r>
      <w:r w:rsidR="00626299" w:rsidRPr="00D850DF">
        <w:rPr>
          <w:rFonts w:asciiTheme="majorHAnsi" w:hAnsiTheme="majorHAnsi"/>
        </w:rPr>
        <w:t>al</w:t>
      </w:r>
      <w:r w:rsidRPr="00D850DF">
        <w:rPr>
          <w:rFonts w:asciiTheme="majorHAnsi" w:hAnsiTheme="majorHAnsi"/>
        </w:rPr>
        <w:t xml:space="preserve"> Res</w:t>
      </w:r>
      <w:r w:rsidR="00373201" w:rsidRPr="00D850DF">
        <w:rPr>
          <w:rFonts w:asciiTheme="majorHAnsi" w:hAnsiTheme="majorHAnsi"/>
        </w:rPr>
        <w:t>earch</w:t>
      </w:r>
      <w:r w:rsidRPr="00D850DF">
        <w:rPr>
          <w:rFonts w:asciiTheme="majorHAnsi" w:hAnsiTheme="majorHAnsi"/>
        </w:rPr>
        <w:t xml:space="preserve"> Lett</w:t>
      </w:r>
      <w:r w:rsidR="00373201" w:rsidRPr="00D850DF">
        <w:rPr>
          <w:rFonts w:asciiTheme="majorHAnsi" w:hAnsiTheme="majorHAnsi"/>
        </w:rPr>
        <w:t>ers</w:t>
      </w:r>
      <w:r w:rsidRPr="00D850DF">
        <w:rPr>
          <w:rFonts w:asciiTheme="majorHAnsi" w:hAnsiTheme="majorHAnsi"/>
        </w:rPr>
        <w:t xml:space="preserve"> 40: 3602-3606. </w:t>
      </w:r>
      <w:hyperlink r:id="rId225" w:history="1">
        <w:r w:rsidRPr="00D850DF">
          <w:rPr>
            <w:rFonts w:asciiTheme="majorHAnsi" w:hAnsiTheme="majorHAnsi"/>
          </w:rPr>
          <w:t>http://dx.doi.org/10.1002/grl.50707</w:t>
        </w:r>
      </w:hyperlink>
      <w:r w:rsidRPr="00D850DF">
        <w:rPr>
          <w:rFonts w:asciiTheme="majorHAnsi" w:hAnsiTheme="majorHAnsi"/>
        </w:rPr>
        <w:t xml:space="preserve"> </w:t>
      </w:r>
    </w:p>
    <w:p w14:paraId="337619BE" w14:textId="24C797D0"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Fort DJ, Propst TL, Stover EL, Murray FJ</w:t>
      </w:r>
      <w:r w:rsidR="00276555" w:rsidRPr="00D850DF">
        <w:rPr>
          <w:rFonts w:asciiTheme="majorHAnsi" w:hAnsiTheme="majorHAnsi"/>
        </w:rPr>
        <w:t>,</w:t>
      </w:r>
      <w:r w:rsidRPr="00D850DF">
        <w:rPr>
          <w:rFonts w:asciiTheme="majorHAnsi" w:hAnsiTheme="majorHAnsi"/>
        </w:rPr>
        <w:t xml:space="preserve"> and Strong PL (1999)</w:t>
      </w:r>
      <w:r w:rsidR="00203E7D" w:rsidRPr="00D850DF">
        <w:rPr>
          <w:rFonts w:asciiTheme="majorHAnsi" w:hAnsiTheme="majorHAnsi"/>
        </w:rPr>
        <w:t>.</w:t>
      </w:r>
      <w:r w:rsidRPr="00D850DF">
        <w:rPr>
          <w:rFonts w:asciiTheme="majorHAnsi" w:hAnsiTheme="majorHAnsi"/>
        </w:rPr>
        <w:t xml:space="preserve"> Adverse effects from low dietary and environmental boron exposure on reproduction, development and maturation in Xenopus laevis. Journal of Trace Ele</w:t>
      </w:r>
      <w:r w:rsidR="00370368" w:rsidRPr="00D850DF">
        <w:rPr>
          <w:rFonts w:asciiTheme="majorHAnsi" w:hAnsiTheme="majorHAnsi"/>
        </w:rPr>
        <w:t>ments in Experimental Medicine</w:t>
      </w:r>
      <w:r w:rsidRPr="00D850DF">
        <w:rPr>
          <w:rFonts w:asciiTheme="majorHAnsi" w:hAnsiTheme="majorHAnsi"/>
        </w:rPr>
        <w:t xml:space="preserve"> 12</w:t>
      </w:r>
      <w:r w:rsidR="00370368" w:rsidRPr="00D850DF">
        <w:rPr>
          <w:rFonts w:asciiTheme="majorHAnsi" w:hAnsiTheme="majorHAnsi"/>
        </w:rPr>
        <w:t>:</w:t>
      </w:r>
      <w:r w:rsidRPr="00D850DF">
        <w:rPr>
          <w:rFonts w:asciiTheme="majorHAnsi" w:hAnsiTheme="majorHAnsi"/>
        </w:rPr>
        <w:t xml:space="preserve"> 175-185.</w:t>
      </w:r>
    </w:p>
    <w:p w14:paraId="0D72EE24" w14:textId="1817D8B0" w:rsidR="004F742D" w:rsidRPr="00D850DF" w:rsidRDefault="004F742D" w:rsidP="000144B2">
      <w:pPr>
        <w:pStyle w:val="Body"/>
        <w:spacing w:afterLines="20" w:after="48"/>
        <w:ind w:left="567" w:hanging="567"/>
        <w:rPr>
          <w:rFonts w:asciiTheme="majorHAnsi" w:hAnsiTheme="majorHAnsi"/>
        </w:rPr>
      </w:pPr>
      <w:r w:rsidRPr="00D850DF">
        <w:rPr>
          <w:rFonts w:asciiTheme="majorHAnsi" w:hAnsiTheme="majorHAnsi"/>
        </w:rPr>
        <w:t>GasFields Commission Queensland (2015)</w:t>
      </w:r>
      <w:r w:rsidR="00203E7D" w:rsidRPr="00D850DF">
        <w:rPr>
          <w:rFonts w:asciiTheme="majorHAnsi" w:hAnsiTheme="majorHAnsi"/>
        </w:rPr>
        <w:t>.</w:t>
      </w:r>
      <w:r w:rsidRPr="00D850DF">
        <w:rPr>
          <w:rFonts w:asciiTheme="majorHAnsi" w:hAnsiTheme="majorHAnsi"/>
        </w:rPr>
        <w:t xml:space="preserve"> Onshore Gas Well Integrity in Queensland, Australia. Technical Communication 4 July 2015.</w:t>
      </w:r>
    </w:p>
    <w:p w14:paraId="6226F764" w14:textId="4609779F" w:rsidR="003A7950" w:rsidRPr="00D850DF" w:rsidRDefault="003A7950" w:rsidP="000144B2">
      <w:pPr>
        <w:pStyle w:val="Body"/>
        <w:spacing w:afterLines="20" w:after="48"/>
        <w:ind w:left="567" w:hanging="567"/>
        <w:rPr>
          <w:rFonts w:asciiTheme="majorHAnsi" w:hAnsiTheme="majorHAnsi"/>
        </w:rPr>
      </w:pPr>
      <w:r w:rsidRPr="00D850DF">
        <w:rPr>
          <w:rFonts w:asciiTheme="majorHAnsi" w:hAnsiTheme="majorHAnsi"/>
        </w:rPr>
        <w:t>Gassiat C, Gleeson T, Lefebvre R</w:t>
      </w:r>
      <w:r w:rsidR="00276555" w:rsidRPr="00D850DF">
        <w:rPr>
          <w:rFonts w:asciiTheme="majorHAnsi" w:hAnsiTheme="majorHAnsi"/>
        </w:rPr>
        <w:t>,</w:t>
      </w:r>
      <w:r w:rsidRPr="00D850DF">
        <w:rPr>
          <w:rFonts w:asciiTheme="majorHAnsi" w:hAnsiTheme="majorHAnsi"/>
        </w:rPr>
        <w:t xml:space="preserve"> and McKenzie J (2013)</w:t>
      </w:r>
      <w:r w:rsidR="00203E7D" w:rsidRPr="00D850DF">
        <w:rPr>
          <w:rFonts w:asciiTheme="majorHAnsi" w:hAnsiTheme="majorHAnsi"/>
        </w:rPr>
        <w:t>.</w:t>
      </w:r>
      <w:r w:rsidRPr="00D850DF">
        <w:rPr>
          <w:rFonts w:asciiTheme="majorHAnsi" w:hAnsiTheme="majorHAnsi"/>
        </w:rPr>
        <w:t xml:space="preserve"> Hydraulic fracturing in faulted sedimentary basins: Numerical simulation of potential contamination of shallow aquifers over long time scales</w:t>
      </w:r>
      <w:r w:rsidR="00373201" w:rsidRPr="00D850DF">
        <w:rPr>
          <w:rFonts w:asciiTheme="majorHAnsi" w:hAnsiTheme="majorHAnsi"/>
        </w:rPr>
        <w:t>.</w:t>
      </w:r>
      <w:r w:rsidRPr="00D850DF">
        <w:rPr>
          <w:rFonts w:asciiTheme="majorHAnsi" w:hAnsiTheme="majorHAnsi"/>
        </w:rPr>
        <w:t xml:space="preserve"> Water Resour</w:t>
      </w:r>
      <w:r w:rsidR="00373201" w:rsidRPr="00D850DF">
        <w:rPr>
          <w:rFonts w:asciiTheme="majorHAnsi" w:hAnsiTheme="majorHAnsi"/>
        </w:rPr>
        <w:t>ces</w:t>
      </w:r>
      <w:r w:rsidRPr="00D850DF">
        <w:rPr>
          <w:rFonts w:asciiTheme="majorHAnsi" w:hAnsiTheme="majorHAnsi"/>
        </w:rPr>
        <w:t xml:space="preserve"> Res</w:t>
      </w:r>
      <w:r w:rsidR="00373201" w:rsidRPr="00D850DF">
        <w:rPr>
          <w:rFonts w:asciiTheme="majorHAnsi" w:hAnsiTheme="majorHAnsi"/>
        </w:rPr>
        <w:t>earch</w:t>
      </w:r>
      <w:r w:rsidR="00370368" w:rsidRPr="00D850DF">
        <w:rPr>
          <w:rFonts w:asciiTheme="majorHAnsi" w:hAnsiTheme="majorHAnsi"/>
        </w:rPr>
        <w:t xml:space="preserve"> 49:</w:t>
      </w:r>
      <w:r w:rsidRPr="00D850DF">
        <w:rPr>
          <w:rFonts w:asciiTheme="majorHAnsi" w:hAnsiTheme="majorHAnsi"/>
        </w:rPr>
        <w:t xml:space="preserve"> 8310–8327, doi</w:t>
      </w:r>
      <w:proofErr w:type="gramStart"/>
      <w:r w:rsidRPr="00D850DF">
        <w:rPr>
          <w:rFonts w:asciiTheme="majorHAnsi" w:hAnsiTheme="majorHAnsi"/>
        </w:rPr>
        <w:t>:10.1002</w:t>
      </w:r>
      <w:proofErr w:type="gramEnd"/>
      <w:r w:rsidRPr="00D850DF">
        <w:rPr>
          <w:rFonts w:asciiTheme="majorHAnsi" w:hAnsiTheme="majorHAnsi"/>
        </w:rPr>
        <w:t>/2013WR014287.</w:t>
      </w:r>
    </w:p>
    <w:p w14:paraId="11CED8C4" w14:textId="72C42E01" w:rsidR="001606A8" w:rsidRPr="00D850DF" w:rsidRDefault="00DE217C" w:rsidP="000144B2">
      <w:pPr>
        <w:pStyle w:val="Body"/>
        <w:spacing w:afterLines="20" w:after="48"/>
        <w:ind w:left="567" w:hanging="567"/>
        <w:rPr>
          <w:rFonts w:asciiTheme="majorHAnsi" w:hAnsiTheme="majorHAnsi"/>
        </w:rPr>
      </w:pPr>
      <w:r w:rsidRPr="00D850DF">
        <w:rPr>
          <w:rFonts w:asciiTheme="majorHAnsi" w:hAnsiTheme="majorHAnsi"/>
        </w:rPr>
        <w:t>GHD (2012)</w:t>
      </w:r>
      <w:r w:rsidR="00203E7D" w:rsidRPr="00D850DF">
        <w:rPr>
          <w:rFonts w:asciiTheme="majorHAnsi" w:hAnsiTheme="majorHAnsi"/>
        </w:rPr>
        <w:t>.</w:t>
      </w:r>
      <w:r w:rsidRPr="00D850DF">
        <w:rPr>
          <w:rFonts w:asciiTheme="majorHAnsi" w:hAnsiTheme="majorHAnsi"/>
        </w:rPr>
        <w:t xml:space="preserve"> Surat Cumulative Management Area Groundwater Model Report. Report for QWC17-10 Stage 2. Queensland Water Commission.</w:t>
      </w:r>
    </w:p>
    <w:p w14:paraId="3571F03B" w14:textId="6B25D0BA" w:rsidR="009C5B68" w:rsidRPr="00D850DF" w:rsidRDefault="000F310B" w:rsidP="009C5B68">
      <w:pPr>
        <w:pStyle w:val="Body"/>
        <w:spacing w:afterLines="20" w:after="48"/>
        <w:ind w:left="567" w:hanging="567"/>
        <w:rPr>
          <w:rFonts w:asciiTheme="majorHAnsi" w:hAnsiTheme="majorHAnsi"/>
        </w:rPr>
      </w:pPr>
      <w:r w:rsidRPr="00D850DF">
        <w:rPr>
          <w:rFonts w:asciiTheme="majorHAnsi" w:hAnsiTheme="majorHAnsi"/>
        </w:rPr>
        <w:t xml:space="preserve">Gopalakrishan </w:t>
      </w:r>
      <w:r w:rsidR="009C5B68" w:rsidRPr="00D850DF">
        <w:rPr>
          <w:rFonts w:asciiTheme="majorHAnsi" w:hAnsiTheme="majorHAnsi"/>
        </w:rPr>
        <w:t>S, McKellar J, Fitzell M, and Troup</w:t>
      </w:r>
      <w:r w:rsidRPr="00D850DF">
        <w:rPr>
          <w:rFonts w:asciiTheme="majorHAnsi" w:hAnsiTheme="majorHAnsi"/>
        </w:rPr>
        <w:t xml:space="preserve"> </w:t>
      </w:r>
      <w:r w:rsidR="009C5B68" w:rsidRPr="00D850DF">
        <w:rPr>
          <w:rFonts w:asciiTheme="majorHAnsi" w:hAnsiTheme="majorHAnsi"/>
        </w:rPr>
        <w:t>A (</w:t>
      </w:r>
      <w:r w:rsidRPr="00D850DF">
        <w:rPr>
          <w:rFonts w:asciiTheme="majorHAnsi" w:hAnsiTheme="majorHAnsi"/>
        </w:rPr>
        <w:t>2015</w:t>
      </w:r>
      <w:r w:rsidR="009C5B68" w:rsidRPr="00D850DF">
        <w:rPr>
          <w:rFonts w:asciiTheme="majorHAnsi" w:hAnsiTheme="majorHAnsi"/>
        </w:rPr>
        <w:t>)</w:t>
      </w:r>
      <w:r w:rsidR="00203E7D" w:rsidRPr="00D850DF">
        <w:rPr>
          <w:rFonts w:asciiTheme="majorHAnsi" w:hAnsiTheme="majorHAnsi"/>
        </w:rPr>
        <w:t>.</w:t>
      </w:r>
      <w:r w:rsidR="009C5B68" w:rsidRPr="00D850DF">
        <w:rPr>
          <w:rFonts w:asciiTheme="majorHAnsi" w:hAnsiTheme="majorHAnsi"/>
        </w:rPr>
        <w:t xml:space="preserve"> Hylogger™: A new tool for mineralogical correlation of st</w:t>
      </w:r>
      <w:r w:rsidR="00B22D8F" w:rsidRPr="00D850DF">
        <w:rPr>
          <w:rFonts w:asciiTheme="majorHAnsi" w:hAnsiTheme="majorHAnsi"/>
        </w:rPr>
        <w:t>r</w:t>
      </w:r>
      <w:r w:rsidR="009C5B68" w:rsidRPr="00D850DF">
        <w:rPr>
          <w:rFonts w:asciiTheme="majorHAnsi" w:hAnsiTheme="majorHAnsi"/>
        </w:rPr>
        <w:t>atigraphy.</w:t>
      </w:r>
      <w:r w:rsidR="002A4A8F" w:rsidRPr="00D850DF">
        <w:rPr>
          <w:rFonts w:asciiTheme="majorHAnsi" w:hAnsiTheme="majorHAnsi"/>
        </w:rPr>
        <w:t xml:space="preserve"> Geological Survey of Queensland, Department of Natural Resources and Mines.</w:t>
      </w:r>
    </w:p>
    <w:p w14:paraId="1F299D6D" w14:textId="24C54CDC" w:rsidR="00644E69" w:rsidRPr="00D850DF" w:rsidRDefault="00644E69" w:rsidP="000144B2">
      <w:pPr>
        <w:pStyle w:val="Body"/>
        <w:spacing w:afterLines="20" w:after="48"/>
        <w:ind w:left="567" w:hanging="567"/>
        <w:rPr>
          <w:rFonts w:asciiTheme="majorHAnsi" w:hAnsiTheme="majorHAnsi"/>
        </w:rPr>
      </w:pPr>
      <w:r w:rsidRPr="00D850DF">
        <w:rPr>
          <w:rFonts w:asciiTheme="majorHAnsi" w:hAnsiTheme="majorHAnsi"/>
        </w:rPr>
        <w:t>Government of Canada (2000)</w:t>
      </w:r>
      <w:r w:rsidR="00203E7D" w:rsidRPr="00D850DF">
        <w:rPr>
          <w:rFonts w:asciiTheme="majorHAnsi" w:hAnsiTheme="majorHAnsi"/>
        </w:rPr>
        <w:t>.</w:t>
      </w:r>
      <w:r w:rsidRPr="00D850DF">
        <w:rPr>
          <w:rFonts w:asciiTheme="majorHAnsi" w:hAnsiTheme="majorHAnsi"/>
        </w:rPr>
        <w:t xml:space="preserve"> Persistence and Bioaccumulation Regulations, SOR/2000-107.</w:t>
      </w:r>
    </w:p>
    <w:p w14:paraId="7B63A24D" w14:textId="4543A04E" w:rsidR="003F6DEC" w:rsidRPr="00D850DF" w:rsidRDefault="003F6DEC" w:rsidP="003F6DEC">
      <w:pPr>
        <w:pStyle w:val="Body"/>
        <w:spacing w:afterLines="20" w:after="48"/>
        <w:ind w:left="567" w:hanging="567"/>
        <w:rPr>
          <w:rFonts w:asciiTheme="majorHAnsi" w:hAnsiTheme="majorHAnsi"/>
        </w:rPr>
      </w:pPr>
      <w:r w:rsidRPr="00D850DF">
        <w:rPr>
          <w:rFonts w:asciiTheme="majorHAnsi" w:hAnsiTheme="majorHAnsi"/>
        </w:rPr>
        <w:t>Goyal AK and Zylstra</w:t>
      </w:r>
      <w:r w:rsidR="00276555" w:rsidRPr="00D850DF">
        <w:rPr>
          <w:rFonts w:asciiTheme="majorHAnsi" w:hAnsiTheme="majorHAnsi"/>
        </w:rPr>
        <w:t xml:space="preserve"> GJ (</w:t>
      </w:r>
      <w:r w:rsidRPr="00D850DF">
        <w:rPr>
          <w:rFonts w:asciiTheme="majorHAnsi" w:hAnsiTheme="majorHAnsi"/>
        </w:rPr>
        <w:t>1997</w:t>
      </w:r>
      <w:r w:rsidR="00276555" w:rsidRPr="00D850DF">
        <w:rPr>
          <w:rFonts w:asciiTheme="majorHAnsi" w:hAnsiTheme="majorHAnsi"/>
        </w:rPr>
        <w:t>)</w:t>
      </w:r>
      <w:r w:rsidR="00203E7D" w:rsidRPr="00D850DF">
        <w:rPr>
          <w:rFonts w:asciiTheme="majorHAnsi" w:hAnsiTheme="majorHAnsi"/>
        </w:rPr>
        <w:t>.</w:t>
      </w:r>
      <w:r w:rsidRPr="00D850DF">
        <w:rPr>
          <w:rFonts w:asciiTheme="majorHAnsi" w:hAnsiTheme="majorHAnsi"/>
        </w:rPr>
        <w:t xml:space="preserve"> Genetics of naphthalene and phenanthrene degradation by Comamonas testosteroni. J</w:t>
      </w:r>
      <w:r w:rsidR="00373201" w:rsidRPr="00D850DF">
        <w:rPr>
          <w:rFonts w:asciiTheme="majorHAnsi" w:hAnsiTheme="majorHAnsi"/>
        </w:rPr>
        <w:t>ournal of</w:t>
      </w:r>
      <w:r w:rsidRPr="00D850DF">
        <w:rPr>
          <w:rFonts w:asciiTheme="majorHAnsi" w:hAnsiTheme="majorHAnsi"/>
        </w:rPr>
        <w:t xml:space="preserve"> Ind</w:t>
      </w:r>
      <w:r w:rsidR="00373201" w:rsidRPr="00D850DF">
        <w:rPr>
          <w:rFonts w:asciiTheme="majorHAnsi" w:hAnsiTheme="majorHAnsi"/>
        </w:rPr>
        <w:t>ian</w:t>
      </w:r>
      <w:r w:rsidRPr="00D850DF">
        <w:rPr>
          <w:rFonts w:asciiTheme="majorHAnsi" w:hAnsiTheme="majorHAnsi"/>
        </w:rPr>
        <w:t xml:space="preserve"> Microbiol</w:t>
      </w:r>
      <w:r w:rsidR="00373201" w:rsidRPr="00D850DF">
        <w:rPr>
          <w:rFonts w:asciiTheme="majorHAnsi" w:hAnsiTheme="majorHAnsi"/>
        </w:rPr>
        <w:t>ogy and</w:t>
      </w:r>
      <w:r w:rsidRPr="00D850DF">
        <w:rPr>
          <w:rFonts w:asciiTheme="majorHAnsi" w:hAnsiTheme="majorHAnsi"/>
        </w:rPr>
        <w:t xml:space="preserve"> Biotechnol</w:t>
      </w:r>
      <w:r w:rsidR="00373201" w:rsidRPr="00D850DF">
        <w:rPr>
          <w:rFonts w:asciiTheme="majorHAnsi" w:hAnsiTheme="majorHAnsi"/>
        </w:rPr>
        <w:t>ogy</w:t>
      </w:r>
      <w:r w:rsidRPr="00D850DF">
        <w:rPr>
          <w:rFonts w:asciiTheme="majorHAnsi" w:hAnsiTheme="majorHAnsi"/>
        </w:rPr>
        <w:t xml:space="preserve"> 19: 401-407.</w:t>
      </w:r>
    </w:p>
    <w:p w14:paraId="0735DB41" w14:textId="7EEE9C27" w:rsidR="0071601A" w:rsidRPr="00D850DF" w:rsidRDefault="0071601A" w:rsidP="000144B2">
      <w:pPr>
        <w:pStyle w:val="Body"/>
        <w:spacing w:afterLines="20" w:after="48"/>
        <w:ind w:left="567" w:hanging="567"/>
        <w:rPr>
          <w:rFonts w:asciiTheme="majorHAnsi" w:hAnsiTheme="majorHAnsi"/>
        </w:rPr>
      </w:pPr>
      <w:r w:rsidRPr="00D850DF">
        <w:rPr>
          <w:rFonts w:asciiTheme="majorHAnsi" w:hAnsiTheme="majorHAnsi"/>
        </w:rPr>
        <w:t>Grigorescu M</w:t>
      </w:r>
      <w:r w:rsidR="00E74674" w:rsidRPr="00D850DF">
        <w:rPr>
          <w:rFonts w:asciiTheme="majorHAnsi" w:hAnsiTheme="majorHAnsi"/>
        </w:rPr>
        <w:t xml:space="preserve"> (</w:t>
      </w:r>
      <w:r w:rsidRPr="00D850DF">
        <w:rPr>
          <w:rFonts w:asciiTheme="majorHAnsi" w:hAnsiTheme="majorHAnsi"/>
        </w:rPr>
        <w:t>2011</w:t>
      </w:r>
      <w:r w:rsidR="00E74674" w:rsidRPr="00D850DF">
        <w:rPr>
          <w:rFonts w:asciiTheme="majorHAnsi" w:hAnsiTheme="majorHAnsi"/>
        </w:rPr>
        <w:t>)</w:t>
      </w:r>
      <w:r w:rsidR="00203E7D" w:rsidRPr="00D850DF">
        <w:rPr>
          <w:rFonts w:asciiTheme="majorHAnsi" w:hAnsiTheme="majorHAnsi"/>
        </w:rPr>
        <w:t>.</w:t>
      </w:r>
      <w:r w:rsidRPr="00D850DF">
        <w:rPr>
          <w:rFonts w:asciiTheme="majorHAnsi" w:hAnsiTheme="majorHAnsi"/>
        </w:rPr>
        <w:t xml:space="preserve"> Mineralogy of the north-eastern Bowen Basin and north-eastern Surat Basin, Queensland (CD ROM). Geological Survey of Queensland - Record 2011/02 22pp. </w:t>
      </w:r>
    </w:p>
    <w:p w14:paraId="2FBB3477" w14:textId="22E985DF" w:rsidR="00DE217C" w:rsidRDefault="00DE217C" w:rsidP="00DE217C">
      <w:pPr>
        <w:pStyle w:val="Body"/>
        <w:spacing w:afterLines="20" w:after="48"/>
        <w:ind w:left="567" w:hanging="567"/>
        <w:rPr>
          <w:rFonts w:asciiTheme="majorHAnsi" w:hAnsiTheme="majorHAnsi"/>
        </w:rPr>
      </w:pPr>
      <w:r w:rsidRPr="00D850DF">
        <w:rPr>
          <w:rFonts w:asciiTheme="majorHAnsi" w:hAnsiTheme="majorHAnsi"/>
        </w:rPr>
        <w:t>Guiton S, Kieft R, Churchill J</w:t>
      </w:r>
      <w:r w:rsidR="00276555" w:rsidRPr="00D850DF">
        <w:rPr>
          <w:rFonts w:asciiTheme="majorHAnsi" w:hAnsiTheme="majorHAnsi"/>
        </w:rPr>
        <w:t>,</w:t>
      </w:r>
      <w:r w:rsidRPr="00D850DF">
        <w:rPr>
          <w:rFonts w:asciiTheme="majorHAnsi" w:hAnsiTheme="majorHAnsi"/>
        </w:rPr>
        <w:t xml:space="preserve"> and Sheerin C (2015)</w:t>
      </w:r>
      <w:r w:rsidR="00203E7D" w:rsidRPr="00D850DF">
        <w:rPr>
          <w:rFonts w:asciiTheme="majorHAnsi" w:hAnsiTheme="majorHAnsi"/>
        </w:rPr>
        <w:t>.</w:t>
      </w:r>
      <w:r w:rsidRPr="00D850DF">
        <w:rPr>
          <w:rFonts w:asciiTheme="majorHAnsi" w:hAnsiTheme="majorHAnsi"/>
        </w:rPr>
        <w:t xml:space="preserve"> Characterising the Hutton Sandstone in the Northeastern Surat Basin. AAPG Asia Pacific Region, Geoscience Technology Workshop, Opportunities in Coal Bed Methane in the Asia Pacific, Brisbane. </w:t>
      </w:r>
    </w:p>
    <w:p w14:paraId="2D809CC5" w14:textId="28B80B4A" w:rsidR="001B1F7F" w:rsidRDefault="001B1F7F" w:rsidP="001B1F7F">
      <w:pPr>
        <w:pStyle w:val="Body"/>
        <w:spacing w:afterLines="20" w:after="48"/>
        <w:ind w:left="567" w:hanging="567"/>
        <w:rPr>
          <w:rFonts w:asciiTheme="majorHAnsi" w:hAnsiTheme="majorHAnsi"/>
        </w:rPr>
      </w:pPr>
      <w:r w:rsidRPr="001B1F7F">
        <w:rPr>
          <w:rFonts w:asciiTheme="majorHAnsi" w:hAnsiTheme="majorHAnsi"/>
        </w:rPr>
        <w:t>Gusyev MA, Abrams D, Toews MW, Morgenstern U, and Stewart MK (2014).</w:t>
      </w:r>
      <w:r w:rsidR="00D014DC">
        <w:rPr>
          <w:rFonts w:asciiTheme="majorHAnsi" w:hAnsiTheme="majorHAnsi"/>
        </w:rPr>
        <w:t xml:space="preserve"> </w:t>
      </w:r>
      <w:r w:rsidRPr="001B1F7F">
        <w:rPr>
          <w:rFonts w:asciiTheme="majorHAnsi" w:hAnsiTheme="majorHAnsi"/>
        </w:rPr>
        <w:t>A comparison of particle-tracking and solute</w:t>
      </w:r>
      <w:r>
        <w:rPr>
          <w:rFonts w:asciiTheme="majorHAnsi" w:hAnsiTheme="majorHAnsi"/>
        </w:rPr>
        <w:t xml:space="preserve"> </w:t>
      </w:r>
      <w:r w:rsidRPr="001B1F7F">
        <w:rPr>
          <w:rFonts w:asciiTheme="majorHAnsi" w:hAnsiTheme="majorHAnsi"/>
        </w:rPr>
        <w:t>transport methods for simulation of tritium concentrations and groundwater transit times in river water</w:t>
      </w:r>
      <w:r>
        <w:rPr>
          <w:rFonts w:asciiTheme="majorHAnsi" w:hAnsiTheme="majorHAnsi"/>
        </w:rPr>
        <w:t>.</w:t>
      </w:r>
      <w:r w:rsidR="00D014DC">
        <w:rPr>
          <w:rFonts w:asciiTheme="majorHAnsi" w:hAnsiTheme="majorHAnsi"/>
        </w:rPr>
        <w:t xml:space="preserve"> Hydrology and Earth System Sciences </w:t>
      </w:r>
      <w:r w:rsidR="00D014DC" w:rsidRPr="00D014DC">
        <w:rPr>
          <w:rFonts w:asciiTheme="majorHAnsi" w:hAnsiTheme="majorHAnsi"/>
        </w:rPr>
        <w:t>18: 3109–3119.</w:t>
      </w:r>
    </w:p>
    <w:p w14:paraId="373D1468" w14:textId="140292F3" w:rsidR="00F40627" w:rsidRPr="001B1F7F" w:rsidRDefault="00F40627" w:rsidP="00F40627">
      <w:pPr>
        <w:pStyle w:val="Body"/>
        <w:spacing w:afterLines="20" w:after="48"/>
        <w:ind w:left="567" w:hanging="567"/>
        <w:rPr>
          <w:rFonts w:asciiTheme="majorHAnsi" w:hAnsiTheme="majorHAnsi"/>
        </w:rPr>
      </w:pPr>
      <w:r w:rsidRPr="00F40627">
        <w:rPr>
          <w:rFonts w:asciiTheme="majorHAnsi" w:hAnsiTheme="majorHAnsi"/>
        </w:rPr>
        <w:t>Guyonnet D and Nevill C (2007). Dimensionless analysis of two analytical solutions for 3-D solute transport in groundwater</w:t>
      </w:r>
      <w:r>
        <w:rPr>
          <w:rFonts w:asciiTheme="majorHAnsi" w:hAnsiTheme="majorHAnsi"/>
        </w:rPr>
        <w:t>. Journal of Contaminant Hydrology 75: 141-153.</w:t>
      </w:r>
    </w:p>
    <w:p w14:paraId="4DB5B574" w14:textId="77777777" w:rsidR="00DE783A" w:rsidRPr="00D850DF" w:rsidRDefault="00DE783A" w:rsidP="00DE783A">
      <w:pPr>
        <w:pStyle w:val="Body"/>
        <w:spacing w:afterLines="20" w:after="48"/>
        <w:ind w:left="567" w:hanging="567"/>
        <w:rPr>
          <w:rFonts w:asciiTheme="majorHAnsi" w:hAnsiTheme="majorHAnsi"/>
        </w:rPr>
      </w:pPr>
      <w:r w:rsidRPr="00D850DF">
        <w:rPr>
          <w:rFonts w:asciiTheme="majorHAnsi" w:hAnsiTheme="majorHAnsi"/>
        </w:rPr>
        <w:t>Haderlein SB and Schwarzenbach RP (1993). Adsorption of substituted nitrobenzenes and nitrophenols to mineral surfaces. Environmental Science and Technology 27(2): 316-326. DOI: 10.1021/es00039a012.</w:t>
      </w:r>
    </w:p>
    <w:p w14:paraId="44F3D65E" w14:textId="77777777" w:rsidR="00DE783A" w:rsidRPr="00D850DF" w:rsidRDefault="00DE783A" w:rsidP="00DE783A">
      <w:pPr>
        <w:pStyle w:val="Body"/>
        <w:spacing w:afterLines="20" w:after="48"/>
        <w:ind w:left="567" w:hanging="567"/>
        <w:rPr>
          <w:rFonts w:asciiTheme="majorHAnsi" w:hAnsiTheme="majorHAnsi"/>
        </w:rPr>
      </w:pPr>
      <w:r w:rsidRPr="00D850DF">
        <w:rPr>
          <w:rFonts w:asciiTheme="majorHAnsi" w:hAnsiTheme="majorHAnsi"/>
        </w:rPr>
        <w:t xml:space="preserve">Hale SE, Endo S, Arp HPH, Zimmerman AR, and Cornelissen G (2015). Sorption of the monoterpenes </w:t>
      </w:r>
      <w:r w:rsidRPr="00D850DF">
        <w:rPr>
          <w:rFonts w:asciiTheme="majorHAnsi" w:hAnsiTheme="majorHAnsi"/>
        </w:rPr>
        <w:sym w:font="Symbol" w:char="F061"/>
      </w:r>
      <w:r w:rsidRPr="00D850DF">
        <w:rPr>
          <w:rFonts w:asciiTheme="majorHAnsi" w:hAnsiTheme="majorHAnsi"/>
        </w:rPr>
        <w:t>–pinene and limonene to carbonaceous geosorbents including biochar. Chemosphere 119: 881-888.</w:t>
      </w:r>
    </w:p>
    <w:p w14:paraId="01F68223" w14:textId="73C17FAB" w:rsidR="004F742D" w:rsidRPr="00D850DF" w:rsidRDefault="004F742D" w:rsidP="000144B2">
      <w:pPr>
        <w:pStyle w:val="Body"/>
        <w:spacing w:afterLines="20" w:after="48"/>
        <w:ind w:left="567" w:hanging="567"/>
        <w:rPr>
          <w:rFonts w:asciiTheme="majorHAnsi" w:hAnsiTheme="majorHAnsi"/>
        </w:rPr>
      </w:pPr>
      <w:r w:rsidRPr="00D850DF">
        <w:rPr>
          <w:rFonts w:asciiTheme="majorHAnsi" w:hAnsiTheme="majorHAnsi"/>
        </w:rPr>
        <w:t xml:space="preserve">Haley M, McCawley M, Epstein AC, Arrington B, </w:t>
      </w:r>
      <w:r w:rsidR="00276555" w:rsidRPr="00D850DF">
        <w:rPr>
          <w:rFonts w:asciiTheme="majorHAnsi" w:hAnsiTheme="majorHAnsi"/>
        </w:rPr>
        <w:t xml:space="preserve">and </w:t>
      </w:r>
      <w:r w:rsidRPr="00D850DF">
        <w:rPr>
          <w:rFonts w:asciiTheme="majorHAnsi" w:hAnsiTheme="majorHAnsi"/>
        </w:rPr>
        <w:t>Bjerke EF (2016)</w:t>
      </w:r>
      <w:r w:rsidR="00203E7D" w:rsidRPr="00D850DF">
        <w:rPr>
          <w:rFonts w:asciiTheme="majorHAnsi" w:hAnsiTheme="majorHAnsi"/>
        </w:rPr>
        <w:t>.</w:t>
      </w:r>
      <w:r w:rsidRPr="00D850DF">
        <w:rPr>
          <w:rFonts w:asciiTheme="majorHAnsi" w:hAnsiTheme="majorHAnsi"/>
        </w:rPr>
        <w:t xml:space="preserve"> Adequacy of current state setbacks for directional high-volume hydraulic fracturing in the Marcellus, Barnett, and Niobrara Shale plays. Environmental Health Perspectives February 2016.</w:t>
      </w:r>
    </w:p>
    <w:p w14:paraId="21FBA209" w14:textId="77777777" w:rsidR="00DE783A" w:rsidRPr="00D850DF" w:rsidRDefault="00DE783A" w:rsidP="00DE783A">
      <w:pPr>
        <w:pStyle w:val="Body"/>
        <w:spacing w:afterLines="20" w:after="48"/>
        <w:ind w:left="567" w:hanging="567"/>
        <w:rPr>
          <w:rFonts w:asciiTheme="majorHAnsi" w:hAnsiTheme="majorHAnsi"/>
        </w:rPr>
      </w:pPr>
      <w:r w:rsidRPr="00D850DF">
        <w:rPr>
          <w:rFonts w:asciiTheme="majorHAnsi" w:hAnsiTheme="majorHAnsi"/>
        </w:rPr>
        <w:t>Halliburton Fluids Disclosure. http://www.halliburton.com/public/projects/pubsdata/hydraulic_fracturing/fluids_disclosure.html; accessed May 2016</w:t>
      </w:r>
    </w:p>
    <w:p w14:paraId="5EFD462D" w14:textId="32B0B78D" w:rsidR="00A228DE" w:rsidRPr="00D850DF" w:rsidRDefault="00A228DE" w:rsidP="00A228DE">
      <w:pPr>
        <w:pStyle w:val="Body"/>
        <w:spacing w:afterLines="20" w:after="48"/>
        <w:ind w:left="567" w:hanging="567"/>
        <w:rPr>
          <w:rFonts w:asciiTheme="majorHAnsi" w:hAnsiTheme="majorHAnsi"/>
        </w:rPr>
      </w:pPr>
      <w:r w:rsidRPr="00D850DF">
        <w:rPr>
          <w:rFonts w:asciiTheme="majorHAnsi" w:hAnsiTheme="majorHAnsi"/>
        </w:rPr>
        <w:t>Hansen B (2011)</w:t>
      </w:r>
      <w:r w:rsidR="00203E7D" w:rsidRPr="00D850DF">
        <w:rPr>
          <w:rFonts w:asciiTheme="majorHAnsi" w:hAnsiTheme="majorHAnsi"/>
        </w:rPr>
        <w:t>.</w:t>
      </w:r>
      <w:r w:rsidRPr="00D850DF">
        <w:rPr>
          <w:rFonts w:asciiTheme="majorHAnsi" w:hAnsiTheme="majorHAnsi"/>
        </w:rPr>
        <w:t xml:space="preserve"> Casing perforating overview. Devon Energy Corporation Proceedings of the technical workshops for the hydraulic fracturing study: well construction and operations, EPA 600/R-11/046, May 2011.</w:t>
      </w:r>
    </w:p>
    <w:p w14:paraId="62DBD4DE" w14:textId="407E7C95" w:rsidR="008A32B4" w:rsidRDefault="008A32B4" w:rsidP="00CF3A84">
      <w:pPr>
        <w:pStyle w:val="Body"/>
        <w:spacing w:afterLines="20" w:after="48"/>
        <w:ind w:left="567" w:hanging="567"/>
        <w:rPr>
          <w:rFonts w:asciiTheme="majorHAnsi" w:hAnsiTheme="majorHAnsi"/>
        </w:rPr>
      </w:pPr>
      <w:r w:rsidRPr="00D850DF">
        <w:rPr>
          <w:rFonts w:asciiTheme="majorHAnsi" w:hAnsiTheme="majorHAnsi"/>
        </w:rPr>
        <w:t>Harbaugh AW (2005)</w:t>
      </w:r>
      <w:r w:rsidR="00203E7D" w:rsidRPr="00D850DF">
        <w:rPr>
          <w:rFonts w:asciiTheme="majorHAnsi" w:hAnsiTheme="majorHAnsi"/>
        </w:rPr>
        <w:t>.</w:t>
      </w:r>
      <w:r w:rsidRPr="00D850DF">
        <w:rPr>
          <w:rFonts w:asciiTheme="majorHAnsi" w:hAnsiTheme="majorHAnsi"/>
        </w:rPr>
        <w:t xml:space="preserve"> MODFLOW-2005: the U.S. Geological Survey modular ground-water model - the ground-water flow process.</w:t>
      </w:r>
      <w:r w:rsidRPr="00CF3A84">
        <w:rPr>
          <w:rFonts w:asciiTheme="majorHAnsi" w:hAnsiTheme="majorHAnsi"/>
        </w:rPr>
        <w:t xml:space="preserve"> </w:t>
      </w:r>
      <w:r w:rsidRPr="00D850DF">
        <w:rPr>
          <w:rFonts w:asciiTheme="majorHAnsi" w:hAnsiTheme="majorHAnsi"/>
        </w:rPr>
        <w:t>Book 6: Modeling techniques, Section A. Ground-water</w:t>
      </w:r>
      <w:r w:rsidR="00543953" w:rsidRPr="00D850DF">
        <w:rPr>
          <w:rFonts w:asciiTheme="majorHAnsi" w:hAnsiTheme="majorHAnsi"/>
        </w:rPr>
        <w:t>.</w:t>
      </w:r>
    </w:p>
    <w:p w14:paraId="4F105B36" w14:textId="77777777" w:rsidR="00DE783A" w:rsidRPr="00D850DF" w:rsidRDefault="00DE783A" w:rsidP="00DE783A">
      <w:pPr>
        <w:pStyle w:val="Body"/>
        <w:spacing w:afterLines="20" w:after="48"/>
        <w:ind w:left="567" w:hanging="567"/>
        <w:rPr>
          <w:rFonts w:asciiTheme="majorHAnsi" w:hAnsiTheme="majorHAnsi"/>
        </w:rPr>
      </w:pPr>
      <w:r w:rsidRPr="00D850DF">
        <w:rPr>
          <w:rFonts w:asciiTheme="majorHAnsi" w:hAnsiTheme="majorHAnsi"/>
        </w:rPr>
        <w:t>Harris O, Wilbur S, George J, and Eisenmann C (1998). Toxicological profile for 2-Butoxyethanol and 2-Butoxyethanol acetate. US D</w:t>
      </w:r>
      <w:r>
        <w:rPr>
          <w:rFonts w:asciiTheme="majorHAnsi" w:hAnsiTheme="majorHAnsi"/>
        </w:rPr>
        <w:t>epartment of Health and Human Services</w:t>
      </w:r>
      <w:r w:rsidRPr="00D850DF">
        <w:rPr>
          <w:rFonts w:asciiTheme="majorHAnsi" w:hAnsiTheme="majorHAnsi"/>
        </w:rPr>
        <w:t xml:space="preserve"> Public Health Service Agency for Toxic Substances and Disease Registry.</w:t>
      </w:r>
    </w:p>
    <w:p w14:paraId="41880DF2" w14:textId="77777777" w:rsidR="00DE783A" w:rsidRPr="00D850DF" w:rsidRDefault="00DE783A" w:rsidP="00DE783A">
      <w:pPr>
        <w:pStyle w:val="Body"/>
        <w:spacing w:afterLines="20" w:after="48"/>
        <w:ind w:left="567" w:hanging="567"/>
        <w:rPr>
          <w:rFonts w:asciiTheme="majorHAnsi" w:hAnsiTheme="majorHAnsi"/>
        </w:rPr>
      </w:pPr>
      <w:r w:rsidRPr="00D850DF">
        <w:rPr>
          <w:rFonts w:asciiTheme="majorHAnsi" w:hAnsiTheme="majorHAnsi"/>
        </w:rPr>
        <w:t>Harris JC (1990). Rate of hydrolysis. In: Lyman WJ, Rheehl WF, Rosenblatt DH, eds. Handbook of Chemical Property Estimation Methods. Washington, DC: American Chemical Society, 7-4.</w:t>
      </w:r>
    </w:p>
    <w:p w14:paraId="11620B9D" w14:textId="4F7E2A3B" w:rsidR="00543953" w:rsidRPr="00D850DF" w:rsidRDefault="00543953" w:rsidP="00CF3A84">
      <w:pPr>
        <w:pStyle w:val="Body"/>
        <w:spacing w:afterLines="20" w:after="48"/>
        <w:ind w:left="567" w:hanging="567"/>
        <w:rPr>
          <w:rFonts w:asciiTheme="majorHAnsi" w:hAnsiTheme="majorHAnsi"/>
        </w:rPr>
      </w:pPr>
      <w:r w:rsidRPr="00D850DF">
        <w:rPr>
          <w:rFonts w:asciiTheme="majorHAnsi" w:hAnsiTheme="majorHAnsi"/>
        </w:rPr>
        <w:t xml:space="preserve">Hawari J, Beaudet S, Halasz A, Thiboutot S, </w:t>
      </w:r>
      <w:r w:rsidR="00276555" w:rsidRPr="00D850DF">
        <w:rPr>
          <w:rFonts w:asciiTheme="majorHAnsi" w:hAnsiTheme="majorHAnsi"/>
        </w:rPr>
        <w:t xml:space="preserve">and </w:t>
      </w:r>
      <w:r w:rsidRPr="00D850DF">
        <w:rPr>
          <w:rFonts w:asciiTheme="majorHAnsi" w:hAnsiTheme="majorHAnsi"/>
        </w:rPr>
        <w:t>Ampleman G (2000)</w:t>
      </w:r>
      <w:r w:rsidR="00203E7D" w:rsidRPr="00D850DF">
        <w:rPr>
          <w:rFonts w:asciiTheme="majorHAnsi" w:hAnsiTheme="majorHAnsi"/>
        </w:rPr>
        <w:t>.</w:t>
      </w:r>
      <w:r w:rsidRPr="00D850DF">
        <w:rPr>
          <w:rFonts w:asciiTheme="majorHAnsi" w:hAnsiTheme="majorHAnsi"/>
        </w:rPr>
        <w:t xml:space="preserve"> Microbial degradation of explosives: biotransformation versus mineralization. Applied Microbiology and Biotechnology 54: 605-618.</w:t>
      </w:r>
    </w:p>
    <w:p w14:paraId="6F64017D" w14:textId="473EC7D5" w:rsidR="00543953" w:rsidRPr="00D850DF" w:rsidRDefault="00543953" w:rsidP="00CF3A84">
      <w:pPr>
        <w:pStyle w:val="Body"/>
        <w:spacing w:afterLines="20" w:after="48"/>
        <w:ind w:left="567" w:hanging="567"/>
        <w:rPr>
          <w:rFonts w:asciiTheme="majorHAnsi" w:hAnsiTheme="majorHAnsi"/>
        </w:rPr>
      </w:pPr>
      <w:r w:rsidRPr="00D850DF">
        <w:rPr>
          <w:rFonts w:asciiTheme="majorHAnsi" w:hAnsiTheme="majorHAnsi"/>
        </w:rPr>
        <w:t>Hawari J, Halasz A, Beaudet S, Paquet</w:t>
      </w:r>
      <w:r w:rsidR="00CF3A84" w:rsidRPr="00CF3A84">
        <w:rPr>
          <w:rFonts w:asciiTheme="majorHAnsi" w:hAnsiTheme="majorHAnsi"/>
        </w:rPr>
        <w:t xml:space="preserve"> </w:t>
      </w:r>
      <w:r w:rsidR="00CF3A84" w:rsidRPr="00D850DF">
        <w:rPr>
          <w:rFonts w:asciiTheme="majorHAnsi" w:hAnsiTheme="majorHAnsi"/>
        </w:rPr>
        <w:t>L</w:t>
      </w:r>
      <w:r w:rsidRPr="00D850DF">
        <w:rPr>
          <w:rFonts w:asciiTheme="majorHAnsi" w:hAnsiTheme="majorHAnsi"/>
        </w:rPr>
        <w:t>, Ampleman G, and Thiboutot S (2001)</w:t>
      </w:r>
      <w:r w:rsidR="00065463" w:rsidRPr="00D850DF">
        <w:rPr>
          <w:rFonts w:asciiTheme="majorHAnsi" w:hAnsiTheme="majorHAnsi"/>
        </w:rPr>
        <w:t>.</w:t>
      </w:r>
      <w:r w:rsidRPr="00D850DF">
        <w:rPr>
          <w:rFonts w:asciiTheme="majorHAnsi" w:hAnsiTheme="majorHAnsi"/>
        </w:rPr>
        <w:t xml:space="preserve"> Biotransformation routes of Octahydro-1</w:t>
      </w:r>
      <w:proofErr w:type="gramStart"/>
      <w:r w:rsidRPr="00D850DF">
        <w:rPr>
          <w:rFonts w:asciiTheme="majorHAnsi" w:hAnsiTheme="majorHAnsi"/>
        </w:rPr>
        <w:t>,3,5,7</w:t>
      </w:r>
      <w:proofErr w:type="gramEnd"/>
      <w:r w:rsidRPr="00D850DF">
        <w:rPr>
          <w:rFonts w:asciiTheme="majorHAnsi" w:hAnsiTheme="majorHAnsi"/>
        </w:rPr>
        <w:t>-tetranitro-1,3,5,7- tetrazocine by Municipal Anaerobic Sludge</w:t>
      </w:r>
      <w:r w:rsidR="00373201" w:rsidRPr="00D850DF">
        <w:rPr>
          <w:rFonts w:asciiTheme="majorHAnsi" w:hAnsiTheme="majorHAnsi"/>
        </w:rPr>
        <w:t>.</w:t>
      </w:r>
      <w:r w:rsidRPr="00D850DF">
        <w:rPr>
          <w:rFonts w:asciiTheme="majorHAnsi" w:hAnsiTheme="majorHAnsi"/>
        </w:rPr>
        <w:t xml:space="preserve"> Environ</w:t>
      </w:r>
      <w:r w:rsidR="00373201" w:rsidRPr="00D850DF">
        <w:rPr>
          <w:rFonts w:asciiTheme="majorHAnsi" w:hAnsiTheme="majorHAnsi"/>
        </w:rPr>
        <w:t>mental</w:t>
      </w:r>
      <w:r w:rsidRPr="00D850DF">
        <w:rPr>
          <w:rFonts w:asciiTheme="majorHAnsi" w:hAnsiTheme="majorHAnsi"/>
        </w:rPr>
        <w:t xml:space="preserve"> Sci</w:t>
      </w:r>
      <w:r w:rsidR="00373201" w:rsidRPr="00D850DF">
        <w:rPr>
          <w:rFonts w:asciiTheme="majorHAnsi" w:hAnsiTheme="majorHAnsi"/>
        </w:rPr>
        <w:t>ence and</w:t>
      </w:r>
      <w:r w:rsidRPr="00D850DF">
        <w:rPr>
          <w:rFonts w:asciiTheme="majorHAnsi" w:hAnsiTheme="majorHAnsi"/>
        </w:rPr>
        <w:t xml:space="preserve"> Technol</w:t>
      </w:r>
      <w:r w:rsidR="00373201" w:rsidRPr="00D850DF">
        <w:rPr>
          <w:rFonts w:asciiTheme="majorHAnsi" w:hAnsiTheme="majorHAnsi"/>
        </w:rPr>
        <w:t>ogy</w:t>
      </w:r>
      <w:r w:rsidRPr="00D850DF">
        <w:rPr>
          <w:rFonts w:asciiTheme="majorHAnsi" w:hAnsiTheme="majorHAnsi"/>
        </w:rPr>
        <w:t xml:space="preserve"> 35: 70-75.</w:t>
      </w:r>
    </w:p>
    <w:p w14:paraId="287384F6" w14:textId="74CCBA52" w:rsidR="00CF3A84" w:rsidRPr="00D850DF" w:rsidRDefault="00301DB0" w:rsidP="00CF3A84">
      <w:pPr>
        <w:pStyle w:val="Body"/>
        <w:spacing w:afterLines="20" w:after="48"/>
        <w:ind w:left="567" w:hanging="567"/>
        <w:rPr>
          <w:rFonts w:asciiTheme="majorHAnsi" w:hAnsiTheme="majorHAnsi"/>
        </w:rPr>
      </w:pPr>
      <w:r w:rsidRPr="00D850DF">
        <w:rPr>
          <w:rFonts w:asciiTheme="majorHAnsi" w:hAnsiTheme="majorHAnsi"/>
        </w:rPr>
        <w:t xml:space="preserve">Health Canada (2001). Guidelines for Canadian Drinking Water Quality: Supporting Documentation. Uranium. </w:t>
      </w:r>
      <w:r w:rsidR="00CF3A84" w:rsidRPr="00D850DF">
        <w:rPr>
          <w:rFonts w:asciiTheme="majorHAnsi" w:hAnsiTheme="majorHAnsi"/>
        </w:rPr>
        <w:t>Health Canada, Ottawa, Ontario</w:t>
      </w:r>
      <w:r w:rsidR="00CF3A84">
        <w:rPr>
          <w:rFonts w:asciiTheme="majorHAnsi" w:hAnsiTheme="majorHAnsi"/>
        </w:rPr>
        <w:t>, Canada</w:t>
      </w:r>
      <w:r w:rsidR="00CF3A84" w:rsidRPr="00D850DF">
        <w:rPr>
          <w:rFonts w:asciiTheme="majorHAnsi" w:hAnsiTheme="majorHAnsi"/>
        </w:rPr>
        <w:t xml:space="preserve">. </w:t>
      </w:r>
    </w:p>
    <w:p w14:paraId="55540DE4" w14:textId="5034FFE4"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Health Canada (2006)</w:t>
      </w:r>
      <w:r w:rsidR="00203E7D" w:rsidRPr="00D850DF">
        <w:rPr>
          <w:rFonts w:asciiTheme="majorHAnsi" w:hAnsiTheme="majorHAnsi"/>
        </w:rPr>
        <w:t xml:space="preserve">. </w:t>
      </w:r>
      <w:r w:rsidRPr="00D850DF">
        <w:rPr>
          <w:rFonts w:asciiTheme="majorHAnsi" w:hAnsiTheme="majorHAnsi"/>
        </w:rPr>
        <w:t>Guidelines for Canadian Drinking Water Quality: Guideline Technical Document for Arsenic. Health Canada, Ottawa, Ontario</w:t>
      </w:r>
      <w:r w:rsidR="00CF3A84">
        <w:rPr>
          <w:rFonts w:asciiTheme="majorHAnsi" w:hAnsiTheme="majorHAnsi"/>
        </w:rPr>
        <w:t>, Canada</w:t>
      </w:r>
      <w:r w:rsidRPr="00D850DF">
        <w:rPr>
          <w:rFonts w:asciiTheme="majorHAnsi" w:hAnsiTheme="majorHAnsi"/>
        </w:rPr>
        <w:t xml:space="preserve">. </w:t>
      </w:r>
    </w:p>
    <w:p w14:paraId="189112FB" w14:textId="33BC52DD"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Health Canada (2008)</w:t>
      </w:r>
      <w:r w:rsidR="00203E7D" w:rsidRPr="00D850DF">
        <w:rPr>
          <w:rFonts w:asciiTheme="majorHAnsi" w:hAnsiTheme="majorHAnsi"/>
        </w:rPr>
        <w:t>.</w:t>
      </w:r>
      <w:r w:rsidRPr="00D850DF">
        <w:rPr>
          <w:rFonts w:asciiTheme="majorHAnsi" w:hAnsiTheme="majorHAnsi"/>
        </w:rPr>
        <w:t xml:space="preserve"> Guidelines for Canadian Drinking Water Quality Summary Table, p.14. Federal-Provincial-Territorial Committee on Drinking Water, Federal-Provincial-Territorial Committee on Health and the Environment.  </w:t>
      </w:r>
    </w:p>
    <w:p w14:paraId="739E6D26" w14:textId="26CBD590"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Health Canada (2010)</w:t>
      </w:r>
      <w:r w:rsidR="00203E7D" w:rsidRPr="00D850DF">
        <w:rPr>
          <w:rFonts w:asciiTheme="majorHAnsi" w:hAnsiTheme="majorHAnsi"/>
        </w:rPr>
        <w:t>.</w:t>
      </w:r>
      <w:r w:rsidRPr="00D850DF">
        <w:rPr>
          <w:rFonts w:asciiTheme="majorHAnsi" w:hAnsiTheme="majorHAnsi"/>
        </w:rPr>
        <w:t xml:space="preserve"> Tetrakis (hydroxymethyl) phosphonium sulfate. </w:t>
      </w:r>
      <w:r w:rsidR="00CF3A84" w:rsidRPr="00D850DF">
        <w:rPr>
          <w:rFonts w:asciiTheme="majorHAnsi" w:hAnsiTheme="majorHAnsi"/>
        </w:rPr>
        <w:t>Evaluation Report ERC2010-02.</w:t>
      </w:r>
      <w:r w:rsidR="00CF3A84">
        <w:rPr>
          <w:rFonts w:asciiTheme="majorHAnsi" w:hAnsiTheme="majorHAnsi"/>
        </w:rPr>
        <w:t xml:space="preserve"> </w:t>
      </w:r>
      <w:r w:rsidRPr="00D850DF">
        <w:rPr>
          <w:rFonts w:asciiTheme="majorHAnsi" w:hAnsiTheme="majorHAnsi"/>
        </w:rPr>
        <w:t xml:space="preserve">Pest Management Regulation Agency, Health Canada, Ottawa, Canada. </w:t>
      </w:r>
    </w:p>
    <w:p w14:paraId="329F91C3" w14:textId="2276DD3F" w:rsidR="00321549" w:rsidRPr="00D850DF" w:rsidRDefault="00321549" w:rsidP="000144B2">
      <w:pPr>
        <w:pStyle w:val="Body"/>
        <w:spacing w:afterLines="20" w:after="48"/>
        <w:ind w:left="567" w:hanging="567"/>
        <w:rPr>
          <w:rFonts w:asciiTheme="majorHAnsi" w:hAnsiTheme="majorHAnsi"/>
        </w:rPr>
      </w:pPr>
      <w:r w:rsidRPr="00D850DF">
        <w:rPr>
          <w:rFonts w:asciiTheme="majorHAnsi" w:hAnsiTheme="majorHAnsi"/>
        </w:rPr>
        <w:t>Helfferich F</w:t>
      </w:r>
      <w:r w:rsidR="00E74674" w:rsidRPr="00D850DF">
        <w:rPr>
          <w:rFonts w:asciiTheme="majorHAnsi" w:hAnsiTheme="majorHAnsi"/>
        </w:rPr>
        <w:t xml:space="preserve"> (</w:t>
      </w:r>
      <w:r w:rsidRPr="00D850DF">
        <w:rPr>
          <w:rFonts w:asciiTheme="majorHAnsi" w:hAnsiTheme="majorHAnsi"/>
        </w:rPr>
        <w:t>1962</w:t>
      </w:r>
      <w:r w:rsidR="00E74674" w:rsidRPr="00D850DF">
        <w:rPr>
          <w:rFonts w:asciiTheme="majorHAnsi" w:hAnsiTheme="majorHAnsi"/>
        </w:rPr>
        <w:t>)</w:t>
      </w:r>
      <w:r w:rsidR="00203E7D" w:rsidRPr="00D850DF">
        <w:rPr>
          <w:rFonts w:asciiTheme="majorHAnsi" w:hAnsiTheme="majorHAnsi"/>
        </w:rPr>
        <w:t>.</w:t>
      </w:r>
      <w:r w:rsidRPr="00D850DF">
        <w:rPr>
          <w:rFonts w:asciiTheme="majorHAnsi" w:hAnsiTheme="majorHAnsi"/>
        </w:rPr>
        <w:t xml:space="preserve"> Ion exchange. McGraw-Hill Book Co., New York.</w:t>
      </w:r>
    </w:p>
    <w:p w14:paraId="5C3C4B57" w14:textId="3C9E4702" w:rsidR="00FD6F6D" w:rsidRDefault="00FD6F6D" w:rsidP="000144B2">
      <w:pPr>
        <w:pStyle w:val="Body"/>
        <w:spacing w:afterLines="20" w:after="48"/>
        <w:ind w:left="567" w:hanging="567"/>
        <w:rPr>
          <w:rFonts w:asciiTheme="majorHAnsi" w:hAnsiTheme="majorHAnsi"/>
        </w:rPr>
      </w:pPr>
      <w:r w:rsidRPr="00D850DF">
        <w:rPr>
          <w:rFonts w:asciiTheme="majorHAnsi" w:hAnsiTheme="majorHAnsi"/>
        </w:rPr>
        <w:t>Helsel DR and Hirsch RM (2002)</w:t>
      </w:r>
      <w:r w:rsidR="00065463" w:rsidRPr="00D850DF">
        <w:rPr>
          <w:rFonts w:asciiTheme="majorHAnsi" w:hAnsiTheme="majorHAnsi"/>
        </w:rPr>
        <w:t>.</w:t>
      </w:r>
      <w:r w:rsidRPr="00D850DF">
        <w:rPr>
          <w:rFonts w:asciiTheme="majorHAnsi" w:hAnsiTheme="majorHAnsi"/>
        </w:rPr>
        <w:t xml:space="preserve"> Statistical Methods in Water Resources. Techniques of Water-Resources Investigations of the United States Geological Survey, Book 4, Hydrologic Analysis and Interpretation, Chapter A3, U.S. G</w:t>
      </w:r>
      <w:r w:rsidR="00373201" w:rsidRPr="00D850DF">
        <w:rPr>
          <w:rFonts w:asciiTheme="majorHAnsi" w:hAnsiTheme="majorHAnsi"/>
        </w:rPr>
        <w:t>eological Survery</w:t>
      </w:r>
      <w:r w:rsidRPr="00D850DF">
        <w:rPr>
          <w:rFonts w:asciiTheme="majorHAnsi" w:hAnsiTheme="majorHAnsi"/>
        </w:rPr>
        <w:t>.</w:t>
      </w:r>
    </w:p>
    <w:p w14:paraId="05DA07E8" w14:textId="62F57185" w:rsidR="006F6334" w:rsidRDefault="006F6334" w:rsidP="000144B2">
      <w:pPr>
        <w:pStyle w:val="Body"/>
        <w:spacing w:afterLines="20" w:after="48"/>
        <w:ind w:left="567" w:hanging="567"/>
        <w:rPr>
          <w:rFonts w:asciiTheme="majorHAnsi" w:hAnsiTheme="majorHAnsi"/>
        </w:rPr>
      </w:pPr>
      <w:r w:rsidRPr="00124C25">
        <w:rPr>
          <w:rFonts w:asciiTheme="majorHAnsi" w:hAnsiTheme="majorHAnsi"/>
        </w:rPr>
        <w:t>Henderson B, Hayes KR, O'Grady A, Mount R, Lewis S, Schmidt RK, Dambacher J, Barry S, Holland K and Raiber M (2015)</w:t>
      </w:r>
      <w:r>
        <w:rPr>
          <w:rFonts w:asciiTheme="majorHAnsi" w:hAnsiTheme="majorHAnsi"/>
        </w:rPr>
        <w:t>.</w:t>
      </w:r>
      <w:r w:rsidRPr="00124C25">
        <w:rPr>
          <w:rFonts w:asciiTheme="majorHAnsi" w:hAnsiTheme="majorHAnsi"/>
        </w:rPr>
        <w:t xml:space="preserve"> Developing the conceptual model of causal pathways. Submethodology M05 from the Bioregional Assessment Technical Programme. Department of the Environment, Bureau of Meteorology, CSIRO and Geoscience Australia, Australia</w:t>
      </w:r>
      <w:r w:rsidR="00D6763F">
        <w:rPr>
          <w:rFonts w:asciiTheme="majorHAnsi" w:hAnsiTheme="majorHAnsi"/>
        </w:rPr>
        <w:t xml:space="preserve"> (in preparation)</w:t>
      </w:r>
      <w:r w:rsidRPr="00124C25">
        <w:rPr>
          <w:rFonts w:asciiTheme="majorHAnsi" w:hAnsiTheme="majorHAnsi"/>
        </w:rPr>
        <w:t xml:space="preserve">. Viewed </w:t>
      </w:r>
      <w:r w:rsidR="00D6763F">
        <w:rPr>
          <w:rFonts w:asciiTheme="majorHAnsi" w:hAnsiTheme="majorHAnsi"/>
        </w:rPr>
        <w:t>23</w:t>
      </w:r>
      <w:r w:rsidRPr="00124C25">
        <w:rPr>
          <w:rFonts w:asciiTheme="majorHAnsi" w:hAnsiTheme="majorHAnsi"/>
        </w:rPr>
        <w:t xml:space="preserve"> </w:t>
      </w:r>
      <w:r w:rsidR="00D6763F">
        <w:rPr>
          <w:rFonts w:asciiTheme="majorHAnsi" w:hAnsiTheme="majorHAnsi"/>
        </w:rPr>
        <w:t>March</w:t>
      </w:r>
      <w:r w:rsidRPr="00124C25">
        <w:rPr>
          <w:rFonts w:asciiTheme="majorHAnsi" w:hAnsiTheme="majorHAnsi"/>
        </w:rPr>
        <w:t xml:space="preserve"> 201</w:t>
      </w:r>
      <w:r w:rsidR="00D6763F">
        <w:rPr>
          <w:rFonts w:asciiTheme="majorHAnsi" w:hAnsiTheme="majorHAnsi"/>
        </w:rPr>
        <w:t xml:space="preserve">7, </w:t>
      </w:r>
      <w:r w:rsidRPr="00124C25">
        <w:rPr>
          <w:rFonts w:asciiTheme="majorHAnsi" w:hAnsiTheme="majorHAnsi"/>
        </w:rPr>
        <w:t>http://data.bioregionalassessments.gov.au/submethodology/</w:t>
      </w:r>
      <w:r w:rsidR="00D6763F">
        <w:rPr>
          <w:rFonts w:asciiTheme="majorHAnsi" w:hAnsiTheme="majorHAnsi"/>
        </w:rPr>
        <w:t xml:space="preserve"> </w:t>
      </w:r>
      <w:r w:rsidRPr="00124C25">
        <w:rPr>
          <w:rFonts w:asciiTheme="majorHAnsi" w:hAnsiTheme="majorHAnsi"/>
        </w:rPr>
        <w:t>M05.</w:t>
      </w:r>
    </w:p>
    <w:p w14:paraId="3991225A" w14:textId="30E7C669" w:rsidR="004C5CBF" w:rsidRPr="00D850DF" w:rsidRDefault="004C5CBF" w:rsidP="004C5CBF">
      <w:pPr>
        <w:pStyle w:val="Body"/>
        <w:spacing w:afterLines="20" w:after="48"/>
        <w:ind w:left="567" w:hanging="567"/>
        <w:rPr>
          <w:rFonts w:asciiTheme="majorHAnsi" w:hAnsiTheme="majorHAnsi"/>
        </w:rPr>
      </w:pPr>
      <w:r w:rsidRPr="004C5CBF">
        <w:rPr>
          <w:rFonts w:asciiTheme="majorHAnsi" w:hAnsiTheme="majorHAnsi"/>
        </w:rPr>
        <w:t xml:space="preserve">Heys KA, Shore RF, </w:t>
      </w:r>
      <w:r>
        <w:rPr>
          <w:rFonts w:asciiTheme="majorHAnsi" w:hAnsiTheme="majorHAnsi"/>
        </w:rPr>
        <w:t xml:space="preserve">Pereira </w:t>
      </w:r>
      <w:r w:rsidRPr="004C5CBF">
        <w:rPr>
          <w:rFonts w:asciiTheme="majorHAnsi" w:hAnsiTheme="majorHAnsi"/>
        </w:rPr>
        <w:t xml:space="preserve">MG, </w:t>
      </w:r>
      <w:r>
        <w:rPr>
          <w:rFonts w:asciiTheme="majorHAnsi" w:hAnsiTheme="majorHAnsi"/>
        </w:rPr>
        <w:t>Jones</w:t>
      </w:r>
      <w:r w:rsidRPr="004C5CBF">
        <w:rPr>
          <w:rFonts w:asciiTheme="majorHAnsi" w:hAnsiTheme="majorHAnsi"/>
        </w:rPr>
        <w:t xml:space="preserve"> KC</w:t>
      </w:r>
      <w:r>
        <w:rPr>
          <w:rFonts w:asciiTheme="majorHAnsi" w:hAnsiTheme="majorHAnsi"/>
        </w:rPr>
        <w:t xml:space="preserve"> </w:t>
      </w:r>
      <w:r w:rsidRPr="004C5CBF">
        <w:rPr>
          <w:rFonts w:asciiTheme="majorHAnsi" w:hAnsiTheme="majorHAnsi"/>
        </w:rPr>
        <w:t>and Martin FL (</w:t>
      </w:r>
      <w:r>
        <w:rPr>
          <w:rFonts w:asciiTheme="majorHAnsi" w:hAnsiTheme="majorHAnsi"/>
        </w:rPr>
        <w:t>2016</w:t>
      </w:r>
      <w:r w:rsidRPr="004C5CBF">
        <w:rPr>
          <w:rFonts w:asciiTheme="majorHAnsi" w:hAnsiTheme="majorHAnsi"/>
        </w:rPr>
        <w:t>).</w:t>
      </w:r>
      <w:r>
        <w:rPr>
          <w:rFonts w:asciiTheme="majorHAnsi" w:hAnsiTheme="majorHAnsi"/>
        </w:rPr>
        <w:t xml:space="preserve"> Risk assessment of environmental mixture effects. RSC Advances 6: </w:t>
      </w:r>
      <w:r w:rsidRPr="004C5CBF">
        <w:rPr>
          <w:rFonts w:asciiTheme="majorHAnsi" w:hAnsiTheme="majorHAnsi"/>
        </w:rPr>
        <w:t>47844-47857.</w:t>
      </w:r>
    </w:p>
    <w:p w14:paraId="6D698F0C" w14:textId="560033A9" w:rsidR="001D777E" w:rsidRPr="00D850DF" w:rsidRDefault="001D777E" w:rsidP="00D94A1F">
      <w:pPr>
        <w:pStyle w:val="Body"/>
        <w:spacing w:afterLines="20" w:after="48"/>
        <w:ind w:left="567" w:hanging="567"/>
        <w:rPr>
          <w:rFonts w:asciiTheme="majorHAnsi" w:hAnsiTheme="majorHAnsi"/>
        </w:rPr>
      </w:pPr>
      <w:r w:rsidRPr="00D850DF">
        <w:rPr>
          <w:rFonts w:asciiTheme="majorHAnsi" w:hAnsiTheme="majorHAnsi"/>
        </w:rPr>
        <w:t xml:space="preserve">Herbes </w:t>
      </w:r>
      <w:r w:rsidR="00D94A1F" w:rsidRPr="00D850DF">
        <w:rPr>
          <w:rFonts w:asciiTheme="majorHAnsi" w:hAnsiTheme="majorHAnsi"/>
        </w:rPr>
        <w:t xml:space="preserve">SE </w:t>
      </w:r>
      <w:r w:rsidRPr="00D850DF">
        <w:rPr>
          <w:rFonts w:asciiTheme="majorHAnsi" w:hAnsiTheme="majorHAnsi"/>
        </w:rPr>
        <w:t xml:space="preserve">and Schwall </w:t>
      </w:r>
      <w:r w:rsidR="00D94A1F" w:rsidRPr="00D850DF">
        <w:rPr>
          <w:rFonts w:asciiTheme="majorHAnsi" w:hAnsiTheme="majorHAnsi"/>
        </w:rPr>
        <w:t xml:space="preserve">LR </w:t>
      </w:r>
      <w:r w:rsidRPr="00D850DF">
        <w:rPr>
          <w:rFonts w:asciiTheme="majorHAnsi" w:hAnsiTheme="majorHAnsi"/>
        </w:rPr>
        <w:t>(1978)</w:t>
      </w:r>
      <w:r w:rsidR="00065463" w:rsidRPr="00D850DF">
        <w:rPr>
          <w:rFonts w:asciiTheme="majorHAnsi" w:hAnsiTheme="majorHAnsi"/>
        </w:rPr>
        <w:t>.</w:t>
      </w:r>
      <w:r w:rsidR="00D94A1F" w:rsidRPr="00D850DF">
        <w:rPr>
          <w:rFonts w:asciiTheme="majorHAnsi" w:hAnsiTheme="majorHAnsi"/>
        </w:rPr>
        <w:t xml:space="preserve"> Microbial Transformation of Polycyclic Aromatic Hydrocarbons in Pristine and Petroleum-Contaminated Sediments. Applied and Environmental Microbiology 35: 306-316.</w:t>
      </w:r>
    </w:p>
    <w:p w14:paraId="74727AE4" w14:textId="70D2994A" w:rsidR="00055F1D" w:rsidRPr="00D850DF" w:rsidRDefault="00055F1D" w:rsidP="000144B2">
      <w:pPr>
        <w:pStyle w:val="Body"/>
        <w:spacing w:afterLines="20" w:after="48"/>
        <w:ind w:left="567" w:hanging="567"/>
        <w:rPr>
          <w:rFonts w:asciiTheme="majorHAnsi" w:hAnsiTheme="majorHAnsi"/>
        </w:rPr>
      </w:pPr>
      <w:r w:rsidRPr="00D850DF">
        <w:rPr>
          <w:rFonts w:asciiTheme="majorHAnsi" w:hAnsiTheme="majorHAnsi"/>
        </w:rPr>
        <w:t>Horowitz</w:t>
      </w:r>
      <w:r w:rsidR="00B9481C" w:rsidRPr="00D850DF">
        <w:rPr>
          <w:rFonts w:asciiTheme="majorHAnsi" w:hAnsiTheme="majorHAnsi"/>
        </w:rPr>
        <w:t xml:space="preserve"> A, Shelton</w:t>
      </w:r>
      <w:r w:rsidRPr="00D850DF">
        <w:rPr>
          <w:rFonts w:asciiTheme="majorHAnsi" w:hAnsiTheme="majorHAnsi"/>
        </w:rPr>
        <w:t xml:space="preserve"> D</w:t>
      </w:r>
      <w:r w:rsidR="00B9481C" w:rsidRPr="00D850DF">
        <w:rPr>
          <w:rFonts w:asciiTheme="majorHAnsi" w:hAnsiTheme="majorHAnsi"/>
        </w:rPr>
        <w:t>R, Cornell CP</w:t>
      </w:r>
      <w:r w:rsidR="00276555" w:rsidRPr="00D850DF">
        <w:rPr>
          <w:rFonts w:asciiTheme="majorHAnsi" w:hAnsiTheme="majorHAnsi"/>
        </w:rPr>
        <w:t>,</w:t>
      </w:r>
      <w:r w:rsidR="00B9481C" w:rsidRPr="00D850DF">
        <w:rPr>
          <w:rFonts w:asciiTheme="majorHAnsi" w:hAnsiTheme="majorHAnsi"/>
        </w:rPr>
        <w:t xml:space="preserve"> and Tiedje JM</w:t>
      </w:r>
      <w:r w:rsidRPr="00D850DF">
        <w:rPr>
          <w:rFonts w:asciiTheme="majorHAnsi" w:hAnsiTheme="majorHAnsi"/>
        </w:rPr>
        <w:t xml:space="preserve"> (1982)</w:t>
      </w:r>
      <w:r w:rsidR="00065463" w:rsidRPr="00D850DF">
        <w:rPr>
          <w:rFonts w:asciiTheme="majorHAnsi" w:hAnsiTheme="majorHAnsi"/>
        </w:rPr>
        <w:t>.</w:t>
      </w:r>
      <w:r w:rsidRPr="00D850DF">
        <w:rPr>
          <w:rFonts w:asciiTheme="majorHAnsi" w:hAnsiTheme="majorHAnsi"/>
        </w:rPr>
        <w:t xml:space="preserve"> Anaerobic degradation of aromatic compounds in sediments and digested-sludge</w:t>
      </w:r>
      <w:r w:rsidR="00B9481C" w:rsidRPr="00D850DF">
        <w:rPr>
          <w:rFonts w:asciiTheme="majorHAnsi" w:hAnsiTheme="majorHAnsi"/>
        </w:rPr>
        <w:t>.</w:t>
      </w:r>
      <w:r w:rsidRPr="00D850DF">
        <w:rPr>
          <w:rFonts w:asciiTheme="majorHAnsi" w:hAnsiTheme="majorHAnsi"/>
        </w:rPr>
        <w:t xml:space="preserve"> Developments in Industrial Microbiology 23</w:t>
      </w:r>
      <w:r w:rsidR="00370368" w:rsidRPr="00D850DF">
        <w:rPr>
          <w:rFonts w:asciiTheme="majorHAnsi" w:hAnsiTheme="majorHAnsi"/>
        </w:rPr>
        <w:t>:</w:t>
      </w:r>
      <w:r w:rsidRPr="00D850DF">
        <w:rPr>
          <w:rFonts w:asciiTheme="majorHAnsi" w:hAnsiTheme="majorHAnsi"/>
        </w:rPr>
        <w:t xml:space="preserve"> 435-444.</w:t>
      </w:r>
    </w:p>
    <w:p w14:paraId="1E367656" w14:textId="5A607B60" w:rsidR="009612F2" w:rsidRPr="00D850DF" w:rsidRDefault="009612F2" w:rsidP="009612F2">
      <w:pPr>
        <w:pStyle w:val="Body"/>
        <w:spacing w:afterLines="20" w:after="48"/>
        <w:ind w:left="567" w:hanging="567"/>
        <w:rPr>
          <w:rFonts w:asciiTheme="majorHAnsi" w:hAnsiTheme="majorHAnsi"/>
        </w:rPr>
      </w:pPr>
      <w:r w:rsidRPr="00D850DF">
        <w:rPr>
          <w:rFonts w:asciiTheme="majorHAnsi" w:hAnsiTheme="majorHAnsi"/>
        </w:rPr>
        <w:t xml:space="preserve">Howard PH </w:t>
      </w:r>
      <w:r w:rsidR="00C215AA" w:rsidRPr="00D850DF">
        <w:rPr>
          <w:rFonts w:asciiTheme="majorHAnsi" w:hAnsiTheme="majorHAnsi"/>
        </w:rPr>
        <w:t>(</w:t>
      </w:r>
      <w:r w:rsidRPr="00D850DF">
        <w:rPr>
          <w:rFonts w:asciiTheme="majorHAnsi" w:hAnsiTheme="majorHAnsi"/>
        </w:rPr>
        <w:t>1989</w:t>
      </w:r>
      <w:r w:rsidR="00C215AA"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Naphthalene. Handbook of Environmental Fate and Exposure Data for Organic Chemicals. Jarvis, W. F., G.W. Sage, D.K. Basu, D.A. Gray, W. Meylan, E.K. Crosbie, E. K., Eds. Lewis Publishers: Chelsea, MI. Vol. 1</w:t>
      </w:r>
      <w:r w:rsidR="00370368" w:rsidRPr="00D850DF">
        <w:rPr>
          <w:rFonts w:asciiTheme="majorHAnsi" w:hAnsiTheme="majorHAnsi"/>
        </w:rPr>
        <w:t>:</w:t>
      </w:r>
      <w:r w:rsidRPr="00D850DF">
        <w:rPr>
          <w:rFonts w:asciiTheme="majorHAnsi" w:hAnsiTheme="majorHAnsi"/>
        </w:rPr>
        <w:t xml:space="preserve"> 408-422.</w:t>
      </w:r>
    </w:p>
    <w:p w14:paraId="26C01366" w14:textId="1072DF83" w:rsidR="00C215AA" w:rsidRPr="00D850DF" w:rsidRDefault="00C215AA" w:rsidP="00C215AA">
      <w:pPr>
        <w:pStyle w:val="Body"/>
        <w:spacing w:afterLines="20" w:after="48"/>
        <w:ind w:left="567" w:hanging="567"/>
        <w:rPr>
          <w:rFonts w:asciiTheme="majorHAnsi" w:hAnsiTheme="majorHAnsi"/>
        </w:rPr>
      </w:pPr>
      <w:r w:rsidRPr="00D850DF">
        <w:rPr>
          <w:rFonts w:asciiTheme="majorHAnsi" w:hAnsiTheme="majorHAnsi"/>
        </w:rPr>
        <w:t xml:space="preserve">Howard PH, Boethling RS, Jarvis WF, Meylan WM, </w:t>
      </w:r>
      <w:r w:rsidR="00276555" w:rsidRPr="00D850DF">
        <w:rPr>
          <w:rFonts w:asciiTheme="majorHAnsi" w:hAnsiTheme="majorHAnsi"/>
        </w:rPr>
        <w:t xml:space="preserve">and </w:t>
      </w:r>
      <w:r w:rsidRPr="00D850DF">
        <w:rPr>
          <w:rFonts w:asciiTheme="majorHAnsi" w:hAnsiTheme="majorHAnsi"/>
        </w:rPr>
        <w:t>Michalenko EM (1991)</w:t>
      </w:r>
      <w:r w:rsidR="00065463" w:rsidRPr="00D850DF">
        <w:rPr>
          <w:rFonts w:asciiTheme="majorHAnsi" w:hAnsiTheme="majorHAnsi"/>
        </w:rPr>
        <w:t>.</w:t>
      </w:r>
      <w:r w:rsidRPr="00D850DF">
        <w:rPr>
          <w:rFonts w:asciiTheme="majorHAnsi" w:hAnsiTheme="majorHAnsi"/>
        </w:rPr>
        <w:t xml:space="preserve"> Handbook of Environmental Degradation Rates. Lewis, Chelsea, MI, USA.</w:t>
      </w:r>
    </w:p>
    <w:p w14:paraId="4BA1F1F8" w14:textId="5BB6DB3D" w:rsidR="00D9435D" w:rsidRDefault="00900E5C" w:rsidP="000144B2">
      <w:pPr>
        <w:pStyle w:val="Body"/>
        <w:spacing w:afterLines="20" w:after="48"/>
        <w:ind w:left="567" w:hanging="567"/>
        <w:rPr>
          <w:rFonts w:asciiTheme="majorHAnsi" w:hAnsiTheme="majorHAnsi"/>
        </w:rPr>
      </w:pPr>
      <w:hyperlink r:id="rId226" w:history="1">
        <w:r w:rsidR="00D9435D" w:rsidRPr="00D850DF">
          <w:rPr>
            <w:rFonts w:asciiTheme="majorHAnsi" w:hAnsiTheme="majorHAnsi"/>
          </w:rPr>
          <w:t>Hughes MF</w:t>
        </w:r>
      </w:hyperlink>
      <w:r w:rsidR="00D9435D" w:rsidRPr="00D850DF">
        <w:rPr>
          <w:rFonts w:asciiTheme="majorHAnsi" w:hAnsiTheme="majorHAnsi"/>
        </w:rPr>
        <w:t xml:space="preserve">, </w:t>
      </w:r>
      <w:hyperlink r:id="rId227" w:history="1">
        <w:r w:rsidR="00D9435D" w:rsidRPr="00D850DF">
          <w:rPr>
            <w:rFonts w:asciiTheme="majorHAnsi" w:hAnsiTheme="majorHAnsi"/>
          </w:rPr>
          <w:t>Beck BD</w:t>
        </w:r>
      </w:hyperlink>
      <w:r w:rsidR="00D9435D" w:rsidRPr="00D850DF">
        <w:rPr>
          <w:rFonts w:asciiTheme="majorHAnsi" w:hAnsiTheme="majorHAnsi"/>
        </w:rPr>
        <w:t xml:space="preserve">, </w:t>
      </w:r>
      <w:hyperlink r:id="rId228" w:history="1">
        <w:r w:rsidR="00D9435D" w:rsidRPr="00D850DF">
          <w:rPr>
            <w:rFonts w:asciiTheme="majorHAnsi" w:hAnsiTheme="majorHAnsi"/>
          </w:rPr>
          <w:t>Chen Y</w:t>
        </w:r>
      </w:hyperlink>
      <w:r w:rsidR="00D9435D" w:rsidRPr="00D850DF">
        <w:rPr>
          <w:rFonts w:asciiTheme="majorHAnsi" w:hAnsiTheme="majorHAnsi"/>
        </w:rPr>
        <w:t xml:space="preserve">, </w:t>
      </w:r>
      <w:hyperlink r:id="rId229" w:history="1">
        <w:r w:rsidR="00D9435D" w:rsidRPr="00D850DF">
          <w:rPr>
            <w:rFonts w:asciiTheme="majorHAnsi" w:hAnsiTheme="majorHAnsi"/>
          </w:rPr>
          <w:t>Lewis AS</w:t>
        </w:r>
      </w:hyperlink>
      <w:r w:rsidR="00D9435D" w:rsidRPr="00D850DF">
        <w:rPr>
          <w:rFonts w:asciiTheme="majorHAnsi" w:hAnsiTheme="majorHAnsi"/>
        </w:rPr>
        <w:t xml:space="preserve">, </w:t>
      </w:r>
      <w:r w:rsidR="00276555" w:rsidRPr="00D850DF">
        <w:rPr>
          <w:rFonts w:asciiTheme="majorHAnsi" w:hAnsiTheme="majorHAnsi"/>
        </w:rPr>
        <w:t xml:space="preserve">and </w:t>
      </w:r>
      <w:hyperlink r:id="rId230" w:history="1">
        <w:r w:rsidR="00D9435D" w:rsidRPr="00D850DF">
          <w:rPr>
            <w:rFonts w:asciiTheme="majorHAnsi" w:hAnsiTheme="majorHAnsi"/>
          </w:rPr>
          <w:t>Thomas DJ</w:t>
        </w:r>
      </w:hyperlink>
      <w:r w:rsidR="00D9435D" w:rsidRPr="00D850DF">
        <w:rPr>
          <w:rFonts w:asciiTheme="majorHAnsi" w:hAnsiTheme="majorHAnsi"/>
        </w:rPr>
        <w:t xml:space="preserve"> (2011)</w:t>
      </w:r>
      <w:r w:rsidR="00065463" w:rsidRPr="00D850DF">
        <w:rPr>
          <w:rFonts w:asciiTheme="majorHAnsi" w:hAnsiTheme="majorHAnsi"/>
        </w:rPr>
        <w:t>.</w:t>
      </w:r>
      <w:r w:rsidR="00D9435D" w:rsidRPr="00D850DF">
        <w:rPr>
          <w:rFonts w:asciiTheme="majorHAnsi" w:hAnsiTheme="majorHAnsi"/>
        </w:rPr>
        <w:t xml:space="preserve"> Arsenic exposure and toxicology: A historical perspective. Toxicological Sciences 123</w:t>
      </w:r>
      <w:r w:rsidR="00370368" w:rsidRPr="00D850DF">
        <w:rPr>
          <w:rFonts w:asciiTheme="majorHAnsi" w:hAnsiTheme="majorHAnsi"/>
        </w:rPr>
        <w:t>:</w:t>
      </w:r>
      <w:r w:rsidR="00D9435D" w:rsidRPr="00D850DF">
        <w:rPr>
          <w:rFonts w:asciiTheme="majorHAnsi" w:hAnsiTheme="majorHAnsi"/>
        </w:rPr>
        <w:t xml:space="preserve"> 305–332.</w:t>
      </w:r>
    </w:p>
    <w:p w14:paraId="4EEFACD4" w14:textId="77777777" w:rsidR="00F40627" w:rsidRDefault="00F40627" w:rsidP="00F40627">
      <w:pPr>
        <w:pStyle w:val="Body"/>
        <w:spacing w:afterLines="20" w:after="48"/>
        <w:ind w:left="567" w:hanging="567"/>
        <w:rPr>
          <w:rFonts w:asciiTheme="majorHAnsi" w:hAnsiTheme="majorHAnsi"/>
        </w:rPr>
      </w:pPr>
      <w:r w:rsidRPr="00F40627">
        <w:rPr>
          <w:rFonts w:asciiTheme="majorHAnsi" w:hAnsiTheme="majorHAnsi"/>
        </w:rPr>
        <w:t>Hunt B (1983). Mathematical Analysis of Groundwater Resources. Butterworth &amp; Co., London. 271 pp.</w:t>
      </w:r>
      <w:r>
        <w:rPr>
          <w:rFonts w:asciiTheme="majorHAnsi" w:hAnsiTheme="majorHAnsi"/>
        </w:rPr>
        <w:t xml:space="preserve"> </w:t>
      </w:r>
    </w:p>
    <w:p w14:paraId="4D014836" w14:textId="5BC61D7A" w:rsidR="0070044A" w:rsidRDefault="0070044A" w:rsidP="00F40627">
      <w:pPr>
        <w:pStyle w:val="Body"/>
        <w:spacing w:afterLines="20" w:after="48"/>
        <w:ind w:left="567" w:hanging="567"/>
        <w:rPr>
          <w:rFonts w:asciiTheme="majorHAnsi" w:hAnsiTheme="majorHAnsi"/>
        </w:rPr>
      </w:pPr>
      <w:r w:rsidRPr="00D850DF">
        <w:rPr>
          <w:rFonts w:asciiTheme="majorHAnsi" w:hAnsiTheme="majorHAnsi"/>
        </w:rPr>
        <w:t>Hurst A, Scott A</w:t>
      </w:r>
      <w:r w:rsidR="00276555" w:rsidRPr="00D850DF">
        <w:rPr>
          <w:rFonts w:asciiTheme="majorHAnsi" w:hAnsiTheme="majorHAnsi"/>
        </w:rPr>
        <w:t>,</w:t>
      </w:r>
      <w:r w:rsidRPr="00D850DF">
        <w:rPr>
          <w:rFonts w:asciiTheme="majorHAnsi" w:hAnsiTheme="majorHAnsi"/>
        </w:rPr>
        <w:t xml:space="preserve"> and Vigorito M (2011)</w:t>
      </w:r>
      <w:r w:rsidR="00065463" w:rsidRPr="00D850DF">
        <w:rPr>
          <w:rFonts w:asciiTheme="majorHAnsi" w:hAnsiTheme="majorHAnsi"/>
        </w:rPr>
        <w:t>.</w:t>
      </w:r>
      <w:r w:rsidRPr="00D850DF">
        <w:rPr>
          <w:rFonts w:asciiTheme="majorHAnsi" w:hAnsiTheme="majorHAnsi"/>
        </w:rPr>
        <w:t xml:space="preserve"> Physical characteristics of sand injectites.</w:t>
      </w:r>
      <w:r w:rsidR="00107AAB" w:rsidRPr="00D850DF">
        <w:rPr>
          <w:rFonts w:asciiTheme="majorHAnsi" w:hAnsiTheme="majorHAnsi"/>
        </w:rPr>
        <w:t xml:space="preserve"> Earth</w:t>
      </w:r>
      <w:r w:rsidR="00626299" w:rsidRPr="00D850DF">
        <w:rPr>
          <w:rFonts w:asciiTheme="majorHAnsi" w:hAnsiTheme="majorHAnsi"/>
        </w:rPr>
        <w:t xml:space="preserve"> </w:t>
      </w:r>
      <w:r w:rsidR="00107AAB" w:rsidRPr="00D850DF">
        <w:rPr>
          <w:rFonts w:asciiTheme="majorHAnsi" w:hAnsiTheme="majorHAnsi"/>
        </w:rPr>
        <w:t>Science Reviews 106: 215-</w:t>
      </w:r>
      <w:r w:rsidRPr="00D850DF">
        <w:rPr>
          <w:rFonts w:asciiTheme="majorHAnsi" w:hAnsiTheme="majorHAnsi"/>
        </w:rPr>
        <w:t>246.</w:t>
      </w:r>
    </w:p>
    <w:p w14:paraId="1E761FF5" w14:textId="6806F7EB" w:rsidR="00F10674" w:rsidRDefault="00F10674" w:rsidP="00F40627">
      <w:pPr>
        <w:pStyle w:val="Body"/>
        <w:spacing w:afterLines="20" w:after="48"/>
        <w:ind w:left="567" w:hanging="567"/>
        <w:rPr>
          <w:rFonts w:asciiTheme="majorHAnsi" w:hAnsiTheme="majorHAnsi"/>
        </w:rPr>
      </w:pPr>
      <w:r w:rsidRPr="00E6110F">
        <w:t xml:space="preserve">Huyakorn </w:t>
      </w:r>
      <w:r>
        <w:t>PS, Ungs MJ, Mulkey LA, and Sudicky EA</w:t>
      </w:r>
      <w:r w:rsidRPr="00E6110F">
        <w:t xml:space="preserve"> </w:t>
      </w:r>
      <w:r>
        <w:t>(</w:t>
      </w:r>
      <w:r w:rsidRPr="00E6110F">
        <w:t>1987</w:t>
      </w:r>
      <w:r>
        <w:t>). A three-dimensional analytical model for predicting leachate migration. Groundwater 25(5): 588-598.</w:t>
      </w:r>
    </w:p>
    <w:p w14:paraId="58643638" w14:textId="17982E7B" w:rsidR="00804766" w:rsidRPr="00D850DF" w:rsidRDefault="00804766" w:rsidP="000144B2">
      <w:pPr>
        <w:pStyle w:val="Body"/>
        <w:spacing w:afterLines="20" w:after="48"/>
        <w:ind w:left="567" w:hanging="567"/>
        <w:rPr>
          <w:rFonts w:asciiTheme="majorHAnsi" w:hAnsiTheme="majorHAnsi"/>
        </w:rPr>
      </w:pPr>
      <w:r>
        <w:rPr>
          <w:rFonts w:asciiTheme="majorHAnsi" w:hAnsiTheme="majorHAnsi"/>
        </w:rPr>
        <w:t>Huysmans M and Dassargues A (2005). Review of the use of Peclet numbers to determine the relative importance of advection and diffusion in low permeability environments. Hydrogeology Journal</w:t>
      </w:r>
      <w:r w:rsidR="00211B86">
        <w:rPr>
          <w:rFonts w:asciiTheme="majorHAnsi" w:hAnsiTheme="majorHAnsi"/>
        </w:rPr>
        <w:t xml:space="preserve"> 13: 898-904.</w:t>
      </w:r>
    </w:p>
    <w:p w14:paraId="4DDC2D41" w14:textId="795CC46B" w:rsidR="00DE783A" w:rsidRPr="00D850DF" w:rsidRDefault="00DE783A" w:rsidP="00DE783A">
      <w:pPr>
        <w:pStyle w:val="Body"/>
        <w:spacing w:afterLines="20" w:after="48"/>
        <w:ind w:left="567" w:hanging="567"/>
        <w:rPr>
          <w:rFonts w:asciiTheme="majorHAnsi" w:hAnsiTheme="majorHAnsi"/>
        </w:rPr>
      </w:pPr>
      <w:r w:rsidRPr="00D850DF">
        <w:rPr>
          <w:rFonts w:asciiTheme="majorHAnsi" w:hAnsiTheme="majorHAnsi"/>
        </w:rPr>
        <w:t>IAEA (2001). Environmental Isotopes in the Hydrological Cycle: Principles and Applications, vol. 1</w:t>
      </w:r>
      <w:r w:rsidR="009A62A3">
        <w:rPr>
          <w:rFonts w:asciiTheme="majorHAnsi" w:hAnsiTheme="majorHAnsi"/>
        </w:rPr>
        <w:t>.</w:t>
      </w:r>
      <w:r w:rsidRPr="00D850DF">
        <w:rPr>
          <w:rFonts w:asciiTheme="majorHAnsi" w:hAnsiTheme="majorHAnsi"/>
        </w:rPr>
        <w:t xml:space="preserve"> I</w:t>
      </w:r>
      <w:r w:rsidR="009A62A3">
        <w:rPr>
          <w:rFonts w:asciiTheme="majorHAnsi" w:hAnsiTheme="majorHAnsi"/>
        </w:rPr>
        <w:t xml:space="preserve">nternational </w:t>
      </w:r>
      <w:r w:rsidRPr="00D850DF">
        <w:rPr>
          <w:rFonts w:asciiTheme="majorHAnsi" w:hAnsiTheme="majorHAnsi"/>
        </w:rPr>
        <w:t>A</w:t>
      </w:r>
      <w:r w:rsidR="009A62A3">
        <w:rPr>
          <w:rFonts w:asciiTheme="majorHAnsi" w:hAnsiTheme="majorHAnsi"/>
        </w:rPr>
        <w:t xml:space="preserve">tomic </w:t>
      </w:r>
      <w:r w:rsidRPr="00D850DF">
        <w:rPr>
          <w:rFonts w:asciiTheme="majorHAnsi" w:hAnsiTheme="majorHAnsi"/>
        </w:rPr>
        <w:t>E</w:t>
      </w:r>
      <w:r w:rsidR="009A62A3">
        <w:rPr>
          <w:rFonts w:asciiTheme="majorHAnsi" w:hAnsiTheme="majorHAnsi"/>
        </w:rPr>
        <w:t xml:space="preserve">negy </w:t>
      </w:r>
      <w:r w:rsidRPr="00D850DF">
        <w:rPr>
          <w:rFonts w:asciiTheme="majorHAnsi" w:hAnsiTheme="majorHAnsi"/>
        </w:rPr>
        <w:t>A</w:t>
      </w:r>
      <w:r w:rsidR="009A62A3">
        <w:rPr>
          <w:rFonts w:asciiTheme="majorHAnsi" w:hAnsiTheme="majorHAnsi"/>
        </w:rPr>
        <w:t>gency</w:t>
      </w:r>
      <w:r w:rsidRPr="00D850DF">
        <w:rPr>
          <w:rFonts w:asciiTheme="majorHAnsi" w:hAnsiTheme="majorHAnsi"/>
        </w:rPr>
        <w:t xml:space="preserve"> and UNESCO, Vienna</w:t>
      </w:r>
      <w:r w:rsidR="009A62A3">
        <w:rPr>
          <w:rFonts w:asciiTheme="majorHAnsi" w:hAnsiTheme="majorHAnsi"/>
        </w:rPr>
        <w:t>.</w:t>
      </w:r>
    </w:p>
    <w:p w14:paraId="39EC99EC" w14:textId="10521729"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IARC (2004)</w:t>
      </w:r>
      <w:r w:rsidR="00065463" w:rsidRPr="00D850DF">
        <w:rPr>
          <w:rFonts w:asciiTheme="majorHAnsi" w:hAnsiTheme="majorHAnsi"/>
        </w:rPr>
        <w:t>.</w:t>
      </w:r>
      <w:r w:rsidRPr="00D850DF">
        <w:rPr>
          <w:rFonts w:asciiTheme="majorHAnsi" w:hAnsiTheme="majorHAnsi"/>
        </w:rPr>
        <w:t xml:space="preserve"> Arsenic in drinking water. International Agency for Research on Cancer. </w:t>
      </w:r>
    </w:p>
    <w:p w14:paraId="12F1CF2A" w14:textId="4B78194A" w:rsidR="00D94A1F" w:rsidRPr="00D850DF" w:rsidRDefault="00D94A1F" w:rsidP="00D94A1F">
      <w:pPr>
        <w:pStyle w:val="Body"/>
        <w:spacing w:afterLines="20" w:after="48"/>
        <w:ind w:left="567" w:hanging="567"/>
        <w:rPr>
          <w:rFonts w:asciiTheme="majorHAnsi" w:hAnsiTheme="majorHAnsi"/>
        </w:rPr>
      </w:pPr>
      <w:r w:rsidRPr="00D850DF">
        <w:rPr>
          <w:rFonts w:asciiTheme="majorHAnsi" w:hAnsiTheme="majorHAnsi"/>
        </w:rPr>
        <w:t>IOM (2001)</w:t>
      </w:r>
      <w:r w:rsidR="00065463" w:rsidRPr="00D850DF">
        <w:rPr>
          <w:rFonts w:asciiTheme="majorHAnsi" w:hAnsiTheme="majorHAnsi"/>
        </w:rPr>
        <w:t xml:space="preserve">. </w:t>
      </w:r>
      <w:r w:rsidRPr="00D850DF">
        <w:rPr>
          <w:rFonts w:asciiTheme="majorHAnsi" w:hAnsiTheme="majorHAnsi"/>
        </w:rPr>
        <w:t xml:space="preserve">Dietary reference intakes for Vitamin A, Vitamin K, Boron, Chromium, Copper, Iodine, Iron, Manganese, Molybdenum, Nickel, Silicon, Vanadium, and Zinc. Institute of Medicine, National Academy Press, Washington, DC. </w:t>
      </w:r>
    </w:p>
    <w:p w14:paraId="0C97DC61" w14:textId="1A4144BD"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IPCS (2001</w:t>
      </w:r>
      <w:r w:rsidR="00F054EA" w:rsidRPr="00D850DF">
        <w:rPr>
          <w:rFonts w:asciiTheme="majorHAnsi" w:hAnsiTheme="majorHAnsi"/>
        </w:rPr>
        <w:t>a</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Barium and barium compounds. Concise International Chemical Assessment Document 33. International Programme on Chemical Safety, World Health Organisation</w:t>
      </w:r>
      <w:r w:rsidR="00CF3A84">
        <w:rPr>
          <w:rFonts w:asciiTheme="majorHAnsi" w:hAnsiTheme="majorHAnsi"/>
        </w:rPr>
        <w:t xml:space="preserve">, </w:t>
      </w:r>
      <w:r w:rsidR="00CF3A84" w:rsidRPr="00D850DF">
        <w:rPr>
          <w:rFonts w:asciiTheme="majorHAnsi" w:hAnsiTheme="majorHAnsi"/>
        </w:rPr>
        <w:t>Geneva, Switzerland</w:t>
      </w:r>
      <w:r w:rsidRPr="00D850DF">
        <w:rPr>
          <w:rFonts w:asciiTheme="majorHAnsi" w:hAnsiTheme="majorHAnsi"/>
        </w:rPr>
        <w:t xml:space="preserve">. </w:t>
      </w:r>
    </w:p>
    <w:p w14:paraId="4FE5D300" w14:textId="68E072D8"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IPCS (2001</w:t>
      </w:r>
      <w:r w:rsidR="00F054EA" w:rsidRPr="00D850DF">
        <w:rPr>
          <w:rFonts w:asciiTheme="majorHAnsi" w:hAnsiTheme="majorHAnsi"/>
        </w:rPr>
        <w:t>b</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Environmental Health Criteria 224: Arsenic and arsenic compounds. </w:t>
      </w:r>
      <w:r w:rsidR="00CF3A84" w:rsidRPr="00D850DF">
        <w:rPr>
          <w:rFonts w:asciiTheme="majorHAnsi" w:hAnsiTheme="majorHAnsi"/>
        </w:rPr>
        <w:t>International Programme on Chemical Safety</w:t>
      </w:r>
      <w:r w:rsidR="00CF3A84">
        <w:rPr>
          <w:rFonts w:asciiTheme="majorHAnsi" w:hAnsiTheme="majorHAnsi"/>
        </w:rPr>
        <w:t xml:space="preserve">, </w:t>
      </w:r>
      <w:r w:rsidRPr="00D850DF">
        <w:rPr>
          <w:rFonts w:asciiTheme="majorHAnsi" w:hAnsiTheme="majorHAnsi"/>
        </w:rPr>
        <w:t xml:space="preserve">World Health Organisation, </w:t>
      </w:r>
      <w:r w:rsidR="00CF3A84">
        <w:rPr>
          <w:rFonts w:asciiTheme="majorHAnsi" w:hAnsiTheme="majorHAnsi"/>
        </w:rPr>
        <w:t>G</w:t>
      </w:r>
      <w:r w:rsidRPr="00D850DF">
        <w:rPr>
          <w:rFonts w:asciiTheme="majorHAnsi" w:hAnsiTheme="majorHAnsi"/>
        </w:rPr>
        <w:t>eneva, Switzerland.</w:t>
      </w:r>
    </w:p>
    <w:p w14:paraId="5C17E5D4" w14:textId="46375FF2" w:rsidR="0071601A" w:rsidRPr="00D850DF" w:rsidRDefault="0071601A" w:rsidP="000144B2">
      <w:pPr>
        <w:pStyle w:val="Body"/>
        <w:spacing w:afterLines="20" w:after="48"/>
        <w:ind w:left="567" w:hanging="567"/>
        <w:rPr>
          <w:rFonts w:asciiTheme="majorHAnsi" w:hAnsiTheme="majorHAnsi"/>
        </w:rPr>
      </w:pPr>
      <w:r w:rsidRPr="00D850DF">
        <w:rPr>
          <w:rFonts w:asciiTheme="majorHAnsi" w:hAnsiTheme="majorHAnsi"/>
        </w:rPr>
        <w:t>Jacobson A and Williams TM (2000)</w:t>
      </w:r>
      <w:r w:rsidR="00065463" w:rsidRPr="00D850DF">
        <w:rPr>
          <w:rFonts w:asciiTheme="majorHAnsi" w:hAnsiTheme="majorHAnsi"/>
        </w:rPr>
        <w:t>.</w:t>
      </w:r>
      <w:r w:rsidRPr="00D850DF">
        <w:rPr>
          <w:rFonts w:asciiTheme="majorHAnsi" w:hAnsiTheme="majorHAnsi"/>
        </w:rPr>
        <w:t xml:space="preserve"> The environmental fate of isothiazolone</w:t>
      </w:r>
      <w:r w:rsidR="00107AAB" w:rsidRPr="00D850DF">
        <w:rPr>
          <w:rFonts w:asciiTheme="majorHAnsi" w:hAnsiTheme="majorHAnsi"/>
        </w:rPr>
        <w:t xml:space="preserve"> biocides</w:t>
      </w:r>
      <w:r w:rsidR="00370368" w:rsidRPr="00D850DF">
        <w:rPr>
          <w:rFonts w:asciiTheme="majorHAnsi" w:hAnsiTheme="majorHAnsi"/>
        </w:rPr>
        <w:t>.</w:t>
      </w:r>
      <w:r w:rsidR="00107AAB" w:rsidRPr="00D850DF">
        <w:rPr>
          <w:rFonts w:asciiTheme="majorHAnsi" w:hAnsiTheme="majorHAnsi"/>
        </w:rPr>
        <w:t xml:space="preserve"> Chimica Oggi 18(10):</w:t>
      </w:r>
      <w:r w:rsidRPr="00D850DF">
        <w:rPr>
          <w:rFonts w:asciiTheme="majorHAnsi" w:hAnsiTheme="majorHAnsi"/>
        </w:rPr>
        <w:t xml:space="preserve"> 105-108.</w:t>
      </w:r>
    </w:p>
    <w:p w14:paraId="1AA0E17B" w14:textId="596F19BA" w:rsidR="00D94A1F" w:rsidRPr="00D850DF" w:rsidRDefault="00D94A1F" w:rsidP="00D94A1F">
      <w:pPr>
        <w:pStyle w:val="Body"/>
        <w:spacing w:afterLines="20" w:after="48"/>
        <w:ind w:left="567" w:hanging="567"/>
        <w:rPr>
          <w:rFonts w:asciiTheme="majorHAnsi" w:hAnsiTheme="majorHAnsi"/>
        </w:rPr>
      </w:pPr>
      <w:r w:rsidRPr="00D850DF">
        <w:rPr>
          <w:rFonts w:asciiTheme="majorHAnsi" w:hAnsiTheme="majorHAnsi"/>
        </w:rPr>
        <w:t>Jackson RB, Vengosh A, Darrah TH, Warner NR, Down A, Poreda RJ, Osborn SG, Zhao K, and Karr JD (2013)</w:t>
      </w:r>
      <w:r w:rsidR="00065463" w:rsidRPr="00D850DF">
        <w:rPr>
          <w:rFonts w:asciiTheme="majorHAnsi" w:hAnsiTheme="majorHAnsi"/>
        </w:rPr>
        <w:t>.</w:t>
      </w:r>
      <w:r w:rsidRPr="00D850DF">
        <w:rPr>
          <w:rFonts w:asciiTheme="majorHAnsi" w:hAnsiTheme="majorHAnsi"/>
        </w:rPr>
        <w:t xml:space="preserve"> Increased stray gas abundance in a subset of drinking water wells near Marcellus shale gas extraction. P</w:t>
      </w:r>
      <w:r w:rsidR="00373201" w:rsidRPr="00D850DF">
        <w:rPr>
          <w:rFonts w:asciiTheme="majorHAnsi" w:hAnsiTheme="majorHAnsi"/>
        </w:rPr>
        <w:t>roceedings of the National Academy of Sciences</w:t>
      </w:r>
      <w:r w:rsidRPr="00D850DF">
        <w:rPr>
          <w:rFonts w:asciiTheme="majorHAnsi" w:hAnsiTheme="majorHAnsi"/>
        </w:rPr>
        <w:t xml:space="preserve"> 110: 11250-11255. </w:t>
      </w:r>
      <w:hyperlink r:id="rId231" w:history="1">
        <w:r w:rsidRPr="00D850DF">
          <w:rPr>
            <w:rFonts w:asciiTheme="majorHAnsi" w:hAnsiTheme="majorHAnsi"/>
          </w:rPr>
          <w:t>http://dx.doi.org/10.1073/pnas.1221635110</w:t>
        </w:r>
      </w:hyperlink>
      <w:r w:rsidRPr="00D850DF">
        <w:rPr>
          <w:rFonts w:asciiTheme="majorHAnsi" w:hAnsiTheme="majorHAnsi"/>
        </w:rPr>
        <w:t>.</w:t>
      </w:r>
    </w:p>
    <w:p w14:paraId="631B056E" w14:textId="111B2320" w:rsidR="007331AE" w:rsidRDefault="00544BBE" w:rsidP="000144B2">
      <w:pPr>
        <w:pStyle w:val="Body"/>
        <w:spacing w:afterLines="20" w:after="48"/>
        <w:ind w:left="567" w:hanging="567"/>
        <w:rPr>
          <w:rFonts w:asciiTheme="majorHAnsi" w:hAnsiTheme="majorHAnsi"/>
        </w:rPr>
      </w:pPr>
      <w:r w:rsidRPr="00D850DF">
        <w:rPr>
          <w:rFonts w:asciiTheme="majorHAnsi" w:hAnsiTheme="majorHAnsi"/>
        </w:rPr>
        <w:t>Jackson RB (2014)</w:t>
      </w:r>
      <w:r w:rsidR="00065463" w:rsidRPr="00D850DF">
        <w:rPr>
          <w:rFonts w:asciiTheme="majorHAnsi" w:hAnsiTheme="majorHAnsi"/>
        </w:rPr>
        <w:t>.</w:t>
      </w:r>
      <w:r w:rsidRPr="00D850DF">
        <w:rPr>
          <w:rFonts w:asciiTheme="majorHAnsi" w:hAnsiTheme="majorHAnsi"/>
        </w:rPr>
        <w:t xml:space="preserve"> The integrity of oil and gas wells. Proceedings of the National Academy of Sciences: 2. </w:t>
      </w:r>
      <w:hyperlink r:id="rId232" w:history="1">
        <w:r w:rsidR="0071601A" w:rsidRPr="00D850DF">
          <w:rPr>
            <w:rFonts w:asciiTheme="majorHAnsi" w:hAnsiTheme="majorHAnsi"/>
          </w:rPr>
          <w:t>www.pnas.org/cgi/doi/10.1073/pnas.1410786111</w:t>
        </w:r>
      </w:hyperlink>
      <w:r w:rsidRPr="00D850DF">
        <w:rPr>
          <w:rFonts w:asciiTheme="majorHAnsi" w:hAnsiTheme="majorHAnsi"/>
        </w:rPr>
        <w:t>.</w:t>
      </w:r>
    </w:p>
    <w:p w14:paraId="29B2DE56" w14:textId="3BE0AA58" w:rsidR="00AD2F81" w:rsidRPr="00AD2F81" w:rsidRDefault="00AD2F81" w:rsidP="00AD2F81">
      <w:pPr>
        <w:pStyle w:val="Body"/>
        <w:spacing w:afterLines="20" w:after="48"/>
        <w:ind w:left="567" w:hanging="567"/>
        <w:rPr>
          <w:rFonts w:asciiTheme="majorHAnsi" w:hAnsiTheme="majorHAnsi"/>
        </w:rPr>
      </w:pPr>
      <w:r w:rsidRPr="00F72579">
        <w:t>Janardhanan</w:t>
      </w:r>
      <w:r w:rsidRPr="00AD2F81">
        <w:rPr>
          <w:rFonts w:asciiTheme="majorHAnsi" w:hAnsiTheme="majorHAnsi"/>
        </w:rPr>
        <w:t xml:space="preserve"> S a</w:t>
      </w:r>
      <w:r>
        <w:rPr>
          <w:rFonts w:asciiTheme="majorHAnsi" w:hAnsiTheme="majorHAnsi"/>
        </w:rPr>
        <w:t>nd</w:t>
      </w:r>
      <w:r w:rsidRPr="00AD2F81">
        <w:rPr>
          <w:rFonts w:asciiTheme="majorHAnsi" w:hAnsiTheme="majorHAnsi"/>
        </w:rPr>
        <w:t xml:space="preserve"> M</w:t>
      </w:r>
      <w:r>
        <w:rPr>
          <w:rFonts w:asciiTheme="majorHAnsi" w:hAnsiTheme="majorHAnsi"/>
        </w:rPr>
        <w:t>oore C</w:t>
      </w:r>
      <w:r w:rsidRPr="00AD2F81">
        <w:rPr>
          <w:rFonts w:asciiTheme="majorHAnsi" w:hAnsiTheme="majorHAnsi"/>
        </w:rPr>
        <w:t xml:space="preserve"> (2015). CSG Water Injection Impacts: Modelling, Uncertainty and Risk Analysis - Groundwater flow and transport modelling and uncertainty analysis to quantify the water quantity and quality impacts of a coal seam gas produced water injection scheme in the Surat Basin</w:t>
      </w:r>
      <w:r w:rsidR="00D6763F">
        <w:rPr>
          <w:rFonts w:asciiTheme="majorHAnsi" w:hAnsiTheme="majorHAnsi"/>
        </w:rPr>
        <w:t>, Queensland.</w:t>
      </w:r>
      <w:r>
        <w:rPr>
          <w:rFonts w:asciiTheme="majorHAnsi" w:hAnsiTheme="majorHAnsi"/>
        </w:rPr>
        <w:t xml:space="preserve"> CSIRO, Australia</w:t>
      </w:r>
      <w:r w:rsidRPr="00AD2F81">
        <w:rPr>
          <w:rFonts w:asciiTheme="majorHAnsi" w:hAnsiTheme="majorHAnsi"/>
        </w:rPr>
        <w:t>: 96</w:t>
      </w:r>
      <w:r>
        <w:rPr>
          <w:rFonts w:asciiTheme="majorHAnsi" w:hAnsiTheme="majorHAnsi"/>
        </w:rPr>
        <w:t xml:space="preserve"> pp</w:t>
      </w:r>
      <w:r w:rsidRPr="00AD2F81">
        <w:rPr>
          <w:rFonts w:asciiTheme="majorHAnsi" w:hAnsiTheme="majorHAnsi"/>
        </w:rPr>
        <w:t>.</w:t>
      </w:r>
    </w:p>
    <w:p w14:paraId="7DA10B50" w14:textId="25E3865B" w:rsidR="007B7592" w:rsidRPr="00D850DF" w:rsidRDefault="00276555" w:rsidP="007B7592">
      <w:pPr>
        <w:pStyle w:val="Body"/>
        <w:spacing w:afterLines="20" w:after="48"/>
        <w:ind w:left="567" w:hanging="567"/>
        <w:rPr>
          <w:rFonts w:asciiTheme="majorHAnsi" w:hAnsiTheme="majorHAnsi"/>
        </w:rPr>
      </w:pPr>
      <w:r w:rsidRPr="00D850DF">
        <w:rPr>
          <w:rFonts w:asciiTheme="majorHAnsi" w:hAnsiTheme="majorHAnsi"/>
        </w:rPr>
        <w:t>Jaoui M</w:t>
      </w:r>
      <w:r w:rsidR="007B7592" w:rsidRPr="00D850DF">
        <w:rPr>
          <w:rFonts w:asciiTheme="majorHAnsi" w:hAnsiTheme="majorHAnsi"/>
        </w:rPr>
        <w:t>, Achard C and Rogalski</w:t>
      </w:r>
      <w:r w:rsidRPr="00D850DF">
        <w:rPr>
          <w:rFonts w:asciiTheme="majorHAnsi" w:hAnsiTheme="majorHAnsi"/>
        </w:rPr>
        <w:t xml:space="preserve"> M (</w:t>
      </w:r>
      <w:r w:rsidR="007B7592" w:rsidRPr="00D850DF">
        <w:rPr>
          <w:rFonts w:asciiTheme="majorHAnsi" w:hAnsiTheme="majorHAnsi"/>
        </w:rPr>
        <w:t>2002</w:t>
      </w:r>
      <w:r w:rsidRPr="00D850DF">
        <w:rPr>
          <w:rFonts w:asciiTheme="majorHAnsi" w:hAnsiTheme="majorHAnsi"/>
        </w:rPr>
        <w:t>)</w:t>
      </w:r>
      <w:r w:rsidR="00065463" w:rsidRPr="00D850DF">
        <w:rPr>
          <w:rFonts w:asciiTheme="majorHAnsi" w:hAnsiTheme="majorHAnsi"/>
        </w:rPr>
        <w:t>.</w:t>
      </w:r>
      <w:r w:rsidR="007B7592" w:rsidRPr="00D850DF">
        <w:rPr>
          <w:rFonts w:asciiTheme="majorHAnsi" w:hAnsiTheme="majorHAnsi"/>
        </w:rPr>
        <w:t xml:space="preserve"> Solubility as a function of temperature of selected chlorophenols in aqueous solutions containing electrolytes or surfactants. J</w:t>
      </w:r>
      <w:r w:rsidR="00373201" w:rsidRPr="00D850DF">
        <w:rPr>
          <w:rFonts w:asciiTheme="majorHAnsi" w:hAnsiTheme="majorHAnsi"/>
        </w:rPr>
        <w:t>ournal of</w:t>
      </w:r>
      <w:r w:rsidR="007B7592" w:rsidRPr="00D850DF">
        <w:rPr>
          <w:rFonts w:asciiTheme="majorHAnsi" w:hAnsiTheme="majorHAnsi"/>
        </w:rPr>
        <w:t xml:space="preserve"> Chem</w:t>
      </w:r>
      <w:r w:rsidR="00373201" w:rsidRPr="00D850DF">
        <w:rPr>
          <w:rFonts w:asciiTheme="majorHAnsi" w:hAnsiTheme="majorHAnsi"/>
        </w:rPr>
        <w:t>ical and</w:t>
      </w:r>
      <w:r w:rsidR="007B7592" w:rsidRPr="00D850DF">
        <w:rPr>
          <w:rFonts w:asciiTheme="majorHAnsi" w:hAnsiTheme="majorHAnsi"/>
        </w:rPr>
        <w:t xml:space="preserve"> Eng</w:t>
      </w:r>
      <w:r w:rsidR="00373201" w:rsidRPr="00D850DF">
        <w:rPr>
          <w:rFonts w:asciiTheme="majorHAnsi" w:hAnsiTheme="majorHAnsi"/>
        </w:rPr>
        <w:t>ineering</w:t>
      </w:r>
      <w:r w:rsidR="007B7592" w:rsidRPr="00D850DF">
        <w:rPr>
          <w:rFonts w:asciiTheme="majorHAnsi" w:hAnsiTheme="majorHAnsi"/>
        </w:rPr>
        <w:t xml:space="preserve"> Data 47</w:t>
      </w:r>
      <w:r w:rsidR="00370368" w:rsidRPr="00D850DF">
        <w:rPr>
          <w:rFonts w:asciiTheme="majorHAnsi" w:hAnsiTheme="majorHAnsi"/>
        </w:rPr>
        <w:t>:</w:t>
      </w:r>
      <w:r w:rsidR="007B7592" w:rsidRPr="00D850DF">
        <w:rPr>
          <w:rFonts w:asciiTheme="majorHAnsi" w:hAnsiTheme="majorHAnsi"/>
        </w:rPr>
        <w:t xml:space="preserve"> 297-303. </w:t>
      </w:r>
    </w:p>
    <w:p w14:paraId="5C9953C9" w14:textId="68D948E8" w:rsidR="0097609B" w:rsidRPr="00D850DF" w:rsidRDefault="00B9481C" w:rsidP="000144B2">
      <w:pPr>
        <w:pStyle w:val="Body"/>
        <w:spacing w:afterLines="20" w:after="48"/>
        <w:ind w:left="567" w:hanging="567"/>
        <w:rPr>
          <w:rFonts w:asciiTheme="majorHAnsi" w:hAnsiTheme="majorHAnsi"/>
        </w:rPr>
      </w:pPr>
      <w:r w:rsidRPr="00D850DF">
        <w:rPr>
          <w:rFonts w:asciiTheme="majorHAnsi" w:hAnsiTheme="majorHAnsi"/>
          <w:lang w:val="en-AU"/>
        </w:rPr>
        <w:t>Jaramillo AM, Douglas TA, Walsh ME</w:t>
      </w:r>
      <w:r w:rsidR="00276555" w:rsidRPr="00D850DF">
        <w:rPr>
          <w:rFonts w:asciiTheme="majorHAnsi" w:hAnsiTheme="majorHAnsi"/>
          <w:lang w:val="en-AU"/>
        </w:rPr>
        <w:t>,</w:t>
      </w:r>
      <w:r w:rsidRPr="00D850DF">
        <w:rPr>
          <w:rFonts w:asciiTheme="majorHAnsi" w:hAnsiTheme="majorHAnsi"/>
          <w:lang w:val="en-AU"/>
        </w:rPr>
        <w:t xml:space="preserve"> and Trainor TP (2011)</w:t>
      </w:r>
      <w:r w:rsidR="00065463" w:rsidRPr="00D850DF">
        <w:rPr>
          <w:rFonts w:asciiTheme="majorHAnsi" w:hAnsiTheme="majorHAnsi"/>
          <w:lang w:val="en-AU"/>
        </w:rPr>
        <w:t>.</w:t>
      </w:r>
      <w:r w:rsidRPr="00D850DF">
        <w:rPr>
          <w:rFonts w:asciiTheme="majorHAnsi" w:hAnsiTheme="majorHAnsi"/>
          <w:lang w:val="en-AU"/>
        </w:rPr>
        <w:t xml:space="preserve"> Dissolution and sorption of hexahydro-1</w:t>
      </w:r>
      <w:proofErr w:type="gramStart"/>
      <w:r w:rsidRPr="00D850DF">
        <w:rPr>
          <w:rFonts w:asciiTheme="majorHAnsi" w:hAnsiTheme="majorHAnsi"/>
          <w:lang w:val="en-AU"/>
        </w:rPr>
        <w:t>,3,5</w:t>
      </w:r>
      <w:proofErr w:type="gramEnd"/>
      <w:r w:rsidRPr="00D850DF">
        <w:rPr>
          <w:rFonts w:asciiTheme="majorHAnsi" w:hAnsiTheme="majorHAnsi"/>
          <w:lang w:val="en-AU"/>
        </w:rPr>
        <w:t>-trinitro-1,3,5-triazine (RDX) and 2,4,6-trinitrotoluene (TNT) residues from detonated mineral surfaces. Chemosphere 84(8)</w:t>
      </w:r>
      <w:r w:rsidR="00370368" w:rsidRPr="00D850DF">
        <w:rPr>
          <w:rFonts w:asciiTheme="majorHAnsi" w:hAnsiTheme="majorHAnsi"/>
          <w:lang w:val="en-AU"/>
        </w:rPr>
        <w:t>:</w:t>
      </w:r>
      <w:r w:rsidRPr="00D850DF">
        <w:rPr>
          <w:rFonts w:asciiTheme="majorHAnsi" w:hAnsiTheme="majorHAnsi"/>
          <w:lang w:val="en-AU"/>
        </w:rPr>
        <w:t xml:space="preserve"> 1058-1065.</w:t>
      </w:r>
    </w:p>
    <w:p w14:paraId="2FB0B84B" w14:textId="44F0DB51" w:rsidR="00FD6F6D" w:rsidRPr="00D850DF" w:rsidRDefault="00FD6F6D" w:rsidP="000144B2">
      <w:pPr>
        <w:pStyle w:val="Body"/>
        <w:spacing w:afterLines="20" w:after="48"/>
        <w:ind w:left="567" w:hanging="567"/>
        <w:rPr>
          <w:rFonts w:asciiTheme="majorHAnsi" w:hAnsiTheme="majorHAnsi"/>
        </w:rPr>
      </w:pPr>
      <w:r w:rsidRPr="00D850DF">
        <w:rPr>
          <w:rFonts w:asciiTheme="majorHAnsi" w:hAnsiTheme="majorHAnsi"/>
        </w:rPr>
        <w:t>Jeffrey R,</w:t>
      </w:r>
      <w:r w:rsidR="00276555" w:rsidRPr="00D850DF">
        <w:rPr>
          <w:rFonts w:asciiTheme="majorHAnsi" w:hAnsiTheme="majorHAnsi"/>
        </w:rPr>
        <w:t xml:space="preserve"> Zhang X, Chen Z, Wu B, Kear J, and</w:t>
      </w:r>
      <w:r w:rsidRPr="00D850DF">
        <w:rPr>
          <w:rFonts w:asciiTheme="majorHAnsi" w:hAnsiTheme="majorHAnsi"/>
        </w:rPr>
        <w:t xml:space="preserve"> Kasperczyk D (201</w:t>
      </w:r>
      <w:r w:rsidR="003D4440">
        <w:rPr>
          <w:rFonts w:asciiTheme="majorHAnsi" w:hAnsiTheme="majorHAnsi"/>
        </w:rPr>
        <w:t>7</w:t>
      </w:r>
      <w:r w:rsidR="009F6C68" w:rsidRPr="00D850DF">
        <w:rPr>
          <w:rFonts w:asciiTheme="majorHAnsi" w:hAnsiTheme="majorHAnsi"/>
        </w:rPr>
        <w:t>a</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Simulation of loss of fluid from a hydraulic fracture into an aquifer, report prepared by the Commonwealth Scientific and Industrial Research Organisation (CSIRO) as part of the National Assessment of Chemicals Associated with Coal Seam Gas Extraction in Australia, Commonwealth of Australia, Canberra.</w:t>
      </w:r>
    </w:p>
    <w:p w14:paraId="3230487F" w14:textId="564234CF" w:rsidR="009F6C68" w:rsidRPr="00D850DF" w:rsidRDefault="009F6C68" w:rsidP="009F6C68">
      <w:pPr>
        <w:pStyle w:val="Body"/>
        <w:spacing w:afterLines="20" w:after="48"/>
        <w:ind w:left="567" w:hanging="567"/>
        <w:rPr>
          <w:rFonts w:asciiTheme="majorHAnsi" w:hAnsiTheme="majorHAnsi"/>
        </w:rPr>
      </w:pPr>
      <w:r w:rsidRPr="00D850DF">
        <w:rPr>
          <w:rFonts w:asciiTheme="majorHAnsi" w:hAnsiTheme="majorHAnsi"/>
        </w:rPr>
        <w:t>Jeffrey R,</w:t>
      </w:r>
      <w:r w:rsidR="00BE5695" w:rsidRPr="00D850DF">
        <w:rPr>
          <w:rFonts w:asciiTheme="majorHAnsi" w:hAnsiTheme="majorHAnsi"/>
        </w:rPr>
        <w:t xml:space="preserve"> Zhang X, Chen Z, Wu B, Kear J</w:t>
      </w:r>
      <w:r w:rsidR="00276555" w:rsidRPr="00D850DF">
        <w:rPr>
          <w:rFonts w:asciiTheme="majorHAnsi" w:hAnsiTheme="majorHAnsi"/>
        </w:rPr>
        <w:t>,</w:t>
      </w:r>
      <w:r w:rsidR="00BE5695" w:rsidRPr="00D850DF">
        <w:rPr>
          <w:rFonts w:asciiTheme="majorHAnsi" w:hAnsiTheme="majorHAnsi"/>
        </w:rPr>
        <w:t xml:space="preserve"> and</w:t>
      </w:r>
      <w:r w:rsidRPr="00D850DF">
        <w:rPr>
          <w:rFonts w:asciiTheme="majorHAnsi" w:hAnsiTheme="majorHAnsi"/>
        </w:rPr>
        <w:t xml:space="preserve"> Kasperczyk D (201</w:t>
      </w:r>
      <w:r w:rsidR="003D4440">
        <w:rPr>
          <w:rFonts w:asciiTheme="majorHAnsi" w:hAnsiTheme="majorHAnsi"/>
        </w:rPr>
        <w:t>7</w:t>
      </w:r>
      <w:r w:rsidRPr="00D850DF">
        <w:rPr>
          <w:rFonts w:asciiTheme="majorHAnsi" w:hAnsiTheme="majorHAnsi"/>
        </w:rPr>
        <w:t>b)</w:t>
      </w:r>
      <w:r w:rsidR="00065463" w:rsidRPr="00D850DF">
        <w:rPr>
          <w:rFonts w:asciiTheme="majorHAnsi" w:hAnsiTheme="majorHAnsi"/>
        </w:rPr>
        <w:t>.</w:t>
      </w:r>
      <w:r w:rsidRPr="00D850DF">
        <w:rPr>
          <w:rFonts w:asciiTheme="majorHAnsi" w:hAnsiTheme="majorHAnsi"/>
        </w:rPr>
        <w:t xml:space="preserve"> Literature review for coal seam gas hydraulic fracture growth and well integrity, report prepared by the Commonwealth Scientific and Industrial Research Organisation (CSIRO) as part of the National Assessment of Chemicals Associated with Coal Seam Gas Extraction in Australia, Commonwealth of Australia, Canberra.</w:t>
      </w:r>
    </w:p>
    <w:p w14:paraId="74D05FE4" w14:textId="445000B0" w:rsidR="00644E69" w:rsidRPr="00D850DF" w:rsidRDefault="00644E69" w:rsidP="000144B2">
      <w:pPr>
        <w:pStyle w:val="Body"/>
        <w:spacing w:afterLines="20" w:after="48"/>
        <w:ind w:left="567" w:hanging="567"/>
        <w:rPr>
          <w:rFonts w:asciiTheme="majorHAnsi" w:hAnsiTheme="majorHAnsi"/>
        </w:rPr>
      </w:pPr>
      <w:r w:rsidRPr="00D850DF">
        <w:rPr>
          <w:rFonts w:asciiTheme="majorHAnsi" w:hAnsiTheme="majorHAnsi"/>
        </w:rPr>
        <w:t>Johnson Jr L, Flottman T</w:t>
      </w:r>
      <w:r w:rsidR="00276555" w:rsidRPr="00D850DF">
        <w:rPr>
          <w:rFonts w:asciiTheme="majorHAnsi" w:hAnsiTheme="majorHAnsi"/>
        </w:rPr>
        <w:t>,</w:t>
      </w:r>
      <w:r w:rsidRPr="00D850DF">
        <w:rPr>
          <w:rFonts w:asciiTheme="majorHAnsi" w:hAnsiTheme="majorHAnsi"/>
        </w:rPr>
        <w:t xml:space="preserve"> and Campagna DJ (2002)</w:t>
      </w:r>
      <w:r w:rsidR="00065463" w:rsidRPr="00D850DF">
        <w:rPr>
          <w:rFonts w:asciiTheme="majorHAnsi" w:hAnsiTheme="majorHAnsi"/>
        </w:rPr>
        <w:t>.</w:t>
      </w:r>
      <w:r w:rsidRPr="00D850DF">
        <w:rPr>
          <w:rFonts w:asciiTheme="majorHAnsi" w:hAnsiTheme="majorHAnsi"/>
        </w:rPr>
        <w:t xml:space="preserve"> Improving Results of Coalbed Methane Development Strategies by Integrating Geomechanics and Hydraulic Fracturing Technologies, SPE paper 77824 presented at the SPE Asia Pacific Oil and Gas Conference and Exhibition held in Melbourne, Australia, 8‐10 Oct 2002.</w:t>
      </w:r>
    </w:p>
    <w:p w14:paraId="43CB0AF0" w14:textId="24A60942" w:rsidR="00BE5695" w:rsidRPr="00D850DF" w:rsidRDefault="00BE5695" w:rsidP="00BE5695">
      <w:pPr>
        <w:pStyle w:val="Body"/>
        <w:spacing w:afterLines="20" w:after="48"/>
        <w:ind w:left="567" w:hanging="567"/>
        <w:rPr>
          <w:rFonts w:asciiTheme="majorHAnsi" w:hAnsiTheme="majorHAnsi"/>
        </w:rPr>
      </w:pPr>
      <w:r w:rsidRPr="00D850DF">
        <w:rPr>
          <w:rFonts w:asciiTheme="majorHAnsi" w:hAnsiTheme="majorHAnsi"/>
        </w:rPr>
        <w:t xml:space="preserve">Johnson RL, Scott MP, Jeffrey RG, Chen ZR, Bennett L, Vendenborn C, </w:t>
      </w:r>
      <w:r w:rsidR="00276555" w:rsidRPr="00D850DF">
        <w:rPr>
          <w:rFonts w:asciiTheme="majorHAnsi" w:hAnsiTheme="majorHAnsi"/>
        </w:rPr>
        <w:t xml:space="preserve">and </w:t>
      </w:r>
      <w:r w:rsidRPr="00D850DF">
        <w:rPr>
          <w:rFonts w:asciiTheme="majorHAnsi" w:hAnsiTheme="majorHAnsi"/>
        </w:rPr>
        <w:t>Tcherkashnev S (2010)</w:t>
      </w:r>
      <w:r w:rsidR="00065463" w:rsidRPr="00D850DF">
        <w:rPr>
          <w:rFonts w:asciiTheme="majorHAnsi" w:hAnsiTheme="majorHAnsi"/>
        </w:rPr>
        <w:t>.</w:t>
      </w:r>
      <w:r w:rsidRPr="00D850DF">
        <w:rPr>
          <w:rFonts w:asciiTheme="majorHAnsi" w:hAnsiTheme="majorHAnsi"/>
        </w:rPr>
        <w:t xml:space="preserve"> Evaluating Hydraulic Fracture Effectiveness in a Coal Seam Gas Reservoir from Surface Tiltmeter and Microseismic Monitoring, In: S</w:t>
      </w:r>
      <w:r w:rsidR="00373201" w:rsidRPr="00D850DF">
        <w:rPr>
          <w:rFonts w:asciiTheme="majorHAnsi" w:hAnsiTheme="majorHAnsi"/>
        </w:rPr>
        <w:t>ociety of Petroleum Engineers</w:t>
      </w:r>
      <w:r w:rsidRPr="00D850DF">
        <w:rPr>
          <w:rFonts w:asciiTheme="majorHAnsi" w:hAnsiTheme="majorHAnsi"/>
        </w:rPr>
        <w:t xml:space="preserve"> Annual Technical. Society of Petroleum Engineers, Florence, Italy.</w:t>
      </w:r>
    </w:p>
    <w:p w14:paraId="62E68B95" w14:textId="39A9170D" w:rsidR="003C26C2" w:rsidRPr="00D850DF" w:rsidRDefault="003C26C2" w:rsidP="003C26C2">
      <w:pPr>
        <w:pStyle w:val="Body"/>
        <w:spacing w:afterLines="20" w:after="48"/>
        <w:ind w:left="567" w:hanging="567"/>
        <w:rPr>
          <w:rFonts w:asciiTheme="majorHAnsi" w:hAnsiTheme="majorHAnsi"/>
          <w:lang w:val="en-AU"/>
        </w:rPr>
      </w:pPr>
      <w:r w:rsidRPr="00D850DF">
        <w:rPr>
          <w:rFonts w:asciiTheme="majorHAnsi" w:hAnsiTheme="majorHAnsi"/>
          <w:lang w:val="en-AU"/>
        </w:rPr>
        <w:t>Kahrilas GA, Blotevogel J, Stewart PS, and Borch T (2014)</w:t>
      </w:r>
      <w:r w:rsidR="00065463" w:rsidRPr="00D850DF">
        <w:rPr>
          <w:rFonts w:asciiTheme="majorHAnsi" w:hAnsiTheme="majorHAnsi"/>
          <w:lang w:val="en-AU"/>
        </w:rPr>
        <w:t>.</w:t>
      </w:r>
      <w:r w:rsidRPr="00D850DF">
        <w:rPr>
          <w:rFonts w:asciiTheme="majorHAnsi" w:hAnsiTheme="majorHAnsi"/>
          <w:lang w:val="en-AU"/>
        </w:rPr>
        <w:t xml:space="preserve"> Biocides in Hydraulic Fracturing Fluids: A Critical Review of Their Usage, Mobility, Degradation, and Toxicity. Environ</w:t>
      </w:r>
      <w:r w:rsidR="00373201" w:rsidRPr="00D850DF">
        <w:rPr>
          <w:rFonts w:asciiTheme="majorHAnsi" w:hAnsiTheme="majorHAnsi"/>
          <w:lang w:val="en-AU"/>
        </w:rPr>
        <w:t>mental</w:t>
      </w:r>
      <w:r w:rsidRPr="00D850DF">
        <w:rPr>
          <w:rFonts w:asciiTheme="majorHAnsi" w:hAnsiTheme="majorHAnsi"/>
          <w:lang w:val="en-AU"/>
        </w:rPr>
        <w:t xml:space="preserve"> Sci</w:t>
      </w:r>
      <w:r w:rsidR="00373201" w:rsidRPr="00D850DF">
        <w:rPr>
          <w:rFonts w:asciiTheme="majorHAnsi" w:hAnsiTheme="majorHAnsi"/>
          <w:lang w:val="en-AU"/>
        </w:rPr>
        <w:t>ence</w:t>
      </w:r>
      <w:r w:rsidRPr="00D850DF">
        <w:rPr>
          <w:rFonts w:asciiTheme="majorHAnsi" w:hAnsiTheme="majorHAnsi"/>
          <w:lang w:val="en-AU"/>
        </w:rPr>
        <w:t xml:space="preserve"> </w:t>
      </w:r>
      <w:r w:rsidR="00373201" w:rsidRPr="00D850DF">
        <w:rPr>
          <w:rFonts w:asciiTheme="majorHAnsi" w:hAnsiTheme="majorHAnsi"/>
          <w:lang w:val="en-AU"/>
        </w:rPr>
        <w:t xml:space="preserve">and </w:t>
      </w:r>
      <w:r w:rsidRPr="00D850DF">
        <w:rPr>
          <w:rFonts w:asciiTheme="majorHAnsi" w:hAnsiTheme="majorHAnsi"/>
          <w:lang w:val="en-AU"/>
        </w:rPr>
        <w:t>Technol</w:t>
      </w:r>
      <w:r w:rsidR="00373201" w:rsidRPr="00D850DF">
        <w:rPr>
          <w:rFonts w:asciiTheme="majorHAnsi" w:hAnsiTheme="majorHAnsi"/>
          <w:lang w:val="en-AU"/>
        </w:rPr>
        <w:t>ogy</w:t>
      </w:r>
      <w:r w:rsidRPr="00D850DF">
        <w:rPr>
          <w:rFonts w:asciiTheme="majorHAnsi" w:hAnsiTheme="majorHAnsi"/>
          <w:lang w:val="en-AU"/>
        </w:rPr>
        <w:t xml:space="preserve"> 49</w:t>
      </w:r>
      <w:r w:rsidR="00370368" w:rsidRPr="00D850DF">
        <w:rPr>
          <w:rFonts w:asciiTheme="majorHAnsi" w:hAnsiTheme="majorHAnsi"/>
          <w:lang w:val="en-AU"/>
        </w:rPr>
        <w:t>:</w:t>
      </w:r>
      <w:r w:rsidRPr="00D850DF">
        <w:rPr>
          <w:rFonts w:asciiTheme="majorHAnsi" w:hAnsiTheme="majorHAnsi"/>
          <w:lang w:val="en-AU"/>
        </w:rPr>
        <w:t xml:space="preserve"> 16-32.</w:t>
      </w:r>
    </w:p>
    <w:p w14:paraId="51F8F673" w14:textId="3847956F" w:rsidR="008E49B8" w:rsidRPr="00D850DF" w:rsidRDefault="008E49B8" w:rsidP="008E49B8">
      <w:pPr>
        <w:pStyle w:val="Body"/>
        <w:spacing w:afterLines="20" w:after="48"/>
        <w:ind w:left="567" w:hanging="567"/>
        <w:rPr>
          <w:rFonts w:asciiTheme="majorHAnsi" w:hAnsiTheme="majorHAnsi"/>
        </w:rPr>
      </w:pPr>
      <w:r w:rsidRPr="00D850DF">
        <w:rPr>
          <w:rFonts w:asciiTheme="majorHAnsi" w:hAnsiTheme="majorHAnsi"/>
        </w:rPr>
        <w:t>Kear J, White J, Bunger AP, Jeffrey R</w:t>
      </w:r>
      <w:r w:rsidR="00276555" w:rsidRPr="00D850DF">
        <w:rPr>
          <w:rFonts w:asciiTheme="majorHAnsi" w:hAnsiTheme="majorHAnsi"/>
        </w:rPr>
        <w:t>,</w:t>
      </w:r>
      <w:r w:rsidRPr="00D850DF">
        <w:rPr>
          <w:rFonts w:asciiTheme="majorHAnsi" w:hAnsiTheme="majorHAnsi"/>
        </w:rPr>
        <w:t xml:space="preserve"> and Hessami M-A (2013)</w:t>
      </w:r>
      <w:r w:rsidR="00065463" w:rsidRPr="00D850DF">
        <w:rPr>
          <w:rFonts w:asciiTheme="majorHAnsi" w:hAnsiTheme="majorHAnsi"/>
        </w:rPr>
        <w:t>.</w:t>
      </w:r>
      <w:r w:rsidRPr="00D850DF">
        <w:rPr>
          <w:rFonts w:asciiTheme="majorHAnsi" w:hAnsiTheme="majorHAnsi"/>
        </w:rPr>
        <w:t xml:space="preserve"> Three Dimensional Forms of Closely-Spaced Hydraulic Fractures. Effective and Sustainable Hydraulic Fracturing 693–707.</w:t>
      </w:r>
      <w:r w:rsidR="00CF3A84">
        <w:rPr>
          <w:rFonts w:asciiTheme="majorHAnsi" w:hAnsiTheme="majorHAnsi"/>
        </w:rPr>
        <w:t xml:space="preserve"> </w:t>
      </w:r>
      <w:r w:rsidR="009C5140" w:rsidRPr="00D850DF">
        <w:rPr>
          <w:rFonts w:asciiTheme="majorHAnsi" w:hAnsiTheme="majorHAnsi"/>
        </w:rPr>
        <w:t>h</w:t>
      </w:r>
      <w:r w:rsidRPr="00D850DF">
        <w:rPr>
          <w:rFonts w:asciiTheme="majorHAnsi" w:hAnsiTheme="majorHAnsi"/>
        </w:rPr>
        <w:t>ttp://doi.org/http://dx.doi.org/10.5772/56261.</w:t>
      </w:r>
    </w:p>
    <w:p w14:paraId="45D08891" w14:textId="26E621CB" w:rsidR="00A90320" w:rsidRPr="00D850DF" w:rsidRDefault="00A90320" w:rsidP="00CF3A84">
      <w:pPr>
        <w:pStyle w:val="Body"/>
        <w:spacing w:afterLines="20" w:after="48"/>
        <w:ind w:left="567" w:hanging="567"/>
        <w:rPr>
          <w:rFonts w:asciiTheme="majorHAnsi" w:hAnsiTheme="majorHAnsi"/>
        </w:rPr>
      </w:pPr>
      <w:r w:rsidRPr="00D850DF">
        <w:rPr>
          <w:rFonts w:asciiTheme="majorHAnsi" w:hAnsiTheme="majorHAnsi"/>
        </w:rPr>
        <w:t>King G (2012)</w:t>
      </w:r>
      <w:r w:rsidR="00065463" w:rsidRPr="00D850DF">
        <w:rPr>
          <w:rFonts w:asciiTheme="majorHAnsi" w:hAnsiTheme="majorHAnsi"/>
        </w:rPr>
        <w:t>.</w:t>
      </w:r>
      <w:r w:rsidRPr="00D850DF">
        <w:rPr>
          <w:rFonts w:asciiTheme="majorHAnsi" w:hAnsiTheme="majorHAnsi"/>
        </w:rPr>
        <w:t xml:space="preserve"> Hydraulic Fracturing 101: What Every Representative, Environmentalist, Regulator, Reporter, Investor, University Researcher, Neighbor and Engineer Should Know. S</w:t>
      </w:r>
      <w:r w:rsidR="00643E10" w:rsidRPr="00D850DF">
        <w:rPr>
          <w:rFonts w:asciiTheme="majorHAnsi" w:hAnsiTheme="majorHAnsi"/>
        </w:rPr>
        <w:t>ociety of Petroleum Engineers</w:t>
      </w:r>
      <w:r w:rsidRPr="00D850DF">
        <w:rPr>
          <w:rFonts w:asciiTheme="majorHAnsi" w:hAnsiTheme="majorHAnsi"/>
        </w:rPr>
        <w:t xml:space="preserve"> Hydraulic Fracturing Technology Conference, 1–80. Retrieved from </w:t>
      </w:r>
      <w:hyperlink r:id="rId233" w:history="1">
        <w:r w:rsidRPr="00D850DF">
          <w:rPr>
            <w:rStyle w:val="Hyperlink"/>
            <w:rFonts w:asciiTheme="majorHAnsi" w:hAnsiTheme="majorHAnsi"/>
          </w:rPr>
          <w:t>http://www.onepetro.org/mslib/servlet/onepetropreview?id=SPE-152596-MS</w:t>
        </w:r>
      </w:hyperlink>
      <w:r w:rsidRPr="00D850DF">
        <w:rPr>
          <w:rFonts w:asciiTheme="majorHAnsi" w:hAnsiTheme="majorHAnsi"/>
        </w:rPr>
        <w:t>.</w:t>
      </w:r>
    </w:p>
    <w:p w14:paraId="4AE3AAB2" w14:textId="65AB3AF1" w:rsidR="008E49B8" w:rsidRPr="00D850DF" w:rsidRDefault="008E49B8" w:rsidP="00CF3A84">
      <w:pPr>
        <w:pStyle w:val="Body"/>
        <w:spacing w:afterLines="20" w:after="48"/>
        <w:ind w:left="567" w:hanging="567"/>
        <w:rPr>
          <w:rFonts w:asciiTheme="majorHAnsi" w:hAnsiTheme="majorHAnsi"/>
        </w:rPr>
      </w:pPr>
      <w:r w:rsidRPr="00D850DF">
        <w:rPr>
          <w:rFonts w:asciiTheme="majorHAnsi" w:hAnsiTheme="majorHAnsi"/>
        </w:rPr>
        <w:t>King GE and King DE (2013)</w:t>
      </w:r>
      <w:r w:rsidR="00065463" w:rsidRPr="00D850DF">
        <w:rPr>
          <w:rFonts w:asciiTheme="majorHAnsi" w:hAnsiTheme="majorHAnsi"/>
        </w:rPr>
        <w:t>.</w:t>
      </w:r>
      <w:r w:rsidRPr="00D850DF">
        <w:rPr>
          <w:rFonts w:asciiTheme="majorHAnsi" w:hAnsiTheme="majorHAnsi"/>
        </w:rPr>
        <w:t xml:space="preserve"> Environmental Risk Arising From Well Construction Failure: Differences </w:t>
      </w:r>
      <w:proofErr w:type="gramStart"/>
      <w:r w:rsidRPr="00D850DF">
        <w:rPr>
          <w:rFonts w:asciiTheme="majorHAnsi" w:hAnsiTheme="majorHAnsi"/>
        </w:rPr>
        <w:t>Between</w:t>
      </w:r>
      <w:proofErr w:type="gramEnd"/>
      <w:r w:rsidRPr="00D850DF">
        <w:rPr>
          <w:rFonts w:asciiTheme="majorHAnsi" w:hAnsiTheme="majorHAnsi"/>
        </w:rPr>
        <w:t xml:space="preserve"> Barrier Failure and Well Failure and Estimates of Failure Frequency Across Common. SPE Annual Technical Conference and Exhibition, (October), S</w:t>
      </w:r>
      <w:r w:rsidR="00643E10" w:rsidRPr="00D850DF">
        <w:rPr>
          <w:rFonts w:asciiTheme="majorHAnsi" w:hAnsiTheme="majorHAnsi"/>
        </w:rPr>
        <w:t>ociety of Petroleum Engineers</w:t>
      </w:r>
      <w:r w:rsidRPr="00D850DF">
        <w:rPr>
          <w:rFonts w:asciiTheme="majorHAnsi" w:hAnsiTheme="majorHAnsi"/>
        </w:rPr>
        <w:t>–166142–MS. http://doi.org/10.2118/166142-MS</w:t>
      </w:r>
      <w:r w:rsidR="00A90320" w:rsidRPr="00D850DF">
        <w:rPr>
          <w:rFonts w:asciiTheme="majorHAnsi" w:hAnsiTheme="majorHAnsi"/>
        </w:rPr>
        <w:t>.</w:t>
      </w:r>
    </w:p>
    <w:p w14:paraId="23800F38" w14:textId="37C4C3EC" w:rsidR="003A7950" w:rsidRPr="00D850DF" w:rsidRDefault="003A7950" w:rsidP="000144B2">
      <w:pPr>
        <w:pStyle w:val="Body"/>
        <w:spacing w:afterLines="20" w:after="48"/>
        <w:ind w:left="567" w:hanging="567"/>
        <w:rPr>
          <w:rFonts w:asciiTheme="majorHAnsi" w:hAnsiTheme="majorHAnsi"/>
        </w:rPr>
      </w:pPr>
      <w:r w:rsidRPr="00D850DF">
        <w:rPr>
          <w:rFonts w:asciiTheme="majorHAnsi" w:hAnsiTheme="majorHAnsi"/>
        </w:rPr>
        <w:t>Kim J and Moridis GJ (2013)</w:t>
      </w:r>
      <w:r w:rsidR="00065463" w:rsidRPr="00D850DF">
        <w:rPr>
          <w:rFonts w:asciiTheme="majorHAnsi" w:hAnsiTheme="majorHAnsi"/>
        </w:rPr>
        <w:t>.</w:t>
      </w:r>
      <w:r w:rsidRPr="00D850DF">
        <w:rPr>
          <w:rFonts w:asciiTheme="majorHAnsi" w:hAnsiTheme="majorHAnsi"/>
        </w:rPr>
        <w:t xml:space="preserve"> Development of the T1M coupled flow–geomechanical simulator to describe fracture propagation and coupled flow–thermal–geomechanical processes in tight/shale gas systems</w:t>
      </w:r>
      <w:r w:rsidR="00643E10" w:rsidRPr="00D850DF">
        <w:rPr>
          <w:rFonts w:asciiTheme="majorHAnsi" w:hAnsiTheme="majorHAnsi"/>
        </w:rPr>
        <w:t>.</w:t>
      </w:r>
      <w:r w:rsidRPr="00D850DF">
        <w:rPr>
          <w:rFonts w:asciiTheme="majorHAnsi" w:hAnsiTheme="majorHAnsi"/>
        </w:rPr>
        <w:t xml:space="preserve"> Comput</w:t>
      </w:r>
      <w:r w:rsidR="00643E10" w:rsidRPr="00D850DF">
        <w:rPr>
          <w:rFonts w:asciiTheme="majorHAnsi" w:hAnsiTheme="majorHAnsi"/>
        </w:rPr>
        <w:t>ers and</w:t>
      </w:r>
      <w:r w:rsidRPr="00D850DF">
        <w:rPr>
          <w:rFonts w:asciiTheme="majorHAnsi" w:hAnsiTheme="majorHAnsi"/>
        </w:rPr>
        <w:t xml:space="preserve"> Geosci</w:t>
      </w:r>
      <w:r w:rsidR="00643E10" w:rsidRPr="00D850DF">
        <w:rPr>
          <w:rFonts w:asciiTheme="majorHAnsi" w:hAnsiTheme="majorHAnsi"/>
        </w:rPr>
        <w:t>ences</w:t>
      </w:r>
      <w:r w:rsidRPr="00D850DF">
        <w:rPr>
          <w:rFonts w:asciiTheme="majorHAnsi" w:hAnsiTheme="majorHAnsi"/>
        </w:rPr>
        <w:t xml:space="preserve"> 60</w:t>
      </w:r>
      <w:r w:rsidR="00370368" w:rsidRPr="00D850DF">
        <w:rPr>
          <w:rFonts w:asciiTheme="majorHAnsi" w:hAnsiTheme="majorHAnsi"/>
        </w:rPr>
        <w:t>:</w:t>
      </w:r>
      <w:r w:rsidRPr="00D850DF">
        <w:rPr>
          <w:rFonts w:asciiTheme="majorHAnsi" w:hAnsiTheme="majorHAnsi"/>
        </w:rPr>
        <w:t xml:space="preserve"> 184–198.</w:t>
      </w:r>
    </w:p>
    <w:p w14:paraId="1278E41F" w14:textId="589C2957" w:rsidR="007331AE" w:rsidRPr="00D850DF" w:rsidRDefault="007331AE" w:rsidP="000144B2">
      <w:pPr>
        <w:pStyle w:val="Body"/>
        <w:spacing w:afterLines="20" w:after="48"/>
        <w:ind w:left="567" w:hanging="567"/>
        <w:rPr>
          <w:rFonts w:asciiTheme="majorHAnsi" w:hAnsiTheme="majorHAnsi"/>
        </w:rPr>
      </w:pPr>
      <w:r w:rsidRPr="00D850DF">
        <w:rPr>
          <w:rFonts w:asciiTheme="majorHAnsi" w:hAnsiTheme="majorHAnsi"/>
        </w:rPr>
        <w:t>Kissinger A, Helmig</w:t>
      </w:r>
      <w:r w:rsidR="00544BBE" w:rsidRPr="00D850DF">
        <w:rPr>
          <w:rFonts w:asciiTheme="majorHAnsi" w:hAnsiTheme="majorHAnsi"/>
        </w:rPr>
        <w:t xml:space="preserve"> R</w:t>
      </w:r>
      <w:r w:rsidRPr="00D850DF">
        <w:rPr>
          <w:rFonts w:asciiTheme="majorHAnsi" w:hAnsiTheme="majorHAnsi"/>
        </w:rPr>
        <w:t>, Ebigbo</w:t>
      </w:r>
      <w:r w:rsidR="00544BBE" w:rsidRPr="00D850DF">
        <w:rPr>
          <w:rFonts w:asciiTheme="majorHAnsi" w:hAnsiTheme="majorHAnsi"/>
        </w:rPr>
        <w:t xml:space="preserve"> A</w:t>
      </w:r>
      <w:r w:rsidRPr="00D850DF">
        <w:rPr>
          <w:rFonts w:asciiTheme="majorHAnsi" w:hAnsiTheme="majorHAnsi"/>
        </w:rPr>
        <w:t>, Class</w:t>
      </w:r>
      <w:r w:rsidR="00544BBE" w:rsidRPr="00D850DF">
        <w:rPr>
          <w:rFonts w:asciiTheme="majorHAnsi" w:hAnsiTheme="majorHAnsi"/>
        </w:rPr>
        <w:t xml:space="preserve"> H</w:t>
      </w:r>
      <w:r w:rsidRPr="00D850DF">
        <w:rPr>
          <w:rFonts w:asciiTheme="majorHAnsi" w:hAnsiTheme="majorHAnsi"/>
        </w:rPr>
        <w:t>, Lange</w:t>
      </w:r>
      <w:r w:rsidR="00544BBE" w:rsidRPr="00D850DF">
        <w:rPr>
          <w:rFonts w:asciiTheme="majorHAnsi" w:hAnsiTheme="majorHAnsi"/>
        </w:rPr>
        <w:t xml:space="preserve"> T</w:t>
      </w:r>
      <w:r w:rsidRPr="00D850DF">
        <w:rPr>
          <w:rFonts w:asciiTheme="majorHAnsi" w:hAnsiTheme="majorHAnsi"/>
        </w:rPr>
        <w:t>, Sauter</w:t>
      </w:r>
      <w:r w:rsidR="00544BBE" w:rsidRPr="00D850DF">
        <w:rPr>
          <w:rFonts w:asciiTheme="majorHAnsi" w:hAnsiTheme="majorHAnsi"/>
        </w:rPr>
        <w:t xml:space="preserve"> M</w:t>
      </w:r>
      <w:r w:rsidRPr="00D850DF">
        <w:rPr>
          <w:rFonts w:asciiTheme="majorHAnsi" w:hAnsiTheme="majorHAnsi"/>
        </w:rPr>
        <w:t>, Heitfeld</w:t>
      </w:r>
      <w:r w:rsidR="00544BBE" w:rsidRPr="00D850DF">
        <w:rPr>
          <w:rFonts w:asciiTheme="majorHAnsi" w:hAnsiTheme="majorHAnsi"/>
        </w:rPr>
        <w:t xml:space="preserve"> M</w:t>
      </w:r>
      <w:r w:rsidRPr="00D850DF">
        <w:rPr>
          <w:rFonts w:asciiTheme="majorHAnsi" w:hAnsiTheme="majorHAnsi"/>
        </w:rPr>
        <w:t>,</w:t>
      </w:r>
      <w:r w:rsidR="00544BBE" w:rsidRPr="00D850DF">
        <w:rPr>
          <w:rFonts w:asciiTheme="majorHAnsi" w:hAnsiTheme="majorHAnsi"/>
        </w:rPr>
        <w:t xml:space="preserve"> </w:t>
      </w:r>
      <w:r w:rsidRPr="00D850DF">
        <w:rPr>
          <w:rFonts w:asciiTheme="majorHAnsi" w:hAnsiTheme="majorHAnsi"/>
        </w:rPr>
        <w:t>Klunker</w:t>
      </w:r>
      <w:r w:rsidR="00544BBE" w:rsidRPr="00D850DF">
        <w:rPr>
          <w:rFonts w:asciiTheme="majorHAnsi" w:hAnsiTheme="majorHAnsi"/>
        </w:rPr>
        <w:t xml:space="preserve"> J</w:t>
      </w:r>
      <w:r w:rsidR="00276555" w:rsidRPr="00D850DF">
        <w:rPr>
          <w:rFonts w:asciiTheme="majorHAnsi" w:hAnsiTheme="majorHAnsi"/>
        </w:rPr>
        <w:t>,</w:t>
      </w:r>
      <w:r w:rsidRPr="00D850DF">
        <w:rPr>
          <w:rFonts w:asciiTheme="majorHAnsi" w:hAnsiTheme="majorHAnsi"/>
        </w:rPr>
        <w:t xml:space="preserve"> and Jahnke </w:t>
      </w:r>
      <w:r w:rsidR="00544BBE" w:rsidRPr="00D850DF">
        <w:rPr>
          <w:rFonts w:asciiTheme="majorHAnsi" w:hAnsiTheme="majorHAnsi"/>
        </w:rPr>
        <w:t xml:space="preserve">W </w:t>
      </w:r>
      <w:r w:rsidRPr="00D850DF">
        <w:rPr>
          <w:rFonts w:asciiTheme="majorHAnsi" w:hAnsiTheme="majorHAnsi"/>
        </w:rPr>
        <w:t>(2013)</w:t>
      </w:r>
      <w:r w:rsidR="00065463" w:rsidRPr="00D850DF">
        <w:rPr>
          <w:rFonts w:asciiTheme="majorHAnsi" w:hAnsiTheme="majorHAnsi"/>
        </w:rPr>
        <w:t>.</w:t>
      </w:r>
      <w:r w:rsidRPr="00D850DF">
        <w:rPr>
          <w:rFonts w:asciiTheme="majorHAnsi" w:hAnsiTheme="majorHAnsi"/>
        </w:rPr>
        <w:t xml:space="preserve"> Hydraulic fracturing in unconventional gas reservoirs: Risks in the geological system, part 2</w:t>
      </w:r>
      <w:r w:rsidR="00643E10" w:rsidRPr="00D850DF">
        <w:rPr>
          <w:rFonts w:asciiTheme="majorHAnsi" w:hAnsiTheme="majorHAnsi"/>
        </w:rPr>
        <w:t>.</w:t>
      </w:r>
      <w:r w:rsidRPr="00D850DF">
        <w:rPr>
          <w:rFonts w:asciiTheme="majorHAnsi" w:hAnsiTheme="majorHAnsi"/>
        </w:rPr>
        <w:t xml:space="preserve"> Environ</w:t>
      </w:r>
      <w:r w:rsidR="00643E10" w:rsidRPr="00D850DF">
        <w:rPr>
          <w:rFonts w:asciiTheme="majorHAnsi" w:hAnsiTheme="majorHAnsi"/>
        </w:rPr>
        <w:t>mental</w:t>
      </w:r>
      <w:r w:rsidRPr="00D850DF">
        <w:rPr>
          <w:rFonts w:asciiTheme="majorHAnsi" w:hAnsiTheme="majorHAnsi"/>
        </w:rPr>
        <w:t xml:space="preserve"> Earth Sci</w:t>
      </w:r>
      <w:r w:rsidR="00643E10" w:rsidRPr="00D850DF">
        <w:rPr>
          <w:rFonts w:asciiTheme="majorHAnsi" w:hAnsiTheme="majorHAnsi"/>
        </w:rPr>
        <w:t>ences</w:t>
      </w:r>
      <w:r w:rsidRPr="00D850DF">
        <w:rPr>
          <w:rFonts w:asciiTheme="majorHAnsi" w:hAnsiTheme="majorHAnsi"/>
        </w:rPr>
        <w:t xml:space="preserve"> 70(8)</w:t>
      </w:r>
      <w:r w:rsidR="00370368" w:rsidRPr="00D850DF">
        <w:rPr>
          <w:rFonts w:asciiTheme="majorHAnsi" w:hAnsiTheme="majorHAnsi"/>
        </w:rPr>
        <w:t>:</w:t>
      </w:r>
      <w:r w:rsidRPr="00D850DF">
        <w:rPr>
          <w:rFonts w:asciiTheme="majorHAnsi" w:hAnsiTheme="majorHAnsi"/>
        </w:rPr>
        <w:t xml:space="preserve"> 3855–3873, doi</w:t>
      </w:r>
      <w:proofErr w:type="gramStart"/>
      <w:r w:rsidRPr="00D850DF">
        <w:rPr>
          <w:rFonts w:asciiTheme="majorHAnsi" w:hAnsiTheme="majorHAnsi"/>
        </w:rPr>
        <w:t>:10.1007</w:t>
      </w:r>
      <w:proofErr w:type="gramEnd"/>
      <w:r w:rsidRPr="00D850DF">
        <w:rPr>
          <w:rFonts w:asciiTheme="majorHAnsi" w:hAnsiTheme="majorHAnsi"/>
        </w:rPr>
        <w:t>/s12665-013-2578-6.</w:t>
      </w:r>
    </w:p>
    <w:p w14:paraId="06A18313" w14:textId="4276E84A" w:rsidR="003F6DEC" w:rsidRPr="00D850DF" w:rsidRDefault="003F6DEC" w:rsidP="003F6DEC">
      <w:pPr>
        <w:pStyle w:val="Body"/>
        <w:spacing w:afterLines="20" w:after="48"/>
        <w:ind w:left="567" w:hanging="567"/>
        <w:rPr>
          <w:rFonts w:asciiTheme="majorHAnsi" w:hAnsiTheme="majorHAnsi"/>
        </w:rPr>
      </w:pPr>
      <w:r w:rsidRPr="00D850DF">
        <w:rPr>
          <w:rFonts w:asciiTheme="majorHAnsi" w:hAnsiTheme="majorHAnsi"/>
        </w:rPr>
        <w:t>Kiyohara H, Torigoe</w:t>
      </w:r>
      <w:r w:rsidR="00276555" w:rsidRPr="00D850DF">
        <w:rPr>
          <w:rFonts w:asciiTheme="majorHAnsi" w:hAnsiTheme="majorHAnsi"/>
        </w:rPr>
        <w:t xml:space="preserve"> S</w:t>
      </w:r>
      <w:r w:rsidRPr="00D850DF">
        <w:rPr>
          <w:rFonts w:asciiTheme="majorHAnsi" w:hAnsiTheme="majorHAnsi"/>
        </w:rPr>
        <w:t>, Kaida</w:t>
      </w:r>
      <w:r w:rsidR="00276555" w:rsidRPr="00D850DF">
        <w:rPr>
          <w:rFonts w:asciiTheme="majorHAnsi" w:hAnsiTheme="majorHAnsi"/>
        </w:rPr>
        <w:t xml:space="preserve"> N</w:t>
      </w:r>
      <w:r w:rsidRPr="00D850DF">
        <w:rPr>
          <w:rFonts w:asciiTheme="majorHAnsi" w:hAnsiTheme="majorHAnsi"/>
        </w:rPr>
        <w:t>, Asaki</w:t>
      </w:r>
      <w:r w:rsidR="00276555" w:rsidRPr="00D850DF">
        <w:rPr>
          <w:rFonts w:asciiTheme="majorHAnsi" w:hAnsiTheme="majorHAnsi"/>
        </w:rPr>
        <w:t xml:space="preserve"> T</w:t>
      </w:r>
      <w:r w:rsidRPr="00D850DF">
        <w:rPr>
          <w:rFonts w:asciiTheme="majorHAnsi" w:hAnsiTheme="majorHAnsi"/>
        </w:rPr>
        <w:t>, Iida</w:t>
      </w:r>
      <w:r w:rsidR="00276555" w:rsidRPr="00D850DF">
        <w:rPr>
          <w:rFonts w:asciiTheme="majorHAnsi" w:hAnsiTheme="majorHAnsi"/>
        </w:rPr>
        <w:t xml:space="preserve"> T</w:t>
      </w:r>
      <w:r w:rsidRPr="00D850DF">
        <w:rPr>
          <w:rFonts w:asciiTheme="majorHAnsi" w:hAnsiTheme="majorHAnsi"/>
        </w:rPr>
        <w:t>, Hayashi</w:t>
      </w:r>
      <w:r w:rsidR="00276555" w:rsidRPr="00D850DF">
        <w:rPr>
          <w:rFonts w:asciiTheme="majorHAnsi" w:hAnsiTheme="majorHAnsi"/>
        </w:rPr>
        <w:t xml:space="preserve"> H</w:t>
      </w:r>
      <w:r w:rsidRPr="00D850DF">
        <w:rPr>
          <w:rFonts w:asciiTheme="majorHAnsi" w:hAnsiTheme="majorHAnsi"/>
        </w:rPr>
        <w:t>, and Takizawa</w:t>
      </w:r>
      <w:r w:rsidR="00276555" w:rsidRPr="00D850DF">
        <w:rPr>
          <w:rFonts w:asciiTheme="majorHAnsi" w:hAnsiTheme="majorHAnsi"/>
        </w:rPr>
        <w:t xml:space="preserve"> N (</w:t>
      </w:r>
      <w:r w:rsidRPr="00D850DF">
        <w:rPr>
          <w:rFonts w:asciiTheme="majorHAnsi" w:hAnsiTheme="majorHAnsi"/>
        </w:rPr>
        <w:t>1994</w:t>
      </w:r>
      <w:r w:rsidR="00276555"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Cloning and characterization of a chromosomal gene cluster, pah, that encodes the upper pathway for phenanthrene and naphthalene utilization by Pseudomonas putida OUS82. J</w:t>
      </w:r>
      <w:r w:rsidR="00643E10" w:rsidRPr="00D850DF">
        <w:rPr>
          <w:rFonts w:asciiTheme="majorHAnsi" w:hAnsiTheme="majorHAnsi"/>
        </w:rPr>
        <w:t>ournal of</w:t>
      </w:r>
      <w:r w:rsidRPr="00D850DF">
        <w:rPr>
          <w:rFonts w:asciiTheme="majorHAnsi" w:hAnsiTheme="majorHAnsi"/>
        </w:rPr>
        <w:t xml:space="preserve"> Bacteriol</w:t>
      </w:r>
      <w:r w:rsidR="00643E10" w:rsidRPr="00D850DF">
        <w:rPr>
          <w:rFonts w:asciiTheme="majorHAnsi" w:hAnsiTheme="majorHAnsi"/>
        </w:rPr>
        <w:t>ogy</w:t>
      </w:r>
      <w:r w:rsidRPr="00D850DF">
        <w:rPr>
          <w:rFonts w:asciiTheme="majorHAnsi" w:hAnsiTheme="majorHAnsi"/>
        </w:rPr>
        <w:t xml:space="preserve"> 176: 2439-2443.</w:t>
      </w:r>
    </w:p>
    <w:p w14:paraId="62B5ECEE" w14:textId="40F373EC" w:rsidR="00724C0D" w:rsidRPr="00D850DF" w:rsidRDefault="00724C0D" w:rsidP="00724C0D">
      <w:pPr>
        <w:pStyle w:val="Body"/>
        <w:spacing w:afterLines="20" w:after="48"/>
        <w:ind w:left="567" w:hanging="567"/>
        <w:rPr>
          <w:rFonts w:asciiTheme="majorHAnsi" w:hAnsiTheme="majorHAnsi"/>
        </w:rPr>
      </w:pPr>
      <w:r w:rsidRPr="00D850DF">
        <w:rPr>
          <w:rFonts w:asciiTheme="majorHAnsi" w:hAnsiTheme="majorHAnsi"/>
        </w:rPr>
        <w:t>Kollig HP (1993)</w:t>
      </w:r>
      <w:r w:rsidR="00065463" w:rsidRPr="00D850DF">
        <w:rPr>
          <w:rFonts w:asciiTheme="majorHAnsi" w:hAnsiTheme="majorHAnsi"/>
        </w:rPr>
        <w:t>.</w:t>
      </w:r>
      <w:r w:rsidRPr="00D850DF">
        <w:rPr>
          <w:rFonts w:asciiTheme="majorHAnsi" w:hAnsiTheme="majorHAnsi"/>
        </w:rPr>
        <w:t xml:space="preserve"> Environmental Fate Constants for Organic Chemicals </w:t>
      </w:r>
      <w:proofErr w:type="gramStart"/>
      <w:r w:rsidRPr="00D850DF">
        <w:rPr>
          <w:rFonts w:asciiTheme="majorHAnsi" w:hAnsiTheme="majorHAnsi"/>
        </w:rPr>
        <w:t>Under</w:t>
      </w:r>
      <w:proofErr w:type="gramEnd"/>
      <w:r w:rsidRPr="00D850DF">
        <w:rPr>
          <w:rFonts w:asciiTheme="majorHAnsi" w:hAnsiTheme="majorHAnsi"/>
        </w:rPr>
        <w:t xml:space="preserve"> Consideration for EPA’s Hazardous Waste Identification Projects. EPA Report EPA/600/R-93/132, Environmental Research Lab., U.S. EPA, Athens, GA.</w:t>
      </w:r>
    </w:p>
    <w:p w14:paraId="4EAC80C8" w14:textId="37F10840" w:rsidR="006A5A6A" w:rsidRDefault="006A5A6A" w:rsidP="006A5A6A">
      <w:pPr>
        <w:pStyle w:val="Body"/>
        <w:spacing w:afterLines="20" w:after="48"/>
        <w:ind w:left="567" w:hanging="567"/>
        <w:rPr>
          <w:rFonts w:asciiTheme="majorHAnsi" w:hAnsiTheme="majorHAnsi"/>
        </w:rPr>
      </w:pPr>
      <w:r w:rsidRPr="00D850DF">
        <w:rPr>
          <w:rFonts w:asciiTheme="majorHAnsi" w:hAnsiTheme="majorHAnsi"/>
        </w:rPr>
        <w:t xml:space="preserve">Kopinke FD, Porschmann J, </w:t>
      </w:r>
      <w:r w:rsidR="00276555" w:rsidRPr="00D850DF">
        <w:rPr>
          <w:rFonts w:asciiTheme="majorHAnsi" w:hAnsiTheme="majorHAnsi"/>
        </w:rPr>
        <w:t xml:space="preserve">and </w:t>
      </w:r>
      <w:r w:rsidRPr="00D850DF">
        <w:rPr>
          <w:rFonts w:asciiTheme="majorHAnsi" w:hAnsiTheme="majorHAnsi"/>
        </w:rPr>
        <w:t>Stottmeister U (1995)</w:t>
      </w:r>
      <w:r w:rsidR="00065463" w:rsidRPr="00D850DF">
        <w:rPr>
          <w:rFonts w:asciiTheme="majorHAnsi" w:hAnsiTheme="majorHAnsi"/>
        </w:rPr>
        <w:t>.</w:t>
      </w:r>
      <w:r w:rsidRPr="00D850DF">
        <w:rPr>
          <w:rFonts w:asciiTheme="majorHAnsi" w:hAnsiTheme="majorHAnsi"/>
        </w:rPr>
        <w:t xml:space="preserve"> Sorption of organic pollutants on anthropogenic humic matter. Environ</w:t>
      </w:r>
      <w:r w:rsidR="00643E10" w:rsidRPr="00D850DF">
        <w:rPr>
          <w:rFonts w:asciiTheme="majorHAnsi" w:hAnsiTheme="majorHAnsi"/>
        </w:rPr>
        <w:t>mental</w:t>
      </w:r>
      <w:r w:rsidRPr="00D850DF">
        <w:rPr>
          <w:rFonts w:asciiTheme="majorHAnsi" w:hAnsiTheme="majorHAnsi"/>
        </w:rPr>
        <w:t xml:space="preserve"> Sci</w:t>
      </w:r>
      <w:r w:rsidR="00643E10" w:rsidRPr="00D850DF">
        <w:rPr>
          <w:rFonts w:asciiTheme="majorHAnsi" w:hAnsiTheme="majorHAnsi"/>
        </w:rPr>
        <w:t>ence and</w:t>
      </w:r>
      <w:r w:rsidRPr="00D850DF">
        <w:rPr>
          <w:rFonts w:asciiTheme="majorHAnsi" w:hAnsiTheme="majorHAnsi"/>
        </w:rPr>
        <w:t xml:space="preserve"> Technol</w:t>
      </w:r>
      <w:r w:rsidR="00643E10" w:rsidRPr="00D850DF">
        <w:rPr>
          <w:rFonts w:asciiTheme="majorHAnsi" w:hAnsiTheme="majorHAnsi"/>
        </w:rPr>
        <w:t>ogy</w:t>
      </w:r>
      <w:r w:rsidRPr="00D850DF">
        <w:rPr>
          <w:rFonts w:asciiTheme="majorHAnsi" w:hAnsiTheme="majorHAnsi"/>
        </w:rPr>
        <w:t xml:space="preserve"> 29: 941-950. </w:t>
      </w:r>
    </w:p>
    <w:p w14:paraId="4815817C" w14:textId="29269837" w:rsidR="00186A83" w:rsidRPr="00186A83" w:rsidRDefault="00186A83" w:rsidP="00186A83">
      <w:pPr>
        <w:pStyle w:val="Body"/>
        <w:spacing w:afterLines="20" w:after="48"/>
        <w:ind w:left="567" w:hanging="567"/>
        <w:rPr>
          <w:rFonts w:asciiTheme="majorHAnsi" w:hAnsiTheme="majorHAnsi"/>
        </w:rPr>
      </w:pPr>
      <w:r w:rsidRPr="00186A83">
        <w:rPr>
          <w:rFonts w:asciiTheme="majorHAnsi" w:hAnsiTheme="majorHAnsi"/>
        </w:rPr>
        <w:t>Kühn R and Pattard M (1990)</w:t>
      </w:r>
      <w:r>
        <w:rPr>
          <w:rFonts w:asciiTheme="majorHAnsi" w:hAnsiTheme="majorHAnsi"/>
        </w:rPr>
        <w:t>.</w:t>
      </w:r>
      <w:r w:rsidRPr="00186A83">
        <w:rPr>
          <w:rFonts w:asciiTheme="majorHAnsi" w:hAnsiTheme="majorHAnsi"/>
        </w:rPr>
        <w:t xml:space="preserve"> Results of the harmful effects of water pollutants to green algae (Scenedesmus subspicatus) in the cell multiplication inhibition test. Water Resources 24: 31―38.</w:t>
      </w:r>
    </w:p>
    <w:p w14:paraId="29598E7D" w14:textId="69F16510" w:rsidR="00764F9E" w:rsidRPr="00D850DF" w:rsidRDefault="00977260" w:rsidP="006A5A6A">
      <w:pPr>
        <w:pStyle w:val="Body"/>
        <w:spacing w:afterLines="20" w:after="48"/>
        <w:ind w:left="567" w:hanging="567"/>
        <w:rPr>
          <w:rFonts w:asciiTheme="majorHAnsi" w:hAnsiTheme="majorHAnsi"/>
        </w:rPr>
      </w:pPr>
      <w:r>
        <w:t xml:space="preserve">Kühn R, Pattard M, Pernak K-D, and Winter A (1989). Results of the harmful effects of water pollutants to </w:t>
      </w:r>
      <w:r w:rsidRPr="00977260">
        <w:rPr>
          <w:i/>
        </w:rPr>
        <w:t>Daphnia Magna</w:t>
      </w:r>
      <w:r>
        <w:t xml:space="preserve"> in the 21 day reproduction test. Water Research 23(4): 501-510.</w:t>
      </w:r>
    </w:p>
    <w:p w14:paraId="30810F67" w14:textId="1B6A1875" w:rsidR="00D9435D" w:rsidRDefault="00D9435D" w:rsidP="000144B2">
      <w:pPr>
        <w:pStyle w:val="Body"/>
        <w:spacing w:afterLines="20" w:after="48"/>
        <w:ind w:left="567" w:hanging="567"/>
        <w:rPr>
          <w:rFonts w:asciiTheme="majorHAnsi" w:hAnsiTheme="majorHAnsi"/>
        </w:rPr>
      </w:pPr>
      <w:r w:rsidRPr="00D850DF">
        <w:rPr>
          <w:rFonts w:asciiTheme="majorHAnsi" w:hAnsiTheme="majorHAnsi"/>
        </w:rPr>
        <w:t>Langmuir D (1978)</w:t>
      </w:r>
      <w:r w:rsidR="00065463" w:rsidRPr="00D850DF">
        <w:rPr>
          <w:rFonts w:asciiTheme="majorHAnsi" w:hAnsiTheme="majorHAnsi"/>
        </w:rPr>
        <w:t>.</w:t>
      </w:r>
      <w:r w:rsidRPr="00D850DF">
        <w:rPr>
          <w:rFonts w:asciiTheme="majorHAnsi" w:hAnsiTheme="majorHAnsi"/>
        </w:rPr>
        <w:t xml:space="preserve"> Uranium solution-mineral equilibria at low temperatures with applications to sedimentary ore deposits. Geochim</w:t>
      </w:r>
      <w:r w:rsidR="00643E10" w:rsidRPr="00D850DF">
        <w:rPr>
          <w:rFonts w:asciiTheme="majorHAnsi" w:hAnsiTheme="majorHAnsi"/>
        </w:rPr>
        <w:t xml:space="preserve">ica </w:t>
      </w:r>
      <w:proofErr w:type="gramStart"/>
      <w:r w:rsidR="00643E10" w:rsidRPr="00D850DF">
        <w:rPr>
          <w:rFonts w:asciiTheme="majorHAnsi" w:hAnsiTheme="majorHAnsi"/>
        </w:rPr>
        <w:t>et</w:t>
      </w:r>
      <w:proofErr w:type="gramEnd"/>
      <w:r w:rsidRPr="00D850DF">
        <w:rPr>
          <w:rFonts w:asciiTheme="majorHAnsi" w:hAnsiTheme="majorHAnsi"/>
        </w:rPr>
        <w:t xml:space="preserve"> Cosmochim</w:t>
      </w:r>
      <w:r w:rsidR="00643E10" w:rsidRPr="00D850DF">
        <w:rPr>
          <w:rFonts w:asciiTheme="majorHAnsi" w:hAnsiTheme="majorHAnsi"/>
        </w:rPr>
        <w:t>ica</w:t>
      </w:r>
      <w:r w:rsidRPr="00D850DF">
        <w:rPr>
          <w:rFonts w:asciiTheme="majorHAnsi" w:hAnsiTheme="majorHAnsi"/>
        </w:rPr>
        <w:t xml:space="preserve"> Acta 42</w:t>
      </w:r>
      <w:r w:rsidR="00370368" w:rsidRPr="00D850DF">
        <w:rPr>
          <w:rFonts w:asciiTheme="majorHAnsi" w:hAnsiTheme="majorHAnsi"/>
        </w:rPr>
        <w:t>:</w:t>
      </w:r>
      <w:r w:rsidRPr="00D850DF">
        <w:rPr>
          <w:rFonts w:asciiTheme="majorHAnsi" w:hAnsiTheme="majorHAnsi"/>
        </w:rPr>
        <w:t xml:space="preserve"> 547−569. </w:t>
      </w:r>
    </w:p>
    <w:p w14:paraId="148EAD9C" w14:textId="2E20B143" w:rsidR="00F40627" w:rsidRPr="00D850DF" w:rsidRDefault="00F40627" w:rsidP="00F40627">
      <w:pPr>
        <w:pStyle w:val="Body"/>
        <w:spacing w:afterLines="20" w:after="48"/>
        <w:ind w:left="567" w:hanging="567"/>
        <w:rPr>
          <w:rFonts w:asciiTheme="majorHAnsi" w:hAnsiTheme="majorHAnsi"/>
        </w:rPr>
      </w:pPr>
      <w:r w:rsidRPr="00F40627">
        <w:rPr>
          <w:rFonts w:asciiTheme="majorHAnsi" w:hAnsiTheme="majorHAnsi"/>
        </w:rPr>
        <w:t>Lenda A and Zuber A (1970). Tracer dispersion in groundwater experiments. Proceedings of a Symposium on the</w:t>
      </w:r>
      <w:r>
        <w:rPr>
          <w:rFonts w:asciiTheme="majorHAnsi" w:hAnsiTheme="majorHAnsi"/>
        </w:rPr>
        <w:t xml:space="preserve"> </w:t>
      </w:r>
      <w:r w:rsidRPr="00F40627">
        <w:rPr>
          <w:rFonts w:asciiTheme="majorHAnsi" w:hAnsiTheme="majorHAnsi"/>
        </w:rPr>
        <w:t>Use of Isotopes in Hydrology. IAEA, Vienna, pp. 619– 641. March 9–13.</w:t>
      </w:r>
    </w:p>
    <w:p w14:paraId="600685DE" w14:textId="599650BB" w:rsidR="00A567B2" w:rsidRPr="00D850DF" w:rsidRDefault="00A567B2" w:rsidP="000144B2">
      <w:pPr>
        <w:pStyle w:val="Body"/>
        <w:spacing w:afterLines="20" w:after="48"/>
        <w:ind w:left="567" w:hanging="567"/>
        <w:rPr>
          <w:rFonts w:asciiTheme="majorHAnsi" w:hAnsiTheme="majorHAnsi"/>
        </w:rPr>
      </w:pPr>
      <w:r w:rsidRPr="00D850DF">
        <w:rPr>
          <w:rFonts w:asciiTheme="majorHAnsi" w:hAnsiTheme="majorHAnsi"/>
        </w:rPr>
        <w:t>Leij F and B</w:t>
      </w:r>
      <w:r w:rsidR="00B03EBD">
        <w:rPr>
          <w:rFonts w:asciiTheme="majorHAnsi" w:hAnsiTheme="majorHAnsi"/>
        </w:rPr>
        <w:t>ra</w:t>
      </w:r>
      <w:r w:rsidRPr="00D850DF">
        <w:rPr>
          <w:rFonts w:asciiTheme="majorHAnsi" w:hAnsiTheme="majorHAnsi"/>
        </w:rPr>
        <w:t>dford SA (1994)</w:t>
      </w:r>
      <w:r w:rsidR="00065463" w:rsidRPr="00D850DF">
        <w:rPr>
          <w:rFonts w:asciiTheme="majorHAnsi" w:hAnsiTheme="majorHAnsi"/>
        </w:rPr>
        <w:t>.</w:t>
      </w:r>
      <w:r w:rsidRPr="00D850DF">
        <w:rPr>
          <w:rFonts w:asciiTheme="majorHAnsi" w:hAnsiTheme="majorHAnsi"/>
        </w:rPr>
        <w:t xml:space="preserve"> 3DADE: A computer program for evaluation </w:t>
      </w:r>
      <w:r w:rsidR="00011468">
        <w:rPr>
          <w:rFonts w:asciiTheme="majorHAnsi" w:hAnsiTheme="majorHAnsi"/>
        </w:rPr>
        <w:t xml:space="preserve">of </w:t>
      </w:r>
      <w:r w:rsidRPr="00D850DF">
        <w:rPr>
          <w:rFonts w:asciiTheme="majorHAnsi" w:hAnsiTheme="majorHAnsi"/>
        </w:rPr>
        <w:t>three-dimensional equilibrium solute transport in porous media. Research Report No. 134, US Salinity Lab, Riverside, CA.</w:t>
      </w:r>
    </w:p>
    <w:p w14:paraId="3259D85A" w14:textId="61B205C9" w:rsidR="0071601A" w:rsidRPr="00D850DF" w:rsidRDefault="0071601A" w:rsidP="000144B2">
      <w:pPr>
        <w:pStyle w:val="Body"/>
        <w:spacing w:afterLines="20" w:after="48"/>
        <w:ind w:left="567" w:hanging="567"/>
        <w:rPr>
          <w:rFonts w:asciiTheme="majorHAnsi" w:hAnsiTheme="majorHAnsi"/>
        </w:rPr>
      </w:pPr>
      <w:r w:rsidRPr="00D850DF">
        <w:rPr>
          <w:rFonts w:asciiTheme="majorHAnsi" w:hAnsiTheme="majorHAnsi"/>
        </w:rPr>
        <w:t>Lewin U, Wennrich L, Efer J</w:t>
      </w:r>
      <w:r w:rsidR="00276555" w:rsidRPr="00D850DF">
        <w:rPr>
          <w:rFonts w:asciiTheme="majorHAnsi" w:hAnsiTheme="majorHAnsi"/>
        </w:rPr>
        <w:t>,</w:t>
      </w:r>
      <w:r w:rsidRPr="00D850DF">
        <w:rPr>
          <w:rFonts w:asciiTheme="majorHAnsi" w:hAnsiTheme="majorHAnsi"/>
        </w:rPr>
        <w:t xml:space="preserve"> and Engewald W (1997)</w:t>
      </w:r>
      <w:r w:rsidR="00065463" w:rsidRPr="00D850DF">
        <w:rPr>
          <w:rFonts w:asciiTheme="majorHAnsi" w:hAnsiTheme="majorHAnsi"/>
        </w:rPr>
        <w:t>.</w:t>
      </w:r>
      <w:r w:rsidRPr="00D850DF">
        <w:rPr>
          <w:rFonts w:asciiTheme="majorHAnsi" w:hAnsiTheme="majorHAnsi"/>
        </w:rPr>
        <w:t xml:space="preserve"> Determination of highly polar compounds in water samples </w:t>
      </w:r>
      <w:r w:rsidR="00370368" w:rsidRPr="00D850DF">
        <w:rPr>
          <w:rFonts w:asciiTheme="majorHAnsi" w:hAnsiTheme="majorHAnsi"/>
        </w:rPr>
        <w:t>around former ammunition plants.</w:t>
      </w:r>
      <w:r w:rsidRPr="00D850DF">
        <w:rPr>
          <w:rFonts w:asciiTheme="majorHAnsi" w:hAnsiTheme="majorHAnsi"/>
        </w:rPr>
        <w:t xml:space="preserve"> Chromatographia</w:t>
      </w:r>
      <w:r w:rsidR="00370368" w:rsidRPr="00D850DF">
        <w:rPr>
          <w:rFonts w:asciiTheme="majorHAnsi" w:hAnsiTheme="majorHAnsi"/>
        </w:rPr>
        <w:t xml:space="preserve"> 45:</w:t>
      </w:r>
      <w:r w:rsidRPr="00D850DF">
        <w:rPr>
          <w:rFonts w:asciiTheme="majorHAnsi" w:hAnsiTheme="majorHAnsi"/>
        </w:rPr>
        <w:t xml:space="preserve"> 91-98.</w:t>
      </w:r>
    </w:p>
    <w:p w14:paraId="553AC3DF" w14:textId="05E6D037" w:rsidR="00363889" w:rsidRDefault="00363889" w:rsidP="000144B2">
      <w:pPr>
        <w:pStyle w:val="Body"/>
        <w:spacing w:afterLines="20" w:after="48"/>
        <w:ind w:left="567" w:hanging="567"/>
        <w:rPr>
          <w:rFonts w:asciiTheme="majorHAnsi" w:hAnsiTheme="majorHAnsi"/>
        </w:rPr>
      </w:pPr>
      <w:r w:rsidRPr="00D850DF">
        <w:rPr>
          <w:rFonts w:asciiTheme="majorHAnsi" w:hAnsiTheme="majorHAnsi"/>
        </w:rPr>
        <w:t xml:space="preserve">Lewis J, Martel R, Trepanier L, Ampleman G, </w:t>
      </w:r>
      <w:r w:rsidR="00276555" w:rsidRPr="00D850DF">
        <w:rPr>
          <w:rFonts w:asciiTheme="majorHAnsi" w:hAnsiTheme="majorHAnsi"/>
        </w:rPr>
        <w:t xml:space="preserve">and </w:t>
      </w:r>
      <w:r w:rsidRPr="00D850DF">
        <w:rPr>
          <w:rFonts w:asciiTheme="majorHAnsi" w:hAnsiTheme="majorHAnsi"/>
        </w:rPr>
        <w:t>Thiboutot S (2009)</w:t>
      </w:r>
      <w:r w:rsidR="00065463" w:rsidRPr="00D850DF">
        <w:rPr>
          <w:rFonts w:asciiTheme="majorHAnsi" w:hAnsiTheme="majorHAnsi"/>
        </w:rPr>
        <w:t>.</w:t>
      </w:r>
      <w:r w:rsidRPr="00D850DF">
        <w:rPr>
          <w:rFonts w:asciiTheme="majorHAnsi" w:hAnsiTheme="majorHAnsi"/>
        </w:rPr>
        <w:t xml:space="preserve"> Quantifying the transport of energetic materials in unsaturated sediments from cracked unexploded ordonance. Journal of Environmental Quality 38: 2229-2236. </w:t>
      </w:r>
    </w:p>
    <w:p w14:paraId="5ED63D62" w14:textId="0799F84C" w:rsidR="00593717" w:rsidRPr="00D850DF" w:rsidRDefault="00593717" w:rsidP="000144B2">
      <w:pPr>
        <w:pStyle w:val="Body"/>
        <w:spacing w:afterLines="20" w:after="48"/>
        <w:ind w:left="567" w:hanging="567"/>
        <w:rPr>
          <w:rFonts w:asciiTheme="majorHAnsi" w:hAnsiTheme="majorHAnsi"/>
        </w:rPr>
      </w:pPr>
      <w:r w:rsidRPr="00593717">
        <w:rPr>
          <w:rFonts w:asciiTheme="majorHAnsi" w:hAnsiTheme="majorHAnsi"/>
        </w:rPr>
        <w:t>Linge H (1989)</w:t>
      </w:r>
      <w:r>
        <w:rPr>
          <w:rFonts w:asciiTheme="majorHAnsi" w:hAnsiTheme="majorHAnsi"/>
        </w:rPr>
        <w:t>.</w:t>
      </w:r>
      <w:r w:rsidRPr="00593717">
        <w:rPr>
          <w:rFonts w:asciiTheme="majorHAnsi" w:hAnsiTheme="majorHAnsi"/>
        </w:rPr>
        <w:t xml:space="preserve"> The surface area of coal particles. Fuel 68 (1)</w:t>
      </w:r>
      <w:r>
        <w:rPr>
          <w:rFonts w:asciiTheme="majorHAnsi" w:hAnsiTheme="majorHAnsi"/>
        </w:rPr>
        <w:t>:</w:t>
      </w:r>
      <w:r w:rsidRPr="00593717">
        <w:rPr>
          <w:rFonts w:asciiTheme="majorHAnsi" w:hAnsiTheme="majorHAnsi"/>
        </w:rPr>
        <w:t xml:space="preserve"> 111-113.</w:t>
      </w:r>
    </w:p>
    <w:p w14:paraId="0130BACD" w14:textId="7D9BB07B" w:rsidR="000F310B" w:rsidRPr="00D850DF" w:rsidRDefault="00D9435D" w:rsidP="000144B2">
      <w:pPr>
        <w:pStyle w:val="Body"/>
        <w:spacing w:afterLines="20" w:after="48"/>
        <w:ind w:left="567" w:hanging="567"/>
        <w:rPr>
          <w:rFonts w:asciiTheme="majorHAnsi" w:hAnsiTheme="majorHAnsi"/>
        </w:rPr>
      </w:pPr>
      <w:r w:rsidRPr="00D850DF">
        <w:rPr>
          <w:rFonts w:asciiTheme="majorHAnsi" w:hAnsiTheme="majorHAnsi"/>
        </w:rPr>
        <w:t>Lintott D and Tindal M (2007)</w:t>
      </w:r>
      <w:r w:rsidR="00065463" w:rsidRPr="00D850DF">
        <w:rPr>
          <w:rFonts w:asciiTheme="majorHAnsi" w:hAnsiTheme="majorHAnsi"/>
        </w:rPr>
        <w:t>.</w:t>
      </w:r>
      <w:r w:rsidRPr="00D850DF">
        <w:rPr>
          <w:rFonts w:asciiTheme="majorHAnsi" w:hAnsiTheme="majorHAnsi"/>
        </w:rPr>
        <w:t xml:space="preserve"> Estimation of a generic adsorption coefficient </w:t>
      </w:r>
      <w:proofErr w:type="gramStart"/>
      <w:r w:rsidRPr="00D850DF">
        <w:rPr>
          <w:rFonts w:asciiTheme="majorHAnsi" w:hAnsiTheme="majorHAnsi"/>
        </w:rPr>
        <w:t>Kd</w:t>
      </w:r>
      <w:proofErr w:type="gramEnd"/>
      <w:r w:rsidRPr="00D850DF">
        <w:rPr>
          <w:rFonts w:asciiTheme="majorHAnsi" w:hAnsiTheme="majorHAnsi"/>
        </w:rPr>
        <w:t xml:space="preserve"> for barium. Report for the British Columbia upstream petroleum environmental task group, barite-barium issues subgroup, 19 pages. </w:t>
      </w:r>
    </w:p>
    <w:p w14:paraId="7584AE4E" w14:textId="70F9414D" w:rsidR="00950BD1" w:rsidRPr="00D850DF" w:rsidRDefault="00950BD1" w:rsidP="00950BD1">
      <w:pPr>
        <w:pStyle w:val="Body"/>
        <w:spacing w:afterLines="20" w:after="48"/>
        <w:ind w:left="567" w:hanging="567"/>
        <w:rPr>
          <w:rFonts w:asciiTheme="majorHAnsi" w:hAnsiTheme="majorHAnsi"/>
        </w:rPr>
      </w:pPr>
      <w:r w:rsidRPr="00D850DF">
        <w:rPr>
          <w:rFonts w:asciiTheme="majorHAnsi" w:hAnsiTheme="majorHAnsi"/>
        </w:rPr>
        <w:t>Loehr RC (1989)</w:t>
      </w:r>
      <w:r w:rsidR="00065463" w:rsidRPr="00D850DF">
        <w:rPr>
          <w:rFonts w:asciiTheme="majorHAnsi" w:hAnsiTheme="majorHAnsi"/>
        </w:rPr>
        <w:t>.</w:t>
      </w:r>
      <w:r w:rsidRPr="00D850DF">
        <w:rPr>
          <w:rFonts w:asciiTheme="majorHAnsi" w:hAnsiTheme="majorHAnsi"/>
        </w:rPr>
        <w:t xml:space="preserve"> Treatability potential for EPA listed hazardous wastes in soil. Environmental Research Laboratory, Office of Research and Development, United States Environmental Protection Agency. Ada, Oklahoma.</w:t>
      </w:r>
    </w:p>
    <w:p w14:paraId="30317B67" w14:textId="4D5758C1" w:rsidR="00EE3952" w:rsidRPr="00D850DF" w:rsidRDefault="00EE3952" w:rsidP="00EE3952">
      <w:pPr>
        <w:pStyle w:val="Body"/>
        <w:spacing w:afterLines="20" w:after="48"/>
        <w:ind w:left="567" w:hanging="567"/>
        <w:rPr>
          <w:rFonts w:asciiTheme="majorHAnsi" w:hAnsiTheme="majorHAnsi"/>
        </w:rPr>
      </w:pPr>
      <w:r w:rsidRPr="00D850DF">
        <w:rPr>
          <w:rFonts w:asciiTheme="majorHAnsi" w:hAnsiTheme="majorHAnsi"/>
        </w:rPr>
        <w:t>Loeppky RN (1994)</w:t>
      </w:r>
      <w:r w:rsidR="00065463" w:rsidRPr="00D850DF">
        <w:rPr>
          <w:rFonts w:asciiTheme="majorHAnsi" w:hAnsiTheme="majorHAnsi"/>
        </w:rPr>
        <w:t>.</w:t>
      </w:r>
      <w:r w:rsidRPr="00D850DF">
        <w:rPr>
          <w:rFonts w:asciiTheme="majorHAnsi" w:hAnsiTheme="majorHAnsi"/>
        </w:rPr>
        <w:t xml:space="preserve"> Nitrosamine and N-Nitroso Compound Chemistry and Biochemistry</w:t>
      </w:r>
      <w:r w:rsidR="00011468">
        <w:rPr>
          <w:rFonts w:asciiTheme="majorHAnsi" w:hAnsiTheme="majorHAnsi"/>
        </w:rPr>
        <w:t>.</w:t>
      </w:r>
      <w:r w:rsidRPr="00D850DF">
        <w:rPr>
          <w:rFonts w:asciiTheme="majorHAnsi" w:hAnsiTheme="majorHAnsi"/>
        </w:rPr>
        <w:t xml:space="preserve"> ACS Symposium Series</w:t>
      </w:r>
      <w:r w:rsidR="00011468">
        <w:rPr>
          <w:rFonts w:asciiTheme="majorHAnsi" w:hAnsiTheme="majorHAnsi"/>
        </w:rPr>
        <w:t>,</w:t>
      </w:r>
      <w:r w:rsidRPr="00D850DF">
        <w:rPr>
          <w:rFonts w:asciiTheme="majorHAnsi" w:hAnsiTheme="majorHAnsi"/>
        </w:rPr>
        <w:t xml:space="preserve"> American Chemical Society: Washington, DC, USA.</w:t>
      </w:r>
    </w:p>
    <w:p w14:paraId="03013BA1" w14:textId="3933D559"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Loewengart G (2001)</w:t>
      </w:r>
      <w:r w:rsidR="00065463" w:rsidRPr="00D850DF">
        <w:rPr>
          <w:rFonts w:asciiTheme="majorHAnsi" w:hAnsiTheme="majorHAnsi"/>
        </w:rPr>
        <w:t>.</w:t>
      </w:r>
      <w:r w:rsidRPr="00D850DF">
        <w:rPr>
          <w:rFonts w:asciiTheme="majorHAnsi" w:hAnsiTheme="majorHAnsi"/>
        </w:rPr>
        <w:t xml:space="preserve"> Toxicity of boron to rainbow trout: a weight-of-the-evidence assessment. Environmental Toxicology and Chemistry 20</w:t>
      </w:r>
      <w:r w:rsidR="00D77A45" w:rsidRPr="00D850DF">
        <w:rPr>
          <w:rFonts w:asciiTheme="majorHAnsi" w:hAnsiTheme="majorHAnsi"/>
        </w:rPr>
        <w:t>:</w:t>
      </w:r>
      <w:r w:rsidRPr="00D850DF">
        <w:rPr>
          <w:rFonts w:asciiTheme="majorHAnsi" w:hAnsiTheme="majorHAnsi"/>
        </w:rPr>
        <w:t xml:space="preserve"> 796-803.</w:t>
      </w:r>
    </w:p>
    <w:p w14:paraId="1944D875" w14:textId="240DBDC5" w:rsidR="000F310B" w:rsidRPr="00D850DF" w:rsidRDefault="000F310B" w:rsidP="000144B2">
      <w:pPr>
        <w:pStyle w:val="Body"/>
        <w:spacing w:afterLines="20" w:after="48"/>
        <w:ind w:left="567" w:hanging="567"/>
        <w:rPr>
          <w:rFonts w:asciiTheme="majorHAnsi" w:hAnsiTheme="majorHAnsi"/>
        </w:rPr>
      </w:pPr>
      <w:r w:rsidRPr="00D850DF">
        <w:rPr>
          <w:rFonts w:asciiTheme="majorHAnsi" w:hAnsiTheme="majorHAnsi"/>
        </w:rPr>
        <w:t xml:space="preserve">Lyman WJ </w:t>
      </w:r>
      <w:r w:rsidR="00B9481C" w:rsidRPr="00D850DF">
        <w:rPr>
          <w:rFonts w:asciiTheme="majorHAnsi" w:hAnsiTheme="majorHAnsi"/>
        </w:rPr>
        <w:t>Reehl WF</w:t>
      </w:r>
      <w:r w:rsidR="00276555" w:rsidRPr="00D850DF">
        <w:rPr>
          <w:rFonts w:asciiTheme="majorHAnsi" w:hAnsiTheme="majorHAnsi"/>
        </w:rPr>
        <w:t>,</w:t>
      </w:r>
      <w:r w:rsidR="00B9481C" w:rsidRPr="00D850DF">
        <w:rPr>
          <w:rFonts w:asciiTheme="majorHAnsi" w:hAnsiTheme="majorHAnsi"/>
        </w:rPr>
        <w:t xml:space="preserve"> and Rosenblatt DH (1990)</w:t>
      </w:r>
      <w:r w:rsidR="00065463" w:rsidRPr="00D850DF">
        <w:rPr>
          <w:rFonts w:asciiTheme="majorHAnsi" w:hAnsiTheme="majorHAnsi"/>
        </w:rPr>
        <w:t>.</w:t>
      </w:r>
      <w:r w:rsidR="00B9481C" w:rsidRPr="00D850DF">
        <w:rPr>
          <w:rFonts w:asciiTheme="majorHAnsi" w:hAnsiTheme="majorHAnsi"/>
        </w:rPr>
        <w:t xml:space="preserve"> </w:t>
      </w:r>
      <w:r w:rsidRPr="00D850DF">
        <w:rPr>
          <w:rFonts w:asciiTheme="majorHAnsi" w:hAnsiTheme="majorHAnsi"/>
        </w:rPr>
        <w:t>Handbook of Chemical Property Estimation Methods. Washington,</w:t>
      </w:r>
      <w:r w:rsidR="00065463" w:rsidRPr="00D850DF">
        <w:rPr>
          <w:rFonts w:asciiTheme="majorHAnsi" w:hAnsiTheme="majorHAnsi"/>
        </w:rPr>
        <w:t xml:space="preserve"> </w:t>
      </w:r>
      <w:r w:rsidRPr="00D850DF">
        <w:rPr>
          <w:rFonts w:asciiTheme="majorHAnsi" w:hAnsiTheme="majorHAnsi"/>
        </w:rPr>
        <w:t>DC: Amer</w:t>
      </w:r>
      <w:r w:rsidR="00B9481C" w:rsidRPr="00D850DF">
        <w:rPr>
          <w:rFonts w:asciiTheme="majorHAnsi" w:hAnsiTheme="majorHAnsi"/>
        </w:rPr>
        <w:t>ican</w:t>
      </w:r>
      <w:r w:rsidRPr="00D850DF">
        <w:rPr>
          <w:rFonts w:asciiTheme="majorHAnsi" w:hAnsiTheme="majorHAnsi"/>
        </w:rPr>
        <w:t xml:space="preserve"> Chem</w:t>
      </w:r>
      <w:r w:rsidR="00B9481C" w:rsidRPr="00D850DF">
        <w:rPr>
          <w:rFonts w:asciiTheme="majorHAnsi" w:hAnsiTheme="majorHAnsi"/>
        </w:rPr>
        <w:t xml:space="preserve">ical </w:t>
      </w:r>
      <w:r w:rsidRPr="00D850DF">
        <w:rPr>
          <w:rFonts w:asciiTheme="majorHAnsi" w:hAnsiTheme="majorHAnsi"/>
        </w:rPr>
        <w:t>Soc</w:t>
      </w:r>
      <w:r w:rsidR="00B9481C" w:rsidRPr="00D850DF">
        <w:rPr>
          <w:rFonts w:asciiTheme="majorHAnsi" w:hAnsiTheme="majorHAnsi"/>
        </w:rPr>
        <w:t>iety, Washington DC 960</w:t>
      </w:r>
      <w:r w:rsidR="00802B64" w:rsidRPr="00D850DF">
        <w:rPr>
          <w:rFonts w:asciiTheme="majorHAnsi" w:hAnsiTheme="majorHAnsi"/>
        </w:rPr>
        <w:t xml:space="preserve"> </w:t>
      </w:r>
      <w:r w:rsidR="00B9481C" w:rsidRPr="00D850DF">
        <w:rPr>
          <w:rFonts w:asciiTheme="majorHAnsi" w:hAnsiTheme="majorHAnsi"/>
        </w:rPr>
        <w:t>pp.</w:t>
      </w:r>
    </w:p>
    <w:p w14:paraId="1F23F606" w14:textId="7E22DE03" w:rsidR="00034D6E" w:rsidRDefault="00034D6E" w:rsidP="00034D6E">
      <w:pPr>
        <w:pStyle w:val="Body"/>
        <w:spacing w:afterLines="20" w:after="48"/>
        <w:ind w:left="567" w:hanging="567"/>
        <w:rPr>
          <w:rFonts w:asciiTheme="majorHAnsi" w:hAnsiTheme="majorHAnsi"/>
          <w:lang w:val="en-AU"/>
        </w:rPr>
      </w:pPr>
      <w:r w:rsidRPr="00D850DF">
        <w:rPr>
          <w:rFonts w:asciiTheme="majorHAnsi" w:hAnsiTheme="majorHAnsi"/>
          <w:lang w:val="en-AU"/>
        </w:rPr>
        <w:t xml:space="preserve">Madsen T, </w:t>
      </w:r>
      <w:r w:rsidR="00E54F97" w:rsidRPr="00D850DF">
        <w:rPr>
          <w:rFonts w:asciiTheme="majorHAnsi" w:hAnsiTheme="majorHAnsi"/>
          <w:lang w:val="en-AU"/>
        </w:rPr>
        <w:t>Buchardt</w:t>
      </w:r>
      <w:r w:rsidRPr="00D850DF">
        <w:rPr>
          <w:rFonts w:asciiTheme="majorHAnsi" w:hAnsiTheme="majorHAnsi"/>
          <w:lang w:val="en-AU"/>
        </w:rPr>
        <w:t xml:space="preserve"> B</w:t>
      </w:r>
      <w:r w:rsidR="00E54F97" w:rsidRPr="00D850DF">
        <w:rPr>
          <w:rFonts w:asciiTheme="majorHAnsi" w:hAnsiTheme="majorHAnsi"/>
          <w:lang w:val="en-AU"/>
        </w:rPr>
        <w:t>oyd H</w:t>
      </w:r>
      <w:r w:rsidRPr="00D850DF">
        <w:rPr>
          <w:rFonts w:asciiTheme="majorHAnsi" w:hAnsiTheme="majorHAnsi"/>
          <w:lang w:val="en-AU"/>
        </w:rPr>
        <w:t>, Nylén D, Pedersen AR, Petersen GI</w:t>
      </w:r>
      <w:r w:rsidR="00276555" w:rsidRPr="00D850DF">
        <w:rPr>
          <w:rFonts w:asciiTheme="majorHAnsi" w:hAnsiTheme="majorHAnsi"/>
          <w:lang w:val="en-AU"/>
        </w:rPr>
        <w:t>,</w:t>
      </w:r>
      <w:r w:rsidRPr="00D850DF">
        <w:rPr>
          <w:rFonts w:asciiTheme="majorHAnsi" w:hAnsiTheme="majorHAnsi"/>
          <w:lang w:val="en-AU"/>
        </w:rPr>
        <w:t xml:space="preserve"> and Simonsen F </w:t>
      </w:r>
      <w:r w:rsidR="0058140B" w:rsidRPr="00D850DF">
        <w:rPr>
          <w:rFonts w:asciiTheme="majorHAnsi" w:hAnsiTheme="majorHAnsi"/>
          <w:lang w:val="en-AU"/>
        </w:rPr>
        <w:t>(2001)</w:t>
      </w:r>
      <w:r w:rsidR="00065463" w:rsidRPr="00D850DF">
        <w:rPr>
          <w:rFonts w:asciiTheme="majorHAnsi" w:hAnsiTheme="majorHAnsi"/>
          <w:lang w:val="en-AU"/>
        </w:rPr>
        <w:t>.</w:t>
      </w:r>
      <w:r w:rsidR="0058140B" w:rsidRPr="00D850DF">
        <w:rPr>
          <w:rFonts w:asciiTheme="majorHAnsi" w:hAnsiTheme="majorHAnsi"/>
          <w:lang w:val="en-AU"/>
        </w:rPr>
        <w:t xml:space="preserve"> </w:t>
      </w:r>
      <w:r w:rsidRPr="00D850DF">
        <w:rPr>
          <w:rFonts w:asciiTheme="majorHAnsi" w:hAnsiTheme="majorHAnsi"/>
          <w:lang w:val="en-AU"/>
        </w:rPr>
        <w:t>Environmental and Health Assessment of Substances in Household Detergents and Cosmetic Detergent Products.  Environmental Project No. 615.</w:t>
      </w:r>
    </w:p>
    <w:p w14:paraId="1F7FFE19" w14:textId="31A67722" w:rsidR="00593717" w:rsidRPr="00D850DF" w:rsidRDefault="00593717" w:rsidP="00034D6E">
      <w:pPr>
        <w:pStyle w:val="Body"/>
        <w:spacing w:afterLines="20" w:after="48"/>
        <w:ind w:left="567" w:hanging="567"/>
        <w:rPr>
          <w:rFonts w:asciiTheme="majorHAnsi" w:hAnsiTheme="majorHAnsi"/>
          <w:lang w:val="en-AU"/>
        </w:rPr>
      </w:pPr>
      <w:r w:rsidRPr="00593717">
        <w:rPr>
          <w:rFonts w:asciiTheme="majorHAnsi" w:hAnsiTheme="majorHAnsi"/>
          <w:lang w:val="en-AU"/>
        </w:rPr>
        <w:t>Mahajan O (1984)</w:t>
      </w:r>
      <w:r>
        <w:rPr>
          <w:rFonts w:asciiTheme="majorHAnsi" w:hAnsiTheme="majorHAnsi"/>
          <w:lang w:val="en-AU"/>
        </w:rPr>
        <w:t>.</w:t>
      </w:r>
      <w:r w:rsidRPr="00593717">
        <w:rPr>
          <w:rFonts w:asciiTheme="majorHAnsi" w:hAnsiTheme="majorHAnsi"/>
          <w:lang w:val="en-AU"/>
        </w:rPr>
        <w:t xml:space="preserve"> Physical characterization of coal. Powder Technology 40 (1-3)</w:t>
      </w:r>
      <w:r>
        <w:rPr>
          <w:rFonts w:asciiTheme="majorHAnsi" w:hAnsiTheme="majorHAnsi"/>
          <w:lang w:val="en-AU"/>
        </w:rPr>
        <w:t>:</w:t>
      </w:r>
      <w:r w:rsidRPr="00593717">
        <w:rPr>
          <w:rFonts w:asciiTheme="majorHAnsi" w:hAnsiTheme="majorHAnsi"/>
          <w:lang w:val="en-AU"/>
        </w:rPr>
        <w:t xml:space="preserve"> 1-15.</w:t>
      </w:r>
    </w:p>
    <w:p w14:paraId="6383EE88" w14:textId="45CDAE54" w:rsidR="000F310B" w:rsidRPr="00D850DF" w:rsidRDefault="00B9481C" w:rsidP="000144B2">
      <w:pPr>
        <w:pStyle w:val="Body"/>
        <w:spacing w:afterLines="20" w:after="48"/>
        <w:ind w:left="567" w:hanging="567"/>
        <w:rPr>
          <w:rFonts w:asciiTheme="majorHAnsi" w:hAnsiTheme="majorHAnsi"/>
        </w:rPr>
      </w:pPr>
      <w:r w:rsidRPr="00D850DF">
        <w:rPr>
          <w:rFonts w:asciiTheme="majorHAnsi" w:hAnsiTheme="majorHAnsi"/>
          <w:lang w:val="en-AU"/>
        </w:rPr>
        <w:t>Malik M. and Letey J (1991)</w:t>
      </w:r>
      <w:r w:rsidR="00065463" w:rsidRPr="00D850DF">
        <w:rPr>
          <w:rFonts w:asciiTheme="majorHAnsi" w:hAnsiTheme="majorHAnsi"/>
          <w:lang w:val="en-AU"/>
        </w:rPr>
        <w:t>.</w:t>
      </w:r>
      <w:r w:rsidRPr="00D850DF">
        <w:rPr>
          <w:rFonts w:asciiTheme="majorHAnsi" w:hAnsiTheme="majorHAnsi"/>
          <w:lang w:val="en-AU"/>
        </w:rPr>
        <w:t xml:space="preserve"> Adsorption of polyacrylamide and polysaccharide polymers on soil materials. Soil Science Society of America Journal 55(2)</w:t>
      </w:r>
      <w:r w:rsidR="00D77A45" w:rsidRPr="00D850DF">
        <w:rPr>
          <w:rFonts w:asciiTheme="majorHAnsi" w:hAnsiTheme="majorHAnsi"/>
          <w:lang w:val="en-AU"/>
        </w:rPr>
        <w:t>:</w:t>
      </w:r>
      <w:r w:rsidRPr="00D850DF">
        <w:rPr>
          <w:rFonts w:asciiTheme="majorHAnsi" w:hAnsiTheme="majorHAnsi"/>
          <w:lang w:val="en-AU"/>
        </w:rPr>
        <w:t xml:space="preserve"> 380-383.</w:t>
      </w:r>
    </w:p>
    <w:p w14:paraId="010A7476" w14:textId="5038F780" w:rsidR="00324A02" w:rsidRDefault="00324A02" w:rsidP="000144B2">
      <w:pPr>
        <w:pStyle w:val="Body"/>
        <w:spacing w:afterLines="20" w:after="48"/>
        <w:ind w:left="567" w:hanging="567"/>
        <w:rPr>
          <w:rFonts w:asciiTheme="majorHAnsi" w:hAnsiTheme="majorHAnsi"/>
        </w:rPr>
      </w:pPr>
      <w:r w:rsidRPr="00D850DF">
        <w:rPr>
          <w:rFonts w:asciiTheme="majorHAnsi" w:hAnsiTheme="majorHAnsi"/>
        </w:rPr>
        <w:t>Mallants D, Dierckx A, Wang L, and Volckaert H (2001)</w:t>
      </w:r>
      <w:r w:rsidR="00065463" w:rsidRPr="00D850DF">
        <w:rPr>
          <w:rFonts w:asciiTheme="majorHAnsi" w:hAnsiTheme="majorHAnsi"/>
        </w:rPr>
        <w:t>.</w:t>
      </w:r>
      <w:r w:rsidRPr="00D850DF">
        <w:rPr>
          <w:rFonts w:asciiTheme="majorHAnsi" w:hAnsiTheme="majorHAnsi"/>
        </w:rPr>
        <w:t xml:space="preserve"> Impact assessment analysis for surface storage of radioactive waste addressing radiotoxicity and chemotoxicity: Application to an existing radium-waste surface storage facility. Proceedings of </w:t>
      </w:r>
      <w:r w:rsidR="00197620" w:rsidRPr="00D850DF">
        <w:rPr>
          <w:rFonts w:asciiTheme="majorHAnsi" w:hAnsiTheme="majorHAnsi"/>
        </w:rPr>
        <w:t>t</w:t>
      </w:r>
      <w:r w:rsidRPr="00D850DF">
        <w:rPr>
          <w:rFonts w:asciiTheme="majorHAnsi" w:hAnsiTheme="majorHAnsi"/>
        </w:rPr>
        <w:t xml:space="preserve">he 8th International Conference on Radioactive Waste Management and Environmental Remediation, ICEM01, Brugge October 1- 4, 2001. </w:t>
      </w:r>
      <w:hyperlink r:id="rId234" w:history="1">
        <w:r w:rsidRPr="00D850DF">
          <w:rPr>
            <w:rFonts w:asciiTheme="majorHAnsi" w:hAnsiTheme="majorHAnsi"/>
          </w:rPr>
          <w:t xml:space="preserve"> </w:t>
        </w:r>
      </w:hyperlink>
    </w:p>
    <w:p w14:paraId="6C0836DD" w14:textId="77777777" w:rsidR="003D4440" w:rsidRPr="00D850DF" w:rsidRDefault="003D4440" w:rsidP="003D4440">
      <w:pPr>
        <w:pStyle w:val="Body"/>
        <w:spacing w:afterLines="20" w:after="48"/>
        <w:ind w:left="567" w:hanging="567"/>
        <w:rPr>
          <w:rFonts w:asciiTheme="majorHAnsi" w:hAnsiTheme="majorHAnsi"/>
        </w:rPr>
      </w:pPr>
      <w:r w:rsidRPr="00D850DF">
        <w:rPr>
          <w:rFonts w:asciiTheme="majorHAnsi" w:hAnsiTheme="majorHAnsi"/>
        </w:rPr>
        <w:t>Mallants D, Raiber M, and Davies P (2016). Decision Support System for investigating gas in water bores and links to coal seam gas development. Report prepared by the Commonwealth Scientific and Industrial Research Organisation (CSIRO) for the Queensland Department of Natural Resources and Mines, Australia.</w:t>
      </w:r>
    </w:p>
    <w:p w14:paraId="69D880DC" w14:textId="2BCCD6BC" w:rsidR="00FD6F6D" w:rsidRPr="00D850DF" w:rsidRDefault="00FD6F6D" w:rsidP="000144B2">
      <w:pPr>
        <w:pStyle w:val="Body"/>
        <w:spacing w:afterLines="20" w:after="48"/>
        <w:ind w:left="567" w:hanging="567"/>
        <w:rPr>
          <w:rFonts w:asciiTheme="majorHAnsi" w:hAnsiTheme="majorHAnsi"/>
        </w:rPr>
      </w:pPr>
      <w:r w:rsidRPr="00D850DF">
        <w:rPr>
          <w:rFonts w:asciiTheme="majorHAnsi" w:hAnsiTheme="majorHAnsi"/>
        </w:rPr>
        <w:t>Mallants D, Bekele E, Schmid W</w:t>
      </w:r>
      <w:r w:rsidR="00276555" w:rsidRPr="00D850DF">
        <w:rPr>
          <w:rFonts w:asciiTheme="majorHAnsi" w:hAnsiTheme="majorHAnsi"/>
        </w:rPr>
        <w:t>,</w:t>
      </w:r>
      <w:r w:rsidRPr="00D850DF">
        <w:rPr>
          <w:rFonts w:asciiTheme="majorHAnsi" w:hAnsiTheme="majorHAnsi"/>
        </w:rPr>
        <w:t xml:space="preserve"> and Miotlinski K </w:t>
      </w:r>
      <w:r w:rsidR="00D40A3F" w:rsidRPr="00D850DF">
        <w:rPr>
          <w:rFonts w:asciiTheme="majorHAnsi" w:hAnsiTheme="majorHAnsi"/>
        </w:rPr>
        <w:t>(</w:t>
      </w:r>
      <w:r w:rsidRPr="00D850DF">
        <w:rPr>
          <w:rFonts w:asciiTheme="majorHAnsi" w:hAnsiTheme="majorHAnsi"/>
        </w:rPr>
        <w:t>201</w:t>
      </w:r>
      <w:r w:rsidR="003D4440">
        <w:rPr>
          <w:rFonts w:asciiTheme="majorHAnsi" w:hAnsiTheme="majorHAnsi"/>
        </w:rPr>
        <w:t>7</w:t>
      </w:r>
      <w:r w:rsidR="00D40A3F" w:rsidRPr="00D850DF">
        <w:rPr>
          <w:rFonts w:asciiTheme="majorHAnsi" w:hAnsiTheme="majorHAnsi"/>
        </w:rPr>
        <w:t>a)</w:t>
      </w:r>
      <w:r w:rsidR="00065463" w:rsidRPr="00D850DF">
        <w:rPr>
          <w:rFonts w:asciiTheme="majorHAnsi" w:hAnsiTheme="majorHAnsi"/>
        </w:rPr>
        <w:t>.</w:t>
      </w:r>
      <w:r w:rsidRPr="00D850DF">
        <w:rPr>
          <w:rFonts w:asciiTheme="majorHAnsi" w:hAnsiTheme="majorHAnsi"/>
        </w:rPr>
        <w:t xml:space="preserve"> Human and environmental exposure conceptualisation for soil to </w:t>
      </w:r>
      <w:r w:rsidR="0030587A" w:rsidRPr="00D850DF">
        <w:rPr>
          <w:rFonts w:asciiTheme="majorHAnsi" w:hAnsiTheme="majorHAnsi"/>
        </w:rPr>
        <w:t xml:space="preserve">shallow </w:t>
      </w:r>
      <w:r w:rsidRPr="00D850DF">
        <w:rPr>
          <w:rFonts w:asciiTheme="majorHAnsi" w:hAnsiTheme="majorHAnsi"/>
        </w:rPr>
        <w:t>groundwater pathways, Project report, report prepared by the Commonwealth Scientific and Industrial Research Organisation (CSIRO) as part of the National Assessment of Chemicals Associated with Coal Seam Gas Extraction in Australia, Commonwealth of Australia, Canberra.</w:t>
      </w:r>
    </w:p>
    <w:p w14:paraId="34E82E9C" w14:textId="6C56BA9E" w:rsidR="00D40A3F" w:rsidRPr="00D850DF" w:rsidRDefault="00D40A3F" w:rsidP="000144B2">
      <w:pPr>
        <w:pStyle w:val="Body"/>
        <w:spacing w:afterLines="20" w:after="48"/>
        <w:ind w:left="567" w:hanging="567"/>
        <w:rPr>
          <w:rFonts w:asciiTheme="majorHAnsi" w:hAnsiTheme="majorHAnsi"/>
        </w:rPr>
      </w:pPr>
      <w:r w:rsidRPr="00D850DF">
        <w:rPr>
          <w:rFonts w:asciiTheme="majorHAnsi" w:hAnsiTheme="majorHAnsi"/>
        </w:rPr>
        <w:t>Mallants D, Bekele E, Schmid W, Miotlinski K</w:t>
      </w:r>
      <w:r w:rsidR="00276555" w:rsidRPr="00D850DF">
        <w:rPr>
          <w:rFonts w:asciiTheme="majorHAnsi" w:hAnsiTheme="majorHAnsi"/>
        </w:rPr>
        <w:t>,</w:t>
      </w:r>
      <w:r w:rsidR="00011468">
        <w:rPr>
          <w:rFonts w:asciiTheme="majorHAnsi" w:hAnsiTheme="majorHAnsi"/>
        </w:rPr>
        <w:t xml:space="preserve"> </w:t>
      </w:r>
      <w:r w:rsidRPr="00D850DF">
        <w:rPr>
          <w:rFonts w:asciiTheme="majorHAnsi" w:hAnsiTheme="majorHAnsi"/>
        </w:rPr>
        <w:t>and Bristow K CSIRO (201</w:t>
      </w:r>
      <w:r w:rsidR="003D4440">
        <w:rPr>
          <w:rFonts w:asciiTheme="majorHAnsi" w:hAnsiTheme="majorHAnsi"/>
        </w:rPr>
        <w:t>7</w:t>
      </w:r>
      <w:r w:rsidRPr="00D850DF">
        <w:rPr>
          <w:rFonts w:asciiTheme="majorHAnsi" w:hAnsiTheme="majorHAnsi"/>
        </w:rPr>
        <w:t>b)</w:t>
      </w:r>
      <w:r w:rsidR="00065463" w:rsidRPr="00D850DF">
        <w:rPr>
          <w:rFonts w:asciiTheme="majorHAnsi" w:hAnsiTheme="majorHAnsi"/>
        </w:rPr>
        <w:t>.</w:t>
      </w:r>
      <w:r w:rsidRPr="00D850DF">
        <w:rPr>
          <w:rFonts w:asciiTheme="majorHAnsi" w:hAnsiTheme="majorHAnsi"/>
        </w:rPr>
        <w:t xml:space="preserve"> Literature review: Leakage to shallow groundwater of fluids associated with hydraulic fracturing for coal seam gas extraction, Project report, report prepared by the Commonwealth Scientific and Industrial Research Organisation (CSIRO) as part of the National Assessment of Chemicals Associated with Coal Seam Gas Extraction in Australia, Commonwealth of Australia, Canberra.</w:t>
      </w:r>
    </w:p>
    <w:p w14:paraId="293B2D4C" w14:textId="3ABEE383" w:rsidR="00AA1963" w:rsidRDefault="00AA1963" w:rsidP="00AA1963">
      <w:pPr>
        <w:pStyle w:val="Body"/>
        <w:spacing w:afterLines="20" w:after="48"/>
        <w:ind w:left="567" w:hanging="567"/>
        <w:rPr>
          <w:rFonts w:asciiTheme="majorHAnsi" w:hAnsiTheme="majorHAnsi"/>
        </w:rPr>
      </w:pPr>
      <w:r w:rsidRPr="00D850DF">
        <w:rPr>
          <w:rFonts w:asciiTheme="majorHAnsi" w:hAnsiTheme="majorHAnsi"/>
        </w:rPr>
        <w:t>Marquis RE and Matsumura P (1978)</w:t>
      </w:r>
      <w:r w:rsidR="00065463" w:rsidRPr="00D850DF">
        <w:rPr>
          <w:rFonts w:asciiTheme="majorHAnsi" w:hAnsiTheme="majorHAnsi"/>
        </w:rPr>
        <w:t>.</w:t>
      </w:r>
      <w:r w:rsidRPr="00D850DF">
        <w:rPr>
          <w:rFonts w:asciiTheme="majorHAnsi" w:hAnsiTheme="majorHAnsi"/>
        </w:rPr>
        <w:t xml:space="preserve"> Microbial life under pressure. Chapter 4 in Microbial Life in Extreme Environments, Kushner, D. Ed. Academic Press, London, 464 pages.</w:t>
      </w:r>
    </w:p>
    <w:p w14:paraId="519E0770" w14:textId="00E60C92" w:rsidR="00F10674" w:rsidRPr="00F10674" w:rsidRDefault="00F10674" w:rsidP="00F10674">
      <w:pPr>
        <w:pStyle w:val="Body"/>
        <w:spacing w:afterLines="20" w:after="48"/>
        <w:ind w:left="567" w:hanging="567"/>
      </w:pPr>
      <w:r w:rsidRPr="00E6110F">
        <w:t xml:space="preserve">Martin-Hayden </w:t>
      </w:r>
      <w:r>
        <w:t xml:space="preserve">JM </w:t>
      </w:r>
      <w:r w:rsidRPr="00E6110F">
        <w:t xml:space="preserve">and Robbins </w:t>
      </w:r>
      <w:r>
        <w:t>GA (</w:t>
      </w:r>
      <w:r w:rsidRPr="00E6110F">
        <w:t>1997</w:t>
      </w:r>
      <w:r>
        <w:t xml:space="preserve">). </w:t>
      </w:r>
      <w:r w:rsidRPr="00F10674">
        <w:t>Plume Distortion and Apparent Attenuation Due to Concentration Averaging in Monit</w:t>
      </w:r>
      <w:r>
        <w:t>o</w:t>
      </w:r>
      <w:r w:rsidRPr="00F10674">
        <w:t>lring Wells</w:t>
      </w:r>
      <w:r>
        <w:t>. Groundwater 35 (2): 339-346.</w:t>
      </w:r>
    </w:p>
    <w:p w14:paraId="22AF1C78" w14:textId="0B9A2A66" w:rsidR="008E49B8" w:rsidRPr="00D850DF" w:rsidRDefault="008E49B8" w:rsidP="008E49B8">
      <w:pPr>
        <w:pStyle w:val="Body"/>
        <w:spacing w:afterLines="20" w:after="48"/>
        <w:ind w:left="567" w:hanging="567"/>
        <w:rPr>
          <w:rFonts w:asciiTheme="majorHAnsi" w:hAnsiTheme="majorHAnsi"/>
        </w:rPr>
      </w:pPr>
      <w:r w:rsidRPr="00D850DF">
        <w:rPr>
          <w:rFonts w:asciiTheme="majorHAnsi" w:hAnsiTheme="majorHAnsi"/>
        </w:rPr>
        <w:t>Mastrandrea MD, Field</w:t>
      </w:r>
      <w:r w:rsidR="00276555" w:rsidRPr="00D850DF">
        <w:rPr>
          <w:rFonts w:asciiTheme="majorHAnsi" w:hAnsiTheme="majorHAnsi"/>
        </w:rPr>
        <w:t xml:space="preserve"> CB</w:t>
      </w:r>
      <w:r w:rsidRPr="00D850DF">
        <w:rPr>
          <w:rFonts w:asciiTheme="majorHAnsi" w:hAnsiTheme="majorHAnsi"/>
        </w:rPr>
        <w:t>, Stocker</w:t>
      </w:r>
      <w:r w:rsidR="00276555" w:rsidRPr="00D850DF">
        <w:rPr>
          <w:rFonts w:asciiTheme="majorHAnsi" w:hAnsiTheme="majorHAnsi"/>
        </w:rPr>
        <w:t xml:space="preserve"> TF</w:t>
      </w:r>
      <w:r w:rsidRPr="00D850DF">
        <w:rPr>
          <w:rFonts w:asciiTheme="majorHAnsi" w:hAnsiTheme="majorHAnsi"/>
        </w:rPr>
        <w:t>, Edenhofer</w:t>
      </w:r>
      <w:r w:rsidR="00276555" w:rsidRPr="00D850DF">
        <w:rPr>
          <w:rFonts w:asciiTheme="majorHAnsi" w:hAnsiTheme="majorHAnsi"/>
        </w:rPr>
        <w:t xml:space="preserve"> O</w:t>
      </w:r>
      <w:r w:rsidRPr="00D850DF">
        <w:rPr>
          <w:rFonts w:asciiTheme="majorHAnsi" w:hAnsiTheme="majorHAnsi"/>
        </w:rPr>
        <w:t>, Ebi</w:t>
      </w:r>
      <w:r w:rsidR="00276555" w:rsidRPr="00D850DF">
        <w:rPr>
          <w:rFonts w:asciiTheme="majorHAnsi" w:hAnsiTheme="majorHAnsi"/>
        </w:rPr>
        <w:t xml:space="preserve"> KL</w:t>
      </w:r>
      <w:r w:rsidRPr="00D850DF">
        <w:rPr>
          <w:rFonts w:asciiTheme="majorHAnsi" w:hAnsiTheme="majorHAnsi"/>
        </w:rPr>
        <w:t>, Frame</w:t>
      </w:r>
      <w:r w:rsidR="00276555" w:rsidRPr="00D850DF">
        <w:rPr>
          <w:rFonts w:asciiTheme="majorHAnsi" w:hAnsiTheme="majorHAnsi"/>
        </w:rPr>
        <w:t xml:space="preserve"> DJ</w:t>
      </w:r>
      <w:r w:rsidRPr="00D850DF">
        <w:rPr>
          <w:rFonts w:asciiTheme="majorHAnsi" w:hAnsiTheme="majorHAnsi"/>
        </w:rPr>
        <w:t>, Held</w:t>
      </w:r>
      <w:r w:rsidR="00276555" w:rsidRPr="00D850DF">
        <w:rPr>
          <w:rFonts w:asciiTheme="majorHAnsi" w:hAnsiTheme="majorHAnsi"/>
        </w:rPr>
        <w:t xml:space="preserve"> H</w:t>
      </w:r>
      <w:r w:rsidRPr="00D850DF">
        <w:rPr>
          <w:rFonts w:asciiTheme="majorHAnsi" w:hAnsiTheme="majorHAnsi"/>
        </w:rPr>
        <w:t>, Kriegler</w:t>
      </w:r>
      <w:r w:rsidR="00276555" w:rsidRPr="00D850DF">
        <w:rPr>
          <w:rFonts w:asciiTheme="majorHAnsi" w:hAnsiTheme="majorHAnsi"/>
        </w:rPr>
        <w:t xml:space="preserve"> E</w:t>
      </w:r>
      <w:r w:rsidRPr="00D850DF">
        <w:rPr>
          <w:rFonts w:asciiTheme="majorHAnsi" w:hAnsiTheme="majorHAnsi"/>
        </w:rPr>
        <w:t>, Mach</w:t>
      </w:r>
      <w:r w:rsidR="00276555" w:rsidRPr="00D850DF">
        <w:rPr>
          <w:rFonts w:asciiTheme="majorHAnsi" w:hAnsiTheme="majorHAnsi"/>
        </w:rPr>
        <w:t xml:space="preserve"> KJ</w:t>
      </w:r>
      <w:r w:rsidRPr="00D850DF">
        <w:rPr>
          <w:rFonts w:asciiTheme="majorHAnsi" w:hAnsiTheme="majorHAnsi"/>
        </w:rPr>
        <w:t>, Matschoss</w:t>
      </w:r>
      <w:r w:rsidR="00276555" w:rsidRPr="00D850DF">
        <w:rPr>
          <w:rFonts w:asciiTheme="majorHAnsi" w:hAnsiTheme="majorHAnsi"/>
        </w:rPr>
        <w:t xml:space="preserve"> PR</w:t>
      </w:r>
      <w:r w:rsidRPr="00D850DF">
        <w:rPr>
          <w:rFonts w:asciiTheme="majorHAnsi" w:hAnsiTheme="majorHAnsi"/>
        </w:rPr>
        <w:t>, Plattner</w:t>
      </w:r>
      <w:r w:rsidR="00276555" w:rsidRPr="00D850DF">
        <w:rPr>
          <w:rFonts w:asciiTheme="majorHAnsi" w:hAnsiTheme="majorHAnsi"/>
        </w:rPr>
        <w:t xml:space="preserve"> G-K</w:t>
      </w:r>
      <w:r w:rsidRPr="00D850DF">
        <w:rPr>
          <w:rFonts w:asciiTheme="majorHAnsi" w:hAnsiTheme="majorHAnsi"/>
        </w:rPr>
        <w:t>, Yohe</w:t>
      </w:r>
      <w:r w:rsidR="00276555" w:rsidRPr="00D850DF">
        <w:rPr>
          <w:rFonts w:asciiTheme="majorHAnsi" w:hAnsiTheme="majorHAnsi"/>
        </w:rPr>
        <w:t xml:space="preserve"> GW</w:t>
      </w:r>
      <w:r w:rsidRPr="00D850DF">
        <w:rPr>
          <w:rFonts w:asciiTheme="majorHAnsi" w:hAnsiTheme="majorHAnsi"/>
        </w:rPr>
        <w:t xml:space="preserve">, and Zwiers </w:t>
      </w:r>
      <w:r w:rsidR="00276555" w:rsidRPr="00D850DF">
        <w:rPr>
          <w:rFonts w:asciiTheme="majorHAnsi" w:hAnsiTheme="majorHAnsi"/>
        </w:rPr>
        <w:t xml:space="preserve">FW </w:t>
      </w:r>
      <w:r w:rsidRPr="00D850DF">
        <w:rPr>
          <w:rFonts w:asciiTheme="majorHAnsi" w:hAnsiTheme="majorHAnsi"/>
        </w:rPr>
        <w:t>(2010)</w:t>
      </w:r>
      <w:r w:rsidR="00065463" w:rsidRPr="00D850DF">
        <w:rPr>
          <w:rFonts w:asciiTheme="majorHAnsi" w:hAnsiTheme="majorHAnsi"/>
        </w:rPr>
        <w:t>.</w:t>
      </w:r>
      <w:r w:rsidRPr="00D850DF">
        <w:rPr>
          <w:rFonts w:asciiTheme="majorHAnsi" w:hAnsiTheme="majorHAnsi"/>
        </w:rPr>
        <w:t xml:space="preserve"> Guidance Note for Lead Authors of the IPCC Fifth Assessment Report on Consistent Treatment of Uncertainties. Intergovernmental Panel on Climate Change (IPCC). Available at &lt;http://www.ipcc.ch&gt;.</w:t>
      </w:r>
    </w:p>
    <w:p w14:paraId="53CA147F" w14:textId="23DEA5B3" w:rsidR="00644E69" w:rsidRPr="00D850DF" w:rsidRDefault="00644E69" w:rsidP="000144B2">
      <w:pPr>
        <w:pStyle w:val="Body"/>
        <w:spacing w:afterLines="20" w:after="48"/>
        <w:ind w:left="567" w:hanging="567"/>
        <w:rPr>
          <w:rFonts w:asciiTheme="majorHAnsi" w:hAnsiTheme="majorHAnsi"/>
        </w:rPr>
      </w:pPr>
      <w:r w:rsidRPr="00D850DF">
        <w:rPr>
          <w:rFonts w:asciiTheme="majorHAnsi" w:hAnsiTheme="majorHAnsi"/>
        </w:rPr>
        <w:t>Mayo-Bean K, Moran K, Meylan B</w:t>
      </w:r>
      <w:r w:rsidR="00276555" w:rsidRPr="00D850DF">
        <w:rPr>
          <w:rFonts w:asciiTheme="majorHAnsi" w:hAnsiTheme="majorHAnsi"/>
        </w:rPr>
        <w:t>,</w:t>
      </w:r>
      <w:r w:rsidRPr="00D850DF">
        <w:rPr>
          <w:rFonts w:asciiTheme="majorHAnsi" w:hAnsiTheme="majorHAnsi"/>
        </w:rPr>
        <w:t xml:space="preserve"> and Ranslow P (2012)</w:t>
      </w:r>
      <w:r w:rsidR="00065463" w:rsidRPr="00D850DF">
        <w:rPr>
          <w:rFonts w:asciiTheme="majorHAnsi" w:hAnsiTheme="majorHAnsi"/>
        </w:rPr>
        <w:t>.</w:t>
      </w:r>
      <w:r w:rsidRPr="00D850DF">
        <w:rPr>
          <w:rFonts w:asciiTheme="majorHAnsi" w:hAnsiTheme="majorHAnsi"/>
        </w:rPr>
        <w:t xml:space="preserve"> M</w:t>
      </w:r>
      <w:r w:rsidR="00B17DB6" w:rsidRPr="00D850DF">
        <w:rPr>
          <w:rFonts w:asciiTheme="majorHAnsi" w:hAnsiTheme="majorHAnsi"/>
        </w:rPr>
        <w:t xml:space="preserve">ethodology document </w:t>
      </w:r>
      <w:r w:rsidRPr="00D850DF">
        <w:rPr>
          <w:rFonts w:asciiTheme="majorHAnsi" w:hAnsiTheme="majorHAnsi"/>
        </w:rPr>
        <w:t>for the ECOlogical Structure-Activity Relationship Model (ECOSAR) Class Program. E</w:t>
      </w:r>
      <w:r w:rsidR="00B17DB6" w:rsidRPr="00D850DF">
        <w:rPr>
          <w:rFonts w:asciiTheme="majorHAnsi" w:hAnsiTheme="majorHAnsi"/>
        </w:rPr>
        <w:t xml:space="preserve">stimating toxicity of industrial chemicals to aquatic organisms using the </w:t>
      </w:r>
      <w:r w:rsidRPr="00D850DF">
        <w:rPr>
          <w:rFonts w:asciiTheme="majorHAnsi" w:hAnsiTheme="majorHAnsi"/>
        </w:rPr>
        <w:t>ECO</w:t>
      </w:r>
      <w:r w:rsidR="00B17DB6" w:rsidRPr="00D850DF">
        <w:rPr>
          <w:rFonts w:asciiTheme="majorHAnsi" w:hAnsiTheme="majorHAnsi"/>
        </w:rPr>
        <w:t>logical</w:t>
      </w:r>
      <w:r w:rsidRPr="00D850DF">
        <w:rPr>
          <w:rFonts w:asciiTheme="majorHAnsi" w:hAnsiTheme="majorHAnsi"/>
        </w:rPr>
        <w:t xml:space="preserve"> S</w:t>
      </w:r>
      <w:r w:rsidR="00B17DB6" w:rsidRPr="00D850DF">
        <w:rPr>
          <w:rFonts w:asciiTheme="majorHAnsi" w:hAnsiTheme="majorHAnsi"/>
        </w:rPr>
        <w:t>tructure-</w:t>
      </w:r>
      <w:r w:rsidRPr="00D850DF">
        <w:rPr>
          <w:rFonts w:asciiTheme="majorHAnsi" w:hAnsiTheme="majorHAnsi"/>
        </w:rPr>
        <w:t>A</w:t>
      </w:r>
      <w:r w:rsidR="00B17DB6" w:rsidRPr="00D850DF">
        <w:rPr>
          <w:rFonts w:asciiTheme="majorHAnsi" w:hAnsiTheme="majorHAnsi"/>
        </w:rPr>
        <w:t>ctivity</w:t>
      </w:r>
      <w:r w:rsidRPr="00D850DF">
        <w:rPr>
          <w:rFonts w:asciiTheme="majorHAnsi" w:hAnsiTheme="majorHAnsi"/>
        </w:rPr>
        <w:t xml:space="preserve"> R</w:t>
      </w:r>
      <w:r w:rsidR="00B17DB6" w:rsidRPr="00D850DF">
        <w:rPr>
          <w:rFonts w:asciiTheme="majorHAnsi" w:hAnsiTheme="majorHAnsi"/>
        </w:rPr>
        <w:t>elationship</w:t>
      </w:r>
      <w:r w:rsidRPr="00D850DF">
        <w:rPr>
          <w:rFonts w:asciiTheme="majorHAnsi" w:hAnsiTheme="majorHAnsi"/>
        </w:rPr>
        <w:t xml:space="preserve"> </w:t>
      </w:r>
      <w:r w:rsidR="00B17DB6" w:rsidRPr="00D850DF">
        <w:rPr>
          <w:rFonts w:asciiTheme="majorHAnsi" w:hAnsiTheme="majorHAnsi"/>
        </w:rPr>
        <w:t>class program</w:t>
      </w:r>
      <w:r w:rsidRPr="00D850DF">
        <w:rPr>
          <w:rFonts w:asciiTheme="majorHAnsi" w:hAnsiTheme="majorHAnsi"/>
        </w:rPr>
        <w:t>. MS-Windows Version 1.11 Office of Pollution Prevention and Toxics U.S. Environmental Protection Agency 1200 Pennsylvania Ave., N.W. Washington, DC.</w:t>
      </w:r>
    </w:p>
    <w:p w14:paraId="5F31CCD7" w14:textId="3637CAFF" w:rsidR="008E49B8" w:rsidRDefault="008E49B8" w:rsidP="008E49B8">
      <w:pPr>
        <w:pStyle w:val="Body"/>
        <w:spacing w:afterLines="20" w:after="48"/>
        <w:ind w:left="567" w:hanging="567"/>
        <w:rPr>
          <w:rFonts w:asciiTheme="majorHAnsi" w:hAnsiTheme="majorHAnsi"/>
        </w:rPr>
      </w:pPr>
      <w:r w:rsidRPr="00D850DF">
        <w:rPr>
          <w:rFonts w:asciiTheme="majorHAnsi" w:hAnsiTheme="majorHAnsi"/>
        </w:rPr>
        <w:t>Maxwell SC (2011)</w:t>
      </w:r>
      <w:r w:rsidR="00065463" w:rsidRPr="00D850DF">
        <w:rPr>
          <w:rFonts w:asciiTheme="majorHAnsi" w:hAnsiTheme="majorHAnsi"/>
        </w:rPr>
        <w:t>.</w:t>
      </w:r>
      <w:r w:rsidRPr="00D850DF">
        <w:rPr>
          <w:rFonts w:asciiTheme="majorHAnsi" w:hAnsiTheme="majorHAnsi"/>
        </w:rPr>
        <w:t xml:space="preserve"> Hydraulic Fracture Height Growth. CSEG Recorder, (November), 18–22.</w:t>
      </w:r>
    </w:p>
    <w:p w14:paraId="274F3090" w14:textId="1815E22B" w:rsidR="00F87294" w:rsidRDefault="00F87294" w:rsidP="00D014DC">
      <w:pPr>
        <w:pStyle w:val="Body"/>
        <w:spacing w:afterLines="20" w:after="48"/>
        <w:ind w:left="567" w:hanging="567"/>
        <w:rPr>
          <w:rFonts w:asciiTheme="majorHAnsi" w:hAnsiTheme="majorHAnsi"/>
        </w:rPr>
      </w:pPr>
      <w:r w:rsidRPr="0035744D">
        <w:t>Mazurek, M, Alt-Epping, P, Bath, A, Gimmi, T, Waber, HN, Buschaert, S, De Canniere, P, De Craen, M, Gautschi, A, Savoye, S, Vinsot, A, Wemeare, I, Wouters, L (2011)</w:t>
      </w:r>
      <w:r>
        <w:t>.</w:t>
      </w:r>
      <w:r w:rsidRPr="0035744D">
        <w:t xml:space="preserve"> Natural tracer profiles across argillaceous formations.</w:t>
      </w:r>
      <w:r w:rsidRPr="00F87294">
        <w:t xml:space="preserve"> Applied </w:t>
      </w:r>
      <w:r w:rsidRPr="00D014DC">
        <w:rPr>
          <w:rFonts w:asciiTheme="majorHAnsi" w:hAnsiTheme="majorHAnsi"/>
        </w:rPr>
        <w:t>Geochemistry 173: 219-240.</w:t>
      </w:r>
    </w:p>
    <w:p w14:paraId="02654312" w14:textId="0C441908" w:rsidR="007F05E0" w:rsidRPr="00D014DC" w:rsidRDefault="00290850" w:rsidP="00D014DC">
      <w:pPr>
        <w:pStyle w:val="Body"/>
        <w:spacing w:afterLines="20" w:after="48"/>
        <w:ind w:left="567" w:hanging="567"/>
        <w:rPr>
          <w:rFonts w:asciiTheme="majorHAnsi" w:hAnsiTheme="majorHAnsi"/>
        </w:rPr>
      </w:pPr>
      <w:r w:rsidRPr="00290850">
        <w:rPr>
          <w:rFonts w:asciiTheme="majorHAnsi" w:hAnsiTheme="majorHAnsi"/>
        </w:rPr>
        <w:t>McCallum J, Simmons C, Mallants D and Batelaan O (2016). Simulating the groundwater flow dynamics of fault zones. MODFLOW Un-Structured Grid: A comparison of methods for representing fault properties and a regional implementation. Report to the Office of Water Science, Department of the Environment, Canberra. Prepared by the Commonwealth Scientific and Industrial Research Organisation (CSIRO), Canberra.</w:t>
      </w:r>
    </w:p>
    <w:p w14:paraId="02170727" w14:textId="71FDB7C9" w:rsidR="001B1F7F" w:rsidRDefault="001B1F7F" w:rsidP="00D014DC">
      <w:pPr>
        <w:pStyle w:val="Body"/>
        <w:spacing w:afterLines="20" w:after="48"/>
        <w:ind w:left="567" w:hanging="567"/>
        <w:rPr>
          <w:rFonts w:asciiTheme="majorHAnsi" w:hAnsiTheme="majorHAnsi"/>
        </w:rPr>
      </w:pPr>
      <w:r w:rsidRPr="00D014DC">
        <w:rPr>
          <w:rFonts w:asciiTheme="majorHAnsi" w:hAnsiTheme="majorHAnsi"/>
        </w:rPr>
        <w:t>McGuire KJ and McDonnell JJ (2006). A review and evaluation of catchment transit time modelling. Journal of Hydrology 330: 543–563. doi:10.1016/j.jhydrol.2006.04.020.</w:t>
      </w:r>
    </w:p>
    <w:p w14:paraId="27DEF6E3" w14:textId="0CEC9DF3" w:rsidR="00E64699" w:rsidRPr="00D850DF" w:rsidRDefault="00E64699" w:rsidP="000144B2">
      <w:pPr>
        <w:pStyle w:val="Body"/>
        <w:spacing w:afterLines="20" w:after="48"/>
        <w:ind w:left="567" w:hanging="567"/>
        <w:rPr>
          <w:rFonts w:asciiTheme="majorHAnsi" w:hAnsiTheme="majorHAnsi"/>
        </w:rPr>
      </w:pPr>
      <w:r w:rsidRPr="00D850DF">
        <w:rPr>
          <w:rFonts w:asciiTheme="majorHAnsi" w:hAnsiTheme="majorHAnsi"/>
        </w:rPr>
        <w:t>Meylan WM and Howard P (1995)</w:t>
      </w:r>
      <w:r w:rsidR="00065463" w:rsidRPr="00D850DF">
        <w:rPr>
          <w:rFonts w:asciiTheme="majorHAnsi" w:hAnsiTheme="majorHAnsi"/>
        </w:rPr>
        <w:t>.</w:t>
      </w:r>
      <w:r w:rsidRPr="00D850DF">
        <w:rPr>
          <w:rFonts w:asciiTheme="majorHAnsi" w:hAnsiTheme="majorHAnsi"/>
        </w:rPr>
        <w:t xml:space="preserve"> Atom/Fragment Contribution Method for Estimating Octanol-Water Partition Coefficients. J</w:t>
      </w:r>
      <w:r w:rsidR="00643E10" w:rsidRPr="00D850DF">
        <w:rPr>
          <w:rFonts w:asciiTheme="majorHAnsi" w:hAnsiTheme="majorHAnsi"/>
        </w:rPr>
        <w:t>ournal of</w:t>
      </w:r>
      <w:r w:rsidRPr="00D850DF">
        <w:rPr>
          <w:rFonts w:asciiTheme="majorHAnsi" w:hAnsiTheme="majorHAnsi"/>
        </w:rPr>
        <w:t xml:space="preserve"> Pharm</w:t>
      </w:r>
      <w:r w:rsidR="00643E10" w:rsidRPr="00D850DF">
        <w:rPr>
          <w:rFonts w:asciiTheme="majorHAnsi" w:hAnsiTheme="majorHAnsi"/>
        </w:rPr>
        <w:t>acological</w:t>
      </w:r>
      <w:r w:rsidRPr="00D850DF">
        <w:rPr>
          <w:rFonts w:asciiTheme="majorHAnsi" w:hAnsiTheme="majorHAnsi"/>
        </w:rPr>
        <w:t xml:space="preserve"> Sci</w:t>
      </w:r>
      <w:r w:rsidR="00643E10" w:rsidRPr="00D850DF">
        <w:rPr>
          <w:rFonts w:asciiTheme="majorHAnsi" w:hAnsiTheme="majorHAnsi"/>
        </w:rPr>
        <w:t>ences</w:t>
      </w:r>
      <w:r w:rsidRPr="00D850DF">
        <w:rPr>
          <w:rFonts w:asciiTheme="majorHAnsi" w:hAnsiTheme="majorHAnsi"/>
        </w:rPr>
        <w:t xml:space="preserve"> 84: 83-92.</w:t>
      </w:r>
    </w:p>
    <w:p w14:paraId="31857349" w14:textId="348B3155" w:rsidR="00A228DE" w:rsidRPr="00D850DF" w:rsidRDefault="00A228DE" w:rsidP="00A228DE">
      <w:pPr>
        <w:pStyle w:val="Body"/>
        <w:spacing w:afterLines="20" w:after="48"/>
        <w:ind w:left="567" w:hanging="567"/>
        <w:rPr>
          <w:rFonts w:asciiTheme="majorHAnsi" w:hAnsiTheme="majorHAnsi"/>
        </w:rPr>
      </w:pPr>
      <w:r w:rsidRPr="00D850DF">
        <w:rPr>
          <w:rFonts w:asciiTheme="majorHAnsi" w:hAnsiTheme="majorHAnsi"/>
        </w:rPr>
        <w:t>Michaux M, N</w:t>
      </w:r>
      <w:r w:rsidR="00705F44" w:rsidRPr="00D850DF">
        <w:rPr>
          <w:rFonts w:asciiTheme="majorHAnsi" w:hAnsiTheme="majorHAnsi"/>
        </w:rPr>
        <w:t>elson</w:t>
      </w:r>
      <w:r w:rsidRPr="00D850DF">
        <w:rPr>
          <w:rFonts w:asciiTheme="majorHAnsi" w:hAnsiTheme="majorHAnsi"/>
        </w:rPr>
        <w:t xml:space="preserve"> E</w:t>
      </w:r>
      <w:r w:rsidR="00705F44" w:rsidRPr="00D850DF">
        <w:rPr>
          <w:rFonts w:asciiTheme="majorHAnsi" w:hAnsiTheme="majorHAnsi"/>
        </w:rPr>
        <w:t xml:space="preserve">, </w:t>
      </w:r>
      <w:r w:rsidR="00276555" w:rsidRPr="00D850DF">
        <w:rPr>
          <w:rFonts w:asciiTheme="majorHAnsi" w:hAnsiTheme="majorHAnsi"/>
        </w:rPr>
        <w:t xml:space="preserve">and </w:t>
      </w:r>
      <w:r w:rsidR="00705F44" w:rsidRPr="00D850DF">
        <w:rPr>
          <w:rFonts w:asciiTheme="majorHAnsi" w:hAnsiTheme="majorHAnsi"/>
        </w:rPr>
        <w:t>Vidick B (1989)</w:t>
      </w:r>
      <w:r w:rsidR="00065463" w:rsidRPr="00D850DF">
        <w:rPr>
          <w:rFonts w:asciiTheme="majorHAnsi" w:hAnsiTheme="majorHAnsi"/>
        </w:rPr>
        <w:t>.</w:t>
      </w:r>
      <w:r w:rsidRPr="00D850DF">
        <w:rPr>
          <w:rFonts w:asciiTheme="majorHAnsi" w:hAnsiTheme="majorHAnsi"/>
        </w:rPr>
        <w:t xml:space="preserve"> Cement chemistry and additives. Oilfield review 1(1): 18-25.</w:t>
      </w:r>
    </w:p>
    <w:p w14:paraId="7D10BE8E" w14:textId="751CC66C" w:rsidR="00B8505C" w:rsidRPr="00D850DF" w:rsidRDefault="00B8505C" w:rsidP="00B8505C">
      <w:pPr>
        <w:pStyle w:val="Body"/>
        <w:spacing w:afterLines="20" w:after="48"/>
        <w:ind w:left="567" w:hanging="567"/>
        <w:rPr>
          <w:rFonts w:asciiTheme="majorHAnsi" w:hAnsiTheme="majorHAnsi"/>
          <w:lang w:val="en-AU"/>
        </w:rPr>
      </w:pPr>
      <w:r w:rsidRPr="00D850DF">
        <w:rPr>
          <w:rFonts w:asciiTheme="majorHAnsi" w:hAnsiTheme="majorHAnsi"/>
          <w:lang w:val="en-AU"/>
        </w:rPr>
        <w:t>Mihelcic JR and Luthy RG (1988)</w:t>
      </w:r>
      <w:r w:rsidR="00065463" w:rsidRPr="00D850DF">
        <w:rPr>
          <w:rFonts w:asciiTheme="majorHAnsi" w:hAnsiTheme="majorHAnsi"/>
          <w:lang w:val="en-AU"/>
        </w:rPr>
        <w:t>.</w:t>
      </w:r>
      <w:r w:rsidRPr="00D850DF">
        <w:rPr>
          <w:rFonts w:asciiTheme="majorHAnsi" w:hAnsiTheme="majorHAnsi"/>
          <w:lang w:val="en-AU"/>
        </w:rPr>
        <w:t xml:space="preserve"> Degradation of polycyclic aromatic hydrocarbon compounds under various redox conditions in soil-water systems. Applied</w:t>
      </w:r>
      <w:r w:rsidR="00D77A45" w:rsidRPr="00D850DF">
        <w:rPr>
          <w:rFonts w:asciiTheme="majorHAnsi" w:hAnsiTheme="majorHAnsi"/>
          <w:lang w:val="en-AU"/>
        </w:rPr>
        <w:t xml:space="preserve"> and Environmental Microbiology</w:t>
      </w:r>
      <w:r w:rsidRPr="00D850DF">
        <w:rPr>
          <w:rFonts w:asciiTheme="majorHAnsi" w:hAnsiTheme="majorHAnsi"/>
          <w:lang w:val="en-AU"/>
        </w:rPr>
        <w:t xml:space="preserve"> 54(5)</w:t>
      </w:r>
      <w:r w:rsidR="00D77A45" w:rsidRPr="00D850DF">
        <w:rPr>
          <w:rFonts w:asciiTheme="majorHAnsi" w:hAnsiTheme="majorHAnsi"/>
          <w:lang w:val="en-AU"/>
        </w:rPr>
        <w:t>:</w:t>
      </w:r>
      <w:r w:rsidRPr="00D850DF">
        <w:rPr>
          <w:rFonts w:asciiTheme="majorHAnsi" w:hAnsiTheme="majorHAnsi"/>
          <w:lang w:val="en-AU"/>
        </w:rPr>
        <w:t xml:space="preserve"> 1182-1187.</w:t>
      </w:r>
    </w:p>
    <w:p w14:paraId="314AD00C" w14:textId="5CC9D108" w:rsidR="00F80BEA" w:rsidRPr="00D850DF" w:rsidRDefault="00F80BEA" w:rsidP="00B8505C">
      <w:pPr>
        <w:pStyle w:val="Body"/>
        <w:spacing w:afterLines="20" w:after="48"/>
        <w:ind w:left="567" w:hanging="567"/>
        <w:rPr>
          <w:rFonts w:asciiTheme="majorHAnsi" w:hAnsiTheme="majorHAnsi"/>
          <w:lang w:val="en-AU"/>
        </w:rPr>
      </w:pPr>
      <w:r w:rsidRPr="00D850DF">
        <w:rPr>
          <w:rFonts w:asciiTheme="majorHAnsi" w:hAnsiTheme="majorHAnsi"/>
          <w:lang w:val="en-AU"/>
        </w:rPr>
        <w:t>Mikami Y (1988)</w:t>
      </w:r>
      <w:r w:rsidR="00065463" w:rsidRPr="00D850DF">
        <w:rPr>
          <w:rFonts w:asciiTheme="majorHAnsi" w:hAnsiTheme="majorHAnsi"/>
          <w:lang w:val="en-AU"/>
        </w:rPr>
        <w:t>.</w:t>
      </w:r>
      <w:r w:rsidRPr="00D850DF">
        <w:rPr>
          <w:rFonts w:asciiTheme="majorHAnsi" w:hAnsiTheme="majorHAnsi"/>
          <w:lang w:val="en-AU"/>
        </w:rPr>
        <w:t xml:space="preserve"> Microbial conversion of terpenoids. Biotechnology and genetic engineering reviews</w:t>
      </w:r>
      <w:r w:rsidR="00643E10" w:rsidRPr="00D850DF">
        <w:rPr>
          <w:rFonts w:asciiTheme="majorHAnsi" w:hAnsiTheme="majorHAnsi"/>
          <w:lang w:val="en-AU"/>
        </w:rPr>
        <w:t xml:space="preserve"> (</w:t>
      </w:r>
      <w:r w:rsidRPr="00D850DF">
        <w:rPr>
          <w:rFonts w:asciiTheme="majorHAnsi" w:hAnsiTheme="majorHAnsi"/>
          <w:lang w:val="en-AU"/>
        </w:rPr>
        <w:t>6</w:t>
      </w:r>
      <w:r w:rsidR="00643E10" w:rsidRPr="00D850DF">
        <w:rPr>
          <w:rFonts w:asciiTheme="majorHAnsi" w:hAnsiTheme="majorHAnsi"/>
          <w:lang w:val="en-AU"/>
        </w:rPr>
        <w:t>)</w:t>
      </w:r>
      <w:r w:rsidRPr="00D850DF">
        <w:rPr>
          <w:rFonts w:asciiTheme="majorHAnsi" w:hAnsiTheme="majorHAnsi"/>
          <w:lang w:val="en-AU"/>
        </w:rPr>
        <w:t>: 271-320.</w:t>
      </w:r>
    </w:p>
    <w:p w14:paraId="7FC0A813" w14:textId="4E46CDF6" w:rsidR="00314DD0" w:rsidRPr="00D850DF" w:rsidRDefault="00314DD0" w:rsidP="00B8505C">
      <w:pPr>
        <w:pStyle w:val="Body"/>
        <w:spacing w:afterLines="20" w:after="48"/>
        <w:ind w:left="567" w:hanging="567"/>
        <w:rPr>
          <w:rFonts w:asciiTheme="majorHAnsi" w:hAnsiTheme="majorHAnsi"/>
          <w:lang w:val="en-AU"/>
        </w:rPr>
      </w:pPr>
      <w:r w:rsidRPr="00D850DF">
        <w:rPr>
          <w:rFonts w:asciiTheme="majorHAnsi" w:hAnsiTheme="majorHAnsi"/>
          <w:lang w:val="en-AU"/>
        </w:rPr>
        <w:t>Mitchell P, Bruce J, O’Grady A, Read A</w:t>
      </w:r>
      <w:r w:rsidR="00276555" w:rsidRPr="00D850DF">
        <w:rPr>
          <w:rFonts w:asciiTheme="majorHAnsi" w:hAnsiTheme="majorHAnsi"/>
          <w:lang w:val="en-AU"/>
        </w:rPr>
        <w:t>,</w:t>
      </w:r>
      <w:r w:rsidRPr="00D850DF">
        <w:rPr>
          <w:rFonts w:asciiTheme="majorHAnsi" w:hAnsiTheme="majorHAnsi"/>
          <w:lang w:val="en-AU"/>
        </w:rPr>
        <w:t xml:space="preserve"> and Holland KL (2015)</w:t>
      </w:r>
      <w:r w:rsidR="00065463" w:rsidRPr="00D850DF">
        <w:rPr>
          <w:rFonts w:asciiTheme="majorHAnsi" w:hAnsiTheme="majorHAnsi"/>
          <w:lang w:val="en-AU"/>
        </w:rPr>
        <w:t>.</w:t>
      </w:r>
      <w:r w:rsidRPr="00D850DF">
        <w:rPr>
          <w:rFonts w:asciiTheme="majorHAnsi" w:hAnsiTheme="majorHAnsi"/>
          <w:lang w:val="en-AU"/>
        </w:rPr>
        <w:t xml:space="preserve"> Description of the receptor register for the Maranoa-Balonne-Condamine subregion. Product 1.4 for the Maranoa-Balonne-Condamine subregion from the Northern Inland Catchments Bioregional Assessment. Department of the Environment, Bureau of Meteorology, CSIRO and Geoscience Australia, Australia. http://data.bioregionalassessments.gov.au/product/NIC/MBC/1.4.</w:t>
      </w:r>
    </w:p>
    <w:p w14:paraId="28E5674C" w14:textId="48F3D9A5" w:rsidR="00F916B6" w:rsidRPr="00D850DF" w:rsidRDefault="00F916B6" w:rsidP="00F916B6">
      <w:pPr>
        <w:pStyle w:val="Body"/>
        <w:spacing w:afterLines="20" w:after="48"/>
        <w:ind w:left="567" w:hanging="567"/>
        <w:rPr>
          <w:rFonts w:asciiTheme="majorHAnsi" w:hAnsiTheme="majorHAnsi"/>
          <w:lang w:val="en-AU"/>
        </w:rPr>
      </w:pPr>
      <w:r w:rsidRPr="00D850DF">
        <w:rPr>
          <w:rFonts w:asciiTheme="majorHAnsi" w:hAnsiTheme="majorHAnsi"/>
          <w:lang w:val="en-AU"/>
        </w:rPr>
        <w:t>MITI (1992)</w:t>
      </w:r>
      <w:r w:rsidR="00065463" w:rsidRPr="00D850DF">
        <w:rPr>
          <w:rFonts w:asciiTheme="majorHAnsi" w:hAnsiTheme="majorHAnsi"/>
          <w:lang w:val="en-AU"/>
        </w:rPr>
        <w:t>.</w:t>
      </w:r>
      <w:r w:rsidRPr="00D850DF">
        <w:rPr>
          <w:rFonts w:asciiTheme="majorHAnsi" w:hAnsiTheme="majorHAnsi"/>
          <w:lang w:val="en-AU"/>
        </w:rPr>
        <w:t xml:space="preserve"> Biodegradation and bioaccumulation data of existing chemicals based on the CSCL Japan compiled under the supervision of Chemical Products Safety Division, Basic Industries Bureau, Ministry of International Trade and Industry, Japan. Ministry of International Trade and Industry, Chemicals Inspection </w:t>
      </w:r>
      <w:r w:rsidR="004A7452" w:rsidRPr="00D850DF">
        <w:rPr>
          <w:rFonts w:asciiTheme="majorHAnsi" w:hAnsiTheme="majorHAnsi"/>
          <w:lang w:val="en-AU"/>
        </w:rPr>
        <w:t>and</w:t>
      </w:r>
      <w:r w:rsidRPr="00D850DF">
        <w:rPr>
          <w:rFonts w:asciiTheme="majorHAnsi" w:hAnsiTheme="majorHAnsi"/>
          <w:lang w:val="en-AU"/>
        </w:rPr>
        <w:t xml:space="preserve"> Testing Institute (ISBN 4-89074-101-1).</w:t>
      </w:r>
    </w:p>
    <w:p w14:paraId="7B2B6A3C" w14:textId="1AB4296D" w:rsidR="00301DB0" w:rsidRPr="00D850DF" w:rsidRDefault="00301DB0" w:rsidP="00301DB0">
      <w:pPr>
        <w:pStyle w:val="Body"/>
        <w:spacing w:afterLines="20" w:after="48"/>
        <w:ind w:left="567" w:hanging="567"/>
        <w:rPr>
          <w:rFonts w:asciiTheme="majorHAnsi" w:hAnsiTheme="majorHAnsi"/>
          <w:lang w:val="en-AU"/>
        </w:rPr>
      </w:pPr>
      <w:r w:rsidRPr="00D850DF">
        <w:rPr>
          <w:rFonts w:asciiTheme="majorHAnsi" w:hAnsiTheme="majorHAnsi"/>
          <w:lang w:val="en-AU"/>
        </w:rPr>
        <w:t>MoH NZ (2008)</w:t>
      </w:r>
      <w:r w:rsidR="00065463" w:rsidRPr="00D850DF">
        <w:rPr>
          <w:rFonts w:asciiTheme="majorHAnsi" w:hAnsiTheme="majorHAnsi"/>
          <w:lang w:val="en-AU"/>
        </w:rPr>
        <w:t>.</w:t>
      </w:r>
      <w:r w:rsidRPr="00D850DF">
        <w:rPr>
          <w:rFonts w:asciiTheme="majorHAnsi" w:hAnsiTheme="majorHAnsi"/>
          <w:lang w:val="en-AU"/>
        </w:rPr>
        <w:t xml:space="preserve"> New Zealand Ministry of Health, Drinking-water standards for New Zealand 2005 (Revised 2008), p. 175, Ministry of Health, Wellington.</w:t>
      </w:r>
    </w:p>
    <w:p w14:paraId="3AB581B2" w14:textId="456505F5" w:rsidR="0071601A" w:rsidRPr="00D850DF" w:rsidRDefault="00B17DB6" w:rsidP="000144B2">
      <w:pPr>
        <w:pStyle w:val="Body"/>
        <w:spacing w:afterLines="20" w:after="48"/>
        <w:ind w:left="567" w:hanging="567"/>
        <w:rPr>
          <w:rFonts w:asciiTheme="majorHAnsi" w:hAnsiTheme="majorHAnsi"/>
        </w:rPr>
      </w:pPr>
      <w:r w:rsidRPr="00D850DF">
        <w:rPr>
          <w:rFonts w:asciiTheme="majorHAnsi" w:hAnsiTheme="majorHAnsi"/>
        </w:rPr>
        <w:t>Monteil-Rivera</w:t>
      </w:r>
      <w:r w:rsidR="0071601A" w:rsidRPr="00D850DF">
        <w:rPr>
          <w:rFonts w:asciiTheme="majorHAnsi" w:hAnsiTheme="majorHAnsi"/>
        </w:rPr>
        <w:t xml:space="preserve"> F, Groom C</w:t>
      </w:r>
      <w:r w:rsidR="00276555" w:rsidRPr="00D850DF">
        <w:rPr>
          <w:rFonts w:asciiTheme="majorHAnsi" w:hAnsiTheme="majorHAnsi"/>
        </w:rPr>
        <w:t>,</w:t>
      </w:r>
      <w:r w:rsidR="0071601A" w:rsidRPr="00D850DF">
        <w:rPr>
          <w:rFonts w:asciiTheme="majorHAnsi" w:hAnsiTheme="majorHAnsi"/>
        </w:rPr>
        <w:t xml:space="preserve"> and Hawari J (2003)</w:t>
      </w:r>
      <w:r w:rsidR="00065463" w:rsidRPr="00D850DF">
        <w:rPr>
          <w:rFonts w:asciiTheme="majorHAnsi" w:hAnsiTheme="majorHAnsi"/>
        </w:rPr>
        <w:t>.</w:t>
      </w:r>
      <w:r w:rsidR="0071601A" w:rsidRPr="00D850DF">
        <w:rPr>
          <w:rFonts w:asciiTheme="majorHAnsi" w:hAnsiTheme="majorHAnsi"/>
        </w:rPr>
        <w:t xml:space="preserve"> Sorption and degradation of octahydro-1</w:t>
      </w:r>
      <w:proofErr w:type="gramStart"/>
      <w:r w:rsidR="0071601A" w:rsidRPr="00D850DF">
        <w:rPr>
          <w:rFonts w:asciiTheme="majorHAnsi" w:hAnsiTheme="majorHAnsi"/>
        </w:rPr>
        <w:t>,3,5,7</w:t>
      </w:r>
      <w:proofErr w:type="gramEnd"/>
      <w:r w:rsidR="0071601A" w:rsidRPr="00D850DF">
        <w:rPr>
          <w:rFonts w:asciiTheme="majorHAnsi" w:hAnsiTheme="majorHAnsi"/>
        </w:rPr>
        <w:t>-tetranitro-1,3,5,7-tetrazocine in soil</w:t>
      </w:r>
      <w:r w:rsidR="00643E10" w:rsidRPr="00D850DF">
        <w:rPr>
          <w:rFonts w:asciiTheme="majorHAnsi" w:hAnsiTheme="majorHAnsi"/>
        </w:rPr>
        <w:t>.</w:t>
      </w:r>
      <w:r w:rsidR="0071601A" w:rsidRPr="00D850DF">
        <w:rPr>
          <w:rFonts w:asciiTheme="majorHAnsi" w:hAnsiTheme="majorHAnsi"/>
        </w:rPr>
        <w:t xml:space="preserve"> Environmental Science and Technology 37(17)</w:t>
      </w:r>
      <w:r w:rsidR="00D77A45" w:rsidRPr="00D850DF">
        <w:rPr>
          <w:rFonts w:asciiTheme="majorHAnsi" w:hAnsiTheme="majorHAnsi"/>
        </w:rPr>
        <w:t>:</w:t>
      </w:r>
      <w:r w:rsidR="0071601A" w:rsidRPr="00D850DF">
        <w:rPr>
          <w:rFonts w:asciiTheme="majorHAnsi" w:hAnsiTheme="majorHAnsi"/>
        </w:rPr>
        <w:t xml:space="preserve"> 3878-3884.</w:t>
      </w:r>
    </w:p>
    <w:p w14:paraId="56081540" w14:textId="51CF2F57" w:rsidR="00AC7FF0" w:rsidRPr="00D850DF" w:rsidRDefault="00AC7FF0" w:rsidP="000144B2">
      <w:pPr>
        <w:pStyle w:val="Body"/>
        <w:spacing w:afterLines="20" w:after="48"/>
        <w:ind w:left="567" w:hanging="567"/>
        <w:rPr>
          <w:rFonts w:asciiTheme="majorHAnsi" w:hAnsiTheme="majorHAnsi"/>
        </w:rPr>
      </w:pPr>
      <w:r w:rsidRPr="00D850DF">
        <w:rPr>
          <w:rFonts w:asciiTheme="majorHAnsi" w:hAnsiTheme="majorHAnsi"/>
        </w:rPr>
        <w:t>Mueller DT and Eid RN (2006)</w:t>
      </w:r>
      <w:r w:rsidR="00065463" w:rsidRPr="00D850DF">
        <w:rPr>
          <w:rFonts w:asciiTheme="majorHAnsi" w:hAnsiTheme="majorHAnsi"/>
        </w:rPr>
        <w:t>.</w:t>
      </w:r>
      <w:r w:rsidRPr="00D850DF">
        <w:rPr>
          <w:rFonts w:asciiTheme="majorHAnsi" w:hAnsiTheme="majorHAnsi"/>
        </w:rPr>
        <w:t xml:space="preserve"> Characterization of early</w:t>
      </w:r>
      <w:r w:rsidR="00B17DB6" w:rsidRPr="00D850DF">
        <w:rPr>
          <w:rFonts w:asciiTheme="majorHAnsi" w:hAnsiTheme="majorHAnsi"/>
        </w:rPr>
        <w:t>-</w:t>
      </w:r>
      <w:r w:rsidRPr="00D850DF">
        <w:rPr>
          <w:rFonts w:asciiTheme="majorHAnsi" w:hAnsiTheme="majorHAnsi"/>
        </w:rPr>
        <w:t>time mechanical behavior of well cements employed in</w:t>
      </w:r>
      <w:r w:rsidR="00B17DB6" w:rsidRPr="00D850DF">
        <w:rPr>
          <w:rFonts w:asciiTheme="majorHAnsi" w:hAnsiTheme="majorHAnsi"/>
        </w:rPr>
        <w:t>-</w:t>
      </w:r>
      <w:r w:rsidRPr="00D850DF">
        <w:rPr>
          <w:rFonts w:asciiTheme="majorHAnsi" w:hAnsiTheme="majorHAnsi"/>
        </w:rPr>
        <w:t>surface casing operations: IAD/SPE Drilling Conference, Miami, Florida, IADC/SPE 98632, 11 p.</w:t>
      </w:r>
    </w:p>
    <w:p w14:paraId="063BD76B" w14:textId="31CEC4EA" w:rsidR="000F310B" w:rsidRPr="00D850DF" w:rsidRDefault="00B8505C" w:rsidP="000144B2">
      <w:pPr>
        <w:pStyle w:val="Body"/>
        <w:spacing w:afterLines="20" w:after="48"/>
        <w:ind w:left="567" w:hanging="567"/>
        <w:rPr>
          <w:rFonts w:asciiTheme="majorHAnsi" w:hAnsiTheme="majorHAnsi"/>
        </w:rPr>
      </w:pPr>
      <w:r w:rsidRPr="00D850DF">
        <w:rPr>
          <w:rFonts w:asciiTheme="majorHAnsi" w:hAnsiTheme="majorHAnsi"/>
          <w:lang w:val="en-AU"/>
        </w:rPr>
        <w:t>Muller G (1981)</w:t>
      </w:r>
      <w:r w:rsidR="00065463" w:rsidRPr="00D850DF">
        <w:rPr>
          <w:rFonts w:asciiTheme="majorHAnsi" w:hAnsiTheme="majorHAnsi"/>
          <w:lang w:val="en-AU"/>
        </w:rPr>
        <w:t>.</w:t>
      </w:r>
      <w:r w:rsidRPr="00D850DF">
        <w:rPr>
          <w:rFonts w:asciiTheme="majorHAnsi" w:hAnsiTheme="majorHAnsi"/>
          <w:lang w:val="en-AU"/>
        </w:rPr>
        <w:t xml:space="preserve"> Thermal stability of high-molecular-weight polyacrylamide aqueous solutions. Polymer Bulletin 5(1)</w:t>
      </w:r>
      <w:r w:rsidR="00D77A45" w:rsidRPr="00D850DF">
        <w:rPr>
          <w:rFonts w:asciiTheme="majorHAnsi" w:hAnsiTheme="majorHAnsi"/>
          <w:lang w:val="en-AU"/>
        </w:rPr>
        <w:t>:</w:t>
      </w:r>
      <w:r w:rsidRPr="00D850DF">
        <w:rPr>
          <w:rFonts w:asciiTheme="majorHAnsi" w:hAnsiTheme="majorHAnsi"/>
          <w:lang w:val="en-AU"/>
        </w:rPr>
        <w:t xml:space="preserve"> 31-37.</w:t>
      </w:r>
    </w:p>
    <w:p w14:paraId="58E9D9EB" w14:textId="4FA270FA" w:rsidR="00D9435D" w:rsidRPr="00D850DF" w:rsidRDefault="00D9435D" w:rsidP="000144B2">
      <w:pPr>
        <w:pStyle w:val="Body"/>
        <w:spacing w:afterLines="20" w:after="48"/>
        <w:ind w:left="567" w:hanging="567"/>
        <w:rPr>
          <w:rFonts w:asciiTheme="majorHAnsi" w:hAnsiTheme="majorHAnsi"/>
        </w:rPr>
      </w:pPr>
      <w:r w:rsidRPr="00D850DF">
        <w:rPr>
          <w:rFonts w:asciiTheme="majorHAnsi" w:hAnsiTheme="majorHAnsi"/>
        </w:rPr>
        <w:t>Muller G, Fenyo JC</w:t>
      </w:r>
      <w:r w:rsidR="00276555" w:rsidRPr="00D850DF">
        <w:rPr>
          <w:rFonts w:asciiTheme="majorHAnsi" w:hAnsiTheme="majorHAnsi"/>
        </w:rPr>
        <w:t>,</w:t>
      </w:r>
      <w:r w:rsidRPr="00D850DF">
        <w:rPr>
          <w:rFonts w:asciiTheme="majorHAnsi" w:hAnsiTheme="majorHAnsi"/>
        </w:rPr>
        <w:t xml:space="preserve"> and Selegny </w:t>
      </w:r>
      <w:r w:rsidR="00B17DB6" w:rsidRPr="00D850DF">
        <w:rPr>
          <w:rFonts w:asciiTheme="majorHAnsi" w:hAnsiTheme="majorHAnsi"/>
        </w:rPr>
        <w:t>E</w:t>
      </w:r>
      <w:r w:rsidRPr="00D850DF">
        <w:rPr>
          <w:rFonts w:asciiTheme="majorHAnsi" w:hAnsiTheme="majorHAnsi"/>
        </w:rPr>
        <w:t xml:space="preserve"> (1980)</w:t>
      </w:r>
      <w:r w:rsidR="00065463" w:rsidRPr="00D850DF">
        <w:rPr>
          <w:rFonts w:asciiTheme="majorHAnsi" w:hAnsiTheme="majorHAnsi"/>
        </w:rPr>
        <w:t>.</w:t>
      </w:r>
      <w:r w:rsidRPr="00D850DF">
        <w:rPr>
          <w:rFonts w:asciiTheme="majorHAnsi" w:hAnsiTheme="majorHAnsi"/>
        </w:rPr>
        <w:t xml:space="preserve"> H</w:t>
      </w:r>
      <w:r w:rsidR="00B17DB6" w:rsidRPr="00D850DF">
        <w:rPr>
          <w:rFonts w:asciiTheme="majorHAnsi" w:hAnsiTheme="majorHAnsi"/>
        </w:rPr>
        <w:t>igh molecular weight hydrolysed polyacrylamids</w:t>
      </w:r>
      <w:r w:rsidRPr="00D850DF">
        <w:rPr>
          <w:rFonts w:asciiTheme="majorHAnsi" w:hAnsiTheme="majorHAnsi"/>
        </w:rPr>
        <w:t xml:space="preserve"> - 3. E</w:t>
      </w:r>
      <w:r w:rsidR="00B17DB6" w:rsidRPr="00D850DF">
        <w:rPr>
          <w:rFonts w:asciiTheme="majorHAnsi" w:hAnsiTheme="majorHAnsi"/>
        </w:rPr>
        <w:t>ffect of temperature on chemical stability</w:t>
      </w:r>
      <w:r w:rsidR="00643E10" w:rsidRPr="00D850DF">
        <w:rPr>
          <w:rFonts w:asciiTheme="majorHAnsi" w:hAnsiTheme="majorHAnsi"/>
        </w:rPr>
        <w:t>.</w:t>
      </w:r>
      <w:r w:rsidRPr="00D850DF">
        <w:rPr>
          <w:rFonts w:asciiTheme="majorHAnsi" w:hAnsiTheme="majorHAnsi"/>
        </w:rPr>
        <w:t xml:space="preserve"> Jou</w:t>
      </w:r>
      <w:r w:rsidR="00D77A45" w:rsidRPr="00D850DF">
        <w:rPr>
          <w:rFonts w:asciiTheme="majorHAnsi" w:hAnsiTheme="majorHAnsi"/>
        </w:rPr>
        <w:t>rnal of Applied Polymer Science</w:t>
      </w:r>
      <w:r w:rsidRPr="00D850DF">
        <w:rPr>
          <w:rFonts w:asciiTheme="majorHAnsi" w:hAnsiTheme="majorHAnsi"/>
        </w:rPr>
        <w:t xml:space="preserve"> 25(4)</w:t>
      </w:r>
      <w:r w:rsidR="00D77A45" w:rsidRPr="00D850DF">
        <w:rPr>
          <w:rFonts w:asciiTheme="majorHAnsi" w:hAnsiTheme="majorHAnsi"/>
        </w:rPr>
        <w:t>:</w:t>
      </w:r>
      <w:r w:rsidRPr="00D850DF">
        <w:rPr>
          <w:rFonts w:asciiTheme="majorHAnsi" w:hAnsiTheme="majorHAnsi"/>
        </w:rPr>
        <w:t xml:space="preserve"> 627-633.</w:t>
      </w:r>
    </w:p>
    <w:p w14:paraId="261813FF" w14:textId="6D552646" w:rsidR="002026D6" w:rsidRPr="00D850DF" w:rsidRDefault="002026D6" w:rsidP="000144B2">
      <w:pPr>
        <w:pStyle w:val="Body"/>
        <w:spacing w:afterLines="20" w:after="48"/>
        <w:ind w:left="567" w:hanging="567"/>
        <w:rPr>
          <w:rFonts w:asciiTheme="majorHAnsi" w:hAnsiTheme="majorHAnsi"/>
        </w:rPr>
      </w:pPr>
      <w:r w:rsidRPr="00D850DF">
        <w:rPr>
          <w:rFonts w:asciiTheme="majorHAnsi" w:hAnsiTheme="majorHAnsi"/>
        </w:rPr>
        <w:t>Muuri E (2015)</w:t>
      </w:r>
      <w:r w:rsidR="00065463" w:rsidRPr="00D850DF">
        <w:rPr>
          <w:rFonts w:asciiTheme="majorHAnsi" w:hAnsiTheme="majorHAnsi"/>
        </w:rPr>
        <w:t>.</w:t>
      </w:r>
      <w:r w:rsidRPr="00D850DF">
        <w:rPr>
          <w:rFonts w:asciiTheme="majorHAnsi" w:hAnsiTheme="majorHAnsi"/>
        </w:rPr>
        <w:t xml:space="preserve"> The sorption and diffusion of 133Ba in granitic rocks. Master’s Thesis University of Helsinki.</w:t>
      </w:r>
    </w:p>
    <w:p w14:paraId="230EE69C" w14:textId="18C65650" w:rsidR="00A92016" w:rsidRPr="00D850DF" w:rsidRDefault="00A92016" w:rsidP="00A92016">
      <w:pPr>
        <w:pStyle w:val="Body"/>
        <w:spacing w:afterLines="20" w:after="48"/>
        <w:ind w:left="567" w:hanging="567"/>
        <w:rPr>
          <w:rFonts w:asciiTheme="majorHAnsi" w:hAnsiTheme="majorHAnsi"/>
        </w:rPr>
      </w:pPr>
      <w:r w:rsidRPr="00D850DF">
        <w:rPr>
          <w:rFonts w:asciiTheme="majorHAnsi" w:hAnsiTheme="majorHAnsi"/>
        </w:rPr>
        <w:t>Myers T (2012)</w:t>
      </w:r>
      <w:r w:rsidR="00065463" w:rsidRPr="00D850DF">
        <w:rPr>
          <w:rFonts w:asciiTheme="majorHAnsi" w:hAnsiTheme="majorHAnsi"/>
        </w:rPr>
        <w:t>.</w:t>
      </w:r>
      <w:r w:rsidRPr="00D850DF">
        <w:rPr>
          <w:rFonts w:asciiTheme="majorHAnsi" w:hAnsiTheme="majorHAnsi"/>
        </w:rPr>
        <w:t xml:space="preserve"> Potential Contaminant Pathways from Hydraulically Fractured Shale to Aquifers. Groundwater 50(6): 872-882.</w:t>
      </w:r>
    </w:p>
    <w:p w14:paraId="37BB8055" w14:textId="59226875" w:rsidR="004F742D" w:rsidRPr="00D850DF" w:rsidRDefault="004F742D" w:rsidP="000144B2">
      <w:pPr>
        <w:pStyle w:val="Body"/>
        <w:spacing w:afterLines="20" w:after="48"/>
        <w:ind w:left="567" w:hanging="567"/>
        <w:rPr>
          <w:rFonts w:asciiTheme="majorHAnsi" w:hAnsiTheme="majorHAnsi"/>
        </w:rPr>
      </w:pPr>
      <w:r w:rsidRPr="00D850DF">
        <w:rPr>
          <w:rFonts w:asciiTheme="majorHAnsi" w:hAnsiTheme="majorHAnsi"/>
        </w:rPr>
        <w:t>Navi M, Skelly C, </w:t>
      </w:r>
      <w:hyperlink r:id="rId235" w:history="1">
        <w:r w:rsidRPr="00D850DF">
          <w:rPr>
            <w:rFonts w:asciiTheme="majorHAnsi" w:hAnsiTheme="majorHAnsi"/>
          </w:rPr>
          <w:t>Taulis M</w:t>
        </w:r>
      </w:hyperlink>
      <w:r w:rsidR="00276555" w:rsidRPr="00D850DF">
        <w:rPr>
          <w:rFonts w:asciiTheme="majorHAnsi" w:hAnsiTheme="majorHAnsi"/>
        </w:rPr>
        <w:t>,</w:t>
      </w:r>
      <w:r w:rsidRPr="00D850DF">
        <w:rPr>
          <w:rFonts w:asciiTheme="majorHAnsi" w:hAnsiTheme="majorHAnsi"/>
        </w:rPr>
        <w:t xml:space="preserve"> and Nasiri S (201</w:t>
      </w:r>
      <w:r w:rsidR="00C81D31" w:rsidRPr="00D850DF">
        <w:rPr>
          <w:rFonts w:asciiTheme="majorHAnsi" w:hAnsiTheme="majorHAnsi"/>
        </w:rPr>
        <w:t>5</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Coal seam gas water: potential hazards and exposure pathways in Queensland. International Journal of Environmental Health Research 25(2)</w:t>
      </w:r>
      <w:r w:rsidR="00D77A45" w:rsidRPr="00D850DF">
        <w:rPr>
          <w:rFonts w:asciiTheme="majorHAnsi" w:hAnsiTheme="majorHAnsi"/>
        </w:rPr>
        <w:t>:</w:t>
      </w:r>
      <w:r w:rsidRPr="00D850DF">
        <w:rPr>
          <w:rFonts w:asciiTheme="majorHAnsi" w:hAnsiTheme="majorHAnsi"/>
        </w:rPr>
        <w:t xml:space="preserve"> 162-183.</w:t>
      </w:r>
    </w:p>
    <w:p w14:paraId="48BD092D" w14:textId="3F21F117" w:rsidR="005252EE" w:rsidRPr="00D850DF" w:rsidRDefault="005252EE" w:rsidP="005252EE">
      <w:pPr>
        <w:pStyle w:val="Body"/>
        <w:spacing w:afterLines="20" w:after="48"/>
        <w:ind w:left="567" w:hanging="567"/>
        <w:rPr>
          <w:rFonts w:asciiTheme="majorHAnsi" w:hAnsiTheme="majorHAnsi"/>
        </w:rPr>
      </w:pPr>
      <w:r w:rsidRPr="00D5759A">
        <w:rPr>
          <w:rFonts w:asciiTheme="majorHAnsi" w:hAnsiTheme="majorHAnsi"/>
        </w:rPr>
        <w:t>NHMRC and NHMMC (201</w:t>
      </w:r>
      <w:r w:rsidR="00F616DB" w:rsidRPr="00D5759A">
        <w:rPr>
          <w:rFonts w:asciiTheme="majorHAnsi" w:hAnsiTheme="majorHAnsi"/>
        </w:rPr>
        <w:t>1</w:t>
      </w:r>
      <w:r w:rsidRPr="00D5759A">
        <w:rPr>
          <w:rFonts w:asciiTheme="majorHAnsi" w:hAnsiTheme="majorHAnsi"/>
        </w:rPr>
        <w:t>)</w:t>
      </w:r>
      <w:r w:rsidR="00065463" w:rsidRPr="00D5759A">
        <w:rPr>
          <w:rFonts w:asciiTheme="majorHAnsi" w:hAnsiTheme="majorHAnsi"/>
        </w:rPr>
        <w:t>.</w:t>
      </w:r>
      <w:r w:rsidRPr="00D5759A">
        <w:rPr>
          <w:rFonts w:asciiTheme="majorHAnsi" w:hAnsiTheme="majorHAnsi"/>
        </w:rPr>
        <w:t xml:space="preserve"> Australian Drinking Water Guidelines </w:t>
      </w:r>
      <w:r w:rsidR="00C9769E" w:rsidRPr="00D5759A">
        <w:rPr>
          <w:rFonts w:asciiTheme="majorHAnsi" w:hAnsiTheme="majorHAnsi"/>
        </w:rPr>
        <w:t xml:space="preserve">2011. </w:t>
      </w:r>
      <w:r w:rsidRPr="00D5759A">
        <w:rPr>
          <w:rFonts w:asciiTheme="majorHAnsi" w:hAnsiTheme="majorHAnsi"/>
        </w:rPr>
        <w:t>National Water Quality Management Strategy</w:t>
      </w:r>
      <w:r w:rsidR="00C9769E" w:rsidRPr="00D5759A">
        <w:rPr>
          <w:rFonts w:asciiTheme="majorHAnsi" w:hAnsiTheme="majorHAnsi"/>
        </w:rPr>
        <w:t>, Document 6, Version 3.3, updated November 2016</w:t>
      </w:r>
      <w:r w:rsidRPr="00D5759A">
        <w:rPr>
          <w:rFonts w:asciiTheme="majorHAnsi" w:hAnsiTheme="majorHAnsi"/>
        </w:rPr>
        <w:t>. National Health and Medical Research Council, National Resource Management Ministerial Council, Commonwealth of Australia, Canberra.</w:t>
      </w:r>
    </w:p>
    <w:p w14:paraId="59CF96E4" w14:textId="35236760" w:rsidR="009966FF" w:rsidRPr="00D850DF" w:rsidRDefault="009966FF" w:rsidP="009966FF">
      <w:pPr>
        <w:pStyle w:val="Body"/>
        <w:spacing w:afterLines="20" w:after="48"/>
        <w:ind w:left="567" w:hanging="567"/>
        <w:rPr>
          <w:rFonts w:asciiTheme="majorHAnsi" w:hAnsiTheme="majorHAnsi"/>
        </w:rPr>
      </w:pPr>
      <w:r w:rsidRPr="00D850DF">
        <w:rPr>
          <w:rFonts w:asciiTheme="majorHAnsi" w:hAnsiTheme="majorHAnsi"/>
        </w:rPr>
        <w:t xml:space="preserve">NICNAS </w:t>
      </w:r>
      <w:r w:rsidR="00761AE7" w:rsidRPr="00D850DF">
        <w:rPr>
          <w:rFonts w:asciiTheme="majorHAnsi" w:hAnsiTheme="majorHAnsi"/>
        </w:rPr>
        <w:t>(</w:t>
      </w:r>
      <w:r w:rsidRPr="00D850DF">
        <w:rPr>
          <w:rFonts w:asciiTheme="majorHAnsi" w:hAnsiTheme="majorHAnsi"/>
        </w:rPr>
        <w:t>2013</w:t>
      </w:r>
      <w:r w:rsidR="00761AE7"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NICNAS Handbook—a guide for importers and manufacturers of industrial chemicals i</w:t>
      </w:r>
      <w:r w:rsidR="001C5F70" w:rsidRPr="00D850DF">
        <w:rPr>
          <w:rFonts w:asciiTheme="majorHAnsi" w:hAnsiTheme="majorHAnsi"/>
        </w:rPr>
        <w:t>n Australia, accessed in May</w:t>
      </w:r>
      <w:r w:rsidRPr="00D850DF">
        <w:rPr>
          <w:rFonts w:asciiTheme="majorHAnsi" w:hAnsiTheme="majorHAnsi"/>
        </w:rPr>
        <w:t xml:space="preserve"> 2</w:t>
      </w:r>
      <w:r w:rsidR="001C5F70" w:rsidRPr="00D850DF">
        <w:rPr>
          <w:rFonts w:asciiTheme="majorHAnsi" w:hAnsiTheme="majorHAnsi"/>
        </w:rPr>
        <w:t>016</w:t>
      </w:r>
      <w:r w:rsidRPr="00D850DF">
        <w:rPr>
          <w:rFonts w:asciiTheme="majorHAnsi" w:hAnsiTheme="majorHAnsi"/>
        </w:rPr>
        <w:t>, &lt;</w:t>
      </w:r>
      <w:hyperlink r:id="rId236" w:history="1">
        <w:r w:rsidRPr="00D850DF">
          <w:rPr>
            <w:rFonts w:asciiTheme="majorHAnsi" w:hAnsiTheme="majorHAnsi"/>
          </w:rPr>
          <w:t>http://www.nicnas.gov.au/regulation-and-compliance/nicnas-handbook</w:t>
        </w:r>
      </w:hyperlink>
      <w:r w:rsidRPr="00D850DF">
        <w:rPr>
          <w:rFonts w:asciiTheme="majorHAnsi" w:hAnsiTheme="majorHAnsi"/>
        </w:rPr>
        <w:t>&gt;.</w:t>
      </w:r>
    </w:p>
    <w:p w14:paraId="465CED20" w14:textId="5F5FD3E1" w:rsidR="003074CA" w:rsidRPr="00D850DF" w:rsidRDefault="003074CA" w:rsidP="009966FF">
      <w:pPr>
        <w:pStyle w:val="Body"/>
        <w:spacing w:afterLines="20" w:after="48"/>
        <w:ind w:left="567" w:hanging="567"/>
        <w:rPr>
          <w:rFonts w:asciiTheme="majorHAnsi" w:hAnsiTheme="majorHAnsi"/>
        </w:rPr>
      </w:pPr>
      <w:r w:rsidRPr="00D850DF">
        <w:rPr>
          <w:rFonts w:asciiTheme="majorHAnsi" w:hAnsiTheme="majorHAnsi"/>
        </w:rPr>
        <w:t>NICNAS (2015)</w:t>
      </w:r>
      <w:r w:rsidR="00065463" w:rsidRPr="00D850DF">
        <w:rPr>
          <w:rFonts w:asciiTheme="majorHAnsi" w:hAnsiTheme="majorHAnsi"/>
        </w:rPr>
        <w:t>.</w:t>
      </w:r>
      <w:r w:rsidRPr="00D850DF">
        <w:rPr>
          <w:rFonts w:asciiTheme="majorHAnsi" w:hAnsiTheme="majorHAnsi"/>
        </w:rPr>
        <w:t xml:space="preserve"> </w:t>
      </w:r>
      <w:r w:rsidR="001C5F70" w:rsidRPr="00D850DF">
        <w:rPr>
          <w:rFonts w:asciiTheme="majorHAnsi" w:hAnsiTheme="majorHAnsi"/>
        </w:rPr>
        <w:t>Identification of chemicals of low concern to human health, Inventory Multi-tiered Assessment and Prioritisation Framework, National Industrial Chemicals Notification and Assessment Scheme, accessed July 2016, &lt;</w:t>
      </w:r>
      <w:hyperlink r:id="rId237" w:history="1">
        <w:r w:rsidR="001C5F70" w:rsidRPr="00D850DF">
          <w:rPr>
            <w:rFonts w:asciiTheme="majorHAnsi" w:hAnsiTheme="majorHAnsi"/>
          </w:rPr>
          <w:t>http://www.nicnas.gov.au/chemical-information/imap-assessments/the-imap-framework</w:t>
        </w:r>
      </w:hyperlink>
      <w:r w:rsidR="001C5F70" w:rsidRPr="00D850DF">
        <w:rPr>
          <w:rFonts w:asciiTheme="majorHAnsi" w:hAnsiTheme="majorHAnsi"/>
        </w:rPr>
        <w:t>&gt;.</w:t>
      </w:r>
    </w:p>
    <w:p w14:paraId="7B396B7E" w14:textId="75A7D78D" w:rsidR="00F15F8E" w:rsidRPr="00D850DF" w:rsidRDefault="00825FE5" w:rsidP="009966FF">
      <w:pPr>
        <w:pStyle w:val="Body"/>
        <w:spacing w:afterLines="20" w:after="48"/>
        <w:ind w:left="567" w:hanging="567"/>
        <w:rPr>
          <w:rFonts w:asciiTheme="majorHAnsi" w:hAnsiTheme="majorHAnsi"/>
        </w:rPr>
      </w:pPr>
      <w:r w:rsidRPr="00D850DF">
        <w:rPr>
          <w:rFonts w:asciiTheme="majorHAnsi" w:hAnsiTheme="majorHAnsi"/>
        </w:rPr>
        <w:t>NICNAS (201</w:t>
      </w:r>
      <w:r w:rsidR="00BF1F87">
        <w:rPr>
          <w:rFonts w:asciiTheme="majorHAnsi" w:hAnsiTheme="majorHAnsi"/>
        </w:rPr>
        <w:t>7</w:t>
      </w:r>
      <w:r w:rsidRPr="00D850DF">
        <w:rPr>
          <w:rFonts w:asciiTheme="majorHAnsi" w:hAnsiTheme="majorHAnsi"/>
        </w:rPr>
        <w:t>a)</w:t>
      </w:r>
      <w:r w:rsidR="00065463" w:rsidRPr="00D850DF">
        <w:rPr>
          <w:rFonts w:asciiTheme="majorHAnsi" w:hAnsiTheme="majorHAnsi"/>
        </w:rPr>
        <w:t>.</w:t>
      </w:r>
      <w:r w:rsidRPr="00D850DF">
        <w:rPr>
          <w:rFonts w:asciiTheme="majorHAnsi" w:hAnsiTheme="majorHAnsi"/>
        </w:rPr>
        <w:t xml:space="preserve"> </w:t>
      </w:r>
      <w:r w:rsidRPr="00011468">
        <w:rPr>
          <w:rFonts w:asciiTheme="majorHAnsi" w:hAnsiTheme="majorHAnsi"/>
        </w:rPr>
        <w:t>Human health and environmental risks associated with surface spills and leaks of chemicals, Project</w:t>
      </w:r>
      <w:r w:rsidRPr="00D850DF">
        <w:rPr>
          <w:rFonts w:asciiTheme="majorHAnsi" w:hAnsiTheme="majorHAnsi"/>
        </w:rPr>
        <w:t xml:space="preserve"> report, report prepared by the National Industrial Chemicals Notification and Assessment Scheme (NICNAS) as part of the National Assessment of Chemicals Associated with Coal Seam Gas Extraction in Australia, Commonwealth of Australia, Canberra.</w:t>
      </w:r>
    </w:p>
    <w:p w14:paraId="79D8C482" w14:textId="6D755E6C" w:rsidR="00BA079D" w:rsidRDefault="00825FE5" w:rsidP="00BA079D">
      <w:pPr>
        <w:pStyle w:val="Body"/>
        <w:spacing w:afterLines="20" w:after="48"/>
        <w:ind w:left="567" w:hanging="567"/>
        <w:rPr>
          <w:rFonts w:asciiTheme="majorHAnsi" w:hAnsiTheme="majorHAnsi"/>
        </w:rPr>
      </w:pPr>
      <w:r w:rsidRPr="00D850DF">
        <w:rPr>
          <w:rFonts w:asciiTheme="majorHAnsi" w:hAnsiTheme="majorHAnsi"/>
        </w:rPr>
        <w:t xml:space="preserve">NICNAS </w:t>
      </w:r>
      <w:r w:rsidR="001C5F70" w:rsidRPr="00D850DF">
        <w:rPr>
          <w:rFonts w:asciiTheme="majorHAnsi" w:hAnsiTheme="majorHAnsi"/>
        </w:rPr>
        <w:t>(</w:t>
      </w:r>
      <w:r w:rsidRPr="00D850DF">
        <w:rPr>
          <w:rFonts w:asciiTheme="majorHAnsi" w:hAnsiTheme="majorHAnsi"/>
        </w:rPr>
        <w:t>201</w:t>
      </w:r>
      <w:r w:rsidR="00BF1F87">
        <w:rPr>
          <w:rFonts w:asciiTheme="majorHAnsi" w:hAnsiTheme="majorHAnsi"/>
        </w:rPr>
        <w:t>7</w:t>
      </w:r>
      <w:r w:rsidR="001C5F70" w:rsidRPr="00D850DF">
        <w:rPr>
          <w:rFonts w:asciiTheme="majorHAnsi" w:hAnsiTheme="majorHAnsi"/>
        </w:rPr>
        <w:t>b)</w:t>
      </w:r>
      <w:r w:rsidR="00065463" w:rsidRPr="00D850DF">
        <w:rPr>
          <w:rFonts w:asciiTheme="majorHAnsi" w:hAnsiTheme="majorHAnsi"/>
        </w:rPr>
        <w:t>.</w:t>
      </w:r>
      <w:r w:rsidR="00BA079D" w:rsidRPr="00D850DF">
        <w:rPr>
          <w:rFonts w:asciiTheme="majorHAnsi" w:hAnsiTheme="majorHAnsi"/>
        </w:rPr>
        <w:t xml:space="preserve"> Chemicals of low concern for human health, Project report, report prepared by the National Industrial Chemicals Notification and Assessment Scheme (NICNAS) as part of the National Assessment of Chemicals Associated with Coal Seam Gas Extraction in Australia, Commonwealth of Australia, Canberra.</w:t>
      </w:r>
    </w:p>
    <w:p w14:paraId="55CC7848" w14:textId="7AA060A0" w:rsidR="000A133D" w:rsidRPr="00AE4B7F" w:rsidRDefault="000A133D" w:rsidP="00AE4B7F">
      <w:pPr>
        <w:pStyle w:val="Body"/>
        <w:spacing w:afterLines="20" w:after="48"/>
        <w:ind w:left="567" w:hanging="567"/>
        <w:rPr>
          <w:rFonts w:asciiTheme="majorHAnsi" w:hAnsiTheme="majorHAnsi"/>
        </w:rPr>
      </w:pPr>
      <w:r w:rsidRPr="00AE4B7F">
        <w:rPr>
          <w:rFonts w:asciiTheme="majorHAnsi" w:hAnsiTheme="majorHAnsi"/>
        </w:rPr>
        <w:t xml:space="preserve">NICNAS </w:t>
      </w:r>
      <w:r>
        <w:rPr>
          <w:rFonts w:asciiTheme="majorHAnsi" w:hAnsiTheme="majorHAnsi"/>
        </w:rPr>
        <w:t>(</w:t>
      </w:r>
      <w:r w:rsidRPr="00AE4B7F">
        <w:rPr>
          <w:rFonts w:asciiTheme="majorHAnsi" w:hAnsiTheme="majorHAnsi"/>
        </w:rPr>
        <w:t>201</w:t>
      </w:r>
      <w:r w:rsidR="00BF1F87">
        <w:rPr>
          <w:rFonts w:asciiTheme="majorHAnsi" w:hAnsiTheme="majorHAnsi"/>
        </w:rPr>
        <w:t>7</w:t>
      </w:r>
      <w:r>
        <w:rPr>
          <w:rFonts w:asciiTheme="majorHAnsi" w:hAnsiTheme="majorHAnsi"/>
        </w:rPr>
        <w:t>c).</w:t>
      </w:r>
      <w:r w:rsidRPr="00AE4B7F">
        <w:rPr>
          <w:rFonts w:asciiTheme="majorHAnsi" w:hAnsiTheme="majorHAnsi"/>
        </w:rPr>
        <w:t xml:space="preserve"> Identification of chemicals associated with coal seam gas extraction in Australia, Project report prepared by the National Industrial Chemicals Notification and Assessment Scheme (NICNAS) as part of the National Assessment of Chemicals Associated with Coal Seam Gas Extraction in Australia, Commonwealth of Australia, </w:t>
      </w:r>
      <w:proofErr w:type="gramStart"/>
      <w:r w:rsidRPr="00AE4B7F">
        <w:rPr>
          <w:rFonts w:asciiTheme="majorHAnsi" w:hAnsiTheme="majorHAnsi"/>
        </w:rPr>
        <w:t>Canberra</w:t>
      </w:r>
      <w:proofErr w:type="gramEnd"/>
      <w:r w:rsidRPr="00AE4B7F">
        <w:rPr>
          <w:rFonts w:asciiTheme="majorHAnsi" w:hAnsiTheme="majorHAnsi"/>
        </w:rPr>
        <w:t>.</w:t>
      </w:r>
    </w:p>
    <w:p w14:paraId="30B69F06" w14:textId="6D6A604A"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NRMMC (2011)</w:t>
      </w:r>
      <w:r w:rsidR="00065463" w:rsidRPr="00D850DF">
        <w:rPr>
          <w:rFonts w:asciiTheme="majorHAnsi" w:hAnsiTheme="majorHAnsi"/>
        </w:rPr>
        <w:t>.</w:t>
      </w:r>
      <w:r w:rsidRPr="00D850DF">
        <w:rPr>
          <w:rFonts w:asciiTheme="majorHAnsi" w:hAnsiTheme="majorHAnsi"/>
        </w:rPr>
        <w:t xml:space="preserve"> Australian Drinking Water Guidelines Paper 6 National Water Quality Management Strategy. National Health and Medical Research Council, National Resource Management Ministerial Council, Commonwealth of Australia, Canberra.</w:t>
      </w:r>
    </w:p>
    <w:p w14:paraId="2BB17605" w14:textId="4DA277D6" w:rsidR="00C42E7A" w:rsidRPr="00D850DF" w:rsidRDefault="00C42E7A" w:rsidP="00BA079D">
      <w:pPr>
        <w:pStyle w:val="Body"/>
        <w:spacing w:afterLines="20" w:after="48"/>
        <w:ind w:left="567" w:hanging="567"/>
        <w:rPr>
          <w:rFonts w:asciiTheme="majorHAnsi" w:hAnsiTheme="majorHAnsi"/>
        </w:rPr>
      </w:pPr>
      <w:r w:rsidRPr="00D850DF">
        <w:rPr>
          <w:rFonts w:asciiTheme="majorHAnsi" w:hAnsiTheme="majorHAnsi"/>
          <w:lang w:val="en-AU"/>
        </w:rPr>
        <w:t>NSW Petroleum (onshore) Act (1991). Petroleum (Onshore) Act 1991 No 84, 78 pp.</w:t>
      </w:r>
    </w:p>
    <w:p w14:paraId="339A63BB" w14:textId="7FB20AD6" w:rsidR="00B51365" w:rsidRPr="00D850DF" w:rsidRDefault="00B51365" w:rsidP="000144B2">
      <w:pPr>
        <w:pStyle w:val="Body"/>
        <w:spacing w:afterLines="20" w:after="48"/>
        <w:ind w:left="567" w:hanging="567"/>
        <w:rPr>
          <w:rFonts w:asciiTheme="majorHAnsi" w:hAnsiTheme="majorHAnsi"/>
        </w:rPr>
      </w:pPr>
      <w:r w:rsidRPr="00D850DF">
        <w:rPr>
          <w:rFonts w:asciiTheme="majorHAnsi" w:hAnsiTheme="majorHAnsi"/>
        </w:rPr>
        <w:t>NSW Office of Water (2011)</w:t>
      </w:r>
      <w:r w:rsidR="00065463" w:rsidRPr="00D850DF">
        <w:rPr>
          <w:rFonts w:asciiTheme="majorHAnsi" w:hAnsiTheme="majorHAnsi"/>
        </w:rPr>
        <w:t>.</w:t>
      </w:r>
      <w:r w:rsidRPr="00D850DF">
        <w:rPr>
          <w:rFonts w:asciiTheme="majorHAnsi" w:hAnsiTheme="majorHAnsi"/>
        </w:rPr>
        <w:t xml:space="preserve"> Characterisation of hydrochemistry and risks to groundwater quality. Impact of groundwater pumping on groundwater quality: National Water Commission – Raising National Water Standards Programme. </w:t>
      </w:r>
    </w:p>
    <w:p w14:paraId="47F28270" w14:textId="6027D18B" w:rsidR="00332377" w:rsidRPr="00D850DF" w:rsidRDefault="00332377" w:rsidP="000144B2">
      <w:pPr>
        <w:pStyle w:val="Body"/>
        <w:spacing w:afterLines="20" w:after="48"/>
        <w:ind w:left="567" w:hanging="567"/>
        <w:rPr>
          <w:rFonts w:asciiTheme="majorHAnsi" w:hAnsiTheme="majorHAnsi"/>
        </w:rPr>
      </w:pPr>
      <w:r w:rsidRPr="00D850DF">
        <w:rPr>
          <w:rFonts w:asciiTheme="majorHAnsi" w:hAnsiTheme="majorHAnsi"/>
        </w:rPr>
        <w:t xml:space="preserve">NSW Chief Scientist </w:t>
      </w:r>
      <w:r w:rsidR="004A7452" w:rsidRPr="00D850DF">
        <w:rPr>
          <w:rFonts w:asciiTheme="majorHAnsi" w:hAnsiTheme="majorHAnsi"/>
        </w:rPr>
        <w:t>and</w:t>
      </w:r>
      <w:r w:rsidRPr="00D850DF">
        <w:rPr>
          <w:rFonts w:asciiTheme="majorHAnsi" w:hAnsiTheme="majorHAnsi"/>
        </w:rPr>
        <w:t xml:space="preserve"> Engineer </w:t>
      </w:r>
      <w:r w:rsidR="00B17DB6" w:rsidRPr="00D850DF">
        <w:rPr>
          <w:rFonts w:asciiTheme="majorHAnsi" w:hAnsiTheme="majorHAnsi"/>
        </w:rPr>
        <w:t>(</w:t>
      </w:r>
      <w:r w:rsidRPr="00D850DF">
        <w:rPr>
          <w:rFonts w:asciiTheme="majorHAnsi" w:hAnsiTheme="majorHAnsi"/>
        </w:rPr>
        <w:t>2012</w:t>
      </w:r>
      <w:r w:rsidR="00B17DB6"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Draft letter from Chief Scientist and Engineer to Minister Hartcher on the likelihood of hydraulic fracturing activities in NSW.</w:t>
      </w:r>
    </w:p>
    <w:p w14:paraId="5ED08AE8" w14:textId="7D140443" w:rsidR="007E43AF" w:rsidRPr="00D850DF" w:rsidRDefault="007E43AF" w:rsidP="000144B2">
      <w:pPr>
        <w:pStyle w:val="Body"/>
        <w:spacing w:afterLines="20" w:after="48"/>
        <w:ind w:left="567" w:hanging="567"/>
        <w:rPr>
          <w:rFonts w:asciiTheme="majorHAnsi" w:hAnsiTheme="majorHAnsi"/>
        </w:rPr>
      </w:pPr>
      <w:r w:rsidRPr="00D850DF">
        <w:rPr>
          <w:rFonts w:asciiTheme="majorHAnsi" w:hAnsiTheme="majorHAnsi"/>
        </w:rPr>
        <w:t xml:space="preserve">NSW Chief Scientist </w:t>
      </w:r>
      <w:r w:rsidR="004A7452" w:rsidRPr="00D850DF">
        <w:rPr>
          <w:rFonts w:asciiTheme="majorHAnsi" w:hAnsiTheme="majorHAnsi"/>
        </w:rPr>
        <w:t>and</w:t>
      </w:r>
      <w:r w:rsidRPr="00D850DF">
        <w:rPr>
          <w:rFonts w:asciiTheme="majorHAnsi" w:hAnsiTheme="majorHAnsi"/>
        </w:rPr>
        <w:t xml:space="preserve"> Engineer </w:t>
      </w:r>
      <w:r w:rsidR="00B17DB6" w:rsidRPr="00D850DF">
        <w:rPr>
          <w:rFonts w:asciiTheme="majorHAnsi" w:hAnsiTheme="majorHAnsi"/>
        </w:rPr>
        <w:t>(</w:t>
      </w:r>
      <w:r w:rsidRPr="00D850DF">
        <w:rPr>
          <w:rFonts w:asciiTheme="majorHAnsi" w:hAnsiTheme="majorHAnsi"/>
        </w:rPr>
        <w:t>2014a</w:t>
      </w:r>
      <w:r w:rsidR="00B17DB6"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Final report on the independent review of coal seam gas activities in NSW, September 2014.</w:t>
      </w:r>
    </w:p>
    <w:p w14:paraId="016DD2A2" w14:textId="0D69A5D0" w:rsidR="007E43AF" w:rsidRPr="00D850DF" w:rsidRDefault="007E43AF" w:rsidP="000144B2">
      <w:pPr>
        <w:pStyle w:val="Body"/>
        <w:spacing w:afterLines="20" w:after="48"/>
        <w:ind w:left="567" w:hanging="567"/>
        <w:rPr>
          <w:rFonts w:asciiTheme="majorHAnsi" w:hAnsiTheme="majorHAnsi"/>
        </w:rPr>
      </w:pPr>
      <w:r w:rsidRPr="00D850DF">
        <w:rPr>
          <w:rFonts w:asciiTheme="majorHAnsi" w:hAnsiTheme="majorHAnsi"/>
        </w:rPr>
        <w:t xml:space="preserve">NSW Chief Scientist </w:t>
      </w:r>
      <w:r w:rsidR="004A7452" w:rsidRPr="00D850DF">
        <w:rPr>
          <w:rFonts w:asciiTheme="majorHAnsi" w:hAnsiTheme="majorHAnsi"/>
        </w:rPr>
        <w:t>and</w:t>
      </w:r>
      <w:r w:rsidRPr="00D850DF">
        <w:rPr>
          <w:rFonts w:asciiTheme="majorHAnsi" w:hAnsiTheme="majorHAnsi"/>
        </w:rPr>
        <w:t xml:space="preserve"> Engineer </w:t>
      </w:r>
      <w:r w:rsidR="00B17DB6" w:rsidRPr="00D850DF">
        <w:rPr>
          <w:rFonts w:asciiTheme="majorHAnsi" w:hAnsiTheme="majorHAnsi"/>
        </w:rPr>
        <w:t>(</w:t>
      </w:r>
      <w:r w:rsidRPr="00D850DF">
        <w:rPr>
          <w:rFonts w:asciiTheme="majorHAnsi" w:hAnsiTheme="majorHAnsi"/>
        </w:rPr>
        <w:t>2014b</w:t>
      </w:r>
      <w:r w:rsidR="00011468">
        <w:rPr>
          <w:rFonts w:asciiTheme="majorHAnsi" w:hAnsiTheme="majorHAnsi"/>
        </w:rPr>
        <w:t>)</w:t>
      </w:r>
      <w:r w:rsidR="00065463" w:rsidRPr="00D850DF">
        <w:rPr>
          <w:rFonts w:asciiTheme="majorHAnsi" w:hAnsiTheme="majorHAnsi"/>
        </w:rPr>
        <w:t xml:space="preserve">. </w:t>
      </w:r>
      <w:r w:rsidRPr="00D850DF">
        <w:rPr>
          <w:rFonts w:asciiTheme="majorHAnsi" w:hAnsiTheme="majorHAnsi"/>
        </w:rPr>
        <w:t>Independent review of coal seam gas activities in NSW, Information paper: fracture stimulation activities, September 2014.</w:t>
      </w:r>
    </w:p>
    <w:p w14:paraId="6D3636FD" w14:textId="7ACEDF36" w:rsidR="007E43AF" w:rsidRPr="00D850DF" w:rsidRDefault="007E43AF" w:rsidP="000144B2">
      <w:pPr>
        <w:pStyle w:val="Body"/>
        <w:spacing w:afterLines="20" w:after="48"/>
        <w:ind w:left="567" w:hanging="567"/>
        <w:rPr>
          <w:rFonts w:asciiTheme="majorHAnsi" w:hAnsiTheme="majorHAnsi"/>
        </w:rPr>
      </w:pPr>
      <w:r w:rsidRPr="00D850DF">
        <w:rPr>
          <w:rFonts w:asciiTheme="majorHAnsi" w:hAnsiTheme="majorHAnsi"/>
        </w:rPr>
        <w:t xml:space="preserve">NSW Chief Scientist </w:t>
      </w:r>
      <w:r w:rsidR="004A7452" w:rsidRPr="00D850DF">
        <w:rPr>
          <w:rFonts w:asciiTheme="majorHAnsi" w:hAnsiTheme="majorHAnsi"/>
        </w:rPr>
        <w:t>and</w:t>
      </w:r>
      <w:r w:rsidRPr="00D850DF">
        <w:rPr>
          <w:rFonts w:asciiTheme="majorHAnsi" w:hAnsiTheme="majorHAnsi"/>
        </w:rPr>
        <w:t xml:space="preserve"> Engineer </w:t>
      </w:r>
      <w:r w:rsidR="00B17DB6" w:rsidRPr="00D850DF">
        <w:rPr>
          <w:rFonts w:asciiTheme="majorHAnsi" w:hAnsiTheme="majorHAnsi"/>
        </w:rPr>
        <w:t>(</w:t>
      </w:r>
      <w:r w:rsidRPr="00D850DF">
        <w:rPr>
          <w:rFonts w:asciiTheme="majorHAnsi" w:hAnsiTheme="majorHAnsi"/>
        </w:rPr>
        <w:t>2014c</w:t>
      </w:r>
      <w:r w:rsidR="00B17DB6"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Independent review of coal seam gas activities in NSW, Information paper: abandoned wells, September 2014.</w:t>
      </w:r>
    </w:p>
    <w:p w14:paraId="59ADB3FD" w14:textId="64B2EE75" w:rsidR="00DD25E2" w:rsidRPr="00D850DF" w:rsidRDefault="00DD25E2" w:rsidP="00DD25E2">
      <w:pPr>
        <w:pStyle w:val="Body"/>
        <w:spacing w:afterLines="20" w:after="48"/>
        <w:ind w:left="567" w:hanging="567"/>
        <w:rPr>
          <w:rFonts w:asciiTheme="majorHAnsi" w:hAnsiTheme="majorHAnsi"/>
        </w:rPr>
      </w:pPr>
      <w:r w:rsidRPr="00D850DF">
        <w:rPr>
          <w:rFonts w:asciiTheme="majorHAnsi" w:hAnsiTheme="majorHAnsi"/>
        </w:rPr>
        <w:t xml:space="preserve">NSW Chief Scientist </w:t>
      </w:r>
      <w:r w:rsidR="004A7452" w:rsidRPr="00D850DF">
        <w:rPr>
          <w:rFonts w:asciiTheme="majorHAnsi" w:hAnsiTheme="majorHAnsi"/>
        </w:rPr>
        <w:t>and</w:t>
      </w:r>
      <w:r w:rsidRPr="00D850DF">
        <w:rPr>
          <w:rFonts w:asciiTheme="majorHAnsi" w:hAnsiTheme="majorHAnsi"/>
        </w:rPr>
        <w:t xml:space="preserve"> Engineer (2014d)</w:t>
      </w:r>
      <w:r w:rsidR="00065463" w:rsidRPr="00D850DF">
        <w:rPr>
          <w:rFonts w:asciiTheme="majorHAnsi" w:hAnsiTheme="majorHAnsi"/>
        </w:rPr>
        <w:t>.</w:t>
      </w:r>
      <w:r w:rsidRPr="00D850DF">
        <w:rPr>
          <w:rFonts w:asciiTheme="majorHAnsi" w:hAnsiTheme="majorHAnsi"/>
        </w:rPr>
        <w:t xml:space="preserve"> Independent Review of Coal Seam Gas Activities in NSW Information paper: On managing the interface between coal seam gas activities and other land uses (Setbacks), September 2014.</w:t>
      </w:r>
    </w:p>
    <w:p w14:paraId="70FF0752" w14:textId="5BBF67A5" w:rsidR="00F50496" w:rsidRPr="00D850DF" w:rsidRDefault="00011468" w:rsidP="000144B2">
      <w:pPr>
        <w:pStyle w:val="Body"/>
        <w:spacing w:afterLines="20" w:after="48"/>
        <w:ind w:left="567" w:hanging="567"/>
        <w:rPr>
          <w:rFonts w:asciiTheme="majorHAnsi" w:hAnsiTheme="majorHAnsi"/>
        </w:rPr>
      </w:pPr>
      <w:r w:rsidRPr="00D850DF">
        <w:rPr>
          <w:rFonts w:asciiTheme="majorHAnsi" w:hAnsiTheme="majorHAnsi"/>
        </w:rPr>
        <w:t xml:space="preserve">NUDLC </w:t>
      </w:r>
      <w:r w:rsidR="00F50496" w:rsidRPr="00D850DF">
        <w:rPr>
          <w:rFonts w:asciiTheme="majorHAnsi" w:hAnsiTheme="majorHAnsi"/>
        </w:rPr>
        <w:t xml:space="preserve">(2012). Minimum construction requirements for water bores in Australia, Third Edition. </w:t>
      </w:r>
      <w:r w:rsidRPr="00D850DF">
        <w:rPr>
          <w:rFonts w:asciiTheme="majorHAnsi" w:hAnsiTheme="majorHAnsi"/>
        </w:rPr>
        <w:t>National Uniform Drillers Licensing Committee</w:t>
      </w:r>
      <w:r>
        <w:rPr>
          <w:rFonts w:asciiTheme="majorHAnsi" w:hAnsiTheme="majorHAnsi"/>
        </w:rPr>
        <w:t>.</w:t>
      </w:r>
      <w:r w:rsidRPr="00D850DF">
        <w:rPr>
          <w:rFonts w:asciiTheme="majorHAnsi" w:hAnsiTheme="majorHAnsi"/>
        </w:rPr>
        <w:t xml:space="preserve"> </w:t>
      </w:r>
      <w:r w:rsidR="00F50496" w:rsidRPr="00D850DF">
        <w:rPr>
          <w:rFonts w:asciiTheme="majorHAnsi" w:hAnsiTheme="majorHAnsi"/>
        </w:rPr>
        <w:t>ISBN 978‐0‐646‐56917‐8.</w:t>
      </w:r>
    </w:p>
    <w:p w14:paraId="245C1039" w14:textId="253E5B80" w:rsidR="00492EE9" w:rsidRPr="00D850DF" w:rsidRDefault="00492EE9" w:rsidP="000144B2">
      <w:pPr>
        <w:pStyle w:val="Body"/>
        <w:spacing w:afterLines="20" w:after="48"/>
        <w:ind w:left="567" w:hanging="567"/>
        <w:rPr>
          <w:rFonts w:asciiTheme="majorHAnsi" w:hAnsiTheme="majorHAnsi"/>
        </w:rPr>
      </w:pPr>
      <w:r w:rsidRPr="00D850DF">
        <w:rPr>
          <w:rFonts w:asciiTheme="majorHAnsi" w:hAnsiTheme="majorHAnsi"/>
        </w:rPr>
        <w:t xml:space="preserve">Ochs M, Mallants D, </w:t>
      </w:r>
      <w:r w:rsidR="00276555" w:rsidRPr="00D850DF">
        <w:rPr>
          <w:rFonts w:asciiTheme="majorHAnsi" w:hAnsiTheme="majorHAnsi"/>
        </w:rPr>
        <w:t xml:space="preserve">and </w:t>
      </w:r>
      <w:r w:rsidRPr="00D850DF">
        <w:rPr>
          <w:rFonts w:asciiTheme="majorHAnsi" w:hAnsiTheme="majorHAnsi"/>
        </w:rPr>
        <w:t xml:space="preserve">Wang L </w:t>
      </w:r>
      <w:r w:rsidR="006D30F3" w:rsidRPr="00D850DF">
        <w:rPr>
          <w:rFonts w:asciiTheme="majorHAnsi" w:hAnsiTheme="majorHAnsi"/>
        </w:rPr>
        <w:t>(</w:t>
      </w:r>
      <w:r w:rsidRPr="00D850DF">
        <w:rPr>
          <w:rFonts w:asciiTheme="majorHAnsi" w:hAnsiTheme="majorHAnsi"/>
        </w:rPr>
        <w:t>201</w:t>
      </w:r>
      <w:r w:rsidR="00851C1C" w:rsidRPr="00D850DF">
        <w:rPr>
          <w:rFonts w:asciiTheme="majorHAnsi" w:hAnsiTheme="majorHAnsi"/>
        </w:rPr>
        <w:t>5</w:t>
      </w:r>
      <w:r w:rsidR="006D30F3"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Radionuclide and metal sorption on cement and concrete. </w:t>
      </w:r>
      <w:r w:rsidR="006D30F3" w:rsidRPr="00D850DF">
        <w:rPr>
          <w:rFonts w:asciiTheme="majorHAnsi" w:hAnsiTheme="majorHAnsi"/>
        </w:rPr>
        <w:t>Topics in Safety, Risk, Reliability and Quality. Volume 29. Springer International Publishing Switzerland 201</w:t>
      </w:r>
      <w:r w:rsidR="006A5A6A" w:rsidRPr="00D850DF">
        <w:rPr>
          <w:rFonts w:asciiTheme="majorHAnsi" w:hAnsiTheme="majorHAnsi"/>
        </w:rPr>
        <w:t>5</w:t>
      </w:r>
      <w:r w:rsidRPr="00D850DF">
        <w:rPr>
          <w:rFonts w:asciiTheme="majorHAnsi" w:hAnsiTheme="majorHAnsi"/>
        </w:rPr>
        <w:t xml:space="preserve">, ISBN 978-3-319-23650-6, </w:t>
      </w:r>
      <w:r w:rsidR="006D30F3" w:rsidRPr="00D850DF">
        <w:rPr>
          <w:rFonts w:asciiTheme="majorHAnsi" w:hAnsiTheme="majorHAnsi"/>
        </w:rPr>
        <w:t>DOI 10.1007/978-3-319-23651-3</w:t>
      </w:r>
      <w:r w:rsidRPr="00D850DF">
        <w:rPr>
          <w:rFonts w:asciiTheme="majorHAnsi" w:hAnsiTheme="majorHAnsi"/>
        </w:rPr>
        <w:t>301 pp.</w:t>
      </w:r>
      <w:r w:rsidR="006D30F3" w:rsidRPr="00D850DF">
        <w:rPr>
          <w:rFonts w:asciiTheme="majorHAnsi" w:hAnsiTheme="majorHAnsi"/>
        </w:rPr>
        <w:t xml:space="preserve"> 301.</w:t>
      </w:r>
    </w:p>
    <w:p w14:paraId="1E2C825C" w14:textId="152138C7" w:rsidR="00F916B6" w:rsidRDefault="00F916B6" w:rsidP="00F916B6">
      <w:pPr>
        <w:pStyle w:val="Body"/>
        <w:spacing w:afterLines="20" w:after="48"/>
        <w:ind w:left="567" w:hanging="567"/>
        <w:rPr>
          <w:rFonts w:asciiTheme="majorHAnsi" w:hAnsiTheme="majorHAnsi"/>
        </w:rPr>
      </w:pPr>
      <w:r w:rsidRPr="00D850DF">
        <w:rPr>
          <w:rFonts w:asciiTheme="majorHAnsi" w:hAnsiTheme="majorHAnsi"/>
        </w:rPr>
        <w:t>OECD</w:t>
      </w:r>
      <w:r w:rsidR="00276555" w:rsidRPr="00D850DF">
        <w:rPr>
          <w:rFonts w:asciiTheme="majorHAnsi" w:hAnsiTheme="majorHAnsi"/>
        </w:rPr>
        <w:t xml:space="preserve"> (</w:t>
      </w:r>
      <w:r w:rsidRPr="00D850DF">
        <w:rPr>
          <w:rFonts w:asciiTheme="majorHAnsi" w:hAnsiTheme="majorHAnsi"/>
        </w:rPr>
        <w:t>1981</w:t>
      </w:r>
      <w:r w:rsidR="00276555"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OECD guidelines for testing of chemicals. Organisation for Economic Co-operation and Development</w:t>
      </w:r>
      <w:r w:rsidR="00011468">
        <w:rPr>
          <w:rFonts w:asciiTheme="majorHAnsi" w:hAnsiTheme="majorHAnsi"/>
        </w:rPr>
        <w:t>,</w:t>
      </w:r>
      <w:r w:rsidR="00011468" w:rsidRPr="00011468">
        <w:rPr>
          <w:rFonts w:asciiTheme="majorHAnsi" w:hAnsiTheme="majorHAnsi"/>
        </w:rPr>
        <w:t xml:space="preserve"> </w:t>
      </w:r>
      <w:r w:rsidR="00011468" w:rsidRPr="00D850DF">
        <w:rPr>
          <w:rFonts w:asciiTheme="majorHAnsi" w:hAnsiTheme="majorHAnsi"/>
        </w:rPr>
        <w:t>Paris</w:t>
      </w:r>
      <w:r w:rsidRPr="00D850DF">
        <w:rPr>
          <w:rFonts w:asciiTheme="majorHAnsi" w:hAnsiTheme="majorHAnsi"/>
        </w:rPr>
        <w:t>.</w:t>
      </w:r>
    </w:p>
    <w:p w14:paraId="2871C0C1" w14:textId="510198E5" w:rsidR="00E90157" w:rsidRPr="00D850DF" w:rsidRDefault="00E90157" w:rsidP="00E90157">
      <w:pPr>
        <w:pStyle w:val="Body"/>
        <w:spacing w:afterLines="20" w:after="48"/>
        <w:ind w:left="567" w:hanging="567"/>
        <w:rPr>
          <w:rFonts w:asciiTheme="majorHAnsi" w:hAnsiTheme="majorHAnsi"/>
        </w:rPr>
      </w:pPr>
      <w:r w:rsidRPr="00E90157">
        <w:rPr>
          <w:rFonts w:asciiTheme="majorHAnsi" w:hAnsiTheme="majorHAnsi"/>
        </w:rPr>
        <w:t>OECD (2014). The OECD</w:t>
      </w:r>
      <w:r>
        <w:rPr>
          <w:rFonts w:asciiTheme="majorHAnsi" w:hAnsiTheme="majorHAnsi"/>
        </w:rPr>
        <w:t xml:space="preserve"> </w:t>
      </w:r>
      <w:r w:rsidRPr="00E90157">
        <w:rPr>
          <w:rFonts w:asciiTheme="majorHAnsi" w:hAnsiTheme="majorHAnsi"/>
        </w:rPr>
        <w:t>Environmental Risk Assessment Toolkit: Tools for Environmental Risk Assessment and</w:t>
      </w:r>
      <w:r>
        <w:rPr>
          <w:rFonts w:asciiTheme="majorHAnsi" w:hAnsiTheme="majorHAnsi"/>
        </w:rPr>
        <w:t xml:space="preserve"> </w:t>
      </w:r>
      <w:r w:rsidRPr="00E90157">
        <w:rPr>
          <w:rFonts w:asciiTheme="majorHAnsi" w:hAnsiTheme="majorHAnsi"/>
        </w:rPr>
        <w:t>Management</w:t>
      </w:r>
      <w:r>
        <w:rPr>
          <w:rFonts w:asciiTheme="majorHAnsi" w:hAnsiTheme="majorHAnsi"/>
        </w:rPr>
        <w:t>.</w:t>
      </w:r>
      <w:r w:rsidRPr="00E90157">
        <w:rPr>
          <w:rFonts w:asciiTheme="majorHAnsi" w:hAnsiTheme="majorHAnsi"/>
        </w:rPr>
        <w:t xml:space="preserve"> Organisation for Economic Co-operation and Development</w:t>
      </w:r>
      <w:r w:rsidR="00011468">
        <w:rPr>
          <w:rFonts w:asciiTheme="majorHAnsi" w:hAnsiTheme="majorHAnsi"/>
        </w:rPr>
        <w:t>,</w:t>
      </w:r>
      <w:r w:rsidR="00011468" w:rsidRPr="00011468">
        <w:rPr>
          <w:rFonts w:asciiTheme="majorHAnsi" w:hAnsiTheme="majorHAnsi"/>
        </w:rPr>
        <w:t xml:space="preserve"> </w:t>
      </w:r>
      <w:r w:rsidR="00011468" w:rsidRPr="00D850DF">
        <w:rPr>
          <w:rFonts w:asciiTheme="majorHAnsi" w:hAnsiTheme="majorHAnsi"/>
        </w:rPr>
        <w:t>Paris</w:t>
      </w:r>
      <w:r>
        <w:rPr>
          <w:rFonts w:asciiTheme="majorHAnsi" w:hAnsiTheme="majorHAnsi"/>
        </w:rPr>
        <w:t>.</w:t>
      </w:r>
    </w:p>
    <w:p w14:paraId="58AE7E1D" w14:textId="5AD9F373"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OEHHA (2003)</w:t>
      </w:r>
      <w:r w:rsidR="00065463" w:rsidRPr="00D850DF">
        <w:rPr>
          <w:rFonts w:asciiTheme="majorHAnsi" w:hAnsiTheme="majorHAnsi"/>
        </w:rPr>
        <w:t>.</w:t>
      </w:r>
      <w:r w:rsidRPr="00D850DF">
        <w:rPr>
          <w:rFonts w:asciiTheme="majorHAnsi" w:hAnsiTheme="majorHAnsi"/>
        </w:rPr>
        <w:t xml:space="preserve"> Public Health Goal for Barium in Drinking Water. Office of Environmental Health Hazard Assessment, California Environmental Protection Agency.</w:t>
      </w:r>
    </w:p>
    <w:p w14:paraId="247B8E4F" w14:textId="2CD90167" w:rsidR="00242160" w:rsidRPr="00D850DF" w:rsidRDefault="006A63F5" w:rsidP="006A63F5">
      <w:pPr>
        <w:pStyle w:val="Body"/>
        <w:spacing w:afterLines="20" w:after="48"/>
        <w:ind w:left="567" w:hanging="567"/>
        <w:rPr>
          <w:rFonts w:asciiTheme="majorHAnsi" w:hAnsiTheme="majorHAnsi"/>
        </w:rPr>
      </w:pPr>
      <w:r w:rsidRPr="00D850DF">
        <w:rPr>
          <w:rFonts w:asciiTheme="majorHAnsi" w:hAnsiTheme="majorHAnsi"/>
        </w:rPr>
        <w:t>OGIA (2016)</w:t>
      </w:r>
      <w:r w:rsidR="00065463" w:rsidRPr="00D850DF">
        <w:rPr>
          <w:rFonts w:asciiTheme="majorHAnsi" w:hAnsiTheme="majorHAnsi"/>
        </w:rPr>
        <w:t>.</w:t>
      </w:r>
      <w:r w:rsidRPr="00D850DF">
        <w:rPr>
          <w:rFonts w:asciiTheme="majorHAnsi" w:hAnsiTheme="majorHAnsi"/>
        </w:rPr>
        <w:t xml:space="preserve"> Underground Water Impact Report for the Surat Cumulative Management Area. Office of Groundwater Impact Assessment, Department of Natural Resources and Mines, Queensland.</w:t>
      </w:r>
    </w:p>
    <w:p w14:paraId="6F9D1D87" w14:textId="0615B9BC" w:rsidR="00FD6F6D" w:rsidRPr="00D850DF" w:rsidRDefault="00FD6F6D" w:rsidP="000144B2">
      <w:pPr>
        <w:pStyle w:val="Body"/>
        <w:spacing w:afterLines="20" w:after="48"/>
        <w:ind w:left="567" w:hanging="567"/>
        <w:rPr>
          <w:rFonts w:asciiTheme="majorHAnsi" w:hAnsiTheme="majorHAnsi"/>
        </w:rPr>
      </w:pPr>
      <w:r w:rsidRPr="00D850DF">
        <w:rPr>
          <w:rFonts w:asciiTheme="majorHAnsi" w:hAnsiTheme="majorHAnsi"/>
        </w:rPr>
        <w:t>O’Grady AP, McNamara J, Welsh WD, Holland KL, Aryal SK, Mount RE</w:t>
      </w:r>
      <w:r w:rsidR="00276555" w:rsidRPr="00D850DF">
        <w:rPr>
          <w:rFonts w:asciiTheme="majorHAnsi" w:hAnsiTheme="majorHAnsi"/>
        </w:rPr>
        <w:t>,</w:t>
      </w:r>
      <w:r w:rsidRPr="00D850DF">
        <w:rPr>
          <w:rFonts w:asciiTheme="majorHAnsi" w:hAnsiTheme="majorHAnsi"/>
        </w:rPr>
        <w:t xml:space="preserve"> and Marston FM (2015)</w:t>
      </w:r>
      <w:r w:rsidR="00065463" w:rsidRPr="00D850DF">
        <w:rPr>
          <w:rFonts w:asciiTheme="majorHAnsi" w:hAnsiTheme="majorHAnsi"/>
        </w:rPr>
        <w:t>.</w:t>
      </w:r>
      <w:r w:rsidRPr="00D850DF">
        <w:rPr>
          <w:rFonts w:asciiTheme="majorHAnsi" w:hAnsiTheme="majorHAnsi"/>
        </w:rPr>
        <w:t xml:space="preserve"> Description of the water-dependent asset register for the Namoi subregion. Product 1.3 for the Namoi subregion from the Northern Inland Catchments Bioregional Assessment. Department of the Environment, Bureau of Meteorology, CSIRO and Geoscience Australia, Australia.</w:t>
      </w:r>
    </w:p>
    <w:p w14:paraId="02C85912" w14:textId="1B2E08BB" w:rsidR="00006088" w:rsidRPr="00D850DF" w:rsidRDefault="00006088" w:rsidP="00006088">
      <w:pPr>
        <w:pStyle w:val="Body"/>
        <w:spacing w:afterLines="20" w:after="48"/>
        <w:ind w:left="567" w:hanging="567"/>
        <w:rPr>
          <w:rFonts w:asciiTheme="majorHAnsi" w:hAnsiTheme="majorHAnsi"/>
        </w:rPr>
      </w:pPr>
      <w:r w:rsidRPr="00D850DF">
        <w:rPr>
          <w:rFonts w:asciiTheme="majorHAnsi" w:hAnsiTheme="majorHAnsi"/>
        </w:rPr>
        <w:t>Orem WH, Tatu C, Lerch HE, Rice CA, Bartos TT, Bates AL, Tewalt S, and Corum MD (2007)</w:t>
      </w:r>
      <w:r w:rsidR="00065463" w:rsidRPr="00D850DF">
        <w:rPr>
          <w:rFonts w:asciiTheme="majorHAnsi" w:hAnsiTheme="majorHAnsi"/>
        </w:rPr>
        <w:t>.</w:t>
      </w:r>
      <w:r w:rsidRPr="00D850DF">
        <w:rPr>
          <w:rFonts w:asciiTheme="majorHAnsi" w:hAnsiTheme="majorHAnsi"/>
        </w:rPr>
        <w:t xml:space="preserve"> Organic compounds in produced waters from coalbed natural gas wells in the Powder River Basin, Wyoming, USA. Appl</w:t>
      </w:r>
      <w:r w:rsidR="00643E10" w:rsidRPr="00D850DF">
        <w:rPr>
          <w:rFonts w:asciiTheme="majorHAnsi" w:hAnsiTheme="majorHAnsi"/>
        </w:rPr>
        <w:t>ied</w:t>
      </w:r>
      <w:r w:rsidRPr="00D850DF">
        <w:rPr>
          <w:rFonts w:asciiTheme="majorHAnsi" w:hAnsiTheme="majorHAnsi"/>
        </w:rPr>
        <w:t xml:space="preserve"> Geochem</w:t>
      </w:r>
      <w:r w:rsidR="00643E10" w:rsidRPr="00D850DF">
        <w:rPr>
          <w:rFonts w:asciiTheme="majorHAnsi" w:hAnsiTheme="majorHAnsi"/>
        </w:rPr>
        <w:t>istry</w:t>
      </w:r>
      <w:r w:rsidRPr="00D850DF">
        <w:rPr>
          <w:rFonts w:asciiTheme="majorHAnsi" w:hAnsiTheme="majorHAnsi"/>
        </w:rPr>
        <w:t xml:space="preserve"> 22:2240-2256.</w:t>
      </w:r>
    </w:p>
    <w:p w14:paraId="7DFCA4E5" w14:textId="436AEEFF" w:rsidR="00553ECC" w:rsidRPr="00D850DF" w:rsidRDefault="00553ECC" w:rsidP="00553ECC">
      <w:pPr>
        <w:pStyle w:val="Body"/>
        <w:spacing w:afterLines="20" w:after="48"/>
        <w:ind w:left="567" w:hanging="567"/>
        <w:rPr>
          <w:rFonts w:asciiTheme="majorHAnsi" w:hAnsiTheme="majorHAnsi"/>
        </w:rPr>
      </w:pPr>
      <w:r w:rsidRPr="00D850DF">
        <w:rPr>
          <w:rFonts w:asciiTheme="majorHAnsi" w:hAnsiTheme="majorHAnsi"/>
        </w:rPr>
        <w:t xml:space="preserve">Orem W, Tatu C, Varonka M, Lerch H, Bates A, Engle M, Crosby L, </w:t>
      </w:r>
      <w:r w:rsidR="00A76EF5" w:rsidRPr="00D850DF">
        <w:rPr>
          <w:rFonts w:asciiTheme="majorHAnsi" w:hAnsiTheme="majorHAnsi"/>
        </w:rPr>
        <w:t xml:space="preserve">and </w:t>
      </w:r>
      <w:r w:rsidRPr="00D850DF">
        <w:rPr>
          <w:rFonts w:asciiTheme="majorHAnsi" w:hAnsiTheme="majorHAnsi"/>
        </w:rPr>
        <w:t>McIntosh J (2014)</w:t>
      </w:r>
      <w:r w:rsidR="00065463" w:rsidRPr="00D850DF">
        <w:rPr>
          <w:rFonts w:asciiTheme="majorHAnsi" w:hAnsiTheme="majorHAnsi"/>
        </w:rPr>
        <w:t>.</w:t>
      </w:r>
      <w:r w:rsidRPr="00D850DF">
        <w:rPr>
          <w:rFonts w:asciiTheme="majorHAnsi" w:hAnsiTheme="majorHAnsi"/>
        </w:rPr>
        <w:t xml:space="preserve"> Organic substances in produced and formation water from unconventional natural gas extraction in coal and shale. Int</w:t>
      </w:r>
      <w:r w:rsidR="00643E10" w:rsidRPr="00D850DF">
        <w:rPr>
          <w:rFonts w:asciiTheme="majorHAnsi" w:hAnsiTheme="majorHAnsi"/>
        </w:rPr>
        <w:t>ernational</w:t>
      </w:r>
      <w:r w:rsidRPr="00D850DF">
        <w:rPr>
          <w:rFonts w:asciiTheme="majorHAnsi" w:hAnsiTheme="majorHAnsi"/>
        </w:rPr>
        <w:t xml:space="preserve"> J</w:t>
      </w:r>
      <w:r w:rsidR="00643E10" w:rsidRPr="00D850DF">
        <w:rPr>
          <w:rFonts w:asciiTheme="majorHAnsi" w:hAnsiTheme="majorHAnsi"/>
        </w:rPr>
        <w:t>ournal of</w:t>
      </w:r>
      <w:r w:rsidR="00D77A45" w:rsidRPr="00D850DF">
        <w:rPr>
          <w:rFonts w:asciiTheme="majorHAnsi" w:hAnsiTheme="majorHAnsi"/>
        </w:rPr>
        <w:t xml:space="preserve"> Coal Geol</w:t>
      </w:r>
      <w:r w:rsidR="00643E10" w:rsidRPr="00D850DF">
        <w:rPr>
          <w:rFonts w:asciiTheme="majorHAnsi" w:hAnsiTheme="majorHAnsi"/>
        </w:rPr>
        <w:t>ogy</w:t>
      </w:r>
      <w:r w:rsidR="00D77A45" w:rsidRPr="00D850DF">
        <w:rPr>
          <w:rFonts w:asciiTheme="majorHAnsi" w:hAnsiTheme="majorHAnsi"/>
        </w:rPr>
        <w:t xml:space="preserve"> 126:</w:t>
      </w:r>
      <w:r w:rsidRPr="00D850DF">
        <w:rPr>
          <w:rFonts w:asciiTheme="majorHAnsi" w:hAnsiTheme="majorHAnsi"/>
        </w:rPr>
        <w:t xml:space="preserve"> 20–31.</w:t>
      </w:r>
    </w:p>
    <w:p w14:paraId="48FDCDC2" w14:textId="2697A254" w:rsidR="006A5A6A" w:rsidRPr="00D850DF" w:rsidRDefault="006A5A6A" w:rsidP="00553ECC">
      <w:pPr>
        <w:pStyle w:val="Body"/>
        <w:spacing w:afterLines="20" w:after="48"/>
        <w:ind w:left="567" w:hanging="567"/>
        <w:rPr>
          <w:rFonts w:asciiTheme="majorHAnsi" w:hAnsiTheme="majorHAnsi"/>
        </w:rPr>
      </w:pPr>
      <w:r w:rsidRPr="00D850DF">
        <w:rPr>
          <w:rFonts w:asciiTheme="majorHAnsi" w:hAnsiTheme="majorHAnsi"/>
        </w:rPr>
        <w:t xml:space="preserve">Park KS, Sims RC, Dupont RR, Doucette W, </w:t>
      </w:r>
      <w:r w:rsidR="00A76EF5" w:rsidRPr="00D850DF">
        <w:rPr>
          <w:rFonts w:asciiTheme="majorHAnsi" w:hAnsiTheme="majorHAnsi"/>
        </w:rPr>
        <w:t xml:space="preserve">and </w:t>
      </w:r>
      <w:r w:rsidRPr="00D850DF">
        <w:rPr>
          <w:rFonts w:asciiTheme="majorHAnsi" w:hAnsiTheme="majorHAnsi"/>
        </w:rPr>
        <w:t>Matthews JE (1990)</w:t>
      </w:r>
      <w:r w:rsidR="00065463" w:rsidRPr="00D850DF">
        <w:rPr>
          <w:rFonts w:asciiTheme="majorHAnsi" w:hAnsiTheme="majorHAnsi"/>
        </w:rPr>
        <w:t>.</w:t>
      </w:r>
      <w:r w:rsidRPr="00D850DF">
        <w:rPr>
          <w:rFonts w:asciiTheme="majorHAnsi" w:hAnsiTheme="majorHAnsi"/>
        </w:rPr>
        <w:t xml:space="preserve"> Fate of PAH compounds in two soil types: Influence of volatilization, abiotic loss and biological activity. Environmental Chemistry 9: 187-195.</w:t>
      </w:r>
    </w:p>
    <w:p w14:paraId="7BA8A18D" w14:textId="77777777" w:rsidR="009A62A3" w:rsidRPr="00D850DF" w:rsidRDefault="009A62A3" w:rsidP="009A62A3">
      <w:pPr>
        <w:pStyle w:val="Body"/>
        <w:spacing w:afterLines="20" w:after="48"/>
        <w:ind w:left="567" w:hanging="567"/>
        <w:rPr>
          <w:rFonts w:asciiTheme="majorHAnsi" w:hAnsiTheme="majorHAnsi"/>
        </w:rPr>
      </w:pPr>
      <w:r w:rsidRPr="00D850DF">
        <w:rPr>
          <w:rFonts w:asciiTheme="majorHAnsi" w:hAnsiTheme="majorHAnsi"/>
        </w:rPr>
        <w:t xml:space="preserve">Papendick SL, Downs KR, </w:t>
      </w:r>
      <w:proofErr w:type="gramStart"/>
      <w:r w:rsidRPr="00D850DF">
        <w:rPr>
          <w:rFonts w:asciiTheme="majorHAnsi" w:hAnsiTheme="majorHAnsi"/>
        </w:rPr>
        <w:t>Vo</w:t>
      </w:r>
      <w:proofErr w:type="gramEnd"/>
      <w:r w:rsidRPr="00D850DF">
        <w:rPr>
          <w:rFonts w:asciiTheme="majorHAnsi" w:hAnsiTheme="majorHAnsi"/>
        </w:rPr>
        <w:t xml:space="preserve"> KD, Hamilton SK, Dawson GKW, Golding SD, and Gilcrease PC (2011). Biogenic methane potential for Surat Basin, Queensland coal seams. International Journal of Coal Geology 88, 123–134.</w:t>
      </w:r>
    </w:p>
    <w:p w14:paraId="6E044966" w14:textId="58FCBF84" w:rsidR="004F1118" w:rsidRPr="00D850DF" w:rsidRDefault="004F1118" w:rsidP="000144B2">
      <w:pPr>
        <w:pStyle w:val="Body"/>
        <w:spacing w:afterLines="20" w:after="48"/>
        <w:ind w:left="567" w:hanging="567"/>
        <w:rPr>
          <w:rFonts w:asciiTheme="majorHAnsi" w:hAnsiTheme="majorHAnsi"/>
        </w:rPr>
      </w:pPr>
      <w:r w:rsidRPr="00D850DF">
        <w:rPr>
          <w:rFonts w:asciiTheme="majorHAnsi" w:hAnsiTheme="majorHAnsi"/>
        </w:rPr>
        <w:t>Parliament of New South Wales (2011)</w:t>
      </w:r>
      <w:r w:rsidR="00065463" w:rsidRPr="00D850DF">
        <w:rPr>
          <w:rFonts w:asciiTheme="majorHAnsi" w:hAnsiTheme="majorHAnsi"/>
        </w:rPr>
        <w:t>.</w:t>
      </w:r>
      <w:r w:rsidRPr="00D850DF">
        <w:rPr>
          <w:rFonts w:asciiTheme="majorHAnsi" w:hAnsiTheme="majorHAnsi"/>
        </w:rPr>
        <w:t xml:space="preserve"> Coal seam gas exploration, by Buckingham </w:t>
      </w:r>
      <w:proofErr w:type="gramStart"/>
      <w:r w:rsidRPr="00D850DF">
        <w:rPr>
          <w:rFonts w:asciiTheme="majorHAnsi" w:hAnsiTheme="majorHAnsi"/>
        </w:rPr>
        <w:t>The</w:t>
      </w:r>
      <w:proofErr w:type="gramEnd"/>
      <w:r w:rsidRPr="00D850DF">
        <w:rPr>
          <w:rFonts w:asciiTheme="majorHAnsi" w:hAnsiTheme="majorHAnsi"/>
        </w:rPr>
        <w:t xml:space="preserve"> Hon Jeremy, Hansard 10 August 2011.</w:t>
      </w:r>
    </w:p>
    <w:p w14:paraId="41E69A15" w14:textId="66D98CC9" w:rsidR="00B8505C" w:rsidRPr="00D850DF" w:rsidRDefault="00B8505C" w:rsidP="00B8505C">
      <w:pPr>
        <w:pStyle w:val="Body"/>
        <w:spacing w:afterLines="20" w:after="48"/>
        <w:ind w:left="567" w:hanging="567"/>
        <w:rPr>
          <w:rFonts w:asciiTheme="majorHAnsi" w:hAnsiTheme="majorHAnsi"/>
          <w:lang w:val="en-AU"/>
        </w:rPr>
      </w:pPr>
      <w:r w:rsidRPr="00D850DF">
        <w:rPr>
          <w:rFonts w:asciiTheme="majorHAnsi" w:hAnsiTheme="majorHAnsi"/>
          <w:lang w:val="en-AU"/>
        </w:rPr>
        <w:t>Pennington JC and Brannon JM (2002)</w:t>
      </w:r>
      <w:r w:rsidR="00065463" w:rsidRPr="00D850DF">
        <w:rPr>
          <w:rFonts w:asciiTheme="majorHAnsi" w:hAnsiTheme="majorHAnsi"/>
          <w:lang w:val="en-AU"/>
        </w:rPr>
        <w:t>.</w:t>
      </w:r>
      <w:r w:rsidRPr="00D850DF">
        <w:rPr>
          <w:rFonts w:asciiTheme="majorHAnsi" w:hAnsiTheme="majorHAnsi"/>
          <w:lang w:val="en-AU"/>
        </w:rPr>
        <w:t xml:space="preserve"> Environmental fate of explosives. Thermochimica Acta 384(1-2)</w:t>
      </w:r>
      <w:r w:rsidR="00D77A45" w:rsidRPr="00D850DF">
        <w:rPr>
          <w:rFonts w:asciiTheme="majorHAnsi" w:hAnsiTheme="majorHAnsi"/>
          <w:lang w:val="en-AU"/>
        </w:rPr>
        <w:t>:</w:t>
      </w:r>
      <w:r w:rsidRPr="00D850DF">
        <w:rPr>
          <w:rFonts w:asciiTheme="majorHAnsi" w:hAnsiTheme="majorHAnsi"/>
          <w:lang w:val="en-AU"/>
        </w:rPr>
        <w:t xml:space="preserve"> 163-172.</w:t>
      </w:r>
    </w:p>
    <w:p w14:paraId="6DFC3B98" w14:textId="144C0E53" w:rsidR="003C36D3" w:rsidRPr="00D850DF" w:rsidRDefault="003C36D3" w:rsidP="00B8505C">
      <w:pPr>
        <w:pStyle w:val="Body"/>
        <w:spacing w:afterLines="20" w:after="48"/>
        <w:ind w:left="567" w:hanging="567"/>
        <w:rPr>
          <w:rFonts w:asciiTheme="majorHAnsi" w:hAnsiTheme="majorHAnsi"/>
          <w:lang w:val="en-AU"/>
        </w:rPr>
      </w:pPr>
      <w:r w:rsidRPr="00D850DF">
        <w:rPr>
          <w:rFonts w:asciiTheme="majorHAnsi" w:hAnsiTheme="majorHAnsi"/>
          <w:lang w:val="en-AU"/>
        </w:rPr>
        <w:t>Piatt JJ, Backhus DA, Capel PD, and Eisenreich SJ (1996)</w:t>
      </w:r>
      <w:r w:rsidR="00065463" w:rsidRPr="00D850DF">
        <w:rPr>
          <w:rFonts w:asciiTheme="majorHAnsi" w:hAnsiTheme="majorHAnsi"/>
          <w:lang w:val="en-AU"/>
        </w:rPr>
        <w:t>.</w:t>
      </w:r>
      <w:r w:rsidRPr="00D850DF">
        <w:rPr>
          <w:rFonts w:asciiTheme="majorHAnsi" w:hAnsiTheme="majorHAnsi"/>
          <w:lang w:val="en-AU"/>
        </w:rPr>
        <w:t xml:space="preserve"> Temperature-dependent sorption of naphthalene, phenanthrene and pyrene to low organic carbon aquifer sediments. Environmental Science and Technology 30: 751-760.</w:t>
      </w:r>
    </w:p>
    <w:p w14:paraId="1A33C8D7" w14:textId="46A53820" w:rsidR="000F310B" w:rsidRPr="00D850DF" w:rsidRDefault="00B8505C" w:rsidP="000144B2">
      <w:pPr>
        <w:pStyle w:val="Body"/>
        <w:spacing w:afterLines="20" w:after="48"/>
        <w:ind w:left="567" w:hanging="567"/>
        <w:rPr>
          <w:rFonts w:asciiTheme="majorHAnsi" w:hAnsiTheme="majorHAnsi"/>
          <w:lang w:val="en-AU"/>
        </w:rPr>
      </w:pPr>
      <w:r w:rsidRPr="00D850DF">
        <w:rPr>
          <w:rFonts w:asciiTheme="majorHAnsi" w:hAnsiTheme="majorHAnsi"/>
          <w:lang w:val="en-AU"/>
        </w:rPr>
        <w:t>Podoll RT, Irwin KC</w:t>
      </w:r>
      <w:r w:rsidR="00A76EF5" w:rsidRPr="00D850DF">
        <w:rPr>
          <w:rFonts w:asciiTheme="majorHAnsi" w:hAnsiTheme="majorHAnsi"/>
          <w:lang w:val="en-AU"/>
        </w:rPr>
        <w:t>,</w:t>
      </w:r>
      <w:r w:rsidRPr="00D850DF">
        <w:rPr>
          <w:rFonts w:asciiTheme="majorHAnsi" w:hAnsiTheme="majorHAnsi"/>
          <w:lang w:val="en-AU"/>
        </w:rPr>
        <w:t xml:space="preserve"> and Parish</w:t>
      </w:r>
      <w:r w:rsidR="00A76EF5" w:rsidRPr="00D850DF">
        <w:rPr>
          <w:rFonts w:asciiTheme="majorHAnsi" w:hAnsiTheme="majorHAnsi"/>
          <w:lang w:val="en-AU"/>
        </w:rPr>
        <w:t xml:space="preserve"> </w:t>
      </w:r>
      <w:r w:rsidRPr="00D850DF">
        <w:rPr>
          <w:rFonts w:asciiTheme="majorHAnsi" w:hAnsiTheme="majorHAnsi"/>
          <w:lang w:val="en-AU"/>
        </w:rPr>
        <w:t>HJ (1989)</w:t>
      </w:r>
      <w:r w:rsidR="00065463" w:rsidRPr="00D850DF">
        <w:rPr>
          <w:rFonts w:asciiTheme="majorHAnsi" w:hAnsiTheme="majorHAnsi"/>
          <w:lang w:val="en-AU"/>
        </w:rPr>
        <w:t>.</w:t>
      </w:r>
      <w:r w:rsidRPr="00D850DF">
        <w:rPr>
          <w:rFonts w:asciiTheme="majorHAnsi" w:hAnsiTheme="majorHAnsi"/>
          <w:lang w:val="en-AU"/>
        </w:rPr>
        <w:t xml:space="preserve"> Dynamic studies of naphthalene sorption on soil from aqueous solution. Chemosphere 18(11-12)</w:t>
      </w:r>
      <w:r w:rsidR="00D77A45" w:rsidRPr="00D850DF">
        <w:rPr>
          <w:rFonts w:asciiTheme="majorHAnsi" w:hAnsiTheme="majorHAnsi"/>
          <w:lang w:val="en-AU"/>
        </w:rPr>
        <w:t>:</w:t>
      </w:r>
      <w:r w:rsidRPr="00D850DF">
        <w:rPr>
          <w:rFonts w:asciiTheme="majorHAnsi" w:hAnsiTheme="majorHAnsi"/>
          <w:lang w:val="en-AU"/>
        </w:rPr>
        <w:t xml:space="preserve"> 2399-2412.</w:t>
      </w:r>
    </w:p>
    <w:p w14:paraId="28F5E1AE" w14:textId="5E57F977" w:rsidR="00423204" w:rsidRPr="00D850DF" w:rsidRDefault="00423204" w:rsidP="00423204">
      <w:pPr>
        <w:pStyle w:val="Body"/>
        <w:spacing w:afterLines="20" w:after="48"/>
        <w:ind w:left="567" w:hanging="567"/>
        <w:rPr>
          <w:rFonts w:asciiTheme="majorHAnsi" w:hAnsiTheme="majorHAnsi"/>
        </w:rPr>
      </w:pPr>
      <w:r w:rsidRPr="00D850DF">
        <w:rPr>
          <w:rFonts w:asciiTheme="majorHAnsi" w:hAnsiTheme="majorHAnsi"/>
        </w:rPr>
        <w:t>Pollock D (2012)</w:t>
      </w:r>
      <w:r w:rsidR="00065463" w:rsidRPr="00D850DF">
        <w:rPr>
          <w:rFonts w:asciiTheme="majorHAnsi" w:hAnsiTheme="majorHAnsi"/>
        </w:rPr>
        <w:t>.</w:t>
      </w:r>
      <w:r w:rsidRPr="00D850DF">
        <w:rPr>
          <w:rFonts w:asciiTheme="majorHAnsi" w:hAnsiTheme="majorHAnsi"/>
        </w:rPr>
        <w:t xml:space="preserve"> User Guide for MODPATH Version 6—A Particle-Tracking Model for MODFLOW. Chapter 41 of Section A, Groundwater Book 6, Modeling Techniques and Methods 6–A41.</w:t>
      </w:r>
    </w:p>
    <w:p w14:paraId="42B346AA" w14:textId="050438FF" w:rsidR="003F6DEC" w:rsidRPr="00D850DF" w:rsidRDefault="003F6DEC" w:rsidP="003F6DEC">
      <w:pPr>
        <w:pStyle w:val="Body"/>
        <w:spacing w:afterLines="20" w:after="48"/>
        <w:ind w:left="567" w:hanging="567"/>
        <w:rPr>
          <w:rFonts w:asciiTheme="majorHAnsi" w:hAnsiTheme="majorHAnsi"/>
        </w:rPr>
      </w:pPr>
      <w:r w:rsidRPr="00D850DF">
        <w:rPr>
          <w:rFonts w:asciiTheme="majorHAnsi" w:hAnsiTheme="majorHAnsi"/>
        </w:rPr>
        <w:t>Price KS, Waggy</w:t>
      </w:r>
      <w:r w:rsidR="00A76EF5" w:rsidRPr="00D850DF">
        <w:rPr>
          <w:rFonts w:asciiTheme="majorHAnsi" w:hAnsiTheme="majorHAnsi"/>
        </w:rPr>
        <w:t xml:space="preserve"> GT</w:t>
      </w:r>
      <w:r w:rsidRPr="00D850DF">
        <w:rPr>
          <w:rFonts w:asciiTheme="majorHAnsi" w:hAnsiTheme="majorHAnsi"/>
        </w:rPr>
        <w:t xml:space="preserve">, and Conway </w:t>
      </w:r>
      <w:r w:rsidR="00A76EF5" w:rsidRPr="00D850DF">
        <w:rPr>
          <w:rFonts w:asciiTheme="majorHAnsi" w:hAnsiTheme="majorHAnsi"/>
        </w:rPr>
        <w:t>RA (</w:t>
      </w:r>
      <w:r w:rsidRPr="00D850DF">
        <w:rPr>
          <w:rFonts w:asciiTheme="majorHAnsi" w:hAnsiTheme="majorHAnsi"/>
        </w:rPr>
        <w:t>1974</w:t>
      </w:r>
      <w:r w:rsidR="00A76EF5"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Brine shrimp bioassay and seawater BOD of petrochemicals. J</w:t>
      </w:r>
      <w:r w:rsidR="00643E10" w:rsidRPr="00D850DF">
        <w:rPr>
          <w:rFonts w:asciiTheme="majorHAnsi" w:hAnsiTheme="majorHAnsi"/>
        </w:rPr>
        <w:t>ournal of</w:t>
      </w:r>
      <w:r w:rsidRPr="00D850DF">
        <w:rPr>
          <w:rFonts w:asciiTheme="majorHAnsi" w:hAnsiTheme="majorHAnsi"/>
        </w:rPr>
        <w:t xml:space="preserve"> </w:t>
      </w:r>
      <w:r w:rsidR="00643E10" w:rsidRPr="00D850DF">
        <w:rPr>
          <w:rFonts w:asciiTheme="majorHAnsi" w:hAnsiTheme="majorHAnsi"/>
        </w:rPr>
        <w:t xml:space="preserve">the </w:t>
      </w:r>
      <w:r w:rsidRPr="00D850DF">
        <w:rPr>
          <w:rFonts w:asciiTheme="majorHAnsi" w:hAnsiTheme="majorHAnsi"/>
        </w:rPr>
        <w:t xml:space="preserve">Water </w:t>
      </w:r>
      <w:r w:rsidR="00643E10" w:rsidRPr="00D850DF">
        <w:rPr>
          <w:rFonts w:asciiTheme="majorHAnsi" w:hAnsiTheme="majorHAnsi"/>
        </w:rPr>
        <w:t xml:space="preserve">Polution </w:t>
      </w:r>
      <w:r w:rsidRPr="00D850DF">
        <w:rPr>
          <w:rFonts w:asciiTheme="majorHAnsi" w:hAnsiTheme="majorHAnsi"/>
        </w:rPr>
        <w:t>Control Fed</w:t>
      </w:r>
      <w:r w:rsidR="00643E10" w:rsidRPr="00D850DF">
        <w:rPr>
          <w:rFonts w:asciiTheme="majorHAnsi" w:hAnsiTheme="majorHAnsi"/>
        </w:rPr>
        <w:t>eration</w:t>
      </w:r>
      <w:r w:rsidRPr="00D850DF">
        <w:rPr>
          <w:rFonts w:asciiTheme="majorHAnsi" w:hAnsiTheme="majorHAnsi"/>
        </w:rPr>
        <w:t xml:space="preserve"> 46 (1):63-77.</w:t>
      </w:r>
    </w:p>
    <w:p w14:paraId="2671C824" w14:textId="0A4E637C" w:rsidR="00851C1C" w:rsidRPr="00D850DF" w:rsidRDefault="00705F44" w:rsidP="00851C1C">
      <w:pPr>
        <w:pStyle w:val="Body"/>
        <w:spacing w:afterLines="20" w:after="48"/>
        <w:ind w:left="567" w:hanging="567"/>
        <w:rPr>
          <w:rFonts w:asciiTheme="majorHAnsi" w:hAnsiTheme="majorHAnsi"/>
        </w:rPr>
      </w:pPr>
      <w:r w:rsidRPr="00D850DF">
        <w:rPr>
          <w:rFonts w:asciiTheme="majorHAnsi" w:hAnsiTheme="majorHAnsi"/>
        </w:rPr>
        <w:t>Prommer H, Rathi B, Donn M, Siade A, Wendling L, Martens E</w:t>
      </w:r>
      <w:r w:rsidR="00A76EF5" w:rsidRPr="00D850DF">
        <w:rPr>
          <w:rFonts w:asciiTheme="majorHAnsi" w:hAnsiTheme="majorHAnsi"/>
        </w:rPr>
        <w:t>,</w:t>
      </w:r>
      <w:r w:rsidRPr="00D850DF">
        <w:rPr>
          <w:rFonts w:asciiTheme="majorHAnsi" w:hAnsiTheme="majorHAnsi"/>
        </w:rPr>
        <w:t xml:space="preserve"> and Patterson B </w:t>
      </w:r>
      <w:r w:rsidR="00851C1C" w:rsidRPr="00D850DF">
        <w:rPr>
          <w:rFonts w:asciiTheme="majorHAnsi" w:hAnsiTheme="majorHAnsi"/>
        </w:rPr>
        <w:t>(2016)</w:t>
      </w:r>
      <w:r w:rsidR="00065463" w:rsidRPr="00D850DF">
        <w:rPr>
          <w:rFonts w:asciiTheme="majorHAnsi" w:hAnsiTheme="majorHAnsi"/>
        </w:rPr>
        <w:t>.</w:t>
      </w:r>
      <w:r w:rsidR="00851C1C" w:rsidRPr="00D850DF">
        <w:rPr>
          <w:rFonts w:asciiTheme="majorHAnsi" w:hAnsiTheme="majorHAnsi"/>
        </w:rPr>
        <w:t xml:space="preserve"> Geochemical response to reinjection. Final Report. CSIRO, Australia.</w:t>
      </w:r>
    </w:p>
    <w:p w14:paraId="52D02BFF" w14:textId="77777777" w:rsidR="009A62A3" w:rsidRPr="00D850DF" w:rsidRDefault="009A62A3" w:rsidP="009A62A3">
      <w:pPr>
        <w:pStyle w:val="Body"/>
        <w:spacing w:afterLines="20" w:after="48"/>
        <w:ind w:left="567" w:hanging="567"/>
        <w:rPr>
          <w:rFonts w:asciiTheme="majorHAnsi" w:hAnsiTheme="majorHAnsi"/>
        </w:rPr>
      </w:pPr>
      <w:r w:rsidRPr="00D850DF">
        <w:rPr>
          <w:rFonts w:asciiTheme="majorHAnsi" w:hAnsiTheme="majorHAnsi"/>
        </w:rPr>
        <w:t>QGC (2012). Approval conditions 49 to 52: Stage 2 CSG Water Monitoring and Management Plan. 2nd Revision to 23 April 2012 submission. 13.0 Well stimulation.</w:t>
      </w:r>
    </w:p>
    <w:p w14:paraId="379AE70C" w14:textId="1634DE99" w:rsidR="006C1D80" w:rsidRPr="00D850DF" w:rsidRDefault="006C1D80" w:rsidP="006C1D80">
      <w:pPr>
        <w:pStyle w:val="Body"/>
        <w:spacing w:afterLines="20" w:after="48"/>
        <w:ind w:left="567" w:hanging="567"/>
        <w:rPr>
          <w:rFonts w:asciiTheme="majorHAnsi" w:hAnsiTheme="majorHAnsi"/>
        </w:rPr>
      </w:pPr>
      <w:r w:rsidRPr="00D850DF">
        <w:rPr>
          <w:rFonts w:asciiTheme="majorHAnsi" w:hAnsiTheme="majorHAnsi"/>
        </w:rPr>
        <w:t>Queensland Government (2014)</w:t>
      </w:r>
      <w:r w:rsidR="00065463" w:rsidRPr="00D850DF">
        <w:rPr>
          <w:rFonts w:asciiTheme="majorHAnsi" w:hAnsiTheme="majorHAnsi"/>
        </w:rPr>
        <w:t>.</w:t>
      </w:r>
      <w:r w:rsidRPr="00D850DF">
        <w:rPr>
          <w:rFonts w:asciiTheme="majorHAnsi" w:hAnsiTheme="majorHAnsi"/>
        </w:rPr>
        <w:t xml:space="preserve"> Queensland Legislation: Bills introduced to the 53rd Parliament. Retrieved August 5, 2016, from https://www.legislation.qld.gov.au/Bill_Pages/Bill_53_11.htm</w:t>
      </w:r>
      <w:r w:rsidR="00066EA0" w:rsidRPr="00D850DF">
        <w:rPr>
          <w:rFonts w:asciiTheme="majorHAnsi" w:hAnsiTheme="majorHAnsi"/>
        </w:rPr>
        <w:t>.</w:t>
      </w:r>
    </w:p>
    <w:p w14:paraId="5045A3F5" w14:textId="496174FB" w:rsidR="00FD6F6D" w:rsidRPr="00D850DF" w:rsidRDefault="00C81D31" w:rsidP="000144B2">
      <w:pPr>
        <w:pStyle w:val="Body"/>
        <w:spacing w:afterLines="20" w:after="48"/>
        <w:ind w:left="567" w:hanging="567"/>
        <w:rPr>
          <w:rFonts w:asciiTheme="majorHAnsi" w:hAnsiTheme="majorHAnsi"/>
        </w:rPr>
      </w:pPr>
      <w:r w:rsidRPr="00D850DF">
        <w:rPr>
          <w:rFonts w:asciiTheme="majorHAnsi" w:hAnsiTheme="majorHAnsi"/>
        </w:rPr>
        <w:t xml:space="preserve">QWC </w:t>
      </w:r>
      <w:r w:rsidR="00FD6F6D" w:rsidRPr="00D850DF">
        <w:rPr>
          <w:rFonts w:asciiTheme="majorHAnsi" w:hAnsiTheme="majorHAnsi"/>
        </w:rPr>
        <w:t>(2012)</w:t>
      </w:r>
      <w:r w:rsidR="00065463" w:rsidRPr="00D850DF">
        <w:rPr>
          <w:rFonts w:asciiTheme="majorHAnsi" w:hAnsiTheme="majorHAnsi"/>
        </w:rPr>
        <w:t>.</w:t>
      </w:r>
      <w:r w:rsidR="00FD6F6D" w:rsidRPr="00D850DF">
        <w:rPr>
          <w:rFonts w:asciiTheme="majorHAnsi" w:hAnsiTheme="majorHAnsi"/>
        </w:rPr>
        <w:t xml:space="preserve"> Underground water impact report for the Surat Cumulative Management Area</w:t>
      </w:r>
      <w:r w:rsidR="009A62A3">
        <w:rPr>
          <w:rFonts w:asciiTheme="majorHAnsi" w:hAnsiTheme="majorHAnsi"/>
        </w:rPr>
        <w:t>.</w:t>
      </w:r>
      <w:r w:rsidR="00FD6F6D" w:rsidRPr="00D850DF">
        <w:rPr>
          <w:rFonts w:asciiTheme="majorHAnsi" w:hAnsiTheme="majorHAnsi"/>
        </w:rPr>
        <w:t xml:space="preserve"> </w:t>
      </w:r>
      <w:r w:rsidR="009A62A3" w:rsidRPr="00D850DF">
        <w:rPr>
          <w:rFonts w:asciiTheme="majorHAnsi" w:hAnsiTheme="majorHAnsi"/>
        </w:rPr>
        <w:t>Queensland Water Commission</w:t>
      </w:r>
      <w:r w:rsidR="009A62A3">
        <w:rPr>
          <w:rFonts w:asciiTheme="majorHAnsi" w:hAnsiTheme="majorHAnsi"/>
        </w:rPr>
        <w:t>.</w:t>
      </w:r>
      <w:r w:rsidR="009A62A3" w:rsidRPr="00D850DF">
        <w:rPr>
          <w:rFonts w:asciiTheme="majorHAnsi" w:hAnsiTheme="majorHAnsi"/>
        </w:rPr>
        <w:t xml:space="preserve"> </w:t>
      </w:r>
      <w:r w:rsidR="00FD6F6D" w:rsidRPr="00D850DF">
        <w:rPr>
          <w:rFonts w:asciiTheme="majorHAnsi" w:hAnsiTheme="majorHAnsi"/>
        </w:rPr>
        <w:t>224 pp.</w:t>
      </w:r>
    </w:p>
    <w:p w14:paraId="0FACB39D" w14:textId="6C700425" w:rsidR="0018507D" w:rsidRPr="00D850DF" w:rsidRDefault="0018507D" w:rsidP="0018507D">
      <w:pPr>
        <w:pStyle w:val="Body"/>
        <w:spacing w:afterLines="20" w:after="48"/>
        <w:ind w:left="567" w:hanging="567"/>
        <w:rPr>
          <w:rFonts w:asciiTheme="majorHAnsi" w:hAnsiTheme="majorHAnsi"/>
        </w:rPr>
      </w:pPr>
      <w:r w:rsidRPr="00D850DF">
        <w:rPr>
          <w:rFonts w:asciiTheme="majorHAnsi" w:hAnsiTheme="majorHAnsi"/>
        </w:rPr>
        <w:t>Ransley T, Sommerville P, Piang Tan K, Feitz A, Cook S, Yates G, Schoning G, Bell J, Caruana L, Sundaram B</w:t>
      </w:r>
      <w:r w:rsidR="00A76EF5" w:rsidRPr="00D850DF">
        <w:rPr>
          <w:rFonts w:asciiTheme="majorHAnsi" w:hAnsiTheme="majorHAnsi"/>
        </w:rPr>
        <w:t>,</w:t>
      </w:r>
      <w:r w:rsidRPr="00D850DF">
        <w:rPr>
          <w:rFonts w:asciiTheme="majorHAnsi" w:hAnsiTheme="majorHAnsi"/>
        </w:rPr>
        <w:t xml:space="preserve"> and Wallace L (2015)</w:t>
      </w:r>
      <w:r w:rsidR="00065463" w:rsidRPr="00D850DF">
        <w:rPr>
          <w:rFonts w:asciiTheme="majorHAnsi" w:hAnsiTheme="majorHAnsi"/>
        </w:rPr>
        <w:t>.</w:t>
      </w:r>
      <w:r w:rsidRPr="00D850DF">
        <w:rPr>
          <w:rFonts w:asciiTheme="majorHAnsi" w:hAnsiTheme="majorHAnsi"/>
        </w:rPr>
        <w:t xml:space="preserve"> Groundwater Hydrochemical Characterisation of the Surat Region and Laura Basin – Queensland. Final technical report for the National Collaboration Framework Hydrochemical Characterisation Project: 218.</w:t>
      </w:r>
    </w:p>
    <w:p w14:paraId="68EAD854" w14:textId="1AE8A584" w:rsidR="00FD6F6D" w:rsidRPr="00D850DF" w:rsidRDefault="0070044A" w:rsidP="000144B2">
      <w:pPr>
        <w:pStyle w:val="Body"/>
        <w:spacing w:afterLines="20" w:after="48"/>
        <w:ind w:left="567" w:hanging="567"/>
        <w:rPr>
          <w:rFonts w:asciiTheme="majorHAnsi" w:hAnsiTheme="majorHAnsi"/>
        </w:rPr>
      </w:pPr>
      <w:r w:rsidRPr="00D850DF">
        <w:rPr>
          <w:rFonts w:asciiTheme="majorHAnsi" w:hAnsiTheme="majorHAnsi"/>
        </w:rPr>
        <w:t>Reagan MT, Moridis GJ, Keen ND</w:t>
      </w:r>
      <w:r w:rsidR="00A76EF5" w:rsidRPr="00D850DF">
        <w:rPr>
          <w:rFonts w:asciiTheme="majorHAnsi" w:hAnsiTheme="majorHAnsi"/>
        </w:rPr>
        <w:t>,</w:t>
      </w:r>
      <w:r w:rsidRPr="00D850DF">
        <w:rPr>
          <w:rFonts w:asciiTheme="majorHAnsi" w:hAnsiTheme="majorHAnsi"/>
        </w:rPr>
        <w:t xml:space="preserve"> and Johnson JN (</w:t>
      </w:r>
      <w:r w:rsidR="00FD6F6D" w:rsidRPr="00D850DF">
        <w:rPr>
          <w:rFonts w:asciiTheme="majorHAnsi" w:hAnsiTheme="majorHAnsi"/>
        </w:rPr>
        <w:t>2015</w:t>
      </w:r>
      <w:r w:rsidRPr="00D850DF">
        <w:rPr>
          <w:rFonts w:asciiTheme="majorHAnsi" w:hAnsiTheme="majorHAnsi"/>
        </w:rPr>
        <w:t>)</w:t>
      </w:r>
      <w:r w:rsidR="00065463" w:rsidRPr="00D850DF">
        <w:rPr>
          <w:rFonts w:asciiTheme="majorHAnsi" w:hAnsiTheme="majorHAnsi"/>
        </w:rPr>
        <w:t>.</w:t>
      </w:r>
      <w:r w:rsidR="00FD6F6D" w:rsidRPr="00D850DF">
        <w:rPr>
          <w:rFonts w:asciiTheme="majorHAnsi" w:hAnsiTheme="majorHAnsi"/>
        </w:rPr>
        <w:t xml:space="preserve"> Numerical simulation of the environmental impact of hydraulic fracturing of tight/shale gas reservoirs on near-surface groundwater: Background, base cases, shallow reservoirs, short-term gas, and water transport</w:t>
      </w:r>
      <w:r w:rsidR="00894C27" w:rsidRPr="00D850DF">
        <w:rPr>
          <w:rFonts w:asciiTheme="majorHAnsi" w:hAnsiTheme="majorHAnsi"/>
        </w:rPr>
        <w:t>.</w:t>
      </w:r>
      <w:r w:rsidR="00FD6F6D" w:rsidRPr="00D850DF">
        <w:rPr>
          <w:rFonts w:asciiTheme="majorHAnsi" w:hAnsiTheme="majorHAnsi"/>
        </w:rPr>
        <w:t xml:space="preserve"> Water Resources Research </w:t>
      </w:r>
      <w:r w:rsidRPr="00D850DF">
        <w:rPr>
          <w:rFonts w:asciiTheme="majorHAnsi" w:hAnsiTheme="majorHAnsi"/>
        </w:rPr>
        <w:t>51: 2543–2573.</w:t>
      </w:r>
    </w:p>
    <w:p w14:paraId="2AD8376C" w14:textId="72750AD0" w:rsidR="00AA1963" w:rsidRPr="00D850DF" w:rsidRDefault="00AA1963" w:rsidP="00AA1963">
      <w:pPr>
        <w:pStyle w:val="Body"/>
        <w:spacing w:afterLines="20" w:after="48"/>
        <w:ind w:left="567" w:hanging="567"/>
        <w:rPr>
          <w:rFonts w:asciiTheme="majorHAnsi" w:hAnsiTheme="majorHAnsi"/>
        </w:rPr>
      </w:pPr>
      <w:r w:rsidRPr="00D850DF">
        <w:rPr>
          <w:rFonts w:asciiTheme="majorHAnsi" w:hAnsiTheme="majorHAnsi"/>
        </w:rPr>
        <w:t xml:space="preserve">Reed M, French D, </w:t>
      </w:r>
      <w:r w:rsidR="00A76EF5" w:rsidRPr="00D850DF">
        <w:rPr>
          <w:rFonts w:asciiTheme="majorHAnsi" w:hAnsiTheme="majorHAnsi"/>
        </w:rPr>
        <w:t xml:space="preserve">and </w:t>
      </w:r>
      <w:r w:rsidRPr="00D850DF">
        <w:rPr>
          <w:rFonts w:asciiTheme="majorHAnsi" w:hAnsiTheme="majorHAnsi"/>
        </w:rPr>
        <w:t xml:space="preserve">Rines H </w:t>
      </w:r>
      <w:r w:rsidR="00A76EF5" w:rsidRPr="00D850DF">
        <w:rPr>
          <w:rFonts w:asciiTheme="majorHAnsi" w:hAnsiTheme="majorHAnsi"/>
        </w:rPr>
        <w:t>(</w:t>
      </w:r>
      <w:r w:rsidRPr="00D850DF">
        <w:rPr>
          <w:rFonts w:asciiTheme="majorHAnsi" w:hAnsiTheme="majorHAnsi"/>
        </w:rPr>
        <w:t>1994</w:t>
      </w:r>
      <w:r w:rsidR="00A76EF5"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Numerical simulation of biological effects of oil spills. J</w:t>
      </w:r>
      <w:r w:rsidR="00643E10" w:rsidRPr="00D850DF">
        <w:rPr>
          <w:rFonts w:asciiTheme="majorHAnsi" w:hAnsiTheme="majorHAnsi"/>
        </w:rPr>
        <w:t>ournal</w:t>
      </w:r>
      <w:r w:rsidRPr="00D850DF">
        <w:rPr>
          <w:rFonts w:asciiTheme="majorHAnsi" w:hAnsiTheme="majorHAnsi"/>
        </w:rPr>
        <w:t xml:space="preserve"> </w:t>
      </w:r>
      <w:r w:rsidR="00643E10" w:rsidRPr="00D850DF">
        <w:rPr>
          <w:rFonts w:asciiTheme="majorHAnsi" w:hAnsiTheme="majorHAnsi"/>
        </w:rPr>
        <w:t xml:space="preserve">of </w:t>
      </w:r>
      <w:r w:rsidRPr="00D850DF">
        <w:rPr>
          <w:rFonts w:asciiTheme="majorHAnsi" w:hAnsiTheme="majorHAnsi"/>
        </w:rPr>
        <w:t>Adv</w:t>
      </w:r>
      <w:r w:rsidR="00643E10" w:rsidRPr="00D850DF">
        <w:rPr>
          <w:rFonts w:asciiTheme="majorHAnsi" w:hAnsiTheme="majorHAnsi"/>
        </w:rPr>
        <w:t>ance</w:t>
      </w:r>
      <w:r w:rsidR="00197620" w:rsidRPr="00D850DF">
        <w:rPr>
          <w:rFonts w:asciiTheme="majorHAnsi" w:hAnsiTheme="majorHAnsi"/>
        </w:rPr>
        <w:t>d</w:t>
      </w:r>
      <w:r w:rsidR="00643E10" w:rsidRPr="00D850DF">
        <w:rPr>
          <w:rFonts w:asciiTheme="majorHAnsi" w:hAnsiTheme="majorHAnsi"/>
        </w:rPr>
        <w:t xml:space="preserve"> </w:t>
      </w:r>
      <w:r w:rsidRPr="00D850DF">
        <w:rPr>
          <w:rFonts w:asciiTheme="majorHAnsi" w:hAnsiTheme="majorHAnsi"/>
        </w:rPr>
        <w:t>Marine Technol</w:t>
      </w:r>
      <w:r w:rsidR="00643E10" w:rsidRPr="00D850DF">
        <w:rPr>
          <w:rFonts w:asciiTheme="majorHAnsi" w:hAnsiTheme="majorHAnsi"/>
        </w:rPr>
        <w:t>ogy</w:t>
      </w:r>
      <w:r w:rsidRPr="00D850DF">
        <w:rPr>
          <w:rFonts w:asciiTheme="majorHAnsi" w:hAnsiTheme="majorHAnsi"/>
        </w:rPr>
        <w:t xml:space="preserve"> Conf</w:t>
      </w:r>
      <w:r w:rsidR="00643E10" w:rsidRPr="00D850DF">
        <w:rPr>
          <w:rFonts w:asciiTheme="majorHAnsi" w:hAnsiTheme="majorHAnsi"/>
        </w:rPr>
        <w:t>erence</w:t>
      </w:r>
      <w:r w:rsidRPr="00D850DF">
        <w:rPr>
          <w:rFonts w:asciiTheme="majorHAnsi" w:hAnsiTheme="majorHAnsi"/>
        </w:rPr>
        <w:t xml:space="preserve"> 11</w:t>
      </w:r>
      <w:r w:rsidR="00D77A45" w:rsidRPr="00D850DF">
        <w:rPr>
          <w:rFonts w:asciiTheme="majorHAnsi" w:hAnsiTheme="majorHAnsi"/>
        </w:rPr>
        <w:t>:</w:t>
      </w:r>
      <w:r w:rsidRPr="00D850DF">
        <w:rPr>
          <w:rFonts w:asciiTheme="majorHAnsi" w:hAnsiTheme="majorHAnsi"/>
        </w:rPr>
        <w:t xml:space="preserve"> 65–90.</w:t>
      </w:r>
    </w:p>
    <w:p w14:paraId="64A86AB4" w14:textId="2AA5B3B0" w:rsidR="00D9435D" w:rsidRPr="00D850DF" w:rsidRDefault="00D9435D" w:rsidP="000144B2">
      <w:pPr>
        <w:pStyle w:val="Body"/>
        <w:spacing w:afterLines="20" w:after="48"/>
        <w:ind w:left="567" w:hanging="567"/>
        <w:rPr>
          <w:rFonts w:asciiTheme="majorHAnsi" w:hAnsiTheme="majorHAnsi"/>
        </w:rPr>
      </w:pPr>
      <w:r w:rsidRPr="00D850DF">
        <w:rPr>
          <w:rFonts w:asciiTheme="majorHAnsi" w:hAnsiTheme="majorHAnsi"/>
        </w:rPr>
        <w:t>Rice CA, Ellis MS</w:t>
      </w:r>
      <w:r w:rsidR="00A76EF5" w:rsidRPr="00D850DF">
        <w:rPr>
          <w:rFonts w:asciiTheme="majorHAnsi" w:hAnsiTheme="majorHAnsi"/>
        </w:rPr>
        <w:t>,</w:t>
      </w:r>
      <w:r w:rsidRPr="00D850DF">
        <w:rPr>
          <w:rFonts w:asciiTheme="majorHAnsi" w:hAnsiTheme="majorHAnsi"/>
        </w:rPr>
        <w:t xml:space="preserve"> and Bullock JH Jr (2000)</w:t>
      </w:r>
      <w:r w:rsidR="00065463" w:rsidRPr="00D850DF">
        <w:rPr>
          <w:rFonts w:asciiTheme="majorHAnsi" w:hAnsiTheme="majorHAnsi"/>
        </w:rPr>
        <w:t>.</w:t>
      </w:r>
      <w:r w:rsidRPr="00D850DF">
        <w:rPr>
          <w:rFonts w:asciiTheme="majorHAnsi" w:hAnsiTheme="majorHAnsi"/>
        </w:rPr>
        <w:t xml:space="preserve"> Water co-produced with coalbed methane in the Powder River Basin, Wyoming: preliminary compositional data. USGS Open File-Report 00-372. </w:t>
      </w:r>
      <w:hyperlink r:id="rId238" w:anchor="TOP" w:history="1">
        <w:r w:rsidRPr="00D850DF">
          <w:rPr>
            <w:rFonts w:asciiTheme="majorHAnsi" w:hAnsiTheme="majorHAnsi"/>
          </w:rPr>
          <w:t>https://pubs.usgs.gov/of/2000/ofr-00-372/results.html#TOP</w:t>
        </w:r>
      </w:hyperlink>
      <w:r w:rsidR="009966FF" w:rsidRPr="00D850DF">
        <w:rPr>
          <w:rFonts w:asciiTheme="majorHAnsi" w:hAnsiTheme="majorHAnsi"/>
        </w:rPr>
        <w:t>.</w:t>
      </w:r>
    </w:p>
    <w:p w14:paraId="2437CEF0" w14:textId="09A72238" w:rsidR="008E49B8" w:rsidRPr="00D850DF" w:rsidRDefault="008E49B8" w:rsidP="008E49B8">
      <w:pPr>
        <w:pStyle w:val="Body"/>
        <w:spacing w:afterLines="20" w:after="48"/>
        <w:ind w:left="567" w:hanging="567"/>
        <w:rPr>
          <w:rFonts w:asciiTheme="majorHAnsi" w:hAnsiTheme="majorHAnsi"/>
        </w:rPr>
      </w:pPr>
      <w:r w:rsidRPr="00D850DF">
        <w:rPr>
          <w:rFonts w:asciiTheme="majorHAnsi" w:hAnsiTheme="majorHAnsi"/>
        </w:rPr>
        <w:t>Rodvelt G (2014)</w:t>
      </w:r>
      <w:r w:rsidR="00065463" w:rsidRPr="00D850DF">
        <w:rPr>
          <w:rFonts w:asciiTheme="majorHAnsi" w:hAnsiTheme="majorHAnsi"/>
        </w:rPr>
        <w:t>.</w:t>
      </w:r>
      <w:r w:rsidRPr="00D850DF">
        <w:rPr>
          <w:rFonts w:asciiTheme="majorHAnsi" w:hAnsiTheme="majorHAnsi"/>
        </w:rPr>
        <w:t xml:space="preserve"> Vertical Well Construction and Hydraulic Fracturing for CBM Completions. Coal Bed Methane. Elsevier Inc. </w:t>
      </w:r>
      <w:hyperlink r:id="rId239" w:history="1">
        <w:r w:rsidRPr="00D850DF">
          <w:rPr>
            <w:rStyle w:val="Hyperlink"/>
            <w:rFonts w:asciiTheme="majorHAnsi" w:hAnsiTheme="majorHAnsi"/>
          </w:rPr>
          <w:t>http://doi.org/10.1016/B978-0-12-800880-5.00006-1</w:t>
        </w:r>
      </w:hyperlink>
      <w:r w:rsidRPr="00D850DF">
        <w:rPr>
          <w:rFonts w:asciiTheme="majorHAnsi" w:hAnsiTheme="majorHAnsi"/>
        </w:rPr>
        <w:t>.</w:t>
      </w:r>
    </w:p>
    <w:p w14:paraId="772D091B" w14:textId="3556E297" w:rsidR="008E49B8" w:rsidRPr="00D850DF" w:rsidRDefault="008E49B8" w:rsidP="008E49B8">
      <w:pPr>
        <w:pStyle w:val="Body"/>
        <w:spacing w:afterLines="20" w:after="48"/>
        <w:ind w:left="567" w:hanging="567"/>
        <w:rPr>
          <w:rFonts w:asciiTheme="majorHAnsi" w:hAnsiTheme="majorHAnsi"/>
        </w:rPr>
      </w:pPr>
      <w:r w:rsidRPr="00D850DF">
        <w:rPr>
          <w:rFonts w:asciiTheme="majorHAnsi" w:hAnsiTheme="majorHAnsi"/>
        </w:rPr>
        <w:t>Rogers RE (1994)</w:t>
      </w:r>
      <w:r w:rsidR="00065463" w:rsidRPr="00D850DF">
        <w:rPr>
          <w:rFonts w:asciiTheme="majorHAnsi" w:hAnsiTheme="majorHAnsi"/>
        </w:rPr>
        <w:t>.</w:t>
      </w:r>
      <w:r w:rsidRPr="00D850DF">
        <w:rPr>
          <w:rFonts w:asciiTheme="majorHAnsi" w:hAnsiTheme="majorHAnsi"/>
        </w:rPr>
        <w:t xml:space="preserve"> Coalbed methane : principles and practice. Englewood Cliffs, N.J: PTR Prentice Hall.</w:t>
      </w:r>
    </w:p>
    <w:p w14:paraId="0ADA53A7" w14:textId="4ED83706" w:rsidR="004A7C12" w:rsidRPr="00D850DF" w:rsidRDefault="004A7C12" w:rsidP="004A7C12">
      <w:pPr>
        <w:pStyle w:val="Body"/>
        <w:spacing w:afterLines="20" w:after="48"/>
        <w:ind w:left="567" w:hanging="567"/>
        <w:rPr>
          <w:rFonts w:asciiTheme="majorHAnsi" w:hAnsiTheme="majorHAnsi"/>
        </w:rPr>
      </w:pPr>
      <w:bookmarkStart w:id="769" w:name="_ENREF_128"/>
      <w:r w:rsidRPr="00D850DF">
        <w:rPr>
          <w:rFonts w:asciiTheme="majorHAnsi" w:hAnsiTheme="majorHAnsi"/>
        </w:rPr>
        <w:t>Rogers JD, Burke TL, Osborn SG, and Ryan JN (2015)</w:t>
      </w:r>
      <w:r w:rsidR="00065463" w:rsidRPr="00D850DF">
        <w:rPr>
          <w:rFonts w:asciiTheme="majorHAnsi" w:hAnsiTheme="majorHAnsi"/>
        </w:rPr>
        <w:t>.</w:t>
      </w:r>
      <w:r w:rsidRPr="00D850DF">
        <w:rPr>
          <w:rFonts w:asciiTheme="majorHAnsi" w:hAnsiTheme="majorHAnsi"/>
        </w:rPr>
        <w:t xml:space="preserve"> A Framework for Identifying Organic Compounds of Concern in Hydraulic Fracturing Fluids Based on Their Mobility and Persistence in Groundwater. Environmental Science and Technology Letters 2: 158−164.</w:t>
      </w:r>
    </w:p>
    <w:p w14:paraId="2C9FFF2E" w14:textId="46CD506F" w:rsidR="00B23BF8" w:rsidRPr="00D850DF" w:rsidRDefault="00B23BF8" w:rsidP="00B23BF8">
      <w:pPr>
        <w:pStyle w:val="Body"/>
        <w:spacing w:afterLines="20" w:after="48"/>
        <w:ind w:left="567" w:hanging="567"/>
        <w:rPr>
          <w:rFonts w:asciiTheme="majorHAnsi" w:hAnsiTheme="majorHAnsi"/>
        </w:rPr>
      </w:pPr>
      <w:r w:rsidRPr="00D850DF">
        <w:rPr>
          <w:rFonts w:asciiTheme="majorHAnsi" w:hAnsiTheme="majorHAnsi"/>
        </w:rPr>
        <w:t>Rutovitz J, Harris S, Kuruppu N</w:t>
      </w:r>
      <w:r w:rsidR="00A76EF5" w:rsidRPr="00D850DF">
        <w:rPr>
          <w:rFonts w:asciiTheme="majorHAnsi" w:hAnsiTheme="majorHAnsi"/>
        </w:rPr>
        <w:t>,</w:t>
      </w:r>
      <w:r w:rsidRPr="00D850DF">
        <w:rPr>
          <w:rFonts w:asciiTheme="majorHAnsi" w:hAnsiTheme="majorHAnsi"/>
        </w:rPr>
        <w:t xml:space="preserve"> </w:t>
      </w:r>
      <w:r w:rsidR="00A76EF5" w:rsidRPr="00D850DF">
        <w:rPr>
          <w:rFonts w:asciiTheme="majorHAnsi" w:hAnsiTheme="majorHAnsi"/>
        </w:rPr>
        <w:t>and</w:t>
      </w:r>
      <w:r w:rsidRPr="00D850DF">
        <w:rPr>
          <w:rFonts w:asciiTheme="majorHAnsi" w:hAnsiTheme="majorHAnsi"/>
        </w:rPr>
        <w:t xml:space="preserve"> Dustan C (2011)</w:t>
      </w:r>
      <w:r w:rsidR="00065463" w:rsidRPr="00D850DF">
        <w:rPr>
          <w:rFonts w:asciiTheme="majorHAnsi" w:hAnsiTheme="majorHAnsi"/>
        </w:rPr>
        <w:t>.</w:t>
      </w:r>
      <w:r w:rsidRPr="00D850DF">
        <w:rPr>
          <w:rFonts w:asciiTheme="majorHAnsi" w:hAnsiTheme="majorHAnsi"/>
        </w:rPr>
        <w:t xml:space="preserve"> Drilling down. Coal seam gas. A background paper: Prepared for the City of Sydney by the Institute for Sustrainable Futures, University of Technology, </w:t>
      </w:r>
      <w:proofErr w:type="gramStart"/>
      <w:r w:rsidRPr="00D850DF">
        <w:rPr>
          <w:rFonts w:asciiTheme="majorHAnsi" w:hAnsiTheme="majorHAnsi"/>
        </w:rPr>
        <w:t>Sydney</w:t>
      </w:r>
      <w:bookmarkEnd w:id="769"/>
      <w:proofErr w:type="gramEnd"/>
      <w:r w:rsidRPr="00D850DF">
        <w:rPr>
          <w:rFonts w:asciiTheme="majorHAnsi" w:hAnsiTheme="majorHAnsi"/>
        </w:rPr>
        <w:t>.</w:t>
      </w:r>
    </w:p>
    <w:p w14:paraId="72EBE20A" w14:textId="65132E2C" w:rsidR="009966FF" w:rsidRDefault="009966FF" w:rsidP="009966FF">
      <w:pPr>
        <w:pStyle w:val="Body"/>
        <w:spacing w:afterLines="20" w:after="48"/>
        <w:ind w:left="567" w:hanging="567"/>
        <w:rPr>
          <w:rFonts w:asciiTheme="majorHAnsi" w:hAnsiTheme="majorHAnsi"/>
        </w:rPr>
      </w:pPr>
      <w:r w:rsidRPr="00D850DF">
        <w:rPr>
          <w:rFonts w:asciiTheme="majorHAnsi" w:hAnsiTheme="majorHAnsi"/>
        </w:rPr>
        <w:t xml:space="preserve">Safe Work Australia </w:t>
      </w:r>
      <w:r w:rsidR="00065463" w:rsidRPr="00D850DF">
        <w:rPr>
          <w:rFonts w:asciiTheme="majorHAnsi" w:hAnsiTheme="majorHAnsi"/>
        </w:rPr>
        <w:t>(</w:t>
      </w:r>
      <w:r w:rsidRPr="00D850DF">
        <w:rPr>
          <w:rFonts w:asciiTheme="majorHAnsi" w:hAnsiTheme="majorHAnsi"/>
        </w:rPr>
        <w:t>2012</w:t>
      </w:r>
      <w:r w:rsidR="00065463" w:rsidRPr="00D850DF">
        <w:rPr>
          <w:rFonts w:asciiTheme="majorHAnsi" w:hAnsiTheme="majorHAnsi"/>
        </w:rPr>
        <w:t>)</w:t>
      </w:r>
      <w:r w:rsidRPr="00D850DF">
        <w:rPr>
          <w:rFonts w:asciiTheme="majorHAnsi" w:hAnsiTheme="majorHAnsi"/>
        </w:rPr>
        <w:t xml:space="preserve"> Guidance on the Interpretation of Workplace Exposure Standards for Airborne Contaminants, accessed in July 2016, </w:t>
      </w:r>
      <w:hyperlink r:id="rId240" w:history="1">
        <w:r w:rsidR="00D014DC" w:rsidRPr="003A1328">
          <w:rPr>
            <w:rStyle w:val="Hyperlink"/>
            <w:rFonts w:asciiTheme="majorHAnsi" w:hAnsiTheme="majorHAnsi"/>
          </w:rPr>
          <w:t>http://www.safeworkaustralia.gov.au/sites/SWA/about/Publications/Documents/680/Guidance_Interpretation_Workplace_Exposure_Standards_Airborne_Contaminants%20.pdf</w:t>
        </w:r>
      </w:hyperlink>
      <w:r w:rsidRPr="00D850DF">
        <w:rPr>
          <w:rFonts w:asciiTheme="majorHAnsi" w:hAnsiTheme="majorHAnsi"/>
        </w:rPr>
        <w:t>&gt;.</w:t>
      </w:r>
    </w:p>
    <w:p w14:paraId="67BAE8F6" w14:textId="0CCBABE6" w:rsidR="00D014DC" w:rsidRPr="00D850DF" w:rsidRDefault="00D014DC" w:rsidP="00D014DC">
      <w:pPr>
        <w:pStyle w:val="Body"/>
        <w:spacing w:afterLines="20" w:after="48"/>
        <w:ind w:left="567" w:hanging="567"/>
        <w:rPr>
          <w:rFonts w:asciiTheme="majorHAnsi" w:hAnsiTheme="majorHAnsi"/>
        </w:rPr>
      </w:pPr>
      <w:r w:rsidRPr="00D014DC">
        <w:rPr>
          <w:rFonts w:asciiTheme="majorHAnsi" w:hAnsiTheme="majorHAnsi"/>
        </w:rPr>
        <w:t>Sanford W (2010). Calibration of models using groundwater age</w:t>
      </w:r>
      <w:r>
        <w:rPr>
          <w:rFonts w:asciiTheme="majorHAnsi" w:hAnsiTheme="majorHAnsi"/>
        </w:rPr>
        <w:t>.</w:t>
      </w:r>
      <w:r w:rsidRPr="00D014DC">
        <w:rPr>
          <w:rFonts w:asciiTheme="majorHAnsi" w:hAnsiTheme="majorHAnsi"/>
        </w:rPr>
        <w:t xml:space="preserve"> Hydrogeol</w:t>
      </w:r>
      <w:r>
        <w:rPr>
          <w:rFonts w:asciiTheme="majorHAnsi" w:hAnsiTheme="majorHAnsi"/>
        </w:rPr>
        <w:t>ogy</w:t>
      </w:r>
      <w:r w:rsidRPr="00D014DC">
        <w:rPr>
          <w:rFonts w:asciiTheme="majorHAnsi" w:hAnsiTheme="majorHAnsi"/>
        </w:rPr>
        <w:t xml:space="preserve"> J</w:t>
      </w:r>
      <w:r>
        <w:rPr>
          <w:rFonts w:asciiTheme="majorHAnsi" w:hAnsiTheme="majorHAnsi"/>
        </w:rPr>
        <w:t>ournal</w:t>
      </w:r>
      <w:r w:rsidRPr="00D014DC">
        <w:rPr>
          <w:rFonts w:asciiTheme="majorHAnsi" w:hAnsiTheme="majorHAnsi"/>
        </w:rPr>
        <w:t xml:space="preserve"> 19</w:t>
      </w:r>
      <w:r>
        <w:rPr>
          <w:rFonts w:asciiTheme="majorHAnsi" w:hAnsiTheme="majorHAnsi"/>
        </w:rPr>
        <w:t>:</w:t>
      </w:r>
      <w:r w:rsidRPr="00D014DC">
        <w:rPr>
          <w:rFonts w:asciiTheme="majorHAnsi" w:hAnsiTheme="majorHAnsi"/>
        </w:rPr>
        <w:t xml:space="preserve"> 13–16</w:t>
      </w:r>
      <w:r>
        <w:rPr>
          <w:rFonts w:asciiTheme="majorHAnsi" w:hAnsiTheme="majorHAnsi"/>
        </w:rPr>
        <w:t>.</w:t>
      </w:r>
      <w:r w:rsidRPr="00D014DC">
        <w:rPr>
          <w:rFonts w:asciiTheme="majorHAnsi" w:hAnsiTheme="majorHAnsi"/>
        </w:rPr>
        <w:t xml:space="preserve"> </w:t>
      </w:r>
      <w:proofErr w:type="gramStart"/>
      <w:r w:rsidRPr="00D014DC">
        <w:rPr>
          <w:rFonts w:asciiTheme="majorHAnsi" w:hAnsiTheme="majorHAnsi"/>
        </w:rPr>
        <w:t>doi</w:t>
      </w:r>
      <w:r>
        <w:rPr>
          <w:rFonts w:asciiTheme="majorHAnsi" w:hAnsiTheme="majorHAnsi"/>
        </w:rPr>
        <w:t>:</w:t>
      </w:r>
      <w:proofErr w:type="gramEnd"/>
      <w:r>
        <w:rPr>
          <w:rFonts w:asciiTheme="majorHAnsi" w:hAnsiTheme="majorHAnsi"/>
        </w:rPr>
        <w:t>10.1007/s10040-010-0637-6</w:t>
      </w:r>
      <w:r w:rsidRPr="00D014DC">
        <w:rPr>
          <w:rFonts w:asciiTheme="majorHAnsi" w:hAnsiTheme="majorHAnsi"/>
        </w:rPr>
        <w:t>.</w:t>
      </w:r>
    </w:p>
    <w:p w14:paraId="1E99B0AE" w14:textId="2AD716E1" w:rsidR="002A264F" w:rsidRPr="00D850DF" w:rsidRDefault="002A264F" w:rsidP="002A264F">
      <w:pPr>
        <w:pStyle w:val="Body"/>
        <w:spacing w:afterLines="20" w:after="48"/>
        <w:ind w:left="567" w:hanging="567"/>
        <w:rPr>
          <w:rFonts w:asciiTheme="majorHAnsi" w:hAnsiTheme="majorHAnsi"/>
        </w:rPr>
      </w:pPr>
      <w:r w:rsidRPr="00D850DF">
        <w:rPr>
          <w:rFonts w:asciiTheme="majorHAnsi" w:hAnsiTheme="majorHAnsi"/>
        </w:rPr>
        <w:t>Santos (2013)</w:t>
      </w:r>
      <w:r w:rsidR="00065463" w:rsidRPr="00D850DF">
        <w:rPr>
          <w:rFonts w:asciiTheme="majorHAnsi" w:hAnsiTheme="majorHAnsi"/>
        </w:rPr>
        <w:t>.</w:t>
      </w:r>
      <w:r w:rsidRPr="00D850DF">
        <w:rPr>
          <w:rFonts w:asciiTheme="majorHAnsi" w:hAnsiTheme="majorHAnsi"/>
        </w:rPr>
        <w:t xml:space="preserve"> Appendix E Golder supporting hazard ranking information. Santos GLNG Project. 626 pp. </w:t>
      </w:r>
    </w:p>
    <w:p w14:paraId="365E072A" w14:textId="6A3BE171" w:rsidR="00FD6F6D" w:rsidRDefault="00FD6F6D" w:rsidP="000144B2">
      <w:pPr>
        <w:pStyle w:val="Body"/>
        <w:spacing w:afterLines="20" w:after="48"/>
        <w:ind w:left="567" w:hanging="567"/>
        <w:rPr>
          <w:rFonts w:asciiTheme="majorHAnsi" w:hAnsiTheme="majorHAnsi"/>
        </w:rPr>
      </w:pPr>
      <w:r w:rsidRPr="00D850DF">
        <w:rPr>
          <w:rFonts w:asciiTheme="majorHAnsi" w:hAnsiTheme="majorHAnsi"/>
        </w:rPr>
        <w:t>Santos (2014)</w:t>
      </w:r>
      <w:r w:rsidR="00065463" w:rsidRPr="00D850DF">
        <w:rPr>
          <w:rFonts w:asciiTheme="majorHAnsi" w:hAnsiTheme="majorHAnsi"/>
        </w:rPr>
        <w:t>.</w:t>
      </w:r>
      <w:r w:rsidRPr="00D850DF">
        <w:rPr>
          <w:rFonts w:asciiTheme="majorHAnsi" w:hAnsiTheme="majorHAnsi"/>
        </w:rPr>
        <w:t xml:space="preserve"> Santos GLNG upstream hydraulic fracturing risk assessment – Compendium of assessed fluid systems. Viewed 24 March 2016, </w:t>
      </w:r>
      <w:hyperlink r:id="rId241" w:history="1">
        <w:r w:rsidRPr="00D850DF">
          <w:rPr>
            <w:rFonts w:asciiTheme="majorHAnsi" w:hAnsiTheme="majorHAnsi"/>
          </w:rPr>
          <w:t>http://www.santoswaterportal.com.au/media/pdf1876/compendium-assessed-fluid-systems.pdf</w:t>
        </w:r>
      </w:hyperlink>
      <w:r w:rsidR="000F310B" w:rsidRPr="00D850DF">
        <w:rPr>
          <w:rFonts w:asciiTheme="majorHAnsi" w:hAnsiTheme="majorHAnsi"/>
        </w:rPr>
        <w:t>.</w:t>
      </w:r>
    </w:p>
    <w:p w14:paraId="455359AA" w14:textId="45C9D81B" w:rsidR="00011468" w:rsidRPr="00D850DF" w:rsidRDefault="00011468" w:rsidP="000144B2">
      <w:pPr>
        <w:pStyle w:val="Body"/>
        <w:spacing w:afterLines="20" w:after="48"/>
        <w:ind w:left="567" w:hanging="567"/>
        <w:rPr>
          <w:rFonts w:asciiTheme="majorHAnsi" w:hAnsiTheme="majorHAnsi"/>
        </w:rPr>
      </w:pPr>
      <w:r>
        <w:rPr>
          <w:rFonts w:asciiTheme="majorHAnsi" w:hAnsiTheme="majorHAnsi"/>
        </w:rPr>
        <w:t>Santos (2016). Santos GLNG Gas Field Development Program. Water quality management. Preparted by EHS Support Pty Ltd.</w:t>
      </w:r>
    </w:p>
    <w:p w14:paraId="1540F3C6" w14:textId="3B72BD1D" w:rsidR="00851C1C" w:rsidRPr="00D850DF" w:rsidRDefault="00851C1C" w:rsidP="00851C1C">
      <w:pPr>
        <w:pStyle w:val="Body"/>
        <w:spacing w:afterLines="20" w:after="48"/>
        <w:ind w:left="567" w:hanging="567"/>
        <w:rPr>
          <w:rFonts w:asciiTheme="majorHAnsi" w:hAnsiTheme="majorHAnsi"/>
        </w:rPr>
      </w:pPr>
      <w:r w:rsidRPr="00D850DF">
        <w:rPr>
          <w:rFonts w:asciiTheme="majorHAnsi" w:hAnsiTheme="majorHAnsi"/>
        </w:rPr>
        <w:t>Savostianov NA (1991)</w:t>
      </w:r>
      <w:r w:rsidR="00065463" w:rsidRPr="00D850DF">
        <w:rPr>
          <w:rFonts w:asciiTheme="majorHAnsi" w:hAnsiTheme="majorHAnsi"/>
        </w:rPr>
        <w:t>.</w:t>
      </w:r>
      <w:r w:rsidRPr="00D850DF">
        <w:rPr>
          <w:rFonts w:asciiTheme="majorHAnsi" w:hAnsiTheme="majorHAnsi"/>
        </w:rPr>
        <w:t xml:space="preserve"> Part 2. Advances in Cased </w:t>
      </w:r>
      <w:proofErr w:type="gramStart"/>
      <w:r w:rsidRPr="00D850DF">
        <w:rPr>
          <w:rFonts w:asciiTheme="majorHAnsi" w:hAnsiTheme="majorHAnsi"/>
        </w:rPr>
        <w:t>Hole</w:t>
      </w:r>
      <w:proofErr w:type="gramEnd"/>
      <w:r w:rsidRPr="00D850DF">
        <w:rPr>
          <w:rFonts w:asciiTheme="majorHAnsi" w:hAnsiTheme="majorHAnsi"/>
        </w:rPr>
        <w:t xml:space="preserve"> Logging and Completion Technology. </w:t>
      </w:r>
      <w:r w:rsidR="004A7C12" w:rsidRPr="00D850DF">
        <w:rPr>
          <w:rFonts w:asciiTheme="majorHAnsi" w:hAnsiTheme="majorHAnsi"/>
        </w:rPr>
        <w:t xml:space="preserve">OnePetro. </w:t>
      </w:r>
      <w:r w:rsidRPr="00D850DF">
        <w:rPr>
          <w:rFonts w:asciiTheme="majorHAnsi" w:hAnsiTheme="majorHAnsi"/>
        </w:rPr>
        <w:t>13th World Petroleum Congress, 20-25 October, Buenos Aires, Argentina</w:t>
      </w:r>
      <w:r w:rsidR="004A7C12" w:rsidRPr="00D850DF">
        <w:rPr>
          <w:rFonts w:asciiTheme="majorHAnsi" w:hAnsiTheme="majorHAnsi"/>
        </w:rPr>
        <w:t>. Paper WPC-24154.</w:t>
      </w:r>
    </w:p>
    <w:p w14:paraId="1D5DF5A2" w14:textId="2708584D" w:rsidR="007B7592" w:rsidRPr="00D850DF" w:rsidRDefault="007B7592" w:rsidP="007B7592">
      <w:pPr>
        <w:pStyle w:val="Body"/>
        <w:spacing w:afterLines="20" w:after="48"/>
        <w:ind w:left="567" w:hanging="567"/>
        <w:rPr>
          <w:rFonts w:asciiTheme="majorHAnsi" w:hAnsiTheme="majorHAnsi"/>
        </w:rPr>
      </w:pPr>
      <w:r w:rsidRPr="00D850DF">
        <w:rPr>
          <w:rFonts w:asciiTheme="majorHAnsi" w:hAnsiTheme="majorHAnsi"/>
        </w:rPr>
        <w:t xml:space="preserve">Sawamura S, Kitamura K, </w:t>
      </w:r>
      <w:r w:rsidR="00A76EF5" w:rsidRPr="00D850DF">
        <w:rPr>
          <w:rFonts w:asciiTheme="majorHAnsi" w:hAnsiTheme="majorHAnsi"/>
        </w:rPr>
        <w:t xml:space="preserve">and </w:t>
      </w:r>
      <w:r w:rsidRPr="00D850DF">
        <w:rPr>
          <w:rFonts w:asciiTheme="majorHAnsi" w:hAnsiTheme="majorHAnsi"/>
        </w:rPr>
        <w:t>Taniguchi Y</w:t>
      </w:r>
      <w:r w:rsidR="00A76EF5" w:rsidRPr="00D850DF">
        <w:rPr>
          <w:rFonts w:asciiTheme="majorHAnsi" w:hAnsiTheme="majorHAnsi"/>
        </w:rPr>
        <w:t xml:space="preserve"> (</w:t>
      </w:r>
      <w:r w:rsidRPr="00D850DF">
        <w:rPr>
          <w:rFonts w:asciiTheme="majorHAnsi" w:hAnsiTheme="majorHAnsi"/>
        </w:rPr>
        <w:t>1989</w:t>
      </w:r>
      <w:r w:rsidR="00A76EF5"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Effects of pressure and temperature on the solubilities of benzene and alkylbenzenes in water. J</w:t>
      </w:r>
      <w:r w:rsidR="00643E10" w:rsidRPr="00D850DF">
        <w:rPr>
          <w:rFonts w:asciiTheme="majorHAnsi" w:hAnsiTheme="majorHAnsi"/>
        </w:rPr>
        <w:t>ournal of</w:t>
      </w:r>
      <w:r w:rsidRPr="00D850DF">
        <w:rPr>
          <w:rFonts w:asciiTheme="majorHAnsi" w:hAnsiTheme="majorHAnsi"/>
        </w:rPr>
        <w:t xml:space="preserve"> Phys</w:t>
      </w:r>
      <w:r w:rsidR="00643E10" w:rsidRPr="00D850DF">
        <w:rPr>
          <w:rFonts w:asciiTheme="majorHAnsi" w:hAnsiTheme="majorHAnsi"/>
        </w:rPr>
        <w:t>ic</w:t>
      </w:r>
      <w:r w:rsidR="00197620" w:rsidRPr="00D850DF">
        <w:rPr>
          <w:rFonts w:asciiTheme="majorHAnsi" w:hAnsiTheme="majorHAnsi"/>
        </w:rPr>
        <w:t>al</w:t>
      </w:r>
      <w:r w:rsidRPr="00D850DF">
        <w:rPr>
          <w:rFonts w:asciiTheme="majorHAnsi" w:hAnsiTheme="majorHAnsi"/>
        </w:rPr>
        <w:t xml:space="preserve"> Chem</w:t>
      </w:r>
      <w:r w:rsidR="00643E10" w:rsidRPr="00D850DF">
        <w:rPr>
          <w:rFonts w:asciiTheme="majorHAnsi" w:hAnsiTheme="majorHAnsi"/>
        </w:rPr>
        <w:t>istry</w:t>
      </w:r>
      <w:r w:rsidRPr="00D850DF">
        <w:rPr>
          <w:rFonts w:asciiTheme="majorHAnsi" w:hAnsiTheme="majorHAnsi"/>
        </w:rPr>
        <w:t xml:space="preserve"> 93</w:t>
      </w:r>
      <w:r w:rsidR="00D77A45" w:rsidRPr="00D850DF">
        <w:rPr>
          <w:rFonts w:asciiTheme="majorHAnsi" w:hAnsiTheme="majorHAnsi"/>
        </w:rPr>
        <w:t>:</w:t>
      </w:r>
      <w:r w:rsidRPr="00D850DF">
        <w:rPr>
          <w:rFonts w:asciiTheme="majorHAnsi" w:hAnsiTheme="majorHAnsi"/>
        </w:rPr>
        <w:t xml:space="preserve"> 4931-4935.</w:t>
      </w:r>
    </w:p>
    <w:p w14:paraId="38A50D50" w14:textId="4B52083F" w:rsidR="007B7592" w:rsidRPr="00D850DF" w:rsidRDefault="007B7592" w:rsidP="007B7592">
      <w:pPr>
        <w:pStyle w:val="Body"/>
        <w:spacing w:afterLines="20" w:after="48"/>
        <w:ind w:left="567" w:hanging="567"/>
        <w:rPr>
          <w:rFonts w:asciiTheme="majorHAnsi" w:hAnsiTheme="majorHAnsi"/>
        </w:rPr>
      </w:pPr>
      <w:r w:rsidRPr="00D850DF">
        <w:rPr>
          <w:rFonts w:asciiTheme="majorHAnsi" w:hAnsiTheme="majorHAnsi"/>
        </w:rPr>
        <w:t>Sawamura S, Nagaoka K, Machikawa T</w:t>
      </w:r>
      <w:r w:rsidR="00A76EF5" w:rsidRPr="00D850DF">
        <w:rPr>
          <w:rFonts w:asciiTheme="majorHAnsi" w:hAnsiTheme="majorHAnsi"/>
        </w:rPr>
        <w:t xml:space="preserve"> (2001)</w:t>
      </w:r>
      <w:r w:rsidR="00065463" w:rsidRPr="00D850DF">
        <w:rPr>
          <w:rFonts w:asciiTheme="majorHAnsi" w:hAnsiTheme="majorHAnsi"/>
        </w:rPr>
        <w:t>.</w:t>
      </w:r>
      <w:r w:rsidRPr="00D850DF">
        <w:rPr>
          <w:rFonts w:asciiTheme="majorHAnsi" w:hAnsiTheme="majorHAnsi"/>
        </w:rPr>
        <w:t xml:space="preserve"> Effects of pressure and temperature on the solubility of alkylbenzenes in water: volumetric property of hydrophobic hydration. J</w:t>
      </w:r>
      <w:r w:rsidR="00643E10" w:rsidRPr="00D850DF">
        <w:rPr>
          <w:rFonts w:asciiTheme="majorHAnsi" w:hAnsiTheme="majorHAnsi"/>
        </w:rPr>
        <w:t>ournal of</w:t>
      </w:r>
      <w:r w:rsidRPr="00D850DF">
        <w:rPr>
          <w:rFonts w:asciiTheme="majorHAnsi" w:hAnsiTheme="majorHAnsi"/>
        </w:rPr>
        <w:t xml:space="preserve"> Phys</w:t>
      </w:r>
      <w:r w:rsidR="00643E10" w:rsidRPr="00D850DF">
        <w:rPr>
          <w:rFonts w:asciiTheme="majorHAnsi" w:hAnsiTheme="majorHAnsi"/>
        </w:rPr>
        <w:t>ical</w:t>
      </w:r>
      <w:r w:rsidRPr="00D850DF">
        <w:rPr>
          <w:rFonts w:asciiTheme="majorHAnsi" w:hAnsiTheme="majorHAnsi"/>
        </w:rPr>
        <w:t xml:space="preserve"> Chem</w:t>
      </w:r>
      <w:r w:rsidR="00643E10" w:rsidRPr="00D850DF">
        <w:rPr>
          <w:rFonts w:asciiTheme="majorHAnsi" w:hAnsiTheme="majorHAnsi"/>
        </w:rPr>
        <w:t>istry</w:t>
      </w:r>
      <w:r w:rsidRPr="00D850DF">
        <w:rPr>
          <w:rFonts w:asciiTheme="majorHAnsi" w:hAnsiTheme="majorHAnsi"/>
        </w:rPr>
        <w:t xml:space="preserve"> 105</w:t>
      </w:r>
      <w:r w:rsidR="00D77A45" w:rsidRPr="00D850DF">
        <w:rPr>
          <w:rFonts w:asciiTheme="majorHAnsi" w:hAnsiTheme="majorHAnsi"/>
        </w:rPr>
        <w:t>:</w:t>
      </w:r>
      <w:r w:rsidRPr="00D850DF">
        <w:rPr>
          <w:rFonts w:asciiTheme="majorHAnsi" w:hAnsiTheme="majorHAnsi"/>
        </w:rPr>
        <w:t xml:space="preserve"> 2429-2436.</w:t>
      </w:r>
    </w:p>
    <w:p w14:paraId="292960E7" w14:textId="77777777" w:rsidR="00011468" w:rsidRPr="002B1635" w:rsidRDefault="00011468" w:rsidP="00011468">
      <w:pPr>
        <w:pStyle w:val="Body"/>
        <w:spacing w:afterLines="20" w:after="48"/>
        <w:ind w:left="567" w:hanging="567"/>
        <w:rPr>
          <w:rFonts w:asciiTheme="majorHAnsi" w:hAnsiTheme="majorHAnsi"/>
        </w:rPr>
      </w:pPr>
      <w:r w:rsidRPr="002B1635">
        <w:rPr>
          <w:rFonts w:asciiTheme="majorHAnsi" w:hAnsiTheme="majorHAnsi"/>
        </w:rPr>
        <w:t>Schlumberger Water Services (2012)</w:t>
      </w:r>
      <w:r>
        <w:rPr>
          <w:rFonts w:asciiTheme="majorHAnsi" w:hAnsiTheme="majorHAnsi"/>
        </w:rPr>
        <w:t>.</w:t>
      </w:r>
      <w:r w:rsidRPr="002B1635">
        <w:rPr>
          <w:rFonts w:asciiTheme="majorHAnsi" w:hAnsiTheme="majorHAnsi"/>
        </w:rPr>
        <w:t xml:space="preserve"> Namoi Catchment Water Study Independent Expert Final Study Report, prepared by Schlumberger Water Services (Australia) Pty Ltd. for the Department of Trade and Investment, Regional infrastructure and Services, NSW.</w:t>
      </w:r>
    </w:p>
    <w:p w14:paraId="2F8B99ED" w14:textId="5C918B8A"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Schoderboeck L, Muhlegger S, Losert A, Gausterer C</w:t>
      </w:r>
      <w:r w:rsidR="00A76EF5" w:rsidRPr="00D850DF">
        <w:rPr>
          <w:rFonts w:asciiTheme="majorHAnsi" w:hAnsiTheme="majorHAnsi"/>
        </w:rPr>
        <w:t>,</w:t>
      </w:r>
      <w:r w:rsidRPr="00D850DF">
        <w:rPr>
          <w:rFonts w:asciiTheme="majorHAnsi" w:hAnsiTheme="majorHAnsi"/>
        </w:rPr>
        <w:t xml:space="preserve"> and Hornek R (2011). Effects assessment: boron compounds in the aquatic environment.  Chemosphere</w:t>
      </w:r>
      <w:r w:rsidR="00D77A45" w:rsidRPr="00D850DF">
        <w:rPr>
          <w:rFonts w:asciiTheme="majorHAnsi" w:hAnsiTheme="majorHAnsi"/>
        </w:rPr>
        <w:t xml:space="preserve"> 82:</w:t>
      </w:r>
      <w:r w:rsidRPr="00D850DF">
        <w:rPr>
          <w:rFonts w:asciiTheme="majorHAnsi" w:hAnsiTheme="majorHAnsi"/>
        </w:rPr>
        <w:t xml:space="preserve"> 483-487.</w:t>
      </w:r>
    </w:p>
    <w:p w14:paraId="733B2609" w14:textId="5B0136B5" w:rsidR="000F310B" w:rsidRPr="00D850DF" w:rsidRDefault="000F310B" w:rsidP="000144B2">
      <w:pPr>
        <w:pStyle w:val="Body"/>
        <w:spacing w:afterLines="20" w:after="48"/>
        <w:ind w:left="567" w:hanging="567"/>
        <w:rPr>
          <w:rFonts w:asciiTheme="majorHAnsi" w:hAnsiTheme="majorHAnsi"/>
        </w:rPr>
      </w:pPr>
      <w:r w:rsidRPr="00D850DF">
        <w:rPr>
          <w:rFonts w:asciiTheme="majorHAnsi" w:hAnsiTheme="majorHAnsi"/>
        </w:rPr>
        <w:t>Scott S, Anderson B, Crosdale P</w:t>
      </w:r>
      <w:r w:rsidR="00B17DB6" w:rsidRPr="00D850DF">
        <w:rPr>
          <w:rFonts w:asciiTheme="majorHAnsi" w:hAnsiTheme="majorHAnsi"/>
        </w:rPr>
        <w:t>,</w:t>
      </w:r>
      <w:r w:rsidRPr="00D850DF">
        <w:rPr>
          <w:rFonts w:asciiTheme="majorHAnsi" w:hAnsiTheme="majorHAnsi"/>
        </w:rPr>
        <w:t xml:space="preserve"> Dingwall J</w:t>
      </w:r>
      <w:r w:rsidR="00A76EF5" w:rsidRPr="00D850DF">
        <w:rPr>
          <w:rFonts w:asciiTheme="majorHAnsi" w:hAnsiTheme="majorHAnsi"/>
        </w:rPr>
        <w:t>,</w:t>
      </w:r>
      <w:r w:rsidRPr="00D850DF">
        <w:rPr>
          <w:rFonts w:asciiTheme="majorHAnsi" w:hAnsiTheme="majorHAnsi"/>
        </w:rPr>
        <w:t xml:space="preserve"> and Leblang G (2007)</w:t>
      </w:r>
      <w:r w:rsidR="00065463" w:rsidRPr="00D850DF">
        <w:rPr>
          <w:rFonts w:asciiTheme="majorHAnsi" w:hAnsiTheme="majorHAnsi"/>
        </w:rPr>
        <w:t>.</w:t>
      </w:r>
      <w:r w:rsidRPr="00D850DF">
        <w:rPr>
          <w:rFonts w:asciiTheme="majorHAnsi" w:hAnsiTheme="majorHAnsi"/>
        </w:rPr>
        <w:t xml:space="preserve"> Coal petrology and coal seam gas contents of the Walloon Subgroup – Surat Basin, Queensland, Australia. International Journal of Coal Geology 70</w:t>
      </w:r>
      <w:r w:rsidR="00D77A45" w:rsidRPr="00D850DF">
        <w:rPr>
          <w:rFonts w:asciiTheme="majorHAnsi" w:hAnsiTheme="majorHAnsi"/>
        </w:rPr>
        <w:t>:</w:t>
      </w:r>
      <w:r w:rsidRPr="00D850DF">
        <w:rPr>
          <w:rFonts w:asciiTheme="majorHAnsi" w:hAnsiTheme="majorHAnsi"/>
        </w:rPr>
        <w:t xml:space="preserve"> 209-222.</w:t>
      </w:r>
    </w:p>
    <w:p w14:paraId="27D73212" w14:textId="251337FA" w:rsidR="00950BD1" w:rsidRPr="00D850DF" w:rsidRDefault="00950BD1" w:rsidP="00950BD1">
      <w:pPr>
        <w:pStyle w:val="Body"/>
        <w:spacing w:afterLines="20" w:after="48"/>
        <w:ind w:left="567" w:hanging="567"/>
        <w:rPr>
          <w:rFonts w:asciiTheme="majorHAnsi" w:hAnsiTheme="majorHAnsi"/>
        </w:rPr>
      </w:pPr>
      <w:r w:rsidRPr="00D850DF">
        <w:rPr>
          <w:rFonts w:asciiTheme="majorHAnsi" w:hAnsiTheme="majorHAnsi"/>
        </w:rPr>
        <w:t>Scow KM and Johnson CR (1997</w:t>
      </w:r>
      <w:r w:rsidR="00065463" w:rsidRPr="00D850DF">
        <w:rPr>
          <w:rFonts w:asciiTheme="majorHAnsi" w:hAnsiTheme="majorHAnsi"/>
        </w:rPr>
        <w:t xml:space="preserve">). </w:t>
      </w:r>
      <w:r w:rsidRPr="00D850DF">
        <w:rPr>
          <w:rFonts w:asciiTheme="majorHAnsi" w:hAnsiTheme="majorHAnsi"/>
        </w:rPr>
        <w:t>Effect of sorption on biodegradation of soil pollutants. Advances in Agronomy 58: 56.</w:t>
      </w:r>
    </w:p>
    <w:p w14:paraId="6B25872A" w14:textId="327C5686" w:rsidR="00D9435D" w:rsidRPr="00D850DF" w:rsidRDefault="00D9435D" w:rsidP="000144B2">
      <w:pPr>
        <w:pStyle w:val="Body"/>
        <w:spacing w:afterLines="20" w:after="48"/>
        <w:ind w:left="567" w:hanging="567"/>
        <w:rPr>
          <w:rFonts w:asciiTheme="majorHAnsi" w:hAnsiTheme="majorHAnsi"/>
        </w:rPr>
      </w:pPr>
      <w:r w:rsidRPr="00D850DF">
        <w:rPr>
          <w:rFonts w:asciiTheme="majorHAnsi" w:hAnsiTheme="majorHAnsi"/>
        </w:rPr>
        <w:t>Seybold CD (1994)</w:t>
      </w:r>
      <w:r w:rsidR="00065463" w:rsidRPr="00D850DF">
        <w:rPr>
          <w:rFonts w:asciiTheme="majorHAnsi" w:hAnsiTheme="majorHAnsi"/>
        </w:rPr>
        <w:t>.</w:t>
      </w:r>
      <w:r w:rsidRPr="00D850DF">
        <w:rPr>
          <w:rFonts w:asciiTheme="majorHAnsi" w:hAnsiTheme="majorHAnsi"/>
        </w:rPr>
        <w:t xml:space="preserve"> Polyacrylamide review: Soil conditioning and environmental fate, Communications in Soil Science and Plant Analysis 25(11-12)</w:t>
      </w:r>
      <w:r w:rsidR="00D77A45" w:rsidRPr="00D850DF">
        <w:rPr>
          <w:rFonts w:asciiTheme="majorHAnsi" w:hAnsiTheme="majorHAnsi"/>
        </w:rPr>
        <w:t>:</w:t>
      </w:r>
      <w:r w:rsidRPr="00D850DF">
        <w:rPr>
          <w:rFonts w:asciiTheme="majorHAnsi" w:hAnsiTheme="majorHAnsi"/>
        </w:rPr>
        <w:t xml:space="preserve"> 2171-2185.</w:t>
      </w:r>
    </w:p>
    <w:p w14:paraId="02712795" w14:textId="47E340E3" w:rsidR="00D9435D" w:rsidRPr="00D850DF" w:rsidRDefault="00D9435D" w:rsidP="000144B2">
      <w:pPr>
        <w:pStyle w:val="Body"/>
        <w:spacing w:afterLines="20" w:after="48"/>
        <w:ind w:left="567" w:hanging="567"/>
        <w:rPr>
          <w:rFonts w:asciiTheme="majorHAnsi" w:hAnsiTheme="majorHAnsi"/>
        </w:rPr>
      </w:pPr>
      <w:r w:rsidRPr="00D850DF">
        <w:rPr>
          <w:rFonts w:asciiTheme="majorHAnsi" w:hAnsiTheme="majorHAnsi"/>
        </w:rPr>
        <w:t>Sharma P, Mayes MA</w:t>
      </w:r>
      <w:r w:rsidR="00A76EF5" w:rsidRPr="00D850DF">
        <w:rPr>
          <w:rFonts w:asciiTheme="majorHAnsi" w:hAnsiTheme="majorHAnsi"/>
        </w:rPr>
        <w:t>,</w:t>
      </w:r>
      <w:r w:rsidRPr="00D850DF">
        <w:rPr>
          <w:rFonts w:asciiTheme="majorHAnsi" w:hAnsiTheme="majorHAnsi"/>
        </w:rPr>
        <w:t xml:space="preserve"> and Tang G (2013)</w:t>
      </w:r>
      <w:r w:rsidR="00065463" w:rsidRPr="00D850DF">
        <w:rPr>
          <w:rFonts w:asciiTheme="majorHAnsi" w:hAnsiTheme="majorHAnsi"/>
        </w:rPr>
        <w:t>.</w:t>
      </w:r>
      <w:r w:rsidRPr="00D850DF">
        <w:rPr>
          <w:rFonts w:asciiTheme="majorHAnsi" w:hAnsiTheme="majorHAnsi"/>
        </w:rPr>
        <w:t xml:space="preserve"> Role of soil organic carbon and colloids in sorption and transport of TNT, RDX and HMX in training range soils</w:t>
      </w:r>
      <w:r w:rsidR="00D77A45" w:rsidRPr="00D850DF">
        <w:rPr>
          <w:rFonts w:asciiTheme="majorHAnsi" w:hAnsiTheme="majorHAnsi"/>
        </w:rPr>
        <w:t>.</w:t>
      </w:r>
      <w:r w:rsidRPr="00D850DF">
        <w:rPr>
          <w:rFonts w:asciiTheme="majorHAnsi" w:hAnsiTheme="majorHAnsi"/>
        </w:rPr>
        <w:t xml:space="preserve"> Chemosphere 92(8)</w:t>
      </w:r>
      <w:r w:rsidR="00D77A45" w:rsidRPr="00D850DF">
        <w:rPr>
          <w:rFonts w:asciiTheme="majorHAnsi" w:hAnsiTheme="majorHAnsi"/>
        </w:rPr>
        <w:t>:</w:t>
      </w:r>
      <w:r w:rsidRPr="00D850DF">
        <w:rPr>
          <w:rFonts w:asciiTheme="majorHAnsi" w:hAnsiTheme="majorHAnsi"/>
        </w:rPr>
        <w:t xml:space="preserve"> 993-1000.</w:t>
      </w:r>
    </w:p>
    <w:p w14:paraId="5A1BB21B" w14:textId="2D508903" w:rsidR="00FB3DDF" w:rsidRPr="00D850DF" w:rsidRDefault="00FB3DDF" w:rsidP="000144B2">
      <w:pPr>
        <w:pStyle w:val="Body"/>
        <w:spacing w:afterLines="20" w:after="48"/>
        <w:ind w:left="567" w:hanging="567"/>
        <w:rPr>
          <w:rFonts w:asciiTheme="majorHAnsi" w:hAnsiTheme="majorHAnsi"/>
        </w:rPr>
      </w:pPr>
      <w:r w:rsidRPr="00D850DF">
        <w:rPr>
          <w:rFonts w:asciiTheme="majorHAnsi" w:hAnsiTheme="majorHAnsi"/>
        </w:rPr>
        <w:t>Shaw M (2010)</w:t>
      </w:r>
      <w:r w:rsidR="00065463" w:rsidRPr="00D850DF">
        <w:rPr>
          <w:rFonts w:asciiTheme="majorHAnsi" w:hAnsiTheme="majorHAnsi"/>
        </w:rPr>
        <w:t>.</w:t>
      </w:r>
      <w:r w:rsidRPr="00D850DF">
        <w:rPr>
          <w:rFonts w:asciiTheme="majorHAnsi" w:hAnsiTheme="majorHAnsi"/>
        </w:rPr>
        <w:t xml:space="preserve"> Stream ecosystem health response to coal seam gas water release: Hazard characterisation. Brisbane: Department of Science, Information Technology, Innovation and the Arts.</w:t>
      </w:r>
    </w:p>
    <w:p w14:paraId="30F4294A" w14:textId="43D41F8E" w:rsidR="00F916B6" w:rsidRDefault="00F916B6" w:rsidP="00F916B6">
      <w:pPr>
        <w:pStyle w:val="Body"/>
        <w:spacing w:afterLines="20" w:after="48"/>
        <w:ind w:left="567" w:hanging="567"/>
        <w:rPr>
          <w:rFonts w:asciiTheme="majorHAnsi" w:hAnsiTheme="majorHAnsi"/>
        </w:rPr>
      </w:pPr>
      <w:r w:rsidRPr="00D850DF">
        <w:rPr>
          <w:rFonts w:asciiTheme="majorHAnsi" w:hAnsiTheme="majorHAnsi"/>
        </w:rPr>
        <w:t>Shulka OP and Bhattacharyya</w:t>
      </w:r>
      <w:r w:rsidR="00A76EF5" w:rsidRPr="00D850DF">
        <w:rPr>
          <w:rFonts w:asciiTheme="majorHAnsi" w:hAnsiTheme="majorHAnsi"/>
        </w:rPr>
        <w:t xml:space="preserve"> PK</w:t>
      </w:r>
      <w:r w:rsidRPr="00D850DF">
        <w:rPr>
          <w:rFonts w:asciiTheme="majorHAnsi" w:hAnsiTheme="majorHAnsi"/>
        </w:rPr>
        <w:t xml:space="preserve"> </w:t>
      </w:r>
      <w:r w:rsidR="00A76EF5" w:rsidRPr="00D850DF">
        <w:rPr>
          <w:rFonts w:asciiTheme="majorHAnsi" w:hAnsiTheme="majorHAnsi"/>
        </w:rPr>
        <w:t>(</w:t>
      </w:r>
      <w:r w:rsidRPr="00D850DF">
        <w:rPr>
          <w:rFonts w:asciiTheme="majorHAnsi" w:hAnsiTheme="majorHAnsi"/>
        </w:rPr>
        <w:t>1968</w:t>
      </w:r>
      <w:r w:rsidR="00A76EF5"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Microbial transformation of terpenes: Part XI — Pathways of degradation of alpha </w:t>
      </w:r>
      <w:r w:rsidR="004A7452" w:rsidRPr="00D850DF">
        <w:rPr>
          <w:rFonts w:asciiTheme="majorHAnsi" w:hAnsiTheme="majorHAnsi"/>
        </w:rPr>
        <w:t>and</w:t>
      </w:r>
      <w:r w:rsidRPr="00D850DF">
        <w:rPr>
          <w:rFonts w:asciiTheme="majorHAnsi" w:hAnsiTheme="majorHAnsi"/>
        </w:rPr>
        <w:t xml:space="preserve"> beta pinenes in a soil pseudomonad (PL-strain). Indian </w:t>
      </w:r>
      <w:r w:rsidR="00197620" w:rsidRPr="00D850DF">
        <w:rPr>
          <w:rFonts w:asciiTheme="majorHAnsi" w:hAnsiTheme="majorHAnsi"/>
        </w:rPr>
        <w:t>J</w:t>
      </w:r>
      <w:r w:rsidRPr="00D850DF">
        <w:rPr>
          <w:rFonts w:asciiTheme="majorHAnsi" w:hAnsiTheme="majorHAnsi"/>
        </w:rPr>
        <w:t xml:space="preserve">ournal of </w:t>
      </w:r>
      <w:r w:rsidR="00197620" w:rsidRPr="00D850DF">
        <w:rPr>
          <w:rFonts w:asciiTheme="majorHAnsi" w:hAnsiTheme="majorHAnsi"/>
        </w:rPr>
        <w:t>B</w:t>
      </w:r>
      <w:r w:rsidRPr="00D850DF">
        <w:rPr>
          <w:rFonts w:asciiTheme="majorHAnsi" w:hAnsiTheme="majorHAnsi"/>
        </w:rPr>
        <w:t>iochemistry 5(3): 92–101.</w:t>
      </w:r>
    </w:p>
    <w:p w14:paraId="6C7C8F30" w14:textId="6E1B3B6D" w:rsidR="00034D6E" w:rsidRPr="00D850DF" w:rsidRDefault="00034D6E" w:rsidP="00034D6E">
      <w:pPr>
        <w:pStyle w:val="Body"/>
        <w:spacing w:afterLines="20" w:after="48"/>
        <w:ind w:left="567" w:hanging="567"/>
        <w:rPr>
          <w:rFonts w:asciiTheme="majorHAnsi" w:hAnsiTheme="majorHAnsi"/>
        </w:rPr>
      </w:pPr>
      <w:r w:rsidRPr="00D850DF">
        <w:rPr>
          <w:rFonts w:asciiTheme="majorHAnsi" w:hAnsiTheme="majorHAnsi"/>
        </w:rPr>
        <w:t>Sigma-Aldrich (2014)</w:t>
      </w:r>
      <w:r w:rsidR="00065463" w:rsidRPr="00D850DF">
        <w:rPr>
          <w:rFonts w:asciiTheme="majorHAnsi" w:hAnsiTheme="majorHAnsi"/>
        </w:rPr>
        <w:t>.</w:t>
      </w:r>
      <w:r w:rsidRPr="00D850DF">
        <w:rPr>
          <w:rFonts w:asciiTheme="majorHAnsi" w:hAnsiTheme="majorHAnsi"/>
        </w:rPr>
        <w:t xml:space="preserve"> Material Safety Data Sheet for 2-Bromo-2-nitro-1</w:t>
      </w:r>
      <w:proofErr w:type="gramStart"/>
      <w:r w:rsidRPr="00D850DF">
        <w:rPr>
          <w:rFonts w:asciiTheme="majorHAnsi" w:hAnsiTheme="majorHAnsi"/>
        </w:rPr>
        <w:t>,3</w:t>
      </w:r>
      <w:proofErr w:type="gramEnd"/>
      <w:r w:rsidRPr="00D850DF">
        <w:rPr>
          <w:rFonts w:asciiTheme="majorHAnsi" w:hAnsiTheme="majorHAnsi"/>
        </w:rPr>
        <w:t>-propanediol; St. Louis, MO, USA, 2014.</w:t>
      </w:r>
    </w:p>
    <w:p w14:paraId="098F7B25" w14:textId="07061574" w:rsidR="0071601A" w:rsidRPr="00D850DF" w:rsidRDefault="004860BD" w:rsidP="0071601A">
      <w:pPr>
        <w:pStyle w:val="Body"/>
        <w:spacing w:afterLines="20" w:after="48"/>
        <w:ind w:left="567" w:hanging="567"/>
        <w:rPr>
          <w:rFonts w:asciiTheme="majorHAnsi" w:hAnsiTheme="majorHAnsi"/>
        </w:rPr>
      </w:pPr>
      <w:r w:rsidRPr="00D850DF">
        <w:rPr>
          <w:rFonts w:asciiTheme="majorHAnsi" w:hAnsiTheme="majorHAnsi"/>
        </w:rPr>
        <w:t>Siman</w:t>
      </w:r>
      <w:r w:rsidR="0071601A" w:rsidRPr="00D850DF">
        <w:rPr>
          <w:rFonts w:asciiTheme="majorHAnsi" w:hAnsiTheme="majorHAnsi"/>
        </w:rPr>
        <w:t>e GS</w:t>
      </w:r>
      <w:r w:rsidR="00AC2F0E" w:rsidRPr="00D850DF">
        <w:rPr>
          <w:rFonts w:asciiTheme="majorHAnsi" w:hAnsiTheme="majorHAnsi"/>
        </w:rPr>
        <w:t>, Maledi</w:t>
      </w:r>
      <w:r w:rsidR="0071601A" w:rsidRPr="00D850DF">
        <w:rPr>
          <w:rFonts w:asciiTheme="majorHAnsi" w:hAnsiTheme="majorHAnsi"/>
        </w:rPr>
        <w:t xml:space="preserve"> N, Ochieng A, Ndlovu S, Zhang J</w:t>
      </w:r>
      <w:r w:rsidR="00A76EF5" w:rsidRPr="00D850DF">
        <w:rPr>
          <w:rFonts w:asciiTheme="majorHAnsi" w:hAnsiTheme="majorHAnsi"/>
        </w:rPr>
        <w:t>,</w:t>
      </w:r>
      <w:r w:rsidR="0071601A" w:rsidRPr="00D850DF">
        <w:rPr>
          <w:rFonts w:asciiTheme="majorHAnsi" w:hAnsiTheme="majorHAnsi"/>
        </w:rPr>
        <w:t xml:space="preserve"> and Walubita LF (2016)</w:t>
      </w:r>
      <w:r w:rsidR="00065463" w:rsidRPr="00D850DF">
        <w:rPr>
          <w:rFonts w:asciiTheme="majorHAnsi" w:hAnsiTheme="majorHAnsi"/>
        </w:rPr>
        <w:t>.</w:t>
      </w:r>
      <w:r w:rsidR="0071601A" w:rsidRPr="00D850DF">
        <w:rPr>
          <w:rFonts w:asciiTheme="majorHAnsi" w:hAnsiTheme="majorHAnsi"/>
        </w:rPr>
        <w:t xml:space="preserve"> Coal-based adsorbents for</w:t>
      </w:r>
      <w:r w:rsidR="00D77A45" w:rsidRPr="00D850DF">
        <w:rPr>
          <w:rFonts w:asciiTheme="majorHAnsi" w:hAnsiTheme="majorHAnsi"/>
        </w:rPr>
        <w:t xml:space="preserve"> water and wastewater treatment.</w:t>
      </w:r>
      <w:r w:rsidR="0071601A" w:rsidRPr="00D850DF">
        <w:rPr>
          <w:rFonts w:asciiTheme="majorHAnsi" w:hAnsiTheme="majorHAnsi"/>
        </w:rPr>
        <w:t xml:space="preserve"> Journal of Environmental Chemical Engineering 4</w:t>
      </w:r>
      <w:r w:rsidR="00D77A45" w:rsidRPr="00D850DF">
        <w:rPr>
          <w:rFonts w:asciiTheme="majorHAnsi" w:hAnsiTheme="majorHAnsi"/>
        </w:rPr>
        <w:t>:</w:t>
      </w:r>
      <w:r w:rsidR="0071601A" w:rsidRPr="00D850DF">
        <w:rPr>
          <w:rFonts w:asciiTheme="majorHAnsi" w:hAnsiTheme="majorHAnsi"/>
        </w:rPr>
        <w:t xml:space="preserve"> 2291-2312.</w:t>
      </w:r>
    </w:p>
    <w:p w14:paraId="5116F3E4" w14:textId="3BCB7403" w:rsidR="00E128FA" w:rsidRPr="00D850DF" w:rsidRDefault="00E128FA" w:rsidP="00E128FA">
      <w:pPr>
        <w:pStyle w:val="Body"/>
        <w:spacing w:afterLines="20" w:after="48"/>
        <w:ind w:left="567" w:hanging="567"/>
        <w:rPr>
          <w:rFonts w:asciiTheme="majorHAnsi" w:hAnsiTheme="majorHAnsi"/>
        </w:rPr>
      </w:pPr>
      <w:r w:rsidRPr="00D850DF">
        <w:rPr>
          <w:rFonts w:asciiTheme="majorHAnsi" w:hAnsiTheme="majorHAnsi"/>
        </w:rPr>
        <w:t>Siskin M and Aczel</w:t>
      </w:r>
      <w:r w:rsidR="00A76EF5" w:rsidRPr="00D850DF">
        <w:rPr>
          <w:rFonts w:asciiTheme="majorHAnsi" w:hAnsiTheme="majorHAnsi"/>
        </w:rPr>
        <w:t xml:space="preserve"> T</w:t>
      </w:r>
      <w:r w:rsidRPr="00D850DF">
        <w:rPr>
          <w:rFonts w:asciiTheme="majorHAnsi" w:hAnsiTheme="majorHAnsi"/>
        </w:rPr>
        <w:t xml:space="preserve"> </w:t>
      </w:r>
      <w:r w:rsidR="00A76EF5" w:rsidRPr="00D850DF">
        <w:rPr>
          <w:rFonts w:asciiTheme="majorHAnsi" w:hAnsiTheme="majorHAnsi"/>
        </w:rPr>
        <w:t>(</w:t>
      </w:r>
      <w:r w:rsidRPr="00D850DF">
        <w:rPr>
          <w:rFonts w:asciiTheme="majorHAnsi" w:hAnsiTheme="majorHAnsi"/>
        </w:rPr>
        <w:t>1983</w:t>
      </w:r>
      <w:r w:rsidR="00A76EF5"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Pyrolysis studies on the structure of esters and phenols in coal. Fuel 62:</w:t>
      </w:r>
      <w:r w:rsidR="00D77A45" w:rsidRPr="00D850DF">
        <w:rPr>
          <w:rFonts w:asciiTheme="majorHAnsi" w:hAnsiTheme="majorHAnsi"/>
        </w:rPr>
        <w:t xml:space="preserve"> </w:t>
      </w:r>
      <w:r w:rsidRPr="00D850DF">
        <w:rPr>
          <w:rFonts w:asciiTheme="majorHAnsi" w:hAnsiTheme="majorHAnsi"/>
        </w:rPr>
        <w:t>1321-1326.</w:t>
      </w:r>
    </w:p>
    <w:p w14:paraId="29D33B6A" w14:textId="1933E8B7" w:rsidR="00D9435D" w:rsidRPr="00D850DF" w:rsidRDefault="00D9435D" w:rsidP="00D9435D">
      <w:pPr>
        <w:pStyle w:val="Body"/>
        <w:spacing w:afterLines="20" w:after="48"/>
        <w:ind w:left="567" w:hanging="567"/>
        <w:rPr>
          <w:rFonts w:asciiTheme="majorHAnsi" w:hAnsiTheme="majorHAnsi"/>
        </w:rPr>
      </w:pPr>
      <w:r w:rsidRPr="00D850DF">
        <w:rPr>
          <w:rFonts w:asciiTheme="majorHAnsi" w:hAnsiTheme="majorHAnsi"/>
        </w:rPr>
        <w:t>Smedley PL</w:t>
      </w:r>
      <w:r w:rsidR="00AC2F0E" w:rsidRPr="00D850DF">
        <w:rPr>
          <w:rFonts w:asciiTheme="majorHAnsi" w:hAnsiTheme="majorHAnsi"/>
        </w:rPr>
        <w:t xml:space="preserve"> and</w:t>
      </w:r>
      <w:r w:rsidRPr="00D850DF">
        <w:rPr>
          <w:rFonts w:asciiTheme="majorHAnsi" w:hAnsiTheme="majorHAnsi"/>
        </w:rPr>
        <w:t xml:space="preserve"> Kinniburgh DG</w:t>
      </w:r>
      <w:r w:rsidR="00AC2F0E" w:rsidRPr="00D850DF">
        <w:rPr>
          <w:rFonts w:asciiTheme="majorHAnsi" w:hAnsiTheme="majorHAnsi"/>
        </w:rPr>
        <w:t xml:space="preserve"> (2002)</w:t>
      </w:r>
      <w:r w:rsidR="00065463" w:rsidRPr="00D850DF">
        <w:rPr>
          <w:rFonts w:asciiTheme="majorHAnsi" w:hAnsiTheme="majorHAnsi"/>
        </w:rPr>
        <w:t>.</w:t>
      </w:r>
      <w:r w:rsidRPr="00D850DF">
        <w:rPr>
          <w:rFonts w:asciiTheme="majorHAnsi" w:hAnsiTheme="majorHAnsi"/>
        </w:rPr>
        <w:t xml:space="preserve"> A review of the source, behaviour and distribution of arsenic in natural waters. Appl</w:t>
      </w:r>
      <w:r w:rsidR="00197620" w:rsidRPr="00D850DF">
        <w:rPr>
          <w:rFonts w:asciiTheme="majorHAnsi" w:hAnsiTheme="majorHAnsi"/>
        </w:rPr>
        <w:t>ied</w:t>
      </w:r>
      <w:r w:rsidRPr="00D850DF">
        <w:rPr>
          <w:rFonts w:asciiTheme="majorHAnsi" w:hAnsiTheme="majorHAnsi"/>
        </w:rPr>
        <w:t xml:space="preserve"> Geochem</w:t>
      </w:r>
      <w:r w:rsidR="00197620" w:rsidRPr="00D850DF">
        <w:rPr>
          <w:rFonts w:asciiTheme="majorHAnsi" w:hAnsiTheme="majorHAnsi"/>
        </w:rPr>
        <w:t>stry</w:t>
      </w:r>
      <w:r w:rsidRPr="00D850DF">
        <w:rPr>
          <w:rFonts w:asciiTheme="majorHAnsi" w:hAnsiTheme="majorHAnsi"/>
        </w:rPr>
        <w:t xml:space="preserve"> 17</w:t>
      </w:r>
      <w:r w:rsidR="00D77A45" w:rsidRPr="00D850DF">
        <w:rPr>
          <w:rFonts w:asciiTheme="majorHAnsi" w:hAnsiTheme="majorHAnsi"/>
        </w:rPr>
        <w:t>:</w:t>
      </w:r>
      <w:r w:rsidRPr="00D850DF">
        <w:rPr>
          <w:rFonts w:asciiTheme="majorHAnsi" w:hAnsiTheme="majorHAnsi"/>
        </w:rPr>
        <w:t xml:space="preserve"> 517–568. </w:t>
      </w:r>
    </w:p>
    <w:p w14:paraId="097CC391" w14:textId="08F44086" w:rsidR="001F13BE" w:rsidRPr="00124C25" w:rsidRDefault="001F13BE" w:rsidP="00124C25">
      <w:pPr>
        <w:pStyle w:val="Body"/>
        <w:spacing w:afterLines="20" w:after="48"/>
        <w:ind w:left="567" w:hanging="567"/>
        <w:rPr>
          <w:rFonts w:asciiTheme="majorHAnsi" w:hAnsiTheme="majorHAnsi"/>
        </w:rPr>
      </w:pPr>
      <w:r w:rsidRPr="00124C25">
        <w:rPr>
          <w:rFonts w:asciiTheme="majorHAnsi" w:hAnsiTheme="majorHAnsi"/>
        </w:rPr>
        <w:t>Smith SD, Mathouchanh E and Mallants D (2016)</w:t>
      </w:r>
      <w:r>
        <w:rPr>
          <w:rFonts w:asciiTheme="majorHAnsi" w:hAnsiTheme="majorHAnsi"/>
        </w:rPr>
        <w:t>.</w:t>
      </w:r>
      <w:r w:rsidRPr="00124C25">
        <w:rPr>
          <w:rFonts w:asciiTheme="majorHAnsi" w:hAnsiTheme="majorHAnsi"/>
        </w:rPr>
        <w:t xml:space="preserve"> Characterisation of fluid flow in aquitards using helium concentrations in quartz, Gunnedah Basin, NSW. CSIRO, Australia.</w:t>
      </w:r>
    </w:p>
    <w:p w14:paraId="0E817EE9" w14:textId="02C2326C" w:rsidR="00AA1963" w:rsidRPr="00D850DF" w:rsidRDefault="00AA1963" w:rsidP="00AA1963">
      <w:pPr>
        <w:pStyle w:val="Body"/>
        <w:spacing w:afterLines="20" w:after="48"/>
        <w:ind w:left="567" w:hanging="567"/>
        <w:rPr>
          <w:rFonts w:asciiTheme="majorHAnsi" w:hAnsiTheme="majorHAnsi"/>
        </w:rPr>
      </w:pPr>
      <w:r w:rsidRPr="00D850DF">
        <w:rPr>
          <w:rFonts w:asciiTheme="majorHAnsi" w:hAnsiTheme="majorHAnsi"/>
        </w:rPr>
        <w:t>Snoyeink VL, Weber</w:t>
      </w:r>
      <w:r w:rsidR="00011468">
        <w:rPr>
          <w:rFonts w:asciiTheme="majorHAnsi" w:hAnsiTheme="majorHAnsi"/>
        </w:rPr>
        <w:t xml:space="preserve"> </w:t>
      </w:r>
      <w:r w:rsidRPr="00D850DF">
        <w:rPr>
          <w:rFonts w:asciiTheme="majorHAnsi" w:hAnsiTheme="majorHAnsi"/>
        </w:rPr>
        <w:t>Jr W</w:t>
      </w:r>
      <w:r w:rsidR="00A76EF5" w:rsidRPr="00D850DF">
        <w:rPr>
          <w:rFonts w:asciiTheme="majorHAnsi" w:hAnsiTheme="majorHAnsi"/>
        </w:rPr>
        <w:t>J,</w:t>
      </w:r>
      <w:r w:rsidRPr="00D850DF">
        <w:rPr>
          <w:rFonts w:asciiTheme="majorHAnsi" w:hAnsiTheme="majorHAnsi"/>
        </w:rPr>
        <w:t xml:space="preserve"> and Mark</w:t>
      </w:r>
      <w:r w:rsidR="00011468">
        <w:rPr>
          <w:rFonts w:asciiTheme="majorHAnsi" w:hAnsiTheme="majorHAnsi"/>
        </w:rPr>
        <w:t xml:space="preserve"> </w:t>
      </w:r>
      <w:r w:rsidRPr="00D850DF">
        <w:rPr>
          <w:rFonts w:asciiTheme="majorHAnsi" w:hAnsiTheme="majorHAnsi"/>
        </w:rPr>
        <w:t>Jr HJ (1969)</w:t>
      </w:r>
      <w:r w:rsidR="00065463" w:rsidRPr="00D850DF">
        <w:rPr>
          <w:rFonts w:asciiTheme="majorHAnsi" w:hAnsiTheme="majorHAnsi"/>
        </w:rPr>
        <w:t>.</w:t>
      </w:r>
      <w:r w:rsidRPr="00D850DF">
        <w:rPr>
          <w:rFonts w:asciiTheme="majorHAnsi" w:hAnsiTheme="majorHAnsi"/>
        </w:rPr>
        <w:t xml:space="preserve"> Sorption of phenol and nitropehnol by active carbon. Environmental Science and Technology 3</w:t>
      </w:r>
      <w:r w:rsidR="00D77A45" w:rsidRPr="00D850DF">
        <w:rPr>
          <w:rFonts w:asciiTheme="majorHAnsi" w:hAnsiTheme="majorHAnsi"/>
        </w:rPr>
        <w:t>:</w:t>
      </w:r>
      <w:r w:rsidRPr="00D850DF">
        <w:rPr>
          <w:rFonts w:asciiTheme="majorHAnsi" w:hAnsiTheme="majorHAnsi"/>
        </w:rPr>
        <w:t xml:space="preserve"> 918-926.</w:t>
      </w:r>
    </w:p>
    <w:p w14:paraId="4D78BD91" w14:textId="2FFAEE1A" w:rsidR="00A3074C" w:rsidRPr="00D850DF" w:rsidRDefault="00A3074C" w:rsidP="00A3074C">
      <w:pPr>
        <w:pStyle w:val="Body"/>
        <w:spacing w:afterLines="20" w:after="48"/>
        <w:ind w:left="567" w:hanging="567"/>
        <w:rPr>
          <w:rFonts w:asciiTheme="majorHAnsi" w:hAnsiTheme="majorHAnsi"/>
        </w:rPr>
      </w:pPr>
      <w:r w:rsidRPr="00D850DF">
        <w:rPr>
          <w:rFonts w:asciiTheme="majorHAnsi" w:hAnsiTheme="majorHAnsi"/>
        </w:rPr>
        <w:t xml:space="preserve">Sposito G </w:t>
      </w:r>
      <w:r w:rsidR="00AC2F0E" w:rsidRPr="00D850DF">
        <w:rPr>
          <w:rFonts w:asciiTheme="majorHAnsi" w:hAnsiTheme="majorHAnsi"/>
        </w:rPr>
        <w:t>(</w:t>
      </w:r>
      <w:r w:rsidRPr="00D850DF">
        <w:rPr>
          <w:rFonts w:asciiTheme="majorHAnsi" w:hAnsiTheme="majorHAnsi"/>
        </w:rPr>
        <w:t>1984</w:t>
      </w:r>
      <w:r w:rsidR="00AC2F0E"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The surface chemistry of soils: Oxford University Press, New York, 234 pp.</w:t>
      </w:r>
    </w:p>
    <w:p w14:paraId="7BAC6CD5" w14:textId="77777777" w:rsidR="009A62A3" w:rsidRPr="00D850DF" w:rsidRDefault="009A62A3" w:rsidP="009A62A3">
      <w:pPr>
        <w:pStyle w:val="Body"/>
        <w:spacing w:afterLines="20" w:after="48"/>
        <w:ind w:left="567" w:hanging="567"/>
        <w:rPr>
          <w:rFonts w:asciiTheme="majorHAnsi" w:hAnsiTheme="majorHAnsi"/>
        </w:rPr>
      </w:pPr>
      <w:r w:rsidRPr="00D850DF">
        <w:rPr>
          <w:rFonts w:asciiTheme="majorHAnsi" w:hAnsiTheme="majorHAnsi"/>
        </w:rPr>
        <w:t>Stearman W, Taulis M, Smith J, and Corkeron M (2014). Assessment of Geogenic Contaminants in Water Co-Produced with Coal Seam Gas Extraction in Queensland, Australia: Implications for Human Health Risk. Geosciences 4: 219-239.</w:t>
      </w:r>
    </w:p>
    <w:p w14:paraId="0B9DD548" w14:textId="7DF92B06" w:rsidR="00AA1963" w:rsidRPr="00D850DF" w:rsidRDefault="00AA1963" w:rsidP="00AA1963">
      <w:pPr>
        <w:pStyle w:val="Body"/>
        <w:spacing w:afterLines="20" w:after="48"/>
        <w:ind w:left="567" w:hanging="567"/>
        <w:rPr>
          <w:rFonts w:asciiTheme="majorHAnsi" w:hAnsiTheme="majorHAnsi"/>
        </w:rPr>
      </w:pPr>
      <w:r w:rsidRPr="00D850DF">
        <w:rPr>
          <w:rFonts w:asciiTheme="majorHAnsi" w:hAnsiTheme="majorHAnsi"/>
        </w:rPr>
        <w:t>Steep BE and McClure PD (2001). The effect of temperature on adsorption of organic compounds to soils.</w:t>
      </w:r>
      <w:r w:rsidR="00D77A45" w:rsidRPr="00D850DF">
        <w:rPr>
          <w:rFonts w:asciiTheme="majorHAnsi" w:hAnsiTheme="majorHAnsi"/>
        </w:rPr>
        <w:t xml:space="preserve"> Canadian Geotechnology Journal</w:t>
      </w:r>
      <w:r w:rsidRPr="00D850DF">
        <w:rPr>
          <w:rFonts w:asciiTheme="majorHAnsi" w:hAnsiTheme="majorHAnsi"/>
        </w:rPr>
        <w:t xml:space="preserve"> 38</w:t>
      </w:r>
      <w:r w:rsidR="00D77A45" w:rsidRPr="00D850DF">
        <w:rPr>
          <w:rFonts w:asciiTheme="majorHAnsi" w:hAnsiTheme="majorHAnsi"/>
        </w:rPr>
        <w:t>:</w:t>
      </w:r>
      <w:r w:rsidRPr="00D850DF">
        <w:rPr>
          <w:rFonts w:asciiTheme="majorHAnsi" w:hAnsiTheme="majorHAnsi"/>
        </w:rPr>
        <w:t xml:space="preserve"> 46-52.</w:t>
      </w:r>
    </w:p>
    <w:p w14:paraId="02C157FD" w14:textId="503CFA06" w:rsidR="00AA1963" w:rsidRPr="00D850DF" w:rsidRDefault="00AA1963" w:rsidP="00AA1963">
      <w:pPr>
        <w:pStyle w:val="Body"/>
        <w:spacing w:afterLines="20" w:after="48"/>
        <w:ind w:left="567" w:hanging="567"/>
        <w:rPr>
          <w:rFonts w:asciiTheme="majorHAnsi" w:hAnsiTheme="majorHAnsi"/>
        </w:rPr>
      </w:pPr>
      <w:r w:rsidRPr="00D850DF">
        <w:rPr>
          <w:rFonts w:asciiTheme="majorHAnsi" w:hAnsiTheme="majorHAnsi"/>
        </w:rPr>
        <w:t>Stumm W and Morgan JJ (1996)</w:t>
      </w:r>
      <w:r w:rsidR="00065463" w:rsidRPr="00D850DF">
        <w:rPr>
          <w:rFonts w:asciiTheme="majorHAnsi" w:hAnsiTheme="majorHAnsi"/>
        </w:rPr>
        <w:t>.</w:t>
      </w:r>
      <w:r w:rsidRPr="00D850DF">
        <w:rPr>
          <w:rFonts w:asciiTheme="majorHAnsi" w:hAnsiTheme="majorHAnsi"/>
        </w:rPr>
        <w:t xml:space="preserve"> Aquatic Chemistry. Chemical equilibria and rates in natural waters. Third edition. John Wiley </w:t>
      </w:r>
      <w:r w:rsidR="004A7452" w:rsidRPr="00D850DF">
        <w:rPr>
          <w:rFonts w:asciiTheme="majorHAnsi" w:hAnsiTheme="majorHAnsi"/>
        </w:rPr>
        <w:t>and</w:t>
      </w:r>
      <w:r w:rsidRPr="00D850DF">
        <w:rPr>
          <w:rFonts w:asciiTheme="majorHAnsi" w:hAnsiTheme="majorHAnsi"/>
        </w:rPr>
        <w:t xml:space="preserve"> Sons, New York, 1022 pages.</w:t>
      </w:r>
    </w:p>
    <w:p w14:paraId="2853E62C" w14:textId="496B3D75" w:rsidR="00B739A4" w:rsidRPr="00D850DF" w:rsidRDefault="00B739A4" w:rsidP="00AA1963">
      <w:pPr>
        <w:pStyle w:val="Body"/>
        <w:spacing w:afterLines="20" w:after="48"/>
        <w:ind w:left="567" w:hanging="567"/>
        <w:rPr>
          <w:rFonts w:asciiTheme="majorHAnsi" w:hAnsiTheme="majorHAnsi"/>
        </w:rPr>
      </w:pPr>
      <w:r w:rsidRPr="00D850DF">
        <w:rPr>
          <w:rFonts w:asciiTheme="majorHAnsi" w:hAnsiTheme="majorHAnsi"/>
        </w:rPr>
        <w:t>Stumm W and Morgan JJ (1981)</w:t>
      </w:r>
      <w:r w:rsidR="00065463" w:rsidRPr="00D850DF">
        <w:rPr>
          <w:rFonts w:asciiTheme="majorHAnsi" w:hAnsiTheme="majorHAnsi"/>
        </w:rPr>
        <w:t>.</w:t>
      </w:r>
      <w:r w:rsidRPr="00D850DF">
        <w:rPr>
          <w:rFonts w:asciiTheme="majorHAnsi" w:hAnsiTheme="majorHAnsi"/>
        </w:rPr>
        <w:t xml:space="preserve"> Aquatic Chemistry: An Introduction Emphasizing Chemical Equilibria in Natural Waters, John Wiley </w:t>
      </w:r>
      <w:r w:rsidR="004A7452" w:rsidRPr="00D850DF">
        <w:rPr>
          <w:rFonts w:asciiTheme="majorHAnsi" w:hAnsiTheme="majorHAnsi"/>
        </w:rPr>
        <w:t>and</w:t>
      </w:r>
      <w:r w:rsidRPr="00D850DF">
        <w:rPr>
          <w:rFonts w:asciiTheme="majorHAnsi" w:hAnsiTheme="majorHAnsi"/>
        </w:rPr>
        <w:t xml:space="preserve"> Sons, New York, NY.</w:t>
      </w:r>
    </w:p>
    <w:p w14:paraId="3316D5CE" w14:textId="09DDB2F2" w:rsidR="0049796E" w:rsidRDefault="0049796E" w:rsidP="0049796E">
      <w:pPr>
        <w:pStyle w:val="Body"/>
        <w:spacing w:afterLines="20" w:after="48"/>
        <w:ind w:left="567" w:hanging="567"/>
        <w:rPr>
          <w:rFonts w:asciiTheme="majorHAnsi" w:hAnsiTheme="majorHAnsi"/>
        </w:rPr>
      </w:pPr>
      <w:r w:rsidRPr="00D850DF">
        <w:rPr>
          <w:rFonts w:asciiTheme="majorHAnsi" w:hAnsiTheme="majorHAnsi"/>
        </w:rPr>
        <w:t>Suckow A, Taylor A, Davies P, and Leaney F (2016)</w:t>
      </w:r>
      <w:r w:rsidR="00065463" w:rsidRPr="00D850DF">
        <w:rPr>
          <w:rFonts w:asciiTheme="majorHAnsi" w:hAnsiTheme="majorHAnsi"/>
        </w:rPr>
        <w:t>.</w:t>
      </w:r>
      <w:r w:rsidRPr="00D850DF">
        <w:rPr>
          <w:rFonts w:asciiTheme="majorHAnsi" w:hAnsiTheme="majorHAnsi"/>
        </w:rPr>
        <w:t xml:space="preserve"> Geochemical baseline monitoring. Final Report. CSIRO, Australia.</w:t>
      </w:r>
    </w:p>
    <w:p w14:paraId="71C37573" w14:textId="1D965B1B" w:rsidR="000E5170" w:rsidRPr="007C47C9" w:rsidRDefault="000E5170" w:rsidP="007C47C9">
      <w:pPr>
        <w:pStyle w:val="Body"/>
        <w:spacing w:afterLines="20" w:after="48"/>
        <w:ind w:left="567" w:hanging="567"/>
        <w:rPr>
          <w:rFonts w:asciiTheme="majorHAnsi" w:hAnsiTheme="majorHAnsi"/>
        </w:rPr>
      </w:pPr>
      <w:r w:rsidRPr="007C47C9">
        <w:rPr>
          <w:rFonts w:asciiTheme="majorHAnsi" w:hAnsiTheme="majorHAnsi"/>
        </w:rPr>
        <w:t xml:space="preserve">Sun </w:t>
      </w:r>
      <w:r w:rsidR="007C47C9" w:rsidRPr="007C47C9">
        <w:rPr>
          <w:rFonts w:asciiTheme="majorHAnsi" w:hAnsiTheme="majorHAnsi"/>
        </w:rPr>
        <w:t xml:space="preserve">Y </w:t>
      </w:r>
      <w:r w:rsidRPr="007C47C9">
        <w:rPr>
          <w:rFonts w:asciiTheme="majorHAnsi" w:hAnsiTheme="majorHAnsi"/>
        </w:rPr>
        <w:t>and Clement</w:t>
      </w:r>
      <w:r w:rsidR="007C47C9" w:rsidRPr="007C47C9">
        <w:rPr>
          <w:rFonts w:asciiTheme="majorHAnsi" w:hAnsiTheme="majorHAnsi"/>
        </w:rPr>
        <w:t xml:space="preserve"> TP (</w:t>
      </w:r>
      <w:r w:rsidRPr="007C47C9">
        <w:rPr>
          <w:rFonts w:asciiTheme="majorHAnsi" w:hAnsiTheme="majorHAnsi"/>
        </w:rPr>
        <w:t>1999</w:t>
      </w:r>
      <w:r w:rsidR="007C47C9" w:rsidRPr="007C47C9">
        <w:rPr>
          <w:rFonts w:asciiTheme="majorHAnsi" w:hAnsiTheme="majorHAnsi"/>
        </w:rPr>
        <w:t>). A Decomposition Method for Solving Coupled</w:t>
      </w:r>
      <w:r w:rsidR="007C47C9">
        <w:rPr>
          <w:rFonts w:asciiTheme="majorHAnsi" w:hAnsiTheme="majorHAnsi"/>
        </w:rPr>
        <w:t xml:space="preserve"> </w:t>
      </w:r>
      <w:r w:rsidR="007C47C9" w:rsidRPr="007C47C9">
        <w:rPr>
          <w:rFonts w:asciiTheme="majorHAnsi" w:hAnsiTheme="majorHAnsi"/>
        </w:rPr>
        <w:t>Multi-Species Reactive Transport Problems.</w:t>
      </w:r>
      <w:r w:rsidR="007C47C9">
        <w:rPr>
          <w:rFonts w:asciiTheme="majorHAnsi" w:hAnsiTheme="majorHAnsi"/>
        </w:rPr>
        <w:t xml:space="preserve"> Transport in Porous Media 37: 327-346.</w:t>
      </w:r>
    </w:p>
    <w:p w14:paraId="6350DB8D" w14:textId="16860EF0" w:rsidR="007C47C9" w:rsidRPr="00D850DF" w:rsidRDefault="007C47C9" w:rsidP="007C47C9">
      <w:pPr>
        <w:pStyle w:val="Body"/>
        <w:spacing w:afterLines="20" w:after="48"/>
        <w:ind w:left="567" w:hanging="567"/>
        <w:rPr>
          <w:rFonts w:asciiTheme="majorHAnsi" w:hAnsiTheme="majorHAnsi"/>
        </w:rPr>
      </w:pPr>
      <w:r w:rsidRPr="007C47C9">
        <w:rPr>
          <w:rFonts w:asciiTheme="majorHAnsi" w:hAnsiTheme="majorHAnsi"/>
        </w:rPr>
        <w:t>Sun Y, Petersen JN, Clement TP (1999</w:t>
      </w:r>
      <w:r>
        <w:rPr>
          <w:rFonts w:asciiTheme="majorHAnsi" w:hAnsiTheme="majorHAnsi"/>
        </w:rPr>
        <w:t>a</w:t>
      </w:r>
      <w:r w:rsidRPr="007C47C9">
        <w:rPr>
          <w:rFonts w:asciiTheme="majorHAnsi" w:hAnsiTheme="majorHAnsi"/>
        </w:rPr>
        <w:t>).</w:t>
      </w:r>
      <w:r>
        <w:rPr>
          <w:rFonts w:asciiTheme="majorHAnsi" w:hAnsiTheme="majorHAnsi"/>
        </w:rPr>
        <w:t xml:space="preserve"> Analytical solutions for multiple species reactive transport in multiple dimensions. Journal of Contaminant Hydrology 35: 429-440. </w:t>
      </w:r>
    </w:p>
    <w:p w14:paraId="388A24B1" w14:textId="525E809F" w:rsidR="007C47C9" w:rsidRPr="007C47C9" w:rsidRDefault="007C47C9" w:rsidP="007C47C9">
      <w:pPr>
        <w:pStyle w:val="Body"/>
        <w:spacing w:afterLines="20" w:after="48"/>
        <w:ind w:left="567" w:hanging="567"/>
        <w:rPr>
          <w:rFonts w:asciiTheme="majorHAnsi" w:hAnsiTheme="majorHAnsi"/>
        </w:rPr>
      </w:pPr>
      <w:r w:rsidRPr="007C47C9">
        <w:rPr>
          <w:rFonts w:asciiTheme="majorHAnsi" w:hAnsiTheme="majorHAnsi"/>
        </w:rPr>
        <w:t>Sun Y, Petersen JN, Clement TP</w:t>
      </w:r>
      <w:r>
        <w:rPr>
          <w:rFonts w:asciiTheme="majorHAnsi" w:hAnsiTheme="majorHAnsi"/>
        </w:rPr>
        <w:t>, Skeen RS</w:t>
      </w:r>
      <w:r w:rsidRPr="007C47C9">
        <w:rPr>
          <w:rFonts w:asciiTheme="majorHAnsi" w:hAnsiTheme="majorHAnsi"/>
        </w:rPr>
        <w:t xml:space="preserve"> (1999</w:t>
      </w:r>
      <w:r>
        <w:rPr>
          <w:rFonts w:asciiTheme="majorHAnsi" w:hAnsiTheme="majorHAnsi"/>
        </w:rPr>
        <w:t>b</w:t>
      </w:r>
      <w:r w:rsidRPr="007C47C9">
        <w:rPr>
          <w:rFonts w:asciiTheme="majorHAnsi" w:hAnsiTheme="majorHAnsi"/>
        </w:rPr>
        <w:t>). Development of analytical solutions for multispecies transport with serial</w:t>
      </w:r>
      <w:r>
        <w:rPr>
          <w:rFonts w:asciiTheme="majorHAnsi" w:hAnsiTheme="majorHAnsi"/>
        </w:rPr>
        <w:t xml:space="preserve"> </w:t>
      </w:r>
      <w:r w:rsidRPr="007C47C9">
        <w:rPr>
          <w:rFonts w:asciiTheme="majorHAnsi" w:hAnsiTheme="majorHAnsi"/>
        </w:rPr>
        <w:t>and parallel reactions</w:t>
      </w:r>
      <w:r>
        <w:rPr>
          <w:rFonts w:asciiTheme="majorHAnsi" w:hAnsiTheme="majorHAnsi"/>
        </w:rPr>
        <w:t>. Water Resources Research 35(1): 185-190.</w:t>
      </w:r>
    </w:p>
    <w:p w14:paraId="73FE1156" w14:textId="11FF2ADA"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 xml:space="preserve">Svensson K, Darnerud PO, </w:t>
      </w:r>
      <w:r w:rsidR="00A76EF5" w:rsidRPr="00D850DF">
        <w:rPr>
          <w:rFonts w:asciiTheme="majorHAnsi" w:hAnsiTheme="majorHAnsi"/>
        </w:rPr>
        <w:t xml:space="preserve">and </w:t>
      </w:r>
      <w:r w:rsidRPr="00D850DF">
        <w:rPr>
          <w:rFonts w:asciiTheme="majorHAnsi" w:hAnsiTheme="majorHAnsi"/>
        </w:rPr>
        <w:t xml:space="preserve">Skerfving S (2005). A risk assessment of uranium in drinking water, National Food Administration of Sweden, Sweden.  </w:t>
      </w:r>
    </w:p>
    <w:p w14:paraId="2B6DBEEB" w14:textId="25982370" w:rsidR="0058140B" w:rsidRPr="00D850DF" w:rsidRDefault="0058140B" w:rsidP="0058140B">
      <w:pPr>
        <w:pStyle w:val="Body"/>
        <w:spacing w:afterLines="20" w:after="48"/>
        <w:ind w:left="567" w:hanging="567"/>
        <w:rPr>
          <w:rFonts w:asciiTheme="majorHAnsi" w:hAnsiTheme="majorHAnsi"/>
        </w:rPr>
      </w:pPr>
      <w:r w:rsidRPr="00D850DF">
        <w:rPr>
          <w:rFonts w:asciiTheme="majorHAnsi" w:hAnsiTheme="majorHAnsi"/>
        </w:rPr>
        <w:t>Swenberg JA, Kerns WD, Mitchell RI, Gralla EJ, and Pavkov KL (1980)</w:t>
      </w:r>
      <w:r w:rsidR="00065463" w:rsidRPr="00D850DF">
        <w:rPr>
          <w:rFonts w:asciiTheme="majorHAnsi" w:hAnsiTheme="majorHAnsi"/>
        </w:rPr>
        <w:t>.</w:t>
      </w:r>
      <w:r w:rsidRPr="00D850DF">
        <w:rPr>
          <w:rFonts w:asciiTheme="majorHAnsi" w:hAnsiTheme="majorHAnsi"/>
        </w:rPr>
        <w:t xml:space="preserve"> Induction of squamous cell carcinomas of the rat nasal cavity by inhalation exposure to formaldehyde vapor. Cancer Res</w:t>
      </w:r>
      <w:r w:rsidR="00197620" w:rsidRPr="00D850DF">
        <w:rPr>
          <w:rFonts w:asciiTheme="majorHAnsi" w:hAnsiTheme="majorHAnsi"/>
        </w:rPr>
        <w:t>earch</w:t>
      </w:r>
      <w:r w:rsidRPr="00D850DF">
        <w:rPr>
          <w:rFonts w:asciiTheme="majorHAnsi" w:hAnsiTheme="majorHAnsi"/>
        </w:rPr>
        <w:t xml:space="preserve"> 40 (9): 3398−3402.</w:t>
      </w:r>
    </w:p>
    <w:p w14:paraId="06C63558" w14:textId="4DC866E3" w:rsidR="00D9435D" w:rsidRPr="00D850DF" w:rsidRDefault="00D9435D" w:rsidP="00D9435D">
      <w:pPr>
        <w:pStyle w:val="Body"/>
        <w:spacing w:afterLines="20" w:after="48"/>
        <w:ind w:left="567" w:hanging="567"/>
        <w:rPr>
          <w:rFonts w:asciiTheme="majorHAnsi" w:hAnsiTheme="majorHAnsi"/>
        </w:rPr>
      </w:pPr>
      <w:r w:rsidRPr="00D850DF">
        <w:rPr>
          <w:rFonts w:asciiTheme="majorHAnsi" w:hAnsiTheme="majorHAnsi"/>
        </w:rPr>
        <w:t>Taylor SR (1964)</w:t>
      </w:r>
      <w:r w:rsidR="00065463" w:rsidRPr="00D850DF">
        <w:rPr>
          <w:rFonts w:asciiTheme="majorHAnsi" w:hAnsiTheme="majorHAnsi"/>
        </w:rPr>
        <w:t>.</w:t>
      </w:r>
      <w:r w:rsidRPr="00D850DF">
        <w:rPr>
          <w:rFonts w:asciiTheme="majorHAnsi" w:hAnsiTheme="majorHAnsi"/>
        </w:rPr>
        <w:t xml:space="preserve"> Abundance of chemical elements in the continental crust: a new table. Geochim</w:t>
      </w:r>
      <w:r w:rsidR="00197620" w:rsidRPr="00D850DF">
        <w:rPr>
          <w:rFonts w:asciiTheme="majorHAnsi" w:hAnsiTheme="majorHAnsi"/>
        </w:rPr>
        <w:t xml:space="preserve">ica </w:t>
      </w:r>
      <w:proofErr w:type="gramStart"/>
      <w:r w:rsidR="00197620" w:rsidRPr="00D850DF">
        <w:rPr>
          <w:rFonts w:asciiTheme="majorHAnsi" w:hAnsiTheme="majorHAnsi"/>
        </w:rPr>
        <w:t>et</w:t>
      </w:r>
      <w:proofErr w:type="gramEnd"/>
      <w:r w:rsidRPr="00D850DF">
        <w:rPr>
          <w:rFonts w:asciiTheme="majorHAnsi" w:hAnsiTheme="majorHAnsi"/>
        </w:rPr>
        <w:t xml:space="preserve"> Cosmochim</w:t>
      </w:r>
      <w:r w:rsidR="00197620" w:rsidRPr="00D850DF">
        <w:rPr>
          <w:rFonts w:asciiTheme="majorHAnsi" w:hAnsiTheme="majorHAnsi"/>
        </w:rPr>
        <w:t>ica</w:t>
      </w:r>
      <w:r w:rsidRPr="00D850DF">
        <w:rPr>
          <w:rFonts w:asciiTheme="majorHAnsi" w:hAnsiTheme="majorHAnsi"/>
        </w:rPr>
        <w:t xml:space="preserve"> Acta 28</w:t>
      </w:r>
      <w:r w:rsidR="00D77A45" w:rsidRPr="00D850DF">
        <w:rPr>
          <w:rFonts w:asciiTheme="majorHAnsi" w:hAnsiTheme="majorHAnsi"/>
        </w:rPr>
        <w:t>:</w:t>
      </w:r>
      <w:r w:rsidRPr="00D850DF">
        <w:rPr>
          <w:rFonts w:asciiTheme="majorHAnsi" w:hAnsiTheme="majorHAnsi"/>
        </w:rPr>
        <w:t xml:space="preserve"> 1273-1285.</w:t>
      </w:r>
    </w:p>
    <w:p w14:paraId="65227FAB" w14:textId="6F556A4B" w:rsidR="00AA1963" w:rsidRPr="00D850DF" w:rsidRDefault="00AA1963" w:rsidP="00AA1963">
      <w:pPr>
        <w:pStyle w:val="Body"/>
        <w:spacing w:afterLines="20" w:after="48"/>
        <w:ind w:left="567" w:hanging="567"/>
        <w:rPr>
          <w:rFonts w:asciiTheme="majorHAnsi" w:hAnsiTheme="majorHAnsi"/>
        </w:rPr>
      </w:pPr>
      <w:bookmarkStart w:id="770" w:name="_ENREF_157"/>
      <w:r w:rsidRPr="00D850DF">
        <w:rPr>
          <w:rFonts w:asciiTheme="majorHAnsi" w:hAnsiTheme="majorHAnsi"/>
        </w:rPr>
        <w:t>Tessier A (1992)</w:t>
      </w:r>
      <w:r w:rsidR="00065463" w:rsidRPr="00D850DF">
        <w:rPr>
          <w:rFonts w:asciiTheme="majorHAnsi" w:hAnsiTheme="majorHAnsi"/>
        </w:rPr>
        <w:t>.</w:t>
      </w:r>
      <w:r w:rsidRPr="00D850DF">
        <w:rPr>
          <w:rFonts w:asciiTheme="majorHAnsi" w:hAnsiTheme="majorHAnsi"/>
        </w:rPr>
        <w:t xml:space="preserve"> Sorption of trace elements on natural particles in oxic environments. Chapter 11 in Environmental particles, Volume 1. Buffle J. and Van Leeuwen H.P. Eds. Lewis, Boca Raton. </w:t>
      </w:r>
    </w:p>
    <w:p w14:paraId="73B596F3" w14:textId="50470633" w:rsidR="006F2200" w:rsidRPr="00D850DF" w:rsidRDefault="006F2200" w:rsidP="006F2200">
      <w:pPr>
        <w:pStyle w:val="Body"/>
        <w:spacing w:afterLines="20" w:after="48"/>
        <w:ind w:left="567" w:hanging="567"/>
        <w:rPr>
          <w:rFonts w:asciiTheme="majorHAnsi" w:hAnsiTheme="majorHAnsi"/>
        </w:rPr>
      </w:pPr>
      <w:r w:rsidRPr="00D850DF">
        <w:rPr>
          <w:rFonts w:asciiTheme="majorHAnsi" w:hAnsiTheme="majorHAnsi"/>
        </w:rPr>
        <w:t>TGA (2012)</w:t>
      </w:r>
      <w:r w:rsidR="00065463" w:rsidRPr="00D850DF">
        <w:rPr>
          <w:rFonts w:asciiTheme="majorHAnsi" w:hAnsiTheme="majorHAnsi"/>
        </w:rPr>
        <w:t>.</w:t>
      </w:r>
      <w:r w:rsidRPr="00D850DF">
        <w:rPr>
          <w:rFonts w:asciiTheme="majorHAnsi" w:hAnsiTheme="majorHAnsi"/>
        </w:rPr>
        <w:t xml:space="preserve"> The Poisons Standard 2012, Standard for the Uniform Scheduling of Medicines and Poisons. Therapeutic Goods Administration.</w:t>
      </w:r>
    </w:p>
    <w:p w14:paraId="227E10F0" w14:textId="54B050B7" w:rsidR="002624C5" w:rsidRDefault="00F41F01" w:rsidP="00011468">
      <w:pPr>
        <w:pStyle w:val="Body"/>
        <w:spacing w:afterLines="20" w:after="48"/>
        <w:ind w:left="567" w:hanging="567"/>
        <w:rPr>
          <w:rFonts w:asciiTheme="majorHAnsi" w:hAnsiTheme="majorHAnsi"/>
        </w:rPr>
      </w:pPr>
      <w:r w:rsidRPr="00D850DF">
        <w:rPr>
          <w:rFonts w:asciiTheme="majorHAnsi" w:hAnsiTheme="majorHAnsi"/>
        </w:rPr>
        <w:t>Thibault DH, Sheppard MI and</w:t>
      </w:r>
      <w:r w:rsidR="002624C5" w:rsidRPr="00D850DF">
        <w:rPr>
          <w:rFonts w:asciiTheme="majorHAnsi" w:hAnsiTheme="majorHAnsi"/>
        </w:rPr>
        <w:t xml:space="preserve"> Smith PA </w:t>
      </w:r>
      <w:r w:rsidR="00AC2F0E" w:rsidRPr="00D850DF">
        <w:rPr>
          <w:rFonts w:asciiTheme="majorHAnsi" w:hAnsiTheme="majorHAnsi"/>
        </w:rPr>
        <w:t>(</w:t>
      </w:r>
      <w:r w:rsidR="002624C5" w:rsidRPr="00D850DF">
        <w:rPr>
          <w:rFonts w:asciiTheme="majorHAnsi" w:hAnsiTheme="majorHAnsi"/>
        </w:rPr>
        <w:t>1990</w:t>
      </w:r>
      <w:r w:rsidR="00AC2F0E" w:rsidRPr="00D850DF">
        <w:rPr>
          <w:rFonts w:asciiTheme="majorHAnsi" w:hAnsiTheme="majorHAnsi"/>
        </w:rPr>
        <w:t>)</w:t>
      </w:r>
      <w:r w:rsidR="00065463" w:rsidRPr="00D850DF">
        <w:rPr>
          <w:rFonts w:asciiTheme="majorHAnsi" w:hAnsiTheme="majorHAnsi"/>
        </w:rPr>
        <w:t>.</w:t>
      </w:r>
      <w:r w:rsidR="002624C5" w:rsidRPr="00D850DF">
        <w:rPr>
          <w:rFonts w:asciiTheme="majorHAnsi" w:hAnsiTheme="majorHAnsi"/>
        </w:rPr>
        <w:t xml:space="preserve"> A critical compilation and review of default soil solid/liquid partition coefficients, </w:t>
      </w:r>
      <w:proofErr w:type="gramStart"/>
      <w:r w:rsidR="002624C5" w:rsidRPr="00D850DF">
        <w:rPr>
          <w:rFonts w:asciiTheme="majorHAnsi" w:hAnsiTheme="majorHAnsi"/>
        </w:rPr>
        <w:t>Kd</w:t>
      </w:r>
      <w:proofErr w:type="gramEnd"/>
      <w:r w:rsidR="002624C5" w:rsidRPr="00D850DF">
        <w:rPr>
          <w:rFonts w:asciiTheme="majorHAnsi" w:hAnsiTheme="majorHAnsi"/>
        </w:rPr>
        <w:t>, for use in environmental assessments</w:t>
      </w:r>
      <w:bookmarkEnd w:id="770"/>
      <w:r w:rsidR="002624C5" w:rsidRPr="00D850DF">
        <w:rPr>
          <w:rFonts w:asciiTheme="majorHAnsi" w:hAnsiTheme="majorHAnsi"/>
        </w:rPr>
        <w:t>.</w:t>
      </w:r>
      <w:r w:rsidR="00011468">
        <w:rPr>
          <w:rFonts w:asciiTheme="majorHAnsi" w:hAnsiTheme="majorHAnsi"/>
        </w:rPr>
        <w:t xml:space="preserve"> Atomic Energy of Canada Limited. </w:t>
      </w:r>
      <w:r w:rsidR="00011468" w:rsidRPr="00011468">
        <w:rPr>
          <w:rFonts w:asciiTheme="majorHAnsi" w:hAnsiTheme="majorHAnsi"/>
        </w:rPr>
        <w:t>Whiteshell Nuclear Research Establishment</w:t>
      </w:r>
      <w:r w:rsidR="00011468">
        <w:rPr>
          <w:rFonts w:asciiTheme="majorHAnsi" w:hAnsiTheme="majorHAnsi"/>
        </w:rPr>
        <w:t xml:space="preserve"> </w:t>
      </w:r>
      <w:r w:rsidR="00011468" w:rsidRPr="00011468">
        <w:rPr>
          <w:rFonts w:asciiTheme="majorHAnsi" w:hAnsiTheme="majorHAnsi"/>
        </w:rPr>
        <w:t>Pinawa, Manitoba, Canada</w:t>
      </w:r>
      <w:r w:rsidR="00011468">
        <w:rPr>
          <w:rFonts w:asciiTheme="majorHAnsi" w:hAnsiTheme="majorHAnsi"/>
        </w:rPr>
        <w:t>.</w:t>
      </w:r>
    </w:p>
    <w:p w14:paraId="441C0B90" w14:textId="1688F586" w:rsidR="00593717" w:rsidRDefault="00593717" w:rsidP="005B6E64">
      <w:pPr>
        <w:pStyle w:val="Body"/>
        <w:spacing w:afterLines="20" w:after="48"/>
        <w:ind w:left="567" w:hanging="567"/>
        <w:rPr>
          <w:rFonts w:asciiTheme="majorHAnsi" w:hAnsiTheme="majorHAnsi"/>
        </w:rPr>
      </w:pPr>
      <w:r w:rsidRPr="00593717">
        <w:rPr>
          <w:rFonts w:asciiTheme="majorHAnsi" w:hAnsiTheme="majorHAnsi"/>
        </w:rPr>
        <w:t xml:space="preserve">Thomas </w:t>
      </w:r>
      <w:r>
        <w:rPr>
          <w:rFonts w:asciiTheme="majorHAnsi" w:hAnsiTheme="majorHAnsi"/>
        </w:rPr>
        <w:t xml:space="preserve">J </w:t>
      </w:r>
      <w:r w:rsidRPr="00593717">
        <w:rPr>
          <w:rFonts w:asciiTheme="majorHAnsi" w:hAnsiTheme="majorHAnsi"/>
        </w:rPr>
        <w:t>Jr and Damberger H (1976)</w:t>
      </w:r>
      <w:r>
        <w:rPr>
          <w:rFonts w:asciiTheme="majorHAnsi" w:hAnsiTheme="majorHAnsi"/>
        </w:rPr>
        <w:t>.</w:t>
      </w:r>
      <w:r w:rsidRPr="00593717">
        <w:rPr>
          <w:rFonts w:asciiTheme="majorHAnsi" w:hAnsiTheme="majorHAnsi"/>
        </w:rPr>
        <w:t xml:space="preserve"> Internal surface area, moisture content, and porosity of Illinois coals: Variations with coal. Illinois State Geological Survey. Illinois State Geological Circular 493</w:t>
      </w:r>
      <w:r w:rsidR="00544E2B">
        <w:rPr>
          <w:rFonts w:asciiTheme="majorHAnsi" w:hAnsiTheme="majorHAnsi"/>
        </w:rPr>
        <w:t>:</w:t>
      </w:r>
      <w:r w:rsidRPr="00593717">
        <w:rPr>
          <w:rFonts w:asciiTheme="majorHAnsi" w:hAnsiTheme="majorHAnsi"/>
        </w:rPr>
        <w:t xml:space="preserve"> 1-38.</w:t>
      </w:r>
    </w:p>
    <w:p w14:paraId="1F3FCEB4" w14:textId="201F4EB7" w:rsidR="00544E2B" w:rsidRPr="00D850DF" w:rsidRDefault="00544E2B" w:rsidP="005B6E64">
      <w:pPr>
        <w:pStyle w:val="Body"/>
        <w:spacing w:afterLines="20" w:after="48"/>
        <w:ind w:left="567" w:hanging="567"/>
        <w:rPr>
          <w:rFonts w:asciiTheme="majorHAnsi" w:hAnsiTheme="majorHAnsi"/>
        </w:rPr>
      </w:pPr>
      <w:r>
        <w:rPr>
          <w:rFonts w:asciiTheme="majorHAnsi" w:hAnsiTheme="majorHAnsi"/>
        </w:rPr>
        <w:t xml:space="preserve">Toride N, Leji FJ, van Genuchten MTh (1999). The CXTFIT code for estimating transport parameters from laboratory or field tracer experiments. Version 2.1. US Salinity Laboratory, ARS-USDA, Riverside California. </w:t>
      </w:r>
    </w:p>
    <w:p w14:paraId="6958EE47" w14:textId="11534DDC" w:rsidR="00BC483D" w:rsidRPr="00D850DF" w:rsidRDefault="00BC483D" w:rsidP="00BC483D">
      <w:pPr>
        <w:pStyle w:val="Body"/>
        <w:spacing w:afterLines="20" w:after="48"/>
        <w:ind w:left="567" w:hanging="567"/>
        <w:rPr>
          <w:rFonts w:asciiTheme="majorHAnsi" w:hAnsiTheme="majorHAnsi"/>
        </w:rPr>
      </w:pPr>
      <w:r w:rsidRPr="00D850DF">
        <w:rPr>
          <w:rFonts w:asciiTheme="majorHAnsi" w:hAnsiTheme="majorHAnsi"/>
        </w:rPr>
        <w:t>Tóth J (1962)</w:t>
      </w:r>
      <w:r w:rsidR="00065463" w:rsidRPr="00D850DF">
        <w:rPr>
          <w:rFonts w:asciiTheme="majorHAnsi" w:hAnsiTheme="majorHAnsi"/>
        </w:rPr>
        <w:t>.</w:t>
      </w:r>
      <w:r w:rsidRPr="00D850DF">
        <w:rPr>
          <w:rFonts w:asciiTheme="majorHAnsi" w:hAnsiTheme="majorHAnsi"/>
        </w:rPr>
        <w:t xml:space="preserve"> A theory of groundwater motion in small drainage basins in central Alberta, Canada. Journal of Geophysical Research 67(11)</w:t>
      </w:r>
      <w:r w:rsidR="00D77A45" w:rsidRPr="00D850DF">
        <w:rPr>
          <w:rFonts w:asciiTheme="majorHAnsi" w:hAnsiTheme="majorHAnsi"/>
        </w:rPr>
        <w:t>:</w:t>
      </w:r>
      <w:r w:rsidRPr="00D850DF">
        <w:rPr>
          <w:rFonts w:asciiTheme="majorHAnsi" w:hAnsiTheme="majorHAnsi"/>
        </w:rPr>
        <w:t xml:space="preserve"> 4375-4388.</w:t>
      </w:r>
    </w:p>
    <w:p w14:paraId="40B7E1A9" w14:textId="5D77DFB8" w:rsidR="00BC483D" w:rsidRPr="00D850DF" w:rsidRDefault="00BC483D" w:rsidP="00BC483D">
      <w:pPr>
        <w:pStyle w:val="Body"/>
        <w:spacing w:afterLines="20" w:after="48"/>
        <w:ind w:left="567" w:hanging="567"/>
        <w:rPr>
          <w:rFonts w:asciiTheme="majorHAnsi" w:hAnsiTheme="majorHAnsi"/>
        </w:rPr>
      </w:pPr>
      <w:r w:rsidRPr="00D850DF">
        <w:rPr>
          <w:rFonts w:asciiTheme="majorHAnsi" w:hAnsiTheme="majorHAnsi"/>
        </w:rPr>
        <w:t>T</w:t>
      </w:r>
      <w:r w:rsidR="00816AEA" w:rsidRPr="00D850DF">
        <w:rPr>
          <w:rFonts w:asciiTheme="majorHAnsi" w:hAnsiTheme="majorHAnsi"/>
        </w:rPr>
        <w:t>ó</w:t>
      </w:r>
      <w:r w:rsidRPr="00D850DF">
        <w:rPr>
          <w:rFonts w:asciiTheme="majorHAnsi" w:hAnsiTheme="majorHAnsi"/>
        </w:rPr>
        <w:t>th J (1963)</w:t>
      </w:r>
      <w:r w:rsidR="00065463" w:rsidRPr="00D850DF">
        <w:rPr>
          <w:rFonts w:asciiTheme="majorHAnsi" w:hAnsiTheme="majorHAnsi"/>
        </w:rPr>
        <w:t>.</w:t>
      </w:r>
      <w:r w:rsidRPr="00D850DF">
        <w:rPr>
          <w:rFonts w:asciiTheme="majorHAnsi" w:hAnsiTheme="majorHAnsi"/>
        </w:rPr>
        <w:t xml:space="preserve"> A theoretical analysis of groundwater flow in small drainage basins. Journal of </w:t>
      </w:r>
      <w:r w:rsidRPr="00D850DF">
        <w:rPr>
          <w:rFonts w:asciiTheme="majorHAnsi" w:hAnsiTheme="majorHAnsi"/>
          <w:noProof/>
        </w:rPr>
        <w:t>G</w:t>
      </w:r>
      <w:r w:rsidRPr="00D850DF">
        <w:rPr>
          <w:rFonts w:asciiTheme="majorHAnsi" w:hAnsiTheme="majorHAnsi"/>
        </w:rPr>
        <w:t>eophysical Research 68(16)</w:t>
      </w:r>
      <w:r w:rsidR="00D77A45" w:rsidRPr="00D850DF">
        <w:rPr>
          <w:rFonts w:asciiTheme="majorHAnsi" w:hAnsiTheme="majorHAnsi"/>
        </w:rPr>
        <w:t>:</w:t>
      </w:r>
      <w:r w:rsidRPr="00D850DF">
        <w:rPr>
          <w:rFonts w:asciiTheme="majorHAnsi" w:hAnsiTheme="majorHAnsi"/>
        </w:rPr>
        <w:t xml:space="preserve"> 4795-4812.</w:t>
      </w:r>
    </w:p>
    <w:p w14:paraId="6FE11D2D" w14:textId="17D91B4C" w:rsidR="00774EC7" w:rsidRPr="00D850DF" w:rsidRDefault="00774EC7" w:rsidP="00774EC7">
      <w:pPr>
        <w:pStyle w:val="Body"/>
        <w:spacing w:afterLines="20" w:after="48"/>
        <w:ind w:left="567" w:hanging="567"/>
        <w:rPr>
          <w:rFonts w:asciiTheme="majorHAnsi" w:hAnsiTheme="majorHAnsi"/>
        </w:rPr>
      </w:pPr>
      <w:r w:rsidRPr="00D850DF">
        <w:rPr>
          <w:rFonts w:asciiTheme="majorHAnsi" w:hAnsiTheme="majorHAnsi"/>
        </w:rPr>
        <w:t>Totterdell JM, Moloney J, Korsch RJ</w:t>
      </w:r>
      <w:r w:rsidR="00BC483D" w:rsidRPr="00D850DF">
        <w:rPr>
          <w:rFonts w:asciiTheme="majorHAnsi" w:hAnsiTheme="majorHAnsi"/>
        </w:rPr>
        <w:t>,</w:t>
      </w:r>
      <w:r w:rsidRPr="00D850DF">
        <w:rPr>
          <w:rFonts w:asciiTheme="majorHAnsi" w:hAnsiTheme="majorHAnsi"/>
        </w:rPr>
        <w:t xml:space="preserve"> and Krassay AA (2009)</w:t>
      </w:r>
      <w:r w:rsidR="00065463" w:rsidRPr="00D850DF">
        <w:rPr>
          <w:rFonts w:asciiTheme="majorHAnsi" w:hAnsiTheme="majorHAnsi"/>
        </w:rPr>
        <w:t>.</w:t>
      </w:r>
      <w:r w:rsidRPr="00D850DF">
        <w:rPr>
          <w:rFonts w:asciiTheme="majorHAnsi" w:hAnsiTheme="majorHAnsi"/>
        </w:rPr>
        <w:t xml:space="preserve"> Sequence stratigraphy of the Bowen-Gunnedah and Surat Basins in New South Wales. Australian Journal of Earth Sciences, Special Issue: Evolution of the Bowen, Gunnedah and Surat Basins,</w:t>
      </w:r>
      <w:r w:rsidR="00D77A45" w:rsidRPr="00D850DF">
        <w:rPr>
          <w:rFonts w:asciiTheme="majorHAnsi" w:hAnsiTheme="majorHAnsi"/>
        </w:rPr>
        <w:t xml:space="preserve"> eastern Australia</w:t>
      </w:r>
      <w:r w:rsidR="00197620" w:rsidRPr="00D850DF">
        <w:rPr>
          <w:rFonts w:asciiTheme="majorHAnsi" w:hAnsiTheme="majorHAnsi"/>
        </w:rPr>
        <w:t xml:space="preserve"> </w:t>
      </w:r>
      <w:r w:rsidR="00D77A45" w:rsidRPr="00D850DF">
        <w:rPr>
          <w:rFonts w:asciiTheme="majorHAnsi" w:hAnsiTheme="majorHAnsi"/>
        </w:rPr>
        <w:t>Volume 56 (3):</w:t>
      </w:r>
      <w:r w:rsidRPr="00D850DF">
        <w:rPr>
          <w:rFonts w:asciiTheme="majorHAnsi" w:hAnsiTheme="majorHAnsi"/>
        </w:rPr>
        <w:t xml:space="preserve"> 433-459.</w:t>
      </w:r>
    </w:p>
    <w:p w14:paraId="7B9881B4" w14:textId="693B3117" w:rsidR="0071601A" w:rsidRDefault="0071601A" w:rsidP="000144B2">
      <w:pPr>
        <w:pStyle w:val="Body"/>
        <w:spacing w:afterLines="20" w:after="48"/>
        <w:ind w:left="567" w:hanging="567"/>
        <w:rPr>
          <w:rFonts w:asciiTheme="majorHAnsi" w:hAnsiTheme="majorHAnsi"/>
        </w:rPr>
      </w:pPr>
      <w:r w:rsidRPr="00D850DF">
        <w:rPr>
          <w:rFonts w:asciiTheme="majorHAnsi" w:hAnsiTheme="majorHAnsi"/>
        </w:rPr>
        <w:t>TOXNET. Toxicology data network. NIH US National Library of Medicine.  https://toxnet.nlm.nih.gov/; accessed May 2016</w:t>
      </w:r>
      <w:r w:rsidR="00137320" w:rsidRPr="00D850DF">
        <w:rPr>
          <w:rFonts w:asciiTheme="majorHAnsi" w:hAnsiTheme="majorHAnsi"/>
        </w:rPr>
        <w:t>.</w:t>
      </w:r>
    </w:p>
    <w:p w14:paraId="74CEE1DF" w14:textId="77777777" w:rsidR="009A62A3" w:rsidRPr="00D850DF" w:rsidRDefault="009A62A3" w:rsidP="009A62A3">
      <w:pPr>
        <w:pStyle w:val="Body"/>
        <w:spacing w:afterLines="20" w:after="48"/>
        <w:ind w:left="567" w:hanging="567"/>
        <w:rPr>
          <w:rFonts w:asciiTheme="majorHAnsi" w:hAnsiTheme="majorHAnsi"/>
        </w:rPr>
      </w:pPr>
      <w:r w:rsidRPr="00D850DF">
        <w:rPr>
          <w:rFonts w:asciiTheme="majorHAnsi" w:hAnsiTheme="majorHAnsi"/>
        </w:rPr>
        <w:t>Treccani V, Walker N, and Wiltshire GH (1954). The metabolism of naphthalene by soil bacteria. Journal of General Microbiology 11: 341-348.</w:t>
      </w:r>
    </w:p>
    <w:p w14:paraId="6DF19DAF" w14:textId="753614A5" w:rsidR="00137320" w:rsidRPr="00D850DF" w:rsidRDefault="00137320" w:rsidP="000144B2">
      <w:pPr>
        <w:pStyle w:val="Body"/>
        <w:spacing w:afterLines="20" w:after="48"/>
        <w:ind w:left="567" w:hanging="567"/>
        <w:rPr>
          <w:rFonts w:asciiTheme="majorHAnsi" w:hAnsiTheme="majorHAnsi"/>
        </w:rPr>
      </w:pPr>
      <w:r w:rsidRPr="00D850DF">
        <w:rPr>
          <w:rFonts w:asciiTheme="majorHAnsi" w:hAnsiTheme="majorHAnsi"/>
        </w:rPr>
        <w:t>United Nations (2011)</w:t>
      </w:r>
      <w:r w:rsidR="00065463" w:rsidRPr="00D850DF">
        <w:rPr>
          <w:rFonts w:asciiTheme="majorHAnsi" w:hAnsiTheme="majorHAnsi"/>
        </w:rPr>
        <w:t>.</w:t>
      </w:r>
      <w:r w:rsidRPr="00D850DF">
        <w:rPr>
          <w:rFonts w:asciiTheme="majorHAnsi" w:hAnsiTheme="majorHAnsi"/>
        </w:rPr>
        <w:t xml:space="preserve"> Globally Harmonised System of Classification and Labelling of Chemicals (GHS), United Nations Economic Commission for Europe, 4th revised edition.</w:t>
      </w:r>
    </w:p>
    <w:p w14:paraId="2B7F69E1" w14:textId="6BDCEB7E" w:rsidR="000011BD" w:rsidRPr="00D850DF" w:rsidRDefault="000011BD" w:rsidP="000011BD">
      <w:pPr>
        <w:pStyle w:val="Body"/>
        <w:spacing w:afterLines="20" w:after="48"/>
        <w:ind w:left="567" w:hanging="567"/>
        <w:rPr>
          <w:rFonts w:asciiTheme="majorHAnsi" w:hAnsiTheme="majorHAnsi"/>
        </w:rPr>
      </w:pPr>
      <w:r w:rsidRPr="00D850DF">
        <w:rPr>
          <w:rFonts w:asciiTheme="majorHAnsi" w:hAnsiTheme="majorHAnsi"/>
        </w:rPr>
        <w:t>US Congress (2011)</w:t>
      </w:r>
      <w:r w:rsidR="00065463" w:rsidRPr="00D850DF">
        <w:rPr>
          <w:rFonts w:asciiTheme="majorHAnsi" w:hAnsiTheme="majorHAnsi"/>
        </w:rPr>
        <w:t>.</w:t>
      </w:r>
      <w:r w:rsidRPr="00D850DF">
        <w:rPr>
          <w:rFonts w:asciiTheme="majorHAnsi" w:hAnsiTheme="majorHAnsi"/>
        </w:rPr>
        <w:t xml:space="preserve"> Chemicals used in hydraulic fracturing. United States House of Representatives - Committee on Energy and Commerce. April 2011, 29 pp.</w:t>
      </w:r>
    </w:p>
    <w:p w14:paraId="57FA9A4C" w14:textId="30323A34" w:rsidR="005252EE" w:rsidRDefault="005252EE" w:rsidP="005252EE">
      <w:pPr>
        <w:pStyle w:val="Body"/>
        <w:spacing w:afterLines="20" w:after="48"/>
        <w:ind w:left="567" w:hanging="567"/>
        <w:rPr>
          <w:rFonts w:asciiTheme="majorHAnsi" w:hAnsiTheme="majorHAnsi"/>
        </w:rPr>
      </w:pPr>
      <w:r w:rsidRPr="00D850DF">
        <w:rPr>
          <w:rFonts w:asciiTheme="majorHAnsi" w:hAnsiTheme="majorHAnsi"/>
        </w:rPr>
        <w:t>US EPA</w:t>
      </w:r>
      <w:r w:rsidR="00AC2F0E" w:rsidRPr="00D850DF">
        <w:rPr>
          <w:rFonts w:asciiTheme="majorHAnsi" w:hAnsiTheme="majorHAnsi"/>
        </w:rPr>
        <w:t xml:space="preserve"> (</w:t>
      </w:r>
      <w:r w:rsidRPr="00D850DF">
        <w:rPr>
          <w:rFonts w:asciiTheme="majorHAnsi" w:hAnsiTheme="majorHAnsi"/>
        </w:rPr>
        <w:t>1992</w:t>
      </w:r>
      <w:r w:rsidR="00AC2F0E"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Guidelines for Exposure Assessment. Risk Assessment Forum. U.S. Environmental Protection Agency, Washington, DC: 139.</w:t>
      </w:r>
    </w:p>
    <w:p w14:paraId="0F5CE104" w14:textId="10A3655F" w:rsidR="001B1F7F" w:rsidRDefault="001B1F7F" w:rsidP="001B1F7F">
      <w:pPr>
        <w:pStyle w:val="Body"/>
        <w:spacing w:afterLines="20" w:after="48"/>
        <w:ind w:left="567" w:hanging="567"/>
        <w:rPr>
          <w:rFonts w:asciiTheme="majorHAnsi" w:hAnsiTheme="majorHAnsi"/>
        </w:rPr>
      </w:pPr>
      <w:r>
        <w:rPr>
          <w:rFonts w:asciiTheme="majorHAnsi" w:hAnsiTheme="majorHAnsi"/>
        </w:rPr>
        <w:t xml:space="preserve">US EPA (1994a). </w:t>
      </w:r>
      <w:r w:rsidRPr="001B1F7F">
        <w:rPr>
          <w:rFonts w:asciiTheme="majorHAnsi" w:hAnsiTheme="majorHAnsi"/>
        </w:rPr>
        <w:t xml:space="preserve">Handbook of Ground Water and Wellhead Protection, US </w:t>
      </w:r>
      <w:r>
        <w:rPr>
          <w:rFonts w:asciiTheme="majorHAnsi" w:hAnsiTheme="majorHAnsi"/>
        </w:rPr>
        <w:t>Environmental Protection Agency</w:t>
      </w:r>
      <w:r w:rsidRPr="001B1F7F">
        <w:rPr>
          <w:rFonts w:asciiTheme="majorHAnsi" w:hAnsiTheme="majorHAnsi"/>
        </w:rPr>
        <w:t>, Report EPA/625/R-94001, 288 p.</w:t>
      </w:r>
    </w:p>
    <w:p w14:paraId="1D24E2F9" w14:textId="6774ACD3" w:rsidR="00F916B6" w:rsidRDefault="00F916B6" w:rsidP="00F916B6">
      <w:pPr>
        <w:pStyle w:val="Body"/>
        <w:spacing w:afterLines="20" w:after="48"/>
        <w:ind w:left="567" w:hanging="567"/>
        <w:rPr>
          <w:rFonts w:asciiTheme="majorHAnsi" w:hAnsiTheme="majorHAnsi"/>
        </w:rPr>
      </w:pPr>
      <w:r w:rsidRPr="00D850DF">
        <w:rPr>
          <w:rFonts w:asciiTheme="majorHAnsi" w:hAnsiTheme="majorHAnsi"/>
        </w:rPr>
        <w:t>US EPA (1994</w:t>
      </w:r>
      <w:r w:rsidR="001B1F7F">
        <w:rPr>
          <w:rFonts w:asciiTheme="majorHAnsi" w:hAnsiTheme="majorHAnsi"/>
        </w:rPr>
        <w:t>b</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Registration Eligibility Decision (RED) Limonene. US Environmental Protection Agency, Office of Prevention, Pesticides and Toxic Substances (EPA-738-R-94-034). U.S. Government Printing Office: Washington, DC, USA.</w:t>
      </w:r>
    </w:p>
    <w:p w14:paraId="3B78EECE" w14:textId="46E6FF65" w:rsidR="005D4C6C" w:rsidRPr="00D850DF" w:rsidRDefault="005D4C6C" w:rsidP="005D4C6C">
      <w:pPr>
        <w:pStyle w:val="Body"/>
        <w:spacing w:afterLines="20" w:after="48"/>
        <w:ind w:left="567" w:hanging="567"/>
        <w:rPr>
          <w:rFonts w:asciiTheme="majorHAnsi" w:hAnsiTheme="majorHAnsi"/>
        </w:rPr>
      </w:pPr>
      <w:r w:rsidRPr="00D850DF">
        <w:rPr>
          <w:rFonts w:asciiTheme="majorHAnsi" w:hAnsiTheme="majorHAnsi"/>
        </w:rPr>
        <w:t>US EPA (1994</w:t>
      </w:r>
      <w:r>
        <w:rPr>
          <w:rFonts w:asciiTheme="majorHAnsi" w:hAnsiTheme="majorHAnsi"/>
        </w:rPr>
        <w:t>c</w:t>
      </w:r>
      <w:r w:rsidRPr="00D850DF">
        <w:rPr>
          <w:rFonts w:asciiTheme="majorHAnsi" w:hAnsiTheme="majorHAnsi"/>
        </w:rPr>
        <w:t>).</w:t>
      </w:r>
      <w:r>
        <w:rPr>
          <w:rFonts w:asciiTheme="majorHAnsi" w:hAnsiTheme="majorHAnsi"/>
        </w:rPr>
        <w:t xml:space="preserve"> </w:t>
      </w:r>
      <w:r w:rsidRPr="00124C25">
        <w:rPr>
          <w:rFonts w:asciiTheme="majorHAnsi" w:hAnsiTheme="majorHAnsi"/>
        </w:rPr>
        <w:t>D</w:t>
      </w:r>
      <w:r>
        <w:rPr>
          <w:rFonts w:asciiTheme="majorHAnsi" w:hAnsiTheme="majorHAnsi"/>
        </w:rPr>
        <w:t xml:space="preserve">etermination of groundwater dilution attenuation factors for fixed waste site areas using </w:t>
      </w:r>
      <w:r w:rsidRPr="00124C25">
        <w:rPr>
          <w:rFonts w:asciiTheme="majorHAnsi" w:hAnsiTheme="majorHAnsi"/>
        </w:rPr>
        <w:t>EPACMTP</w:t>
      </w:r>
      <w:r>
        <w:rPr>
          <w:rFonts w:asciiTheme="majorHAnsi" w:hAnsiTheme="majorHAnsi"/>
        </w:rPr>
        <w:t>. Background document. EPA office of solid waste. Appendix E.</w:t>
      </w:r>
    </w:p>
    <w:p w14:paraId="4B54D5FC" w14:textId="4ECDB38F" w:rsidR="0071601A" w:rsidRPr="00D850DF" w:rsidRDefault="0071601A" w:rsidP="0071601A">
      <w:pPr>
        <w:pStyle w:val="Body"/>
        <w:spacing w:afterLines="20" w:after="48"/>
        <w:ind w:left="567" w:hanging="567"/>
        <w:rPr>
          <w:rFonts w:asciiTheme="majorHAnsi" w:hAnsiTheme="majorHAnsi"/>
        </w:rPr>
      </w:pPr>
      <w:r w:rsidRPr="00D850DF">
        <w:rPr>
          <w:rFonts w:asciiTheme="majorHAnsi" w:hAnsiTheme="majorHAnsi"/>
        </w:rPr>
        <w:t>US</w:t>
      </w:r>
      <w:r w:rsidR="00AC2F0E" w:rsidRPr="00D850DF">
        <w:rPr>
          <w:rFonts w:asciiTheme="majorHAnsi" w:hAnsiTheme="majorHAnsi"/>
        </w:rPr>
        <w:t xml:space="preserve"> </w:t>
      </w:r>
      <w:r w:rsidRPr="00D850DF">
        <w:rPr>
          <w:rFonts w:asciiTheme="majorHAnsi" w:hAnsiTheme="majorHAnsi"/>
        </w:rPr>
        <w:t>EPA (1995a)</w:t>
      </w:r>
      <w:r w:rsidR="00065463" w:rsidRPr="00D850DF">
        <w:rPr>
          <w:rFonts w:asciiTheme="majorHAnsi" w:hAnsiTheme="majorHAnsi"/>
        </w:rPr>
        <w:t>.</w:t>
      </w:r>
      <w:r w:rsidRPr="00D850DF">
        <w:rPr>
          <w:rFonts w:asciiTheme="majorHAnsi" w:hAnsiTheme="majorHAnsi"/>
        </w:rPr>
        <w:t xml:space="preserve"> National primary drinking water regulations. Acrylamide. United States Environmental Protection Agency, Office of Water 4601 EPA 811-F-95-004a-T October 1995</w:t>
      </w:r>
      <w:r w:rsidR="00F6746B" w:rsidRPr="00D850DF">
        <w:rPr>
          <w:rFonts w:asciiTheme="majorHAnsi" w:hAnsiTheme="majorHAnsi"/>
        </w:rPr>
        <w:t>.</w:t>
      </w:r>
    </w:p>
    <w:p w14:paraId="784DE3FD" w14:textId="53323F5C" w:rsidR="0071601A" w:rsidRPr="00D850DF" w:rsidRDefault="0071601A" w:rsidP="0071601A">
      <w:pPr>
        <w:pStyle w:val="Body"/>
        <w:spacing w:afterLines="20" w:after="48"/>
        <w:ind w:left="567" w:hanging="567"/>
        <w:rPr>
          <w:rFonts w:asciiTheme="majorHAnsi" w:hAnsiTheme="majorHAnsi"/>
        </w:rPr>
      </w:pPr>
      <w:r w:rsidRPr="00D850DF">
        <w:rPr>
          <w:rFonts w:asciiTheme="majorHAnsi" w:hAnsiTheme="majorHAnsi"/>
        </w:rPr>
        <w:t>US</w:t>
      </w:r>
      <w:r w:rsidR="00AC2F0E" w:rsidRPr="00D850DF">
        <w:rPr>
          <w:rFonts w:asciiTheme="majorHAnsi" w:hAnsiTheme="majorHAnsi"/>
        </w:rPr>
        <w:t xml:space="preserve"> </w:t>
      </w:r>
      <w:r w:rsidRPr="00D850DF">
        <w:rPr>
          <w:rFonts w:asciiTheme="majorHAnsi" w:hAnsiTheme="majorHAnsi"/>
        </w:rPr>
        <w:t>EPA (1995b)</w:t>
      </w:r>
      <w:r w:rsidR="00065463" w:rsidRPr="00D850DF">
        <w:rPr>
          <w:rFonts w:asciiTheme="majorHAnsi" w:hAnsiTheme="majorHAnsi"/>
        </w:rPr>
        <w:t>.</w:t>
      </w:r>
      <w:r w:rsidRPr="00D850DF">
        <w:rPr>
          <w:rFonts w:asciiTheme="majorHAnsi" w:hAnsiTheme="majorHAnsi"/>
        </w:rPr>
        <w:t xml:space="preserve"> Reregistration Eligibility Decision (RED) Bronopol. United States Environmental Protection Agency. Prevention, Pesticides </w:t>
      </w:r>
      <w:proofErr w:type="gramStart"/>
      <w:r w:rsidRPr="00D850DF">
        <w:rPr>
          <w:rFonts w:asciiTheme="majorHAnsi" w:hAnsiTheme="majorHAnsi"/>
        </w:rPr>
        <w:t>And</w:t>
      </w:r>
      <w:proofErr w:type="gramEnd"/>
      <w:r w:rsidRPr="00D850DF">
        <w:rPr>
          <w:rFonts w:asciiTheme="majorHAnsi" w:hAnsiTheme="majorHAnsi"/>
        </w:rPr>
        <w:t xml:space="preserve"> Toxic Substances (7508W), EPA738-R-95-029 October 1995</w:t>
      </w:r>
      <w:r w:rsidR="00955FD9">
        <w:rPr>
          <w:rFonts w:asciiTheme="majorHAnsi" w:hAnsiTheme="majorHAnsi"/>
        </w:rPr>
        <w:t>.</w:t>
      </w:r>
      <w:r w:rsidRPr="00D850DF">
        <w:rPr>
          <w:rFonts w:asciiTheme="majorHAnsi" w:hAnsiTheme="majorHAnsi"/>
        </w:rPr>
        <w:t xml:space="preserve"> </w:t>
      </w:r>
    </w:p>
    <w:p w14:paraId="7C100674" w14:textId="1E0BC84B" w:rsidR="00FD6F6D" w:rsidRPr="00D850DF" w:rsidRDefault="00FD6F6D" w:rsidP="00FD6F6D">
      <w:pPr>
        <w:pStyle w:val="Body"/>
        <w:spacing w:afterLines="20" w:after="48"/>
        <w:ind w:left="567" w:hanging="567"/>
        <w:rPr>
          <w:rFonts w:asciiTheme="majorHAnsi" w:hAnsiTheme="majorHAnsi"/>
        </w:rPr>
      </w:pPr>
      <w:r w:rsidRPr="00D850DF">
        <w:rPr>
          <w:rFonts w:asciiTheme="majorHAnsi" w:hAnsiTheme="majorHAnsi"/>
        </w:rPr>
        <w:t>US EPA (1998</w:t>
      </w:r>
      <w:r w:rsidR="007655AD" w:rsidRPr="00D850DF">
        <w:rPr>
          <w:rFonts w:asciiTheme="majorHAnsi" w:hAnsiTheme="majorHAnsi"/>
        </w:rPr>
        <w:t>a</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Technical Protocol for Evaluating Natural Attenuation of Chlorinated Solvents in Ground Water. EPA/600/R-98/128 September 1998.</w:t>
      </w:r>
    </w:p>
    <w:p w14:paraId="4ED22C62" w14:textId="0B155C78" w:rsidR="0071601A" w:rsidRPr="00D850DF" w:rsidRDefault="0071601A" w:rsidP="0071601A">
      <w:pPr>
        <w:pStyle w:val="Body"/>
        <w:spacing w:afterLines="20" w:after="48"/>
        <w:ind w:left="567" w:hanging="567"/>
        <w:rPr>
          <w:rFonts w:asciiTheme="majorHAnsi" w:hAnsiTheme="majorHAnsi"/>
        </w:rPr>
      </w:pPr>
      <w:r w:rsidRPr="00D850DF">
        <w:rPr>
          <w:rFonts w:asciiTheme="majorHAnsi" w:hAnsiTheme="majorHAnsi"/>
        </w:rPr>
        <w:t>US</w:t>
      </w:r>
      <w:r w:rsidR="00EB152B" w:rsidRPr="00D850DF">
        <w:rPr>
          <w:rFonts w:asciiTheme="majorHAnsi" w:hAnsiTheme="majorHAnsi"/>
        </w:rPr>
        <w:t xml:space="preserve"> </w:t>
      </w:r>
      <w:r w:rsidRPr="00D850DF">
        <w:rPr>
          <w:rFonts w:asciiTheme="majorHAnsi" w:hAnsiTheme="majorHAnsi"/>
        </w:rPr>
        <w:t>EPA (1998</w:t>
      </w:r>
      <w:r w:rsidR="007655AD" w:rsidRPr="00D850DF">
        <w:rPr>
          <w:rFonts w:asciiTheme="majorHAnsi" w:hAnsiTheme="majorHAnsi"/>
        </w:rPr>
        <w:t>b</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Reregistration Eligibility Decision (RED) Methylisothiazolinone. United States Environmental Protection Agency. Prevention, Pesticides </w:t>
      </w:r>
      <w:r w:rsidR="00E44C0B" w:rsidRPr="00D850DF">
        <w:rPr>
          <w:rFonts w:asciiTheme="majorHAnsi" w:hAnsiTheme="majorHAnsi"/>
        </w:rPr>
        <w:t xml:space="preserve">and </w:t>
      </w:r>
      <w:r w:rsidRPr="00D850DF">
        <w:rPr>
          <w:rFonts w:asciiTheme="majorHAnsi" w:hAnsiTheme="majorHAnsi"/>
        </w:rPr>
        <w:t>Toxic Substances (7508C), EPA738-R-98-012 October 1998</w:t>
      </w:r>
      <w:r w:rsidR="00011468">
        <w:rPr>
          <w:rFonts w:asciiTheme="majorHAnsi" w:hAnsiTheme="majorHAnsi"/>
        </w:rPr>
        <w:t>.</w:t>
      </w:r>
      <w:r w:rsidRPr="00D850DF">
        <w:rPr>
          <w:rFonts w:asciiTheme="majorHAnsi" w:hAnsiTheme="majorHAnsi"/>
        </w:rPr>
        <w:t xml:space="preserve"> </w:t>
      </w:r>
    </w:p>
    <w:p w14:paraId="3CBADD30" w14:textId="1AF9A0F9" w:rsidR="00886139" w:rsidRPr="00D850DF" w:rsidRDefault="00886139" w:rsidP="00886139">
      <w:pPr>
        <w:pStyle w:val="Body"/>
        <w:spacing w:afterLines="20" w:after="48"/>
        <w:ind w:left="567" w:hanging="567"/>
        <w:rPr>
          <w:rFonts w:asciiTheme="majorHAnsi" w:hAnsiTheme="majorHAnsi"/>
        </w:rPr>
      </w:pPr>
      <w:r w:rsidRPr="00D850DF">
        <w:rPr>
          <w:rFonts w:asciiTheme="majorHAnsi" w:hAnsiTheme="majorHAnsi"/>
        </w:rPr>
        <w:t>US EPA (1999a)</w:t>
      </w:r>
      <w:r w:rsidR="00065463" w:rsidRPr="00D850DF">
        <w:rPr>
          <w:rFonts w:asciiTheme="majorHAnsi" w:hAnsiTheme="majorHAnsi"/>
        </w:rPr>
        <w:t>.</w:t>
      </w:r>
      <w:r w:rsidRPr="00D850DF">
        <w:rPr>
          <w:rFonts w:asciiTheme="majorHAnsi" w:hAnsiTheme="majorHAnsi"/>
        </w:rPr>
        <w:t xml:space="preserve"> Understanding variation in partition coefficient, </w:t>
      </w:r>
      <w:proofErr w:type="gramStart"/>
      <w:r w:rsidRPr="00D850DF">
        <w:rPr>
          <w:rFonts w:asciiTheme="majorHAnsi" w:hAnsiTheme="majorHAnsi"/>
        </w:rPr>
        <w:t>Kd</w:t>
      </w:r>
      <w:proofErr w:type="gramEnd"/>
      <w:r w:rsidRPr="00D850DF">
        <w:rPr>
          <w:rFonts w:asciiTheme="majorHAnsi" w:hAnsiTheme="majorHAnsi"/>
        </w:rPr>
        <w:t xml:space="preserve"> values. Volume II: Review of geochemistry and available Kd Values for cadmium, caesium, chromium, lead, plutonium, radon, strontium, thorium, tritium (3H), and uranium. US Environmental Protection Agency report EPA 402-R-99-004B, 341 pages.</w:t>
      </w:r>
    </w:p>
    <w:p w14:paraId="74FC8D49" w14:textId="6614DEDE" w:rsidR="0000170B" w:rsidRPr="00D850DF" w:rsidRDefault="0000170B" w:rsidP="0000170B">
      <w:pPr>
        <w:pStyle w:val="Body"/>
        <w:spacing w:afterLines="20" w:after="48"/>
        <w:ind w:left="567" w:hanging="567"/>
        <w:rPr>
          <w:rFonts w:asciiTheme="majorHAnsi" w:hAnsiTheme="majorHAnsi"/>
        </w:rPr>
      </w:pPr>
      <w:r w:rsidRPr="00D850DF">
        <w:rPr>
          <w:rFonts w:asciiTheme="majorHAnsi" w:hAnsiTheme="majorHAnsi"/>
        </w:rPr>
        <w:t>US EPA (1999</w:t>
      </w:r>
      <w:r w:rsidR="00886139" w:rsidRPr="00D850DF">
        <w:rPr>
          <w:rFonts w:asciiTheme="majorHAnsi" w:hAnsiTheme="majorHAnsi"/>
        </w:rPr>
        <w:t>b</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Understanding variation in partition coefficient, </w:t>
      </w:r>
      <w:proofErr w:type="gramStart"/>
      <w:r w:rsidRPr="00D850DF">
        <w:rPr>
          <w:rFonts w:asciiTheme="majorHAnsi" w:hAnsiTheme="majorHAnsi"/>
        </w:rPr>
        <w:t>Kd</w:t>
      </w:r>
      <w:proofErr w:type="gramEnd"/>
      <w:r w:rsidRPr="00D850DF">
        <w:rPr>
          <w:rFonts w:asciiTheme="majorHAnsi" w:hAnsiTheme="majorHAnsi"/>
        </w:rPr>
        <w:t xml:space="preserve">, values. </w:t>
      </w:r>
      <w:r w:rsidR="00886139" w:rsidRPr="00D850DF">
        <w:rPr>
          <w:rFonts w:asciiTheme="majorHAnsi" w:hAnsiTheme="majorHAnsi"/>
        </w:rPr>
        <w:t>Volume I</w:t>
      </w:r>
      <w:r w:rsidRPr="00D850DF">
        <w:rPr>
          <w:rFonts w:asciiTheme="majorHAnsi" w:hAnsiTheme="majorHAnsi"/>
        </w:rPr>
        <w:t xml:space="preserve">: The </w:t>
      </w:r>
      <w:proofErr w:type="gramStart"/>
      <w:r w:rsidRPr="00D850DF">
        <w:rPr>
          <w:rFonts w:asciiTheme="majorHAnsi" w:hAnsiTheme="majorHAnsi"/>
        </w:rPr>
        <w:t>Kd</w:t>
      </w:r>
      <w:proofErr w:type="gramEnd"/>
      <w:r w:rsidRPr="00D850DF">
        <w:rPr>
          <w:rFonts w:asciiTheme="majorHAnsi" w:hAnsiTheme="majorHAnsi"/>
        </w:rPr>
        <w:t xml:space="preserve"> model, methods of measurement, application of geochemical reaction codes. EPA 402-R-99-004A.</w:t>
      </w:r>
    </w:p>
    <w:p w14:paraId="42F61D78" w14:textId="1662AE61" w:rsidR="002805A7" w:rsidRPr="00D850DF" w:rsidRDefault="002805A7" w:rsidP="002805A7">
      <w:pPr>
        <w:pStyle w:val="Body"/>
        <w:spacing w:afterLines="20" w:after="48"/>
        <w:ind w:left="567" w:hanging="567"/>
        <w:rPr>
          <w:rFonts w:asciiTheme="majorHAnsi" w:hAnsiTheme="majorHAnsi"/>
        </w:rPr>
      </w:pPr>
      <w:r w:rsidRPr="00D850DF">
        <w:rPr>
          <w:rFonts w:asciiTheme="majorHAnsi" w:hAnsiTheme="majorHAnsi"/>
        </w:rPr>
        <w:t>US EPA (2004a)</w:t>
      </w:r>
      <w:r w:rsidR="00065463" w:rsidRPr="00D850DF">
        <w:rPr>
          <w:rFonts w:asciiTheme="majorHAnsi" w:hAnsiTheme="majorHAnsi"/>
        </w:rPr>
        <w:t>.</w:t>
      </w:r>
      <w:r w:rsidRPr="00D850DF">
        <w:rPr>
          <w:rFonts w:asciiTheme="majorHAnsi" w:hAnsiTheme="majorHAnsi"/>
        </w:rPr>
        <w:t xml:space="preserve"> Evaluation of impacts to underground sources of drinking water by hydraulic fracturing of coalbed methane reservoirs. No. EPA/816/R-04/003. Washington, DC: US Environmental Protection Agency, Office of Water.</w:t>
      </w:r>
    </w:p>
    <w:p w14:paraId="20E56D52" w14:textId="503F8E1C" w:rsidR="00D9435D" w:rsidRPr="00D850DF" w:rsidRDefault="00D9435D" w:rsidP="00D9435D">
      <w:pPr>
        <w:pStyle w:val="Body"/>
        <w:spacing w:afterLines="20" w:after="48"/>
        <w:ind w:left="567" w:hanging="567"/>
        <w:rPr>
          <w:rFonts w:asciiTheme="majorHAnsi" w:hAnsiTheme="majorHAnsi"/>
        </w:rPr>
      </w:pPr>
      <w:r w:rsidRPr="00D850DF">
        <w:rPr>
          <w:rFonts w:asciiTheme="majorHAnsi" w:hAnsiTheme="majorHAnsi"/>
        </w:rPr>
        <w:t>US</w:t>
      </w:r>
      <w:r w:rsidR="005252EE" w:rsidRPr="00D850DF">
        <w:rPr>
          <w:rFonts w:asciiTheme="majorHAnsi" w:hAnsiTheme="majorHAnsi"/>
        </w:rPr>
        <w:t xml:space="preserve"> </w:t>
      </w:r>
      <w:r w:rsidRPr="00D850DF">
        <w:rPr>
          <w:rFonts w:asciiTheme="majorHAnsi" w:hAnsiTheme="majorHAnsi"/>
        </w:rPr>
        <w:t>EPA (2004</w:t>
      </w:r>
      <w:r w:rsidR="002805A7" w:rsidRPr="00D850DF">
        <w:rPr>
          <w:rFonts w:asciiTheme="majorHAnsi" w:hAnsiTheme="majorHAnsi"/>
        </w:rPr>
        <w:t>b</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Understanding variation in partition coefficient, </w:t>
      </w:r>
      <w:proofErr w:type="gramStart"/>
      <w:r w:rsidRPr="00D850DF">
        <w:rPr>
          <w:rFonts w:asciiTheme="majorHAnsi" w:hAnsiTheme="majorHAnsi"/>
        </w:rPr>
        <w:t>Kd</w:t>
      </w:r>
      <w:proofErr w:type="gramEnd"/>
      <w:r w:rsidRPr="00D850DF">
        <w:rPr>
          <w:rFonts w:asciiTheme="majorHAnsi" w:hAnsiTheme="majorHAnsi"/>
        </w:rPr>
        <w:t xml:space="preserve"> values. Volume III: Review of Geochemistry and Available </w:t>
      </w:r>
      <w:proofErr w:type="gramStart"/>
      <w:r w:rsidRPr="00D850DF">
        <w:rPr>
          <w:rFonts w:asciiTheme="majorHAnsi" w:hAnsiTheme="majorHAnsi"/>
        </w:rPr>
        <w:t>Kd</w:t>
      </w:r>
      <w:proofErr w:type="gramEnd"/>
      <w:r w:rsidRPr="00D850DF">
        <w:rPr>
          <w:rFonts w:asciiTheme="majorHAnsi" w:hAnsiTheme="majorHAnsi"/>
        </w:rPr>
        <w:t xml:space="preserve"> Values for americium, arsenic, curium, iodine, neptunium, radium, and technetium. US Environmental Protection Agency report EPA 402-R-04-002C, 188 pages.</w:t>
      </w:r>
    </w:p>
    <w:p w14:paraId="475BB788" w14:textId="057B4355"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US EPA (2005)</w:t>
      </w:r>
      <w:r w:rsidR="00065463" w:rsidRPr="00D850DF">
        <w:rPr>
          <w:rFonts w:asciiTheme="majorHAnsi" w:hAnsiTheme="majorHAnsi"/>
        </w:rPr>
        <w:t>.</w:t>
      </w:r>
      <w:r w:rsidRPr="00D850DF">
        <w:rPr>
          <w:rFonts w:asciiTheme="majorHAnsi" w:hAnsiTheme="majorHAnsi"/>
        </w:rPr>
        <w:t xml:space="preserve"> Toxicological Review of Barium and Compounds. United States Environmental Protection Agency, EPA/635/R-05/001.</w:t>
      </w:r>
    </w:p>
    <w:p w14:paraId="58616067" w14:textId="5B8521A3"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US EPA (2006)</w:t>
      </w:r>
      <w:r w:rsidR="00065463" w:rsidRPr="00D850DF">
        <w:rPr>
          <w:rFonts w:asciiTheme="majorHAnsi" w:hAnsiTheme="majorHAnsi"/>
        </w:rPr>
        <w:t>.</w:t>
      </w:r>
      <w:r w:rsidRPr="00D850DF">
        <w:rPr>
          <w:rFonts w:asciiTheme="majorHAnsi" w:hAnsiTheme="majorHAnsi"/>
        </w:rPr>
        <w:t xml:space="preserve"> Ohio EPA Aquatic Life Water Quality Criteria Factsheet.  </w:t>
      </w:r>
      <w:hyperlink r:id="rId242" w:history="1">
        <w:r w:rsidRPr="00D850DF">
          <w:rPr>
            <w:rFonts w:asciiTheme="majorHAnsi" w:hAnsiTheme="majorHAnsi"/>
          </w:rPr>
          <w:t>https://www.epa.gov/sites/production/files/2015-06/documents/oh_al_337_03012006.pdf</w:t>
        </w:r>
      </w:hyperlink>
      <w:r w:rsidRPr="00D850DF">
        <w:rPr>
          <w:rFonts w:asciiTheme="majorHAnsi" w:hAnsiTheme="majorHAnsi"/>
        </w:rPr>
        <w:t xml:space="preserve"> (accessed 20 June 2016)</w:t>
      </w:r>
    </w:p>
    <w:p w14:paraId="4B3C5EBD" w14:textId="224FA69F"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US EPA (2008</w:t>
      </w:r>
      <w:r w:rsidR="00BC7BCE" w:rsidRPr="00D850DF">
        <w:rPr>
          <w:rFonts w:asciiTheme="majorHAnsi" w:hAnsiTheme="majorHAnsi"/>
        </w:rPr>
        <w:t>a</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National Primary Drinking Water Standards, United States Environmental Protection Agency, https://safewater.zendesk.com/hc/en-us/sections/202366558</w:t>
      </w:r>
    </w:p>
    <w:p w14:paraId="7FEE5186" w14:textId="1DF38694"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US EPA (2008b)</w:t>
      </w:r>
      <w:r w:rsidR="00065463" w:rsidRPr="00D850DF">
        <w:rPr>
          <w:rFonts w:asciiTheme="majorHAnsi" w:hAnsiTheme="majorHAnsi"/>
        </w:rPr>
        <w:t>.</w:t>
      </w:r>
      <w:r w:rsidRPr="00D850DF">
        <w:rPr>
          <w:rFonts w:asciiTheme="majorHAnsi" w:hAnsiTheme="majorHAnsi"/>
        </w:rPr>
        <w:t xml:space="preserve"> Health Effects Support Document for Boron, USEPA, Office of Water Health and Ecological Criteria Division, EPA-822-R-08-002, January 2008.</w:t>
      </w:r>
    </w:p>
    <w:p w14:paraId="270DE3AD" w14:textId="7347AC0E" w:rsidR="00001E05" w:rsidRPr="00D850DF" w:rsidRDefault="00001E05" w:rsidP="00001E05">
      <w:pPr>
        <w:pStyle w:val="Body"/>
        <w:spacing w:afterLines="20" w:after="48"/>
        <w:ind w:left="567" w:hanging="567"/>
        <w:rPr>
          <w:rFonts w:asciiTheme="majorHAnsi" w:hAnsiTheme="majorHAnsi"/>
        </w:rPr>
      </w:pPr>
      <w:r w:rsidRPr="00D850DF">
        <w:rPr>
          <w:rFonts w:asciiTheme="majorHAnsi" w:hAnsiTheme="majorHAnsi"/>
        </w:rPr>
        <w:t>US EPA (2009)</w:t>
      </w:r>
      <w:r w:rsidR="00065463" w:rsidRPr="00D850DF">
        <w:rPr>
          <w:rFonts w:asciiTheme="majorHAnsi" w:hAnsiTheme="majorHAnsi"/>
        </w:rPr>
        <w:t>.</w:t>
      </w:r>
      <w:r w:rsidRPr="00D850DF">
        <w:rPr>
          <w:rFonts w:asciiTheme="majorHAnsi" w:hAnsiTheme="majorHAnsi"/>
        </w:rPr>
        <w:t xml:space="preserve"> S</w:t>
      </w:r>
      <w:r w:rsidR="00011468">
        <w:rPr>
          <w:rFonts w:asciiTheme="majorHAnsi" w:hAnsiTheme="majorHAnsi"/>
        </w:rPr>
        <w:t xml:space="preserve">creening-level hazard characterization </w:t>
      </w:r>
      <w:r w:rsidRPr="00D850DF">
        <w:rPr>
          <w:rFonts w:asciiTheme="majorHAnsi" w:hAnsiTheme="majorHAnsi"/>
        </w:rPr>
        <w:t>Monoterpene Hydrocarbons Category. Hazard characterization document.</w:t>
      </w:r>
    </w:p>
    <w:p w14:paraId="61847D51" w14:textId="39C811F3" w:rsidR="0083264F" w:rsidRPr="00D850DF" w:rsidRDefault="0083264F" w:rsidP="0083264F">
      <w:pPr>
        <w:pStyle w:val="Body"/>
        <w:spacing w:afterLines="20" w:after="48"/>
        <w:ind w:left="567" w:hanging="567"/>
        <w:rPr>
          <w:rFonts w:asciiTheme="majorHAnsi" w:hAnsiTheme="majorHAnsi"/>
        </w:rPr>
      </w:pPr>
      <w:r w:rsidRPr="00D850DF">
        <w:rPr>
          <w:rFonts w:asciiTheme="majorHAnsi" w:hAnsiTheme="majorHAnsi"/>
        </w:rPr>
        <w:t xml:space="preserve">US EPA </w:t>
      </w:r>
      <w:r w:rsidR="00590E70" w:rsidRPr="00D850DF">
        <w:rPr>
          <w:rFonts w:asciiTheme="majorHAnsi" w:hAnsiTheme="majorHAnsi"/>
        </w:rPr>
        <w:t>(2010)</w:t>
      </w:r>
      <w:r w:rsidR="00065463" w:rsidRPr="00D850DF">
        <w:rPr>
          <w:rFonts w:asciiTheme="majorHAnsi" w:hAnsiTheme="majorHAnsi"/>
        </w:rPr>
        <w:t>.</w:t>
      </w:r>
      <w:r w:rsidRPr="00D850DF">
        <w:rPr>
          <w:rFonts w:asciiTheme="majorHAnsi" w:hAnsiTheme="majorHAnsi"/>
        </w:rPr>
        <w:t xml:space="preserve"> Hydraulic fracturing research study. Factsheet. Office of Research and Development, June 2010.</w:t>
      </w:r>
    </w:p>
    <w:p w14:paraId="06551349" w14:textId="0B83A6AA" w:rsidR="0083264F" w:rsidRPr="00D850DF" w:rsidRDefault="0083264F" w:rsidP="0083264F">
      <w:pPr>
        <w:pStyle w:val="Body"/>
        <w:spacing w:afterLines="20" w:after="48"/>
        <w:ind w:left="567" w:hanging="567"/>
        <w:rPr>
          <w:rFonts w:asciiTheme="majorHAnsi" w:hAnsiTheme="majorHAnsi"/>
        </w:rPr>
      </w:pPr>
      <w:r w:rsidRPr="00D850DF">
        <w:rPr>
          <w:rFonts w:asciiTheme="majorHAnsi" w:hAnsiTheme="majorHAnsi"/>
        </w:rPr>
        <w:t xml:space="preserve">US EPA </w:t>
      </w:r>
      <w:r w:rsidR="00590E70" w:rsidRPr="00D850DF">
        <w:rPr>
          <w:rFonts w:asciiTheme="majorHAnsi" w:hAnsiTheme="majorHAnsi"/>
        </w:rPr>
        <w:t>(</w:t>
      </w:r>
      <w:r w:rsidRPr="00D850DF">
        <w:rPr>
          <w:rFonts w:asciiTheme="majorHAnsi" w:hAnsiTheme="majorHAnsi"/>
        </w:rPr>
        <w:t>2011</w:t>
      </w:r>
      <w:r w:rsidR="00590E70"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Plan to study the potential impacts of hydraulic fracturing on drinking water resources. Office of Research and Development, November 2011. </w:t>
      </w:r>
    </w:p>
    <w:p w14:paraId="0DD49178" w14:textId="1415F14F" w:rsidR="00FD6F6D" w:rsidRPr="00D850DF" w:rsidRDefault="00FD6F6D" w:rsidP="00FD6F6D">
      <w:pPr>
        <w:pStyle w:val="Body"/>
        <w:spacing w:afterLines="20" w:after="48"/>
        <w:ind w:left="567" w:hanging="567"/>
        <w:rPr>
          <w:rFonts w:asciiTheme="majorHAnsi" w:hAnsiTheme="majorHAnsi"/>
        </w:rPr>
      </w:pPr>
      <w:r w:rsidRPr="00D850DF">
        <w:rPr>
          <w:rFonts w:asciiTheme="majorHAnsi" w:hAnsiTheme="majorHAnsi"/>
        </w:rPr>
        <w:t>US EPA (2012a)</w:t>
      </w:r>
      <w:r w:rsidR="00065463" w:rsidRPr="00D850DF">
        <w:rPr>
          <w:rFonts w:asciiTheme="majorHAnsi" w:hAnsiTheme="majorHAnsi"/>
        </w:rPr>
        <w:t>.</w:t>
      </w:r>
      <w:r w:rsidRPr="00D850DF">
        <w:rPr>
          <w:rFonts w:asciiTheme="majorHAnsi" w:hAnsiTheme="majorHAnsi"/>
        </w:rPr>
        <w:t xml:space="preserve"> Study of the Potential Impacts of Hydraulic Fracturing on Drinking Water Resources. Progress Report EPA 601/R-12/011. US Environmental Protection Agency Office of Research and Development Washington, DC</w:t>
      </w:r>
    </w:p>
    <w:p w14:paraId="2EDD6FDA" w14:textId="3AFA2F80" w:rsidR="00FD6F6D" w:rsidRPr="00D850DF" w:rsidRDefault="00FD6F6D" w:rsidP="000144B2">
      <w:pPr>
        <w:pStyle w:val="Body"/>
        <w:spacing w:afterLines="20" w:after="48"/>
        <w:ind w:left="567" w:hanging="567"/>
        <w:rPr>
          <w:rFonts w:asciiTheme="majorHAnsi" w:hAnsiTheme="majorHAnsi"/>
        </w:rPr>
      </w:pPr>
      <w:r w:rsidRPr="00D850DF">
        <w:rPr>
          <w:rFonts w:asciiTheme="majorHAnsi" w:hAnsiTheme="majorHAnsi"/>
        </w:rPr>
        <w:t>US EPA (2012b)</w:t>
      </w:r>
      <w:r w:rsidR="00065463" w:rsidRPr="00D850DF">
        <w:rPr>
          <w:rFonts w:asciiTheme="majorHAnsi" w:hAnsiTheme="majorHAnsi"/>
        </w:rPr>
        <w:t>.</w:t>
      </w:r>
      <w:r w:rsidRPr="00D850DF">
        <w:rPr>
          <w:rFonts w:asciiTheme="majorHAnsi" w:hAnsiTheme="majorHAnsi"/>
        </w:rPr>
        <w:t xml:space="preserve"> The Estimation Programs Interface (EPI) Suite. ECOSAR.</w:t>
      </w:r>
    </w:p>
    <w:p w14:paraId="1BE4CF4E" w14:textId="293C91E1" w:rsidR="0083264F" w:rsidRPr="00D850DF" w:rsidRDefault="0083264F" w:rsidP="0083264F">
      <w:pPr>
        <w:pStyle w:val="Body"/>
        <w:spacing w:afterLines="20" w:after="48"/>
        <w:ind w:left="567" w:hanging="567"/>
        <w:rPr>
          <w:rFonts w:asciiTheme="majorHAnsi" w:hAnsiTheme="majorHAnsi"/>
        </w:rPr>
      </w:pPr>
      <w:r w:rsidRPr="00D850DF">
        <w:rPr>
          <w:rFonts w:asciiTheme="majorHAnsi" w:hAnsiTheme="majorHAnsi"/>
        </w:rPr>
        <w:t>US EPA (2013)</w:t>
      </w:r>
      <w:r w:rsidR="00065463" w:rsidRPr="00D850DF">
        <w:rPr>
          <w:rFonts w:asciiTheme="majorHAnsi" w:hAnsiTheme="majorHAnsi"/>
        </w:rPr>
        <w:t>.</w:t>
      </w:r>
      <w:r w:rsidRPr="00D850DF">
        <w:rPr>
          <w:rFonts w:asciiTheme="majorHAnsi" w:hAnsiTheme="majorHAnsi"/>
        </w:rPr>
        <w:t xml:space="preserve"> Summary of the Technical Workshop on Well Construction / Operation and Subsurface modeling (April 16-17, 2013) and Subsurface Modeling Technical Follow-up Discussion (June 3, 2013).</w:t>
      </w:r>
    </w:p>
    <w:p w14:paraId="011CE318" w14:textId="120A36B9" w:rsidR="000D3B81" w:rsidRPr="00AE4B7F" w:rsidRDefault="00FD6F6D" w:rsidP="00F1531B">
      <w:pPr>
        <w:pStyle w:val="Body"/>
        <w:spacing w:afterLines="20" w:after="48"/>
        <w:ind w:left="567" w:hanging="567"/>
        <w:rPr>
          <w:rFonts w:asciiTheme="majorHAnsi" w:hAnsiTheme="majorHAnsi"/>
        </w:rPr>
      </w:pPr>
      <w:r w:rsidRPr="00D850DF">
        <w:rPr>
          <w:rFonts w:asciiTheme="majorHAnsi" w:hAnsiTheme="majorHAnsi"/>
        </w:rPr>
        <w:t xml:space="preserve">US EPA </w:t>
      </w:r>
      <w:r w:rsidR="00EC12DE" w:rsidRPr="00D850DF">
        <w:rPr>
          <w:rFonts w:asciiTheme="majorHAnsi" w:hAnsiTheme="majorHAnsi"/>
        </w:rPr>
        <w:t>(</w:t>
      </w:r>
      <w:r w:rsidRPr="00D850DF">
        <w:rPr>
          <w:rFonts w:asciiTheme="majorHAnsi" w:hAnsiTheme="majorHAnsi"/>
        </w:rPr>
        <w:t>201</w:t>
      </w:r>
      <w:r w:rsidR="000D3B81">
        <w:rPr>
          <w:rFonts w:asciiTheme="majorHAnsi" w:hAnsiTheme="majorHAnsi"/>
        </w:rPr>
        <w:t>6a</w:t>
      </w:r>
      <w:r w:rsidR="00EC12DE"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w:t>
      </w:r>
      <w:r w:rsidR="000D3B81">
        <w:rPr>
          <w:rFonts w:asciiTheme="majorHAnsi" w:hAnsiTheme="majorHAnsi"/>
        </w:rPr>
        <w:t>Hydraulic Fracturing for Oil and Gas: Impacts from the H</w:t>
      </w:r>
      <w:r w:rsidRPr="00D850DF">
        <w:rPr>
          <w:rFonts w:asciiTheme="majorHAnsi" w:hAnsiTheme="majorHAnsi"/>
        </w:rPr>
        <w:t xml:space="preserve">ydraulic Fracturing </w:t>
      </w:r>
      <w:r w:rsidR="000D3B81">
        <w:rPr>
          <w:rFonts w:asciiTheme="majorHAnsi" w:hAnsiTheme="majorHAnsi"/>
        </w:rPr>
        <w:t xml:space="preserve">Watr Cycle on </w:t>
      </w:r>
      <w:r w:rsidRPr="00D850DF">
        <w:rPr>
          <w:rFonts w:asciiTheme="majorHAnsi" w:hAnsiTheme="majorHAnsi"/>
        </w:rPr>
        <w:t>Drinking Water Resources</w:t>
      </w:r>
      <w:r w:rsidR="000D3B81">
        <w:rPr>
          <w:rFonts w:asciiTheme="majorHAnsi" w:hAnsiTheme="majorHAnsi"/>
        </w:rPr>
        <w:t xml:space="preserve"> in the United States</w:t>
      </w:r>
      <w:r w:rsidR="00EC12DE" w:rsidRPr="00D850DF">
        <w:rPr>
          <w:rFonts w:asciiTheme="majorHAnsi" w:hAnsiTheme="majorHAnsi"/>
        </w:rPr>
        <w:t xml:space="preserve">. </w:t>
      </w:r>
      <w:r w:rsidR="000D3B81" w:rsidRPr="00AE4B7F">
        <w:rPr>
          <w:rFonts w:asciiTheme="majorHAnsi" w:hAnsiTheme="majorHAnsi"/>
        </w:rPr>
        <w:t xml:space="preserve">Office of Research and Development, Washington, DC. EPA/600/R-16/236Fa. </w:t>
      </w:r>
    </w:p>
    <w:p w14:paraId="092F151D" w14:textId="143C4A43" w:rsidR="00F1531B" w:rsidRPr="00D850DF" w:rsidRDefault="00F1531B" w:rsidP="00F1531B">
      <w:pPr>
        <w:pStyle w:val="Body"/>
        <w:spacing w:afterLines="20" w:after="48"/>
        <w:ind w:left="567" w:hanging="567"/>
        <w:rPr>
          <w:rFonts w:asciiTheme="majorHAnsi" w:hAnsiTheme="majorHAnsi"/>
        </w:rPr>
      </w:pPr>
      <w:r w:rsidRPr="00F1531B">
        <w:rPr>
          <w:rFonts w:asciiTheme="majorHAnsi" w:hAnsiTheme="majorHAnsi"/>
        </w:rPr>
        <w:t>US</w:t>
      </w:r>
      <w:r>
        <w:rPr>
          <w:rFonts w:asciiTheme="majorHAnsi" w:hAnsiTheme="majorHAnsi"/>
        </w:rPr>
        <w:t xml:space="preserve"> </w:t>
      </w:r>
      <w:r w:rsidRPr="00F1531B">
        <w:rPr>
          <w:rFonts w:asciiTheme="majorHAnsi" w:hAnsiTheme="majorHAnsi"/>
        </w:rPr>
        <w:t>EPA (2016</w:t>
      </w:r>
      <w:r w:rsidR="00675C73">
        <w:rPr>
          <w:rFonts w:asciiTheme="majorHAnsi" w:hAnsiTheme="majorHAnsi"/>
        </w:rPr>
        <w:t>b</w:t>
      </w:r>
      <w:r w:rsidRPr="00F1531B">
        <w:rPr>
          <w:rFonts w:asciiTheme="majorHAnsi" w:hAnsiTheme="majorHAnsi"/>
        </w:rPr>
        <w:t>). EPA-Expo-Box (A Toolbox for Exposure Assessors), available at</w:t>
      </w:r>
      <w:r>
        <w:rPr>
          <w:rFonts w:asciiTheme="majorHAnsi" w:hAnsiTheme="majorHAnsi"/>
        </w:rPr>
        <w:t xml:space="preserve"> </w:t>
      </w:r>
      <w:r w:rsidRPr="00F1531B">
        <w:rPr>
          <w:rFonts w:asciiTheme="majorHAnsi" w:hAnsiTheme="majorHAnsi"/>
        </w:rPr>
        <w:t>http://www.epa.gov/expobox</w:t>
      </w:r>
      <w:r>
        <w:rPr>
          <w:rFonts w:asciiTheme="majorHAnsi" w:hAnsiTheme="majorHAnsi"/>
        </w:rPr>
        <w:t>.</w:t>
      </w:r>
    </w:p>
    <w:p w14:paraId="0EA45AD2" w14:textId="6B028B22"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US EPA (2016</w:t>
      </w:r>
      <w:r w:rsidR="00675C73">
        <w:rPr>
          <w:rFonts w:asciiTheme="majorHAnsi" w:hAnsiTheme="majorHAnsi"/>
        </w:rPr>
        <w:t>c</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ECOTOX User Guide: ECOTOXicology Knowledgebase System. Version 4.0. Available: http:/www.epa.gov/ecotox/ (accessed 23 June 2016)</w:t>
      </w:r>
    </w:p>
    <w:p w14:paraId="41473D62" w14:textId="2CE22489" w:rsidR="000030DD" w:rsidRPr="000030DD" w:rsidRDefault="000030DD" w:rsidP="000030DD">
      <w:pPr>
        <w:pStyle w:val="Body"/>
        <w:spacing w:afterLines="20" w:after="48"/>
        <w:ind w:left="567" w:hanging="567"/>
        <w:rPr>
          <w:rFonts w:asciiTheme="majorHAnsi" w:hAnsiTheme="majorHAnsi"/>
        </w:rPr>
      </w:pPr>
      <w:r w:rsidRPr="000030DD">
        <w:rPr>
          <w:rFonts w:asciiTheme="majorHAnsi" w:hAnsiTheme="majorHAnsi"/>
        </w:rPr>
        <w:t>US EPA (2016</w:t>
      </w:r>
      <w:r w:rsidR="00675C73">
        <w:rPr>
          <w:rFonts w:asciiTheme="majorHAnsi" w:hAnsiTheme="majorHAnsi"/>
        </w:rPr>
        <w:t>d</w:t>
      </w:r>
      <w:r w:rsidRPr="000030DD">
        <w:rPr>
          <w:rFonts w:asciiTheme="majorHAnsi" w:hAnsiTheme="majorHAnsi"/>
        </w:rPr>
        <w:t>)</w:t>
      </w:r>
      <w:r>
        <w:rPr>
          <w:rFonts w:asciiTheme="majorHAnsi" w:hAnsiTheme="majorHAnsi"/>
        </w:rPr>
        <w:t>.</w:t>
      </w:r>
      <w:r w:rsidRPr="000030DD">
        <w:rPr>
          <w:rFonts w:asciiTheme="majorHAnsi" w:hAnsiTheme="majorHAnsi"/>
        </w:rPr>
        <w:t xml:space="preserve"> Office of Pesticide Programs database. Office of Prevention, Pesticides, and Toxic Substances. Office of Pesticide Programs. Washington, D.C. January 23, 2004. Available from: http://www.ipmcenters.org/ecotox/, Accessed: 23 June 2016</w:t>
      </w:r>
      <w:r>
        <w:rPr>
          <w:rFonts w:asciiTheme="majorHAnsi" w:hAnsiTheme="majorHAnsi"/>
        </w:rPr>
        <w:t>.</w:t>
      </w:r>
    </w:p>
    <w:p w14:paraId="71CA90E7" w14:textId="61A46AAB" w:rsidR="000F310B" w:rsidRPr="00D850DF" w:rsidRDefault="000F310B" w:rsidP="000144B2">
      <w:pPr>
        <w:pStyle w:val="Body"/>
        <w:spacing w:afterLines="20" w:after="48"/>
        <w:ind w:left="567" w:hanging="567"/>
        <w:rPr>
          <w:rFonts w:asciiTheme="majorHAnsi" w:hAnsiTheme="majorHAnsi"/>
        </w:rPr>
      </w:pPr>
      <w:r w:rsidRPr="00D850DF">
        <w:rPr>
          <w:rFonts w:asciiTheme="majorHAnsi" w:hAnsiTheme="majorHAnsi"/>
        </w:rPr>
        <w:t>US</w:t>
      </w:r>
      <w:r w:rsidR="005252EE" w:rsidRPr="00D850DF">
        <w:rPr>
          <w:rFonts w:asciiTheme="majorHAnsi" w:hAnsiTheme="majorHAnsi"/>
        </w:rPr>
        <w:t xml:space="preserve"> </w:t>
      </w:r>
      <w:r w:rsidRPr="00D850DF">
        <w:rPr>
          <w:rFonts w:asciiTheme="majorHAnsi" w:hAnsiTheme="majorHAnsi"/>
        </w:rPr>
        <w:t>EPA Pesticides reregistration status (</w:t>
      </w:r>
      <w:hyperlink r:id="rId243" w:history="1">
        <w:r w:rsidRPr="00D850DF">
          <w:rPr>
            <w:rFonts w:asciiTheme="majorHAnsi" w:hAnsiTheme="majorHAnsi"/>
          </w:rPr>
          <w:t>https://archive.epa.gov/pesticides/reregistration/web/html/status.html</w:t>
        </w:r>
      </w:hyperlink>
      <w:r w:rsidRPr="00D850DF">
        <w:rPr>
          <w:rFonts w:asciiTheme="majorHAnsi" w:hAnsiTheme="majorHAnsi"/>
        </w:rPr>
        <w:t xml:space="preserve">) </w:t>
      </w:r>
    </w:p>
    <w:p w14:paraId="0DF6B98F" w14:textId="08926E9E" w:rsidR="00137320" w:rsidRPr="00D850DF" w:rsidRDefault="00137320" w:rsidP="00137320">
      <w:pPr>
        <w:pStyle w:val="Body"/>
        <w:spacing w:afterLines="20" w:after="48"/>
        <w:ind w:left="567" w:hanging="567"/>
        <w:rPr>
          <w:rFonts w:asciiTheme="majorHAnsi" w:hAnsiTheme="majorHAnsi"/>
        </w:rPr>
      </w:pPr>
      <w:r w:rsidRPr="00D850DF">
        <w:rPr>
          <w:rFonts w:asciiTheme="majorHAnsi" w:hAnsiTheme="majorHAnsi"/>
        </w:rPr>
        <w:t>Van Aken B, Yoon JM, and Schnoor JL (2004)</w:t>
      </w:r>
      <w:r w:rsidR="00065463" w:rsidRPr="00D850DF">
        <w:rPr>
          <w:rFonts w:asciiTheme="majorHAnsi" w:hAnsiTheme="majorHAnsi"/>
        </w:rPr>
        <w:t>.</w:t>
      </w:r>
      <w:r w:rsidRPr="00D850DF">
        <w:rPr>
          <w:rFonts w:asciiTheme="majorHAnsi" w:hAnsiTheme="majorHAnsi"/>
        </w:rPr>
        <w:t xml:space="preserve"> Biodegradation of Nitro-Substituted Explosives 2,4,6-Trinitrotoluene, Hexahydro-1,3,5-Trinitro-1,3,5-Triazine, and Octahydro-1,3,5,7-Tetranitro-1,3,5-Tetrazocine by a Phytosymbiotic Methylobacterium sp. Associated with Poplar Tissues (Populus deltoides _ nigra DN34). Applied</w:t>
      </w:r>
      <w:r w:rsidR="00D77A45" w:rsidRPr="00D850DF">
        <w:rPr>
          <w:rFonts w:asciiTheme="majorHAnsi" w:hAnsiTheme="majorHAnsi"/>
        </w:rPr>
        <w:t xml:space="preserve"> and Environmental Microbiology</w:t>
      </w:r>
      <w:r w:rsidRPr="00D850DF">
        <w:rPr>
          <w:rFonts w:asciiTheme="majorHAnsi" w:hAnsiTheme="majorHAnsi"/>
        </w:rPr>
        <w:t xml:space="preserve"> 70: 508–517.</w:t>
      </w:r>
    </w:p>
    <w:p w14:paraId="5C4B75B6" w14:textId="158A715B" w:rsidR="00950BD1" w:rsidRDefault="00950BD1" w:rsidP="00950BD1">
      <w:pPr>
        <w:pStyle w:val="Body"/>
        <w:spacing w:afterLines="20" w:after="48"/>
        <w:ind w:left="567" w:hanging="567"/>
        <w:rPr>
          <w:rFonts w:asciiTheme="majorHAnsi" w:hAnsiTheme="majorHAnsi"/>
        </w:rPr>
      </w:pPr>
      <w:proofErr w:type="gramStart"/>
      <w:r w:rsidRPr="00D850DF">
        <w:rPr>
          <w:rFonts w:asciiTheme="majorHAnsi" w:hAnsiTheme="majorHAnsi"/>
        </w:rPr>
        <w:t>van</w:t>
      </w:r>
      <w:proofErr w:type="gramEnd"/>
      <w:r w:rsidRPr="00D850DF">
        <w:rPr>
          <w:rFonts w:asciiTheme="majorHAnsi" w:hAnsiTheme="majorHAnsi"/>
        </w:rPr>
        <w:t xml:space="preserve"> Genuchten MTh (1985)</w:t>
      </w:r>
      <w:r w:rsidR="00065463" w:rsidRPr="00D850DF">
        <w:rPr>
          <w:rFonts w:asciiTheme="majorHAnsi" w:hAnsiTheme="majorHAnsi"/>
        </w:rPr>
        <w:t>.</w:t>
      </w:r>
      <w:r w:rsidRPr="00D850DF">
        <w:rPr>
          <w:rFonts w:asciiTheme="majorHAnsi" w:hAnsiTheme="majorHAnsi"/>
        </w:rPr>
        <w:t xml:space="preserve"> Convective-dispersive transport of solutes involved in sequential first-order decay reactions. Computers </w:t>
      </w:r>
      <w:r w:rsidR="004A7452" w:rsidRPr="00D850DF">
        <w:rPr>
          <w:rFonts w:asciiTheme="majorHAnsi" w:hAnsiTheme="majorHAnsi"/>
        </w:rPr>
        <w:t>and</w:t>
      </w:r>
      <w:r w:rsidRPr="00D850DF">
        <w:rPr>
          <w:rFonts w:asciiTheme="majorHAnsi" w:hAnsiTheme="majorHAnsi"/>
        </w:rPr>
        <w:t xml:space="preserve"> Geosciences 11(2): 129-147.</w:t>
      </w:r>
    </w:p>
    <w:p w14:paraId="7FEA1A16" w14:textId="64B87D73" w:rsidR="009668E4" w:rsidRPr="00D850DF" w:rsidRDefault="009668E4" w:rsidP="00950BD1">
      <w:pPr>
        <w:pStyle w:val="Body"/>
        <w:spacing w:afterLines="20" w:after="48"/>
        <w:ind w:left="567" w:hanging="567"/>
        <w:rPr>
          <w:rFonts w:asciiTheme="majorHAnsi" w:hAnsiTheme="majorHAnsi"/>
        </w:rPr>
      </w:pPr>
      <w:proofErr w:type="gramStart"/>
      <w:r>
        <w:rPr>
          <w:rFonts w:asciiTheme="majorHAnsi" w:hAnsiTheme="majorHAnsi"/>
        </w:rPr>
        <w:t>van</w:t>
      </w:r>
      <w:proofErr w:type="gramEnd"/>
      <w:r>
        <w:rPr>
          <w:rFonts w:asciiTheme="majorHAnsi" w:hAnsiTheme="majorHAnsi"/>
        </w:rPr>
        <w:t xml:space="preserve"> Genuchten MTh, Simunek J, Leji FJ, Toride N, Segna M (2012). STANMOD: Model use, calibration and validation. Transactions of the American Society of Agricultural and Biological Engineers 55(4): 1353-1366.  </w:t>
      </w:r>
    </w:p>
    <w:p w14:paraId="7CE83995" w14:textId="6D60FC39" w:rsidR="00AA1963" w:rsidRPr="00D850DF" w:rsidRDefault="00A76EF5" w:rsidP="00AA1963">
      <w:pPr>
        <w:pStyle w:val="Body"/>
        <w:spacing w:afterLines="20" w:after="48"/>
        <w:ind w:left="567" w:hanging="567"/>
        <w:rPr>
          <w:rFonts w:asciiTheme="majorHAnsi" w:hAnsiTheme="majorHAnsi"/>
        </w:rPr>
      </w:pPr>
      <w:proofErr w:type="gramStart"/>
      <w:r w:rsidRPr="00D850DF">
        <w:rPr>
          <w:rFonts w:asciiTheme="majorHAnsi" w:hAnsiTheme="majorHAnsi"/>
        </w:rPr>
        <w:t>van</w:t>
      </w:r>
      <w:proofErr w:type="gramEnd"/>
      <w:r w:rsidRPr="00D850DF">
        <w:rPr>
          <w:rFonts w:asciiTheme="majorHAnsi" w:hAnsiTheme="majorHAnsi"/>
        </w:rPr>
        <w:t xml:space="preserve"> Stempvoort</w:t>
      </w:r>
      <w:r w:rsidR="00AA1963" w:rsidRPr="00D850DF">
        <w:rPr>
          <w:rFonts w:asciiTheme="majorHAnsi" w:hAnsiTheme="majorHAnsi"/>
        </w:rPr>
        <w:t xml:space="preserve"> D and Biggar K (2008)</w:t>
      </w:r>
      <w:r w:rsidR="00065463" w:rsidRPr="00D850DF">
        <w:rPr>
          <w:rFonts w:asciiTheme="majorHAnsi" w:hAnsiTheme="majorHAnsi"/>
        </w:rPr>
        <w:t>.</w:t>
      </w:r>
      <w:r w:rsidR="00AA1963" w:rsidRPr="00D850DF">
        <w:rPr>
          <w:rFonts w:asciiTheme="majorHAnsi" w:hAnsiTheme="majorHAnsi"/>
        </w:rPr>
        <w:t xml:space="preserve"> Potential for bioremediation of petroleum hydrocarbons in groundwater under cold climate conditions: a review. Cold Re</w:t>
      </w:r>
      <w:r w:rsidR="00D77A45" w:rsidRPr="00D850DF">
        <w:rPr>
          <w:rFonts w:asciiTheme="majorHAnsi" w:hAnsiTheme="majorHAnsi"/>
        </w:rPr>
        <w:t>gions Science and Technology 53:</w:t>
      </w:r>
      <w:r w:rsidR="00AA1963" w:rsidRPr="00D850DF">
        <w:rPr>
          <w:rFonts w:asciiTheme="majorHAnsi" w:hAnsiTheme="majorHAnsi"/>
        </w:rPr>
        <w:t xml:space="preserve"> 16-41.</w:t>
      </w:r>
    </w:p>
    <w:p w14:paraId="3D82024C" w14:textId="3A5BB3DF" w:rsidR="00F916B6" w:rsidRDefault="00A76EF5" w:rsidP="00F916B6">
      <w:pPr>
        <w:pStyle w:val="Body"/>
        <w:spacing w:afterLines="20" w:after="48"/>
        <w:ind w:left="567" w:hanging="567"/>
        <w:rPr>
          <w:rFonts w:asciiTheme="majorHAnsi" w:hAnsiTheme="majorHAnsi"/>
        </w:rPr>
      </w:pPr>
      <w:r w:rsidRPr="00D850DF">
        <w:rPr>
          <w:rFonts w:asciiTheme="majorHAnsi" w:hAnsiTheme="majorHAnsi"/>
        </w:rPr>
        <w:t>Waggy</w:t>
      </w:r>
      <w:r w:rsidR="00F916B6" w:rsidRPr="00D850DF">
        <w:rPr>
          <w:rFonts w:asciiTheme="majorHAnsi" w:hAnsiTheme="majorHAnsi"/>
        </w:rPr>
        <w:t xml:space="preserve"> GT, Conway</w:t>
      </w:r>
      <w:r w:rsidRPr="00D850DF">
        <w:rPr>
          <w:rFonts w:asciiTheme="majorHAnsi" w:hAnsiTheme="majorHAnsi"/>
        </w:rPr>
        <w:t xml:space="preserve"> RA</w:t>
      </w:r>
      <w:r w:rsidR="00F916B6" w:rsidRPr="00D850DF">
        <w:rPr>
          <w:rFonts w:asciiTheme="majorHAnsi" w:hAnsiTheme="majorHAnsi"/>
        </w:rPr>
        <w:t>, Hansen</w:t>
      </w:r>
      <w:r w:rsidRPr="00D850DF">
        <w:rPr>
          <w:rFonts w:asciiTheme="majorHAnsi" w:hAnsiTheme="majorHAnsi"/>
        </w:rPr>
        <w:t xml:space="preserve"> JL</w:t>
      </w:r>
      <w:r w:rsidR="00F916B6" w:rsidRPr="00D850DF">
        <w:rPr>
          <w:rFonts w:asciiTheme="majorHAnsi" w:hAnsiTheme="majorHAnsi"/>
        </w:rPr>
        <w:t>, and Blessing</w:t>
      </w:r>
      <w:r w:rsidRPr="00D850DF">
        <w:rPr>
          <w:rFonts w:asciiTheme="majorHAnsi" w:hAnsiTheme="majorHAnsi"/>
        </w:rPr>
        <w:t xml:space="preserve"> RL</w:t>
      </w:r>
      <w:r w:rsidR="00F916B6" w:rsidRPr="00D850DF">
        <w:rPr>
          <w:rFonts w:asciiTheme="majorHAnsi" w:hAnsiTheme="majorHAnsi"/>
        </w:rPr>
        <w:t xml:space="preserve"> </w:t>
      </w:r>
      <w:r w:rsidRPr="00D850DF">
        <w:rPr>
          <w:rFonts w:asciiTheme="majorHAnsi" w:hAnsiTheme="majorHAnsi"/>
        </w:rPr>
        <w:t>(</w:t>
      </w:r>
      <w:r w:rsidR="00F916B6" w:rsidRPr="00D850DF">
        <w:rPr>
          <w:rFonts w:asciiTheme="majorHAnsi" w:hAnsiTheme="majorHAnsi"/>
        </w:rPr>
        <w:t>1994</w:t>
      </w:r>
      <w:r w:rsidRPr="00D850DF">
        <w:rPr>
          <w:rFonts w:asciiTheme="majorHAnsi" w:hAnsiTheme="majorHAnsi"/>
        </w:rPr>
        <w:t>)</w:t>
      </w:r>
      <w:r w:rsidR="00065463" w:rsidRPr="00D850DF">
        <w:rPr>
          <w:rFonts w:asciiTheme="majorHAnsi" w:hAnsiTheme="majorHAnsi"/>
        </w:rPr>
        <w:t>.</w:t>
      </w:r>
      <w:r w:rsidR="00F916B6" w:rsidRPr="00D850DF">
        <w:rPr>
          <w:rFonts w:asciiTheme="majorHAnsi" w:hAnsiTheme="majorHAnsi"/>
        </w:rPr>
        <w:t xml:space="preserve"> Comparison of 20-d BOD and OECD closed-bottle biodegration test. Environ</w:t>
      </w:r>
      <w:r w:rsidR="00197620" w:rsidRPr="00D850DF">
        <w:rPr>
          <w:rFonts w:asciiTheme="majorHAnsi" w:hAnsiTheme="majorHAnsi"/>
        </w:rPr>
        <w:t xml:space="preserve">mental </w:t>
      </w:r>
      <w:r w:rsidR="00F916B6" w:rsidRPr="00D850DF">
        <w:rPr>
          <w:rFonts w:asciiTheme="majorHAnsi" w:hAnsiTheme="majorHAnsi"/>
        </w:rPr>
        <w:t>Toxicol</w:t>
      </w:r>
      <w:r w:rsidR="00197620" w:rsidRPr="00D850DF">
        <w:rPr>
          <w:rFonts w:asciiTheme="majorHAnsi" w:hAnsiTheme="majorHAnsi"/>
        </w:rPr>
        <w:t>ogy and</w:t>
      </w:r>
      <w:r w:rsidR="00F916B6" w:rsidRPr="00D850DF">
        <w:rPr>
          <w:rFonts w:asciiTheme="majorHAnsi" w:hAnsiTheme="majorHAnsi"/>
        </w:rPr>
        <w:t xml:space="preserve"> Chem</w:t>
      </w:r>
      <w:r w:rsidR="00197620" w:rsidRPr="00D850DF">
        <w:rPr>
          <w:rFonts w:asciiTheme="majorHAnsi" w:hAnsiTheme="majorHAnsi"/>
        </w:rPr>
        <w:t>istry</w:t>
      </w:r>
      <w:r w:rsidR="00F916B6" w:rsidRPr="00D850DF">
        <w:rPr>
          <w:rFonts w:asciiTheme="majorHAnsi" w:hAnsiTheme="majorHAnsi"/>
        </w:rPr>
        <w:t xml:space="preserve"> 13(8):1277-1280.</w:t>
      </w:r>
    </w:p>
    <w:p w14:paraId="2932112A" w14:textId="1F093C2D" w:rsidR="00F10674" w:rsidRPr="00D850DF" w:rsidRDefault="00F10674" w:rsidP="00F916B6">
      <w:pPr>
        <w:pStyle w:val="Body"/>
        <w:spacing w:afterLines="20" w:after="48"/>
        <w:ind w:left="567" w:hanging="567"/>
        <w:rPr>
          <w:rFonts w:asciiTheme="majorHAnsi" w:hAnsiTheme="majorHAnsi"/>
        </w:rPr>
      </w:pPr>
      <w:r>
        <w:rPr>
          <w:rFonts w:asciiTheme="majorHAnsi" w:hAnsiTheme="majorHAnsi"/>
        </w:rPr>
        <w:t>Wa</w:t>
      </w:r>
      <w:r w:rsidR="00F40627" w:rsidRPr="00F40627">
        <w:rPr>
          <w:rFonts w:asciiTheme="majorHAnsi" w:hAnsiTheme="majorHAnsi"/>
        </w:rPr>
        <w:t>gner J, Watts</w:t>
      </w:r>
      <w:r w:rsidR="00F40627">
        <w:rPr>
          <w:rFonts w:asciiTheme="majorHAnsi" w:hAnsiTheme="majorHAnsi"/>
        </w:rPr>
        <w:t xml:space="preserve"> SA</w:t>
      </w:r>
      <w:r w:rsidR="00F40627" w:rsidRPr="00F40627">
        <w:rPr>
          <w:rFonts w:asciiTheme="majorHAnsi" w:hAnsiTheme="majorHAnsi"/>
        </w:rPr>
        <w:t>, and Kent DC (1985).</w:t>
      </w:r>
      <w:r>
        <w:rPr>
          <w:rFonts w:asciiTheme="majorHAnsi" w:hAnsiTheme="majorHAnsi"/>
        </w:rPr>
        <w:t xml:space="preserve"> PLUME3D: three-dimensional plumes in uniform groundwater flow. Prepared for </w:t>
      </w:r>
      <w:r w:rsidRPr="00F10674">
        <w:rPr>
          <w:rFonts w:asciiTheme="majorHAnsi" w:hAnsiTheme="majorHAnsi"/>
        </w:rPr>
        <w:t>Robert S. Kerr Environmental Research Laboratory U.S.E nvironmental Protection Agency Ada, OK</w:t>
      </w:r>
      <w:r>
        <w:rPr>
          <w:rFonts w:asciiTheme="majorHAnsi" w:hAnsiTheme="majorHAnsi"/>
        </w:rPr>
        <w:t>.</w:t>
      </w:r>
    </w:p>
    <w:p w14:paraId="52AFC969" w14:textId="17D08B64" w:rsidR="00E73CF7" w:rsidRPr="00D850DF" w:rsidRDefault="00E73CF7" w:rsidP="000144B2">
      <w:pPr>
        <w:pStyle w:val="Body"/>
        <w:spacing w:afterLines="20" w:after="48"/>
        <w:ind w:left="567" w:hanging="567"/>
        <w:rPr>
          <w:rFonts w:asciiTheme="majorHAnsi" w:hAnsiTheme="majorHAnsi"/>
        </w:rPr>
      </w:pPr>
      <w:r w:rsidRPr="00D850DF">
        <w:rPr>
          <w:rFonts w:asciiTheme="majorHAnsi" w:hAnsiTheme="majorHAnsi"/>
        </w:rPr>
        <w:t>Walker JE and Kaplan DL (1992)</w:t>
      </w:r>
      <w:r w:rsidR="00065463" w:rsidRPr="00D850DF">
        <w:rPr>
          <w:rFonts w:asciiTheme="majorHAnsi" w:hAnsiTheme="majorHAnsi"/>
        </w:rPr>
        <w:t>.</w:t>
      </w:r>
      <w:r w:rsidRPr="00D850DF">
        <w:rPr>
          <w:rFonts w:asciiTheme="majorHAnsi" w:hAnsiTheme="majorHAnsi"/>
        </w:rPr>
        <w:t xml:space="preserve"> Biological degradation of explosives and chemical agents</w:t>
      </w:r>
      <w:r w:rsidR="00D77A45" w:rsidRPr="00D850DF">
        <w:rPr>
          <w:rFonts w:asciiTheme="majorHAnsi" w:hAnsiTheme="majorHAnsi"/>
        </w:rPr>
        <w:t>.</w:t>
      </w:r>
      <w:r w:rsidRPr="00D850DF">
        <w:rPr>
          <w:rFonts w:asciiTheme="majorHAnsi" w:hAnsiTheme="majorHAnsi"/>
        </w:rPr>
        <w:t xml:space="preserve"> Biodegradation 3(2-3)</w:t>
      </w:r>
      <w:r w:rsidR="00D77A45" w:rsidRPr="00D850DF">
        <w:rPr>
          <w:rFonts w:asciiTheme="majorHAnsi" w:hAnsiTheme="majorHAnsi"/>
        </w:rPr>
        <w:t>:</w:t>
      </w:r>
      <w:r w:rsidRPr="00D850DF">
        <w:rPr>
          <w:rFonts w:asciiTheme="majorHAnsi" w:hAnsiTheme="majorHAnsi"/>
        </w:rPr>
        <w:t xml:space="preserve"> 369-385.</w:t>
      </w:r>
    </w:p>
    <w:p w14:paraId="3BF2E955" w14:textId="701D4B89" w:rsidR="00AF3B76" w:rsidRPr="00D850DF" w:rsidRDefault="00AF3B76" w:rsidP="000144B2">
      <w:pPr>
        <w:pStyle w:val="Body"/>
        <w:spacing w:afterLines="20" w:after="48"/>
        <w:ind w:left="567" w:hanging="567"/>
        <w:rPr>
          <w:rFonts w:asciiTheme="majorHAnsi" w:hAnsiTheme="majorHAnsi"/>
        </w:rPr>
      </w:pPr>
      <w:r w:rsidRPr="00D850DF">
        <w:rPr>
          <w:rFonts w:asciiTheme="majorHAnsi" w:hAnsiTheme="majorHAnsi"/>
        </w:rPr>
        <w:t>Wang WW (1991)</w:t>
      </w:r>
      <w:r w:rsidR="00065463" w:rsidRPr="00D850DF">
        <w:rPr>
          <w:rFonts w:asciiTheme="majorHAnsi" w:hAnsiTheme="majorHAnsi"/>
        </w:rPr>
        <w:t>.</w:t>
      </w:r>
      <w:r w:rsidRPr="00D850DF">
        <w:rPr>
          <w:rFonts w:asciiTheme="majorHAnsi" w:hAnsiTheme="majorHAnsi"/>
        </w:rPr>
        <w:t xml:space="preserve"> Aerobic Soil Metabolism of 14C RH-651; Xenobiotic Laboratories, Inc (XBL), Plainsboro, New Jersey, USA, XBL Report N°. RPT0045, Rohm and Haas Technical Report N°. 34-91-03 (April 11, 1991), Unpublished. </w:t>
      </w:r>
    </w:p>
    <w:p w14:paraId="404ECEE2" w14:textId="305A6455" w:rsidR="00F916B6" w:rsidRPr="00D850DF" w:rsidRDefault="00F916B6" w:rsidP="00F916B6">
      <w:pPr>
        <w:pStyle w:val="Body"/>
        <w:spacing w:afterLines="20" w:after="48"/>
        <w:ind w:left="567" w:hanging="567"/>
        <w:rPr>
          <w:rFonts w:asciiTheme="majorHAnsi" w:hAnsiTheme="majorHAnsi"/>
        </w:rPr>
      </w:pPr>
      <w:r w:rsidRPr="00D850DF">
        <w:rPr>
          <w:rFonts w:asciiTheme="majorHAnsi" w:hAnsiTheme="majorHAnsi"/>
        </w:rPr>
        <w:t>Wang HF</w:t>
      </w:r>
      <w:r w:rsidR="00A76EF5" w:rsidRPr="00D850DF">
        <w:rPr>
          <w:rFonts w:asciiTheme="majorHAnsi" w:hAnsiTheme="majorHAnsi"/>
        </w:rPr>
        <w:t>, Provan GH, and Helliwell</w:t>
      </w:r>
      <w:r w:rsidRPr="00D850DF">
        <w:rPr>
          <w:rFonts w:asciiTheme="majorHAnsi" w:hAnsiTheme="majorHAnsi"/>
        </w:rPr>
        <w:t xml:space="preserve"> </w:t>
      </w:r>
      <w:r w:rsidR="00A76EF5" w:rsidRPr="00D850DF">
        <w:rPr>
          <w:rFonts w:asciiTheme="majorHAnsi" w:hAnsiTheme="majorHAnsi"/>
        </w:rPr>
        <w:t>K (</w:t>
      </w:r>
      <w:r w:rsidRPr="00D850DF">
        <w:rPr>
          <w:rFonts w:asciiTheme="majorHAnsi" w:hAnsiTheme="majorHAnsi"/>
        </w:rPr>
        <w:t>2002</w:t>
      </w:r>
      <w:r w:rsidR="00A76EF5"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Determination of bronopol and its degradation products by HPLC. Journal of pharmaceutical and biomedicine analysis. 29 (1-2): 387-392.</w:t>
      </w:r>
    </w:p>
    <w:p w14:paraId="5F6F7AD4" w14:textId="608B49C9" w:rsidR="005B6E64" w:rsidRPr="00D850DF" w:rsidRDefault="005B6E64" w:rsidP="000144B2">
      <w:pPr>
        <w:pStyle w:val="Body"/>
        <w:spacing w:afterLines="20" w:after="48"/>
        <w:ind w:left="567" w:hanging="567"/>
        <w:rPr>
          <w:rFonts w:asciiTheme="majorHAnsi" w:hAnsiTheme="majorHAnsi"/>
        </w:rPr>
      </w:pPr>
      <w:r w:rsidRPr="00D850DF">
        <w:rPr>
          <w:rFonts w:asciiTheme="majorHAnsi" w:hAnsiTheme="majorHAnsi"/>
        </w:rPr>
        <w:t>Wang</w:t>
      </w:r>
      <w:r w:rsidR="001D3606" w:rsidRPr="00D850DF">
        <w:rPr>
          <w:rFonts w:asciiTheme="majorHAnsi" w:hAnsiTheme="majorHAnsi"/>
        </w:rPr>
        <w:t xml:space="preserve"> L, Martens</w:t>
      </w:r>
      <w:r w:rsidRPr="00D850DF">
        <w:rPr>
          <w:rFonts w:asciiTheme="majorHAnsi" w:hAnsiTheme="majorHAnsi"/>
        </w:rPr>
        <w:t xml:space="preserve"> E, Jacques D, De Cannière P, Berry JA</w:t>
      </w:r>
      <w:r w:rsidR="00A76EF5" w:rsidRPr="00D850DF">
        <w:rPr>
          <w:rFonts w:asciiTheme="majorHAnsi" w:hAnsiTheme="majorHAnsi"/>
        </w:rPr>
        <w:t>,</w:t>
      </w:r>
      <w:r w:rsidRPr="00D850DF">
        <w:rPr>
          <w:rFonts w:asciiTheme="majorHAnsi" w:hAnsiTheme="majorHAnsi"/>
        </w:rPr>
        <w:t xml:space="preserve"> and Mallants D </w:t>
      </w:r>
      <w:r w:rsidR="001D3606" w:rsidRPr="00D850DF">
        <w:rPr>
          <w:rFonts w:asciiTheme="majorHAnsi" w:hAnsiTheme="majorHAnsi"/>
        </w:rPr>
        <w:t>(</w:t>
      </w:r>
      <w:r w:rsidRPr="00D850DF">
        <w:rPr>
          <w:rFonts w:asciiTheme="majorHAnsi" w:hAnsiTheme="majorHAnsi"/>
        </w:rPr>
        <w:t>2009</w:t>
      </w:r>
      <w:r w:rsidR="001D3606"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Review of sorption values for the cementitious near field of a near-surface radioactive waste disposal facility, NIROND-TR 2008-23 E.</w:t>
      </w:r>
    </w:p>
    <w:p w14:paraId="1AA996B1" w14:textId="06F122C3" w:rsidR="00E73CF7" w:rsidRDefault="00E73CF7" w:rsidP="000144B2">
      <w:pPr>
        <w:pStyle w:val="Body"/>
        <w:spacing w:afterLines="20" w:after="48"/>
        <w:ind w:left="567" w:hanging="567"/>
        <w:rPr>
          <w:rFonts w:asciiTheme="majorHAnsi" w:hAnsiTheme="majorHAnsi"/>
        </w:rPr>
      </w:pPr>
      <w:r w:rsidRPr="00D850DF">
        <w:rPr>
          <w:rFonts w:asciiTheme="majorHAnsi" w:hAnsiTheme="majorHAnsi"/>
        </w:rPr>
        <w:t>Ward WT (1999)</w:t>
      </w:r>
      <w:r w:rsidR="00065463" w:rsidRPr="00D850DF">
        <w:rPr>
          <w:rFonts w:asciiTheme="majorHAnsi" w:hAnsiTheme="majorHAnsi"/>
        </w:rPr>
        <w:t>.</w:t>
      </w:r>
      <w:r w:rsidRPr="00D850DF">
        <w:rPr>
          <w:rFonts w:asciiTheme="majorHAnsi" w:hAnsiTheme="majorHAnsi"/>
        </w:rPr>
        <w:t xml:space="preserve"> Soils and landscapes near Narrabri and Edgeroi, NSW, with data analysis using fuzzy k-means. CSIRO Land and Water Technical Report 22/99.</w:t>
      </w:r>
    </w:p>
    <w:p w14:paraId="4ACE2C83" w14:textId="608AB96F" w:rsidR="001A5EEB" w:rsidRPr="00D850DF" w:rsidRDefault="001A5EEB" w:rsidP="000144B2">
      <w:pPr>
        <w:pStyle w:val="Body"/>
        <w:spacing w:afterLines="20" w:after="48"/>
        <w:ind w:left="567" w:hanging="567"/>
        <w:rPr>
          <w:rFonts w:asciiTheme="majorHAnsi" w:hAnsiTheme="majorHAnsi"/>
        </w:rPr>
      </w:pPr>
      <w:r>
        <w:t>Warne MStJ, Batley GE, van Dam RA, Chapman JC, Fox DR, Hickey CW and Stauber JL (2015). Revised Method for Deriving Australian and New Zealand Water Quality Guideline Values for Toxicants. Prepared for the Council of Australian Government’s Standing Council on Environment and Water (SCEW). Department of Science, Information Technology and Innovation, Brisbane, Queensland. 43 pp.</w:t>
      </w:r>
    </w:p>
    <w:p w14:paraId="1AEFC0E6" w14:textId="6B104C5F" w:rsidR="00EC12DE" w:rsidRPr="00D850DF" w:rsidRDefault="00EC12DE" w:rsidP="000144B2">
      <w:pPr>
        <w:pStyle w:val="Body"/>
        <w:spacing w:afterLines="20" w:after="48"/>
        <w:ind w:left="567" w:hanging="567"/>
        <w:rPr>
          <w:rFonts w:asciiTheme="majorHAnsi" w:hAnsiTheme="majorHAnsi"/>
        </w:rPr>
      </w:pPr>
      <w:r w:rsidRPr="00D850DF">
        <w:rPr>
          <w:rFonts w:asciiTheme="majorHAnsi" w:hAnsiTheme="majorHAnsi"/>
        </w:rPr>
        <w:t>Warner NR, Jackson RB, Darrah TH, Osborn SG, Down A, Zhao K, White A, and Vengosh A (2012a)</w:t>
      </w:r>
      <w:r w:rsidR="00065463" w:rsidRPr="00D850DF">
        <w:rPr>
          <w:rFonts w:asciiTheme="majorHAnsi" w:hAnsiTheme="majorHAnsi"/>
        </w:rPr>
        <w:t>.</w:t>
      </w:r>
      <w:r w:rsidRPr="00D850DF">
        <w:rPr>
          <w:rFonts w:asciiTheme="majorHAnsi" w:hAnsiTheme="majorHAnsi"/>
        </w:rPr>
        <w:t xml:space="preserve"> Geochemical evidence for possible natural migration of Marcellus Formation brine to shallow aquifers in Pennsylvania. </w:t>
      </w:r>
      <w:r w:rsidR="00065463" w:rsidRPr="00D850DF">
        <w:rPr>
          <w:rFonts w:asciiTheme="majorHAnsi" w:hAnsiTheme="majorHAnsi"/>
        </w:rPr>
        <w:t>Proceedings of the National Academy of Sciences,</w:t>
      </w:r>
      <w:r w:rsidR="00065463" w:rsidRPr="00D850DF" w:rsidDel="00065463">
        <w:rPr>
          <w:rFonts w:asciiTheme="majorHAnsi" w:hAnsiTheme="majorHAnsi"/>
        </w:rPr>
        <w:t xml:space="preserve"> </w:t>
      </w:r>
      <w:r w:rsidRPr="00D850DF">
        <w:rPr>
          <w:rFonts w:asciiTheme="majorHAnsi" w:hAnsiTheme="majorHAnsi"/>
        </w:rPr>
        <w:t>109: 11961-11966. http://dx.doi.org/10.1073/pnas.1121181109</w:t>
      </w:r>
    </w:p>
    <w:p w14:paraId="0A880EC4" w14:textId="27B09376" w:rsidR="006A01BE" w:rsidRPr="00D850DF" w:rsidRDefault="006A01BE" w:rsidP="000144B2">
      <w:pPr>
        <w:pStyle w:val="Body"/>
        <w:spacing w:afterLines="20" w:after="48"/>
        <w:ind w:left="567" w:hanging="567"/>
        <w:rPr>
          <w:rFonts w:asciiTheme="majorHAnsi" w:hAnsiTheme="majorHAnsi"/>
        </w:rPr>
      </w:pPr>
      <w:r w:rsidRPr="00D850DF">
        <w:rPr>
          <w:rFonts w:asciiTheme="majorHAnsi" w:hAnsiTheme="majorHAnsi"/>
        </w:rPr>
        <w:t>Warner NR, Jackson RB, Darrah TH, Osborn SG, Down A, Zhao K, White A</w:t>
      </w:r>
      <w:r w:rsidR="00A76EF5" w:rsidRPr="00D850DF">
        <w:rPr>
          <w:rFonts w:asciiTheme="majorHAnsi" w:hAnsiTheme="majorHAnsi"/>
        </w:rPr>
        <w:t>,</w:t>
      </w:r>
      <w:r w:rsidRPr="00D850DF">
        <w:rPr>
          <w:rFonts w:asciiTheme="majorHAnsi" w:hAnsiTheme="majorHAnsi"/>
        </w:rPr>
        <w:t xml:space="preserve"> and Vengosh A (2012b)</w:t>
      </w:r>
      <w:r w:rsidR="00065463" w:rsidRPr="00D850DF">
        <w:rPr>
          <w:rFonts w:asciiTheme="majorHAnsi" w:hAnsiTheme="majorHAnsi"/>
        </w:rPr>
        <w:t>.</w:t>
      </w:r>
      <w:r w:rsidRPr="00D850DF">
        <w:rPr>
          <w:rFonts w:asciiTheme="majorHAnsi" w:hAnsiTheme="majorHAnsi"/>
        </w:rPr>
        <w:t xml:space="preserve"> Reply to Engelder: Potential for fluid migration from the Marcellus Formation remains possible. Proceedings of the National Academy of Sciences: 1.</w:t>
      </w:r>
    </w:p>
    <w:p w14:paraId="1C64209D" w14:textId="3C15E1EC" w:rsidR="00A90320" w:rsidRPr="00D850DF" w:rsidRDefault="00A90320" w:rsidP="00A90320">
      <w:pPr>
        <w:pStyle w:val="Body"/>
        <w:spacing w:afterLines="20" w:after="48"/>
        <w:ind w:left="567" w:hanging="567"/>
        <w:rPr>
          <w:rFonts w:asciiTheme="majorHAnsi" w:hAnsiTheme="majorHAnsi"/>
        </w:rPr>
      </w:pPr>
      <w:r w:rsidRPr="00D850DF">
        <w:rPr>
          <w:rFonts w:asciiTheme="majorHAnsi" w:hAnsiTheme="majorHAnsi"/>
        </w:rPr>
        <w:t>Warpinski N (2009)</w:t>
      </w:r>
      <w:r w:rsidR="00065463" w:rsidRPr="00D850DF">
        <w:rPr>
          <w:rFonts w:asciiTheme="majorHAnsi" w:hAnsiTheme="majorHAnsi"/>
        </w:rPr>
        <w:t>.</w:t>
      </w:r>
      <w:r w:rsidRPr="00D850DF">
        <w:rPr>
          <w:rFonts w:asciiTheme="majorHAnsi" w:hAnsiTheme="majorHAnsi"/>
        </w:rPr>
        <w:t xml:space="preserve"> Microseismic Monitoring: Inside and Out. Journal of Petroleum Technology 61(11)</w:t>
      </w:r>
      <w:r w:rsidR="00D77A45" w:rsidRPr="00D850DF">
        <w:rPr>
          <w:rFonts w:asciiTheme="majorHAnsi" w:hAnsiTheme="majorHAnsi"/>
        </w:rPr>
        <w:t>:</w:t>
      </w:r>
      <w:r w:rsidRPr="00D850DF">
        <w:rPr>
          <w:rFonts w:asciiTheme="majorHAnsi" w:hAnsiTheme="majorHAnsi"/>
        </w:rPr>
        <w:t xml:space="preserve"> 80–85. http://doi.org/10.2118/118537-MS.</w:t>
      </w:r>
    </w:p>
    <w:p w14:paraId="186DB5F0" w14:textId="75A06597" w:rsidR="00055F1D" w:rsidRPr="00D850DF" w:rsidRDefault="00055F1D" w:rsidP="00055F1D">
      <w:pPr>
        <w:pStyle w:val="Body"/>
        <w:spacing w:afterLines="20" w:after="48"/>
        <w:ind w:left="567" w:hanging="567"/>
        <w:rPr>
          <w:rFonts w:asciiTheme="majorHAnsi" w:hAnsiTheme="majorHAnsi"/>
          <w:lang w:val="en-AU"/>
        </w:rPr>
      </w:pPr>
      <w:r w:rsidRPr="00D850DF">
        <w:rPr>
          <w:rFonts w:asciiTheme="majorHAnsi" w:hAnsiTheme="majorHAnsi"/>
          <w:lang w:val="en-AU"/>
        </w:rPr>
        <w:t>Weissmahr</w:t>
      </w:r>
      <w:r w:rsidR="00B8505C" w:rsidRPr="00D850DF">
        <w:rPr>
          <w:rFonts w:asciiTheme="majorHAnsi" w:hAnsiTheme="majorHAnsi"/>
          <w:lang w:val="en-AU"/>
        </w:rPr>
        <w:t xml:space="preserve"> KW Haderlein SB Schwarzenbach RP Hany R</w:t>
      </w:r>
      <w:r w:rsidR="00A76EF5" w:rsidRPr="00D850DF">
        <w:rPr>
          <w:rFonts w:asciiTheme="majorHAnsi" w:hAnsiTheme="majorHAnsi"/>
          <w:lang w:val="en-AU"/>
        </w:rPr>
        <w:t>,</w:t>
      </w:r>
      <w:r w:rsidRPr="00D850DF">
        <w:rPr>
          <w:rFonts w:asciiTheme="majorHAnsi" w:hAnsiTheme="majorHAnsi"/>
          <w:lang w:val="en-AU"/>
        </w:rPr>
        <w:t xml:space="preserve"> and Nüesch</w:t>
      </w:r>
      <w:r w:rsidR="00B8505C" w:rsidRPr="00D850DF">
        <w:rPr>
          <w:rFonts w:asciiTheme="majorHAnsi" w:hAnsiTheme="majorHAnsi"/>
          <w:lang w:val="en-AU"/>
        </w:rPr>
        <w:t xml:space="preserve"> R (1997)</w:t>
      </w:r>
      <w:r w:rsidR="00065463" w:rsidRPr="00D850DF">
        <w:rPr>
          <w:rFonts w:asciiTheme="majorHAnsi" w:hAnsiTheme="majorHAnsi"/>
          <w:lang w:val="en-AU"/>
        </w:rPr>
        <w:t>.</w:t>
      </w:r>
      <w:r w:rsidR="00B8505C" w:rsidRPr="00D850DF">
        <w:rPr>
          <w:rFonts w:asciiTheme="majorHAnsi" w:hAnsiTheme="majorHAnsi"/>
          <w:lang w:val="en-AU"/>
        </w:rPr>
        <w:t xml:space="preserve"> </w:t>
      </w:r>
      <w:r w:rsidRPr="00D850DF">
        <w:rPr>
          <w:rFonts w:asciiTheme="majorHAnsi" w:hAnsiTheme="majorHAnsi"/>
          <w:lang w:val="en-AU"/>
        </w:rPr>
        <w:t>In situ spectroscopic investigation of adsorption mechanisms of nitroaromatic compounds at clay minerals</w:t>
      </w:r>
      <w:r w:rsidR="00B8505C" w:rsidRPr="00D850DF">
        <w:rPr>
          <w:rFonts w:asciiTheme="majorHAnsi" w:hAnsiTheme="majorHAnsi"/>
          <w:lang w:val="en-AU"/>
        </w:rPr>
        <w:t xml:space="preserve">. </w:t>
      </w:r>
      <w:r w:rsidRPr="00D850DF">
        <w:rPr>
          <w:rFonts w:asciiTheme="majorHAnsi" w:hAnsiTheme="majorHAnsi"/>
          <w:lang w:val="en-AU"/>
        </w:rPr>
        <w:t xml:space="preserve">Environmental Science </w:t>
      </w:r>
      <w:r w:rsidR="004A7452" w:rsidRPr="00D850DF">
        <w:rPr>
          <w:rFonts w:asciiTheme="majorHAnsi" w:hAnsiTheme="majorHAnsi"/>
          <w:lang w:val="en-AU"/>
        </w:rPr>
        <w:t>and</w:t>
      </w:r>
      <w:r w:rsidRPr="00D850DF">
        <w:rPr>
          <w:rFonts w:asciiTheme="majorHAnsi" w:hAnsiTheme="majorHAnsi"/>
          <w:lang w:val="en-AU"/>
        </w:rPr>
        <w:t xml:space="preserve"> Technology 31(1)</w:t>
      </w:r>
      <w:r w:rsidR="00D77A45" w:rsidRPr="00D850DF">
        <w:rPr>
          <w:rFonts w:asciiTheme="majorHAnsi" w:hAnsiTheme="majorHAnsi"/>
          <w:lang w:val="en-AU"/>
        </w:rPr>
        <w:t>:</w:t>
      </w:r>
      <w:r w:rsidRPr="00D850DF">
        <w:rPr>
          <w:rFonts w:asciiTheme="majorHAnsi" w:hAnsiTheme="majorHAnsi"/>
          <w:lang w:val="en-AU"/>
        </w:rPr>
        <w:t xml:space="preserve"> 240-247.</w:t>
      </w:r>
    </w:p>
    <w:p w14:paraId="4BFAA63B" w14:textId="6B4EDAF6" w:rsidR="00E73CF7" w:rsidRDefault="00E73CF7" w:rsidP="000144B2">
      <w:pPr>
        <w:pStyle w:val="Body"/>
        <w:spacing w:afterLines="20" w:after="48"/>
        <w:ind w:left="567" w:hanging="567"/>
        <w:rPr>
          <w:rFonts w:asciiTheme="majorHAnsi" w:hAnsiTheme="majorHAnsi"/>
        </w:rPr>
      </w:pPr>
      <w:r w:rsidRPr="00D850DF">
        <w:rPr>
          <w:rFonts w:asciiTheme="majorHAnsi" w:hAnsiTheme="majorHAnsi"/>
        </w:rPr>
        <w:t>Wen Q, Chen Z, Zhao Y, Zhang H</w:t>
      </w:r>
      <w:r w:rsidR="00A76EF5" w:rsidRPr="00D850DF">
        <w:rPr>
          <w:rFonts w:asciiTheme="majorHAnsi" w:hAnsiTheme="majorHAnsi"/>
        </w:rPr>
        <w:t>,</w:t>
      </w:r>
      <w:r w:rsidRPr="00D850DF">
        <w:rPr>
          <w:rFonts w:asciiTheme="majorHAnsi" w:hAnsiTheme="majorHAnsi"/>
        </w:rPr>
        <w:t xml:space="preserve"> and Feng Y (2010)</w:t>
      </w:r>
      <w:r w:rsidR="00065463" w:rsidRPr="00D850DF">
        <w:rPr>
          <w:rFonts w:asciiTheme="majorHAnsi" w:hAnsiTheme="majorHAnsi"/>
        </w:rPr>
        <w:t>.</w:t>
      </w:r>
      <w:r w:rsidRPr="00D850DF">
        <w:rPr>
          <w:rFonts w:asciiTheme="majorHAnsi" w:hAnsiTheme="majorHAnsi"/>
        </w:rPr>
        <w:t xml:space="preserve"> Biodegradation of polyacrylamide by bacteria isolated from activated sludge and oil-contaminated soil</w:t>
      </w:r>
      <w:r w:rsidR="00197620" w:rsidRPr="00D850DF">
        <w:rPr>
          <w:rFonts w:asciiTheme="majorHAnsi" w:hAnsiTheme="majorHAnsi"/>
        </w:rPr>
        <w:t>.</w:t>
      </w:r>
      <w:r w:rsidRPr="00D850DF">
        <w:rPr>
          <w:rFonts w:asciiTheme="majorHAnsi" w:hAnsiTheme="majorHAnsi"/>
        </w:rPr>
        <w:t xml:space="preserve"> Journal of Hazardous Materials 175(1–3)</w:t>
      </w:r>
      <w:r w:rsidR="00D77A45" w:rsidRPr="00D850DF">
        <w:rPr>
          <w:rFonts w:asciiTheme="majorHAnsi" w:hAnsiTheme="majorHAnsi"/>
        </w:rPr>
        <w:t>:</w:t>
      </w:r>
      <w:r w:rsidRPr="00D850DF">
        <w:rPr>
          <w:rFonts w:asciiTheme="majorHAnsi" w:hAnsiTheme="majorHAnsi"/>
        </w:rPr>
        <w:t xml:space="preserve"> 955-959.</w:t>
      </w:r>
    </w:p>
    <w:p w14:paraId="19FDCF80" w14:textId="1CB3BE61" w:rsidR="000E5170" w:rsidRPr="00D850DF" w:rsidRDefault="000E5170" w:rsidP="000E5170">
      <w:pPr>
        <w:pStyle w:val="Body"/>
        <w:spacing w:afterLines="20" w:after="48"/>
        <w:ind w:left="567" w:hanging="567"/>
        <w:rPr>
          <w:rFonts w:asciiTheme="majorHAnsi" w:hAnsiTheme="majorHAnsi"/>
        </w:rPr>
      </w:pPr>
      <w:r w:rsidRPr="000E5170">
        <w:rPr>
          <w:rFonts w:asciiTheme="majorHAnsi" w:hAnsiTheme="majorHAnsi"/>
        </w:rPr>
        <w:t>Wexler EJ (1992). Analytical solutions for one-, two-, and three-dimensional solute transport in groundwater systems with uniform flow.</w:t>
      </w:r>
      <w:r>
        <w:rPr>
          <w:rFonts w:asciiTheme="majorHAnsi" w:hAnsiTheme="majorHAnsi"/>
        </w:rPr>
        <w:t xml:space="preserve"> Techniques of</w:t>
      </w:r>
      <w:r w:rsidRPr="000E5170">
        <w:rPr>
          <w:rFonts w:asciiTheme="majorHAnsi" w:hAnsiTheme="majorHAnsi"/>
        </w:rPr>
        <w:t xml:space="preserve"> Water-Resources Investigations</w:t>
      </w:r>
      <w:r>
        <w:rPr>
          <w:rFonts w:asciiTheme="majorHAnsi" w:hAnsiTheme="majorHAnsi"/>
        </w:rPr>
        <w:t xml:space="preserve"> </w:t>
      </w:r>
      <w:r w:rsidRPr="000E5170">
        <w:rPr>
          <w:rFonts w:asciiTheme="majorHAnsi" w:hAnsiTheme="majorHAnsi"/>
        </w:rPr>
        <w:t>of the United States Geological Survey</w:t>
      </w:r>
      <w:r>
        <w:rPr>
          <w:rFonts w:asciiTheme="majorHAnsi" w:hAnsiTheme="majorHAnsi"/>
        </w:rPr>
        <w:t>.</w:t>
      </w:r>
    </w:p>
    <w:p w14:paraId="3A607DE0" w14:textId="2F880158" w:rsidR="00D9435D" w:rsidRPr="00D850DF" w:rsidRDefault="00D9435D" w:rsidP="000144B2">
      <w:pPr>
        <w:pStyle w:val="Body"/>
        <w:spacing w:afterLines="20" w:after="48"/>
        <w:ind w:left="567" w:hanging="567"/>
        <w:rPr>
          <w:rFonts w:asciiTheme="majorHAnsi" w:hAnsiTheme="majorHAnsi"/>
        </w:rPr>
      </w:pPr>
      <w:r w:rsidRPr="00D850DF">
        <w:rPr>
          <w:rFonts w:asciiTheme="majorHAnsi" w:hAnsiTheme="majorHAnsi"/>
        </w:rPr>
        <w:t>WHO (1998</w:t>
      </w:r>
      <w:r w:rsidR="002805A7" w:rsidRPr="00D850DF">
        <w:rPr>
          <w:rFonts w:asciiTheme="majorHAnsi" w:hAnsiTheme="majorHAnsi"/>
        </w:rPr>
        <w:t>a</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Environmental Health Criteria Document No. 204: Boron (7740-42-8). International programme on chemical safety, </w:t>
      </w:r>
      <w:r w:rsidR="00943C07" w:rsidRPr="00D850DF">
        <w:rPr>
          <w:rFonts w:asciiTheme="majorHAnsi" w:hAnsiTheme="majorHAnsi"/>
        </w:rPr>
        <w:t>World Health Organization</w:t>
      </w:r>
      <w:r w:rsidR="00943C07">
        <w:rPr>
          <w:rFonts w:asciiTheme="majorHAnsi" w:hAnsiTheme="majorHAnsi"/>
        </w:rPr>
        <w:t>, Geneva.</w:t>
      </w:r>
      <w:r w:rsidR="00943C07" w:rsidRPr="00D850DF">
        <w:rPr>
          <w:rFonts w:asciiTheme="majorHAnsi" w:hAnsiTheme="majorHAnsi"/>
        </w:rPr>
        <w:t xml:space="preserve"> </w:t>
      </w:r>
      <w:r w:rsidRPr="00D850DF">
        <w:rPr>
          <w:rFonts w:asciiTheme="majorHAnsi" w:hAnsiTheme="majorHAnsi"/>
        </w:rPr>
        <w:t>203 pages.</w:t>
      </w:r>
    </w:p>
    <w:p w14:paraId="248D2466" w14:textId="450F9534" w:rsidR="001D3606" w:rsidRDefault="001D3606" w:rsidP="001D3606">
      <w:pPr>
        <w:pStyle w:val="Body"/>
        <w:spacing w:afterLines="20" w:after="48"/>
        <w:ind w:left="567" w:hanging="567"/>
        <w:rPr>
          <w:rFonts w:asciiTheme="majorHAnsi" w:hAnsiTheme="majorHAnsi"/>
        </w:rPr>
      </w:pPr>
      <w:r w:rsidRPr="00D850DF">
        <w:rPr>
          <w:rFonts w:asciiTheme="majorHAnsi" w:hAnsiTheme="majorHAnsi"/>
        </w:rPr>
        <w:t xml:space="preserve">WHO </w:t>
      </w:r>
      <w:r w:rsidR="00137320" w:rsidRPr="00D850DF">
        <w:rPr>
          <w:rFonts w:asciiTheme="majorHAnsi" w:hAnsiTheme="majorHAnsi"/>
        </w:rPr>
        <w:t>(</w:t>
      </w:r>
      <w:r w:rsidRPr="00D850DF">
        <w:rPr>
          <w:rFonts w:asciiTheme="majorHAnsi" w:hAnsiTheme="majorHAnsi"/>
        </w:rPr>
        <w:t>1998</w:t>
      </w:r>
      <w:r w:rsidR="002805A7" w:rsidRPr="00D850DF">
        <w:rPr>
          <w:rFonts w:asciiTheme="majorHAnsi" w:hAnsiTheme="majorHAnsi"/>
        </w:rPr>
        <w:t>b</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International Programme on Chemical Safety Concise International Chemical Assessment Document No. 5. Limonene. </w:t>
      </w:r>
      <w:r w:rsidR="00943C07" w:rsidRPr="00D850DF">
        <w:rPr>
          <w:rFonts w:asciiTheme="majorHAnsi" w:hAnsiTheme="majorHAnsi"/>
        </w:rPr>
        <w:t>World Health Organization</w:t>
      </w:r>
      <w:r w:rsidR="00943C07">
        <w:rPr>
          <w:rFonts w:asciiTheme="majorHAnsi" w:hAnsiTheme="majorHAnsi"/>
        </w:rPr>
        <w:t>, Geneva.</w:t>
      </w:r>
      <w:r w:rsidR="00943C07" w:rsidRPr="00D850DF">
        <w:rPr>
          <w:rFonts w:asciiTheme="majorHAnsi" w:hAnsiTheme="majorHAnsi"/>
        </w:rPr>
        <w:t xml:space="preserve"> </w:t>
      </w:r>
      <w:r w:rsidRPr="00D850DF">
        <w:rPr>
          <w:rFonts w:asciiTheme="majorHAnsi" w:hAnsiTheme="majorHAnsi"/>
        </w:rPr>
        <w:t>ISBN 92 4 153005 7</w:t>
      </w:r>
      <w:r w:rsidR="000030DD">
        <w:rPr>
          <w:rFonts w:asciiTheme="majorHAnsi" w:hAnsiTheme="majorHAnsi"/>
        </w:rPr>
        <w:t>.</w:t>
      </w:r>
    </w:p>
    <w:p w14:paraId="45A920FF" w14:textId="0E55E3BC" w:rsidR="000030DD" w:rsidRPr="000030DD" w:rsidRDefault="000030DD" w:rsidP="000030DD">
      <w:pPr>
        <w:pStyle w:val="Body"/>
        <w:spacing w:afterLines="20" w:after="48"/>
        <w:ind w:left="567" w:hanging="567"/>
        <w:rPr>
          <w:rFonts w:asciiTheme="majorHAnsi" w:hAnsiTheme="majorHAnsi"/>
        </w:rPr>
      </w:pPr>
      <w:proofErr w:type="gramStart"/>
      <w:r w:rsidRPr="000030DD">
        <w:rPr>
          <w:rFonts w:asciiTheme="majorHAnsi" w:hAnsiTheme="majorHAnsi"/>
        </w:rPr>
        <w:t>WHO</w:t>
      </w:r>
      <w:proofErr w:type="gramEnd"/>
      <w:r w:rsidRPr="000030DD">
        <w:rPr>
          <w:rFonts w:asciiTheme="majorHAnsi" w:hAnsiTheme="majorHAnsi"/>
        </w:rPr>
        <w:t xml:space="preserve"> (1998</w:t>
      </w:r>
      <w:r w:rsidR="00E34EB3">
        <w:rPr>
          <w:rFonts w:asciiTheme="majorHAnsi" w:hAnsiTheme="majorHAnsi"/>
        </w:rPr>
        <w:t>c</w:t>
      </w:r>
      <w:r w:rsidRPr="000030DD">
        <w:rPr>
          <w:rFonts w:asciiTheme="majorHAnsi" w:hAnsiTheme="majorHAnsi"/>
        </w:rPr>
        <w:t>) 2-Butoxyethanol. Concise International Chemical Assessment Document 10, World Heath Organisation, Geneva.</w:t>
      </w:r>
    </w:p>
    <w:p w14:paraId="3471AD0F" w14:textId="669C6FD8" w:rsidR="00D9435D" w:rsidRPr="00D850DF" w:rsidRDefault="00D9435D" w:rsidP="000144B2">
      <w:pPr>
        <w:pStyle w:val="Body"/>
        <w:spacing w:afterLines="20" w:after="48"/>
        <w:ind w:left="567" w:hanging="567"/>
        <w:rPr>
          <w:rStyle w:val="Hyperlink"/>
          <w:rFonts w:asciiTheme="majorHAnsi" w:hAnsiTheme="majorHAnsi"/>
        </w:rPr>
      </w:pPr>
      <w:r w:rsidRPr="00D850DF">
        <w:rPr>
          <w:rFonts w:asciiTheme="majorHAnsi" w:hAnsiTheme="majorHAnsi"/>
        </w:rPr>
        <w:t>WHO (1990)</w:t>
      </w:r>
      <w:r w:rsidR="00065463" w:rsidRPr="00D850DF">
        <w:rPr>
          <w:rFonts w:asciiTheme="majorHAnsi" w:hAnsiTheme="majorHAnsi"/>
        </w:rPr>
        <w:t>.</w:t>
      </w:r>
      <w:r w:rsidRPr="00D850DF">
        <w:rPr>
          <w:rFonts w:asciiTheme="majorHAnsi" w:hAnsiTheme="majorHAnsi"/>
        </w:rPr>
        <w:t xml:space="preserve"> Environmental health criteria 107, Barium. Published under the joint sponsorship of the United Nations Environment Programme, the International Labour Organisation, and the World Health Organization. </w:t>
      </w:r>
      <w:hyperlink r:id="rId244" w:history="1">
        <w:r w:rsidR="00006088" w:rsidRPr="00D850DF">
          <w:rPr>
            <w:rStyle w:val="Hyperlink"/>
            <w:rFonts w:asciiTheme="majorHAnsi" w:hAnsiTheme="majorHAnsi"/>
          </w:rPr>
          <w:t>http://www.inchem.org/documents/ehc/ehc/ehc107.htm</w:t>
        </w:r>
      </w:hyperlink>
    </w:p>
    <w:p w14:paraId="609174B6" w14:textId="1A7BB1D3"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WHO (2001)</w:t>
      </w:r>
      <w:r w:rsidR="00065463" w:rsidRPr="00D850DF">
        <w:rPr>
          <w:rFonts w:asciiTheme="majorHAnsi" w:hAnsiTheme="majorHAnsi"/>
        </w:rPr>
        <w:t>.</w:t>
      </w:r>
      <w:r w:rsidRPr="00D850DF">
        <w:rPr>
          <w:rFonts w:asciiTheme="majorHAnsi" w:hAnsiTheme="majorHAnsi"/>
        </w:rPr>
        <w:t xml:space="preserve"> Arsenic and Arsenic Compounds, Environmental Health Criteria 224. World Health Organisation, Geneva.</w:t>
      </w:r>
    </w:p>
    <w:p w14:paraId="00A33603" w14:textId="3E725500"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WHO (2003)</w:t>
      </w:r>
      <w:r w:rsidR="00065463" w:rsidRPr="00D850DF">
        <w:rPr>
          <w:rFonts w:asciiTheme="majorHAnsi" w:hAnsiTheme="majorHAnsi"/>
        </w:rPr>
        <w:t>.</w:t>
      </w:r>
      <w:r w:rsidRPr="00D850DF">
        <w:rPr>
          <w:rFonts w:asciiTheme="majorHAnsi" w:hAnsiTheme="majorHAnsi"/>
        </w:rPr>
        <w:t xml:space="preserve"> Arsenic in drinking-water: Background document for development of WHO Guidelines for Drinking-water, World Health Organisation</w:t>
      </w:r>
      <w:r w:rsidR="00943C07">
        <w:rPr>
          <w:rFonts w:asciiTheme="majorHAnsi" w:hAnsiTheme="majorHAnsi"/>
        </w:rPr>
        <w:t>, Geneva</w:t>
      </w:r>
      <w:r w:rsidRPr="00D850DF">
        <w:rPr>
          <w:rFonts w:asciiTheme="majorHAnsi" w:hAnsiTheme="majorHAnsi"/>
        </w:rPr>
        <w:t xml:space="preserve">.  </w:t>
      </w:r>
    </w:p>
    <w:p w14:paraId="6647F762" w14:textId="31126D1C"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WHO (2004a)</w:t>
      </w:r>
      <w:r w:rsidR="00065463" w:rsidRPr="00D850DF">
        <w:rPr>
          <w:rFonts w:asciiTheme="majorHAnsi" w:hAnsiTheme="majorHAnsi"/>
        </w:rPr>
        <w:t>.</w:t>
      </w:r>
      <w:r w:rsidRPr="00D850DF">
        <w:rPr>
          <w:rFonts w:asciiTheme="majorHAnsi" w:hAnsiTheme="majorHAnsi"/>
        </w:rPr>
        <w:t xml:space="preserve"> Barium in drinking-water, Background document for development of WHO Guidelines for Drinking-Water Quality, World Health Organisation</w:t>
      </w:r>
      <w:r w:rsidR="00943C07">
        <w:rPr>
          <w:rFonts w:asciiTheme="majorHAnsi" w:hAnsiTheme="majorHAnsi"/>
        </w:rPr>
        <w:t>, Geneva</w:t>
      </w:r>
      <w:r w:rsidRPr="00D850DF">
        <w:rPr>
          <w:rFonts w:asciiTheme="majorHAnsi" w:hAnsiTheme="majorHAnsi"/>
        </w:rPr>
        <w:t>. WHO/SDE/WSH/03.04/76.</w:t>
      </w:r>
    </w:p>
    <w:p w14:paraId="5F6B7776" w14:textId="29A43198"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WHO (2004b)</w:t>
      </w:r>
      <w:r w:rsidR="00065463" w:rsidRPr="00D850DF">
        <w:rPr>
          <w:rFonts w:asciiTheme="majorHAnsi" w:hAnsiTheme="majorHAnsi"/>
        </w:rPr>
        <w:t>.</w:t>
      </w:r>
      <w:r w:rsidRPr="00D850DF">
        <w:rPr>
          <w:rFonts w:asciiTheme="majorHAnsi" w:hAnsiTheme="majorHAnsi"/>
        </w:rPr>
        <w:t xml:space="preserve"> Boron in Drinking Water. Background document for development of WHO Guidelines for Drinking-water Quality, World Health Organisation, Geneva. WHO/SDE/WSH/03.04/54.</w:t>
      </w:r>
    </w:p>
    <w:p w14:paraId="00DD0D4B" w14:textId="6DD24748"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WHO (2004</w:t>
      </w:r>
      <w:r w:rsidR="00F054EA" w:rsidRPr="00D850DF">
        <w:rPr>
          <w:rFonts w:asciiTheme="majorHAnsi" w:hAnsiTheme="majorHAnsi"/>
        </w:rPr>
        <w:t>c</w:t>
      </w:r>
      <w:r w:rsidRPr="00D850DF">
        <w:rPr>
          <w:rFonts w:asciiTheme="majorHAnsi" w:hAnsiTheme="majorHAnsi"/>
        </w:rPr>
        <w:t>)</w:t>
      </w:r>
      <w:r w:rsidR="00065463" w:rsidRPr="00D850DF">
        <w:rPr>
          <w:rFonts w:asciiTheme="majorHAnsi" w:hAnsiTheme="majorHAnsi"/>
        </w:rPr>
        <w:t>.</w:t>
      </w:r>
      <w:r w:rsidRPr="00D850DF">
        <w:rPr>
          <w:rFonts w:asciiTheme="majorHAnsi" w:hAnsiTheme="majorHAnsi"/>
        </w:rPr>
        <w:t xml:space="preserve"> Uranium in drinking-water: Background document for development of WHO Guidelines for Drinking-water Quality, World Health Organisation</w:t>
      </w:r>
      <w:r w:rsidR="00943C07">
        <w:rPr>
          <w:rFonts w:asciiTheme="majorHAnsi" w:hAnsiTheme="majorHAnsi"/>
        </w:rPr>
        <w:t>, Geneva</w:t>
      </w:r>
      <w:r w:rsidRPr="00D850DF">
        <w:rPr>
          <w:rFonts w:asciiTheme="majorHAnsi" w:hAnsiTheme="majorHAnsi"/>
        </w:rPr>
        <w:t xml:space="preserve">. </w:t>
      </w:r>
    </w:p>
    <w:p w14:paraId="69FCD2D1" w14:textId="1873584E" w:rsidR="00137320" w:rsidRPr="00D850DF" w:rsidRDefault="0020766A" w:rsidP="00137320">
      <w:pPr>
        <w:pStyle w:val="Body"/>
        <w:spacing w:afterLines="20" w:after="48"/>
        <w:ind w:left="567" w:hanging="567"/>
        <w:rPr>
          <w:rFonts w:asciiTheme="majorHAnsi" w:hAnsiTheme="majorHAnsi"/>
        </w:rPr>
      </w:pPr>
      <w:r w:rsidRPr="00D850DF">
        <w:rPr>
          <w:rFonts w:asciiTheme="majorHAnsi" w:hAnsiTheme="majorHAnsi"/>
        </w:rPr>
        <w:t>WHO (</w:t>
      </w:r>
      <w:r w:rsidR="00137320" w:rsidRPr="00D850DF">
        <w:rPr>
          <w:rFonts w:asciiTheme="majorHAnsi" w:hAnsiTheme="majorHAnsi"/>
        </w:rPr>
        <w:t>2011</w:t>
      </w:r>
      <w:r w:rsidRPr="00D850DF">
        <w:rPr>
          <w:rFonts w:asciiTheme="majorHAnsi" w:hAnsiTheme="majorHAnsi"/>
        </w:rPr>
        <w:t>)</w:t>
      </w:r>
      <w:r w:rsidR="00065463" w:rsidRPr="00D850DF">
        <w:rPr>
          <w:rFonts w:asciiTheme="majorHAnsi" w:hAnsiTheme="majorHAnsi"/>
        </w:rPr>
        <w:t>.</w:t>
      </w:r>
      <w:r w:rsidR="00137320" w:rsidRPr="00D850DF">
        <w:rPr>
          <w:rFonts w:asciiTheme="majorHAnsi" w:hAnsiTheme="majorHAnsi"/>
        </w:rPr>
        <w:t xml:space="preserve"> Guidelines for Drinking-water Quality 4th Edition. World Health Organization. Geneva.</w:t>
      </w:r>
    </w:p>
    <w:p w14:paraId="3B539BC9" w14:textId="55DB1AA7" w:rsidR="00301DB0" w:rsidRPr="00D850DF" w:rsidRDefault="00301DB0" w:rsidP="00301DB0">
      <w:pPr>
        <w:pStyle w:val="Body"/>
        <w:spacing w:afterLines="20" w:after="48"/>
        <w:ind w:left="567" w:hanging="567"/>
        <w:rPr>
          <w:rFonts w:asciiTheme="majorHAnsi" w:hAnsiTheme="majorHAnsi"/>
        </w:rPr>
      </w:pPr>
      <w:r w:rsidRPr="00D850DF">
        <w:rPr>
          <w:rFonts w:asciiTheme="majorHAnsi" w:hAnsiTheme="majorHAnsi"/>
        </w:rPr>
        <w:t>WHO</w:t>
      </w:r>
      <w:r w:rsidR="00137320" w:rsidRPr="00D850DF">
        <w:rPr>
          <w:rFonts w:asciiTheme="majorHAnsi" w:hAnsiTheme="majorHAnsi"/>
        </w:rPr>
        <w:t xml:space="preserve"> </w:t>
      </w:r>
      <w:r w:rsidRPr="00D850DF">
        <w:rPr>
          <w:rFonts w:asciiTheme="majorHAnsi" w:hAnsiTheme="majorHAnsi"/>
        </w:rPr>
        <w:t>(2012)</w:t>
      </w:r>
      <w:r w:rsidR="00065463" w:rsidRPr="00D850DF">
        <w:rPr>
          <w:rFonts w:asciiTheme="majorHAnsi" w:hAnsiTheme="majorHAnsi"/>
        </w:rPr>
        <w:t>.</w:t>
      </w:r>
      <w:r w:rsidRPr="00D850DF">
        <w:rPr>
          <w:rFonts w:asciiTheme="majorHAnsi" w:hAnsiTheme="majorHAnsi"/>
        </w:rPr>
        <w:t xml:space="preserve"> Uranium in drinking-water: Background document for development of WHO Guidelines for Drinking-water Quality, World Health Organisation</w:t>
      </w:r>
      <w:r w:rsidR="00943C07">
        <w:rPr>
          <w:rFonts w:asciiTheme="majorHAnsi" w:hAnsiTheme="majorHAnsi"/>
        </w:rPr>
        <w:t>, Geneva</w:t>
      </w:r>
      <w:r w:rsidRPr="00D850DF">
        <w:rPr>
          <w:rFonts w:asciiTheme="majorHAnsi" w:hAnsiTheme="majorHAnsi"/>
        </w:rPr>
        <w:t>.</w:t>
      </w:r>
    </w:p>
    <w:p w14:paraId="4CECE05E" w14:textId="4B32F259" w:rsidR="00A90320" w:rsidRPr="00D850DF" w:rsidRDefault="00A90320" w:rsidP="00A90320">
      <w:pPr>
        <w:pStyle w:val="Body"/>
        <w:spacing w:afterLines="20" w:after="48"/>
        <w:ind w:left="567" w:hanging="567"/>
        <w:rPr>
          <w:rFonts w:asciiTheme="majorHAnsi" w:hAnsiTheme="majorHAnsi"/>
        </w:rPr>
      </w:pPr>
      <w:r w:rsidRPr="00D850DF">
        <w:rPr>
          <w:rFonts w:asciiTheme="majorHAnsi" w:hAnsiTheme="majorHAnsi"/>
        </w:rPr>
        <w:t>Wolhart SL, Harting TA, Dahlem JE, Young TJ, Mayerhofer MJ</w:t>
      </w:r>
      <w:r w:rsidR="00A76EF5" w:rsidRPr="00D850DF">
        <w:rPr>
          <w:rFonts w:asciiTheme="majorHAnsi" w:hAnsiTheme="majorHAnsi"/>
        </w:rPr>
        <w:t>,</w:t>
      </w:r>
      <w:r w:rsidRPr="00D850DF">
        <w:rPr>
          <w:rFonts w:asciiTheme="majorHAnsi" w:hAnsiTheme="majorHAnsi"/>
        </w:rPr>
        <w:t xml:space="preserve"> and Lolon EP (2006)</w:t>
      </w:r>
      <w:r w:rsidR="00065463" w:rsidRPr="00D850DF">
        <w:rPr>
          <w:rFonts w:asciiTheme="majorHAnsi" w:hAnsiTheme="majorHAnsi"/>
        </w:rPr>
        <w:t>.</w:t>
      </w:r>
      <w:r w:rsidRPr="00D850DF">
        <w:rPr>
          <w:rFonts w:asciiTheme="majorHAnsi" w:hAnsiTheme="majorHAnsi"/>
        </w:rPr>
        <w:t xml:space="preserve"> Hydraulic fracture diagnostics used to optimize development in the Jonah Field. Proceedings </w:t>
      </w:r>
      <w:r w:rsidR="00065463" w:rsidRPr="00D850DF">
        <w:rPr>
          <w:rFonts w:asciiTheme="majorHAnsi" w:hAnsiTheme="majorHAnsi"/>
        </w:rPr>
        <w:t>–</w:t>
      </w:r>
      <w:r w:rsidRPr="00D850DF">
        <w:rPr>
          <w:rFonts w:asciiTheme="majorHAnsi" w:hAnsiTheme="majorHAnsi"/>
        </w:rPr>
        <w:t xml:space="preserve"> S</w:t>
      </w:r>
      <w:r w:rsidR="00065463" w:rsidRPr="00D850DF">
        <w:rPr>
          <w:rFonts w:asciiTheme="majorHAnsi" w:hAnsiTheme="majorHAnsi"/>
        </w:rPr>
        <w:t xml:space="preserve">ociety of </w:t>
      </w:r>
      <w:r w:rsidRPr="00D850DF">
        <w:rPr>
          <w:rFonts w:asciiTheme="majorHAnsi" w:hAnsiTheme="majorHAnsi"/>
        </w:rPr>
        <w:t>P</w:t>
      </w:r>
      <w:r w:rsidR="00065463" w:rsidRPr="00D850DF">
        <w:rPr>
          <w:rFonts w:asciiTheme="majorHAnsi" w:hAnsiTheme="majorHAnsi"/>
        </w:rPr>
        <w:t xml:space="preserve">etroleum </w:t>
      </w:r>
      <w:r w:rsidRPr="00D850DF">
        <w:rPr>
          <w:rFonts w:asciiTheme="majorHAnsi" w:hAnsiTheme="majorHAnsi"/>
        </w:rPr>
        <w:t>E</w:t>
      </w:r>
      <w:r w:rsidR="00065463" w:rsidRPr="00D850DF">
        <w:rPr>
          <w:rFonts w:asciiTheme="majorHAnsi" w:hAnsiTheme="majorHAnsi"/>
        </w:rPr>
        <w:t>ngineers</w:t>
      </w:r>
      <w:r w:rsidRPr="00D850DF">
        <w:rPr>
          <w:rFonts w:asciiTheme="majorHAnsi" w:hAnsiTheme="majorHAnsi"/>
        </w:rPr>
        <w:t xml:space="preserve"> Annual Technical Conference and Exhibition, 4, 2305–2316. http://doi.org/10.2118/102528-MS.</w:t>
      </w:r>
    </w:p>
    <w:p w14:paraId="4295D72D" w14:textId="0474403F" w:rsidR="00B44540" w:rsidRPr="00D850DF" w:rsidRDefault="00B44540" w:rsidP="000144B2">
      <w:pPr>
        <w:pStyle w:val="Body"/>
        <w:spacing w:afterLines="20" w:after="48"/>
        <w:ind w:left="567" w:hanging="567"/>
        <w:rPr>
          <w:rFonts w:asciiTheme="majorHAnsi" w:hAnsiTheme="majorHAnsi"/>
        </w:rPr>
      </w:pPr>
      <w:r w:rsidRPr="00D850DF">
        <w:rPr>
          <w:rFonts w:asciiTheme="majorHAnsi" w:hAnsiTheme="majorHAnsi"/>
        </w:rPr>
        <w:t>Wu B</w:t>
      </w:r>
      <w:r w:rsidR="001E0E3C" w:rsidRPr="00D850DF">
        <w:rPr>
          <w:rFonts w:asciiTheme="majorHAnsi" w:hAnsiTheme="majorHAnsi"/>
        </w:rPr>
        <w:t>,</w:t>
      </w:r>
      <w:r w:rsidRPr="00D850DF">
        <w:rPr>
          <w:rFonts w:asciiTheme="majorHAnsi" w:hAnsiTheme="majorHAnsi"/>
        </w:rPr>
        <w:t xml:space="preserve"> Doble R</w:t>
      </w:r>
      <w:r w:rsidR="001E0E3C" w:rsidRPr="00D850DF">
        <w:rPr>
          <w:rFonts w:asciiTheme="majorHAnsi" w:hAnsiTheme="majorHAnsi"/>
        </w:rPr>
        <w:t>,</w:t>
      </w:r>
      <w:r w:rsidRPr="00D850DF">
        <w:rPr>
          <w:rFonts w:asciiTheme="majorHAnsi" w:hAnsiTheme="majorHAnsi"/>
        </w:rPr>
        <w:t xml:space="preserve"> Turnadge C</w:t>
      </w:r>
      <w:r w:rsidR="001E0E3C" w:rsidRPr="00D850DF">
        <w:rPr>
          <w:rFonts w:asciiTheme="majorHAnsi" w:hAnsiTheme="majorHAnsi"/>
        </w:rPr>
        <w:t>, and</w:t>
      </w:r>
      <w:r w:rsidRPr="00D850DF">
        <w:rPr>
          <w:rFonts w:asciiTheme="majorHAnsi" w:hAnsiTheme="majorHAnsi"/>
        </w:rPr>
        <w:t xml:space="preserve"> Mallants D (2016)</w:t>
      </w:r>
      <w:r w:rsidR="00065463" w:rsidRPr="00D850DF">
        <w:rPr>
          <w:rFonts w:asciiTheme="majorHAnsi" w:hAnsiTheme="majorHAnsi"/>
        </w:rPr>
        <w:t>.</w:t>
      </w:r>
      <w:r w:rsidRPr="00D850DF">
        <w:rPr>
          <w:rFonts w:asciiTheme="majorHAnsi" w:hAnsiTheme="majorHAnsi"/>
        </w:rPr>
        <w:t xml:space="preserve"> Bore and well induced inter-aquifer connectivity: a review of literature on failure mechanisms and conceptualisation of hydrocarbon reservoir-aquifer failure pathways. Prepared by the Commonwealth Scientific and Industrial Research Organisation CSIRO, Canberra.</w:t>
      </w:r>
    </w:p>
    <w:p w14:paraId="0CC4B685" w14:textId="0E44C451" w:rsidR="001E0E3C" w:rsidRPr="00D850DF" w:rsidRDefault="001E0E3C" w:rsidP="001E0E3C">
      <w:pPr>
        <w:pStyle w:val="Body"/>
        <w:spacing w:afterLines="20" w:after="48"/>
        <w:ind w:left="567" w:hanging="567"/>
        <w:rPr>
          <w:rFonts w:asciiTheme="majorHAnsi" w:hAnsiTheme="majorHAnsi"/>
        </w:rPr>
      </w:pPr>
      <w:r w:rsidRPr="00D850DF">
        <w:rPr>
          <w:rFonts w:asciiTheme="majorHAnsi" w:hAnsiTheme="majorHAnsi"/>
        </w:rPr>
        <w:t>Wylde JJ and O’Neil B (2011)</w:t>
      </w:r>
      <w:r w:rsidR="00065463" w:rsidRPr="00D850DF">
        <w:rPr>
          <w:rFonts w:asciiTheme="majorHAnsi" w:hAnsiTheme="majorHAnsi"/>
        </w:rPr>
        <w:t>.</w:t>
      </w:r>
      <w:r w:rsidRPr="00D850DF">
        <w:rPr>
          <w:rFonts w:asciiTheme="majorHAnsi" w:hAnsiTheme="majorHAnsi"/>
        </w:rPr>
        <w:t xml:space="preserve"> Environmentally-acceptable replacement of 2-butoxyethanol: A high performance alternative for fracturing applications. Society of Petroleum Engineers (141099): 16.</w:t>
      </w:r>
    </w:p>
    <w:p w14:paraId="5B2ACD83" w14:textId="58B86867" w:rsidR="000F310B" w:rsidRPr="00D850DF" w:rsidRDefault="00B8505C" w:rsidP="000144B2">
      <w:pPr>
        <w:pStyle w:val="Body"/>
        <w:spacing w:afterLines="20" w:after="48"/>
        <w:ind w:left="567" w:hanging="567"/>
        <w:rPr>
          <w:rFonts w:asciiTheme="majorHAnsi" w:hAnsiTheme="majorHAnsi"/>
        </w:rPr>
      </w:pPr>
      <w:r w:rsidRPr="00D850DF">
        <w:rPr>
          <w:rFonts w:asciiTheme="majorHAnsi" w:hAnsiTheme="majorHAnsi"/>
          <w:lang w:val="en-AU"/>
        </w:rPr>
        <w:t>Yediler A</w:t>
      </w:r>
      <w:r w:rsidR="001E0E3C" w:rsidRPr="00D850DF">
        <w:rPr>
          <w:rFonts w:asciiTheme="majorHAnsi" w:hAnsiTheme="majorHAnsi"/>
          <w:lang w:val="en-AU"/>
        </w:rPr>
        <w:t>,</w:t>
      </w:r>
      <w:r w:rsidRPr="00D850DF">
        <w:rPr>
          <w:rFonts w:asciiTheme="majorHAnsi" w:hAnsiTheme="majorHAnsi"/>
          <w:lang w:val="en-AU"/>
        </w:rPr>
        <w:t xml:space="preserve"> Kettrup A</w:t>
      </w:r>
      <w:r w:rsidR="001E0E3C" w:rsidRPr="00D850DF">
        <w:rPr>
          <w:rFonts w:asciiTheme="majorHAnsi" w:hAnsiTheme="majorHAnsi"/>
          <w:lang w:val="en-AU"/>
        </w:rPr>
        <w:t>,</w:t>
      </w:r>
      <w:r w:rsidRPr="00D850DF">
        <w:rPr>
          <w:rFonts w:asciiTheme="majorHAnsi" w:hAnsiTheme="majorHAnsi"/>
          <w:lang w:val="en-AU"/>
        </w:rPr>
        <w:t xml:space="preserve"> NüBlein F</w:t>
      </w:r>
      <w:r w:rsidR="001E0E3C" w:rsidRPr="00D850DF">
        <w:rPr>
          <w:rFonts w:asciiTheme="majorHAnsi" w:hAnsiTheme="majorHAnsi"/>
          <w:lang w:val="en-AU"/>
        </w:rPr>
        <w:t>,</w:t>
      </w:r>
      <w:r w:rsidRPr="00D850DF">
        <w:rPr>
          <w:rFonts w:asciiTheme="majorHAnsi" w:hAnsiTheme="majorHAnsi"/>
          <w:lang w:val="en-AU"/>
        </w:rPr>
        <w:t xml:space="preserve"> and Korte F (1991)</w:t>
      </w:r>
      <w:r w:rsidR="00065463" w:rsidRPr="00D850DF">
        <w:rPr>
          <w:rFonts w:asciiTheme="majorHAnsi" w:hAnsiTheme="majorHAnsi"/>
          <w:lang w:val="en-AU"/>
        </w:rPr>
        <w:t>.</w:t>
      </w:r>
      <w:r w:rsidRPr="00D850DF">
        <w:rPr>
          <w:rFonts w:asciiTheme="majorHAnsi" w:hAnsiTheme="majorHAnsi"/>
          <w:lang w:val="en-AU"/>
        </w:rPr>
        <w:t xml:space="preserve"> Mobility of o-cresol in sandy soil in the presence of linear alkylbenzene sulfonate. Toxicological </w:t>
      </w:r>
      <w:r w:rsidR="004A7452" w:rsidRPr="00D850DF">
        <w:rPr>
          <w:rFonts w:asciiTheme="majorHAnsi" w:hAnsiTheme="majorHAnsi"/>
          <w:lang w:val="en-AU"/>
        </w:rPr>
        <w:t>and</w:t>
      </w:r>
      <w:r w:rsidRPr="00D850DF">
        <w:rPr>
          <w:rFonts w:asciiTheme="majorHAnsi" w:hAnsiTheme="majorHAnsi"/>
          <w:lang w:val="en-AU"/>
        </w:rPr>
        <w:t xml:space="preserve"> Environmental Chemistry 31(1)</w:t>
      </w:r>
      <w:r w:rsidR="00D77A45" w:rsidRPr="00D850DF">
        <w:rPr>
          <w:rFonts w:asciiTheme="majorHAnsi" w:hAnsiTheme="majorHAnsi"/>
          <w:lang w:val="en-AU"/>
        </w:rPr>
        <w:t>:</w:t>
      </w:r>
      <w:r w:rsidRPr="00D850DF">
        <w:rPr>
          <w:rFonts w:asciiTheme="majorHAnsi" w:hAnsiTheme="majorHAnsi"/>
          <w:lang w:val="en-AU"/>
        </w:rPr>
        <w:t xml:space="preserve"> 119-125.</w:t>
      </w:r>
    </w:p>
    <w:p w14:paraId="24C138A0" w14:textId="3794BA08" w:rsidR="00B44540" w:rsidRPr="00D850DF" w:rsidRDefault="00B8505C" w:rsidP="000144B2">
      <w:pPr>
        <w:pStyle w:val="Body"/>
        <w:spacing w:afterLines="20" w:after="48"/>
        <w:ind w:left="567" w:hanging="567"/>
        <w:rPr>
          <w:rFonts w:asciiTheme="majorHAnsi" w:hAnsiTheme="majorHAnsi"/>
        </w:rPr>
      </w:pPr>
      <w:r w:rsidRPr="00D850DF">
        <w:rPr>
          <w:rFonts w:asciiTheme="majorHAnsi" w:hAnsiTheme="majorHAnsi"/>
          <w:lang w:val="en-AU"/>
        </w:rPr>
        <w:t>Zheng H</w:t>
      </w:r>
      <w:r w:rsidR="001E0E3C" w:rsidRPr="00D850DF">
        <w:rPr>
          <w:rFonts w:asciiTheme="majorHAnsi" w:hAnsiTheme="majorHAnsi"/>
          <w:lang w:val="en-AU"/>
        </w:rPr>
        <w:t>,</w:t>
      </w:r>
      <w:r w:rsidRPr="00D850DF">
        <w:rPr>
          <w:rFonts w:asciiTheme="majorHAnsi" w:hAnsiTheme="majorHAnsi"/>
          <w:lang w:val="en-AU"/>
        </w:rPr>
        <w:t xml:space="preserve"> Feng XT</w:t>
      </w:r>
      <w:r w:rsidR="001E0E3C" w:rsidRPr="00D850DF">
        <w:rPr>
          <w:rFonts w:asciiTheme="majorHAnsi" w:hAnsiTheme="majorHAnsi"/>
          <w:lang w:val="en-AU"/>
        </w:rPr>
        <w:t>,</w:t>
      </w:r>
      <w:r w:rsidRPr="00D850DF">
        <w:rPr>
          <w:rFonts w:asciiTheme="majorHAnsi" w:hAnsiTheme="majorHAnsi"/>
          <w:lang w:val="en-AU"/>
        </w:rPr>
        <w:t xml:space="preserve"> and Pan PZ (2015)</w:t>
      </w:r>
      <w:r w:rsidR="00065463" w:rsidRPr="00D850DF">
        <w:rPr>
          <w:rFonts w:asciiTheme="majorHAnsi" w:hAnsiTheme="majorHAnsi"/>
          <w:lang w:val="en-AU"/>
        </w:rPr>
        <w:t>.</w:t>
      </w:r>
      <w:r w:rsidRPr="00D850DF">
        <w:rPr>
          <w:rFonts w:asciiTheme="majorHAnsi" w:hAnsiTheme="majorHAnsi"/>
          <w:lang w:val="en-AU"/>
        </w:rPr>
        <w:t xml:space="preserve"> Experimental investigation of sandstone properties under CO2-NaCl solution-rock interactions. International Journal of Greenhouse Gas Control 37</w:t>
      </w:r>
      <w:r w:rsidR="00D77A45" w:rsidRPr="00D850DF">
        <w:rPr>
          <w:rFonts w:asciiTheme="majorHAnsi" w:hAnsiTheme="majorHAnsi"/>
          <w:lang w:val="en-AU"/>
        </w:rPr>
        <w:t>:</w:t>
      </w:r>
      <w:r w:rsidRPr="00D850DF">
        <w:rPr>
          <w:rFonts w:asciiTheme="majorHAnsi" w:hAnsiTheme="majorHAnsi"/>
          <w:lang w:val="en-AU"/>
        </w:rPr>
        <w:t xml:space="preserve"> 451-470.</w:t>
      </w:r>
    </w:p>
    <w:p w14:paraId="4FD55C7D" w14:textId="773F7A53" w:rsidR="00D9435D" w:rsidRPr="00D850DF" w:rsidRDefault="00D9435D" w:rsidP="000144B2">
      <w:pPr>
        <w:pStyle w:val="Body"/>
        <w:spacing w:afterLines="20" w:after="48"/>
        <w:ind w:left="567" w:hanging="567"/>
        <w:rPr>
          <w:rFonts w:asciiTheme="majorHAnsi" w:hAnsiTheme="majorHAnsi"/>
        </w:rPr>
      </w:pPr>
      <w:r w:rsidRPr="00D850DF">
        <w:rPr>
          <w:rFonts w:asciiTheme="majorHAnsi" w:hAnsiTheme="majorHAnsi"/>
        </w:rPr>
        <w:t>Zurimendi JA, Guerrero SJ</w:t>
      </w:r>
      <w:r w:rsidR="00A76EF5" w:rsidRPr="00D850DF">
        <w:rPr>
          <w:rFonts w:asciiTheme="majorHAnsi" w:hAnsiTheme="majorHAnsi"/>
        </w:rPr>
        <w:t>,</w:t>
      </w:r>
      <w:r w:rsidRPr="00D850DF">
        <w:rPr>
          <w:rFonts w:asciiTheme="majorHAnsi" w:hAnsiTheme="majorHAnsi"/>
        </w:rPr>
        <w:t xml:space="preserve"> and Leon V (1984)</w:t>
      </w:r>
      <w:r w:rsidR="00065463" w:rsidRPr="00D850DF">
        <w:rPr>
          <w:rFonts w:asciiTheme="majorHAnsi" w:hAnsiTheme="majorHAnsi"/>
        </w:rPr>
        <w:t>.</w:t>
      </w:r>
      <w:r w:rsidRPr="00D850DF">
        <w:rPr>
          <w:rFonts w:asciiTheme="majorHAnsi" w:hAnsiTheme="majorHAnsi"/>
        </w:rPr>
        <w:t xml:space="preserve"> The determination of the degree of hydrolysis in </w:t>
      </w:r>
      <w:proofErr w:type="gramStart"/>
      <w:r w:rsidRPr="00D850DF">
        <w:rPr>
          <w:rFonts w:asciiTheme="majorHAnsi" w:hAnsiTheme="majorHAnsi"/>
        </w:rPr>
        <w:t>poly(</w:t>
      </w:r>
      <w:proofErr w:type="gramEnd"/>
      <w:r w:rsidRPr="00D850DF">
        <w:rPr>
          <w:rFonts w:asciiTheme="majorHAnsi" w:hAnsiTheme="majorHAnsi"/>
        </w:rPr>
        <w:t>acrylamides): simple methods using C13 nmr, and elementary analysis</w:t>
      </w:r>
      <w:r w:rsidR="00D77A45" w:rsidRPr="00D850DF">
        <w:rPr>
          <w:rFonts w:asciiTheme="majorHAnsi" w:hAnsiTheme="majorHAnsi"/>
        </w:rPr>
        <w:t>. Polymer</w:t>
      </w:r>
      <w:r w:rsidRPr="00D850DF">
        <w:rPr>
          <w:rFonts w:asciiTheme="majorHAnsi" w:hAnsiTheme="majorHAnsi"/>
        </w:rPr>
        <w:t xml:space="preserve"> 25(9)</w:t>
      </w:r>
      <w:r w:rsidR="00D77A45" w:rsidRPr="00D850DF">
        <w:rPr>
          <w:rFonts w:asciiTheme="majorHAnsi" w:hAnsiTheme="majorHAnsi"/>
        </w:rPr>
        <w:t>:</w:t>
      </w:r>
      <w:r w:rsidRPr="00D850DF">
        <w:rPr>
          <w:rFonts w:asciiTheme="majorHAnsi" w:hAnsiTheme="majorHAnsi"/>
        </w:rPr>
        <w:t xml:space="preserve"> 1314-1316.</w:t>
      </w:r>
    </w:p>
    <w:p w14:paraId="39CEDBDC" w14:textId="77777777" w:rsidR="00D9435D" w:rsidRPr="00E6110F" w:rsidRDefault="00D9435D" w:rsidP="000144B2">
      <w:pPr>
        <w:pStyle w:val="Body"/>
        <w:spacing w:afterLines="20" w:after="48"/>
        <w:ind w:left="567" w:hanging="567"/>
      </w:pPr>
    </w:p>
    <w:sectPr w:rsidR="00D9435D" w:rsidRPr="00E6110F" w:rsidSect="007679C9">
      <w:pgSz w:w="11900" w:h="16840"/>
      <w:pgMar w:top="1440" w:right="1440" w:bottom="1440" w:left="1440" w:header="0" w:footer="0" w:gutter="0"/>
      <w:cols w:space="284"/>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EF87F3" w14:textId="77777777" w:rsidR="00BC0590" w:rsidRDefault="00BC0590" w:rsidP="00BB2E86">
      <w:pPr>
        <w:spacing w:after="0"/>
      </w:pPr>
      <w:r>
        <w:separator/>
      </w:r>
    </w:p>
  </w:endnote>
  <w:endnote w:type="continuationSeparator" w:id="0">
    <w:p w14:paraId="57636B1A" w14:textId="77777777" w:rsidR="00BC0590" w:rsidRDefault="00BC0590" w:rsidP="00BB2E86">
      <w:pPr>
        <w:spacing w:after="0"/>
      </w:pPr>
      <w:r>
        <w:continuationSeparator/>
      </w:r>
    </w:p>
  </w:endnote>
  <w:endnote w:type="continuationNotice" w:id="1">
    <w:p w14:paraId="458F3CF1" w14:textId="77777777" w:rsidR="00BC0590" w:rsidRDefault="00BC059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Bold">
    <w:altName w:val="Times New Roman"/>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inionPro-Regular">
    <w:altName w:val="Minion Pro"/>
    <w:panose1 w:val="02040503050306020203"/>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libri-BoldItalic">
    <w:altName w:val="Calibri"/>
    <w:panose1 w:val="00000000000000000000"/>
    <w:charset w:val="4D"/>
    <w:family w:val="auto"/>
    <w:notTrueType/>
    <w:pitch w:val="default"/>
    <w:sig w:usb0="00000003" w:usb1="00000000" w:usb2="00000000" w:usb3="00000000" w:csb0="00000001" w:csb1="00000000"/>
  </w:font>
  <w:font w:name="NIIOG G+ Univers">
    <w:altName w:val="Arial"/>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Bell MT">
    <w:panose1 w:val="02020503060305020303"/>
    <w:charset w:val="00"/>
    <w:family w:val="roman"/>
    <w:pitch w:val="variable"/>
    <w:sig w:usb0="00000003" w:usb1="00000000" w:usb2="00000000" w:usb3="00000000" w:csb0="00000001" w:csb1="00000000"/>
  </w:font>
  <w:font w:name="HelveticaNeue Condensed">
    <w:altName w:val="HelveticaNeue Condense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AdvGulliv-R">
    <w:altName w:val="Arial Unicode MS"/>
    <w:panose1 w:val="00000000000000000000"/>
    <w:charset w:val="86"/>
    <w:family w:val="auto"/>
    <w:notTrueType/>
    <w:pitch w:val="default"/>
    <w:sig w:usb0="00000003" w:usb1="080E0000" w:usb2="00000010" w:usb3="00000000" w:csb0="00040001" w:csb1="00000000"/>
  </w:font>
  <w:font w:name="ZWAdobeF">
    <w:panose1 w:val="00000000000000000000"/>
    <w:charset w:val="00"/>
    <w:family w:val="auto"/>
    <w:pitch w:val="variable"/>
    <w:sig w:usb0="20002A87" w:usb1="00000000" w:usb2="00000000" w:usb3="00000000" w:csb0="000001FF" w:csb1="00000000"/>
  </w:font>
  <w:font w:name="AdvOT46dcae81">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ymbolMT">
    <w:altName w:val="Arial Unicode MS"/>
    <w:panose1 w:val="00000000000000000000"/>
    <w:charset w:val="81"/>
    <w:family w:val="auto"/>
    <w:notTrueType/>
    <w:pitch w:val="default"/>
    <w:sig w:usb0="00000001" w:usb1="090E0000" w:usb2="00000010" w:usb3="00000000" w:csb0="00180000" w:csb1="00000000"/>
  </w:font>
  <w:font w:name="Segoe UI Symbol">
    <w:panose1 w:val="020B0502040204020203"/>
    <w:charset w:val="00"/>
    <w:family w:val="swiss"/>
    <w:pitch w:val="variable"/>
    <w:sig w:usb0="8000006F" w:usb1="1200FBEF" w:usb2="0064C000" w:usb3="00000000" w:csb0="00000001" w:csb1="00000000"/>
  </w:font>
  <w:font w:name="AdvOT999035f4">
    <w:panose1 w:val="00000000000000000000"/>
    <w:charset w:val="00"/>
    <w:family w:val="auto"/>
    <w:notTrueType/>
    <w:pitch w:val="default"/>
    <w:sig w:usb0="00000003" w:usb1="00000000" w:usb2="00000000" w:usb3="00000000" w:csb0="00000001" w:csb1="00000000"/>
  </w:font>
  <w:font w:name="AdvOT999035f4+fb">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B220D2" w14:textId="77777777" w:rsidR="00264067" w:rsidRDefault="0026406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FAB83F" w14:textId="77777777" w:rsidR="00BC0590" w:rsidRDefault="00BC0590" w:rsidP="00BA6CFE">
    <w:pPr>
      <w:pStyle w:val="Body"/>
    </w:pPr>
    <w:r>
      <w:fldChar w:fldCharType="begin"/>
    </w:r>
    <w:r>
      <w:instrText xml:space="preserve"> STYLEREF  CoverTitle </w:instrText>
    </w:r>
    <w:r>
      <w:rPr>
        <w:noProof/>
      </w:rPr>
      <w:fldChar w:fldCharType="end"/>
    </w:r>
    <w:r>
      <w:t xml:space="preserve">  </w:t>
    </w:r>
    <w:proofErr w:type="gramStart"/>
    <w:r>
      <w:t xml:space="preserve">|  </w:t>
    </w:r>
    <w:proofErr w:type="gramEnd"/>
    <w:r>
      <w:rPr>
        <w:rStyle w:val="PageNumber"/>
      </w:rPr>
      <w:fldChar w:fldCharType="begin"/>
    </w:r>
    <w:r>
      <w:rPr>
        <w:rStyle w:val="PageNumber"/>
      </w:rPr>
      <w:instrText xml:space="preserve"> PAGE </w:instrText>
    </w:r>
    <w:r>
      <w:rPr>
        <w:rStyle w:val="PageNumber"/>
      </w:rPr>
      <w:fldChar w:fldCharType="separate"/>
    </w:r>
    <w:r w:rsidR="00900E5C">
      <w:rPr>
        <w:rStyle w:val="PageNumber"/>
        <w:noProof/>
      </w:rPr>
      <w:t>ii</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47E5DB" w14:textId="77777777" w:rsidR="00264067" w:rsidRDefault="0026406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F7A9C5" w14:textId="2CF43598" w:rsidR="00BC0590" w:rsidRDefault="00BC0590" w:rsidP="008031B5">
    <w:pPr>
      <w:pStyle w:val="Footer"/>
      <w:framePr w:wrap="around" w:vAnchor="text" w:hAnchor="margin" w:xAlign="outside" w:y="1"/>
    </w:pPr>
    <w:r>
      <w:rPr>
        <w:noProof/>
        <w:lang w:val="en-AU" w:eastAsia="en-AU"/>
      </w:rPr>
      <mc:AlternateContent>
        <mc:Choice Requires="wps">
          <w:drawing>
            <wp:anchor distT="0" distB="0" distL="114300" distR="114300" simplePos="0" relativeHeight="251658240" behindDoc="0" locked="0" layoutInCell="1" allowOverlap="1" wp14:anchorId="4C5F2DDC" wp14:editId="5D62A8D7">
              <wp:simplePos x="0" y="0"/>
              <wp:positionH relativeFrom="column">
                <wp:posOffset>0</wp:posOffset>
              </wp:positionH>
              <wp:positionV relativeFrom="paragraph">
                <wp:posOffset>-401320</wp:posOffset>
              </wp:positionV>
              <wp:extent cx="3200400" cy="228600"/>
              <wp:effectExtent l="0" t="0" r="0" b="0"/>
              <wp:wrapNone/>
              <wp:docPr id="7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12CE324" w14:textId="77777777" w:rsidR="00BC0590" w:rsidRPr="00831693" w:rsidRDefault="00BC0590"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sidR="006E434A">
                            <w:rPr>
                              <w:rFonts w:ascii="Calibri" w:hAnsi="Calibri"/>
                              <w:noProof/>
                              <w:sz w:val="16"/>
                              <w:szCs w:val="16"/>
                            </w:rPr>
                            <w:t>124</w:t>
                          </w:r>
                          <w:r w:rsidRPr="00831693">
                            <w:rPr>
                              <w:rFonts w:ascii="Calibri" w:hAnsi="Calibri"/>
                              <w:sz w:val="16"/>
                              <w:szCs w:val="16"/>
                            </w:rPr>
                            <w:fldChar w:fldCharType="end"/>
                          </w:r>
                        </w:p>
                        <w:p w14:paraId="7212C26D" w14:textId="77777777" w:rsidR="00BC0590" w:rsidRDefault="00BC05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C5F2DDC" id="_x0000_t202" coordsize="21600,21600" o:spt="202" path="m,l,21600r21600,l21600,xe">
              <v:stroke joinstyle="miter"/>
              <v:path gradientshapeok="t" o:connecttype="rect"/>
            </v:shapetype>
            <v:shape id="Text Box 6" o:spid="_x0000_s1057" type="#_x0000_t202" style="position:absolute;margin-left:0;margin-top:-31.6pt;width:252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" filled="f" stroked="f">
              <v:path arrowok="t"/>
              <v:textbox>
                <w:txbxContent>
                  <w:p w14:paraId="412CE324" w14:textId="77777777" w:rsidR="00BC0590" w:rsidRPr="00831693" w:rsidRDefault="00BC0590"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sidR="006E434A">
                      <w:rPr>
                        <w:rFonts w:ascii="Calibri" w:hAnsi="Calibri"/>
                        <w:noProof/>
                        <w:sz w:val="16"/>
                        <w:szCs w:val="16"/>
                      </w:rPr>
                      <w:t>124</w:t>
                    </w:r>
                    <w:r w:rsidRPr="00831693">
                      <w:rPr>
                        <w:rFonts w:ascii="Calibri" w:hAnsi="Calibri"/>
                        <w:sz w:val="16"/>
                        <w:szCs w:val="16"/>
                      </w:rPr>
                      <w:fldChar w:fldCharType="end"/>
                    </w:r>
                  </w:p>
                  <w:p w14:paraId="7212C26D" w14:textId="77777777" w:rsidR="00BC0590" w:rsidRDefault="00BC0590"/>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17A2D" w14:textId="747559DF" w:rsidR="00BC0590" w:rsidRDefault="00BC0590" w:rsidP="008031B5">
    <w:pPr>
      <w:pStyle w:val="Footer"/>
      <w:ind w:right="360" w:firstLine="360"/>
    </w:pPr>
    <w:r>
      <w:rPr>
        <w:noProof/>
        <w:lang w:val="en-AU" w:eastAsia="en-AU"/>
      </w:rPr>
      <mc:AlternateContent>
        <mc:Choice Requires="wps">
          <w:drawing>
            <wp:anchor distT="0" distB="0" distL="114300" distR="114300" simplePos="0" relativeHeight="251657216" behindDoc="0" locked="0" layoutInCell="1" allowOverlap="1" wp14:anchorId="7A6F2CEE" wp14:editId="1FB16B7D">
              <wp:simplePos x="0" y="0"/>
              <wp:positionH relativeFrom="column">
                <wp:posOffset>2480310</wp:posOffset>
              </wp:positionH>
              <wp:positionV relativeFrom="paragraph">
                <wp:posOffset>-401320</wp:posOffset>
              </wp:positionV>
              <wp:extent cx="3200400" cy="228600"/>
              <wp:effectExtent l="0" t="0" r="0" b="0"/>
              <wp:wrapNone/>
              <wp:docPr id="7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817F533" w14:textId="77777777" w:rsidR="00BC0590" w:rsidRPr="00831693" w:rsidRDefault="00BC0590"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900E5C">
                            <w:rPr>
                              <w:rStyle w:val="PageNumber"/>
                              <w:rFonts w:ascii="Calibri" w:hAnsi="Calibri"/>
                              <w:noProof/>
                              <w:sz w:val="16"/>
                              <w:szCs w:val="16"/>
                            </w:rPr>
                            <w:t>xxi</w:t>
                          </w:r>
                          <w:r w:rsidRPr="00831693">
                            <w:rPr>
                              <w:rStyle w:val="PageNumber"/>
                              <w:rFonts w:ascii="Calibri" w:hAnsi="Calibri"/>
                              <w:sz w:val="16"/>
                              <w:szCs w:val="16"/>
                            </w:rPr>
                            <w:fldChar w:fldCharType="end"/>
                          </w:r>
                        </w:p>
                        <w:p w14:paraId="4A2692EC" w14:textId="77777777" w:rsidR="00BC0590" w:rsidRDefault="00BC05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A6F2CEE" id="_x0000_t202" coordsize="21600,21600" o:spt="202" path="m,l,21600r21600,l21600,xe">
              <v:stroke joinstyle="miter"/>
              <v:path gradientshapeok="t" o:connecttype="rect"/>
            </v:shapetype>
            <v:shape id="Text Box 4" o:spid="_x0000_s1058" type="#_x0000_t202" style="position:absolute;left:0;text-align:left;margin-left:195.3pt;margin-top:-31.6pt;width:252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" filled="f" stroked="f">
              <v:path arrowok="t"/>
              <v:textbox>
                <w:txbxContent>
                  <w:p w14:paraId="7817F533" w14:textId="77777777" w:rsidR="00BC0590" w:rsidRPr="00831693" w:rsidRDefault="00BC0590"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900E5C">
                      <w:rPr>
                        <w:rStyle w:val="PageNumber"/>
                        <w:rFonts w:ascii="Calibri" w:hAnsi="Calibri"/>
                        <w:noProof/>
                        <w:sz w:val="16"/>
                        <w:szCs w:val="16"/>
                      </w:rPr>
                      <w:t>xxi</w:t>
                    </w:r>
                    <w:r w:rsidRPr="00831693">
                      <w:rPr>
                        <w:rStyle w:val="PageNumber"/>
                        <w:rFonts w:ascii="Calibri" w:hAnsi="Calibri"/>
                        <w:sz w:val="16"/>
                        <w:szCs w:val="16"/>
                      </w:rPr>
                      <w:fldChar w:fldCharType="end"/>
                    </w:r>
                  </w:p>
                  <w:p w14:paraId="4A2692EC" w14:textId="77777777" w:rsidR="00BC0590" w:rsidRDefault="00BC0590"/>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23ED56" w14:textId="66468881" w:rsidR="00BC0590" w:rsidRDefault="00BC0590" w:rsidP="008031B5">
    <w:pPr>
      <w:pStyle w:val="Footer"/>
      <w:framePr w:wrap="around" w:vAnchor="text" w:hAnchor="margin" w:xAlign="outside" w:y="1"/>
    </w:pPr>
    <w:r>
      <w:rPr>
        <w:noProof/>
        <w:lang w:val="en-AU" w:eastAsia="en-AU"/>
      </w:rPr>
      <mc:AlternateContent>
        <mc:Choice Requires="wps">
          <w:drawing>
            <wp:anchor distT="0" distB="0" distL="114300" distR="114300" simplePos="0" relativeHeight="251656192" behindDoc="0" locked="0" layoutInCell="1" allowOverlap="1" wp14:anchorId="18EDB615" wp14:editId="389925A9">
              <wp:simplePos x="0" y="0"/>
              <wp:positionH relativeFrom="column">
                <wp:posOffset>0</wp:posOffset>
              </wp:positionH>
              <wp:positionV relativeFrom="paragraph">
                <wp:posOffset>-401320</wp:posOffset>
              </wp:positionV>
              <wp:extent cx="3200400" cy="228600"/>
              <wp:effectExtent l="0" t="0" r="0" b="0"/>
              <wp:wrapNone/>
              <wp:docPr id="6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461EF0D" w14:textId="77777777" w:rsidR="00BC0590" w:rsidRPr="00831693" w:rsidRDefault="00BC0590"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98</w:t>
                          </w:r>
                          <w:r w:rsidRPr="00831693">
                            <w:rPr>
                              <w:rFonts w:ascii="Calibri" w:hAnsi="Calibri"/>
                              <w:sz w:val="16"/>
                              <w:szCs w:val="16"/>
                            </w:rPr>
                            <w:fldChar w:fldCharType="end"/>
                          </w:r>
                        </w:p>
                        <w:p w14:paraId="0C1C77C7" w14:textId="77777777" w:rsidR="00BC0590" w:rsidRDefault="00BC05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8EDB615" id="_x0000_t202" coordsize="21600,21600" o:spt="202" path="m,l,21600r21600,l21600,xe">
              <v:stroke joinstyle="miter"/>
              <v:path gradientshapeok="t" o:connecttype="rect"/>
            </v:shapetype>
            <v:shape id="_x0000_s1060" type="#_x0000_t202" style="position:absolute;margin-left:0;margin-top:-31.6pt;width:252pt;height: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" filled="f" stroked="f">
              <v:path arrowok="t"/>
              <v:textbox>
                <w:txbxContent>
                  <w:p w14:paraId="1461EF0D" w14:textId="77777777" w:rsidR="00BC0590" w:rsidRPr="00831693" w:rsidRDefault="00BC0590"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98</w:t>
                    </w:r>
                    <w:r w:rsidRPr="00831693">
                      <w:rPr>
                        <w:rFonts w:ascii="Calibri" w:hAnsi="Calibri"/>
                        <w:sz w:val="16"/>
                        <w:szCs w:val="16"/>
                      </w:rPr>
                      <w:fldChar w:fldCharType="end"/>
                    </w:r>
                  </w:p>
                  <w:p w14:paraId="0C1C77C7" w14:textId="77777777" w:rsidR="00BC0590" w:rsidRDefault="00BC0590"/>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DE303" w14:textId="240C25A1" w:rsidR="00BC0590" w:rsidRDefault="00BC0590" w:rsidP="008031B5">
    <w:pPr>
      <w:pStyle w:val="Footer"/>
      <w:ind w:right="360" w:firstLine="360"/>
    </w:pPr>
    <w:r>
      <w:rPr>
        <w:noProof/>
        <w:lang w:val="en-AU" w:eastAsia="en-AU"/>
      </w:rPr>
      <mc:AlternateContent>
        <mc:Choice Requires="wps">
          <w:drawing>
            <wp:anchor distT="0" distB="0" distL="114300" distR="114300" simplePos="0" relativeHeight="251653120" behindDoc="0" locked="0" layoutInCell="1" allowOverlap="1" wp14:anchorId="726EF95A" wp14:editId="3D7747D9">
              <wp:simplePos x="0" y="0"/>
              <wp:positionH relativeFrom="column">
                <wp:posOffset>2480310</wp:posOffset>
              </wp:positionH>
              <wp:positionV relativeFrom="paragraph">
                <wp:posOffset>-401320</wp:posOffset>
              </wp:positionV>
              <wp:extent cx="3200400" cy="228600"/>
              <wp:effectExtent l="0" t="0" r="0" b="0"/>
              <wp:wrapNone/>
              <wp:docPr id="6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A7D80FF" w14:textId="77777777" w:rsidR="00BC0590" w:rsidRPr="00831693" w:rsidRDefault="00BC0590"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B1406D">
                            <w:rPr>
                              <w:rStyle w:val="PageNumber"/>
                              <w:rFonts w:ascii="Calibri" w:hAnsi="Calibri"/>
                              <w:noProof/>
                              <w:sz w:val="16"/>
                              <w:szCs w:val="16"/>
                            </w:rPr>
                            <w:t>170</w:t>
                          </w:r>
                          <w:r w:rsidRPr="00831693">
                            <w:rPr>
                              <w:rStyle w:val="PageNumber"/>
                              <w:rFonts w:ascii="Calibri" w:hAnsi="Calibri"/>
                              <w:sz w:val="16"/>
                              <w:szCs w:val="16"/>
                            </w:rPr>
                            <w:fldChar w:fldCharType="end"/>
                          </w:r>
                        </w:p>
                        <w:p w14:paraId="5BCA7DBE" w14:textId="77777777" w:rsidR="00BC0590" w:rsidRDefault="00BC05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26EF95A" id="_x0000_t202" coordsize="21600,21600" o:spt="202" path="m,l,21600r21600,l21600,xe">
              <v:stroke joinstyle="miter"/>
              <v:path gradientshapeok="t" o:connecttype="rect"/>
            </v:shapetype>
            <v:shape id="_x0000_s1061" type="#_x0000_t202" style="position:absolute;left:0;text-align:left;margin-left:195.3pt;margin-top:-31.6pt;width:252pt;height:1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" filled="f" stroked="f">
              <v:path arrowok="t"/>
              <v:textbox>
                <w:txbxContent>
                  <w:p w14:paraId="1A7D80FF" w14:textId="77777777" w:rsidR="00BC0590" w:rsidRPr="00831693" w:rsidRDefault="00BC0590"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B1406D">
                      <w:rPr>
                        <w:rStyle w:val="PageNumber"/>
                        <w:rFonts w:ascii="Calibri" w:hAnsi="Calibri"/>
                        <w:noProof/>
                        <w:sz w:val="16"/>
                        <w:szCs w:val="16"/>
                      </w:rPr>
                      <w:t>170</w:t>
                    </w:r>
                    <w:r w:rsidRPr="00831693">
                      <w:rPr>
                        <w:rStyle w:val="PageNumber"/>
                        <w:rFonts w:ascii="Calibri" w:hAnsi="Calibri"/>
                        <w:sz w:val="16"/>
                        <w:szCs w:val="16"/>
                      </w:rPr>
                      <w:fldChar w:fldCharType="end"/>
                    </w:r>
                  </w:p>
                  <w:p w14:paraId="5BCA7DBE" w14:textId="77777777" w:rsidR="00BC0590" w:rsidRDefault="00BC0590"/>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09E6A4" w14:textId="0F305299" w:rsidR="00BC0590" w:rsidRDefault="00BC0590" w:rsidP="008031B5">
    <w:pPr>
      <w:pStyle w:val="Footer"/>
      <w:framePr w:wrap="around" w:vAnchor="text" w:hAnchor="margin" w:xAlign="outside" w:y="1"/>
    </w:pPr>
    <w:r>
      <w:rPr>
        <w:noProof/>
        <w:lang w:val="en-AU" w:eastAsia="en-AU"/>
      </w:rPr>
      <mc:AlternateContent>
        <mc:Choice Requires="wps">
          <w:drawing>
            <wp:anchor distT="0" distB="0" distL="114300" distR="114300" simplePos="0" relativeHeight="251661312" behindDoc="0" locked="0" layoutInCell="1" allowOverlap="1" wp14:anchorId="721125F5" wp14:editId="6BA0B443">
              <wp:simplePos x="0" y="0"/>
              <wp:positionH relativeFrom="column">
                <wp:posOffset>0</wp:posOffset>
              </wp:positionH>
              <wp:positionV relativeFrom="paragraph">
                <wp:posOffset>-401320</wp:posOffset>
              </wp:positionV>
              <wp:extent cx="3200400" cy="228600"/>
              <wp:effectExtent l="0" t="0" r="0" b="0"/>
              <wp:wrapNone/>
              <wp:docPr id="6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4031D21" w14:textId="77777777" w:rsidR="00BC0590" w:rsidRPr="00831693" w:rsidRDefault="00BC0590"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98</w:t>
                          </w:r>
                          <w:r w:rsidRPr="00831693">
                            <w:rPr>
                              <w:rFonts w:ascii="Calibri" w:hAnsi="Calibri"/>
                              <w:sz w:val="16"/>
                              <w:szCs w:val="16"/>
                            </w:rPr>
                            <w:fldChar w:fldCharType="end"/>
                          </w:r>
                        </w:p>
                        <w:p w14:paraId="16814F96" w14:textId="77777777" w:rsidR="00BC0590" w:rsidRDefault="00BC05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21125F5" id="_x0000_t202" coordsize="21600,21600" o:spt="202" path="m,l,21600r21600,l21600,xe">
              <v:stroke joinstyle="miter"/>
              <v:path gradientshapeok="t" o:connecttype="rect"/>
            </v:shapetype>
            <v:shape id="_x0000_s1063" type="#_x0000_t202" style="position:absolute;margin-left:0;margin-top:-31.6pt;width:252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" filled="f" stroked="f">
              <v:path arrowok="t"/>
              <v:textbox>
                <w:txbxContent>
                  <w:p w14:paraId="54031D21" w14:textId="77777777" w:rsidR="00BC0590" w:rsidRPr="00831693" w:rsidRDefault="00BC0590" w:rsidP="008031B5">
                    <w:pPr>
                      <w:rPr>
                        <w:rFonts w:ascii="Calibri" w:hAnsi="Calibri"/>
                        <w:sz w:val="16"/>
                        <w:szCs w:val="16"/>
                      </w:rPr>
                    </w:pPr>
                    <w:r w:rsidRPr="00831693">
                      <w:rPr>
                        <w:rFonts w:ascii="Calibri" w:hAnsi="Calibri"/>
                        <w:sz w:val="16"/>
                        <w:szCs w:val="16"/>
                      </w:rPr>
                      <w:fldChar w:fldCharType="begin"/>
                    </w:r>
                    <w:r w:rsidRPr="00831693">
                      <w:rPr>
                        <w:rFonts w:ascii="Calibri" w:hAnsi="Calibri"/>
                        <w:sz w:val="16"/>
                        <w:szCs w:val="16"/>
                      </w:rPr>
                      <w:instrText xml:space="preserve">PAGE  </w:instrText>
                    </w:r>
                    <w:r w:rsidRPr="00831693">
                      <w:rPr>
                        <w:rFonts w:ascii="Calibri" w:hAnsi="Calibri"/>
                        <w:sz w:val="16"/>
                        <w:szCs w:val="16"/>
                      </w:rPr>
                      <w:fldChar w:fldCharType="separate"/>
                    </w:r>
                    <w:r>
                      <w:rPr>
                        <w:rFonts w:ascii="Calibri" w:hAnsi="Calibri"/>
                        <w:noProof/>
                        <w:sz w:val="16"/>
                        <w:szCs w:val="16"/>
                      </w:rPr>
                      <w:t>98</w:t>
                    </w:r>
                    <w:r w:rsidRPr="00831693">
                      <w:rPr>
                        <w:rFonts w:ascii="Calibri" w:hAnsi="Calibri"/>
                        <w:sz w:val="16"/>
                        <w:szCs w:val="16"/>
                      </w:rPr>
                      <w:fldChar w:fldCharType="end"/>
                    </w:r>
                  </w:p>
                  <w:p w14:paraId="16814F96" w14:textId="77777777" w:rsidR="00BC0590" w:rsidRDefault="00BC0590"/>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D99EB1" w14:textId="291619F1" w:rsidR="00BC0590" w:rsidRDefault="00BC0590" w:rsidP="008031B5">
    <w:pPr>
      <w:pStyle w:val="Footer"/>
      <w:ind w:right="360" w:firstLine="360"/>
    </w:pPr>
    <w:r>
      <w:rPr>
        <w:noProof/>
        <w:lang w:val="en-AU" w:eastAsia="en-AU"/>
      </w:rPr>
      <mc:AlternateContent>
        <mc:Choice Requires="wps">
          <w:drawing>
            <wp:anchor distT="0" distB="0" distL="114300" distR="114300" simplePos="0" relativeHeight="251659264" behindDoc="0" locked="0" layoutInCell="1" allowOverlap="1" wp14:anchorId="16EA23F0" wp14:editId="3CB28E9E">
              <wp:simplePos x="0" y="0"/>
              <wp:positionH relativeFrom="column">
                <wp:posOffset>2480310</wp:posOffset>
              </wp:positionH>
              <wp:positionV relativeFrom="paragraph">
                <wp:posOffset>-401320</wp:posOffset>
              </wp:positionV>
              <wp:extent cx="3200400" cy="228600"/>
              <wp:effectExtent l="0" t="0" r="0" b="0"/>
              <wp:wrapNone/>
              <wp:docPr id="6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28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3EBB6FB" w14:textId="77777777" w:rsidR="00BC0590" w:rsidRPr="00831693" w:rsidRDefault="00BC0590"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900E5C">
                            <w:rPr>
                              <w:rStyle w:val="PageNumber"/>
                              <w:rFonts w:ascii="Calibri" w:hAnsi="Calibri"/>
                              <w:noProof/>
                              <w:sz w:val="16"/>
                              <w:szCs w:val="16"/>
                            </w:rPr>
                            <w:t>177</w:t>
                          </w:r>
                          <w:r w:rsidRPr="00831693">
                            <w:rPr>
                              <w:rStyle w:val="PageNumber"/>
                              <w:rFonts w:ascii="Calibri" w:hAnsi="Calibri"/>
                              <w:sz w:val="16"/>
                              <w:szCs w:val="16"/>
                            </w:rPr>
                            <w:fldChar w:fldCharType="end"/>
                          </w:r>
                        </w:p>
                        <w:p w14:paraId="44D7959F" w14:textId="77777777" w:rsidR="00BC0590" w:rsidRDefault="00BC05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6EA23F0" id="_x0000_t202" coordsize="21600,21600" o:spt="202" path="m,l,21600r21600,l21600,xe">
              <v:stroke joinstyle="miter"/>
              <v:path gradientshapeok="t" o:connecttype="rect"/>
            </v:shapetype>
            <v:shape id="_x0000_s1064" type="#_x0000_t202" style="position:absolute;left:0;text-align:left;margin-left:195.3pt;margin-top:-31.6pt;width:252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" filled="f" stroked="f">
              <v:path arrowok="t"/>
              <v:textbox>
                <w:txbxContent>
                  <w:p w14:paraId="43EBB6FB" w14:textId="77777777" w:rsidR="00BC0590" w:rsidRPr="00831693" w:rsidRDefault="00BC0590" w:rsidP="008031B5">
                    <w:pPr>
                      <w:pStyle w:val="Footer"/>
                      <w:jc w:val="right"/>
                      <w:rPr>
                        <w:rStyle w:val="PageNumber"/>
                        <w:rFonts w:ascii="Calibri" w:hAnsi="Calibri"/>
                        <w:sz w:val="16"/>
                        <w:szCs w:val="16"/>
                      </w:rPr>
                    </w:pPr>
                    <w:r w:rsidRPr="00831693">
                      <w:rPr>
                        <w:rStyle w:val="PageNumber"/>
                        <w:rFonts w:ascii="Calibri" w:hAnsi="Calibri"/>
                        <w:sz w:val="16"/>
                        <w:szCs w:val="16"/>
                      </w:rPr>
                      <w:fldChar w:fldCharType="begin"/>
                    </w:r>
                    <w:r w:rsidRPr="00831693">
                      <w:rPr>
                        <w:rStyle w:val="PageNumber"/>
                        <w:rFonts w:ascii="Calibri" w:hAnsi="Calibri"/>
                        <w:sz w:val="16"/>
                        <w:szCs w:val="16"/>
                      </w:rPr>
                      <w:instrText xml:space="preserve">PAGE  </w:instrText>
                    </w:r>
                    <w:r w:rsidRPr="00831693">
                      <w:rPr>
                        <w:rStyle w:val="PageNumber"/>
                        <w:rFonts w:ascii="Calibri" w:hAnsi="Calibri"/>
                        <w:sz w:val="16"/>
                        <w:szCs w:val="16"/>
                      </w:rPr>
                      <w:fldChar w:fldCharType="separate"/>
                    </w:r>
                    <w:r w:rsidR="00900E5C">
                      <w:rPr>
                        <w:rStyle w:val="PageNumber"/>
                        <w:rFonts w:ascii="Calibri" w:hAnsi="Calibri"/>
                        <w:noProof/>
                        <w:sz w:val="16"/>
                        <w:szCs w:val="16"/>
                      </w:rPr>
                      <w:t>177</w:t>
                    </w:r>
                    <w:r w:rsidRPr="00831693">
                      <w:rPr>
                        <w:rStyle w:val="PageNumber"/>
                        <w:rFonts w:ascii="Calibri" w:hAnsi="Calibri"/>
                        <w:sz w:val="16"/>
                        <w:szCs w:val="16"/>
                      </w:rPr>
                      <w:fldChar w:fldCharType="end"/>
                    </w:r>
                  </w:p>
                  <w:p w14:paraId="44D7959F" w14:textId="77777777" w:rsidR="00BC0590" w:rsidRDefault="00BC0590"/>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E31F4D" w14:textId="77777777" w:rsidR="00BC0590" w:rsidRDefault="00BC0590" w:rsidP="00BB2E86">
      <w:pPr>
        <w:spacing w:after="0"/>
      </w:pPr>
      <w:r>
        <w:separator/>
      </w:r>
    </w:p>
  </w:footnote>
  <w:footnote w:type="continuationSeparator" w:id="0">
    <w:p w14:paraId="57B49BFE" w14:textId="77777777" w:rsidR="00BC0590" w:rsidRDefault="00BC0590" w:rsidP="00BB2E86">
      <w:pPr>
        <w:spacing w:after="0"/>
      </w:pPr>
      <w:r>
        <w:continuationSeparator/>
      </w:r>
    </w:p>
  </w:footnote>
  <w:footnote w:type="continuationNotice" w:id="1">
    <w:p w14:paraId="6407200B" w14:textId="77777777" w:rsidR="00BC0590" w:rsidRDefault="00BC0590">
      <w:pPr>
        <w:spacing w:after="0"/>
      </w:pPr>
    </w:p>
  </w:footnote>
  <w:footnote w:id="2">
    <w:p w14:paraId="5010A970" w14:textId="7368E481" w:rsidR="00BC0590" w:rsidRPr="008E4121" w:rsidRDefault="00BC0590">
      <w:pPr>
        <w:pStyle w:val="FootnoteText"/>
        <w:rPr>
          <w:lang w:val="en-AU"/>
        </w:rPr>
      </w:pPr>
      <w:r>
        <w:rPr>
          <w:rStyle w:val="FootnoteReference"/>
        </w:rPr>
        <w:footnoteRef/>
      </w:r>
      <w:r>
        <w:t xml:space="preserve"> </w:t>
      </w:r>
      <w:r w:rsidRPr="008E4121">
        <w:rPr>
          <w:rFonts w:asciiTheme="majorHAnsi" w:hAnsiTheme="majorHAnsi"/>
          <w:sz w:val="16"/>
          <w:szCs w:val="16"/>
          <w:lang w:val="en-AU"/>
        </w:rPr>
        <w:t xml:space="preserve">The terms receptors and assets are used </w:t>
      </w:r>
      <w:r w:rsidRPr="008D1679">
        <w:rPr>
          <w:rFonts w:asciiTheme="majorHAnsi" w:hAnsiTheme="majorHAnsi"/>
          <w:sz w:val="16"/>
          <w:szCs w:val="16"/>
          <w:lang w:val="en-AU"/>
        </w:rPr>
        <w:t>interchage</w:t>
      </w:r>
      <w:r>
        <w:rPr>
          <w:rFonts w:asciiTheme="majorHAnsi" w:hAnsiTheme="majorHAnsi"/>
          <w:sz w:val="16"/>
          <w:szCs w:val="16"/>
          <w:lang w:val="en-AU"/>
        </w:rPr>
        <w:t>a</w:t>
      </w:r>
      <w:r w:rsidRPr="008D1679">
        <w:rPr>
          <w:rFonts w:asciiTheme="majorHAnsi" w:hAnsiTheme="majorHAnsi"/>
          <w:sz w:val="16"/>
          <w:szCs w:val="16"/>
          <w:lang w:val="en-AU"/>
        </w:rPr>
        <w:t>bly</w:t>
      </w:r>
    </w:p>
  </w:footnote>
  <w:footnote w:id="3">
    <w:p w14:paraId="09D696DD" w14:textId="77777777" w:rsidR="00BC0590" w:rsidRPr="001220BF" w:rsidRDefault="00BC0590" w:rsidP="00105F5B">
      <w:pPr>
        <w:pStyle w:val="FootnoteText"/>
        <w:rPr>
          <w:rFonts w:asciiTheme="majorHAnsi" w:hAnsiTheme="majorHAnsi"/>
          <w:sz w:val="16"/>
          <w:szCs w:val="16"/>
        </w:rPr>
      </w:pPr>
      <w:r>
        <w:rPr>
          <w:rStyle w:val="FootnoteReference"/>
        </w:rPr>
        <w:footnoteRef/>
      </w:r>
      <w:r>
        <w:t xml:space="preserve"> </w:t>
      </w:r>
      <w:hyperlink r:id="rId1" w:history="1">
        <w:r w:rsidRPr="001220BF">
          <w:rPr>
            <w:rStyle w:val="Hyperlink"/>
            <w:rFonts w:asciiTheme="majorHAnsi" w:hAnsiTheme="majorHAnsi"/>
            <w:sz w:val="16"/>
            <w:szCs w:val="16"/>
          </w:rPr>
          <w:t>http://www.nicnas.gov.au/communications/issues/fracking-hydraulic-fracturing-coal-seam-gas-extraction</w:t>
        </w:r>
      </w:hyperlink>
      <w:r w:rsidRPr="001220BF">
        <w:rPr>
          <w:rFonts w:asciiTheme="majorHAnsi" w:hAnsiTheme="majorHAnsi"/>
          <w:sz w:val="16"/>
          <w:szCs w:val="16"/>
        </w:rPr>
        <w:t>.</w:t>
      </w:r>
    </w:p>
  </w:footnote>
  <w:footnote w:id="4">
    <w:p w14:paraId="086651DD" w14:textId="77777777" w:rsidR="00BC0590" w:rsidRPr="001220BF" w:rsidRDefault="00BC0590" w:rsidP="00105F5B">
      <w:pPr>
        <w:pStyle w:val="FootnoteText"/>
        <w:rPr>
          <w:rFonts w:asciiTheme="majorHAnsi" w:hAnsiTheme="majorHAnsi"/>
          <w:sz w:val="16"/>
          <w:szCs w:val="16"/>
        </w:rPr>
      </w:pPr>
      <w:r w:rsidRPr="001220BF">
        <w:rPr>
          <w:rStyle w:val="FootnoteReference"/>
          <w:rFonts w:asciiTheme="majorHAnsi" w:hAnsiTheme="majorHAnsi"/>
          <w:sz w:val="16"/>
          <w:szCs w:val="16"/>
        </w:rPr>
        <w:footnoteRef/>
      </w:r>
      <w:r w:rsidRPr="001220BF">
        <w:rPr>
          <w:rFonts w:asciiTheme="majorHAnsi" w:hAnsiTheme="majorHAnsi"/>
          <w:sz w:val="16"/>
          <w:szCs w:val="16"/>
        </w:rPr>
        <w:t xml:space="preserve"> </w:t>
      </w:r>
      <w:hyperlink r:id="rId2" w:history="1">
        <w:r w:rsidRPr="001220BF">
          <w:rPr>
            <w:rStyle w:val="Hyperlink"/>
            <w:rFonts w:asciiTheme="majorHAnsi" w:hAnsiTheme="majorHAnsi"/>
            <w:sz w:val="16"/>
            <w:szCs w:val="16"/>
          </w:rPr>
          <w:t>http://www.nicnas.gov.au/communications/issues/fracking-hydraulic-fracturing-coal-seam-gas-extraction/information-sheet</w:t>
        </w:r>
      </w:hyperlink>
      <w:r w:rsidRPr="001220BF">
        <w:rPr>
          <w:rFonts w:asciiTheme="majorHAnsi" w:hAnsiTheme="majorHAnsi"/>
          <w:sz w:val="16"/>
          <w:szCs w:val="16"/>
        </w:rPr>
        <w:t>.</w:t>
      </w:r>
    </w:p>
  </w:footnote>
  <w:footnote w:id="5">
    <w:p w14:paraId="5E96528D" w14:textId="77777777" w:rsidR="00BC0590" w:rsidRPr="001220BF" w:rsidRDefault="00BC0590" w:rsidP="002D3EF4">
      <w:pPr>
        <w:pStyle w:val="FootnoteText"/>
        <w:rPr>
          <w:rFonts w:asciiTheme="majorHAnsi" w:hAnsiTheme="majorHAnsi"/>
          <w:sz w:val="16"/>
          <w:szCs w:val="16"/>
        </w:rPr>
      </w:pPr>
      <w:r>
        <w:rPr>
          <w:rStyle w:val="FootnoteReference"/>
        </w:rPr>
        <w:footnoteRef/>
      </w:r>
      <w:r>
        <w:t xml:space="preserve"> </w:t>
      </w:r>
      <w:hyperlink r:id="rId3" w:history="1">
        <w:r w:rsidRPr="001220BF">
          <w:rPr>
            <w:rStyle w:val="Hyperlink"/>
            <w:rFonts w:asciiTheme="majorHAnsi" w:hAnsiTheme="majorHAnsi"/>
            <w:sz w:val="16"/>
            <w:szCs w:val="16"/>
          </w:rPr>
          <w:t>http://www.nicnas.gov.au/communications/issues/fracking-hydraulic-fracturing-coal-seam-gas-extraction</w:t>
        </w:r>
      </w:hyperlink>
      <w:r w:rsidRPr="001220BF">
        <w:rPr>
          <w:rFonts w:asciiTheme="majorHAnsi" w:hAnsiTheme="majorHAnsi"/>
          <w:sz w:val="16"/>
          <w:szCs w:val="16"/>
        </w:rPr>
        <w:t>.</w:t>
      </w:r>
    </w:p>
  </w:footnote>
  <w:footnote w:id="6">
    <w:p w14:paraId="47E9CF1A" w14:textId="77777777" w:rsidR="00BC0590" w:rsidRPr="001220BF" w:rsidRDefault="00BC0590" w:rsidP="002D3EF4">
      <w:pPr>
        <w:pStyle w:val="FootnoteText"/>
        <w:rPr>
          <w:rFonts w:asciiTheme="majorHAnsi" w:hAnsiTheme="majorHAnsi"/>
          <w:sz w:val="16"/>
          <w:szCs w:val="16"/>
        </w:rPr>
      </w:pPr>
      <w:r w:rsidRPr="001220BF">
        <w:rPr>
          <w:rStyle w:val="FootnoteReference"/>
          <w:rFonts w:asciiTheme="majorHAnsi" w:hAnsiTheme="majorHAnsi"/>
          <w:sz w:val="16"/>
          <w:szCs w:val="16"/>
        </w:rPr>
        <w:footnoteRef/>
      </w:r>
      <w:r w:rsidRPr="001220BF">
        <w:rPr>
          <w:rFonts w:asciiTheme="majorHAnsi" w:hAnsiTheme="majorHAnsi"/>
          <w:sz w:val="16"/>
          <w:szCs w:val="16"/>
        </w:rPr>
        <w:t xml:space="preserve"> </w:t>
      </w:r>
      <w:hyperlink r:id="rId4" w:history="1">
        <w:r w:rsidRPr="001220BF">
          <w:rPr>
            <w:rStyle w:val="Hyperlink"/>
            <w:rFonts w:asciiTheme="majorHAnsi" w:hAnsiTheme="majorHAnsi"/>
            <w:sz w:val="16"/>
            <w:szCs w:val="16"/>
          </w:rPr>
          <w:t>http://www.nicnas.gov.au/communications/issues/fracking-hydraulic-fracturing-coal-seam-gas-extraction/information-sheet</w:t>
        </w:r>
      </w:hyperlink>
      <w:r w:rsidRPr="001220BF">
        <w:rPr>
          <w:rFonts w:asciiTheme="majorHAnsi" w:hAnsiTheme="majorHAnsi"/>
          <w:sz w:val="16"/>
          <w:szCs w:val="16"/>
        </w:rPr>
        <w:t>.</w:t>
      </w:r>
    </w:p>
  </w:footnote>
  <w:footnote w:id="7">
    <w:p w14:paraId="78783ADC" w14:textId="5ADC663F" w:rsidR="00BC0590" w:rsidRDefault="00BC0590">
      <w:pPr>
        <w:pStyle w:val="FootnoteText"/>
      </w:pPr>
      <w:r>
        <w:rPr>
          <w:rStyle w:val="FootnoteReference"/>
        </w:rPr>
        <w:footnoteRef/>
      </w:r>
      <w:r>
        <w:t xml:space="preserve"> </w:t>
      </w:r>
      <w:r w:rsidRPr="008E4121">
        <w:rPr>
          <w:rStyle w:val="BodyChar"/>
          <w:sz w:val="16"/>
          <w:szCs w:val="16"/>
        </w:rPr>
        <w:t>A chemical of low human health hazard and therefore inherently low concern for human health. Chemicals of low concern are considered to have a low likelihood of causing adverse human health effects should an exposure occur.</w:t>
      </w:r>
    </w:p>
  </w:footnote>
  <w:footnote w:id="8">
    <w:p w14:paraId="2C505C78" w14:textId="505DFECE" w:rsidR="00BC0590" w:rsidRDefault="00BC0590">
      <w:pPr>
        <w:pStyle w:val="FootnoteText"/>
      </w:pPr>
      <w:r>
        <w:rPr>
          <w:rStyle w:val="FootnoteReference"/>
        </w:rPr>
        <w:footnoteRef/>
      </w:r>
      <w:r>
        <w:t xml:space="preserve"> </w:t>
      </w:r>
      <w:r w:rsidRPr="008E4121">
        <w:rPr>
          <w:rStyle w:val="BodyChar"/>
          <w:sz w:val="16"/>
          <w:szCs w:val="16"/>
        </w:rPr>
        <w:t>Chemicals with a risk quotient (RQ) &lt; 1, where RQ = predicted environmental concentration/predicted no effect concentration.</w:t>
      </w:r>
    </w:p>
  </w:footnote>
  <w:footnote w:id="9">
    <w:p w14:paraId="64E1589F" w14:textId="3ED70C13" w:rsidR="00BC0590" w:rsidRPr="00593ABD" w:rsidRDefault="00BC0590" w:rsidP="00E76C93">
      <w:pPr>
        <w:pStyle w:val="FootnoteText"/>
        <w:rPr>
          <w:lang w:val="en-AU"/>
        </w:rPr>
      </w:pPr>
      <w:r>
        <w:rPr>
          <w:rStyle w:val="FootnoteReference"/>
        </w:rPr>
        <w:footnoteRef/>
      </w:r>
      <w:r>
        <w:t xml:space="preserve"> </w:t>
      </w:r>
      <w:r w:rsidRPr="00A63DFB">
        <w:rPr>
          <w:rFonts w:ascii="Calibri" w:hAnsi="Calibri" w:cs="Calibri"/>
          <w:color w:val="000000"/>
          <w:sz w:val="16"/>
          <w:szCs w:val="16"/>
          <w:lang w:val="en-GB"/>
        </w:rPr>
        <w:t xml:space="preserve">This buffer zone was previously defined by CDM Smith (2014) to select water bores in the immediate vicinity of the potentially impacted area of the </w:t>
      </w:r>
      <w:r>
        <w:rPr>
          <w:rFonts w:ascii="Calibri" w:hAnsi="Calibri" w:cs="Calibri"/>
          <w:color w:val="000000"/>
          <w:sz w:val="16"/>
          <w:szCs w:val="16"/>
          <w:lang w:val="en-GB"/>
        </w:rPr>
        <w:t>study area</w:t>
      </w:r>
    </w:p>
  </w:footnote>
  <w:footnote w:id="10">
    <w:p w14:paraId="76A8BC49" w14:textId="77777777" w:rsidR="00BC0590" w:rsidRPr="00781C1F" w:rsidRDefault="00BC0590" w:rsidP="00C6585C">
      <w:pPr>
        <w:pStyle w:val="FootnoteText"/>
      </w:pPr>
      <w:r>
        <w:rPr>
          <w:rStyle w:val="FootnoteReference"/>
        </w:rPr>
        <w:footnoteRef/>
      </w:r>
      <w:r>
        <w:t xml:space="preserve"> </w:t>
      </w:r>
      <w:r w:rsidRPr="003E37AD">
        <w:rPr>
          <w:rFonts w:asciiTheme="majorHAnsi" w:hAnsiTheme="majorHAnsi" w:cs="Calibri"/>
          <w:sz w:val="16"/>
          <w:szCs w:val="16"/>
        </w:rPr>
        <w:t>The fluid that is lost during a hydraulic fracture treatment by flow into the surrounding permeable rock</w:t>
      </w:r>
    </w:p>
  </w:footnote>
  <w:footnote w:id="11">
    <w:p w14:paraId="5190EAD3" w14:textId="67FEBD16" w:rsidR="00BC0590" w:rsidRPr="00170A45" w:rsidRDefault="00BC0590" w:rsidP="00FD0BAE">
      <w:pPr>
        <w:pStyle w:val="FootnoteText"/>
        <w:rPr>
          <w:rFonts w:asciiTheme="majorHAnsi" w:hAnsiTheme="majorHAnsi"/>
          <w:sz w:val="16"/>
          <w:szCs w:val="16"/>
        </w:rPr>
      </w:pPr>
      <w:r>
        <w:rPr>
          <w:rStyle w:val="FootnoteReference"/>
        </w:rPr>
        <w:footnoteRef/>
      </w:r>
      <w:r>
        <w:t xml:space="preserve"> </w:t>
      </w:r>
      <w:r w:rsidRPr="00170A45">
        <w:rPr>
          <w:rFonts w:asciiTheme="majorHAnsi" w:hAnsiTheme="majorHAnsi"/>
          <w:sz w:val="16"/>
          <w:szCs w:val="16"/>
        </w:rPr>
        <w:t xml:space="preserve">A new model </w:t>
      </w:r>
      <w:r>
        <w:rPr>
          <w:rFonts w:asciiTheme="majorHAnsi" w:hAnsiTheme="majorHAnsi"/>
          <w:sz w:val="16"/>
          <w:szCs w:val="16"/>
        </w:rPr>
        <w:t>has been published</w:t>
      </w:r>
      <w:r w:rsidRPr="00170A45">
        <w:rPr>
          <w:rFonts w:asciiTheme="majorHAnsi" w:hAnsiTheme="majorHAnsi"/>
          <w:sz w:val="16"/>
          <w:szCs w:val="16"/>
        </w:rPr>
        <w:t xml:space="preserve"> </w:t>
      </w:r>
      <w:r>
        <w:rPr>
          <w:rFonts w:asciiTheme="majorHAnsi" w:hAnsiTheme="majorHAnsi"/>
          <w:sz w:val="16"/>
          <w:szCs w:val="16"/>
        </w:rPr>
        <w:t>in</w:t>
      </w:r>
      <w:r w:rsidRPr="00170A45">
        <w:rPr>
          <w:rFonts w:asciiTheme="majorHAnsi" w:hAnsiTheme="majorHAnsi"/>
          <w:sz w:val="16"/>
          <w:szCs w:val="16"/>
        </w:rPr>
        <w:t xml:space="preserve"> 2016</w:t>
      </w:r>
      <w:r>
        <w:rPr>
          <w:rFonts w:asciiTheme="majorHAnsi" w:hAnsiTheme="majorHAnsi"/>
          <w:sz w:val="16"/>
          <w:szCs w:val="16"/>
        </w:rPr>
        <w:t xml:space="preserve"> (OGIA 2016), but was not available at the time this analysis was undertaken</w:t>
      </w:r>
      <w:r w:rsidRPr="00170A45">
        <w:rPr>
          <w:rFonts w:asciiTheme="majorHAnsi" w:hAnsiTheme="majorHAnsi"/>
          <w:sz w:val="16"/>
          <w:szCs w:val="16"/>
        </w:rPr>
        <w:t xml:space="preserve">. This model still has a fairly coarse horizontal discretisation, but incorporates more processes (e.g. multiphase flow) and more hydrogeological data. The Walloon Coal Measures are represented by 3 numerical layers and the Hutton Sandstone by a single numerical layer. </w:t>
      </w:r>
    </w:p>
  </w:footnote>
  <w:footnote w:id="12">
    <w:p w14:paraId="3F8D741F" w14:textId="0244A6BE" w:rsidR="00BC0590" w:rsidRPr="00472BBC" w:rsidRDefault="00BC0590" w:rsidP="00FD0BAE">
      <w:pPr>
        <w:pStyle w:val="FootnoteText"/>
      </w:pPr>
      <w:r w:rsidRPr="00170A45">
        <w:rPr>
          <w:rStyle w:val="FootnoteReference"/>
          <w:rFonts w:asciiTheme="majorHAnsi" w:hAnsiTheme="majorHAnsi"/>
          <w:sz w:val="16"/>
          <w:szCs w:val="16"/>
        </w:rPr>
        <w:footnoteRef/>
      </w:r>
      <w:r w:rsidRPr="00170A45">
        <w:rPr>
          <w:rFonts w:asciiTheme="majorHAnsi" w:hAnsiTheme="majorHAnsi"/>
          <w:sz w:val="16"/>
          <w:szCs w:val="16"/>
        </w:rPr>
        <w:t xml:space="preserve"> Based on previous work of CSIRO, incl</w:t>
      </w:r>
      <w:r>
        <w:rPr>
          <w:rFonts w:asciiTheme="majorHAnsi" w:hAnsiTheme="majorHAnsi"/>
          <w:sz w:val="16"/>
          <w:szCs w:val="16"/>
        </w:rPr>
        <w:t>uding Bunger et al. 2010.</w:t>
      </w:r>
    </w:p>
  </w:footnote>
  <w:footnote w:id="13">
    <w:p w14:paraId="4120170B" w14:textId="5EB25169" w:rsidR="00BC0590" w:rsidRPr="00025BED" w:rsidRDefault="00BC0590">
      <w:pPr>
        <w:pStyle w:val="FootnoteText"/>
        <w:rPr>
          <w:lang w:val="en-AU"/>
        </w:rPr>
      </w:pPr>
      <w:r>
        <w:rPr>
          <w:rStyle w:val="FootnoteReference"/>
        </w:rPr>
        <w:footnoteRef/>
      </w:r>
      <w:r>
        <w:t xml:space="preserve"> </w:t>
      </w:r>
      <w:r w:rsidRPr="006D28A5">
        <w:rPr>
          <w:rFonts w:asciiTheme="majorHAnsi" w:hAnsiTheme="majorHAnsi"/>
          <w:sz w:val="16"/>
          <w:szCs w:val="16"/>
        </w:rPr>
        <w:t>T</w:t>
      </w:r>
      <w:r w:rsidRPr="00025BED">
        <w:rPr>
          <w:rFonts w:asciiTheme="majorHAnsi" w:hAnsiTheme="majorHAnsi"/>
          <w:sz w:val="16"/>
          <w:szCs w:val="16"/>
        </w:rPr>
        <w:t>his include</w:t>
      </w:r>
      <w:r>
        <w:rPr>
          <w:rFonts w:asciiTheme="majorHAnsi" w:hAnsiTheme="majorHAnsi"/>
          <w:sz w:val="16"/>
          <w:szCs w:val="16"/>
        </w:rPr>
        <w:t>s</w:t>
      </w:r>
      <w:r w:rsidRPr="00025BED">
        <w:rPr>
          <w:rFonts w:asciiTheme="majorHAnsi" w:hAnsiTheme="majorHAnsi"/>
          <w:sz w:val="16"/>
          <w:szCs w:val="16"/>
        </w:rPr>
        <w:t xml:space="preserve"> the Pilliga Sandstone, Purlawaugh Formation and Blythesdale Group</w:t>
      </w:r>
    </w:p>
  </w:footnote>
  <w:footnote w:id="14">
    <w:p w14:paraId="5C46D5C6" w14:textId="77777777" w:rsidR="00BC0590" w:rsidRDefault="00BC0590" w:rsidP="000879F3">
      <w:pPr>
        <w:pStyle w:val="FootnoteText"/>
      </w:pPr>
      <w:r>
        <w:rPr>
          <w:rStyle w:val="FootnoteReference"/>
        </w:rPr>
        <w:footnoteRef/>
      </w:r>
      <w:r>
        <w:t xml:space="preserve"> </w:t>
      </w:r>
      <w:r w:rsidRPr="005518E6">
        <w:rPr>
          <w:rFonts w:asciiTheme="majorHAnsi" w:hAnsiTheme="majorHAnsi"/>
          <w:sz w:val="16"/>
          <w:szCs w:val="16"/>
        </w:rPr>
        <w:t>Proximity = set of shortest straight lines among all points</w:t>
      </w:r>
    </w:p>
  </w:footnote>
  <w:footnote w:id="15">
    <w:p w14:paraId="03B60B2D" w14:textId="45AA5C47" w:rsidR="00BC0590" w:rsidRPr="00593717" w:rsidRDefault="00BC0590">
      <w:pPr>
        <w:pStyle w:val="FootnoteText"/>
        <w:rPr>
          <w:lang w:val="en-AU"/>
        </w:rPr>
      </w:pPr>
      <w:r>
        <w:rPr>
          <w:rStyle w:val="FootnoteReference"/>
        </w:rPr>
        <w:footnoteRef/>
      </w:r>
      <w:r>
        <w:t xml:space="preserve"> </w:t>
      </w:r>
      <w:r w:rsidRPr="00AD74B9">
        <w:rPr>
          <w:rFonts w:ascii="Calibri" w:hAnsi="Calibri" w:cs="Calibri"/>
          <w:color w:val="000000"/>
          <w:sz w:val="16"/>
          <w:szCs w:val="16"/>
          <w:lang w:val="en-AU"/>
        </w:rPr>
        <w:t>The internal surface area of the coal (measured by CO</w:t>
      </w:r>
      <w:r w:rsidRPr="00AD74B9">
        <w:rPr>
          <w:rFonts w:ascii="Calibri" w:hAnsi="Calibri" w:cs="Calibri"/>
          <w:color w:val="000000"/>
          <w:sz w:val="16"/>
          <w:szCs w:val="16"/>
          <w:vertAlign w:val="subscript"/>
          <w:lang w:val="en-AU"/>
        </w:rPr>
        <w:t>2</w:t>
      </w:r>
      <w:r w:rsidRPr="00AD74B9">
        <w:rPr>
          <w:rFonts w:ascii="Calibri" w:hAnsi="Calibri" w:cs="Calibri"/>
          <w:color w:val="000000"/>
          <w:sz w:val="16"/>
          <w:szCs w:val="16"/>
          <w:lang w:val="en-AU"/>
        </w:rPr>
        <w:t xml:space="preserve"> adsorption), which is generally several orders of magnitude greater than the external surface area</w:t>
      </w:r>
    </w:p>
  </w:footnote>
  <w:footnote w:id="16">
    <w:p w14:paraId="4D85CFCB" w14:textId="1684F0EF" w:rsidR="00BC0590" w:rsidRPr="007679C9" w:rsidRDefault="00BC0590">
      <w:pPr>
        <w:pStyle w:val="FootnoteText"/>
        <w:rPr>
          <w:lang w:val="en-AU"/>
        </w:rPr>
      </w:pPr>
      <w:r>
        <w:rPr>
          <w:rStyle w:val="FootnoteReference"/>
        </w:rPr>
        <w:footnoteRef/>
      </w:r>
      <w:r>
        <w:t xml:space="preserve"> </w:t>
      </w:r>
      <w:r w:rsidRPr="001D35DA">
        <w:rPr>
          <w:rStyle w:val="BodyChar"/>
          <w:sz w:val="16"/>
          <w:szCs w:val="16"/>
        </w:rPr>
        <w:t>Hydrostatic pressure increases in proportion to depth measured from the surface because of the increasing weight of fluid</w:t>
      </w:r>
      <w:r w:rsidRPr="007679C9">
        <w:rPr>
          <w:rStyle w:val="BodyChar"/>
        </w:rPr>
        <w:t xml:space="preserve"> </w:t>
      </w:r>
    </w:p>
  </w:footnote>
  <w:footnote w:id="17">
    <w:p w14:paraId="36B0D39C" w14:textId="77777777" w:rsidR="00BC0590" w:rsidRPr="007679C9" w:rsidRDefault="00BC0590" w:rsidP="0056316E">
      <w:pPr>
        <w:pStyle w:val="FootnoteText"/>
        <w:rPr>
          <w:lang w:val="en-AU"/>
        </w:rPr>
      </w:pPr>
      <w:r>
        <w:rPr>
          <w:rStyle w:val="FootnoteReference"/>
        </w:rPr>
        <w:footnoteRef/>
      </w:r>
      <w:r>
        <w:t xml:space="preserve"> </w:t>
      </w:r>
      <w:r w:rsidRPr="001D35DA">
        <w:rPr>
          <w:rStyle w:val="BodyChar"/>
          <w:sz w:val="16"/>
          <w:szCs w:val="16"/>
        </w:rPr>
        <w:t>Hydrostatic pressure increases in proportion to depth measured from the surface because of the increasing weight of fluid</w:t>
      </w:r>
    </w:p>
  </w:footnote>
  <w:footnote w:id="18">
    <w:p w14:paraId="489E2B18" w14:textId="155A0F84" w:rsidR="00BC0590" w:rsidRPr="00A34B35" w:rsidRDefault="00BC0590">
      <w:pPr>
        <w:pStyle w:val="FootnoteText"/>
        <w:rPr>
          <w:sz w:val="18"/>
          <w:szCs w:val="18"/>
          <w:lang w:val="en-AU"/>
        </w:rPr>
      </w:pPr>
      <w:r>
        <w:rPr>
          <w:rStyle w:val="FootnoteReference"/>
        </w:rPr>
        <w:footnoteRef/>
      </w:r>
      <w:r>
        <w:t xml:space="preserve"> </w:t>
      </w:r>
      <w:r w:rsidRPr="001D35DA">
        <w:rPr>
          <w:rStyle w:val="BodyChar"/>
          <w:sz w:val="16"/>
          <w:szCs w:val="16"/>
        </w:rPr>
        <w:t>a 99% species protection value for pristine waters (moderate reliability)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76E9A8" w14:textId="77777777" w:rsidR="00264067" w:rsidRDefault="00264067">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EC7DF2" w14:textId="369B9EE1" w:rsidR="00BC0590" w:rsidRDefault="00BC0590" w:rsidP="008A2D80">
    <w:pPr>
      <w:pStyle w:val="Header"/>
      <w:ind w:left="-1985" w:right="-15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FFB8B1" w14:textId="77777777" w:rsidR="00BC0590" w:rsidRDefault="00BC0590">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35DF49" w14:textId="7C1C9252" w:rsidR="00BC0590" w:rsidRDefault="00BC0590" w:rsidP="005B4F94">
    <w:pPr>
      <w:pStyle w:val="Header"/>
      <w:ind w:left="-851" w:right="-1985"/>
    </w:pPr>
    <w:r>
      <w:rPr>
        <w:noProof/>
        <w:lang w:val="en-AU" w:eastAsia="en-AU"/>
      </w:rPr>
      <mc:AlternateContent>
        <mc:Choice Requires="wps">
          <w:drawing>
            <wp:anchor distT="0" distB="0" distL="114300" distR="114300" simplePos="0" relativeHeight="251660288" behindDoc="0" locked="0" layoutInCell="1" allowOverlap="1" wp14:anchorId="2660D49A" wp14:editId="00774EF4">
              <wp:simplePos x="0" y="0"/>
              <wp:positionH relativeFrom="column">
                <wp:posOffset>0</wp:posOffset>
              </wp:positionH>
              <wp:positionV relativeFrom="paragraph">
                <wp:posOffset>1426210</wp:posOffset>
              </wp:positionV>
              <wp:extent cx="5715000" cy="438785"/>
              <wp:effectExtent l="0" t="0" r="0" b="0"/>
              <wp:wrapNone/>
              <wp:docPr id="6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43878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0CCA5FF" w14:textId="77777777" w:rsidR="00BC0590" w:rsidRDefault="00BC0590">
                          <w:r w:rsidRPr="00E8296A">
                            <w:rPr>
                              <w:rFonts w:ascii="Calibri" w:hAnsi="Calibri" w:cs="Calibri"/>
                              <w:color w:val="230C00"/>
                              <w:sz w:val="16"/>
                              <w:szCs w:val="16"/>
                            </w:rPr>
                            <w:t xml:space="preserve">Review </w:t>
                          </w:r>
                          <w:r w:rsidRPr="00EA55B3">
                            <w:rPr>
                              <w:rFonts w:ascii="Calibri" w:hAnsi="Calibri" w:cs="Calibri"/>
                              <w:color w:val="230C00"/>
                              <w:sz w:val="16"/>
                              <w:szCs w:val="16"/>
                            </w:rPr>
                            <w:t>of modelling approaches and simulation models for assessment of coal seam gas extraction impacts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660D49A" id="_x0000_t202" coordsize="21600,21600" o:spt="202" path="m,l,21600r21600,l21600,xe">
              <v:stroke joinstyle="miter"/>
              <v:path gradientshapeok="t" o:connecttype="rect"/>
            </v:shapetype>
            <v:shape id="_x0000_s1062" type="#_x0000_t202" style="position:absolute;left:0;text-align:left;margin-left:0;margin-top:112.3pt;width:450pt;height:34.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" filled="f" stroked="f">
              <v:path arrowok="t"/>
              <v:textbox inset="0,,0">
                <w:txbxContent>
                  <w:p w14:paraId="70CCA5FF" w14:textId="77777777" w:rsidR="00BC0590" w:rsidRDefault="00BC0590">
                    <w:r w:rsidRPr="00E8296A">
                      <w:rPr>
                        <w:rFonts w:ascii="Calibri" w:hAnsi="Calibri" w:cs="Calibri"/>
                        <w:color w:val="230C00"/>
                        <w:sz w:val="16"/>
                        <w:szCs w:val="16"/>
                      </w:rPr>
                      <w:t xml:space="preserve">Review </w:t>
                    </w:r>
                    <w:r w:rsidRPr="00EA55B3">
                      <w:rPr>
                        <w:rFonts w:ascii="Calibri" w:hAnsi="Calibri" w:cs="Calibri"/>
                        <w:color w:val="230C00"/>
                        <w:sz w:val="16"/>
                        <w:szCs w:val="16"/>
                      </w:rPr>
                      <w:t>of modelling approaches and simulation models for assessment of coal seam gas extraction impacts</w:t>
                    </w:r>
                  </w:p>
                </w:txbxContent>
              </v:textbox>
            </v:shape>
          </w:pict>
        </mc:Fallback>
      </mc:AlternateContent>
    </w:r>
    <w:r>
      <w:rPr>
        <w:noProof/>
        <w:lang w:val="en-AU" w:eastAsia="en-AU"/>
      </w:rPr>
      <w:drawing>
        <wp:inline distT="0" distB="0" distL="0" distR="0" wp14:anchorId="6BC8E8CA" wp14:editId="15978D37">
          <wp:extent cx="7556500" cy="2285232"/>
          <wp:effectExtent l="0" t="0" r="0" b="127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2.jpg"/>
                  <pic:cNvPicPr/>
                </pic:nvPicPr>
                <pic:blipFill>
                  <a:blip r:embed="rId1">
                    <a:extLst>
                      <a:ext uri="{28A0092B-C50C-407E-A947-70E740481C1C}">
                        <a14:useLocalDpi xmlns:a14="http://schemas.microsoft.com/office/drawing/2010/main" val="0"/>
                      </a:ext>
                    </a:extLst>
                  </a:blip>
                  <a:stretch>
                    <a:fillRect/>
                  </a:stretch>
                </pic:blipFill>
                <pic:spPr>
                  <a:xfrm>
                    <a:off x="0" y="0"/>
                    <a:ext cx="7558032" cy="2285695"/>
                  </a:xfrm>
                  <a:prstGeom prst="rect">
                    <a:avLst/>
                  </a:prstGeom>
                </pic:spPr>
              </pic:pic>
            </a:graphicData>
          </a:graphic>
        </wp:inline>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52A767" w14:textId="77777777" w:rsidR="00BC0590" w:rsidRDefault="00BC0590" w:rsidP="008A2D80">
    <w:pPr>
      <w:pStyle w:val="Header"/>
      <w:ind w:left="-1985" w:right="-15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B1D94C" w14:textId="538EE26A" w:rsidR="00BC0590" w:rsidRDefault="00BC059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46616" w14:textId="77777777" w:rsidR="00264067" w:rsidRDefault="0026406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07BD4" w14:textId="77777777" w:rsidR="00264067" w:rsidRDefault="0026406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93DEF" w14:textId="77777777" w:rsidR="00BC0590" w:rsidRDefault="00BC0590" w:rsidP="005B4F94">
    <w:pPr>
      <w:pStyle w:val="Header"/>
      <w:ind w:left="-851" w:right="-198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2969D2" w14:textId="2976750B" w:rsidR="00BC0590" w:rsidRDefault="00BC0590" w:rsidP="008A2D80">
    <w:pPr>
      <w:pStyle w:val="Header"/>
      <w:ind w:left="-1985" w:right="-15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DE5F49" w14:textId="77777777" w:rsidR="00BC0590" w:rsidRDefault="00BC0590">
    <w:pPr>
      <w:pStyle w:val="Header"/>
    </w:pPr>
    <w:r>
      <w:rPr>
        <w:noProof/>
        <w:lang w:val="en-AU" w:eastAsia="en-AU"/>
      </w:rPr>
      <w:drawing>
        <wp:anchor distT="0" distB="0" distL="114300" distR="114300" simplePos="0" relativeHeight="251655168" behindDoc="1" locked="0" layoutInCell="1" allowOverlap="1" wp14:anchorId="161BA8C4" wp14:editId="3E2615E2">
          <wp:simplePos x="0" y="0"/>
          <wp:positionH relativeFrom="margin">
            <wp:align>center</wp:align>
          </wp:positionH>
          <wp:positionV relativeFrom="margin">
            <wp:align>center</wp:align>
          </wp:positionV>
          <wp:extent cx="7559040" cy="10692130"/>
          <wp:effectExtent l="0" t="0" r="0" b="0"/>
          <wp:wrapNone/>
          <wp:docPr id="558" name="Picture 558" descr="page_spread_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_spread_bac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39BAD6" w14:textId="77777777" w:rsidR="00BC0590" w:rsidRDefault="00BC0590" w:rsidP="008A2D80">
    <w:pPr>
      <w:pStyle w:val="Header"/>
      <w:ind w:left="-1985" w:right="-15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967D0" w14:textId="7D47B871" w:rsidR="00BC0590" w:rsidRDefault="00BC0590" w:rsidP="008A2D80">
    <w:pPr>
      <w:pStyle w:val="Header"/>
      <w:ind w:left="-1985" w:right="-15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B19FF7" w14:textId="2DE0B7B0" w:rsidR="00BC0590" w:rsidRDefault="00BC0590" w:rsidP="005B4F94">
    <w:pPr>
      <w:pStyle w:val="Header"/>
      <w:ind w:left="-851" w:right="-1985"/>
    </w:pPr>
    <w:r>
      <w:rPr>
        <w:noProof/>
        <w:lang w:val="en-AU" w:eastAsia="en-AU"/>
      </w:rPr>
      <mc:AlternateContent>
        <mc:Choice Requires="wps">
          <w:drawing>
            <wp:anchor distT="0" distB="0" distL="114300" distR="114300" simplePos="0" relativeHeight="251654144" behindDoc="0" locked="0" layoutInCell="1" allowOverlap="1" wp14:anchorId="7FA97C7C" wp14:editId="0CF1A8AD">
              <wp:simplePos x="0" y="0"/>
              <wp:positionH relativeFrom="column">
                <wp:posOffset>0</wp:posOffset>
              </wp:positionH>
              <wp:positionV relativeFrom="paragraph">
                <wp:posOffset>1426210</wp:posOffset>
              </wp:positionV>
              <wp:extent cx="5715000" cy="438785"/>
              <wp:effectExtent l="0" t="0" r="0" b="0"/>
              <wp:wrapNone/>
              <wp:docPr id="6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43878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8AF1D9D" w14:textId="77777777" w:rsidR="00BC0590" w:rsidRDefault="00BC0590">
                          <w:r w:rsidRPr="00E8296A">
                            <w:rPr>
                              <w:rFonts w:ascii="Calibri" w:hAnsi="Calibri" w:cs="Calibri"/>
                              <w:color w:val="230C00"/>
                              <w:sz w:val="16"/>
                              <w:szCs w:val="16"/>
                            </w:rPr>
                            <w:t xml:space="preserve">Review </w:t>
                          </w:r>
                          <w:r w:rsidRPr="00EA55B3">
                            <w:rPr>
                              <w:rFonts w:ascii="Calibri" w:hAnsi="Calibri" w:cs="Calibri"/>
                              <w:color w:val="230C00"/>
                              <w:sz w:val="16"/>
                              <w:szCs w:val="16"/>
                            </w:rPr>
                            <w:t>of modelling approaches and simulation models for assessment of coal seam gas extraction impacts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FA97C7C" id="_x0000_t202" coordsize="21600,21600" o:spt="202" path="m,l,21600r21600,l21600,xe">
              <v:stroke joinstyle="miter"/>
              <v:path gradientshapeok="t" o:connecttype="rect"/>
            </v:shapetype>
            <v:shape id="Text Box 5" o:spid="_x0000_s1059" type="#_x0000_t202" style="position:absolute;left:0;text-align:left;margin-left:0;margin-top:112.3pt;width:450pt;height:34.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" filled="f" stroked="f">
              <v:path arrowok="t"/>
              <v:textbox inset="0,,0">
                <w:txbxContent>
                  <w:p w14:paraId="08AF1D9D" w14:textId="77777777" w:rsidR="00BC0590" w:rsidRDefault="00BC0590">
                    <w:r w:rsidRPr="00E8296A">
                      <w:rPr>
                        <w:rFonts w:ascii="Calibri" w:hAnsi="Calibri" w:cs="Calibri"/>
                        <w:color w:val="230C00"/>
                        <w:sz w:val="16"/>
                        <w:szCs w:val="16"/>
                      </w:rPr>
                      <w:t xml:space="preserve">Review </w:t>
                    </w:r>
                    <w:r w:rsidRPr="00EA55B3">
                      <w:rPr>
                        <w:rFonts w:ascii="Calibri" w:hAnsi="Calibri" w:cs="Calibri"/>
                        <w:color w:val="230C00"/>
                        <w:sz w:val="16"/>
                        <w:szCs w:val="16"/>
                      </w:rPr>
                      <w:t>of modelling approaches and simulation models for assessment of coal seam gas extraction impacts</w:t>
                    </w:r>
                  </w:p>
                </w:txbxContent>
              </v:textbox>
            </v:shape>
          </w:pict>
        </mc:Fallback>
      </mc:AlternateContent>
    </w:r>
    <w:r>
      <w:rPr>
        <w:noProof/>
        <w:lang w:val="en-AU" w:eastAsia="en-AU"/>
      </w:rPr>
      <w:drawing>
        <wp:inline distT="0" distB="0" distL="0" distR="0" wp14:anchorId="2419A406" wp14:editId="06B64124">
          <wp:extent cx="7556500" cy="2285232"/>
          <wp:effectExtent l="0" t="0" r="0" b="127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2.jpg"/>
                  <pic:cNvPicPr/>
                </pic:nvPicPr>
                <pic:blipFill>
                  <a:blip r:embed="rId1">
                    <a:extLst>
                      <a:ext uri="{28A0092B-C50C-407E-A947-70E740481C1C}">
                        <a14:useLocalDpi xmlns:a14="http://schemas.microsoft.com/office/drawing/2010/main" val="0"/>
                      </a:ext>
                    </a:extLst>
                  </a:blip>
                  <a:stretch>
                    <a:fillRect/>
                  </a:stretch>
                </pic:blipFill>
                <pic:spPr>
                  <a:xfrm>
                    <a:off x="0" y="0"/>
                    <a:ext cx="7558032" cy="228569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4AC61C6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9E74D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0806AB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C94A2D4"/>
    <w:lvl w:ilvl="0">
      <w:start w:val="1"/>
      <w:numFmt w:val="decimal"/>
      <w:pStyle w:val="ListNumber2"/>
      <w:lvlText w:val="%1."/>
      <w:lvlJc w:val="left"/>
      <w:pPr>
        <w:tabs>
          <w:tab w:val="num" w:pos="643"/>
        </w:tabs>
        <w:ind w:left="643" w:hanging="360"/>
      </w:pPr>
    </w:lvl>
  </w:abstractNum>
  <w:abstractNum w:abstractNumId="4" w15:restartNumberingAfterBreak="0">
    <w:nsid w:val="FFFFFF82"/>
    <w:multiLevelType w:val="singleLevel"/>
    <w:tmpl w:val="78885608"/>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19041B04"/>
    <w:lvl w:ilvl="0">
      <w:start w:val="1"/>
      <w:numFmt w:val="bullet"/>
      <w:pStyle w:val="ListBullet2"/>
      <w:lvlText w:val="–"/>
      <w:lvlJc w:val="left"/>
      <w:pPr>
        <w:ind w:left="360" w:hanging="360"/>
      </w:pPr>
      <w:rPr>
        <w:rFonts w:ascii="Feijoa Medium" w:hAnsi="Feijoa Medium" w:hint="default"/>
      </w:rPr>
    </w:lvl>
  </w:abstractNum>
  <w:abstractNum w:abstractNumId="6" w15:restartNumberingAfterBreak="0">
    <w:nsid w:val="FFFFFF88"/>
    <w:multiLevelType w:val="singleLevel"/>
    <w:tmpl w:val="08863590"/>
    <w:lvl w:ilvl="0">
      <w:start w:val="1"/>
      <w:numFmt w:val="decimal"/>
      <w:pStyle w:val="ListNumber"/>
      <w:lvlText w:val="%1."/>
      <w:lvlJc w:val="left"/>
      <w:pPr>
        <w:ind w:left="360" w:hanging="360"/>
      </w:pPr>
      <w:rPr>
        <w:rFonts w:cs="Times New Roman"/>
      </w:rPr>
    </w:lvl>
  </w:abstractNum>
  <w:abstractNum w:abstractNumId="7" w15:restartNumberingAfterBreak="0">
    <w:nsid w:val="00A7367F"/>
    <w:multiLevelType w:val="hybridMultilevel"/>
    <w:tmpl w:val="A41075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2EA73ED"/>
    <w:multiLevelType w:val="hybridMultilevel"/>
    <w:tmpl w:val="4000A4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30745BD"/>
    <w:multiLevelType w:val="hybridMultilevel"/>
    <w:tmpl w:val="43DA97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3493AFE"/>
    <w:multiLevelType w:val="hybridMultilevel"/>
    <w:tmpl w:val="BCF0DE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3BD0C90"/>
    <w:multiLevelType w:val="hybridMultilevel"/>
    <w:tmpl w:val="1FCC17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3C30152"/>
    <w:multiLevelType w:val="hybridMultilevel"/>
    <w:tmpl w:val="C0728E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52B77E6"/>
    <w:multiLevelType w:val="hybridMultilevel"/>
    <w:tmpl w:val="09901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752098F"/>
    <w:multiLevelType w:val="multilevel"/>
    <w:tmpl w:val="EA507BF4"/>
    <w:lvl w:ilvl="0">
      <w:start w:val="1"/>
      <w:numFmt w:val="bullet"/>
      <w:lvlText w:val=""/>
      <w:lvlJc w:val="left"/>
      <w:pPr>
        <w:tabs>
          <w:tab w:val="num" w:pos="720"/>
        </w:tabs>
        <w:ind w:left="720" w:hanging="360"/>
      </w:pPr>
      <w:rPr>
        <w:rFonts w:ascii="Symbol" w:hAnsi="Symbol" w:hint="default"/>
        <w:sz w:val="20"/>
      </w:rPr>
    </w:lvl>
    <w:lvl w:ilvl="1">
      <w:numFmt w:val="bullet"/>
      <w:pStyle w:val="OWSbulletL2"/>
      <w:lvlText w:val="−"/>
      <w:lvlJc w:val="left"/>
      <w:pPr>
        <w:tabs>
          <w:tab w:val="num" w:pos="1440"/>
        </w:tabs>
        <w:ind w:left="1440" w:hanging="360"/>
      </w:pPr>
      <w:rPr>
        <w:rFonts w:ascii="Arial" w:eastAsia="Times New Roman" w:hAnsi="Arial" w:hint="default"/>
        <w:sz w:val="20"/>
      </w:rPr>
    </w:lvl>
    <w:lvl w:ilvl="2">
      <w:start w:val="1"/>
      <w:numFmt w:val="bullet"/>
      <w:pStyle w:val="OWSbulletL3"/>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837653C"/>
    <w:multiLevelType w:val="hybridMultilevel"/>
    <w:tmpl w:val="F3E89B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BD632AB"/>
    <w:multiLevelType w:val="hybridMultilevel"/>
    <w:tmpl w:val="FBD49D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C246612"/>
    <w:multiLevelType w:val="multilevel"/>
    <w:tmpl w:val="0EE275B2"/>
    <w:lvl w:ilvl="0">
      <w:start w:val="1"/>
      <w:numFmt w:val="decimal"/>
      <w:pStyle w:val="OWSnumberedlistL1"/>
      <w:lvlText w:val="%1."/>
      <w:lvlJc w:val="left"/>
      <w:pPr>
        <w:ind w:left="360" w:hanging="360"/>
      </w:pPr>
      <w:rPr>
        <w:rFonts w:ascii="Arial" w:eastAsiaTheme="minorHAnsi" w:hAnsi="Arial" w:cs="Arial" w:hint="default"/>
        <w:color w:val="auto"/>
        <w:sz w:val="20"/>
        <w:szCs w:val="20"/>
      </w:rPr>
    </w:lvl>
    <w:lvl w:ilvl="1">
      <w:start w:val="1"/>
      <w:numFmt w:val="lowerLetter"/>
      <w:pStyle w:val="OWSnumberedlistL2"/>
      <w:lvlText w:val="%2."/>
      <w:lvlJc w:val="left"/>
      <w:pPr>
        <w:ind w:left="1440" w:hanging="476"/>
      </w:pPr>
      <w:rPr>
        <w:rFonts w:ascii="Arial" w:hAnsi="Arial" w:hint="default"/>
        <w:sz w:val="20"/>
        <w:szCs w:val="2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0FED3210"/>
    <w:multiLevelType w:val="hybridMultilevel"/>
    <w:tmpl w:val="AFB2EF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073423D"/>
    <w:multiLevelType w:val="hybridMultilevel"/>
    <w:tmpl w:val="C5AA7E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0CA5B0A"/>
    <w:multiLevelType w:val="hybridMultilevel"/>
    <w:tmpl w:val="AAEA3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2F74DCF"/>
    <w:multiLevelType w:val="hybridMultilevel"/>
    <w:tmpl w:val="6AFE1F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4ED0F9E"/>
    <w:multiLevelType w:val="hybridMultilevel"/>
    <w:tmpl w:val="B67AD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5A467EA"/>
    <w:multiLevelType w:val="hybridMultilevel"/>
    <w:tmpl w:val="9976C1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A1B3072"/>
    <w:multiLevelType w:val="hybridMultilevel"/>
    <w:tmpl w:val="04AC8D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A766644"/>
    <w:multiLevelType w:val="hybridMultilevel"/>
    <w:tmpl w:val="188CF8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0C97FC4"/>
    <w:multiLevelType w:val="hybridMultilevel"/>
    <w:tmpl w:val="B764F634"/>
    <w:lvl w:ilvl="0" w:tplc="0C090001">
      <w:start w:val="1"/>
      <w:numFmt w:val="bullet"/>
      <w:lvlText w:val=""/>
      <w:lvlJc w:val="left"/>
      <w:pPr>
        <w:ind w:left="760" w:hanging="360"/>
      </w:pPr>
      <w:rPr>
        <w:rFonts w:ascii="Symbol" w:hAnsi="Symbol" w:hint="default"/>
      </w:rPr>
    </w:lvl>
    <w:lvl w:ilvl="1" w:tplc="0C090003" w:tentative="1">
      <w:start w:val="1"/>
      <w:numFmt w:val="bullet"/>
      <w:lvlText w:val="o"/>
      <w:lvlJc w:val="left"/>
      <w:pPr>
        <w:ind w:left="1480" w:hanging="360"/>
      </w:pPr>
      <w:rPr>
        <w:rFonts w:ascii="Courier New" w:hAnsi="Courier New" w:cs="Courier New" w:hint="default"/>
      </w:rPr>
    </w:lvl>
    <w:lvl w:ilvl="2" w:tplc="0C090005" w:tentative="1">
      <w:start w:val="1"/>
      <w:numFmt w:val="bullet"/>
      <w:lvlText w:val=""/>
      <w:lvlJc w:val="left"/>
      <w:pPr>
        <w:ind w:left="2200" w:hanging="360"/>
      </w:pPr>
      <w:rPr>
        <w:rFonts w:ascii="Wingdings" w:hAnsi="Wingdings" w:hint="default"/>
      </w:rPr>
    </w:lvl>
    <w:lvl w:ilvl="3" w:tplc="0C090001" w:tentative="1">
      <w:start w:val="1"/>
      <w:numFmt w:val="bullet"/>
      <w:lvlText w:val=""/>
      <w:lvlJc w:val="left"/>
      <w:pPr>
        <w:ind w:left="2920" w:hanging="360"/>
      </w:pPr>
      <w:rPr>
        <w:rFonts w:ascii="Symbol" w:hAnsi="Symbol" w:hint="default"/>
      </w:rPr>
    </w:lvl>
    <w:lvl w:ilvl="4" w:tplc="0C090003" w:tentative="1">
      <w:start w:val="1"/>
      <w:numFmt w:val="bullet"/>
      <w:lvlText w:val="o"/>
      <w:lvlJc w:val="left"/>
      <w:pPr>
        <w:ind w:left="3640" w:hanging="360"/>
      </w:pPr>
      <w:rPr>
        <w:rFonts w:ascii="Courier New" w:hAnsi="Courier New" w:cs="Courier New" w:hint="default"/>
      </w:rPr>
    </w:lvl>
    <w:lvl w:ilvl="5" w:tplc="0C090005" w:tentative="1">
      <w:start w:val="1"/>
      <w:numFmt w:val="bullet"/>
      <w:lvlText w:val=""/>
      <w:lvlJc w:val="left"/>
      <w:pPr>
        <w:ind w:left="4360" w:hanging="360"/>
      </w:pPr>
      <w:rPr>
        <w:rFonts w:ascii="Wingdings" w:hAnsi="Wingdings" w:hint="default"/>
      </w:rPr>
    </w:lvl>
    <w:lvl w:ilvl="6" w:tplc="0C090001" w:tentative="1">
      <w:start w:val="1"/>
      <w:numFmt w:val="bullet"/>
      <w:lvlText w:val=""/>
      <w:lvlJc w:val="left"/>
      <w:pPr>
        <w:ind w:left="5080" w:hanging="360"/>
      </w:pPr>
      <w:rPr>
        <w:rFonts w:ascii="Symbol" w:hAnsi="Symbol" w:hint="default"/>
      </w:rPr>
    </w:lvl>
    <w:lvl w:ilvl="7" w:tplc="0C090003" w:tentative="1">
      <w:start w:val="1"/>
      <w:numFmt w:val="bullet"/>
      <w:lvlText w:val="o"/>
      <w:lvlJc w:val="left"/>
      <w:pPr>
        <w:ind w:left="5800" w:hanging="360"/>
      </w:pPr>
      <w:rPr>
        <w:rFonts w:ascii="Courier New" w:hAnsi="Courier New" w:cs="Courier New" w:hint="default"/>
      </w:rPr>
    </w:lvl>
    <w:lvl w:ilvl="8" w:tplc="0C090005" w:tentative="1">
      <w:start w:val="1"/>
      <w:numFmt w:val="bullet"/>
      <w:lvlText w:val=""/>
      <w:lvlJc w:val="left"/>
      <w:pPr>
        <w:ind w:left="6520" w:hanging="360"/>
      </w:pPr>
      <w:rPr>
        <w:rFonts w:ascii="Wingdings" w:hAnsi="Wingdings" w:hint="default"/>
      </w:rPr>
    </w:lvl>
  </w:abstractNum>
  <w:abstractNum w:abstractNumId="27" w15:restartNumberingAfterBreak="0">
    <w:nsid w:val="28FA44AD"/>
    <w:multiLevelType w:val="hybridMultilevel"/>
    <w:tmpl w:val="E5EAF8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B70164C"/>
    <w:multiLevelType w:val="hybridMultilevel"/>
    <w:tmpl w:val="07E8B3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C0C7E6B"/>
    <w:multiLevelType w:val="hybridMultilevel"/>
    <w:tmpl w:val="510EF6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CEC14C5"/>
    <w:multiLevelType w:val="multilevel"/>
    <w:tmpl w:val="48CC3484"/>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64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2D5C6014"/>
    <w:multiLevelType w:val="hybridMultilevel"/>
    <w:tmpl w:val="4D16D3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DAC48A3"/>
    <w:multiLevelType w:val="hybridMultilevel"/>
    <w:tmpl w:val="8E8059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F9C2CB5"/>
    <w:multiLevelType w:val="hybridMultilevel"/>
    <w:tmpl w:val="9C6AF7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3C5379A"/>
    <w:multiLevelType w:val="hybridMultilevel"/>
    <w:tmpl w:val="AB52EB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4A1409C"/>
    <w:multiLevelType w:val="hybridMultilevel"/>
    <w:tmpl w:val="A3C06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5D31E9A"/>
    <w:multiLevelType w:val="hybridMultilevel"/>
    <w:tmpl w:val="720A56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74933F7"/>
    <w:multiLevelType w:val="hybridMultilevel"/>
    <w:tmpl w:val="845ADA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80B4A55"/>
    <w:multiLevelType w:val="hybridMultilevel"/>
    <w:tmpl w:val="C96492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9314F73"/>
    <w:multiLevelType w:val="hybridMultilevel"/>
    <w:tmpl w:val="AE5C9E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A5762B5"/>
    <w:multiLevelType w:val="hybridMultilevel"/>
    <w:tmpl w:val="20640D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AC84ADA"/>
    <w:multiLevelType w:val="hybridMultilevel"/>
    <w:tmpl w:val="920EC478"/>
    <w:lvl w:ilvl="0" w:tplc="0C090001">
      <w:start w:val="1"/>
      <w:numFmt w:val="bullet"/>
      <w:lvlText w:val=""/>
      <w:lvlJc w:val="left"/>
      <w:pPr>
        <w:ind w:left="1080" w:hanging="72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D984261"/>
    <w:multiLevelType w:val="hybridMultilevel"/>
    <w:tmpl w:val="441AEEA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EA7459B"/>
    <w:multiLevelType w:val="hybridMultilevel"/>
    <w:tmpl w:val="090C4A92"/>
    <w:lvl w:ilvl="0" w:tplc="B29A3278">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4" w15:restartNumberingAfterBreak="0">
    <w:nsid w:val="409265C1"/>
    <w:multiLevelType w:val="hybridMultilevel"/>
    <w:tmpl w:val="E4D660F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42A21528"/>
    <w:multiLevelType w:val="hybridMultilevel"/>
    <w:tmpl w:val="864CAC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3683C84"/>
    <w:multiLevelType w:val="hybridMultilevel"/>
    <w:tmpl w:val="B01256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4EB3304"/>
    <w:multiLevelType w:val="hybridMultilevel"/>
    <w:tmpl w:val="48BA96B6"/>
    <w:lvl w:ilvl="0" w:tplc="CF883C3C">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8" w15:restartNumberingAfterBreak="0">
    <w:nsid w:val="455878DF"/>
    <w:multiLevelType w:val="hybridMultilevel"/>
    <w:tmpl w:val="8DAC6B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5660B7F"/>
    <w:multiLevelType w:val="hybridMultilevel"/>
    <w:tmpl w:val="90044FF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0" w15:restartNumberingAfterBreak="0">
    <w:nsid w:val="4C047438"/>
    <w:multiLevelType w:val="multilevel"/>
    <w:tmpl w:val="48CC3484"/>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64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4E990139"/>
    <w:multiLevelType w:val="hybridMultilevel"/>
    <w:tmpl w:val="0C5CA4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FF81430"/>
    <w:multiLevelType w:val="hybridMultilevel"/>
    <w:tmpl w:val="3B826A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2055652"/>
    <w:multiLevelType w:val="hybridMultilevel"/>
    <w:tmpl w:val="A96E78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4341819"/>
    <w:multiLevelType w:val="hybridMultilevel"/>
    <w:tmpl w:val="4D16B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58348E5"/>
    <w:multiLevelType w:val="hybridMultilevel"/>
    <w:tmpl w:val="5CB06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7233137"/>
    <w:multiLevelType w:val="hybridMultilevel"/>
    <w:tmpl w:val="B4FA82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7BA428C"/>
    <w:multiLevelType w:val="hybridMultilevel"/>
    <w:tmpl w:val="BA90B8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8A335B8"/>
    <w:multiLevelType w:val="hybridMultilevel"/>
    <w:tmpl w:val="05F879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5A9D1386"/>
    <w:multiLevelType w:val="hybridMultilevel"/>
    <w:tmpl w:val="52444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5AE13403"/>
    <w:multiLevelType w:val="hybridMultilevel"/>
    <w:tmpl w:val="1E9A42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C155984"/>
    <w:multiLevelType w:val="hybridMultilevel"/>
    <w:tmpl w:val="E3B2A9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CD04ED8"/>
    <w:multiLevelType w:val="hybridMultilevel"/>
    <w:tmpl w:val="E984198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E233521"/>
    <w:multiLevelType w:val="hybridMultilevel"/>
    <w:tmpl w:val="EE7815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5E287CF3"/>
    <w:multiLevelType w:val="hybridMultilevel"/>
    <w:tmpl w:val="8D14AE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145602E"/>
    <w:multiLevelType w:val="hybridMultilevel"/>
    <w:tmpl w:val="04AC8D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636D0917"/>
    <w:multiLevelType w:val="hybridMultilevel"/>
    <w:tmpl w:val="ADD65D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5ED124D"/>
    <w:multiLevelType w:val="hybridMultilevel"/>
    <w:tmpl w:val="8D2673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68C487F"/>
    <w:multiLevelType w:val="hybridMultilevel"/>
    <w:tmpl w:val="0C22C4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7BC59E2"/>
    <w:multiLevelType w:val="hybridMultilevel"/>
    <w:tmpl w:val="E47CFA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8B0756F"/>
    <w:multiLevelType w:val="hybridMultilevel"/>
    <w:tmpl w:val="D3FADB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B0B421E"/>
    <w:multiLevelType w:val="hybridMultilevel"/>
    <w:tmpl w:val="564066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BB724ED"/>
    <w:multiLevelType w:val="multilevel"/>
    <w:tmpl w:val="48CC3484"/>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64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6C6B0F40"/>
    <w:multiLevelType w:val="multilevel"/>
    <w:tmpl w:val="2AA0C054"/>
    <w:lvl w:ilvl="0">
      <w:start w:val="1"/>
      <w:numFmt w:val="decimal"/>
      <w:pStyle w:val="Heading1"/>
      <w:lvlText w:val="%1."/>
      <w:lvlJc w:val="left"/>
      <w:pPr>
        <w:ind w:left="360" w:hanging="360"/>
      </w:pPr>
    </w:lvl>
    <w:lvl w:ilvl="1">
      <w:start w:val="1"/>
      <w:numFmt w:val="decimal"/>
      <w:pStyle w:val="Heading2"/>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071" w:hanging="504"/>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6C7D3FC6"/>
    <w:multiLevelType w:val="hybridMultilevel"/>
    <w:tmpl w:val="C00E49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CC93145"/>
    <w:multiLevelType w:val="multilevel"/>
    <w:tmpl w:val="48CC3484"/>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64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E700C50"/>
    <w:multiLevelType w:val="hybridMultilevel"/>
    <w:tmpl w:val="919A69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6F462BB5"/>
    <w:multiLevelType w:val="hybridMultilevel"/>
    <w:tmpl w:val="CD92F1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1B27C21"/>
    <w:multiLevelType w:val="multilevel"/>
    <w:tmpl w:val="6F5ED830"/>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3AE1D23"/>
    <w:multiLevelType w:val="hybridMultilevel"/>
    <w:tmpl w:val="0E901A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4CB62D8"/>
    <w:multiLevelType w:val="hybridMultilevel"/>
    <w:tmpl w:val="A27E6E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5214990"/>
    <w:multiLevelType w:val="hybridMultilevel"/>
    <w:tmpl w:val="AED6F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8E11A32"/>
    <w:multiLevelType w:val="hybridMultilevel"/>
    <w:tmpl w:val="6DBC29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91F7C35"/>
    <w:multiLevelType w:val="hybridMultilevel"/>
    <w:tmpl w:val="A00EB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95D3BDE"/>
    <w:multiLevelType w:val="hybridMultilevel"/>
    <w:tmpl w:val="A25E9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98E1CBF"/>
    <w:multiLevelType w:val="hybridMultilevel"/>
    <w:tmpl w:val="040811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79AA30FF"/>
    <w:multiLevelType w:val="multilevel"/>
    <w:tmpl w:val="FB1853E0"/>
    <w:lvl w:ilvl="0">
      <w:start w:val="1"/>
      <w:numFmt w:val="decimal"/>
      <w:lvlText w:val="%1."/>
      <w:lvlJc w:val="left"/>
      <w:pPr>
        <w:tabs>
          <w:tab w:val="num" w:pos="851"/>
        </w:tabs>
        <w:ind w:left="851" w:hanging="851"/>
      </w:pPr>
      <w:rPr>
        <w:rFonts w:ascii="Arial" w:hAnsi="Arial" w:hint="default"/>
        <w:b/>
        <w:sz w:val="32"/>
      </w:rPr>
    </w:lvl>
    <w:lvl w:ilvl="1">
      <w:start w:val="1"/>
      <w:numFmt w:val="decimal"/>
      <w:lvlText w:val="%1.%2"/>
      <w:lvlJc w:val="left"/>
      <w:pPr>
        <w:tabs>
          <w:tab w:val="num" w:pos="851"/>
        </w:tabs>
        <w:ind w:left="851" w:hanging="851"/>
      </w:pPr>
      <w:rPr>
        <w:rFonts w:ascii="Arial" w:hAnsi="Arial" w:hint="default"/>
        <w:b/>
        <w:i w:val="0"/>
        <w:sz w:val="24"/>
      </w:rPr>
    </w:lvl>
    <w:lvl w:ilvl="2">
      <w:start w:val="1"/>
      <w:numFmt w:val="lowerLetter"/>
      <w:pStyle w:val="LegalClauseLevel3"/>
      <w:lvlText w:val="(%3)"/>
      <w:lvlJc w:val="left"/>
      <w:pPr>
        <w:tabs>
          <w:tab w:val="num" w:pos="1418"/>
        </w:tabs>
        <w:ind w:left="1418" w:hanging="567"/>
      </w:pPr>
      <w:rPr>
        <w:rFonts w:ascii="Arial" w:hAnsi="Arial" w:hint="default"/>
        <w:b w:val="0"/>
        <w:i w:val="0"/>
        <w:sz w:val="22"/>
      </w:rPr>
    </w:lvl>
    <w:lvl w:ilvl="3">
      <w:start w:val="1"/>
      <w:numFmt w:val="lowerRoman"/>
      <w:pStyle w:val="LegalClauseLevel4"/>
      <w:lvlText w:val="(%4)"/>
      <w:lvlJc w:val="left"/>
      <w:pPr>
        <w:tabs>
          <w:tab w:val="num" w:pos="1985"/>
        </w:tabs>
        <w:ind w:left="1985" w:hanging="567"/>
      </w:pPr>
      <w:rPr>
        <w:rFonts w:ascii="Arial" w:hAnsi="Arial" w:hint="default"/>
        <w:b w:val="0"/>
        <w:i w:val="0"/>
        <w:sz w:val="22"/>
      </w:rPr>
    </w:lvl>
    <w:lvl w:ilvl="4">
      <w:start w:val="1"/>
      <w:numFmt w:val="upperLetter"/>
      <w:pStyle w:val="LegalClaus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7B786E9A"/>
    <w:multiLevelType w:val="hybridMultilevel"/>
    <w:tmpl w:val="9E20D5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BA00934"/>
    <w:multiLevelType w:val="hybridMultilevel"/>
    <w:tmpl w:val="A1EA0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7C176019"/>
    <w:multiLevelType w:val="hybridMultilevel"/>
    <w:tmpl w:val="C8285A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7D976B85"/>
    <w:multiLevelType w:val="hybridMultilevel"/>
    <w:tmpl w:val="3676D0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7EDB7123"/>
    <w:multiLevelType w:val="hybridMultilevel"/>
    <w:tmpl w:val="31D669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73"/>
  </w:num>
  <w:num w:numId="2">
    <w:abstractNumId w:val="17"/>
  </w:num>
  <w:num w:numId="3">
    <w:abstractNumId w:val="13"/>
  </w:num>
  <w:num w:numId="4">
    <w:abstractNumId w:val="39"/>
  </w:num>
  <w:num w:numId="5">
    <w:abstractNumId w:val="90"/>
  </w:num>
  <w:num w:numId="6">
    <w:abstractNumId w:val="46"/>
  </w:num>
  <w:num w:numId="7">
    <w:abstractNumId w:val="70"/>
  </w:num>
  <w:num w:numId="8">
    <w:abstractNumId w:val="52"/>
  </w:num>
  <w:num w:numId="9">
    <w:abstractNumId w:val="50"/>
  </w:num>
  <w:num w:numId="10">
    <w:abstractNumId w:val="75"/>
  </w:num>
  <w:num w:numId="11">
    <w:abstractNumId w:val="30"/>
  </w:num>
  <w:num w:numId="12">
    <w:abstractNumId w:val="72"/>
  </w:num>
  <w:num w:numId="13">
    <w:abstractNumId w:val="58"/>
  </w:num>
  <w:num w:numId="14">
    <w:abstractNumId w:val="91"/>
  </w:num>
  <w:num w:numId="15">
    <w:abstractNumId w:val="26"/>
  </w:num>
  <w:num w:numId="16">
    <w:abstractNumId w:val="7"/>
  </w:num>
  <w:num w:numId="17">
    <w:abstractNumId w:val="54"/>
  </w:num>
  <w:num w:numId="18">
    <w:abstractNumId w:val="5"/>
  </w:num>
  <w:num w:numId="19">
    <w:abstractNumId w:val="37"/>
  </w:num>
  <w:num w:numId="20">
    <w:abstractNumId w:val="56"/>
  </w:num>
  <w:num w:numId="21">
    <w:abstractNumId w:val="9"/>
  </w:num>
  <w:num w:numId="22">
    <w:abstractNumId w:val="38"/>
  </w:num>
  <w:num w:numId="23">
    <w:abstractNumId w:val="82"/>
  </w:num>
  <w:num w:numId="24">
    <w:abstractNumId w:val="36"/>
  </w:num>
  <w:num w:numId="25">
    <w:abstractNumId w:val="21"/>
  </w:num>
  <w:num w:numId="26">
    <w:abstractNumId w:val="49"/>
  </w:num>
  <w:num w:numId="27">
    <w:abstractNumId w:val="87"/>
  </w:num>
  <w:num w:numId="28">
    <w:abstractNumId w:val="12"/>
  </w:num>
  <w:num w:numId="29">
    <w:abstractNumId w:val="34"/>
  </w:num>
  <w:num w:numId="30">
    <w:abstractNumId w:val="8"/>
  </w:num>
  <w:num w:numId="31">
    <w:abstractNumId w:val="74"/>
  </w:num>
  <w:num w:numId="32">
    <w:abstractNumId w:val="10"/>
  </w:num>
  <w:num w:numId="33">
    <w:abstractNumId w:val="35"/>
  </w:num>
  <w:num w:numId="34">
    <w:abstractNumId w:val="15"/>
  </w:num>
  <w:num w:numId="35">
    <w:abstractNumId w:val="18"/>
  </w:num>
  <w:num w:numId="36">
    <w:abstractNumId w:val="24"/>
  </w:num>
  <w:num w:numId="37">
    <w:abstractNumId w:val="25"/>
  </w:num>
  <w:num w:numId="38">
    <w:abstractNumId w:val="44"/>
  </w:num>
  <w:num w:numId="39">
    <w:abstractNumId w:val="66"/>
  </w:num>
  <w:num w:numId="40">
    <w:abstractNumId w:val="68"/>
  </w:num>
  <w:num w:numId="41">
    <w:abstractNumId w:val="81"/>
  </w:num>
  <w:num w:numId="42">
    <w:abstractNumId w:val="84"/>
  </w:num>
  <w:num w:numId="4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7"/>
  </w:num>
  <w:num w:numId="45">
    <w:abstractNumId w:val="55"/>
  </w:num>
  <w:num w:numId="46">
    <w:abstractNumId w:val="60"/>
  </w:num>
  <w:num w:numId="47">
    <w:abstractNumId w:val="6"/>
  </w:num>
  <w:num w:numId="48">
    <w:abstractNumId w:val="14"/>
  </w:num>
  <w:num w:numId="49">
    <w:abstractNumId w:val="45"/>
  </w:num>
  <w:num w:numId="50">
    <w:abstractNumId w:val="89"/>
  </w:num>
  <w:num w:numId="51">
    <w:abstractNumId w:val="77"/>
  </w:num>
  <w:num w:numId="52">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
  </w:num>
  <w:num w:numId="54">
    <w:abstractNumId w:val="23"/>
  </w:num>
  <w:num w:numId="55">
    <w:abstractNumId w:val="76"/>
  </w:num>
  <w:num w:numId="56">
    <w:abstractNumId w:val="63"/>
  </w:num>
  <w:num w:numId="57">
    <w:abstractNumId w:val="22"/>
  </w:num>
  <w:num w:numId="58">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78"/>
  </w:num>
  <w:num w:numId="60">
    <w:abstractNumId w:val="53"/>
  </w:num>
  <w:num w:numId="61">
    <w:abstractNumId w:val="32"/>
  </w:num>
  <w:num w:numId="62">
    <w:abstractNumId w:val="43"/>
  </w:num>
  <w:num w:numId="63">
    <w:abstractNumId w:val="71"/>
  </w:num>
  <w:num w:numId="64">
    <w:abstractNumId w:val="80"/>
  </w:num>
  <w:num w:numId="65">
    <w:abstractNumId w:val="59"/>
  </w:num>
  <w:num w:numId="66">
    <w:abstractNumId w:val="64"/>
  </w:num>
  <w:num w:numId="67">
    <w:abstractNumId w:val="42"/>
  </w:num>
  <w:num w:numId="68">
    <w:abstractNumId w:val="31"/>
  </w:num>
  <w:num w:numId="69">
    <w:abstractNumId w:val="62"/>
  </w:num>
  <w:num w:numId="70">
    <w:abstractNumId w:val="28"/>
  </w:num>
  <w:num w:numId="71">
    <w:abstractNumId w:val="86"/>
  </w:num>
  <w:num w:numId="72">
    <w:abstractNumId w:val="65"/>
  </w:num>
  <w:num w:numId="73">
    <w:abstractNumId w:val="69"/>
  </w:num>
  <w:num w:numId="74">
    <w:abstractNumId w:val="47"/>
  </w:num>
  <w:num w:numId="75">
    <w:abstractNumId w:val="11"/>
  </w:num>
  <w:num w:numId="76">
    <w:abstractNumId w:val="51"/>
  </w:num>
  <w:num w:numId="77">
    <w:abstractNumId w:val="19"/>
  </w:num>
  <w:num w:numId="78">
    <w:abstractNumId w:val="20"/>
  </w:num>
  <w:num w:numId="79">
    <w:abstractNumId w:val="85"/>
  </w:num>
  <w:num w:numId="80">
    <w:abstractNumId w:val="16"/>
  </w:num>
  <w:num w:numId="81">
    <w:abstractNumId w:val="48"/>
  </w:num>
  <w:num w:numId="82">
    <w:abstractNumId w:val="83"/>
  </w:num>
  <w:num w:numId="83">
    <w:abstractNumId w:val="88"/>
  </w:num>
  <w:num w:numId="84">
    <w:abstractNumId w:val="41"/>
  </w:num>
  <w:num w:numId="85">
    <w:abstractNumId w:val="40"/>
  </w:num>
  <w:num w:numId="86">
    <w:abstractNumId w:val="33"/>
  </w:num>
  <w:num w:numId="87">
    <w:abstractNumId w:val="79"/>
  </w:num>
  <w:num w:numId="88">
    <w:abstractNumId w:val="4"/>
  </w:num>
  <w:num w:numId="89">
    <w:abstractNumId w:val="3"/>
  </w:num>
  <w:num w:numId="90">
    <w:abstractNumId w:val="2"/>
  </w:num>
  <w:num w:numId="91">
    <w:abstractNumId w:val="1"/>
  </w:num>
  <w:num w:numId="92">
    <w:abstractNumId w:val="0"/>
  </w:num>
  <w:num w:numId="9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3"/>
  </w:num>
  <w:num w:numId="95">
    <w:abstractNumId w:val="73"/>
  </w:num>
  <w:num w:numId="96">
    <w:abstractNumId w:val="61"/>
  </w:num>
  <w:num w:numId="97">
    <w:abstractNumId w:val="67"/>
  </w:num>
  <w:num w:numId="98">
    <w:abstractNumId w:val="29"/>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360"/>
  <w:displayHorizontalDrawingGridEvery w:val="0"/>
  <w:displayVerticalDrawingGridEvery w:val="0"/>
  <w:characterSpacingControl w:val="doNotCompress"/>
  <w:hdrShapeDefaults>
    <o:shapedefaults v:ext="edit" spidmax="1433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CSIRO Sustainable Yields&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DA4153"/>
    <w:rsid w:val="00000673"/>
    <w:rsid w:val="000006B4"/>
    <w:rsid w:val="00000ED6"/>
    <w:rsid w:val="000011BD"/>
    <w:rsid w:val="0000145D"/>
    <w:rsid w:val="0000170B"/>
    <w:rsid w:val="00001E05"/>
    <w:rsid w:val="000021B1"/>
    <w:rsid w:val="00002D3A"/>
    <w:rsid w:val="00002E2C"/>
    <w:rsid w:val="00002F74"/>
    <w:rsid w:val="0000301F"/>
    <w:rsid w:val="000030DD"/>
    <w:rsid w:val="00003192"/>
    <w:rsid w:val="00003677"/>
    <w:rsid w:val="00003709"/>
    <w:rsid w:val="00003771"/>
    <w:rsid w:val="00003B7D"/>
    <w:rsid w:val="000044FF"/>
    <w:rsid w:val="00004C70"/>
    <w:rsid w:val="00004FBB"/>
    <w:rsid w:val="000055D3"/>
    <w:rsid w:val="000059E3"/>
    <w:rsid w:val="00006088"/>
    <w:rsid w:val="000063D2"/>
    <w:rsid w:val="00006611"/>
    <w:rsid w:val="000067A9"/>
    <w:rsid w:val="00006833"/>
    <w:rsid w:val="0000686F"/>
    <w:rsid w:val="00006ACE"/>
    <w:rsid w:val="00006AD3"/>
    <w:rsid w:val="00007E81"/>
    <w:rsid w:val="00010399"/>
    <w:rsid w:val="00010823"/>
    <w:rsid w:val="00010C25"/>
    <w:rsid w:val="00010D2A"/>
    <w:rsid w:val="00011341"/>
    <w:rsid w:val="00011468"/>
    <w:rsid w:val="0001168A"/>
    <w:rsid w:val="00011BB4"/>
    <w:rsid w:val="00012023"/>
    <w:rsid w:val="000123D2"/>
    <w:rsid w:val="00012B18"/>
    <w:rsid w:val="000130B3"/>
    <w:rsid w:val="00013335"/>
    <w:rsid w:val="000138CD"/>
    <w:rsid w:val="00013A22"/>
    <w:rsid w:val="00013B56"/>
    <w:rsid w:val="00014117"/>
    <w:rsid w:val="000144B2"/>
    <w:rsid w:val="0001546C"/>
    <w:rsid w:val="00015B2D"/>
    <w:rsid w:val="00016744"/>
    <w:rsid w:val="00016A72"/>
    <w:rsid w:val="00017A94"/>
    <w:rsid w:val="00017C3F"/>
    <w:rsid w:val="00017CB1"/>
    <w:rsid w:val="00017E50"/>
    <w:rsid w:val="00020066"/>
    <w:rsid w:val="000205DD"/>
    <w:rsid w:val="00021403"/>
    <w:rsid w:val="00021865"/>
    <w:rsid w:val="00022036"/>
    <w:rsid w:val="000226A4"/>
    <w:rsid w:val="00022A94"/>
    <w:rsid w:val="00022AA2"/>
    <w:rsid w:val="0002303E"/>
    <w:rsid w:val="000234AA"/>
    <w:rsid w:val="00023A82"/>
    <w:rsid w:val="00023B2F"/>
    <w:rsid w:val="00023E15"/>
    <w:rsid w:val="00023F42"/>
    <w:rsid w:val="00024F8B"/>
    <w:rsid w:val="0002530F"/>
    <w:rsid w:val="000257F3"/>
    <w:rsid w:val="0002590B"/>
    <w:rsid w:val="00025BED"/>
    <w:rsid w:val="00025E01"/>
    <w:rsid w:val="00026E2F"/>
    <w:rsid w:val="00026E62"/>
    <w:rsid w:val="00027002"/>
    <w:rsid w:val="0002708F"/>
    <w:rsid w:val="00027655"/>
    <w:rsid w:val="00030A50"/>
    <w:rsid w:val="0003140A"/>
    <w:rsid w:val="00031603"/>
    <w:rsid w:val="00031718"/>
    <w:rsid w:val="0003258E"/>
    <w:rsid w:val="00032A1B"/>
    <w:rsid w:val="000332BD"/>
    <w:rsid w:val="00033B57"/>
    <w:rsid w:val="00033C81"/>
    <w:rsid w:val="00033F38"/>
    <w:rsid w:val="00033F61"/>
    <w:rsid w:val="00034294"/>
    <w:rsid w:val="00034330"/>
    <w:rsid w:val="000345D4"/>
    <w:rsid w:val="00034D6E"/>
    <w:rsid w:val="00034FD7"/>
    <w:rsid w:val="00035258"/>
    <w:rsid w:val="000358C0"/>
    <w:rsid w:val="00035A11"/>
    <w:rsid w:val="00035BBD"/>
    <w:rsid w:val="00035EB0"/>
    <w:rsid w:val="0003634C"/>
    <w:rsid w:val="0003651B"/>
    <w:rsid w:val="0003757E"/>
    <w:rsid w:val="00037B9C"/>
    <w:rsid w:val="00040190"/>
    <w:rsid w:val="0004088E"/>
    <w:rsid w:val="00041242"/>
    <w:rsid w:val="000412C2"/>
    <w:rsid w:val="000412E7"/>
    <w:rsid w:val="00041469"/>
    <w:rsid w:val="0004164D"/>
    <w:rsid w:val="00042057"/>
    <w:rsid w:val="00042842"/>
    <w:rsid w:val="000429C4"/>
    <w:rsid w:val="00042B19"/>
    <w:rsid w:val="000434C2"/>
    <w:rsid w:val="00043887"/>
    <w:rsid w:val="000439CC"/>
    <w:rsid w:val="000445B3"/>
    <w:rsid w:val="000452DE"/>
    <w:rsid w:val="0004558F"/>
    <w:rsid w:val="000457C0"/>
    <w:rsid w:val="00045993"/>
    <w:rsid w:val="00045E1C"/>
    <w:rsid w:val="000460F0"/>
    <w:rsid w:val="0004632E"/>
    <w:rsid w:val="00046586"/>
    <w:rsid w:val="000466A2"/>
    <w:rsid w:val="00046C46"/>
    <w:rsid w:val="00046D8E"/>
    <w:rsid w:val="0004704B"/>
    <w:rsid w:val="0004792A"/>
    <w:rsid w:val="00050419"/>
    <w:rsid w:val="0005045C"/>
    <w:rsid w:val="00050B94"/>
    <w:rsid w:val="00050E7E"/>
    <w:rsid w:val="0005202C"/>
    <w:rsid w:val="00052830"/>
    <w:rsid w:val="0005288E"/>
    <w:rsid w:val="00052A49"/>
    <w:rsid w:val="00052F47"/>
    <w:rsid w:val="0005310F"/>
    <w:rsid w:val="00053279"/>
    <w:rsid w:val="000532C5"/>
    <w:rsid w:val="00053608"/>
    <w:rsid w:val="000538FA"/>
    <w:rsid w:val="00053A80"/>
    <w:rsid w:val="00054894"/>
    <w:rsid w:val="00054D3E"/>
    <w:rsid w:val="00054EA6"/>
    <w:rsid w:val="00055F1D"/>
    <w:rsid w:val="0005624D"/>
    <w:rsid w:val="00056615"/>
    <w:rsid w:val="000567D0"/>
    <w:rsid w:val="0005717A"/>
    <w:rsid w:val="000573D5"/>
    <w:rsid w:val="0006032B"/>
    <w:rsid w:val="000604E8"/>
    <w:rsid w:val="00060EC2"/>
    <w:rsid w:val="00061522"/>
    <w:rsid w:val="00061C21"/>
    <w:rsid w:val="0006239E"/>
    <w:rsid w:val="00063043"/>
    <w:rsid w:val="0006338B"/>
    <w:rsid w:val="0006389E"/>
    <w:rsid w:val="00063F0D"/>
    <w:rsid w:val="00064FC0"/>
    <w:rsid w:val="00065032"/>
    <w:rsid w:val="00065326"/>
    <w:rsid w:val="00065463"/>
    <w:rsid w:val="00065A17"/>
    <w:rsid w:val="00065A7A"/>
    <w:rsid w:val="00065D2E"/>
    <w:rsid w:val="00066230"/>
    <w:rsid w:val="00066252"/>
    <w:rsid w:val="00066516"/>
    <w:rsid w:val="000665C5"/>
    <w:rsid w:val="00066DAF"/>
    <w:rsid w:val="00066EA0"/>
    <w:rsid w:val="00067264"/>
    <w:rsid w:val="00067280"/>
    <w:rsid w:val="00067762"/>
    <w:rsid w:val="00067876"/>
    <w:rsid w:val="00067A00"/>
    <w:rsid w:val="00067AF6"/>
    <w:rsid w:val="00067F52"/>
    <w:rsid w:val="00067F5A"/>
    <w:rsid w:val="0007085E"/>
    <w:rsid w:val="00070A53"/>
    <w:rsid w:val="00070B95"/>
    <w:rsid w:val="00070D65"/>
    <w:rsid w:val="00070E36"/>
    <w:rsid w:val="0007114D"/>
    <w:rsid w:val="00073163"/>
    <w:rsid w:val="00073708"/>
    <w:rsid w:val="00073B89"/>
    <w:rsid w:val="00073BB9"/>
    <w:rsid w:val="00073C1E"/>
    <w:rsid w:val="000742E4"/>
    <w:rsid w:val="0007452E"/>
    <w:rsid w:val="0007521A"/>
    <w:rsid w:val="0007581A"/>
    <w:rsid w:val="00075E47"/>
    <w:rsid w:val="0007634A"/>
    <w:rsid w:val="00076387"/>
    <w:rsid w:val="000768A9"/>
    <w:rsid w:val="00077518"/>
    <w:rsid w:val="00077694"/>
    <w:rsid w:val="000779D3"/>
    <w:rsid w:val="0008032C"/>
    <w:rsid w:val="00080F5C"/>
    <w:rsid w:val="00081550"/>
    <w:rsid w:val="00081C23"/>
    <w:rsid w:val="000829BA"/>
    <w:rsid w:val="00082F14"/>
    <w:rsid w:val="000835B2"/>
    <w:rsid w:val="0008364A"/>
    <w:rsid w:val="00083A35"/>
    <w:rsid w:val="0008450C"/>
    <w:rsid w:val="0008456C"/>
    <w:rsid w:val="00084B08"/>
    <w:rsid w:val="00084CDD"/>
    <w:rsid w:val="00084F3E"/>
    <w:rsid w:val="000850BB"/>
    <w:rsid w:val="0008540C"/>
    <w:rsid w:val="00085720"/>
    <w:rsid w:val="00085857"/>
    <w:rsid w:val="000859D9"/>
    <w:rsid w:val="00085E9E"/>
    <w:rsid w:val="0008632D"/>
    <w:rsid w:val="000863BF"/>
    <w:rsid w:val="000866B9"/>
    <w:rsid w:val="00086EEE"/>
    <w:rsid w:val="0008705A"/>
    <w:rsid w:val="000879F3"/>
    <w:rsid w:val="00087B86"/>
    <w:rsid w:val="00087BF5"/>
    <w:rsid w:val="00087C6D"/>
    <w:rsid w:val="000905DD"/>
    <w:rsid w:val="00090BFF"/>
    <w:rsid w:val="000917AC"/>
    <w:rsid w:val="00091E8F"/>
    <w:rsid w:val="00091FAE"/>
    <w:rsid w:val="00092A07"/>
    <w:rsid w:val="00093360"/>
    <w:rsid w:val="000935E4"/>
    <w:rsid w:val="00093C5B"/>
    <w:rsid w:val="00093D8E"/>
    <w:rsid w:val="00093E09"/>
    <w:rsid w:val="00094276"/>
    <w:rsid w:val="00094691"/>
    <w:rsid w:val="00094C37"/>
    <w:rsid w:val="0009548E"/>
    <w:rsid w:val="000956E3"/>
    <w:rsid w:val="00095814"/>
    <w:rsid w:val="00095835"/>
    <w:rsid w:val="00095CC9"/>
    <w:rsid w:val="000960A2"/>
    <w:rsid w:val="00096173"/>
    <w:rsid w:val="00096B2D"/>
    <w:rsid w:val="00097084"/>
    <w:rsid w:val="000A01A4"/>
    <w:rsid w:val="000A0569"/>
    <w:rsid w:val="000A1189"/>
    <w:rsid w:val="000A133D"/>
    <w:rsid w:val="000A1394"/>
    <w:rsid w:val="000A1FF4"/>
    <w:rsid w:val="000A2166"/>
    <w:rsid w:val="000A2A48"/>
    <w:rsid w:val="000A4AAB"/>
    <w:rsid w:val="000A4AB6"/>
    <w:rsid w:val="000A5870"/>
    <w:rsid w:val="000A6292"/>
    <w:rsid w:val="000A63A5"/>
    <w:rsid w:val="000A6DE5"/>
    <w:rsid w:val="000A6EFF"/>
    <w:rsid w:val="000A7670"/>
    <w:rsid w:val="000A7885"/>
    <w:rsid w:val="000B0207"/>
    <w:rsid w:val="000B02EC"/>
    <w:rsid w:val="000B065E"/>
    <w:rsid w:val="000B0859"/>
    <w:rsid w:val="000B0A75"/>
    <w:rsid w:val="000B0C4F"/>
    <w:rsid w:val="000B0F55"/>
    <w:rsid w:val="000B117F"/>
    <w:rsid w:val="000B1232"/>
    <w:rsid w:val="000B1EEC"/>
    <w:rsid w:val="000B21CF"/>
    <w:rsid w:val="000B21D3"/>
    <w:rsid w:val="000B2DAD"/>
    <w:rsid w:val="000B357C"/>
    <w:rsid w:val="000B3703"/>
    <w:rsid w:val="000B3B69"/>
    <w:rsid w:val="000B3BB7"/>
    <w:rsid w:val="000B40BD"/>
    <w:rsid w:val="000B488B"/>
    <w:rsid w:val="000B4CB5"/>
    <w:rsid w:val="000B4DDF"/>
    <w:rsid w:val="000B5093"/>
    <w:rsid w:val="000B53A9"/>
    <w:rsid w:val="000B553F"/>
    <w:rsid w:val="000B5859"/>
    <w:rsid w:val="000B61E5"/>
    <w:rsid w:val="000B7074"/>
    <w:rsid w:val="000B76B9"/>
    <w:rsid w:val="000C0014"/>
    <w:rsid w:val="000C1299"/>
    <w:rsid w:val="000C1499"/>
    <w:rsid w:val="000C17CA"/>
    <w:rsid w:val="000C19AA"/>
    <w:rsid w:val="000C214C"/>
    <w:rsid w:val="000C223A"/>
    <w:rsid w:val="000C268A"/>
    <w:rsid w:val="000C2CED"/>
    <w:rsid w:val="000C30B2"/>
    <w:rsid w:val="000C334C"/>
    <w:rsid w:val="000C3A73"/>
    <w:rsid w:val="000C432B"/>
    <w:rsid w:val="000C4916"/>
    <w:rsid w:val="000C519C"/>
    <w:rsid w:val="000C5F7B"/>
    <w:rsid w:val="000C5F7C"/>
    <w:rsid w:val="000C6D85"/>
    <w:rsid w:val="000C71D3"/>
    <w:rsid w:val="000C7B7F"/>
    <w:rsid w:val="000C7E8F"/>
    <w:rsid w:val="000D08C2"/>
    <w:rsid w:val="000D0BE3"/>
    <w:rsid w:val="000D0DC7"/>
    <w:rsid w:val="000D1BD0"/>
    <w:rsid w:val="000D20DB"/>
    <w:rsid w:val="000D3B81"/>
    <w:rsid w:val="000D3BC1"/>
    <w:rsid w:val="000D4344"/>
    <w:rsid w:val="000D48FB"/>
    <w:rsid w:val="000D51B9"/>
    <w:rsid w:val="000D664D"/>
    <w:rsid w:val="000D6E3E"/>
    <w:rsid w:val="000D7D82"/>
    <w:rsid w:val="000E0415"/>
    <w:rsid w:val="000E0809"/>
    <w:rsid w:val="000E0D29"/>
    <w:rsid w:val="000E1058"/>
    <w:rsid w:val="000E15BD"/>
    <w:rsid w:val="000E1797"/>
    <w:rsid w:val="000E2889"/>
    <w:rsid w:val="000E2922"/>
    <w:rsid w:val="000E347B"/>
    <w:rsid w:val="000E36FC"/>
    <w:rsid w:val="000E3834"/>
    <w:rsid w:val="000E3DB6"/>
    <w:rsid w:val="000E40DC"/>
    <w:rsid w:val="000E4AFB"/>
    <w:rsid w:val="000E4B11"/>
    <w:rsid w:val="000E5170"/>
    <w:rsid w:val="000E52C9"/>
    <w:rsid w:val="000E56E4"/>
    <w:rsid w:val="000E57DC"/>
    <w:rsid w:val="000E5828"/>
    <w:rsid w:val="000E5FA5"/>
    <w:rsid w:val="000E7BEB"/>
    <w:rsid w:val="000E7E0A"/>
    <w:rsid w:val="000E7E2D"/>
    <w:rsid w:val="000F0F62"/>
    <w:rsid w:val="000F17C6"/>
    <w:rsid w:val="000F17E9"/>
    <w:rsid w:val="000F181F"/>
    <w:rsid w:val="000F1C60"/>
    <w:rsid w:val="000F2070"/>
    <w:rsid w:val="000F2663"/>
    <w:rsid w:val="000F2862"/>
    <w:rsid w:val="000F28E7"/>
    <w:rsid w:val="000F2E06"/>
    <w:rsid w:val="000F2F3E"/>
    <w:rsid w:val="000F30AA"/>
    <w:rsid w:val="000F310B"/>
    <w:rsid w:val="000F353D"/>
    <w:rsid w:val="000F3B7A"/>
    <w:rsid w:val="000F41DB"/>
    <w:rsid w:val="000F50C9"/>
    <w:rsid w:val="000F5990"/>
    <w:rsid w:val="000F5B0D"/>
    <w:rsid w:val="000F6112"/>
    <w:rsid w:val="000F6979"/>
    <w:rsid w:val="000F75A8"/>
    <w:rsid w:val="00100717"/>
    <w:rsid w:val="00100877"/>
    <w:rsid w:val="00100F0A"/>
    <w:rsid w:val="001016AD"/>
    <w:rsid w:val="00101861"/>
    <w:rsid w:val="00102009"/>
    <w:rsid w:val="001021AC"/>
    <w:rsid w:val="00102630"/>
    <w:rsid w:val="00102896"/>
    <w:rsid w:val="00102AA3"/>
    <w:rsid w:val="00102FAE"/>
    <w:rsid w:val="001031E0"/>
    <w:rsid w:val="0010385B"/>
    <w:rsid w:val="001040AF"/>
    <w:rsid w:val="001040B2"/>
    <w:rsid w:val="0010477C"/>
    <w:rsid w:val="00104A7D"/>
    <w:rsid w:val="00104E71"/>
    <w:rsid w:val="00104F85"/>
    <w:rsid w:val="00105357"/>
    <w:rsid w:val="00105B4C"/>
    <w:rsid w:val="00105F5B"/>
    <w:rsid w:val="00106C07"/>
    <w:rsid w:val="001070E1"/>
    <w:rsid w:val="001071AF"/>
    <w:rsid w:val="00107AAB"/>
    <w:rsid w:val="00107C28"/>
    <w:rsid w:val="00110980"/>
    <w:rsid w:val="00111004"/>
    <w:rsid w:val="001110D8"/>
    <w:rsid w:val="00111877"/>
    <w:rsid w:val="00111CB2"/>
    <w:rsid w:val="00111E98"/>
    <w:rsid w:val="00111F64"/>
    <w:rsid w:val="001128EE"/>
    <w:rsid w:val="00112DBB"/>
    <w:rsid w:val="00113439"/>
    <w:rsid w:val="001139BD"/>
    <w:rsid w:val="00113D1F"/>
    <w:rsid w:val="001144B3"/>
    <w:rsid w:val="0011469B"/>
    <w:rsid w:val="00114C18"/>
    <w:rsid w:val="00114D05"/>
    <w:rsid w:val="00114F4B"/>
    <w:rsid w:val="00115065"/>
    <w:rsid w:val="0011509D"/>
    <w:rsid w:val="00115176"/>
    <w:rsid w:val="0011529C"/>
    <w:rsid w:val="0011542D"/>
    <w:rsid w:val="001154F6"/>
    <w:rsid w:val="0011590B"/>
    <w:rsid w:val="001165F7"/>
    <w:rsid w:val="00116F3D"/>
    <w:rsid w:val="00117C14"/>
    <w:rsid w:val="0012000B"/>
    <w:rsid w:val="00120137"/>
    <w:rsid w:val="0012053D"/>
    <w:rsid w:val="00120575"/>
    <w:rsid w:val="00120583"/>
    <w:rsid w:val="00120638"/>
    <w:rsid w:val="00121FAD"/>
    <w:rsid w:val="001220BF"/>
    <w:rsid w:val="001229B7"/>
    <w:rsid w:val="0012336C"/>
    <w:rsid w:val="00123556"/>
    <w:rsid w:val="0012438A"/>
    <w:rsid w:val="00124864"/>
    <w:rsid w:val="00124897"/>
    <w:rsid w:val="00124C25"/>
    <w:rsid w:val="00124EC4"/>
    <w:rsid w:val="001255FF"/>
    <w:rsid w:val="00125968"/>
    <w:rsid w:val="00125DEC"/>
    <w:rsid w:val="00125E41"/>
    <w:rsid w:val="001260F3"/>
    <w:rsid w:val="001264AE"/>
    <w:rsid w:val="00126732"/>
    <w:rsid w:val="00126EDB"/>
    <w:rsid w:val="001273A2"/>
    <w:rsid w:val="001273F2"/>
    <w:rsid w:val="0012755B"/>
    <w:rsid w:val="00127658"/>
    <w:rsid w:val="00127866"/>
    <w:rsid w:val="00127E0A"/>
    <w:rsid w:val="00130AC6"/>
    <w:rsid w:val="00131584"/>
    <w:rsid w:val="00132358"/>
    <w:rsid w:val="00132B6F"/>
    <w:rsid w:val="00132C55"/>
    <w:rsid w:val="00132CF4"/>
    <w:rsid w:val="00132DA9"/>
    <w:rsid w:val="00133174"/>
    <w:rsid w:val="00133A87"/>
    <w:rsid w:val="00133FE6"/>
    <w:rsid w:val="001345DB"/>
    <w:rsid w:val="00134F0D"/>
    <w:rsid w:val="001358C4"/>
    <w:rsid w:val="001360CF"/>
    <w:rsid w:val="00136201"/>
    <w:rsid w:val="0013645A"/>
    <w:rsid w:val="001365D9"/>
    <w:rsid w:val="00136AB7"/>
    <w:rsid w:val="00136C28"/>
    <w:rsid w:val="0013712E"/>
    <w:rsid w:val="00137320"/>
    <w:rsid w:val="001373F8"/>
    <w:rsid w:val="001376F9"/>
    <w:rsid w:val="00137C6C"/>
    <w:rsid w:val="0014021C"/>
    <w:rsid w:val="001403F7"/>
    <w:rsid w:val="001409B7"/>
    <w:rsid w:val="00140D12"/>
    <w:rsid w:val="001410D8"/>
    <w:rsid w:val="00141471"/>
    <w:rsid w:val="001426A3"/>
    <w:rsid w:val="0014299B"/>
    <w:rsid w:val="001429B0"/>
    <w:rsid w:val="00142A33"/>
    <w:rsid w:val="00142C5C"/>
    <w:rsid w:val="00142FE4"/>
    <w:rsid w:val="0014309C"/>
    <w:rsid w:val="0014480D"/>
    <w:rsid w:val="00144B4F"/>
    <w:rsid w:val="00144C2A"/>
    <w:rsid w:val="0014589E"/>
    <w:rsid w:val="001458CB"/>
    <w:rsid w:val="001459C6"/>
    <w:rsid w:val="0014601B"/>
    <w:rsid w:val="001465BE"/>
    <w:rsid w:val="00146A15"/>
    <w:rsid w:val="00146C46"/>
    <w:rsid w:val="00146CF1"/>
    <w:rsid w:val="00147032"/>
    <w:rsid w:val="00147349"/>
    <w:rsid w:val="00147A71"/>
    <w:rsid w:val="00147F80"/>
    <w:rsid w:val="00150A77"/>
    <w:rsid w:val="00150BDB"/>
    <w:rsid w:val="001514C5"/>
    <w:rsid w:val="00151689"/>
    <w:rsid w:val="00151AF2"/>
    <w:rsid w:val="00151CDA"/>
    <w:rsid w:val="00151D8B"/>
    <w:rsid w:val="00151E29"/>
    <w:rsid w:val="00151EAD"/>
    <w:rsid w:val="00153412"/>
    <w:rsid w:val="0015459C"/>
    <w:rsid w:val="001547AB"/>
    <w:rsid w:val="001547FD"/>
    <w:rsid w:val="00154A97"/>
    <w:rsid w:val="00154C39"/>
    <w:rsid w:val="00155083"/>
    <w:rsid w:val="00155A47"/>
    <w:rsid w:val="0015611A"/>
    <w:rsid w:val="00156E7E"/>
    <w:rsid w:val="001574EB"/>
    <w:rsid w:val="00157962"/>
    <w:rsid w:val="00157A80"/>
    <w:rsid w:val="00157DCE"/>
    <w:rsid w:val="00160004"/>
    <w:rsid w:val="001606A8"/>
    <w:rsid w:val="001609C3"/>
    <w:rsid w:val="00160BC6"/>
    <w:rsid w:val="00160E71"/>
    <w:rsid w:val="00161C0D"/>
    <w:rsid w:val="0016219C"/>
    <w:rsid w:val="00162EAC"/>
    <w:rsid w:val="001634F1"/>
    <w:rsid w:val="00164086"/>
    <w:rsid w:val="0016426A"/>
    <w:rsid w:val="001645F9"/>
    <w:rsid w:val="00164AB1"/>
    <w:rsid w:val="00164DCA"/>
    <w:rsid w:val="00166890"/>
    <w:rsid w:val="00166949"/>
    <w:rsid w:val="0016728C"/>
    <w:rsid w:val="001673D0"/>
    <w:rsid w:val="00167662"/>
    <w:rsid w:val="001678CA"/>
    <w:rsid w:val="00167CAE"/>
    <w:rsid w:val="00167F38"/>
    <w:rsid w:val="00170093"/>
    <w:rsid w:val="00170A45"/>
    <w:rsid w:val="00170B05"/>
    <w:rsid w:val="00170F90"/>
    <w:rsid w:val="00171BDB"/>
    <w:rsid w:val="00171DBA"/>
    <w:rsid w:val="0017252B"/>
    <w:rsid w:val="00172857"/>
    <w:rsid w:val="001735E2"/>
    <w:rsid w:val="00173ADB"/>
    <w:rsid w:val="00173BCD"/>
    <w:rsid w:val="0017576F"/>
    <w:rsid w:val="00175818"/>
    <w:rsid w:val="001759FB"/>
    <w:rsid w:val="00176825"/>
    <w:rsid w:val="00176D31"/>
    <w:rsid w:val="00176E0E"/>
    <w:rsid w:val="001800C5"/>
    <w:rsid w:val="00180578"/>
    <w:rsid w:val="00180BD6"/>
    <w:rsid w:val="00180C00"/>
    <w:rsid w:val="00180E50"/>
    <w:rsid w:val="00181692"/>
    <w:rsid w:val="00181778"/>
    <w:rsid w:val="00181872"/>
    <w:rsid w:val="001818B9"/>
    <w:rsid w:val="00181998"/>
    <w:rsid w:val="00181C68"/>
    <w:rsid w:val="0018209A"/>
    <w:rsid w:val="001832AC"/>
    <w:rsid w:val="001836FC"/>
    <w:rsid w:val="0018377D"/>
    <w:rsid w:val="00183D8E"/>
    <w:rsid w:val="00183E68"/>
    <w:rsid w:val="001842F5"/>
    <w:rsid w:val="001848A2"/>
    <w:rsid w:val="00184D03"/>
    <w:rsid w:val="0018507D"/>
    <w:rsid w:val="0018551D"/>
    <w:rsid w:val="00185938"/>
    <w:rsid w:val="00185F6F"/>
    <w:rsid w:val="00185F70"/>
    <w:rsid w:val="001863FE"/>
    <w:rsid w:val="00186625"/>
    <w:rsid w:val="00186A83"/>
    <w:rsid w:val="00186ADE"/>
    <w:rsid w:val="00186C06"/>
    <w:rsid w:val="001873BE"/>
    <w:rsid w:val="001877BE"/>
    <w:rsid w:val="001878FD"/>
    <w:rsid w:val="0019077E"/>
    <w:rsid w:val="001909B3"/>
    <w:rsid w:val="0019221A"/>
    <w:rsid w:val="00192AD4"/>
    <w:rsid w:val="00192BF4"/>
    <w:rsid w:val="00192CD5"/>
    <w:rsid w:val="00192D7C"/>
    <w:rsid w:val="00192EC4"/>
    <w:rsid w:val="00193005"/>
    <w:rsid w:val="0019373F"/>
    <w:rsid w:val="00193C8F"/>
    <w:rsid w:val="00193F23"/>
    <w:rsid w:val="00193F9E"/>
    <w:rsid w:val="00194447"/>
    <w:rsid w:val="00195632"/>
    <w:rsid w:val="0019593A"/>
    <w:rsid w:val="00195CBF"/>
    <w:rsid w:val="00196368"/>
    <w:rsid w:val="001968CC"/>
    <w:rsid w:val="00196995"/>
    <w:rsid w:val="00196B04"/>
    <w:rsid w:val="00196ED3"/>
    <w:rsid w:val="00197620"/>
    <w:rsid w:val="0019762C"/>
    <w:rsid w:val="001976B2"/>
    <w:rsid w:val="001A020C"/>
    <w:rsid w:val="001A02D0"/>
    <w:rsid w:val="001A0793"/>
    <w:rsid w:val="001A0FA4"/>
    <w:rsid w:val="001A105B"/>
    <w:rsid w:val="001A17F1"/>
    <w:rsid w:val="001A18D5"/>
    <w:rsid w:val="001A1A11"/>
    <w:rsid w:val="001A2563"/>
    <w:rsid w:val="001A2849"/>
    <w:rsid w:val="001A2BE5"/>
    <w:rsid w:val="001A33E1"/>
    <w:rsid w:val="001A3AFD"/>
    <w:rsid w:val="001A47AF"/>
    <w:rsid w:val="001A4998"/>
    <w:rsid w:val="001A4BD4"/>
    <w:rsid w:val="001A4EB7"/>
    <w:rsid w:val="001A4FA7"/>
    <w:rsid w:val="001A5364"/>
    <w:rsid w:val="001A566D"/>
    <w:rsid w:val="001A571B"/>
    <w:rsid w:val="001A58DC"/>
    <w:rsid w:val="001A59FE"/>
    <w:rsid w:val="001A5DE0"/>
    <w:rsid w:val="001A5EEB"/>
    <w:rsid w:val="001A6384"/>
    <w:rsid w:val="001A6A07"/>
    <w:rsid w:val="001A6B2D"/>
    <w:rsid w:val="001A7158"/>
    <w:rsid w:val="001A79EA"/>
    <w:rsid w:val="001B0320"/>
    <w:rsid w:val="001B053B"/>
    <w:rsid w:val="001B05EA"/>
    <w:rsid w:val="001B06F0"/>
    <w:rsid w:val="001B0AD7"/>
    <w:rsid w:val="001B1758"/>
    <w:rsid w:val="001B188C"/>
    <w:rsid w:val="001B1F7F"/>
    <w:rsid w:val="001B2358"/>
    <w:rsid w:val="001B2CA4"/>
    <w:rsid w:val="001B2D1B"/>
    <w:rsid w:val="001B35B2"/>
    <w:rsid w:val="001B393A"/>
    <w:rsid w:val="001B3E0C"/>
    <w:rsid w:val="001B3E77"/>
    <w:rsid w:val="001B41C3"/>
    <w:rsid w:val="001B47F1"/>
    <w:rsid w:val="001B4840"/>
    <w:rsid w:val="001B4E3C"/>
    <w:rsid w:val="001B50B8"/>
    <w:rsid w:val="001B52FE"/>
    <w:rsid w:val="001B5B18"/>
    <w:rsid w:val="001B5C50"/>
    <w:rsid w:val="001B5C78"/>
    <w:rsid w:val="001B5CE8"/>
    <w:rsid w:val="001B5F9B"/>
    <w:rsid w:val="001B6504"/>
    <w:rsid w:val="001B712E"/>
    <w:rsid w:val="001B75C9"/>
    <w:rsid w:val="001C0E44"/>
    <w:rsid w:val="001C1410"/>
    <w:rsid w:val="001C226B"/>
    <w:rsid w:val="001C2736"/>
    <w:rsid w:val="001C2989"/>
    <w:rsid w:val="001C33C3"/>
    <w:rsid w:val="001C45E9"/>
    <w:rsid w:val="001C48C7"/>
    <w:rsid w:val="001C5F70"/>
    <w:rsid w:val="001C695A"/>
    <w:rsid w:val="001C6DA2"/>
    <w:rsid w:val="001C73C8"/>
    <w:rsid w:val="001C74E7"/>
    <w:rsid w:val="001C7C28"/>
    <w:rsid w:val="001C7F3A"/>
    <w:rsid w:val="001D0EDA"/>
    <w:rsid w:val="001D23C5"/>
    <w:rsid w:val="001D35DA"/>
    <w:rsid w:val="001D3606"/>
    <w:rsid w:val="001D3878"/>
    <w:rsid w:val="001D39AC"/>
    <w:rsid w:val="001D3F65"/>
    <w:rsid w:val="001D45BA"/>
    <w:rsid w:val="001D4E38"/>
    <w:rsid w:val="001D5180"/>
    <w:rsid w:val="001D5342"/>
    <w:rsid w:val="001D53A7"/>
    <w:rsid w:val="001D5B4A"/>
    <w:rsid w:val="001D6075"/>
    <w:rsid w:val="001D6215"/>
    <w:rsid w:val="001D69F5"/>
    <w:rsid w:val="001D72BB"/>
    <w:rsid w:val="001D7714"/>
    <w:rsid w:val="001D777E"/>
    <w:rsid w:val="001D7819"/>
    <w:rsid w:val="001E0E3C"/>
    <w:rsid w:val="001E1418"/>
    <w:rsid w:val="001E1667"/>
    <w:rsid w:val="001E1928"/>
    <w:rsid w:val="001E1BE6"/>
    <w:rsid w:val="001E2368"/>
    <w:rsid w:val="001E2965"/>
    <w:rsid w:val="001E32C3"/>
    <w:rsid w:val="001E3301"/>
    <w:rsid w:val="001E384E"/>
    <w:rsid w:val="001E42A2"/>
    <w:rsid w:val="001E4751"/>
    <w:rsid w:val="001E5D1F"/>
    <w:rsid w:val="001E6022"/>
    <w:rsid w:val="001E64D5"/>
    <w:rsid w:val="001E68AB"/>
    <w:rsid w:val="001E773B"/>
    <w:rsid w:val="001E7C09"/>
    <w:rsid w:val="001F02F7"/>
    <w:rsid w:val="001F0A83"/>
    <w:rsid w:val="001F0AC6"/>
    <w:rsid w:val="001F0B04"/>
    <w:rsid w:val="001F0D1A"/>
    <w:rsid w:val="001F1285"/>
    <w:rsid w:val="001F13BE"/>
    <w:rsid w:val="001F17B6"/>
    <w:rsid w:val="001F1841"/>
    <w:rsid w:val="001F18E8"/>
    <w:rsid w:val="001F2232"/>
    <w:rsid w:val="001F249B"/>
    <w:rsid w:val="001F31B8"/>
    <w:rsid w:val="001F33B7"/>
    <w:rsid w:val="001F3649"/>
    <w:rsid w:val="001F380D"/>
    <w:rsid w:val="001F3D53"/>
    <w:rsid w:val="001F5949"/>
    <w:rsid w:val="001F5C2E"/>
    <w:rsid w:val="001F5E0A"/>
    <w:rsid w:val="001F6049"/>
    <w:rsid w:val="001F730D"/>
    <w:rsid w:val="001F764D"/>
    <w:rsid w:val="001F7809"/>
    <w:rsid w:val="001F7E6B"/>
    <w:rsid w:val="00200E26"/>
    <w:rsid w:val="00201709"/>
    <w:rsid w:val="00201CBD"/>
    <w:rsid w:val="00201D4F"/>
    <w:rsid w:val="00201D5F"/>
    <w:rsid w:val="002026D6"/>
    <w:rsid w:val="00203191"/>
    <w:rsid w:val="002031D6"/>
    <w:rsid w:val="0020323D"/>
    <w:rsid w:val="002036AE"/>
    <w:rsid w:val="00203E7D"/>
    <w:rsid w:val="00204056"/>
    <w:rsid w:val="00206939"/>
    <w:rsid w:val="00206A66"/>
    <w:rsid w:val="00207476"/>
    <w:rsid w:val="0020766A"/>
    <w:rsid w:val="00207DD8"/>
    <w:rsid w:val="00207EBF"/>
    <w:rsid w:val="00207F0C"/>
    <w:rsid w:val="00210484"/>
    <w:rsid w:val="0021052C"/>
    <w:rsid w:val="002108EB"/>
    <w:rsid w:val="00211393"/>
    <w:rsid w:val="00211501"/>
    <w:rsid w:val="002115B1"/>
    <w:rsid w:val="002116E4"/>
    <w:rsid w:val="00211930"/>
    <w:rsid w:val="00211B86"/>
    <w:rsid w:val="0021298C"/>
    <w:rsid w:val="00212FAA"/>
    <w:rsid w:val="00213159"/>
    <w:rsid w:val="002136E5"/>
    <w:rsid w:val="00213FA1"/>
    <w:rsid w:val="0021410D"/>
    <w:rsid w:val="0021443B"/>
    <w:rsid w:val="0021490D"/>
    <w:rsid w:val="00214AFB"/>
    <w:rsid w:val="00214E55"/>
    <w:rsid w:val="0021520E"/>
    <w:rsid w:val="00215EE9"/>
    <w:rsid w:val="002163AA"/>
    <w:rsid w:val="0021722A"/>
    <w:rsid w:val="002176DE"/>
    <w:rsid w:val="002177E9"/>
    <w:rsid w:val="00217A03"/>
    <w:rsid w:val="00217AFC"/>
    <w:rsid w:val="00217B08"/>
    <w:rsid w:val="00217C8D"/>
    <w:rsid w:val="00220C73"/>
    <w:rsid w:val="00220CAE"/>
    <w:rsid w:val="00221F1F"/>
    <w:rsid w:val="002223A0"/>
    <w:rsid w:val="00222937"/>
    <w:rsid w:val="00222C07"/>
    <w:rsid w:val="002235EB"/>
    <w:rsid w:val="00224190"/>
    <w:rsid w:val="002242C0"/>
    <w:rsid w:val="00224501"/>
    <w:rsid w:val="00224B2B"/>
    <w:rsid w:val="00224D36"/>
    <w:rsid w:val="002254C7"/>
    <w:rsid w:val="00225621"/>
    <w:rsid w:val="002268C3"/>
    <w:rsid w:val="00227C4E"/>
    <w:rsid w:val="002301C7"/>
    <w:rsid w:val="002303A7"/>
    <w:rsid w:val="00230855"/>
    <w:rsid w:val="00230A40"/>
    <w:rsid w:val="00230F7F"/>
    <w:rsid w:val="0023178E"/>
    <w:rsid w:val="00232658"/>
    <w:rsid w:val="00232C8C"/>
    <w:rsid w:val="00232CD6"/>
    <w:rsid w:val="0023321A"/>
    <w:rsid w:val="002334BC"/>
    <w:rsid w:val="002335B1"/>
    <w:rsid w:val="0023381B"/>
    <w:rsid w:val="00234895"/>
    <w:rsid w:val="0023497B"/>
    <w:rsid w:val="00234F4C"/>
    <w:rsid w:val="0023518C"/>
    <w:rsid w:val="00235AE6"/>
    <w:rsid w:val="00235B43"/>
    <w:rsid w:val="00235CA8"/>
    <w:rsid w:val="00235EC9"/>
    <w:rsid w:val="00235FE2"/>
    <w:rsid w:val="00236007"/>
    <w:rsid w:val="00236075"/>
    <w:rsid w:val="002368E0"/>
    <w:rsid w:val="00236BF8"/>
    <w:rsid w:val="00237578"/>
    <w:rsid w:val="00237725"/>
    <w:rsid w:val="00240966"/>
    <w:rsid w:val="002414E8"/>
    <w:rsid w:val="00241924"/>
    <w:rsid w:val="00241A29"/>
    <w:rsid w:val="00241A44"/>
    <w:rsid w:val="00242124"/>
    <w:rsid w:val="00242160"/>
    <w:rsid w:val="0024248C"/>
    <w:rsid w:val="00242776"/>
    <w:rsid w:val="002427FB"/>
    <w:rsid w:val="0024387F"/>
    <w:rsid w:val="002442DD"/>
    <w:rsid w:val="00244D79"/>
    <w:rsid w:val="0024520D"/>
    <w:rsid w:val="00245856"/>
    <w:rsid w:val="00245A13"/>
    <w:rsid w:val="00246530"/>
    <w:rsid w:val="00246878"/>
    <w:rsid w:val="002471F2"/>
    <w:rsid w:val="002476C7"/>
    <w:rsid w:val="002478A6"/>
    <w:rsid w:val="00247A24"/>
    <w:rsid w:val="00250377"/>
    <w:rsid w:val="00250831"/>
    <w:rsid w:val="00250A08"/>
    <w:rsid w:val="0025149E"/>
    <w:rsid w:val="0025343B"/>
    <w:rsid w:val="0025391A"/>
    <w:rsid w:val="00253BDE"/>
    <w:rsid w:val="00253E82"/>
    <w:rsid w:val="00254026"/>
    <w:rsid w:val="002543C3"/>
    <w:rsid w:val="00254DF5"/>
    <w:rsid w:val="00255451"/>
    <w:rsid w:val="00255E0B"/>
    <w:rsid w:val="002562CC"/>
    <w:rsid w:val="00256479"/>
    <w:rsid w:val="00256490"/>
    <w:rsid w:val="002566B1"/>
    <w:rsid w:val="00256DD6"/>
    <w:rsid w:val="00256E2B"/>
    <w:rsid w:val="00257045"/>
    <w:rsid w:val="002573B5"/>
    <w:rsid w:val="00257814"/>
    <w:rsid w:val="00257C8B"/>
    <w:rsid w:val="0026039C"/>
    <w:rsid w:val="00260523"/>
    <w:rsid w:val="00260DAF"/>
    <w:rsid w:val="002611C1"/>
    <w:rsid w:val="00261A2B"/>
    <w:rsid w:val="00261BAC"/>
    <w:rsid w:val="00261D5D"/>
    <w:rsid w:val="002624C5"/>
    <w:rsid w:val="00262AB4"/>
    <w:rsid w:val="00262E05"/>
    <w:rsid w:val="00262FCE"/>
    <w:rsid w:val="002633FF"/>
    <w:rsid w:val="00263751"/>
    <w:rsid w:val="002638DF"/>
    <w:rsid w:val="00263A75"/>
    <w:rsid w:val="00263F57"/>
    <w:rsid w:val="00264067"/>
    <w:rsid w:val="00264454"/>
    <w:rsid w:val="00264675"/>
    <w:rsid w:val="0026498F"/>
    <w:rsid w:val="00264A9C"/>
    <w:rsid w:val="00264CA8"/>
    <w:rsid w:val="002652AD"/>
    <w:rsid w:val="0026538F"/>
    <w:rsid w:val="0026580A"/>
    <w:rsid w:val="00265B9F"/>
    <w:rsid w:val="002665DD"/>
    <w:rsid w:val="002668D5"/>
    <w:rsid w:val="00266B79"/>
    <w:rsid w:val="002670E9"/>
    <w:rsid w:val="002671CC"/>
    <w:rsid w:val="00267348"/>
    <w:rsid w:val="0026774B"/>
    <w:rsid w:val="00267C64"/>
    <w:rsid w:val="00267CAA"/>
    <w:rsid w:val="00267EBD"/>
    <w:rsid w:val="0027011A"/>
    <w:rsid w:val="002702C8"/>
    <w:rsid w:val="00270625"/>
    <w:rsid w:val="00270CBE"/>
    <w:rsid w:val="00270EB6"/>
    <w:rsid w:val="002714E0"/>
    <w:rsid w:val="00271F2C"/>
    <w:rsid w:val="00272135"/>
    <w:rsid w:val="002724EC"/>
    <w:rsid w:val="002729A2"/>
    <w:rsid w:val="00272ECF"/>
    <w:rsid w:val="0027336F"/>
    <w:rsid w:val="0027386C"/>
    <w:rsid w:val="002741F8"/>
    <w:rsid w:val="0027486C"/>
    <w:rsid w:val="0027491C"/>
    <w:rsid w:val="002749AB"/>
    <w:rsid w:val="00274C92"/>
    <w:rsid w:val="00275B0E"/>
    <w:rsid w:val="00276034"/>
    <w:rsid w:val="002763A5"/>
    <w:rsid w:val="00276555"/>
    <w:rsid w:val="00276A4B"/>
    <w:rsid w:val="00276B5A"/>
    <w:rsid w:val="002771A5"/>
    <w:rsid w:val="002774FA"/>
    <w:rsid w:val="0028016F"/>
    <w:rsid w:val="002805A7"/>
    <w:rsid w:val="00280AF5"/>
    <w:rsid w:val="002820EC"/>
    <w:rsid w:val="0028308E"/>
    <w:rsid w:val="00283248"/>
    <w:rsid w:val="00283DB0"/>
    <w:rsid w:val="00283F52"/>
    <w:rsid w:val="0028402E"/>
    <w:rsid w:val="0028405C"/>
    <w:rsid w:val="00284242"/>
    <w:rsid w:val="00284576"/>
    <w:rsid w:val="00284A37"/>
    <w:rsid w:val="00285673"/>
    <w:rsid w:val="00285998"/>
    <w:rsid w:val="00286877"/>
    <w:rsid w:val="00286D0B"/>
    <w:rsid w:val="00286E91"/>
    <w:rsid w:val="00287150"/>
    <w:rsid w:val="00290494"/>
    <w:rsid w:val="00290850"/>
    <w:rsid w:val="00290AFB"/>
    <w:rsid w:val="00290DE0"/>
    <w:rsid w:val="0029139D"/>
    <w:rsid w:val="00291533"/>
    <w:rsid w:val="0029171A"/>
    <w:rsid w:val="00291BC0"/>
    <w:rsid w:val="00291BC6"/>
    <w:rsid w:val="00291F9C"/>
    <w:rsid w:val="00292B75"/>
    <w:rsid w:val="00293AEB"/>
    <w:rsid w:val="00293BE8"/>
    <w:rsid w:val="0029402B"/>
    <w:rsid w:val="002940F7"/>
    <w:rsid w:val="002948C2"/>
    <w:rsid w:val="00294D25"/>
    <w:rsid w:val="00294D9A"/>
    <w:rsid w:val="002950E1"/>
    <w:rsid w:val="00295446"/>
    <w:rsid w:val="002955F1"/>
    <w:rsid w:val="00296319"/>
    <w:rsid w:val="00296B19"/>
    <w:rsid w:val="00296C04"/>
    <w:rsid w:val="00296DD7"/>
    <w:rsid w:val="002972D7"/>
    <w:rsid w:val="00297CA5"/>
    <w:rsid w:val="002A01C9"/>
    <w:rsid w:val="002A04FA"/>
    <w:rsid w:val="002A0748"/>
    <w:rsid w:val="002A081E"/>
    <w:rsid w:val="002A0EB9"/>
    <w:rsid w:val="002A1639"/>
    <w:rsid w:val="002A1652"/>
    <w:rsid w:val="002A2306"/>
    <w:rsid w:val="002A24CE"/>
    <w:rsid w:val="002A264F"/>
    <w:rsid w:val="002A2C65"/>
    <w:rsid w:val="002A2C9C"/>
    <w:rsid w:val="002A337A"/>
    <w:rsid w:val="002A339F"/>
    <w:rsid w:val="002A348C"/>
    <w:rsid w:val="002A34FE"/>
    <w:rsid w:val="002A3994"/>
    <w:rsid w:val="002A3CAA"/>
    <w:rsid w:val="002A3E91"/>
    <w:rsid w:val="002A4828"/>
    <w:rsid w:val="002A4A8F"/>
    <w:rsid w:val="002A4AE2"/>
    <w:rsid w:val="002A518B"/>
    <w:rsid w:val="002A5C66"/>
    <w:rsid w:val="002A5D5B"/>
    <w:rsid w:val="002A6599"/>
    <w:rsid w:val="002A679B"/>
    <w:rsid w:val="002A72B7"/>
    <w:rsid w:val="002A738B"/>
    <w:rsid w:val="002A77A8"/>
    <w:rsid w:val="002A7F41"/>
    <w:rsid w:val="002B0036"/>
    <w:rsid w:val="002B0291"/>
    <w:rsid w:val="002B07BE"/>
    <w:rsid w:val="002B135F"/>
    <w:rsid w:val="002B1635"/>
    <w:rsid w:val="002B1FB8"/>
    <w:rsid w:val="002B2BDD"/>
    <w:rsid w:val="002B2E72"/>
    <w:rsid w:val="002B3648"/>
    <w:rsid w:val="002B3825"/>
    <w:rsid w:val="002B3F0F"/>
    <w:rsid w:val="002B4E46"/>
    <w:rsid w:val="002B4EA4"/>
    <w:rsid w:val="002B5726"/>
    <w:rsid w:val="002B63A8"/>
    <w:rsid w:val="002B671B"/>
    <w:rsid w:val="002B6A2D"/>
    <w:rsid w:val="002B71C4"/>
    <w:rsid w:val="002B73CF"/>
    <w:rsid w:val="002B75F6"/>
    <w:rsid w:val="002C0276"/>
    <w:rsid w:val="002C0C9E"/>
    <w:rsid w:val="002C1849"/>
    <w:rsid w:val="002C1C01"/>
    <w:rsid w:val="002C201F"/>
    <w:rsid w:val="002C24F4"/>
    <w:rsid w:val="002C27A5"/>
    <w:rsid w:val="002C2A97"/>
    <w:rsid w:val="002C33F4"/>
    <w:rsid w:val="002C3420"/>
    <w:rsid w:val="002C3690"/>
    <w:rsid w:val="002C382B"/>
    <w:rsid w:val="002C3FAC"/>
    <w:rsid w:val="002C4128"/>
    <w:rsid w:val="002C4135"/>
    <w:rsid w:val="002C4136"/>
    <w:rsid w:val="002C417A"/>
    <w:rsid w:val="002C4A1A"/>
    <w:rsid w:val="002C4EB3"/>
    <w:rsid w:val="002C5C15"/>
    <w:rsid w:val="002C5D41"/>
    <w:rsid w:val="002C5E32"/>
    <w:rsid w:val="002C6364"/>
    <w:rsid w:val="002C6458"/>
    <w:rsid w:val="002C661C"/>
    <w:rsid w:val="002C69D1"/>
    <w:rsid w:val="002C6BFE"/>
    <w:rsid w:val="002D069F"/>
    <w:rsid w:val="002D0A4D"/>
    <w:rsid w:val="002D0DE2"/>
    <w:rsid w:val="002D1395"/>
    <w:rsid w:val="002D1A8F"/>
    <w:rsid w:val="002D1B0F"/>
    <w:rsid w:val="002D1B69"/>
    <w:rsid w:val="002D259A"/>
    <w:rsid w:val="002D334D"/>
    <w:rsid w:val="002D337D"/>
    <w:rsid w:val="002D3A0D"/>
    <w:rsid w:val="002D3C9E"/>
    <w:rsid w:val="002D3EF4"/>
    <w:rsid w:val="002D4C66"/>
    <w:rsid w:val="002D4D74"/>
    <w:rsid w:val="002D58C1"/>
    <w:rsid w:val="002D638C"/>
    <w:rsid w:val="002D63A5"/>
    <w:rsid w:val="002D63A7"/>
    <w:rsid w:val="002D6D0A"/>
    <w:rsid w:val="002D6D95"/>
    <w:rsid w:val="002D6EDC"/>
    <w:rsid w:val="002D6FCB"/>
    <w:rsid w:val="002D717F"/>
    <w:rsid w:val="002D7901"/>
    <w:rsid w:val="002E072C"/>
    <w:rsid w:val="002E0765"/>
    <w:rsid w:val="002E0A07"/>
    <w:rsid w:val="002E0CC1"/>
    <w:rsid w:val="002E10AF"/>
    <w:rsid w:val="002E1680"/>
    <w:rsid w:val="002E1A9E"/>
    <w:rsid w:val="002E1C47"/>
    <w:rsid w:val="002E2AE2"/>
    <w:rsid w:val="002E2FD5"/>
    <w:rsid w:val="002E3B30"/>
    <w:rsid w:val="002E3D9D"/>
    <w:rsid w:val="002E3FBE"/>
    <w:rsid w:val="002E4464"/>
    <w:rsid w:val="002E4FB7"/>
    <w:rsid w:val="002E5FE0"/>
    <w:rsid w:val="002E67A9"/>
    <w:rsid w:val="002E74E0"/>
    <w:rsid w:val="002E76DE"/>
    <w:rsid w:val="002E7D60"/>
    <w:rsid w:val="002E7E2B"/>
    <w:rsid w:val="002E7F5E"/>
    <w:rsid w:val="002F00CF"/>
    <w:rsid w:val="002F068E"/>
    <w:rsid w:val="002F0AAF"/>
    <w:rsid w:val="002F216D"/>
    <w:rsid w:val="002F2F7B"/>
    <w:rsid w:val="002F38E7"/>
    <w:rsid w:val="002F3D46"/>
    <w:rsid w:val="002F3E25"/>
    <w:rsid w:val="002F3E5A"/>
    <w:rsid w:val="002F3FEB"/>
    <w:rsid w:val="002F41A2"/>
    <w:rsid w:val="002F4707"/>
    <w:rsid w:val="002F4A42"/>
    <w:rsid w:val="002F4B85"/>
    <w:rsid w:val="002F703B"/>
    <w:rsid w:val="002F7AEF"/>
    <w:rsid w:val="002F7BDE"/>
    <w:rsid w:val="0030007F"/>
    <w:rsid w:val="00300318"/>
    <w:rsid w:val="003004DC"/>
    <w:rsid w:val="00300915"/>
    <w:rsid w:val="00300E9A"/>
    <w:rsid w:val="00301183"/>
    <w:rsid w:val="003013EC"/>
    <w:rsid w:val="00301DB0"/>
    <w:rsid w:val="0030293D"/>
    <w:rsid w:val="00302A5C"/>
    <w:rsid w:val="0030312B"/>
    <w:rsid w:val="00303908"/>
    <w:rsid w:val="00304664"/>
    <w:rsid w:val="00304CC5"/>
    <w:rsid w:val="003051F1"/>
    <w:rsid w:val="003052E7"/>
    <w:rsid w:val="003052E8"/>
    <w:rsid w:val="00305649"/>
    <w:rsid w:val="00305666"/>
    <w:rsid w:val="0030587A"/>
    <w:rsid w:val="00305A37"/>
    <w:rsid w:val="0030612A"/>
    <w:rsid w:val="003069CD"/>
    <w:rsid w:val="00306A06"/>
    <w:rsid w:val="00307316"/>
    <w:rsid w:val="003074CA"/>
    <w:rsid w:val="003076F9"/>
    <w:rsid w:val="00307CE9"/>
    <w:rsid w:val="00310013"/>
    <w:rsid w:val="003106EF"/>
    <w:rsid w:val="00310D30"/>
    <w:rsid w:val="00310E06"/>
    <w:rsid w:val="00311356"/>
    <w:rsid w:val="00311876"/>
    <w:rsid w:val="00311D0E"/>
    <w:rsid w:val="00311DB0"/>
    <w:rsid w:val="00311ED1"/>
    <w:rsid w:val="00312220"/>
    <w:rsid w:val="00312AEE"/>
    <w:rsid w:val="003130BE"/>
    <w:rsid w:val="00313463"/>
    <w:rsid w:val="003141EF"/>
    <w:rsid w:val="00314250"/>
    <w:rsid w:val="00314CB5"/>
    <w:rsid w:val="00314D04"/>
    <w:rsid w:val="00314DD0"/>
    <w:rsid w:val="00314FA1"/>
    <w:rsid w:val="0031524A"/>
    <w:rsid w:val="00315F2B"/>
    <w:rsid w:val="003160D6"/>
    <w:rsid w:val="003164D0"/>
    <w:rsid w:val="0031677E"/>
    <w:rsid w:val="00316A12"/>
    <w:rsid w:val="0031738D"/>
    <w:rsid w:val="003174B9"/>
    <w:rsid w:val="00317FFB"/>
    <w:rsid w:val="003200BC"/>
    <w:rsid w:val="0032019F"/>
    <w:rsid w:val="003201E0"/>
    <w:rsid w:val="003208FC"/>
    <w:rsid w:val="00321049"/>
    <w:rsid w:val="003211D9"/>
    <w:rsid w:val="00321257"/>
    <w:rsid w:val="00321549"/>
    <w:rsid w:val="0032154F"/>
    <w:rsid w:val="0032201E"/>
    <w:rsid w:val="0032208A"/>
    <w:rsid w:val="00322093"/>
    <w:rsid w:val="003223D1"/>
    <w:rsid w:val="00322FDE"/>
    <w:rsid w:val="00323E2F"/>
    <w:rsid w:val="003241A0"/>
    <w:rsid w:val="003244C0"/>
    <w:rsid w:val="00324A02"/>
    <w:rsid w:val="00324DC1"/>
    <w:rsid w:val="0032655E"/>
    <w:rsid w:val="003277FD"/>
    <w:rsid w:val="00327D6E"/>
    <w:rsid w:val="00330036"/>
    <w:rsid w:val="003306CC"/>
    <w:rsid w:val="00330761"/>
    <w:rsid w:val="003307CC"/>
    <w:rsid w:val="00330FB2"/>
    <w:rsid w:val="00332040"/>
    <w:rsid w:val="00332377"/>
    <w:rsid w:val="0033338C"/>
    <w:rsid w:val="00333491"/>
    <w:rsid w:val="003337D8"/>
    <w:rsid w:val="003338F3"/>
    <w:rsid w:val="00333DD8"/>
    <w:rsid w:val="003341EA"/>
    <w:rsid w:val="003350A6"/>
    <w:rsid w:val="0033516A"/>
    <w:rsid w:val="003352B9"/>
    <w:rsid w:val="003353E4"/>
    <w:rsid w:val="00335E79"/>
    <w:rsid w:val="00336460"/>
    <w:rsid w:val="00336FC3"/>
    <w:rsid w:val="00337737"/>
    <w:rsid w:val="00337990"/>
    <w:rsid w:val="00337F94"/>
    <w:rsid w:val="003404B9"/>
    <w:rsid w:val="00340B7A"/>
    <w:rsid w:val="00340D8E"/>
    <w:rsid w:val="00340DBD"/>
    <w:rsid w:val="003412E3"/>
    <w:rsid w:val="0034131F"/>
    <w:rsid w:val="00341E9B"/>
    <w:rsid w:val="00342723"/>
    <w:rsid w:val="00342ACE"/>
    <w:rsid w:val="00342B73"/>
    <w:rsid w:val="00342C1C"/>
    <w:rsid w:val="00342F01"/>
    <w:rsid w:val="003431A1"/>
    <w:rsid w:val="003438E1"/>
    <w:rsid w:val="00343D73"/>
    <w:rsid w:val="00343E6A"/>
    <w:rsid w:val="00344C6A"/>
    <w:rsid w:val="003450B0"/>
    <w:rsid w:val="00345988"/>
    <w:rsid w:val="00345ADA"/>
    <w:rsid w:val="00345C30"/>
    <w:rsid w:val="003460C6"/>
    <w:rsid w:val="003468F5"/>
    <w:rsid w:val="00347007"/>
    <w:rsid w:val="0034714F"/>
    <w:rsid w:val="0034722E"/>
    <w:rsid w:val="00347766"/>
    <w:rsid w:val="003504F1"/>
    <w:rsid w:val="0035089F"/>
    <w:rsid w:val="003520B9"/>
    <w:rsid w:val="00352ABF"/>
    <w:rsid w:val="003544E9"/>
    <w:rsid w:val="00354864"/>
    <w:rsid w:val="00354919"/>
    <w:rsid w:val="00355D8F"/>
    <w:rsid w:val="0035725F"/>
    <w:rsid w:val="003574F1"/>
    <w:rsid w:val="00357505"/>
    <w:rsid w:val="00357A2B"/>
    <w:rsid w:val="00360265"/>
    <w:rsid w:val="00360B8D"/>
    <w:rsid w:val="00360EA3"/>
    <w:rsid w:val="00360F35"/>
    <w:rsid w:val="003614AC"/>
    <w:rsid w:val="003618CA"/>
    <w:rsid w:val="003619B1"/>
    <w:rsid w:val="00362308"/>
    <w:rsid w:val="00362519"/>
    <w:rsid w:val="003633E1"/>
    <w:rsid w:val="00363889"/>
    <w:rsid w:val="00364140"/>
    <w:rsid w:val="00364563"/>
    <w:rsid w:val="00364C6C"/>
    <w:rsid w:val="00364DF2"/>
    <w:rsid w:val="00365806"/>
    <w:rsid w:val="00365C92"/>
    <w:rsid w:val="00365CA6"/>
    <w:rsid w:val="0036654D"/>
    <w:rsid w:val="00366796"/>
    <w:rsid w:val="00366909"/>
    <w:rsid w:val="00366CD9"/>
    <w:rsid w:val="00366E23"/>
    <w:rsid w:val="003677FA"/>
    <w:rsid w:val="00367B59"/>
    <w:rsid w:val="00367DD7"/>
    <w:rsid w:val="00370368"/>
    <w:rsid w:val="00370950"/>
    <w:rsid w:val="00371865"/>
    <w:rsid w:val="00372D18"/>
    <w:rsid w:val="00372DB4"/>
    <w:rsid w:val="00373201"/>
    <w:rsid w:val="0037368B"/>
    <w:rsid w:val="003741A2"/>
    <w:rsid w:val="00375C71"/>
    <w:rsid w:val="00376925"/>
    <w:rsid w:val="00376D0C"/>
    <w:rsid w:val="00377010"/>
    <w:rsid w:val="00377864"/>
    <w:rsid w:val="0038007F"/>
    <w:rsid w:val="003806AC"/>
    <w:rsid w:val="00380701"/>
    <w:rsid w:val="00380AB9"/>
    <w:rsid w:val="00381346"/>
    <w:rsid w:val="00381CDD"/>
    <w:rsid w:val="003820BE"/>
    <w:rsid w:val="00382190"/>
    <w:rsid w:val="00382442"/>
    <w:rsid w:val="00382762"/>
    <w:rsid w:val="0038296E"/>
    <w:rsid w:val="00382B28"/>
    <w:rsid w:val="00382D72"/>
    <w:rsid w:val="003842BB"/>
    <w:rsid w:val="00384DFA"/>
    <w:rsid w:val="00385513"/>
    <w:rsid w:val="0038569E"/>
    <w:rsid w:val="00385BEB"/>
    <w:rsid w:val="003866CC"/>
    <w:rsid w:val="00386CDD"/>
    <w:rsid w:val="00386F04"/>
    <w:rsid w:val="00387395"/>
    <w:rsid w:val="00387E27"/>
    <w:rsid w:val="003900B8"/>
    <w:rsid w:val="003907A3"/>
    <w:rsid w:val="00390C49"/>
    <w:rsid w:val="00390CF6"/>
    <w:rsid w:val="00391DBB"/>
    <w:rsid w:val="003923F4"/>
    <w:rsid w:val="00392460"/>
    <w:rsid w:val="0039268A"/>
    <w:rsid w:val="00393023"/>
    <w:rsid w:val="00393757"/>
    <w:rsid w:val="0039385E"/>
    <w:rsid w:val="00394A41"/>
    <w:rsid w:val="00394A6F"/>
    <w:rsid w:val="00395F0D"/>
    <w:rsid w:val="00395F5A"/>
    <w:rsid w:val="0039614E"/>
    <w:rsid w:val="00396750"/>
    <w:rsid w:val="0039686E"/>
    <w:rsid w:val="00396FBA"/>
    <w:rsid w:val="00397106"/>
    <w:rsid w:val="003971D0"/>
    <w:rsid w:val="00397262"/>
    <w:rsid w:val="00397624"/>
    <w:rsid w:val="00397858"/>
    <w:rsid w:val="003A0306"/>
    <w:rsid w:val="003A0969"/>
    <w:rsid w:val="003A0E12"/>
    <w:rsid w:val="003A11DD"/>
    <w:rsid w:val="003A1B6D"/>
    <w:rsid w:val="003A1F8E"/>
    <w:rsid w:val="003A2980"/>
    <w:rsid w:val="003A2D12"/>
    <w:rsid w:val="003A2FB8"/>
    <w:rsid w:val="003A34D6"/>
    <w:rsid w:val="003A366F"/>
    <w:rsid w:val="003A385B"/>
    <w:rsid w:val="003A3BFB"/>
    <w:rsid w:val="003A3D32"/>
    <w:rsid w:val="003A40D7"/>
    <w:rsid w:val="003A54AC"/>
    <w:rsid w:val="003A6133"/>
    <w:rsid w:val="003A624E"/>
    <w:rsid w:val="003A69A8"/>
    <w:rsid w:val="003A6A70"/>
    <w:rsid w:val="003A6C29"/>
    <w:rsid w:val="003A6DC9"/>
    <w:rsid w:val="003A7950"/>
    <w:rsid w:val="003A7D20"/>
    <w:rsid w:val="003B0208"/>
    <w:rsid w:val="003B0744"/>
    <w:rsid w:val="003B1132"/>
    <w:rsid w:val="003B28C4"/>
    <w:rsid w:val="003B36C5"/>
    <w:rsid w:val="003B3905"/>
    <w:rsid w:val="003B3B6E"/>
    <w:rsid w:val="003B423C"/>
    <w:rsid w:val="003B42AA"/>
    <w:rsid w:val="003B451F"/>
    <w:rsid w:val="003B4B86"/>
    <w:rsid w:val="003B5BB4"/>
    <w:rsid w:val="003B613E"/>
    <w:rsid w:val="003B64BF"/>
    <w:rsid w:val="003B72FC"/>
    <w:rsid w:val="003B785D"/>
    <w:rsid w:val="003C0176"/>
    <w:rsid w:val="003C054E"/>
    <w:rsid w:val="003C1136"/>
    <w:rsid w:val="003C13B6"/>
    <w:rsid w:val="003C157A"/>
    <w:rsid w:val="003C171B"/>
    <w:rsid w:val="003C18FF"/>
    <w:rsid w:val="003C21D2"/>
    <w:rsid w:val="003C21D9"/>
    <w:rsid w:val="003C26C2"/>
    <w:rsid w:val="003C2D58"/>
    <w:rsid w:val="003C2DD7"/>
    <w:rsid w:val="003C36D3"/>
    <w:rsid w:val="003C3750"/>
    <w:rsid w:val="003C39B1"/>
    <w:rsid w:val="003C39E5"/>
    <w:rsid w:val="003C43A9"/>
    <w:rsid w:val="003C4731"/>
    <w:rsid w:val="003C47A4"/>
    <w:rsid w:val="003C4D05"/>
    <w:rsid w:val="003C540F"/>
    <w:rsid w:val="003C5657"/>
    <w:rsid w:val="003C592E"/>
    <w:rsid w:val="003C5DB2"/>
    <w:rsid w:val="003C5E39"/>
    <w:rsid w:val="003C6015"/>
    <w:rsid w:val="003C6261"/>
    <w:rsid w:val="003C6590"/>
    <w:rsid w:val="003C76CE"/>
    <w:rsid w:val="003C7993"/>
    <w:rsid w:val="003C7F48"/>
    <w:rsid w:val="003D0503"/>
    <w:rsid w:val="003D0A77"/>
    <w:rsid w:val="003D256F"/>
    <w:rsid w:val="003D2686"/>
    <w:rsid w:val="003D288A"/>
    <w:rsid w:val="003D2A17"/>
    <w:rsid w:val="003D3787"/>
    <w:rsid w:val="003D382E"/>
    <w:rsid w:val="003D3BA9"/>
    <w:rsid w:val="003D440C"/>
    <w:rsid w:val="003D4440"/>
    <w:rsid w:val="003D4871"/>
    <w:rsid w:val="003D4FD4"/>
    <w:rsid w:val="003D54BA"/>
    <w:rsid w:val="003D5EFB"/>
    <w:rsid w:val="003D71C0"/>
    <w:rsid w:val="003D73AE"/>
    <w:rsid w:val="003D7564"/>
    <w:rsid w:val="003D76E6"/>
    <w:rsid w:val="003D7DB2"/>
    <w:rsid w:val="003E0B6B"/>
    <w:rsid w:val="003E18B8"/>
    <w:rsid w:val="003E1CEB"/>
    <w:rsid w:val="003E1F54"/>
    <w:rsid w:val="003E2380"/>
    <w:rsid w:val="003E2F2B"/>
    <w:rsid w:val="003E2F49"/>
    <w:rsid w:val="003E2F84"/>
    <w:rsid w:val="003E3108"/>
    <w:rsid w:val="003E37AD"/>
    <w:rsid w:val="003E40C6"/>
    <w:rsid w:val="003E4704"/>
    <w:rsid w:val="003E4802"/>
    <w:rsid w:val="003E4950"/>
    <w:rsid w:val="003E4A73"/>
    <w:rsid w:val="003E4BD6"/>
    <w:rsid w:val="003E58FC"/>
    <w:rsid w:val="003E5C41"/>
    <w:rsid w:val="003E5F5B"/>
    <w:rsid w:val="003E62B3"/>
    <w:rsid w:val="003E65A5"/>
    <w:rsid w:val="003E68A8"/>
    <w:rsid w:val="003E6B66"/>
    <w:rsid w:val="003E6BD3"/>
    <w:rsid w:val="003E6DBA"/>
    <w:rsid w:val="003E7111"/>
    <w:rsid w:val="003E7503"/>
    <w:rsid w:val="003F02D5"/>
    <w:rsid w:val="003F03E6"/>
    <w:rsid w:val="003F0EC2"/>
    <w:rsid w:val="003F11FB"/>
    <w:rsid w:val="003F14A3"/>
    <w:rsid w:val="003F1CD7"/>
    <w:rsid w:val="003F2101"/>
    <w:rsid w:val="003F2285"/>
    <w:rsid w:val="003F29DE"/>
    <w:rsid w:val="003F2C6F"/>
    <w:rsid w:val="003F2D37"/>
    <w:rsid w:val="003F2EEB"/>
    <w:rsid w:val="003F32F4"/>
    <w:rsid w:val="003F357B"/>
    <w:rsid w:val="003F3B09"/>
    <w:rsid w:val="003F4566"/>
    <w:rsid w:val="003F4893"/>
    <w:rsid w:val="003F4BF1"/>
    <w:rsid w:val="003F4E33"/>
    <w:rsid w:val="003F549C"/>
    <w:rsid w:val="003F552F"/>
    <w:rsid w:val="003F5E8F"/>
    <w:rsid w:val="003F6260"/>
    <w:rsid w:val="003F68D2"/>
    <w:rsid w:val="003F6DEC"/>
    <w:rsid w:val="003F74BF"/>
    <w:rsid w:val="003F7869"/>
    <w:rsid w:val="00400375"/>
    <w:rsid w:val="004004AA"/>
    <w:rsid w:val="0040053B"/>
    <w:rsid w:val="004005B6"/>
    <w:rsid w:val="00400A2D"/>
    <w:rsid w:val="00400F16"/>
    <w:rsid w:val="00401816"/>
    <w:rsid w:val="00401F03"/>
    <w:rsid w:val="00402163"/>
    <w:rsid w:val="004026DE"/>
    <w:rsid w:val="00402B69"/>
    <w:rsid w:val="00402DE4"/>
    <w:rsid w:val="00402F82"/>
    <w:rsid w:val="00403192"/>
    <w:rsid w:val="004032C3"/>
    <w:rsid w:val="004034EC"/>
    <w:rsid w:val="004037AF"/>
    <w:rsid w:val="004038FD"/>
    <w:rsid w:val="00403BFA"/>
    <w:rsid w:val="00403EEC"/>
    <w:rsid w:val="004042E5"/>
    <w:rsid w:val="00404513"/>
    <w:rsid w:val="00404CCF"/>
    <w:rsid w:val="00404E23"/>
    <w:rsid w:val="00405DB4"/>
    <w:rsid w:val="00405DDE"/>
    <w:rsid w:val="00405FF8"/>
    <w:rsid w:val="00406C50"/>
    <w:rsid w:val="004101D2"/>
    <w:rsid w:val="00410F42"/>
    <w:rsid w:val="00410FB0"/>
    <w:rsid w:val="0041246E"/>
    <w:rsid w:val="00412755"/>
    <w:rsid w:val="00412A9F"/>
    <w:rsid w:val="00414050"/>
    <w:rsid w:val="004147E8"/>
    <w:rsid w:val="00415711"/>
    <w:rsid w:val="00415D7A"/>
    <w:rsid w:val="00415DA3"/>
    <w:rsid w:val="00415DA6"/>
    <w:rsid w:val="00415E09"/>
    <w:rsid w:val="004162B6"/>
    <w:rsid w:val="00417EBA"/>
    <w:rsid w:val="004203CC"/>
    <w:rsid w:val="0042076C"/>
    <w:rsid w:val="004209CE"/>
    <w:rsid w:val="00420DC1"/>
    <w:rsid w:val="0042177C"/>
    <w:rsid w:val="00421E1F"/>
    <w:rsid w:val="00422050"/>
    <w:rsid w:val="00422432"/>
    <w:rsid w:val="00422468"/>
    <w:rsid w:val="00422569"/>
    <w:rsid w:val="00422A96"/>
    <w:rsid w:val="00423090"/>
    <w:rsid w:val="00423204"/>
    <w:rsid w:val="00423291"/>
    <w:rsid w:val="00423398"/>
    <w:rsid w:val="004238CB"/>
    <w:rsid w:val="00423A97"/>
    <w:rsid w:val="00423AAF"/>
    <w:rsid w:val="00423B31"/>
    <w:rsid w:val="00425347"/>
    <w:rsid w:val="004257E0"/>
    <w:rsid w:val="00425FDB"/>
    <w:rsid w:val="0042712B"/>
    <w:rsid w:val="00430485"/>
    <w:rsid w:val="00430714"/>
    <w:rsid w:val="00430AC5"/>
    <w:rsid w:val="00430AE4"/>
    <w:rsid w:val="00430BC4"/>
    <w:rsid w:val="00430C6B"/>
    <w:rsid w:val="0043101F"/>
    <w:rsid w:val="004314AA"/>
    <w:rsid w:val="00431A12"/>
    <w:rsid w:val="00431C39"/>
    <w:rsid w:val="00431CE6"/>
    <w:rsid w:val="00431FD1"/>
    <w:rsid w:val="00432C3C"/>
    <w:rsid w:val="00432F53"/>
    <w:rsid w:val="00433AC7"/>
    <w:rsid w:val="0043454B"/>
    <w:rsid w:val="0043491B"/>
    <w:rsid w:val="00435494"/>
    <w:rsid w:val="00435E2B"/>
    <w:rsid w:val="00435EF4"/>
    <w:rsid w:val="0043628D"/>
    <w:rsid w:val="004367DF"/>
    <w:rsid w:val="00436998"/>
    <w:rsid w:val="004376E3"/>
    <w:rsid w:val="00437714"/>
    <w:rsid w:val="00440145"/>
    <w:rsid w:val="0044065D"/>
    <w:rsid w:val="004407DC"/>
    <w:rsid w:val="00440E4C"/>
    <w:rsid w:val="00440EA6"/>
    <w:rsid w:val="0044118A"/>
    <w:rsid w:val="004420E1"/>
    <w:rsid w:val="00442A59"/>
    <w:rsid w:val="0044320A"/>
    <w:rsid w:val="004434D8"/>
    <w:rsid w:val="004437D7"/>
    <w:rsid w:val="00443850"/>
    <w:rsid w:val="004442DF"/>
    <w:rsid w:val="004448B1"/>
    <w:rsid w:val="004455C0"/>
    <w:rsid w:val="004458D1"/>
    <w:rsid w:val="0044590B"/>
    <w:rsid w:val="004467A5"/>
    <w:rsid w:val="00446D69"/>
    <w:rsid w:val="00447078"/>
    <w:rsid w:val="00447A19"/>
    <w:rsid w:val="004501F5"/>
    <w:rsid w:val="00450451"/>
    <w:rsid w:val="0045082A"/>
    <w:rsid w:val="004508AC"/>
    <w:rsid w:val="00450CED"/>
    <w:rsid w:val="0045210D"/>
    <w:rsid w:val="004524C8"/>
    <w:rsid w:val="00453182"/>
    <w:rsid w:val="004535BE"/>
    <w:rsid w:val="00453A1E"/>
    <w:rsid w:val="00453D5D"/>
    <w:rsid w:val="004542C7"/>
    <w:rsid w:val="00454359"/>
    <w:rsid w:val="00454C42"/>
    <w:rsid w:val="00454EA6"/>
    <w:rsid w:val="004564F1"/>
    <w:rsid w:val="00456710"/>
    <w:rsid w:val="00456811"/>
    <w:rsid w:val="004568BF"/>
    <w:rsid w:val="00457072"/>
    <w:rsid w:val="00457090"/>
    <w:rsid w:val="00457711"/>
    <w:rsid w:val="00460223"/>
    <w:rsid w:val="00460426"/>
    <w:rsid w:val="004607D4"/>
    <w:rsid w:val="00460DBC"/>
    <w:rsid w:val="00461233"/>
    <w:rsid w:val="00461847"/>
    <w:rsid w:val="00461EAE"/>
    <w:rsid w:val="00462428"/>
    <w:rsid w:val="00462C84"/>
    <w:rsid w:val="0046316D"/>
    <w:rsid w:val="004632E2"/>
    <w:rsid w:val="00463627"/>
    <w:rsid w:val="00463869"/>
    <w:rsid w:val="00463D2D"/>
    <w:rsid w:val="0046400D"/>
    <w:rsid w:val="004643DE"/>
    <w:rsid w:val="0046467C"/>
    <w:rsid w:val="00464D75"/>
    <w:rsid w:val="00465547"/>
    <w:rsid w:val="00465573"/>
    <w:rsid w:val="00465741"/>
    <w:rsid w:val="00465C5E"/>
    <w:rsid w:val="00465F01"/>
    <w:rsid w:val="004662B7"/>
    <w:rsid w:val="004662C5"/>
    <w:rsid w:val="0046663C"/>
    <w:rsid w:val="0046698C"/>
    <w:rsid w:val="004669CD"/>
    <w:rsid w:val="00466D33"/>
    <w:rsid w:val="00467436"/>
    <w:rsid w:val="00467C5A"/>
    <w:rsid w:val="004701DF"/>
    <w:rsid w:val="00470577"/>
    <w:rsid w:val="004706F8"/>
    <w:rsid w:val="004707B6"/>
    <w:rsid w:val="004709BE"/>
    <w:rsid w:val="00470C2D"/>
    <w:rsid w:val="00471824"/>
    <w:rsid w:val="004718A7"/>
    <w:rsid w:val="004729D2"/>
    <w:rsid w:val="0047307F"/>
    <w:rsid w:val="004733D8"/>
    <w:rsid w:val="004734C7"/>
    <w:rsid w:val="0047357F"/>
    <w:rsid w:val="00473A8B"/>
    <w:rsid w:val="00474555"/>
    <w:rsid w:val="0047531C"/>
    <w:rsid w:val="00475872"/>
    <w:rsid w:val="0047618D"/>
    <w:rsid w:val="00476630"/>
    <w:rsid w:val="0047664A"/>
    <w:rsid w:val="004768C0"/>
    <w:rsid w:val="00476B69"/>
    <w:rsid w:val="00476C70"/>
    <w:rsid w:val="004770A0"/>
    <w:rsid w:val="00477413"/>
    <w:rsid w:val="00477DF9"/>
    <w:rsid w:val="004800BB"/>
    <w:rsid w:val="00480282"/>
    <w:rsid w:val="004804DA"/>
    <w:rsid w:val="00480DFC"/>
    <w:rsid w:val="004814C5"/>
    <w:rsid w:val="00481F85"/>
    <w:rsid w:val="0048392A"/>
    <w:rsid w:val="00483BD0"/>
    <w:rsid w:val="00484A42"/>
    <w:rsid w:val="00484AF3"/>
    <w:rsid w:val="00485271"/>
    <w:rsid w:val="004855EB"/>
    <w:rsid w:val="0048560A"/>
    <w:rsid w:val="00485662"/>
    <w:rsid w:val="004860BD"/>
    <w:rsid w:val="004862E7"/>
    <w:rsid w:val="004863D4"/>
    <w:rsid w:val="00486871"/>
    <w:rsid w:val="00486C61"/>
    <w:rsid w:val="00486EFE"/>
    <w:rsid w:val="00486FB8"/>
    <w:rsid w:val="00487067"/>
    <w:rsid w:val="004870AA"/>
    <w:rsid w:val="004870BB"/>
    <w:rsid w:val="0048786F"/>
    <w:rsid w:val="00487895"/>
    <w:rsid w:val="00487A7E"/>
    <w:rsid w:val="00490432"/>
    <w:rsid w:val="004909D2"/>
    <w:rsid w:val="00491C6E"/>
    <w:rsid w:val="004920DF"/>
    <w:rsid w:val="00492948"/>
    <w:rsid w:val="004929F6"/>
    <w:rsid w:val="00492D64"/>
    <w:rsid w:val="00492EE9"/>
    <w:rsid w:val="0049459B"/>
    <w:rsid w:val="0049467E"/>
    <w:rsid w:val="0049536D"/>
    <w:rsid w:val="00495914"/>
    <w:rsid w:val="00495F00"/>
    <w:rsid w:val="00496208"/>
    <w:rsid w:val="0049628B"/>
    <w:rsid w:val="004974CA"/>
    <w:rsid w:val="004977F2"/>
    <w:rsid w:val="0049796E"/>
    <w:rsid w:val="00497D3D"/>
    <w:rsid w:val="004A1616"/>
    <w:rsid w:val="004A1F3F"/>
    <w:rsid w:val="004A2572"/>
    <w:rsid w:val="004A28B9"/>
    <w:rsid w:val="004A298A"/>
    <w:rsid w:val="004A31D0"/>
    <w:rsid w:val="004A3CB5"/>
    <w:rsid w:val="004A4007"/>
    <w:rsid w:val="004A440F"/>
    <w:rsid w:val="004A44BA"/>
    <w:rsid w:val="004A48DF"/>
    <w:rsid w:val="004A50BE"/>
    <w:rsid w:val="004A5227"/>
    <w:rsid w:val="004A5350"/>
    <w:rsid w:val="004A5A22"/>
    <w:rsid w:val="004A5DE1"/>
    <w:rsid w:val="004A5F8F"/>
    <w:rsid w:val="004A64EB"/>
    <w:rsid w:val="004A65B6"/>
    <w:rsid w:val="004A6977"/>
    <w:rsid w:val="004A6A39"/>
    <w:rsid w:val="004A71A5"/>
    <w:rsid w:val="004A7452"/>
    <w:rsid w:val="004A7C12"/>
    <w:rsid w:val="004A7CBB"/>
    <w:rsid w:val="004B0800"/>
    <w:rsid w:val="004B0840"/>
    <w:rsid w:val="004B0976"/>
    <w:rsid w:val="004B0B9C"/>
    <w:rsid w:val="004B0C32"/>
    <w:rsid w:val="004B14AF"/>
    <w:rsid w:val="004B1BB4"/>
    <w:rsid w:val="004B2241"/>
    <w:rsid w:val="004B23AB"/>
    <w:rsid w:val="004B246A"/>
    <w:rsid w:val="004B327F"/>
    <w:rsid w:val="004B347F"/>
    <w:rsid w:val="004B3669"/>
    <w:rsid w:val="004B3A2F"/>
    <w:rsid w:val="004B3E5A"/>
    <w:rsid w:val="004B3EF0"/>
    <w:rsid w:val="004B3EF8"/>
    <w:rsid w:val="004B41E2"/>
    <w:rsid w:val="004B4361"/>
    <w:rsid w:val="004B4A28"/>
    <w:rsid w:val="004B4D44"/>
    <w:rsid w:val="004B52E2"/>
    <w:rsid w:val="004B53EC"/>
    <w:rsid w:val="004B5885"/>
    <w:rsid w:val="004B6520"/>
    <w:rsid w:val="004B68B4"/>
    <w:rsid w:val="004B6904"/>
    <w:rsid w:val="004B6D5A"/>
    <w:rsid w:val="004B70BF"/>
    <w:rsid w:val="004B7279"/>
    <w:rsid w:val="004B7331"/>
    <w:rsid w:val="004B7D35"/>
    <w:rsid w:val="004C0041"/>
    <w:rsid w:val="004C0372"/>
    <w:rsid w:val="004C058F"/>
    <w:rsid w:val="004C0630"/>
    <w:rsid w:val="004C06BC"/>
    <w:rsid w:val="004C0CA9"/>
    <w:rsid w:val="004C10BF"/>
    <w:rsid w:val="004C1838"/>
    <w:rsid w:val="004C2753"/>
    <w:rsid w:val="004C27D9"/>
    <w:rsid w:val="004C29E8"/>
    <w:rsid w:val="004C2E00"/>
    <w:rsid w:val="004C2FEC"/>
    <w:rsid w:val="004C3124"/>
    <w:rsid w:val="004C3BF6"/>
    <w:rsid w:val="004C3CB8"/>
    <w:rsid w:val="004C4429"/>
    <w:rsid w:val="004C4872"/>
    <w:rsid w:val="004C5CBF"/>
    <w:rsid w:val="004C6C69"/>
    <w:rsid w:val="004C73AB"/>
    <w:rsid w:val="004D04FD"/>
    <w:rsid w:val="004D1004"/>
    <w:rsid w:val="004D19AC"/>
    <w:rsid w:val="004D19DD"/>
    <w:rsid w:val="004D1F0D"/>
    <w:rsid w:val="004D20DF"/>
    <w:rsid w:val="004D2A50"/>
    <w:rsid w:val="004D2A98"/>
    <w:rsid w:val="004D2EA0"/>
    <w:rsid w:val="004D3212"/>
    <w:rsid w:val="004D34D0"/>
    <w:rsid w:val="004D38FA"/>
    <w:rsid w:val="004D44DB"/>
    <w:rsid w:val="004D4584"/>
    <w:rsid w:val="004D49E9"/>
    <w:rsid w:val="004D4D9D"/>
    <w:rsid w:val="004D50CA"/>
    <w:rsid w:val="004D56CC"/>
    <w:rsid w:val="004D5B9B"/>
    <w:rsid w:val="004D5BF9"/>
    <w:rsid w:val="004D607E"/>
    <w:rsid w:val="004D63E1"/>
    <w:rsid w:val="004D6DDB"/>
    <w:rsid w:val="004D755C"/>
    <w:rsid w:val="004D7747"/>
    <w:rsid w:val="004D7802"/>
    <w:rsid w:val="004D78F7"/>
    <w:rsid w:val="004D79C6"/>
    <w:rsid w:val="004D7D03"/>
    <w:rsid w:val="004E132E"/>
    <w:rsid w:val="004E13DF"/>
    <w:rsid w:val="004E1537"/>
    <w:rsid w:val="004E17C4"/>
    <w:rsid w:val="004E1E9D"/>
    <w:rsid w:val="004E1FB0"/>
    <w:rsid w:val="004E2181"/>
    <w:rsid w:val="004E320F"/>
    <w:rsid w:val="004E35FF"/>
    <w:rsid w:val="004E3AD5"/>
    <w:rsid w:val="004E3E89"/>
    <w:rsid w:val="004E450B"/>
    <w:rsid w:val="004E48A3"/>
    <w:rsid w:val="004E5123"/>
    <w:rsid w:val="004E59EE"/>
    <w:rsid w:val="004E5C45"/>
    <w:rsid w:val="004E69DB"/>
    <w:rsid w:val="004E6DBC"/>
    <w:rsid w:val="004E76E7"/>
    <w:rsid w:val="004E7E69"/>
    <w:rsid w:val="004E7EC8"/>
    <w:rsid w:val="004F03D5"/>
    <w:rsid w:val="004F055C"/>
    <w:rsid w:val="004F08C8"/>
    <w:rsid w:val="004F1118"/>
    <w:rsid w:val="004F1257"/>
    <w:rsid w:val="004F1998"/>
    <w:rsid w:val="004F1A3C"/>
    <w:rsid w:val="004F1C15"/>
    <w:rsid w:val="004F28A8"/>
    <w:rsid w:val="004F29FC"/>
    <w:rsid w:val="004F3441"/>
    <w:rsid w:val="004F3EE0"/>
    <w:rsid w:val="004F3F57"/>
    <w:rsid w:val="004F3FE1"/>
    <w:rsid w:val="004F4364"/>
    <w:rsid w:val="004F45E1"/>
    <w:rsid w:val="004F4D26"/>
    <w:rsid w:val="004F4E93"/>
    <w:rsid w:val="004F571B"/>
    <w:rsid w:val="004F62BB"/>
    <w:rsid w:val="004F63D8"/>
    <w:rsid w:val="004F6594"/>
    <w:rsid w:val="004F70BD"/>
    <w:rsid w:val="004F7144"/>
    <w:rsid w:val="004F742D"/>
    <w:rsid w:val="00500697"/>
    <w:rsid w:val="005010E7"/>
    <w:rsid w:val="00501A24"/>
    <w:rsid w:val="00501E53"/>
    <w:rsid w:val="00501FBE"/>
    <w:rsid w:val="005023FE"/>
    <w:rsid w:val="0050240D"/>
    <w:rsid w:val="00503760"/>
    <w:rsid w:val="00503DF1"/>
    <w:rsid w:val="00503EE0"/>
    <w:rsid w:val="00503F96"/>
    <w:rsid w:val="00504113"/>
    <w:rsid w:val="00504980"/>
    <w:rsid w:val="00504B0B"/>
    <w:rsid w:val="00504DA7"/>
    <w:rsid w:val="005054A0"/>
    <w:rsid w:val="00506387"/>
    <w:rsid w:val="00506C27"/>
    <w:rsid w:val="005072A0"/>
    <w:rsid w:val="005072A9"/>
    <w:rsid w:val="00507FA3"/>
    <w:rsid w:val="00510412"/>
    <w:rsid w:val="005105D7"/>
    <w:rsid w:val="005109E9"/>
    <w:rsid w:val="00510FAF"/>
    <w:rsid w:val="00511866"/>
    <w:rsid w:val="00511C98"/>
    <w:rsid w:val="00512002"/>
    <w:rsid w:val="00512D41"/>
    <w:rsid w:val="00512FF0"/>
    <w:rsid w:val="0051308C"/>
    <w:rsid w:val="005134E3"/>
    <w:rsid w:val="0051357A"/>
    <w:rsid w:val="00513AD9"/>
    <w:rsid w:val="00513DE7"/>
    <w:rsid w:val="00514F2D"/>
    <w:rsid w:val="005158B1"/>
    <w:rsid w:val="00515B2C"/>
    <w:rsid w:val="00515E1C"/>
    <w:rsid w:val="00515F97"/>
    <w:rsid w:val="00516AC4"/>
    <w:rsid w:val="005170B4"/>
    <w:rsid w:val="00517390"/>
    <w:rsid w:val="00517699"/>
    <w:rsid w:val="005178C1"/>
    <w:rsid w:val="005213A6"/>
    <w:rsid w:val="00521AC8"/>
    <w:rsid w:val="00522F33"/>
    <w:rsid w:val="0052304B"/>
    <w:rsid w:val="005232DB"/>
    <w:rsid w:val="00523374"/>
    <w:rsid w:val="005233BF"/>
    <w:rsid w:val="0052370A"/>
    <w:rsid w:val="0052470A"/>
    <w:rsid w:val="005252EE"/>
    <w:rsid w:val="00525403"/>
    <w:rsid w:val="005257D8"/>
    <w:rsid w:val="00525896"/>
    <w:rsid w:val="005258D7"/>
    <w:rsid w:val="00525B9D"/>
    <w:rsid w:val="00525B9F"/>
    <w:rsid w:val="00525BC6"/>
    <w:rsid w:val="0052693B"/>
    <w:rsid w:val="00526F41"/>
    <w:rsid w:val="00527149"/>
    <w:rsid w:val="0052773C"/>
    <w:rsid w:val="00530287"/>
    <w:rsid w:val="00530693"/>
    <w:rsid w:val="0053076B"/>
    <w:rsid w:val="00530A72"/>
    <w:rsid w:val="00530E4D"/>
    <w:rsid w:val="00531380"/>
    <w:rsid w:val="0053144E"/>
    <w:rsid w:val="0053147C"/>
    <w:rsid w:val="005316D1"/>
    <w:rsid w:val="00532199"/>
    <w:rsid w:val="0053351C"/>
    <w:rsid w:val="00533639"/>
    <w:rsid w:val="005341E1"/>
    <w:rsid w:val="0053434E"/>
    <w:rsid w:val="00534490"/>
    <w:rsid w:val="00534596"/>
    <w:rsid w:val="00534B02"/>
    <w:rsid w:val="00534F68"/>
    <w:rsid w:val="00535133"/>
    <w:rsid w:val="005351D1"/>
    <w:rsid w:val="00535341"/>
    <w:rsid w:val="005355B6"/>
    <w:rsid w:val="005358E2"/>
    <w:rsid w:val="0053591E"/>
    <w:rsid w:val="00535EF1"/>
    <w:rsid w:val="00536060"/>
    <w:rsid w:val="0053655A"/>
    <w:rsid w:val="005365BF"/>
    <w:rsid w:val="005365E2"/>
    <w:rsid w:val="005368C0"/>
    <w:rsid w:val="00536974"/>
    <w:rsid w:val="005375A9"/>
    <w:rsid w:val="005402ED"/>
    <w:rsid w:val="00540480"/>
    <w:rsid w:val="0054095A"/>
    <w:rsid w:val="00540A5E"/>
    <w:rsid w:val="00540F0A"/>
    <w:rsid w:val="005411AF"/>
    <w:rsid w:val="00541288"/>
    <w:rsid w:val="00541F89"/>
    <w:rsid w:val="00541F8B"/>
    <w:rsid w:val="00541FBD"/>
    <w:rsid w:val="005425C3"/>
    <w:rsid w:val="00542722"/>
    <w:rsid w:val="00542EC5"/>
    <w:rsid w:val="00543953"/>
    <w:rsid w:val="00543D4C"/>
    <w:rsid w:val="00544703"/>
    <w:rsid w:val="00544BBE"/>
    <w:rsid w:val="00544E2B"/>
    <w:rsid w:val="00545908"/>
    <w:rsid w:val="00545B1A"/>
    <w:rsid w:val="00545D3F"/>
    <w:rsid w:val="00546305"/>
    <w:rsid w:val="005465BB"/>
    <w:rsid w:val="00546607"/>
    <w:rsid w:val="0054670F"/>
    <w:rsid w:val="00547496"/>
    <w:rsid w:val="00547596"/>
    <w:rsid w:val="00547DBF"/>
    <w:rsid w:val="00547FF2"/>
    <w:rsid w:val="005502E5"/>
    <w:rsid w:val="00550D47"/>
    <w:rsid w:val="005510E8"/>
    <w:rsid w:val="005518E6"/>
    <w:rsid w:val="005522DC"/>
    <w:rsid w:val="00552BA1"/>
    <w:rsid w:val="00552D49"/>
    <w:rsid w:val="00553117"/>
    <w:rsid w:val="005531ED"/>
    <w:rsid w:val="00553207"/>
    <w:rsid w:val="005534D7"/>
    <w:rsid w:val="00553ECC"/>
    <w:rsid w:val="00553F1B"/>
    <w:rsid w:val="005553A2"/>
    <w:rsid w:val="005560DA"/>
    <w:rsid w:val="0055611D"/>
    <w:rsid w:val="005567E5"/>
    <w:rsid w:val="005567FC"/>
    <w:rsid w:val="00556B48"/>
    <w:rsid w:val="00556CB2"/>
    <w:rsid w:val="005574E1"/>
    <w:rsid w:val="005579AB"/>
    <w:rsid w:val="00557DCC"/>
    <w:rsid w:val="0056001E"/>
    <w:rsid w:val="005605E8"/>
    <w:rsid w:val="00560C99"/>
    <w:rsid w:val="00561467"/>
    <w:rsid w:val="00561800"/>
    <w:rsid w:val="00561854"/>
    <w:rsid w:val="005622C7"/>
    <w:rsid w:val="00562AAA"/>
    <w:rsid w:val="0056316E"/>
    <w:rsid w:val="00563AAB"/>
    <w:rsid w:val="00563D0F"/>
    <w:rsid w:val="00563EFB"/>
    <w:rsid w:val="00564165"/>
    <w:rsid w:val="005641A9"/>
    <w:rsid w:val="005641DC"/>
    <w:rsid w:val="005644B1"/>
    <w:rsid w:val="00564EEB"/>
    <w:rsid w:val="00565EF6"/>
    <w:rsid w:val="00566F0F"/>
    <w:rsid w:val="00567AEA"/>
    <w:rsid w:val="00570613"/>
    <w:rsid w:val="00570CC3"/>
    <w:rsid w:val="00570D7B"/>
    <w:rsid w:val="00571D8B"/>
    <w:rsid w:val="00572370"/>
    <w:rsid w:val="0057237C"/>
    <w:rsid w:val="005725E0"/>
    <w:rsid w:val="00572F08"/>
    <w:rsid w:val="00572FA0"/>
    <w:rsid w:val="00573016"/>
    <w:rsid w:val="005731CA"/>
    <w:rsid w:val="0057342D"/>
    <w:rsid w:val="0057477F"/>
    <w:rsid w:val="00574BE3"/>
    <w:rsid w:val="00574DAB"/>
    <w:rsid w:val="0057605A"/>
    <w:rsid w:val="005761A9"/>
    <w:rsid w:val="0057635C"/>
    <w:rsid w:val="005764AF"/>
    <w:rsid w:val="005767B1"/>
    <w:rsid w:val="0057694C"/>
    <w:rsid w:val="00576EB6"/>
    <w:rsid w:val="00577035"/>
    <w:rsid w:val="005771AD"/>
    <w:rsid w:val="005776E6"/>
    <w:rsid w:val="00577BD0"/>
    <w:rsid w:val="00577D3A"/>
    <w:rsid w:val="00577EA2"/>
    <w:rsid w:val="00577FB3"/>
    <w:rsid w:val="0058022D"/>
    <w:rsid w:val="005802FF"/>
    <w:rsid w:val="00580C77"/>
    <w:rsid w:val="00580D78"/>
    <w:rsid w:val="00581166"/>
    <w:rsid w:val="0058140B"/>
    <w:rsid w:val="0058148B"/>
    <w:rsid w:val="00581493"/>
    <w:rsid w:val="00581841"/>
    <w:rsid w:val="00582106"/>
    <w:rsid w:val="005822C6"/>
    <w:rsid w:val="00582A17"/>
    <w:rsid w:val="0058321D"/>
    <w:rsid w:val="005838D0"/>
    <w:rsid w:val="0058403D"/>
    <w:rsid w:val="00584802"/>
    <w:rsid w:val="00584EF2"/>
    <w:rsid w:val="00584F3F"/>
    <w:rsid w:val="005857A8"/>
    <w:rsid w:val="00586350"/>
    <w:rsid w:val="00586F81"/>
    <w:rsid w:val="005870DA"/>
    <w:rsid w:val="005900C4"/>
    <w:rsid w:val="005905F6"/>
    <w:rsid w:val="00590E70"/>
    <w:rsid w:val="00590F32"/>
    <w:rsid w:val="005910A1"/>
    <w:rsid w:val="00591190"/>
    <w:rsid w:val="005917BA"/>
    <w:rsid w:val="00591AB5"/>
    <w:rsid w:val="00591CCB"/>
    <w:rsid w:val="00591E4F"/>
    <w:rsid w:val="00592889"/>
    <w:rsid w:val="00592BB9"/>
    <w:rsid w:val="00593073"/>
    <w:rsid w:val="005931F1"/>
    <w:rsid w:val="00593717"/>
    <w:rsid w:val="00593ABD"/>
    <w:rsid w:val="00594316"/>
    <w:rsid w:val="0059437E"/>
    <w:rsid w:val="00594474"/>
    <w:rsid w:val="005948A2"/>
    <w:rsid w:val="00595322"/>
    <w:rsid w:val="00595F89"/>
    <w:rsid w:val="00595FC4"/>
    <w:rsid w:val="005962F4"/>
    <w:rsid w:val="00596BA5"/>
    <w:rsid w:val="005973C4"/>
    <w:rsid w:val="005A01F3"/>
    <w:rsid w:val="005A053F"/>
    <w:rsid w:val="005A0610"/>
    <w:rsid w:val="005A09B3"/>
    <w:rsid w:val="005A0C29"/>
    <w:rsid w:val="005A1156"/>
    <w:rsid w:val="005A1AF2"/>
    <w:rsid w:val="005A2033"/>
    <w:rsid w:val="005A218B"/>
    <w:rsid w:val="005A219D"/>
    <w:rsid w:val="005A246B"/>
    <w:rsid w:val="005A2A53"/>
    <w:rsid w:val="005A3578"/>
    <w:rsid w:val="005A3BD0"/>
    <w:rsid w:val="005A3E7D"/>
    <w:rsid w:val="005A52EC"/>
    <w:rsid w:val="005A6237"/>
    <w:rsid w:val="005A6B55"/>
    <w:rsid w:val="005A72FA"/>
    <w:rsid w:val="005A7C64"/>
    <w:rsid w:val="005B00D9"/>
    <w:rsid w:val="005B01F9"/>
    <w:rsid w:val="005B04B0"/>
    <w:rsid w:val="005B05B6"/>
    <w:rsid w:val="005B1540"/>
    <w:rsid w:val="005B24D8"/>
    <w:rsid w:val="005B46EA"/>
    <w:rsid w:val="005B4B81"/>
    <w:rsid w:val="005B4CC7"/>
    <w:rsid w:val="005B4F94"/>
    <w:rsid w:val="005B6763"/>
    <w:rsid w:val="005B6BDF"/>
    <w:rsid w:val="005B6E64"/>
    <w:rsid w:val="005B7740"/>
    <w:rsid w:val="005B79B9"/>
    <w:rsid w:val="005B7A38"/>
    <w:rsid w:val="005B7FA6"/>
    <w:rsid w:val="005C11E9"/>
    <w:rsid w:val="005C13EF"/>
    <w:rsid w:val="005C226B"/>
    <w:rsid w:val="005C281E"/>
    <w:rsid w:val="005C353E"/>
    <w:rsid w:val="005C466F"/>
    <w:rsid w:val="005C4B17"/>
    <w:rsid w:val="005C4CA3"/>
    <w:rsid w:val="005C53A5"/>
    <w:rsid w:val="005C562D"/>
    <w:rsid w:val="005C6738"/>
    <w:rsid w:val="005C6CBB"/>
    <w:rsid w:val="005C6EC7"/>
    <w:rsid w:val="005C7452"/>
    <w:rsid w:val="005C7505"/>
    <w:rsid w:val="005C7932"/>
    <w:rsid w:val="005C7AF8"/>
    <w:rsid w:val="005C7E29"/>
    <w:rsid w:val="005D0496"/>
    <w:rsid w:val="005D059C"/>
    <w:rsid w:val="005D083C"/>
    <w:rsid w:val="005D1E60"/>
    <w:rsid w:val="005D1F4C"/>
    <w:rsid w:val="005D22F5"/>
    <w:rsid w:val="005D28B3"/>
    <w:rsid w:val="005D30D8"/>
    <w:rsid w:val="005D3C37"/>
    <w:rsid w:val="005D4304"/>
    <w:rsid w:val="005D486E"/>
    <w:rsid w:val="005D4978"/>
    <w:rsid w:val="005D49FD"/>
    <w:rsid w:val="005D4C6C"/>
    <w:rsid w:val="005D5567"/>
    <w:rsid w:val="005D58A6"/>
    <w:rsid w:val="005D58DC"/>
    <w:rsid w:val="005D5AA7"/>
    <w:rsid w:val="005D5B55"/>
    <w:rsid w:val="005D5FE9"/>
    <w:rsid w:val="005D60EA"/>
    <w:rsid w:val="005D6F71"/>
    <w:rsid w:val="005D77D8"/>
    <w:rsid w:val="005D78C6"/>
    <w:rsid w:val="005D7925"/>
    <w:rsid w:val="005D7BF9"/>
    <w:rsid w:val="005D7E06"/>
    <w:rsid w:val="005E0336"/>
    <w:rsid w:val="005E0D04"/>
    <w:rsid w:val="005E101C"/>
    <w:rsid w:val="005E15AD"/>
    <w:rsid w:val="005E1653"/>
    <w:rsid w:val="005E189C"/>
    <w:rsid w:val="005E2337"/>
    <w:rsid w:val="005E28E4"/>
    <w:rsid w:val="005E2B73"/>
    <w:rsid w:val="005E2E2A"/>
    <w:rsid w:val="005E30EF"/>
    <w:rsid w:val="005E3292"/>
    <w:rsid w:val="005E3604"/>
    <w:rsid w:val="005E3E41"/>
    <w:rsid w:val="005E456F"/>
    <w:rsid w:val="005E4893"/>
    <w:rsid w:val="005E4966"/>
    <w:rsid w:val="005E4EF4"/>
    <w:rsid w:val="005E5623"/>
    <w:rsid w:val="005E5FD3"/>
    <w:rsid w:val="005E6472"/>
    <w:rsid w:val="005E6C17"/>
    <w:rsid w:val="005E7111"/>
    <w:rsid w:val="005E7702"/>
    <w:rsid w:val="005E7A7F"/>
    <w:rsid w:val="005F025B"/>
    <w:rsid w:val="005F15E5"/>
    <w:rsid w:val="005F1698"/>
    <w:rsid w:val="005F18C0"/>
    <w:rsid w:val="005F204A"/>
    <w:rsid w:val="005F22A2"/>
    <w:rsid w:val="005F22A3"/>
    <w:rsid w:val="005F279C"/>
    <w:rsid w:val="005F27E8"/>
    <w:rsid w:val="005F2A88"/>
    <w:rsid w:val="005F3444"/>
    <w:rsid w:val="005F34EF"/>
    <w:rsid w:val="005F3F76"/>
    <w:rsid w:val="005F51C2"/>
    <w:rsid w:val="005F5430"/>
    <w:rsid w:val="005F59B8"/>
    <w:rsid w:val="005F6514"/>
    <w:rsid w:val="005F6AAA"/>
    <w:rsid w:val="005F6C1E"/>
    <w:rsid w:val="005F736F"/>
    <w:rsid w:val="005F7598"/>
    <w:rsid w:val="00600B19"/>
    <w:rsid w:val="00600B54"/>
    <w:rsid w:val="00601302"/>
    <w:rsid w:val="006016ED"/>
    <w:rsid w:val="00601742"/>
    <w:rsid w:val="006018DC"/>
    <w:rsid w:val="00602D23"/>
    <w:rsid w:val="00602F09"/>
    <w:rsid w:val="006031C5"/>
    <w:rsid w:val="006036DD"/>
    <w:rsid w:val="00603703"/>
    <w:rsid w:val="0060420D"/>
    <w:rsid w:val="0060439B"/>
    <w:rsid w:val="00604C9C"/>
    <w:rsid w:val="006052D2"/>
    <w:rsid w:val="00605488"/>
    <w:rsid w:val="0060560E"/>
    <w:rsid w:val="00605BAC"/>
    <w:rsid w:val="00605F66"/>
    <w:rsid w:val="00606781"/>
    <w:rsid w:val="006068B9"/>
    <w:rsid w:val="00606F03"/>
    <w:rsid w:val="00606F7A"/>
    <w:rsid w:val="006074F5"/>
    <w:rsid w:val="00607DFE"/>
    <w:rsid w:val="0061010B"/>
    <w:rsid w:val="00610CAE"/>
    <w:rsid w:val="00610DE3"/>
    <w:rsid w:val="00610FC5"/>
    <w:rsid w:val="00612059"/>
    <w:rsid w:val="0061220F"/>
    <w:rsid w:val="00612308"/>
    <w:rsid w:val="006128C8"/>
    <w:rsid w:val="006128E2"/>
    <w:rsid w:val="006135EE"/>
    <w:rsid w:val="0061363A"/>
    <w:rsid w:val="006136DE"/>
    <w:rsid w:val="00613F0F"/>
    <w:rsid w:val="00614A2F"/>
    <w:rsid w:val="00614F33"/>
    <w:rsid w:val="006157F4"/>
    <w:rsid w:val="00616AF8"/>
    <w:rsid w:val="00617805"/>
    <w:rsid w:val="00617BA4"/>
    <w:rsid w:val="00617D92"/>
    <w:rsid w:val="00617F1B"/>
    <w:rsid w:val="006206DF"/>
    <w:rsid w:val="00621704"/>
    <w:rsid w:val="00621991"/>
    <w:rsid w:val="00622EA8"/>
    <w:rsid w:val="006235D0"/>
    <w:rsid w:val="00623751"/>
    <w:rsid w:val="00623CB1"/>
    <w:rsid w:val="00623D00"/>
    <w:rsid w:val="006243FE"/>
    <w:rsid w:val="00626299"/>
    <w:rsid w:val="0062678C"/>
    <w:rsid w:val="00626835"/>
    <w:rsid w:val="0062699C"/>
    <w:rsid w:val="00626A0B"/>
    <w:rsid w:val="0062753C"/>
    <w:rsid w:val="00627EAD"/>
    <w:rsid w:val="006304E1"/>
    <w:rsid w:val="0063080E"/>
    <w:rsid w:val="0063112F"/>
    <w:rsid w:val="00632466"/>
    <w:rsid w:val="00632E26"/>
    <w:rsid w:val="0063326A"/>
    <w:rsid w:val="00633774"/>
    <w:rsid w:val="00634218"/>
    <w:rsid w:val="006345F0"/>
    <w:rsid w:val="006349C7"/>
    <w:rsid w:val="00634C11"/>
    <w:rsid w:val="00635337"/>
    <w:rsid w:val="006354E1"/>
    <w:rsid w:val="006358E9"/>
    <w:rsid w:val="00636014"/>
    <w:rsid w:val="006366AD"/>
    <w:rsid w:val="006374E2"/>
    <w:rsid w:val="00640050"/>
    <w:rsid w:val="00640607"/>
    <w:rsid w:val="00640B31"/>
    <w:rsid w:val="00640F5F"/>
    <w:rsid w:val="00641AC7"/>
    <w:rsid w:val="00642132"/>
    <w:rsid w:val="0064229D"/>
    <w:rsid w:val="006428F7"/>
    <w:rsid w:val="00642962"/>
    <w:rsid w:val="006429F6"/>
    <w:rsid w:val="00642A75"/>
    <w:rsid w:val="00642AD9"/>
    <w:rsid w:val="00642FE3"/>
    <w:rsid w:val="0064379B"/>
    <w:rsid w:val="00643942"/>
    <w:rsid w:val="00643C03"/>
    <w:rsid w:val="00643E10"/>
    <w:rsid w:val="00643EFC"/>
    <w:rsid w:val="00643FDB"/>
    <w:rsid w:val="0064401E"/>
    <w:rsid w:val="00644478"/>
    <w:rsid w:val="00644E69"/>
    <w:rsid w:val="006450AC"/>
    <w:rsid w:val="006454BB"/>
    <w:rsid w:val="00645A42"/>
    <w:rsid w:val="0064625A"/>
    <w:rsid w:val="00646356"/>
    <w:rsid w:val="006464A2"/>
    <w:rsid w:val="00646618"/>
    <w:rsid w:val="0064712E"/>
    <w:rsid w:val="0064771A"/>
    <w:rsid w:val="006477D8"/>
    <w:rsid w:val="0064795A"/>
    <w:rsid w:val="00647C5C"/>
    <w:rsid w:val="00650133"/>
    <w:rsid w:val="006508FC"/>
    <w:rsid w:val="00650ACD"/>
    <w:rsid w:val="00650B02"/>
    <w:rsid w:val="006515B4"/>
    <w:rsid w:val="006519D5"/>
    <w:rsid w:val="00651A77"/>
    <w:rsid w:val="00651C69"/>
    <w:rsid w:val="00651F38"/>
    <w:rsid w:val="0065363B"/>
    <w:rsid w:val="00653E1D"/>
    <w:rsid w:val="006544F5"/>
    <w:rsid w:val="00654C57"/>
    <w:rsid w:val="00654C77"/>
    <w:rsid w:val="00654EE8"/>
    <w:rsid w:val="00655205"/>
    <w:rsid w:val="006568C8"/>
    <w:rsid w:val="00656E6D"/>
    <w:rsid w:val="00656E88"/>
    <w:rsid w:val="0065762B"/>
    <w:rsid w:val="00657C4F"/>
    <w:rsid w:val="00657E67"/>
    <w:rsid w:val="0066008E"/>
    <w:rsid w:val="00660826"/>
    <w:rsid w:val="00660FF7"/>
    <w:rsid w:val="0066243F"/>
    <w:rsid w:val="00663494"/>
    <w:rsid w:val="00663521"/>
    <w:rsid w:val="006635EE"/>
    <w:rsid w:val="006644E9"/>
    <w:rsid w:val="00664677"/>
    <w:rsid w:val="006648D0"/>
    <w:rsid w:val="00664BB2"/>
    <w:rsid w:val="00664F93"/>
    <w:rsid w:val="00665755"/>
    <w:rsid w:val="00665A27"/>
    <w:rsid w:val="00665C35"/>
    <w:rsid w:val="00665F4B"/>
    <w:rsid w:val="006667D4"/>
    <w:rsid w:val="006679F2"/>
    <w:rsid w:val="00667A91"/>
    <w:rsid w:val="00670489"/>
    <w:rsid w:val="00670732"/>
    <w:rsid w:val="006708AC"/>
    <w:rsid w:val="00671156"/>
    <w:rsid w:val="00671A0D"/>
    <w:rsid w:val="00671C3A"/>
    <w:rsid w:val="00671EA4"/>
    <w:rsid w:val="006721C7"/>
    <w:rsid w:val="006724DD"/>
    <w:rsid w:val="006724E3"/>
    <w:rsid w:val="00672A14"/>
    <w:rsid w:val="00672EE4"/>
    <w:rsid w:val="00673246"/>
    <w:rsid w:val="0067327E"/>
    <w:rsid w:val="006734F6"/>
    <w:rsid w:val="006739A0"/>
    <w:rsid w:val="00674003"/>
    <w:rsid w:val="00674390"/>
    <w:rsid w:val="006744AD"/>
    <w:rsid w:val="0067501C"/>
    <w:rsid w:val="00675A3F"/>
    <w:rsid w:val="00675C73"/>
    <w:rsid w:val="00675C96"/>
    <w:rsid w:val="00675FC7"/>
    <w:rsid w:val="00676486"/>
    <w:rsid w:val="00676490"/>
    <w:rsid w:val="00676F03"/>
    <w:rsid w:val="00677113"/>
    <w:rsid w:val="006772E5"/>
    <w:rsid w:val="00677525"/>
    <w:rsid w:val="0067775C"/>
    <w:rsid w:val="00680183"/>
    <w:rsid w:val="0068031A"/>
    <w:rsid w:val="006805C4"/>
    <w:rsid w:val="00680A87"/>
    <w:rsid w:val="006810A4"/>
    <w:rsid w:val="006817A9"/>
    <w:rsid w:val="00681929"/>
    <w:rsid w:val="00681AF6"/>
    <w:rsid w:val="0068252B"/>
    <w:rsid w:val="00682769"/>
    <w:rsid w:val="0068287F"/>
    <w:rsid w:val="006829A5"/>
    <w:rsid w:val="006839ED"/>
    <w:rsid w:val="00683A6C"/>
    <w:rsid w:val="00683E43"/>
    <w:rsid w:val="00684561"/>
    <w:rsid w:val="00684B6A"/>
    <w:rsid w:val="00684DEB"/>
    <w:rsid w:val="00685426"/>
    <w:rsid w:val="006856BF"/>
    <w:rsid w:val="0068597D"/>
    <w:rsid w:val="00685E6D"/>
    <w:rsid w:val="006860AC"/>
    <w:rsid w:val="00686B97"/>
    <w:rsid w:val="0068747E"/>
    <w:rsid w:val="00687966"/>
    <w:rsid w:val="00690345"/>
    <w:rsid w:val="006906D5"/>
    <w:rsid w:val="006909C5"/>
    <w:rsid w:val="00690CB5"/>
    <w:rsid w:val="00690DC3"/>
    <w:rsid w:val="00691301"/>
    <w:rsid w:val="00691A0E"/>
    <w:rsid w:val="00691D09"/>
    <w:rsid w:val="00691E7B"/>
    <w:rsid w:val="006921E5"/>
    <w:rsid w:val="006928E7"/>
    <w:rsid w:val="006934CF"/>
    <w:rsid w:val="0069353C"/>
    <w:rsid w:val="00693621"/>
    <w:rsid w:val="00693E48"/>
    <w:rsid w:val="006958A3"/>
    <w:rsid w:val="0069597D"/>
    <w:rsid w:val="00695A09"/>
    <w:rsid w:val="00695B11"/>
    <w:rsid w:val="00695EFE"/>
    <w:rsid w:val="00697044"/>
    <w:rsid w:val="0069766D"/>
    <w:rsid w:val="00697687"/>
    <w:rsid w:val="0069793F"/>
    <w:rsid w:val="00697DF5"/>
    <w:rsid w:val="006A0133"/>
    <w:rsid w:val="006A01BE"/>
    <w:rsid w:val="006A022F"/>
    <w:rsid w:val="006A0858"/>
    <w:rsid w:val="006A0C54"/>
    <w:rsid w:val="006A15EC"/>
    <w:rsid w:val="006A169C"/>
    <w:rsid w:val="006A1B09"/>
    <w:rsid w:val="006A20FB"/>
    <w:rsid w:val="006A24B6"/>
    <w:rsid w:val="006A2D2B"/>
    <w:rsid w:val="006A2DDA"/>
    <w:rsid w:val="006A3385"/>
    <w:rsid w:val="006A365F"/>
    <w:rsid w:val="006A3B61"/>
    <w:rsid w:val="006A3BC8"/>
    <w:rsid w:val="006A3D6A"/>
    <w:rsid w:val="006A4687"/>
    <w:rsid w:val="006A5907"/>
    <w:rsid w:val="006A5A6A"/>
    <w:rsid w:val="006A63F5"/>
    <w:rsid w:val="006A6B9D"/>
    <w:rsid w:val="006A761E"/>
    <w:rsid w:val="006A76C1"/>
    <w:rsid w:val="006B02CF"/>
    <w:rsid w:val="006B07EA"/>
    <w:rsid w:val="006B0822"/>
    <w:rsid w:val="006B0B94"/>
    <w:rsid w:val="006B0FD2"/>
    <w:rsid w:val="006B117A"/>
    <w:rsid w:val="006B11DA"/>
    <w:rsid w:val="006B28AF"/>
    <w:rsid w:val="006B2AB6"/>
    <w:rsid w:val="006B33F3"/>
    <w:rsid w:val="006B3F75"/>
    <w:rsid w:val="006B4990"/>
    <w:rsid w:val="006B4BB4"/>
    <w:rsid w:val="006B4DD5"/>
    <w:rsid w:val="006B4F38"/>
    <w:rsid w:val="006B4F75"/>
    <w:rsid w:val="006B5613"/>
    <w:rsid w:val="006B63F4"/>
    <w:rsid w:val="006B6DB8"/>
    <w:rsid w:val="006B76C7"/>
    <w:rsid w:val="006C0469"/>
    <w:rsid w:val="006C1368"/>
    <w:rsid w:val="006C1543"/>
    <w:rsid w:val="006C1761"/>
    <w:rsid w:val="006C1D80"/>
    <w:rsid w:val="006C23CA"/>
    <w:rsid w:val="006C2499"/>
    <w:rsid w:val="006C2769"/>
    <w:rsid w:val="006C2CE1"/>
    <w:rsid w:val="006C34A0"/>
    <w:rsid w:val="006C3D18"/>
    <w:rsid w:val="006C3E1E"/>
    <w:rsid w:val="006C4A2B"/>
    <w:rsid w:val="006C4F88"/>
    <w:rsid w:val="006C52CB"/>
    <w:rsid w:val="006C53A6"/>
    <w:rsid w:val="006C62CE"/>
    <w:rsid w:val="006C6A0F"/>
    <w:rsid w:val="006C6E2E"/>
    <w:rsid w:val="006C792A"/>
    <w:rsid w:val="006D1382"/>
    <w:rsid w:val="006D1CDA"/>
    <w:rsid w:val="006D1E38"/>
    <w:rsid w:val="006D28A5"/>
    <w:rsid w:val="006D29EE"/>
    <w:rsid w:val="006D30F3"/>
    <w:rsid w:val="006D3269"/>
    <w:rsid w:val="006D38E0"/>
    <w:rsid w:val="006D3F57"/>
    <w:rsid w:val="006D46C8"/>
    <w:rsid w:val="006D47C3"/>
    <w:rsid w:val="006D4CC6"/>
    <w:rsid w:val="006D5195"/>
    <w:rsid w:val="006D5553"/>
    <w:rsid w:val="006D5B7B"/>
    <w:rsid w:val="006D65F1"/>
    <w:rsid w:val="006D6C59"/>
    <w:rsid w:val="006D7169"/>
    <w:rsid w:val="006D722D"/>
    <w:rsid w:val="006D768E"/>
    <w:rsid w:val="006D78C1"/>
    <w:rsid w:val="006E043B"/>
    <w:rsid w:val="006E0913"/>
    <w:rsid w:val="006E0CA6"/>
    <w:rsid w:val="006E1D05"/>
    <w:rsid w:val="006E2135"/>
    <w:rsid w:val="006E21D4"/>
    <w:rsid w:val="006E25D9"/>
    <w:rsid w:val="006E263C"/>
    <w:rsid w:val="006E3871"/>
    <w:rsid w:val="006E3AD3"/>
    <w:rsid w:val="006E3AEE"/>
    <w:rsid w:val="006E3F7B"/>
    <w:rsid w:val="006E3FF2"/>
    <w:rsid w:val="006E4174"/>
    <w:rsid w:val="006E434A"/>
    <w:rsid w:val="006E46B9"/>
    <w:rsid w:val="006E4E1D"/>
    <w:rsid w:val="006E503C"/>
    <w:rsid w:val="006E524E"/>
    <w:rsid w:val="006E5908"/>
    <w:rsid w:val="006E62A3"/>
    <w:rsid w:val="006E64DA"/>
    <w:rsid w:val="006E74BC"/>
    <w:rsid w:val="006E7FB6"/>
    <w:rsid w:val="006F0087"/>
    <w:rsid w:val="006F0317"/>
    <w:rsid w:val="006F038C"/>
    <w:rsid w:val="006F0661"/>
    <w:rsid w:val="006F0724"/>
    <w:rsid w:val="006F079B"/>
    <w:rsid w:val="006F07ED"/>
    <w:rsid w:val="006F133E"/>
    <w:rsid w:val="006F188C"/>
    <w:rsid w:val="006F1B19"/>
    <w:rsid w:val="006F1D3E"/>
    <w:rsid w:val="006F2200"/>
    <w:rsid w:val="006F28D5"/>
    <w:rsid w:val="006F29FA"/>
    <w:rsid w:val="006F2B6A"/>
    <w:rsid w:val="006F30C5"/>
    <w:rsid w:val="006F41FC"/>
    <w:rsid w:val="006F42DD"/>
    <w:rsid w:val="006F48E3"/>
    <w:rsid w:val="006F494B"/>
    <w:rsid w:val="006F5920"/>
    <w:rsid w:val="006F5C06"/>
    <w:rsid w:val="006F5C9F"/>
    <w:rsid w:val="006F5DB2"/>
    <w:rsid w:val="006F6334"/>
    <w:rsid w:val="006F66A5"/>
    <w:rsid w:val="006F6B0F"/>
    <w:rsid w:val="006F6FC5"/>
    <w:rsid w:val="006F738C"/>
    <w:rsid w:val="0070043F"/>
    <w:rsid w:val="0070044A"/>
    <w:rsid w:val="00700628"/>
    <w:rsid w:val="00700FF1"/>
    <w:rsid w:val="007017BF"/>
    <w:rsid w:val="00701A97"/>
    <w:rsid w:val="007022DC"/>
    <w:rsid w:val="007023E5"/>
    <w:rsid w:val="007025B4"/>
    <w:rsid w:val="0070283D"/>
    <w:rsid w:val="00702CCC"/>
    <w:rsid w:val="00703CDC"/>
    <w:rsid w:val="00703D00"/>
    <w:rsid w:val="00703F09"/>
    <w:rsid w:val="007041C2"/>
    <w:rsid w:val="007048AB"/>
    <w:rsid w:val="007049E5"/>
    <w:rsid w:val="00704C90"/>
    <w:rsid w:val="00704F5D"/>
    <w:rsid w:val="007053D5"/>
    <w:rsid w:val="0070567E"/>
    <w:rsid w:val="00705ADB"/>
    <w:rsid w:val="00705F44"/>
    <w:rsid w:val="007069B7"/>
    <w:rsid w:val="00706AC5"/>
    <w:rsid w:val="00706B3C"/>
    <w:rsid w:val="0070708B"/>
    <w:rsid w:val="00707787"/>
    <w:rsid w:val="00707B65"/>
    <w:rsid w:val="0071016E"/>
    <w:rsid w:val="00710544"/>
    <w:rsid w:val="0071088A"/>
    <w:rsid w:val="00710DA5"/>
    <w:rsid w:val="0071148B"/>
    <w:rsid w:val="00712143"/>
    <w:rsid w:val="00712399"/>
    <w:rsid w:val="0071249D"/>
    <w:rsid w:val="00712955"/>
    <w:rsid w:val="00712A6D"/>
    <w:rsid w:val="00712B95"/>
    <w:rsid w:val="00712C16"/>
    <w:rsid w:val="00712D60"/>
    <w:rsid w:val="00712F52"/>
    <w:rsid w:val="00713F6B"/>
    <w:rsid w:val="007143CB"/>
    <w:rsid w:val="00714E87"/>
    <w:rsid w:val="0071524F"/>
    <w:rsid w:val="00715CF1"/>
    <w:rsid w:val="0071601A"/>
    <w:rsid w:val="007161DE"/>
    <w:rsid w:val="00716998"/>
    <w:rsid w:val="0072049E"/>
    <w:rsid w:val="00720A7F"/>
    <w:rsid w:val="007210F1"/>
    <w:rsid w:val="007211D3"/>
    <w:rsid w:val="00723D63"/>
    <w:rsid w:val="007246B6"/>
    <w:rsid w:val="00724A5C"/>
    <w:rsid w:val="00724C0D"/>
    <w:rsid w:val="00725001"/>
    <w:rsid w:val="0072517C"/>
    <w:rsid w:val="00725B07"/>
    <w:rsid w:val="00725F7F"/>
    <w:rsid w:val="00726719"/>
    <w:rsid w:val="00726C2D"/>
    <w:rsid w:val="00727379"/>
    <w:rsid w:val="0072762D"/>
    <w:rsid w:val="007279C9"/>
    <w:rsid w:val="00727ACD"/>
    <w:rsid w:val="00727D49"/>
    <w:rsid w:val="0073009D"/>
    <w:rsid w:val="00730FE0"/>
    <w:rsid w:val="00731205"/>
    <w:rsid w:val="00731521"/>
    <w:rsid w:val="00731A0A"/>
    <w:rsid w:val="007321AF"/>
    <w:rsid w:val="007324EF"/>
    <w:rsid w:val="007329ED"/>
    <w:rsid w:val="00733104"/>
    <w:rsid w:val="007331AE"/>
    <w:rsid w:val="00733A04"/>
    <w:rsid w:val="0073408D"/>
    <w:rsid w:val="00734500"/>
    <w:rsid w:val="007349F1"/>
    <w:rsid w:val="00734C88"/>
    <w:rsid w:val="007352FF"/>
    <w:rsid w:val="00735526"/>
    <w:rsid w:val="00735824"/>
    <w:rsid w:val="00735DDC"/>
    <w:rsid w:val="00735F10"/>
    <w:rsid w:val="00736108"/>
    <w:rsid w:val="00736347"/>
    <w:rsid w:val="00736B52"/>
    <w:rsid w:val="00736BE9"/>
    <w:rsid w:val="00737846"/>
    <w:rsid w:val="00737F63"/>
    <w:rsid w:val="00742625"/>
    <w:rsid w:val="007429BD"/>
    <w:rsid w:val="007439C2"/>
    <w:rsid w:val="00743A7E"/>
    <w:rsid w:val="00744271"/>
    <w:rsid w:val="007444F3"/>
    <w:rsid w:val="0074471A"/>
    <w:rsid w:val="00744749"/>
    <w:rsid w:val="00744EE7"/>
    <w:rsid w:val="007455D5"/>
    <w:rsid w:val="007455E6"/>
    <w:rsid w:val="007467AE"/>
    <w:rsid w:val="00746846"/>
    <w:rsid w:val="00746FCA"/>
    <w:rsid w:val="00747E12"/>
    <w:rsid w:val="007502C1"/>
    <w:rsid w:val="00750B52"/>
    <w:rsid w:val="00750B96"/>
    <w:rsid w:val="00750CE8"/>
    <w:rsid w:val="0075127C"/>
    <w:rsid w:val="007512E8"/>
    <w:rsid w:val="007513A4"/>
    <w:rsid w:val="007515BA"/>
    <w:rsid w:val="00751863"/>
    <w:rsid w:val="00751DEA"/>
    <w:rsid w:val="00751E61"/>
    <w:rsid w:val="007520E7"/>
    <w:rsid w:val="00752505"/>
    <w:rsid w:val="007537CE"/>
    <w:rsid w:val="00753E20"/>
    <w:rsid w:val="007540ED"/>
    <w:rsid w:val="00754E5B"/>
    <w:rsid w:val="00754EC4"/>
    <w:rsid w:val="00754F91"/>
    <w:rsid w:val="00755561"/>
    <w:rsid w:val="007555E0"/>
    <w:rsid w:val="00755D06"/>
    <w:rsid w:val="00756310"/>
    <w:rsid w:val="00756752"/>
    <w:rsid w:val="00756AEE"/>
    <w:rsid w:val="00756C1E"/>
    <w:rsid w:val="00757146"/>
    <w:rsid w:val="00757A2C"/>
    <w:rsid w:val="00757BC6"/>
    <w:rsid w:val="007603CF"/>
    <w:rsid w:val="007603D1"/>
    <w:rsid w:val="0076094B"/>
    <w:rsid w:val="00760F35"/>
    <w:rsid w:val="00761AE7"/>
    <w:rsid w:val="00761E02"/>
    <w:rsid w:val="00762260"/>
    <w:rsid w:val="00762351"/>
    <w:rsid w:val="00762413"/>
    <w:rsid w:val="0076265F"/>
    <w:rsid w:val="00762A7D"/>
    <w:rsid w:val="00762BC1"/>
    <w:rsid w:val="00763664"/>
    <w:rsid w:val="00763842"/>
    <w:rsid w:val="00764473"/>
    <w:rsid w:val="00764924"/>
    <w:rsid w:val="00764A36"/>
    <w:rsid w:val="00764BD6"/>
    <w:rsid w:val="00764C83"/>
    <w:rsid w:val="00764F9E"/>
    <w:rsid w:val="00764FA1"/>
    <w:rsid w:val="007655AD"/>
    <w:rsid w:val="007655CC"/>
    <w:rsid w:val="00765A0A"/>
    <w:rsid w:val="00765BAC"/>
    <w:rsid w:val="00766364"/>
    <w:rsid w:val="0076655D"/>
    <w:rsid w:val="007679C9"/>
    <w:rsid w:val="007706D3"/>
    <w:rsid w:val="00770FBF"/>
    <w:rsid w:val="0077161E"/>
    <w:rsid w:val="00771B51"/>
    <w:rsid w:val="00772480"/>
    <w:rsid w:val="007724D8"/>
    <w:rsid w:val="007725A2"/>
    <w:rsid w:val="007725EB"/>
    <w:rsid w:val="00772D9C"/>
    <w:rsid w:val="00772E52"/>
    <w:rsid w:val="00773E0A"/>
    <w:rsid w:val="007740AF"/>
    <w:rsid w:val="007744F0"/>
    <w:rsid w:val="007746B8"/>
    <w:rsid w:val="00774A61"/>
    <w:rsid w:val="00774B85"/>
    <w:rsid w:val="00774EC7"/>
    <w:rsid w:val="00774F9B"/>
    <w:rsid w:val="00775CA7"/>
    <w:rsid w:val="0077643A"/>
    <w:rsid w:val="007765FD"/>
    <w:rsid w:val="00776933"/>
    <w:rsid w:val="00776987"/>
    <w:rsid w:val="00777691"/>
    <w:rsid w:val="007800D9"/>
    <w:rsid w:val="00780433"/>
    <w:rsid w:val="007804BD"/>
    <w:rsid w:val="0078096D"/>
    <w:rsid w:val="00780CA4"/>
    <w:rsid w:val="00781222"/>
    <w:rsid w:val="0078160A"/>
    <w:rsid w:val="007818C7"/>
    <w:rsid w:val="007819ED"/>
    <w:rsid w:val="00781D02"/>
    <w:rsid w:val="00781F1B"/>
    <w:rsid w:val="007820F0"/>
    <w:rsid w:val="0078239A"/>
    <w:rsid w:val="007825F1"/>
    <w:rsid w:val="00782A05"/>
    <w:rsid w:val="00782D2D"/>
    <w:rsid w:val="00782E6D"/>
    <w:rsid w:val="0078307B"/>
    <w:rsid w:val="007831B3"/>
    <w:rsid w:val="007840BF"/>
    <w:rsid w:val="00784848"/>
    <w:rsid w:val="00784FE6"/>
    <w:rsid w:val="00787225"/>
    <w:rsid w:val="007872D5"/>
    <w:rsid w:val="007872FF"/>
    <w:rsid w:val="0078767B"/>
    <w:rsid w:val="00787997"/>
    <w:rsid w:val="00790AB7"/>
    <w:rsid w:val="00790B9F"/>
    <w:rsid w:val="00791BD3"/>
    <w:rsid w:val="007923C2"/>
    <w:rsid w:val="00792495"/>
    <w:rsid w:val="007925C6"/>
    <w:rsid w:val="00792899"/>
    <w:rsid w:val="00792986"/>
    <w:rsid w:val="00792D66"/>
    <w:rsid w:val="00794E12"/>
    <w:rsid w:val="00794F2C"/>
    <w:rsid w:val="00795342"/>
    <w:rsid w:val="0079535A"/>
    <w:rsid w:val="007954A4"/>
    <w:rsid w:val="0079563E"/>
    <w:rsid w:val="00795881"/>
    <w:rsid w:val="007959CF"/>
    <w:rsid w:val="00795B06"/>
    <w:rsid w:val="0079694C"/>
    <w:rsid w:val="007979B9"/>
    <w:rsid w:val="00797EED"/>
    <w:rsid w:val="007A02BD"/>
    <w:rsid w:val="007A0394"/>
    <w:rsid w:val="007A138A"/>
    <w:rsid w:val="007A1516"/>
    <w:rsid w:val="007A1C51"/>
    <w:rsid w:val="007A25F2"/>
    <w:rsid w:val="007A31C0"/>
    <w:rsid w:val="007A3231"/>
    <w:rsid w:val="007A3915"/>
    <w:rsid w:val="007A3C52"/>
    <w:rsid w:val="007A3C56"/>
    <w:rsid w:val="007A3DCE"/>
    <w:rsid w:val="007A43B7"/>
    <w:rsid w:val="007A455F"/>
    <w:rsid w:val="007A473A"/>
    <w:rsid w:val="007A4925"/>
    <w:rsid w:val="007A4CDA"/>
    <w:rsid w:val="007A54FC"/>
    <w:rsid w:val="007A5E23"/>
    <w:rsid w:val="007A5FB5"/>
    <w:rsid w:val="007A72F2"/>
    <w:rsid w:val="007A753B"/>
    <w:rsid w:val="007A78D2"/>
    <w:rsid w:val="007A7A1F"/>
    <w:rsid w:val="007A7D20"/>
    <w:rsid w:val="007B078F"/>
    <w:rsid w:val="007B0BE4"/>
    <w:rsid w:val="007B0E98"/>
    <w:rsid w:val="007B180B"/>
    <w:rsid w:val="007B1837"/>
    <w:rsid w:val="007B19D6"/>
    <w:rsid w:val="007B1B17"/>
    <w:rsid w:val="007B20BC"/>
    <w:rsid w:val="007B2A2C"/>
    <w:rsid w:val="007B2A6E"/>
    <w:rsid w:val="007B2E99"/>
    <w:rsid w:val="007B354D"/>
    <w:rsid w:val="007B3B70"/>
    <w:rsid w:val="007B3BC5"/>
    <w:rsid w:val="007B3DC4"/>
    <w:rsid w:val="007B3F5A"/>
    <w:rsid w:val="007B46E5"/>
    <w:rsid w:val="007B48E5"/>
    <w:rsid w:val="007B526F"/>
    <w:rsid w:val="007B5C18"/>
    <w:rsid w:val="007B5E4E"/>
    <w:rsid w:val="007B6AAD"/>
    <w:rsid w:val="007B70EB"/>
    <w:rsid w:val="007B7592"/>
    <w:rsid w:val="007B75AB"/>
    <w:rsid w:val="007B7EB3"/>
    <w:rsid w:val="007C00CF"/>
    <w:rsid w:val="007C0241"/>
    <w:rsid w:val="007C063A"/>
    <w:rsid w:val="007C0F5F"/>
    <w:rsid w:val="007C0FC1"/>
    <w:rsid w:val="007C1615"/>
    <w:rsid w:val="007C1659"/>
    <w:rsid w:val="007C1C36"/>
    <w:rsid w:val="007C1E42"/>
    <w:rsid w:val="007C1E7A"/>
    <w:rsid w:val="007C28F1"/>
    <w:rsid w:val="007C2C4C"/>
    <w:rsid w:val="007C356B"/>
    <w:rsid w:val="007C3732"/>
    <w:rsid w:val="007C3A2D"/>
    <w:rsid w:val="007C3F12"/>
    <w:rsid w:val="007C42E8"/>
    <w:rsid w:val="007C47C9"/>
    <w:rsid w:val="007C4BE1"/>
    <w:rsid w:val="007C59FA"/>
    <w:rsid w:val="007C5EEF"/>
    <w:rsid w:val="007C63E2"/>
    <w:rsid w:val="007C69FB"/>
    <w:rsid w:val="007C6AD7"/>
    <w:rsid w:val="007D01DE"/>
    <w:rsid w:val="007D0432"/>
    <w:rsid w:val="007D07F1"/>
    <w:rsid w:val="007D0880"/>
    <w:rsid w:val="007D097F"/>
    <w:rsid w:val="007D0ACC"/>
    <w:rsid w:val="007D0D83"/>
    <w:rsid w:val="007D2721"/>
    <w:rsid w:val="007D2F87"/>
    <w:rsid w:val="007D328C"/>
    <w:rsid w:val="007D42FE"/>
    <w:rsid w:val="007D4545"/>
    <w:rsid w:val="007D482F"/>
    <w:rsid w:val="007D4BE0"/>
    <w:rsid w:val="007D4D87"/>
    <w:rsid w:val="007D4FC1"/>
    <w:rsid w:val="007D5701"/>
    <w:rsid w:val="007D5D7F"/>
    <w:rsid w:val="007D5EAF"/>
    <w:rsid w:val="007D64CD"/>
    <w:rsid w:val="007D6A94"/>
    <w:rsid w:val="007D740A"/>
    <w:rsid w:val="007D7DA4"/>
    <w:rsid w:val="007E0A82"/>
    <w:rsid w:val="007E0ED0"/>
    <w:rsid w:val="007E1692"/>
    <w:rsid w:val="007E16CB"/>
    <w:rsid w:val="007E1760"/>
    <w:rsid w:val="007E1C58"/>
    <w:rsid w:val="007E22E3"/>
    <w:rsid w:val="007E254C"/>
    <w:rsid w:val="007E3826"/>
    <w:rsid w:val="007E3991"/>
    <w:rsid w:val="007E3F6A"/>
    <w:rsid w:val="007E42BB"/>
    <w:rsid w:val="007E43AF"/>
    <w:rsid w:val="007E53F5"/>
    <w:rsid w:val="007E5895"/>
    <w:rsid w:val="007E5A7A"/>
    <w:rsid w:val="007E5DE1"/>
    <w:rsid w:val="007E66BB"/>
    <w:rsid w:val="007E6E66"/>
    <w:rsid w:val="007E7DC5"/>
    <w:rsid w:val="007F05E0"/>
    <w:rsid w:val="007F1009"/>
    <w:rsid w:val="007F122F"/>
    <w:rsid w:val="007F183F"/>
    <w:rsid w:val="007F2641"/>
    <w:rsid w:val="007F2A9F"/>
    <w:rsid w:val="007F2ADB"/>
    <w:rsid w:val="007F31B1"/>
    <w:rsid w:val="007F3B52"/>
    <w:rsid w:val="007F4625"/>
    <w:rsid w:val="007F529B"/>
    <w:rsid w:val="007F534C"/>
    <w:rsid w:val="007F53D3"/>
    <w:rsid w:val="007F5E5A"/>
    <w:rsid w:val="007F6510"/>
    <w:rsid w:val="007F6573"/>
    <w:rsid w:val="007F6CD5"/>
    <w:rsid w:val="007F737D"/>
    <w:rsid w:val="007F763B"/>
    <w:rsid w:val="007F78D7"/>
    <w:rsid w:val="007F7FF3"/>
    <w:rsid w:val="008003F4"/>
    <w:rsid w:val="00800592"/>
    <w:rsid w:val="0080059D"/>
    <w:rsid w:val="00801917"/>
    <w:rsid w:val="00801AD2"/>
    <w:rsid w:val="00801DDB"/>
    <w:rsid w:val="00802B64"/>
    <w:rsid w:val="008031B5"/>
    <w:rsid w:val="0080332C"/>
    <w:rsid w:val="008035AA"/>
    <w:rsid w:val="00803613"/>
    <w:rsid w:val="00803840"/>
    <w:rsid w:val="00803902"/>
    <w:rsid w:val="008039EF"/>
    <w:rsid w:val="00804766"/>
    <w:rsid w:val="00804C86"/>
    <w:rsid w:val="0080542C"/>
    <w:rsid w:val="00805714"/>
    <w:rsid w:val="00805B2D"/>
    <w:rsid w:val="008063EA"/>
    <w:rsid w:val="00806A15"/>
    <w:rsid w:val="00806FFD"/>
    <w:rsid w:val="008070C0"/>
    <w:rsid w:val="008072BA"/>
    <w:rsid w:val="00807BE5"/>
    <w:rsid w:val="00810442"/>
    <w:rsid w:val="00810690"/>
    <w:rsid w:val="0081070E"/>
    <w:rsid w:val="00810F0C"/>
    <w:rsid w:val="0081124C"/>
    <w:rsid w:val="008120D2"/>
    <w:rsid w:val="00812784"/>
    <w:rsid w:val="00812927"/>
    <w:rsid w:val="0081359A"/>
    <w:rsid w:val="008138A0"/>
    <w:rsid w:val="00813CC7"/>
    <w:rsid w:val="00813DD8"/>
    <w:rsid w:val="00814090"/>
    <w:rsid w:val="00814290"/>
    <w:rsid w:val="00814673"/>
    <w:rsid w:val="0081499A"/>
    <w:rsid w:val="00814C44"/>
    <w:rsid w:val="00814F9C"/>
    <w:rsid w:val="00815715"/>
    <w:rsid w:val="00815DFB"/>
    <w:rsid w:val="00816AEA"/>
    <w:rsid w:val="00816B6F"/>
    <w:rsid w:val="008171B0"/>
    <w:rsid w:val="008173BD"/>
    <w:rsid w:val="00817BF7"/>
    <w:rsid w:val="0082029B"/>
    <w:rsid w:val="008206C2"/>
    <w:rsid w:val="00820B62"/>
    <w:rsid w:val="00820D40"/>
    <w:rsid w:val="00820D70"/>
    <w:rsid w:val="00820FE4"/>
    <w:rsid w:val="008218BA"/>
    <w:rsid w:val="00821F3B"/>
    <w:rsid w:val="0082200D"/>
    <w:rsid w:val="008220FE"/>
    <w:rsid w:val="008226AA"/>
    <w:rsid w:val="008228B8"/>
    <w:rsid w:val="00822A4E"/>
    <w:rsid w:val="00822AE5"/>
    <w:rsid w:val="00822E8B"/>
    <w:rsid w:val="00822EB5"/>
    <w:rsid w:val="0082320D"/>
    <w:rsid w:val="0082371D"/>
    <w:rsid w:val="00823A92"/>
    <w:rsid w:val="00823D15"/>
    <w:rsid w:val="0082470E"/>
    <w:rsid w:val="0082472A"/>
    <w:rsid w:val="008247B7"/>
    <w:rsid w:val="0082489C"/>
    <w:rsid w:val="0082495F"/>
    <w:rsid w:val="00825641"/>
    <w:rsid w:val="00825FE5"/>
    <w:rsid w:val="0082609C"/>
    <w:rsid w:val="0082708C"/>
    <w:rsid w:val="008275C4"/>
    <w:rsid w:val="00827686"/>
    <w:rsid w:val="0082783F"/>
    <w:rsid w:val="00827976"/>
    <w:rsid w:val="00827F1F"/>
    <w:rsid w:val="008302ED"/>
    <w:rsid w:val="00830E82"/>
    <w:rsid w:val="0083115E"/>
    <w:rsid w:val="0083131E"/>
    <w:rsid w:val="00831693"/>
    <w:rsid w:val="00832378"/>
    <w:rsid w:val="0083264F"/>
    <w:rsid w:val="00832B8F"/>
    <w:rsid w:val="00833E2F"/>
    <w:rsid w:val="00833FC8"/>
    <w:rsid w:val="0083421C"/>
    <w:rsid w:val="00834290"/>
    <w:rsid w:val="0083468D"/>
    <w:rsid w:val="00834D8A"/>
    <w:rsid w:val="00835B80"/>
    <w:rsid w:val="00835D60"/>
    <w:rsid w:val="00835EC7"/>
    <w:rsid w:val="008360B0"/>
    <w:rsid w:val="008361AB"/>
    <w:rsid w:val="008364E6"/>
    <w:rsid w:val="00836771"/>
    <w:rsid w:val="00836AC2"/>
    <w:rsid w:val="00836E84"/>
    <w:rsid w:val="00836F88"/>
    <w:rsid w:val="00837290"/>
    <w:rsid w:val="0083782E"/>
    <w:rsid w:val="00837970"/>
    <w:rsid w:val="00837BC1"/>
    <w:rsid w:val="00837ED9"/>
    <w:rsid w:val="008410E3"/>
    <w:rsid w:val="00841A63"/>
    <w:rsid w:val="00842C7D"/>
    <w:rsid w:val="00843383"/>
    <w:rsid w:val="008436DF"/>
    <w:rsid w:val="00843C45"/>
    <w:rsid w:val="00843C49"/>
    <w:rsid w:val="008442CA"/>
    <w:rsid w:val="00844467"/>
    <w:rsid w:val="00844E4B"/>
    <w:rsid w:val="00845019"/>
    <w:rsid w:val="008452B6"/>
    <w:rsid w:val="00845425"/>
    <w:rsid w:val="00845470"/>
    <w:rsid w:val="008464A1"/>
    <w:rsid w:val="008467A7"/>
    <w:rsid w:val="00847D14"/>
    <w:rsid w:val="00850227"/>
    <w:rsid w:val="008505B9"/>
    <w:rsid w:val="00850E6E"/>
    <w:rsid w:val="008513FB"/>
    <w:rsid w:val="008514FB"/>
    <w:rsid w:val="0085193A"/>
    <w:rsid w:val="00851BB9"/>
    <w:rsid w:val="00851C1C"/>
    <w:rsid w:val="00851DB1"/>
    <w:rsid w:val="0085209B"/>
    <w:rsid w:val="00852ED3"/>
    <w:rsid w:val="0085354F"/>
    <w:rsid w:val="00853770"/>
    <w:rsid w:val="0085390C"/>
    <w:rsid w:val="00853A9F"/>
    <w:rsid w:val="00853B81"/>
    <w:rsid w:val="00853EEF"/>
    <w:rsid w:val="0085430D"/>
    <w:rsid w:val="00854519"/>
    <w:rsid w:val="00854A1C"/>
    <w:rsid w:val="00854A7C"/>
    <w:rsid w:val="00854B54"/>
    <w:rsid w:val="0085543A"/>
    <w:rsid w:val="008559BE"/>
    <w:rsid w:val="008561A6"/>
    <w:rsid w:val="00856607"/>
    <w:rsid w:val="00857148"/>
    <w:rsid w:val="00857E46"/>
    <w:rsid w:val="008600D2"/>
    <w:rsid w:val="00860386"/>
    <w:rsid w:val="00860462"/>
    <w:rsid w:val="00860584"/>
    <w:rsid w:val="008609C3"/>
    <w:rsid w:val="00860A17"/>
    <w:rsid w:val="00860F34"/>
    <w:rsid w:val="00863143"/>
    <w:rsid w:val="0086358F"/>
    <w:rsid w:val="00863721"/>
    <w:rsid w:val="008645C9"/>
    <w:rsid w:val="008652F8"/>
    <w:rsid w:val="00865428"/>
    <w:rsid w:val="008655F0"/>
    <w:rsid w:val="00865C7E"/>
    <w:rsid w:val="00866065"/>
    <w:rsid w:val="00866316"/>
    <w:rsid w:val="0086648F"/>
    <w:rsid w:val="008668C2"/>
    <w:rsid w:val="00866F1A"/>
    <w:rsid w:val="0086713F"/>
    <w:rsid w:val="008674D9"/>
    <w:rsid w:val="00867E14"/>
    <w:rsid w:val="00870052"/>
    <w:rsid w:val="0087008A"/>
    <w:rsid w:val="0087029C"/>
    <w:rsid w:val="0087049B"/>
    <w:rsid w:val="00872410"/>
    <w:rsid w:val="0087285E"/>
    <w:rsid w:val="00872939"/>
    <w:rsid w:val="00872A24"/>
    <w:rsid w:val="008732AB"/>
    <w:rsid w:val="0087378B"/>
    <w:rsid w:val="00873848"/>
    <w:rsid w:val="008754DB"/>
    <w:rsid w:val="00876406"/>
    <w:rsid w:val="008766EA"/>
    <w:rsid w:val="00876DF6"/>
    <w:rsid w:val="00877516"/>
    <w:rsid w:val="0087753A"/>
    <w:rsid w:val="00877B73"/>
    <w:rsid w:val="00880B1B"/>
    <w:rsid w:val="00880BC4"/>
    <w:rsid w:val="00881139"/>
    <w:rsid w:val="00881584"/>
    <w:rsid w:val="00881A6F"/>
    <w:rsid w:val="008825A2"/>
    <w:rsid w:val="008829B6"/>
    <w:rsid w:val="00882A1B"/>
    <w:rsid w:val="00882C0E"/>
    <w:rsid w:val="00882DFF"/>
    <w:rsid w:val="008831A0"/>
    <w:rsid w:val="00883D25"/>
    <w:rsid w:val="00883E8E"/>
    <w:rsid w:val="00884419"/>
    <w:rsid w:val="00884553"/>
    <w:rsid w:val="00884914"/>
    <w:rsid w:val="0088514D"/>
    <w:rsid w:val="008853BC"/>
    <w:rsid w:val="00886139"/>
    <w:rsid w:val="0088620B"/>
    <w:rsid w:val="00886315"/>
    <w:rsid w:val="00886880"/>
    <w:rsid w:val="0088691F"/>
    <w:rsid w:val="00886AFF"/>
    <w:rsid w:val="00886FF8"/>
    <w:rsid w:val="0088778B"/>
    <w:rsid w:val="008878C6"/>
    <w:rsid w:val="00890C30"/>
    <w:rsid w:val="00890FCF"/>
    <w:rsid w:val="00891097"/>
    <w:rsid w:val="00891154"/>
    <w:rsid w:val="00891B08"/>
    <w:rsid w:val="00891CB1"/>
    <w:rsid w:val="00892778"/>
    <w:rsid w:val="00892D29"/>
    <w:rsid w:val="0089309A"/>
    <w:rsid w:val="008935E4"/>
    <w:rsid w:val="00893F11"/>
    <w:rsid w:val="00893F87"/>
    <w:rsid w:val="008947C2"/>
    <w:rsid w:val="00894B10"/>
    <w:rsid w:val="00894C27"/>
    <w:rsid w:val="00895ADF"/>
    <w:rsid w:val="008961E0"/>
    <w:rsid w:val="00896522"/>
    <w:rsid w:val="0089658C"/>
    <w:rsid w:val="00896634"/>
    <w:rsid w:val="0089689F"/>
    <w:rsid w:val="00896A4B"/>
    <w:rsid w:val="00897C2F"/>
    <w:rsid w:val="008A06D6"/>
    <w:rsid w:val="008A08C9"/>
    <w:rsid w:val="008A0A39"/>
    <w:rsid w:val="008A0D10"/>
    <w:rsid w:val="008A0EB0"/>
    <w:rsid w:val="008A0EEA"/>
    <w:rsid w:val="008A0F9C"/>
    <w:rsid w:val="008A1135"/>
    <w:rsid w:val="008A1674"/>
    <w:rsid w:val="008A2CB6"/>
    <w:rsid w:val="008A2D80"/>
    <w:rsid w:val="008A32B4"/>
    <w:rsid w:val="008A34BC"/>
    <w:rsid w:val="008A3AEE"/>
    <w:rsid w:val="008A3F06"/>
    <w:rsid w:val="008A42DE"/>
    <w:rsid w:val="008A4902"/>
    <w:rsid w:val="008A4FB5"/>
    <w:rsid w:val="008A5272"/>
    <w:rsid w:val="008A527E"/>
    <w:rsid w:val="008A5314"/>
    <w:rsid w:val="008A5596"/>
    <w:rsid w:val="008A55D0"/>
    <w:rsid w:val="008A5B47"/>
    <w:rsid w:val="008A6377"/>
    <w:rsid w:val="008A690F"/>
    <w:rsid w:val="008A724E"/>
    <w:rsid w:val="008A74BD"/>
    <w:rsid w:val="008B003B"/>
    <w:rsid w:val="008B0082"/>
    <w:rsid w:val="008B0685"/>
    <w:rsid w:val="008B08B8"/>
    <w:rsid w:val="008B1733"/>
    <w:rsid w:val="008B1802"/>
    <w:rsid w:val="008B19C2"/>
    <w:rsid w:val="008B1C88"/>
    <w:rsid w:val="008B27C1"/>
    <w:rsid w:val="008B292F"/>
    <w:rsid w:val="008B3360"/>
    <w:rsid w:val="008B33FD"/>
    <w:rsid w:val="008B3B76"/>
    <w:rsid w:val="008B451E"/>
    <w:rsid w:val="008B4653"/>
    <w:rsid w:val="008B4ACD"/>
    <w:rsid w:val="008B520A"/>
    <w:rsid w:val="008B5CB4"/>
    <w:rsid w:val="008B61A2"/>
    <w:rsid w:val="008B6D81"/>
    <w:rsid w:val="008B723C"/>
    <w:rsid w:val="008B7817"/>
    <w:rsid w:val="008B7F72"/>
    <w:rsid w:val="008C0080"/>
    <w:rsid w:val="008C0210"/>
    <w:rsid w:val="008C03A7"/>
    <w:rsid w:val="008C0765"/>
    <w:rsid w:val="008C084B"/>
    <w:rsid w:val="008C1049"/>
    <w:rsid w:val="008C1248"/>
    <w:rsid w:val="008C162F"/>
    <w:rsid w:val="008C21D1"/>
    <w:rsid w:val="008C2664"/>
    <w:rsid w:val="008C2CAE"/>
    <w:rsid w:val="008C321C"/>
    <w:rsid w:val="008C32E0"/>
    <w:rsid w:val="008C338F"/>
    <w:rsid w:val="008C3417"/>
    <w:rsid w:val="008C3A67"/>
    <w:rsid w:val="008C52F1"/>
    <w:rsid w:val="008C5B0F"/>
    <w:rsid w:val="008C5BBE"/>
    <w:rsid w:val="008C6864"/>
    <w:rsid w:val="008C6A2F"/>
    <w:rsid w:val="008C6A38"/>
    <w:rsid w:val="008C6A92"/>
    <w:rsid w:val="008C6D31"/>
    <w:rsid w:val="008C7083"/>
    <w:rsid w:val="008C70D5"/>
    <w:rsid w:val="008C7160"/>
    <w:rsid w:val="008C753A"/>
    <w:rsid w:val="008C7689"/>
    <w:rsid w:val="008C7ADF"/>
    <w:rsid w:val="008C7E6B"/>
    <w:rsid w:val="008D00B4"/>
    <w:rsid w:val="008D01C3"/>
    <w:rsid w:val="008D0523"/>
    <w:rsid w:val="008D0787"/>
    <w:rsid w:val="008D0F04"/>
    <w:rsid w:val="008D1240"/>
    <w:rsid w:val="008D1679"/>
    <w:rsid w:val="008D1D9C"/>
    <w:rsid w:val="008D1F69"/>
    <w:rsid w:val="008D213F"/>
    <w:rsid w:val="008D2381"/>
    <w:rsid w:val="008D338B"/>
    <w:rsid w:val="008D3414"/>
    <w:rsid w:val="008D3874"/>
    <w:rsid w:val="008D3EF4"/>
    <w:rsid w:val="008D4490"/>
    <w:rsid w:val="008D467D"/>
    <w:rsid w:val="008D530E"/>
    <w:rsid w:val="008D54AF"/>
    <w:rsid w:val="008D5C4E"/>
    <w:rsid w:val="008D61CF"/>
    <w:rsid w:val="008D6643"/>
    <w:rsid w:val="008D67D8"/>
    <w:rsid w:val="008D68BE"/>
    <w:rsid w:val="008D72CA"/>
    <w:rsid w:val="008D72F9"/>
    <w:rsid w:val="008D76F3"/>
    <w:rsid w:val="008D7B72"/>
    <w:rsid w:val="008D7BAA"/>
    <w:rsid w:val="008E091B"/>
    <w:rsid w:val="008E0DBF"/>
    <w:rsid w:val="008E0E42"/>
    <w:rsid w:val="008E21DA"/>
    <w:rsid w:val="008E24C1"/>
    <w:rsid w:val="008E2728"/>
    <w:rsid w:val="008E2746"/>
    <w:rsid w:val="008E28DE"/>
    <w:rsid w:val="008E29A5"/>
    <w:rsid w:val="008E2DCF"/>
    <w:rsid w:val="008E2FFD"/>
    <w:rsid w:val="008E3280"/>
    <w:rsid w:val="008E3E0B"/>
    <w:rsid w:val="008E4121"/>
    <w:rsid w:val="008E4267"/>
    <w:rsid w:val="008E49B8"/>
    <w:rsid w:val="008E5A7A"/>
    <w:rsid w:val="008E5B76"/>
    <w:rsid w:val="008E6895"/>
    <w:rsid w:val="008E7180"/>
    <w:rsid w:val="008E74AF"/>
    <w:rsid w:val="008E7895"/>
    <w:rsid w:val="008F045D"/>
    <w:rsid w:val="008F0ACC"/>
    <w:rsid w:val="008F1DFB"/>
    <w:rsid w:val="008F2588"/>
    <w:rsid w:val="008F3125"/>
    <w:rsid w:val="008F3671"/>
    <w:rsid w:val="008F371F"/>
    <w:rsid w:val="008F37F1"/>
    <w:rsid w:val="008F3A93"/>
    <w:rsid w:val="008F3EBC"/>
    <w:rsid w:val="008F4307"/>
    <w:rsid w:val="008F48F4"/>
    <w:rsid w:val="008F4E8B"/>
    <w:rsid w:val="008F5596"/>
    <w:rsid w:val="008F636E"/>
    <w:rsid w:val="008F654E"/>
    <w:rsid w:val="008F6A35"/>
    <w:rsid w:val="008F7340"/>
    <w:rsid w:val="00900148"/>
    <w:rsid w:val="0090017D"/>
    <w:rsid w:val="009002F2"/>
    <w:rsid w:val="0090072F"/>
    <w:rsid w:val="009008A4"/>
    <w:rsid w:val="00900E5C"/>
    <w:rsid w:val="00901341"/>
    <w:rsid w:val="009015B2"/>
    <w:rsid w:val="009015B3"/>
    <w:rsid w:val="00901C74"/>
    <w:rsid w:val="009021FF"/>
    <w:rsid w:val="009025AA"/>
    <w:rsid w:val="0090265C"/>
    <w:rsid w:val="009028F8"/>
    <w:rsid w:val="00902AD9"/>
    <w:rsid w:val="00902C67"/>
    <w:rsid w:val="00902E6C"/>
    <w:rsid w:val="00903450"/>
    <w:rsid w:val="00904780"/>
    <w:rsid w:val="00904E13"/>
    <w:rsid w:val="00905B24"/>
    <w:rsid w:val="00905BCA"/>
    <w:rsid w:val="00905F5C"/>
    <w:rsid w:val="00906305"/>
    <w:rsid w:val="009065FC"/>
    <w:rsid w:val="0090662D"/>
    <w:rsid w:val="009068FD"/>
    <w:rsid w:val="00906D92"/>
    <w:rsid w:val="009078CD"/>
    <w:rsid w:val="0091057B"/>
    <w:rsid w:val="009108DC"/>
    <w:rsid w:val="00911C75"/>
    <w:rsid w:val="00911FB3"/>
    <w:rsid w:val="009123F5"/>
    <w:rsid w:val="00912FCB"/>
    <w:rsid w:val="0091366A"/>
    <w:rsid w:val="00913D7C"/>
    <w:rsid w:val="00913E8D"/>
    <w:rsid w:val="00913EB4"/>
    <w:rsid w:val="00914462"/>
    <w:rsid w:val="00914783"/>
    <w:rsid w:val="009150A1"/>
    <w:rsid w:val="0091598A"/>
    <w:rsid w:val="00915D3D"/>
    <w:rsid w:val="009163FD"/>
    <w:rsid w:val="009168D1"/>
    <w:rsid w:val="00916DEA"/>
    <w:rsid w:val="00916F1F"/>
    <w:rsid w:val="009173BF"/>
    <w:rsid w:val="009178F7"/>
    <w:rsid w:val="00917944"/>
    <w:rsid w:val="00917B66"/>
    <w:rsid w:val="00917CFB"/>
    <w:rsid w:val="009204B3"/>
    <w:rsid w:val="00920D2E"/>
    <w:rsid w:val="00920E22"/>
    <w:rsid w:val="00920EAB"/>
    <w:rsid w:val="0092106B"/>
    <w:rsid w:val="009211F3"/>
    <w:rsid w:val="009212C8"/>
    <w:rsid w:val="00921669"/>
    <w:rsid w:val="00921712"/>
    <w:rsid w:val="009219D3"/>
    <w:rsid w:val="00921F0D"/>
    <w:rsid w:val="009229BB"/>
    <w:rsid w:val="0092306E"/>
    <w:rsid w:val="00923561"/>
    <w:rsid w:val="0092387D"/>
    <w:rsid w:val="00923AD6"/>
    <w:rsid w:val="00924522"/>
    <w:rsid w:val="0092455F"/>
    <w:rsid w:val="00924F9A"/>
    <w:rsid w:val="009250ED"/>
    <w:rsid w:val="00926118"/>
    <w:rsid w:val="00926169"/>
    <w:rsid w:val="009262A5"/>
    <w:rsid w:val="009262B6"/>
    <w:rsid w:val="0092733D"/>
    <w:rsid w:val="0092743F"/>
    <w:rsid w:val="0093005B"/>
    <w:rsid w:val="009306AB"/>
    <w:rsid w:val="00930A46"/>
    <w:rsid w:val="00930C19"/>
    <w:rsid w:val="009323AB"/>
    <w:rsid w:val="00932DB5"/>
    <w:rsid w:val="00932F9B"/>
    <w:rsid w:val="00933299"/>
    <w:rsid w:val="009336FB"/>
    <w:rsid w:val="009339BB"/>
    <w:rsid w:val="009344D1"/>
    <w:rsid w:val="0093468C"/>
    <w:rsid w:val="00935D49"/>
    <w:rsid w:val="009364CC"/>
    <w:rsid w:val="009364D8"/>
    <w:rsid w:val="0093670E"/>
    <w:rsid w:val="00936B79"/>
    <w:rsid w:val="00936BAB"/>
    <w:rsid w:val="00937276"/>
    <w:rsid w:val="00937407"/>
    <w:rsid w:val="00937CCA"/>
    <w:rsid w:val="00937FEE"/>
    <w:rsid w:val="0094006B"/>
    <w:rsid w:val="009404CF"/>
    <w:rsid w:val="00940D97"/>
    <w:rsid w:val="0094117C"/>
    <w:rsid w:val="0094146F"/>
    <w:rsid w:val="00941BE9"/>
    <w:rsid w:val="00941F8C"/>
    <w:rsid w:val="0094201E"/>
    <w:rsid w:val="00942ED1"/>
    <w:rsid w:val="00942FD5"/>
    <w:rsid w:val="00943534"/>
    <w:rsid w:val="009436F6"/>
    <w:rsid w:val="00943C07"/>
    <w:rsid w:val="00944765"/>
    <w:rsid w:val="00944C76"/>
    <w:rsid w:val="00944C92"/>
    <w:rsid w:val="00944DE3"/>
    <w:rsid w:val="00945262"/>
    <w:rsid w:val="009459A0"/>
    <w:rsid w:val="009462CC"/>
    <w:rsid w:val="00946324"/>
    <w:rsid w:val="00946594"/>
    <w:rsid w:val="00946E1B"/>
    <w:rsid w:val="0094700F"/>
    <w:rsid w:val="00947696"/>
    <w:rsid w:val="00947A71"/>
    <w:rsid w:val="00947CEB"/>
    <w:rsid w:val="009507F1"/>
    <w:rsid w:val="00950BD1"/>
    <w:rsid w:val="009510AC"/>
    <w:rsid w:val="00951AFC"/>
    <w:rsid w:val="00951D08"/>
    <w:rsid w:val="0095211D"/>
    <w:rsid w:val="00952557"/>
    <w:rsid w:val="009527A7"/>
    <w:rsid w:val="00952D6A"/>
    <w:rsid w:val="00952D96"/>
    <w:rsid w:val="00953430"/>
    <w:rsid w:val="00953F8A"/>
    <w:rsid w:val="009546EE"/>
    <w:rsid w:val="00955120"/>
    <w:rsid w:val="0095534B"/>
    <w:rsid w:val="00955C62"/>
    <w:rsid w:val="00955D4B"/>
    <w:rsid w:val="00955DEC"/>
    <w:rsid w:val="00955FD9"/>
    <w:rsid w:val="009561A7"/>
    <w:rsid w:val="0095633B"/>
    <w:rsid w:val="00956DE3"/>
    <w:rsid w:val="009574DC"/>
    <w:rsid w:val="009577D6"/>
    <w:rsid w:val="00957DD1"/>
    <w:rsid w:val="009607E4"/>
    <w:rsid w:val="009607FF"/>
    <w:rsid w:val="009612F2"/>
    <w:rsid w:val="00961891"/>
    <w:rsid w:val="0096235B"/>
    <w:rsid w:val="00962539"/>
    <w:rsid w:val="00963233"/>
    <w:rsid w:val="00963D0D"/>
    <w:rsid w:val="009641CD"/>
    <w:rsid w:val="0096427A"/>
    <w:rsid w:val="009647EC"/>
    <w:rsid w:val="00965257"/>
    <w:rsid w:val="009654A4"/>
    <w:rsid w:val="009655ED"/>
    <w:rsid w:val="0096581B"/>
    <w:rsid w:val="00965AA0"/>
    <w:rsid w:val="00965FCE"/>
    <w:rsid w:val="009668E4"/>
    <w:rsid w:val="00966C55"/>
    <w:rsid w:val="009678A2"/>
    <w:rsid w:val="00967C4A"/>
    <w:rsid w:val="00967E86"/>
    <w:rsid w:val="009707E9"/>
    <w:rsid w:val="00970F37"/>
    <w:rsid w:val="0097185E"/>
    <w:rsid w:val="00971A6C"/>
    <w:rsid w:val="00972670"/>
    <w:rsid w:val="009729D7"/>
    <w:rsid w:val="00972AA6"/>
    <w:rsid w:val="00972F04"/>
    <w:rsid w:val="009732C3"/>
    <w:rsid w:val="00973E76"/>
    <w:rsid w:val="00973F97"/>
    <w:rsid w:val="009747A5"/>
    <w:rsid w:val="00974E98"/>
    <w:rsid w:val="00975063"/>
    <w:rsid w:val="009754DE"/>
    <w:rsid w:val="0097609B"/>
    <w:rsid w:val="00976192"/>
    <w:rsid w:val="0097622F"/>
    <w:rsid w:val="009765EF"/>
    <w:rsid w:val="00976886"/>
    <w:rsid w:val="00976BB1"/>
    <w:rsid w:val="00977260"/>
    <w:rsid w:val="00977791"/>
    <w:rsid w:val="00977883"/>
    <w:rsid w:val="0098221A"/>
    <w:rsid w:val="00982307"/>
    <w:rsid w:val="0098284A"/>
    <w:rsid w:val="0098325C"/>
    <w:rsid w:val="009836DD"/>
    <w:rsid w:val="0098400D"/>
    <w:rsid w:val="00984E7E"/>
    <w:rsid w:val="00984F74"/>
    <w:rsid w:val="0098519F"/>
    <w:rsid w:val="00985BC9"/>
    <w:rsid w:val="00986E29"/>
    <w:rsid w:val="009874FA"/>
    <w:rsid w:val="009902DD"/>
    <w:rsid w:val="009903B3"/>
    <w:rsid w:val="0099051B"/>
    <w:rsid w:val="009906AE"/>
    <w:rsid w:val="00990994"/>
    <w:rsid w:val="00990C82"/>
    <w:rsid w:val="00991205"/>
    <w:rsid w:val="00991F60"/>
    <w:rsid w:val="00992C83"/>
    <w:rsid w:val="00993884"/>
    <w:rsid w:val="009940CF"/>
    <w:rsid w:val="009948A3"/>
    <w:rsid w:val="00994C89"/>
    <w:rsid w:val="00995AC6"/>
    <w:rsid w:val="009965ED"/>
    <w:rsid w:val="009966FF"/>
    <w:rsid w:val="00996B7F"/>
    <w:rsid w:val="00996CA2"/>
    <w:rsid w:val="00996CE3"/>
    <w:rsid w:val="009972EB"/>
    <w:rsid w:val="0099775F"/>
    <w:rsid w:val="00997EC1"/>
    <w:rsid w:val="009A0E1B"/>
    <w:rsid w:val="009A0E98"/>
    <w:rsid w:val="009A16F5"/>
    <w:rsid w:val="009A18FA"/>
    <w:rsid w:val="009A2E95"/>
    <w:rsid w:val="009A3C0D"/>
    <w:rsid w:val="009A3F0A"/>
    <w:rsid w:val="009A5536"/>
    <w:rsid w:val="009A607D"/>
    <w:rsid w:val="009A62A3"/>
    <w:rsid w:val="009A6327"/>
    <w:rsid w:val="009A644D"/>
    <w:rsid w:val="009A6766"/>
    <w:rsid w:val="009A6CBA"/>
    <w:rsid w:val="009A772A"/>
    <w:rsid w:val="009A78B7"/>
    <w:rsid w:val="009A7BF1"/>
    <w:rsid w:val="009A7DEE"/>
    <w:rsid w:val="009B002F"/>
    <w:rsid w:val="009B0364"/>
    <w:rsid w:val="009B0583"/>
    <w:rsid w:val="009B0B07"/>
    <w:rsid w:val="009B0BD2"/>
    <w:rsid w:val="009B16B1"/>
    <w:rsid w:val="009B16E0"/>
    <w:rsid w:val="009B1DC6"/>
    <w:rsid w:val="009B2104"/>
    <w:rsid w:val="009B280B"/>
    <w:rsid w:val="009B2BA1"/>
    <w:rsid w:val="009B2F68"/>
    <w:rsid w:val="009B3455"/>
    <w:rsid w:val="009B38E3"/>
    <w:rsid w:val="009B3D3E"/>
    <w:rsid w:val="009B4C52"/>
    <w:rsid w:val="009B5D66"/>
    <w:rsid w:val="009B5ECD"/>
    <w:rsid w:val="009B60E7"/>
    <w:rsid w:val="009B676B"/>
    <w:rsid w:val="009B7451"/>
    <w:rsid w:val="009B746C"/>
    <w:rsid w:val="009B74E9"/>
    <w:rsid w:val="009B781C"/>
    <w:rsid w:val="009B7911"/>
    <w:rsid w:val="009B7936"/>
    <w:rsid w:val="009B7B6C"/>
    <w:rsid w:val="009B7B95"/>
    <w:rsid w:val="009C03BB"/>
    <w:rsid w:val="009C0D22"/>
    <w:rsid w:val="009C0F0A"/>
    <w:rsid w:val="009C1391"/>
    <w:rsid w:val="009C189A"/>
    <w:rsid w:val="009C18BF"/>
    <w:rsid w:val="009C2299"/>
    <w:rsid w:val="009C2D38"/>
    <w:rsid w:val="009C2EC4"/>
    <w:rsid w:val="009C3575"/>
    <w:rsid w:val="009C3C46"/>
    <w:rsid w:val="009C4107"/>
    <w:rsid w:val="009C434A"/>
    <w:rsid w:val="009C45FE"/>
    <w:rsid w:val="009C5140"/>
    <w:rsid w:val="009C5B68"/>
    <w:rsid w:val="009C61AB"/>
    <w:rsid w:val="009C64E7"/>
    <w:rsid w:val="009C6561"/>
    <w:rsid w:val="009C672E"/>
    <w:rsid w:val="009C6A79"/>
    <w:rsid w:val="009C767F"/>
    <w:rsid w:val="009C79A7"/>
    <w:rsid w:val="009C7F7B"/>
    <w:rsid w:val="009D0027"/>
    <w:rsid w:val="009D0043"/>
    <w:rsid w:val="009D0494"/>
    <w:rsid w:val="009D099E"/>
    <w:rsid w:val="009D0CF3"/>
    <w:rsid w:val="009D101D"/>
    <w:rsid w:val="009D10DF"/>
    <w:rsid w:val="009D181D"/>
    <w:rsid w:val="009D1BD9"/>
    <w:rsid w:val="009D1C5F"/>
    <w:rsid w:val="009D2AD3"/>
    <w:rsid w:val="009D2D47"/>
    <w:rsid w:val="009D3064"/>
    <w:rsid w:val="009D36AB"/>
    <w:rsid w:val="009D3E9F"/>
    <w:rsid w:val="009D40F1"/>
    <w:rsid w:val="009D513F"/>
    <w:rsid w:val="009D57C9"/>
    <w:rsid w:val="009D6004"/>
    <w:rsid w:val="009D6C31"/>
    <w:rsid w:val="009D6CDE"/>
    <w:rsid w:val="009D77BC"/>
    <w:rsid w:val="009D78DC"/>
    <w:rsid w:val="009D79A6"/>
    <w:rsid w:val="009D7A17"/>
    <w:rsid w:val="009D7D9E"/>
    <w:rsid w:val="009E0C85"/>
    <w:rsid w:val="009E14EA"/>
    <w:rsid w:val="009E20C6"/>
    <w:rsid w:val="009E2CEC"/>
    <w:rsid w:val="009E38D0"/>
    <w:rsid w:val="009E45EB"/>
    <w:rsid w:val="009E4983"/>
    <w:rsid w:val="009E4BD0"/>
    <w:rsid w:val="009E4CC5"/>
    <w:rsid w:val="009E510F"/>
    <w:rsid w:val="009E5742"/>
    <w:rsid w:val="009E5D0B"/>
    <w:rsid w:val="009E6571"/>
    <w:rsid w:val="009E6A4F"/>
    <w:rsid w:val="009E74AE"/>
    <w:rsid w:val="009E76A6"/>
    <w:rsid w:val="009E79D3"/>
    <w:rsid w:val="009E7F6B"/>
    <w:rsid w:val="009E7FE1"/>
    <w:rsid w:val="009F02E4"/>
    <w:rsid w:val="009F0544"/>
    <w:rsid w:val="009F05BD"/>
    <w:rsid w:val="009F0A8E"/>
    <w:rsid w:val="009F14F4"/>
    <w:rsid w:val="009F23A1"/>
    <w:rsid w:val="009F27C2"/>
    <w:rsid w:val="009F35E6"/>
    <w:rsid w:val="009F3A88"/>
    <w:rsid w:val="009F3B19"/>
    <w:rsid w:val="009F3C39"/>
    <w:rsid w:val="009F4245"/>
    <w:rsid w:val="009F468B"/>
    <w:rsid w:val="009F4A34"/>
    <w:rsid w:val="009F4E38"/>
    <w:rsid w:val="009F54BB"/>
    <w:rsid w:val="009F6C68"/>
    <w:rsid w:val="009F6C95"/>
    <w:rsid w:val="009F7281"/>
    <w:rsid w:val="009F76A4"/>
    <w:rsid w:val="009F7800"/>
    <w:rsid w:val="009F79B6"/>
    <w:rsid w:val="00A000EC"/>
    <w:rsid w:val="00A003B6"/>
    <w:rsid w:val="00A00A79"/>
    <w:rsid w:val="00A00DEF"/>
    <w:rsid w:val="00A023CC"/>
    <w:rsid w:val="00A025AC"/>
    <w:rsid w:val="00A026FB"/>
    <w:rsid w:val="00A03001"/>
    <w:rsid w:val="00A030EF"/>
    <w:rsid w:val="00A03108"/>
    <w:rsid w:val="00A0322F"/>
    <w:rsid w:val="00A03846"/>
    <w:rsid w:val="00A04550"/>
    <w:rsid w:val="00A04DBD"/>
    <w:rsid w:val="00A05C91"/>
    <w:rsid w:val="00A05D48"/>
    <w:rsid w:val="00A06360"/>
    <w:rsid w:val="00A06671"/>
    <w:rsid w:val="00A06B1F"/>
    <w:rsid w:val="00A06CFE"/>
    <w:rsid w:val="00A06DF9"/>
    <w:rsid w:val="00A06E87"/>
    <w:rsid w:val="00A0740C"/>
    <w:rsid w:val="00A07566"/>
    <w:rsid w:val="00A075C9"/>
    <w:rsid w:val="00A07866"/>
    <w:rsid w:val="00A07A7C"/>
    <w:rsid w:val="00A07BFE"/>
    <w:rsid w:val="00A07C24"/>
    <w:rsid w:val="00A1046D"/>
    <w:rsid w:val="00A105A4"/>
    <w:rsid w:val="00A10AFA"/>
    <w:rsid w:val="00A113F5"/>
    <w:rsid w:val="00A1141A"/>
    <w:rsid w:val="00A1198D"/>
    <w:rsid w:val="00A11BF5"/>
    <w:rsid w:val="00A1215E"/>
    <w:rsid w:val="00A12380"/>
    <w:rsid w:val="00A12398"/>
    <w:rsid w:val="00A136D5"/>
    <w:rsid w:val="00A14205"/>
    <w:rsid w:val="00A14282"/>
    <w:rsid w:val="00A14835"/>
    <w:rsid w:val="00A14A5D"/>
    <w:rsid w:val="00A15245"/>
    <w:rsid w:val="00A16783"/>
    <w:rsid w:val="00A16E83"/>
    <w:rsid w:val="00A17160"/>
    <w:rsid w:val="00A17345"/>
    <w:rsid w:val="00A174A2"/>
    <w:rsid w:val="00A176A6"/>
    <w:rsid w:val="00A202F0"/>
    <w:rsid w:val="00A206AD"/>
    <w:rsid w:val="00A210C4"/>
    <w:rsid w:val="00A21334"/>
    <w:rsid w:val="00A228DE"/>
    <w:rsid w:val="00A22927"/>
    <w:rsid w:val="00A23284"/>
    <w:rsid w:val="00A2350A"/>
    <w:rsid w:val="00A241FB"/>
    <w:rsid w:val="00A24944"/>
    <w:rsid w:val="00A25145"/>
    <w:rsid w:val="00A25148"/>
    <w:rsid w:val="00A2565E"/>
    <w:rsid w:val="00A25F4E"/>
    <w:rsid w:val="00A26596"/>
    <w:rsid w:val="00A265C7"/>
    <w:rsid w:val="00A26709"/>
    <w:rsid w:val="00A26717"/>
    <w:rsid w:val="00A26E6E"/>
    <w:rsid w:val="00A278F8"/>
    <w:rsid w:val="00A27BA2"/>
    <w:rsid w:val="00A27D7F"/>
    <w:rsid w:val="00A27F92"/>
    <w:rsid w:val="00A3023F"/>
    <w:rsid w:val="00A302B3"/>
    <w:rsid w:val="00A3074C"/>
    <w:rsid w:val="00A308C6"/>
    <w:rsid w:val="00A315F2"/>
    <w:rsid w:val="00A3205C"/>
    <w:rsid w:val="00A3206D"/>
    <w:rsid w:val="00A328E2"/>
    <w:rsid w:val="00A32D9C"/>
    <w:rsid w:val="00A33004"/>
    <w:rsid w:val="00A3377E"/>
    <w:rsid w:val="00A346D7"/>
    <w:rsid w:val="00A348F6"/>
    <w:rsid w:val="00A34B35"/>
    <w:rsid w:val="00A34D85"/>
    <w:rsid w:val="00A34E2A"/>
    <w:rsid w:val="00A34F2F"/>
    <w:rsid w:val="00A36146"/>
    <w:rsid w:val="00A36B78"/>
    <w:rsid w:val="00A36CF4"/>
    <w:rsid w:val="00A3711C"/>
    <w:rsid w:val="00A374FD"/>
    <w:rsid w:val="00A404DC"/>
    <w:rsid w:val="00A40A1E"/>
    <w:rsid w:val="00A4133C"/>
    <w:rsid w:val="00A41708"/>
    <w:rsid w:val="00A41C3C"/>
    <w:rsid w:val="00A41C9E"/>
    <w:rsid w:val="00A41EF3"/>
    <w:rsid w:val="00A41F08"/>
    <w:rsid w:val="00A423DF"/>
    <w:rsid w:val="00A42E92"/>
    <w:rsid w:val="00A43521"/>
    <w:rsid w:val="00A43652"/>
    <w:rsid w:val="00A43B46"/>
    <w:rsid w:val="00A44582"/>
    <w:rsid w:val="00A44A9A"/>
    <w:rsid w:val="00A4554F"/>
    <w:rsid w:val="00A45F8F"/>
    <w:rsid w:val="00A4660C"/>
    <w:rsid w:val="00A46A9B"/>
    <w:rsid w:val="00A47640"/>
    <w:rsid w:val="00A476FA"/>
    <w:rsid w:val="00A47E89"/>
    <w:rsid w:val="00A5052B"/>
    <w:rsid w:val="00A50CB5"/>
    <w:rsid w:val="00A51CD7"/>
    <w:rsid w:val="00A52616"/>
    <w:rsid w:val="00A52AC8"/>
    <w:rsid w:val="00A54400"/>
    <w:rsid w:val="00A54887"/>
    <w:rsid w:val="00A5544F"/>
    <w:rsid w:val="00A5558D"/>
    <w:rsid w:val="00A55B6E"/>
    <w:rsid w:val="00A55EC4"/>
    <w:rsid w:val="00A56297"/>
    <w:rsid w:val="00A56360"/>
    <w:rsid w:val="00A567B2"/>
    <w:rsid w:val="00A56F02"/>
    <w:rsid w:val="00A56FD1"/>
    <w:rsid w:val="00A57269"/>
    <w:rsid w:val="00A57371"/>
    <w:rsid w:val="00A57373"/>
    <w:rsid w:val="00A5799E"/>
    <w:rsid w:val="00A57ACD"/>
    <w:rsid w:val="00A60021"/>
    <w:rsid w:val="00A602CF"/>
    <w:rsid w:val="00A6180F"/>
    <w:rsid w:val="00A618E6"/>
    <w:rsid w:val="00A61E0A"/>
    <w:rsid w:val="00A63099"/>
    <w:rsid w:val="00A630C8"/>
    <w:rsid w:val="00A63DFB"/>
    <w:rsid w:val="00A64510"/>
    <w:rsid w:val="00A6466B"/>
    <w:rsid w:val="00A64A27"/>
    <w:rsid w:val="00A64CB2"/>
    <w:rsid w:val="00A65269"/>
    <w:rsid w:val="00A65317"/>
    <w:rsid w:val="00A6566A"/>
    <w:rsid w:val="00A65ADB"/>
    <w:rsid w:val="00A6623B"/>
    <w:rsid w:val="00A66A15"/>
    <w:rsid w:val="00A66C09"/>
    <w:rsid w:val="00A66CCE"/>
    <w:rsid w:val="00A67456"/>
    <w:rsid w:val="00A6783D"/>
    <w:rsid w:val="00A7008F"/>
    <w:rsid w:val="00A7022D"/>
    <w:rsid w:val="00A70588"/>
    <w:rsid w:val="00A70BE5"/>
    <w:rsid w:val="00A7123F"/>
    <w:rsid w:val="00A71C39"/>
    <w:rsid w:val="00A72415"/>
    <w:rsid w:val="00A72ED0"/>
    <w:rsid w:val="00A72F32"/>
    <w:rsid w:val="00A735B5"/>
    <w:rsid w:val="00A73C65"/>
    <w:rsid w:val="00A73C6F"/>
    <w:rsid w:val="00A73E90"/>
    <w:rsid w:val="00A7419A"/>
    <w:rsid w:val="00A75C84"/>
    <w:rsid w:val="00A762A1"/>
    <w:rsid w:val="00A76E65"/>
    <w:rsid w:val="00A76EF5"/>
    <w:rsid w:val="00A7743E"/>
    <w:rsid w:val="00A77B55"/>
    <w:rsid w:val="00A80237"/>
    <w:rsid w:val="00A80715"/>
    <w:rsid w:val="00A80725"/>
    <w:rsid w:val="00A80942"/>
    <w:rsid w:val="00A80B1D"/>
    <w:rsid w:val="00A8139B"/>
    <w:rsid w:val="00A822EE"/>
    <w:rsid w:val="00A826E7"/>
    <w:rsid w:val="00A82AEF"/>
    <w:rsid w:val="00A83345"/>
    <w:rsid w:val="00A833E3"/>
    <w:rsid w:val="00A836C9"/>
    <w:rsid w:val="00A83EC8"/>
    <w:rsid w:val="00A83F6E"/>
    <w:rsid w:val="00A84110"/>
    <w:rsid w:val="00A84870"/>
    <w:rsid w:val="00A84B61"/>
    <w:rsid w:val="00A84BE3"/>
    <w:rsid w:val="00A84DA6"/>
    <w:rsid w:val="00A85100"/>
    <w:rsid w:val="00A85704"/>
    <w:rsid w:val="00A85D6A"/>
    <w:rsid w:val="00A86622"/>
    <w:rsid w:val="00A86844"/>
    <w:rsid w:val="00A87482"/>
    <w:rsid w:val="00A9029C"/>
    <w:rsid w:val="00A90320"/>
    <w:rsid w:val="00A90731"/>
    <w:rsid w:val="00A90FFE"/>
    <w:rsid w:val="00A914C4"/>
    <w:rsid w:val="00A91691"/>
    <w:rsid w:val="00A91803"/>
    <w:rsid w:val="00A9191A"/>
    <w:rsid w:val="00A91FDC"/>
    <w:rsid w:val="00A92016"/>
    <w:rsid w:val="00A92B92"/>
    <w:rsid w:val="00A92D1D"/>
    <w:rsid w:val="00A92FE6"/>
    <w:rsid w:val="00A93085"/>
    <w:rsid w:val="00A930D0"/>
    <w:rsid w:val="00A9327E"/>
    <w:rsid w:val="00A93F5D"/>
    <w:rsid w:val="00A94455"/>
    <w:rsid w:val="00A94A2C"/>
    <w:rsid w:val="00A956E4"/>
    <w:rsid w:val="00A95876"/>
    <w:rsid w:val="00A95CE2"/>
    <w:rsid w:val="00A969B1"/>
    <w:rsid w:val="00A969C6"/>
    <w:rsid w:val="00A97A6F"/>
    <w:rsid w:val="00AA0136"/>
    <w:rsid w:val="00AA0297"/>
    <w:rsid w:val="00AA0670"/>
    <w:rsid w:val="00AA06BD"/>
    <w:rsid w:val="00AA078B"/>
    <w:rsid w:val="00AA07CD"/>
    <w:rsid w:val="00AA09F5"/>
    <w:rsid w:val="00AA0E99"/>
    <w:rsid w:val="00AA1060"/>
    <w:rsid w:val="00AA1128"/>
    <w:rsid w:val="00AA1310"/>
    <w:rsid w:val="00AA1963"/>
    <w:rsid w:val="00AA1EE7"/>
    <w:rsid w:val="00AA217B"/>
    <w:rsid w:val="00AA23EA"/>
    <w:rsid w:val="00AA2F7F"/>
    <w:rsid w:val="00AA2FF2"/>
    <w:rsid w:val="00AA32D7"/>
    <w:rsid w:val="00AA34AD"/>
    <w:rsid w:val="00AA36A3"/>
    <w:rsid w:val="00AA3CDD"/>
    <w:rsid w:val="00AA3D7E"/>
    <w:rsid w:val="00AA42C0"/>
    <w:rsid w:val="00AA4443"/>
    <w:rsid w:val="00AA46AA"/>
    <w:rsid w:val="00AA47A7"/>
    <w:rsid w:val="00AA4EF9"/>
    <w:rsid w:val="00AA523F"/>
    <w:rsid w:val="00AA5840"/>
    <w:rsid w:val="00AA5ABA"/>
    <w:rsid w:val="00AA60E7"/>
    <w:rsid w:val="00AA613E"/>
    <w:rsid w:val="00AA668B"/>
    <w:rsid w:val="00AA67C7"/>
    <w:rsid w:val="00AA68A9"/>
    <w:rsid w:val="00AA695C"/>
    <w:rsid w:val="00AA6A3A"/>
    <w:rsid w:val="00AA6A8F"/>
    <w:rsid w:val="00AA6F56"/>
    <w:rsid w:val="00AA6FCF"/>
    <w:rsid w:val="00AA726B"/>
    <w:rsid w:val="00AA7979"/>
    <w:rsid w:val="00AB0783"/>
    <w:rsid w:val="00AB0BB9"/>
    <w:rsid w:val="00AB0C4A"/>
    <w:rsid w:val="00AB1483"/>
    <w:rsid w:val="00AB2484"/>
    <w:rsid w:val="00AB3835"/>
    <w:rsid w:val="00AB387C"/>
    <w:rsid w:val="00AB3EBB"/>
    <w:rsid w:val="00AB445B"/>
    <w:rsid w:val="00AB53B9"/>
    <w:rsid w:val="00AB5ED8"/>
    <w:rsid w:val="00AB64BD"/>
    <w:rsid w:val="00AB6613"/>
    <w:rsid w:val="00AB683E"/>
    <w:rsid w:val="00AB6857"/>
    <w:rsid w:val="00AB74BF"/>
    <w:rsid w:val="00AB7579"/>
    <w:rsid w:val="00AB75A0"/>
    <w:rsid w:val="00AC04E6"/>
    <w:rsid w:val="00AC08C8"/>
    <w:rsid w:val="00AC0977"/>
    <w:rsid w:val="00AC0D2C"/>
    <w:rsid w:val="00AC1B2D"/>
    <w:rsid w:val="00AC2DB7"/>
    <w:rsid w:val="00AC2F0E"/>
    <w:rsid w:val="00AC3979"/>
    <w:rsid w:val="00AC555A"/>
    <w:rsid w:val="00AC5852"/>
    <w:rsid w:val="00AC59C2"/>
    <w:rsid w:val="00AC5F05"/>
    <w:rsid w:val="00AC67EE"/>
    <w:rsid w:val="00AC7105"/>
    <w:rsid w:val="00AC7245"/>
    <w:rsid w:val="00AC7248"/>
    <w:rsid w:val="00AC7FF0"/>
    <w:rsid w:val="00AD00C1"/>
    <w:rsid w:val="00AD0970"/>
    <w:rsid w:val="00AD0D23"/>
    <w:rsid w:val="00AD0EA2"/>
    <w:rsid w:val="00AD0FC3"/>
    <w:rsid w:val="00AD10CA"/>
    <w:rsid w:val="00AD1346"/>
    <w:rsid w:val="00AD145C"/>
    <w:rsid w:val="00AD1A12"/>
    <w:rsid w:val="00AD1C7D"/>
    <w:rsid w:val="00AD2F81"/>
    <w:rsid w:val="00AD3B65"/>
    <w:rsid w:val="00AD3E67"/>
    <w:rsid w:val="00AD456B"/>
    <w:rsid w:val="00AD4A64"/>
    <w:rsid w:val="00AD4D45"/>
    <w:rsid w:val="00AD5580"/>
    <w:rsid w:val="00AD55B1"/>
    <w:rsid w:val="00AD5C55"/>
    <w:rsid w:val="00AD5C91"/>
    <w:rsid w:val="00AD5EB1"/>
    <w:rsid w:val="00AD606D"/>
    <w:rsid w:val="00AD6847"/>
    <w:rsid w:val="00AD6A40"/>
    <w:rsid w:val="00AD6BA1"/>
    <w:rsid w:val="00AD7464"/>
    <w:rsid w:val="00AD74B9"/>
    <w:rsid w:val="00AD77C0"/>
    <w:rsid w:val="00AE07C7"/>
    <w:rsid w:val="00AE0E02"/>
    <w:rsid w:val="00AE1041"/>
    <w:rsid w:val="00AE14AA"/>
    <w:rsid w:val="00AE1554"/>
    <w:rsid w:val="00AE19FC"/>
    <w:rsid w:val="00AE1F1D"/>
    <w:rsid w:val="00AE21D7"/>
    <w:rsid w:val="00AE23ED"/>
    <w:rsid w:val="00AE34CC"/>
    <w:rsid w:val="00AE36B0"/>
    <w:rsid w:val="00AE39FC"/>
    <w:rsid w:val="00AE3E7B"/>
    <w:rsid w:val="00AE46F3"/>
    <w:rsid w:val="00AE49B4"/>
    <w:rsid w:val="00AE4B7F"/>
    <w:rsid w:val="00AE53D5"/>
    <w:rsid w:val="00AE64ED"/>
    <w:rsid w:val="00AE77EA"/>
    <w:rsid w:val="00AE7DD1"/>
    <w:rsid w:val="00AF0051"/>
    <w:rsid w:val="00AF018C"/>
    <w:rsid w:val="00AF1061"/>
    <w:rsid w:val="00AF176B"/>
    <w:rsid w:val="00AF1B14"/>
    <w:rsid w:val="00AF2120"/>
    <w:rsid w:val="00AF25B8"/>
    <w:rsid w:val="00AF2C0D"/>
    <w:rsid w:val="00AF2D3B"/>
    <w:rsid w:val="00AF36DD"/>
    <w:rsid w:val="00AF3B76"/>
    <w:rsid w:val="00AF3D59"/>
    <w:rsid w:val="00AF3DA8"/>
    <w:rsid w:val="00AF4128"/>
    <w:rsid w:val="00AF4EE6"/>
    <w:rsid w:val="00AF59A5"/>
    <w:rsid w:val="00AF5BD4"/>
    <w:rsid w:val="00AF6A75"/>
    <w:rsid w:val="00AF734F"/>
    <w:rsid w:val="00AF7969"/>
    <w:rsid w:val="00B00FDF"/>
    <w:rsid w:val="00B0108A"/>
    <w:rsid w:val="00B017F9"/>
    <w:rsid w:val="00B01896"/>
    <w:rsid w:val="00B022C4"/>
    <w:rsid w:val="00B029E5"/>
    <w:rsid w:val="00B02D87"/>
    <w:rsid w:val="00B033D4"/>
    <w:rsid w:val="00B03EBD"/>
    <w:rsid w:val="00B040CC"/>
    <w:rsid w:val="00B049ED"/>
    <w:rsid w:val="00B05230"/>
    <w:rsid w:val="00B05736"/>
    <w:rsid w:val="00B059AA"/>
    <w:rsid w:val="00B05B5B"/>
    <w:rsid w:val="00B06119"/>
    <w:rsid w:val="00B06755"/>
    <w:rsid w:val="00B06AD2"/>
    <w:rsid w:val="00B06E7C"/>
    <w:rsid w:val="00B070A0"/>
    <w:rsid w:val="00B0726C"/>
    <w:rsid w:val="00B07BF6"/>
    <w:rsid w:val="00B07C55"/>
    <w:rsid w:val="00B1063B"/>
    <w:rsid w:val="00B106AC"/>
    <w:rsid w:val="00B108F9"/>
    <w:rsid w:val="00B10925"/>
    <w:rsid w:val="00B111BC"/>
    <w:rsid w:val="00B113E2"/>
    <w:rsid w:val="00B11A4A"/>
    <w:rsid w:val="00B1210D"/>
    <w:rsid w:val="00B1297B"/>
    <w:rsid w:val="00B129DD"/>
    <w:rsid w:val="00B12F28"/>
    <w:rsid w:val="00B131D2"/>
    <w:rsid w:val="00B13515"/>
    <w:rsid w:val="00B137E7"/>
    <w:rsid w:val="00B13EF6"/>
    <w:rsid w:val="00B13FEF"/>
    <w:rsid w:val="00B1406D"/>
    <w:rsid w:val="00B14277"/>
    <w:rsid w:val="00B14599"/>
    <w:rsid w:val="00B1478A"/>
    <w:rsid w:val="00B14EEC"/>
    <w:rsid w:val="00B15469"/>
    <w:rsid w:val="00B156EE"/>
    <w:rsid w:val="00B163EE"/>
    <w:rsid w:val="00B1658B"/>
    <w:rsid w:val="00B16AA9"/>
    <w:rsid w:val="00B16B72"/>
    <w:rsid w:val="00B17BAF"/>
    <w:rsid w:val="00B17DB6"/>
    <w:rsid w:val="00B202BA"/>
    <w:rsid w:val="00B204C3"/>
    <w:rsid w:val="00B20660"/>
    <w:rsid w:val="00B20F1E"/>
    <w:rsid w:val="00B2206C"/>
    <w:rsid w:val="00B2207E"/>
    <w:rsid w:val="00B226D7"/>
    <w:rsid w:val="00B22D1B"/>
    <w:rsid w:val="00B22D8F"/>
    <w:rsid w:val="00B22FE3"/>
    <w:rsid w:val="00B236BE"/>
    <w:rsid w:val="00B23854"/>
    <w:rsid w:val="00B23BF8"/>
    <w:rsid w:val="00B24108"/>
    <w:rsid w:val="00B249E7"/>
    <w:rsid w:val="00B24AB8"/>
    <w:rsid w:val="00B24AE9"/>
    <w:rsid w:val="00B24DC5"/>
    <w:rsid w:val="00B25003"/>
    <w:rsid w:val="00B254ED"/>
    <w:rsid w:val="00B2567C"/>
    <w:rsid w:val="00B2568B"/>
    <w:rsid w:val="00B2581E"/>
    <w:rsid w:val="00B25C91"/>
    <w:rsid w:val="00B25CBB"/>
    <w:rsid w:val="00B26107"/>
    <w:rsid w:val="00B26410"/>
    <w:rsid w:val="00B27177"/>
    <w:rsid w:val="00B27428"/>
    <w:rsid w:val="00B27FE5"/>
    <w:rsid w:val="00B30521"/>
    <w:rsid w:val="00B30F72"/>
    <w:rsid w:val="00B31B95"/>
    <w:rsid w:val="00B31D7F"/>
    <w:rsid w:val="00B32364"/>
    <w:rsid w:val="00B33244"/>
    <w:rsid w:val="00B33C1F"/>
    <w:rsid w:val="00B33C20"/>
    <w:rsid w:val="00B33E5C"/>
    <w:rsid w:val="00B34F73"/>
    <w:rsid w:val="00B34FAE"/>
    <w:rsid w:val="00B35097"/>
    <w:rsid w:val="00B3557C"/>
    <w:rsid w:val="00B356DF"/>
    <w:rsid w:val="00B35BFF"/>
    <w:rsid w:val="00B35F98"/>
    <w:rsid w:val="00B36834"/>
    <w:rsid w:val="00B3690C"/>
    <w:rsid w:val="00B36929"/>
    <w:rsid w:val="00B36B8E"/>
    <w:rsid w:val="00B36F7B"/>
    <w:rsid w:val="00B374D1"/>
    <w:rsid w:val="00B376D4"/>
    <w:rsid w:val="00B3776E"/>
    <w:rsid w:val="00B37B43"/>
    <w:rsid w:val="00B37CF2"/>
    <w:rsid w:val="00B37EC2"/>
    <w:rsid w:val="00B40059"/>
    <w:rsid w:val="00B40C3A"/>
    <w:rsid w:val="00B40DB8"/>
    <w:rsid w:val="00B42072"/>
    <w:rsid w:val="00B42411"/>
    <w:rsid w:val="00B42474"/>
    <w:rsid w:val="00B44210"/>
    <w:rsid w:val="00B442C0"/>
    <w:rsid w:val="00B44540"/>
    <w:rsid w:val="00B44904"/>
    <w:rsid w:val="00B44FCB"/>
    <w:rsid w:val="00B45818"/>
    <w:rsid w:val="00B45F71"/>
    <w:rsid w:val="00B45FE5"/>
    <w:rsid w:val="00B46654"/>
    <w:rsid w:val="00B466A6"/>
    <w:rsid w:val="00B46ADA"/>
    <w:rsid w:val="00B4714B"/>
    <w:rsid w:val="00B47445"/>
    <w:rsid w:val="00B47773"/>
    <w:rsid w:val="00B47E9A"/>
    <w:rsid w:val="00B5011D"/>
    <w:rsid w:val="00B5074A"/>
    <w:rsid w:val="00B50A7C"/>
    <w:rsid w:val="00B51365"/>
    <w:rsid w:val="00B51446"/>
    <w:rsid w:val="00B51B16"/>
    <w:rsid w:val="00B51E7B"/>
    <w:rsid w:val="00B522AB"/>
    <w:rsid w:val="00B52687"/>
    <w:rsid w:val="00B528E6"/>
    <w:rsid w:val="00B53543"/>
    <w:rsid w:val="00B5370E"/>
    <w:rsid w:val="00B5383B"/>
    <w:rsid w:val="00B53A9A"/>
    <w:rsid w:val="00B53AAC"/>
    <w:rsid w:val="00B541DB"/>
    <w:rsid w:val="00B55247"/>
    <w:rsid w:val="00B5586C"/>
    <w:rsid w:val="00B55F25"/>
    <w:rsid w:val="00B55F43"/>
    <w:rsid w:val="00B56544"/>
    <w:rsid w:val="00B56BEF"/>
    <w:rsid w:val="00B57215"/>
    <w:rsid w:val="00B606D4"/>
    <w:rsid w:val="00B607A7"/>
    <w:rsid w:val="00B62054"/>
    <w:rsid w:val="00B622BC"/>
    <w:rsid w:val="00B62977"/>
    <w:rsid w:val="00B62D02"/>
    <w:rsid w:val="00B630A0"/>
    <w:rsid w:val="00B630B6"/>
    <w:rsid w:val="00B6315F"/>
    <w:rsid w:val="00B632ED"/>
    <w:rsid w:val="00B63E17"/>
    <w:rsid w:val="00B642D3"/>
    <w:rsid w:val="00B6483D"/>
    <w:rsid w:val="00B6519F"/>
    <w:rsid w:val="00B65AA7"/>
    <w:rsid w:val="00B66F1C"/>
    <w:rsid w:val="00B67437"/>
    <w:rsid w:val="00B67449"/>
    <w:rsid w:val="00B67648"/>
    <w:rsid w:val="00B67D39"/>
    <w:rsid w:val="00B7030F"/>
    <w:rsid w:val="00B70F2E"/>
    <w:rsid w:val="00B70FAC"/>
    <w:rsid w:val="00B714C4"/>
    <w:rsid w:val="00B7204D"/>
    <w:rsid w:val="00B739A4"/>
    <w:rsid w:val="00B73BBB"/>
    <w:rsid w:val="00B73D23"/>
    <w:rsid w:val="00B73F9F"/>
    <w:rsid w:val="00B7411E"/>
    <w:rsid w:val="00B7440E"/>
    <w:rsid w:val="00B745EF"/>
    <w:rsid w:val="00B74660"/>
    <w:rsid w:val="00B751D7"/>
    <w:rsid w:val="00B75779"/>
    <w:rsid w:val="00B75E7E"/>
    <w:rsid w:val="00B75F01"/>
    <w:rsid w:val="00B761BA"/>
    <w:rsid w:val="00B765B3"/>
    <w:rsid w:val="00B76E25"/>
    <w:rsid w:val="00B76E68"/>
    <w:rsid w:val="00B771A7"/>
    <w:rsid w:val="00B77F6B"/>
    <w:rsid w:val="00B80037"/>
    <w:rsid w:val="00B804EC"/>
    <w:rsid w:val="00B80EAF"/>
    <w:rsid w:val="00B81011"/>
    <w:rsid w:val="00B81435"/>
    <w:rsid w:val="00B81823"/>
    <w:rsid w:val="00B82F98"/>
    <w:rsid w:val="00B833E3"/>
    <w:rsid w:val="00B8437D"/>
    <w:rsid w:val="00B8467F"/>
    <w:rsid w:val="00B84F79"/>
    <w:rsid w:val="00B8505C"/>
    <w:rsid w:val="00B85A43"/>
    <w:rsid w:val="00B85A8E"/>
    <w:rsid w:val="00B865F0"/>
    <w:rsid w:val="00B86833"/>
    <w:rsid w:val="00B8683A"/>
    <w:rsid w:val="00B868E6"/>
    <w:rsid w:val="00B86A1B"/>
    <w:rsid w:val="00B904C5"/>
    <w:rsid w:val="00B90A98"/>
    <w:rsid w:val="00B91B81"/>
    <w:rsid w:val="00B9378B"/>
    <w:rsid w:val="00B93863"/>
    <w:rsid w:val="00B939EB"/>
    <w:rsid w:val="00B940C2"/>
    <w:rsid w:val="00B940F4"/>
    <w:rsid w:val="00B945B5"/>
    <w:rsid w:val="00B947CB"/>
    <w:rsid w:val="00B9481C"/>
    <w:rsid w:val="00B94C64"/>
    <w:rsid w:val="00B94F08"/>
    <w:rsid w:val="00B9544F"/>
    <w:rsid w:val="00B95F92"/>
    <w:rsid w:val="00B96303"/>
    <w:rsid w:val="00B96E77"/>
    <w:rsid w:val="00B96FBA"/>
    <w:rsid w:val="00B9719A"/>
    <w:rsid w:val="00B97982"/>
    <w:rsid w:val="00B979C8"/>
    <w:rsid w:val="00BA079D"/>
    <w:rsid w:val="00BA08D5"/>
    <w:rsid w:val="00BA248B"/>
    <w:rsid w:val="00BA293A"/>
    <w:rsid w:val="00BA2AE8"/>
    <w:rsid w:val="00BA2DFD"/>
    <w:rsid w:val="00BA2F72"/>
    <w:rsid w:val="00BA343D"/>
    <w:rsid w:val="00BA3755"/>
    <w:rsid w:val="00BA37EA"/>
    <w:rsid w:val="00BA3CD6"/>
    <w:rsid w:val="00BA406A"/>
    <w:rsid w:val="00BA4165"/>
    <w:rsid w:val="00BA59C1"/>
    <w:rsid w:val="00BA5D88"/>
    <w:rsid w:val="00BA603B"/>
    <w:rsid w:val="00BA60C3"/>
    <w:rsid w:val="00BA6C22"/>
    <w:rsid w:val="00BA6CFE"/>
    <w:rsid w:val="00BA762D"/>
    <w:rsid w:val="00BB068D"/>
    <w:rsid w:val="00BB0C54"/>
    <w:rsid w:val="00BB0FFF"/>
    <w:rsid w:val="00BB11C4"/>
    <w:rsid w:val="00BB1971"/>
    <w:rsid w:val="00BB1986"/>
    <w:rsid w:val="00BB1C13"/>
    <w:rsid w:val="00BB207D"/>
    <w:rsid w:val="00BB20B0"/>
    <w:rsid w:val="00BB2A68"/>
    <w:rsid w:val="00BB2E86"/>
    <w:rsid w:val="00BB3766"/>
    <w:rsid w:val="00BB3A57"/>
    <w:rsid w:val="00BB3B37"/>
    <w:rsid w:val="00BB3C43"/>
    <w:rsid w:val="00BB3EBE"/>
    <w:rsid w:val="00BB3FD1"/>
    <w:rsid w:val="00BB4605"/>
    <w:rsid w:val="00BB5E9E"/>
    <w:rsid w:val="00BB6170"/>
    <w:rsid w:val="00BB6CDF"/>
    <w:rsid w:val="00BB714D"/>
    <w:rsid w:val="00BB7EB2"/>
    <w:rsid w:val="00BC054C"/>
    <w:rsid w:val="00BC0590"/>
    <w:rsid w:val="00BC05E9"/>
    <w:rsid w:val="00BC10F2"/>
    <w:rsid w:val="00BC1382"/>
    <w:rsid w:val="00BC1414"/>
    <w:rsid w:val="00BC1463"/>
    <w:rsid w:val="00BC1A61"/>
    <w:rsid w:val="00BC20C6"/>
    <w:rsid w:val="00BC260F"/>
    <w:rsid w:val="00BC266B"/>
    <w:rsid w:val="00BC3C45"/>
    <w:rsid w:val="00BC3D56"/>
    <w:rsid w:val="00BC42E2"/>
    <w:rsid w:val="00BC483D"/>
    <w:rsid w:val="00BC4EB5"/>
    <w:rsid w:val="00BC5A2F"/>
    <w:rsid w:val="00BC6F1C"/>
    <w:rsid w:val="00BC76FF"/>
    <w:rsid w:val="00BC7BCE"/>
    <w:rsid w:val="00BD00E0"/>
    <w:rsid w:val="00BD02D0"/>
    <w:rsid w:val="00BD0748"/>
    <w:rsid w:val="00BD096F"/>
    <w:rsid w:val="00BD0A47"/>
    <w:rsid w:val="00BD1395"/>
    <w:rsid w:val="00BD1670"/>
    <w:rsid w:val="00BD17CB"/>
    <w:rsid w:val="00BD1D75"/>
    <w:rsid w:val="00BD1F98"/>
    <w:rsid w:val="00BD296C"/>
    <w:rsid w:val="00BD31A6"/>
    <w:rsid w:val="00BD3281"/>
    <w:rsid w:val="00BD3347"/>
    <w:rsid w:val="00BD33F1"/>
    <w:rsid w:val="00BD3654"/>
    <w:rsid w:val="00BD3F0B"/>
    <w:rsid w:val="00BD4C92"/>
    <w:rsid w:val="00BD53F7"/>
    <w:rsid w:val="00BD54CE"/>
    <w:rsid w:val="00BD5E0E"/>
    <w:rsid w:val="00BD5FEB"/>
    <w:rsid w:val="00BD6108"/>
    <w:rsid w:val="00BD6262"/>
    <w:rsid w:val="00BD7064"/>
    <w:rsid w:val="00BD7856"/>
    <w:rsid w:val="00BD7DB8"/>
    <w:rsid w:val="00BE0428"/>
    <w:rsid w:val="00BE0660"/>
    <w:rsid w:val="00BE0D06"/>
    <w:rsid w:val="00BE0D12"/>
    <w:rsid w:val="00BE0E42"/>
    <w:rsid w:val="00BE10E9"/>
    <w:rsid w:val="00BE112B"/>
    <w:rsid w:val="00BE2967"/>
    <w:rsid w:val="00BE33A6"/>
    <w:rsid w:val="00BE3717"/>
    <w:rsid w:val="00BE3786"/>
    <w:rsid w:val="00BE3839"/>
    <w:rsid w:val="00BE3A0B"/>
    <w:rsid w:val="00BE3CB9"/>
    <w:rsid w:val="00BE434F"/>
    <w:rsid w:val="00BE43DE"/>
    <w:rsid w:val="00BE5222"/>
    <w:rsid w:val="00BE5695"/>
    <w:rsid w:val="00BE58CD"/>
    <w:rsid w:val="00BE5D78"/>
    <w:rsid w:val="00BE5DA7"/>
    <w:rsid w:val="00BE6074"/>
    <w:rsid w:val="00BE6797"/>
    <w:rsid w:val="00BE6B86"/>
    <w:rsid w:val="00BE717C"/>
    <w:rsid w:val="00BE730C"/>
    <w:rsid w:val="00BE7B95"/>
    <w:rsid w:val="00BF0531"/>
    <w:rsid w:val="00BF07CB"/>
    <w:rsid w:val="00BF0CC5"/>
    <w:rsid w:val="00BF0E4D"/>
    <w:rsid w:val="00BF1020"/>
    <w:rsid w:val="00BF1238"/>
    <w:rsid w:val="00BF140F"/>
    <w:rsid w:val="00BF1F87"/>
    <w:rsid w:val="00BF2777"/>
    <w:rsid w:val="00BF2828"/>
    <w:rsid w:val="00BF2DC1"/>
    <w:rsid w:val="00BF3323"/>
    <w:rsid w:val="00BF33CB"/>
    <w:rsid w:val="00BF3EE5"/>
    <w:rsid w:val="00BF5052"/>
    <w:rsid w:val="00BF50F2"/>
    <w:rsid w:val="00BF51C0"/>
    <w:rsid w:val="00BF52BE"/>
    <w:rsid w:val="00BF581F"/>
    <w:rsid w:val="00BF5972"/>
    <w:rsid w:val="00BF5EBD"/>
    <w:rsid w:val="00BF6131"/>
    <w:rsid w:val="00BF6923"/>
    <w:rsid w:val="00BF6E40"/>
    <w:rsid w:val="00BF771E"/>
    <w:rsid w:val="00BF79AA"/>
    <w:rsid w:val="00C00087"/>
    <w:rsid w:val="00C003E5"/>
    <w:rsid w:val="00C00400"/>
    <w:rsid w:val="00C008A8"/>
    <w:rsid w:val="00C00A51"/>
    <w:rsid w:val="00C00DCC"/>
    <w:rsid w:val="00C0124E"/>
    <w:rsid w:val="00C0198D"/>
    <w:rsid w:val="00C01CB3"/>
    <w:rsid w:val="00C01E02"/>
    <w:rsid w:val="00C02908"/>
    <w:rsid w:val="00C02F8B"/>
    <w:rsid w:val="00C0372E"/>
    <w:rsid w:val="00C03C79"/>
    <w:rsid w:val="00C03DC7"/>
    <w:rsid w:val="00C03FDD"/>
    <w:rsid w:val="00C046F5"/>
    <w:rsid w:val="00C04F95"/>
    <w:rsid w:val="00C04F9B"/>
    <w:rsid w:val="00C05096"/>
    <w:rsid w:val="00C06188"/>
    <w:rsid w:val="00C06A63"/>
    <w:rsid w:val="00C06DE6"/>
    <w:rsid w:val="00C06EA7"/>
    <w:rsid w:val="00C06F06"/>
    <w:rsid w:val="00C06F3B"/>
    <w:rsid w:val="00C0707B"/>
    <w:rsid w:val="00C07637"/>
    <w:rsid w:val="00C07654"/>
    <w:rsid w:val="00C076A2"/>
    <w:rsid w:val="00C10067"/>
    <w:rsid w:val="00C11518"/>
    <w:rsid w:val="00C117A3"/>
    <w:rsid w:val="00C118A6"/>
    <w:rsid w:val="00C131F4"/>
    <w:rsid w:val="00C1544B"/>
    <w:rsid w:val="00C16923"/>
    <w:rsid w:val="00C169D9"/>
    <w:rsid w:val="00C172DA"/>
    <w:rsid w:val="00C1776D"/>
    <w:rsid w:val="00C17BD9"/>
    <w:rsid w:val="00C20951"/>
    <w:rsid w:val="00C215AA"/>
    <w:rsid w:val="00C217A6"/>
    <w:rsid w:val="00C217E9"/>
    <w:rsid w:val="00C21E74"/>
    <w:rsid w:val="00C220E3"/>
    <w:rsid w:val="00C22608"/>
    <w:rsid w:val="00C229E3"/>
    <w:rsid w:val="00C23131"/>
    <w:rsid w:val="00C237B8"/>
    <w:rsid w:val="00C23CFC"/>
    <w:rsid w:val="00C24006"/>
    <w:rsid w:val="00C24266"/>
    <w:rsid w:val="00C24672"/>
    <w:rsid w:val="00C247C7"/>
    <w:rsid w:val="00C24951"/>
    <w:rsid w:val="00C24991"/>
    <w:rsid w:val="00C24DD1"/>
    <w:rsid w:val="00C24F39"/>
    <w:rsid w:val="00C2536E"/>
    <w:rsid w:val="00C25382"/>
    <w:rsid w:val="00C257C9"/>
    <w:rsid w:val="00C2631A"/>
    <w:rsid w:val="00C2679D"/>
    <w:rsid w:val="00C26E91"/>
    <w:rsid w:val="00C270C5"/>
    <w:rsid w:val="00C270D0"/>
    <w:rsid w:val="00C27176"/>
    <w:rsid w:val="00C276C4"/>
    <w:rsid w:val="00C3115E"/>
    <w:rsid w:val="00C311A2"/>
    <w:rsid w:val="00C31990"/>
    <w:rsid w:val="00C320F3"/>
    <w:rsid w:val="00C32977"/>
    <w:rsid w:val="00C32F01"/>
    <w:rsid w:val="00C34299"/>
    <w:rsid w:val="00C3451C"/>
    <w:rsid w:val="00C34EB1"/>
    <w:rsid w:val="00C35F84"/>
    <w:rsid w:val="00C36DE0"/>
    <w:rsid w:val="00C37A8B"/>
    <w:rsid w:val="00C37ACD"/>
    <w:rsid w:val="00C40025"/>
    <w:rsid w:val="00C40276"/>
    <w:rsid w:val="00C4048E"/>
    <w:rsid w:val="00C40781"/>
    <w:rsid w:val="00C40B50"/>
    <w:rsid w:val="00C410F6"/>
    <w:rsid w:val="00C413DA"/>
    <w:rsid w:val="00C41B94"/>
    <w:rsid w:val="00C41DD7"/>
    <w:rsid w:val="00C421BC"/>
    <w:rsid w:val="00C424BA"/>
    <w:rsid w:val="00C42A24"/>
    <w:rsid w:val="00C42C4E"/>
    <w:rsid w:val="00C42E7A"/>
    <w:rsid w:val="00C43ABF"/>
    <w:rsid w:val="00C43AE9"/>
    <w:rsid w:val="00C441DF"/>
    <w:rsid w:val="00C44692"/>
    <w:rsid w:val="00C452FF"/>
    <w:rsid w:val="00C45BB6"/>
    <w:rsid w:val="00C45E97"/>
    <w:rsid w:val="00C461E4"/>
    <w:rsid w:val="00C462F8"/>
    <w:rsid w:val="00C468CB"/>
    <w:rsid w:val="00C473F7"/>
    <w:rsid w:val="00C4764D"/>
    <w:rsid w:val="00C507D3"/>
    <w:rsid w:val="00C50A59"/>
    <w:rsid w:val="00C50CCF"/>
    <w:rsid w:val="00C5119A"/>
    <w:rsid w:val="00C51827"/>
    <w:rsid w:val="00C5216E"/>
    <w:rsid w:val="00C5220D"/>
    <w:rsid w:val="00C524BC"/>
    <w:rsid w:val="00C526CE"/>
    <w:rsid w:val="00C526FA"/>
    <w:rsid w:val="00C52DEC"/>
    <w:rsid w:val="00C53156"/>
    <w:rsid w:val="00C5351C"/>
    <w:rsid w:val="00C536B1"/>
    <w:rsid w:val="00C5378C"/>
    <w:rsid w:val="00C53A10"/>
    <w:rsid w:val="00C53A8C"/>
    <w:rsid w:val="00C53B1F"/>
    <w:rsid w:val="00C53B28"/>
    <w:rsid w:val="00C53B48"/>
    <w:rsid w:val="00C54058"/>
    <w:rsid w:val="00C5462E"/>
    <w:rsid w:val="00C548F3"/>
    <w:rsid w:val="00C54922"/>
    <w:rsid w:val="00C54BB6"/>
    <w:rsid w:val="00C54CDD"/>
    <w:rsid w:val="00C552E1"/>
    <w:rsid w:val="00C55474"/>
    <w:rsid w:val="00C55686"/>
    <w:rsid w:val="00C56256"/>
    <w:rsid w:val="00C56833"/>
    <w:rsid w:val="00C572DE"/>
    <w:rsid w:val="00C57527"/>
    <w:rsid w:val="00C57676"/>
    <w:rsid w:val="00C5779C"/>
    <w:rsid w:val="00C578F5"/>
    <w:rsid w:val="00C57B12"/>
    <w:rsid w:val="00C6021F"/>
    <w:rsid w:val="00C60451"/>
    <w:rsid w:val="00C60615"/>
    <w:rsid w:val="00C60913"/>
    <w:rsid w:val="00C60C02"/>
    <w:rsid w:val="00C60C80"/>
    <w:rsid w:val="00C60F42"/>
    <w:rsid w:val="00C6139E"/>
    <w:rsid w:val="00C6158E"/>
    <w:rsid w:val="00C6170D"/>
    <w:rsid w:val="00C624ED"/>
    <w:rsid w:val="00C625BA"/>
    <w:rsid w:val="00C63A4F"/>
    <w:rsid w:val="00C63C58"/>
    <w:rsid w:val="00C63CA2"/>
    <w:rsid w:val="00C64257"/>
    <w:rsid w:val="00C64C53"/>
    <w:rsid w:val="00C64DD1"/>
    <w:rsid w:val="00C65083"/>
    <w:rsid w:val="00C65464"/>
    <w:rsid w:val="00C6585C"/>
    <w:rsid w:val="00C65F91"/>
    <w:rsid w:val="00C66B49"/>
    <w:rsid w:val="00C66C53"/>
    <w:rsid w:val="00C67A22"/>
    <w:rsid w:val="00C706AF"/>
    <w:rsid w:val="00C70A58"/>
    <w:rsid w:val="00C70A86"/>
    <w:rsid w:val="00C71014"/>
    <w:rsid w:val="00C713B4"/>
    <w:rsid w:val="00C71A00"/>
    <w:rsid w:val="00C71C74"/>
    <w:rsid w:val="00C72793"/>
    <w:rsid w:val="00C72B3A"/>
    <w:rsid w:val="00C7328A"/>
    <w:rsid w:val="00C73ECB"/>
    <w:rsid w:val="00C7440F"/>
    <w:rsid w:val="00C7590C"/>
    <w:rsid w:val="00C760EB"/>
    <w:rsid w:val="00C76BFF"/>
    <w:rsid w:val="00C77C9B"/>
    <w:rsid w:val="00C77D6B"/>
    <w:rsid w:val="00C809D7"/>
    <w:rsid w:val="00C81441"/>
    <w:rsid w:val="00C814BD"/>
    <w:rsid w:val="00C81A01"/>
    <w:rsid w:val="00C81A13"/>
    <w:rsid w:val="00C81D31"/>
    <w:rsid w:val="00C8228B"/>
    <w:rsid w:val="00C824C8"/>
    <w:rsid w:val="00C82716"/>
    <w:rsid w:val="00C82BF1"/>
    <w:rsid w:val="00C83102"/>
    <w:rsid w:val="00C83583"/>
    <w:rsid w:val="00C8363B"/>
    <w:rsid w:val="00C83645"/>
    <w:rsid w:val="00C83E79"/>
    <w:rsid w:val="00C849D1"/>
    <w:rsid w:val="00C84BD5"/>
    <w:rsid w:val="00C850F9"/>
    <w:rsid w:val="00C852BB"/>
    <w:rsid w:val="00C85DC3"/>
    <w:rsid w:val="00C864D5"/>
    <w:rsid w:val="00C86D69"/>
    <w:rsid w:val="00C9045A"/>
    <w:rsid w:val="00C9074D"/>
    <w:rsid w:val="00C90DD5"/>
    <w:rsid w:val="00C910D6"/>
    <w:rsid w:val="00C9272B"/>
    <w:rsid w:val="00C9274B"/>
    <w:rsid w:val="00C92A1E"/>
    <w:rsid w:val="00C93BA1"/>
    <w:rsid w:val="00C93ECF"/>
    <w:rsid w:val="00C94A44"/>
    <w:rsid w:val="00C94CEA"/>
    <w:rsid w:val="00C951DB"/>
    <w:rsid w:val="00C95533"/>
    <w:rsid w:val="00C956E6"/>
    <w:rsid w:val="00C96016"/>
    <w:rsid w:val="00C9614E"/>
    <w:rsid w:val="00C964C5"/>
    <w:rsid w:val="00C9664D"/>
    <w:rsid w:val="00C97559"/>
    <w:rsid w:val="00C9769E"/>
    <w:rsid w:val="00C97748"/>
    <w:rsid w:val="00C97999"/>
    <w:rsid w:val="00C97A18"/>
    <w:rsid w:val="00C97B34"/>
    <w:rsid w:val="00C97BAC"/>
    <w:rsid w:val="00C97DDA"/>
    <w:rsid w:val="00CA01B0"/>
    <w:rsid w:val="00CA04E7"/>
    <w:rsid w:val="00CA0636"/>
    <w:rsid w:val="00CA063C"/>
    <w:rsid w:val="00CA0884"/>
    <w:rsid w:val="00CA0BC7"/>
    <w:rsid w:val="00CA1433"/>
    <w:rsid w:val="00CA157A"/>
    <w:rsid w:val="00CA2B9B"/>
    <w:rsid w:val="00CA2D0C"/>
    <w:rsid w:val="00CA3FC1"/>
    <w:rsid w:val="00CA4027"/>
    <w:rsid w:val="00CA46B1"/>
    <w:rsid w:val="00CA488C"/>
    <w:rsid w:val="00CA4B59"/>
    <w:rsid w:val="00CA4CD3"/>
    <w:rsid w:val="00CA4D6A"/>
    <w:rsid w:val="00CA5217"/>
    <w:rsid w:val="00CA546E"/>
    <w:rsid w:val="00CA56CF"/>
    <w:rsid w:val="00CA56E5"/>
    <w:rsid w:val="00CA5C8E"/>
    <w:rsid w:val="00CA5E78"/>
    <w:rsid w:val="00CA5F01"/>
    <w:rsid w:val="00CA5F76"/>
    <w:rsid w:val="00CA63FD"/>
    <w:rsid w:val="00CA6D49"/>
    <w:rsid w:val="00CA7036"/>
    <w:rsid w:val="00CA7497"/>
    <w:rsid w:val="00CA79B1"/>
    <w:rsid w:val="00CA7E19"/>
    <w:rsid w:val="00CA7E82"/>
    <w:rsid w:val="00CB06B5"/>
    <w:rsid w:val="00CB0E5B"/>
    <w:rsid w:val="00CB1BA4"/>
    <w:rsid w:val="00CB24BB"/>
    <w:rsid w:val="00CB27FD"/>
    <w:rsid w:val="00CB2D75"/>
    <w:rsid w:val="00CB2D7C"/>
    <w:rsid w:val="00CB2E30"/>
    <w:rsid w:val="00CB3AFD"/>
    <w:rsid w:val="00CB3DDF"/>
    <w:rsid w:val="00CB48E8"/>
    <w:rsid w:val="00CB4A64"/>
    <w:rsid w:val="00CB5185"/>
    <w:rsid w:val="00CB58BF"/>
    <w:rsid w:val="00CB5ED2"/>
    <w:rsid w:val="00CB672D"/>
    <w:rsid w:val="00CB72E7"/>
    <w:rsid w:val="00CB7683"/>
    <w:rsid w:val="00CB7B2D"/>
    <w:rsid w:val="00CB7C6D"/>
    <w:rsid w:val="00CB7C8F"/>
    <w:rsid w:val="00CC0219"/>
    <w:rsid w:val="00CC161C"/>
    <w:rsid w:val="00CC17F3"/>
    <w:rsid w:val="00CC21D3"/>
    <w:rsid w:val="00CC256D"/>
    <w:rsid w:val="00CC32F9"/>
    <w:rsid w:val="00CC3E45"/>
    <w:rsid w:val="00CC4935"/>
    <w:rsid w:val="00CC4CD3"/>
    <w:rsid w:val="00CC4E96"/>
    <w:rsid w:val="00CC61D0"/>
    <w:rsid w:val="00CC6650"/>
    <w:rsid w:val="00CC6C6A"/>
    <w:rsid w:val="00CC7188"/>
    <w:rsid w:val="00CC7DF0"/>
    <w:rsid w:val="00CD0F10"/>
    <w:rsid w:val="00CD1326"/>
    <w:rsid w:val="00CD1F00"/>
    <w:rsid w:val="00CD2125"/>
    <w:rsid w:val="00CD2A24"/>
    <w:rsid w:val="00CD3078"/>
    <w:rsid w:val="00CD3824"/>
    <w:rsid w:val="00CD396E"/>
    <w:rsid w:val="00CD3A2C"/>
    <w:rsid w:val="00CD3EA1"/>
    <w:rsid w:val="00CD4A89"/>
    <w:rsid w:val="00CD528E"/>
    <w:rsid w:val="00CD5A5A"/>
    <w:rsid w:val="00CD5DA1"/>
    <w:rsid w:val="00CD60DA"/>
    <w:rsid w:val="00CD6609"/>
    <w:rsid w:val="00CD69DD"/>
    <w:rsid w:val="00CD71B9"/>
    <w:rsid w:val="00CD7579"/>
    <w:rsid w:val="00CD7F48"/>
    <w:rsid w:val="00CE0487"/>
    <w:rsid w:val="00CE0562"/>
    <w:rsid w:val="00CE07A6"/>
    <w:rsid w:val="00CE0E87"/>
    <w:rsid w:val="00CE15FD"/>
    <w:rsid w:val="00CE19FA"/>
    <w:rsid w:val="00CE3498"/>
    <w:rsid w:val="00CE34AC"/>
    <w:rsid w:val="00CE3A8D"/>
    <w:rsid w:val="00CE48CE"/>
    <w:rsid w:val="00CE4D8E"/>
    <w:rsid w:val="00CE4EE9"/>
    <w:rsid w:val="00CE5927"/>
    <w:rsid w:val="00CE619F"/>
    <w:rsid w:val="00CE6226"/>
    <w:rsid w:val="00CE6A03"/>
    <w:rsid w:val="00CE6E06"/>
    <w:rsid w:val="00CE6FFE"/>
    <w:rsid w:val="00CE720A"/>
    <w:rsid w:val="00CE756E"/>
    <w:rsid w:val="00CF0364"/>
    <w:rsid w:val="00CF0567"/>
    <w:rsid w:val="00CF07FB"/>
    <w:rsid w:val="00CF0C4F"/>
    <w:rsid w:val="00CF0CDF"/>
    <w:rsid w:val="00CF0D79"/>
    <w:rsid w:val="00CF1997"/>
    <w:rsid w:val="00CF1E0C"/>
    <w:rsid w:val="00CF1E8F"/>
    <w:rsid w:val="00CF2529"/>
    <w:rsid w:val="00CF2C46"/>
    <w:rsid w:val="00CF2F5E"/>
    <w:rsid w:val="00CF3131"/>
    <w:rsid w:val="00CF347E"/>
    <w:rsid w:val="00CF3A84"/>
    <w:rsid w:val="00CF3CAB"/>
    <w:rsid w:val="00CF40CC"/>
    <w:rsid w:val="00CF4336"/>
    <w:rsid w:val="00CF47BD"/>
    <w:rsid w:val="00CF5369"/>
    <w:rsid w:val="00CF6E27"/>
    <w:rsid w:val="00CF6F2B"/>
    <w:rsid w:val="00CF7797"/>
    <w:rsid w:val="00CF78B5"/>
    <w:rsid w:val="00CF7D57"/>
    <w:rsid w:val="00CF7F7C"/>
    <w:rsid w:val="00D009B2"/>
    <w:rsid w:val="00D010C7"/>
    <w:rsid w:val="00D014DC"/>
    <w:rsid w:val="00D02017"/>
    <w:rsid w:val="00D0202B"/>
    <w:rsid w:val="00D02B97"/>
    <w:rsid w:val="00D02C4F"/>
    <w:rsid w:val="00D02E55"/>
    <w:rsid w:val="00D03107"/>
    <w:rsid w:val="00D03D47"/>
    <w:rsid w:val="00D03F76"/>
    <w:rsid w:val="00D0414F"/>
    <w:rsid w:val="00D0419A"/>
    <w:rsid w:val="00D04357"/>
    <w:rsid w:val="00D04BA9"/>
    <w:rsid w:val="00D0504A"/>
    <w:rsid w:val="00D05715"/>
    <w:rsid w:val="00D0581A"/>
    <w:rsid w:val="00D05C68"/>
    <w:rsid w:val="00D070F8"/>
    <w:rsid w:val="00D07360"/>
    <w:rsid w:val="00D0781E"/>
    <w:rsid w:val="00D10C26"/>
    <w:rsid w:val="00D10CD3"/>
    <w:rsid w:val="00D10D81"/>
    <w:rsid w:val="00D125A4"/>
    <w:rsid w:val="00D12FA9"/>
    <w:rsid w:val="00D137B6"/>
    <w:rsid w:val="00D13A48"/>
    <w:rsid w:val="00D14158"/>
    <w:rsid w:val="00D1426C"/>
    <w:rsid w:val="00D142D1"/>
    <w:rsid w:val="00D144EF"/>
    <w:rsid w:val="00D147F6"/>
    <w:rsid w:val="00D14B7F"/>
    <w:rsid w:val="00D14C72"/>
    <w:rsid w:val="00D14CA1"/>
    <w:rsid w:val="00D14D84"/>
    <w:rsid w:val="00D15D71"/>
    <w:rsid w:val="00D15FE8"/>
    <w:rsid w:val="00D16693"/>
    <w:rsid w:val="00D1714C"/>
    <w:rsid w:val="00D172C5"/>
    <w:rsid w:val="00D173A7"/>
    <w:rsid w:val="00D1796D"/>
    <w:rsid w:val="00D17BB8"/>
    <w:rsid w:val="00D17E49"/>
    <w:rsid w:val="00D2003B"/>
    <w:rsid w:val="00D20C5A"/>
    <w:rsid w:val="00D20F98"/>
    <w:rsid w:val="00D210AC"/>
    <w:rsid w:val="00D21174"/>
    <w:rsid w:val="00D213E1"/>
    <w:rsid w:val="00D220EC"/>
    <w:rsid w:val="00D22329"/>
    <w:rsid w:val="00D2239B"/>
    <w:rsid w:val="00D226D1"/>
    <w:rsid w:val="00D22F0B"/>
    <w:rsid w:val="00D2322E"/>
    <w:rsid w:val="00D23B3D"/>
    <w:rsid w:val="00D242C1"/>
    <w:rsid w:val="00D24466"/>
    <w:rsid w:val="00D244B5"/>
    <w:rsid w:val="00D24AEE"/>
    <w:rsid w:val="00D24DC8"/>
    <w:rsid w:val="00D24F1D"/>
    <w:rsid w:val="00D258BF"/>
    <w:rsid w:val="00D25F2A"/>
    <w:rsid w:val="00D262DE"/>
    <w:rsid w:val="00D26522"/>
    <w:rsid w:val="00D2689E"/>
    <w:rsid w:val="00D26E7A"/>
    <w:rsid w:val="00D30B25"/>
    <w:rsid w:val="00D3251E"/>
    <w:rsid w:val="00D3258E"/>
    <w:rsid w:val="00D3263C"/>
    <w:rsid w:val="00D332B5"/>
    <w:rsid w:val="00D33D5E"/>
    <w:rsid w:val="00D33DFB"/>
    <w:rsid w:val="00D3468E"/>
    <w:rsid w:val="00D34B2C"/>
    <w:rsid w:val="00D34E97"/>
    <w:rsid w:val="00D359DD"/>
    <w:rsid w:val="00D362C5"/>
    <w:rsid w:val="00D364E6"/>
    <w:rsid w:val="00D3677D"/>
    <w:rsid w:val="00D36A5F"/>
    <w:rsid w:val="00D3736D"/>
    <w:rsid w:val="00D373DB"/>
    <w:rsid w:val="00D4086A"/>
    <w:rsid w:val="00D40A3F"/>
    <w:rsid w:val="00D40EA4"/>
    <w:rsid w:val="00D40EAF"/>
    <w:rsid w:val="00D415CE"/>
    <w:rsid w:val="00D417FC"/>
    <w:rsid w:val="00D41C36"/>
    <w:rsid w:val="00D42623"/>
    <w:rsid w:val="00D43207"/>
    <w:rsid w:val="00D4321E"/>
    <w:rsid w:val="00D4394F"/>
    <w:rsid w:val="00D43A49"/>
    <w:rsid w:val="00D43DF2"/>
    <w:rsid w:val="00D43E2B"/>
    <w:rsid w:val="00D440C3"/>
    <w:rsid w:val="00D44339"/>
    <w:rsid w:val="00D44B92"/>
    <w:rsid w:val="00D44F77"/>
    <w:rsid w:val="00D4557E"/>
    <w:rsid w:val="00D45740"/>
    <w:rsid w:val="00D46211"/>
    <w:rsid w:val="00D4641B"/>
    <w:rsid w:val="00D4707A"/>
    <w:rsid w:val="00D477C7"/>
    <w:rsid w:val="00D50B2B"/>
    <w:rsid w:val="00D50E21"/>
    <w:rsid w:val="00D511A0"/>
    <w:rsid w:val="00D51C27"/>
    <w:rsid w:val="00D52075"/>
    <w:rsid w:val="00D521CE"/>
    <w:rsid w:val="00D52321"/>
    <w:rsid w:val="00D52A5D"/>
    <w:rsid w:val="00D53EE4"/>
    <w:rsid w:val="00D5492C"/>
    <w:rsid w:val="00D5501F"/>
    <w:rsid w:val="00D5550C"/>
    <w:rsid w:val="00D55C93"/>
    <w:rsid w:val="00D563A2"/>
    <w:rsid w:val="00D56760"/>
    <w:rsid w:val="00D567F0"/>
    <w:rsid w:val="00D567F2"/>
    <w:rsid w:val="00D56A79"/>
    <w:rsid w:val="00D56E82"/>
    <w:rsid w:val="00D5759A"/>
    <w:rsid w:val="00D57FD5"/>
    <w:rsid w:val="00D60543"/>
    <w:rsid w:val="00D60BB6"/>
    <w:rsid w:val="00D60FA9"/>
    <w:rsid w:val="00D61759"/>
    <w:rsid w:val="00D61A3C"/>
    <w:rsid w:val="00D61ACF"/>
    <w:rsid w:val="00D63029"/>
    <w:rsid w:val="00D63B76"/>
    <w:rsid w:val="00D63C88"/>
    <w:rsid w:val="00D64C0F"/>
    <w:rsid w:val="00D64F70"/>
    <w:rsid w:val="00D65142"/>
    <w:rsid w:val="00D651FB"/>
    <w:rsid w:val="00D65469"/>
    <w:rsid w:val="00D65EE2"/>
    <w:rsid w:val="00D6619A"/>
    <w:rsid w:val="00D666D0"/>
    <w:rsid w:val="00D67114"/>
    <w:rsid w:val="00D6761E"/>
    <w:rsid w:val="00D6763F"/>
    <w:rsid w:val="00D67905"/>
    <w:rsid w:val="00D67AEB"/>
    <w:rsid w:val="00D67B50"/>
    <w:rsid w:val="00D67CAB"/>
    <w:rsid w:val="00D70217"/>
    <w:rsid w:val="00D70A44"/>
    <w:rsid w:val="00D71378"/>
    <w:rsid w:val="00D71ED2"/>
    <w:rsid w:val="00D72922"/>
    <w:rsid w:val="00D72C22"/>
    <w:rsid w:val="00D72C25"/>
    <w:rsid w:val="00D72D97"/>
    <w:rsid w:val="00D73105"/>
    <w:rsid w:val="00D7343E"/>
    <w:rsid w:val="00D7369E"/>
    <w:rsid w:val="00D742C3"/>
    <w:rsid w:val="00D744F8"/>
    <w:rsid w:val="00D7471B"/>
    <w:rsid w:val="00D75D03"/>
    <w:rsid w:val="00D764AA"/>
    <w:rsid w:val="00D7707D"/>
    <w:rsid w:val="00D77854"/>
    <w:rsid w:val="00D77A45"/>
    <w:rsid w:val="00D80CE5"/>
    <w:rsid w:val="00D81329"/>
    <w:rsid w:val="00D8157E"/>
    <w:rsid w:val="00D81DBC"/>
    <w:rsid w:val="00D82224"/>
    <w:rsid w:val="00D8339E"/>
    <w:rsid w:val="00D8339F"/>
    <w:rsid w:val="00D834DD"/>
    <w:rsid w:val="00D843C0"/>
    <w:rsid w:val="00D8441C"/>
    <w:rsid w:val="00D84671"/>
    <w:rsid w:val="00D847F5"/>
    <w:rsid w:val="00D850DF"/>
    <w:rsid w:val="00D859AB"/>
    <w:rsid w:val="00D85E89"/>
    <w:rsid w:val="00D866C6"/>
    <w:rsid w:val="00D87153"/>
    <w:rsid w:val="00D873DA"/>
    <w:rsid w:val="00D8768E"/>
    <w:rsid w:val="00D87C55"/>
    <w:rsid w:val="00D902F2"/>
    <w:rsid w:val="00D90EFF"/>
    <w:rsid w:val="00D90F22"/>
    <w:rsid w:val="00D9113F"/>
    <w:rsid w:val="00D912BD"/>
    <w:rsid w:val="00D91676"/>
    <w:rsid w:val="00D91AC0"/>
    <w:rsid w:val="00D91D01"/>
    <w:rsid w:val="00D9213F"/>
    <w:rsid w:val="00D925A6"/>
    <w:rsid w:val="00D9284F"/>
    <w:rsid w:val="00D92958"/>
    <w:rsid w:val="00D92AC4"/>
    <w:rsid w:val="00D92C24"/>
    <w:rsid w:val="00D93332"/>
    <w:rsid w:val="00D9345C"/>
    <w:rsid w:val="00D9368C"/>
    <w:rsid w:val="00D93725"/>
    <w:rsid w:val="00D9381B"/>
    <w:rsid w:val="00D9435D"/>
    <w:rsid w:val="00D948F7"/>
    <w:rsid w:val="00D94A1F"/>
    <w:rsid w:val="00D950EC"/>
    <w:rsid w:val="00D95730"/>
    <w:rsid w:val="00D95B91"/>
    <w:rsid w:val="00D95BE8"/>
    <w:rsid w:val="00D95C2E"/>
    <w:rsid w:val="00D95ED1"/>
    <w:rsid w:val="00D96521"/>
    <w:rsid w:val="00D96A0C"/>
    <w:rsid w:val="00D97456"/>
    <w:rsid w:val="00D974E4"/>
    <w:rsid w:val="00D976C8"/>
    <w:rsid w:val="00D97741"/>
    <w:rsid w:val="00DA0171"/>
    <w:rsid w:val="00DA049D"/>
    <w:rsid w:val="00DA06E2"/>
    <w:rsid w:val="00DA0980"/>
    <w:rsid w:val="00DA0B1C"/>
    <w:rsid w:val="00DA10F1"/>
    <w:rsid w:val="00DA11AF"/>
    <w:rsid w:val="00DA1382"/>
    <w:rsid w:val="00DA1389"/>
    <w:rsid w:val="00DA183D"/>
    <w:rsid w:val="00DA2488"/>
    <w:rsid w:val="00DA279C"/>
    <w:rsid w:val="00DA38B7"/>
    <w:rsid w:val="00DA3EE9"/>
    <w:rsid w:val="00DA4153"/>
    <w:rsid w:val="00DA427F"/>
    <w:rsid w:val="00DA4522"/>
    <w:rsid w:val="00DA4C32"/>
    <w:rsid w:val="00DA4F9E"/>
    <w:rsid w:val="00DA52EF"/>
    <w:rsid w:val="00DA539C"/>
    <w:rsid w:val="00DA5F6F"/>
    <w:rsid w:val="00DA64D7"/>
    <w:rsid w:val="00DA6B04"/>
    <w:rsid w:val="00DA7DAC"/>
    <w:rsid w:val="00DB072C"/>
    <w:rsid w:val="00DB075B"/>
    <w:rsid w:val="00DB0917"/>
    <w:rsid w:val="00DB1519"/>
    <w:rsid w:val="00DB1933"/>
    <w:rsid w:val="00DB1A18"/>
    <w:rsid w:val="00DB1D1A"/>
    <w:rsid w:val="00DB24AD"/>
    <w:rsid w:val="00DB251D"/>
    <w:rsid w:val="00DB2873"/>
    <w:rsid w:val="00DB34F0"/>
    <w:rsid w:val="00DB39FE"/>
    <w:rsid w:val="00DB3CB5"/>
    <w:rsid w:val="00DB3D98"/>
    <w:rsid w:val="00DB3EE1"/>
    <w:rsid w:val="00DB4AD2"/>
    <w:rsid w:val="00DB4D2C"/>
    <w:rsid w:val="00DB5960"/>
    <w:rsid w:val="00DB5A5F"/>
    <w:rsid w:val="00DB5AA6"/>
    <w:rsid w:val="00DB5C14"/>
    <w:rsid w:val="00DB66B5"/>
    <w:rsid w:val="00DB68CB"/>
    <w:rsid w:val="00DB6A96"/>
    <w:rsid w:val="00DB707E"/>
    <w:rsid w:val="00DB7402"/>
    <w:rsid w:val="00DB74B5"/>
    <w:rsid w:val="00DB776B"/>
    <w:rsid w:val="00DB783D"/>
    <w:rsid w:val="00DB7B2A"/>
    <w:rsid w:val="00DC0867"/>
    <w:rsid w:val="00DC1498"/>
    <w:rsid w:val="00DC1DD0"/>
    <w:rsid w:val="00DC1F86"/>
    <w:rsid w:val="00DC2262"/>
    <w:rsid w:val="00DC2371"/>
    <w:rsid w:val="00DC2730"/>
    <w:rsid w:val="00DC2DD0"/>
    <w:rsid w:val="00DC32CC"/>
    <w:rsid w:val="00DC3D8B"/>
    <w:rsid w:val="00DC4121"/>
    <w:rsid w:val="00DC4B02"/>
    <w:rsid w:val="00DC4D39"/>
    <w:rsid w:val="00DC602A"/>
    <w:rsid w:val="00DC6BDD"/>
    <w:rsid w:val="00DC6EEC"/>
    <w:rsid w:val="00DC7420"/>
    <w:rsid w:val="00DC7512"/>
    <w:rsid w:val="00DC767E"/>
    <w:rsid w:val="00DC76D2"/>
    <w:rsid w:val="00DC7BC6"/>
    <w:rsid w:val="00DC7C26"/>
    <w:rsid w:val="00DD06D9"/>
    <w:rsid w:val="00DD0EB1"/>
    <w:rsid w:val="00DD167E"/>
    <w:rsid w:val="00DD201E"/>
    <w:rsid w:val="00DD25E2"/>
    <w:rsid w:val="00DD281F"/>
    <w:rsid w:val="00DD2872"/>
    <w:rsid w:val="00DD444E"/>
    <w:rsid w:val="00DD4B8B"/>
    <w:rsid w:val="00DD4E2F"/>
    <w:rsid w:val="00DD5009"/>
    <w:rsid w:val="00DD54F3"/>
    <w:rsid w:val="00DD6211"/>
    <w:rsid w:val="00DD6399"/>
    <w:rsid w:val="00DD6672"/>
    <w:rsid w:val="00DD6B1B"/>
    <w:rsid w:val="00DD6BC8"/>
    <w:rsid w:val="00DD7015"/>
    <w:rsid w:val="00DD78FF"/>
    <w:rsid w:val="00DD7BD5"/>
    <w:rsid w:val="00DD7C01"/>
    <w:rsid w:val="00DD7DFA"/>
    <w:rsid w:val="00DD7FAA"/>
    <w:rsid w:val="00DD7FCD"/>
    <w:rsid w:val="00DE033A"/>
    <w:rsid w:val="00DE0652"/>
    <w:rsid w:val="00DE0D23"/>
    <w:rsid w:val="00DE0E96"/>
    <w:rsid w:val="00DE115D"/>
    <w:rsid w:val="00DE1256"/>
    <w:rsid w:val="00DE15C4"/>
    <w:rsid w:val="00DE1C4B"/>
    <w:rsid w:val="00DE217C"/>
    <w:rsid w:val="00DE26E3"/>
    <w:rsid w:val="00DE3702"/>
    <w:rsid w:val="00DE40CA"/>
    <w:rsid w:val="00DE4AE8"/>
    <w:rsid w:val="00DE52BB"/>
    <w:rsid w:val="00DE5C1E"/>
    <w:rsid w:val="00DE6162"/>
    <w:rsid w:val="00DE617F"/>
    <w:rsid w:val="00DE6228"/>
    <w:rsid w:val="00DE6CF9"/>
    <w:rsid w:val="00DE75CA"/>
    <w:rsid w:val="00DE7782"/>
    <w:rsid w:val="00DE783A"/>
    <w:rsid w:val="00DE7FD3"/>
    <w:rsid w:val="00DF0100"/>
    <w:rsid w:val="00DF0760"/>
    <w:rsid w:val="00DF0798"/>
    <w:rsid w:val="00DF08CE"/>
    <w:rsid w:val="00DF1571"/>
    <w:rsid w:val="00DF176F"/>
    <w:rsid w:val="00DF178E"/>
    <w:rsid w:val="00DF1A7A"/>
    <w:rsid w:val="00DF39C4"/>
    <w:rsid w:val="00DF39DE"/>
    <w:rsid w:val="00DF3AAB"/>
    <w:rsid w:val="00DF3BA9"/>
    <w:rsid w:val="00DF3C07"/>
    <w:rsid w:val="00DF48E4"/>
    <w:rsid w:val="00DF4AA2"/>
    <w:rsid w:val="00DF4B8D"/>
    <w:rsid w:val="00DF4B98"/>
    <w:rsid w:val="00DF4CCF"/>
    <w:rsid w:val="00DF4F61"/>
    <w:rsid w:val="00DF52D8"/>
    <w:rsid w:val="00DF5648"/>
    <w:rsid w:val="00DF59AA"/>
    <w:rsid w:val="00DF5D79"/>
    <w:rsid w:val="00DF5E97"/>
    <w:rsid w:val="00DF65F1"/>
    <w:rsid w:val="00DF6601"/>
    <w:rsid w:val="00DF6AB4"/>
    <w:rsid w:val="00DF6CA8"/>
    <w:rsid w:val="00DF7141"/>
    <w:rsid w:val="00DF7AD2"/>
    <w:rsid w:val="00E00001"/>
    <w:rsid w:val="00E00213"/>
    <w:rsid w:val="00E0083A"/>
    <w:rsid w:val="00E00C19"/>
    <w:rsid w:val="00E00D99"/>
    <w:rsid w:val="00E01114"/>
    <w:rsid w:val="00E0194F"/>
    <w:rsid w:val="00E023FF"/>
    <w:rsid w:val="00E02968"/>
    <w:rsid w:val="00E02FBF"/>
    <w:rsid w:val="00E02FD3"/>
    <w:rsid w:val="00E03DCC"/>
    <w:rsid w:val="00E03F62"/>
    <w:rsid w:val="00E04C61"/>
    <w:rsid w:val="00E054B1"/>
    <w:rsid w:val="00E05B82"/>
    <w:rsid w:val="00E0632E"/>
    <w:rsid w:val="00E06719"/>
    <w:rsid w:val="00E067A4"/>
    <w:rsid w:val="00E06B1E"/>
    <w:rsid w:val="00E06C2D"/>
    <w:rsid w:val="00E06FF0"/>
    <w:rsid w:val="00E07160"/>
    <w:rsid w:val="00E07FD7"/>
    <w:rsid w:val="00E1016F"/>
    <w:rsid w:val="00E104D4"/>
    <w:rsid w:val="00E105E8"/>
    <w:rsid w:val="00E11289"/>
    <w:rsid w:val="00E11374"/>
    <w:rsid w:val="00E117C1"/>
    <w:rsid w:val="00E11A5F"/>
    <w:rsid w:val="00E11BC9"/>
    <w:rsid w:val="00E12159"/>
    <w:rsid w:val="00E12698"/>
    <w:rsid w:val="00E1271E"/>
    <w:rsid w:val="00E128FA"/>
    <w:rsid w:val="00E12BE8"/>
    <w:rsid w:val="00E13005"/>
    <w:rsid w:val="00E130FC"/>
    <w:rsid w:val="00E13765"/>
    <w:rsid w:val="00E139CF"/>
    <w:rsid w:val="00E14084"/>
    <w:rsid w:val="00E14131"/>
    <w:rsid w:val="00E14679"/>
    <w:rsid w:val="00E1495D"/>
    <w:rsid w:val="00E14D34"/>
    <w:rsid w:val="00E14D4A"/>
    <w:rsid w:val="00E15465"/>
    <w:rsid w:val="00E154E7"/>
    <w:rsid w:val="00E154EE"/>
    <w:rsid w:val="00E15672"/>
    <w:rsid w:val="00E160C8"/>
    <w:rsid w:val="00E16378"/>
    <w:rsid w:val="00E1673C"/>
    <w:rsid w:val="00E1727D"/>
    <w:rsid w:val="00E17DEE"/>
    <w:rsid w:val="00E2024A"/>
    <w:rsid w:val="00E2055B"/>
    <w:rsid w:val="00E207CE"/>
    <w:rsid w:val="00E220E4"/>
    <w:rsid w:val="00E22294"/>
    <w:rsid w:val="00E23522"/>
    <w:rsid w:val="00E236DD"/>
    <w:rsid w:val="00E23A29"/>
    <w:rsid w:val="00E23D2C"/>
    <w:rsid w:val="00E242E2"/>
    <w:rsid w:val="00E24D8D"/>
    <w:rsid w:val="00E25A0A"/>
    <w:rsid w:val="00E25BEC"/>
    <w:rsid w:val="00E26120"/>
    <w:rsid w:val="00E26359"/>
    <w:rsid w:val="00E2679D"/>
    <w:rsid w:val="00E26801"/>
    <w:rsid w:val="00E26DC2"/>
    <w:rsid w:val="00E2704E"/>
    <w:rsid w:val="00E2721B"/>
    <w:rsid w:val="00E2753A"/>
    <w:rsid w:val="00E2784C"/>
    <w:rsid w:val="00E2795C"/>
    <w:rsid w:val="00E30BAD"/>
    <w:rsid w:val="00E30C7A"/>
    <w:rsid w:val="00E31912"/>
    <w:rsid w:val="00E31A9C"/>
    <w:rsid w:val="00E32222"/>
    <w:rsid w:val="00E322C2"/>
    <w:rsid w:val="00E32649"/>
    <w:rsid w:val="00E32821"/>
    <w:rsid w:val="00E3303A"/>
    <w:rsid w:val="00E33C5F"/>
    <w:rsid w:val="00E33C8E"/>
    <w:rsid w:val="00E341BF"/>
    <w:rsid w:val="00E342B1"/>
    <w:rsid w:val="00E34397"/>
    <w:rsid w:val="00E344D6"/>
    <w:rsid w:val="00E345EF"/>
    <w:rsid w:val="00E34EB3"/>
    <w:rsid w:val="00E34F67"/>
    <w:rsid w:val="00E35244"/>
    <w:rsid w:val="00E35434"/>
    <w:rsid w:val="00E358DD"/>
    <w:rsid w:val="00E35F29"/>
    <w:rsid w:val="00E36724"/>
    <w:rsid w:val="00E36DA7"/>
    <w:rsid w:val="00E4024B"/>
    <w:rsid w:val="00E4074E"/>
    <w:rsid w:val="00E4090E"/>
    <w:rsid w:val="00E40E8A"/>
    <w:rsid w:val="00E424BC"/>
    <w:rsid w:val="00E42DB0"/>
    <w:rsid w:val="00E433E7"/>
    <w:rsid w:val="00E43565"/>
    <w:rsid w:val="00E43951"/>
    <w:rsid w:val="00E44365"/>
    <w:rsid w:val="00E4436C"/>
    <w:rsid w:val="00E44C0B"/>
    <w:rsid w:val="00E451EF"/>
    <w:rsid w:val="00E4629E"/>
    <w:rsid w:val="00E4662A"/>
    <w:rsid w:val="00E46A29"/>
    <w:rsid w:val="00E46C1D"/>
    <w:rsid w:val="00E47452"/>
    <w:rsid w:val="00E474FA"/>
    <w:rsid w:val="00E47F75"/>
    <w:rsid w:val="00E502C6"/>
    <w:rsid w:val="00E50691"/>
    <w:rsid w:val="00E513F3"/>
    <w:rsid w:val="00E52566"/>
    <w:rsid w:val="00E52750"/>
    <w:rsid w:val="00E52BAE"/>
    <w:rsid w:val="00E5332D"/>
    <w:rsid w:val="00E53584"/>
    <w:rsid w:val="00E54593"/>
    <w:rsid w:val="00E5477F"/>
    <w:rsid w:val="00E54883"/>
    <w:rsid w:val="00E54B37"/>
    <w:rsid w:val="00E54F3F"/>
    <w:rsid w:val="00E54F97"/>
    <w:rsid w:val="00E55044"/>
    <w:rsid w:val="00E55528"/>
    <w:rsid w:val="00E561EE"/>
    <w:rsid w:val="00E56593"/>
    <w:rsid w:val="00E5688E"/>
    <w:rsid w:val="00E5723B"/>
    <w:rsid w:val="00E57353"/>
    <w:rsid w:val="00E573FF"/>
    <w:rsid w:val="00E5745F"/>
    <w:rsid w:val="00E574AA"/>
    <w:rsid w:val="00E57534"/>
    <w:rsid w:val="00E57939"/>
    <w:rsid w:val="00E57F50"/>
    <w:rsid w:val="00E57F6B"/>
    <w:rsid w:val="00E57FEA"/>
    <w:rsid w:val="00E603F8"/>
    <w:rsid w:val="00E60D2B"/>
    <w:rsid w:val="00E610D7"/>
    <w:rsid w:val="00E6110F"/>
    <w:rsid w:val="00E611E7"/>
    <w:rsid w:val="00E61472"/>
    <w:rsid w:val="00E6159B"/>
    <w:rsid w:val="00E61876"/>
    <w:rsid w:val="00E61B1C"/>
    <w:rsid w:val="00E61C5D"/>
    <w:rsid w:val="00E620C6"/>
    <w:rsid w:val="00E627CC"/>
    <w:rsid w:val="00E62E94"/>
    <w:rsid w:val="00E62E9F"/>
    <w:rsid w:val="00E6320B"/>
    <w:rsid w:val="00E6376D"/>
    <w:rsid w:val="00E63E83"/>
    <w:rsid w:val="00E64699"/>
    <w:rsid w:val="00E64B31"/>
    <w:rsid w:val="00E64C09"/>
    <w:rsid w:val="00E6547D"/>
    <w:rsid w:val="00E6584B"/>
    <w:rsid w:val="00E65AA8"/>
    <w:rsid w:val="00E661DC"/>
    <w:rsid w:val="00E66624"/>
    <w:rsid w:val="00E6694B"/>
    <w:rsid w:val="00E66CBD"/>
    <w:rsid w:val="00E67B06"/>
    <w:rsid w:val="00E67D67"/>
    <w:rsid w:val="00E70A71"/>
    <w:rsid w:val="00E713C3"/>
    <w:rsid w:val="00E71864"/>
    <w:rsid w:val="00E71CFE"/>
    <w:rsid w:val="00E71FB6"/>
    <w:rsid w:val="00E72341"/>
    <w:rsid w:val="00E7258F"/>
    <w:rsid w:val="00E729D1"/>
    <w:rsid w:val="00E72A6C"/>
    <w:rsid w:val="00E72C52"/>
    <w:rsid w:val="00E72EA2"/>
    <w:rsid w:val="00E72FFC"/>
    <w:rsid w:val="00E731F9"/>
    <w:rsid w:val="00E732E8"/>
    <w:rsid w:val="00E73CF7"/>
    <w:rsid w:val="00E73D3B"/>
    <w:rsid w:val="00E74220"/>
    <w:rsid w:val="00E74674"/>
    <w:rsid w:val="00E746A4"/>
    <w:rsid w:val="00E74A7E"/>
    <w:rsid w:val="00E750D0"/>
    <w:rsid w:val="00E756E5"/>
    <w:rsid w:val="00E75D17"/>
    <w:rsid w:val="00E766A4"/>
    <w:rsid w:val="00E76A27"/>
    <w:rsid w:val="00E76A37"/>
    <w:rsid w:val="00E76C93"/>
    <w:rsid w:val="00E7792E"/>
    <w:rsid w:val="00E77ECF"/>
    <w:rsid w:val="00E806B9"/>
    <w:rsid w:val="00E807F3"/>
    <w:rsid w:val="00E80CF2"/>
    <w:rsid w:val="00E80F4A"/>
    <w:rsid w:val="00E80FAD"/>
    <w:rsid w:val="00E81BB9"/>
    <w:rsid w:val="00E81D4A"/>
    <w:rsid w:val="00E82618"/>
    <w:rsid w:val="00E828CE"/>
    <w:rsid w:val="00E8296A"/>
    <w:rsid w:val="00E83501"/>
    <w:rsid w:val="00E83DD3"/>
    <w:rsid w:val="00E83FB0"/>
    <w:rsid w:val="00E845CF"/>
    <w:rsid w:val="00E853DE"/>
    <w:rsid w:val="00E87470"/>
    <w:rsid w:val="00E876FB"/>
    <w:rsid w:val="00E90157"/>
    <w:rsid w:val="00E902DC"/>
    <w:rsid w:val="00E9094E"/>
    <w:rsid w:val="00E90E4F"/>
    <w:rsid w:val="00E912C7"/>
    <w:rsid w:val="00E91352"/>
    <w:rsid w:val="00E9138B"/>
    <w:rsid w:val="00E91491"/>
    <w:rsid w:val="00E91814"/>
    <w:rsid w:val="00E91CC1"/>
    <w:rsid w:val="00E925D3"/>
    <w:rsid w:val="00E92655"/>
    <w:rsid w:val="00E92709"/>
    <w:rsid w:val="00E92F4E"/>
    <w:rsid w:val="00E9391C"/>
    <w:rsid w:val="00E93930"/>
    <w:rsid w:val="00E939F7"/>
    <w:rsid w:val="00E93E42"/>
    <w:rsid w:val="00E94200"/>
    <w:rsid w:val="00E9427F"/>
    <w:rsid w:val="00E9462B"/>
    <w:rsid w:val="00E94934"/>
    <w:rsid w:val="00E94AF1"/>
    <w:rsid w:val="00E94D19"/>
    <w:rsid w:val="00E94D52"/>
    <w:rsid w:val="00E95429"/>
    <w:rsid w:val="00E96A53"/>
    <w:rsid w:val="00E96A5C"/>
    <w:rsid w:val="00E96B56"/>
    <w:rsid w:val="00E975A6"/>
    <w:rsid w:val="00E97BB6"/>
    <w:rsid w:val="00EA0000"/>
    <w:rsid w:val="00EA090C"/>
    <w:rsid w:val="00EA1617"/>
    <w:rsid w:val="00EA1675"/>
    <w:rsid w:val="00EA1DE6"/>
    <w:rsid w:val="00EA20EE"/>
    <w:rsid w:val="00EA210F"/>
    <w:rsid w:val="00EA277C"/>
    <w:rsid w:val="00EA28BF"/>
    <w:rsid w:val="00EA28D5"/>
    <w:rsid w:val="00EA2F62"/>
    <w:rsid w:val="00EA2F77"/>
    <w:rsid w:val="00EA33EF"/>
    <w:rsid w:val="00EA3AC5"/>
    <w:rsid w:val="00EA3F50"/>
    <w:rsid w:val="00EA4627"/>
    <w:rsid w:val="00EA4811"/>
    <w:rsid w:val="00EA4881"/>
    <w:rsid w:val="00EA4F75"/>
    <w:rsid w:val="00EA54E6"/>
    <w:rsid w:val="00EA55B3"/>
    <w:rsid w:val="00EA58A2"/>
    <w:rsid w:val="00EA5955"/>
    <w:rsid w:val="00EA5B19"/>
    <w:rsid w:val="00EA62BC"/>
    <w:rsid w:val="00EA6641"/>
    <w:rsid w:val="00EA66DF"/>
    <w:rsid w:val="00EA691C"/>
    <w:rsid w:val="00EA71A0"/>
    <w:rsid w:val="00EA72EE"/>
    <w:rsid w:val="00EA7FD2"/>
    <w:rsid w:val="00EB0469"/>
    <w:rsid w:val="00EB152B"/>
    <w:rsid w:val="00EB1D97"/>
    <w:rsid w:val="00EB1EB4"/>
    <w:rsid w:val="00EB1EFB"/>
    <w:rsid w:val="00EB23EF"/>
    <w:rsid w:val="00EB26AF"/>
    <w:rsid w:val="00EB2788"/>
    <w:rsid w:val="00EB2BF5"/>
    <w:rsid w:val="00EB2DA4"/>
    <w:rsid w:val="00EB3023"/>
    <w:rsid w:val="00EB3833"/>
    <w:rsid w:val="00EB3DAC"/>
    <w:rsid w:val="00EB3E7E"/>
    <w:rsid w:val="00EB48EB"/>
    <w:rsid w:val="00EB5639"/>
    <w:rsid w:val="00EB5F85"/>
    <w:rsid w:val="00EB67E1"/>
    <w:rsid w:val="00EB6EC0"/>
    <w:rsid w:val="00EB7073"/>
    <w:rsid w:val="00EB7D5B"/>
    <w:rsid w:val="00EC0001"/>
    <w:rsid w:val="00EC04F4"/>
    <w:rsid w:val="00EC052B"/>
    <w:rsid w:val="00EC06E1"/>
    <w:rsid w:val="00EC0B47"/>
    <w:rsid w:val="00EC0E09"/>
    <w:rsid w:val="00EC12DE"/>
    <w:rsid w:val="00EC190E"/>
    <w:rsid w:val="00EC1BF4"/>
    <w:rsid w:val="00EC210F"/>
    <w:rsid w:val="00EC2379"/>
    <w:rsid w:val="00EC2788"/>
    <w:rsid w:val="00EC2A45"/>
    <w:rsid w:val="00EC32EE"/>
    <w:rsid w:val="00EC33A1"/>
    <w:rsid w:val="00EC3DD6"/>
    <w:rsid w:val="00EC411A"/>
    <w:rsid w:val="00EC501D"/>
    <w:rsid w:val="00EC53CB"/>
    <w:rsid w:val="00EC6A1E"/>
    <w:rsid w:val="00EC6E75"/>
    <w:rsid w:val="00ED011A"/>
    <w:rsid w:val="00ED0360"/>
    <w:rsid w:val="00ED0620"/>
    <w:rsid w:val="00ED09B5"/>
    <w:rsid w:val="00ED1066"/>
    <w:rsid w:val="00ED122A"/>
    <w:rsid w:val="00ED12A3"/>
    <w:rsid w:val="00ED1573"/>
    <w:rsid w:val="00ED1767"/>
    <w:rsid w:val="00ED1D54"/>
    <w:rsid w:val="00ED2181"/>
    <w:rsid w:val="00ED2332"/>
    <w:rsid w:val="00ED2D33"/>
    <w:rsid w:val="00ED3168"/>
    <w:rsid w:val="00ED3237"/>
    <w:rsid w:val="00ED3DAB"/>
    <w:rsid w:val="00ED3EB5"/>
    <w:rsid w:val="00ED4C3B"/>
    <w:rsid w:val="00ED505A"/>
    <w:rsid w:val="00ED5937"/>
    <w:rsid w:val="00ED656B"/>
    <w:rsid w:val="00ED6740"/>
    <w:rsid w:val="00ED693F"/>
    <w:rsid w:val="00ED6F20"/>
    <w:rsid w:val="00ED7BB2"/>
    <w:rsid w:val="00ED7C75"/>
    <w:rsid w:val="00EE01FD"/>
    <w:rsid w:val="00EE05D1"/>
    <w:rsid w:val="00EE09E2"/>
    <w:rsid w:val="00EE1C80"/>
    <w:rsid w:val="00EE244D"/>
    <w:rsid w:val="00EE2CC3"/>
    <w:rsid w:val="00EE3261"/>
    <w:rsid w:val="00EE332A"/>
    <w:rsid w:val="00EE34D4"/>
    <w:rsid w:val="00EE36A3"/>
    <w:rsid w:val="00EE3952"/>
    <w:rsid w:val="00EE4574"/>
    <w:rsid w:val="00EE493D"/>
    <w:rsid w:val="00EE4AF9"/>
    <w:rsid w:val="00EE50F9"/>
    <w:rsid w:val="00EE54FB"/>
    <w:rsid w:val="00EE589A"/>
    <w:rsid w:val="00EE595F"/>
    <w:rsid w:val="00EE60FE"/>
    <w:rsid w:val="00EE6264"/>
    <w:rsid w:val="00EE6A42"/>
    <w:rsid w:val="00EE6CD9"/>
    <w:rsid w:val="00EE6E9B"/>
    <w:rsid w:val="00EE7411"/>
    <w:rsid w:val="00EE792A"/>
    <w:rsid w:val="00EE7B2F"/>
    <w:rsid w:val="00EE7CB3"/>
    <w:rsid w:val="00EF0173"/>
    <w:rsid w:val="00EF047B"/>
    <w:rsid w:val="00EF0B4E"/>
    <w:rsid w:val="00EF0EF4"/>
    <w:rsid w:val="00EF1601"/>
    <w:rsid w:val="00EF201E"/>
    <w:rsid w:val="00EF2637"/>
    <w:rsid w:val="00EF29C5"/>
    <w:rsid w:val="00EF2B9D"/>
    <w:rsid w:val="00EF33E2"/>
    <w:rsid w:val="00EF35ED"/>
    <w:rsid w:val="00EF3AC6"/>
    <w:rsid w:val="00EF3C1D"/>
    <w:rsid w:val="00EF3D51"/>
    <w:rsid w:val="00EF437C"/>
    <w:rsid w:val="00EF4884"/>
    <w:rsid w:val="00EF488A"/>
    <w:rsid w:val="00EF4A61"/>
    <w:rsid w:val="00EF573B"/>
    <w:rsid w:val="00EF5DD2"/>
    <w:rsid w:val="00EF6183"/>
    <w:rsid w:val="00EF6A83"/>
    <w:rsid w:val="00EF7BB3"/>
    <w:rsid w:val="00EF7C90"/>
    <w:rsid w:val="00F02C7B"/>
    <w:rsid w:val="00F02E9A"/>
    <w:rsid w:val="00F03171"/>
    <w:rsid w:val="00F031C1"/>
    <w:rsid w:val="00F0337B"/>
    <w:rsid w:val="00F045B7"/>
    <w:rsid w:val="00F054EA"/>
    <w:rsid w:val="00F059A7"/>
    <w:rsid w:val="00F05A07"/>
    <w:rsid w:val="00F05A84"/>
    <w:rsid w:val="00F05D98"/>
    <w:rsid w:val="00F05DAB"/>
    <w:rsid w:val="00F05FE0"/>
    <w:rsid w:val="00F060B7"/>
    <w:rsid w:val="00F06665"/>
    <w:rsid w:val="00F06A73"/>
    <w:rsid w:val="00F07615"/>
    <w:rsid w:val="00F077B8"/>
    <w:rsid w:val="00F10674"/>
    <w:rsid w:val="00F10C7A"/>
    <w:rsid w:val="00F110A6"/>
    <w:rsid w:val="00F1141C"/>
    <w:rsid w:val="00F11B6E"/>
    <w:rsid w:val="00F12614"/>
    <w:rsid w:val="00F12A1C"/>
    <w:rsid w:val="00F12EDC"/>
    <w:rsid w:val="00F133CD"/>
    <w:rsid w:val="00F135D2"/>
    <w:rsid w:val="00F1393B"/>
    <w:rsid w:val="00F14269"/>
    <w:rsid w:val="00F1438B"/>
    <w:rsid w:val="00F1489F"/>
    <w:rsid w:val="00F14A0D"/>
    <w:rsid w:val="00F14A4D"/>
    <w:rsid w:val="00F15065"/>
    <w:rsid w:val="00F1520E"/>
    <w:rsid w:val="00F1531B"/>
    <w:rsid w:val="00F1532D"/>
    <w:rsid w:val="00F15A39"/>
    <w:rsid w:val="00F15F8E"/>
    <w:rsid w:val="00F162AC"/>
    <w:rsid w:val="00F16D3B"/>
    <w:rsid w:val="00F17862"/>
    <w:rsid w:val="00F17921"/>
    <w:rsid w:val="00F17955"/>
    <w:rsid w:val="00F2007D"/>
    <w:rsid w:val="00F20278"/>
    <w:rsid w:val="00F204C9"/>
    <w:rsid w:val="00F207C8"/>
    <w:rsid w:val="00F20E24"/>
    <w:rsid w:val="00F2149A"/>
    <w:rsid w:val="00F224E9"/>
    <w:rsid w:val="00F22D0F"/>
    <w:rsid w:val="00F22E49"/>
    <w:rsid w:val="00F23174"/>
    <w:rsid w:val="00F23616"/>
    <w:rsid w:val="00F23829"/>
    <w:rsid w:val="00F23AA1"/>
    <w:rsid w:val="00F23DB0"/>
    <w:rsid w:val="00F23DE0"/>
    <w:rsid w:val="00F24A77"/>
    <w:rsid w:val="00F252A4"/>
    <w:rsid w:val="00F2562E"/>
    <w:rsid w:val="00F258D9"/>
    <w:rsid w:val="00F26086"/>
    <w:rsid w:val="00F26307"/>
    <w:rsid w:val="00F27018"/>
    <w:rsid w:val="00F2726E"/>
    <w:rsid w:val="00F27344"/>
    <w:rsid w:val="00F2768C"/>
    <w:rsid w:val="00F276A2"/>
    <w:rsid w:val="00F27721"/>
    <w:rsid w:val="00F27728"/>
    <w:rsid w:val="00F27F1C"/>
    <w:rsid w:val="00F30E04"/>
    <w:rsid w:val="00F32160"/>
    <w:rsid w:val="00F32DDF"/>
    <w:rsid w:val="00F32FC6"/>
    <w:rsid w:val="00F33463"/>
    <w:rsid w:val="00F334D2"/>
    <w:rsid w:val="00F33709"/>
    <w:rsid w:val="00F3373A"/>
    <w:rsid w:val="00F33B13"/>
    <w:rsid w:val="00F34532"/>
    <w:rsid w:val="00F3473A"/>
    <w:rsid w:val="00F34809"/>
    <w:rsid w:val="00F34D06"/>
    <w:rsid w:val="00F35523"/>
    <w:rsid w:val="00F35663"/>
    <w:rsid w:val="00F356FB"/>
    <w:rsid w:val="00F3575E"/>
    <w:rsid w:val="00F35B96"/>
    <w:rsid w:val="00F35E5C"/>
    <w:rsid w:val="00F36134"/>
    <w:rsid w:val="00F3632D"/>
    <w:rsid w:val="00F3633B"/>
    <w:rsid w:val="00F3636E"/>
    <w:rsid w:val="00F36FB6"/>
    <w:rsid w:val="00F37301"/>
    <w:rsid w:val="00F374DC"/>
    <w:rsid w:val="00F37617"/>
    <w:rsid w:val="00F37909"/>
    <w:rsid w:val="00F400AD"/>
    <w:rsid w:val="00F40627"/>
    <w:rsid w:val="00F40D4B"/>
    <w:rsid w:val="00F40DC5"/>
    <w:rsid w:val="00F41154"/>
    <w:rsid w:val="00F41768"/>
    <w:rsid w:val="00F41D7D"/>
    <w:rsid w:val="00F41F01"/>
    <w:rsid w:val="00F427D6"/>
    <w:rsid w:val="00F42803"/>
    <w:rsid w:val="00F431F9"/>
    <w:rsid w:val="00F43438"/>
    <w:rsid w:val="00F43B6E"/>
    <w:rsid w:val="00F43D32"/>
    <w:rsid w:val="00F43FCD"/>
    <w:rsid w:val="00F44204"/>
    <w:rsid w:val="00F442C8"/>
    <w:rsid w:val="00F445DE"/>
    <w:rsid w:val="00F44E87"/>
    <w:rsid w:val="00F453DF"/>
    <w:rsid w:val="00F4594A"/>
    <w:rsid w:val="00F45D1B"/>
    <w:rsid w:val="00F4627B"/>
    <w:rsid w:val="00F4630A"/>
    <w:rsid w:val="00F4648A"/>
    <w:rsid w:val="00F466F7"/>
    <w:rsid w:val="00F468AB"/>
    <w:rsid w:val="00F46986"/>
    <w:rsid w:val="00F46ABE"/>
    <w:rsid w:val="00F4742C"/>
    <w:rsid w:val="00F47576"/>
    <w:rsid w:val="00F47F96"/>
    <w:rsid w:val="00F50496"/>
    <w:rsid w:val="00F5074C"/>
    <w:rsid w:val="00F5084C"/>
    <w:rsid w:val="00F50BF2"/>
    <w:rsid w:val="00F50E00"/>
    <w:rsid w:val="00F512A8"/>
    <w:rsid w:val="00F5207B"/>
    <w:rsid w:val="00F52208"/>
    <w:rsid w:val="00F53504"/>
    <w:rsid w:val="00F536C2"/>
    <w:rsid w:val="00F55087"/>
    <w:rsid w:val="00F55103"/>
    <w:rsid w:val="00F553CE"/>
    <w:rsid w:val="00F56198"/>
    <w:rsid w:val="00F561EF"/>
    <w:rsid w:val="00F56882"/>
    <w:rsid w:val="00F56AD5"/>
    <w:rsid w:val="00F57857"/>
    <w:rsid w:val="00F579FC"/>
    <w:rsid w:val="00F57BD7"/>
    <w:rsid w:val="00F60462"/>
    <w:rsid w:val="00F60EB7"/>
    <w:rsid w:val="00F616DB"/>
    <w:rsid w:val="00F621D4"/>
    <w:rsid w:val="00F62AFC"/>
    <w:rsid w:val="00F6330E"/>
    <w:rsid w:val="00F6372D"/>
    <w:rsid w:val="00F641FA"/>
    <w:rsid w:val="00F646E3"/>
    <w:rsid w:val="00F653C8"/>
    <w:rsid w:val="00F65ABD"/>
    <w:rsid w:val="00F65B0E"/>
    <w:rsid w:val="00F6642C"/>
    <w:rsid w:val="00F666F1"/>
    <w:rsid w:val="00F6676D"/>
    <w:rsid w:val="00F669E4"/>
    <w:rsid w:val="00F673BA"/>
    <w:rsid w:val="00F6746B"/>
    <w:rsid w:val="00F67856"/>
    <w:rsid w:val="00F678C2"/>
    <w:rsid w:val="00F7044C"/>
    <w:rsid w:val="00F70597"/>
    <w:rsid w:val="00F706C5"/>
    <w:rsid w:val="00F712EA"/>
    <w:rsid w:val="00F713D2"/>
    <w:rsid w:val="00F72579"/>
    <w:rsid w:val="00F727CE"/>
    <w:rsid w:val="00F72D24"/>
    <w:rsid w:val="00F72E08"/>
    <w:rsid w:val="00F734A2"/>
    <w:rsid w:val="00F73A54"/>
    <w:rsid w:val="00F742D2"/>
    <w:rsid w:val="00F74E01"/>
    <w:rsid w:val="00F74EA7"/>
    <w:rsid w:val="00F759C6"/>
    <w:rsid w:val="00F75A3E"/>
    <w:rsid w:val="00F75B56"/>
    <w:rsid w:val="00F75F3A"/>
    <w:rsid w:val="00F76409"/>
    <w:rsid w:val="00F76BB7"/>
    <w:rsid w:val="00F76BF5"/>
    <w:rsid w:val="00F76FA2"/>
    <w:rsid w:val="00F7780A"/>
    <w:rsid w:val="00F802D5"/>
    <w:rsid w:val="00F8094A"/>
    <w:rsid w:val="00F80BEA"/>
    <w:rsid w:val="00F80D82"/>
    <w:rsid w:val="00F815BD"/>
    <w:rsid w:val="00F81AD7"/>
    <w:rsid w:val="00F81E23"/>
    <w:rsid w:val="00F81FCB"/>
    <w:rsid w:val="00F8294E"/>
    <w:rsid w:val="00F83BF6"/>
    <w:rsid w:val="00F83C37"/>
    <w:rsid w:val="00F83FB0"/>
    <w:rsid w:val="00F8510A"/>
    <w:rsid w:val="00F8533E"/>
    <w:rsid w:val="00F853C4"/>
    <w:rsid w:val="00F859AD"/>
    <w:rsid w:val="00F86022"/>
    <w:rsid w:val="00F86183"/>
    <w:rsid w:val="00F86962"/>
    <w:rsid w:val="00F86BC3"/>
    <w:rsid w:val="00F86BF2"/>
    <w:rsid w:val="00F87294"/>
    <w:rsid w:val="00F8795E"/>
    <w:rsid w:val="00F90149"/>
    <w:rsid w:val="00F90159"/>
    <w:rsid w:val="00F90532"/>
    <w:rsid w:val="00F90814"/>
    <w:rsid w:val="00F90C2A"/>
    <w:rsid w:val="00F90F2B"/>
    <w:rsid w:val="00F91048"/>
    <w:rsid w:val="00F916B6"/>
    <w:rsid w:val="00F91A2C"/>
    <w:rsid w:val="00F91D77"/>
    <w:rsid w:val="00F92C46"/>
    <w:rsid w:val="00F92DA3"/>
    <w:rsid w:val="00F9304C"/>
    <w:rsid w:val="00F9326A"/>
    <w:rsid w:val="00F9345A"/>
    <w:rsid w:val="00F934E7"/>
    <w:rsid w:val="00F93A10"/>
    <w:rsid w:val="00F93BE1"/>
    <w:rsid w:val="00F9406D"/>
    <w:rsid w:val="00F94336"/>
    <w:rsid w:val="00F94BF9"/>
    <w:rsid w:val="00F94D01"/>
    <w:rsid w:val="00F9523F"/>
    <w:rsid w:val="00F9565D"/>
    <w:rsid w:val="00F9637F"/>
    <w:rsid w:val="00F97308"/>
    <w:rsid w:val="00FA001A"/>
    <w:rsid w:val="00FA0AB7"/>
    <w:rsid w:val="00FA112F"/>
    <w:rsid w:val="00FA11D0"/>
    <w:rsid w:val="00FA19D8"/>
    <w:rsid w:val="00FA1ADB"/>
    <w:rsid w:val="00FA1D30"/>
    <w:rsid w:val="00FA1EEE"/>
    <w:rsid w:val="00FA2767"/>
    <w:rsid w:val="00FA2821"/>
    <w:rsid w:val="00FA301D"/>
    <w:rsid w:val="00FA34BD"/>
    <w:rsid w:val="00FA368A"/>
    <w:rsid w:val="00FA3710"/>
    <w:rsid w:val="00FA3A71"/>
    <w:rsid w:val="00FA3C17"/>
    <w:rsid w:val="00FA3CC8"/>
    <w:rsid w:val="00FA4403"/>
    <w:rsid w:val="00FA47D8"/>
    <w:rsid w:val="00FA4E49"/>
    <w:rsid w:val="00FA5455"/>
    <w:rsid w:val="00FA57E3"/>
    <w:rsid w:val="00FA5DB9"/>
    <w:rsid w:val="00FA60BB"/>
    <w:rsid w:val="00FA6201"/>
    <w:rsid w:val="00FA6266"/>
    <w:rsid w:val="00FA671F"/>
    <w:rsid w:val="00FA6BD9"/>
    <w:rsid w:val="00FA6D73"/>
    <w:rsid w:val="00FA7B30"/>
    <w:rsid w:val="00FA7F1D"/>
    <w:rsid w:val="00FB0E47"/>
    <w:rsid w:val="00FB0F0F"/>
    <w:rsid w:val="00FB1121"/>
    <w:rsid w:val="00FB11BA"/>
    <w:rsid w:val="00FB11BD"/>
    <w:rsid w:val="00FB18DA"/>
    <w:rsid w:val="00FB1C16"/>
    <w:rsid w:val="00FB35AB"/>
    <w:rsid w:val="00FB3DDF"/>
    <w:rsid w:val="00FB40BD"/>
    <w:rsid w:val="00FB4AC7"/>
    <w:rsid w:val="00FB5358"/>
    <w:rsid w:val="00FB56A4"/>
    <w:rsid w:val="00FB60DD"/>
    <w:rsid w:val="00FB69DD"/>
    <w:rsid w:val="00FB6A10"/>
    <w:rsid w:val="00FC0482"/>
    <w:rsid w:val="00FC04C1"/>
    <w:rsid w:val="00FC0D93"/>
    <w:rsid w:val="00FC1292"/>
    <w:rsid w:val="00FC13CB"/>
    <w:rsid w:val="00FC1CF1"/>
    <w:rsid w:val="00FC252E"/>
    <w:rsid w:val="00FC262C"/>
    <w:rsid w:val="00FC3BC1"/>
    <w:rsid w:val="00FC427C"/>
    <w:rsid w:val="00FC44CE"/>
    <w:rsid w:val="00FC4967"/>
    <w:rsid w:val="00FC5259"/>
    <w:rsid w:val="00FC5AAC"/>
    <w:rsid w:val="00FC738E"/>
    <w:rsid w:val="00FC7487"/>
    <w:rsid w:val="00FC7E1E"/>
    <w:rsid w:val="00FC7EA9"/>
    <w:rsid w:val="00FD03E5"/>
    <w:rsid w:val="00FD0BAE"/>
    <w:rsid w:val="00FD0F5E"/>
    <w:rsid w:val="00FD1E8E"/>
    <w:rsid w:val="00FD22B0"/>
    <w:rsid w:val="00FD274E"/>
    <w:rsid w:val="00FD3322"/>
    <w:rsid w:val="00FD3AFB"/>
    <w:rsid w:val="00FD3D7A"/>
    <w:rsid w:val="00FD4720"/>
    <w:rsid w:val="00FD4A68"/>
    <w:rsid w:val="00FD4DCB"/>
    <w:rsid w:val="00FD5891"/>
    <w:rsid w:val="00FD5D77"/>
    <w:rsid w:val="00FD5FF6"/>
    <w:rsid w:val="00FD6536"/>
    <w:rsid w:val="00FD6B1F"/>
    <w:rsid w:val="00FD6F6D"/>
    <w:rsid w:val="00FD7049"/>
    <w:rsid w:val="00FD7105"/>
    <w:rsid w:val="00FD76B2"/>
    <w:rsid w:val="00FD7DE3"/>
    <w:rsid w:val="00FE008A"/>
    <w:rsid w:val="00FE08F9"/>
    <w:rsid w:val="00FE0C8E"/>
    <w:rsid w:val="00FE1F57"/>
    <w:rsid w:val="00FE257B"/>
    <w:rsid w:val="00FE2642"/>
    <w:rsid w:val="00FE3208"/>
    <w:rsid w:val="00FE3AC7"/>
    <w:rsid w:val="00FE3BB1"/>
    <w:rsid w:val="00FE4417"/>
    <w:rsid w:val="00FE4825"/>
    <w:rsid w:val="00FE4F2F"/>
    <w:rsid w:val="00FE4FEC"/>
    <w:rsid w:val="00FE5455"/>
    <w:rsid w:val="00FE5988"/>
    <w:rsid w:val="00FE5C52"/>
    <w:rsid w:val="00FE6F3D"/>
    <w:rsid w:val="00FE7073"/>
    <w:rsid w:val="00FE7263"/>
    <w:rsid w:val="00FE7306"/>
    <w:rsid w:val="00FE7585"/>
    <w:rsid w:val="00FE7CE4"/>
    <w:rsid w:val="00FE7E65"/>
    <w:rsid w:val="00FF0320"/>
    <w:rsid w:val="00FF0A66"/>
    <w:rsid w:val="00FF0E92"/>
    <w:rsid w:val="00FF13B6"/>
    <w:rsid w:val="00FF20B2"/>
    <w:rsid w:val="00FF2C5D"/>
    <w:rsid w:val="00FF2ECD"/>
    <w:rsid w:val="00FF31AC"/>
    <w:rsid w:val="00FF322B"/>
    <w:rsid w:val="00FF3401"/>
    <w:rsid w:val="00FF4A67"/>
    <w:rsid w:val="00FF5422"/>
    <w:rsid w:val="00FF5673"/>
    <w:rsid w:val="00FF5736"/>
    <w:rsid w:val="00FF58FD"/>
    <w:rsid w:val="00FF5C45"/>
    <w:rsid w:val="00FF6469"/>
    <w:rsid w:val="00FF781A"/>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7A111D8C"/>
  <w15:docId w15:val="{873777FE-5BE2-48CF-BB33-5728B9FCC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403D"/>
  </w:style>
  <w:style w:type="paragraph" w:styleId="Heading1">
    <w:name w:val="heading 1"/>
    <w:basedOn w:val="H1"/>
    <w:next w:val="Normal"/>
    <w:link w:val="Heading1Char"/>
    <w:qFormat/>
    <w:rsid w:val="00563D0F"/>
    <w:pPr>
      <w:numPr>
        <w:numId w:val="1"/>
      </w:numPr>
      <w:outlineLvl w:val="0"/>
    </w:pPr>
  </w:style>
  <w:style w:type="paragraph" w:styleId="Heading2">
    <w:name w:val="heading 2"/>
    <w:basedOn w:val="H2"/>
    <w:next w:val="Normal"/>
    <w:link w:val="Heading2Char"/>
    <w:unhideWhenUsed/>
    <w:qFormat/>
    <w:rsid w:val="003353E4"/>
    <w:pPr>
      <w:keepNext/>
      <w:numPr>
        <w:ilvl w:val="1"/>
        <w:numId w:val="1"/>
      </w:numPr>
      <w:outlineLvl w:val="1"/>
    </w:pPr>
  </w:style>
  <w:style w:type="paragraph" w:styleId="Heading3">
    <w:name w:val="heading 3"/>
    <w:basedOn w:val="Heading2"/>
    <w:next w:val="Normal"/>
    <w:link w:val="Heading3Char"/>
    <w:unhideWhenUsed/>
    <w:qFormat/>
    <w:rsid w:val="003353E4"/>
    <w:pPr>
      <w:numPr>
        <w:ilvl w:val="2"/>
      </w:numPr>
      <w:outlineLvl w:val="2"/>
    </w:pPr>
    <w:rPr>
      <w:color w:val="486886"/>
      <w:sz w:val="22"/>
      <w:szCs w:val="22"/>
    </w:rPr>
  </w:style>
  <w:style w:type="paragraph" w:styleId="Heading4">
    <w:name w:val="heading 4"/>
    <w:basedOn w:val="Normal"/>
    <w:next w:val="Normal"/>
    <w:link w:val="Heading4Char"/>
    <w:uiPriority w:val="9"/>
    <w:unhideWhenUsed/>
    <w:qFormat/>
    <w:rsid w:val="005072A9"/>
    <w:pPr>
      <w:keepNext/>
      <w:keepLines/>
      <w:spacing w:before="200" w:after="0"/>
      <w:outlineLvl w:val="3"/>
    </w:pPr>
    <w:rPr>
      <w:rFonts w:asciiTheme="majorHAnsi" w:eastAsiaTheme="majorEastAsia" w:hAnsiTheme="majorHAnsi" w:cstheme="majorBidi"/>
      <w:b/>
      <w:bCs/>
      <w:i/>
      <w:iCs/>
      <w:color w:val="00A9CE" w:themeColor="accent1"/>
    </w:rPr>
  </w:style>
  <w:style w:type="paragraph" w:styleId="Heading5">
    <w:name w:val="heading 5"/>
    <w:basedOn w:val="Normal"/>
    <w:next w:val="Normal"/>
    <w:link w:val="Heading5Char"/>
    <w:uiPriority w:val="9"/>
    <w:unhideWhenUsed/>
    <w:qFormat/>
    <w:rsid w:val="00105F5B"/>
    <w:pPr>
      <w:keepNext/>
      <w:keepLines/>
      <w:spacing w:before="200" w:after="0"/>
      <w:ind w:left="1633" w:hanging="1009"/>
      <w:jc w:val="both"/>
      <w:outlineLvl w:val="4"/>
    </w:pPr>
    <w:rPr>
      <w:rFonts w:eastAsiaTheme="majorEastAsia" w:cstheme="majorBidi"/>
      <w:color w:val="005366" w:themeColor="accent1" w:themeShade="7F"/>
      <w:sz w:val="22"/>
      <w:lang w:val="en-AU"/>
    </w:rPr>
  </w:style>
  <w:style w:type="paragraph" w:styleId="Heading6">
    <w:name w:val="heading 6"/>
    <w:basedOn w:val="Normal"/>
    <w:next w:val="Normal"/>
    <w:link w:val="Heading6Char"/>
    <w:uiPriority w:val="9"/>
    <w:semiHidden/>
    <w:unhideWhenUsed/>
    <w:qFormat/>
    <w:rsid w:val="00105F5B"/>
    <w:pPr>
      <w:keepNext/>
      <w:keepLines/>
      <w:spacing w:before="200" w:after="0"/>
      <w:ind w:left="1152" w:hanging="1152"/>
      <w:jc w:val="both"/>
      <w:outlineLvl w:val="5"/>
    </w:pPr>
    <w:rPr>
      <w:rFonts w:asciiTheme="majorHAnsi" w:eastAsiaTheme="majorEastAsia" w:hAnsiTheme="majorHAnsi" w:cstheme="majorBidi"/>
      <w:i/>
      <w:iCs/>
      <w:color w:val="005366" w:themeColor="accent1" w:themeShade="7F"/>
      <w:lang w:val="en-AU"/>
    </w:rPr>
  </w:style>
  <w:style w:type="paragraph" w:styleId="Heading7">
    <w:name w:val="heading 7"/>
    <w:basedOn w:val="Normal"/>
    <w:next w:val="Normal"/>
    <w:link w:val="Heading7Char"/>
    <w:uiPriority w:val="9"/>
    <w:semiHidden/>
    <w:unhideWhenUsed/>
    <w:qFormat/>
    <w:rsid w:val="00105F5B"/>
    <w:pPr>
      <w:keepNext/>
      <w:keepLines/>
      <w:spacing w:before="200" w:after="0"/>
      <w:ind w:left="1296" w:hanging="1296"/>
      <w:jc w:val="both"/>
      <w:outlineLvl w:val="6"/>
    </w:pPr>
    <w:rPr>
      <w:rFonts w:asciiTheme="majorHAnsi" w:eastAsiaTheme="majorEastAsia" w:hAnsiTheme="majorHAnsi" w:cstheme="majorBidi"/>
      <w:i/>
      <w:iCs/>
      <w:color w:val="404040" w:themeColor="text1" w:themeTint="BF"/>
      <w:lang w:val="en-AU"/>
    </w:rPr>
  </w:style>
  <w:style w:type="paragraph" w:styleId="Heading8">
    <w:name w:val="heading 8"/>
    <w:basedOn w:val="Normal"/>
    <w:next w:val="Normal"/>
    <w:link w:val="Heading8Char"/>
    <w:uiPriority w:val="9"/>
    <w:semiHidden/>
    <w:unhideWhenUsed/>
    <w:qFormat/>
    <w:rsid w:val="00105F5B"/>
    <w:pPr>
      <w:keepNext/>
      <w:keepLines/>
      <w:spacing w:before="200" w:after="0"/>
      <w:ind w:left="1440" w:hanging="1440"/>
      <w:jc w:val="both"/>
      <w:outlineLvl w:val="7"/>
    </w:pPr>
    <w:rPr>
      <w:rFonts w:asciiTheme="majorHAnsi" w:eastAsiaTheme="majorEastAsia" w:hAnsiTheme="majorHAnsi" w:cstheme="majorBidi"/>
      <w:color w:val="404040" w:themeColor="text1" w:themeTint="BF"/>
      <w:sz w:val="20"/>
      <w:szCs w:val="20"/>
      <w:lang w:val="en-AU"/>
    </w:rPr>
  </w:style>
  <w:style w:type="paragraph" w:styleId="Heading9">
    <w:name w:val="heading 9"/>
    <w:basedOn w:val="Normal"/>
    <w:next w:val="Normal"/>
    <w:link w:val="Heading9Char"/>
    <w:uiPriority w:val="9"/>
    <w:semiHidden/>
    <w:unhideWhenUsed/>
    <w:qFormat/>
    <w:rsid w:val="00105F5B"/>
    <w:pPr>
      <w:keepNext/>
      <w:keepLines/>
      <w:spacing w:before="200" w:after="0"/>
      <w:ind w:left="1584" w:hanging="1584"/>
      <w:jc w:val="both"/>
      <w:outlineLvl w:val="8"/>
    </w:pPr>
    <w:rPr>
      <w:rFonts w:asciiTheme="majorHAnsi" w:eastAsiaTheme="majorEastAsia" w:hAnsiTheme="majorHAnsi" w:cstheme="majorBidi"/>
      <w:i/>
      <w:iCs/>
      <w:color w:val="404040" w:themeColor="text1" w:themeTint="BF"/>
      <w:sz w:val="20"/>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63D0F"/>
    <w:rPr>
      <w:rFonts w:ascii="Calibri-Bold" w:hAnsi="Calibri-Bold" w:cs="Calibri-Bold"/>
      <w:b/>
      <w:bCs/>
      <w:color w:val="00AEEF"/>
      <w:sz w:val="48"/>
      <w:szCs w:val="48"/>
      <w:lang w:val="en-GB"/>
    </w:rPr>
  </w:style>
  <w:style w:type="paragraph" w:customStyle="1" w:styleId="Head1Headingstyles">
    <w:name w:val="Head_1 (Heading styles)"/>
    <w:basedOn w:val="Normal"/>
    <w:uiPriority w:val="99"/>
    <w:rsid w:val="00DA4153"/>
    <w:pPr>
      <w:widowControl w:val="0"/>
      <w:suppressAutoHyphens/>
      <w:autoSpaceDE w:val="0"/>
      <w:autoSpaceDN w:val="0"/>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DA4153"/>
    <w:pPr>
      <w:widowControl w:val="0"/>
      <w:suppressAutoHyphens/>
      <w:autoSpaceDE w:val="0"/>
      <w:autoSpaceDN w:val="0"/>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link w:val="BodyTextstylesChar"/>
    <w:uiPriority w:val="99"/>
    <w:rsid w:val="00DA4153"/>
    <w:pPr>
      <w:widowControl w:val="0"/>
      <w:suppressAutoHyphens/>
      <w:autoSpaceDE w:val="0"/>
      <w:autoSpaceDN w:val="0"/>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rsid w:val="00DA4153"/>
    <w:pPr>
      <w:widowControl w:val="0"/>
      <w:suppressAutoHyphens/>
      <w:autoSpaceDE w:val="0"/>
      <w:autoSpaceDN w:val="0"/>
      <w:adjustRightInd w:val="0"/>
      <w:spacing w:before="170" w:after="57" w:line="288" w:lineRule="auto"/>
      <w:textAlignment w:val="center"/>
    </w:pPr>
    <w:rPr>
      <w:rFonts w:ascii="Calibri-Bold" w:hAnsi="Calibri-Bold" w:cs="Calibri-Bold"/>
      <w:b/>
      <w:bCs/>
      <w:color w:val="32D1FF"/>
      <w:sz w:val="22"/>
      <w:szCs w:val="22"/>
      <w:lang w:val="en-GB"/>
    </w:rPr>
  </w:style>
  <w:style w:type="paragraph" w:customStyle="1" w:styleId="BulletTextstyles">
    <w:name w:val="Bullet (Text styles)"/>
    <w:basedOn w:val="Normal"/>
    <w:uiPriority w:val="99"/>
    <w:rsid w:val="00DA4153"/>
    <w:pPr>
      <w:widowControl w:val="0"/>
      <w:suppressAutoHyphens/>
      <w:autoSpaceDE w:val="0"/>
      <w:autoSpaceDN w:val="0"/>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uiPriority w:val="99"/>
    <w:rsid w:val="00DA4153"/>
    <w:pPr>
      <w:widowControl w:val="0"/>
      <w:autoSpaceDE w:val="0"/>
      <w:autoSpaceDN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uiPriority w:val="99"/>
    <w:unhideWhenUsed/>
    <w:rsid w:val="00BB2E86"/>
    <w:pPr>
      <w:tabs>
        <w:tab w:val="center" w:pos="4320"/>
        <w:tab w:val="right" w:pos="8640"/>
      </w:tabs>
      <w:spacing w:after="0"/>
    </w:pPr>
  </w:style>
  <w:style w:type="paragraph" w:customStyle="1" w:styleId="H1">
    <w:name w:val="H1"/>
    <w:basedOn w:val="Head1Headingstyles"/>
    <w:qFormat/>
    <w:rsid w:val="007603CF"/>
    <w:rPr>
      <w:color w:val="00AEEF"/>
    </w:rPr>
  </w:style>
  <w:style w:type="paragraph" w:customStyle="1" w:styleId="H2">
    <w:name w:val="H2"/>
    <w:basedOn w:val="H1"/>
    <w:qFormat/>
    <w:rsid w:val="00B45818"/>
    <w:pPr>
      <w:spacing w:before="228" w:after="114"/>
    </w:pPr>
    <w:rPr>
      <w:sz w:val="30"/>
      <w:szCs w:val="30"/>
    </w:rPr>
  </w:style>
  <w:style w:type="paragraph" w:customStyle="1" w:styleId="H3">
    <w:name w:val="H3"/>
    <w:basedOn w:val="H2"/>
    <w:qFormat/>
    <w:rsid w:val="00B45818"/>
    <w:pPr>
      <w:spacing w:before="170" w:after="58"/>
    </w:pPr>
    <w:rPr>
      <w:color w:val="486886"/>
      <w:sz w:val="22"/>
    </w:rPr>
  </w:style>
  <w:style w:type="paragraph" w:customStyle="1" w:styleId="Body">
    <w:name w:val="Body"/>
    <w:basedOn w:val="BodyTextstyles"/>
    <w:link w:val="BodyChar"/>
    <w:qFormat/>
    <w:rsid w:val="008A55D0"/>
    <w:pPr>
      <w:widowControl/>
    </w:pPr>
  </w:style>
  <w:style w:type="paragraph" w:customStyle="1" w:styleId="Bullet">
    <w:name w:val="Bullet"/>
    <w:basedOn w:val="BulletTextstyles"/>
    <w:uiPriority w:val="99"/>
    <w:qFormat/>
    <w:rsid w:val="00DA4153"/>
  </w:style>
  <w:style w:type="character" w:customStyle="1" w:styleId="HeaderChar">
    <w:name w:val="Header Char"/>
    <w:basedOn w:val="DefaultParagraphFont"/>
    <w:link w:val="Header"/>
    <w:uiPriority w:val="99"/>
    <w:rsid w:val="00BB2E86"/>
  </w:style>
  <w:style w:type="paragraph" w:styleId="Footer">
    <w:name w:val="footer"/>
    <w:basedOn w:val="Normal"/>
    <w:link w:val="FooterChar"/>
    <w:uiPriority w:val="99"/>
    <w:unhideWhenUsed/>
    <w:qFormat/>
    <w:rsid w:val="00BB2E86"/>
    <w:pPr>
      <w:tabs>
        <w:tab w:val="center" w:pos="4320"/>
        <w:tab w:val="right" w:pos="8640"/>
      </w:tabs>
      <w:spacing w:after="0"/>
    </w:pPr>
  </w:style>
  <w:style w:type="character" w:customStyle="1" w:styleId="FooterChar">
    <w:name w:val="Footer Char"/>
    <w:basedOn w:val="DefaultParagraphFont"/>
    <w:link w:val="Footer"/>
    <w:uiPriority w:val="99"/>
    <w:rsid w:val="00BB2E86"/>
  </w:style>
  <w:style w:type="paragraph" w:styleId="BalloonText">
    <w:name w:val="Balloon Text"/>
    <w:basedOn w:val="Normal"/>
    <w:link w:val="BalloonTextChar"/>
    <w:uiPriority w:val="99"/>
    <w:semiHidden/>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2D80"/>
    <w:rPr>
      <w:rFonts w:ascii="Lucida Grande" w:hAnsi="Lucida Grande" w:cs="Lucida Grande"/>
      <w:sz w:val="18"/>
      <w:szCs w:val="18"/>
    </w:rPr>
  </w:style>
  <w:style w:type="character" w:styleId="PageNumber">
    <w:name w:val="page number"/>
    <w:basedOn w:val="DefaultParagraphFont"/>
    <w:uiPriority w:val="99"/>
    <w:semiHidden/>
    <w:unhideWhenUsed/>
    <w:rsid w:val="008031B5"/>
  </w:style>
  <w:style w:type="paragraph" w:customStyle="1" w:styleId="ImagecaptionTextstyles">
    <w:name w:val="Image caption (Text styles)"/>
    <w:basedOn w:val="Normal"/>
    <w:uiPriority w:val="99"/>
    <w:rsid w:val="00A3205C"/>
    <w:pPr>
      <w:widowControl w:val="0"/>
      <w:pBdr>
        <w:top w:val="single" w:sz="4" w:space="8" w:color="auto"/>
      </w:pBdr>
      <w:suppressAutoHyphens/>
      <w:autoSpaceDE w:val="0"/>
      <w:autoSpaceDN w:val="0"/>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Imagecaption">
    <w:name w:val="Image caption"/>
    <w:basedOn w:val="Body"/>
    <w:qFormat/>
    <w:rsid w:val="00ED693F"/>
    <w:pPr>
      <w:pBdr>
        <w:top w:val="single" w:sz="4" w:space="1" w:color="auto"/>
      </w:pBdr>
      <w:spacing w:line="240" w:lineRule="auto"/>
    </w:pPr>
    <w:rPr>
      <w:i/>
      <w:sz w:val="14"/>
      <w:szCs w:val="14"/>
    </w:rPr>
  </w:style>
  <w:style w:type="paragraph" w:styleId="TOCHeading">
    <w:name w:val="TOC Heading"/>
    <w:basedOn w:val="Heading1"/>
    <w:next w:val="Normal"/>
    <w:uiPriority w:val="39"/>
    <w:unhideWhenUsed/>
    <w:qFormat/>
    <w:rsid w:val="00E8296A"/>
    <w:pPr>
      <w:spacing w:line="276" w:lineRule="auto"/>
      <w:outlineLvl w:val="9"/>
    </w:pPr>
    <w:rPr>
      <w:color w:val="007E9A" w:themeColor="accent1" w:themeShade="BF"/>
      <w:sz w:val="28"/>
      <w:szCs w:val="28"/>
      <w:lang w:eastAsia="en-US"/>
    </w:rPr>
  </w:style>
  <w:style w:type="character" w:customStyle="1" w:styleId="Heading2Char">
    <w:name w:val="Heading 2 Char"/>
    <w:basedOn w:val="DefaultParagraphFont"/>
    <w:link w:val="Heading2"/>
    <w:rsid w:val="003353E4"/>
    <w:rPr>
      <w:rFonts w:ascii="Calibri-Bold" w:hAnsi="Calibri-Bold" w:cs="Calibri-Bold"/>
      <w:b/>
      <w:bCs/>
      <w:color w:val="00AEEF"/>
      <w:sz w:val="30"/>
      <w:szCs w:val="30"/>
      <w:lang w:val="en-GB"/>
    </w:rPr>
  </w:style>
  <w:style w:type="character" w:customStyle="1" w:styleId="Heading3Char">
    <w:name w:val="Heading 3 Char"/>
    <w:basedOn w:val="DefaultParagraphFont"/>
    <w:link w:val="Heading3"/>
    <w:rsid w:val="003353E4"/>
    <w:rPr>
      <w:rFonts w:ascii="Calibri-Bold" w:hAnsi="Calibri-Bold" w:cs="Calibri-Bold"/>
      <w:b/>
      <w:bCs/>
      <w:color w:val="486886"/>
      <w:sz w:val="22"/>
      <w:szCs w:val="22"/>
      <w:lang w:val="en-GB"/>
    </w:rPr>
  </w:style>
  <w:style w:type="paragraph" w:styleId="TOC1">
    <w:name w:val="toc 1"/>
    <w:basedOn w:val="Normal"/>
    <w:next w:val="Normal"/>
    <w:autoRedefine/>
    <w:uiPriority w:val="39"/>
    <w:unhideWhenUsed/>
    <w:qFormat/>
    <w:rsid w:val="006E0CA6"/>
    <w:pPr>
      <w:tabs>
        <w:tab w:val="right" w:leader="dot" w:pos="9054"/>
      </w:tabs>
      <w:spacing w:before="240" w:after="60"/>
      <w:ind w:left="1134" w:hanging="1134"/>
    </w:pPr>
    <w:rPr>
      <w:rFonts w:ascii="Calibri" w:hAnsi="Calibri"/>
      <w:b/>
      <w:sz w:val="18"/>
    </w:rPr>
  </w:style>
  <w:style w:type="paragraph" w:styleId="TOC2">
    <w:name w:val="toc 2"/>
    <w:basedOn w:val="Normal"/>
    <w:next w:val="Normal"/>
    <w:autoRedefine/>
    <w:uiPriority w:val="39"/>
    <w:unhideWhenUsed/>
    <w:qFormat/>
    <w:rsid w:val="007603CF"/>
    <w:pPr>
      <w:tabs>
        <w:tab w:val="right" w:leader="dot" w:pos="9054"/>
      </w:tabs>
      <w:spacing w:after="60"/>
      <w:ind w:left="1701" w:hanging="1701"/>
    </w:pPr>
    <w:rPr>
      <w:rFonts w:ascii="Calibri" w:hAnsi="Calibri"/>
      <w:sz w:val="18"/>
    </w:rPr>
  </w:style>
  <w:style w:type="paragraph" w:styleId="TOC3">
    <w:name w:val="toc 3"/>
    <w:basedOn w:val="Normal"/>
    <w:next w:val="Normal"/>
    <w:autoRedefine/>
    <w:uiPriority w:val="39"/>
    <w:unhideWhenUsed/>
    <w:qFormat/>
    <w:rsid w:val="00CD2125"/>
    <w:pPr>
      <w:spacing w:after="60"/>
      <w:ind w:left="2268" w:hanging="2268"/>
    </w:pPr>
    <w:rPr>
      <w:rFonts w:ascii="Calibri" w:hAnsi="Calibri"/>
      <w:sz w:val="18"/>
    </w:rPr>
  </w:style>
  <w:style w:type="character" w:styleId="Hyperlink">
    <w:name w:val="Hyperlink"/>
    <w:basedOn w:val="DefaultParagraphFont"/>
    <w:uiPriority w:val="99"/>
    <w:unhideWhenUsed/>
    <w:rsid w:val="00160E71"/>
    <w:rPr>
      <w:color w:val="41B6E6" w:themeColor="hyperlink"/>
      <w:u w:val="single"/>
    </w:rPr>
  </w:style>
  <w:style w:type="paragraph" w:styleId="Title">
    <w:name w:val="Title"/>
    <w:basedOn w:val="Normal"/>
    <w:next w:val="Normal"/>
    <w:link w:val="TitleChar"/>
    <w:uiPriority w:val="10"/>
    <w:qFormat/>
    <w:rsid w:val="003E3108"/>
    <w:pPr>
      <w:pBdr>
        <w:bottom w:val="single" w:sz="8" w:space="4" w:color="00A9CE" w:themeColor="accent1"/>
      </w:pBdr>
      <w:spacing w:after="300"/>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TitleChar">
    <w:name w:val="Title Char"/>
    <w:basedOn w:val="DefaultParagraphFont"/>
    <w:link w:val="Title"/>
    <w:uiPriority w:val="10"/>
    <w:rsid w:val="003E3108"/>
    <w:rPr>
      <w:rFonts w:asciiTheme="majorHAnsi" w:eastAsiaTheme="majorEastAsia" w:hAnsiTheme="majorHAnsi" w:cstheme="majorBidi"/>
      <w:color w:val="000000" w:themeColor="text2" w:themeShade="BF"/>
      <w:spacing w:val="5"/>
      <w:kern w:val="28"/>
      <w:sz w:val="52"/>
      <w:szCs w:val="52"/>
    </w:rPr>
  </w:style>
  <w:style w:type="table" w:styleId="TableGrid">
    <w:name w:val="Table Grid"/>
    <w:basedOn w:val="TableNormal"/>
    <w:uiPriority w:val="39"/>
    <w:rsid w:val="00764BD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B18DA"/>
    <w:rPr>
      <w:color w:val="808080"/>
    </w:rPr>
  </w:style>
  <w:style w:type="paragraph" w:customStyle="1" w:styleId="EndNoteBibliographyTitle">
    <w:name w:val="EndNote Bibliography Title"/>
    <w:basedOn w:val="Normal"/>
    <w:link w:val="EndNoteBibliographyTitleChar"/>
    <w:rsid w:val="00AA06BD"/>
    <w:pPr>
      <w:spacing w:after="0"/>
      <w:jc w:val="center"/>
    </w:pPr>
    <w:rPr>
      <w:rFonts w:ascii="Calibri" w:hAnsi="Calibri"/>
      <w:noProof/>
      <w:sz w:val="18"/>
    </w:rPr>
  </w:style>
  <w:style w:type="character" w:customStyle="1" w:styleId="BodyTextstylesChar">
    <w:name w:val="Body (Text styles) Char"/>
    <w:basedOn w:val="DefaultParagraphFont"/>
    <w:link w:val="BodyTextstyles"/>
    <w:uiPriority w:val="99"/>
    <w:rsid w:val="00AA06BD"/>
    <w:rPr>
      <w:rFonts w:ascii="Calibri" w:hAnsi="Calibri" w:cs="Calibri"/>
      <w:color w:val="000000"/>
      <w:sz w:val="18"/>
      <w:szCs w:val="18"/>
      <w:lang w:val="en-GB"/>
    </w:rPr>
  </w:style>
  <w:style w:type="character" w:customStyle="1" w:styleId="BodyChar">
    <w:name w:val="Body Char"/>
    <w:basedOn w:val="BodyTextstylesChar"/>
    <w:link w:val="Body"/>
    <w:rsid w:val="008A55D0"/>
    <w:rPr>
      <w:rFonts w:ascii="Calibri" w:hAnsi="Calibri" w:cs="Calibri"/>
      <w:color w:val="000000"/>
      <w:sz w:val="18"/>
      <w:szCs w:val="18"/>
      <w:lang w:val="en-GB"/>
    </w:rPr>
  </w:style>
  <w:style w:type="character" w:customStyle="1" w:styleId="EndNoteBibliographyTitleChar">
    <w:name w:val="EndNote Bibliography Title Char"/>
    <w:basedOn w:val="BodyChar"/>
    <w:link w:val="EndNoteBibliographyTitle"/>
    <w:rsid w:val="00AA06BD"/>
    <w:rPr>
      <w:rFonts w:ascii="Calibri" w:hAnsi="Calibri" w:cs="Calibri"/>
      <w:noProof/>
      <w:color w:val="000000"/>
      <w:sz w:val="18"/>
      <w:szCs w:val="18"/>
      <w:lang w:val="en-GB"/>
    </w:rPr>
  </w:style>
  <w:style w:type="paragraph" w:customStyle="1" w:styleId="EndNoteBibliography">
    <w:name w:val="EndNote Bibliography"/>
    <w:basedOn w:val="Normal"/>
    <w:link w:val="EndNoteBibliographyChar"/>
    <w:rsid w:val="00AA06BD"/>
    <w:rPr>
      <w:rFonts w:ascii="Calibri" w:hAnsi="Calibri"/>
      <w:noProof/>
      <w:sz w:val="18"/>
    </w:rPr>
  </w:style>
  <w:style w:type="character" w:customStyle="1" w:styleId="EndNoteBibliographyChar">
    <w:name w:val="EndNote Bibliography Char"/>
    <w:basedOn w:val="BodyChar"/>
    <w:link w:val="EndNoteBibliography"/>
    <w:rsid w:val="00AA06BD"/>
    <w:rPr>
      <w:rFonts w:ascii="Calibri" w:hAnsi="Calibri" w:cs="Calibri"/>
      <w:noProof/>
      <w:color w:val="000000"/>
      <w:sz w:val="18"/>
      <w:szCs w:val="18"/>
      <w:lang w:val="en-GB"/>
    </w:rPr>
  </w:style>
  <w:style w:type="table" w:customStyle="1" w:styleId="LightList1">
    <w:name w:val="Light List1"/>
    <w:basedOn w:val="TableNormal"/>
    <w:uiPriority w:val="61"/>
    <w:rsid w:val="00A12380"/>
    <w:pPr>
      <w:spacing w:after="0"/>
    </w:pPr>
    <w:rPr>
      <w:rFonts w:eastAsia="Calibri"/>
      <w:sz w:val="22"/>
      <w:szCs w:val="22"/>
      <w:lang w:val="en-AU"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CommentReference">
    <w:name w:val="annotation reference"/>
    <w:basedOn w:val="DefaultParagraphFont"/>
    <w:uiPriority w:val="99"/>
    <w:unhideWhenUsed/>
    <w:rsid w:val="00EC0E09"/>
    <w:rPr>
      <w:sz w:val="16"/>
      <w:szCs w:val="16"/>
    </w:rPr>
  </w:style>
  <w:style w:type="paragraph" w:styleId="CommentText">
    <w:name w:val="annotation text"/>
    <w:aliases w:val="CT-DO NOT USE"/>
    <w:basedOn w:val="Normal"/>
    <w:link w:val="CommentTextChar"/>
    <w:uiPriority w:val="99"/>
    <w:unhideWhenUsed/>
    <w:rsid w:val="00EC0E09"/>
    <w:rPr>
      <w:sz w:val="20"/>
      <w:szCs w:val="20"/>
    </w:rPr>
  </w:style>
  <w:style w:type="character" w:customStyle="1" w:styleId="CommentTextChar">
    <w:name w:val="Comment Text Char"/>
    <w:aliases w:val="CT-DO NOT USE Char"/>
    <w:basedOn w:val="DefaultParagraphFont"/>
    <w:link w:val="CommentText"/>
    <w:uiPriority w:val="99"/>
    <w:rsid w:val="00EC0E09"/>
    <w:rPr>
      <w:sz w:val="20"/>
      <w:szCs w:val="20"/>
    </w:rPr>
  </w:style>
  <w:style w:type="paragraph" w:styleId="CommentSubject">
    <w:name w:val="annotation subject"/>
    <w:basedOn w:val="CommentText"/>
    <w:next w:val="CommentText"/>
    <w:link w:val="CommentSubjectChar"/>
    <w:uiPriority w:val="99"/>
    <w:semiHidden/>
    <w:unhideWhenUsed/>
    <w:rsid w:val="00EC0E09"/>
    <w:rPr>
      <w:b/>
      <w:bCs/>
    </w:rPr>
  </w:style>
  <w:style w:type="character" w:customStyle="1" w:styleId="CommentSubjectChar">
    <w:name w:val="Comment Subject Char"/>
    <w:basedOn w:val="CommentTextChar"/>
    <w:link w:val="CommentSubject"/>
    <w:uiPriority w:val="99"/>
    <w:semiHidden/>
    <w:rsid w:val="00EC0E09"/>
    <w:rPr>
      <w:b/>
      <w:bCs/>
      <w:sz w:val="20"/>
      <w:szCs w:val="20"/>
    </w:rPr>
  </w:style>
  <w:style w:type="paragraph" w:customStyle="1" w:styleId="OWSNormal11pt">
    <w:name w:val="OWS Normal 11pt"/>
    <w:basedOn w:val="Normal"/>
    <w:link w:val="OWSNormal11ptChar"/>
    <w:qFormat/>
    <w:rsid w:val="00D65469"/>
    <w:pPr>
      <w:autoSpaceDE w:val="0"/>
      <w:autoSpaceDN w:val="0"/>
      <w:spacing w:before="200"/>
    </w:pPr>
    <w:rPr>
      <w:rFonts w:ascii="Arial" w:hAnsi="Arial" w:cs="Arial"/>
      <w:color w:val="000000"/>
      <w:sz w:val="22"/>
      <w:szCs w:val="22"/>
      <w:lang w:val="en-AU"/>
    </w:rPr>
  </w:style>
  <w:style w:type="character" w:customStyle="1" w:styleId="OWSNormal11ptChar">
    <w:name w:val="OWS Normal 11pt Char"/>
    <w:basedOn w:val="DefaultParagraphFont"/>
    <w:link w:val="OWSNormal11pt"/>
    <w:rsid w:val="00D65469"/>
    <w:rPr>
      <w:rFonts w:ascii="Arial" w:hAnsi="Arial" w:cs="Arial"/>
      <w:color w:val="000000"/>
      <w:sz w:val="22"/>
      <w:szCs w:val="22"/>
      <w:lang w:val="en-AU"/>
    </w:rPr>
  </w:style>
  <w:style w:type="paragraph" w:customStyle="1" w:styleId="OWStablecaption">
    <w:name w:val="OWS table caption"/>
    <w:basedOn w:val="Normal"/>
    <w:link w:val="OWStablecaptionChar"/>
    <w:qFormat/>
    <w:rsid w:val="00D65469"/>
    <w:pPr>
      <w:keepNext/>
      <w:keepLines/>
      <w:autoSpaceDE w:val="0"/>
      <w:autoSpaceDN w:val="0"/>
      <w:spacing w:before="360" w:after="120"/>
    </w:pPr>
    <w:rPr>
      <w:rFonts w:ascii="Arial" w:eastAsia="Times New Roman" w:hAnsi="Arial" w:cs="Times New Roman"/>
      <w:sz w:val="20"/>
      <w:szCs w:val="20"/>
      <w:lang w:val="en-GB" w:eastAsia="en-US"/>
    </w:rPr>
  </w:style>
  <w:style w:type="character" w:customStyle="1" w:styleId="OWStablecaptionChar">
    <w:name w:val="OWS table caption Char"/>
    <w:basedOn w:val="DefaultParagraphFont"/>
    <w:link w:val="OWStablecaption"/>
    <w:rsid w:val="00D65469"/>
    <w:rPr>
      <w:rFonts w:ascii="Arial" w:eastAsia="Times New Roman" w:hAnsi="Arial" w:cs="Times New Roman"/>
      <w:sz w:val="20"/>
      <w:szCs w:val="20"/>
      <w:lang w:val="en-GB" w:eastAsia="en-US"/>
    </w:rPr>
  </w:style>
  <w:style w:type="paragraph" w:customStyle="1" w:styleId="OWSnumberedlistL1">
    <w:name w:val="OWS numbered list L1"/>
    <w:basedOn w:val="Normal"/>
    <w:link w:val="OWSnumberedlistL1Char"/>
    <w:qFormat/>
    <w:rsid w:val="00D65469"/>
    <w:pPr>
      <w:numPr>
        <w:numId w:val="2"/>
      </w:numPr>
      <w:autoSpaceDE w:val="0"/>
      <w:autoSpaceDN w:val="0"/>
      <w:spacing w:after="113" w:line="280" w:lineRule="atLeast"/>
    </w:pPr>
    <w:rPr>
      <w:rFonts w:ascii="Arial" w:hAnsi="Arial" w:cs="Arial"/>
      <w:sz w:val="22"/>
      <w:szCs w:val="22"/>
      <w:lang w:val="en-AU"/>
    </w:rPr>
  </w:style>
  <w:style w:type="character" w:customStyle="1" w:styleId="OWSnumberedlistL1Char">
    <w:name w:val="OWS numbered list L1 Char"/>
    <w:basedOn w:val="DefaultParagraphFont"/>
    <w:link w:val="OWSnumberedlistL1"/>
    <w:rsid w:val="00D65469"/>
    <w:rPr>
      <w:rFonts w:ascii="Arial" w:hAnsi="Arial" w:cs="Arial"/>
      <w:sz w:val="22"/>
      <w:szCs w:val="22"/>
      <w:lang w:val="en-AU"/>
    </w:rPr>
  </w:style>
  <w:style w:type="paragraph" w:customStyle="1" w:styleId="OWSpre-listtext">
    <w:name w:val="OWS pre-list text"/>
    <w:basedOn w:val="Body"/>
    <w:link w:val="OWSpre-listtextChar"/>
    <w:qFormat/>
    <w:rsid w:val="00D65469"/>
    <w:pPr>
      <w:suppressAutoHyphens w:val="0"/>
      <w:adjustRightInd/>
      <w:spacing w:after="120" w:line="240" w:lineRule="auto"/>
      <w:textAlignment w:val="auto"/>
    </w:pPr>
    <w:rPr>
      <w:rFonts w:ascii="Arial" w:hAnsi="Arial" w:cs="Arial"/>
      <w:color w:val="auto"/>
      <w:sz w:val="22"/>
      <w:szCs w:val="22"/>
      <w:lang w:val="en-AU"/>
    </w:rPr>
  </w:style>
  <w:style w:type="character" w:customStyle="1" w:styleId="OWSpre-listtextChar">
    <w:name w:val="OWS pre-list text Char"/>
    <w:basedOn w:val="BodyChar"/>
    <w:link w:val="OWSpre-listtext"/>
    <w:rsid w:val="00D65469"/>
    <w:rPr>
      <w:rFonts w:ascii="Arial" w:hAnsi="Arial" w:cs="Arial"/>
      <w:color w:val="000000"/>
      <w:sz w:val="22"/>
      <w:szCs w:val="22"/>
      <w:lang w:val="en-AU"/>
    </w:rPr>
  </w:style>
  <w:style w:type="paragraph" w:customStyle="1" w:styleId="OWSfigurecaption">
    <w:name w:val="OWS figure caption"/>
    <w:basedOn w:val="OWStablecaption"/>
    <w:link w:val="OWSfigurecaptionChar"/>
    <w:qFormat/>
    <w:rsid w:val="00D65469"/>
    <w:pPr>
      <w:spacing w:before="120" w:after="360"/>
      <w:textboxTightWrap w:val="allLines"/>
    </w:pPr>
  </w:style>
  <w:style w:type="character" w:customStyle="1" w:styleId="OWSfigurecaptionChar">
    <w:name w:val="OWS figure caption Char"/>
    <w:basedOn w:val="OWStablecaptionChar"/>
    <w:link w:val="OWSfigurecaption"/>
    <w:rsid w:val="00D65469"/>
    <w:rPr>
      <w:rFonts w:ascii="Arial" w:eastAsia="Times New Roman" w:hAnsi="Arial" w:cs="Times New Roman"/>
      <w:sz w:val="20"/>
      <w:szCs w:val="20"/>
      <w:lang w:val="en-GB" w:eastAsia="en-US"/>
    </w:rPr>
  </w:style>
  <w:style w:type="paragraph" w:customStyle="1" w:styleId="OWSnumberedlistL2">
    <w:name w:val="OWS numbered list L2"/>
    <w:basedOn w:val="OWSnumberedlistL1"/>
    <w:rsid w:val="00D65469"/>
    <w:pPr>
      <w:numPr>
        <w:ilvl w:val="1"/>
      </w:numPr>
      <w:tabs>
        <w:tab w:val="num" w:pos="360"/>
      </w:tabs>
      <w:ind w:left="993" w:hanging="426"/>
    </w:pPr>
  </w:style>
  <w:style w:type="paragraph" w:customStyle="1" w:styleId="OWSBelowFigureText9pt">
    <w:name w:val="OWS Below Figure Text 9pt"/>
    <w:basedOn w:val="Normal"/>
    <w:link w:val="OWSBelowFigureText9ptChar"/>
    <w:uiPriority w:val="99"/>
    <w:qFormat/>
    <w:rsid w:val="00D65469"/>
    <w:pPr>
      <w:keepNext/>
      <w:autoSpaceDE w:val="0"/>
      <w:autoSpaceDN w:val="0"/>
      <w:spacing w:before="120" w:after="240"/>
    </w:pPr>
    <w:rPr>
      <w:rFonts w:ascii="Arial" w:hAnsi="Arial" w:cs="Arial"/>
      <w:i/>
      <w:sz w:val="18"/>
      <w:szCs w:val="18"/>
    </w:rPr>
  </w:style>
  <w:style w:type="character" w:customStyle="1" w:styleId="OWSBelowFigureText9ptChar">
    <w:name w:val="OWS Below Figure Text 9pt Char"/>
    <w:basedOn w:val="DefaultParagraphFont"/>
    <w:link w:val="OWSBelowFigureText9pt"/>
    <w:uiPriority w:val="99"/>
    <w:rsid w:val="00D65469"/>
    <w:rPr>
      <w:rFonts w:ascii="Arial" w:hAnsi="Arial" w:cs="Arial"/>
      <w:i/>
      <w:sz w:val="18"/>
      <w:szCs w:val="18"/>
    </w:rPr>
  </w:style>
  <w:style w:type="paragraph" w:customStyle="1" w:styleId="OWSReferencelist">
    <w:name w:val="OWS Reference list"/>
    <w:basedOn w:val="Normal"/>
    <w:qFormat/>
    <w:rsid w:val="00C462F8"/>
    <w:pPr>
      <w:autoSpaceDE w:val="0"/>
      <w:autoSpaceDN w:val="0"/>
      <w:spacing w:after="120"/>
      <w:ind w:left="720" w:hanging="720"/>
    </w:pPr>
    <w:rPr>
      <w:rFonts w:ascii="Arial" w:hAnsi="Arial" w:cs="Arial"/>
      <w:sz w:val="20"/>
      <w:szCs w:val="20"/>
      <w:lang w:val="en-AU"/>
    </w:rPr>
  </w:style>
  <w:style w:type="paragraph" w:customStyle="1" w:styleId="OWSbulletL1">
    <w:name w:val="OWS bullet L1"/>
    <w:basedOn w:val="Bullet"/>
    <w:link w:val="OWSbulletL1Char"/>
    <w:qFormat/>
    <w:rsid w:val="00780CA4"/>
    <w:pPr>
      <w:widowControl/>
      <w:tabs>
        <w:tab w:val="num" w:pos="426"/>
      </w:tabs>
      <w:suppressAutoHyphens w:val="0"/>
      <w:adjustRightInd/>
      <w:ind w:left="426" w:hanging="426"/>
      <w:textAlignment w:val="auto"/>
    </w:pPr>
    <w:rPr>
      <w:rFonts w:ascii="Arial" w:hAnsi="Arial" w:cs="Arial"/>
      <w:color w:val="auto"/>
      <w:sz w:val="22"/>
      <w:szCs w:val="22"/>
      <w:lang w:val="en-AU"/>
    </w:rPr>
  </w:style>
  <w:style w:type="character" w:customStyle="1" w:styleId="OWSbulletL1Char">
    <w:name w:val="OWS bullet L1 Char"/>
    <w:basedOn w:val="DefaultParagraphFont"/>
    <w:link w:val="OWSbulletL1"/>
    <w:rsid w:val="00780CA4"/>
    <w:rPr>
      <w:rFonts w:ascii="Arial" w:hAnsi="Arial" w:cs="Arial"/>
      <w:sz w:val="22"/>
      <w:szCs w:val="22"/>
      <w:lang w:val="en-AU"/>
    </w:rPr>
  </w:style>
  <w:style w:type="paragraph" w:customStyle="1" w:styleId="OWSbulletL1final">
    <w:name w:val="OWS bullet L1 final"/>
    <w:basedOn w:val="OWSbulletL1"/>
    <w:link w:val="OWSbulletL1finalChar"/>
    <w:qFormat/>
    <w:rsid w:val="00780CA4"/>
    <w:pPr>
      <w:spacing w:after="200"/>
    </w:pPr>
  </w:style>
  <w:style w:type="character" w:customStyle="1" w:styleId="OWSbulletL1finalChar">
    <w:name w:val="OWS bullet L1 final Char"/>
    <w:basedOn w:val="OWSbulletL1Char"/>
    <w:link w:val="OWSbulletL1final"/>
    <w:rsid w:val="00780CA4"/>
    <w:rPr>
      <w:rFonts w:ascii="Arial" w:hAnsi="Arial" w:cs="Arial"/>
      <w:sz w:val="22"/>
      <w:szCs w:val="22"/>
      <w:lang w:val="en-AU"/>
    </w:rPr>
  </w:style>
  <w:style w:type="paragraph" w:styleId="NormalWeb">
    <w:name w:val="Normal (Web)"/>
    <w:basedOn w:val="Normal"/>
    <w:uiPriority w:val="99"/>
    <w:unhideWhenUsed/>
    <w:rsid w:val="00EB2BF5"/>
    <w:pPr>
      <w:spacing w:before="100" w:beforeAutospacing="1" w:after="100" w:afterAutospacing="1"/>
    </w:pPr>
    <w:rPr>
      <w:rFonts w:ascii="Times New Roman" w:eastAsia="Times New Roman" w:hAnsi="Times New Roman" w:cs="Times New Roman"/>
      <w:lang w:val="en-AU" w:eastAsia="zh-CN"/>
    </w:rPr>
  </w:style>
  <w:style w:type="paragraph" w:customStyle="1" w:styleId="SP2254068">
    <w:name w:val="SP.2.254068"/>
    <w:basedOn w:val="Normal"/>
    <w:next w:val="Normal"/>
    <w:uiPriority w:val="99"/>
    <w:rsid w:val="00C32977"/>
    <w:pPr>
      <w:autoSpaceDE w:val="0"/>
      <w:autoSpaceDN w:val="0"/>
      <w:adjustRightInd w:val="0"/>
      <w:spacing w:after="0"/>
    </w:pPr>
    <w:rPr>
      <w:rFonts w:ascii="NIIOG G+ Univers" w:hAnsi="NIIOG G+ Univers"/>
      <w:lang w:val="en-AU"/>
    </w:rPr>
  </w:style>
  <w:style w:type="paragraph" w:customStyle="1" w:styleId="SP2254065">
    <w:name w:val="SP.2.254065"/>
    <w:basedOn w:val="Normal"/>
    <w:next w:val="Normal"/>
    <w:uiPriority w:val="99"/>
    <w:rsid w:val="00C32977"/>
    <w:pPr>
      <w:autoSpaceDE w:val="0"/>
      <w:autoSpaceDN w:val="0"/>
      <w:adjustRightInd w:val="0"/>
      <w:spacing w:after="0"/>
    </w:pPr>
    <w:rPr>
      <w:rFonts w:ascii="NIIOG G+ Univers" w:hAnsi="NIIOG G+ Univers"/>
      <w:lang w:val="en-AU"/>
    </w:rPr>
  </w:style>
  <w:style w:type="character" w:customStyle="1" w:styleId="SC2148">
    <w:name w:val="SC.2.148"/>
    <w:uiPriority w:val="99"/>
    <w:rsid w:val="00C32977"/>
    <w:rPr>
      <w:rFonts w:cs="NIIOG G+ Univers"/>
      <w:color w:val="000000"/>
      <w:sz w:val="18"/>
      <w:szCs w:val="18"/>
    </w:rPr>
  </w:style>
  <w:style w:type="paragraph" w:styleId="Revision">
    <w:name w:val="Revision"/>
    <w:hidden/>
    <w:uiPriority w:val="99"/>
    <w:semiHidden/>
    <w:rsid w:val="0038569E"/>
    <w:pPr>
      <w:spacing w:after="0"/>
    </w:pPr>
  </w:style>
  <w:style w:type="paragraph" w:styleId="Caption">
    <w:name w:val="caption"/>
    <w:aliases w:val="Figure Caption, Char"/>
    <w:basedOn w:val="Normal"/>
    <w:next w:val="Normal"/>
    <w:link w:val="CaptionChar"/>
    <w:uiPriority w:val="35"/>
    <w:unhideWhenUsed/>
    <w:qFormat/>
    <w:rsid w:val="00CB1BA4"/>
    <w:rPr>
      <w:b/>
      <w:bCs/>
      <w:color w:val="00A9CE" w:themeColor="accent1"/>
      <w:sz w:val="18"/>
      <w:szCs w:val="18"/>
    </w:rPr>
  </w:style>
  <w:style w:type="paragraph" w:customStyle="1" w:styleId="Default">
    <w:name w:val="Default"/>
    <w:rsid w:val="0051308C"/>
    <w:pPr>
      <w:autoSpaceDE w:val="0"/>
      <w:autoSpaceDN w:val="0"/>
      <w:adjustRightInd w:val="0"/>
      <w:spacing w:after="0"/>
    </w:pPr>
    <w:rPr>
      <w:rFonts w:ascii="Arial" w:hAnsi="Arial" w:cs="Arial"/>
      <w:color w:val="000000"/>
      <w:lang w:val="en-AU"/>
    </w:rPr>
  </w:style>
  <w:style w:type="paragraph" w:styleId="FootnoteText">
    <w:name w:val="footnote text"/>
    <w:basedOn w:val="Normal"/>
    <w:link w:val="FootnoteTextChar"/>
    <w:unhideWhenUsed/>
    <w:rsid w:val="00822A4E"/>
    <w:pPr>
      <w:spacing w:after="0"/>
    </w:pPr>
    <w:rPr>
      <w:sz w:val="20"/>
      <w:szCs w:val="20"/>
    </w:rPr>
  </w:style>
  <w:style w:type="character" w:customStyle="1" w:styleId="FootnoteTextChar">
    <w:name w:val="Footnote Text Char"/>
    <w:basedOn w:val="DefaultParagraphFont"/>
    <w:link w:val="FootnoteText"/>
    <w:uiPriority w:val="99"/>
    <w:rsid w:val="00822A4E"/>
    <w:rPr>
      <w:sz w:val="20"/>
      <w:szCs w:val="20"/>
    </w:rPr>
  </w:style>
  <w:style w:type="character" w:styleId="FootnoteReference">
    <w:name w:val="footnote reference"/>
    <w:basedOn w:val="DefaultParagraphFont"/>
    <w:unhideWhenUsed/>
    <w:rsid w:val="00822A4E"/>
    <w:rPr>
      <w:vertAlign w:val="superscript"/>
    </w:rPr>
  </w:style>
  <w:style w:type="paragraph" w:styleId="TableofFigures">
    <w:name w:val="table of figures"/>
    <w:basedOn w:val="Normal"/>
    <w:next w:val="Normal"/>
    <w:uiPriority w:val="99"/>
    <w:unhideWhenUsed/>
    <w:rsid w:val="00812784"/>
    <w:pPr>
      <w:spacing w:after="120"/>
    </w:pPr>
    <w:rPr>
      <w:rFonts w:ascii="Calibri" w:hAnsi="Calibri"/>
      <w:sz w:val="18"/>
    </w:rPr>
  </w:style>
  <w:style w:type="table" w:customStyle="1" w:styleId="LightList11">
    <w:name w:val="Light List11"/>
    <w:basedOn w:val="TableNormal"/>
    <w:uiPriority w:val="61"/>
    <w:rsid w:val="0032201E"/>
    <w:pPr>
      <w:spacing w:after="0"/>
    </w:pPr>
    <w:rPr>
      <w:rFonts w:eastAsia="Calibri"/>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Emphasis">
    <w:name w:val="Emphasis"/>
    <w:basedOn w:val="DefaultParagraphFont"/>
    <w:uiPriority w:val="20"/>
    <w:qFormat/>
    <w:rsid w:val="0032201E"/>
    <w:rPr>
      <w:b/>
      <w:bCs/>
      <w:i w:val="0"/>
      <w:iCs w:val="0"/>
    </w:rPr>
  </w:style>
  <w:style w:type="character" w:customStyle="1" w:styleId="st">
    <w:name w:val="st"/>
    <w:basedOn w:val="DefaultParagraphFont"/>
    <w:rsid w:val="0032201E"/>
  </w:style>
  <w:style w:type="character" w:customStyle="1" w:styleId="Heading4Char">
    <w:name w:val="Heading 4 Char"/>
    <w:basedOn w:val="DefaultParagraphFont"/>
    <w:link w:val="Heading4"/>
    <w:uiPriority w:val="9"/>
    <w:rsid w:val="005072A9"/>
    <w:rPr>
      <w:rFonts w:asciiTheme="majorHAnsi" w:eastAsiaTheme="majorEastAsia" w:hAnsiTheme="majorHAnsi" w:cstheme="majorBidi"/>
      <w:b/>
      <w:bCs/>
      <w:i/>
      <w:iCs/>
      <w:color w:val="00A9CE" w:themeColor="accent1"/>
    </w:rPr>
  </w:style>
  <w:style w:type="paragraph" w:customStyle="1" w:styleId="BRnormal10pt-CopyrightPage">
    <w:name w:val="BR normal 10pt - Copyright Page"/>
    <w:basedOn w:val="Normal"/>
    <w:link w:val="BRnormal10pt-CopyrightPageChar"/>
    <w:qFormat/>
    <w:rsid w:val="00365806"/>
    <w:pPr>
      <w:autoSpaceDE w:val="0"/>
      <w:autoSpaceDN w:val="0"/>
    </w:pPr>
    <w:rPr>
      <w:rFonts w:ascii="Arial" w:eastAsiaTheme="minorHAnsi" w:hAnsi="Arial" w:cs="Arial"/>
      <w:sz w:val="20"/>
      <w:szCs w:val="20"/>
      <w:lang w:val="en-AU" w:eastAsia="en-AU"/>
    </w:rPr>
  </w:style>
  <w:style w:type="character" w:customStyle="1" w:styleId="BRnormal10pt-CopyrightPageChar">
    <w:name w:val="BR normal 10pt - Copyright Page Char"/>
    <w:basedOn w:val="DefaultParagraphFont"/>
    <w:link w:val="BRnormal10pt-CopyrightPage"/>
    <w:rsid w:val="00365806"/>
    <w:rPr>
      <w:rFonts w:ascii="Arial" w:eastAsiaTheme="minorHAnsi" w:hAnsi="Arial" w:cs="Arial"/>
      <w:sz w:val="20"/>
      <w:szCs w:val="20"/>
      <w:lang w:val="en-AU" w:eastAsia="en-AU"/>
    </w:rPr>
  </w:style>
  <w:style w:type="paragraph" w:customStyle="1" w:styleId="SummaryH2">
    <w:name w:val="Summary H2"/>
    <w:basedOn w:val="Normal"/>
    <w:link w:val="SummaryH2Char"/>
    <w:qFormat/>
    <w:rsid w:val="00365806"/>
    <w:pPr>
      <w:autoSpaceDE w:val="0"/>
      <w:autoSpaceDN w:val="0"/>
      <w:spacing w:after="60"/>
    </w:pPr>
    <w:rPr>
      <w:rFonts w:ascii="Arial" w:eastAsiaTheme="minorHAnsi" w:hAnsi="Arial" w:cs="Arial"/>
      <w:b/>
      <w:color w:val="000000" w:themeColor="text2"/>
      <w:sz w:val="30"/>
      <w:szCs w:val="30"/>
      <w:lang w:val="en-AU" w:eastAsia="en-AU"/>
    </w:rPr>
  </w:style>
  <w:style w:type="character" w:customStyle="1" w:styleId="SummaryH2Char">
    <w:name w:val="Summary H2 Char"/>
    <w:basedOn w:val="DefaultParagraphFont"/>
    <w:link w:val="SummaryH2"/>
    <w:rsid w:val="00365806"/>
    <w:rPr>
      <w:rFonts w:ascii="Arial" w:eastAsiaTheme="minorHAnsi" w:hAnsi="Arial" w:cs="Arial"/>
      <w:b/>
      <w:color w:val="000000" w:themeColor="text2"/>
      <w:sz w:val="30"/>
      <w:szCs w:val="30"/>
      <w:lang w:val="en-AU" w:eastAsia="en-AU"/>
    </w:rPr>
  </w:style>
  <w:style w:type="paragraph" w:customStyle="1" w:styleId="BR-normal-CopyrightPage">
    <w:name w:val="BR - normal - Copyright Page"/>
    <w:basedOn w:val="Normal"/>
    <w:link w:val="BR-normal-CopyrightPageChar"/>
    <w:rsid w:val="00365806"/>
    <w:pPr>
      <w:autoSpaceDE w:val="0"/>
      <w:autoSpaceDN w:val="0"/>
    </w:pPr>
    <w:rPr>
      <w:rFonts w:ascii="Arial" w:eastAsiaTheme="minorHAnsi" w:hAnsi="Arial" w:cs="Arial"/>
      <w:color w:val="000000"/>
      <w:sz w:val="20"/>
      <w:szCs w:val="20"/>
      <w:lang w:val="en-AU" w:eastAsia="en-AU"/>
    </w:rPr>
  </w:style>
  <w:style w:type="character" w:customStyle="1" w:styleId="BR-normal-CopyrightPageChar">
    <w:name w:val="BR - normal - Copyright Page Char"/>
    <w:basedOn w:val="DefaultParagraphFont"/>
    <w:link w:val="BR-normal-CopyrightPage"/>
    <w:rsid w:val="00365806"/>
    <w:rPr>
      <w:rFonts w:ascii="Arial" w:eastAsiaTheme="minorHAnsi" w:hAnsi="Arial" w:cs="Arial"/>
      <w:color w:val="000000"/>
      <w:sz w:val="20"/>
      <w:szCs w:val="20"/>
      <w:lang w:val="en-AU" w:eastAsia="en-AU"/>
    </w:rPr>
  </w:style>
  <w:style w:type="character" w:styleId="FollowedHyperlink">
    <w:name w:val="FollowedHyperlink"/>
    <w:basedOn w:val="DefaultParagraphFont"/>
    <w:uiPriority w:val="99"/>
    <w:semiHidden/>
    <w:unhideWhenUsed/>
    <w:rsid w:val="004B2241"/>
    <w:rPr>
      <w:color w:val="004B87" w:themeColor="followedHyperlink"/>
      <w:u w:val="single"/>
    </w:rPr>
  </w:style>
  <w:style w:type="table" w:customStyle="1" w:styleId="LightList12">
    <w:name w:val="Light List12"/>
    <w:basedOn w:val="TableNormal"/>
    <w:uiPriority w:val="61"/>
    <w:rsid w:val="00054894"/>
    <w:pPr>
      <w:spacing w:after="0"/>
    </w:pPr>
    <w:rPr>
      <w:rFonts w:eastAsia="Calibri"/>
      <w:sz w:val="22"/>
      <w:szCs w:val="22"/>
      <w:lang w:val="en-AU"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overTitle">
    <w:name w:val="CoverTitle"/>
    <w:next w:val="CoverSubtitle"/>
    <w:uiPriority w:val="12"/>
    <w:qFormat/>
    <w:rsid w:val="00144B4F"/>
    <w:pPr>
      <w:spacing w:after="170" w:line="216" w:lineRule="auto"/>
    </w:pPr>
    <w:rPr>
      <w:rFonts w:ascii="Calibri" w:eastAsiaTheme="majorEastAsia" w:hAnsi="Calibri" w:cstheme="majorBidi"/>
      <w:b/>
      <w:color w:val="00313C" w:themeColor="accent2"/>
      <w:spacing w:val="5"/>
      <w:kern w:val="28"/>
      <w:sz w:val="80"/>
      <w:szCs w:val="52"/>
      <w:lang w:val="en-AU" w:eastAsia="en-AU"/>
    </w:rPr>
  </w:style>
  <w:style w:type="paragraph" w:customStyle="1" w:styleId="CoverSubtitle">
    <w:name w:val="CoverSubtitle"/>
    <w:next w:val="BodyText"/>
    <w:uiPriority w:val="12"/>
    <w:qFormat/>
    <w:rsid w:val="00144B4F"/>
    <w:pPr>
      <w:numPr>
        <w:ilvl w:val="1"/>
      </w:numPr>
      <w:spacing w:after="170"/>
    </w:pPr>
    <w:rPr>
      <w:rFonts w:ascii="Calibri" w:eastAsiaTheme="majorEastAsia" w:hAnsi="Calibri" w:cstheme="majorBidi"/>
      <w:iCs/>
      <w:color w:val="000000" w:themeColor="text2"/>
      <w:spacing w:val="15"/>
      <w:sz w:val="34"/>
      <w:lang w:val="en-AU" w:eastAsia="en-AU"/>
    </w:rPr>
  </w:style>
  <w:style w:type="paragraph" w:styleId="BodyText">
    <w:name w:val="Body Text"/>
    <w:link w:val="BodyTextChar"/>
    <w:qFormat/>
    <w:rsid w:val="00144B4F"/>
    <w:pPr>
      <w:spacing w:before="120" w:after="120" w:line="264" w:lineRule="auto"/>
    </w:pPr>
    <w:rPr>
      <w:rFonts w:ascii="Calibri" w:eastAsia="Calibri" w:hAnsi="Calibri" w:cs="Times New Roman"/>
      <w:color w:val="000000"/>
      <w:szCs w:val="22"/>
      <w:lang w:val="en-AU" w:eastAsia="en-AU"/>
    </w:rPr>
  </w:style>
  <w:style w:type="character" w:customStyle="1" w:styleId="BodyTextChar">
    <w:name w:val="Body Text Char"/>
    <w:basedOn w:val="DefaultParagraphFont"/>
    <w:link w:val="BodyText"/>
    <w:rsid w:val="00144B4F"/>
    <w:rPr>
      <w:rFonts w:ascii="Calibri" w:eastAsia="Calibri" w:hAnsi="Calibri" w:cs="Times New Roman"/>
      <w:color w:val="000000"/>
      <w:szCs w:val="22"/>
      <w:lang w:val="en-AU" w:eastAsia="en-AU"/>
    </w:rPr>
  </w:style>
  <w:style w:type="paragraph" w:customStyle="1" w:styleId="BackCoverContactHeading">
    <w:name w:val="BackCover ContactHeading"/>
    <w:next w:val="BackCoverContactDetails"/>
    <w:uiPriority w:val="18"/>
    <w:qFormat/>
    <w:rsid w:val="008A1135"/>
    <w:pPr>
      <w:spacing w:before="360" w:after="60"/>
    </w:pPr>
    <w:rPr>
      <w:rFonts w:ascii="Calibri" w:eastAsia="Calibri" w:hAnsi="Calibri" w:cs="Times New Roman"/>
      <w:caps/>
      <w:sz w:val="18"/>
      <w:szCs w:val="20"/>
      <w:lang w:val="en-AU" w:eastAsia="en-AU"/>
    </w:rPr>
  </w:style>
  <w:style w:type="paragraph" w:customStyle="1" w:styleId="BackCoverContactDetails">
    <w:name w:val="BackCover ContactDetails"/>
    <w:uiPriority w:val="18"/>
    <w:qFormat/>
    <w:rsid w:val="008A1135"/>
    <w:pPr>
      <w:tabs>
        <w:tab w:val="left" w:pos="199"/>
      </w:tabs>
      <w:spacing w:after="0"/>
    </w:pPr>
    <w:rPr>
      <w:rFonts w:ascii="Calibri" w:eastAsia="Calibri" w:hAnsi="Calibri" w:cs="Times New Roman"/>
      <w:sz w:val="18"/>
      <w:szCs w:val="22"/>
      <w:lang w:val="en-AU" w:eastAsia="en-AU"/>
    </w:rPr>
  </w:style>
  <w:style w:type="character" w:customStyle="1" w:styleId="BackCoverContactBold">
    <w:name w:val="BackCover ContactBold"/>
    <w:basedOn w:val="DefaultParagraphFont"/>
    <w:uiPriority w:val="18"/>
    <w:qFormat/>
    <w:rsid w:val="008A1135"/>
    <w:rPr>
      <w:b/>
    </w:rPr>
  </w:style>
  <w:style w:type="paragraph" w:customStyle="1" w:styleId="VersoPageHeading">
    <w:name w:val="Verso Page Heading"/>
    <w:uiPriority w:val="12"/>
    <w:qFormat/>
    <w:rsid w:val="007D01DE"/>
    <w:pPr>
      <w:spacing w:before="180" w:after="60"/>
    </w:pPr>
    <w:rPr>
      <w:rFonts w:ascii="Calibri" w:eastAsia="Times New Roman" w:hAnsi="Calibri" w:cs="Times New Roman"/>
      <w:bCs/>
      <w:color w:val="00313C" w:themeColor="accent2"/>
      <w:szCs w:val="26"/>
      <w:lang w:val="en-AU" w:eastAsia="en-US"/>
    </w:rPr>
  </w:style>
  <w:style w:type="paragraph" w:customStyle="1" w:styleId="Reference">
    <w:name w:val="Reference"/>
    <w:basedOn w:val="Normal"/>
    <w:uiPriority w:val="9"/>
    <w:qFormat/>
    <w:rsid w:val="00857E46"/>
    <w:pPr>
      <w:spacing w:after="120"/>
      <w:ind w:left="567" w:hanging="567"/>
    </w:pPr>
    <w:rPr>
      <w:rFonts w:ascii="Calibri" w:eastAsia="Calibri" w:hAnsi="Calibri" w:cs="Times New Roman"/>
      <w:color w:val="000000"/>
      <w:sz w:val="22"/>
      <w:szCs w:val="22"/>
      <w:lang w:val="en-AU" w:eastAsia="en-AU"/>
    </w:rPr>
  </w:style>
  <w:style w:type="character" w:customStyle="1" w:styleId="CommentTextChar1">
    <w:name w:val="Comment Text Char1"/>
    <w:basedOn w:val="DefaultParagraphFont"/>
    <w:uiPriority w:val="99"/>
    <w:semiHidden/>
    <w:locked/>
    <w:rsid w:val="001A6384"/>
    <w:rPr>
      <w:rFonts w:cs="Times New Roman"/>
      <w:sz w:val="20"/>
      <w:szCs w:val="20"/>
    </w:rPr>
  </w:style>
  <w:style w:type="paragraph" w:customStyle="1" w:styleId="OWSSummaryH1">
    <w:name w:val="OWS Summary H1"/>
    <w:link w:val="OWSSummaryH1Char"/>
    <w:qFormat/>
    <w:rsid w:val="00726719"/>
    <w:pPr>
      <w:pageBreakBefore/>
      <w:spacing w:after="600"/>
      <w:outlineLvl w:val="0"/>
    </w:pPr>
    <w:rPr>
      <w:rFonts w:ascii="Arial" w:hAnsi="Arial" w:cs="Arial"/>
      <w:b/>
      <w:bCs/>
      <w:color w:val="000000" w:themeColor="text2"/>
      <w:sz w:val="48"/>
      <w:szCs w:val="48"/>
      <w:lang w:val="en-GB"/>
    </w:rPr>
  </w:style>
  <w:style w:type="character" w:customStyle="1" w:styleId="OWSSummaryH1Char">
    <w:name w:val="OWS Summary H1 Char"/>
    <w:basedOn w:val="DefaultParagraphFont"/>
    <w:link w:val="OWSSummaryH1"/>
    <w:rsid w:val="00726719"/>
    <w:rPr>
      <w:rFonts w:ascii="Arial" w:hAnsi="Arial" w:cs="Arial"/>
      <w:b/>
      <w:bCs/>
      <w:color w:val="000000" w:themeColor="text2"/>
      <w:sz w:val="48"/>
      <w:szCs w:val="48"/>
      <w:lang w:val="en-GB"/>
    </w:rPr>
  </w:style>
  <w:style w:type="paragraph" w:customStyle="1" w:styleId="OWSTableheading">
    <w:name w:val="OWS Table heading"/>
    <w:basedOn w:val="Body"/>
    <w:link w:val="OWSTableheadingChar"/>
    <w:qFormat/>
    <w:rsid w:val="00726719"/>
    <w:pPr>
      <w:widowControl w:val="0"/>
      <w:spacing w:before="80" w:after="80" w:line="240" w:lineRule="auto"/>
    </w:pPr>
    <w:rPr>
      <w:rFonts w:ascii="Arial" w:hAnsi="Arial" w:cs="Arial"/>
      <w:b/>
      <w:color w:val="auto"/>
      <w:sz w:val="20"/>
      <w:szCs w:val="20"/>
      <w:lang w:val="en-AU" w:eastAsia="en-US"/>
    </w:rPr>
  </w:style>
  <w:style w:type="paragraph" w:customStyle="1" w:styleId="OWSTabletext">
    <w:name w:val="OWS Table text"/>
    <w:basedOn w:val="Body"/>
    <w:link w:val="OWSTabletextChar"/>
    <w:qFormat/>
    <w:rsid w:val="00726719"/>
    <w:pPr>
      <w:widowControl w:val="0"/>
      <w:spacing w:before="80" w:after="80" w:line="240" w:lineRule="auto"/>
    </w:pPr>
    <w:rPr>
      <w:rFonts w:ascii="Arial" w:hAnsi="Arial" w:cs="Arial"/>
      <w:sz w:val="20"/>
      <w:szCs w:val="20"/>
      <w:lang w:val="en-AU"/>
    </w:rPr>
  </w:style>
  <w:style w:type="character" w:customStyle="1" w:styleId="OWSTableheadingChar">
    <w:name w:val="OWS Table heading Char"/>
    <w:basedOn w:val="BodyChar"/>
    <w:link w:val="OWSTableheading"/>
    <w:rsid w:val="00726719"/>
    <w:rPr>
      <w:rFonts w:ascii="Arial" w:hAnsi="Arial" w:cs="Arial"/>
      <w:b/>
      <w:color w:val="000000"/>
      <w:sz w:val="20"/>
      <w:szCs w:val="20"/>
      <w:lang w:val="en-AU" w:eastAsia="en-US"/>
    </w:rPr>
  </w:style>
  <w:style w:type="character" w:customStyle="1" w:styleId="OWSTabletextChar">
    <w:name w:val="OWS Table text Char"/>
    <w:basedOn w:val="BodyChar"/>
    <w:link w:val="OWSTabletext"/>
    <w:rsid w:val="00726719"/>
    <w:rPr>
      <w:rFonts w:ascii="Arial" w:hAnsi="Arial" w:cs="Arial"/>
      <w:color w:val="000000"/>
      <w:sz w:val="20"/>
      <w:szCs w:val="20"/>
      <w:lang w:val="en-AU"/>
    </w:rPr>
  </w:style>
  <w:style w:type="character" w:customStyle="1" w:styleId="st1">
    <w:name w:val="st1"/>
    <w:basedOn w:val="DefaultParagraphFont"/>
    <w:rsid w:val="00B029E5"/>
  </w:style>
  <w:style w:type="character" w:customStyle="1" w:styleId="tgc">
    <w:name w:val="_tgc"/>
    <w:basedOn w:val="DefaultParagraphFont"/>
    <w:rsid w:val="00180C00"/>
  </w:style>
  <w:style w:type="paragraph" w:customStyle="1" w:styleId="Tabletext">
    <w:name w:val="Table text"/>
    <w:basedOn w:val="Normal"/>
    <w:link w:val="TabletextChar"/>
    <w:qFormat/>
    <w:rsid w:val="00A03846"/>
    <w:pPr>
      <w:widowControl w:val="0"/>
      <w:suppressAutoHyphens/>
      <w:autoSpaceDE w:val="0"/>
      <w:autoSpaceDN w:val="0"/>
      <w:adjustRightInd w:val="0"/>
      <w:spacing w:before="60" w:after="60"/>
      <w:textAlignment w:val="center"/>
    </w:pPr>
    <w:rPr>
      <w:rFonts w:ascii="Arial" w:eastAsiaTheme="minorHAnsi" w:hAnsi="Arial" w:cs="Arial"/>
      <w:color w:val="000000"/>
      <w:sz w:val="20"/>
      <w:szCs w:val="20"/>
      <w:lang w:val="en-AU" w:eastAsia="en-AU"/>
    </w:rPr>
  </w:style>
  <w:style w:type="character" w:customStyle="1" w:styleId="TabletextChar">
    <w:name w:val="Table text Char"/>
    <w:basedOn w:val="DefaultParagraphFont"/>
    <w:link w:val="Tabletext"/>
    <w:rsid w:val="00A03846"/>
    <w:rPr>
      <w:rFonts w:ascii="Arial" w:eastAsiaTheme="minorHAnsi" w:hAnsi="Arial" w:cs="Arial"/>
      <w:color w:val="000000"/>
      <w:sz w:val="20"/>
      <w:szCs w:val="20"/>
      <w:lang w:val="en-AU" w:eastAsia="en-AU"/>
    </w:rPr>
  </w:style>
  <w:style w:type="paragraph" w:customStyle="1" w:styleId="Pa5">
    <w:name w:val="Pa5"/>
    <w:basedOn w:val="Default"/>
    <w:next w:val="Default"/>
    <w:uiPriority w:val="99"/>
    <w:rsid w:val="0018377D"/>
    <w:pPr>
      <w:spacing w:line="161" w:lineRule="atLeast"/>
    </w:pPr>
    <w:rPr>
      <w:rFonts w:ascii="Times" w:hAnsi="Times" w:cs="Times"/>
      <w:color w:val="auto"/>
    </w:rPr>
  </w:style>
  <w:style w:type="paragraph" w:customStyle="1" w:styleId="OWSversopagenormaltext">
    <w:name w:val="OWS verso page normal text"/>
    <w:basedOn w:val="Body"/>
    <w:link w:val="OWSversopagenormaltextChar"/>
    <w:qFormat/>
    <w:rsid w:val="00D242C1"/>
    <w:pPr>
      <w:suppressAutoHyphens w:val="0"/>
      <w:adjustRightInd/>
      <w:spacing w:after="200" w:line="240" w:lineRule="auto"/>
      <w:textAlignment w:val="auto"/>
    </w:pPr>
    <w:rPr>
      <w:rFonts w:ascii="Arial" w:hAnsi="Arial" w:cs="Arial"/>
      <w:sz w:val="20"/>
      <w:szCs w:val="20"/>
      <w:lang w:val="en-AU"/>
    </w:rPr>
  </w:style>
  <w:style w:type="character" w:customStyle="1" w:styleId="OWSversopagenormaltextChar">
    <w:name w:val="OWS verso page normal text Char"/>
    <w:basedOn w:val="BodyChar"/>
    <w:link w:val="OWSversopagenormaltext"/>
    <w:rsid w:val="00D242C1"/>
    <w:rPr>
      <w:rFonts w:ascii="Arial" w:hAnsi="Arial" w:cs="Arial"/>
      <w:color w:val="000000"/>
      <w:sz w:val="20"/>
      <w:szCs w:val="20"/>
      <w:lang w:val="en-AU"/>
    </w:rPr>
  </w:style>
  <w:style w:type="character" w:customStyle="1" w:styleId="mw-headline">
    <w:name w:val="mw-headline"/>
    <w:basedOn w:val="DefaultParagraphFont"/>
    <w:rsid w:val="00454C42"/>
  </w:style>
  <w:style w:type="paragraph" w:styleId="ListBullet">
    <w:name w:val="List Bullet"/>
    <w:basedOn w:val="Normal"/>
    <w:uiPriority w:val="99"/>
    <w:unhideWhenUsed/>
    <w:rsid w:val="00504B0B"/>
    <w:pPr>
      <w:tabs>
        <w:tab w:val="num" w:pos="360"/>
      </w:tabs>
      <w:ind w:left="360" w:hanging="360"/>
      <w:contextualSpacing/>
    </w:pPr>
    <w:rPr>
      <w:rFonts w:eastAsiaTheme="minorHAnsi"/>
      <w:sz w:val="22"/>
      <w:szCs w:val="22"/>
      <w:lang w:val="en-AU" w:eastAsia="en-US"/>
    </w:rPr>
  </w:style>
  <w:style w:type="paragraph" w:styleId="ListParagraph">
    <w:name w:val="List Paragraph"/>
    <w:basedOn w:val="Normal"/>
    <w:link w:val="ListParagraphChar"/>
    <w:uiPriority w:val="34"/>
    <w:qFormat/>
    <w:rsid w:val="006B33F3"/>
    <w:pPr>
      <w:spacing w:after="0"/>
      <w:ind w:left="720"/>
    </w:pPr>
    <w:rPr>
      <w:rFonts w:ascii="Bell MT" w:eastAsia="Calibri" w:hAnsi="Bell MT" w:cs="Times New Roman"/>
      <w:sz w:val="22"/>
      <w:szCs w:val="22"/>
      <w:lang w:val="en-AU" w:eastAsia="en-AU"/>
    </w:rPr>
  </w:style>
  <w:style w:type="character" w:customStyle="1" w:styleId="ListParagraphChar">
    <w:name w:val="List Paragraph Char"/>
    <w:basedOn w:val="DefaultParagraphFont"/>
    <w:link w:val="ListParagraph"/>
    <w:uiPriority w:val="34"/>
    <w:locked/>
    <w:rsid w:val="006B33F3"/>
    <w:rPr>
      <w:rFonts w:ascii="Bell MT" w:eastAsia="Calibri" w:hAnsi="Bell MT" w:cs="Times New Roman"/>
      <w:sz w:val="22"/>
      <w:szCs w:val="22"/>
      <w:lang w:val="en-AU" w:eastAsia="en-AU"/>
    </w:rPr>
  </w:style>
  <w:style w:type="character" w:customStyle="1" w:styleId="CaptionChar">
    <w:name w:val="Caption Char"/>
    <w:aliases w:val="Figure Caption Char, Char Char"/>
    <w:link w:val="Caption"/>
    <w:uiPriority w:val="35"/>
    <w:locked/>
    <w:rsid w:val="00284576"/>
    <w:rPr>
      <w:b/>
      <w:bCs/>
      <w:color w:val="00A9CE" w:themeColor="accent1"/>
      <w:sz w:val="18"/>
      <w:szCs w:val="18"/>
    </w:rPr>
  </w:style>
  <w:style w:type="table" w:customStyle="1" w:styleId="PlainTable11">
    <w:name w:val="Plain Table 11"/>
    <w:basedOn w:val="TableNormal"/>
    <w:uiPriority w:val="41"/>
    <w:rsid w:val="00B630B6"/>
    <w:pPr>
      <w:spacing w:after="0"/>
    </w:pPr>
    <w:rPr>
      <w:rFonts w:eastAsiaTheme="minorHAnsi"/>
      <w:sz w:val="22"/>
      <w:szCs w:val="22"/>
      <w:lang w:val="en-AU"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5Char">
    <w:name w:val="Heading 5 Char"/>
    <w:basedOn w:val="DefaultParagraphFont"/>
    <w:link w:val="Heading5"/>
    <w:uiPriority w:val="9"/>
    <w:rsid w:val="00105F5B"/>
    <w:rPr>
      <w:rFonts w:eastAsiaTheme="majorEastAsia" w:cstheme="majorBidi"/>
      <w:color w:val="005366" w:themeColor="accent1" w:themeShade="7F"/>
      <w:sz w:val="22"/>
      <w:lang w:val="en-AU"/>
    </w:rPr>
  </w:style>
  <w:style w:type="character" w:customStyle="1" w:styleId="Heading6Char">
    <w:name w:val="Heading 6 Char"/>
    <w:basedOn w:val="DefaultParagraphFont"/>
    <w:link w:val="Heading6"/>
    <w:uiPriority w:val="9"/>
    <w:semiHidden/>
    <w:rsid w:val="00105F5B"/>
    <w:rPr>
      <w:rFonts w:asciiTheme="majorHAnsi" w:eastAsiaTheme="majorEastAsia" w:hAnsiTheme="majorHAnsi" w:cstheme="majorBidi"/>
      <w:i/>
      <w:iCs/>
      <w:color w:val="005366" w:themeColor="accent1" w:themeShade="7F"/>
      <w:lang w:val="en-AU"/>
    </w:rPr>
  </w:style>
  <w:style w:type="character" w:customStyle="1" w:styleId="Heading7Char">
    <w:name w:val="Heading 7 Char"/>
    <w:basedOn w:val="DefaultParagraphFont"/>
    <w:link w:val="Heading7"/>
    <w:uiPriority w:val="9"/>
    <w:semiHidden/>
    <w:rsid w:val="00105F5B"/>
    <w:rPr>
      <w:rFonts w:asciiTheme="majorHAnsi" w:eastAsiaTheme="majorEastAsia" w:hAnsiTheme="majorHAnsi" w:cstheme="majorBidi"/>
      <w:i/>
      <w:iCs/>
      <w:color w:val="404040" w:themeColor="text1" w:themeTint="BF"/>
      <w:lang w:val="en-AU"/>
    </w:rPr>
  </w:style>
  <w:style w:type="character" w:customStyle="1" w:styleId="Heading8Char">
    <w:name w:val="Heading 8 Char"/>
    <w:basedOn w:val="DefaultParagraphFont"/>
    <w:link w:val="Heading8"/>
    <w:uiPriority w:val="9"/>
    <w:semiHidden/>
    <w:rsid w:val="00105F5B"/>
    <w:rPr>
      <w:rFonts w:asciiTheme="majorHAnsi" w:eastAsiaTheme="majorEastAsia" w:hAnsiTheme="majorHAnsi" w:cstheme="majorBidi"/>
      <w:color w:val="404040" w:themeColor="text1" w:themeTint="BF"/>
      <w:sz w:val="20"/>
      <w:szCs w:val="20"/>
      <w:lang w:val="en-AU"/>
    </w:rPr>
  </w:style>
  <w:style w:type="character" w:customStyle="1" w:styleId="Heading9Char">
    <w:name w:val="Heading 9 Char"/>
    <w:basedOn w:val="DefaultParagraphFont"/>
    <w:link w:val="Heading9"/>
    <w:uiPriority w:val="9"/>
    <w:semiHidden/>
    <w:rsid w:val="00105F5B"/>
    <w:rPr>
      <w:rFonts w:asciiTheme="majorHAnsi" w:eastAsiaTheme="majorEastAsia" w:hAnsiTheme="majorHAnsi" w:cstheme="majorBidi"/>
      <w:i/>
      <w:iCs/>
      <w:color w:val="404040" w:themeColor="text1" w:themeTint="BF"/>
      <w:sz w:val="20"/>
      <w:szCs w:val="20"/>
      <w:lang w:val="en-AU"/>
    </w:rPr>
  </w:style>
  <w:style w:type="character" w:customStyle="1" w:styleId="InstructionText">
    <w:name w:val="Instruction Text"/>
    <w:qFormat/>
    <w:rsid w:val="004A1F3F"/>
    <w:rPr>
      <w:rFonts w:cs="Times New Roman"/>
      <w:i/>
      <w:color w:val="0070C0"/>
    </w:rPr>
  </w:style>
  <w:style w:type="paragraph" w:styleId="TOC4">
    <w:name w:val="toc 4"/>
    <w:basedOn w:val="Normal"/>
    <w:next w:val="Normal"/>
    <w:autoRedefine/>
    <w:uiPriority w:val="39"/>
    <w:unhideWhenUsed/>
    <w:qFormat/>
    <w:rsid w:val="00CD2125"/>
    <w:pPr>
      <w:spacing w:after="100"/>
      <w:ind w:left="2835" w:hanging="2835"/>
    </w:pPr>
    <w:rPr>
      <w:color w:val="000000" w:themeColor="text1"/>
      <w:sz w:val="18"/>
    </w:rPr>
  </w:style>
  <w:style w:type="paragraph" w:styleId="ListBullet5">
    <w:name w:val="List Bullet 5"/>
    <w:basedOn w:val="Normal"/>
    <w:uiPriority w:val="99"/>
    <w:semiHidden/>
    <w:rsid w:val="00307316"/>
    <w:pPr>
      <w:tabs>
        <w:tab w:val="num" w:pos="926"/>
        <w:tab w:val="num" w:pos="1492"/>
      </w:tabs>
      <w:spacing w:after="120"/>
      <w:ind w:left="1492" w:hanging="360"/>
    </w:pPr>
    <w:rPr>
      <w:rFonts w:ascii="Calibri" w:eastAsia="Calibri" w:hAnsi="Calibri" w:cs="Times New Roman"/>
      <w:color w:val="000000"/>
      <w:sz w:val="22"/>
      <w:szCs w:val="22"/>
      <w:lang w:val="en-AU" w:eastAsia="en-AU"/>
    </w:rPr>
  </w:style>
  <w:style w:type="character" w:styleId="Strong">
    <w:name w:val="Strong"/>
    <w:basedOn w:val="DefaultParagraphFont"/>
    <w:uiPriority w:val="22"/>
    <w:qFormat/>
    <w:rsid w:val="00ED2181"/>
    <w:rPr>
      <w:b/>
      <w:bCs/>
    </w:rPr>
  </w:style>
  <w:style w:type="character" w:customStyle="1" w:styleId="MTEquationSection">
    <w:name w:val="MTEquationSection"/>
    <w:basedOn w:val="DefaultParagraphFont"/>
    <w:rsid w:val="00ED2181"/>
    <w:rPr>
      <w:vanish/>
      <w:color w:val="FF0000"/>
    </w:rPr>
  </w:style>
  <w:style w:type="paragraph" w:styleId="TOC5">
    <w:name w:val="toc 5"/>
    <w:basedOn w:val="Normal"/>
    <w:next w:val="Normal"/>
    <w:autoRedefine/>
    <w:uiPriority w:val="39"/>
    <w:unhideWhenUsed/>
    <w:rsid w:val="00F162AC"/>
    <w:pPr>
      <w:spacing w:after="100" w:line="259" w:lineRule="auto"/>
      <w:ind w:left="880"/>
    </w:pPr>
    <w:rPr>
      <w:sz w:val="22"/>
      <w:szCs w:val="22"/>
      <w:lang w:val="en-AU" w:eastAsia="en-AU"/>
    </w:rPr>
  </w:style>
  <w:style w:type="paragraph" w:styleId="TOC6">
    <w:name w:val="toc 6"/>
    <w:basedOn w:val="Normal"/>
    <w:next w:val="Normal"/>
    <w:autoRedefine/>
    <w:uiPriority w:val="39"/>
    <w:unhideWhenUsed/>
    <w:rsid w:val="00F162AC"/>
    <w:pPr>
      <w:spacing w:after="100" w:line="259" w:lineRule="auto"/>
      <w:ind w:left="1100"/>
    </w:pPr>
    <w:rPr>
      <w:sz w:val="22"/>
      <w:szCs w:val="22"/>
      <w:lang w:val="en-AU" w:eastAsia="en-AU"/>
    </w:rPr>
  </w:style>
  <w:style w:type="paragraph" w:styleId="TOC7">
    <w:name w:val="toc 7"/>
    <w:basedOn w:val="Normal"/>
    <w:next w:val="Normal"/>
    <w:autoRedefine/>
    <w:uiPriority w:val="39"/>
    <w:unhideWhenUsed/>
    <w:rsid w:val="00F162AC"/>
    <w:pPr>
      <w:spacing w:after="100" w:line="259" w:lineRule="auto"/>
      <w:ind w:left="1320"/>
    </w:pPr>
    <w:rPr>
      <w:sz w:val="22"/>
      <w:szCs w:val="22"/>
      <w:lang w:val="en-AU" w:eastAsia="en-AU"/>
    </w:rPr>
  </w:style>
  <w:style w:type="paragraph" w:styleId="TOC8">
    <w:name w:val="toc 8"/>
    <w:basedOn w:val="Normal"/>
    <w:next w:val="Normal"/>
    <w:autoRedefine/>
    <w:uiPriority w:val="39"/>
    <w:unhideWhenUsed/>
    <w:rsid w:val="00F162AC"/>
    <w:pPr>
      <w:spacing w:after="100" w:line="259" w:lineRule="auto"/>
      <w:ind w:left="1540"/>
    </w:pPr>
    <w:rPr>
      <w:sz w:val="22"/>
      <w:szCs w:val="22"/>
      <w:lang w:val="en-AU" w:eastAsia="en-AU"/>
    </w:rPr>
  </w:style>
  <w:style w:type="paragraph" w:styleId="TOC9">
    <w:name w:val="toc 9"/>
    <w:basedOn w:val="Normal"/>
    <w:next w:val="Normal"/>
    <w:autoRedefine/>
    <w:uiPriority w:val="39"/>
    <w:unhideWhenUsed/>
    <w:rsid w:val="00F162AC"/>
    <w:pPr>
      <w:spacing w:after="100" w:line="259" w:lineRule="auto"/>
      <w:ind w:left="1760"/>
    </w:pPr>
    <w:rPr>
      <w:sz w:val="22"/>
      <w:szCs w:val="22"/>
      <w:lang w:val="en-AU" w:eastAsia="en-AU"/>
    </w:rPr>
  </w:style>
  <w:style w:type="paragraph" w:customStyle="1" w:styleId="OWSNormal9pt">
    <w:name w:val="OWS Normal 9pt"/>
    <w:basedOn w:val="BRnormal10pt-CopyrightPage"/>
    <w:link w:val="OWSNormal9ptChar"/>
    <w:qFormat/>
    <w:rsid w:val="007C3A2D"/>
    <w:pPr>
      <w:spacing w:before="200"/>
    </w:pPr>
    <w:rPr>
      <w:rFonts w:ascii="Calibri" w:hAnsi="Calibri"/>
      <w:color w:val="000000"/>
      <w:sz w:val="18"/>
      <w:szCs w:val="22"/>
    </w:rPr>
  </w:style>
  <w:style w:type="character" w:customStyle="1" w:styleId="OWSNormal9ptChar">
    <w:name w:val="OWS Normal 9pt Char"/>
    <w:basedOn w:val="BRnormal10pt-CopyrightPageChar"/>
    <w:link w:val="OWSNormal9pt"/>
    <w:rsid w:val="007C3A2D"/>
    <w:rPr>
      <w:rFonts w:ascii="Calibri" w:eastAsiaTheme="minorHAnsi" w:hAnsi="Calibri" w:cs="Arial"/>
      <w:color w:val="000000"/>
      <w:sz w:val="18"/>
      <w:szCs w:val="22"/>
      <w:lang w:val="en-AU" w:eastAsia="en-AU"/>
    </w:rPr>
  </w:style>
  <w:style w:type="character" w:customStyle="1" w:styleId="A5">
    <w:name w:val="A5"/>
    <w:uiPriority w:val="99"/>
    <w:rsid w:val="00890FCF"/>
    <w:rPr>
      <w:rFonts w:cs="HelveticaNeue Condensed"/>
      <w:color w:val="000000"/>
      <w:sz w:val="20"/>
      <w:szCs w:val="20"/>
    </w:rPr>
  </w:style>
  <w:style w:type="paragraph" w:customStyle="1" w:styleId="Pa8">
    <w:name w:val="Pa8"/>
    <w:basedOn w:val="Default"/>
    <w:next w:val="Default"/>
    <w:uiPriority w:val="99"/>
    <w:rsid w:val="00890FCF"/>
    <w:pPr>
      <w:spacing w:line="201" w:lineRule="atLeast"/>
    </w:pPr>
    <w:rPr>
      <w:rFonts w:ascii="HelveticaNeue Condensed" w:hAnsi="HelveticaNeue Condensed" w:cstheme="minorBidi"/>
      <w:color w:val="auto"/>
    </w:rPr>
  </w:style>
  <w:style w:type="character" w:customStyle="1" w:styleId="A7">
    <w:name w:val="A7"/>
    <w:uiPriority w:val="99"/>
    <w:rsid w:val="00360265"/>
    <w:rPr>
      <w:rFonts w:cs="HelveticaNeue Condensed"/>
      <w:color w:val="000000"/>
      <w:sz w:val="16"/>
      <w:szCs w:val="16"/>
    </w:rPr>
  </w:style>
  <w:style w:type="character" w:customStyle="1" w:styleId="A6">
    <w:name w:val="A6"/>
    <w:uiPriority w:val="99"/>
    <w:rsid w:val="00FF2C5D"/>
    <w:rPr>
      <w:rFonts w:cs="HelveticaNeue Condensed"/>
      <w:color w:val="000000"/>
      <w:sz w:val="18"/>
      <w:szCs w:val="18"/>
    </w:rPr>
  </w:style>
  <w:style w:type="character" w:customStyle="1" w:styleId="personname">
    <w:name w:val="person_name"/>
    <w:basedOn w:val="DefaultParagraphFont"/>
    <w:rsid w:val="004F742D"/>
  </w:style>
  <w:style w:type="character" w:customStyle="1" w:styleId="apple-converted-space">
    <w:name w:val="apple-converted-space"/>
    <w:basedOn w:val="DefaultParagraphFont"/>
    <w:rsid w:val="004F742D"/>
  </w:style>
  <w:style w:type="character" w:customStyle="1" w:styleId="article-headermeta-info-label">
    <w:name w:val="article-header__meta-info-label"/>
    <w:basedOn w:val="DefaultParagraphFont"/>
    <w:rsid w:val="00CA04E7"/>
  </w:style>
  <w:style w:type="paragraph" w:customStyle="1" w:styleId="References">
    <w:name w:val="References"/>
    <w:basedOn w:val="BodyText"/>
    <w:next w:val="BodyText"/>
    <w:qFormat/>
    <w:rsid w:val="00540480"/>
    <w:pPr>
      <w:spacing w:before="0" w:line="259" w:lineRule="auto"/>
    </w:pPr>
    <w:rPr>
      <w:rFonts w:asciiTheme="minorHAnsi" w:eastAsiaTheme="minorHAnsi" w:hAnsiTheme="minorHAnsi" w:cstheme="minorBidi"/>
      <w:color w:val="auto"/>
      <w:sz w:val="22"/>
      <w:lang w:eastAsia="en-US"/>
    </w:rPr>
  </w:style>
  <w:style w:type="paragraph" w:customStyle="1" w:styleId="references0">
    <w:name w:val="references"/>
    <w:basedOn w:val="Normal"/>
    <w:rsid w:val="00DE217C"/>
    <w:pPr>
      <w:spacing w:after="0"/>
    </w:pPr>
    <w:rPr>
      <w:rFonts w:ascii="Times New Roman" w:eastAsiaTheme="minorHAnsi" w:hAnsi="Times New Roman" w:cs="Times New Roman"/>
      <w:lang w:val="en-AU" w:eastAsia="en-AU"/>
    </w:rPr>
  </w:style>
  <w:style w:type="paragraph" w:styleId="ListBullet4">
    <w:name w:val="List Bullet 4"/>
    <w:basedOn w:val="Normal"/>
    <w:uiPriority w:val="99"/>
    <w:semiHidden/>
    <w:rsid w:val="00264454"/>
    <w:pPr>
      <w:tabs>
        <w:tab w:val="num" w:pos="1209"/>
      </w:tabs>
      <w:spacing w:after="120"/>
      <w:ind w:left="1209" w:hanging="360"/>
    </w:pPr>
    <w:rPr>
      <w:rFonts w:ascii="Calibri" w:eastAsia="Calibri" w:hAnsi="Calibri" w:cs="Times New Roman"/>
      <w:color w:val="000000"/>
      <w:sz w:val="22"/>
      <w:szCs w:val="22"/>
      <w:lang w:val="en-AU" w:eastAsia="en-AU"/>
    </w:rPr>
  </w:style>
  <w:style w:type="table" w:customStyle="1" w:styleId="TableGrid1">
    <w:name w:val="Table Grid1"/>
    <w:basedOn w:val="TableNormal"/>
    <w:next w:val="TableGrid"/>
    <w:uiPriority w:val="39"/>
    <w:rsid w:val="00756310"/>
    <w:pPr>
      <w:spacing w:after="0"/>
    </w:pPr>
    <w:rPr>
      <w:rFonts w:eastAsiaTheme="minorHAnsi"/>
      <w:sz w:val="22"/>
      <w:szCs w:val="22"/>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WSbulletL2">
    <w:name w:val="OWS bullet L2"/>
    <w:basedOn w:val="Normal"/>
    <w:link w:val="OWSbulletL2Char"/>
    <w:qFormat/>
    <w:rsid w:val="00A84B61"/>
    <w:pPr>
      <w:widowControl w:val="0"/>
      <w:numPr>
        <w:ilvl w:val="1"/>
        <w:numId w:val="48"/>
      </w:numPr>
      <w:tabs>
        <w:tab w:val="clear" w:pos="1440"/>
        <w:tab w:val="num" w:pos="993"/>
      </w:tabs>
      <w:suppressAutoHyphens/>
      <w:autoSpaceDE w:val="0"/>
      <w:autoSpaceDN w:val="0"/>
      <w:adjustRightInd w:val="0"/>
      <w:spacing w:after="113" w:line="280" w:lineRule="atLeast"/>
      <w:ind w:left="993" w:hanging="426"/>
      <w:textAlignment w:val="center"/>
    </w:pPr>
    <w:rPr>
      <w:rFonts w:ascii="Arial" w:hAnsi="Arial" w:cs="Arial"/>
      <w:color w:val="000000"/>
      <w:sz w:val="22"/>
      <w:szCs w:val="22"/>
      <w:lang w:val="en-AU"/>
    </w:rPr>
  </w:style>
  <w:style w:type="character" w:customStyle="1" w:styleId="OWSbulletL2Char">
    <w:name w:val="OWS bullet L2 Char"/>
    <w:basedOn w:val="DefaultParagraphFont"/>
    <w:link w:val="OWSbulletL2"/>
    <w:rsid w:val="00A84B61"/>
    <w:rPr>
      <w:rFonts w:ascii="Arial" w:hAnsi="Arial" w:cs="Arial"/>
      <w:color w:val="000000"/>
      <w:sz w:val="22"/>
      <w:szCs w:val="22"/>
      <w:lang w:val="en-AU"/>
    </w:rPr>
  </w:style>
  <w:style w:type="paragraph" w:customStyle="1" w:styleId="OWSpost-listnormaltext">
    <w:name w:val="OWS post-list normal text"/>
    <w:basedOn w:val="Normal"/>
    <w:link w:val="OWSpost-listnormaltextChar"/>
    <w:qFormat/>
    <w:rsid w:val="00A84B61"/>
    <w:pPr>
      <w:autoSpaceDE w:val="0"/>
      <w:autoSpaceDN w:val="0"/>
      <w:spacing w:before="200"/>
    </w:pPr>
    <w:rPr>
      <w:rFonts w:ascii="Arial" w:hAnsi="Arial" w:cs="Arial"/>
      <w:sz w:val="22"/>
      <w:szCs w:val="22"/>
      <w:lang w:val="en-AU"/>
    </w:rPr>
  </w:style>
  <w:style w:type="character" w:customStyle="1" w:styleId="OWSpost-listnormaltextChar">
    <w:name w:val="OWS post-list normal text Char"/>
    <w:basedOn w:val="DefaultParagraphFont"/>
    <w:link w:val="OWSpost-listnormaltext"/>
    <w:rsid w:val="00A84B61"/>
    <w:rPr>
      <w:rFonts w:ascii="Arial" w:hAnsi="Arial" w:cs="Arial"/>
      <w:sz w:val="22"/>
      <w:szCs w:val="22"/>
      <w:lang w:val="en-AU"/>
    </w:rPr>
  </w:style>
  <w:style w:type="paragraph" w:customStyle="1" w:styleId="OWSbulletL3">
    <w:name w:val="OWS bullet L3"/>
    <w:basedOn w:val="OWSbulletL2"/>
    <w:qFormat/>
    <w:rsid w:val="00A84B61"/>
    <w:pPr>
      <w:numPr>
        <w:ilvl w:val="2"/>
      </w:numPr>
      <w:tabs>
        <w:tab w:val="clear" w:pos="2160"/>
        <w:tab w:val="num" w:pos="360"/>
        <w:tab w:val="num" w:pos="1560"/>
      </w:tabs>
      <w:ind w:left="1560" w:hanging="426"/>
    </w:pPr>
  </w:style>
  <w:style w:type="paragraph" w:customStyle="1" w:styleId="OWSBelowTableFigureText9pt">
    <w:name w:val="OWS Below TableFigure Text 9pt"/>
    <w:basedOn w:val="Body"/>
    <w:link w:val="OWSBelowTableFigureText9ptChar"/>
    <w:qFormat/>
    <w:rsid w:val="00761AE7"/>
    <w:pPr>
      <w:suppressAutoHyphens w:val="0"/>
      <w:adjustRightInd/>
      <w:spacing w:before="120" w:after="360" w:line="240" w:lineRule="auto"/>
      <w:textAlignment w:val="auto"/>
    </w:pPr>
    <w:rPr>
      <w:rFonts w:ascii="Arial" w:hAnsi="Arial" w:cs="Arial"/>
      <w:i/>
      <w:lang w:val="en-AU"/>
    </w:rPr>
  </w:style>
  <w:style w:type="character" w:customStyle="1" w:styleId="OWSBelowTableFigureText9ptChar">
    <w:name w:val="OWS Below TableFigure Text 9pt Char"/>
    <w:basedOn w:val="BodyChar"/>
    <w:link w:val="OWSBelowTableFigureText9pt"/>
    <w:rsid w:val="00761AE7"/>
    <w:rPr>
      <w:rFonts w:ascii="Arial" w:hAnsi="Arial" w:cs="Arial"/>
      <w:i/>
      <w:color w:val="000000"/>
      <w:sz w:val="18"/>
      <w:szCs w:val="18"/>
      <w:lang w:val="en-AU"/>
    </w:rPr>
  </w:style>
  <w:style w:type="character" w:customStyle="1" w:styleId="A3">
    <w:name w:val="A3"/>
    <w:uiPriority w:val="99"/>
    <w:rsid w:val="00F43D32"/>
    <w:rPr>
      <w:rFonts w:cs="Calibri Light"/>
      <w:color w:val="221E1F"/>
      <w:sz w:val="22"/>
      <w:szCs w:val="22"/>
    </w:rPr>
  </w:style>
  <w:style w:type="paragraph" w:customStyle="1" w:styleId="Normal14">
    <w:name w:val="Normal+14"/>
    <w:basedOn w:val="Default"/>
    <w:next w:val="Default"/>
    <w:uiPriority w:val="99"/>
    <w:rsid w:val="00001E05"/>
    <w:rPr>
      <w:rFonts w:ascii="Times New Roman" w:hAnsi="Times New Roman" w:cs="Times New Roman"/>
      <w:color w:val="auto"/>
    </w:rPr>
  </w:style>
  <w:style w:type="paragraph" w:customStyle="1" w:styleId="Boxedlistbullet">
    <w:name w:val="Boxed list bullet"/>
    <w:basedOn w:val="Normal"/>
    <w:rsid w:val="0036654D"/>
    <w:pPr>
      <w:numPr>
        <w:numId w:val="62"/>
      </w:num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after="0"/>
      <w:ind w:left="454" w:right="227" w:hanging="227"/>
      <w:contextualSpacing/>
    </w:pPr>
    <w:rPr>
      <w:rFonts w:ascii="Calibri" w:eastAsia="Calibri" w:hAnsi="Calibri" w:cs="Times New Roman"/>
      <w:color w:val="000000"/>
      <w:sz w:val="20"/>
      <w:lang w:val="en-AU" w:eastAsia="en-AU"/>
    </w:rPr>
  </w:style>
  <w:style w:type="paragraph" w:customStyle="1" w:styleId="LegalClauseLevel3">
    <w:name w:val="Legal Clause Level 3"/>
    <w:basedOn w:val="Normal"/>
    <w:qFormat/>
    <w:rsid w:val="00D05715"/>
    <w:pPr>
      <w:numPr>
        <w:ilvl w:val="2"/>
        <w:numId w:val="71"/>
      </w:numPr>
      <w:spacing w:after="140" w:line="280" w:lineRule="atLeast"/>
      <w:outlineLvl w:val="3"/>
    </w:pPr>
    <w:rPr>
      <w:rFonts w:ascii="Arial" w:eastAsia="Times New Roman" w:hAnsi="Arial" w:cs="Arial"/>
      <w:sz w:val="22"/>
      <w:szCs w:val="22"/>
      <w:lang w:val="en-AU" w:eastAsia="zh-CN" w:bidi="th-TH"/>
    </w:rPr>
  </w:style>
  <w:style w:type="paragraph" w:customStyle="1" w:styleId="LegalClauseLevel4">
    <w:name w:val="Legal Clause Level 4"/>
    <w:basedOn w:val="Normal"/>
    <w:qFormat/>
    <w:rsid w:val="00D05715"/>
    <w:pPr>
      <w:numPr>
        <w:ilvl w:val="3"/>
        <w:numId w:val="71"/>
      </w:numPr>
      <w:spacing w:after="140" w:line="280" w:lineRule="atLeast"/>
      <w:outlineLvl w:val="3"/>
    </w:pPr>
    <w:rPr>
      <w:rFonts w:ascii="Arial" w:eastAsia="Times New Roman" w:hAnsi="Arial" w:cs="Arial"/>
      <w:sz w:val="22"/>
      <w:szCs w:val="22"/>
      <w:lang w:val="en-AU" w:eastAsia="zh-CN" w:bidi="th-TH"/>
    </w:rPr>
  </w:style>
  <w:style w:type="paragraph" w:customStyle="1" w:styleId="LegalClauseLevel5">
    <w:name w:val="Legal Clause Level 5"/>
    <w:basedOn w:val="Normal"/>
    <w:qFormat/>
    <w:rsid w:val="00D05715"/>
    <w:pPr>
      <w:numPr>
        <w:ilvl w:val="4"/>
        <w:numId w:val="71"/>
      </w:numPr>
      <w:spacing w:after="140" w:line="280" w:lineRule="atLeast"/>
      <w:outlineLvl w:val="4"/>
    </w:pPr>
    <w:rPr>
      <w:rFonts w:ascii="Arial" w:eastAsia="Times New Roman" w:hAnsi="Arial" w:cs="Arial"/>
      <w:sz w:val="22"/>
      <w:szCs w:val="22"/>
      <w:lang w:val="en-AU" w:eastAsia="zh-CN" w:bidi="th-TH"/>
    </w:rPr>
  </w:style>
  <w:style w:type="paragraph" w:styleId="Bibliography">
    <w:name w:val="Bibliography"/>
    <w:basedOn w:val="Normal"/>
    <w:next w:val="Normal"/>
    <w:uiPriority w:val="37"/>
    <w:semiHidden/>
    <w:unhideWhenUsed/>
    <w:rsid w:val="00F579FC"/>
  </w:style>
  <w:style w:type="paragraph" w:styleId="BlockText">
    <w:name w:val="Block Text"/>
    <w:basedOn w:val="Normal"/>
    <w:uiPriority w:val="99"/>
    <w:semiHidden/>
    <w:unhideWhenUsed/>
    <w:rsid w:val="00F579FC"/>
    <w:pPr>
      <w:pBdr>
        <w:top w:val="single" w:sz="2" w:space="10" w:color="00A9CE" w:themeColor="accent1" w:shadow="1"/>
        <w:left w:val="single" w:sz="2" w:space="10" w:color="00A9CE" w:themeColor="accent1" w:shadow="1"/>
        <w:bottom w:val="single" w:sz="2" w:space="10" w:color="00A9CE" w:themeColor="accent1" w:shadow="1"/>
        <w:right w:val="single" w:sz="2" w:space="10" w:color="00A9CE" w:themeColor="accent1" w:shadow="1"/>
      </w:pBdr>
      <w:ind w:left="1152" w:right="1152"/>
    </w:pPr>
    <w:rPr>
      <w:i/>
      <w:iCs/>
      <w:color w:val="00A9CE" w:themeColor="accent1"/>
    </w:rPr>
  </w:style>
  <w:style w:type="paragraph" w:styleId="BodyText2">
    <w:name w:val="Body Text 2"/>
    <w:basedOn w:val="Normal"/>
    <w:link w:val="BodyText2Char"/>
    <w:uiPriority w:val="99"/>
    <w:semiHidden/>
    <w:unhideWhenUsed/>
    <w:rsid w:val="00F579FC"/>
    <w:pPr>
      <w:spacing w:after="120" w:line="480" w:lineRule="auto"/>
    </w:pPr>
  </w:style>
  <w:style w:type="character" w:customStyle="1" w:styleId="BodyText2Char">
    <w:name w:val="Body Text 2 Char"/>
    <w:basedOn w:val="DefaultParagraphFont"/>
    <w:link w:val="BodyText2"/>
    <w:uiPriority w:val="99"/>
    <w:semiHidden/>
    <w:rsid w:val="00F579FC"/>
  </w:style>
  <w:style w:type="paragraph" w:styleId="BodyText3">
    <w:name w:val="Body Text 3"/>
    <w:basedOn w:val="Normal"/>
    <w:link w:val="BodyText3Char"/>
    <w:uiPriority w:val="99"/>
    <w:semiHidden/>
    <w:unhideWhenUsed/>
    <w:rsid w:val="00F579FC"/>
    <w:pPr>
      <w:spacing w:after="120"/>
    </w:pPr>
    <w:rPr>
      <w:sz w:val="16"/>
      <w:szCs w:val="16"/>
    </w:rPr>
  </w:style>
  <w:style w:type="character" w:customStyle="1" w:styleId="BodyText3Char">
    <w:name w:val="Body Text 3 Char"/>
    <w:basedOn w:val="DefaultParagraphFont"/>
    <w:link w:val="BodyText3"/>
    <w:uiPriority w:val="99"/>
    <w:semiHidden/>
    <w:rsid w:val="00F579FC"/>
    <w:rPr>
      <w:sz w:val="16"/>
      <w:szCs w:val="16"/>
    </w:rPr>
  </w:style>
  <w:style w:type="paragraph" w:styleId="BodyTextFirstIndent">
    <w:name w:val="Body Text First Indent"/>
    <w:basedOn w:val="BodyText"/>
    <w:link w:val="BodyTextFirstIndentChar"/>
    <w:uiPriority w:val="99"/>
    <w:semiHidden/>
    <w:unhideWhenUsed/>
    <w:rsid w:val="00F579FC"/>
    <w:pPr>
      <w:spacing w:before="0" w:after="200" w:line="240" w:lineRule="auto"/>
      <w:ind w:firstLine="360"/>
    </w:pPr>
    <w:rPr>
      <w:rFonts w:asciiTheme="minorHAnsi" w:eastAsiaTheme="minorEastAsia" w:hAnsiTheme="minorHAnsi" w:cstheme="minorBidi"/>
      <w:color w:val="auto"/>
      <w:szCs w:val="24"/>
      <w:lang w:val="en-US" w:eastAsia="ja-JP"/>
    </w:rPr>
  </w:style>
  <w:style w:type="character" w:customStyle="1" w:styleId="BodyTextFirstIndentChar">
    <w:name w:val="Body Text First Indent Char"/>
    <w:basedOn w:val="BodyTextChar"/>
    <w:link w:val="BodyTextFirstIndent"/>
    <w:uiPriority w:val="99"/>
    <w:semiHidden/>
    <w:rsid w:val="00F579FC"/>
    <w:rPr>
      <w:rFonts w:ascii="Calibri" w:eastAsia="Calibri" w:hAnsi="Calibri" w:cs="Times New Roman"/>
      <w:color w:val="000000"/>
      <w:szCs w:val="22"/>
      <w:lang w:val="en-AU" w:eastAsia="en-AU"/>
    </w:rPr>
  </w:style>
  <w:style w:type="paragraph" w:styleId="BodyTextIndent">
    <w:name w:val="Body Text Indent"/>
    <w:basedOn w:val="Normal"/>
    <w:link w:val="BodyTextIndentChar"/>
    <w:uiPriority w:val="99"/>
    <w:semiHidden/>
    <w:unhideWhenUsed/>
    <w:rsid w:val="00F579FC"/>
    <w:pPr>
      <w:spacing w:after="120"/>
      <w:ind w:left="283"/>
    </w:pPr>
  </w:style>
  <w:style w:type="character" w:customStyle="1" w:styleId="BodyTextIndentChar">
    <w:name w:val="Body Text Indent Char"/>
    <w:basedOn w:val="DefaultParagraphFont"/>
    <w:link w:val="BodyTextIndent"/>
    <w:uiPriority w:val="99"/>
    <w:semiHidden/>
    <w:rsid w:val="00F579FC"/>
  </w:style>
  <w:style w:type="paragraph" w:styleId="BodyTextFirstIndent2">
    <w:name w:val="Body Text First Indent 2"/>
    <w:basedOn w:val="BodyTextIndent"/>
    <w:link w:val="BodyTextFirstIndent2Char"/>
    <w:uiPriority w:val="99"/>
    <w:semiHidden/>
    <w:unhideWhenUsed/>
    <w:rsid w:val="00F579FC"/>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F579FC"/>
  </w:style>
  <w:style w:type="paragraph" w:styleId="BodyTextIndent2">
    <w:name w:val="Body Text Indent 2"/>
    <w:basedOn w:val="Normal"/>
    <w:link w:val="BodyTextIndent2Char"/>
    <w:uiPriority w:val="99"/>
    <w:semiHidden/>
    <w:unhideWhenUsed/>
    <w:rsid w:val="00F579FC"/>
    <w:pPr>
      <w:spacing w:after="120" w:line="480" w:lineRule="auto"/>
      <w:ind w:left="283"/>
    </w:pPr>
  </w:style>
  <w:style w:type="character" w:customStyle="1" w:styleId="BodyTextIndent2Char">
    <w:name w:val="Body Text Indent 2 Char"/>
    <w:basedOn w:val="DefaultParagraphFont"/>
    <w:link w:val="BodyTextIndent2"/>
    <w:uiPriority w:val="99"/>
    <w:semiHidden/>
    <w:rsid w:val="00F579FC"/>
  </w:style>
  <w:style w:type="paragraph" w:styleId="BodyTextIndent3">
    <w:name w:val="Body Text Indent 3"/>
    <w:basedOn w:val="Normal"/>
    <w:link w:val="BodyTextIndent3Char"/>
    <w:uiPriority w:val="99"/>
    <w:semiHidden/>
    <w:unhideWhenUsed/>
    <w:rsid w:val="00F579FC"/>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579FC"/>
    <w:rPr>
      <w:sz w:val="16"/>
      <w:szCs w:val="16"/>
    </w:rPr>
  </w:style>
  <w:style w:type="paragraph" w:styleId="Closing">
    <w:name w:val="Closing"/>
    <w:basedOn w:val="Normal"/>
    <w:link w:val="ClosingChar"/>
    <w:uiPriority w:val="99"/>
    <w:semiHidden/>
    <w:unhideWhenUsed/>
    <w:rsid w:val="00F579FC"/>
    <w:pPr>
      <w:spacing w:after="0"/>
      <w:ind w:left="4252"/>
    </w:pPr>
  </w:style>
  <w:style w:type="character" w:customStyle="1" w:styleId="ClosingChar">
    <w:name w:val="Closing Char"/>
    <w:basedOn w:val="DefaultParagraphFont"/>
    <w:link w:val="Closing"/>
    <w:uiPriority w:val="99"/>
    <w:semiHidden/>
    <w:rsid w:val="00F579FC"/>
  </w:style>
  <w:style w:type="paragraph" w:styleId="Date">
    <w:name w:val="Date"/>
    <w:basedOn w:val="Normal"/>
    <w:next w:val="Normal"/>
    <w:link w:val="DateChar"/>
    <w:uiPriority w:val="99"/>
    <w:semiHidden/>
    <w:unhideWhenUsed/>
    <w:rsid w:val="00F579FC"/>
  </w:style>
  <w:style w:type="character" w:customStyle="1" w:styleId="DateChar">
    <w:name w:val="Date Char"/>
    <w:basedOn w:val="DefaultParagraphFont"/>
    <w:link w:val="Date"/>
    <w:uiPriority w:val="99"/>
    <w:semiHidden/>
    <w:rsid w:val="00F579FC"/>
  </w:style>
  <w:style w:type="paragraph" w:styleId="DocumentMap">
    <w:name w:val="Document Map"/>
    <w:basedOn w:val="Normal"/>
    <w:link w:val="DocumentMapChar"/>
    <w:uiPriority w:val="99"/>
    <w:semiHidden/>
    <w:unhideWhenUsed/>
    <w:rsid w:val="00F579FC"/>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579FC"/>
    <w:rPr>
      <w:rFonts w:ascii="Segoe UI" w:hAnsi="Segoe UI" w:cs="Segoe UI"/>
      <w:sz w:val="16"/>
      <w:szCs w:val="16"/>
    </w:rPr>
  </w:style>
  <w:style w:type="paragraph" w:styleId="E-mailSignature">
    <w:name w:val="E-mail Signature"/>
    <w:basedOn w:val="Normal"/>
    <w:link w:val="E-mailSignatureChar"/>
    <w:uiPriority w:val="99"/>
    <w:semiHidden/>
    <w:unhideWhenUsed/>
    <w:rsid w:val="00F579FC"/>
    <w:pPr>
      <w:spacing w:after="0"/>
    </w:pPr>
  </w:style>
  <w:style w:type="character" w:customStyle="1" w:styleId="E-mailSignatureChar">
    <w:name w:val="E-mail Signature Char"/>
    <w:basedOn w:val="DefaultParagraphFont"/>
    <w:link w:val="E-mailSignature"/>
    <w:uiPriority w:val="99"/>
    <w:semiHidden/>
    <w:rsid w:val="00F579FC"/>
  </w:style>
  <w:style w:type="paragraph" w:styleId="EndnoteText">
    <w:name w:val="endnote text"/>
    <w:basedOn w:val="Normal"/>
    <w:link w:val="EndnoteTextChar"/>
    <w:uiPriority w:val="99"/>
    <w:semiHidden/>
    <w:unhideWhenUsed/>
    <w:rsid w:val="00F579FC"/>
    <w:pPr>
      <w:spacing w:after="0"/>
    </w:pPr>
    <w:rPr>
      <w:sz w:val="20"/>
      <w:szCs w:val="20"/>
    </w:rPr>
  </w:style>
  <w:style w:type="character" w:customStyle="1" w:styleId="EndnoteTextChar">
    <w:name w:val="Endnote Text Char"/>
    <w:basedOn w:val="DefaultParagraphFont"/>
    <w:link w:val="EndnoteText"/>
    <w:uiPriority w:val="99"/>
    <w:semiHidden/>
    <w:rsid w:val="00F579FC"/>
    <w:rPr>
      <w:sz w:val="20"/>
      <w:szCs w:val="20"/>
    </w:rPr>
  </w:style>
  <w:style w:type="paragraph" w:styleId="EnvelopeAddress">
    <w:name w:val="envelope address"/>
    <w:basedOn w:val="Normal"/>
    <w:uiPriority w:val="99"/>
    <w:semiHidden/>
    <w:unhideWhenUsed/>
    <w:rsid w:val="00F579FC"/>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F579FC"/>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F579FC"/>
    <w:pPr>
      <w:spacing w:after="0"/>
    </w:pPr>
    <w:rPr>
      <w:i/>
      <w:iCs/>
    </w:rPr>
  </w:style>
  <w:style w:type="character" w:customStyle="1" w:styleId="HTMLAddressChar">
    <w:name w:val="HTML Address Char"/>
    <w:basedOn w:val="DefaultParagraphFont"/>
    <w:link w:val="HTMLAddress"/>
    <w:uiPriority w:val="99"/>
    <w:semiHidden/>
    <w:rsid w:val="00F579FC"/>
    <w:rPr>
      <w:i/>
      <w:iCs/>
    </w:rPr>
  </w:style>
  <w:style w:type="paragraph" w:styleId="HTMLPreformatted">
    <w:name w:val="HTML Preformatted"/>
    <w:basedOn w:val="Normal"/>
    <w:link w:val="HTMLPreformattedChar"/>
    <w:uiPriority w:val="99"/>
    <w:semiHidden/>
    <w:unhideWhenUsed/>
    <w:rsid w:val="00F579FC"/>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F579FC"/>
    <w:rPr>
      <w:rFonts w:ascii="Consolas" w:hAnsi="Consolas" w:cs="Consolas"/>
      <w:sz w:val="20"/>
      <w:szCs w:val="20"/>
    </w:rPr>
  </w:style>
  <w:style w:type="paragraph" w:styleId="Index1">
    <w:name w:val="index 1"/>
    <w:basedOn w:val="Normal"/>
    <w:next w:val="Normal"/>
    <w:autoRedefine/>
    <w:uiPriority w:val="99"/>
    <w:semiHidden/>
    <w:unhideWhenUsed/>
    <w:rsid w:val="00F579FC"/>
    <w:pPr>
      <w:spacing w:after="0"/>
      <w:ind w:left="240" w:hanging="240"/>
    </w:pPr>
  </w:style>
  <w:style w:type="paragraph" w:styleId="Index2">
    <w:name w:val="index 2"/>
    <w:basedOn w:val="Normal"/>
    <w:next w:val="Normal"/>
    <w:autoRedefine/>
    <w:uiPriority w:val="99"/>
    <w:semiHidden/>
    <w:unhideWhenUsed/>
    <w:rsid w:val="00F579FC"/>
    <w:pPr>
      <w:spacing w:after="0"/>
      <w:ind w:left="480" w:hanging="240"/>
    </w:pPr>
  </w:style>
  <w:style w:type="paragraph" w:styleId="Index3">
    <w:name w:val="index 3"/>
    <w:basedOn w:val="Normal"/>
    <w:next w:val="Normal"/>
    <w:autoRedefine/>
    <w:uiPriority w:val="99"/>
    <w:semiHidden/>
    <w:unhideWhenUsed/>
    <w:rsid w:val="00F579FC"/>
    <w:pPr>
      <w:spacing w:after="0"/>
      <w:ind w:left="720" w:hanging="240"/>
    </w:pPr>
  </w:style>
  <w:style w:type="paragraph" w:styleId="Index4">
    <w:name w:val="index 4"/>
    <w:basedOn w:val="Normal"/>
    <w:next w:val="Normal"/>
    <w:autoRedefine/>
    <w:uiPriority w:val="99"/>
    <w:semiHidden/>
    <w:unhideWhenUsed/>
    <w:rsid w:val="00F579FC"/>
    <w:pPr>
      <w:spacing w:after="0"/>
      <w:ind w:left="960" w:hanging="240"/>
    </w:pPr>
  </w:style>
  <w:style w:type="paragraph" w:styleId="Index5">
    <w:name w:val="index 5"/>
    <w:basedOn w:val="Normal"/>
    <w:next w:val="Normal"/>
    <w:autoRedefine/>
    <w:uiPriority w:val="99"/>
    <w:semiHidden/>
    <w:unhideWhenUsed/>
    <w:rsid w:val="00F579FC"/>
    <w:pPr>
      <w:spacing w:after="0"/>
      <w:ind w:left="1200" w:hanging="240"/>
    </w:pPr>
  </w:style>
  <w:style w:type="paragraph" w:styleId="Index6">
    <w:name w:val="index 6"/>
    <w:basedOn w:val="Normal"/>
    <w:next w:val="Normal"/>
    <w:autoRedefine/>
    <w:uiPriority w:val="99"/>
    <w:semiHidden/>
    <w:unhideWhenUsed/>
    <w:rsid w:val="00F579FC"/>
    <w:pPr>
      <w:spacing w:after="0"/>
      <w:ind w:left="1440" w:hanging="240"/>
    </w:pPr>
  </w:style>
  <w:style w:type="paragraph" w:styleId="Index7">
    <w:name w:val="index 7"/>
    <w:basedOn w:val="Normal"/>
    <w:next w:val="Normal"/>
    <w:autoRedefine/>
    <w:uiPriority w:val="99"/>
    <w:semiHidden/>
    <w:unhideWhenUsed/>
    <w:rsid w:val="00F579FC"/>
    <w:pPr>
      <w:spacing w:after="0"/>
      <w:ind w:left="1680" w:hanging="240"/>
    </w:pPr>
  </w:style>
  <w:style w:type="paragraph" w:styleId="Index8">
    <w:name w:val="index 8"/>
    <w:basedOn w:val="Normal"/>
    <w:next w:val="Normal"/>
    <w:autoRedefine/>
    <w:uiPriority w:val="99"/>
    <w:semiHidden/>
    <w:unhideWhenUsed/>
    <w:rsid w:val="00F579FC"/>
    <w:pPr>
      <w:spacing w:after="0"/>
      <w:ind w:left="1920" w:hanging="240"/>
    </w:pPr>
  </w:style>
  <w:style w:type="paragraph" w:styleId="Index9">
    <w:name w:val="index 9"/>
    <w:basedOn w:val="Normal"/>
    <w:next w:val="Normal"/>
    <w:autoRedefine/>
    <w:uiPriority w:val="99"/>
    <w:semiHidden/>
    <w:unhideWhenUsed/>
    <w:rsid w:val="00F579FC"/>
    <w:pPr>
      <w:spacing w:after="0"/>
      <w:ind w:left="2160" w:hanging="240"/>
    </w:pPr>
  </w:style>
  <w:style w:type="paragraph" w:styleId="IndexHeading">
    <w:name w:val="index heading"/>
    <w:basedOn w:val="Normal"/>
    <w:next w:val="Index1"/>
    <w:uiPriority w:val="99"/>
    <w:semiHidden/>
    <w:unhideWhenUsed/>
    <w:rsid w:val="00F579F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F579FC"/>
    <w:pPr>
      <w:pBdr>
        <w:top w:val="single" w:sz="4" w:space="10" w:color="00A9CE" w:themeColor="accent1"/>
        <w:bottom w:val="single" w:sz="4" w:space="10" w:color="00A9CE" w:themeColor="accent1"/>
      </w:pBdr>
      <w:spacing w:before="360" w:after="360"/>
      <w:ind w:left="864" w:right="864"/>
      <w:jc w:val="center"/>
    </w:pPr>
    <w:rPr>
      <w:i/>
      <w:iCs/>
      <w:color w:val="00A9CE" w:themeColor="accent1"/>
    </w:rPr>
  </w:style>
  <w:style w:type="character" w:customStyle="1" w:styleId="IntenseQuoteChar">
    <w:name w:val="Intense Quote Char"/>
    <w:basedOn w:val="DefaultParagraphFont"/>
    <w:link w:val="IntenseQuote"/>
    <w:uiPriority w:val="30"/>
    <w:rsid w:val="00F579FC"/>
    <w:rPr>
      <w:i/>
      <w:iCs/>
      <w:color w:val="00A9CE" w:themeColor="accent1"/>
    </w:rPr>
  </w:style>
  <w:style w:type="paragraph" w:styleId="List">
    <w:name w:val="List"/>
    <w:basedOn w:val="Normal"/>
    <w:uiPriority w:val="99"/>
    <w:semiHidden/>
    <w:unhideWhenUsed/>
    <w:rsid w:val="00F579FC"/>
    <w:pPr>
      <w:ind w:left="283" w:hanging="283"/>
      <w:contextualSpacing/>
    </w:pPr>
  </w:style>
  <w:style w:type="paragraph" w:styleId="List2">
    <w:name w:val="List 2"/>
    <w:basedOn w:val="Normal"/>
    <w:uiPriority w:val="99"/>
    <w:semiHidden/>
    <w:unhideWhenUsed/>
    <w:rsid w:val="00F579FC"/>
    <w:pPr>
      <w:ind w:left="566" w:hanging="283"/>
      <w:contextualSpacing/>
    </w:pPr>
  </w:style>
  <w:style w:type="paragraph" w:styleId="List3">
    <w:name w:val="List 3"/>
    <w:basedOn w:val="Normal"/>
    <w:uiPriority w:val="99"/>
    <w:semiHidden/>
    <w:unhideWhenUsed/>
    <w:rsid w:val="00F579FC"/>
    <w:pPr>
      <w:ind w:left="849" w:hanging="283"/>
      <w:contextualSpacing/>
    </w:pPr>
  </w:style>
  <w:style w:type="paragraph" w:styleId="List4">
    <w:name w:val="List 4"/>
    <w:basedOn w:val="Normal"/>
    <w:uiPriority w:val="99"/>
    <w:semiHidden/>
    <w:unhideWhenUsed/>
    <w:rsid w:val="00F579FC"/>
    <w:pPr>
      <w:ind w:left="1132" w:hanging="283"/>
      <w:contextualSpacing/>
    </w:pPr>
  </w:style>
  <w:style w:type="paragraph" w:styleId="List5">
    <w:name w:val="List 5"/>
    <w:basedOn w:val="Normal"/>
    <w:uiPriority w:val="99"/>
    <w:semiHidden/>
    <w:unhideWhenUsed/>
    <w:rsid w:val="00F579FC"/>
    <w:pPr>
      <w:ind w:left="1415" w:hanging="283"/>
      <w:contextualSpacing/>
    </w:pPr>
  </w:style>
  <w:style w:type="paragraph" w:styleId="ListBullet2">
    <w:name w:val="List Bullet 2"/>
    <w:basedOn w:val="Normal"/>
    <w:uiPriority w:val="99"/>
    <w:semiHidden/>
    <w:unhideWhenUsed/>
    <w:rsid w:val="00F579FC"/>
    <w:pPr>
      <w:numPr>
        <w:numId w:val="18"/>
      </w:numPr>
      <w:contextualSpacing/>
    </w:pPr>
  </w:style>
  <w:style w:type="paragraph" w:styleId="ListBullet3">
    <w:name w:val="List Bullet 3"/>
    <w:basedOn w:val="Normal"/>
    <w:uiPriority w:val="99"/>
    <w:semiHidden/>
    <w:unhideWhenUsed/>
    <w:rsid w:val="00F579FC"/>
    <w:pPr>
      <w:numPr>
        <w:numId w:val="88"/>
      </w:numPr>
      <w:contextualSpacing/>
    </w:pPr>
  </w:style>
  <w:style w:type="paragraph" w:styleId="ListContinue">
    <w:name w:val="List Continue"/>
    <w:basedOn w:val="Normal"/>
    <w:uiPriority w:val="99"/>
    <w:semiHidden/>
    <w:unhideWhenUsed/>
    <w:rsid w:val="00F579FC"/>
    <w:pPr>
      <w:spacing w:after="120"/>
      <w:ind w:left="283"/>
      <w:contextualSpacing/>
    </w:pPr>
  </w:style>
  <w:style w:type="paragraph" w:styleId="ListContinue2">
    <w:name w:val="List Continue 2"/>
    <w:basedOn w:val="Normal"/>
    <w:uiPriority w:val="99"/>
    <w:semiHidden/>
    <w:unhideWhenUsed/>
    <w:rsid w:val="00F579FC"/>
    <w:pPr>
      <w:spacing w:after="120"/>
      <w:ind w:left="566"/>
      <w:contextualSpacing/>
    </w:pPr>
  </w:style>
  <w:style w:type="paragraph" w:styleId="ListContinue3">
    <w:name w:val="List Continue 3"/>
    <w:basedOn w:val="Normal"/>
    <w:uiPriority w:val="99"/>
    <w:semiHidden/>
    <w:unhideWhenUsed/>
    <w:rsid w:val="00F579FC"/>
    <w:pPr>
      <w:spacing w:after="120"/>
      <w:ind w:left="849"/>
      <w:contextualSpacing/>
    </w:pPr>
  </w:style>
  <w:style w:type="paragraph" w:styleId="ListContinue4">
    <w:name w:val="List Continue 4"/>
    <w:basedOn w:val="Normal"/>
    <w:uiPriority w:val="99"/>
    <w:semiHidden/>
    <w:unhideWhenUsed/>
    <w:rsid w:val="00F579FC"/>
    <w:pPr>
      <w:spacing w:after="120"/>
      <w:ind w:left="1132"/>
      <w:contextualSpacing/>
    </w:pPr>
  </w:style>
  <w:style w:type="paragraph" w:styleId="ListContinue5">
    <w:name w:val="List Continue 5"/>
    <w:basedOn w:val="Normal"/>
    <w:uiPriority w:val="99"/>
    <w:semiHidden/>
    <w:unhideWhenUsed/>
    <w:rsid w:val="00F579FC"/>
    <w:pPr>
      <w:spacing w:after="120"/>
      <w:ind w:left="1415"/>
      <w:contextualSpacing/>
    </w:pPr>
  </w:style>
  <w:style w:type="paragraph" w:styleId="ListNumber">
    <w:name w:val="List Number"/>
    <w:basedOn w:val="Normal"/>
    <w:uiPriority w:val="99"/>
    <w:semiHidden/>
    <w:unhideWhenUsed/>
    <w:rsid w:val="00F579FC"/>
    <w:pPr>
      <w:numPr>
        <w:numId w:val="47"/>
      </w:numPr>
      <w:contextualSpacing/>
    </w:pPr>
  </w:style>
  <w:style w:type="paragraph" w:styleId="ListNumber2">
    <w:name w:val="List Number 2"/>
    <w:basedOn w:val="Normal"/>
    <w:uiPriority w:val="99"/>
    <w:semiHidden/>
    <w:unhideWhenUsed/>
    <w:rsid w:val="00F579FC"/>
    <w:pPr>
      <w:numPr>
        <w:numId w:val="89"/>
      </w:numPr>
      <w:contextualSpacing/>
    </w:pPr>
  </w:style>
  <w:style w:type="paragraph" w:styleId="ListNumber3">
    <w:name w:val="List Number 3"/>
    <w:basedOn w:val="Normal"/>
    <w:uiPriority w:val="99"/>
    <w:semiHidden/>
    <w:unhideWhenUsed/>
    <w:rsid w:val="00F579FC"/>
    <w:pPr>
      <w:numPr>
        <w:numId w:val="90"/>
      </w:numPr>
      <w:contextualSpacing/>
    </w:pPr>
  </w:style>
  <w:style w:type="paragraph" w:styleId="ListNumber4">
    <w:name w:val="List Number 4"/>
    <w:basedOn w:val="Normal"/>
    <w:uiPriority w:val="99"/>
    <w:semiHidden/>
    <w:unhideWhenUsed/>
    <w:rsid w:val="00F579FC"/>
    <w:pPr>
      <w:numPr>
        <w:numId w:val="91"/>
      </w:numPr>
      <w:contextualSpacing/>
    </w:pPr>
  </w:style>
  <w:style w:type="paragraph" w:styleId="ListNumber5">
    <w:name w:val="List Number 5"/>
    <w:basedOn w:val="Normal"/>
    <w:uiPriority w:val="99"/>
    <w:semiHidden/>
    <w:unhideWhenUsed/>
    <w:rsid w:val="00F579FC"/>
    <w:pPr>
      <w:numPr>
        <w:numId w:val="92"/>
      </w:numPr>
      <w:contextualSpacing/>
    </w:pPr>
  </w:style>
  <w:style w:type="paragraph" w:styleId="MacroText">
    <w:name w:val="macro"/>
    <w:link w:val="MacroTextChar"/>
    <w:uiPriority w:val="99"/>
    <w:semiHidden/>
    <w:unhideWhenUsed/>
    <w:rsid w:val="00F579F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F579FC"/>
    <w:rPr>
      <w:rFonts w:ascii="Consolas" w:hAnsi="Consolas" w:cs="Consolas"/>
      <w:sz w:val="20"/>
      <w:szCs w:val="20"/>
    </w:rPr>
  </w:style>
  <w:style w:type="paragraph" w:styleId="MessageHeader">
    <w:name w:val="Message Header"/>
    <w:basedOn w:val="Normal"/>
    <w:link w:val="MessageHeaderChar"/>
    <w:uiPriority w:val="99"/>
    <w:semiHidden/>
    <w:unhideWhenUsed/>
    <w:rsid w:val="00F579FC"/>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F579FC"/>
    <w:rPr>
      <w:rFonts w:asciiTheme="majorHAnsi" w:eastAsiaTheme="majorEastAsia" w:hAnsiTheme="majorHAnsi" w:cstheme="majorBidi"/>
      <w:shd w:val="pct20" w:color="auto" w:fill="auto"/>
    </w:rPr>
  </w:style>
  <w:style w:type="paragraph" w:styleId="NoSpacing">
    <w:name w:val="No Spacing"/>
    <w:uiPriority w:val="1"/>
    <w:qFormat/>
    <w:rsid w:val="00F579FC"/>
    <w:pPr>
      <w:spacing w:after="0"/>
    </w:pPr>
  </w:style>
  <w:style w:type="paragraph" w:styleId="NormalIndent">
    <w:name w:val="Normal Indent"/>
    <w:basedOn w:val="Normal"/>
    <w:uiPriority w:val="99"/>
    <w:semiHidden/>
    <w:unhideWhenUsed/>
    <w:rsid w:val="00F579FC"/>
    <w:pPr>
      <w:ind w:left="720"/>
    </w:pPr>
  </w:style>
  <w:style w:type="paragraph" w:styleId="NoteHeading">
    <w:name w:val="Note Heading"/>
    <w:basedOn w:val="Normal"/>
    <w:next w:val="Normal"/>
    <w:link w:val="NoteHeadingChar"/>
    <w:uiPriority w:val="99"/>
    <w:semiHidden/>
    <w:unhideWhenUsed/>
    <w:rsid w:val="00F579FC"/>
    <w:pPr>
      <w:spacing w:after="0"/>
    </w:pPr>
  </w:style>
  <w:style w:type="character" w:customStyle="1" w:styleId="NoteHeadingChar">
    <w:name w:val="Note Heading Char"/>
    <w:basedOn w:val="DefaultParagraphFont"/>
    <w:link w:val="NoteHeading"/>
    <w:uiPriority w:val="99"/>
    <w:semiHidden/>
    <w:rsid w:val="00F579FC"/>
  </w:style>
  <w:style w:type="paragraph" w:styleId="PlainText">
    <w:name w:val="Plain Text"/>
    <w:basedOn w:val="Normal"/>
    <w:link w:val="PlainTextChar"/>
    <w:uiPriority w:val="99"/>
    <w:semiHidden/>
    <w:unhideWhenUsed/>
    <w:rsid w:val="00F579FC"/>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F579FC"/>
    <w:rPr>
      <w:rFonts w:ascii="Consolas" w:hAnsi="Consolas" w:cs="Consolas"/>
      <w:sz w:val="21"/>
      <w:szCs w:val="21"/>
    </w:rPr>
  </w:style>
  <w:style w:type="paragraph" w:styleId="Quote">
    <w:name w:val="Quote"/>
    <w:basedOn w:val="Normal"/>
    <w:next w:val="Normal"/>
    <w:link w:val="QuoteChar"/>
    <w:uiPriority w:val="29"/>
    <w:qFormat/>
    <w:rsid w:val="00F579F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F579FC"/>
    <w:rPr>
      <w:i/>
      <w:iCs/>
      <w:color w:val="404040" w:themeColor="text1" w:themeTint="BF"/>
    </w:rPr>
  </w:style>
  <w:style w:type="paragraph" w:styleId="Salutation">
    <w:name w:val="Salutation"/>
    <w:basedOn w:val="Normal"/>
    <w:next w:val="Normal"/>
    <w:link w:val="SalutationChar"/>
    <w:uiPriority w:val="99"/>
    <w:semiHidden/>
    <w:unhideWhenUsed/>
    <w:rsid w:val="00F579FC"/>
  </w:style>
  <w:style w:type="character" w:customStyle="1" w:styleId="SalutationChar">
    <w:name w:val="Salutation Char"/>
    <w:basedOn w:val="DefaultParagraphFont"/>
    <w:link w:val="Salutation"/>
    <w:uiPriority w:val="99"/>
    <w:semiHidden/>
    <w:rsid w:val="00F579FC"/>
  </w:style>
  <w:style w:type="paragraph" w:styleId="Signature">
    <w:name w:val="Signature"/>
    <w:basedOn w:val="Normal"/>
    <w:link w:val="SignatureChar"/>
    <w:uiPriority w:val="99"/>
    <w:semiHidden/>
    <w:unhideWhenUsed/>
    <w:rsid w:val="00F579FC"/>
    <w:pPr>
      <w:spacing w:after="0"/>
      <w:ind w:left="4252"/>
    </w:pPr>
  </w:style>
  <w:style w:type="character" w:customStyle="1" w:styleId="SignatureChar">
    <w:name w:val="Signature Char"/>
    <w:basedOn w:val="DefaultParagraphFont"/>
    <w:link w:val="Signature"/>
    <w:uiPriority w:val="99"/>
    <w:semiHidden/>
    <w:rsid w:val="00F579FC"/>
  </w:style>
  <w:style w:type="paragraph" w:styleId="Subtitle">
    <w:name w:val="Subtitle"/>
    <w:basedOn w:val="Normal"/>
    <w:next w:val="Normal"/>
    <w:link w:val="SubtitleChar"/>
    <w:uiPriority w:val="11"/>
    <w:qFormat/>
    <w:rsid w:val="00F579FC"/>
    <w:pPr>
      <w:numPr>
        <w:ilvl w:val="1"/>
      </w:numPr>
      <w:spacing w:after="160"/>
    </w:pPr>
    <w:rPr>
      <w:color w:val="5A5A5A" w:themeColor="text1" w:themeTint="A5"/>
      <w:spacing w:val="15"/>
      <w:sz w:val="22"/>
      <w:szCs w:val="22"/>
    </w:rPr>
  </w:style>
  <w:style w:type="character" w:customStyle="1" w:styleId="SubtitleChar">
    <w:name w:val="Subtitle Char"/>
    <w:basedOn w:val="DefaultParagraphFont"/>
    <w:link w:val="Subtitle"/>
    <w:uiPriority w:val="11"/>
    <w:rsid w:val="00F579FC"/>
    <w:rPr>
      <w:color w:val="5A5A5A" w:themeColor="text1" w:themeTint="A5"/>
      <w:spacing w:val="15"/>
      <w:sz w:val="22"/>
      <w:szCs w:val="22"/>
    </w:rPr>
  </w:style>
  <w:style w:type="paragraph" w:styleId="TableofAuthorities">
    <w:name w:val="table of authorities"/>
    <w:basedOn w:val="Normal"/>
    <w:next w:val="Normal"/>
    <w:uiPriority w:val="99"/>
    <w:semiHidden/>
    <w:unhideWhenUsed/>
    <w:rsid w:val="00F579FC"/>
    <w:pPr>
      <w:spacing w:after="0"/>
      <w:ind w:left="240" w:hanging="240"/>
    </w:pPr>
  </w:style>
  <w:style w:type="paragraph" w:styleId="TOAHeading">
    <w:name w:val="toa heading"/>
    <w:basedOn w:val="Normal"/>
    <w:next w:val="Normal"/>
    <w:uiPriority w:val="99"/>
    <w:semiHidden/>
    <w:unhideWhenUsed/>
    <w:rsid w:val="00F579FC"/>
    <w:pPr>
      <w:spacing w:before="120"/>
    </w:pPr>
    <w:rPr>
      <w:rFonts w:asciiTheme="majorHAnsi" w:eastAsiaTheme="majorEastAsia" w:hAnsiTheme="majorHAnsi" w:cstheme="maj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11291">
      <w:bodyDiv w:val="1"/>
      <w:marLeft w:val="0"/>
      <w:marRight w:val="0"/>
      <w:marTop w:val="0"/>
      <w:marBottom w:val="0"/>
      <w:divBdr>
        <w:top w:val="none" w:sz="0" w:space="0" w:color="auto"/>
        <w:left w:val="none" w:sz="0" w:space="0" w:color="auto"/>
        <w:bottom w:val="none" w:sz="0" w:space="0" w:color="auto"/>
        <w:right w:val="none" w:sz="0" w:space="0" w:color="auto"/>
      </w:divBdr>
    </w:div>
    <w:div w:id="4287060">
      <w:bodyDiv w:val="1"/>
      <w:marLeft w:val="0"/>
      <w:marRight w:val="0"/>
      <w:marTop w:val="0"/>
      <w:marBottom w:val="0"/>
      <w:divBdr>
        <w:top w:val="none" w:sz="0" w:space="0" w:color="auto"/>
        <w:left w:val="none" w:sz="0" w:space="0" w:color="auto"/>
        <w:bottom w:val="none" w:sz="0" w:space="0" w:color="auto"/>
        <w:right w:val="none" w:sz="0" w:space="0" w:color="auto"/>
      </w:divBdr>
    </w:div>
    <w:div w:id="8945435">
      <w:bodyDiv w:val="1"/>
      <w:marLeft w:val="0"/>
      <w:marRight w:val="0"/>
      <w:marTop w:val="0"/>
      <w:marBottom w:val="0"/>
      <w:divBdr>
        <w:top w:val="none" w:sz="0" w:space="0" w:color="auto"/>
        <w:left w:val="none" w:sz="0" w:space="0" w:color="auto"/>
        <w:bottom w:val="none" w:sz="0" w:space="0" w:color="auto"/>
        <w:right w:val="none" w:sz="0" w:space="0" w:color="auto"/>
      </w:divBdr>
    </w:div>
    <w:div w:id="24521255">
      <w:bodyDiv w:val="1"/>
      <w:marLeft w:val="0"/>
      <w:marRight w:val="0"/>
      <w:marTop w:val="0"/>
      <w:marBottom w:val="0"/>
      <w:divBdr>
        <w:top w:val="none" w:sz="0" w:space="0" w:color="auto"/>
        <w:left w:val="none" w:sz="0" w:space="0" w:color="auto"/>
        <w:bottom w:val="none" w:sz="0" w:space="0" w:color="auto"/>
        <w:right w:val="none" w:sz="0" w:space="0" w:color="auto"/>
      </w:divBdr>
    </w:div>
    <w:div w:id="29572223">
      <w:bodyDiv w:val="1"/>
      <w:marLeft w:val="0"/>
      <w:marRight w:val="0"/>
      <w:marTop w:val="0"/>
      <w:marBottom w:val="0"/>
      <w:divBdr>
        <w:top w:val="none" w:sz="0" w:space="0" w:color="auto"/>
        <w:left w:val="none" w:sz="0" w:space="0" w:color="auto"/>
        <w:bottom w:val="none" w:sz="0" w:space="0" w:color="auto"/>
        <w:right w:val="none" w:sz="0" w:space="0" w:color="auto"/>
      </w:divBdr>
    </w:div>
    <w:div w:id="33236349">
      <w:bodyDiv w:val="1"/>
      <w:marLeft w:val="0"/>
      <w:marRight w:val="0"/>
      <w:marTop w:val="0"/>
      <w:marBottom w:val="0"/>
      <w:divBdr>
        <w:top w:val="none" w:sz="0" w:space="0" w:color="auto"/>
        <w:left w:val="none" w:sz="0" w:space="0" w:color="auto"/>
        <w:bottom w:val="none" w:sz="0" w:space="0" w:color="auto"/>
        <w:right w:val="none" w:sz="0" w:space="0" w:color="auto"/>
      </w:divBdr>
    </w:div>
    <w:div w:id="42023839">
      <w:bodyDiv w:val="1"/>
      <w:marLeft w:val="0"/>
      <w:marRight w:val="0"/>
      <w:marTop w:val="0"/>
      <w:marBottom w:val="0"/>
      <w:divBdr>
        <w:top w:val="none" w:sz="0" w:space="0" w:color="auto"/>
        <w:left w:val="none" w:sz="0" w:space="0" w:color="auto"/>
        <w:bottom w:val="none" w:sz="0" w:space="0" w:color="auto"/>
        <w:right w:val="none" w:sz="0" w:space="0" w:color="auto"/>
      </w:divBdr>
    </w:div>
    <w:div w:id="44986929">
      <w:bodyDiv w:val="1"/>
      <w:marLeft w:val="0"/>
      <w:marRight w:val="0"/>
      <w:marTop w:val="0"/>
      <w:marBottom w:val="0"/>
      <w:divBdr>
        <w:top w:val="none" w:sz="0" w:space="0" w:color="auto"/>
        <w:left w:val="none" w:sz="0" w:space="0" w:color="auto"/>
        <w:bottom w:val="none" w:sz="0" w:space="0" w:color="auto"/>
        <w:right w:val="none" w:sz="0" w:space="0" w:color="auto"/>
      </w:divBdr>
    </w:div>
    <w:div w:id="48648399">
      <w:bodyDiv w:val="1"/>
      <w:marLeft w:val="0"/>
      <w:marRight w:val="0"/>
      <w:marTop w:val="0"/>
      <w:marBottom w:val="0"/>
      <w:divBdr>
        <w:top w:val="none" w:sz="0" w:space="0" w:color="auto"/>
        <w:left w:val="none" w:sz="0" w:space="0" w:color="auto"/>
        <w:bottom w:val="none" w:sz="0" w:space="0" w:color="auto"/>
        <w:right w:val="none" w:sz="0" w:space="0" w:color="auto"/>
      </w:divBdr>
      <w:divsChild>
        <w:div w:id="859659297">
          <w:marLeft w:val="0"/>
          <w:marRight w:val="0"/>
          <w:marTop w:val="0"/>
          <w:marBottom w:val="0"/>
          <w:divBdr>
            <w:top w:val="none" w:sz="0" w:space="0" w:color="auto"/>
            <w:left w:val="none" w:sz="0" w:space="0" w:color="auto"/>
            <w:bottom w:val="none" w:sz="0" w:space="0" w:color="auto"/>
            <w:right w:val="none" w:sz="0" w:space="0" w:color="auto"/>
          </w:divBdr>
        </w:div>
      </w:divsChild>
    </w:div>
    <w:div w:id="89401829">
      <w:bodyDiv w:val="1"/>
      <w:marLeft w:val="0"/>
      <w:marRight w:val="0"/>
      <w:marTop w:val="0"/>
      <w:marBottom w:val="0"/>
      <w:divBdr>
        <w:top w:val="none" w:sz="0" w:space="0" w:color="auto"/>
        <w:left w:val="none" w:sz="0" w:space="0" w:color="auto"/>
        <w:bottom w:val="none" w:sz="0" w:space="0" w:color="auto"/>
        <w:right w:val="none" w:sz="0" w:space="0" w:color="auto"/>
      </w:divBdr>
    </w:div>
    <w:div w:id="90393204">
      <w:bodyDiv w:val="1"/>
      <w:marLeft w:val="0"/>
      <w:marRight w:val="0"/>
      <w:marTop w:val="0"/>
      <w:marBottom w:val="0"/>
      <w:divBdr>
        <w:top w:val="none" w:sz="0" w:space="0" w:color="auto"/>
        <w:left w:val="none" w:sz="0" w:space="0" w:color="auto"/>
        <w:bottom w:val="none" w:sz="0" w:space="0" w:color="auto"/>
        <w:right w:val="none" w:sz="0" w:space="0" w:color="auto"/>
      </w:divBdr>
    </w:div>
    <w:div w:id="92627155">
      <w:bodyDiv w:val="1"/>
      <w:marLeft w:val="0"/>
      <w:marRight w:val="0"/>
      <w:marTop w:val="0"/>
      <w:marBottom w:val="0"/>
      <w:divBdr>
        <w:top w:val="none" w:sz="0" w:space="0" w:color="auto"/>
        <w:left w:val="none" w:sz="0" w:space="0" w:color="auto"/>
        <w:bottom w:val="none" w:sz="0" w:space="0" w:color="auto"/>
        <w:right w:val="none" w:sz="0" w:space="0" w:color="auto"/>
      </w:divBdr>
    </w:div>
    <w:div w:id="96215235">
      <w:bodyDiv w:val="1"/>
      <w:marLeft w:val="0"/>
      <w:marRight w:val="0"/>
      <w:marTop w:val="0"/>
      <w:marBottom w:val="0"/>
      <w:divBdr>
        <w:top w:val="none" w:sz="0" w:space="0" w:color="auto"/>
        <w:left w:val="none" w:sz="0" w:space="0" w:color="auto"/>
        <w:bottom w:val="none" w:sz="0" w:space="0" w:color="auto"/>
        <w:right w:val="none" w:sz="0" w:space="0" w:color="auto"/>
      </w:divBdr>
    </w:div>
    <w:div w:id="98838559">
      <w:bodyDiv w:val="1"/>
      <w:marLeft w:val="0"/>
      <w:marRight w:val="0"/>
      <w:marTop w:val="0"/>
      <w:marBottom w:val="0"/>
      <w:divBdr>
        <w:top w:val="none" w:sz="0" w:space="0" w:color="auto"/>
        <w:left w:val="none" w:sz="0" w:space="0" w:color="auto"/>
        <w:bottom w:val="none" w:sz="0" w:space="0" w:color="auto"/>
        <w:right w:val="none" w:sz="0" w:space="0" w:color="auto"/>
      </w:divBdr>
      <w:divsChild>
        <w:div w:id="244848355">
          <w:marLeft w:val="0"/>
          <w:marRight w:val="0"/>
          <w:marTop w:val="0"/>
          <w:marBottom w:val="0"/>
          <w:divBdr>
            <w:top w:val="none" w:sz="0" w:space="0" w:color="auto"/>
            <w:left w:val="none" w:sz="0" w:space="0" w:color="auto"/>
            <w:bottom w:val="none" w:sz="0" w:space="0" w:color="auto"/>
            <w:right w:val="none" w:sz="0" w:space="0" w:color="auto"/>
          </w:divBdr>
        </w:div>
      </w:divsChild>
    </w:div>
    <w:div w:id="108666706">
      <w:bodyDiv w:val="1"/>
      <w:marLeft w:val="0"/>
      <w:marRight w:val="0"/>
      <w:marTop w:val="0"/>
      <w:marBottom w:val="0"/>
      <w:divBdr>
        <w:top w:val="none" w:sz="0" w:space="0" w:color="auto"/>
        <w:left w:val="none" w:sz="0" w:space="0" w:color="auto"/>
        <w:bottom w:val="none" w:sz="0" w:space="0" w:color="auto"/>
        <w:right w:val="none" w:sz="0" w:space="0" w:color="auto"/>
      </w:divBdr>
    </w:div>
    <w:div w:id="112672250">
      <w:bodyDiv w:val="1"/>
      <w:marLeft w:val="0"/>
      <w:marRight w:val="0"/>
      <w:marTop w:val="0"/>
      <w:marBottom w:val="0"/>
      <w:divBdr>
        <w:top w:val="none" w:sz="0" w:space="0" w:color="auto"/>
        <w:left w:val="none" w:sz="0" w:space="0" w:color="auto"/>
        <w:bottom w:val="none" w:sz="0" w:space="0" w:color="auto"/>
        <w:right w:val="none" w:sz="0" w:space="0" w:color="auto"/>
      </w:divBdr>
    </w:div>
    <w:div w:id="128209155">
      <w:bodyDiv w:val="1"/>
      <w:marLeft w:val="0"/>
      <w:marRight w:val="0"/>
      <w:marTop w:val="0"/>
      <w:marBottom w:val="0"/>
      <w:divBdr>
        <w:top w:val="none" w:sz="0" w:space="0" w:color="auto"/>
        <w:left w:val="none" w:sz="0" w:space="0" w:color="auto"/>
        <w:bottom w:val="none" w:sz="0" w:space="0" w:color="auto"/>
        <w:right w:val="none" w:sz="0" w:space="0" w:color="auto"/>
      </w:divBdr>
    </w:div>
    <w:div w:id="141627992">
      <w:bodyDiv w:val="1"/>
      <w:marLeft w:val="0"/>
      <w:marRight w:val="0"/>
      <w:marTop w:val="0"/>
      <w:marBottom w:val="0"/>
      <w:divBdr>
        <w:top w:val="none" w:sz="0" w:space="0" w:color="auto"/>
        <w:left w:val="none" w:sz="0" w:space="0" w:color="auto"/>
        <w:bottom w:val="none" w:sz="0" w:space="0" w:color="auto"/>
        <w:right w:val="none" w:sz="0" w:space="0" w:color="auto"/>
      </w:divBdr>
    </w:div>
    <w:div w:id="151676801">
      <w:bodyDiv w:val="1"/>
      <w:marLeft w:val="0"/>
      <w:marRight w:val="0"/>
      <w:marTop w:val="0"/>
      <w:marBottom w:val="0"/>
      <w:divBdr>
        <w:top w:val="none" w:sz="0" w:space="0" w:color="auto"/>
        <w:left w:val="none" w:sz="0" w:space="0" w:color="auto"/>
        <w:bottom w:val="none" w:sz="0" w:space="0" w:color="auto"/>
        <w:right w:val="none" w:sz="0" w:space="0" w:color="auto"/>
      </w:divBdr>
    </w:div>
    <w:div w:id="154031373">
      <w:bodyDiv w:val="1"/>
      <w:marLeft w:val="0"/>
      <w:marRight w:val="0"/>
      <w:marTop w:val="0"/>
      <w:marBottom w:val="0"/>
      <w:divBdr>
        <w:top w:val="none" w:sz="0" w:space="0" w:color="auto"/>
        <w:left w:val="none" w:sz="0" w:space="0" w:color="auto"/>
        <w:bottom w:val="none" w:sz="0" w:space="0" w:color="auto"/>
        <w:right w:val="none" w:sz="0" w:space="0" w:color="auto"/>
      </w:divBdr>
      <w:divsChild>
        <w:div w:id="1892155819">
          <w:marLeft w:val="0"/>
          <w:marRight w:val="0"/>
          <w:marTop w:val="0"/>
          <w:marBottom w:val="0"/>
          <w:divBdr>
            <w:top w:val="none" w:sz="0" w:space="0" w:color="auto"/>
            <w:left w:val="none" w:sz="0" w:space="0" w:color="auto"/>
            <w:bottom w:val="none" w:sz="0" w:space="0" w:color="auto"/>
            <w:right w:val="none" w:sz="0" w:space="0" w:color="auto"/>
          </w:divBdr>
        </w:div>
      </w:divsChild>
    </w:div>
    <w:div w:id="166990186">
      <w:bodyDiv w:val="1"/>
      <w:marLeft w:val="0"/>
      <w:marRight w:val="0"/>
      <w:marTop w:val="0"/>
      <w:marBottom w:val="0"/>
      <w:divBdr>
        <w:top w:val="none" w:sz="0" w:space="0" w:color="auto"/>
        <w:left w:val="none" w:sz="0" w:space="0" w:color="auto"/>
        <w:bottom w:val="none" w:sz="0" w:space="0" w:color="auto"/>
        <w:right w:val="none" w:sz="0" w:space="0" w:color="auto"/>
      </w:divBdr>
    </w:div>
    <w:div w:id="166991905">
      <w:bodyDiv w:val="1"/>
      <w:marLeft w:val="0"/>
      <w:marRight w:val="0"/>
      <w:marTop w:val="0"/>
      <w:marBottom w:val="0"/>
      <w:divBdr>
        <w:top w:val="none" w:sz="0" w:space="0" w:color="auto"/>
        <w:left w:val="none" w:sz="0" w:space="0" w:color="auto"/>
        <w:bottom w:val="none" w:sz="0" w:space="0" w:color="auto"/>
        <w:right w:val="none" w:sz="0" w:space="0" w:color="auto"/>
      </w:divBdr>
      <w:divsChild>
        <w:div w:id="1335035274">
          <w:marLeft w:val="0"/>
          <w:marRight w:val="0"/>
          <w:marTop w:val="0"/>
          <w:marBottom w:val="0"/>
          <w:divBdr>
            <w:top w:val="none" w:sz="0" w:space="0" w:color="auto"/>
            <w:left w:val="none" w:sz="0" w:space="0" w:color="auto"/>
            <w:bottom w:val="none" w:sz="0" w:space="0" w:color="auto"/>
            <w:right w:val="none" w:sz="0" w:space="0" w:color="auto"/>
          </w:divBdr>
        </w:div>
      </w:divsChild>
    </w:div>
    <w:div w:id="169300470">
      <w:bodyDiv w:val="1"/>
      <w:marLeft w:val="0"/>
      <w:marRight w:val="0"/>
      <w:marTop w:val="0"/>
      <w:marBottom w:val="0"/>
      <w:divBdr>
        <w:top w:val="none" w:sz="0" w:space="0" w:color="auto"/>
        <w:left w:val="none" w:sz="0" w:space="0" w:color="auto"/>
        <w:bottom w:val="none" w:sz="0" w:space="0" w:color="auto"/>
        <w:right w:val="none" w:sz="0" w:space="0" w:color="auto"/>
      </w:divBdr>
      <w:divsChild>
        <w:div w:id="1447889511">
          <w:marLeft w:val="0"/>
          <w:marRight w:val="0"/>
          <w:marTop w:val="0"/>
          <w:marBottom w:val="0"/>
          <w:divBdr>
            <w:top w:val="none" w:sz="0" w:space="0" w:color="auto"/>
            <w:left w:val="none" w:sz="0" w:space="0" w:color="auto"/>
            <w:bottom w:val="none" w:sz="0" w:space="0" w:color="auto"/>
            <w:right w:val="none" w:sz="0" w:space="0" w:color="auto"/>
          </w:divBdr>
        </w:div>
      </w:divsChild>
    </w:div>
    <w:div w:id="187529502">
      <w:bodyDiv w:val="1"/>
      <w:marLeft w:val="0"/>
      <w:marRight w:val="0"/>
      <w:marTop w:val="0"/>
      <w:marBottom w:val="0"/>
      <w:divBdr>
        <w:top w:val="none" w:sz="0" w:space="0" w:color="auto"/>
        <w:left w:val="none" w:sz="0" w:space="0" w:color="auto"/>
        <w:bottom w:val="none" w:sz="0" w:space="0" w:color="auto"/>
        <w:right w:val="none" w:sz="0" w:space="0" w:color="auto"/>
      </w:divBdr>
    </w:div>
    <w:div w:id="188644990">
      <w:bodyDiv w:val="1"/>
      <w:marLeft w:val="0"/>
      <w:marRight w:val="0"/>
      <w:marTop w:val="0"/>
      <w:marBottom w:val="0"/>
      <w:divBdr>
        <w:top w:val="none" w:sz="0" w:space="0" w:color="auto"/>
        <w:left w:val="none" w:sz="0" w:space="0" w:color="auto"/>
        <w:bottom w:val="none" w:sz="0" w:space="0" w:color="auto"/>
        <w:right w:val="none" w:sz="0" w:space="0" w:color="auto"/>
      </w:divBdr>
    </w:div>
    <w:div w:id="199173917">
      <w:bodyDiv w:val="1"/>
      <w:marLeft w:val="0"/>
      <w:marRight w:val="0"/>
      <w:marTop w:val="0"/>
      <w:marBottom w:val="0"/>
      <w:divBdr>
        <w:top w:val="none" w:sz="0" w:space="0" w:color="auto"/>
        <w:left w:val="none" w:sz="0" w:space="0" w:color="auto"/>
        <w:bottom w:val="none" w:sz="0" w:space="0" w:color="auto"/>
        <w:right w:val="none" w:sz="0" w:space="0" w:color="auto"/>
      </w:divBdr>
    </w:div>
    <w:div w:id="205652345">
      <w:bodyDiv w:val="1"/>
      <w:marLeft w:val="0"/>
      <w:marRight w:val="0"/>
      <w:marTop w:val="0"/>
      <w:marBottom w:val="0"/>
      <w:divBdr>
        <w:top w:val="none" w:sz="0" w:space="0" w:color="auto"/>
        <w:left w:val="none" w:sz="0" w:space="0" w:color="auto"/>
        <w:bottom w:val="none" w:sz="0" w:space="0" w:color="auto"/>
        <w:right w:val="none" w:sz="0" w:space="0" w:color="auto"/>
      </w:divBdr>
    </w:div>
    <w:div w:id="220143517">
      <w:bodyDiv w:val="1"/>
      <w:marLeft w:val="0"/>
      <w:marRight w:val="0"/>
      <w:marTop w:val="0"/>
      <w:marBottom w:val="0"/>
      <w:divBdr>
        <w:top w:val="none" w:sz="0" w:space="0" w:color="auto"/>
        <w:left w:val="none" w:sz="0" w:space="0" w:color="auto"/>
        <w:bottom w:val="none" w:sz="0" w:space="0" w:color="auto"/>
        <w:right w:val="none" w:sz="0" w:space="0" w:color="auto"/>
      </w:divBdr>
    </w:div>
    <w:div w:id="220555606">
      <w:bodyDiv w:val="1"/>
      <w:marLeft w:val="0"/>
      <w:marRight w:val="0"/>
      <w:marTop w:val="0"/>
      <w:marBottom w:val="0"/>
      <w:divBdr>
        <w:top w:val="none" w:sz="0" w:space="0" w:color="auto"/>
        <w:left w:val="none" w:sz="0" w:space="0" w:color="auto"/>
        <w:bottom w:val="none" w:sz="0" w:space="0" w:color="auto"/>
        <w:right w:val="none" w:sz="0" w:space="0" w:color="auto"/>
      </w:divBdr>
    </w:div>
    <w:div w:id="220946291">
      <w:bodyDiv w:val="1"/>
      <w:marLeft w:val="0"/>
      <w:marRight w:val="0"/>
      <w:marTop w:val="0"/>
      <w:marBottom w:val="0"/>
      <w:divBdr>
        <w:top w:val="none" w:sz="0" w:space="0" w:color="auto"/>
        <w:left w:val="none" w:sz="0" w:space="0" w:color="auto"/>
        <w:bottom w:val="none" w:sz="0" w:space="0" w:color="auto"/>
        <w:right w:val="none" w:sz="0" w:space="0" w:color="auto"/>
      </w:divBdr>
    </w:div>
    <w:div w:id="225189612">
      <w:bodyDiv w:val="1"/>
      <w:marLeft w:val="0"/>
      <w:marRight w:val="0"/>
      <w:marTop w:val="0"/>
      <w:marBottom w:val="0"/>
      <w:divBdr>
        <w:top w:val="none" w:sz="0" w:space="0" w:color="auto"/>
        <w:left w:val="none" w:sz="0" w:space="0" w:color="auto"/>
        <w:bottom w:val="none" w:sz="0" w:space="0" w:color="auto"/>
        <w:right w:val="none" w:sz="0" w:space="0" w:color="auto"/>
      </w:divBdr>
    </w:div>
    <w:div w:id="230310960">
      <w:bodyDiv w:val="1"/>
      <w:marLeft w:val="0"/>
      <w:marRight w:val="0"/>
      <w:marTop w:val="0"/>
      <w:marBottom w:val="0"/>
      <w:divBdr>
        <w:top w:val="none" w:sz="0" w:space="0" w:color="auto"/>
        <w:left w:val="none" w:sz="0" w:space="0" w:color="auto"/>
        <w:bottom w:val="none" w:sz="0" w:space="0" w:color="auto"/>
        <w:right w:val="none" w:sz="0" w:space="0" w:color="auto"/>
      </w:divBdr>
    </w:div>
    <w:div w:id="237402566">
      <w:bodyDiv w:val="1"/>
      <w:marLeft w:val="0"/>
      <w:marRight w:val="0"/>
      <w:marTop w:val="0"/>
      <w:marBottom w:val="0"/>
      <w:divBdr>
        <w:top w:val="none" w:sz="0" w:space="0" w:color="auto"/>
        <w:left w:val="none" w:sz="0" w:space="0" w:color="auto"/>
        <w:bottom w:val="none" w:sz="0" w:space="0" w:color="auto"/>
        <w:right w:val="none" w:sz="0" w:space="0" w:color="auto"/>
      </w:divBdr>
      <w:divsChild>
        <w:div w:id="2084256876">
          <w:marLeft w:val="0"/>
          <w:marRight w:val="0"/>
          <w:marTop w:val="0"/>
          <w:marBottom w:val="0"/>
          <w:divBdr>
            <w:top w:val="none" w:sz="0" w:space="0" w:color="auto"/>
            <w:left w:val="none" w:sz="0" w:space="0" w:color="auto"/>
            <w:bottom w:val="none" w:sz="0" w:space="0" w:color="auto"/>
            <w:right w:val="none" w:sz="0" w:space="0" w:color="auto"/>
          </w:divBdr>
        </w:div>
      </w:divsChild>
    </w:div>
    <w:div w:id="244194407">
      <w:bodyDiv w:val="1"/>
      <w:marLeft w:val="0"/>
      <w:marRight w:val="0"/>
      <w:marTop w:val="0"/>
      <w:marBottom w:val="0"/>
      <w:divBdr>
        <w:top w:val="none" w:sz="0" w:space="0" w:color="auto"/>
        <w:left w:val="none" w:sz="0" w:space="0" w:color="auto"/>
        <w:bottom w:val="none" w:sz="0" w:space="0" w:color="auto"/>
        <w:right w:val="none" w:sz="0" w:space="0" w:color="auto"/>
      </w:divBdr>
    </w:div>
    <w:div w:id="246039234">
      <w:bodyDiv w:val="1"/>
      <w:marLeft w:val="0"/>
      <w:marRight w:val="0"/>
      <w:marTop w:val="0"/>
      <w:marBottom w:val="0"/>
      <w:divBdr>
        <w:top w:val="none" w:sz="0" w:space="0" w:color="auto"/>
        <w:left w:val="none" w:sz="0" w:space="0" w:color="auto"/>
        <w:bottom w:val="none" w:sz="0" w:space="0" w:color="auto"/>
        <w:right w:val="none" w:sz="0" w:space="0" w:color="auto"/>
      </w:divBdr>
    </w:div>
    <w:div w:id="263849692">
      <w:bodyDiv w:val="1"/>
      <w:marLeft w:val="0"/>
      <w:marRight w:val="0"/>
      <w:marTop w:val="0"/>
      <w:marBottom w:val="0"/>
      <w:divBdr>
        <w:top w:val="none" w:sz="0" w:space="0" w:color="auto"/>
        <w:left w:val="none" w:sz="0" w:space="0" w:color="auto"/>
        <w:bottom w:val="none" w:sz="0" w:space="0" w:color="auto"/>
        <w:right w:val="none" w:sz="0" w:space="0" w:color="auto"/>
      </w:divBdr>
    </w:div>
    <w:div w:id="270161956">
      <w:bodyDiv w:val="1"/>
      <w:marLeft w:val="0"/>
      <w:marRight w:val="0"/>
      <w:marTop w:val="0"/>
      <w:marBottom w:val="0"/>
      <w:divBdr>
        <w:top w:val="none" w:sz="0" w:space="0" w:color="auto"/>
        <w:left w:val="none" w:sz="0" w:space="0" w:color="auto"/>
        <w:bottom w:val="none" w:sz="0" w:space="0" w:color="auto"/>
        <w:right w:val="none" w:sz="0" w:space="0" w:color="auto"/>
      </w:divBdr>
      <w:divsChild>
        <w:div w:id="1597900874">
          <w:marLeft w:val="0"/>
          <w:marRight w:val="0"/>
          <w:marTop w:val="0"/>
          <w:marBottom w:val="0"/>
          <w:divBdr>
            <w:top w:val="none" w:sz="0" w:space="0" w:color="auto"/>
            <w:left w:val="none" w:sz="0" w:space="0" w:color="auto"/>
            <w:bottom w:val="none" w:sz="0" w:space="0" w:color="auto"/>
            <w:right w:val="none" w:sz="0" w:space="0" w:color="auto"/>
          </w:divBdr>
        </w:div>
      </w:divsChild>
    </w:div>
    <w:div w:id="278490244">
      <w:bodyDiv w:val="1"/>
      <w:marLeft w:val="0"/>
      <w:marRight w:val="0"/>
      <w:marTop w:val="0"/>
      <w:marBottom w:val="0"/>
      <w:divBdr>
        <w:top w:val="none" w:sz="0" w:space="0" w:color="auto"/>
        <w:left w:val="none" w:sz="0" w:space="0" w:color="auto"/>
        <w:bottom w:val="none" w:sz="0" w:space="0" w:color="auto"/>
        <w:right w:val="none" w:sz="0" w:space="0" w:color="auto"/>
      </w:divBdr>
    </w:div>
    <w:div w:id="280695584">
      <w:bodyDiv w:val="1"/>
      <w:marLeft w:val="0"/>
      <w:marRight w:val="0"/>
      <w:marTop w:val="0"/>
      <w:marBottom w:val="0"/>
      <w:divBdr>
        <w:top w:val="none" w:sz="0" w:space="0" w:color="auto"/>
        <w:left w:val="none" w:sz="0" w:space="0" w:color="auto"/>
        <w:bottom w:val="none" w:sz="0" w:space="0" w:color="auto"/>
        <w:right w:val="none" w:sz="0" w:space="0" w:color="auto"/>
      </w:divBdr>
    </w:div>
    <w:div w:id="283661409">
      <w:bodyDiv w:val="1"/>
      <w:marLeft w:val="0"/>
      <w:marRight w:val="0"/>
      <w:marTop w:val="0"/>
      <w:marBottom w:val="0"/>
      <w:divBdr>
        <w:top w:val="none" w:sz="0" w:space="0" w:color="auto"/>
        <w:left w:val="none" w:sz="0" w:space="0" w:color="auto"/>
        <w:bottom w:val="none" w:sz="0" w:space="0" w:color="auto"/>
        <w:right w:val="none" w:sz="0" w:space="0" w:color="auto"/>
      </w:divBdr>
    </w:div>
    <w:div w:id="294411448">
      <w:bodyDiv w:val="1"/>
      <w:marLeft w:val="0"/>
      <w:marRight w:val="0"/>
      <w:marTop w:val="0"/>
      <w:marBottom w:val="0"/>
      <w:divBdr>
        <w:top w:val="none" w:sz="0" w:space="0" w:color="auto"/>
        <w:left w:val="none" w:sz="0" w:space="0" w:color="auto"/>
        <w:bottom w:val="none" w:sz="0" w:space="0" w:color="auto"/>
        <w:right w:val="none" w:sz="0" w:space="0" w:color="auto"/>
      </w:divBdr>
    </w:div>
    <w:div w:id="303701218">
      <w:bodyDiv w:val="1"/>
      <w:marLeft w:val="0"/>
      <w:marRight w:val="0"/>
      <w:marTop w:val="0"/>
      <w:marBottom w:val="0"/>
      <w:divBdr>
        <w:top w:val="none" w:sz="0" w:space="0" w:color="auto"/>
        <w:left w:val="none" w:sz="0" w:space="0" w:color="auto"/>
        <w:bottom w:val="none" w:sz="0" w:space="0" w:color="auto"/>
        <w:right w:val="none" w:sz="0" w:space="0" w:color="auto"/>
      </w:divBdr>
    </w:div>
    <w:div w:id="313947154">
      <w:bodyDiv w:val="1"/>
      <w:marLeft w:val="0"/>
      <w:marRight w:val="0"/>
      <w:marTop w:val="0"/>
      <w:marBottom w:val="0"/>
      <w:divBdr>
        <w:top w:val="none" w:sz="0" w:space="0" w:color="auto"/>
        <w:left w:val="none" w:sz="0" w:space="0" w:color="auto"/>
        <w:bottom w:val="none" w:sz="0" w:space="0" w:color="auto"/>
        <w:right w:val="none" w:sz="0" w:space="0" w:color="auto"/>
      </w:divBdr>
    </w:div>
    <w:div w:id="345138822">
      <w:bodyDiv w:val="1"/>
      <w:marLeft w:val="0"/>
      <w:marRight w:val="0"/>
      <w:marTop w:val="0"/>
      <w:marBottom w:val="0"/>
      <w:divBdr>
        <w:top w:val="none" w:sz="0" w:space="0" w:color="auto"/>
        <w:left w:val="none" w:sz="0" w:space="0" w:color="auto"/>
        <w:bottom w:val="none" w:sz="0" w:space="0" w:color="auto"/>
        <w:right w:val="none" w:sz="0" w:space="0" w:color="auto"/>
      </w:divBdr>
    </w:div>
    <w:div w:id="346833444">
      <w:bodyDiv w:val="1"/>
      <w:marLeft w:val="0"/>
      <w:marRight w:val="0"/>
      <w:marTop w:val="0"/>
      <w:marBottom w:val="0"/>
      <w:divBdr>
        <w:top w:val="none" w:sz="0" w:space="0" w:color="auto"/>
        <w:left w:val="none" w:sz="0" w:space="0" w:color="auto"/>
        <w:bottom w:val="none" w:sz="0" w:space="0" w:color="auto"/>
        <w:right w:val="none" w:sz="0" w:space="0" w:color="auto"/>
      </w:divBdr>
    </w:div>
    <w:div w:id="354767822">
      <w:bodyDiv w:val="1"/>
      <w:marLeft w:val="0"/>
      <w:marRight w:val="0"/>
      <w:marTop w:val="0"/>
      <w:marBottom w:val="0"/>
      <w:divBdr>
        <w:top w:val="none" w:sz="0" w:space="0" w:color="auto"/>
        <w:left w:val="none" w:sz="0" w:space="0" w:color="auto"/>
        <w:bottom w:val="none" w:sz="0" w:space="0" w:color="auto"/>
        <w:right w:val="none" w:sz="0" w:space="0" w:color="auto"/>
      </w:divBdr>
    </w:div>
    <w:div w:id="361637070">
      <w:bodyDiv w:val="1"/>
      <w:marLeft w:val="0"/>
      <w:marRight w:val="0"/>
      <w:marTop w:val="0"/>
      <w:marBottom w:val="0"/>
      <w:divBdr>
        <w:top w:val="none" w:sz="0" w:space="0" w:color="auto"/>
        <w:left w:val="none" w:sz="0" w:space="0" w:color="auto"/>
        <w:bottom w:val="none" w:sz="0" w:space="0" w:color="auto"/>
        <w:right w:val="none" w:sz="0" w:space="0" w:color="auto"/>
      </w:divBdr>
    </w:div>
    <w:div w:id="366419008">
      <w:bodyDiv w:val="1"/>
      <w:marLeft w:val="0"/>
      <w:marRight w:val="0"/>
      <w:marTop w:val="0"/>
      <w:marBottom w:val="0"/>
      <w:divBdr>
        <w:top w:val="none" w:sz="0" w:space="0" w:color="auto"/>
        <w:left w:val="none" w:sz="0" w:space="0" w:color="auto"/>
        <w:bottom w:val="none" w:sz="0" w:space="0" w:color="auto"/>
        <w:right w:val="none" w:sz="0" w:space="0" w:color="auto"/>
      </w:divBdr>
    </w:div>
    <w:div w:id="366612548">
      <w:bodyDiv w:val="1"/>
      <w:marLeft w:val="0"/>
      <w:marRight w:val="0"/>
      <w:marTop w:val="0"/>
      <w:marBottom w:val="0"/>
      <w:divBdr>
        <w:top w:val="none" w:sz="0" w:space="0" w:color="auto"/>
        <w:left w:val="none" w:sz="0" w:space="0" w:color="auto"/>
        <w:bottom w:val="none" w:sz="0" w:space="0" w:color="auto"/>
        <w:right w:val="none" w:sz="0" w:space="0" w:color="auto"/>
      </w:divBdr>
    </w:div>
    <w:div w:id="368072018">
      <w:bodyDiv w:val="1"/>
      <w:marLeft w:val="0"/>
      <w:marRight w:val="0"/>
      <w:marTop w:val="0"/>
      <w:marBottom w:val="0"/>
      <w:divBdr>
        <w:top w:val="none" w:sz="0" w:space="0" w:color="auto"/>
        <w:left w:val="none" w:sz="0" w:space="0" w:color="auto"/>
        <w:bottom w:val="none" w:sz="0" w:space="0" w:color="auto"/>
        <w:right w:val="none" w:sz="0" w:space="0" w:color="auto"/>
      </w:divBdr>
    </w:div>
    <w:div w:id="371272815">
      <w:bodyDiv w:val="1"/>
      <w:marLeft w:val="0"/>
      <w:marRight w:val="0"/>
      <w:marTop w:val="0"/>
      <w:marBottom w:val="0"/>
      <w:divBdr>
        <w:top w:val="none" w:sz="0" w:space="0" w:color="auto"/>
        <w:left w:val="none" w:sz="0" w:space="0" w:color="auto"/>
        <w:bottom w:val="none" w:sz="0" w:space="0" w:color="auto"/>
        <w:right w:val="none" w:sz="0" w:space="0" w:color="auto"/>
      </w:divBdr>
    </w:div>
    <w:div w:id="378673090">
      <w:bodyDiv w:val="1"/>
      <w:marLeft w:val="0"/>
      <w:marRight w:val="0"/>
      <w:marTop w:val="0"/>
      <w:marBottom w:val="0"/>
      <w:divBdr>
        <w:top w:val="none" w:sz="0" w:space="0" w:color="auto"/>
        <w:left w:val="none" w:sz="0" w:space="0" w:color="auto"/>
        <w:bottom w:val="none" w:sz="0" w:space="0" w:color="auto"/>
        <w:right w:val="none" w:sz="0" w:space="0" w:color="auto"/>
      </w:divBdr>
    </w:div>
    <w:div w:id="385838585">
      <w:bodyDiv w:val="1"/>
      <w:marLeft w:val="0"/>
      <w:marRight w:val="0"/>
      <w:marTop w:val="0"/>
      <w:marBottom w:val="0"/>
      <w:divBdr>
        <w:top w:val="none" w:sz="0" w:space="0" w:color="auto"/>
        <w:left w:val="none" w:sz="0" w:space="0" w:color="auto"/>
        <w:bottom w:val="none" w:sz="0" w:space="0" w:color="auto"/>
        <w:right w:val="none" w:sz="0" w:space="0" w:color="auto"/>
      </w:divBdr>
    </w:div>
    <w:div w:id="390928874">
      <w:bodyDiv w:val="1"/>
      <w:marLeft w:val="0"/>
      <w:marRight w:val="0"/>
      <w:marTop w:val="0"/>
      <w:marBottom w:val="0"/>
      <w:divBdr>
        <w:top w:val="none" w:sz="0" w:space="0" w:color="auto"/>
        <w:left w:val="none" w:sz="0" w:space="0" w:color="auto"/>
        <w:bottom w:val="none" w:sz="0" w:space="0" w:color="auto"/>
        <w:right w:val="none" w:sz="0" w:space="0" w:color="auto"/>
      </w:divBdr>
    </w:div>
    <w:div w:id="481628510">
      <w:bodyDiv w:val="1"/>
      <w:marLeft w:val="0"/>
      <w:marRight w:val="0"/>
      <w:marTop w:val="0"/>
      <w:marBottom w:val="0"/>
      <w:divBdr>
        <w:top w:val="none" w:sz="0" w:space="0" w:color="auto"/>
        <w:left w:val="none" w:sz="0" w:space="0" w:color="auto"/>
        <w:bottom w:val="none" w:sz="0" w:space="0" w:color="auto"/>
        <w:right w:val="none" w:sz="0" w:space="0" w:color="auto"/>
      </w:divBdr>
    </w:div>
    <w:div w:id="488908287">
      <w:bodyDiv w:val="1"/>
      <w:marLeft w:val="0"/>
      <w:marRight w:val="0"/>
      <w:marTop w:val="0"/>
      <w:marBottom w:val="0"/>
      <w:divBdr>
        <w:top w:val="none" w:sz="0" w:space="0" w:color="auto"/>
        <w:left w:val="none" w:sz="0" w:space="0" w:color="auto"/>
        <w:bottom w:val="none" w:sz="0" w:space="0" w:color="auto"/>
        <w:right w:val="none" w:sz="0" w:space="0" w:color="auto"/>
      </w:divBdr>
    </w:div>
    <w:div w:id="489441691">
      <w:bodyDiv w:val="1"/>
      <w:marLeft w:val="0"/>
      <w:marRight w:val="0"/>
      <w:marTop w:val="0"/>
      <w:marBottom w:val="0"/>
      <w:divBdr>
        <w:top w:val="none" w:sz="0" w:space="0" w:color="auto"/>
        <w:left w:val="none" w:sz="0" w:space="0" w:color="auto"/>
        <w:bottom w:val="none" w:sz="0" w:space="0" w:color="auto"/>
        <w:right w:val="none" w:sz="0" w:space="0" w:color="auto"/>
      </w:divBdr>
      <w:divsChild>
        <w:div w:id="1780684926">
          <w:marLeft w:val="0"/>
          <w:marRight w:val="0"/>
          <w:marTop w:val="0"/>
          <w:marBottom w:val="0"/>
          <w:divBdr>
            <w:top w:val="none" w:sz="0" w:space="0" w:color="auto"/>
            <w:left w:val="none" w:sz="0" w:space="0" w:color="auto"/>
            <w:bottom w:val="none" w:sz="0" w:space="0" w:color="auto"/>
            <w:right w:val="none" w:sz="0" w:space="0" w:color="auto"/>
          </w:divBdr>
        </w:div>
      </w:divsChild>
    </w:div>
    <w:div w:id="491531774">
      <w:bodyDiv w:val="1"/>
      <w:marLeft w:val="0"/>
      <w:marRight w:val="0"/>
      <w:marTop w:val="0"/>
      <w:marBottom w:val="0"/>
      <w:divBdr>
        <w:top w:val="none" w:sz="0" w:space="0" w:color="auto"/>
        <w:left w:val="none" w:sz="0" w:space="0" w:color="auto"/>
        <w:bottom w:val="none" w:sz="0" w:space="0" w:color="auto"/>
        <w:right w:val="none" w:sz="0" w:space="0" w:color="auto"/>
      </w:divBdr>
    </w:div>
    <w:div w:id="501120668">
      <w:bodyDiv w:val="1"/>
      <w:marLeft w:val="0"/>
      <w:marRight w:val="0"/>
      <w:marTop w:val="0"/>
      <w:marBottom w:val="0"/>
      <w:divBdr>
        <w:top w:val="none" w:sz="0" w:space="0" w:color="auto"/>
        <w:left w:val="none" w:sz="0" w:space="0" w:color="auto"/>
        <w:bottom w:val="none" w:sz="0" w:space="0" w:color="auto"/>
        <w:right w:val="none" w:sz="0" w:space="0" w:color="auto"/>
      </w:divBdr>
      <w:divsChild>
        <w:div w:id="2061175196">
          <w:marLeft w:val="0"/>
          <w:marRight w:val="0"/>
          <w:marTop w:val="0"/>
          <w:marBottom w:val="0"/>
          <w:divBdr>
            <w:top w:val="none" w:sz="0" w:space="0" w:color="auto"/>
            <w:left w:val="none" w:sz="0" w:space="0" w:color="auto"/>
            <w:bottom w:val="none" w:sz="0" w:space="0" w:color="auto"/>
            <w:right w:val="none" w:sz="0" w:space="0" w:color="auto"/>
          </w:divBdr>
        </w:div>
      </w:divsChild>
    </w:div>
    <w:div w:id="502859949">
      <w:bodyDiv w:val="1"/>
      <w:marLeft w:val="0"/>
      <w:marRight w:val="0"/>
      <w:marTop w:val="0"/>
      <w:marBottom w:val="0"/>
      <w:divBdr>
        <w:top w:val="none" w:sz="0" w:space="0" w:color="auto"/>
        <w:left w:val="none" w:sz="0" w:space="0" w:color="auto"/>
        <w:bottom w:val="none" w:sz="0" w:space="0" w:color="auto"/>
        <w:right w:val="none" w:sz="0" w:space="0" w:color="auto"/>
      </w:divBdr>
    </w:div>
    <w:div w:id="503859474">
      <w:bodyDiv w:val="1"/>
      <w:marLeft w:val="0"/>
      <w:marRight w:val="0"/>
      <w:marTop w:val="0"/>
      <w:marBottom w:val="0"/>
      <w:divBdr>
        <w:top w:val="none" w:sz="0" w:space="0" w:color="auto"/>
        <w:left w:val="none" w:sz="0" w:space="0" w:color="auto"/>
        <w:bottom w:val="none" w:sz="0" w:space="0" w:color="auto"/>
        <w:right w:val="none" w:sz="0" w:space="0" w:color="auto"/>
      </w:divBdr>
    </w:div>
    <w:div w:id="520776512">
      <w:bodyDiv w:val="1"/>
      <w:marLeft w:val="0"/>
      <w:marRight w:val="0"/>
      <w:marTop w:val="0"/>
      <w:marBottom w:val="0"/>
      <w:divBdr>
        <w:top w:val="none" w:sz="0" w:space="0" w:color="auto"/>
        <w:left w:val="none" w:sz="0" w:space="0" w:color="auto"/>
        <w:bottom w:val="none" w:sz="0" w:space="0" w:color="auto"/>
        <w:right w:val="none" w:sz="0" w:space="0" w:color="auto"/>
      </w:divBdr>
    </w:div>
    <w:div w:id="533427467">
      <w:bodyDiv w:val="1"/>
      <w:marLeft w:val="0"/>
      <w:marRight w:val="0"/>
      <w:marTop w:val="0"/>
      <w:marBottom w:val="0"/>
      <w:divBdr>
        <w:top w:val="none" w:sz="0" w:space="0" w:color="auto"/>
        <w:left w:val="none" w:sz="0" w:space="0" w:color="auto"/>
        <w:bottom w:val="none" w:sz="0" w:space="0" w:color="auto"/>
        <w:right w:val="none" w:sz="0" w:space="0" w:color="auto"/>
      </w:divBdr>
    </w:div>
    <w:div w:id="535243124">
      <w:bodyDiv w:val="1"/>
      <w:marLeft w:val="0"/>
      <w:marRight w:val="0"/>
      <w:marTop w:val="0"/>
      <w:marBottom w:val="0"/>
      <w:divBdr>
        <w:top w:val="none" w:sz="0" w:space="0" w:color="auto"/>
        <w:left w:val="none" w:sz="0" w:space="0" w:color="auto"/>
        <w:bottom w:val="none" w:sz="0" w:space="0" w:color="auto"/>
        <w:right w:val="none" w:sz="0" w:space="0" w:color="auto"/>
      </w:divBdr>
    </w:div>
    <w:div w:id="535312476">
      <w:bodyDiv w:val="1"/>
      <w:marLeft w:val="0"/>
      <w:marRight w:val="0"/>
      <w:marTop w:val="0"/>
      <w:marBottom w:val="0"/>
      <w:divBdr>
        <w:top w:val="none" w:sz="0" w:space="0" w:color="auto"/>
        <w:left w:val="none" w:sz="0" w:space="0" w:color="auto"/>
        <w:bottom w:val="none" w:sz="0" w:space="0" w:color="auto"/>
        <w:right w:val="none" w:sz="0" w:space="0" w:color="auto"/>
      </w:divBdr>
      <w:divsChild>
        <w:div w:id="553351774">
          <w:marLeft w:val="0"/>
          <w:marRight w:val="0"/>
          <w:marTop w:val="0"/>
          <w:marBottom w:val="0"/>
          <w:divBdr>
            <w:top w:val="none" w:sz="0" w:space="0" w:color="auto"/>
            <w:left w:val="none" w:sz="0" w:space="0" w:color="auto"/>
            <w:bottom w:val="none" w:sz="0" w:space="0" w:color="auto"/>
            <w:right w:val="none" w:sz="0" w:space="0" w:color="auto"/>
          </w:divBdr>
        </w:div>
      </w:divsChild>
    </w:div>
    <w:div w:id="557327793">
      <w:bodyDiv w:val="1"/>
      <w:marLeft w:val="0"/>
      <w:marRight w:val="0"/>
      <w:marTop w:val="0"/>
      <w:marBottom w:val="0"/>
      <w:divBdr>
        <w:top w:val="none" w:sz="0" w:space="0" w:color="auto"/>
        <w:left w:val="none" w:sz="0" w:space="0" w:color="auto"/>
        <w:bottom w:val="none" w:sz="0" w:space="0" w:color="auto"/>
        <w:right w:val="none" w:sz="0" w:space="0" w:color="auto"/>
      </w:divBdr>
    </w:div>
    <w:div w:id="558899950">
      <w:bodyDiv w:val="1"/>
      <w:marLeft w:val="0"/>
      <w:marRight w:val="0"/>
      <w:marTop w:val="0"/>
      <w:marBottom w:val="0"/>
      <w:divBdr>
        <w:top w:val="none" w:sz="0" w:space="0" w:color="auto"/>
        <w:left w:val="none" w:sz="0" w:space="0" w:color="auto"/>
        <w:bottom w:val="none" w:sz="0" w:space="0" w:color="auto"/>
        <w:right w:val="none" w:sz="0" w:space="0" w:color="auto"/>
      </w:divBdr>
    </w:div>
    <w:div w:id="561452557">
      <w:bodyDiv w:val="1"/>
      <w:marLeft w:val="0"/>
      <w:marRight w:val="0"/>
      <w:marTop w:val="0"/>
      <w:marBottom w:val="0"/>
      <w:divBdr>
        <w:top w:val="none" w:sz="0" w:space="0" w:color="auto"/>
        <w:left w:val="none" w:sz="0" w:space="0" w:color="auto"/>
        <w:bottom w:val="none" w:sz="0" w:space="0" w:color="auto"/>
        <w:right w:val="none" w:sz="0" w:space="0" w:color="auto"/>
      </w:divBdr>
    </w:div>
    <w:div w:id="561795493">
      <w:bodyDiv w:val="1"/>
      <w:marLeft w:val="0"/>
      <w:marRight w:val="0"/>
      <w:marTop w:val="0"/>
      <w:marBottom w:val="0"/>
      <w:divBdr>
        <w:top w:val="none" w:sz="0" w:space="0" w:color="auto"/>
        <w:left w:val="none" w:sz="0" w:space="0" w:color="auto"/>
        <w:bottom w:val="none" w:sz="0" w:space="0" w:color="auto"/>
        <w:right w:val="none" w:sz="0" w:space="0" w:color="auto"/>
      </w:divBdr>
      <w:divsChild>
        <w:div w:id="2015372812">
          <w:marLeft w:val="0"/>
          <w:marRight w:val="0"/>
          <w:marTop w:val="0"/>
          <w:marBottom w:val="0"/>
          <w:divBdr>
            <w:top w:val="none" w:sz="0" w:space="0" w:color="auto"/>
            <w:left w:val="none" w:sz="0" w:space="0" w:color="auto"/>
            <w:bottom w:val="none" w:sz="0" w:space="0" w:color="auto"/>
            <w:right w:val="none" w:sz="0" w:space="0" w:color="auto"/>
          </w:divBdr>
        </w:div>
      </w:divsChild>
    </w:div>
    <w:div w:id="565722780">
      <w:bodyDiv w:val="1"/>
      <w:marLeft w:val="0"/>
      <w:marRight w:val="0"/>
      <w:marTop w:val="0"/>
      <w:marBottom w:val="0"/>
      <w:divBdr>
        <w:top w:val="none" w:sz="0" w:space="0" w:color="auto"/>
        <w:left w:val="none" w:sz="0" w:space="0" w:color="auto"/>
        <w:bottom w:val="none" w:sz="0" w:space="0" w:color="auto"/>
        <w:right w:val="none" w:sz="0" w:space="0" w:color="auto"/>
      </w:divBdr>
    </w:div>
    <w:div w:id="574752961">
      <w:bodyDiv w:val="1"/>
      <w:marLeft w:val="0"/>
      <w:marRight w:val="0"/>
      <w:marTop w:val="0"/>
      <w:marBottom w:val="0"/>
      <w:divBdr>
        <w:top w:val="none" w:sz="0" w:space="0" w:color="auto"/>
        <w:left w:val="none" w:sz="0" w:space="0" w:color="auto"/>
        <w:bottom w:val="none" w:sz="0" w:space="0" w:color="auto"/>
        <w:right w:val="none" w:sz="0" w:space="0" w:color="auto"/>
      </w:divBdr>
    </w:div>
    <w:div w:id="575171136">
      <w:bodyDiv w:val="1"/>
      <w:marLeft w:val="0"/>
      <w:marRight w:val="0"/>
      <w:marTop w:val="0"/>
      <w:marBottom w:val="0"/>
      <w:divBdr>
        <w:top w:val="none" w:sz="0" w:space="0" w:color="auto"/>
        <w:left w:val="none" w:sz="0" w:space="0" w:color="auto"/>
        <w:bottom w:val="none" w:sz="0" w:space="0" w:color="auto"/>
        <w:right w:val="none" w:sz="0" w:space="0" w:color="auto"/>
      </w:divBdr>
    </w:div>
    <w:div w:id="596602297">
      <w:bodyDiv w:val="1"/>
      <w:marLeft w:val="0"/>
      <w:marRight w:val="0"/>
      <w:marTop w:val="0"/>
      <w:marBottom w:val="0"/>
      <w:divBdr>
        <w:top w:val="none" w:sz="0" w:space="0" w:color="auto"/>
        <w:left w:val="none" w:sz="0" w:space="0" w:color="auto"/>
        <w:bottom w:val="none" w:sz="0" w:space="0" w:color="auto"/>
        <w:right w:val="none" w:sz="0" w:space="0" w:color="auto"/>
      </w:divBdr>
      <w:divsChild>
        <w:div w:id="1780293772">
          <w:marLeft w:val="0"/>
          <w:marRight w:val="0"/>
          <w:marTop w:val="0"/>
          <w:marBottom w:val="0"/>
          <w:divBdr>
            <w:top w:val="none" w:sz="0" w:space="0" w:color="auto"/>
            <w:left w:val="none" w:sz="0" w:space="0" w:color="auto"/>
            <w:bottom w:val="none" w:sz="0" w:space="0" w:color="auto"/>
            <w:right w:val="none" w:sz="0" w:space="0" w:color="auto"/>
          </w:divBdr>
        </w:div>
      </w:divsChild>
    </w:div>
    <w:div w:id="597373743">
      <w:bodyDiv w:val="1"/>
      <w:marLeft w:val="0"/>
      <w:marRight w:val="0"/>
      <w:marTop w:val="0"/>
      <w:marBottom w:val="0"/>
      <w:divBdr>
        <w:top w:val="none" w:sz="0" w:space="0" w:color="auto"/>
        <w:left w:val="none" w:sz="0" w:space="0" w:color="auto"/>
        <w:bottom w:val="none" w:sz="0" w:space="0" w:color="auto"/>
        <w:right w:val="none" w:sz="0" w:space="0" w:color="auto"/>
      </w:divBdr>
    </w:div>
    <w:div w:id="603004333">
      <w:bodyDiv w:val="1"/>
      <w:marLeft w:val="0"/>
      <w:marRight w:val="0"/>
      <w:marTop w:val="0"/>
      <w:marBottom w:val="0"/>
      <w:divBdr>
        <w:top w:val="none" w:sz="0" w:space="0" w:color="auto"/>
        <w:left w:val="none" w:sz="0" w:space="0" w:color="auto"/>
        <w:bottom w:val="none" w:sz="0" w:space="0" w:color="auto"/>
        <w:right w:val="none" w:sz="0" w:space="0" w:color="auto"/>
      </w:divBdr>
    </w:div>
    <w:div w:id="609818465">
      <w:bodyDiv w:val="1"/>
      <w:marLeft w:val="0"/>
      <w:marRight w:val="0"/>
      <w:marTop w:val="0"/>
      <w:marBottom w:val="0"/>
      <w:divBdr>
        <w:top w:val="none" w:sz="0" w:space="0" w:color="auto"/>
        <w:left w:val="none" w:sz="0" w:space="0" w:color="auto"/>
        <w:bottom w:val="none" w:sz="0" w:space="0" w:color="auto"/>
        <w:right w:val="none" w:sz="0" w:space="0" w:color="auto"/>
      </w:divBdr>
    </w:div>
    <w:div w:id="622927707">
      <w:bodyDiv w:val="1"/>
      <w:marLeft w:val="0"/>
      <w:marRight w:val="0"/>
      <w:marTop w:val="0"/>
      <w:marBottom w:val="0"/>
      <w:divBdr>
        <w:top w:val="none" w:sz="0" w:space="0" w:color="auto"/>
        <w:left w:val="none" w:sz="0" w:space="0" w:color="auto"/>
        <w:bottom w:val="none" w:sz="0" w:space="0" w:color="auto"/>
        <w:right w:val="none" w:sz="0" w:space="0" w:color="auto"/>
      </w:divBdr>
      <w:divsChild>
        <w:div w:id="235668007">
          <w:marLeft w:val="0"/>
          <w:marRight w:val="0"/>
          <w:marTop w:val="0"/>
          <w:marBottom w:val="0"/>
          <w:divBdr>
            <w:top w:val="none" w:sz="0" w:space="0" w:color="auto"/>
            <w:left w:val="none" w:sz="0" w:space="0" w:color="auto"/>
            <w:bottom w:val="none" w:sz="0" w:space="0" w:color="auto"/>
            <w:right w:val="none" w:sz="0" w:space="0" w:color="auto"/>
          </w:divBdr>
        </w:div>
        <w:div w:id="1790783648">
          <w:marLeft w:val="0"/>
          <w:marRight w:val="0"/>
          <w:marTop w:val="0"/>
          <w:marBottom w:val="0"/>
          <w:divBdr>
            <w:top w:val="none" w:sz="0" w:space="0" w:color="auto"/>
            <w:left w:val="none" w:sz="0" w:space="0" w:color="auto"/>
            <w:bottom w:val="none" w:sz="0" w:space="0" w:color="auto"/>
            <w:right w:val="none" w:sz="0" w:space="0" w:color="auto"/>
          </w:divBdr>
        </w:div>
      </w:divsChild>
    </w:div>
    <w:div w:id="633798891">
      <w:bodyDiv w:val="1"/>
      <w:marLeft w:val="0"/>
      <w:marRight w:val="0"/>
      <w:marTop w:val="0"/>
      <w:marBottom w:val="0"/>
      <w:divBdr>
        <w:top w:val="none" w:sz="0" w:space="0" w:color="auto"/>
        <w:left w:val="none" w:sz="0" w:space="0" w:color="auto"/>
        <w:bottom w:val="none" w:sz="0" w:space="0" w:color="auto"/>
        <w:right w:val="none" w:sz="0" w:space="0" w:color="auto"/>
      </w:divBdr>
    </w:div>
    <w:div w:id="639922583">
      <w:bodyDiv w:val="1"/>
      <w:marLeft w:val="0"/>
      <w:marRight w:val="0"/>
      <w:marTop w:val="0"/>
      <w:marBottom w:val="0"/>
      <w:divBdr>
        <w:top w:val="none" w:sz="0" w:space="0" w:color="auto"/>
        <w:left w:val="none" w:sz="0" w:space="0" w:color="auto"/>
        <w:bottom w:val="none" w:sz="0" w:space="0" w:color="auto"/>
        <w:right w:val="none" w:sz="0" w:space="0" w:color="auto"/>
      </w:divBdr>
      <w:divsChild>
        <w:div w:id="224025864">
          <w:marLeft w:val="0"/>
          <w:marRight w:val="0"/>
          <w:marTop w:val="0"/>
          <w:marBottom w:val="0"/>
          <w:divBdr>
            <w:top w:val="none" w:sz="0" w:space="0" w:color="auto"/>
            <w:left w:val="none" w:sz="0" w:space="0" w:color="auto"/>
            <w:bottom w:val="none" w:sz="0" w:space="0" w:color="auto"/>
            <w:right w:val="none" w:sz="0" w:space="0" w:color="auto"/>
          </w:divBdr>
        </w:div>
      </w:divsChild>
    </w:div>
    <w:div w:id="648829037">
      <w:bodyDiv w:val="1"/>
      <w:marLeft w:val="0"/>
      <w:marRight w:val="0"/>
      <w:marTop w:val="0"/>
      <w:marBottom w:val="0"/>
      <w:divBdr>
        <w:top w:val="none" w:sz="0" w:space="0" w:color="auto"/>
        <w:left w:val="none" w:sz="0" w:space="0" w:color="auto"/>
        <w:bottom w:val="none" w:sz="0" w:space="0" w:color="auto"/>
        <w:right w:val="none" w:sz="0" w:space="0" w:color="auto"/>
      </w:divBdr>
    </w:div>
    <w:div w:id="657340905">
      <w:bodyDiv w:val="1"/>
      <w:marLeft w:val="0"/>
      <w:marRight w:val="0"/>
      <w:marTop w:val="0"/>
      <w:marBottom w:val="0"/>
      <w:divBdr>
        <w:top w:val="none" w:sz="0" w:space="0" w:color="auto"/>
        <w:left w:val="none" w:sz="0" w:space="0" w:color="auto"/>
        <w:bottom w:val="none" w:sz="0" w:space="0" w:color="auto"/>
        <w:right w:val="none" w:sz="0" w:space="0" w:color="auto"/>
      </w:divBdr>
    </w:div>
    <w:div w:id="668875229">
      <w:bodyDiv w:val="1"/>
      <w:marLeft w:val="0"/>
      <w:marRight w:val="0"/>
      <w:marTop w:val="0"/>
      <w:marBottom w:val="0"/>
      <w:divBdr>
        <w:top w:val="none" w:sz="0" w:space="0" w:color="auto"/>
        <w:left w:val="none" w:sz="0" w:space="0" w:color="auto"/>
        <w:bottom w:val="none" w:sz="0" w:space="0" w:color="auto"/>
        <w:right w:val="none" w:sz="0" w:space="0" w:color="auto"/>
      </w:divBdr>
    </w:div>
    <w:div w:id="672608564">
      <w:bodyDiv w:val="1"/>
      <w:marLeft w:val="0"/>
      <w:marRight w:val="0"/>
      <w:marTop w:val="0"/>
      <w:marBottom w:val="0"/>
      <w:divBdr>
        <w:top w:val="none" w:sz="0" w:space="0" w:color="auto"/>
        <w:left w:val="none" w:sz="0" w:space="0" w:color="auto"/>
        <w:bottom w:val="none" w:sz="0" w:space="0" w:color="auto"/>
        <w:right w:val="none" w:sz="0" w:space="0" w:color="auto"/>
      </w:divBdr>
      <w:divsChild>
        <w:div w:id="337194018">
          <w:marLeft w:val="0"/>
          <w:marRight w:val="0"/>
          <w:marTop w:val="0"/>
          <w:marBottom w:val="0"/>
          <w:divBdr>
            <w:top w:val="none" w:sz="0" w:space="0" w:color="auto"/>
            <w:left w:val="none" w:sz="0" w:space="0" w:color="auto"/>
            <w:bottom w:val="none" w:sz="0" w:space="0" w:color="auto"/>
            <w:right w:val="none" w:sz="0" w:space="0" w:color="auto"/>
          </w:divBdr>
        </w:div>
      </w:divsChild>
    </w:div>
    <w:div w:id="673341796">
      <w:bodyDiv w:val="1"/>
      <w:marLeft w:val="0"/>
      <w:marRight w:val="0"/>
      <w:marTop w:val="0"/>
      <w:marBottom w:val="0"/>
      <w:divBdr>
        <w:top w:val="none" w:sz="0" w:space="0" w:color="auto"/>
        <w:left w:val="none" w:sz="0" w:space="0" w:color="auto"/>
        <w:bottom w:val="none" w:sz="0" w:space="0" w:color="auto"/>
        <w:right w:val="none" w:sz="0" w:space="0" w:color="auto"/>
      </w:divBdr>
    </w:div>
    <w:div w:id="673649810">
      <w:bodyDiv w:val="1"/>
      <w:marLeft w:val="0"/>
      <w:marRight w:val="0"/>
      <w:marTop w:val="0"/>
      <w:marBottom w:val="0"/>
      <w:divBdr>
        <w:top w:val="none" w:sz="0" w:space="0" w:color="auto"/>
        <w:left w:val="none" w:sz="0" w:space="0" w:color="auto"/>
        <w:bottom w:val="none" w:sz="0" w:space="0" w:color="auto"/>
        <w:right w:val="none" w:sz="0" w:space="0" w:color="auto"/>
      </w:divBdr>
    </w:div>
    <w:div w:id="690452303">
      <w:bodyDiv w:val="1"/>
      <w:marLeft w:val="0"/>
      <w:marRight w:val="0"/>
      <w:marTop w:val="0"/>
      <w:marBottom w:val="0"/>
      <w:divBdr>
        <w:top w:val="none" w:sz="0" w:space="0" w:color="auto"/>
        <w:left w:val="none" w:sz="0" w:space="0" w:color="auto"/>
        <w:bottom w:val="none" w:sz="0" w:space="0" w:color="auto"/>
        <w:right w:val="none" w:sz="0" w:space="0" w:color="auto"/>
      </w:divBdr>
    </w:div>
    <w:div w:id="691808349">
      <w:bodyDiv w:val="1"/>
      <w:marLeft w:val="0"/>
      <w:marRight w:val="0"/>
      <w:marTop w:val="0"/>
      <w:marBottom w:val="0"/>
      <w:divBdr>
        <w:top w:val="none" w:sz="0" w:space="0" w:color="auto"/>
        <w:left w:val="none" w:sz="0" w:space="0" w:color="auto"/>
        <w:bottom w:val="none" w:sz="0" w:space="0" w:color="auto"/>
        <w:right w:val="none" w:sz="0" w:space="0" w:color="auto"/>
      </w:divBdr>
    </w:div>
    <w:div w:id="692419605">
      <w:bodyDiv w:val="1"/>
      <w:marLeft w:val="0"/>
      <w:marRight w:val="0"/>
      <w:marTop w:val="0"/>
      <w:marBottom w:val="0"/>
      <w:divBdr>
        <w:top w:val="none" w:sz="0" w:space="0" w:color="auto"/>
        <w:left w:val="none" w:sz="0" w:space="0" w:color="auto"/>
        <w:bottom w:val="none" w:sz="0" w:space="0" w:color="auto"/>
        <w:right w:val="none" w:sz="0" w:space="0" w:color="auto"/>
      </w:divBdr>
      <w:divsChild>
        <w:div w:id="2106802855">
          <w:marLeft w:val="0"/>
          <w:marRight w:val="0"/>
          <w:marTop w:val="0"/>
          <w:marBottom w:val="0"/>
          <w:divBdr>
            <w:top w:val="none" w:sz="0" w:space="0" w:color="auto"/>
            <w:left w:val="none" w:sz="0" w:space="0" w:color="auto"/>
            <w:bottom w:val="none" w:sz="0" w:space="0" w:color="auto"/>
            <w:right w:val="none" w:sz="0" w:space="0" w:color="auto"/>
          </w:divBdr>
        </w:div>
      </w:divsChild>
    </w:div>
    <w:div w:id="694965729">
      <w:bodyDiv w:val="1"/>
      <w:marLeft w:val="0"/>
      <w:marRight w:val="0"/>
      <w:marTop w:val="0"/>
      <w:marBottom w:val="0"/>
      <w:divBdr>
        <w:top w:val="none" w:sz="0" w:space="0" w:color="auto"/>
        <w:left w:val="none" w:sz="0" w:space="0" w:color="auto"/>
        <w:bottom w:val="none" w:sz="0" w:space="0" w:color="auto"/>
        <w:right w:val="none" w:sz="0" w:space="0" w:color="auto"/>
      </w:divBdr>
    </w:div>
    <w:div w:id="696541894">
      <w:bodyDiv w:val="1"/>
      <w:marLeft w:val="0"/>
      <w:marRight w:val="0"/>
      <w:marTop w:val="0"/>
      <w:marBottom w:val="0"/>
      <w:divBdr>
        <w:top w:val="none" w:sz="0" w:space="0" w:color="auto"/>
        <w:left w:val="none" w:sz="0" w:space="0" w:color="auto"/>
        <w:bottom w:val="none" w:sz="0" w:space="0" w:color="auto"/>
        <w:right w:val="none" w:sz="0" w:space="0" w:color="auto"/>
      </w:divBdr>
    </w:div>
    <w:div w:id="704410209">
      <w:bodyDiv w:val="1"/>
      <w:marLeft w:val="0"/>
      <w:marRight w:val="0"/>
      <w:marTop w:val="0"/>
      <w:marBottom w:val="0"/>
      <w:divBdr>
        <w:top w:val="none" w:sz="0" w:space="0" w:color="auto"/>
        <w:left w:val="none" w:sz="0" w:space="0" w:color="auto"/>
        <w:bottom w:val="none" w:sz="0" w:space="0" w:color="auto"/>
        <w:right w:val="none" w:sz="0" w:space="0" w:color="auto"/>
      </w:divBdr>
    </w:div>
    <w:div w:id="714433387">
      <w:bodyDiv w:val="1"/>
      <w:marLeft w:val="0"/>
      <w:marRight w:val="0"/>
      <w:marTop w:val="0"/>
      <w:marBottom w:val="0"/>
      <w:divBdr>
        <w:top w:val="none" w:sz="0" w:space="0" w:color="auto"/>
        <w:left w:val="none" w:sz="0" w:space="0" w:color="auto"/>
        <w:bottom w:val="none" w:sz="0" w:space="0" w:color="auto"/>
        <w:right w:val="none" w:sz="0" w:space="0" w:color="auto"/>
      </w:divBdr>
    </w:div>
    <w:div w:id="723718842">
      <w:bodyDiv w:val="1"/>
      <w:marLeft w:val="0"/>
      <w:marRight w:val="0"/>
      <w:marTop w:val="0"/>
      <w:marBottom w:val="0"/>
      <w:divBdr>
        <w:top w:val="none" w:sz="0" w:space="0" w:color="auto"/>
        <w:left w:val="none" w:sz="0" w:space="0" w:color="auto"/>
        <w:bottom w:val="none" w:sz="0" w:space="0" w:color="auto"/>
        <w:right w:val="none" w:sz="0" w:space="0" w:color="auto"/>
      </w:divBdr>
      <w:divsChild>
        <w:div w:id="135686262">
          <w:marLeft w:val="0"/>
          <w:marRight w:val="0"/>
          <w:marTop w:val="0"/>
          <w:marBottom w:val="0"/>
          <w:divBdr>
            <w:top w:val="none" w:sz="0" w:space="0" w:color="auto"/>
            <w:left w:val="none" w:sz="0" w:space="0" w:color="auto"/>
            <w:bottom w:val="none" w:sz="0" w:space="0" w:color="auto"/>
            <w:right w:val="none" w:sz="0" w:space="0" w:color="auto"/>
          </w:divBdr>
        </w:div>
      </w:divsChild>
    </w:div>
    <w:div w:id="724833234">
      <w:bodyDiv w:val="1"/>
      <w:marLeft w:val="0"/>
      <w:marRight w:val="0"/>
      <w:marTop w:val="0"/>
      <w:marBottom w:val="0"/>
      <w:divBdr>
        <w:top w:val="none" w:sz="0" w:space="0" w:color="auto"/>
        <w:left w:val="none" w:sz="0" w:space="0" w:color="auto"/>
        <w:bottom w:val="none" w:sz="0" w:space="0" w:color="auto"/>
        <w:right w:val="none" w:sz="0" w:space="0" w:color="auto"/>
      </w:divBdr>
    </w:div>
    <w:div w:id="733696386">
      <w:bodyDiv w:val="1"/>
      <w:marLeft w:val="0"/>
      <w:marRight w:val="0"/>
      <w:marTop w:val="0"/>
      <w:marBottom w:val="0"/>
      <w:divBdr>
        <w:top w:val="none" w:sz="0" w:space="0" w:color="auto"/>
        <w:left w:val="none" w:sz="0" w:space="0" w:color="auto"/>
        <w:bottom w:val="none" w:sz="0" w:space="0" w:color="auto"/>
        <w:right w:val="none" w:sz="0" w:space="0" w:color="auto"/>
      </w:divBdr>
    </w:div>
    <w:div w:id="762527757">
      <w:bodyDiv w:val="1"/>
      <w:marLeft w:val="0"/>
      <w:marRight w:val="0"/>
      <w:marTop w:val="0"/>
      <w:marBottom w:val="0"/>
      <w:divBdr>
        <w:top w:val="none" w:sz="0" w:space="0" w:color="auto"/>
        <w:left w:val="none" w:sz="0" w:space="0" w:color="auto"/>
        <w:bottom w:val="none" w:sz="0" w:space="0" w:color="auto"/>
        <w:right w:val="none" w:sz="0" w:space="0" w:color="auto"/>
      </w:divBdr>
    </w:div>
    <w:div w:id="782578904">
      <w:bodyDiv w:val="1"/>
      <w:marLeft w:val="0"/>
      <w:marRight w:val="0"/>
      <w:marTop w:val="0"/>
      <w:marBottom w:val="0"/>
      <w:divBdr>
        <w:top w:val="none" w:sz="0" w:space="0" w:color="auto"/>
        <w:left w:val="none" w:sz="0" w:space="0" w:color="auto"/>
        <w:bottom w:val="none" w:sz="0" w:space="0" w:color="auto"/>
        <w:right w:val="none" w:sz="0" w:space="0" w:color="auto"/>
      </w:divBdr>
    </w:div>
    <w:div w:id="786120337">
      <w:bodyDiv w:val="1"/>
      <w:marLeft w:val="0"/>
      <w:marRight w:val="0"/>
      <w:marTop w:val="0"/>
      <w:marBottom w:val="0"/>
      <w:divBdr>
        <w:top w:val="none" w:sz="0" w:space="0" w:color="auto"/>
        <w:left w:val="none" w:sz="0" w:space="0" w:color="auto"/>
        <w:bottom w:val="none" w:sz="0" w:space="0" w:color="auto"/>
        <w:right w:val="none" w:sz="0" w:space="0" w:color="auto"/>
      </w:divBdr>
    </w:div>
    <w:div w:id="809829909">
      <w:bodyDiv w:val="1"/>
      <w:marLeft w:val="0"/>
      <w:marRight w:val="0"/>
      <w:marTop w:val="0"/>
      <w:marBottom w:val="0"/>
      <w:divBdr>
        <w:top w:val="none" w:sz="0" w:space="0" w:color="auto"/>
        <w:left w:val="none" w:sz="0" w:space="0" w:color="auto"/>
        <w:bottom w:val="none" w:sz="0" w:space="0" w:color="auto"/>
        <w:right w:val="none" w:sz="0" w:space="0" w:color="auto"/>
      </w:divBdr>
    </w:div>
    <w:div w:id="810095258">
      <w:bodyDiv w:val="1"/>
      <w:marLeft w:val="0"/>
      <w:marRight w:val="0"/>
      <w:marTop w:val="0"/>
      <w:marBottom w:val="0"/>
      <w:divBdr>
        <w:top w:val="none" w:sz="0" w:space="0" w:color="auto"/>
        <w:left w:val="none" w:sz="0" w:space="0" w:color="auto"/>
        <w:bottom w:val="none" w:sz="0" w:space="0" w:color="auto"/>
        <w:right w:val="none" w:sz="0" w:space="0" w:color="auto"/>
      </w:divBdr>
    </w:div>
    <w:div w:id="815491794">
      <w:bodyDiv w:val="1"/>
      <w:marLeft w:val="0"/>
      <w:marRight w:val="0"/>
      <w:marTop w:val="0"/>
      <w:marBottom w:val="0"/>
      <w:divBdr>
        <w:top w:val="none" w:sz="0" w:space="0" w:color="auto"/>
        <w:left w:val="none" w:sz="0" w:space="0" w:color="auto"/>
        <w:bottom w:val="none" w:sz="0" w:space="0" w:color="auto"/>
        <w:right w:val="none" w:sz="0" w:space="0" w:color="auto"/>
      </w:divBdr>
    </w:div>
    <w:div w:id="823203774">
      <w:bodyDiv w:val="1"/>
      <w:marLeft w:val="0"/>
      <w:marRight w:val="0"/>
      <w:marTop w:val="0"/>
      <w:marBottom w:val="0"/>
      <w:divBdr>
        <w:top w:val="none" w:sz="0" w:space="0" w:color="auto"/>
        <w:left w:val="none" w:sz="0" w:space="0" w:color="auto"/>
        <w:bottom w:val="none" w:sz="0" w:space="0" w:color="auto"/>
        <w:right w:val="none" w:sz="0" w:space="0" w:color="auto"/>
      </w:divBdr>
      <w:divsChild>
        <w:div w:id="706295977">
          <w:marLeft w:val="0"/>
          <w:marRight w:val="0"/>
          <w:marTop w:val="0"/>
          <w:marBottom w:val="0"/>
          <w:divBdr>
            <w:top w:val="none" w:sz="0" w:space="0" w:color="auto"/>
            <w:left w:val="none" w:sz="0" w:space="0" w:color="auto"/>
            <w:bottom w:val="none" w:sz="0" w:space="0" w:color="auto"/>
            <w:right w:val="none" w:sz="0" w:space="0" w:color="auto"/>
          </w:divBdr>
        </w:div>
      </w:divsChild>
    </w:div>
    <w:div w:id="823745573">
      <w:bodyDiv w:val="1"/>
      <w:marLeft w:val="0"/>
      <w:marRight w:val="0"/>
      <w:marTop w:val="0"/>
      <w:marBottom w:val="0"/>
      <w:divBdr>
        <w:top w:val="none" w:sz="0" w:space="0" w:color="auto"/>
        <w:left w:val="none" w:sz="0" w:space="0" w:color="auto"/>
        <w:bottom w:val="none" w:sz="0" w:space="0" w:color="auto"/>
        <w:right w:val="none" w:sz="0" w:space="0" w:color="auto"/>
      </w:divBdr>
    </w:div>
    <w:div w:id="837580933">
      <w:bodyDiv w:val="1"/>
      <w:marLeft w:val="0"/>
      <w:marRight w:val="0"/>
      <w:marTop w:val="0"/>
      <w:marBottom w:val="0"/>
      <w:divBdr>
        <w:top w:val="none" w:sz="0" w:space="0" w:color="auto"/>
        <w:left w:val="none" w:sz="0" w:space="0" w:color="auto"/>
        <w:bottom w:val="none" w:sz="0" w:space="0" w:color="auto"/>
        <w:right w:val="none" w:sz="0" w:space="0" w:color="auto"/>
      </w:divBdr>
    </w:div>
    <w:div w:id="838010266">
      <w:bodyDiv w:val="1"/>
      <w:marLeft w:val="0"/>
      <w:marRight w:val="0"/>
      <w:marTop w:val="0"/>
      <w:marBottom w:val="0"/>
      <w:divBdr>
        <w:top w:val="none" w:sz="0" w:space="0" w:color="auto"/>
        <w:left w:val="none" w:sz="0" w:space="0" w:color="auto"/>
        <w:bottom w:val="none" w:sz="0" w:space="0" w:color="auto"/>
        <w:right w:val="none" w:sz="0" w:space="0" w:color="auto"/>
      </w:divBdr>
    </w:div>
    <w:div w:id="841315444">
      <w:bodyDiv w:val="1"/>
      <w:marLeft w:val="0"/>
      <w:marRight w:val="0"/>
      <w:marTop w:val="0"/>
      <w:marBottom w:val="0"/>
      <w:divBdr>
        <w:top w:val="none" w:sz="0" w:space="0" w:color="auto"/>
        <w:left w:val="none" w:sz="0" w:space="0" w:color="auto"/>
        <w:bottom w:val="none" w:sz="0" w:space="0" w:color="auto"/>
        <w:right w:val="none" w:sz="0" w:space="0" w:color="auto"/>
      </w:divBdr>
      <w:divsChild>
        <w:div w:id="716927175">
          <w:marLeft w:val="0"/>
          <w:marRight w:val="0"/>
          <w:marTop w:val="0"/>
          <w:marBottom w:val="0"/>
          <w:divBdr>
            <w:top w:val="none" w:sz="0" w:space="0" w:color="auto"/>
            <w:left w:val="none" w:sz="0" w:space="0" w:color="auto"/>
            <w:bottom w:val="none" w:sz="0" w:space="0" w:color="auto"/>
            <w:right w:val="none" w:sz="0" w:space="0" w:color="auto"/>
          </w:divBdr>
        </w:div>
      </w:divsChild>
    </w:div>
    <w:div w:id="847139586">
      <w:bodyDiv w:val="1"/>
      <w:marLeft w:val="0"/>
      <w:marRight w:val="0"/>
      <w:marTop w:val="0"/>
      <w:marBottom w:val="0"/>
      <w:divBdr>
        <w:top w:val="none" w:sz="0" w:space="0" w:color="auto"/>
        <w:left w:val="none" w:sz="0" w:space="0" w:color="auto"/>
        <w:bottom w:val="none" w:sz="0" w:space="0" w:color="auto"/>
        <w:right w:val="none" w:sz="0" w:space="0" w:color="auto"/>
      </w:divBdr>
    </w:div>
    <w:div w:id="856194453">
      <w:bodyDiv w:val="1"/>
      <w:marLeft w:val="0"/>
      <w:marRight w:val="0"/>
      <w:marTop w:val="0"/>
      <w:marBottom w:val="0"/>
      <w:divBdr>
        <w:top w:val="none" w:sz="0" w:space="0" w:color="auto"/>
        <w:left w:val="none" w:sz="0" w:space="0" w:color="auto"/>
        <w:bottom w:val="none" w:sz="0" w:space="0" w:color="auto"/>
        <w:right w:val="none" w:sz="0" w:space="0" w:color="auto"/>
      </w:divBdr>
    </w:div>
    <w:div w:id="857280986">
      <w:bodyDiv w:val="1"/>
      <w:marLeft w:val="0"/>
      <w:marRight w:val="0"/>
      <w:marTop w:val="0"/>
      <w:marBottom w:val="0"/>
      <w:divBdr>
        <w:top w:val="none" w:sz="0" w:space="0" w:color="auto"/>
        <w:left w:val="none" w:sz="0" w:space="0" w:color="auto"/>
        <w:bottom w:val="none" w:sz="0" w:space="0" w:color="auto"/>
        <w:right w:val="none" w:sz="0" w:space="0" w:color="auto"/>
      </w:divBdr>
    </w:div>
    <w:div w:id="873464727">
      <w:bodyDiv w:val="1"/>
      <w:marLeft w:val="0"/>
      <w:marRight w:val="0"/>
      <w:marTop w:val="0"/>
      <w:marBottom w:val="0"/>
      <w:divBdr>
        <w:top w:val="none" w:sz="0" w:space="0" w:color="auto"/>
        <w:left w:val="none" w:sz="0" w:space="0" w:color="auto"/>
        <w:bottom w:val="none" w:sz="0" w:space="0" w:color="auto"/>
        <w:right w:val="none" w:sz="0" w:space="0" w:color="auto"/>
      </w:divBdr>
    </w:div>
    <w:div w:id="883449322">
      <w:bodyDiv w:val="1"/>
      <w:marLeft w:val="0"/>
      <w:marRight w:val="0"/>
      <w:marTop w:val="0"/>
      <w:marBottom w:val="0"/>
      <w:divBdr>
        <w:top w:val="none" w:sz="0" w:space="0" w:color="auto"/>
        <w:left w:val="none" w:sz="0" w:space="0" w:color="auto"/>
        <w:bottom w:val="none" w:sz="0" w:space="0" w:color="auto"/>
        <w:right w:val="none" w:sz="0" w:space="0" w:color="auto"/>
      </w:divBdr>
    </w:div>
    <w:div w:id="884440129">
      <w:bodyDiv w:val="1"/>
      <w:marLeft w:val="0"/>
      <w:marRight w:val="0"/>
      <w:marTop w:val="0"/>
      <w:marBottom w:val="0"/>
      <w:divBdr>
        <w:top w:val="none" w:sz="0" w:space="0" w:color="auto"/>
        <w:left w:val="none" w:sz="0" w:space="0" w:color="auto"/>
        <w:bottom w:val="none" w:sz="0" w:space="0" w:color="auto"/>
        <w:right w:val="none" w:sz="0" w:space="0" w:color="auto"/>
      </w:divBdr>
    </w:div>
    <w:div w:id="893543291">
      <w:bodyDiv w:val="1"/>
      <w:marLeft w:val="0"/>
      <w:marRight w:val="0"/>
      <w:marTop w:val="0"/>
      <w:marBottom w:val="0"/>
      <w:divBdr>
        <w:top w:val="none" w:sz="0" w:space="0" w:color="auto"/>
        <w:left w:val="none" w:sz="0" w:space="0" w:color="auto"/>
        <w:bottom w:val="none" w:sz="0" w:space="0" w:color="auto"/>
        <w:right w:val="none" w:sz="0" w:space="0" w:color="auto"/>
      </w:divBdr>
    </w:div>
    <w:div w:id="921064117">
      <w:bodyDiv w:val="1"/>
      <w:marLeft w:val="0"/>
      <w:marRight w:val="0"/>
      <w:marTop w:val="0"/>
      <w:marBottom w:val="0"/>
      <w:divBdr>
        <w:top w:val="none" w:sz="0" w:space="0" w:color="auto"/>
        <w:left w:val="none" w:sz="0" w:space="0" w:color="auto"/>
        <w:bottom w:val="none" w:sz="0" w:space="0" w:color="auto"/>
        <w:right w:val="none" w:sz="0" w:space="0" w:color="auto"/>
      </w:divBdr>
    </w:div>
    <w:div w:id="925269595">
      <w:bodyDiv w:val="1"/>
      <w:marLeft w:val="0"/>
      <w:marRight w:val="0"/>
      <w:marTop w:val="0"/>
      <w:marBottom w:val="0"/>
      <w:divBdr>
        <w:top w:val="none" w:sz="0" w:space="0" w:color="auto"/>
        <w:left w:val="none" w:sz="0" w:space="0" w:color="auto"/>
        <w:bottom w:val="none" w:sz="0" w:space="0" w:color="auto"/>
        <w:right w:val="none" w:sz="0" w:space="0" w:color="auto"/>
      </w:divBdr>
    </w:div>
    <w:div w:id="929436159">
      <w:bodyDiv w:val="1"/>
      <w:marLeft w:val="0"/>
      <w:marRight w:val="0"/>
      <w:marTop w:val="0"/>
      <w:marBottom w:val="0"/>
      <w:divBdr>
        <w:top w:val="none" w:sz="0" w:space="0" w:color="auto"/>
        <w:left w:val="none" w:sz="0" w:space="0" w:color="auto"/>
        <w:bottom w:val="none" w:sz="0" w:space="0" w:color="auto"/>
        <w:right w:val="none" w:sz="0" w:space="0" w:color="auto"/>
      </w:divBdr>
      <w:divsChild>
        <w:div w:id="1969819757">
          <w:marLeft w:val="0"/>
          <w:marRight w:val="0"/>
          <w:marTop w:val="0"/>
          <w:marBottom w:val="0"/>
          <w:divBdr>
            <w:top w:val="none" w:sz="0" w:space="0" w:color="auto"/>
            <w:left w:val="none" w:sz="0" w:space="0" w:color="auto"/>
            <w:bottom w:val="none" w:sz="0" w:space="0" w:color="auto"/>
            <w:right w:val="none" w:sz="0" w:space="0" w:color="auto"/>
          </w:divBdr>
        </w:div>
      </w:divsChild>
    </w:div>
    <w:div w:id="934443131">
      <w:bodyDiv w:val="1"/>
      <w:marLeft w:val="0"/>
      <w:marRight w:val="0"/>
      <w:marTop w:val="0"/>
      <w:marBottom w:val="0"/>
      <w:divBdr>
        <w:top w:val="none" w:sz="0" w:space="0" w:color="auto"/>
        <w:left w:val="none" w:sz="0" w:space="0" w:color="auto"/>
        <w:bottom w:val="none" w:sz="0" w:space="0" w:color="auto"/>
        <w:right w:val="none" w:sz="0" w:space="0" w:color="auto"/>
      </w:divBdr>
    </w:div>
    <w:div w:id="954557455">
      <w:bodyDiv w:val="1"/>
      <w:marLeft w:val="0"/>
      <w:marRight w:val="0"/>
      <w:marTop w:val="0"/>
      <w:marBottom w:val="0"/>
      <w:divBdr>
        <w:top w:val="none" w:sz="0" w:space="0" w:color="auto"/>
        <w:left w:val="none" w:sz="0" w:space="0" w:color="auto"/>
        <w:bottom w:val="none" w:sz="0" w:space="0" w:color="auto"/>
        <w:right w:val="none" w:sz="0" w:space="0" w:color="auto"/>
      </w:divBdr>
    </w:div>
    <w:div w:id="963274341">
      <w:bodyDiv w:val="1"/>
      <w:marLeft w:val="0"/>
      <w:marRight w:val="0"/>
      <w:marTop w:val="0"/>
      <w:marBottom w:val="0"/>
      <w:divBdr>
        <w:top w:val="none" w:sz="0" w:space="0" w:color="auto"/>
        <w:left w:val="none" w:sz="0" w:space="0" w:color="auto"/>
        <w:bottom w:val="none" w:sz="0" w:space="0" w:color="auto"/>
        <w:right w:val="none" w:sz="0" w:space="0" w:color="auto"/>
      </w:divBdr>
    </w:div>
    <w:div w:id="967125370">
      <w:bodyDiv w:val="1"/>
      <w:marLeft w:val="0"/>
      <w:marRight w:val="0"/>
      <w:marTop w:val="0"/>
      <w:marBottom w:val="0"/>
      <w:divBdr>
        <w:top w:val="none" w:sz="0" w:space="0" w:color="auto"/>
        <w:left w:val="none" w:sz="0" w:space="0" w:color="auto"/>
        <w:bottom w:val="none" w:sz="0" w:space="0" w:color="auto"/>
        <w:right w:val="none" w:sz="0" w:space="0" w:color="auto"/>
      </w:divBdr>
    </w:div>
    <w:div w:id="967785741">
      <w:bodyDiv w:val="1"/>
      <w:marLeft w:val="0"/>
      <w:marRight w:val="0"/>
      <w:marTop w:val="0"/>
      <w:marBottom w:val="0"/>
      <w:divBdr>
        <w:top w:val="none" w:sz="0" w:space="0" w:color="auto"/>
        <w:left w:val="none" w:sz="0" w:space="0" w:color="auto"/>
        <w:bottom w:val="none" w:sz="0" w:space="0" w:color="auto"/>
        <w:right w:val="none" w:sz="0" w:space="0" w:color="auto"/>
      </w:divBdr>
    </w:div>
    <w:div w:id="969867450">
      <w:bodyDiv w:val="1"/>
      <w:marLeft w:val="0"/>
      <w:marRight w:val="0"/>
      <w:marTop w:val="0"/>
      <w:marBottom w:val="0"/>
      <w:divBdr>
        <w:top w:val="none" w:sz="0" w:space="0" w:color="auto"/>
        <w:left w:val="none" w:sz="0" w:space="0" w:color="auto"/>
        <w:bottom w:val="none" w:sz="0" w:space="0" w:color="auto"/>
        <w:right w:val="none" w:sz="0" w:space="0" w:color="auto"/>
      </w:divBdr>
    </w:div>
    <w:div w:id="993144875">
      <w:bodyDiv w:val="1"/>
      <w:marLeft w:val="0"/>
      <w:marRight w:val="0"/>
      <w:marTop w:val="0"/>
      <w:marBottom w:val="0"/>
      <w:divBdr>
        <w:top w:val="none" w:sz="0" w:space="0" w:color="auto"/>
        <w:left w:val="none" w:sz="0" w:space="0" w:color="auto"/>
        <w:bottom w:val="none" w:sz="0" w:space="0" w:color="auto"/>
        <w:right w:val="none" w:sz="0" w:space="0" w:color="auto"/>
      </w:divBdr>
    </w:div>
    <w:div w:id="1008868323">
      <w:bodyDiv w:val="1"/>
      <w:marLeft w:val="0"/>
      <w:marRight w:val="0"/>
      <w:marTop w:val="0"/>
      <w:marBottom w:val="0"/>
      <w:divBdr>
        <w:top w:val="none" w:sz="0" w:space="0" w:color="auto"/>
        <w:left w:val="none" w:sz="0" w:space="0" w:color="auto"/>
        <w:bottom w:val="none" w:sz="0" w:space="0" w:color="auto"/>
        <w:right w:val="none" w:sz="0" w:space="0" w:color="auto"/>
      </w:divBdr>
      <w:divsChild>
        <w:div w:id="2025857198">
          <w:marLeft w:val="0"/>
          <w:marRight w:val="0"/>
          <w:marTop w:val="0"/>
          <w:marBottom w:val="0"/>
          <w:divBdr>
            <w:top w:val="none" w:sz="0" w:space="0" w:color="auto"/>
            <w:left w:val="none" w:sz="0" w:space="0" w:color="auto"/>
            <w:bottom w:val="none" w:sz="0" w:space="0" w:color="auto"/>
            <w:right w:val="none" w:sz="0" w:space="0" w:color="auto"/>
          </w:divBdr>
        </w:div>
      </w:divsChild>
    </w:div>
    <w:div w:id="1026253474">
      <w:bodyDiv w:val="1"/>
      <w:marLeft w:val="0"/>
      <w:marRight w:val="0"/>
      <w:marTop w:val="0"/>
      <w:marBottom w:val="0"/>
      <w:divBdr>
        <w:top w:val="none" w:sz="0" w:space="0" w:color="auto"/>
        <w:left w:val="none" w:sz="0" w:space="0" w:color="auto"/>
        <w:bottom w:val="none" w:sz="0" w:space="0" w:color="auto"/>
        <w:right w:val="none" w:sz="0" w:space="0" w:color="auto"/>
      </w:divBdr>
    </w:div>
    <w:div w:id="1038968808">
      <w:bodyDiv w:val="1"/>
      <w:marLeft w:val="0"/>
      <w:marRight w:val="0"/>
      <w:marTop w:val="0"/>
      <w:marBottom w:val="0"/>
      <w:divBdr>
        <w:top w:val="none" w:sz="0" w:space="0" w:color="auto"/>
        <w:left w:val="none" w:sz="0" w:space="0" w:color="auto"/>
        <w:bottom w:val="none" w:sz="0" w:space="0" w:color="auto"/>
        <w:right w:val="none" w:sz="0" w:space="0" w:color="auto"/>
      </w:divBdr>
    </w:div>
    <w:div w:id="1047876160">
      <w:bodyDiv w:val="1"/>
      <w:marLeft w:val="0"/>
      <w:marRight w:val="0"/>
      <w:marTop w:val="0"/>
      <w:marBottom w:val="0"/>
      <w:divBdr>
        <w:top w:val="none" w:sz="0" w:space="0" w:color="auto"/>
        <w:left w:val="none" w:sz="0" w:space="0" w:color="auto"/>
        <w:bottom w:val="none" w:sz="0" w:space="0" w:color="auto"/>
        <w:right w:val="none" w:sz="0" w:space="0" w:color="auto"/>
      </w:divBdr>
    </w:div>
    <w:div w:id="1055203203">
      <w:bodyDiv w:val="1"/>
      <w:marLeft w:val="0"/>
      <w:marRight w:val="0"/>
      <w:marTop w:val="0"/>
      <w:marBottom w:val="0"/>
      <w:divBdr>
        <w:top w:val="none" w:sz="0" w:space="0" w:color="auto"/>
        <w:left w:val="none" w:sz="0" w:space="0" w:color="auto"/>
        <w:bottom w:val="none" w:sz="0" w:space="0" w:color="auto"/>
        <w:right w:val="none" w:sz="0" w:space="0" w:color="auto"/>
      </w:divBdr>
    </w:div>
    <w:div w:id="1072580809">
      <w:bodyDiv w:val="1"/>
      <w:marLeft w:val="0"/>
      <w:marRight w:val="0"/>
      <w:marTop w:val="0"/>
      <w:marBottom w:val="0"/>
      <w:divBdr>
        <w:top w:val="none" w:sz="0" w:space="0" w:color="auto"/>
        <w:left w:val="none" w:sz="0" w:space="0" w:color="auto"/>
        <w:bottom w:val="none" w:sz="0" w:space="0" w:color="auto"/>
        <w:right w:val="none" w:sz="0" w:space="0" w:color="auto"/>
      </w:divBdr>
      <w:divsChild>
        <w:div w:id="618146347">
          <w:marLeft w:val="0"/>
          <w:marRight w:val="0"/>
          <w:marTop w:val="0"/>
          <w:marBottom w:val="0"/>
          <w:divBdr>
            <w:top w:val="none" w:sz="0" w:space="0" w:color="auto"/>
            <w:left w:val="none" w:sz="0" w:space="0" w:color="auto"/>
            <w:bottom w:val="none" w:sz="0" w:space="0" w:color="auto"/>
            <w:right w:val="none" w:sz="0" w:space="0" w:color="auto"/>
          </w:divBdr>
        </w:div>
        <w:div w:id="1296444758">
          <w:marLeft w:val="0"/>
          <w:marRight w:val="0"/>
          <w:marTop w:val="0"/>
          <w:marBottom w:val="0"/>
          <w:divBdr>
            <w:top w:val="none" w:sz="0" w:space="0" w:color="auto"/>
            <w:left w:val="none" w:sz="0" w:space="0" w:color="auto"/>
            <w:bottom w:val="none" w:sz="0" w:space="0" w:color="auto"/>
            <w:right w:val="none" w:sz="0" w:space="0" w:color="auto"/>
          </w:divBdr>
        </w:div>
      </w:divsChild>
    </w:div>
    <w:div w:id="1078937560">
      <w:bodyDiv w:val="1"/>
      <w:marLeft w:val="0"/>
      <w:marRight w:val="0"/>
      <w:marTop w:val="0"/>
      <w:marBottom w:val="0"/>
      <w:divBdr>
        <w:top w:val="none" w:sz="0" w:space="0" w:color="auto"/>
        <w:left w:val="none" w:sz="0" w:space="0" w:color="auto"/>
        <w:bottom w:val="none" w:sz="0" w:space="0" w:color="auto"/>
        <w:right w:val="none" w:sz="0" w:space="0" w:color="auto"/>
      </w:divBdr>
    </w:div>
    <w:div w:id="1083185920">
      <w:bodyDiv w:val="1"/>
      <w:marLeft w:val="0"/>
      <w:marRight w:val="0"/>
      <w:marTop w:val="0"/>
      <w:marBottom w:val="0"/>
      <w:divBdr>
        <w:top w:val="none" w:sz="0" w:space="0" w:color="auto"/>
        <w:left w:val="none" w:sz="0" w:space="0" w:color="auto"/>
        <w:bottom w:val="none" w:sz="0" w:space="0" w:color="auto"/>
        <w:right w:val="none" w:sz="0" w:space="0" w:color="auto"/>
      </w:divBdr>
    </w:div>
    <w:div w:id="1084761449">
      <w:bodyDiv w:val="1"/>
      <w:marLeft w:val="0"/>
      <w:marRight w:val="0"/>
      <w:marTop w:val="0"/>
      <w:marBottom w:val="0"/>
      <w:divBdr>
        <w:top w:val="none" w:sz="0" w:space="0" w:color="auto"/>
        <w:left w:val="none" w:sz="0" w:space="0" w:color="auto"/>
        <w:bottom w:val="none" w:sz="0" w:space="0" w:color="auto"/>
        <w:right w:val="none" w:sz="0" w:space="0" w:color="auto"/>
      </w:divBdr>
    </w:div>
    <w:div w:id="1090082861">
      <w:bodyDiv w:val="1"/>
      <w:marLeft w:val="0"/>
      <w:marRight w:val="0"/>
      <w:marTop w:val="0"/>
      <w:marBottom w:val="0"/>
      <w:divBdr>
        <w:top w:val="none" w:sz="0" w:space="0" w:color="auto"/>
        <w:left w:val="none" w:sz="0" w:space="0" w:color="auto"/>
        <w:bottom w:val="none" w:sz="0" w:space="0" w:color="auto"/>
        <w:right w:val="none" w:sz="0" w:space="0" w:color="auto"/>
      </w:divBdr>
      <w:divsChild>
        <w:div w:id="1670407560">
          <w:marLeft w:val="0"/>
          <w:marRight w:val="0"/>
          <w:marTop w:val="0"/>
          <w:marBottom w:val="0"/>
          <w:divBdr>
            <w:top w:val="none" w:sz="0" w:space="0" w:color="auto"/>
            <w:left w:val="none" w:sz="0" w:space="0" w:color="auto"/>
            <w:bottom w:val="none" w:sz="0" w:space="0" w:color="auto"/>
            <w:right w:val="none" w:sz="0" w:space="0" w:color="auto"/>
          </w:divBdr>
        </w:div>
      </w:divsChild>
    </w:div>
    <w:div w:id="1099063612">
      <w:bodyDiv w:val="1"/>
      <w:marLeft w:val="0"/>
      <w:marRight w:val="0"/>
      <w:marTop w:val="0"/>
      <w:marBottom w:val="0"/>
      <w:divBdr>
        <w:top w:val="none" w:sz="0" w:space="0" w:color="auto"/>
        <w:left w:val="none" w:sz="0" w:space="0" w:color="auto"/>
        <w:bottom w:val="none" w:sz="0" w:space="0" w:color="auto"/>
        <w:right w:val="none" w:sz="0" w:space="0" w:color="auto"/>
      </w:divBdr>
    </w:div>
    <w:div w:id="1105418425">
      <w:bodyDiv w:val="1"/>
      <w:marLeft w:val="0"/>
      <w:marRight w:val="0"/>
      <w:marTop w:val="0"/>
      <w:marBottom w:val="0"/>
      <w:divBdr>
        <w:top w:val="none" w:sz="0" w:space="0" w:color="auto"/>
        <w:left w:val="none" w:sz="0" w:space="0" w:color="auto"/>
        <w:bottom w:val="none" w:sz="0" w:space="0" w:color="auto"/>
        <w:right w:val="none" w:sz="0" w:space="0" w:color="auto"/>
      </w:divBdr>
    </w:div>
    <w:div w:id="1113481048">
      <w:bodyDiv w:val="1"/>
      <w:marLeft w:val="0"/>
      <w:marRight w:val="0"/>
      <w:marTop w:val="0"/>
      <w:marBottom w:val="0"/>
      <w:divBdr>
        <w:top w:val="none" w:sz="0" w:space="0" w:color="auto"/>
        <w:left w:val="none" w:sz="0" w:space="0" w:color="auto"/>
        <w:bottom w:val="none" w:sz="0" w:space="0" w:color="auto"/>
        <w:right w:val="none" w:sz="0" w:space="0" w:color="auto"/>
      </w:divBdr>
      <w:divsChild>
        <w:div w:id="738133891">
          <w:marLeft w:val="0"/>
          <w:marRight w:val="0"/>
          <w:marTop w:val="0"/>
          <w:marBottom w:val="0"/>
          <w:divBdr>
            <w:top w:val="none" w:sz="0" w:space="0" w:color="auto"/>
            <w:left w:val="none" w:sz="0" w:space="0" w:color="auto"/>
            <w:bottom w:val="none" w:sz="0" w:space="0" w:color="auto"/>
            <w:right w:val="none" w:sz="0" w:space="0" w:color="auto"/>
          </w:divBdr>
        </w:div>
      </w:divsChild>
    </w:div>
    <w:div w:id="1118330048">
      <w:bodyDiv w:val="1"/>
      <w:marLeft w:val="0"/>
      <w:marRight w:val="0"/>
      <w:marTop w:val="0"/>
      <w:marBottom w:val="0"/>
      <w:divBdr>
        <w:top w:val="none" w:sz="0" w:space="0" w:color="auto"/>
        <w:left w:val="none" w:sz="0" w:space="0" w:color="auto"/>
        <w:bottom w:val="none" w:sz="0" w:space="0" w:color="auto"/>
        <w:right w:val="none" w:sz="0" w:space="0" w:color="auto"/>
      </w:divBdr>
      <w:divsChild>
        <w:div w:id="671567636">
          <w:marLeft w:val="0"/>
          <w:marRight w:val="0"/>
          <w:marTop w:val="0"/>
          <w:marBottom w:val="0"/>
          <w:divBdr>
            <w:top w:val="none" w:sz="0" w:space="0" w:color="auto"/>
            <w:left w:val="none" w:sz="0" w:space="0" w:color="auto"/>
            <w:bottom w:val="none" w:sz="0" w:space="0" w:color="auto"/>
            <w:right w:val="none" w:sz="0" w:space="0" w:color="auto"/>
          </w:divBdr>
        </w:div>
      </w:divsChild>
    </w:div>
    <w:div w:id="1119295986">
      <w:bodyDiv w:val="1"/>
      <w:marLeft w:val="0"/>
      <w:marRight w:val="0"/>
      <w:marTop w:val="0"/>
      <w:marBottom w:val="0"/>
      <w:divBdr>
        <w:top w:val="none" w:sz="0" w:space="0" w:color="auto"/>
        <w:left w:val="none" w:sz="0" w:space="0" w:color="auto"/>
        <w:bottom w:val="none" w:sz="0" w:space="0" w:color="auto"/>
        <w:right w:val="none" w:sz="0" w:space="0" w:color="auto"/>
      </w:divBdr>
    </w:div>
    <w:div w:id="1127626043">
      <w:bodyDiv w:val="1"/>
      <w:marLeft w:val="0"/>
      <w:marRight w:val="0"/>
      <w:marTop w:val="0"/>
      <w:marBottom w:val="0"/>
      <w:divBdr>
        <w:top w:val="none" w:sz="0" w:space="0" w:color="auto"/>
        <w:left w:val="none" w:sz="0" w:space="0" w:color="auto"/>
        <w:bottom w:val="none" w:sz="0" w:space="0" w:color="auto"/>
        <w:right w:val="none" w:sz="0" w:space="0" w:color="auto"/>
      </w:divBdr>
    </w:div>
    <w:div w:id="1132405905">
      <w:bodyDiv w:val="1"/>
      <w:marLeft w:val="0"/>
      <w:marRight w:val="0"/>
      <w:marTop w:val="0"/>
      <w:marBottom w:val="0"/>
      <w:divBdr>
        <w:top w:val="none" w:sz="0" w:space="0" w:color="auto"/>
        <w:left w:val="none" w:sz="0" w:space="0" w:color="auto"/>
        <w:bottom w:val="none" w:sz="0" w:space="0" w:color="auto"/>
        <w:right w:val="none" w:sz="0" w:space="0" w:color="auto"/>
      </w:divBdr>
      <w:divsChild>
        <w:div w:id="1397707553">
          <w:marLeft w:val="0"/>
          <w:marRight w:val="0"/>
          <w:marTop w:val="0"/>
          <w:marBottom w:val="0"/>
          <w:divBdr>
            <w:top w:val="none" w:sz="0" w:space="0" w:color="auto"/>
            <w:left w:val="none" w:sz="0" w:space="0" w:color="auto"/>
            <w:bottom w:val="none" w:sz="0" w:space="0" w:color="auto"/>
            <w:right w:val="none" w:sz="0" w:space="0" w:color="auto"/>
          </w:divBdr>
        </w:div>
      </w:divsChild>
    </w:div>
    <w:div w:id="1145127128">
      <w:bodyDiv w:val="1"/>
      <w:marLeft w:val="0"/>
      <w:marRight w:val="0"/>
      <w:marTop w:val="0"/>
      <w:marBottom w:val="0"/>
      <w:divBdr>
        <w:top w:val="none" w:sz="0" w:space="0" w:color="auto"/>
        <w:left w:val="none" w:sz="0" w:space="0" w:color="auto"/>
        <w:bottom w:val="none" w:sz="0" w:space="0" w:color="auto"/>
        <w:right w:val="none" w:sz="0" w:space="0" w:color="auto"/>
      </w:divBdr>
    </w:div>
    <w:div w:id="1149982566">
      <w:bodyDiv w:val="1"/>
      <w:marLeft w:val="0"/>
      <w:marRight w:val="0"/>
      <w:marTop w:val="0"/>
      <w:marBottom w:val="0"/>
      <w:divBdr>
        <w:top w:val="none" w:sz="0" w:space="0" w:color="auto"/>
        <w:left w:val="none" w:sz="0" w:space="0" w:color="auto"/>
        <w:bottom w:val="none" w:sz="0" w:space="0" w:color="auto"/>
        <w:right w:val="none" w:sz="0" w:space="0" w:color="auto"/>
      </w:divBdr>
    </w:div>
    <w:div w:id="1180700745">
      <w:bodyDiv w:val="1"/>
      <w:marLeft w:val="0"/>
      <w:marRight w:val="0"/>
      <w:marTop w:val="0"/>
      <w:marBottom w:val="0"/>
      <w:divBdr>
        <w:top w:val="none" w:sz="0" w:space="0" w:color="auto"/>
        <w:left w:val="none" w:sz="0" w:space="0" w:color="auto"/>
        <w:bottom w:val="none" w:sz="0" w:space="0" w:color="auto"/>
        <w:right w:val="none" w:sz="0" w:space="0" w:color="auto"/>
      </w:divBdr>
    </w:div>
    <w:div w:id="1184903850">
      <w:bodyDiv w:val="1"/>
      <w:marLeft w:val="0"/>
      <w:marRight w:val="0"/>
      <w:marTop w:val="0"/>
      <w:marBottom w:val="0"/>
      <w:divBdr>
        <w:top w:val="none" w:sz="0" w:space="0" w:color="auto"/>
        <w:left w:val="none" w:sz="0" w:space="0" w:color="auto"/>
        <w:bottom w:val="none" w:sz="0" w:space="0" w:color="auto"/>
        <w:right w:val="none" w:sz="0" w:space="0" w:color="auto"/>
      </w:divBdr>
      <w:divsChild>
        <w:div w:id="945381458">
          <w:marLeft w:val="0"/>
          <w:marRight w:val="0"/>
          <w:marTop w:val="0"/>
          <w:marBottom w:val="0"/>
          <w:divBdr>
            <w:top w:val="none" w:sz="0" w:space="0" w:color="auto"/>
            <w:left w:val="none" w:sz="0" w:space="0" w:color="auto"/>
            <w:bottom w:val="none" w:sz="0" w:space="0" w:color="auto"/>
            <w:right w:val="none" w:sz="0" w:space="0" w:color="auto"/>
          </w:divBdr>
        </w:div>
      </w:divsChild>
    </w:div>
    <w:div w:id="1186559537">
      <w:bodyDiv w:val="1"/>
      <w:marLeft w:val="0"/>
      <w:marRight w:val="0"/>
      <w:marTop w:val="0"/>
      <w:marBottom w:val="0"/>
      <w:divBdr>
        <w:top w:val="none" w:sz="0" w:space="0" w:color="auto"/>
        <w:left w:val="none" w:sz="0" w:space="0" w:color="auto"/>
        <w:bottom w:val="none" w:sz="0" w:space="0" w:color="auto"/>
        <w:right w:val="none" w:sz="0" w:space="0" w:color="auto"/>
      </w:divBdr>
    </w:div>
    <w:div w:id="1199779196">
      <w:bodyDiv w:val="1"/>
      <w:marLeft w:val="0"/>
      <w:marRight w:val="0"/>
      <w:marTop w:val="0"/>
      <w:marBottom w:val="0"/>
      <w:divBdr>
        <w:top w:val="none" w:sz="0" w:space="0" w:color="auto"/>
        <w:left w:val="none" w:sz="0" w:space="0" w:color="auto"/>
        <w:bottom w:val="none" w:sz="0" w:space="0" w:color="auto"/>
        <w:right w:val="none" w:sz="0" w:space="0" w:color="auto"/>
      </w:divBdr>
    </w:div>
    <w:div w:id="1202674168">
      <w:bodyDiv w:val="1"/>
      <w:marLeft w:val="0"/>
      <w:marRight w:val="0"/>
      <w:marTop w:val="0"/>
      <w:marBottom w:val="0"/>
      <w:divBdr>
        <w:top w:val="none" w:sz="0" w:space="0" w:color="auto"/>
        <w:left w:val="none" w:sz="0" w:space="0" w:color="auto"/>
        <w:bottom w:val="none" w:sz="0" w:space="0" w:color="auto"/>
        <w:right w:val="none" w:sz="0" w:space="0" w:color="auto"/>
      </w:divBdr>
    </w:div>
    <w:div w:id="1215316274">
      <w:bodyDiv w:val="1"/>
      <w:marLeft w:val="0"/>
      <w:marRight w:val="0"/>
      <w:marTop w:val="0"/>
      <w:marBottom w:val="0"/>
      <w:divBdr>
        <w:top w:val="none" w:sz="0" w:space="0" w:color="auto"/>
        <w:left w:val="none" w:sz="0" w:space="0" w:color="auto"/>
        <w:bottom w:val="none" w:sz="0" w:space="0" w:color="auto"/>
        <w:right w:val="none" w:sz="0" w:space="0" w:color="auto"/>
      </w:divBdr>
      <w:divsChild>
        <w:div w:id="812605475">
          <w:marLeft w:val="0"/>
          <w:marRight w:val="0"/>
          <w:marTop w:val="0"/>
          <w:marBottom w:val="0"/>
          <w:divBdr>
            <w:top w:val="none" w:sz="0" w:space="0" w:color="auto"/>
            <w:left w:val="none" w:sz="0" w:space="0" w:color="auto"/>
            <w:bottom w:val="none" w:sz="0" w:space="0" w:color="auto"/>
            <w:right w:val="none" w:sz="0" w:space="0" w:color="auto"/>
          </w:divBdr>
        </w:div>
      </w:divsChild>
    </w:div>
    <w:div w:id="1229614197">
      <w:bodyDiv w:val="1"/>
      <w:marLeft w:val="0"/>
      <w:marRight w:val="0"/>
      <w:marTop w:val="0"/>
      <w:marBottom w:val="0"/>
      <w:divBdr>
        <w:top w:val="none" w:sz="0" w:space="0" w:color="auto"/>
        <w:left w:val="none" w:sz="0" w:space="0" w:color="auto"/>
        <w:bottom w:val="none" w:sz="0" w:space="0" w:color="auto"/>
        <w:right w:val="none" w:sz="0" w:space="0" w:color="auto"/>
      </w:divBdr>
    </w:div>
    <w:div w:id="1236282544">
      <w:bodyDiv w:val="1"/>
      <w:marLeft w:val="0"/>
      <w:marRight w:val="0"/>
      <w:marTop w:val="0"/>
      <w:marBottom w:val="0"/>
      <w:divBdr>
        <w:top w:val="none" w:sz="0" w:space="0" w:color="auto"/>
        <w:left w:val="none" w:sz="0" w:space="0" w:color="auto"/>
        <w:bottom w:val="none" w:sz="0" w:space="0" w:color="auto"/>
        <w:right w:val="none" w:sz="0" w:space="0" w:color="auto"/>
      </w:divBdr>
    </w:div>
    <w:div w:id="1249118945">
      <w:bodyDiv w:val="1"/>
      <w:marLeft w:val="0"/>
      <w:marRight w:val="0"/>
      <w:marTop w:val="0"/>
      <w:marBottom w:val="0"/>
      <w:divBdr>
        <w:top w:val="none" w:sz="0" w:space="0" w:color="auto"/>
        <w:left w:val="none" w:sz="0" w:space="0" w:color="auto"/>
        <w:bottom w:val="none" w:sz="0" w:space="0" w:color="auto"/>
        <w:right w:val="none" w:sz="0" w:space="0" w:color="auto"/>
      </w:divBdr>
    </w:div>
    <w:div w:id="1249191534">
      <w:bodyDiv w:val="1"/>
      <w:marLeft w:val="0"/>
      <w:marRight w:val="0"/>
      <w:marTop w:val="0"/>
      <w:marBottom w:val="0"/>
      <w:divBdr>
        <w:top w:val="none" w:sz="0" w:space="0" w:color="auto"/>
        <w:left w:val="none" w:sz="0" w:space="0" w:color="auto"/>
        <w:bottom w:val="none" w:sz="0" w:space="0" w:color="auto"/>
        <w:right w:val="none" w:sz="0" w:space="0" w:color="auto"/>
      </w:divBdr>
    </w:div>
    <w:div w:id="1250430773">
      <w:bodyDiv w:val="1"/>
      <w:marLeft w:val="0"/>
      <w:marRight w:val="0"/>
      <w:marTop w:val="0"/>
      <w:marBottom w:val="0"/>
      <w:divBdr>
        <w:top w:val="none" w:sz="0" w:space="0" w:color="auto"/>
        <w:left w:val="none" w:sz="0" w:space="0" w:color="auto"/>
        <w:bottom w:val="none" w:sz="0" w:space="0" w:color="auto"/>
        <w:right w:val="none" w:sz="0" w:space="0" w:color="auto"/>
      </w:divBdr>
    </w:div>
    <w:div w:id="1251545815">
      <w:bodyDiv w:val="1"/>
      <w:marLeft w:val="0"/>
      <w:marRight w:val="0"/>
      <w:marTop w:val="0"/>
      <w:marBottom w:val="0"/>
      <w:divBdr>
        <w:top w:val="none" w:sz="0" w:space="0" w:color="auto"/>
        <w:left w:val="none" w:sz="0" w:space="0" w:color="auto"/>
        <w:bottom w:val="none" w:sz="0" w:space="0" w:color="auto"/>
        <w:right w:val="none" w:sz="0" w:space="0" w:color="auto"/>
      </w:divBdr>
      <w:divsChild>
        <w:div w:id="9337366">
          <w:marLeft w:val="0"/>
          <w:marRight w:val="0"/>
          <w:marTop w:val="0"/>
          <w:marBottom w:val="0"/>
          <w:divBdr>
            <w:top w:val="none" w:sz="0" w:space="0" w:color="auto"/>
            <w:left w:val="none" w:sz="0" w:space="0" w:color="auto"/>
            <w:bottom w:val="none" w:sz="0" w:space="0" w:color="auto"/>
            <w:right w:val="none" w:sz="0" w:space="0" w:color="auto"/>
          </w:divBdr>
        </w:div>
      </w:divsChild>
    </w:div>
    <w:div w:id="1264191760">
      <w:bodyDiv w:val="1"/>
      <w:marLeft w:val="0"/>
      <w:marRight w:val="0"/>
      <w:marTop w:val="0"/>
      <w:marBottom w:val="0"/>
      <w:divBdr>
        <w:top w:val="none" w:sz="0" w:space="0" w:color="auto"/>
        <w:left w:val="none" w:sz="0" w:space="0" w:color="auto"/>
        <w:bottom w:val="none" w:sz="0" w:space="0" w:color="auto"/>
        <w:right w:val="none" w:sz="0" w:space="0" w:color="auto"/>
      </w:divBdr>
      <w:divsChild>
        <w:div w:id="253244909">
          <w:marLeft w:val="0"/>
          <w:marRight w:val="0"/>
          <w:marTop w:val="0"/>
          <w:marBottom w:val="0"/>
          <w:divBdr>
            <w:top w:val="none" w:sz="0" w:space="0" w:color="auto"/>
            <w:left w:val="none" w:sz="0" w:space="0" w:color="auto"/>
            <w:bottom w:val="none" w:sz="0" w:space="0" w:color="auto"/>
            <w:right w:val="none" w:sz="0" w:space="0" w:color="auto"/>
          </w:divBdr>
        </w:div>
      </w:divsChild>
    </w:div>
    <w:div w:id="1274752544">
      <w:bodyDiv w:val="1"/>
      <w:marLeft w:val="0"/>
      <w:marRight w:val="0"/>
      <w:marTop w:val="0"/>
      <w:marBottom w:val="0"/>
      <w:divBdr>
        <w:top w:val="none" w:sz="0" w:space="0" w:color="auto"/>
        <w:left w:val="none" w:sz="0" w:space="0" w:color="auto"/>
        <w:bottom w:val="none" w:sz="0" w:space="0" w:color="auto"/>
        <w:right w:val="none" w:sz="0" w:space="0" w:color="auto"/>
      </w:divBdr>
    </w:div>
    <w:div w:id="1282344981">
      <w:bodyDiv w:val="1"/>
      <w:marLeft w:val="0"/>
      <w:marRight w:val="0"/>
      <w:marTop w:val="0"/>
      <w:marBottom w:val="0"/>
      <w:divBdr>
        <w:top w:val="none" w:sz="0" w:space="0" w:color="auto"/>
        <w:left w:val="none" w:sz="0" w:space="0" w:color="auto"/>
        <w:bottom w:val="none" w:sz="0" w:space="0" w:color="auto"/>
        <w:right w:val="none" w:sz="0" w:space="0" w:color="auto"/>
      </w:divBdr>
      <w:divsChild>
        <w:div w:id="2119131498">
          <w:marLeft w:val="0"/>
          <w:marRight w:val="0"/>
          <w:marTop w:val="0"/>
          <w:marBottom w:val="0"/>
          <w:divBdr>
            <w:top w:val="none" w:sz="0" w:space="0" w:color="auto"/>
            <w:left w:val="none" w:sz="0" w:space="0" w:color="auto"/>
            <w:bottom w:val="none" w:sz="0" w:space="0" w:color="auto"/>
            <w:right w:val="none" w:sz="0" w:space="0" w:color="auto"/>
          </w:divBdr>
        </w:div>
      </w:divsChild>
    </w:div>
    <w:div w:id="1286503068">
      <w:bodyDiv w:val="1"/>
      <w:marLeft w:val="0"/>
      <w:marRight w:val="0"/>
      <w:marTop w:val="0"/>
      <w:marBottom w:val="0"/>
      <w:divBdr>
        <w:top w:val="none" w:sz="0" w:space="0" w:color="auto"/>
        <w:left w:val="none" w:sz="0" w:space="0" w:color="auto"/>
        <w:bottom w:val="none" w:sz="0" w:space="0" w:color="auto"/>
        <w:right w:val="none" w:sz="0" w:space="0" w:color="auto"/>
      </w:divBdr>
    </w:div>
    <w:div w:id="1292708013">
      <w:bodyDiv w:val="1"/>
      <w:marLeft w:val="0"/>
      <w:marRight w:val="0"/>
      <w:marTop w:val="0"/>
      <w:marBottom w:val="0"/>
      <w:divBdr>
        <w:top w:val="none" w:sz="0" w:space="0" w:color="auto"/>
        <w:left w:val="none" w:sz="0" w:space="0" w:color="auto"/>
        <w:bottom w:val="none" w:sz="0" w:space="0" w:color="auto"/>
        <w:right w:val="none" w:sz="0" w:space="0" w:color="auto"/>
      </w:divBdr>
    </w:div>
    <w:div w:id="1300458422">
      <w:bodyDiv w:val="1"/>
      <w:marLeft w:val="0"/>
      <w:marRight w:val="0"/>
      <w:marTop w:val="0"/>
      <w:marBottom w:val="0"/>
      <w:divBdr>
        <w:top w:val="none" w:sz="0" w:space="0" w:color="auto"/>
        <w:left w:val="none" w:sz="0" w:space="0" w:color="auto"/>
        <w:bottom w:val="none" w:sz="0" w:space="0" w:color="auto"/>
        <w:right w:val="none" w:sz="0" w:space="0" w:color="auto"/>
      </w:divBdr>
    </w:div>
    <w:div w:id="1302344852">
      <w:bodyDiv w:val="1"/>
      <w:marLeft w:val="0"/>
      <w:marRight w:val="0"/>
      <w:marTop w:val="0"/>
      <w:marBottom w:val="0"/>
      <w:divBdr>
        <w:top w:val="none" w:sz="0" w:space="0" w:color="auto"/>
        <w:left w:val="none" w:sz="0" w:space="0" w:color="auto"/>
        <w:bottom w:val="none" w:sz="0" w:space="0" w:color="auto"/>
        <w:right w:val="none" w:sz="0" w:space="0" w:color="auto"/>
      </w:divBdr>
    </w:div>
    <w:div w:id="1304382919">
      <w:bodyDiv w:val="1"/>
      <w:marLeft w:val="0"/>
      <w:marRight w:val="0"/>
      <w:marTop w:val="0"/>
      <w:marBottom w:val="0"/>
      <w:divBdr>
        <w:top w:val="none" w:sz="0" w:space="0" w:color="auto"/>
        <w:left w:val="none" w:sz="0" w:space="0" w:color="auto"/>
        <w:bottom w:val="none" w:sz="0" w:space="0" w:color="auto"/>
        <w:right w:val="none" w:sz="0" w:space="0" w:color="auto"/>
      </w:divBdr>
      <w:divsChild>
        <w:div w:id="1367099993">
          <w:marLeft w:val="0"/>
          <w:marRight w:val="0"/>
          <w:marTop w:val="0"/>
          <w:marBottom w:val="0"/>
          <w:divBdr>
            <w:top w:val="none" w:sz="0" w:space="0" w:color="auto"/>
            <w:left w:val="none" w:sz="0" w:space="0" w:color="auto"/>
            <w:bottom w:val="none" w:sz="0" w:space="0" w:color="auto"/>
            <w:right w:val="none" w:sz="0" w:space="0" w:color="auto"/>
          </w:divBdr>
        </w:div>
      </w:divsChild>
    </w:div>
    <w:div w:id="1305546412">
      <w:bodyDiv w:val="1"/>
      <w:marLeft w:val="0"/>
      <w:marRight w:val="0"/>
      <w:marTop w:val="0"/>
      <w:marBottom w:val="0"/>
      <w:divBdr>
        <w:top w:val="none" w:sz="0" w:space="0" w:color="auto"/>
        <w:left w:val="none" w:sz="0" w:space="0" w:color="auto"/>
        <w:bottom w:val="none" w:sz="0" w:space="0" w:color="auto"/>
        <w:right w:val="none" w:sz="0" w:space="0" w:color="auto"/>
      </w:divBdr>
    </w:div>
    <w:div w:id="1314526444">
      <w:bodyDiv w:val="1"/>
      <w:marLeft w:val="0"/>
      <w:marRight w:val="0"/>
      <w:marTop w:val="0"/>
      <w:marBottom w:val="0"/>
      <w:divBdr>
        <w:top w:val="none" w:sz="0" w:space="0" w:color="auto"/>
        <w:left w:val="none" w:sz="0" w:space="0" w:color="auto"/>
        <w:bottom w:val="none" w:sz="0" w:space="0" w:color="auto"/>
        <w:right w:val="none" w:sz="0" w:space="0" w:color="auto"/>
      </w:divBdr>
    </w:div>
    <w:div w:id="1316254001">
      <w:bodyDiv w:val="1"/>
      <w:marLeft w:val="0"/>
      <w:marRight w:val="0"/>
      <w:marTop w:val="0"/>
      <w:marBottom w:val="0"/>
      <w:divBdr>
        <w:top w:val="none" w:sz="0" w:space="0" w:color="auto"/>
        <w:left w:val="none" w:sz="0" w:space="0" w:color="auto"/>
        <w:bottom w:val="none" w:sz="0" w:space="0" w:color="auto"/>
        <w:right w:val="none" w:sz="0" w:space="0" w:color="auto"/>
      </w:divBdr>
      <w:divsChild>
        <w:div w:id="1190339922">
          <w:marLeft w:val="0"/>
          <w:marRight w:val="0"/>
          <w:marTop w:val="0"/>
          <w:marBottom w:val="0"/>
          <w:divBdr>
            <w:top w:val="none" w:sz="0" w:space="0" w:color="auto"/>
            <w:left w:val="none" w:sz="0" w:space="0" w:color="auto"/>
            <w:bottom w:val="none" w:sz="0" w:space="0" w:color="auto"/>
            <w:right w:val="none" w:sz="0" w:space="0" w:color="auto"/>
          </w:divBdr>
        </w:div>
      </w:divsChild>
    </w:div>
    <w:div w:id="1326587279">
      <w:bodyDiv w:val="1"/>
      <w:marLeft w:val="0"/>
      <w:marRight w:val="0"/>
      <w:marTop w:val="0"/>
      <w:marBottom w:val="0"/>
      <w:divBdr>
        <w:top w:val="none" w:sz="0" w:space="0" w:color="auto"/>
        <w:left w:val="none" w:sz="0" w:space="0" w:color="auto"/>
        <w:bottom w:val="none" w:sz="0" w:space="0" w:color="auto"/>
        <w:right w:val="none" w:sz="0" w:space="0" w:color="auto"/>
      </w:divBdr>
    </w:div>
    <w:div w:id="1329408580">
      <w:bodyDiv w:val="1"/>
      <w:marLeft w:val="0"/>
      <w:marRight w:val="0"/>
      <w:marTop w:val="0"/>
      <w:marBottom w:val="0"/>
      <w:divBdr>
        <w:top w:val="none" w:sz="0" w:space="0" w:color="auto"/>
        <w:left w:val="none" w:sz="0" w:space="0" w:color="auto"/>
        <w:bottom w:val="none" w:sz="0" w:space="0" w:color="auto"/>
        <w:right w:val="none" w:sz="0" w:space="0" w:color="auto"/>
      </w:divBdr>
    </w:div>
    <w:div w:id="1343510405">
      <w:bodyDiv w:val="1"/>
      <w:marLeft w:val="0"/>
      <w:marRight w:val="0"/>
      <w:marTop w:val="0"/>
      <w:marBottom w:val="0"/>
      <w:divBdr>
        <w:top w:val="none" w:sz="0" w:space="0" w:color="auto"/>
        <w:left w:val="none" w:sz="0" w:space="0" w:color="auto"/>
        <w:bottom w:val="none" w:sz="0" w:space="0" w:color="auto"/>
        <w:right w:val="none" w:sz="0" w:space="0" w:color="auto"/>
      </w:divBdr>
    </w:div>
    <w:div w:id="1345861203">
      <w:bodyDiv w:val="1"/>
      <w:marLeft w:val="0"/>
      <w:marRight w:val="0"/>
      <w:marTop w:val="0"/>
      <w:marBottom w:val="0"/>
      <w:divBdr>
        <w:top w:val="none" w:sz="0" w:space="0" w:color="auto"/>
        <w:left w:val="none" w:sz="0" w:space="0" w:color="auto"/>
        <w:bottom w:val="none" w:sz="0" w:space="0" w:color="auto"/>
        <w:right w:val="none" w:sz="0" w:space="0" w:color="auto"/>
      </w:divBdr>
    </w:div>
    <w:div w:id="1346060335">
      <w:bodyDiv w:val="1"/>
      <w:marLeft w:val="0"/>
      <w:marRight w:val="0"/>
      <w:marTop w:val="0"/>
      <w:marBottom w:val="0"/>
      <w:divBdr>
        <w:top w:val="none" w:sz="0" w:space="0" w:color="auto"/>
        <w:left w:val="none" w:sz="0" w:space="0" w:color="auto"/>
        <w:bottom w:val="none" w:sz="0" w:space="0" w:color="auto"/>
        <w:right w:val="none" w:sz="0" w:space="0" w:color="auto"/>
      </w:divBdr>
    </w:div>
    <w:div w:id="1378318231">
      <w:bodyDiv w:val="1"/>
      <w:marLeft w:val="0"/>
      <w:marRight w:val="0"/>
      <w:marTop w:val="0"/>
      <w:marBottom w:val="0"/>
      <w:divBdr>
        <w:top w:val="none" w:sz="0" w:space="0" w:color="auto"/>
        <w:left w:val="none" w:sz="0" w:space="0" w:color="auto"/>
        <w:bottom w:val="none" w:sz="0" w:space="0" w:color="auto"/>
        <w:right w:val="none" w:sz="0" w:space="0" w:color="auto"/>
      </w:divBdr>
    </w:div>
    <w:div w:id="1382245945">
      <w:bodyDiv w:val="1"/>
      <w:marLeft w:val="0"/>
      <w:marRight w:val="0"/>
      <w:marTop w:val="0"/>
      <w:marBottom w:val="0"/>
      <w:divBdr>
        <w:top w:val="none" w:sz="0" w:space="0" w:color="auto"/>
        <w:left w:val="none" w:sz="0" w:space="0" w:color="auto"/>
        <w:bottom w:val="none" w:sz="0" w:space="0" w:color="auto"/>
        <w:right w:val="none" w:sz="0" w:space="0" w:color="auto"/>
      </w:divBdr>
    </w:div>
    <w:div w:id="1385179596">
      <w:bodyDiv w:val="1"/>
      <w:marLeft w:val="0"/>
      <w:marRight w:val="0"/>
      <w:marTop w:val="0"/>
      <w:marBottom w:val="0"/>
      <w:divBdr>
        <w:top w:val="none" w:sz="0" w:space="0" w:color="auto"/>
        <w:left w:val="none" w:sz="0" w:space="0" w:color="auto"/>
        <w:bottom w:val="none" w:sz="0" w:space="0" w:color="auto"/>
        <w:right w:val="none" w:sz="0" w:space="0" w:color="auto"/>
      </w:divBdr>
    </w:div>
    <w:div w:id="1387217863">
      <w:bodyDiv w:val="1"/>
      <w:marLeft w:val="0"/>
      <w:marRight w:val="0"/>
      <w:marTop w:val="0"/>
      <w:marBottom w:val="0"/>
      <w:divBdr>
        <w:top w:val="none" w:sz="0" w:space="0" w:color="auto"/>
        <w:left w:val="none" w:sz="0" w:space="0" w:color="auto"/>
        <w:bottom w:val="none" w:sz="0" w:space="0" w:color="auto"/>
        <w:right w:val="none" w:sz="0" w:space="0" w:color="auto"/>
      </w:divBdr>
    </w:div>
    <w:div w:id="1390104738">
      <w:bodyDiv w:val="1"/>
      <w:marLeft w:val="0"/>
      <w:marRight w:val="0"/>
      <w:marTop w:val="0"/>
      <w:marBottom w:val="0"/>
      <w:divBdr>
        <w:top w:val="none" w:sz="0" w:space="0" w:color="auto"/>
        <w:left w:val="none" w:sz="0" w:space="0" w:color="auto"/>
        <w:bottom w:val="none" w:sz="0" w:space="0" w:color="auto"/>
        <w:right w:val="none" w:sz="0" w:space="0" w:color="auto"/>
      </w:divBdr>
    </w:div>
    <w:div w:id="1409689294">
      <w:bodyDiv w:val="1"/>
      <w:marLeft w:val="0"/>
      <w:marRight w:val="0"/>
      <w:marTop w:val="0"/>
      <w:marBottom w:val="0"/>
      <w:divBdr>
        <w:top w:val="none" w:sz="0" w:space="0" w:color="auto"/>
        <w:left w:val="none" w:sz="0" w:space="0" w:color="auto"/>
        <w:bottom w:val="none" w:sz="0" w:space="0" w:color="auto"/>
        <w:right w:val="none" w:sz="0" w:space="0" w:color="auto"/>
      </w:divBdr>
    </w:div>
    <w:div w:id="1411929829">
      <w:bodyDiv w:val="1"/>
      <w:marLeft w:val="0"/>
      <w:marRight w:val="0"/>
      <w:marTop w:val="0"/>
      <w:marBottom w:val="0"/>
      <w:divBdr>
        <w:top w:val="none" w:sz="0" w:space="0" w:color="auto"/>
        <w:left w:val="none" w:sz="0" w:space="0" w:color="auto"/>
        <w:bottom w:val="none" w:sz="0" w:space="0" w:color="auto"/>
        <w:right w:val="none" w:sz="0" w:space="0" w:color="auto"/>
      </w:divBdr>
    </w:div>
    <w:div w:id="1429740145">
      <w:bodyDiv w:val="1"/>
      <w:marLeft w:val="0"/>
      <w:marRight w:val="0"/>
      <w:marTop w:val="0"/>
      <w:marBottom w:val="0"/>
      <w:divBdr>
        <w:top w:val="none" w:sz="0" w:space="0" w:color="auto"/>
        <w:left w:val="none" w:sz="0" w:space="0" w:color="auto"/>
        <w:bottom w:val="none" w:sz="0" w:space="0" w:color="auto"/>
        <w:right w:val="none" w:sz="0" w:space="0" w:color="auto"/>
      </w:divBdr>
    </w:div>
    <w:div w:id="1430272618">
      <w:bodyDiv w:val="1"/>
      <w:marLeft w:val="0"/>
      <w:marRight w:val="0"/>
      <w:marTop w:val="0"/>
      <w:marBottom w:val="0"/>
      <w:divBdr>
        <w:top w:val="none" w:sz="0" w:space="0" w:color="auto"/>
        <w:left w:val="none" w:sz="0" w:space="0" w:color="auto"/>
        <w:bottom w:val="none" w:sz="0" w:space="0" w:color="auto"/>
        <w:right w:val="none" w:sz="0" w:space="0" w:color="auto"/>
      </w:divBdr>
    </w:div>
    <w:div w:id="1436706720">
      <w:bodyDiv w:val="1"/>
      <w:marLeft w:val="0"/>
      <w:marRight w:val="0"/>
      <w:marTop w:val="0"/>
      <w:marBottom w:val="0"/>
      <w:divBdr>
        <w:top w:val="none" w:sz="0" w:space="0" w:color="auto"/>
        <w:left w:val="none" w:sz="0" w:space="0" w:color="auto"/>
        <w:bottom w:val="none" w:sz="0" w:space="0" w:color="auto"/>
        <w:right w:val="none" w:sz="0" w:space="0" w:color="auto"/>
      </w:divBdr>
    </w:div>
    <w:div w:id="1440249686">
      <w:bodyDiv w:val="1"/>
      <w:marLeft w:val="0"/>
      <w:marRight w:val="0"/>
      <w:marTop w:val="0"/>
      <w:marBottom w:val="0"/>
      <w:divBdr>
        <w:top w:val="none" w:sz="0" w:space="0" w:color="auto"/>
        <w:left w:val="none" w:sz="0" w:space="0" w:color="auto"/>
        <w:bottom w:val="none" w:sz="0" w:space="0" w:color="auto"/>
        <w:right w:val="none" w:sz="0" w:space="0" w:color="auto"/>
      </w:divBdr>
    </w:div>
    <w:div w:id="1441024786">
      <w:bodyDiv w:val="1"/>
      <w:marLeft w:val="0"/>
      <w:marRight w:val="0"/>
      <w:marTop w:val="0"/>
      <w:marBottom w:val="0"/>
      <w:divBdr>
        <w:top w:val="none" w:sz="0" w:space="0" w:color="auto"/>
        <w:left w:val="none" w:sz="0" w:space="0" w:color="auto"/>
        <w:bottom w:val="none" w:sz="0" w:space="0" w:color="auto"/>
        <w:right w:val="none" w:sz="0" w:space="0" w:color="auto"/>
      </w:divBdr>
    </w:div>
    <w:div w:id="1445618174">
      <w:bodyDiv w:val="1"/>
      <w:marLeft w:val="0"/>
      <w:marRight w:val="0"/>
      <w:marTop w:val="0"/>
      <w:marBottom w:val="0"/>
      <w:divBdr>
        <w:top w:val="none" w:sz="0" w:space="0" w:color="auto"/>
        <w:left w:val="none" w:sz="0" w:space="0" w:color="auto"/>
        <w:bottom w:val="none" w:sz="0" w:space="0" w:color="auto"/>
        <w:right w:val="none" w:sz="0" w:space="0" w:color="auto"/>
      </w:divBdr>
      <w:divsChild>
        <w:div w:id="1443920833">
          <w:marLeft w:val="0"/>
          <w:marRight w:val="0"/>
          <w:marTop w:val="0"/>
          <w:marBottom w:val="0"/>
          <w:divBdr>
            <w:top w:val="none" w:sz="0" w:space="0" w:color="auto"/>
            <w:left w:val="none" w:sz="0" w:space="0" w:color="auto"/>
            <w:bottom w:val="none" w:sz="0" w:space="0" w:color="auto"/>
            <w:right w:val="none" w:sz="0" w:space="0" w:color="auto"/>
          </w:divBdr>
        </w:div>
      </w:divsChild>
    </w:div>
    <w:div w:id="1455900419">
      <w:bodyDiv w:val="1"/>
      <w:marLeft w:val="0"/>
      <w:marRight w:val="0"/>
      <w:marTop w:val="0"/>
      <w:marBottom w:val="0"/>
      <w:divBdr>
        <w:top w:val="none" w:sz="0" w:space="0" w:color="auto"/>
        <w:left w:val="none" w:sz="0" w:space="0" w:color="auto"/>
        <w:bottom w:val="none" w:sz="0" w:space="0" w:color="auto"/>
        <w:right w:val="none" w:sz="0" w:space="0" w:color="auto"/>
      </w:divBdr>
      <w:divsChild>
        <w:div w:id="1329407948">
          <w:marLeft w:val="0"/>
          <w:marRight w:val="0"/>
          <w:marTop w:val="0"/>
          <w:marBottom w:val="0"/>
          <w:divBdr>
            <w:top w:val="none" w:sz="0" w:space="0" w:color="auto"/>
            <w:left w:val="none" w:sz="0" w:space="0" w:color="auto"/>
            <w:bottom w:val="none" w:sz="0" w:space="0" w:color="auto"/>
            <w:right w:val="none" w:sz="0" w:space="0" w:color="auto"/>
          </w:divBdr>
        </w:div>
      </w:divsChild>
    </w:div>
    <w:div w:id="1460807288">
      <w:bodyDiv w:val="1"/>
      <w:marLeft w:val="0"/>
      <w:marRight w:val="0"/>
      <w:marTop w:val="0"/>
      <w:marBottom w:val="0"/>
      <w:divBdr>
        <w:top w:val="none" w:sz="0" w:space="0" w:color="auto"/>
        <w:left w:val="none" w:sz="0" w:space="0" w:color="auto"/>
        <w:bottom w:val="none" w:sz="0" w:space="0" w:color="auto"/>
        <w:right w:val="none" w:sz="0" w:space="0" w:color="auto"/>
      </w:divBdr>
      <w:divsChild>
        <w:div w:id="1579318773">
          <w:marLeft w:val="0"/>
          <w:marRight w:val="0"/>
          <w:marTop w:val="0"/>
          <w:marBottom w:val="0"/>
          <w:divBdr>
            <w:top w:val="none" w:sz="0" w:space="0" w:color="auto"/>
            <w:left w:val="none" w:sz="0" w:space="0" w:color="auto"/>
            <w:bottom w:val="none" w:sz="0" w:space="0" w:color="auto"/>
            <w:right w:val="none" w:sz="0" w:space="0" w:color="auto"/>
          </w:divBdr>
        </w:div>
      </w:divsChild>
    </w:div>
    <w:div w:id="1468165137">
      <w:bodyDiv w:val="1"/>
      <w:marLeft w:val="0"/>
      <w:marRight w:val="0"/>
      <w:marTop w:val="0"/>
      <w:marBottom w:val="0"/>
      <w:divBdr>
        <w:top w:val="none" w:sz="0" w:space="0" w:color="auto"/>
        <w:left w:val="none" w:sz="0" w:space="0" w:color="auto"/>
        <w:bottom w:val="none" w:sz="0" w:space="0" w:color="auto"/>
        <w:right w:val="none" w:sz="0" w:space="0" w:color="auto"/>
      </w:divBdr>
    </w:div>
    <w:div w:id="1468545720">
      <w:bodyDiv w:val="1"/>
      <w:marLeft w:val="0"/>
      <w:marRight w:val="0"/>
      <w:marTop w:val="0"/>
      <w:marBottom w:val="0"/>
      <w:divBdr>
        <w:top w:val="none" w:sz="0" w:space="0" w:color="auto"/>
        <w:left w:val="none" w:sz="0" w:space="0" w:color="auto"/>
        <w:bottom w:val="none" w:sz="0" w:space="0" w:color="auto"/>
        <w:right w:val="none" w:sz="0" w:space="0" w:color="auto"/>
      </w:divBdr>
    </w:div>
    <w:div w:id="1470240599">
      <w:bodyDiv w:val="1"/>
      <w:marLeft w:val="0"/>
      <w:marRight w:val="0"/>
      <w:marTop w:val="0"/>
      <w:marBottom w:val="0"/>
      <w:divBdr>
        <w:top w:val="none" w:sz="0" w:space="0" w:color="auto"/>
        <w:left w:val="none" w:sz="0" w:space="0" w:color="auto"/>
        <w:bottom w:val="none" w:sz="0" w:space="0" w:color="auto"/>
        <w:right w:val="none" w:sz="0" w:space="0" w:color="auto"/>
      </w:divBdr>
    </w:div>
    <w:div w:id="1478374736">
      <w:bodyDiv w:val="1"/>
      <w:marLeft w:val="0"/>
      <w:marRight w:val="0"/>
      <w:marTop w:val="0"/>
      <w:marBottom w:val="0"/>
      <w:divBdr>
        <w:top w:val="none" w:sz="0" w:space="0" w:color="auto"/>
        <w:left w:val="none" w:sz="0" w:space="0" w:color="auto"/>
        <w:bottom w:val="none" w:sz="0" w:space="0" w:color="auto"/>
        <w:right w:val="none" w:sz="0" w:space="0" w:color="auto"/>
      </w:divBdr>
    </w:div>
    <w:div w:id="1485702487">
      <w:bodyDiv w:val="1"/>
      <w:marLeft w:val="0"/>
      <w:marRight w:val="0"/>
      <w:marTop w:val="0"/>
      <w:marBottom w:val="0"/>
      <w:divBdr>
        <w:top w:val="none" w:sz="0" w:space="0" w:color="auto"/>
        <w:left w:val="none" w:sz="0" w:space="0" w:color="auto"/>
        <w:bottom w:val="none" w:sz="0" w:space="0" w:color="auto"/>
        <w:right w:val="none" w:sz="0" w:space="0" w:color="auto"/>
      </w:divBdr>
    </w:div>
    <w:div w:id="1513835426">
      <w:bodyDiv w:val="1"/>
      <w:marLeft w:val="0"/>
      <w:marRight w:val="0"/>
      <w:marTop w:val="0"/>
      <w:marBottom w:val="0"/>
      <w:divBdr>
        <w:top w:val="none" w:sz="0" w:space="0" w:color="auto"/>
        <w:left w:val="none" w:sz="0" w:space="0" w:color="auto"/>
        <w:bottom w:val="none" w:sz="0" w:space="0" w:color="auto"/>
        <w:right w:val="none" w:sz="0" w:space="0" w:color="auto"/>
      </w:divBdr>
    </w:div>
    <w:div w:id="1520119339">
      <w:bodyDiv w:val="1"/>
      <w:marLeft w:val="0"/>
      <w:marRight w:val="0"/>
      <w:marTop w:val="0"/>
      <w:marBottom w:val="0"/>
      <w:divBdr>
        <w:top w:val="none" w:sz="0" w:space="0" w:color="auto"/>
        <w:left w:val="none" w:sz="0" w:space="0" w:color="auto"/>
        <w:bottom w:val="none" w:sz="0" w:space="0" w:color="auto"/>
        <w:right w:val="none" w:sz="0" w:space="0" w:color="auto"/>
      </w:divBdr>
      <w:divsChild>
        <w:div w:id="865018568">
          <w:marLeft w:val="0"/>
          <w:marRight w:val="0"/>
          <w:marTop w:val="0"/>
          <w:marBottom w:val="0"/>
          <w:divBdr>
            <w:top w:val="none" w:sz="0" w:space="0" w:color="auto"/>
            <w:left w:val="none" w:sz="0" w:space="0" w:color="auto"/>
            <w:bottom w:val="none" w:sz="0" w:space="0" w:color="auto"/>
            <w:right w:val="none" w:sz="0" w:space="0" w:color="auto"/>
          </w:divBdr>
        </w:div>
      </w:divsChild>
    </w:div>
    <w:div w:id="1521237908">
      <w:bodyDiv w:val="1"/>
      <w:marLeft w:val="0"/>
      <w:marRight w:val="0"/>
      <w:marTop w:val="0"/>
      <w:marBottom w:val="0"/>
      <w:divBdr>
        <w:top w:val="none" w:sz="0" w:space="0" w:color="auto"/>
        <w:left w:val="none" w:sz="0" w:space="0" w:color="auto"/>
        <w:bottom w:val="none" w:sz="0" w:space="0" w:color="auto"/>
        <w:right w:val="none" w:sz="0" w:space="0" w:color="auto"/>
      </w:divBdr>
    </w:div>
    <w:div w:id="1534268116">
      <w:bodyDiv w:val="1"/>
      <w:marLeft w:val="0"/>
      <w:marRight w:val="0"/>
      <w:marTop w:val="0"/>
      <w:marBottom w:val="0"/>
      <w:divBdr>
        <w:top w:val="none" w:sz="0" w:space="0" w:color="auto"/>
        <w:left w:val="none" w:sz="0" w:space="0" w:color="auto"/>
        <w:bottom w:val="none" w:sz="0" w:space="0" w:color="auto"/>
        <w:right w:val="none" w:sz="0" w:space="0" w:color="auto"/>
      </w:divBdr>
    </w:div>
    <w:div w:id="1539390120">
      <w:bodyDiv w:val="1"/>
      <w:marLeft w:val="0"/>
      <w:marRight w:val="0"/>
      <w:marTop w:val="0"/>
      <w:marBottom w:val="0"/>
      <w:divBdr>
        <w:top w:val="none" w:sz="0" w:space="0" w:color="auto"/>
        <w:left w:val="none" w:sz="0" w:space="0" w:color="auto"/>
        <w:bottom w:val="none" w:sz="0" w:space="0" w:color="auto"/>
        <w:right w:val="none" w:sz="0" w:space="0" w:color="auto"/>
      </w:divBdr>
    </w:div>
    <w:div w:id="1542942544">
      <w:bodyDiv w:val="1"/>
      <w:marLeft w:val="0"/>
      <w:marRight w:val="0"/>
      <w:marTop w:val="0"/>
      <w:marBottom w:val="0"/>
      <w:divBdr>
        <w:top w:val="none" w:sz="0" w:space="0" w:color="auto"/>
        <w:left w:val="none" w:sz="0" w:space="0" w:color="auto"/>
        <w:bottom w:val="none" w:sz="0" w:space="0" w:color="auto"/>
        <w:right w:val="none" w:sz="0" w:space="0" w:color="auto"/>
      </w:divBdr>
      <w:divsChild>
        <w:div w:id="1090736493">
          <w:marLeft w:val="0"/>
          <w:marRight w:val="0"/>
          <w:marTop w:val="0"/>
          <w:marBottom w:val="0"/>
          <w:divBdr>
            <w:top w:val="none" w:sz="0" w:space="0" w:color="auto"/>
            <w:left w:val="none" w:sz="0" w:space="0" w:color="auto"/>
            <w:bottom w:val="none" w:sz="0" w:space="0" w:color="auto"/>
            <w:right w:val="none" w:sz="0" w:space="0" w:color="auto"/>
          </w:divBdr>
        </w:div>
      </w:divsChild>
    </w:div>
    <w:div w:id="1551721134">
      <w:bodyDiv w:val="1"/>
      <w:marLeft w:val="0"/>
      <w:marRight w:val="0"/>
      <w:marTop w:val="0"/>
      <w:marBottom w:val="0"/>
      <w:divBdr>
        <w:top w:val="none" w:sz="0" w:space="0" w:color="auto"/>
        <w:left w:val="none" w:sz="0" w:space="0" w:color="auto"/>
        <w:bottom w:val="none" w:sz="0" w:space="0" w:color="auto"/>
        <w:right w:val="none" w:sz="0" w:space="0" w:color="auto"/>
      </w:divBdr>
    </w:div>
    <w:div w:id="1561476156">
      <w:bodyDiv w:val="1"/>
      <w:marLeft w:val="0"/>
      <w:marRight w:val="0"/>
      <w:marTop w:val="0"/>
      <w:marBottom w:val="0"/>
      <w:divBdr>
        <w:top w:val="none" w:sz="0" w:space="0" w:color="auto"/>
        <w:left w:val="none" w:sz="0" w:space="0" w:color="auto"/>
        <w:bottom w:val="none" w:sz="0" w:space="0" w:color="auto"/>
        <w:right w:val="none" w:sz="0" w:space="0" w:color="auto"/>
      </w:divBdr>
    </w:div>
    <w:div w:id="1562255147">
      <w:bodyDiv w:val="1"/>
      <w:marLeft w:val="0"/>
      <w:marRight w:val="0"/>
      <w:marTop w:val="0"/>
      <w:marBottom w:val="0"/>
      <w:divBdr>
        <w:top w:val="none" w:sz="0" w:space="0" w:color="auto"/>
        <w:left w:val="none" w:sz="0" w:space="0" w:color="auto"/>
        <w:bottom w:val="none" w:sz="0" w:space="0" w:color="auto"/>
        <w:right w:val="none" w:sz="0" w:space="0" w:color="auto"/>
      </w:divBdr>
    </w:div>
    <w:div w:id="1565141373">
      <w:bodyDiv w:val="1"/>
      <w:marLeft w:val="0"/>
      <w:marRight w:val="0"/>
      <w:marTop w:val="0"/>
      <w:marBottom w:val="0"/>
      <w:divBdr>
        <w:top w:val="none" w:sz="0" w:space="0" w:color="auto"/>
        <w:left w:val="none" w:sz="0" w:space="0" w:color="auto"/>
        <w:bottom w:val="none" w:sz="0" w:space="0" w:color="auto"/>
        <w:right w:val="none" w:sz="0" w:space="0" w:color="auto"/>
      </w:divBdr>
    </w:div>
    <w:div w:id="1567185266">
      <w:bodyDiv w:val="1"/>
      <w:marLeft w:val="0"/>
      <w:marRight w:val="0"/>
      <w:marTop w:val="0"/>
      <w:marBottom w:val="0"/>
      <w:divBdr>
        <w:top w:val="none" w:sz="0" w:space="0" w:color="auto"/>
        <w:left w:val="none" w:sz="0" w:space="0" w:color="auto"/>
        <w:bottom w:val="none" w:sz="0" w:space="0" w:color="auto"/>
        <w:right w:val="none" w:sz="0" w:space="0" w:color="auto"/>
      </w:divBdr>
    </w:div>
    <w:div w:id="1578635074">
      <w:bodyDiv w:val="1"/>
      <w:marLeft w:val="0"/>
      <w:marRight w:val="0"/>
      <w:marTop w:val="0"/>
      <w:marBottom w:val="0"/>
      <w:divBdr>
        <w:top w:val="none" w:sz="0" w:space="0" w:color="auto"/>
        <w:left w:val="none" w:sz="0" w:space="0" w:color="auto"/>
        <w:bottom w:val="none" w:sz="0" w:space="0" w:color="auto"/>
        <w:right w:val="none" w:sz="0" w:space="0" w:color="auto"/>
      </w:divBdr>
    </w:div>
    <w:div w:id="1584949968">
      <w:bodyDiv w:val="1"/>
      <w:marLeft w:val="0"/>
      <w:marRight w:val="0"/>
      <w:marTop w:val="0"/>
      <w:marBottom w:val="0"/>
      <w:divBdr>
        <w:top w:val="none" w:sz="0" w:space="0" w:color="auto"/>
        <w:left w:val="none" w:sz="0" w:space="0" w:color="auto"/>
        <w:bottom w:val="none" w:sz="0" w:space="0" w:color="auto"/>
        <w:right w:val="none" w:sz="0" w:space="0" w:color="auto"/>
      </w:divBdr>
    </w:div>
    <w:div w:id="1588995246">
      <w:bodyDiv w:val="1"/>
      <w:marLeft w:val="0"/>
      <w:marRight w:val="0"/>
      <w:marTop w:val="0"/>
      <w:marBottom w:val="0"/>
      <w:divBdr>
        <w:top w:val="none" w:sz="0" w:space="0" w:color="auto"/>
        <w:left w:val="none" w:sz="0" w:space="0" w:color="auto"/>
        <w:bottom w:val="none" w:sz="0" w:space="0" w:color="auto"/>
        <w:right w:val="none" w:sz="0" w:space="0" w:color="auto"/>
      </w:divBdr>
    </w:div>
    <w:div w:id="1597710495">
      <w:bodyDiv w:val="1"/>
      <w:marLeft w:val="0"/>
      <w:marRight w:val="0"/>
      <w:marTop w:val="0"/>
      <w:marBottom w:val="0"/>
      <w:divBdr>
        <w:top w:val="none" w:sz="0" w:space="0" w:color="auto"/>
        <w:left w:val="none" w:sz="0" w:space="0" w:color="auto"/>
        <w:bottom w:val="none" w:sz="0" w:space="0" w:color="auto"/>
        <w:right w:val="none" w:sz="0" w:space="0" w:color="auto"/>
      </w:divBdr>
    </w:div>
    <w:div w:id="1641575157">
      <w:bodyDiv w:val="1"/>
      <w:marLeft w:val="0"/>
      <w:marRight w:val="0"/>
      <w:marTop w:val="0"/>
      <w:marBottom w:val="0"/>
      <w:divBdr>
        <w:top w:val="none" w:sz="0" w:space="0" w:color="auto"/>
        <w:left w:val="none" w:sz="0" w:space="0" w:color="auto"/>
        <w:bottom w:val="none" w:sz="0" w:space="0" w:color="auto"/>
        <w:right w:val="none" w:sz="0" w:space="0" w:color="auto"/>
      </w:divBdr>
    </w:div>
    <w:div w:id="1650553250">
      <w:bodyDiv w:val="1"/>
      <w:marLeft w:val="0"/>
      <w:marRight w:val="0"/>
      <w:marTop w:val="0"/>
      <w:marBottom w:val="0"/>
      <w:divBdr>
        <w:top w:val="none" w:sz="0" w:space="0" w:color="auto"/>
        <w:left w:val="none" w:sz="0" w:space="0" w:color="auto"/>
        <w:bottom w:val="none" w:sz="0" w:space="0" w:color="auto"/>
        <w:right w:val="none" w:sz="0" w:space="0" w:color="auto"/>
      </w:divBdr>
    </w:div>
    <w:div w:id="1650598989">
      <w:bodyDiv w:val="1"/>
      <w:marLeft w:val="0"/>
      <w:marRight w:val="0"/>
      <w:marTop w:val="0"/>
      <w:marBottom w:val="0"/>
      <w:divBdr>
        <w:top w:val="none" w:sz="0" w:space="0" w:color="auto"/>
        <w:left w:val="none" w:sz="0" w:space="0" w:color="auto"/>
        <w:bottom w:val="none" w:sz="0" w:space="0" w:color="auto"/>
        <w:right w:val="none" w:sz="0" w:space="0" w:color="auto"/>
      </w:divBdr>
      <w:divsChild>
        <w:div w:id="50201069">
          <w:marLeft w:val="0"/>
          <w:marRight w:val="0"/>
          <w:marTop w:val="0"/>
          <w:marBottom w:val="0"/>
          <w:divBdr>
            <w:top w:val="none" w:sz="0" w:space="0" w:color="auto"/>
            <w:left w:val="none" w:sz="0" w:space="0" w:color="auto"/>
            <w:bottom w:val="none" w:sz="0" w:space="0" w:color="auto"/>
            <w:right w:val="none" w:sz="0" w:space="0" w:color="auto"/>
          </w:divBdr>
        </w:div>
      </w:divsChild>
    </w:div>
    <w:div w:id="1658998125">
      <w:bodyDiv w:val="1"/>
      <w:marLeft w:val="0"/>
      <w:marRight w:val="0"/>
      <w:marTop w:val="0"/>
      <w:marBottom w:val="0"/>
      <w:divBdr>
        <w:top w:val="none" w:sz="0" w:space="0" w:color="auto"/>
        <w:left w:val="none" w:sz="0" w:space="0" w:color="auto"/>
        <w:bottom w:val="none" w:sz="0" w:space="0" w:color="auto"/>
        <w:right w:val="none" w:sz="0" w:space="0" w:color="auto"/>
      </w:divBdr>
      <w:divsChild>
        <w:div w:id="571088090">
          <w:marLeft w:val="0"/>
          <w:marRight w:val="0"/>
          <w:marTop w:val="0"/>
          <w:marBottom w:val="0"/>
          <w:divBdr>
            <w:top w:val="none" w:sz="0" w:space="0" w:color="auto"/>
            <w:left w:val="none" w:sz="0" w:space="0" w:color="auto"/>
            <w:bottom w:val="none" w:sz="0" w:space="0" w:color="auto"/>
            <w:right w:val="none" w:sz="0" w:space="0" w:color="auto"/>
          </w:divBdr>
        </w:div>
      </w:divsChild>
    </w:div>
    <w:div w:id="1668248181">
      <w:bodyDiv w:val="1"/>
      <w:marLeft w:val="0"/>
      <w:marRight w:val="0"/>
      <w:marTop w:val="0"/>
      <w:marBottom w:val="0"/>
      <w:divBdr>
        <w:top w:val="none" w:sz="0" w:space="0" w:color="auto"/>
        <w:left w:val="none" w:sz="0" w:space="0" w:color="auto"/>
        <w:bottom w:val="none" w:sz="0" w:space="0" w:color="auto"/>
        <w:right w:val="none" w:sz="0" w:space="0" w:color="auto"/>
      </w:divBdr>
      <w:divsChild>
        <w:div w:id="2144886022">
          <w:marLeft w:val="0"/>
          <w:marRight w:val="0"/>
          <w:marTop w:val="0"/>
          <w:marBottom w:val="0"/>
          <w:divBdr>
            <w:top w:val="none" w:sz="0" w:space="0" w:color="auto"/>
            <w:left w:val="none" w:sz="0" w:space="0" w:color="auto"/>
            <w:bottom w:val="none" w:sz="0" w:space="0" w:color="auto"/>
            <w:right w:val="none" w:sz="0" w:space="0" w:color="auto"/>
          </w:divBdr>
        </w:div>
      </w:divsChild>
    </w:div>
    <w:div w:id="1668829059">
      <w:bodyDiv w:val="1"/>
      <w:marLeft w:val="0"/>
      <w:marRight w:val="0"/>
      <w:marTop w:val="0"/>
      <w:marBottom w:val="0"/>
      <w:divBdr>
        <w:top w:val="none" w:sz="0" w:space="0" w:color="auto"/>
        <w:left w:val="none" w:sz="0" w:space="0" w:color="auto"/>
        <w:bottom w:val="none" w:sz="0" w:space="0" w:color="auto"/>
        <w:right w:val="none" w:sz="0" w:space="0" w:color="auto"/>
      </w:divBdr>
    </w:div>
    <w:div w:id="1670013663">
      <w:bodyDiv w:val="1"/>
      <w:marLeft w:val="0"/>
      <w:marRight w:val="0"/>
      <w:marTop w:val="0"/>
      <w:marBottom w:val="0"/>
      <w:divBdr>
        <w:top w:val="none" w:sz="0" w:space="0" w:color="auto"/>
        <w:left w:val="none" w:sz="0" w:space="0" w:color="auto"/>
        <w:bottom w:val="none" w:sz="0" w:space="0" w:color="auto"/>
        <w:right w:val="none" w:sz="0" w:space="0" w:color="auto"/>
      </w:divBdr>
      <w:divsChild>
        <w:div w:id="1329408749">
          <w:marLeft w:val="0"/>
          <w:marRight w:val="0"/>
          <w:marTop w:val="0"/>
          <w:marBottom w:val="0"/>
          <w:divBdr>
            <w:top w:val="none" w:sz="0" w:space="0" w:color="auto"/>
            <w:left w:val="none" w:sz="0" w:space="0" w:color="auto"/>
            <w:bottom w:val="none" w:sz="0" w:space="0" w:color="auto"/>
            <w:right w:val="none" w:sz="0" w:space="0" w:color="auto"/>
          </w:divBdr>
        </w:div>
      </w:divsChild>
    </w:div>
    <w:div w:id="1670324089">
      <w:bodyDiv w:val="1"/>
      <w:marLeft w:val="0"/>
      <w:marRight w:val="0"/>
      <w:marTop w:val="0"/>
      <w:marBottom w:val="0"/>
      <w:divBdr>
        <w:top w:val="none" w:sz="0" w:space="0" w:color="auto"/>
        <w:left w:val="none" w:sz="0" w:space="0" w:color="auto"/>
        <w:bottom w:val="none" w:sz="0" w:space="0" w:color="auto"/>
        <w:right w:val="none" w:sz="0" w:space="0" w:color="auto"/>
      </w:divBdr>
    </w:div>
    <w:div w:id="1673488002">
      <w:bodyDiv w:val="1"/>
      <w:marLeft w:val="0"/>
      <w:marRight w:val="0"/>
      <w:marTop w:val="0"/>
      <w:marBottom w:val="0"/>
      <w:divBdr>
        <w:top w:val="none" w:sz="0" w:space="0" w:color="auto"/>
        <w:left w:val="none" w:sz="0" w:space="0" w:color="auto"/>
        <w:bottom w:val="none" w:sz="0" w:space="0" w:color="auto"/>
        <w:right w:val="none" w:sz="0" w:space="0" w:color="auto"/>
      </w:divBdr>
    </w:div>
    <w:div w:id="1679697565">
      <w:bodyDiv w:val="1"/>
      <w:marLeft w:val="0"/>
      <w:marRight w:val="0"/>
      <w:marTop w:val="0"/>
      <w:marBottom w:val="0"/>
      <w:divBdr>
        <w:top w:val="none" w:sz="0" w:space="0" w:color="auto"/>
        <w:left w:val="none" w:sz="0" w:space="0" w:color="auto"/>
        <w:bottom w:val="none" w:sz="0" w:space="0" w:color="auto"/>
        <w:right w:val="none" w:sz="0" w:space="0" w:color="auto"/>
      </w:divBdr>
      <w:divsChild>
        <w:div w:id="1387294370">
          <w:marLeft w:val="0"/>
          <w:marRight w:val="0"/>
          <w:marTop w:val="0"/>
          <w:marBottom w:val="0"/>
          <w:divBdr>
            <w:top w:val="none" w:sz="0" w:space="0" w:color="auto"/>
            <w:left w:val="none" w:sz="0" w:space="0" w:color="auto"/>
            <w:bottom w:val="none" w:sz="0" w:space="0" w:color="auto"/>
            <w:right w:val="none" w:sz="0" w:space="0" w:color="auto"/>
          </w:divBdr>
        </w:div>
      </w:divsChild>
    </w:div>
    <w:div w:id="1690981667">
      <w:bodyDiv w:val="1"/>
      <w:marLeft w:val="0"/>
      <w:marRight w:val="0"/>
      <w:marTop w:val="0"/>
      <w:marBottom w:val="0"/>
      <w:divBdr>
        <w:top w:val="none" w:sz="0" w:space="0" w:color="auto"/>
        <w:left w:val="none" w:sz="0" w:space="0" w:color="auto"/>
        <w:bottom w:val="none" w:sz="0" w:space="0" w:color="auto"/>
        <w:right w:val="none" w:sz="0" w:space="0" w:color="auto"/>
      </w:divBdr>
    </w:div>
    <w:div w:id="1692216795">
      <w:bodyDiv w:val="1"/>
      <w:marLeft w:val="0"/>
      <w:marRight w:val="0"/>
      <w:marTop w:val="0"/>
      <w:marBottom w:val="0"/>
      <w:divBdr>
        <w:top w:val="none" w:sz="0" w:space="0" w:color="auto"/>
        <w:left w:val="none" w:sz="0" w:space="0" w:color="auto"/>
        <w:bottom w:val="none" w:sz="0" w:space="0" w:color="auto"/>
        <w:right w:val="none" w:sz="0" w:space="0" w:color="auto"/>
      </w:divBdr>
    </w:div>
    <w:div w:id="1700473801">
      <w:bodyDiv w:val="1"/>
      <w:marLeft w:val="0"/>
      <w:marRight w:val="0"/>
      <w:marTop w:val="0"/>
      <w:marBottom w:val="0"/>
      <w:divBdr>
        <w:top w:val="none" w:sz="0" w:space="0" w:color="auto"/>
        <w:left w:val="none" w:sz="0" w:space="0" w:color="auto"/>
        <w:bottom w:val="none" w:sz="0" w:space="0" w:color="auto"/>
        <w:right w:val="none" w:sz="0" w:space="0" w:color="auto"/>
      </w:divBdr>
      <w:divsChild>
        <w:div w:id="511994056">
          <w:marLeft w:val="0"/>
          <w:marRight w:val="0"/>
          <w:marTop w:val="0"/>
          <w:marBottom w:val="0"/>
          <w:divBdr>
            <w:top w:val="none" w:sz="0" w:space="0" w:color="auto"/>
            <w:left w:val="none" w:sz="0" w:space="0" w:color="auto"/>
            <w:bottom w:val="none" w:sz="0" w:space="0" w:color="auto"/>
            <w:right w:val="none" w:sz="0" w:space="0" w:color="auto"/>
          </w:divBdr>
        </w:div>
      </w:divsChild>
    </w:div>
    <w:div w:id="1701466918">
      <w:bodyDiv w:val="1"/>
      <w:marLeft w:val="0"/>
      <w:marRight w:val="0"/>
      <w:marTop w:val="0"/>
      <w:marBottom w:val="0"/>
      <w:divBdr>
        <w:top w:val="none" w:sz="0" w:space="0" w:color="auto"/>
        <w:left w:val="none" w:sz="0" w:space="0" w:color="auto"/>
        <w:bottom w:val="none" w:sz="0" w:space="0" w:color="auto"/>
        <w:right w:val="none" w:sz="0" w:space="0" w:color="auto"/>
      </w:divBdr>
    </w:div>
    <w:div w:id="1713653038">
      <w:bodyDiv w:val="1"/>
      <w:marLeft w:val="0"/>
      <w:marRight w:val="0"/>
      <w:marTop w:val="0"/>
      <w:marBottom w:val="0"/>
      <w:divBdr>
        <w:top w:val="none" w:sz="0" w:space="0" w:color="auto"/>
        <w:left w:val="none" w:sz="0" w:space="0" w:color="auto"/>
        <w:bottom w:val="none" w:sz="0" w:space="0" w:color="auto"/>
        <w:right w:val="none" w:sz="0" w:space="0" w:color="auto"/>
      </w:divBdr>
    </w:div>
    <w:div w:id="1717507457">
      <w:bodyDiv w:val="1"/>
      <w:marLeft w:val="0"/>
      <w:marRight w:val="0"/>
      <w:marTop w:val="0"/>
      <w:marBottom w:val="0"/>
      <w:divBdr>
        <w:top w:val="none" w:sz="0" w:space="0" w:color="auto"/>
        <w:left w:val="none" w:sz="0" w:space="0" w:color="auto"/>
        <w:bottom w:val="none" w:sz="0" w:space="0" w:color="auto"/>
        <w:right w:val="none" w:sz="0" w:space="0" w:color="auto"/>
      </w:divBdr>
    </w:div>
    <w:div w:id="1719433723">
      <w:bodyDiv w:val="1"/>
      <w:marLeft w:val="0"/>
      <w:marRight w:val="0"/>
      <w:marTop w:val="0"/>
      <w:marBottom w:val="0"/>
      <w:divBdr>
        <w:top w:val="none" w:sz="0" w:space="0" w:color="auto"/>
        <w:left w:val="none" w:sz="0" w:space="0" w:color="auto"/>
        <w:bottom w:val="none" w:sz="0" w:space="0" w:color="auto"/>
        <w:right w:val="none" w:sz="0" w:space="0" w:color="auto"/>
      </w:divBdr>
    </w:div>
    <w:div w:id="1722363982">
      <w:bodyDiv w:val="1"/>
      <w:marLeft w:val="0"/>
      <w:marRight w:val="0"/>
      <w:marTop w:val="0"/>
      <w:marBottom w:val="0"/>
      <w:divBdr>
        <w:top w:val="none" w:sz="0" w:space="0" w:color="auto"/>
        <w:left w:val="none" w:sz="0" w:space="0" w:color="auto"/>
        <w:bottom w:val="none" w:sz="0" w:space="0" w:color="auto"/>
        <w:right w:val="none" w:sz="0" w:space="0" w:color="auto"/>
      </w:divBdr>
      <w:divsChild>
        <w:div w:id="1783259362">
          <w:marLeft w:val="0"/>
          <w:marRight w:val="0"/>
          <w:marTop w:val="0"/>
          <w:marBottom w:val="0"/>
          <w:divBdr>
            <w:top w:val="none" w:sz="0" w:space="0" w:color="auto"/>
            <w:left w:val="none" w:sz="0" w:space="0" w:color="auto"/>
            <w:bottom w:val="none" w:sz="0" w:space="0" w:color="auto"/>
            <w:right w:val="none" w:sz="0" w:space="0" w:color="auto"/>
          </w:divBdr>
        </w:div>
      </w:divsChild>
    </w:div>
    <w:div w:id="1741638856">
      <w:bodyDiv w:val="1"/>
      <w:marLeft w:val="0"/>
      <w:marRight w:val="0"/>
      <w:marTop w:val="0"/>
      <w:marBottom w:val="0"/>
      <w:divBdr>
        <w:top w:val="none" w:sz="0" w:space="0" w:color="auto"/>
        <w:left w:val="none" w:sz="0" w:space="0" w:color="auto"/>
        <w:bottom w:val="none" w:sz="0" w:space="0" w:color="auto"/>
        <w:right w:val="none" w:sz="0" w:space="0" w:color="auto"/>
      </w:divBdr>
    </w:div>
    <w:div w:id="1750037818">
      <w:bodyDiv w:val="1"/>
      <w:marLeft w:val="0"/>
      <w:marRight w:val="0"/>
      <w:marTop w:val="0"/>
      <w:marBottom w:val="0"/>
      <w:divBdr>
        <w:top w:val="none" w:sz="0" w:space="0" w:color="auto"/>
        <w:left w:val="none" w:sz="0" w:space="0" w:color="auto"/>
        <w:bottom w:val="none" w:sz="0" w:space="0" w:color="auto"/>
        <w:right w:val="none" w:sz="0" w:space="0" w:color="auto"/>
      </w:divBdr>
    </w:div>
    <w:div w:id="1771773564">
      <w:bodyDiv w:val="1"/>
      <w:marLeft w:val="0"/>
      <w:marRight w:val="0"/>
      <w:marTop w:val="0"/>
      <w:marBottom w:val="0"/>
      <w:divBdr>
        <w:top w:val="none" w:sz="0" w:space="0" w:color="auto"/>
        <w:left w:val="none" w:sz="0" w:space="0" w:color="auto"/>
        <w:bottom w:val="none" w:sz="0" w:space="0" w:color="auto"/>
        <w:right w:val="none" w:sz="0" w:space="0" w:color="auto"/>
      </w:divBdr>
    </w:div>
    <w:div w:id="1792551284">
      <w:bodyDiv w:val="1"/>
      <w:marLeft w:val="0"/>
      <w:marRight w:val="0"/>
      <w:marTop w:val="0"/>
      <w:marBottom w:val="0"/>
      <w:divBdr>
        <w:top w:val="none" w:sz="0" w:space="0" w:color="auto"/>
        <w:left w:val="none" w:sz="0" w:space="0" w:color="auto"/>
        <w:bottom w:val="none" w:sz="0" w:space="0" w:color="auto"/>
        <w:right w:val="none" w:sz="0" w:space="0" w:color="auto"/>
      </w:divBdr>
    </w:div>
    <w:div w:id="1800026587">
      <w:bodyDiv w:val="1"/>
      <w:marLeft w:val="0"/>
      <w:marRight w:val="0"/>
      <w:marTop w:val="0"/>
      <w:marBottom w:val="0"/>
      <w:divBdr>
        <w:top w:val="none" w:sz="0" w:space="0" w:color="auto"/>
        <w:left w:val="none" w:sz="0" w:space="0" w:color="auto"/>
        <w:bottom w:val="none" w:sz="0" w:space="0" w:color="auto"/>
        <w:right w:val="none" w:sz="0" w:space="0" w:color="auto"/>
      </w:divBdr>
    </w:div>
    <w:div w:id="1803033397">
      <w:bodyDiv w:val="1"/>
      <w:marLeft w:val="0"/>
      <w:marRight w:val="0"/>
      <w:marTop w:val="0"/>
      <w:marBottom w:val="0"/>
      <w:divBdr>
        <w:top w:val="none" w:sz="0" w:space="0" w:color="auto"/>
        <w:left w:val="none" w:sz="0" w:space="0" w:color="auto"/>
        <w:bottom w:val="none" w:sz="0" w:space="0" w:color="auto"/>
        <w:right w:val="none" w:sz="0" w:space="0" w:color="auto"/>
      </w:divBdr>
      <w:divsChild>
        <w:div w:id="1681391619">
          <w:marLeft w:val="0"/>
          <w:marRight w:val="0"/>
          <w:marTop w:val="0"/>
          <w:marBottom w:val="0"/>
          <w:divBdr>
            <w:top w:val="none" w:sz="0" w:space="0" w:color="auto"/>
            <w:left w:val="none" w:sz="0" w:space="0" w:color="auto"/>
            <w:bottom w:val="none" w:sz="0" w:space="0" w:color="auto"/>
            <w:right w:val="none" w:sz="0" w:space="0" w:color="auto"/>
          </w:divBdr>
        </w:div>
      </w:divsChild>
    </w:div>
    <w:div w:id="1803308451">
      <w:bodyDiv w:val="1"/>
      <w:marLeft w:val="0"/>
      <w:marRight w:val="0"/>
      <w:marTop w:val="0"/>
      <w:marBottom w:val="0"/>
      <w:divBdr>
        <w:top w:val="none" w:sz="0" w:space="0" w:color="auto"/>
        <w:left w:val="none" w:sz="0" w:space="0" w:color="auto"/>
        <w:bottom w:val="none" w:sz="0" w:space="0" w:color="auto"/>
        <w:right w:val="none" w:sz="0" w:space="0" w:color="auto"/>
      </w:divBdr>
      <w:divsChild>
        <w:div w:id="1231188462">
          <w:marLeft w:val="0"/>
          <w:marRight w:val="0"/>
          <w:marTop w:val="0"/>
          <w:marBottom w:val="0"/>
          <w:divBdr>
            <w:top w:val="none" w:sz="0" w:space="0" w:color="auto"/>
            <w:left w:val="none" w:sz="0" w:space="0" w:color="auto"/>
            <w:bottom w:val="none" w:sz="0" w:space="0" w:color="auto"/>
            <w:right w:val="none" w:sz="0" w:space="0" w:color="auto"/>
          </w:divBdr>
        </w:div>
      </w:divsChild>
    </w:div>
    <w:div w:id="1804156080">
      <w:bodyDiv w:val="1"/>
      <w:marLeft w:val="0"/>
      <w:marRight w:val="0"/>
      <w:marTop w:val="0"/>
      <w:marBottom w:val="0"/>
      <w:divBdr>
        <w:top w:val="none" w:sz="0" w:space="0" w:color="auto"/>
        <w:left w:val="none" w:sz="0" w:space="0" w:color="auto"/>
        <w:bottom w:val="none" w:sz="0" w:space="0" w:color="auto"/>
        <w:right w:val="none" w:sz="0" w:space="0" w:color="auto"/>
      </w:divBdr>
    </w:div>
    <w:div w:id="1808475358">
      <w:bodyDiv w:val="1"/>
      <w:marLeft w:val="0"/>
      <w:marRight w:val="0"/>
      <w:marTop w:val="0"/>
      <w:marBottom w:val="0"/>
      <w:divBdr>
        <w:top w:val="none" w:sz="0" w:space="0" w:color="auto"/>
        <w:left w:val="none" w:sz="0" w:space="0" w:color="auto"/>
        <w:bottom w:val="none" w:sz="0" w:space="0" w:color="auto"/>
        <w:right w:val="none" w:sz="0" w:space="0" w:color="auto"/>
      </w:divBdr>
      <w:divsChild>
        <w:div w:id="2047020032">
          <w:marLeft w:val="0"/>
          <w:marRight w:val="0"/>
          <w:marTop w:val="0"/>
          <w:marBottom w:val="0"/>
          <w:divBdr>
            <w:top w:val="none" w:sz="0" w:space="0" w:color="auto"/>
            <w:left w:val="none" w:sz="0" w:space="0" w:color="auto"/>
            <w:bottom w:val="none" w:sz="0" w:space="0" w:color="auto"/>
            <w:right w:val="none" w:sz="0" w:space="0" w:color="auto"/>
          </w:divBdr>
        </w:div>
      </w:divsChild>
    </w:div>
    <w:div w:id="1813403488">
      <w:bodyDiv w:val="1"/>
      <w:marLeft w:val="0"/>
      <w:marRight w:val="0"/>
      <w:marTop w:val="0"/>
      <w:marBottom w:val="0"/>
      <w:divBdr>
        <w:top w:val="none" w:sz="0" w:space="0" w:color="auto"/>
        <w:left w:val="none" w:sz="0" w:space="0" w:color="auto"/>
        <w:bottom w:val="none" w:sz="0" w:space="0" w:color="auto"/>
        <w:right w:val="none" w:sz="0" w:space="0" w:color="auto"/>
      </w:divBdr>
    </w:div>
    <w:div w:id="1818452523">
      <w:bodyDiv w:val="1"/>
      <w:marLeft w:val="0"/>
      <w:marRight w:val="0"/>
      <w:marTop w:val="0"/>
      <w:marBottom w:val="0"/>
      <w:divBdr>
        <w:top w:val="none" w:sz="0" w:space="0" w:color="auto"/>
        <w:left w:val="none" w:sz="0" w:space="0" w:color="auto"/>
        <w:bottom w:val="none" w:sz="0" w:space="0" w:color="auto"/>
        <w:right w:val="none" w:sz="0" w:space="0" w:color="auto"/>
      </w:divBdr>
    </w:div>
    <w:div w:id="1821069944">
      <w:bodyDiv w:val="1"/>
      <w:marLeft w:val="0"/>
      <w:marRight w:val="0"/>
      <w:marTop w:val="0"/>
      <w:marBottom w:val="0"/>
      <w:divBdr>
        <w:top w:val="none" w:sz="0" w:space="0" w:color="auto"/>
        <w:left w:val="none" w:sz="0" w:space="0" w:color="auto"/>
        <w:bottom w:val="none" w:sz="0" w:space="0" w:color="auto"/>
        <w:right w:val="none" w:sz="0" w:space="0" w:color="auto"/>
      </w:divBdr>
    </w:div>
    <w:div w:id="1824004732">
      <w:bodyDiv w:val="1"/>
      <w:marLeft w:val="0"/>
      <w:marRight w:val="0"/>
      <w:marTop w:val="0"/>
      <w:marBottom w:val="0"/>
      <w:divBdr>
        <w:top w:val="none" w:sz="0" w:space="0" w:color="auto"/>
        <w:left w:val="none" w:sz="0" w:space="0" w:color="auto"/>
        <w:bottom w:val="none" w:sz="0" w:space="0" w:color="auto"/>
        <w:right w:val="none" w:sz="0" w:space="0" w:color="auto"/>
      </w:divBdr>
    </w:div>
    <w:div w:id="1826237498">
      <w:bodyDiv w:val="1"/>
      <w:marLeft w:val="0"/>
      <w:marRight w:val="0"/>
      <w:marTop w:val="0"/>
      <w:marBottom w:val="0"/>
      <w:divBdr>
        <w:top w:val="none" w:sz="0" w:space="0" w:color="auto"/>
        <w:left w:val="none" w:sz="0" w:space="0" w:color="auto"/>
        <w:bottom w:val="none" w:sz="0" w:space="0" w:color="auto"/>
        <w:right w:val="none" w:sz="0" w:space="0" w:color="auto"/>
      </w:divBdr>
    </w:div>
    <w:div w:id="1831478691">
      <w:bodyDiv w:val="1"/>
      <w:marLeft w:val="0"/>
      <w:marRight w:val="0"/>
      <w:marTop w:val="0"/>
      <w:marBottom w:val="0"/>
      <w:divBdr>
        <w:top w:val="none" w:sz="0" w:space="0" w:color="auto"/>
        <w:left w:val="none" w:sz="0" w:space="0" w:color="auto"/>
        <w:bottom w:val="none" w:sz="0" w:space="0" w:color="auto"/>
        <w:right w:val="none" w:sz="0" w:space="0" w:color="auto"/>
      </w:divBdr>
      <w:divsChild>
        <w:div w:id="484394358">
          <w:marLeft w:val="0"/>
          <w:marRight w:val="0"/>
          <w:marTop w:val="0"/>
          <w:marBottom w:val="0"/>
          <w:divBdr>
            <w:top w:val="none" w:sz="0" w:space="0" w:color="auto"/>
            <w:left w:val="none" w:sz="0" w:space="0" w:color="auto"/>
            <w:bottom w:val="none" w:sz="0" w:space="0" w:color="auto"/>
            <w:right w:val="none" w:sz="0" w:space="0" w:color="auto"/>
          </w:divBdr>
        </w:div>
      </w:divsChild>
    </w:div>
    <w:div w:id="1835997974">
      <w:bodyDiv w:val="1"/>
      <w:marLeft w:val="0"/>
      <w:marRight w:val="0"/>
      <w:marTop w:val="0"/>
      <w:marBottom w:val="0"/>
      <w:divBdr>
        <w:top w:val="none" w:sz="0" w:space="0" w:color="auto"/>
        <w:left w:val="none" w:sz="0" w:space="0" w:color="auto"/>
        <w:bottom w:val="none" w:sz="0" w:space="0" w:color="auto"/>
        <w:right w:val="none" w:sz="0" w:space="0" w:color="auto"/>
      </w:divBdr>
    </w:div>
    <w:div w:id="1843348890">
      <w:bodyDiv w:val="1"/>
      <w:marLeft w:val="0"/>
      <w:marRight w:val="0"/>
      <w:marTop w:val="0"/>
      <w:marBottom w:val="0"/>
      <w:divBdr>
        <w:top w:val="none" w:sz="0" w:space="0" w:color="auto"/>
        <w:left w:val="none" w:sz="0" w:space="0" w:color="auto"/>
        <w:bottom w:val="none" w:sz="0" w:space="0" w:color="auto"/>
        <w:right w:val="none" w:sz="0" w:space="0" w:color="auto"/>
      </w:divBdr>
      <w:divsChild>
        <w:div w:id="2045247814">
          <w:marLeft w:val="0"/>
          <w:marRight w:val="0"/>
          <w:marTop w:val="0"/>
          <w:marBottom w:val="0"/>
          <w:divBdr>
            <w:top w:val="none" w:sz="0" w:space="0" w:color="auto"/>
            <w:left w:val="none" w:sz="0" w:space="0" w:color="auto"/>
            <w:bottom w:val="none" w:sz="0" w:space="0" w:color="auto"/>
            <w:right w:val="none" w:sz="0" w:space="0" w:color="auto"/>
          </w:divBdr>
        </w:div>
      </w:divsChild>
    </w:div>
    <w:div w:id="1847404969">
      <w:bodyDiv w:val="1"/>
      <w:marLeft w:val="0"/>
      <w:marRight w:val="0"/>
      <w:marTop w:val="0"/>
      <w:marBottom w:val="0"/>
      <w:divBdr>
        <w:top w:val="none" w:sz="0" w:space="0" w:color="auto"/>
        <w:left w:val="none" w:sz="0" w:space="0" w:color="auto"/>
        <w:bottom w:val="none" w:sz="0" w:space="0" w:color="auto"/>
        <w:right w:val="none" w:sz="0" w:space="0" w:color="auto"/>
      </w:divBdr>
    </w:div>
    <w:div w:id="1854951802">
      <w:bodyDiv w:val="1"/>
      <w:marLeft w:val="0"/>
      <w:marRight w:val="0"/>
      <w:marTop w:val="0"/>
      <w:marBottom w:val="0"/>
      <w:divBdr>
        <w:top w:val="none" w:sz="0" w:space="0" w:color="auto"/>
        <w:left w:val="none" w:sz="0" w:space="0" w:color="auto"/>
        <w:bottom w:val="none" w:sz="0" w:space="0" w:color="auto"/>
        <w:right w:val="none" w:sz="0" w:space="0" w:color="auto"/>
      </w:divBdr>
    </w:div>
    <w:div w:id="1859998040">
      <w:bodyDiv w:val="1"/>
      <w:marLeft w:val="0"/>
      <w:marRight w:val="0"/>
      <w:marTop w:val="0"/>
      <w:marBottom w:val="0"/>
      <w:divBdr>
        <w:top w:val="none" w:sz="0" w:space="0" w:color="auto"/>
        <w:left w:val="none" w:sz="0" w:space="0" w:color="auto"/>
        <w:bottom w:val="none" w:sz="0" w:space="0" w:color="auto"/>
        <w:right w:val="none" w:sz="0" w:space="0" w:color="auto"/>
      </w:divBdr>
    </w:div>
    <w:div w:id="1860006084">
      <w:bodyDiv w:val="1"/>
      <w:marLeft w:val="0"/>
      <w:marRight w:val="0"/>
      <w:marTop w:val="0"/>
      <w:marBottom w:val="0"/>
      <w:divBdr>
        <w:top w:val="none" w:sz="0" w:space="0" w:color="auto"/>
        <w:left w:val="none" w:sz="0" w:space="0" w:color="auto"/>
        <w:bottom w:val="none" w:sz="0" w:space="0" w:color="auto"/>
        <w:right w:val="none" w:sz="0" w:space="0" w:color="auto"/>
      </w:divBdr>
    </w:div>
    <w:div w:id="1864631545">
      <w:bodyDiv w:val="1"/>
      <w:marLeft w:val="0"/>
      <w:marRight w:val="0"/>
      <w:marTop w:val="0"/>
      <w:marBottom w:val="0"/>
      <w:divBdr>
        <w:top w:val="none" w:sz="0" w:space="0" w:color="auto"/>
        <w:left w:val="none" w:sz="0" w:space="0" w:color="auto"/>
        <w:bottom w:val="none" w:sz="0" w:space="0" w:color="auto"/>
        <w:right w:val="none" w:sz="0" w:space="0" w:color="auto"/>
      </w:divBdr>
      <w:divsChild>
        <w:div w:id="1083332160">
          <w:marLeft w:val="0"/>
          <w:marRight w:val="0"/>
          <w:marTop w:val="0"/>
          <w:marBottom w:val="0"/>
          <w:divBdr>
            <w:top w:val="none" w:sz="0" w:space="0" w:color="auto"/>
            <w:left w:val="none" w:sz="0" w:space="0" w:color="auto"/>
            <w:bottom w:val="none" w:sz="0" w:space="0" w:color="auto"/>
            <w:right w:val="none" w:sz="0" w:space="0" w:color="auto"/>
          </w:divBdr>
        </w:div>
      </w:divsChild>
    </w:div>
    <w:div w:id="1890149915">
      <w:bodyDiv w:val="1"/>
      <w:marLeft w:val="0"/>
      <w:marRight w:val="0"/>
      <w:marTop w:val="0"/>
      <w:marBottom w:val="0"/>
      <w:divBdr>
        <w:top w:val="none" w:sz="0" w:space="0" w:color="auto"/>
        <w:left w:val="none" w:sz="0" w:space="0" w:color="auto"/>
        <w:bottom w:val="none" w:sz="0" w:space="0" w:color="auto"/>
        <w:right w:val="none" w:sz="0" w:space="0" w:color="auto"/>
      </w:divBdr>
    </w:div>
    <w:div w:id="1903129926">
      <w:bodyDiv w:val="1"/>
      <w:marLeft w:val="0"/>
      <w:marRight w:val="0"/>
      <w:marTop w:val="0"/>
      <w:marBottom w:val="0"/>
      <w:divBdr>
        <w:top w:val="none" w:sz="0" w:space="0" w:color="auto"/>
        <w:left w:val="none" w:sz="0" w:space="0" w:color="auto"/>
        <w:bottom w:val="none" w:sz="0" w:space="0" w:color="auto"/>
        <w:right w:val="none" w:sz="0" w:space="0" w:color="auto"/>
      </w:divBdr>
      <w:divsChild>
        <w:div w:id="803275012">
          <w:marLeft w:val="0"/>
          <w:marRight w:val="0"/>
          <w:marTop w:val="0"/>
          <w:marBottom w:val="0"/>
          <w:divBdr>
            <w:top w:val="none" w:sz="0" w:space="0" w:color="auto"/>
            <w:left w:val="none" w:sz="0" w:space="0" w:color="auto"/>
            <w:bottom w:val="none" w:sz="0" w:space="0" w:color="auto"/>
            <w:right w:val="none" w:sz="0" w:space="0" w:color="auto"/>
          </w:divBdr>
        </w:div>
      </w:divsChild>
    </w:div>
    <w:div w:id="1905872650">
      <w:bodyDiv w:val="1"/>
      <w:marLeft w:val="0"/>
      <w:marRight w:val="0"/>
      <w:marTop w:val="0"/>
      <w:marBottom w:val="0"/>
      <w:divBdr>
        <w:top w:val="none" w:sz="0" w:space="0" w:color="auto"/>
        <w:left w:val="none" w:sz="0" w:space="0" w:color="auto"/>
        <w:bottom w:val="none" w:sz="0" w:space="0" w:color="auto"/>
        <w:right w:val="none" w:sz="0" w:space="0" w:color="auto"/>
      </w:divBdr>
    </w:div>
    <w:div w:id="1907373817">
      <w:bodyDiv w:val="1"/>
      <w:marLeft w:val="0"/>
      <w:marRight w:val="0"/>
      <w:marTop w:val="0"/>
      <w:marBottom w:val="0"/>
      <w:divBdr>
        <w:top w:val="none" w:sz="0" w:space="0" w:color="auto"/>
        <w:left w:val="none" w:sz="0" w:space="0" w:color="auto"/>
        <w:bottom w:val="none" w:sz="0" w:space="0" w:color="auto"/>
        <w:right w:val="none" w:sz="0" w:space="0" w:color="auto"/>
      </w:divBdr>
    </w:div>
    <w:div w:id="1930264070">
      <w:bodyDiv w:val="1"/>
      <w:marLeft w:val="0"/>
      <w:marRight w:val="0"/>
      <w:marTop w:val="0"/>
      <w:marBottom w:val="0"/>
      <w:divBdr>
        <w:top w:val="none" w:sz="0" w:space="0" w:color="auto"/>
        <w:left w:val="none" w:sz="0" w:space="0" w:color="auto"/>
        <w:bottom w:val="none" w:sz="0" w:space="0" w:color="auto"/>
        <w:right w:val="none" w:sz="0" w:space="0" w:color="auto"/>
      </w:divBdr>
    </w:div>
    <w:div w:id="1932930616">
      <w:bodyDiv w:val="1"/>
      <w:marLeft w:val="0"/>
      <w:marRight w:val="0"/>
      <w:marTop w:val="0"/>
      <w:marBottom w:val="0"/>
      <w:divBdr>
        <w:top w:val="none" w:sz="0" w:space="0" w:color="auto"/>
        <w:left w:val="none" w:sz="0" w:space="0" w:color="auto"/>
        <w:bottom w:val="none" w:sz="0" w:space="0" w:color="auto"/>
        <w:right w:val="none" w:sz="0" w:space="0" w:color="auto"/>
      </w:divBdr>
    </w:div>
    <w:div w:id="1945378088">
      <w:bodyDiv w:val="1"/>
      <w:marLeft w:val="0"/>
      <w:marRight w:val="0"/>
      <w:marTop w:val="0"/>
      <w:marBottom w:val="0"/>
      <w:divBdr>
        <w:top w:val="none" w:sz="0" w:space="0" w:color="auto"/>
        <w:left w:val="none" w:sz="0" w:space="0" w:color="auto"/>
        <w:bottom w:val="none" w:sz="0" w:space="0" w:color="auto"/>
        <w:right w:val="none" w:sz="0" w:space="0" w:color="auto"/>
      </w:divBdr>
    </w:div>
    <w:div w:id="1966040489">
      <w:bodyDiv w:val="1"/>
      <w:marLeft w:val="0"/>
      <w:marRight w:val="0"/>
      <w:marTop w:val="0"/>
      <w:marBottom w:val="0"/>
      <w:divBdr>
        <w:top w:val="none" w:sz="0" w:space="0" w:color="auto"/>
        <w:left w:val="none" w:sz="0" w:space="0" w:color="auto"/>
        <w:bottom w:val="none" w:sz="0" w:space="0" w:color="auto"/>
        <w:right w:val="none" w:sz="0" w:space="0" w:color="auto"/>
      </w:divBdr>
    </w:div>
    <w:div w:id="1966348653">
      <w:bodyDiv w:val="1"/>
      <w:marLeft w:val="0"/>
      <w:marRight w:val="0"/>
      <w:marTop w:val="0"/>
      <w:marBottom w:val="0"/>
      <w:divBdr>
        <w:top w:val="none" w:sz="0" w:space="0" w:color="auto"/>
        <w:left w:val="none" w:sz="0" w:space="0" w:color="auto"/>
        <w:bottom w:val="none" w:sz="0" w:space="0" w:color="auto"/>
        <w:right w:val="none" w:sz="0" w:space="0" w:color="auto"/>
      </w:divBdr>
    </w:div>
    <w:div w:id="1977031592">
      <w:bodyDiv w:val="1"/>
      <w:marLeft w:val="0"/>
      <w:marRight w:val="0"/>
      <w:marTop w:val="0"/>
      <w:marBottom w:val="0"/>
      <w:divBdr>
        <w:top w:val="none" w:sz="0" w:space="0" w:color="auto"/>
        <w:left w:val="none" w:sz="0" w:space="0" w:color="auto"/>
        <w:bottom w:val="none" w:sz="0" w:space="0" w:color="auto"/>
        <w:right w:val="none" w:sz="0" w:space="0" w:color="auto"/>
      </w:divBdr>
      <w:divsChild>
        <w:div w:id="656766177">
          <w:marLeft w:val="0"/>
          <w:marRight w:val="0"/>
          <w:marTop w:val="0"/>
          <w:marBottom w:val="0"/>
          <w:divBdr>
            <w:top w:val="none" w:sz="0" w:space="0" w:color="auto"/>
            <w:left w:val="none" w:sz="0" w:space="0" w:color="auto"/>
            <w:bottom w:val="none" w:sz="0" w:space="0" w:color="auto"/>
            <w:right w:val="none" w:sz="0" w:space="0" w:color="auto"/>
          </w:divBdr>
        </w:div>
      </w:divsChild>
    </w:div>
    <w:div w:id="1994868891">
      <w:bodyDiv w:val="1"/>
      <w:marLeft w:val="0"/>
      <w:marRight w:val="0"/>
      <w:marTop w:val="0"/>
      <w:marBottom w:val="0"/>
      <w:divBdr>
        <w:top w:val="none" w:sz="0" w:space="0" w:color="auto"/>
        <w:left w:val="none" w:sz="0" w:space="0" w:color="auto"/>
        <w:bottom w:val="none" w:sz="0" w:space="0" w:color="auto"/>
        <w:right w:val="none" w:sz="0" w:space="0" w:color="auto"/>
      </w:divBdr>
      <w:divsChild>
        <w:div w:id="832455668">
          <w:marLeft w:val="0"/>
          <w:marRight w:val="0"/>
          <w:marTop w:val="0"/>
          <w:marBottom w:val="0"/>
          <w:divBdr>
            <w:top w:val="none" w:sz="0" w:space="0" w:color="auto"/>
            <w:left w:val="none" w:sz="0" w:space="0" w:color="auto"/>
            <w:bottom w:val="none" w:sz="0" w:space="0" w:color="auto"/>
            <w:right w:val="none" w:sz="0" w:space="0" w:color="auto"/>
          </w:divBdr>
        </w:div>
      </w:divsChild>
    </w:div>
    <w:div w:id="1998219604">
      <w:bodyDiv w:val="1"/>
      <w:marLeft w:val="0"/>
      <w:marRight w:val="0"/>
      <w:marTop w:val="0"/>
      <w:marBottom w:val="0"/>
      <w:divBdr>
        <w:top w:val="none" w:sz="0" w:space="0" w:color="auto"/>
        <w:left w:val="none" w:sz="0" w:space="0" w:color="auto"/>
        <w:bottom w:val="none" w:sz="0" w:space="0" w:color="auto"/>
        <w:right w:val="none" w:sz="0" w:space="0" w:color="auto"/>
      </w:divBdr>
    </w:div>
    <w:div w:id="2000884744">
      <w:bodyDiv w:val="1"/>
      <w:marLeft w:val="0"/>
      <w:marRight w:val="0"/>
      <w:marTop w:val="0"/>
      <w:marBottom w:val="0"/>
      <w:divBdr>
        <w:top w:val="none" w:sz="0" w:space="0" w:color="auto"/>
        <w:left w:val="none" w:sz="0" w:space="0" w:color="auto"/>
        <w:bottom w:val="none" w:sz="0" w:space="0" w:color="auto"/>
        <w:right w:val="none" w:sz="0" w:space="0" w:color="auto"/>
      </w:divBdr>
    </w:div>
    <w:div w:id="2008357299">
      <w:bodyDiv w:val="1"/>
      <w:marLeft w:val="0"/>
      <w:marRight w:val="0"/>
      <w:marTop w:val="0"/>
      <w:marBottom w:val="0"/>
      <w:divBdr>
        <w:top w:val="none" w:sz="0" w:space="0" w:color="auto"/>
        <w:left w:val="none" w:sz="0" w:space="0" w:color="auto"/>
        <w:bottom w:val="none" w:sz="0" w:space="0" w:color="auto"/>
        <w:right w:val="none" w:sz="0" w:space="0" w:color="auto"/>
      </w:divBdr>
    </w:div>
    <w:div w:id="2019648256">
      <w:bodyDiv w:val="1"/>
      <w:marLeft w:val="0"/>
      <w:marRight w:val="0"/>
      <w:marTop w:val="0"/>
      <w:marBottom w:val="0"/>
      <w:divBdr>
        <w:top w:val="none" w:sz="0" w:space="0" w:color="auto"/>
        <w:left w:val="none" w:sz="0" w:space="0" w:color="auto"/>
        <w:bottom w:val="none" w:sz="0" w:space="0" w:color="auto"/>
        <w:right w:val="none" w:sz="0" w:space="0" w:color="auto"/>
      </w:divBdr>
    </w:div>
    <w:div w:id="2020041691">
      <w:bodyDiv w:val="1"/>
      <w:marLeft w:val="0"/>
      <w:marRight w:val="0"/>
      <w:marTop w:val="0"/>
      <w:marBottom w:val="0"/>
      <w:divBdr>
        <w:top w:val="none" w:sz="0" w:space="0" w:color="auto"/>
        <w:left w:val="none" w:sz="0" w:space="0" w:color="auto"/>
        <w:bottom w:val="none" w:sz="0" w:space="0" w:color="auto"/>
        <w:right w:val="none" w:sz="0" w:space="0" w:color="auto"/>
      </w:divBdr>
    </w:div>
    <w:div w:id="2025742397">
      <w:bodyDiv w:val="1"/>
      <w:marLeft w:val="0"/>
      <w:marRight w:val="0"/>
      <w:marTop w:val="0"/>
      <w:marBottom w:val="0"/>
      <w:divBdr>
        <w:top w:val="none" w:sz="0" w:space="0" w:color="auto"/>
        <w:left w:val="none" w:sz="0" w:space="0" w:color="auto"/>
        <w:bottom w:val="none" w:sz="0" w:space="0" w:color="auto"/>
        <w:right w:val="none" w:sz="0" w:space="0" w:color="auto"/>
      </w:divBdr>
    </w:div>
    <w:div w:id="2032949008">
      <w:bodyDiv w:val="1"/>
      <w:marLeft w:val="0"/>
      <w:marRight w:val="0"/>
      <w:marTop w:val="0"/>
      <w:marBottom w:val="0"/>
      <w:divBdr>
        <w:top w:val="none" w:sz="0" w:space="0" w:color="auto"/>
        <w:left w:val="none" w:sz="0" w:space="0" w:color="auto"/>
        <w:bottom w:val="none" w:sz="0" w:space="0" w:color="auto"/>
        <w:right w:val="none" w:sz="0" w:space="0" w:color="auto"/>
      </w:divBdr>
      <w:divsChild>
        <w:div w:id="1469516210">
          <w:marLeft w:val="0"/>
          <w:marRight w:val="0"/>
          <w:marTop w:val="0"/>
          <w:marBottom w:val="0"/>
          <w:divBdr>
            <w:top w:val="none" w:sz="0" w:space="0" w:color="auto"/>
            <w:left w:val="none" w:sz="0" w:space="0" w:color="auto"/>
            <w:bottom w:val="none" w:sz="0" w:space="0" w:color="auto"/>
            <w:right w:val="none" w:sz="0" w:space="0" w:color="auto"/>
          </w:divBdr>
        </w:div>
      </w:divsChild>
    </w:div>
    <w:div w:id="2034837930">
      <w:bodyDiv w:val="1"/>
      <w:marLeft w:val="0"/>
      <w:marRight w:val="0"/>
      <w:marTop w:val="0"/>
      <w:marBottom w:val="0"/>
      <w:divBdr>
        <w:top w:val="none" w:sz="0" w:space="0" w:color="auto"/>
        <w:left w:val="none" w:sz="0" w:space="0" w:color="auto"/>
        <w:bottom w:val="none" w:sz="0" w:space="0" w:color="auto"/>
        <w:right w:val="none" w:sz="0" w:space="0" w:color="auto"/>
      </w:divBdr>
    </w:div>
    <w:div w:id="2038265795">
      <w:bodyDiv w:val="1"/>
      <w:marLeft w:val="0"/>
      <w:marRight w:val="0"/>
      <w:marTop w:val="0"/>
      <w:marBottom w:val="0"/>
      <w:divBdr>
        <w:top w:val="none" w:sz="0" w:space="0" w:color="auto"/>
        <w:left w:val="none" w:sz="0" w:space="0" w:color="auto"/>
        <w:bottom w:val="none" w:sz="0" w:space="0" w:color="auto"/>
        <w:right w:val="none" w:sz="0" w:space="0" w:color="auto"/>
      </w:divBdr>
    </w:div>
    <w:div w:id="2040473318">
      <w:bodyDiv w:val="1"/>
      <w:marLeft w:val="0"/>
      <w:marRight w:val="0"/>
      <w:marTop w:val="0"/>
      <w:marBottom w:val="0"/>
      <w:divBdr>
        <w:top w:val="none" w:sz="0" w:space="0" w:color="auto"/>
        <w:left w:val="none" w:sz="0" w:space="0" w:color="auto"/>
        <w:bottom w:val="none" w:sz="0" w:space="0" w:color="auto"/>
        <w:right w:val="none" w:sz="0" w:space="0" w:color="auto"/>
      </w:divBdr>
    </w:div>
    <w:div w:id="2050688279">
      <w:bodyDiv w:val="1"/>
      <w:marLeft w:val="0"/>
      <w:marRight w:val="0"/>
      <w:marTop w:val="0"/>
      <w:marBottom w:val="0"/>
      <w:divBdr>
        <w:top w:val="none" w:sz="0" w:space="0" w:color="auto"/>
        <w:left w:val="none" w:sz="0" w:space="0" w:color="auto"/>
        <w:bottom w:val="none" w:sz="0" w:space="0" w:color="auto"/>
        <w:right w:val="none" w:sz="0" w:space="0" w:color="auto"/>
      </w:divBdr>
    </w:div>
    <w:div w:id="2056393732">
      <w:bodyDiv w:val="1"/>
      <w:marLeft w:val="0"/>
      <w:marRight w:val="0"/>
      <w:marTop w:val="0"/>
      <w:marBottom w:val="0"/>
      <w:divBdr>
        <w:top w:val="none" w:sz="0" w:space="0" w:color="auto"/>
        <w:left w:val="none" w:sz="0" w:space="0" w:color="auto"/>
        <w:bottom w:val="none" w:sz="0" w:space="0" w:color="auto"/>
        <w:right w:val="none" w:sz="0" w:space="0" w:color="auto"/>
      </w:divBdr>
      <w:divsChild>
        <w:div w:id="1841963220">
          <w:marLeft w:val="0"/>
          <w:marRight w:val="0"/>
          <w:marTop w:val="0"/>
          <w:marBottom w:val="0"/>
          <w:divBdr>
            <w:top w:val="none" w:sz="0" w:space="0" w:color="auto"/>
            <w:left w:val="none" w:sz="0" w:space="0" w:color="auto"/>
            <w:bottom w:val="none" w:sz="0" w:space="0" w:color="auto"/>
            <w:right w:val="none" w:sz="0" w:space="0" w:color="auto"/>
          </w:divBdr>
        </w:div>
      </w:divsChild>
    </w:div>
    <w:div w:id="2060981704">
      <w:bodyDiv w:val="1"/>
      <w:marLeft w:val="0"/>
      <w:marRight w:val="0"/>
      <w:marTop w:val="0"/>
      <w:marBottom w:val="0"/>
      <w:divBdr>
        <w:top w:val="none" w:sz="0" w:space="0" w:color="auto"/>
        <w:left w:val="none" w:sz="0" w:space="0" w:color="auto"/>
        <w:bottom w:val="none" w:sz="0" w:space="0" w:color="auto"/>
        <w:right w:val="none" w:sz="0" w:space="0" w:color="auto"/>
      </w:divBdr>
    </w:div>
    <w:div w:id="2062745603">
      <w:bodyDiv w:val="1"/>
      <w:marLeft w:val="0"/>
      <w:marRight w:val="0"/>
      <w:marTop w:val="0"/>
      <w:marBottom w:val="0"/>
      <w:divBdr>
        <w:top w:val="none" w:sz="0" w:space="0" w:color="auto"/>
        <w:left w:val="none" w:sz="0" w:space="0" w:color="auto"/>
        <w:bottom w:val="none" w:sz="0" w:space="0" w:color="auto"/>
        <w:right w:val="none" w:sz="0" w:space="0" w:color="auto"/>
      </w:divBdr>
    </w:div>
    <w:div w:id="2063555845">
      <w:bodyDiv w:val="1"/>
      <w:marLeft w:val="0"/>
      <w:marRight w:val="0"/>
      <w:marTop w:val="0"/>
      <w:marBottom w:val="0"/>
      <w:divBdr>
        <w:top w:val="none" w:sz="0" w:space="0" w:color="auto"/>
        <w:left w:val="none" w:sz="0" w:space="0" w:color="auto"/>
        <w:bottom w:val="none" w:sz="0" w:space="0" w:color="auto"/>
        <w:right w:val="none" w:sz="0" w:space="0" w:color="auto"/>
      </w:divBdr>
    </w:div>
    <w:div w:id="2068020506">
      <w:bodyDiv w:val="1"/>
      <w:marLeft w:val="0"/>
      <w:marRight w:val="0"/>
      <w:marTop w:val="0"/>
      <w:marBottom w:val="0"/>
      <w:divBdr>
        <w:top w:val="none" w:sz="0" w:space="0" w:color="auto"/>
        <w:left w:val="none" w:sz="0" w:space="0" w:color="auto"/>
        <w:bottom w:val="none" w:sz="0" w:space="0" w:color="auto"/>
        <w:right w:val="none" w:sz="0" w:space="0" w:color="auto"/>
      </w:divBdr>
      <w:divsChild>
        <w:div w:id="2100328603">
          <w:marLeft w:val="0"/>
          <w:marRight w:val="0"/>
          <w:marTop w:val="0"/>
          <w:marBottom w:val="0"/>
          <w:divBdr>
            <w:top w:val="none" w:sz="0" w:space="0" w:color="auto"/>
            <w:left w:val="none" w:sz="0" w:space="0" w:color="auto"/>
            <w:bottom w:val="none" w:sz="0" w:space="0" w:color="auto"/>
            <w:right w:val="none" w:sz="0" w:space="0" w:color="auto"/>
          </w:divBdr>
        </w:div>
      </w:divsChild>
    </w:div>
    <w:div w:id="2076120945">
      <w:bodyDiv w:val="1"/>
      <w:marLeft w:val="0"/>
      <w:marRight w:val="0"/>
      <w:marTop w:val="0"/>
      <w:marBottom w:val="0"/>
      <w:divBdr>
        <w:top w:val="none" w:sz="0" w:space="0" w:color="auto"/>
        <w:left w:val="none" w:sz="0" w:space="0" w:color="auto"/>
        <w:bottom w:val="none" w:sz="0" w:space="0" w:color="auto"/>
        <w:right w:val="none" w:sz="0" w:space="0" w:color="auto"/>
      </w:divBdr>
      <w:divsChild>
        <w:div w:id="753476760">
          <w:marLeft w:val="0"/>
          <w:marRight w:val="0"/>
          <w:marTop w:val="0"/>
          <w:marBottom w:val="0"/>
          <w:divBdr>
            <w:top w:val="none" w:sz="0" w:space="0" w:color="auto"/>
            <w:left w:val="none" w:sz="0" w:space="0" w:color="auto"/>
            <w:bottom w:val="none" w:sz="0" w:space="0" w:color="auto"/>
            <w:right w:val="none" w:sz="0" w:space="0" w:color="auto"/>
          </w:divBdr>
        </w:div>
      </w:divsChild>
    </w:div>
    <w:div w:id="2081827648">
      <w:bodyDiv w:val="1"/>
      <w:marLeft w:val="0"/>
      <w:marRight w:val="0"/>
      <w:marTop w:val="0"/>
      <w:marBottom w:val="0"/>
      <w:divBdr>
        <w:top w:val="none" w:sz="0" w:space="0" w:color="auto"/>
        <w:left w:val="none" w:sz="0" w:space="0" w:color="auto"/>
        <w:bottom w:val="none" w:sz="0" w:space="0" w:color="auto"/>
        <w:right w:val="none" w:sz="0" w:space="0" w:color="auto"/>
      </w:divBdr>
    </w:div>
    <w:div w:id="2091152083">
      <w:bodyDiv w:val="1"/>
      <w:marLeft w:val="0"/>
      <w:marRight w:val="0"/>
      <w:marTop w:val="0"/>
      <w:marBottom w:val="0"/>
      <w:divBdr>
        <w:top w:val="none" w:sz="0" w:space="0" w:color="auto"/>
        <w:left w:val="none" w:sz="0" w:space="0" w:color="auto"/>
        <w:bottom w:val="none" w:sz="0" w:space="0" w:color="auto"/>
        <w:right w:val="none" w:sz="0" w:space="0" w:color="auto"/>
      </w:divBdr>
    </w:div>
    <w:div w:id="2096784967">
      <w:bodyDiv w:val="1"/>
      <w:marLeft w:val="0"/>
      <w:marRight w:val="0"/>
      <w:marTop w:val="0"/>
      <w:marBottom w:val="0"/>
      <w:divBdr>
        <w:top w:val="none" w:sz="0" w:space="0" w:color="auto"/>
        <w:left w:val="none" w:sz="0" w:space="0" w:color="auto"/>
        <w:bottom w:val="none" w:sz="0" w:space="0" w:color="auto"/>
        <w:right w:val="none" w:sz="0" w:space="0" w:color="auto"/>
      </w:divBdr>
    </w:div>
    <w:div w:id="2103910391">
      <w:bodyDiv w:val="1"/>
      <w:marLeft w:val="0"/>
      <w:marRight w:val="0"/>
      <w:marTop w:val="0"/>
      <w:marBottom w:val="0"/>
      <w:divBdr>
        <w:top w:val="none" w:sz="0" w:space="0" w:color="auto"/>
        <w:left w:val="none" w:sz="0" w:space="0" w:color="auto"/>
        <w:bottom w:val="none" w:sz="0" w:space="0" w:color="auto"/>
        <w:right w:val="none" w:sz="0" w:space="0" w:color="auto"/>
      </w:divBdr>
    </w:div>
    <w:div w:id="21236467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eader" Target="header4.xml"/><Relationship Id="rId42" Type="http://schemas.openxmlformats.org/officeDocument/2006/relationships/hyperlink" Target="http://www.commonchemistry.org/ChemicalDetail.aspx?ref=7440-39-3&amp;terms=Barium" TargetMode="External"/><Relationship Id="rId63" Type="http://schemas.openxmlformats.org/officeDocument/2006/relationships/image" Target="media/image35.emf"/><Relationship Id="rId84" Type="http://schemas.openxmlformats.org/officeDocument/2006/relationships/image" Target="media/image56.emf"/><Relationship Id="rId138" Type="http://schemas.openxmlformats.org/officeDocument/2006/relationships/image" Target="media/image109.png"/><Relationship Id="rId159" Type="http://schemas.openxmlformats.org/officeDocument/2006/relationships/oleObject" Target="embeddings/oleObject1.bin"/><Relationship Id="rId170" Type="http://schemas.openxmlformats.org/officeDocument/2006/relationships/image" Target="media/image127.png"/><Relationship Id="rId191" Type="http://schemas.openxmlformats.org/officeDocument/2006/relationships/image" Target="media/image138.emf"/><Relationship Id="rId205" Type="http://schemas.openxmlformats.org/officeDocument/2006/relationships/image" Target="media/image152.emf"/><Relationship Id="rId226" Type="http://schemas.openxmlformats.org/officeDocument/2006/relationships/hyperlink" Target="http://www.ncbi.nlm.nih.gov/pubmed/?term=Hughes%20MF%5BAuthor%5D&amp;cauthor=true&amp;cauthor_uid=21750349" TargetMode="External"/><Relationship Id="rId107" Type="http://schemas.openxmlformats.org/officeDocument/2006/relationships/image" Target="media/image79.png"/><Relationship Id="rId11" Type="http://schemas.openxmlformats.org/officeDocument/2006/relationships/header" Target="header2.xml"/><Relationship Id="rId32" Type="http://schemas.openxmlformats.org/officeDocument/2006/relationships/image" Target="media/image10.emf"/><Relationship Id="rId53" Type="http://schemas.openxmlformats.org/officeDocument/2006/relationships/image" Target="media/image25.png"/><Relationship Id="rId74" Type="http://schemas.openxmlformats.org/officeDocument/2006/relationships/image" Target="media/image46.png"/><Relationship Id="rId128" Type="http://schemas.openxmlformats.org/officeDocument/2006/relationships/image" Target="media/image100.png"/><Relationship Id="rId149" Type="http://schemas.openxmlformats.org/officeDocument/2006/relationships/image" Target="media/image115.png"/><Relationship Id="rId5" Type="http://schemas.openxmlformats.org/officeDocument/2006/relationships/footnotes" Target="footnotes.xml"/><Relationship Id="rId95" Type="http://schemas.openxmlformats.org/officeDocument/2006/relationships/image" Target="media/image67.png"/><Relationship Id="rId160" Type="http://schemas.openxmlformats.org/officeDocument/2006/relationships/image" Target="media/image120.wmf"/><Relationship Id="rId181" Type="http://schemas.openxmlformats.org/officeDocument/2006/relationships/hyperlink" Target="http://www.commonchemistry.org/ChemicalDetail.aspx?ref=7440-38-2&amp;terms=Arsenic" TargetMode="External"/><Relationship Id="rId216" Type="http://schemas.openxmlformats.org/officeDocument/2006/relationships/hyperlink" Target="http://water.usgs.gov/nrp/gwsoftware/modflow2000/modflow2000.html" TargetMode="External"/><Relationship Id="rId237" Type="http://schemas.openxmlformats.org/officeDocument/2006/relationships/hyperlink" Target="http://www.nicnas.gov.au/chemical-information/imap-assessments/the-imap-framework" TargetMode="External"/><Relationship Id="rId22" Type="http://schemas.openxmlformats.org/officeDocument/2006/relationships/header" Target="header5.xml"/><Relationship Id="rId43" Type="http://schemas.openxmlformats.org/officeDocument/2006/relationships/hyperlink" Target="http://www.commonchemistry.org/ChemicalDetail.aspx?ref=7440-38-2&amp;terms=Arsenic" TargetMode="External"/><Relationship Id="rId64" Type="http://schemas.openxmlformats.org/officeDocument/2006/relationships/image" Target="media/image36.emf"/><Relationship Id="rId118" Type="http://schemas.openxmlformats.org/officeDocument/2006/relationships/image" Target="media/image90.emf"/><Relationship Id="rId139" Type="http://schemas.openxmlformats.org/officeDocument/2006/relationships/image" Target="media/image110.png"/><Relationship Id="rId85" Type="http://schemas.openxmlformats.org/officeDocument/2006/relationships/image" Target="media/image57.png"/><Relationship Id="rId150" Type="http://schemas.openxmlformats.org/officeDocument/2006/relationships/image" Target="media/image116.emf"/><Relationship Id="rId171" Type="http://schemas.openxmlformats.org/officeDocument/2006/relationships/image" Target="media/image128.png"/><Relationship Id="rId192" Type="http://schemas.openxmlformats.org/officeDocument/2006/relationships/image" Target="media/image139.emf"/><Relationship Id="rId206" Type="http://schemas.openxmlformats.org/officeDocument/2006/relationships/image" Target="media/image153.emf"/><Relationship Id="rId227" Type="http://schemas.openxmlformats.org/officeDocument/2006/relationships/hyperlink" Target="http://www.ncbi.nlm.nih.gov/pubmed/?term=Beck%20BD%5BAuthor%5D&amp;cauthor=true&amp;cauthor_uid=21750349" TargetMode="External"/><Relationship Id="rId201" Type="http://schemas.openxmlformats.org/officeDocument/2006/relationships/image" Target="media/image148.emf"/><Relationship Id="rId222" Type="http://schemas.openxmlformats.org/officeDocument/2006/relationships/hyperlink" Target="http://www.planning.nsw.gov.au/coal-seam-gas-exclusion-zones" TargetMode="External"/><Relationship Id="rId243" Type="http://schemas.openxmlformats.org/officeDocument/2006/relationships/hyperlink" Target="https://archive.epa.gov/pesticides/reregistration/web/html/status.html" TargetMode="External"/><Relationship Id="rId12" Type="http://schemas.openxmlformats.org/officeDocument/2006/relationships/footer" Target="footer1.xml"/><Relationship Id="rId17" Type="http://schemas.openxmlformats.org/officeDocument/2006/relationships/hyperlink" Target="http://www.glossary.oilfield.slb.com/Terms/r/rock.aspx" TargetMode="External"/><Relationship Id="rId33" Type="http://schemas.openxmlformats.org/officeDocument/2006/relationships/image" Target="media/image11.png"/><Relationship Id="rId38" Type="http://schemas.openxmlformats.org/officeDocument/2006/relationships/hyperlink" Target="http://qldspatial.information.qld.gov.au/catalogue/custom/search.page?q=%22Coal%20seam%20gas%20well%20locations%20-%20Queensland%22" TargetMode="External"/><Relationship Id="rId59" Type="http://schemas.openxmlformats.org/officeDocument/2006/relationships/image" Target="media/image31.pn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6.png"/><Relationship Id="rId129" Type="http://schemas.openxmlformats.org/officeDocument/2006/relationships/image" Target="media/image101.png"/><Relationship Id="rId54" Type="http://schemas.openxmlformats.org/officeDocument/2006/relationships/image" Target="media/image26.png"/><Relationship Id="rId70" Type="http://schemas.openxmlformats.org/officeDocument/2006/relationships/image" Target="media/image42.emf"/><Relationship Id="rId75" Type="http://schemas.openxmlformats.org/officeDocument/2006/relationships/image" Target="media/image47.emf"/><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11.png"/><Relationship Id="rId145" Type="http://schemas.openxmlformats.org/officeDocument/2006/relationships/header" Target="header10.xml"/><Relationship Id="rId161" Type="http://schemas.openxmlformats.org/officeDocument/2006/relationships/oleObject" Target="embeddings/oleObject2.bin"/><Relationship Id="rId166" Type="http://schemas.openxmlformats.org/officeDocument/2006/relationships/image" Target="media/image123.png"/><Relationship Id="rId182" Type="http://schemas.openxmlformats.org/officeDocument/2006/relationships/hyperlink" Target="http://www.commonchemistry.org/ChemicalDetail.aspx?ref=7440-61-1&amp;terms=Uranium" TargetMode="External"/><Relationship Id="rId187" Type="http://schemas.openxmlformats.org/officeDocument/2006/relationships/image" Target="media/image134.emf"/><Relationship Id="rId217" Type="http://schemas.openxmlformats.org/officeDocument/2006/relationships/hyperlink" Target="http://www.appea.com.au/wp-content/uploads/2014/08/CSG-fraccing-chemicals.pdf"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59.emf"/><Relationship Id="rId233" Type="http://schemas.openxmlformats.org/officeDocument/2006/relationships/hyperlink" Target="http://www.onepetro.org/mslib/servlet/onepetropreview?id=SPE-152596-MS" TargetMode="External"/><Relationship Id="rId238" Type="http://schemas.openxmlformats.org/officeDocument/2006/relationships/hyperlink" Target="https://pubs.usgs.gov/of/2000/ofr-00-372/results.html" TargetMode="External"/><Relationship Id="rId23" Type="http://schemas.openxmlformats.org/officeDocument/2006/relationships/footer" Target="footer4.xml"/><Relationship Id="rId28" Type="http://schemas.openxmlformats.org/officeDocument/2006/relationships/image" Target="media/image6.png"/><Relationship Id="rId49" Type="http://schemas.openxmlformats.org/officeDocument/2006/relationships/image" Target="media/image21.png"/><Relationship Id="rId114" Type="http://schemas.openxmlformats.org/officeDocument/2006/relationships/image" Target="media/image86.emf"/><Relationship Id="rId119" Type="http://schemas.openxmlformats.org/officeDocument/2006/relationships/image" Target="media/image91.emf"/><Relationship Id="rId44" Type="http://schemas.openxmlformats.org/officeDocument/2006/relationships/hyperlink" Target="http://www.commonchemistry.org/ChemicalDetail.aspx?ref=2691-41-0" TargetMode="External"/><Relationship Id="rId60" Type="http://schemas.openxmlformats.org/officeDocument/2006/relationships/image" Target="media/image32.png"/><Relationship Id="rId65" Type="http://schemas.openxmlformats.org/officeDocument/2006/relationships/image" Target="media/image37.emf"/><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102.png"/><Relationship Id="rId135" Type="http://schemas.openxmlformats.org/officeDocument/2006/relationships/image" Target="media/image106.png"/><Relationship Id="rId151" Type="http://schemas.openxmlformats.org/officeDocument/2006/relationships/header" Target="header12.xml"/><Relationship Id="rId156" Type="http://schemas.openxmlformats.org/officeDocument/2006/relationships/image" Target="media/image117.emf"/><Relationship Id="rId177" Type="http://schemas.openxmlformats.org/officeDocument/2006/relationships/hyperlink" Target="http://www.commonchemistry.org/ChemicalDetail.aspx?ref=2691-41-0" TargetMode="External"/><Relationship Id="rId198" Type="http://schemas.openxmlformats.org/officeDocument/2006/relationships/image" Target="media/image145.emf"/><Relationship Id="rId172" Type="http://schemas.openxmlformats.org/officeDocument/2006/relationships/image" Target="media/image129.png"/><Relationship Id="rId193" Type="http://schemas.openxmlformats.org/officeDocument/2006/relationships/image" Target="media/image140.emf"/><Relationship Id="rId202" Type="http://schemas.openxmlformats.org/officeDocument/2006/relationships/image" Target="media/image149.emf"/><Relationship Id="rId207" Type="http://schemas.openxmlformats.org/officeDocument/2006/relationships/image" Target="media/image154.png"/><Relationship Id="rId223" Type="http://schemas.openxmlformats.org/officeDocument/2006/relationships/hyperlink" Target="http://www.efsa.europa.eu/sites/default/files/scientific_output/files/main_documents/622.pdf" TargetMode="External"/><Relationship Id="rId228" Type="http://schemas.openxmlformats.org/officeDocument/2006/relationships/hyperlink" Target="http://www.ncbi.nlm.nih.gov/pubmed/?term=Chen%20Y%5BAuthor%5D&amp;cauthor=true&amp;cauthor_uid=21750349" TargetMode="External"/><Relationship Id="rId244" Type="http://schemas.openxmlformats.org/officeDocument/2006/relationships/hyperlink" Target="http://www.inchem.org/documents/ehc/ehc/ehc107.htm" TargetMode="External"/><Relationship Id="rId13" Type="http://schemas.openxmlformats.org/officeDocument/2006/relationships/footer" Target="footer2.xml"/><Relationship Id="rId18" Type="http://schemas.openxmlformats.org/officeDocument/2006/relationships/hyperlink" Target="http://www.glossary.oilfield.slb.com/Terms/a/absorption.aspx" TargetMode="External"/><Relationship Id="rId39" Type="http://schemas.openxmlformats.org/officeDocument/2006/relationships/image" Target="media/image16.png"/><Relationship Id="rId109" Type="http://schemas.openxmlformats.org/officeDocument/2006/relationships/image" Target="media/image81.emf"/><Relationship Id="rId34" Type="http://schemas.openxmlformats.org/officeDocument/2006/relationships/image" Target="media/image12.png"/><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12.png"/><Relationship Id="rId146" Type="http://schemas.openxmlformats.org/officeDocument/2006/relationships/footer" Target="footer6.xml"/><Relationship Id="rId167" Type="http://schemas.openxmlformats.org/officeDocument/2006/relationships/image" Target="media/image124.emf"/><Relationship Id="rId188" Type="http://schemas.openxmlformats.org/officeDocument/2006/relationships/image" Target="media/image135.emf"/><Relationship Id="rId7" Type="http://schemas.openxmlformats.org/officeDocument/2006/relationships/image" Target="media/image1.emf"/><Relationship Id="rId71" Type="http://schemas.openxmlformats.org/officeDocument/2006/relationships/image" Target="media/image43.emf"/><Relationship Id="rId92" Type="http://schemas.openxmlformats.org/officeDocument/2006/relationships/image" Target="media/image64.png"/><Relationship Id="rId162" Type="http://schemas.openxmlformats.org/officeDocument/2006/relationships/image" Target="media/image121.wmf"/><Relationship Id="rId183" Type="http://schemas.openxmlformats.org/officeDocument/2006/relationships/hyperlink" Target="http://www.commonchemistry.org/ChemicalDetail.aspx?ref=7440-39-3&amp;terms=Barium" TargetMode="External"/><Relationship Id="rId213" Type="http://schemas.openxmlformats.org/officeDocument/2006/relationships/image" Target="media/image160.emf"/><Relationship Id="rId218" Type="http://schemas.openxmlformats.org/officeDocument/2006/relationships/hyperlink" Target="http://www.dnr.state.oh.us/bainbridge/tabid/20484/Default.aspx" TargetMode="External"/><Relationship Id="rId234" Type="http://schemas.openxmlformats.org/officeDocument/2006/relationships/hyperlink" Target="file:///\\schsrv1\simulat\dmallant\catA\2006\Varia\website%20SCK\Publications%20on%20web\Mallants%20et%20al.,%202001%20ICEM.pdf" TargetMode="External"/><Relationship Id="rId239" Type="http://schemas.openxmlformats.org/officeDocument/2006/relationships/hyperlink" Target="http://doi.org/10.1016/B978-0-12-800880-5.00006-1" TargetMode="External"/><Relationship Id="rId2" Type="http://schemas.openxmlformats.org/officeDocument/2006/relationships/styles" Target="styles.xml"/><Relationship Id="rId29" Type="http://schemas.openxmlformats.org/officeDocument/2006/relationships/image" Target="media/image7.emf"/><Relationship Id="rId24" Type="http://schemas.openxmlformats.org/officeDocument/2006/relationships/footer" Target="footer5.xml"/><Relationship Id="rId40" Type="http://schemas.openxmlformats.org/officeDocument/2006/relationships/image" Target="media/image17.emf"/><Relationship Id="rId45" Type="http://schemas.openxmlformats.org/officeDocument/2006/relationships/hyperlink" Target="http://www.commonchemistry.org/ChemicalDetail.aspx?ref=1330-43-4&amp;terms=Sodium%20tetraborate" TargetMode="External"/><Relationship Id="rId66" Type="http://schemas.openxmlformats.org/officeDocument/2006/relationships/image" Target="media/image38.emf"/><Relationship Id="rId87" Type="http://schemas.openxmlformats.org/officeDocument/2006/relationships/image" Target="media/image59.png"/><Relationship Id="rId110" Type="http://schemas.openxmlformats.org/officeDocument/2006/relationships/image" Target="media/image82.emf"/><Relationship Id="rId115" Type="http://schemas.openxmlformats.org/officeDocument/2006/relationships/image" Target="media/image87.emf"/><Relationship Id="rId131" Type="http://schemas.openxmlformats.org/officeDocument/2006/relationships/image" Target="media/image103.png"/><Relationship Id="rId136" Type="http://schemas.openxmlformats.org/officeDocument/2006/relationships/image" Target="media/image107.png"/><Relationship Id="rId157" Type="http://schemas.openxmlformats.org/officeDocument/2006/relationships/image" Target="media/image118.emf"/><Relationship Id="rId178" Type="http://schemas.openxmlformats.org/officeDocument/2006/relationships/hyperlink" Target="http://www.commonchemistry.org/ChemicalDetail.aspx?ref=1330-43-4&amp;terms=Sodium%20tetraborate" TargetMode="External"/><Relationship Id="rId61" Type="http://schemas.openxmlformats.org/officeDocument/2006/relationships/image" Target="media/image33.emf"/><Relationship Id="rId82" Type="http://schemas.openxmlformats.org/officeDocument/2006/relationships/image" Target="media/image54.png"/><Relationship Id="rId152" Type="http://schemas.openxmlformats.org/officeDocument/2006/relationships/header" Target="header13.xml"/><Relationship Id="rId173" Type="http://schemas.openxmlformats.org/officeDocument/2006/relationships/image" Target="media/image130.png"/><Relationship Id="rId194" Type="http://schemas.openxmlformats.org/officeDocument/2006/relationships/image" Target="media/image141.emf"/><Relationship Id="rId199" Type="http://schemas.openxmlformats.org/officeDocument/2006/relationships/image" Target="media/image146.emf"/><Relationship Id="rId203" Type="http://schemas.openxmlformats.org/officeDocument/2006/relationships/image" Target="media/image150.emf"/><Relationship Id="rId208" Type="http://schemas.openxmlformats.org/officeDocument/2006/relationships/image" Target="media/image155.emf"/><Relationship Id="rId229" Type="http://schemas.openxmlformats.org/officeDocument/2006/relationships/hyperlink" Target="http://www.ncbi.nlm.nih.gov/pubmed/?term=Lewis%20AS%5BAuthor%5D&amp;cauthor=true&amp;cauthor_uid=21750349" TargetMode="External"/><Relationship Id="rId19" Type="http://schemas.openxmlformats.org/officeDocument/2006/relationships/hyperlink" Target="http://www.glossary.oilfield.slb.com/Terms/p/pressure.aspx" TargetMode="External"/><Relationship Id="rId224" Type="http://schemas.openxmlformats.org/officeDocument/2006/relationships/hyperlink" Target="http://dx.doi.org/10.2118/145949-PA" TargetMode="External"/><Relationship Id="rId240" Type="http://schemas.openxmlformats.org/officeDocument/2006/relationships/hyperlink" Target="http://www.safeworkaustralia.gov.au/sites/SWA/about/Publications/Documents/680/Guidance_Interpretation_Workplace_Exposure_Standards_Airborne_Contaminants%20.pdf" TargetMode="External"/><Relationship Id="rId245" Type="http://schemas.openxmlformats.org/officeDocument/2006/relationships/fontTable" Target="fontTable.xml"/><Relationship Id="rId14" Type="http://schemas.openxmlformats.org/officeDocument/2006/relationships/header" Target="header3.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28.png"/><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png"/><Relationship Id="rId147" Type="http://schemas.openxmlformats.org/officeDocument/2006/relationships/footer" Target="footer7.xml"/><Relationship Id="rId168" Type="http://schemas.openxmlformats.org/officeDocument/2006/relationships/image" Target="media/image125.png"/><Relationship Id="rId8" Type="http://schemas.openxmlformats.org/officeDocument/2006/relationships/image" Target="media/image2.emf"/><Relationship Id="rId51" Type="http://schemas.openxmlformats.org/officeDocument/2006/relationships/image" Target="media/image23.emf"/><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header" Target="header8.xml"/><Relationship Id="rId163" Type="http://schemas.openxmlformats.org/officeDocument/2006/relationships/oleObject" Target="embeddings/oleObject3.bin"/><Relationship Id="rId184" Type="http://schemas.openxmlformats.org/officeDocument/2006/relationships/hyperlink" Target="http://www.commonchemistry.org/ChemicalDetail.aspx?ref=7440-38-2&amp;terms=Arsenic" TargetMode="External"/><Relationship Id="rId189" Type="http://schemas.openxmlformats.org/officeDocument/2006/relationships/image" Target="media/image136.emf"/><Relationship Id="rId219" Type="http://schemas.openxmlformats.org/officeDocument/2006/relationships/hyperlink" Target="http://healthycanadians.gc.ca/publications/healthy-living-vie-saine/water-boron-bore-eau/alt/water-boron-bore-eau-eng.pdf" TargetMode="External"/><Relationship Id="rId3" Type="http://schemas.openxmlformats.org/officeDocument/2006/relationships/settings" Target="settings.xml"/><Relationship Id="rId214" Type="http://schemas.openxmlformats.org/officeDocument/2006/relationships/image" Target="media/image161.emf"/><Relationship Id="rId230" Type="http://schemas.openxmlformats.org/officeDocument/2006/relationships/hyperlink" Target="http://www.ncbi.nlm.nih.gov/pubmed/?term=Thomas%20DJ%5BAuthor%5D&amp;cauthor=true&amp;cauthor_uid=21750349" TargetMode="External"/><Relationship Id="rId235" Type="http://schemas.openxmlformats.org/officeDocument/2006/relationships/hyperlink" Target="http://eprints.qut.edu.au/view/person/Taulis,_Mauricio.html" TargetMode="External"/><Relationship Id="rId25" Type="http://schemas.openxmlformats.org/officeDocument/2006/relationships/header" Target="header6.xml"/><Relationship Id="rId46" Type="http://schemas.openxmlformats.org/officeDocument/2006/relationships/image" Target="media/image18.emf"/><Relationship Id="rId67" Type="http://schemas.openxmlformats.org/officeDocument/2006/relationships/image" Target="media/image39.emf"/><Relationship Id="rId116" Type="http://schemas.openxmlformats.org/officeDocument/2006/relationships/image" Target="media/image88.emf"/><Relationship Id="rId137" Type="http://schemas.openxmlformats.org/officeDocument/2006/relationships/image" Target="media/image108.png"/><Relationship Id="rId158" Type="http://schemas.openxmlformats.org/officeDocument/2006/relationships/image" Target="media/image119.wmf"/><Relationship Id="rId20" Type="http://schemas.openxmlformats.org/officeDocument/2006/relationships/hyperlink" Target="https://en.wikipedia.org/wiki/Function_(mathematics)" TargetMode="External"/><Relationship Id="rId41" Type="http://schemas.openxmlformats.org/officeDocument/2006/relationships/hyperlink" Target="http://www.commonchemistry.org/ChemicalDetail.aspx?ref=7440-61-1&amp;terms=Uranium" TargetMode="External"/><Relationship Id="rId62" Type="http://schemas.openxmlformats.org/officeDocument/2006/relationships/image" Target="media/image34.png"/><Relationship Id="rId83" Type="http://schemas.openxmlformats.org/officeDocument/2006/relationships/image" Target="media/image55.emf"/><Relationship Id="rId88" Type="http://schemas.openxmlformats.org/officeDocument/2006/relationships/image" Target="media/image60.emf"/><Relationship Id="rId111" Type="http://schemas.openxmlformats.org/officeDocument/2006/relationships/image" Target="media/image83.emf"/><Relationship Id="rId132" Type="http://schemas.openxmlformats.org/officeDocument/2006/relationships/image" Target="media/image104.png"/><Relationship Id="rId153" Type="http://schemas.openxmlformats.org/officeDocument/2006/relationships/footer" Target="footer8.xml"/><Relationship Id="rId174" Type="http://schemas.openxmlformats.org/officeDocument/2006/relationships/image" Target="media/image131.png"/><Relationship Id="rId179" Type="http://schemas.openxmlformats.org/officeDocument/2006/relationships/hyperlink" Target="http://www.commonchemistry.org/ChemicalDetail.aspx?ref=7440-61-1&amp;terms=Uranium" TargetMode="External"/><Relationship Id="rId195" Type="http://schemas.openxmlformats.org/officeDocument/2006/relationships/image" Target="media/image142.emf"/><Relationship Id="rId209" Type="http://schemas.openxmlformats.org/officeDocument/2006/relationships/image" Target="media/image156.emf"/><Relationship Id="rId190" Type="http://schemas.openxmlformats.org/officeDocument/2006/relationships/image" Target="media/image137.emf"/><Relationship Id="rId204" Type="http://schemas.openxmlformats.org/officeDocument/2006/relationships/image" Target="media/image151.emf"/><Relationship Id="rId220" Type="http://schemas.openxmlformats.org/officeDocument/2006/relationships/hyperlink" Target="http://pubs.acs.org/author/Dixit%2C+Suvasis" TargetMode="External"/><Relationship Id="rId225" Type="http://schemas.openxmlformats.org/officeDocument/2006/relationships/hyperlink" Target="http://dx.doi.org/10.1002/grl.50707" TargetMode="External"/><Relationship Id="rId241" Type="http://schemas.openxmlformats.org/officeDocument/2006/relationships/hyperlink" Target="http://www.santoswaterportal.com.au/media/pdf1876/compendium-assessed-fluid-systems.pdf" TargetMode="External"/><Relationship Id="rId246" Type="http://schemas.openxmlformats.org/officeDocument/2006/relationships/theme" Target="theme/theme1.xml"/><Relationship Id="rId15" Type="http://schemas.openxmlformats.org/officeDocument/2006/relationships/footer" Target="footer3.xml"/><Relationship Id="rId36" Type="http://schemas.openxmlformats.org/officeDocument/2006/relationships/image" Target="media/image14.png"/><Relationship Id="rId57" Type="http://schemas.openxmlformats.org/officeDocument/2006/relationships/image" Target="media/image29.png"/><Relationship Id="rId106" Type="http://schemas.openxmlformats.org/officeDocument/2006/relationships/image" Target="media/image78.png"/><Relationship Id="rId127" Type="http://schemas.openxmlformats.org/officeDocument/2006/relationships/image" Target="media/image99.png"/><Relationship Id="rId10" Type="http://schemas.openxmlformats.org/officeDocument/2006/relationships/header" Target="header1.xml"/><Relationship Id="rId31" Type="http://schemas.openxmlformats.org/officeDocument/2006/relationships/image" Target="media/image9.png"/><Relationship Id="rId52" Type="http://schemas.openxmlformats.org/officeDocument/2006/relationships/image" Target="media/image24.png"/><Relationship Id="rId73" Type="http://schemas.openxmlformats.org/officeDocument/2006/relationships/image" Target="media/image45.emf"/><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image" Target="media/image113.emf"/><Relationship Id="rId148" Type="http://schemas.openxmlformats.org/officeDocument/2006/relationships/header" Target="header11.xml"/><Relationship Id="rId164" Type="http://schemas.openxmlformats.org/officeDocument/2006/relationships/image" Target="media/image122.wmf"/><Relationship Id="rId169" Type="http://schemas.openxmlformats.org/officeDocument/2006/relationships/image" Target="media/image126.png"/><Relationship Id="rId185" Type="http://schemas.openxmlformats.org/officeDocument/2006/relationships/image" Target="media/image132.emf"/><Relationship Id="rId4" Type="http://schemas.openxmlformats.org/officeDocument/2006/relationships/webSettings" Target="webSettings.xml"/><Relationship Id="rId9" Type="http://schemas.openxmlformats.org/officeDocument/2006/relationships/hyperlink" Target="mailto:enquiries@csiro.au" TargetMode="External"/><Relationship Id="rId180" Type="http://schemas.openxmlformats.org/officeDocument/2006/relationships/hyperlink" Target="http://www.commonchemistry.org/ChemicalDetail.aspx?ref=7440-39-3&amp;terms=Barium" TargetMode="External"/><Relationship Id="rId210" Type="http://schemas.openxmlformats.org/officeDocument/2006/relationships/image" Target="media/image157.emf"/><Relationship Id="rId215" Type="http://schemas.openxmlformats.org/officeDocument/2006/relationships/image" Target="media/image162.emf"/><Relationship Id="rId236" Type="http://schemas.openxmlformats.org/officeDocument/2006/relationships/hyperlink" Target="http://www.nicnas.gov.au/regulation-and-compliance/nicnas-handbook" TargetMode="External"/><Relationship Id="rId26" Type="http://schemas.openxmlformats.org/officeDocument/2006/relationships/image" Target="media/image4.emf"/><Relationship Id="rId231" Type="http://schemas.openxmlformats.org/officeDocument/2006/relationships/hyperlink" Target="http://dx.doi.org/10.1073/pnas.1221635110" TargetMode="External"/><Relationship Id="rId47" Type="http://schemas.openxmlformats.org/officeDocument/2006/relationships/image" Target="media/image19.emf"/><Relationship Id="rId68" Type="http://schemas.openxmlformats.org/officeDocument/2006/relationships/image" Target="media/image40.emf"/><Relationship Id="rId89" Type="http://schemas.openxmlformats.org/officeDocument/2006/relationships/image" Target="media/image61.emf"/><Relationship Id="rId112" Type="http://schemas.openxmlformats.org/officeDocument/2006/relationships/image" Target="media/image84.emf"/><Relationship Id="rId133" Type="http://schemas.openxmlformats.org/officeDocument/2006/relationships/header" Target="header7.xml"/><Relationship Id="rId154" Type="http://schemas.openxmlformats.org/officeDocument/2006/relationships/footer" Target="footer9.xml"/><Relationship Id="rId175" Type="http://schemas.openxmlformats.org/officeDocument/2006/relationships/hyperlink" Target="file:///C:\EPISUITE41\bibliography.htm" TargetMode="External"/><Relationship Id="rId196" Type="http://schemas.openxmlformats.org/officeDocument/2006/relationships/image" Target="media/image143.emf"/><Relationship Id="rId200" Type="http://schemas.openxmlformats.org/officeDocument/2006/relationships/image" Target="media/image147.emf"/><Relationship Id="rId16" Type="http://schemas.openxmlformats.org/officeDocument/2006/relationships/hyperlink" Target="http://www.glossary.oilfield.slb.com/Terms/p/porous.aspx" TargetMode="External"/><Relationship Id="rId221" Type="http://schemas.openxmlformats.org/officeDocument/2006/relationships/hyperlink" Target="http://pubs.acs.org/author/Hering%2C+Janet+G" TargetMode="External"/><Relationship Id="rId242" Type="http://schemas.openxmlformats.org/officeDocument/2006/relationships/hyperlink" Target="https://www.epa.gov/sites/production/files/2015-06/documents/oh_al_337_03012006.pdf" TargetMode="External"/><Relationship Id="rId37" Type="http://schemas.openxmlformats.org/officeDocument/2006/relationships/image" Target="media/image15.png"/><Relationship Id="rId58" Type="http://schemas.openxmlformats.org/officeDocument/2006/relationships/image" Target="media/image30.png"/><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5.png"/><Relationship Id="rId144" Type="http://schemas.openxmlformats.org/officeDocument/2006/relationships/header" Target="header9.xml"/><Relationship Id="rId90" Type="http://schemas.openxmlformats.org/officeDocument/2006/relationships/image" Target="media/image62.png"/><Relationship Id="rId165" Type="http://schemas.openxmlformats.org/officeDocument/2006/relationships/oleObject" Target="embeddings/oleObject4.bin"/><Relationship Id="rId186" Type="http://schemas.openxmlformats.org/officeDocument/2006/relationships/image" Target="media/image133.emf"/><Relationship Id="rId211" Type="http://schemas.openxmlformats.org/officeDocument/2006/relationships/image" Target="media/image158.emf"/><Relationship Id="rId232" Type="http://schemas.openxmlformats.org/officeDocument/2006/relationships/hyperlink" Target="http://www.pnas.org/cgi/doi/10.1073/pnas.1410786111" TargetMode="External"/><Relationship Id="rId27" Type="http://schemas.openxmlformats.org/officeDocument/2006/relationships/image" Target="media/image5.png"/><Relationship Id="rId48" Type="http://schemas.openxmlformats.org/officeDocument/2006/relationships/image" Target="media/image20.png"/><Relationship Id="rId69" Type="http://schemas.openxmlformats.org/officeDocument/2006/relationships/image" Target="media/image41.png"/><Relationship Id="rId113" Type="http://schemas.openxmlformats.org/officeDocument/2006/relationships/image" Target="media/image85.emf"/><Relationship Id="rId134" Type="http://schemas.openxmlformats.org/officeDocument/2006/relationships/image" Target="media/image105.png"/><Relationship Id="rId80" Type="http://schemas.openxmlformats.org/officeDocument/2006/relationships/image" Target="media/image52.png"/><Relationship Id="rId155" Type="http://schemas.openxmlformats.org/officeDocument/2006/relationships/header" Target="header14.xml"/><Relationship Id="rId176" Type="http://schemas.openxmlformats.org/officeDocument/2006/relationships/hyperlink" Target="file:///C:\EPISUITE41\bibliography.htm" TargetMode="External"/><Relationship Id="rId197" Type="http://schemas.openxmlformats.org/officeDocument/2006/relationships/image" Target="media/image144.emf"/></Relationships>
</file>

<file path=word/_rels/footnotes.xml.rels><?xml version="1.0" encoding="UTF-8" standalone="yes"?>
<Relationships xmlns="http://schemas.openxmlformats.org/package/2006/relationships"><Relationship Id="rId3" Type="http://schemas.openxmlformats.org/officeDocument/2006/relationships/hyperlink" Target="http://www.nicnas.gov.au/communications/issues/fracking-hydraulic-fracturing-coal-seam-gas-extraction" TargetMode="External"/><Relationship Id="rId2" Type="http://schemas.openxmlformats.org/officeDocument/2006/relationships/hyperlink" Target="http://www.nicnas.gov.au/communications/issues/fracking-hydraulic-fracturing-coal-seam-gas-extraction/information-sheet" TargetMode="External"/><Relationship Id="rId1" Type="http://schemas.openxmlformats.org/officeDocument/2006/relationships/hyperlink" Target="http://www.nicnas.gov.au/communications/issues/fracking-hydraulic-fracturing-coal-seam-gas-extraction" TargetMode="External"/><Relationship Id="rId4" Type="http://schemas.openxmlformats.org/officeDocument/2006/relationships/hyperlink" Target="http://www.nicnas.gov.au/communications/issues/fracking-hydraulic-fracturing-coal-seam-gas-extraction/information-sheet" TargetMode="External"/></Relationships>
</file>

<file path=word/_rels/header12.xml.rels><?xml version="1.0" encoding="UTF-8" standalone="yes"?>
<Relationships xmlns="http://schemas.openxmlformats.org/package/2006/relationships"><Relationship Id="rId1" Type="http://schemas.openxmlformats.org/officeDocument/2006/relationships/image" Target="media/image114.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114.jpeg"/></Relationships>
</file>

<file path=word/theme/theme1.xml><?xml version="1.0" encoding="utf-8"?>
<a:theme xmlns:a="http://schemas.openxmlformats.org/drawingml/2006/main" name="Office Theme">
  <a:themeElements>
    <a:clrScheme name="CSIRO Midday">
      <a:dk1>
        <a:sysClr val="windowText" lastClr="000000"/>
      </a:dk1>
      <a:lt1>
        <a:srgbClr val="FFFFFF"/>
      </a:lt1>
      <a:dk2>
        <a:srgbClr val="000000"/>
      </a:dk2>
      <a:lt2>
        <a:srgbClr val="FFFFFF"/>
      </a:lt2>
      <a:accent1>
        <a:srgbClr val="00A9CE"/>
      </a:accent1>
      <a:accent2>
        <a:srgbClr val="00313C"/>
      </a:accent2>
      <a:accent3>
        <a:srgbClr val="78BE20"/>
      </a:accent3>
      <a:accent4>
        <a:srgbClr val="4A7729"/>
      </a:accent4>
      <a:accent5>
        <a:srgbClr val="9FAEE5"/>
      </a:accent5>
      <a:accent6>
        <a:srgbClr val="1E22AA"/>
      </a:accent6>
      <a:hlink>
        <a:srgbClr val="41B6E6"/>
      </a:hlink>
      <a:folHlink>
        <a:srgbClr val="004B87"/>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9101239C.dotm</Template>
  <TotalTime>5</TotalTime>
  <Pages>305</Pages>
  <Words>109871</Words>
  <Characters>726324</Characters>
  <Application>Microsoft Office Word</Application>
  <DocSecurity>0</DocSecurity>
  <Lines>38227</Lines>
  <Paragraphs>17791</Paragraphs>
  <ScaleCrop>false</ScaleCrop>
  <HeadingPairs>
    <vt:vector size="2" baseType="variant">
      <vt:variant>
        <vt:lpstr>Title</vt:lpstr>
      </vt:variant>
      <vt:variant>
        <vt:i4>1</vt:i4>
      </vt:variant>
    </vt:vector>
  </HeadingPairs>
  <TitlesOfParts>
    <vt:vector size="1" baseType="lpstr">
      <vt:lpstr/>
    </vt:vector>
  </TitlesOfParts>
  <Company>The Department of the Environment</Company>
  <LinksUpToDate>false</LinksUpToDate>
  <CharactersWithSpaces>818404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Deeper groundwater hazard screening research</dc:title>
  <dc:subject/>
  <dc:creator>CSIRO</dc:creator>
  <cp:keywords/>
  <dc:description/>
  <cp:lastModifiedBy>Durack, Bec</cp:lastModifiedBy>
  <cp:revision>5</cp:revision>
  <dcterms:created xsi:type="dcterms:W3CDTF">2017-10-04T04:58:00Z</dcterms:created>
  <dcterms:modified xsi:type="dcterms:W3CDTF">2017-10-04T05:02:00Z</dcterms:modified>
</cp:coreProperties>
</file>