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AE45" w14:textId="77777777" w:rsidR="00BC4992" w:rsidRDefault="00BC4992" w:rsidP="00BC4992">
      <w:pPr>
        <w:pStyle w:val="Heading1"/>
      </w:pPr>
      <w:bookmarkStart w:id="0" w:name="_Ref147716383"/>
      <w:bookmarkStart w:id="1" w:name="_Toc248826509"/>
      <w:r>
        <w:t xml:space="preserve">Diarrheagenic </w:t>
      </w:r>
      <w:r>
        <w:rPr>
          <w:i/>
        </w:rPr>
        <w:t>Escherichia coli</w:t>
      </w:r>
      <w:r>
        <w:t xml:space="preserve"> – </w:t>
      </w:r>
      <w:bookmarkStart w:id="2" w:name="OLE_LINK3"/>
      <w:bookmarkStart w:id="3" w:name="OLE_LINK4"/>
      <w:r>
        <w:t xml:space="preserve">Enrichment and isolation of </w:t>
      </w:r>
      <w:r>
        <w:rPr>
          <w:i/>
        </w:rPr>
        <w:t>E. coli</w:t>
      </w:r>
      <w:r>
        <w:t xml:space="preserve"> serotype O157:H7 from Foods – FDA BAM Chapter 4A(K)</w:t>
      </w:r>
      <w:bookmarkEnd w:id="0"/>
      <w:bookmarkEnd w:id="1"/>
    </w:p>
    <w:p w14:paraId="5E63475C" w14:textId="77777777" w:rsidR="00BC4992" w:rsidRDefault="00BC4992" w:rsidP="00472579">
      <w:pPr>
        <w:pStyle w:val="Heading2"/>
        <w:tabs>
          <w:tab w:val="left" w:pos="3750"/>
        </w:tabs>
      </w:pPr>
      <w:bookmarkStart w:id="4" w:name="_Toc248826510"/>
      <w:bookmarkEnd w:id="2"/>
      <w:bookmarkEnd w:id="3"/>
      <w:r w:rsidRPr="00BC4992">
        <w:t>SCOPE</w:t>
      </w:r>
      <w:bookmarkEnd w:id="4"/>
    </w:p>
    <w:p w14:paraId="21B57A67" w14:textId="3037F62C" w:rsidR="00BC4992" w:rsidRDefault="00BC4992" w:rsidP="00BC4992">
      <w:r>
        <w:t>This method</w:t>
      </w:r>
      <w:r w:rsidR="000F40A2">
        <w:t>,</w:t>
      </w:r>
      <w:r w:rsidR="00E55D97">
        <w:t xml:space="preserve"> updated </w:t>
      </w:r>
      <w:r w:rsidR="000F40A2">
        <w:t xml:space="preserve">in </w:t>
      </w:r>
      <w:r w:rsidR="007B628D">
        <w:t>July 2020</w:t>
      </w:r>
      <w:r w:rsidR="000F40A2">
        <w:t>,</w:t>
      </w:r>
      <w:r>
        <w:t xml:space="preserve"> is applicable to the analysis of food in general and is suitable for the enumeration and isolation of </w:t>
      </w:r>
      <w:r>
        <w:rPr>
          <w:i/>
        </w:rPr>
        <w:t>E. coli</w:t>
      </w:r>
      <w:r>
        <w:t xml:space="preserve"> O157 from raw ground beef and trim. The approach recommended here allows the qualitative determination of </w:t>
      </w:r>
      <w:r w:rsidR="002E10AD">
        <w:br/>
      </w:r>
      <w:r>
        <w:rPr>
          <w:i/>
        </w:rPr>
        <w:t>E. coli</w:t>
      </w:r>
      <w:r>
        <w:t xml:space="preserve"> O157 in raw ground beef and trim.</w:t>
      </w:r>
    </w:p>
    <w:p w14:paraId="4A257D10" w14:textId="77777777" w:rsidR="00BC4992" w:rsidRDefault="00BC4992" w:rsidP="00BC4992">
      <w:pPr>
        <w:pStyle w:val="Heading2"/>
      </w:pPr>
      <w:bookmarkStart w:id="5" w:name="_Toc248826511"/>
      <w:r>
        <w:t>PRINCIPLES</w:t>
      </w:r>
      <w:bookmarkEnd w:id="5"/>
    </w:p>
    <w:p w14:paraId="1B3B98C5" w14:textId="77777777" w:rsidR="00BC4992" w:rsidRDefault="00BC4992" w:rsidP="00BC4992">
      <w:r>
        <w:t xml:space="preserve">Enrichment and isolation of </w:t>
      </w:r>
      <w:r>
        <w:rPr>
          <w:i/>
        </w:rPr>
        <w:t>E. coli</w:t>
      </w:r>
      <w:r>
        <w:t xml:space="preserve"> O157 can be broken down into the following steps: </w:t>
      </w:r>
    </w:p>
    <w:p w14:paraId="58607BC1" w14:textId="77777777" w:rsidR="00BC4992" w:rsidRDefault="00BC4992" w:rsidP="00BC4992">
      <w:pPr>
        <w:pStyle w:val="Heading3"/>
        <w:spacing w:line="240" w:lineRule="auto"/>
      </w:pPr>
      <w:r>
        <w:t>Enrichment</w:t>
      </w:r>
      <w:r w:rsidR="004C0764">
        <w:rPr>
          <w:rStyle w:val="FootnoteReference"/>
        </w:rPr>
        <w:footnoteReference w:id="1"/>
      </w:r>
    </w:p>
    <w:p w14:paraId="0878922E" w14:textId="77777777" w:rsidR="00BC4992" w:rsidRDefault="00BC4992" w:rsidP="00BC4992">
      <w:pPr>
        <w:pStyle w:val="Normal-para"/>
      </w:pPr>
      <w:r>
        <w:t xml:space="preserve">A 25 g sample is diluted in 225 mL of </w:t>
      </w:r>
      <w:proofErr w:type="spellStart"/>
      <w:r w:rsidR="0064114C">
        <w:t>mBPWp</w:t>
      </w:r>
      <w:proofErr w:type="spellEnd"/>
      <w:r w:rsidR="0064114C">
        <w:t xml:space="preserve"> and incubated at 37 ± 0.5</w:t>
      </w:r>
      <w:r w:rsidR="0064114C">
        <w:sym w:font="Symbol" w:char="F0B0"/>
      </w:r>
      <w:r>
        <w:t>C for 5 h. One mL of ACV supplement is then added and incubation continued at 42</w:t>
      </w:r>
      <w:r w:rsidR="00601713">
        <w:t xml:space="preserve"> </w:t>
      </w:r>
      <w:r>
        <w:t>±</w:t>
      </w:r>
      <w:r w:rsidR="00601713">
        <w:t xml:space="preserve"> </w:t>
      </w:r>
      <w:r>
        <w:t>1</w:t>
      </w:r>
      <w:r>
        <w:sym w:font="Symbol" w:char="F0B0"/>
      </w:r>
      <w:r>
        <w:t>C static overnight (18-24 h). Positive control</w:t>
      </w:r>
      <w:r w:rsidR="001D2203">
        <w:t>s</w:t>
      </w:r>
      <w:r>
        <w:t xml:space="preserve"> are to be used as detailed in BAM Chapter 4A.</w:t>
      </w:r>
    </w:p>
    <w:p w14:paraId="148C93E1" w14:textId="77777777" w:rsidR="00BC4992" w:rsidRDefault="00BC4992" w:rsidP="00BC4992">
      <w:pPr>
        <w:pStyle w:val="Heading3"/>
        <w:spacing w:line="240" w:lineRule="auto"/>
      </w:pPr>
      <w:r>
        <w:t>Real-time PCR Screening</w:t>
      </w:r>
    </w:p>
    <w:p w14:paraId="7011D5CF" w14:textId="77777777" w:rsidR="00BC4992" w:rsidRDefault="00BC4992" w:rsidP="00BC4992">
      <w:pPr>
        <w:pStyle w:val="Normal-para"/>
      </w:pPr>
      <w:r>
        <w:t>Lab must screen samples using Real-time PCR on enriched samples. The Real-time PCR protocol must be as per BAM Chapter 4A and is performed after immuno-magnetic separation. PCR negative samples are regarded as negative. PCR positive samples require cultural confirmation.</w:t>
      </w:r>
    </w:p>
    <w:p w14:paraId="77445371" w14:textId="77777777" w:rsidR="00BC4992" w:rsidRDefault="00BC4992" w:rsidP="00BC4992">
      <w:pPr>
        <w:pStyle w:val="Heading3"/>
        <w:spacing w:line="240" w:lineRule="auto"/>
      </w:pPr>
      <w:r>
        <w:t>Isolation</w:t>
      </w:r>
    </w:p>
    <w:p w14:paraId="13420FF6" w14:textId="77777777" w:rsidR="00BC4992" w:rsidRDefault="00BC4992" w:rsidP="00BC4992">
      <w:pPr>
        <w:pStyle w:val="Normal-para"/>
      </w:pPr>
      <w:r>
        <w:rPr>
          <w:i/>
        </w:rPr>
        <w:t>E. coli</w:t>
      </w:r>
      <w:r>
        <w:t xml:space="preserve"> O157 is isolated by diluting the immuno-magnetic separated sample in Butterfield’s phosphate buffer and spread plating 0.05 mL in duplicate onto </w:t>
      </w:r>
      <w:r w:rsidR="00E55D97">
        <w:t>TC</w:t>
      </w:r>
      <w:r>
        <w:t>-SMAC plates and one chromogenic agar (Rainbow Agar O157 or R&amp;F E. coli O157:H7 agar). Plates are incubated at 37</w:t>
      </w:r>
      <w:r w:rsidR="0064114C">
        <w:t xml:space="preserve"> ±</w:t>
      </w:r>
      <w:r w:rsidR="00601713">
        <w:t xml:space="preserve"> </w:t>
      </w:r>
      <w:r w:rsidR="0064114C">
        <w:t>1</w:t>
      </w:r>
      <w:r w:rsidR="0064114C">
        <w:sym w:font="Symbol" w:char="F0B0"/>
      </w:r>
      <w:r>
        <w:t>C for 18-24 h. Suspected colonies are confirmed using latex agglutination (Remel kit).  All typical colonies are streaked onto T</w:t>
      </w:r>
      <w:r w:rsidR="0064114C">
        <w:t>SAYE plates and incubated at 35</w:t>
      </w:r>
      <w:r w:rsidR="0064114C">
        <w:sym w:font="Symbol" w:char="F0B0"/>
      </w:r>
      <w:r>
        <w:t xml:space="preserve">C for 18-24 h </w:t>
      </w:r>
    </w:p>
    <w:p w14:paraId="686B1839" w14:textId="77777777" w:rsidR="00BC4992" w:rsidRDefault="00BC4992" w:rsidP="00BC4992">
      <w:pPr>
        <w:pStyle w:val="Heading3"/>
        <w:spacing w:line="240" w:lineRule="auto"/>
      </w:pPr>
      <w:r>
        <w:t>Confirmation</w:t>
      </w:r>
    </w:p>
    <w:p w14:paraId="6F8D23F6" w14:textId="77777777" w:rsidR="00BC4992" w:rsidRDefault="00BC4992" w:rsidP="00BC4992">
      <w:pPr>
        <w:pStyle w:val="Normal-para"/>
      </w:pPr>
      <w:r>
        <w:rPr>
          <w:i/>
        </w:rPr>
        <w:t>E. coli</w:t>
      </w:r>
      <w:r>
        <w:t xml:space="preserve"> O157 is confirmed by indole production, lack of β-glucuronidase activity and serological tests. Presence of Shiga toxin or Shiga toxin genes or genetic confirmation of H7, confirms the presence of </w:t>
      </w:r>
      <w:r>
        <w:rPr>
          <w:i/>
        </w:rPr>
        <w:t>E. coli</w:t>
      </w:r>
      <w:r>
        <w:t xml:space="preserve"> O157:H7.</w:t>
      </w:r>
    </w:p>
    <w:p w14:paraId="14A98BBB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4762460C" w14:textId="77777777" w:rsidR="00BC4992" w:rsidRDefault="00BC4992" w:rsidP="00BC4992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BC4992" w14:paraId="3C2FB8BA" w14:textId="77777777" w:rsidTr="001A446B">
        <w:tc>
          <w:tcPr>
            <w:tcW w:w="1800" w:type="dxa"/>
            <w:tcBorders>
              <w:top w:val="single" w:sz="4" w:space="0" w:color="auto"/>
            </w:tcBorders>
          </w:tcPr>
          <w:p w14:paraId="20260E48" w14:textId="77777777" w:rsidR="00BC4992" w:rsidRDefault="00BC4992" w:rsidP="001A446B">
            <w:pPr>
              <w:pStyle w:val="TableHeading"/>
            </w:pPr>
            <w: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EFEA46A" w14:textId="77777777" w:rsidR="00BC4992" w:rsidRDefault="00BC4992" w:rsidP="001A446B">
            <w:pPr>
              <w:pStyle w:val="TableBody"/>
            </w:pPr>
            <w:r>
              <w:t xml:space="preserve">Is the sample enriched in </w:t>
            </w:r>
            <w:proofErr w:type="spellStart"/>
            <w:r>
              <w:t>mBPWp</w:t>
            </w:r>
            <w:proofErr w:type="spellEnd"/>
            <w:r>
              <w:t>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9F6628E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6536E466" w14:textId="77777777" w:rsidTr="001A446B">
        <w:tc>
          <w:tcPr>
            <w:tcW w:w="1800" w:type="dxa"/>
          </w:tcPr>
          <w:p w14:paraId="0DCE9AEE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4A1A4A64" w14:textId="77777777" w:rsidR="00BC4992" w:rsidRDefault="0064114C" w:rsidP="001A446B">
            <w:pPr>
              <w:pStyle w:val="TableBody"/>
            </w:pPr>
            <w:r>
              <w:t>Is enrichment at 37 ± 0.5</w:t>
            </w:r>
            <w:r w:rsidR="00601713">
              <w:sym w:font="Symbol" w:char="F0B0"/>
            </w:r>
            <w:r w:rsidR="00BC4992">
              <w:t>C initially for 5 h?</w:t>
            </w:r>
          </w:p>
        </w:tc>
        <w:tc>
          <w:tcPr>
            <w:tcW w:w="2340" w:type="dxa"/>
            <w:vAlign w:val="bottom"/>
          </w:tcPr>
          <w:p w14:paraId="6DA4C56D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00549B76" w14:textId="77777777" w:rsidTr="001A446B">
        <w:tc>
          <w:tcPr>
            <w:tcW w:w="1800" w:type="dxa"/>
          </w:tcPr>
          <w:p w14:paraId="05E51C5D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417DC033" w14:textId="77777777" w:rsidR="00BC4992" w:rsidRDefault="00BC4992" w:rsidP="00601713">
            <w:pPr>
              <w:pStyle w:val="TableBody"/>
            </w:pPr>
            <w:r>
              <w:t xml:space="preserve">Is 1 mL ACV supplement </w:t>
            </w:r>
            <w:proofErr w:type="gramStart"/>
            <w:r>
              <w:t>added</w:t>
            </w:r>
            <w:proofErr w:type="gramEnd"/>
            <w:r>
              <w:t xml:space="preserve"> a</w:t>
            </w:r>
            <w:r w:rsidR="0064114C">
              <w:t>nd incubation continued at 42 ±1</w:t>
            </w:r>
            <w:r w:rsidR="00601713">
              <w:sym w:font="Symbol" w:char="F0B0"/>
            </w:r>
            <w:r>
              <w:t>C for 18-24 h?</w:t>
            </w:r>
          </w:p>
        </w:tc>
        <w:tc>
          <w:tcPr>
            <w:tcW w:w="2340" w:type="dxa"/>
            <w:vAlign w:val="bottom"/>
          </w:tcPr>
          <w:p w14:paraId="10434902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3A2EBDEA" w14:textId="77777777" w:rsidTr="001A446B">
        <w:tc>
          <w:tcPr>
            <w:tcW w:w="1800" w:type="dxa"/>
          </w:tcPr>
          <w:p w14:paraId="48DCA727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5405603B" w14:textId="77777777" w:rsidR="00BC4992" w:rsidRDefault="00BC4992" w:rsidP="001A446B">
            <w:pPr>
              <w:pStyle w:val="TableBody"/>
            </w:pPr>
            <w:r>
              <w:t>Is a positive control run with each batch of samples analysed?</w:t>
            </w:r>
          </w:p>
        </w:tc>
        <w:tc>
          <w:tcPr>
            <w:tcW w:w="2340" w:type="dxa"/>
            <w:vAlign w:val="center"/>
          </w:tcPr>
          <w:p w14:paraId="6D499039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1F23321F" w14:textId="77777777" w:rsidTr="001A446B">
        <w:tc>
          <w:tcPr>
            <w:tcW w:w="1800" w:type="dxa"/>
          </w:tcPr>
          <w:p w14:paraId="2E38805E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48A15F21" w14:textId="77777777" w:rsidR="00BC4992" w:rsidRDefault="00BC4992" w:rsidP="001A446B">
            <w:pPr>
              <w:pStyle w:val="TableBody"/>
            </w:pPr>
            <w:r>
              <w:t>Are reference cultures inoculated into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71CB4BAD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0BC8A534" w14:textId="77777777" w:rsidTr="001A446B">
        <w:tc>
          <w:tcPr>
            <w:tcW w:w="1800" w:type="dxa"/>
          </w:tcPr>
          <w:p w14:paraId="244695EC" w14:textId="77777777" w:rsidR="00BC4992" w:rsidRDefault="00BC4992" w:rsidP="001A446B">
            <w:pPr>
              <w:pStyle w:val="TableHeading"/>
            </w:pPr>
            <w:r>
              <w:t>Separation</w:t>
            </w:r>
          </w:p>
        </w:tc>
        <w:tc>
          <w:tcPr>
            <w:tcW w:w="5040" w:type="dxa"/>
          </w:tcPr>
          <w:p w14:paraId="42F23D3A" w14:textId="77777777" w:rsidR="00BC4992" w:rsidRDefault="00BC4992" w:rsidP="001A446B">
            <w:pPr>
              <w:pStyle w:val="TableBody"/>
            </w:pPr>
            <w:r>
              <w:t xml:space="preserve">Is </w:t>
            </w:r>
            <w:r>
              <w:rPr>
                <w:i/>
              </w:rPr>
              <w:t>E. coli</w:t>
            </w:r>
            <w:r>
              <w:t xml:space="preserve"> O157 separated and concentrated from the enrichment broth using IMS?</w:t>
            </w:r>
          </w:p>
        </w:tc>
        <w:tc>
          <w:tcPr>
            <w:tcW w:w="2340" w:type="dxa"/>
            <w:vAlign w:val="center"/>
          </w:tcPr>
          <w:p w14:paraId="6223A047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493E264D" w14:textId="77777777" w:rsidTr="001A446B">
        <w:tc>
          <w:tcPr>
            <w:tcW w:w="1800" w:type="dxa"/>
          </w:tcPr>
          <w:p w14:paraId="2B767477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7A5EB206" w14:textId="77777777" w:rsidR="00BC4992" w:rsidRDefault="00BC4992" w:rsidP="001A446B">
            <w:pPr>
              <w:pStyle w:val="TableBody"/>
            </w:pPr>
            <w:r>
              <w:t>Is a screen Real-time PCR assay performed on IMS broth samples?</w:t>
            </w:r>
          </w:p>
        </w:tc>
        <w:tc>
          <w:tcPr>
            <w:tcW w:w="2340" w:type="dxa"/>
            <w:vAlign w:val="bottom"/>
          </w:tcPr>
          <w:p w14:paraId="1DE0843F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2AD2F821" w14:textId="77777777" w:rsidTr="001A446B">
        <w:tc>
          <w:tcPr>
            <w:tcW w:w="1800" w:type="dxa"/>
          </w:tcPr>
          <w:p w14:paraId="70502166" w14:textId="77777777" w:rsidR="00BC4992" w:rsidRDefault="00BC4992" w:rsidP="001A446B">
            <w:pPr>
              <w:pStyle w:val="TableHeading"/>
            </w:pPr>
            <w:r>
              <w:t>Isolation</w:t>
            </w:r>
          </w:p>
        </w:tc>
        <w:tc>
          <w:tcPr>
            <w:tcW w:w="5040" w:type="dxa"/>
          </w:tcPr>
          <w:p w14:paraId="4D1E468E" w14:textId="77777777" w:rsidR="00BC4992" w:rsidRDefault="00BC4992" w:rsidP="001A446B">
            <w:pPr>
              <w:pStyle w:val="TableBody"/>
            </w:pPr>
            <w:r>
              <w:t xml:space="preserve">Is IMS sample subcultured in duplicate onto </w:t>
            </w:r>
            <w:r w:rsidR="00E55D97">
              <w:t>TC</w:t>
            </w:r>
            <w:r>
              <w:t>-SMAC and onto one chromogenic agar plate?</w:t>
            </w:r>
          </w:p>
        </w:tc>
        <w:tc>
          <w:tcPr>
            <w:tcW w:w="2340" w:type="dxa"/>
            <w:vAlign w:val="center"/>
          </w:tcPr>
          <w:p w14:paraId="1D85A335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19E0C84B" w14:textId="77777777" w:rsidTr="001A446B">
        <w:tc>
          <w:tcPr>
            <w:tcW w:w="1800" w:type="dxa"/>
          </w:tcPr>
          <w:p w14:paraId="7A85D596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7B5FE642" w14:textId="77777777" w:rsidR="00BC4992" w:rsidRDefault="00BC4992" w:rsidP="001A446B">
            <w:pPr>
              <w:pStyle w:val="TableBody"/>
            </w:pPr>
            <w:r>
              <w:t>Are plates incubated at 37 ± 1</w:t>
            </w:r>
            <w:r w:rsidR="00601713">
              <w:sym w:font="Symbol" w:char="F0B0"/>
            </w:r>
            <w:r>
              <w:t>C for 18-24 h?</w:t>
            </w:r>
          </w:p>
        </w:tc>
        <w:tc>
          <w:tcPr>
            <w:tcW w:w="2340" w:type="dxa"/>
          </w:tcPr>
          <w:p w14:paraId="29115B1A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6738C9C6" w14:textId="77777777" w:rsidTr="001A446B">
        <w:tc>
          <w:tcPr>
            <w:tcW w:w="1800" w:type="dxa"/>
          </w:tcPr>
          <w:p w14:paraId="5F70A289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7F1851EF" w14:textId="77777777" w:rsidR="00BC4992" w:rsidRDefault="00BC4992" w:rsidP="001A446B">
            <w:pPr>
              <w:pStyle w:val="TableBody"/>
            </w:pPr>
            <w:r>
              <w:t>Are suspect colonies streaked</w:t>
            </w:r>
            <w:r w:rsidR="0064114C">
              <w:t xml:space="preserve"> onto TSAYE and incubated at 35</w:t>
            </w:r>
            <w:r w:rsidR="00601713">
              <w:sym w:font="Symbol" w:char="F0B0"/>
            </w:r>
            <w:r>
              <w:t>C for 18 to 24 h.</w:t>
            </w:r>
          </w:p>
        </w:tc>
        <w:tc>
          <w:tcPr>
            <w:tcW w:w="2340" w:type="dxa"/>
            <w:vAlign w:val="center"/>
          </w:tcPr>
          <w:p w14:paraId="630C3ACE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53D34882" w14:textId="77777777" w:rsidTr="001A446B">
        <w:tc>
          <w:tcPr>
            <w:tcW w:w="1800" w:type="dxa"/>
          </w:tcPr>
          <w:p w14:paraId="08A1A213" w14:textId="77777777" w:rsidR="00BC4992" w:rsidRDefault="00BC4992" w:rsidP="001A446B">
            <w:pPr>
              <w:pStyle w:val="TableHeading"/>
            </w:pPr>
            <w:r>
              <w:t>Confirmation</w:t>
            </w:r>
          </w:p>
        </w:tc>
        <w:tc>
          <w:tcPr>
            <w:tcW w:w="5040" w:type="dxa"/>
          </w:tcPr>
          <w:p w14:paraId="3BD37105" w14:textId="77777777" w:rsidR="00BC4992" w:rsidRDefault="00BC4992" w:rsidP="001A446B">
            <w:pPr>
              <w:pStyle w:val="TableBody"/>
            </w:pPr>
            <w:r>
              <w:t xml:space="preserve">Is </w:t>
            </w:r>
            <w:r>
              <w:rPr>
                <w:i/>
              </w:rPr>
              <w:t>E. coli</w:t>
            </w:r>
            <w:r>
              <w:t xml:space="preserve"> O157 confirmed by:</w:t>
            </w:r>
          </w:p>
        </w:tc>
        <w:tc>
          <w:tcPr>
            <w:tcW w:w="2340" w:type="dxa"/>
            <w:vAlign w:val="center"/>
          </w:tcPr>
          <w:p w14:paraId="39A3968C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08914D87" w14:textId="77777777" w:rsidTr="001A446B">
        <w:tc>
          <w:tcPr>
            <w:tcW w:w="1800" w:type="dxa"/>
          </w:tcPr>
          <w:p w14:paraId="6B918049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47F36149" w14:textId="77777777" w:rsidR="00BC4992" w:rsidRDefault="00BC4992" w:rsidP="001A446B">
            <w:pPr>
              <w:pStyle w:val="TableBody"/>
            </w:pPr>
            <w:r>
              <w:t>Indole production?</w:t>
            </w:r>
          </w:p>
        </w:tc>
        <w:tc>
          <w:tcPr>
            <w:tcW w:w="2340" w:type="dxa"/>
            <w:vAlign w:val="center"/>
          </w:tcPr>
          <w:p w14:paraId="5EE81598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37FFFD67" w14:textId="77777777" w:rsidTr="001A446B">
        <w:tc>
          <w:tcPr>
            <w:tcW w:w="1800" w:type="dxa"/>
          </w:tcPr>
          <w:p w14:paraId="4957D755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</w:tcPr>
          <w:p w14:paraId="49ECC6EC" w14:textId="77777777" w:rsidR="00BC4992" w:rsidRDefault="00BC4992" w:rsidP="001A446B">
            <w:pPr>
              <w:pStyle w:val="TableBody"/>
            </w:pPr>
            <w:r>
              <w:t>β-glucuronidase activity?</w:t>
            </w:r>
          </w:p>
        </w:tc>
        <w:tc>
          <w:tcPr>
            <w:tcW w:w="2340" w:type="dxa"/>
            <w:vAlign w:val="center"/>
          </w:tcPr>
          <w:p w14:paraId="1B982CEB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38E40EAB" w14:textId="77777777" w:rsidTr="00BC4992">
        <w:tc>
          <w:tcPr>
            <w:tcW w:w="1800" w:type="dxa"/>
          </w:tcPr>
          <w:p w14:paraId="72A91D93" w14:textId="77777777" w:rsidR="00BC4992" w:rsidRDefault="00BC4992" w:rsidP="001A446B">
            <w:pPr>
              <w:pStyle w:val="TableHeading"/>
            </w:pPr>
            <w:r>
              <w:t xml:space="preserve"> </w:t>
            </w:r>
          </w:p>
        </w:tc>
        <w:tc>
          <w:tcPr>
            <w:tcW w:w="5040" w:type="dxa"/>
          </w:tcPr>
          <w:p w14:paraId="5CE08357" w14:textId="77777777" w:rsidR="00BC4992" w:rsidRDefault="00BC4992" w:rsidP="001A446B">
            <w:pPr>
              <w:pStyle w:val="TableBody"/>
            </w:pPr>
            <w:r>
              <w:t xml:space="preserve">Agglutination of </w:t>
            </w:r>
            <w:r>
              <w:rPr>
                <w:i/>
              </w:rPr>
              <w:t>E. coli</w:t>
            </w:r>
            <w:r>
              <w:t xml:space="preserve"> O157 antiserum?</w:t>
            </w:r>
          </w:p>
        </w:tc>
        <w:tc>
          <w:tcPr>
            <w:tcW w:w="2340" w:type="dxa"/>
            <w:vAlign w:val="center"/>
          </w:tcPr>
          <w:p w14:paraId="2C1B9306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  <w:tr w:rsidR="00BC4992" w14:paraId="4F39C1DB" w14:textId="77777777" w:rsidTr="00BC4992">
        <w:tc>
          <w:tcPr>
            <w:tcW w:w="1800" w:type="dxa"/>
            <w:tcBorders>
              <w:bottom w:val="single" w:sz="4" w:space="0" w:color="auto"/>
            </w:tcBorders>
          </w:tcPr>
          <w:p w14:paraId="20138685" w14:textId="77777777" w:rsidR="00BC4992" w:rsidRDefault="00BC4992" w:rsidP="001A446B">
            <w:pPr>
              <w:pStyle w:val="TableHead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81C7256" w14:textId="77777777" w:rsidR="00BC4992" w:rsidRDefault="00BC4992" w:rsidP="001A446B">
            <w:pPr>
              <w:pStyle w:val="TableBody"/>
            </w:pPr>
            <w:r>
              <w:t>Are tests for toxin or toxin genes carried out?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65B14CC" w14:textId="77777777" w:rsidR="00BC4992" w:rsidRDefault="00BC4992" w:rsidP="001A446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szCs w:val="22"/>
                <w:u w:val="single"/>
              </w:rPr>
            </w:pPr>
            <w:r>
              <w:rPr>
                <w:rFonts w:ascii="Garamond" w:hAnsi="Garamond"/>
                <w:szCs w:val="22"/>
                <w:u w:val="single"/>
              </w:rPr>
              <w:tab/>
            </w:r>
          </w:p>
        </w:tc>
      </w:tr>
    </w:tbl>
    <w:p w14:paraId="75CED00A" w14:textId="77777777" w:rsidR="00ED64A6" w:rsidRDefault="00ED64A6" w:rsidP="00BC4992">
      <w:pPr>
        <w:pStyle w:val="Heading2"/>
        <w:ind w:left="0"/>
      </w:pPr>
    </w:p>
    <w:sectPr w:rsidR="00ED64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458C" w14:textId="77777777" w:rsidR="00BC734D" w:rsidRDefault="00BC734D" w:rsidP="00E0322F">
      <w:pPr>
        <w:spacing w:before="0" w:after="0"/>
      </w:pPr>
      <w:r>
        <w:separator/>
      </w:r>
    </w:p>
  </w:endnote>
  <w:endnote w:type="continuationSeparator" w:id="0">
    <w:p w14:paraId="005F205D" w14:textId="77777777" w:rsidR="00BC734D" w:rsidRDefault="00BC734D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D7A" w14:textId="20B5E6E3" w:rsidR="00EC10F5" w:rsidRDefault="00EC1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D676170" wp14:editId="5CB070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06781575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BB99" w14:textId="4C43A0C2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61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7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BHiYyV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3E2BB99" w14:textId="4C43A0C2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1674" w14:textId="4EBEF1D3" w:rsidR="001E48B7" w:rsidRPr="00B23638" w:rsidRDefault="00BC4992" w:rsidP="00BC4992">
    <w:pPr>
      <w:pStyle w:val="Footer"/>
      <w:tabs>
        <w:tab w:val="clear" w:pos="4513"/>
        <w:tab w:val="center" w:pos="8647"/>
      </w:tabs>
      <w:rPr>
        <w:color w:val="505050"/>
      </w:rPr>
    </w:pPr>
    <w:r w:rsidRPr="00B23638">
      <w:rPr>
        <w:color w:val="505050"/>
      </w:rPr>
      <w:t xml:space="preserve">Issue </w:t>
    </w:r>
    <w:r w:rsidR="004C0764" w:rsidRPr="00B23638">
      <w:rPr>
        <w:color w:val="505050"/>
      </w:rPr>
      <w:t>2017 03 22</w:t>
    </w:r>
    <w:r w:rsidRPr="00B23638">
      <w:rPr>
        <w:color w:val="505050"/>
      </w:rPr>
      <w:t xml:space="preserve"> | </w:t>
    </w:r>
    <w:r w:rsidR="001E48B7" w:rsidRPr="00B23638">
      <w:rPr>
        <w:color w:val="505050"/>
      </w:rPr>
      <w:t>Approve</w:t>
    </w:r>
    <w:r w:rsidRPr="00B23638">
      <w:rPr>
        <w:color w:val="505050"/>
      </w:rPr>
      <w:t>d Methods Manual</w:t>
    </w:r>
  </w:p>
  <w:p w14:paraId="71D52B37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 xml:space="preserve">dards Branch | Exports </w:t>
    </w:r>
    <w:r w:rsidR="007B628D">
      <w:t xml:space="preserve">and Veterinary Services </w:t>
    </w:r>
    <w:r w:rsidR="00670835">
      <w:t>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69E3">
      <w:rPr>
        <w:noProof/>
      </w:rPr>
      <w:t>2</w:t>
    </w:r>
    <w:r>
      <w:fldChar w:fldCharType="end"/>
    </w:r>
    <w:r>
      <w:t xml:space="preserve"> of </w:t>
    </w:r>
    <w:fldSimple w:instr=" NUMPAGES  ">
      <w:r w:rsidR="009369E3">
        <w:rPr>
          <w:noProof/>
        </w:rPr>
        <w:t>2</w:t>
      </w:r>
    </w:fldSimple>
  </w:p>
  <w:p w14:paraId="19E7DD56" w14:textId="6DEBCBED" w:rsidR="00BC4992" w:rsidRPr="001E48B7" w:rsidRDefault="00BC4992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7B628D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94DD" w14:textId="71DDC855" w:rsidR="00EC10F5" w:rsidRDefault="00EC1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45B5B0A" wp14:editId="6D85E5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74956099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20BBB" w14:textId="04D8DC9B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B5B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7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6oDwIAABwEAAAOAAAAZHJzL2Uyb0RvYy54bWysU01v2zAMvQ/YfxB0X+wEadc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qNj6o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3920BBB" w14:textId="04D8DC9B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1180" w14:textId="1F95AF5D" w:rsidR="00EC10F5" w:rsidRDefault="00EC1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C75465F" wp14:editId="0E0D0D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64043376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BFE82" w14:textId="77CF70BA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546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7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2BFE82" w14:textId="77CF70BA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7967" w14:textId="30D82E76" w:rsidR="00EC10F5" w:rsidRDefault="00EC10F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31D3" w14:textId="63335269" w:rsidR="00EC10F5" w:rsidRDefault="00EC1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2ED769D" wp14:editId="5EDE90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67886550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798C1" w14:textId="34FC20DF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D769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7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A98cu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88798C1" w14:textId="34FC20DF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2D09" w14:textId="77777777" w:rsidR="00BC734D" w:rsidRDefault="00BC734D" w:rsidP="00E0322F">
      <w:pPr>
        <w:spacing w:before="0" w:after="0"/>
      </w:pPr>
      <w:r>
        <w:separator/>
      </w:r>
    </w:p>
  </w:footnote>
  <w:footnote w:type="continuationSeparator" w:id="0">
    <w:p w14:paraId="0D05AD18" w14:textId="77777777" w:rsidR="00BC734D" w:rsidRDefault="00BC734D" w:rsidP="00E0322F">
      <w:pPr>
        <w:spacing w:before="0" w:after="0"/>
      </w:pPr>
      <w:r>
        <w:continuationSeparator/>
      </w:r>
    </w:p>
  </w:footnote>
  <w:footnote w:id="1">
    <w:p w14:paraId="332E54CB" w14:textId="77777777" w:rsidR="004C0764" w:rsidRDefault="004C0764">
      <w:pPr>
        <w:pStyle w:val="FootnoteText"/>
      </w:pPr>
      <w:r>
        <w:rPr>
          <w:rStyle w:val="FootnoteReference"/>
        </w:rPr>
        <w:footnoteRef/>
      </w:r>
      <w:r>
        <w:t xml:space="preserve"> Enrichment with the following </w:t>
      </w:r>
      <w:proofErr w:type="gramStart"/>
      <w:r>
        <w:t>modification;</w:t>
      </w:r>
      <w:proofErr w:type="gramEnd"/>
      <w:r>
        <w:t xml:space="preserve"> must use the IMS option and a sample size of 325 g for ground beef, analysed as five separate 65 g portions, 1:10 dilution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51B8" w14:textId="09A13417" w:rsidR="00EC10F5" w:rsidRDefault="00EC1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581F57" wp14:editId="38BF87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4189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0BEF5" w14:textId="679A7B7F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81F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0B0BEF5" w14:textId="679A7B7F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418E" w14:textId="57EA51F5" w:rsidR="00670835" w:rsidRDefault="00EC10F5" w:rsidP="00472579">
    <w:pPr>
      <w:pStyle w:val="Header"/>
      <w:spacing w:after="600"/>
      <w:jc w:val="left"/>
    </w:pPr>
    <w:r w:rsidRPr="00CF4CBF">
      <w:rPr>
        <w:noProof/>
      </w:rPr>
      <w:drawing>
        <wp:inline distT="0" distB="0" distL="0" distR="0" wp14:anchorId="7BD19AD8" wp14:editId="5357149F">
          <wp:extent cx="4046855" cy="55943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8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BC9A" w14:textId="33401D7B" w:rsidR="00EC10F5" w:rsidRDefault="00EC1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B7C1CA" wp14:editId="70EB2C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1044933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D38A2" w14:textId="0C829BC3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7C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QICgIAABUEAAAOAAAAZHJzL2Uyb0RvYy54bWysU01v2zAMvQ/YfxB0X+wEadc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B4D38A2" w14:textId="0C829BC3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ABBB" w14:textId="4BB08EC8" w:rsidR="00EC10F5" w:rsidRDefault="00EC1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625CCE" wp14:editId="464E76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4070248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89E73" w14:textId="351379D2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25C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7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n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TUfpt9AdaClPBz5Dk4uW2q9EgGfhSeCaQ8S&#10;LT7RUWvoSg4ni7MG/K/3/DGfcKcoZx0JpuSWFM2Z/mGJj6itZIxv86ucbn5wbwbD7sw9kAzH9CKc&#10;TGbMQz2YtQfzSnJexEYUElZSu5LjYN7jUbn0HKRaLFISycgJXNm1k7F0hCti+dK/Cu9OgCMx9QiD&#10;mkTxBvdjbvwzuMUOCf1ESoT2COQJcZJg4ur0XKLG/7ynrMujnv8G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Bujwpn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E89E73" w14:textId="351379D2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9D6E" w14:textId="0E50123C" w:rsidR="00272AAC" w:rsidRPr="00B23638" w:rsidRDefault="00272AAC">
    <w:pPr>
      <w:pStyle w:val="Header"/>
      <w:rPr>
        <w:rFonts w:ascii="Garamond" w:hAnsi="Garamond"/>
        <w:color w:val="505050"/>
        <w:sz w:val="20"/>
        <w:szCs w:val="20"/>
      </w:rPr>
    </w:pPr>
    <w:r w:rsidRPr="00B23638">
      <w:rPr>
        <w:rFonts w:ascii="Garamond" w:hAnsi="Garamond"/>
        <w:i/>
        <w:color w:val="505050"/>
        <w:sz w:val="20"/>
        <w:szCs w:val="20"/>
      </w:rPr>
      <w:t xml:space="preserve">E coli </w:t>
    </w:r>
    <w:r w:rsidRPr="00B23638">
      <w:rPr>
        <w:rFonts w:ascii="Garamond" w:hAnsi="Garamond"/>
        <w:color w:val="505050"/>
        <w:sz w:val="20"/>
        <w:szCs w:val="20"/>
      </w:rPr>
      <w:t>O157 Detection – FDA BAM Ch 4A(K)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0862" w14:textId="563CDE46" w:rsidR="00EC10F5" w:rsidRDefault="00EC10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281997" wp14:editId="303C17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3190817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08298" w14:textId="5C7ED882" w:rsidR="00EC10F5" w:rsidRPr="00EC10F5" w:rsidRDefault="00EC10F5" w:rsidP="00EC10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10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819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7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7608298" w14:textId="5C7ED882" w:rsidR="00EC10F5" w:rsidRPr="00EC10F5" w:rsidRDefault="00EC10F5" w:rsidP="00EC10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10F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78338496">
    <w:abstractNumId w:val="0"/>
  </w:num>
  <w:num w:numId="2" w16cid:durableId="976034044">
    <w:abstractNumId w:val="1"/>
  </w:num>
  <w:num w:numId="3" w16cid:durableId="1049456716">
    <w:abstractNumId w:val="3"/>
  </w:num>
  <w:num w:numId="4" w16cid:durableId="170763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257"/>
    <w:rsid w:val="000222C8"/>
    <w:rsid w:val="000236E5"/>
    <w:rsid w:val="000763DC"/>
    <w:rsid w:val="000E1166"/>
    <w:rsid w:val="000F40A2"/>
    <w:rsid w:val="00124F25"/>
    <w:rsid w:val="00157B76"/>
    <w:rsid w:val="00187BE5"/>
    <w:rsid w:val="001A25B8"/>
    <w:rsid w:val="001A446B"/>
    <w:rsid w:val="001B09CB"/>
    <w:rsid w:val="001B1761"/>
    <w:rsid w:val="001D2203"/>
    <w:rsid w:val="001E48B7"/>
    <w:rsid w:val="001F1F99"/>
    <w:rsid w:val="00202FC9"/>
    <w:rsid w:val="002079F4"/>
    <w:rsid w:val="00221386"/>
    <w:rsid w:val="002278C4"/>
    <w:rsid w:val="0023008E"/>
    <w:rsid w:val="00234F1B"/>
    <w:rsid w:val="00272AAC"/>
    <w:rsid w:val="002B0E7F"/>
    <w:rsid w:val="002C7146"/>
    <w:rsid w:val="002D24D9"/>
    <w:rsid w:val="002E10AD"/>
    <w:rsid w:val="002E1679"/>
    <w:rsid w:val="002E5A4E"/>
    <w:rsid w:val="00322C97"/>
    <w:rsid w:val="00355208"/>
    <w:rsid w:val="00367E78"/>
    <w:rsid w:val="0042371A"/>
    <w:rsid w:val="00453D78"/>
    <w:rsid w:val="00472579"/>
    <w:rsid w:val="0049340F"/>
    <w:rsid w:val="004C0764"/>
    <w:rsid w:val="004C644E"/>
    <w:rsid w:val="005276AA"/>
    <w:rsid w:val="00540674"/>
    <w:rsid w:val="00552335"/>
    <w:rsid w:val="00595BF4"/>
    <w:rsid w:val="00597206"/>
    <w:rsid w:val="005A1BA4"/>
    <w:rsid w:val="00601713"/>
    <w:rsid w:val="0063113D"/>
    <w:rsid w:val="0064114C"/>
    <w:rsid w:val="00664AF3"/>
    <w:rsid w:val="00667F57"/>
    <w:rsid w:val="00670835"/>
    <w:rsid w:val="006A0E1A"/>
    <w:rsid w:val="006C2971"/>
    <w:rsid w:val="00740CA0"/>
    <w:rsid w:val="00770808"/>
    <w:rsid w:val="00793DA8"/>
    <w:rsid w:val="007B2C7D"/>
    <w:rsid w:val="007B628D"/>
    <w:rsid w:val="007E4068"/>
    <w:rsid w:val="007E7C98"/>
    <w:rsid w:val="007F69EF"/>
    <w:rsid w:val="00852040"/>
    <w:rsid w:val="009264DB"/>
    <w:rsid w:val="00932FD0"/>
    <w:rsid w:val="009369E3"/>
    <w:rsid w:val="0094660E"/>
    <w:rsid w:val="00952047"/>
    <w:rsid w:val="00994AC7"/>
    <w:rsid w:val="009B0083"/>
    <w:rsid w:val="009E4708"/>
    <w:rsid w:val="009E60CA"/>
    <w:rsid w:val="009E6DCC"/>
    <w:rsid w:val="009F2FC4"/>
    <w:rsid w:val="00A020BB"/>
    <w:rsid w:val="00A061D0"/>
    <w:rsid w:val="00A81F44"/>
    <w:rsid w:val="00A83672"/>
    <w:rsid w:val="00AA6BE4"/>
    <w:rsid w:val="00AD7EC2"/>
    <w:rsid w:val="00B15B9C"/>
    <w:rsid w:val="00B23638"/>
    <w:rsid w:val="00B32BD2"/>
    <w:rsid w:val="00B32EA5"/>
    <w:rsid w:val="00B629CE"/>
    <w:rsid w:val="00B63D41"/>
    <w:rsid w:val="00BA04E6"/>
    <w:rsid w:val="00BC4992"/>
    <w:rsid w:val="00BC734D"/>
    <w:rsid w:val="00C665D9"/>
    <w:rsid w:val="00CF6659"/>
    <w:rsid w:val="00D0465A"/>
    <w:rsid w:val="00D04B8A"/>
    <w:rsid w:val="00D1679C"/>
    <w:rsid w:val="00D66CAF"/>
    <w:rsid w:val="00DB0834"/>
    <w:rsid w:val="00E0322F"/>
    <w:rsid w:val="00E06588"/>
    <w:rsid w:val="00E54478"/>
    <w:rsid w:val="00E55D97"/>
    <w:rsid w:val="00EC10F5"/>
    <w:rsid w:val="00ED64A6"/>
    <w:rsid w:val="00EF3F21"/>
    <w:rsid w:val="00F01F9E"/>
    <w:rsid w:val="00F66EF1"/>
    <w:rsid w:val="00F75E04"/>
    <w:rsid w:val="00F91501"/>
    <w:rsid w:val="00FA2D1F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4044E6"/>
  <w15:chartTrackingRefBased/>
  <w15:docId w15:val="{F4DFD179-777F-4EF0-8547-347273D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DC"/>
    <w:pPr>
      <w:overflowPunct w:val="0"/>
      <w:autoSpaceDE w:val="0"/>
      <w:autoSpaceDN w:val="0"/>
      <w:adjustRightInd w:val="0"/>
      <w:spacing w:before="120"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C4992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BC4992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character" w:styleId="CommentReference">
    <w:name w:val="annotation reference"/>
    <w:rsid w:val="002E1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0AD"/>
    <w:rPr>
      <w:sz w:val="20"/>
    </w:rPr>
  </w:style>
  <w:style w:type="character" w:customStyle="1" w:styleId="CommentTextChar">
    <w:name w:val="Comment Text Char"/>
    <w:link w:val="CommentText"/>
    <w:rsid w:val="002E10AD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2E10AD"/>
    <w:rPr>
      <w:b/>
      <w:bCs/>
    </w:rPr>
  </w:style>
  <w:style w:type="character" w:customStyle="1" w:styleId="CommentSubjectChar">
    <w:name w:val="Comment Subject Char"/>
    <w:link w:val="CommentSubject"/>
    <w:rsid w:val="002E10AD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rsid w:val="002E10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0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28D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26366AC-91C1-4E3E-99AC-D8C2F3357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4EDCE-3DCA-4EA1-80DA-9D6116247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1FFED-13C0-41B5-90E4-873ED999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80A90-DA4E-4B14-A564-99776A06DC9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Enrichment and isolation of E. coli serotype O157:H7 from Foods – FDA BAM Chapter 4A(K)</vt:lpstr>
    </vt:vector>
  </TitlesOfParts>
  <Company>Department of Agriculture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Enrichment and isolation of E. coli serotype O157:H7 from Foods – FDA BAM Chapter 4A(K)</dc:title>
  <dc:subject>Approved Method Manual</dc:subject>
  <dc:creator>Arefin Chowdhury</dc:creator>
  <cp:keywords>Microbiological Testing, E. coli O157, BAX System PCR, BAM Chapter 4A(k)</cp:keywords>
  <dc:description>Testing of meat and meat products for Escherichia coli O157 using AOAC FDA BAM Chapter 4A(k)</dc:description>
  <cp:lastModifiedBy>Chowdhury, Arefin</cp:lastModifiedBy>
  <cp:revision>5</cp:revision>
  <cp:lastPrinted>2025-06-04T01:53:00Z</cp:lastPrinted>
  <dcterms:created xsi:type="dcterms:W3CDTF">2025-06-04T01:52:00Z</dcterms:created>
  <dcterms:modified xsi:type="dcterms:W3CDTF">2025-06-04T01:54:00Z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41d53b1a,87520b1,49159142,1304cd2a,1842b4be,1869d2e3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2cad64a1,3fa59349,683d7a24,2876aa60,262c3e65,148a4db1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2025-06-04T01:52:36Z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cb337ff5-c9d2-4e55-bd70-69b3bfa1b997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