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0E16" w14:textId="3FA09FBC" w:rsidR="00B21462" w:rsidRPr="00886F67" w:rsidRDefault="008626B5" w:rsidP="00215228">
      <w:pPr>
        <w:pStyle w:val="Heading1"/>
      </w:pPr>
      <w:r w:rsidRPr="00886F67">
        <w:t>Requirements</w:t>
      </w:r>
      <w:r w:rsidR="005907D8" w:rsidRPr="00886F67">
        <w:t xml:space="preserve"> and c</w:t>
      </w:r>
      <w:r w:rsidR="0029131F" w:rsidRPr="00886F67">
        <w:t>onditions</w:t>
      </w:r>
      <w:r w:rsidRPr="00886F67">
        <w:t xml:space="preserve"> for approved arrangement class 19.1: non-commodity for containerised cargo clearance</w:t>
      </w:r>
    </w:p>
    <w:p w14:paraId="33B80E1A" w14:textId="5CB3261D" w:rsidR="002F17E3" w:rsidRPr="002F17E3" w:rsidRDefault="008626B5" w:rsidP="00125E18">
      <w:pPr>
        <w:pStyle w:val="AuthorOrganisationAffiliation"/>
        <w:tabs>
          <w:tab w:val="left" w:pos="7995"/>
        </w:tabs>
      </w:pPr>
      <w:r>
        <w:t xml:space="preserve">Version </w:t>
      </w:r>
      <w:r w:rsidR="001F6777">
        <w:t>6</w:t>
      </w:r>
      <w:r w:rsidR="004C353B">
        <w:rPr>
          <w:noProof/>
        </w:rPr>
        <w:drawing>
          <wp:inline distT="0" distB="0" distL="0" distR="0" wp14:anchorId="313A1D62" wp14:editId="626155B5">
            <wp:extent cx="5443791" cy="5443791"/>
            <wp:effectExtent l="0" t="0" r="5080" b="5080"/>
            <wp:docPr id="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91" cy="544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5656B" w14:textId="79F5A170" w:rsidR="008626B5" w:rsidRPr="008626B5" w:rsidRDefault="008626B5" w:rsidP="00CE7A16">
      <w:pPr>
        <w:pStyle w:val="Normalsmall"/>
      </w:pPr>
      <w:bookmarkStart w:id="0" w:name="_Toc430782148"/>
      <w:r w:rsidRPr="008626B5">
        <w:lastRenderedPageBreak/>
        <w:t>© Commonwealth of Australia 20</w:t>
      </w:r>
      <w:r w:rsidR="00C941B6">
        <w:t>20</w:t>
      </w:r>
    </w:p>
    <w:p w14:paraId="14D6A34E" w14:textId="77777777" w:rsidR="004C353B" w:rsidRPr="003A7969" w:rsidRDefault="004C353B" w:rsidP="00CE7A16">
      <w:pPr>
        <w:pStyle w:val="Normalsmall"/>
        <w:rPr>
          <w:rStyle w:val="Strong"/>
        </w:rPr>
      </w:pPr>
      <w:r w:rsidRPr="003A7969">
        <w:rPr>
          <w:rStyle w:val="Strong"/>
        </w:rPr>
        <w:t>Ownership of intellectual property rights</w:t>
      </w:r>
    </w:p>
    <w:p w14:paraId="6870A910" w14:textId="02963472" w:rsidR="008626B5" w:rsidRPr="008626B5" w:rsidRDefault="008626B5" w:rsidP="00CE7A16">
      <w:pPr>
        <w:pStyle w:val="Normalsmall"/>
      </w:pPr>
      <w:r w:rsidRPr="008626B5">
        <w:t>Unless otherwise noted, copyright (and any other intellectual property rights) in this publication is owned by the Commonwealth of Australia (referred to as the Commonwealth).</w:t>
      </w:r>
    </w:p>
    <w:p w14:paraId="4512B9EE" w14:textId="77777777" w:rsidR="008626B5" w:rsidRPr="008626B5" w:rsidRDefault="008626B5" w:rsidP="00CE7A16">
      <w:pPr>
        <w:pStyle w:val="Normalsmall"/>
        <w:rPr>
          <w:rStyle w:val="Strong"/>
        </w:rPr>
      </w:pPr>
      <w:r w:rsidRPr="008626B5">
        <w:rPr>
          <w:rStyle w:val="Strong"/>
        </w:rPr>
        <w:t>Creative Commons licence</w:t>
      </w:r>
    </w:p>
    <w:p w14:paraId="7A73C79C" w14:textId="4624657D" w:rsidR="008626B5" w:rsidRPr="008626B5" w:rsidRDefault="008626B5" w:rsidP="00CE7A16">
      <w:pPr>
        <w:pStyle w:val="Normalsmall"/>
      </w:pPr>
      <w:r w:rsidRPr="008626B5">
        <w:t xml:space="preserve">All material in this publication is licensed under a </w:t>
      </w:r>
      <w:hyperlink r:id="rId12" w:history="1">
        <w:r w:rsidRPr="00125E18">
          <w:rPr>
            <w:rStyle w:val="Hyperlink"/>
          </w:rPr>
          <w:t>Creative Commons Attribution 4.0 International Licence</w:t>
        </w:r>
      </w:hyperlink>
      <w:r w:rsidRPr="008D44E3">
        <w:t xml:space="preserve"> </w:t>
      </w:r>
      <w:r w:rsidRPr="008626B5">
        <w:t>except content supplied by third parties, logos and the Commonwealth Coat of Arms.</w:t>
      </w:r>
    </w:p>
    <w:p w14:paraId="46BD97F1" w14:textId="090D0112" w:rsidR="008626B5" w:rsidRPr="008626B5" w:rsidRDefault="008626B5" w:rsidP="00CE7A16">
      <w:pPr>
        <w:pStyle w:val="Normalsmall"/>
      </w:pPr>
      <w:r w:rsidRPr="008626B5">
        <w:t xml:space="preserve">Inquiries about the licence and any use of this document should be emailed to </w:t>
      </w:r>
      <w:hyperlink r:id="rId13" w:history="1">
        <w:r w:rsidRPr="008D44E3">
          <w:rPr>
            <w:rStyle w:val="Hyperlink"/>
          </w:rPr>
          <w:t>copyright@a</w:t>
        </w:r>
        <w:r w:rsidR="004C353B" w:rsidRPr="008D44E3">
          <w:rPr>
            <w:rStyle w:val="Hyperlink"/>
          </w:rPr>
          <w:t>w</w:t>
        </w:r>
        <w:r w:rsidRPr="008D44E3">
          <w:rPr>
            <w:rStyle w:val="Hyperlink"/>
          </w:rPr>
          <w:t>e.gov.au</w:t>
        </w:r>
      </w:hyperlink>
      <w:r w:rsidRPr="008626B5">
        <w:t>.</w:t>
      </w:r>
    </w:p>
    <w:p w14:paraId="727AE485" w14:textId="0AAA1A25" w:rsidR="008626B5" w:rsidRPr="008626B5" w:rsidRDefault="008626B5" w:rsidP="00CE7A16">
      <w:pPr>
        <w:pStyle w:val="Normalsmall"/>
      </w:pPr>
      <w:r>
        <w:rPr>
          <w:noProof/>
          <w:lang w:eastAsia="en-AU"/>
        </w:rPr>
        <w:drawing>
          <wp:inline distT="0" distB="0" distL="0" distR="0" wp14:anchorId="2A3CC26C" wp14:editId="3C7D19A5">
            <wp:extent cx="725170" cy="255905"/>
            <wp:effectExtent l="0" t="0" r="0" b="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DB8B3" w14:textId="77777777" w:rsidR="008626B5" w:rsidRPr="008626B5" w:rsidRDefault="008626B5" w:rsidP="00CE7A16">
      <w:pPr>
        <w:pStyle w:val="Normalsmall"/>
        <w:rPr>
          <w:rStyle w:val="Strong"/>
        </w:rPr>
      </w:pPr>
      <w:r w:rsidRPr="008626B5">
        <w:rPr>
          <w:rStyle w:val="Strong"/>
        </w:rPr>
        <w:t>Cataloguing data</w:t>
      </w:r>
    </w:p>
    <w:p w14:paraId="10C3AAEF" w14:textId="4ABE64B2" w:rsidR="008626B5" w:rsidRDefault="00C941B6" w:rsidP="00CE7A16">
      <w:pPr>
        <w:pStyle w:val="Normalsmall"/>
      </w:pPr>
      <w:r w:rsidRPr="00C941B6">
        <w:t>This publication (and any material sourced from it) should be attributed as</w:t>
      </w:r>
      <w:r>
        <w:t xml:space="preserve">: </w:t>
      </w:r>
      <w:bookmarkStart w:id="1" w:name="OLE_LINK1"/>
      <w:r w:rsidR="008626B5" w:rsidRPr="008626B5">
        <w:rPr>
          <w:rStyle w:val="Emphasis"/>
        </w:rPr>
        <w:t xml:space="preserve">Requirements </w:t>
      </w:r>
      <w:r w:rsidR="007D3CFB">
        <w:rPr>
          <w:rStyle w:val="Emphasis"/>
        </w:rPr>
        <w:t xml:space="preserve">and conditions </w:t>
      </w:r>
      <w:r w:rsidR="008626B5" w:rsidRPr="008626B5">
        <w:rPr>
          <w:rStyle w:val="Emphasis"/>
        </w:rPr>
        <w:t>for approved arrangement class 19.1: non-commodity for containerised cargo clearance</w:t>
      </w:r>
      <w:bookmarkEnd w:id="1"/>
      <w:r w:rsidR="008626B5" w:rsidRPr="008626B5">
        <w:t>, Canberra</w:t>
      </w:r>
      <w:r w:rsidR="00797D09">
        <w:t xml:space="preserve">, </w:t>
      </w:r>
      <w:r w:rsidR="00B12817">
        <w:t>July</w:t>
      </w:r>
      <w:r w:rsidR="008626B5" w:rsidRPr="008626B5">
        <w:t xml:space="preserve">. CC BY </w:t>
      </w:r>
      <w:r w:rsidR="00016CD8">
        <w:t>5</w:t>
      </w:r>
      <w:r w:rsidR="008626B5" w:rsidRPr="008626B5">
        <w:t>.0.</w:t>
      </w:r>
    </w:p>
    <w:p w14:paraId="0529D7BC" w14:textId="0FB86D7F" w:rsidR="00016CD8" w:rsidRPr="008626B5" w:rsidRDefault="00016CD8" w:rsidP="00CE7A16">
      <w:pPr>
        <w:pStyle w:val="Normalsmall"/>
      </w:pPr>
      <w:r>
        <w:t>ISBN</w:t>
      </w:r>
      <w:r w:rsidR="00A16881">
        <w:t xml:space="preserve">: </w:t>
      </w:r>
      <w:r w:rsidR="00A16881" w:rsidRPr="00A16881">
        <w:t>978-1-76003-425-9</w:t>
      </w:r>
    </w:p>
    <w:p w14:paraId="6DDAE18F" w14:textId="75EDB2D9" w:rsidR="008626B5" w:rsidRDefault="008626B5" w:rsidP="00CE7A16">
      <w:pPr>
        <w:pStyle w:val="Normalsmall"/>
      </w:pPr>
      <w:r>
        <w:t>This publication is available at</w:t>
      </w:r>
      <w:r w:rsidR="00C23104">
        <w:t xml:space="preserve"> </w:t>
      </w:r>
      <w:hyperlink r:id="rId15" w:anchor="class-19" w:history="1">
        <w:r w:rsidR="00A95AE8" w:rsidRPr="00AB0528">
          <w:rPr>
            <w:rStyle w:val="Hyperlink"/>
          </w:rPr>
          <w:t>https://www.awe.gov.au/import/arrival/arrangements/requirements#class-19</w:t>
        </w:r>
      </w:hyperlink>
      <w:r w:rsidR="00161C21">
        <w:rPr>
          <w:rStyle w:val="Hyperlink"/>
        </w:rPr>
        <w:t xml:space="preserve"> </w:t>
      </w:r>
    </w:p>
    <w:p w14:paraId="0324AACA" w14:textId="172233A2" w:rsidR="003A7969" w:rsidRDefault="00DB018A" w:rsidP="00CE7A16">
      <w:pPr>
        <w:pStyle w:val="Normalsmall"/>
        <w:spacing w:after="0"/>
      </w:pPr>
      <w:r>
        <w:t>Department of Agriculture</w:t>
      </w:r>
      <w:r w:rsidR="00BE1B9A">
        <w:t>,</w:t>
      </w:r>
      <w:r w:rsidR="000849D0">
        <w:t xml:space="preserve"> Fisheries, and Forestry</w:t>
      </w:r>
    </w:p>
    <w:p w14:paraId="39A8FE50" w14:textId="77777777" w:rsidR="003A7969" w:rsidRDefault="008626B5" w:rsidP="00CE7A16">
      <w:pPr>
        <w:pStyle w:val="Normalsmall"/>
        <w:spacing w:after="0"/>
      </w:pPr>
      <w:r>
        <w:t>Postal address GPO Box 858 Canberra ACT 2601</w:t>
      </w:r>
    </w:p>
    <w:p w14:paraId="2D48A5F0" w14:textId="198E6BD2" w:rsidR="003A7969" w:rsidRDefault="00C23104" w:rsidP="00CE7A16">
      <w:pPr>
        <w:pStyle w:val="Normalsmall"/>
        <w:spacing w:after="0"/>
      </w:pPr>
      <w:r>
        <w:t>Telephone 1800 900 090</w:t>
      </w:r>
    </w:p>
    <w:p w14:paraId="010C0B9C" w14:textId="66B16C72" w:rsidR="008626B5" w:rsidRDefault="008626B5" w:rsidP="00CE7A16">
      <w:pPr>
        <w:pStyle w:val="Normalsmall"/>
      </w:pPr>
      <w:r>
        <w:t xml:space="preserve">Web </w:t>
      </w:r>
      <w:hyperlink r:id="rId16" w:history="1">
        <w:r>
          <w:rPr>
            <w:rStyle w:val="Hyperlink"/>
          </w:rPr>
          <w:t>a</w:t>
        </w:r>
        <w:r w:rsidR="004C353B">
          <w:rPr>
            <w:rStyle w:val="Hyperlink"/>
          </w:rPr>
          <w:t>w</w:t>
        </w:r>
        <w:r>
          <w:rPr>
            <w:rStyle w:val="Hyperlink"/>
          </w:rPr>
          <w:t>e.gov.au</w:t>
        </w:r>
      </w:hyperlink>
    </w:p>
    <w:p w14:paraId="1FC8F360" w14:textId="77777777" w:rsidR="008626B5" w:rsidRPr="008626B5" w:rsidRDefault="008626B5" w:rsidP="00CE7A16">
      <w:pPr>
        <w:pStyle w:val="Normalsmall"/>
        <w:rPr>
          <w:rStyle w:val="Strong"/>
        </w:rPr>
      </w:pPr>
      <w:r w:rsidRPr="008626B5">
        <w:rPr>
          <w:rStyle w:val="Strong"/>
        </w:rPr>
        <w:t>Disclaimer</w:t>
      </w:r>
    </w:p>
    <w:p w14:paraId="7B2D5A93" w14:textId="79735D1C" w:rsidR="008626B5" w:rsidRPr="008626B5" w:rsidRDefault="008626B5" w:rsidP="00CE7A16">
      <w:pPr>
        <w:pStyle w:val="Normalsmall"/>
      </w:pPr>
      <w:r w:rsidRPr="008626B5">
        <w:t>The Australian Government acting through the Department of Agriculture</w:t>
      </w:r>
      <w:r w:rsidR="004C353B">
        <w:t xml:space="preserve">, </w:t>
      </w:r>
      <w:r w:rsidR="000849D0">
        <w:t>Fisheries, and Forestry</w:t>
      </w:r>
      <w:r w:rsidRPr="008626B5">
        <w:t xml:space="preserve"> has exercised due care and skill in preparing and compiling the information and data in this publication. Notwithstanding, the Department of Agriculture,</w:t>
      </w:r>
      <w:r w:rsidR="004C353B">
        <w:t xml:space="preserve"> </w:t>
      </w:r>
      <w:r w:rsidR="000849D0">
        <w:t>Fisheries, and Forestry</w:t>
      </w:r>
      <w:r w:rsidR="004C353B">
        <w:t>,</w:t>
      </w:r>
      <w:r w:rsidRPr="008626B5">
        <w:t xml:space="preserve"> its employees and advisers disclaim all liability, including </w:t>
      </w:r>
      <w:r w:rsidR="003A7969">
        <w:t xml:space="preserve">liability </w:t>
      </w:r>
      <w:r w:rsidRPr="008626B5">
        <w:t>for negligence and for any loss, damage, injury, expense or cost incurred by any person as a result of accessing, using or relying on</w:t>
      </w:r>
      <w:r w:rsidR="003A7969">
        <w:t xml:space="preserve"> any of the</w:t>
      </w:r>
      <w:r w:rsidRPr="008626B5">
        <w:t xml:space="preserve"> information or data in this publication to the maximum extent permitted by law.</w:t>
      </w:r>
    </w:p>
    <w:p w14:paraId="2CC0933C" w14:textId="77777777" w:rsidR="00AD79E6" w:rsidRPr="00A17AE8" w:rsidRDefault="00AD79E6" w:rsidP="00A17AE8">
      <w:pPr>
        <w:pStyle w:val="Heading2"/>
        <w:rPr>
          <w:rStyle w:val="Strong"/>
          <w:b w:val="0"/>
          <w:bCs/>
        </w:rPr>
      </w:pPr>
      <w:bookmarkStart w:id="2" w:name="_Toc105147360"/>
      <w:bookmarkEnd w:id="0"/>
      <w:r w:rsidRPr="00A17AE8">
        <w:rPr>
          <w:rStyle w:val="Strong"/>
          <w:b w:val="0"/>
          <w:bCs/>
        </w:rPr>
        <w:lastRenderedPageBreak/>
        <w:t>Version control</w:t>
      </w:r>
      <w:bookmarkEnd w:id="2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2830"/>
        <w:gridCol w:w="3536"/>
      </w:tblGrid>
      <w:tr w:rsidR="00C656F8" w14:paraId="3361F902" w14:textId="77777777" w:rsidTr="004202A8">
        <w:trPr>
          <w:cantSplit/>
          <w:tblHeader/>
        </w:trPr>
        <w:tc>
          <w:tcPr>
            <w:tcW w:w="1418" w:type="dxa"/>
          </w:tcPr>
          <w:p w14:paraId="3D087006" w14:textId="3EC3DFE9" w:rsidR="00C656F8" w:rsidRDefault="00C656F8" w:rsidP="00C656F8">
            <w:pPr>
              <w:pStyle w:val="TableHeading"/>
            </w:pPr>
            <w:r>
              <w:t>Date</w:t>
            </w:r>
          </w:p>
        </w:tc>
        <w:tc>
          <w:tcPr>
            <w:tcW w:w="1276" w:type="dxa"/>
          </w:tcPr>
          <w:p w14:paraId="07BE7DCF" w14:textId="1EAFA73F" w:rsidR="00C656F8" w:rsidRDefault="00C656F8" w:rsidP="00C656F8">
            <w:pPr>
              <w:pStyle w:val="TableHeading"/>
            </w:pPr>
            <w:r>
              <w:t>Version</w:t>
            </w:r>
          </w:p>
        </w:tc>
        <w:tc>
          <w:tcPr>
            <w:tcW w:w="2830" w:type="dxa"/>
          </w:tcPr>
          <w:p w14:paraId="31ED29B2" w14:textId="011FF199" w:rsidR="00C656F8" w:rsidRDefault="00C656F8" w:rsidP="00C656F8">
            <w:pPr>
              <w:pStyle w:val="TableHeading"/>
            </w:pPr>
            <w:r>
              <w:t>Amendments</w:t>
            </w:r>
          </w:p>
        </w:tc>
        <w:tc>
          <w:tcPr>
            <w:tcW w:w="3536" w:type="dxa"/>
          </w:tcPr>
          <w:p w14:paraId="72654DAE" w14:textId="1C836D48" w:rsidR="00C656F8" w:rsidRDefault="00C656F8" w:rsidP="00C656F8">
            <w:pPr>
              <w:pStyle w:val="TableHeading"/>
            </w:pPr>
            <w:r>
              <w:t>Approved by</w:t>
            </w:r>
          </w:p>
        </w:tc>
      </w:tr>
      <w:tr w:rsidR="00C656F8" w14:paraId="0AD59A5F" w14:textId="77777777" w:rsidTr="00F67481">
        <w:tc>
          <w:tcPr>
            <w:tcW w:w="1418" w:type="dxa"/>
          </w:tcPr>
          <w:p w14:paraId="509A91AD" w14:textId="0E9F4555" w:rsidR="00C656F8" w:rsidRDefault="00C656F8" w:rsidP="00C656F8">
            <w:pPr>
              <w:pStyle w:val="TableText"/>
            </w:pPr>
            <w:r>
              <w:t>18/05/2016</w:t>
            </w:r>
          </w:p>
        </w:tc>
        <w:tc>
          <w:tcPr>
            <w:tcW w:w="1276" w:type="dxa"/>
          </w:tcPr>
          <w:p w14:paraId="54D36C6B" w14:textId="491626D8" w:rsidR="00C656F8" w:rsidRDefault="00C656F8" w:rsidP="00C656F8">
            <w:pPr>
              <w:pStyle w:val="TableText"/>
            </w:pPr>
            <w:r>
              <w:t>1.0</w:t>
            </w:r>
          </w:p>
        </w:tc>
        <w:tc>
          <w:tcPr>
            <w:tcW w:w="2830" w:type="dxa"/>
          </w:tcPr>
          <w:p w14:paraId="4DF32527" w14:textId="212FD147" w:rsidR="00C656F8" w:rsidRDefault="00C656F8" w:rsidP="00C656F8">
            <w:pPr>
              <w:pStyle w:val="TableText"/>
            </w:pPr>
            <w:r w:rsidRPr="00C656F8">
              <w:t xml:space="preserve">First version of document created for transition of NCCC to approved arrangements framework under the </w:t>
            </w:r>
            <w:r w:rsidRPr="007A0366">
              <w:rPr>
                <w:rStyle w:val="Emphasis"/>
              </w:rPr>
              <w:t>Biosecurity Act 2015</w:t>
            </w:r>
          </w:p>
        </w:tc>
        <w:tc>
          <w:tcPr>
            <w:tcW w:w="3536" w:type="dxa"/>
          </w:tcPr>
          <w:p w14:paraId="03E532AC" w14:textId="557CE22B" w:rsidR="00C656F8" w:rsidRDefault="00C656F8" w:rsidP="00C656F8">
            <w:pPr>
              <w:pStyle w:val="TableText"/>
            </w:pPr>
            <w:r>
              <w:t>Compliance Assessment and Management</w:t>
            </w:r>
          </w:p>
        </w:tc>
      </w:tr>
      <w:tr w:rsidR="00C656F8" w14:paraId="7D9FF3CB" w14:textId="77777777" w:rsidTr="00F67481">
        <w:tc>
          <w:tcPr>
            <w:tcW w:w="1418" w:type="dxa"/>
          </w:tcPr>
          <w:p w14:paraId="3F8FF698" w14:textId="63935311" w:rsidR="00C656F8" w:rsidRDefault="00C656F8" w:rsidP="00C656F8">
            <w:pPr>
              <w:pStyle w:val="TableText"/>
            </w:pPr>
            <w:r>
              <w:t>13/12/2016</w:t>
            </w:r>
          </w:p>
        </w:tc>
        <w:tc>
          <w:tcPr>
            <w:tcW w:w="1276" w:type="dxa"/>
          </w:tcPr>
          <w:p w14:paraId="10F3F505" w14:textId="2B58782B" w:rsidR="00C656F8" w:rsidRDefault="00C656F8" w:rsidP="00C656F8">
            <w:pPr>
              <w:pStyle w:val="TableText"/>
            </w:pPr>
            <w:r>
              <w:t>2.0</w:t>
            </w:r>
          </w:p>
        </w:tc>
        <w:tc>
          <w:tcPr>
            <w:tcW w:w="2830" w:type="dxa"/>
          </w:tcPr>
          <w:p w14:paraId="7A0B8573" w14:textId="54A0621F" w:rsidR="00C656F8" w:rsidRDefault="00C656F8" w:rsidP="00C656F8">
            <w:pPr>
              <w:pStyle w:val="TableText"/>
            </w:pPr>
            <w:r w:rsidRPr="00C656F8">
              <w:t xml:space="preserve">Updated to include new terminology for packaging material statement and packing declaration requirements as part of NCCC codes. Updated non-conformities list to align with </w:t>
            </w:r>
            <w:r w:rsidRPr="007A0366">
              <w:rPr>
                <w:rStyle w:val="Emphasis"/>
              </w:rPr>
              <w:t>Minimum Documentary and Import Declaration Requirements Policy</w:t>
            </w:r>
          </w:p>
        </w:tc>
        <w:tc>
          <w:tcPr>
            <w:tcW w:w="3536" w:type="dxa"/>
          </w:tcPr>
          <w:p w14:paraId="270B754E" w14:textId="6131011F" w:rsidR="00C656F8" w:rsidRDefault="00C656F8" w:rsidP="00C656F8">
            <w:pPr>
              <w:pStyle w:val="TableText"/>
            </w:pPr>
            <w:r>
              <w:t>Compliance Assessment and Management</w:t>
            </w:r>
          </w:p>
        </w:tc>
      </w:tr>
      <w:tr w:rsidR="00C656F8" w14:paraId="7091B905" w14:textId="77777777" w:rsidTr="00F67481">
        <w:tc>
          <w:tcPr>
            <w:tcW w:w="1418" w:type="dxa"/>
          </w:tcPr>
          <w:p w14:paraId="7C58B75E" w14:textId="528C40D8" w:rsidR="00C656F8" w:rsidRDefault="00C670C9" w:rsidP="00F10FC0">
            <w:pPr>
              <w:pStyle w:val="TableText"/>
            </w:pPr>
            <w:r>
              <w:t>27/0</w:t>
            </w:r>
            <w:r w:rsidR="00F10FC0">
              <w:t>4</w:t>
            </w:r>
            <w:r w:rsidR="00F86D51">
              <w:t>/2018</w:t>
            </w:r>
          </w:p>
        </w:tc>
        <w:tc>
          <w:tcPr>
            <w:tcW w:w="1276" w:type="dxa"/>
          </w:tcPr>
          <w:p w14:paraId="727F7E77" w14:textId="6ADD9262" w:rsidR="00C656F8" w:rsidRDefault="00C656F8" w:rsidP="00C656F8">
            <w:pPr>
              <w:pStyle w:val="TableText"/>
            </w:pPr>
            <w:r>
              <w:t>3.0</w:t>
            </w:r>
          </w:p>
        </w:tc>
        <w:tc>
          <w:tcPr>
            <w:tcW w:w="2830" w:type="dxa"/>
          </w:tcPr>
          <w:p w14:paraId="20239C09" w14:textId="767E0D1B" w:rsidR="00C656F8" w:rsidRDefault="0080586F" w:rsidP="00F10FC0">
            <w:pPr>
              <w:pStyle w:val="TableText"/>
            </w:pPr>
            <w:r>
              <w:t xml:space="preserve">Requirements updated </w:t>
            </w:r>
            <w:r w:rsidR="00F10FC0">
              <w:t xml:space="preserve">to reflect changes implemented as part of </w:t>
            </w:r>
            <w:r>
              <w:t xml:space="preserve">phase 2 </w:t>
            </w:r>
            <w:r w:rsidR="00F10FC0">
              <w:t xml:space="preserve">AEP </w:t>
            </w:r>
            <w:r w:rsidR="00595ECE">
              <w:t>reform (</w:t>
            </w:r>
            <w:r w:rsidR="00941B57">
              <w:t>23 June 2018)</w:t>
            </w:r>
            <w:r>
              <w:t>.</w:t>
            </w:r>
            <w:r w:rsidR="000965C2">
              <w:t xml:space="preserve"> </w:t>
            </w:r>
            <w:r>
              <w:t>Changes include new concern types, refined requirements and new reporting guidelines to the requirements.</w:t>
            </w:r>
          </w:p>
        </w:tc>
        <w:tc>
          <w:tcPr>
            <w:tcW w:w="3536" w:type="dxa"/>
          </w:tcPr>
          <w:p w14:paraId="1125C20A" w14:textId="57663571" w:rsidR="00C656F8" w:rsidRDefault="00F07C41" w:rsidP="00C656F8">
            <w:pPr>
              <w:pStyle w:val="TableText"/>
            </w:pPr>
            <w:r>
              <w:t>Assessment Policy and Projects</w:t>
            </w:r>
          </w:p>
        </w:tc>
      </w:tr>
      <w:tr w:rsidR="0029131F" w14:paraId="6F3B7D6D" w14:textId="77777777" w:rsidTr="00F67481">
        <w:tc>
          <w:tcPr>
            <w:tcW w:w="1418" w:type="dxa"/>
          </w:tcPr>
          <w:p w14:paraId="4EC08EBC" w14:textId="2A25F2B9" w:rsidR="0029131F" w:rsidRDefault="00153092" w:rsidP="00153092">
            <w:pPr>
              <w:pStyle w:val="TableText"/>
            </w:pPr>
            <w:r>
              <w:t>26</w:t>
            </w:r>
            <w:r w:rsidR="0037107C">
              <w:t>/</w:t>
            </w:r>
            <w:r>
              <w:t>08</w:t>
            </w:r>
            <w:r w:rsidR="0037107C">
              <w:t>/2019</w:t>
            </w:r>
          </w:p>
        </w:tc>
        <w:tc>
          <w:tcPr>
            <w:tcW w:w="1276" w:type="dxa"/>
          </w:tcPr>
          <w:p w14:paraId="4C30952B" w14:textId="58479EF4" w:rsidR="0029131F" w:rsidRDefault="0029131F" w:rsidP="00C656F8">
            <w:pPr>
              <w:pStyle w:val="TableText"/>
            </w:pPr>
            <w:r>
              <w:t>4.0</w:t>
            </w:r>
          </w:p>
        </w:tc>
        <w:tc>
          <w:tcPr>
            <w:tcW w:w="2830" w:type="dxa"/>
          </w:tcPr>
          <w:p w14:paraId="7ED76869" w14:textId="4EA9E742" w:rsidR="0029131F" w:rsidRDefault="0029131F" w:rsidP="00F10FC0">
            <w:pPr>
              <w:pStyle w:val="TableText"/>
            </w:pPr>
            <w:r>
              <w:t>Updating policy into Requirements and Conditions in accordance with legislative requirements.</w:t>
            </w:r>
          </w:p>
        </w:tc>
        <w:tc>
          <w:tcPr>
            <w:tcW w:w="3536" w:type="dxa"/>
          </w:tcPr>
          <w:p w14:paraId="28CD8386" w14:textId="663F5040" w:rsidR="0029131F" w:rsidRDefault="00206E0C" w:rsidP="00C656F8">
            <w:pPr>
              <w:pStyle w:val="TableText"/>
            </w:pPr>
            <w:r>
              <w:t>Legislative Reform and Assessment Policy</w:t>
            </w:r>
          </w:p>
        </w:tc>
      </w:tr>
      <w:tr w:rsidR="00453004" w14:paraId="1A2FF5F9" w14:textId="77777777" w:rsidTr="00D32B43">
        <w:tc>
          <w:tcPr>
            <w:tcW w:w="1418" w:type="dxa"/>
          </w:tcPr>
          <w:p w14:paraId="379A8E7E" w14:textId="3DCE711C" w:rsidR="00453004" w:rsidRDefault="003A05B4" w:rsidP="00153092">
            <w:pPr>
              <w:pStyle w:val="TableText"/>
            </w:pPr>
            <w:r w:rsidRPr="003A05B4">
              <w:t>20/05</w:t>
            </w:r>
            <w:r w:rsidR="0075592C" w:rsidRPr="003A05B4">
              <w:t>/2020</w:t>
            </w:r>
          </w:p>
        </w:tc>
        <w:tc>
          <w:tcPr>
            <w:tcW w:w="1276" w:type="dxa"/>
          </w:tcPr>
          <w:p w14:paraId="3F594998" w14:textId="1454194A" w:rsidR="00453004" w:rsidRDefault="00CE7A16" w:rsidP="00C656F8">
            <w:pPr>
              <w:pStyle w:val="TableText"/>
            </w:pPr>
            <w:r>
              <w:t>4.1</w:t>
            </w:r>
          </w:p>
        </w:tc>
        <w:tc>
          <w:tcPr>
            <w:tcW w:w="2830" w:type="dxa"/>
          </w:tcPr>
          <w:p w14:paraId="5F69338B" w14:textId="1F417D0B" w:rsidR="00453004" w:rsidRDefault="001D4FF5" w:rsidP="00F10FC0">
            <w:pPr>
              <w:pStyle w:val="TableText"/>
            </w:pPr>
            <w:r>
              <w:t>Update to</w:t>
            </w:r>
            <w:r w:rsidR="00D52F01">
              <w:t xml:space="preserve"> reflect</w:t>
            </w:r>
            <w:r>
              <w:t xml:space="preserve"> department name</w:t>
            </w:r>
            <w:r w:rsidR="00D52F01">
              <w:t xml:space="preserve"> change</w:t>
            </w:r>
            <w:r>
              <w:t>.</w:t>
            </w:r>
          </w:p>
        </w:tc>
        <w:tc>
          <w:tcPr>
            <w:tcW w:w="3536" w:type="dxa"/>
          </w:tcPr>
          <w:p w14:paraId="61EB47D7" w14:textId="2DF3D85D" w:rsidR="00453004" w:rsidRDefault="00453004" w:rsidP="00C656F8">
            <w:pPr>
              <w:pStyle w:val="TableText"/>
            </w:pPr>
            <w:r>
              <w:t>Legislative Reform and Assessment Policy</w:t>
            </w:r>
          </w:p>
        </w:tc>
      </w:tr>
      <w:tr w:rsidR="00D32B43" w14:paraId="74A56D63" w14:textId="77777777" w:rsidTr="00F67481">
        <w:tc>
          <w:tcPr>
            <w:tcW w:w="1418" w:type="dxa"/>
          </w:tcPr>
          <w:p w14:paraId="154CB34F" w14:textId="058D491D" w:rsidR="00D32B43" w:rsidRPr="003A05B4" w:rsidRDefault="00631B76" w:rsidP="00153092">
            <w:pPr>
              <w:pStyle w:val="TableText"/>
            </w:pPr>
            <w:r>
              <w:t>13</w:t>
            </w:r>
            <w:r w:rsidR="00D32B43">
              <w:t>/07/2020</w:t>
            </w:r>
          </w:p>
        </w:tc>
        <w:tc>
          <w:tcPr>
            <w:tcW w:w="1276" w:type="dxa"/>
          </w:tcPr>
          <w:p w14:paraId="3A87A45B" w14:textId="5E768D6D" w:rsidR="00D32B43" w:rsidRDefault="00D32B43" w:rsidP="00C656F8">
            <w:pPr>
              <w:pStyle w:val="TableText"/>
            </w:pPr>
            <w:r>
              <w:t>4.2</w:t>
            </w:r>
          </w:p>
        </w:tc>
        <w:tc>
          <w:tcPr>
            <w:tcW w:w="2830" w:type="dxa"/>
          </w:tcPr>
          <w:p w14:paraId="00B91BEB" w14:textId="7E2A4BBE" w:rsidR="00D32B43" w:rsidRDefault="00D32B43" w:rsidP="00631B76">
            <w:pPr>
              <w:pStyle w:val="TableText"/>
            </w:pPr>
            <w:r>
              <w:t xml:space="preserve">Minor update to </w:t>
            </w:r>
            <w:r w:rsidR="00631B76">
              <w:t>wording and to improve understanding of conditions.</w:t>
            </w:r>
          </w:p>
        </w:tc>
        <w:tc>
          <w:tcPr>
            <w:tcW w:w="3536" w:type="dxa"/>
          </w:tcPr>
          <w:p w14:paraId="5870A637" w14:textId="50564426" w:rsidR="00D32B43" w:rsidRDefault="00D32B43" w:rsidP="00C656F8">
            <w:pPr>
              <w:pStyle w:val="TableText"/>
            </w:pPr>
            <w:r>
              <w:t>Legislative Reform and Assessment Policy</w:t>
            </w:r>
          </w:p>
        </w:tc>
      </w:tr>
      <w:tr w:rsidR="00314712" w14:paraId="5BE02783" w14:textId="77777777" w:rsidTr="00F67481">
        <w:tc>
          <w:tcPr>
            <w:tcW w:w="1418" w:type="dxa"/>
          </w:tcPr>
          <w:p w14:paraId="18A91C52" w14:textId="4FC275CE" w:rsidR="00314712" w:rsidRDefault="00B361B0" w:rsidP="00153092">
            <w:pPr>
              <w:pStyle w:val="TableText"/>
            </w:pPr>
            <w:r>
              <w:t>12</w:t>
            </w:r>
            <w:r w:rsidR="00314712">
              <w:t>/</w:t>
            </w:r>
            <w:r w:rsidR="003D2C18">
              <w:t>0</w:t>
            </w:r>
            <w:r w:rsidR="00122DE7">
              <w:t>7</w:t>
            </w:r>
            <w:r w:rsidR="00314712">
              <w:t>/2021</w:t>
            </w:r>
          </w:p>
        </w:tc>
        <w:tc>
          <w:tcPr>
            <w:tcW w:w="1276" w:type="dxa"/>
          </w:tcPr>
          <w:p w14:paraId="2AB02E49" w14:textId="1662DCF9" w:rsidR="00314712" w:rsidRDefault="00F169A8" w:rsidP="00C656F8">
            <w:pPr>
              <w:pStyle w:val="TableText"/>
            </w:pPr>
            <w:r>
              <w:t>5.0</w:t>
            </w:r>
          </w:p>
        </w:tc>
        <w:tc>
          <w:tcPr>
            <w:tcW w:w="2830" w:type="dxa"/>
          </w:tcPr>
          <w:p w14:paraId="43EC7EB6" w14:textId="5E662DBC" w:rsidR="00314712" w:rsidRDefault="00C926AA" w:rsidP="00631B76">
            <w:pPr>
              <w:pStyle w:val="TableText"/>
            </w:pPr>
            <w:r>
              <w:t>Inclusion</w:t>
            </w:r>
            <w:r w:rsidR="00314712">
              <w:t xml:space="preserve"> of </w:t>
            </w:r>
            <w:r w:rsidR="00054C4E">
              <w:t>k</w:t>
            </w:r>
            <w:r w:rsidR="00314712">
              <w:t xml:space="preserve">hapra beetle requirements </w:t>
            </w:r>
            <w:r w:rsidR="005B6812">
              <w:t>for containers</w:t>
            </w:r>
            <w:r w:rsidR="00E83E2C">
              <w:t>.</w:t>
            </w:r>
          </w:p>
        </w:tc>
        <w:tc>
          <w:tcPr>
            <w:tcW w:w="3536" w:type="dxa"/>
          </w:tcPr>
          <w:p w14:paraId="62C5DDF0" w14:textId="2367F09D" w:rsidR="00314712" w:rsidRDefault="00314712" w:rsidP="00C656F8">
            <w:pPr>
              <w:pStyle w:val="TableText"/>
            </w:pPr>
            <w:r>
              <w:t>Assessment Policy</w:t>
            </w:r>
          </w:p>
        </w:tc>
      </w:tr>
      <w:tr w:rsidR="00227570" w14:paraId="0532958C" w14:textId="77777777" w:rsidTr="00F67481">
        <w:tc>
          <w:tcPr>
            <w:tcW w:w="1418" w:type="dxa"/>
          </w:tcPr>
          <w:p w14:paraId="148AB5E0" w14:textId="584DD250" w:rsidR="00227570" w:rsidRDefault="00113F79" w:rsidP="00153092">
            <w:pPr>
              <w:pStyle w:val="TableText"/>
            </w:pPr>
            <w:bookmarkStart w:id="3" w:name="_Hlk89173053"/>
            <w:r>
              <w:t>29/10</w:t>
            </w:r>
            <w:r w:rsidR="00792F4D">
              <w:t>/2021</w:t>
            </w:r>
          </w:p>
        </w:tc>
        <w:tc>
          <w:tcPr>
            <w:tcW w:w="1276" w:type="dxa"/>
          </w:tcPr>
          <w:p w14:paraId="28701656" w14:textId="2EE82CB8" w:rsidR="00227570" w:rsidRDefault="00227570" w:rsidP="00C656F8">
            <w:pPr>
              <w:pStyle w:val="TableText"/>
            </w:pPr>
            <w:r>
              <w:t>5.1</w:t>
            </w:r>
          </w:p>
        </w:tc>
        <w:tc>
          <w:tcPr>
            <w:tcW w:w="2830" w:type="dxa"/>
          </w:tcPr>
          <w:p w14:paraId="15AB78D7" w14:textId="2D1D270C" w:rsidR="00113F79" w:rsidRDefault="00227570" w:rsidP="00631B76">
            <w:pPr>
              <w:pStyle w:val="TableText"/>
            </w:pPr>
            <w:r>
              <w:t>Update to reflect class 19 terminology</w:t>
            </w:r>
            <w:r w:rsidR="00113F79">
              <w:t>.</w:t>
            </w:r>
          </w:p>
          <w:p w14:paraId="7D7924BE" w14:textId="77777777" w:rsidR="00227570" w:rsidRDefault="00113F79" w:rsidP="00631B76">
            <w:pPr>
              <w:pStyle w:val="TableText"/>
            </w:pPr>
            <w:r>
              <w:t>Update</w:t>
            </w:r>
            <w:r w:rsidR="00227570">
              <w:t xml:space="preserve"> contact information.</w:t>
            </w:r>
          </w:p>
          <w:p w14:paraId="6F15B16A" w14:textId="2D6F97BE" w:rsidR="00113F79" w:rsidRDefault="00113F79" w:rsidP="00631B76">
            <w:pPr>
              <w:pStyle w:val="TableText"/>
            </w:pPr>
            <w:r>
              <w:t>Update web links.</w:t>
            </w:r>
          </w:p>
        </w:tc>
        <w:tc>
          <w:tcPr>
            <w:tcW w:w="3536" w:type="dxa"/>
          </w:tcPr>
          <w:p w14:paraId="2E4416FC" w14:textId="4117540A" w:rsidR="00227570" w:rsidRDefault="00227570" w:rsidP="00C656F8">
            <w:pPr>
              <w:pStyle w:val="TableText"/>
            </w:pPr>
            <w:r>
              <w:t>Assessment Policy</w:t>
            </w:r>
          </w:p>
        </w:tc>
      </w:tr>
      <w:bookmarkEnd w:id="3"/>
      <w:tr w:rsidR="00A507E6" w14:paraId="3705C79C" w14:textId="77777777" w:rsidTr="0099585A">
        <w:tc>
          <w:tcPr>
            <w:tcW w:w="1418" w:type="dxa"/>
            <w:tcBorders>
              <w:bottom w:val="nil"/>
            </w:tcBorders>
          </w:tcPr>
          <w:p w14:paraId="3B50E7D7" w14:textId="77777777" w:rsidR="00A507E6" w:rsidRDefault="00A507E6" w:rsidP="00153092">
            <w:pPr>
              <w:pStyle w:val="TableText"/>
            </w:pPr>
          </w:p>
        </w:tc>
        <w:tc>
          <w:tcPr>
            <w:tcW w:w="1276" w:type="dxa"/>
            <w:tcBorders>
              <w:bottom w:val="nil"/>
            </w:tcBorders>
          </w:tcPr>
          <w:p w14:paraId="29DAE977" w14:textId="77777777" w:rsidR="00A507E6" w:rsidRDefault="00A507E6" w:rsidP="00C656F8">
            <w:pPr>
              <w:pStyle w:val="TableText"/>
            </w:pPr>
          </w:p>
        </w:tc>
        <w:tc>
          <w:tcPr>
            <w:tcW w:w="2830" w:type="dxa"/>
            <w:tcBorders>
              <w:bottom w:val="nil"/>
            </w:tcBorders>
          </w:tcPr>
          <w:p w14:paraId="4E3B4336" w14:textId="77777777" w:rsidR="00A507E6" w:rsidRDefault="00A507E6" w:rsidP="00631B76">
            <w:pPr>
              <w:pStyle w:val="TableText"/>
            </w:pPr>
          </w:p>
        </w:tc>
        <w:tc>
          <w:tcPr>
            <w:tcW w:w="3536" w:type="dxa"/>
            <w:tcBorders>
              <w:bottom w:val="nil"/>
            </w:tcBorders>
          </w:tcPr>
          <w:p w14:paraId="528E454F" w14:textId="77777777" w:rsidR="00A507E6" w:rsidRDefault="00A507E6" w:rsidP="00C656F8">
            <w:pPr>
              <w:pStyle w:val="TableText"/>
            </w:pPr>
          </w:p>
        </w:tc>
      </w:tr>
      <w:tr w:rsidR="00A507E6" w14:paraId="38A8EB7E" w14:textId="77777777" w:rsidTr="0099585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16AC1E" w14:textId="450B8654" w:rsidR="00A507E6" w:rsidRDefault="00DA319E" w:rsidP="00E55CEE">
            <w:pPr>
              <w:pStyle w:val="TableText"/>
            </w:pPr>
            <w:r>
              <w:t>16</w:t>
            </w:r>
            <w:r w:rsidR="00A507E6">
              <w:t>/</w:t>
            </w:r>
            <w:r>
              <w:t>12</w:t>
            </w:r>
            <w:r w:rsidR="00A507E6">
              <w:t>/2021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D5CDEC" w14:textId="3E56C0DF" w:rsidR="00A507E6" w:rsidRDefault="00A507E6" w:rsidP="00E55CEE">
            <w:pPr>
              <w:pStyle w:val="TableText"/>
            </w:pPr>
            <w:r>
              <w:t>5.2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43488D8" w14:textId="39361F3F" w:rsidR="00A507E6" w:rsidRDefault="00A507E6" w:rsidP="00A507E6">
            <w:pPr>
              <w:pStyle w:val="TableText"/>
            </w:pPr>
            <w:r>
              <w:t xml:space="preserve">Update to reflect terminology from ‘grain growing area’ to </w:t>
            </w:r>
            <w:r w:rsidR="00701830">
              <w:t>‘r</w:t>
            </w:r>
            <w:r>
              <w:t xml:space="preserve">ural </w:t>
            </w:r>
            <w:r w:rsidR="00701830">
              <w:t>k</w:t>
            </w:r>
            <w:r>
              <w:t xml:space="preserve">hapra </w:t>
            </w:r>
            <w:r w:rsidR="00701830">
              <w:t>r</w:t>
            </w:r>
            <w:r>
              <w:t>isk</w:t>
            </w:r>
            <w:r w:rsidR="007F2F89">
              <w:t xml:space="preserve"> postcode</w:t>
            </w:r>
            <w:r>
              <w:t>’.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6E72796B" w14:textId="77777777" w:rsidR="00A507E6" w:rsidRDefault="00A507E6" w:rsidP="00E55CEE">
            <w:pPr>
              <w:pStyle w:val="TableText"/>
            </w:pPr>
            <w:r>
              <w:t>Assessment Policy</w:t>
            </w:r>
          </w:p>
        </w:tc>
      </w:tr>
      <w:tr w:rsidR="001F6777" w14:paraId="6E59FDDE" w14:textId="77777777" w:rsidTr="0099585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C5BF6E" w14:textId="66AD4A56" w:rsidR="001F6777" w:rsidRDefault="001F6777" w:rsidP="00E55CEE">
            <w:pPr>
              <w:pStyle w:val="TableText"/>
            </w:pPr>
            <w:r>
              <w:t>TBD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4D94AF" w14:textId="0D6D2935" w:rsidR="001F6777" w:rsidRDefault="001F6777" w:rsidP="00E55CEE">
            <w:pPr>
              <w:pStyle w:val="TableText"/>
            </w:pPr>
            <w:r>
              <w:t>6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A4DE07B" w14:textId="1BFD035C" w:rsidR="001F6777" w:rsidRDefault="00C03B04" w:rsidP="00A507E6">
            <w:pPr>
              <w:pStyle w:val="TableText"/>
            </w:pPr>
            <w:r>
              <w:t>Update to reflect department name change</w:t>
            </w:r>
            <w:r>
              <w:t xml:space="preserve"> and i</w:t>
            </w:r>
            <w:r w:rsidR="00D51D71">
              <w:t>nclusion of</w:t>
            </w:r>
            <w:r w:rsidR="007241EB">
              <w:t xml:space="preserve"> new</w:t>
            </w:r>
            <w:r w:rsidR="00D51D71">
              <w:t xml:space="preserve"> rural tailgate concern types</w:t>
            </w:r>
            <w:r w:rsidR="007241EB">
              <w:t xml:space="preserve"> RUAA and REAA</w:t>
            </w:r>
            <w:r w:rsidR="00D51D71">
              <w:t>.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08A99F89" w14:textId="3ACCA8E9" w:rsidR="001F6777" w:rsidRDefault="001F6777" w:rsidP="00E55CEE">
            <w:pPr>
              <w:pStyle w:val="TableText"/>
            </w:pPr>
            <w:r>
              <w:t>Assessment Policy</w:t>
            </w:r>
          </w:p>
        </w:tc>
      </w:tr>
    </w:tbl>
    <w:p w14:paraId="33B80E37" w14:textId="77777777" w:rsidR="003F7F49" w:rsidRDefault="003F7F49">
      <w:pPr>
        <w:spacing w:after="0" w:line="240" w:lineRule="auto"/>
      </w:pPr>
      <w:r>
        <w:br w:type="page"/>
      </w:r>
    </w:p>
    <w:sdt>
      <w:sdtPr>
        <w:rPr>
          <w:rFonts w:ascii="Cambria" w:eastAsiaTheme="minorHAnsi" w:hAnsi="Cambria" w:cs="Segoe UI"/>
          <w:bCs w:val="0"/>
          <w:color w:val="auto"/>
          <w:sz w:val="22"/>
          <w:szCs w:val="22"/>
          <w:lang w:eastAsia="en-US"/>
        </w:rPr>
        <w:id w:val="-760297017"/>
        <w:docPartObj>
          <w:docPartGallery w:val="Table of Contents"/>
          <w:docPartUnique/>
        </w:docPartObj>
      </w:sdtPr>
      <w:sdtEndPr>
        <w:rPr>
          <w:rFonts w:eastAsia="Cambria"/>
          <w:b/>
          <w:noProof/>
          <w:lang w:eastAsia="en-AU"/>
        </w:rPr>
      </w:sdtEndPr>
      <w:sdtContent>
        <w:p w14:paraId="33B80E38" w14:textId="5894A136" w:rsidR="00A50834" w:rsidRDefault="00A50834" w:rsidP="00147A7D">
          <w:pPr>
            <w:pStyle w:val="TOCHeading"/>
          </w:pPr>
          <w:r w:rsidRPr="00147A7D">
            <w:t>Contents</w:t>
          </w:r>
        </w:p>
        <w:p w14:paraId="3E962C13" w14:textId="675A20FF" w:rsidR="000B719A" w:rsidRDefault="002A3865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\h \z \u \t "Heading 2,1,Heading 3,2,Style1,2,TOA Heading,1" </w:instrText>
          </w:r>
          <w:r>
            <w:rPr>
              <w:b w:val="0"/>
            </w:rPr>
            <w:fldChar w:fldCharType="separate"/>
          </w:r>
          <w:hyperlink w:anchor="_Toc105147360" w:history="1">
            <w:r w:rsidR="000B719A" w:rsidRPr="00253A36">
              <w:rPr>
                <w:rStyle w:val="Hyperlink"/>
              </w:rPr>
              <w:t>Version control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_Toc105147360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3</w:t>
            </w:r>
            <w:r w:rsidR="000B719A">
              <w:rPr>
                <w:webHidden/>
              </w:rPr>
              <w:fldChar w:fldCharType="end"/>
            </w:r>
          </w:hyperlink>
        </w:p>
        <w:p w14:paraId="2225AC7F" w14:textId="1CC6D345" w:rsidR="000B719A" w:rsidRDefault="00C03B04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05147361" w:history="1">
            <w:r w:rsidR="000B719A" w:rsidRPr="00253A36">
              <w:rPr>
                <w:rStyle w:val="Hyperlink"/>
              </w:rPr>
              <w:t>About this document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_Toc105147361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5</w:t>
            </w:r>
            <w:r w:rsidR="000B719A">
              <w:rPr>
                <w:webHidden/>
              </w:rPr>
              <w:fldChar w:fldCharType="end"/>
            </w:r>
          </w:hyperlink>
        </w:p>
        <w:p w14:paraId="1A574494" w14:textId="1E363AE3" w:rsidR="000B719A" w:rsidRDefault="00C03B04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05147362" w:history="1">
            <w:r w:rsidR="000B719A" w:rsidRPr="00253A36">
              <w:rPr>
                <w:rStyle w:val="Hyperlink"/>
              </w:rPr>
              <w:t>Declaration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_Toc105147362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5</w:t>
            </w:r>
            <w:r w:rsidR="000B719A">
              <w:rPr>
                <w:webHidden/>
              </w:rPr>
              <w:fldChar w:fldCharType="end"/>
            </w:r>
          </w:hyperlink>
        </w:p>
        <w:p w14:paraId="20EE9D56" w14:textId="3304FC4D" w:rsidR="000B719A" w:rsidRDefault="00C03B04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05147363" w:history="1">
            <w:r w:rsidR="000B719A" w:rsidRPr="00253A36">
              <w:rPr>
                <w:rStyle w:val="Hyperlink"/>
              </w:rPr>
              <w:t>Definitions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_Toc105147363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5</w:t>
            </w:r>
            <w:r w:rsidR="000B719A">
              <w:rPr>
                <w:webHidden/>
              </w:rPr>
              <w:fldChar w:fldCharType="end"/>
            </w:r>
          </w:hyperlink>
        </w:p>
        <w:p w14:paraId="7D16AF3A" w14:textId="19F3BF89" w:rsidR="000B719A" w:rsidRDefault="00C03B04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05147364" w:history="1">
            <w:r w:rsidR="000B719A" w:rsidRPr="00253A36">
              <w:rPr>
                <w:rStyle w:val="Hyperlink"/>
              </w:rPr>
              <w:t>Supporting documents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_Toc105147364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5</w:t>
            </w:r>
            <w:r w:rsidR="000B719A">
              <w:rPr>
                <w:webHidden/>
              </w:rPr>
              <w:fldChar w:fldCharType="end"/>
            </w:r>
          </w:hyperlink>
        </w:p>
        <w:p w14:paraId="6A4D2CBE" w14:textId="751A474D" w:rsidR="000B719A" w:rsidRDefault="00C03B04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05147365" w:history="1">
            <w:r w:rsidR="000B719A" w:rsidRPr="00253A36">
              <w:rPr>
                <w:rStyle w:val="Hyperlink"/>
              </w:rPr>
              <w:t>Monitoring of compliance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_Toc105147365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5</w:t>
            </w:r>
            <w:r w:rsidR="000B719A">
              <w:rPr>
                <w:webHidden/>
              </w:rPr>
              <w:fldChar w:fldCharType="end"/>
            </w:r>
          </w:hyperlink>
        </w:p>
        <w:p w14:paraId="2DBA6BC9" w14:textId="7C81C543" w:rsidR="000B719A" w:rsidRDefault="00C03B04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05147366" w:history="1">
            <w:r w:rsidR="000B719A" w:rsidRPr="00253A36">
              <w:rPr>
                <w:rStyle w:val="Hyperlink"/>
              </w:rPr>
              <w:t>Operating a Class 19.1 approved arrangement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_Toc105147366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6</w:t>
            </w:r>
            <w:r w:rsidR="000B719A">
              <w:rPr>
                <w:webHidden/>
              </w:rPr>
              <w:fldChar w:fldCharType="end"/>
            </w:r>
          </w:hyperlink>
        </w:p>
        <w:p w14:paraId="63C5D409" w14:textId="3D5DC848" w:rsidR="000B719A" w:rsidRDefault="00C03B04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05147367" w:history="1">
            <w:r w:rsidR="000B719A" w:rsidRPr="00253A36">
              <w:rPr>
                <w:rStyle w:val="Hyperlink"/>
                <w:lang w:eastAsia="ja-JP"/>
              </w:rPr>
              <w:t>Purpose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_Toc105147367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6</w:t>
            </w:r>
            <w:r w:rsidR="000B719A">
              <w:rPr>
                <w:webHidden/>
              </w:rPr>
              <w:fldChar w:fldCharType="end"/>
            </w:r>
          </w:hyperlink>
        </w:p>
        <w:p w14:paraId="37644B31" w14:textId="68D327B9" w:rsidR="000B719A" w:rsidRDefault="00C03B04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05147368" w:history="1">
            <w:r w:rsidR="000B719A" w:rsidRPr="00253A36">
              <w:rPr>
                <w:rStyle w:val="Hyperlink"/>
              </w:rPr>
              <w:t>Scope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_Toc105147368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6</w:t>
            </w:r>
            <w:r w:rsidR="000B719A">
              <w:rPr>
                <w:webHidden/>
              </w:rPr>
              <w:fldChar w:fldCharType="end"/>
            </w:r>
          </w:hyperlink>
        </w:p>
        <w:p w14:paraId="1DA55C30" w14:textId="67D7D690" w:rsidR="000B719A" w:rsidRDefault="00C03B04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05147369" w:history="1">
            <w:r w:rsidR="000B719A" w:rsidRPr="00253A36">
              <w:rPr>
                <w:rStyle w:val="Hyperlink"/>
              </w:rPr>
              <w:t>Requirements to hold a Class 19.1 approved arrangement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_Toc105147369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6</w:t>
            </w:r>
            <w:r w:rsidR="000B719A">
              <w:rPr>
                <w:webHidden/>
              </w:rPr>
              <w:fldChar w:fldCharType="end"/>
            </w:r>
          </w:hyperlink>
        </w:p>
        <w:p w14:paraId="6BCE588E" w14:textId="3E5F0889" w:rsidR="000B719A" w:rsidRDefault="00C03B04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05147370" w:history="1">
            <w:r w:rsidR="000B719A" w:rsidRPr="00253A36">
              <w:rPr>
                <w:rStyle w:val="Hyperlink"/>
              </w:rPr>
              <w:t>Conditions for operating a Class 19.1 approved arrangement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_Toc105147370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7</w:t>
            </w:r>
            <w:r w:rsidR="000B719A">
              <w:rPr>
                <w:webHidden/>
              </w:rPr>
              <w:fldChar w:fldCharType="end"/>
            </w:r>
          </w:hyperlink>
        </w:p>
        <w:p w14:paraId="6628257D" w14:textId="6498808E" w:rsidR="000B719A" w:rsidRDefault="00C03B04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05147371" w:history="1">
            <w:r w:rsidR="000B719A" w:rsidRPr="00253A36">
              <w:rPr>
                <w:rStyle w:val="Hyperlink"/>
              </w:rPr>
              <w:t>Appendix 1: Reporting guide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_Toc105147371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11</w:t>
            </w:r>
            <w:r w:rsidR="000B719A">
              <w:rPr>
                <w:webHidden/>
              </w:rPr>
              <w:fldChar w:fldCharType="end"/>
            </w:r>
          </w:hyperlink>
        </w:p>
        <w:p w14:paraId="2D330773" w14:textId="4DB571D0" w:rsidR="000B719A" w:rsidRDefault="00C03B04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05147372" w:history="1">
            <w:r w:rsidR="000B719A" w:rsidRPr="00253A36">
              <w:rPr>
                <w:rStyle w:val="Hyperlink"/>
              </w:rPr>
              <w:t>Non-commodity concern statements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_Toc105147372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11</w:t>
            </w:r>
            <w:r w:rsidR="000B719A">
              <w:rPr>
                <w:webHidden/>
              </w:rPr>
              <w:fldChar w:fldCharType="end"/>
            </w:r>
          </w:hyperlink>
        </w:p>
        <w:p w14:paraId="19B194DB" w14:textId="3A509E64" w:rsidR="000B719A" w:rsidRDefault="00C03B04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05147373" w:history="1">
            <w:r w:rsidR="000B719A" w:rsidRPr="00253A36">
              <w:rPr>
                <w:rStyle w:val="Hyperlink"/>
              </w:rPr>
              <w:t>Unpack destination postcodes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_Toc105147373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11</w:t>
            </w:r>
            <w:r w:rsidR="000B719A">
              <w:rPr>
                <w:webHidden/>
              </w:rPr>
              <w:fldChar w:fldCharType="end"/>
            </w:r>
          </w:hyperlink>
        </w:p>
        <w:p w14:paraId="4CA85360" w14:textId="427DDF33" w:rsidR="000B719A" w:rsidRDefault="00C03B04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05147374" w:history="1">
            <w:r w:rsidR="000B719A" w:rsidRPr="00253A36">
              <w:rPr>
                <w:rStyle w:val="Hyperlink"/>
              </w:rPr>
              <w:t>Non-commodity general declaration questions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_Toc105147374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11</w:t>
            </w:r>
            <w:r w:rsidR="000B719A">
              <w:rPr>
                <w:webHidden/>
              </w:rPr>
              <w:fldChar w:fldCharType="end"/>
            </w:r>
          </w:hyperlink>
        </w:p>
        <w:p w14:paraId="70935E17" w14:textId="4C632C26" w:rsidR="000B719A" w:rsidRDefault="00C03B04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05147375" w:history="1">
            <w:r w:rsidR="000B719A" w:rsidRPr="00253A36">
              <w:rPr>
                <w:rStyle w:val="Hyperlink"/>
              </w:rPr>
              <w:t>Non-commodity biosecurity concerns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_Toc105147375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13</w:t>
            </w:r>
            <w:r w:rsidR="000B719A">
              <w:rPr>
                <w:webHidden/>
              </w:rPr>
              <w:fldChar w:fldCharType="end"/>
            </w:r>
          </w:hyperlink>
        </w:p>
        <w:p w14:paraId="608D9EDA" w14:textId="2B3177E1" w:rsidR="000B719A" w:rsidRDefault="00C03B04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05147376" w:history="1">
            <w:r w:rsidR="000B719A" w:rsidRPr="00253A36">
              <w:rPr>
                <w:rStyle w:val="Hyperlink"/>
                <w:lang w:val="en"/>
              </w:rPr>
              <w:t>Exemptions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_Toc105147376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11</w:t>
            </w:r>
            <w:r w:rsidR="000B719A">
              <w:rPr>
                <w:webHidden/>
              </w:rPr>
              <w:fldChar w:fldCharType="end"/>
            </w:r>
          </w:hyperlink>
        </w:p>
        <w:p w14:paraId="3413ECD5" w14:textId="4CECD214" w:rsidR="000B719A" w:rsidRDefault="00C03B04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05147377" w:history="1">
            <w:r w:rsidR="000B719A" w:rsidRPr="00253A36">
              <w:rPr>
                <w:rStyle w:val="Hyperlink"/>
              </w:rPr>
              <w:t>Self-declaring consignments for department intervention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_Toc105147377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11</w:t>
            </w:r>
            <w:r w:rsidR="000B719A">
              <w:rPr>
                <w:webHidden/>
              </w:rPr>
              <w:fldChar w:fldCharType="end"/>
            </w:r>
          </w:hyperlink>
        </w:p>
        <w:p w14:paraId="7B7186D6" w14:textId="5B4AB455" w:rsidR="000B719A" w:rsidRDefault="00C03B04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05147378" w:history="1">
            <w:r w:rsidR="000B719A" w:rsidRPr="00253A36">
              <w:rPr>
                <w:rStyle w:val="Hyperlink"/>
              </w:rPr>
              <w:t>Rural tailgate concerns</w:t>
            </w:r>
            <w:r w:rsidR="000B719A">
              <w:rPr>
                <w:webHidden/>
              </w:rPr>
              <w:tab/>
            </w:r>
            <w:r w:rsidR="000B719A">
              <w:rPr>
                <w:webHidden/>
              </w:rPr>
              <w:fldChar w:fldCharType="begin"/>
            </w:r>
            <w:r w:rsidR="000B719A">
              <w:rPr>
                <w:webHidden/>
              </w:rPr>
              <w:instrText xml:space="preserve"> PAGEREF _Toc105147378 \h </w:instrText>
            </w:r>
            <w:r w:rsidR="000B719A">
              <w:rPr>
                <w:webHidden/>
              </w:rPr>
            </w:r>
            <w:r w:rsidR="000B719A">
              <w:rPr>
                <w:webHidden/>
              </w:rPr>
              <w:fldChar w:fldCharType="separate"/>
            </w:r>
            <w:r w:rsidR="000B719A">
              <w:rPr>
                <w:webHidden/>
              </w:rPr>
              <w:t>11</w:t>
            </w:r>
            <w:r w:rsidR="000B719A">
              <w:rPr>
                <w:webHidden/>
              </w:rPr>
              <w:fldChar w:fldCharType="end"/>
            </w:r>
          </w:hyperlink>
        </w:p>
        <w:p w14:paraId="33B80E48" w14:textId="4D4EA951" w:rsidR="00A50834" w:rsidRDefault="002A3865">
          <w:r>
            <w:rPr>
              <w:b/>
              <w:noProof/>
            </w:rPr>
            <w:fldChar w:fldCharType="end"/>
          </w:r>
        </w:p>
      </w:sdtContent>
    </w:sdt>
    <w:p w14:paraId="33B80E49" w14:textId="215D50A6" w:rsidR="00A50834" w:rsidRPr="00A50834" w:rsidRDefault="00A50834" w:rsidP="00FE3A17">
      <w:pPr>
        <w:pStyle w:val="TOCHeading2"/>
        <w:rPr>
          <w:rStyle w:val="Strong"/>
          <w:rFonts w:ascii="Cambria" w:eastAsia="Cambria" w:hAnsi="Cambria" w:cs="Segoe UI"/>
          <w:b w:val="0"/>
          <w:color w:val="000000"/>
          <w:sz w:val="22"/>
          <w:szCs w:val="28"/>
          <w:lang w:eastAsia="en-AU"/>
        </w:rPr>
      </w:pPr>
      <w:r w:rsidRPr="00FE3A17">
        <w:t>Tables</w:t>
      </w:r>
    </w:p>
    <w:p w14:paraId="195040A2" w14:textId="5B7092E5" w:rsidR="00D51D71" w:rsidRDefault="00A40B9B">
      <w:pPr>
        <w:pStyle w:val="TableofFigures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</w:rPr>
      </w:pPr>
      <w:r w:rsidRPr="0042237A">
        <w:rPr>
          <w:b w:val="0"/>
        </w:rPr>
        <w:fldChar w:fldCharType="begin"/>
      </w:r>
      <w:r w:rsidRPr="0042237A">
        <w:rPr>
          <w:b w:val="0"/>
        </w:rPr>
        <w:instrText xml:space="preserve"> TOC \h \z \c "Table" </w:instrText>
      </w:r>
      <w:r w:rsidRPr="0042237A">
        <w:rPr>
          <w:b w:val="0"/>
        </w:rPr>
        <w:fldChar w:fldCharType="separate"/>
      </w:r>
      <w:hyperlink w:anchor="_Toc103586616" w:history="1">
        <w:r w:rsidR="00D51D71" w:rsidRPr="001D0693">
          <w:rPr>
            <w:rStyle w:val="Hyperlink"/>
            <w:noProof/>
          </w:rPr>
          <w:t>Table 1 Concern types</w:t>
        </w:r>
        <w:r w:rsidR="00D51D71">
          <w:rPr>
            <w:noProof/>
            <w:webHidden/>
          </w:rPr>
          <w:tab/>
        </w:r>
        <w:r w:rsidR="00D51D71">
          <w:rPr>
            <w:noProof/>
            <w:webHidden/>
          </w:rPr>
          <w:fldChar w:fldCharType="begin"/>
        </w:r>
        <w:r w:rsidR="00D51D71">
          <w:rPr>
            <w:noProof/>
            <w:webHidden/>
          </w:rPr>
          <w:instrText xml:space="preserve"> PAGEREF _Toc103586616 \h </w:instrText>
        </w:r>
        <w:r w:rsidR="00D51D71">
          <w:rPr>
            <w:noProof/>
            <w:webHidden/>
          </w:rPr>
        </w:r>
        <w:r w:rsidR="00D51D71">
          <w:rPr>
            <w:noProof/>
            <w:webHidden/>
          </w:rPr>
          <w:fldChar w:fldCharType="separate"/>
        </w:r>
        <w:r w:rsidR="00D51D71">
          <w:rPr>
            <w:noProof/>
            <w:webHidden/>
          </w:rPr>
          <w:t>8</w:t>
        </w:r>
        <w:r w:rsidR="00D51D71">
          <w:rPr>
            <w:noProof/>
            <w:webHidden/>
          </w:rPr>
          <w:fldChar w:fldCharType="end"/>
        </w:r>
      </w:hyperlink>
    </w:p>
    <w:p w14:paraId="36CC3A2E" w14:textId="7AB82877" w:rsidR="00D51D71" w:rsidRDefault="00C03B04">
      <w:pPr>
        <w:pStyle w:val="TableofFigures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</w:rPr>
      </w:pPr>
      <w:hyperlink w:anchor="_Toc103586617" w:history="1">
        <w:r w:rsidR="00D51D71" w:rsidRPr="001D0693">
          <w:rPr>
            <w:rStyle w:val="Hyperlink"/>
            <w:noProof/>
          </w:rPr>
          <w:t>Table 2 Concern type hierarchy</w:t>
        </w:r>
        <w:r w:rsidR="00D51D71">
          <w:rPr>
            <w:noProof/>
            <w:webHidden/>
          </w:rPr>
          <w:tab/>
        </w:r>
        <w:r w:rsidR="00D51D71">
          <w:rPr>
            <w:noProof/>
            <w:webHidden/>
          </w:rPr>
          <w:fldChar w:fldCharType="begin"/>
        </w:r>
        <w:r w:rsidR="00D51D71">
          <w:rPr>
            <w:noProof/>
            <w:webHidden/>
          </w:rPr>
          <w:instrText xml:space="preserve"> PAGEREF _Toc103586617 \h </w:instrText>
        </w:r>
        <w:r w:rsidR="00D51D71">
          <w:rPr>
            <w:noProof/>
            <w:webHidden/>
          </w:rPr>
        </w:r>
        <w:r w:rsidR="00D51D71">
          <w:rPr>
            <w:noProof/>
            <w:webHidden/>
          </w:rPr>
          <w:fldChar w:fldCharType="separate"/>
        </w:r>
        <w:r w:rsidR="00D51D71">
          <w:rPr>
            <w:noProof/>
            <w:webHidden/>
          </w:rPr>
          <w:t>9</w:t>
        </w:r>
        <w:r w:rsidR="00D51D71">
          <w:rPr>
            <w:noProof/>
            <w:webHidden/>
          </w:rPr>
          <w:fldChar w:fldCharType="end"/>
        </w:r>
      </w:hyperlink>
    </w:p>
    <w:p w14:paraId="33B80E4D" w14:textId="3DADE802" w:rsidR="00A50834" w:rsidRPr="0042237A" w:rsidRDefault="00A40B9B" w:rsidP="00D01F5F">
      <w:pPr>
        <w:tabs>
          <w:tab w:val="left" w:pos="1365"/>
        </w:tabs>
        <w:spacing w:before="120" w:after="120"/>
      </w:pPr>
      <w:r w:rsidRPr="0042237A">
        <w:rPr>
          <w:noProof/>
        </w:rPr>
        <w:fldChar w:fldCharType="end"/>
      </w:r>
    </w:p>
    <w:p w14:paraId="373337C4" w14:textId="77777777" w:rsidR="00377EF2" w:rsidRPr="0033080B" w:rsidRDefault="00377EF2" w:rsidP="00FE3A17">
      <w:pPr>
        <w:pStyle w:val="TOCHeading2"/>
        <w:rPr>
          <w:rStyle w:val="Strong"/>
          <w:rFonts w:ascii="Cambria" w:eastAsia="Cambria" w:hAnsi="Cambria" w:cs="Segoe UI"/>
          <w:bCs w:val="0"/>
          <w:sz w:val="22"/>
          <w:lang w:eastAsia="en-AU"/>
        </w:rPr>
      </w:pPr>
      <w:r w:rsidRPr="00FE3A17">
        <w:t>Figures</w:t>
      </w:r>
    </w:p>
    <w:p w14:paraId="2C579430" w14:textId="7EA6EBFE" w:rsidR="00D51D71" w:rsidRDefault="00377EF2">
      <w:pPr>
        <w:pStyle w:val="TableofFigures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</w:rPr>
      </w:pPr>
      <w:r w:rsidRPr="0033080B">
        <w:rPr>
          <w:rFonts w:eastAsiaTheme="minorHAnsi"/>
          <w:b w:val="0"/>
          <w:lang w:eastAsia="en-US"/>
        </w:rPr>
        <w:fldChar w:fldCharType="begin"/>
      </w:r>
      <w:r w:rsidRPr="0033080B">
        <w:rPr>
          <w:b w:val="0"/>
        </w:rPr>
        <w:instrText xml:space="preserve"> TOC \h \z \c "Figure" </w:instrText>
      </w:r>
      <w:r w:rsidRPr="0033080B">
        <w:rPr>
          <w:rFonts w:eastAsiaTheme="minorHAnsi"/>
          <w:b w:val="0"/>
          <w:lang w:eastAsia="en-US"/>
        </w:rPr>
        <w:fldChar w:fldCharType="separate"/>
      </w:r>
      <w:hyperlink w:anchor="_Toc103586621" w:history="1">
        <w:r w:rsidR="00D51D71" w:rsidRPr="000B4999">
          <w:rPr>
            <w:rStyle w:val="Hyperlink"/>
            <w:noProof/>
          </w:rPr>
          <w:t>Figure 1 Non-commodity declaration question 1</w:t>
        </w:r>
        <w:r w:rsidR="00D51D71">
          <w:rPr>
            <w:noProof/>
            <w:webHidden/>
          </w:rPr>
          <w:tab/>
        </w:r>
        <w:r w:rsidR="00D51D71">
          <w:rPr>
            <w:noProof/>
            <w:webHidden/>
          </w:rPr>
          <w:fldChar w:fldCharType="begin"/>
        </w:r>
        <w:r w:rsidR="00D51D71">
          <w:rPr>
            <w:noProof/>
            <w:webHidden/>
          </w:rPr>
          <w:instrText xml:space="preserve"> PAGEREF _Toc103586621 \h </w:instrText>
        </w:r>
        <w:r w:rsidR="00D51D71">
          <w:rPr>
            <w:noProof/>
            <w:webHidden/>
          </w:rPr>
        </w:r>
        <w:r w:rsidR="00D51D71">
          <w:rPr>
            <w:noProof/>
            <w:webHidden/>
          </w:rPr>
          <w:fldChar w:fldCharType="separate"/>
        </w:r>
        <w:r w:rsidR="00D51D71">
          <w:rPr>
            <w:noProof/>
            <w:webHidden/>
          </w:rPr>
          <w:t>7</w:t>
        </w:r>
        <w:r w:rsidR="00D51D71">
          <w:rPr>
            <w:noProof/>
            <w:webHidden/>
          </w:rPr>
          <w:fldChar w:fldCharType="end"/>
        </w:r>
      </w:hyperlink>
    </w:p>
    <w:p w14:paraId="36DCC46A" w14:textId="720D2EF7" w:rsidR="00D51D71" w:rsidRDefault="00C03B04">
      <w:pPr>
        <w:pStyle w:val="TableofFigures"/>
        <w:tabs>
          <w:tab w:val="right" w:leader="dot" w:pos="9060"/>
        </w:tabs>
        <w:rPr>
          <w:rStyle w:val="Hyperlink"/>
          <w:noProof/>
        </w:rPr>
      </w:pPr>
      <w:hyperlink w:anchor="_Toc103586622" w:history="1">
        <w:r w:rsidR="00D51D71" w:rsidRPr="000B4999">
          <w:rPr>
            <w:rStyle w:val="Hyperlink"/>
            <w:noProof/>
          </w:rPr>
          <w:t>Figure 2 Non-commodity declaration question 2</w:t>
        </w:r>
        <w:r w:rsidR="00D51D71">
          <w:rPr>
            <w:noProof/>
            <w:webHidden/>
          </w:rPr>
          <w:tab/>
        </w:r>
        <w:r w:rsidR="00D51D71">
          <w:rPr>
            <w:noProof/>
            <w:webHidden/>
          </w:rPr>
          <w:fldChar w:fldCharType="begin"/>
        </w:r>
        <w:r w:rsidR="00D51D71">
          <w:rPr>
            <w:noProof/>
            <w:webHidden/>
          </w:rPr>
          <w:instrText xml:space="preserve"> PAGEREF _Toc103586622 \h </w:instrText>
        </w:r>
        <w:r w:rsidR="00D51D71">
          <w:rPr>
            <w:noProof/>
            <w:webHidden/>
          </w:rPr>
        </w:r>
        <w:r w:rsidR="00D51D71">
          <w:rPr>
            <w:noProof/>
            <w:webHidden/>
          </w:rPr>
          <w:fldChar w:fldCharType="separate"/>
        </w:r>
        <w:r w:rsidR="00D51D71">
          <w:rPr>
            <w:noProof/>
            <w:webHidden/>
          </w:rPr>
          <w:t>8</w:t>
        </w:r>
        <w:r w:rsidR="00D51D71">
          <w:rPr>
            <w:noProof/>
            <w:webHidden/>
          </w:rPr>
          <w:fldChar w:fldCharType="end"/>
        </w:r>
      </w:hyperlink>
    </w:p>
    <w:p w14:paraId="7F70B659" w14:textId="3414974A" w:rsidR="00194AE6" w:rsidRDefault="00C03B04" w:rsidP="00194AE6">
      <w:pPr>
        <w:pStyle w:val="TableofFigures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</w:rPr>
      </w:pPr>
      <w:hyperlink w:anchor="_Toc103586618" w:history="1">
        <w:r w:rsidR="00194AE6">
          <w:rPr>
            <w:rStyle w:val="Hyperlink"/>
            <w:noProof/>
          </w:rPr>
          <w:t>Figure 3</w:t>
        </w:r>
        <w:r w:rsidR="00194AE6" w:rsidRPr="001D0693">
          <w:rPr>
            <w:rStyle w:val="Hyperlink"/>
            <w:noProof/>
          </w:rPr>
          <w:t xml:space="preserve"> Detailed activities for FCL/FCX/LCL consignments</w:t>
        </w:r>
        <w:r w:rsidR="00194AE6">
          <w:rPr>
            <w:noProof/>
            <w:webHidden/>
          </w:rPr>
          <w:tab/>
        </w:r>
        <w:r w:rsidR="00194AE6">
          <w:rPr>
            <w:noProof/>
            <w:webHidden/>
          </w:rPr>
          <w:fldChar w:fldCharType="begin"/>
        </w:r>
        <w:r w:rsidR="00194AE6">
          <w:rPr>
            <w:noProof/>
            <w:webHidden/>
          </w:rPr>
          <w:instrText xml:space="preserve"> PAGEREF _Toc103586618 \h </w:instrText>
        </w:r>
        <w:r w:rsidR="00194AE6">
          <w:rPr>
            <w:noProof/>
            <w:webHidden/>
          </w:rPr>
        </w:r>
        <w:r w:rsidR="00194AE6">
          <w:rPr>
            <w:noProof/>
            <w:webHidden/>
          </w:rPr>
          <w:fldChar w:fldCharType="separate"/>
        </w:r>
        <w:r w:rsidR="00194AE6">
          <w:rPr>
            <w:noProof/>
            <w:webHidden/>
          </w:rPr>
          <w:t>10</w:t>
        </w:r>
        <w:r w:rsidR="00194AE6">
          <w:rPr>
            <w:noProof/>
            <w:webHidden/>
          </w:rPr>
          <w:fldChar w:fldCharType="end"/>
        </w:r>
      </w:hyperlink>
    </w:p>
    <w:p w14:paraId="7ECFA819" w14:textId="77777777" w:rsidR="00194AE6" w:rsidRPr="00942694" w:rsidRDefault="00194AE6" w:rsidP="00942694"/>
    <w:p w14:paraId="33B80E58" w14:textId="2423A3F7" w:rsidR="0003507A" w:rsidRDefault="00377EF2" w:rsidP="00377EF2">
      <w:pPr>
        <w:pStyle w:val="Heading2"/>
        <w:ind w:left="709" w:hanging="709"/>
      </w:pPr>
      <w:r w:rsidRPr="0033080B">
        <w:lastRenderedPageBreak/>
        <w:fldChar w:fldCharType="end"/>
      </w:r>
      <w:bookmarkStart w:id="4" w:name="_Toc501475884"/>
      <w:bookmarkStart w:id="5" w:name="_Toc105147361"/>
      <w:r w:rsidR="00B36BC6">
        <w:t>About this document</w:t>
      </w:r>
      <w:bookmarkEnd w:id="4"/>
      <w:bookmarkEnd w:id="5"/>
    </w:p>
    <w:p w14:paraId="4FA9FA56" w14:textId="45B09F86" w:rsidR="00701E1E" w:rsidRDefault="00701E1E" w:rsidP="00701E1E">
      <w:r>
        <w:t xml:space="preserve">This document sets out the requirements and conditions that must be met before the relevant Director will consider approval for the provision of biosecurity activities under section 406 of the </w:t>
      </w:r>
      <w:r>
        <w:rPr>
          <w:i/>
        </w:rPr>
        <w:t>Biosecurity Act 2015</w:t>
      </w:r>
      <w:r>
        <w:t>, otherwise known as an approved arrangement. It also sets out the conditions to be met for the operation of a Class 19.1 approved arrangement.</w:t>
      </w:r>
    </w:p>
    <w:p w14:paraId="48D47789" w14:textId="7AABF501" w:rsidR="001C6B61" w:rsidRDefault="001C6B61" w:rsidP="003B3C41">
      <w:r>
        <w:t>When operating under this arrangement the biosecurity industry participant is responsible for complying with each condition as set out in this document.</w:t>
      </w:r>
    </w:p>
    <w:p w14:paraId="12998DD5" w14:textId="07275CE1" w:rsidR="009346D0" w:rsidRDefault="009346D0" w:rsidP="003B3C41">
      <w:r>
        <w:t>Unless specified otherwise, any references to ‘the department’ or ‘departmental’ means the Department of Agriculture</w:t>
      </w:r>
      <w:r w:rsidR="00B86738">
        <w:t xml:space="preserve">, </w:t>
      </w:r>
      <w:r w:rsidR="000849D0">
        <w:t>Fisheries, and Forestry</w:t>
      </w:r>
      <w:r>
        <w:t>.</w:t>
      </w:r>
    </w:p>
    <w:p w14:paraId="33B80E59" w14:textId="659E4DAB" w:rsidR="002967C1" w:rsidRDefault="00B36BC6" w:rsidP="00B36BC6">
      <w:r>
        <w:t xml:space="preserve">Information on </w:t>
      </w:r>
      <w:r w:rsidR="00D2181D">
        <w:t>approved arrangement</w:t>
      </w:r>
      <w:r>
        <w:t>s</w:t>
      </w:r>
      <w:r w:rsidR="009346D0">
        <w:t>, department contact details</w:t>
      </w:r>
      <w:r>
        <w:t xml:space="preserve"> and copies of relevant </w:t>
      </w:r>
      <w:r w:rsidR="00D2181D">
        <w:t xml:space="preserve">approved arrangement </w:t>
      </w:r>
      <w:r w:rsidR="00F771FB">
        <w:t>documentation is</w:t>
      </w:r>
      <w:r>
        <w:t xml:space="preserve"> available on the </w:t>
      </w:r>
      <w:hyperlink r:id="rId17" w:history="1">
        <w:r w:rsidRPr="00B36BC6">
          <w:rPr>
            <w:rStyle w:val="Hyperlink"/>
          </w:rPr>
          <w:t>approved arrangements</w:t>
        </w:r>
      </w:hyperlink>
      <w:r>
        <w:t xml:space="preserve"> page on the department’s website</w:t>
      </w:r>
      <w:r w:rsidR="00770EB5" w:rsidRPr="00770EB5">
        <w:t>.</w:t>
      </w:r>
    </w:p>
    <w:p w14:paraId="41436272" w14:textId="77777777" w:rsidR="003A05B4" w:rsidRDefault="003A05B4" w:rsidP="003A05B4">
      <w:pPr>
        <w:pStyle w:val="Heading3"/>
        <w:ind w:left="357" w:hanging="357"/>
      </w:pPr>
      <w:bookmarkStart w:id="6" w:name="_Toc2670167"/>
      <w:bookmarkStart w:id="7" w:name="_Toc14414108"/>
      <w:bookmarkStart w:id="8" w:name="_Toc105147362"/>
      <w:bookmarkStart w:id="9" w:name="_Toc501475885"/>
      <w:r>
        <w:t>Declaration</w:t>
      </w:r>
      <w:bookmarkEnd w:id="6"/>
      <w:bookmarkEnd w:id="7"/>
      <w:bookmarkEnd w:id="8"/>
    </w:p>
    <w:p w14:paraId="512488E1" w14:textId="4EC6DA5B" w:rsidR="003A05B4" w:rsidRPr="00DD72EF" w:rsidRDefault="003A05B4" w:rsidP="003A05B4">
      <w:r>
        <w:t xml:space="preserve">The approved arrangement manager is required to complete the </w:t>
      </w:r>
      <w:hyperlink w:anchor="_Appendix_2:_Declaration" w:history="1">
        <w:r w:rsidRPr="003E7554">
          <w:rPr>
            <w:rStyle w:val="Hyperlink"/>
          </w:rPr>
          <w:t>Appendix 2: Declaration</w:t>
        </w:r>
      </w:hyperlink>
      <w:r>
        <w:t xml:space="preserve"> and return it to the department via email to </w:t>
      </w:r>
      <w:hyperlink r:id="rId18" w:history="1">
        <w:r w:rsidR="00227570">
          <w:rPr>
            <w:rStyle w:val="Hyperlink"/>
          </w:rPr>
          <w:t>AEP.Arrangements@awe.gov.au</w:t>
        </w:r>
      </w:hyperlink>
      <w:r>
        <w:t>.</w:t>
      </w:r>
    </w:p>
    <w:p w14:paraId="6B9D6C7E" w14:textId="4237F45A" w:rsidR="00B36BC6" w:rsidRPr="003A1CCB" w:rsidRDefault="00B36BC6" w:rsidP="003A1CCB">
      <w:pPr>
        <w:pStyle w:val="Heading3"/>
      </w:pPr>
      <w:bookmarkStart w:id="10" w:name="_Toc105147363"/>
      <w:r w:rsidRPr="003A1CCB">
        <w:t>Definitions</w:t>
      </w:r>
      <w:bookmarkEnd w:id="9"/>
      <w:bookmarkEnd w:id="10"/>
    </w:p>
    <w:p w14:paraId="2CF7C92E" w14:textId="183BA5AF" w:rsidR="008F763D" w:rsidRDefault="00B36BC6" w:rsidP="008F763D">
      <w:r>
        <w:t xml:space="preserve">Terms used in this document are defined in the </w:t>
      </w:r>
      <w:hyperlink r:id="rId19" w:history="1">
        <w:r w:rsidRPr="00B36BC6">
          <w:rPr>
            <w:rStyle w:val="Hyperlink"/>
          </w:rPr>
          <w:t>approved arrangements glossary</w:t>
        </w:r>
      </w:hyperlink>
      <w:r>
        <w:t xml:space="preserve"> </w:t>
      </w:r>
      <w:r w:rsidR="00B33001">
        <w:t xml:space="preserve">and </w:t>
      </w:r>
      <w:r>
        <w:t xml:space="preserve">the </w:t>
      </w:r>
      <w:r w:rsidR="00B33001" w:rsidRPr="00DC10DA">
        <w:rPr>
          <w:rStyle w:val="Emphasis"/>
        </w:rPr>
        <w:t>Biosecurity Act 2015</w:t>
      </w:r>
      <w:r>
        <w:t>.</w:t>
      </w:r>
      <w:r w:rsidR="00960600">
        <w:t xml:space="preserve"> </w:t>
      </w:r>
      <w:r w:rsidR="008F763D">
        <w:t>This document refers to AQIS where AQIS remains current in IT systems.</w:t>
      </w:r>
    </w:p>
    <w:p w14:paraId="79BF4B60" w14:textId="56BBF173" w:rsidR="00B36BC6" w:rsidRPr="003A1CCB" w:rsidRDefault="00B36BC6" w:rsidP="003A1CCB">
      <w:pPr>
        <w:pStyle w:val="Heading3"/>
      </w:pPr>
      <w:bookmarkStart w:id="11" w:name="_Toc501475886"/>
      <w:bookmarkStart w:id="12" w:name="_Toc105147364"/>
      <w:r w:rsidRPr="003A1CCB">
        <w:t>Support</w:t>
      </w:r>
      <w:r w:rsidR="00FF41B5" w:rsidRPr="003A1CCB">
        <w:t>ing</w:t>
      </w:r>
      <w:r w:rsidRPr="003A1CCB">
        <w:t xml:space="preserve"> documents</w:t>
      </w:r>
      <w:bookmarkEnd w:id="11"/>
      <w:bookmarkEnd w:id="12"/>
    </w:p>
    <w:p w14:paraId="4AA0E35B" w14:textId="19E78475" w:rsidR="00B36BC6" w:rsidRDefault="00B36BC6" w:rsidP="00B36BC6">
      <w:r w:rsidRPr="00B36BC6">
        <w:t xml:space="preserve">Ensure you understand and comply with the requirements </w:t>
      </w:r>
      <w:r w:rsidR="00184B56">
        <w:t xml:space="preserve">and conditions </w:t>
      </w:r>
      <w:r w:rsidRPr="00B36BC6">
        <w:t xml:space="preserve">for establishing and operating an </w:t>
      </w:r>
      <w:r w:rsidR="00771499">
        <w:t>approved arrangement</w:t>
      </w:r>
      <w:r w:rsidRPr="00B36BC6">
        <w:t>. Read this document in conjunction with the most current online versions of:</w:t>
      </w:r>
    </w:p>
    <w:p w14:paraId="4E05C6E8" w14:textId="1D85C3A5" w:rsidR="00B36BC6" w:rsidRDefault="00C03B04" w:rsidP="00F6133F">
      <w:pPr>
        <w:pStyle w:val="ListBullet"/>
      </w:pPr>
      <w:hyperlink r:id="rId20" w:history="1">
        <w:r w:rsidR="00B36BC6" w:rsidRPr="00B325E8">
          <w:rPr>
            <w:rStyle w:val="Hyperlink"/>
          </w:rPr>
          <w:t xml:space="preserve">Approved </w:t>
        </w:r>
        <w:r w:rsidR="00B36BC6" w:rsidRPr="00627C56">
          <w:rPr>
            <w:rStyle w:val="Hyperlink"/>
            <w:color w:val="365F91" w:themeColor="accent1" w:themeShade="BF"/>
          </w:rPr>
          <w:t>arrangements</w:t>
        </w:r>
        <w:r w:rsidR="00B36BC6" w:rsidRPr="00627C56">
          <w:rPr>
            <w:rStyle w:val="Hyperlink"/>
            <w:color w:val="0070C0"/>
          </w:rPr>
          <w:t xml:space="preserve"> </w:t>
        </w:r>
        <w:r w:rsidR="00B36BC6" w:rsidRPr="00B325E8">
          <w:rPr>
            <w:rStyle w:val="Hyperlink"/>
          </w:rPr>
          <w:t>general policies</w:t>
        </w:r>
      </w:hyperlink>
    </w:p>
    <w:p w14:paraId="4EAC8334" w14:textId="755AC56A" w:rsidR="00B36BC6" w:rsidRDefault="00C03B04" w:rsidP="00F6133F">
      <w:pPr>
        <w:pStyle w:val="ListBullet"/>
      </w:pPr>
      <w:hyperlink r:id="rId21" w:history="1">
        <w:r w:rsidR="00395354" w:rsidRPr="00395354">
          <w:rPr>
            <w:rStyle w:val="Hyperlink"/>
          </w:rPr>
          <w:t>Minimum documentary and import declaration requirements policy</w:t>
        </w:r>
      </w:hyperlink>
    </w:p>
    <w:p w14:paraId="36B817CE" w14:textId="6515872E" w:rsidR="009E70D9" w:rsidRDefault="00C03B04" w:rsidP="009E70D9">
      <w:pPr>
        <w:pStyle w:val="ListBullet"/>
      </w:pPr>
      <w:hyperlink r:id="rId22" w:history="1">
        <w:r w:rsidR="009E70D9" w:rsidRPr="009E70D9">
          <w:rPr>
            <w:rStyle w:val="Hyperlink"/>
          </w:rPr>
          <w:t>Non-commodity information requirements policy</w:t>
        </w:r>
        <w:bookmarkStart w:id="13" w:name="_Toc501475887"/>
      </w:hyperlink>
    </w:p>
    <w:p w14:paraId="6D554FA5" w14:textId="5F3A4B3B" w:rsidR="00251EA8" w:rsidRPr="00206E0C" w:rsidRDefault="00206E0C" w:rsidP="00251EA8">
      <w:pPr>
        <w:pStyle w:val="ListBullet"/>
        <w:rPr>
          <w:rStyle w:val="Hyperlink"/>
        </w:rPr>
      </w:pPr>
      <w:r>
        <w:rPr>
          <w:rStyle w:val="Hyperlink"/>
        </w:rPr>
        <w:fldChar w:fldCharType="begin"/>
      </w:r>
      <w:r w:rsidR="00AC599A">
        <w:rPr>
          <w:rStyle w:val="Hyperlink"/>
        </w:rPr>
        <w:instrText>HYPERLINK "http://www.awe.gov.au/import/arrival/arrangements/requirements/compliance-classifications"</w:instrText>
      </w:r>
      <w:r>
        <w:rPr>
          <w:rStyle w:val="Hyperlink"/>
        </w:rPr>
        <w:fldChar w:fldCharType="separate"/>
      </w:r>
      <w:r w:rsidR="00251EA8" w:rsidRPr="00206E0C">
        <w:rPr>
          <w:rStyle w:val="Hyperlink"/>
        </w:rPr>
        <w:t>Compliance classifications for class</w:t>
      </w:r>
      <w:r w:rsidR="00227570">
        <w:rPr>
          <w:rStyle w:val="Hyperlink"/>
        </w:rPr>
        <w:t xml:space="preserve"> 19</w:t>
      </w:r>
      <w:r w:rsidR="00251EA8" w:rsidRPr="00206E0C">
        <w:rPr>
          <w:rStyle w:val="Hyperlink"/>
        </w:rPr>
        <w:t xml:space="preserve"> approved arrangements</w:t>
      </w:r>
      <w:r w:rsidR="006B2C17">
        <w:rPr>
          <w:rStyle w:val="Hyperlink"/>
        </w:rPr>
        <w:t>.</w:t>
      </w:r>
    </w:p>
    <w:p w14:paraId="3E597F31" w14:textId="78FECE94" w:rsidR="00D669CD" w:rsidRDefault="00206E0C" w:rsidP="009E70D9">
      <w:pPr>
        <w:pStyle w:val="Heading3"/>
      </w:pPr>
      <w:r>
        <w:rPr>
          <w:rStyle w:val="Hyperlink"/>
          <w:rFonts w:ascii="Cambria" w:eastAsiaTheme="minorHAnsi" w:hAnsi="Cambria" w:cstheme="minorBidi"/>
          <w:b w:val="0"/>
          <w:bCs w:val="0"/>
          <w:sz w:val="22"/>
          <w:szCs w:val="22"/>
        </w:rPr>
        <w:fldChar w:fldCharType="end"/>
      </w:r>
      <w:bookmarkStart w:id="14" w:name="_Toc105147365"/>
      <w:r w:rsidR="00F86D51">
        <w:t>M</w:t>
      </w:r>
      <w:r w:rsidR="00D669CD">
        <w:t>onitoring of compliance</w:t>
      </w:r>
      <w:bookmarkEnd w:id="13"/>
      <w:bookmarkEnd w:id="14"/>
    </w:p>
    <w:p w14:paraId="7645D723" w14:textId="4F4E42A9" w:rsidR="001C6B61" w:rsidRDefault="00632861" w:rsidP="001C6B61">
      <w:r>
        <w:t xml:space="preserve">Compliance with the conditions of operating </w:t>
      </w:r>
      <w:r w:rsidR="009C3E36">
        <w:t>a class 19.1 approved arrangement is</w:t>
      </w:r>
      <w:r>
        <w:t xml:space="preserve"> monitored in accordance with t</w:t>
      </w:r>
      <w:r w:rsidR="00803000" w:rsidRPr="00DC10DA">
        <w:t xml:space="preserve">he </w:t>
      </w:r>
      <w:hyperlink r:id="rId23" w:history="1">
        <w:r w:rsidR="00D52F01">
          <w:rPr>
            <w:rStyle w:val="Hyperlink"/>
          </w:rPr>
          <w:t>a</w:t>
        </w:r>
        <w:r w:rsidR="00F2797D" w:rsidRPr="000A5D3E">
          <w:rPr>
            <w:rStyle w:val="Hyperlink"/>
          </w:rPr>
          <w:t>pproved arrangements general policies</w:t>
        </w:r>
      </w:hyperlink>
      <w:r>
        <w:t>.</w:t>
      </w:r>
    </w:p>
    <w:p w14:paraId="4D4F4CE5" w14:textId="77777777" w:rsidR="001C6B61" w:rsidRDefault="001C6B61" w:rsidP="001C6B61">
      <w:r>
        <w:t>The department</w:t>
      </w:r>
      <w:r w:rsidRPr="00F2797D">
        <w:t xml:space="preserve"> </w:t>
      </w:r>
      <w:r>
        <w:t>will notify the biosecurity industry participant</w:t>
      </w:r>
      <w:r w:rsidRPr="00F2797D">
        <w:t xml:space="preserve"> </w:t>
      </w:r>
      <w:r>
        <w:t>where</w:t>
      </w:r>
      <w:r w:rsidRPr="00F2797D">
        <w:t xml:space="preserve"> non-</w:t>
      </w:r>
      <w:r>
        <w:t>compliance with the conditions has been detected.</w:t>
      </w:r>
    </w:p>
    <w:p w14:paraId="3723A1F5" w14:textId="0753A1B1" w:rsidR="00A14EC7" w:rsidRDefault="00BC08DD" w:rsidP="00B36BC6">
      <w:r>
        <w:t>A f</w:t>
      </w:r>
      <w:r w:rsidR="002F2183">
        <w:t xml:space="preserve">ull list of compliance classifications may be found on the </w:t>
      </w:r>
      <w:hyperlink r:id="rId24" w:history="1">
        <w:r w:rsidR="002F2183" w:rsidRPr="00C97344">
          <w:rPr>
            <w:rStyle w:val="Hyperlink"/>
          </w:rPr>
          <w:t xml:space="preserve">Compliance classifications for </w:t>
        </w:r>
        <w:r w:rsidR="00D9245C" w:rsidRPr="00C97344">
          <w:rPr>
            <w:rStyle w:val="Hyperlink"/>
          </w:rPr>
          <w:t xml:space="preserve">class </w:t>
        </w:r>
        <w:r w:rsidR="00227570">
          <w:rPr>
            <w:rStyle w:val="Hyperlink"/>
          </w:rPr>
          <w:t xml:space="preserve">19 </w:t>
        </w:r>
        <w:r w:rsidR="002F2183" w:rsidRPr="00C97344">
          <w:rPr>
            <w:rStyle w:val="Hyperlink"/>
          </w:rPr>
          <w:t>approved arrangements</w:t>
        </w:r>
      </w:hyperlink>
      <w:r w:rsidR="002F2183">
        <w:t>.</w:t>
      </w:r>
    </w:p>
    <w:p w14:paraId="2E6EA9BE" w14:textId="77777777" w:rsidR="00A14EC7" w:rsidRDefault="00A14EC7">
      <w:pPr>
        <w:spacing w:after="0" w:line="240" w:lineRule="auto"/>
      </w:pPr>
      <w:r>
        <w:br w:type="page"/>
      </w:r>
    </w:p>
    <w:p w14:paraId="33B80E5A" w14:textId="6EFDF565" w:rsidR="00DB16B2" w:rsidRPr="00713C2B" w:rsidRDefault="00713C2B" w:rsidP="00D0740F">
      <w:pPr>
        <w:pStyle w:val="Heading2"/>
        <w:ind w:left="720" w:hanging="720"/>
        <w:rPr>
          <w:sz w:val="48"/>
          <w:szCs w:val="48"/>
        </w:rPr>
      </w:pPr>
      <w:bookmarkStart w:id="15" w:name="_Toc105147366"/>
      <w:r w:rsidRPr="00713C2B">
        <w:rPr>
          <w:sz w:val="48"/>
          <w:szCs w:val="48"/>
        </w:rPr>
        <w:lastRenderedPageBreak/>
        <w:t xml:space="preserve">Operating a </w:t>
      </w:r>
      <w:r w:rsidR="007468D6">
        <w:rPr>
          <w:sz w:val="48"/>
          <w:szCs w:val="48"/>
        </w:rPr>
        <w:t>C</w:t>
      </w:r>
      <w:r w:rsidRPr="00713C2B">
        <w:rPr>
          <w:sz w:val="48"/>
          <w:szCs w:val="48"/>
        </w:rPr>
        <w:t xml:space="preserve">lass 19.1 </w:t>
      </w:r>
      <w:r w:rsidR="002D17D9">
        <w:rPr>
          <w:sz w:val="48"/>
          <w:szCs w:val="48"/>
        </w:rPr>
        <w:t>a</w:t>
      </w:r>
      <w:r w:rsidRPr="00713C2B">
        <w:rPr>
          <w:sz w:val="48"/>
          <w:szCs w:val="48"/>
        </w:rPr>
        <w:t xml:space="preserve">pproved </w:t>
      </w:r>
      <w:r w:rsidR="002D17D9">
        <w:rPr>
          <w:sz w:val="48"/>
          <w:szCs w:val="48"/>
        </w:rPr>
        <w:t>a</w:t>
      </w:r>
      <w:r w:rsidRPr="00713C2B">
        <w:rPr>
          <w:sz w:val="48"/>
          <w:szCs w:val="48"/>
        </w:rPr>
        <w:t>rrangement</w:t>
      </w:r>
      <w:bookmarkEnd w:id="15"/>
    </w:p>
    <w:p w14:paraId="3F1C8E16" w14:textId="07466F95" w:rsidR="00CC62C6" w:rsidRDefault="00CC62C6" w:rsidP="007249CD">
      <w:pPr>
        <w:pStyle w:val="Heading3"/>
        <w:ind w:left="720" w:hanging="720"/>
        <w:rPr>
          <w:lang w:eastAsia="ja-JP"/>
        </w:rPr>
      </w:pPr>
      <w:bookmarkStart w:id="16" w:name="_Toc501475889"/>
      <w:bookmarkStart w:id="17" w:name="_Toc105147367"/>
      <w:r>
        <w:rPr>
          <w:lang w:eastAsia="ja-JP"/>
        </w:rPr>
        <w:t>Purpose</w:t>
      </w:r>
      <w:bookmarkEnd w:id="16"/>
      <w:bookmarkEnd w:id="17"/>
    </w:p>
    <w:p w14:paraId="1AE2C92D" w14:textId="4E889B6A" w:rsidR="00795268" w:rsidRDefault="00632861" w:rsidP="001F6777">
      <w:pPr>
        <w:rPr>
          <w:lang w:eastAsia="ja-JP"/>
        </w:rPr>
      </w:pPr>
      <w:r>
        <w:rPr>
          <w:lang w:eastAsia="ja-JP"/>
        </w:rPr>
        <w:t xml:space="preserve">The class 19.1 </w:t>
      </w:r>
      <w:r w:rsidR="003C718E">
        <w:rPr>
          <w:lang w:eastAsia="ja-JP"/>
        </w:rPr>
        <w:t xml:space="preserve">non-commodity for containerised cargo </w:t>
      </w:r>
      <w:r>
        <w:rPr>
          <w:lang w:eastAsia="ja-JP"/>
        </w:rPr>
        <w:t>approved arrangement</w:t>
      </w:r>
      <w:r w:rsidR="00CE4C8C">
        <w:rPr>
          <w:lang w:eastAsia="ja-JP"/>
        </w:rPr>
        <w:t xml:space="preserve"> allows for</w:t>
      </w:r>
      <w:r>
        <w:rPr>
          <w:lang w:eastAsia="ja-JP"/>
        </w:rPr>
        <w:t xml:space="preserve"> </w:t>
      </w:r>
      <w:r w:rsidR="006B2646">
        <w:rPr>
          <w:lang w:eastAsia="ja-JP"/>
        </w:rPr>
        <w:t xml:space="preserve">the </w:t>
      </w:r>
      <w:r w:rsidR="00395354">
        <w:rPr>
          <w:lang w:eastAsia="ja-JP"/>
        </w:rPr>
        <w:t xml:space="preserve">assessment of non-commodity documentation </w:t>
      </w:r>
      <w:r w:rsidR="001F685C" w:rsidRPr="001F685C">
        <w:rPr>
          <w:lang w:eastAsia="ja-JP"/>
        </w:rPr>
        <w:t>and management of</w:t>
      </w:r>
      <w:r w:rsidR="007E43E6">
        <w:rPr>
          <w:lang w:eastAsia="ja-JP"/>
        </w:rPr>
        <w:t xml:space="preserve"> non-commodity </w:t>
      </w:r>
      <w:r w:rsidR="0067750B">
        <w:rPr>
          <w:lang w:eastAsia="ja-JP"/>
        </w:rPr>
        <w:t>goods introducing</w:t>
      </w:r>
      <w:r w:rsidR="0067750B" w:rsidRPr="0067750B">
        <w:rPr>
          <w:lang w:eastAsia="ja-JP"/>
        </w:rPr>
        <w:t xml:space="preserve"> </w:t>
      </w:r>
      <w:r w:rsidR="0067750B">
        <w:rPr>
          <w:lang w:eastAsia="ja-JP"/>
        </w:rPr>
        <w:t xml:space="preserve">exotic pests and diseases directly or in biosecurity risk material </w:t>
      </w:r>
      <w:r w:rsidR="007E43E6">
        <w:rPr>
          <w:lang w:eastAsia="ja-JP"/>
        </w:rPr>
        <w:t>associated with</w:t>
      </w:r>
      <w:r w:rsidR="001F685C" w:rsidRPr="001F685C">
        <w:rPr>
          <w:lang w:eastAsia="ja-JP"/>
        </w:rPr>
        <w:t xml:space="preserve"> </w:t>
      </w:r>
      <w:r w:rsidR="009A0330">
        <w:rPr>
          <w:lang w:eastAsia="ja-JP"/>
        </w:rPr>
        <w:t xml:space="preserve">containerised </w:t>
      </w:r>
      <w:r w:rsidR="001F685C" w:rsidRPr="001F685C">
        <w:rPr>
          <w:lang w:eastAsia="ja-JP"/>
        </w:rPr>
        <w:t xml:space="preserve">sea </w:t>
      </w:r>
      <w:r w:rsidR="00C65558">
        <w:rPr>
          <w:lang w:eastAsia="ja-JP"/>
        </w:rPr>
        <w:t>freight</w:t>
      </w:r>
      <w:r w:rsidR="0067750B">
        <w:t xml:space="preserve"> </w:t>
      </w:r>
      <w:r w:rsidR="001F6777">
        <w:rPr>
          <w:lang w:eastAsia="ja-JP"/>
        </w:rPr>
        <w:t>(also known as hitchhiker pest and contaminant risks</w:t>
      </w:r>
      <w:r w:rsidR="00CE4C8C">
        <w:rPr>
          <w:lang w:eastAsia="ja-JP"/>
        </w:rPr>
        <w:t>)</w:t>
      </w:r>
      <w:r w:rsidR="001F6777">
        <w:rPr>
          <w:lang w:eastAsia="ja-JP"/>
        </w:rPr>
        <w:t>.</w:t>
      </w:r>
    </w:p>
    <w:p w14:paraId="643EC454" w14:textId="22126E24" w:rsidR="001F685C" w:rsidRDefault="001F685C" w:rsidP="009E70D9">
      <w:pPr>
        <w:pStyle w:val="Heading3"/>
        <w:rPr>
          <w:lang w:eastAsia="ja-JP"/>
        </w:rPr>
      </w:pPr>
      <w:bookmarkStart w:id="18" w:name="_Toc501475890"/>
      <w:bookmarkStart w:id="19" w:name="_Toc105147368"/>
      <w:r w:rsidRPr="005E2909">
        <w:t>Scope</w:t>
      </w:r>
      <w:bookmarkEnd w:id="18"/>
      <w:bookmarkEnd w:id="19"/>
    </w:p>
    <w:p w14:paraId="36057048" w14:textId="64594204" w:rsidR="00472E00" w:rsidRDefault="00D31E5B" w:rsidP="005E2909">
      <w:r>
        <w:rPr>
          <w:lang w:eastAsia="ja-JP"/>
        </w:rPr>
        <w:t xml:space="preserve">Biosecurity activities performed under a class 19.1 </w:t>
      </w:r>
      <w:r w:rsidR="00812BD7">
        <w:rPr>
          <w:lang w:eastAsia="ja-JP"/>
        </w:rPr>
        <w:t>approved</w:t>
      </w:r>
      <w:r>
        <w:rPr>
          <w:lang w:eastAsia="ja-JP"/>
        </w:rPr>
        <w:t xml:space="preserve"> arrangement are limited to the assessment of non-commodity documentation and non-commodity biosecurity concerns in accordance with the department’s </w:t>
      </w:r>
      <w:hyperlink r:id="rId25" w:history="1">
        <w:r w:rsidR="00B33001" w:rsidRPr="00800634">
          <w:rPr>
            <w:rStyle w:val="Hyperlink"/>
          </w:rPr>
          <w:t>Non-commodity information requirements policy</w:t>
        </w:r>
      </w:hyperlink>
      <w:r w:rsidR="009D6366" w:rsidRPr="008A3327">
        <w:rPr>
          <w:rStyle w:val="Hyperlink"/>
          <w:color w:val="auto"/>
          <w:u w:val="none"/>
        </w:rPr>
        <w:t xml:space="preserve"> (including the </w:t>
      </w:r>
      <w:hyperlink r:id="rId26" w:history="1">
        <w:r w:rsidR="007249CD" w:rsidRPr="00800634">
          <w:rPr>
            <w:rStyle w:val="Hyperlink"/>
          </w:rPr>
          <w:t xml:space="preserve">non-commodity </w:t>
        </w:r>
        <w:r w:rsidR="009D6366" w:rsidRPr="00800634">
          <w:rPr>
            <w:rStyle w:val="Hyperlink"/>
          </w:rPr>
          <w:t>BICON case</w:t>
        </w:r>
      </w:hyperlink>
      <w:r w:rsidR="009D6366" w:rsidRPr="008A3327">
        <w:rPr>
          <w:rStyle w:val="Hyperlink"/>
          <w:color w:val="auto"/>
          <w:u w:val="none"/>
        </w:rPr>
        <w:t>)</w:t>
      </w:r>
      <w:r w:rsidR="00212A28">
        <w:rPr>
          <w:lang w:eastAsia="ja-JP"/>
        </w:rPr>
        <w:t xml:space="preserve"> and the </w:t>
      </w:r>
      <w:hyperlink r:id="rId27" w:history="1">
        <w:r w:rsidR="00B33001" w:rsidRPr="00800634">
          <w:rPr>
            <w:rStyle w:val="Hyperlink"/>
          </w:rPr>
          <w:t>Minimum documentary and import declaration requirements policy</w:t>
        </w:r>
      </w:hyperlink>
      <w:r w:rsidR="001F685C" w:rsidRPr="00800634">
        <w:rPr>
          <w:rStyle w:val="Hyperlink"/>
        </w:rPr>
        <w:t>.</w:t>
      </w:r>
    </w:p>
    <w:p w14:paraId="1BE5571E" w14:textId="4F46777B" w:rsidR="00472E00" w:rsidRDefault="003C718E" w:rsidP="005E2909">
      <w:pPr>
        <w:rPr>
          <w:lang w:eastAsia="ja-JP"/>
        </w:rPr>
      </w:pPr>
      <w:r>
        <w:rPr>
          <w:lang w:eastAsia="ja-JP"/>
        </w:rPr>
        <w:t>Biosecurity a</w:t>
      </w:r>
      <w:r w:rsidR="00472E00">
        <w:rPr>
          <w:lang w:eastAsia="ja-JP"/>
        </w:rPr>
        <w:t>ctivities covered under this arrangement include:</w:t>
      </w:r>
    </w:p>
    <w:p w14:paraId="484BDB63" w14:textId="7F7D47CB" w:rsidR="00472E00" w:rsidRPr="005E2909" w:rsidRDefault="009018A0" w:rsidP="005E2909">
      <w:pPr>
        <w:pStyle w:val="ListBullet"/>
      </w:pPr>
      <w:r>
        <w:t>a</w:t>
      </w:r>
      <w:r w:rsidR="00FF41B5" w:rsidRPr="005E2909">
        <w:t>ssessing</w:t>
      </w:r>
      <w:r w:rsidR="00472E00" w:rsidRPr="005E2909">
        <w:t xml:space="preserve"> documentation for full container load (FCL)</w:t>
      </w:r>
      <w:r w:rsidR="00773189" w:rsidRPr="005E2909">
        <w:t>,</w:t>
      </w:r>
      <w:r w:rsidR="00472E00" w:rsidRPr="005E2909">
        <w:t xml:space="preserve"> full container multiple house bills (FCX) and less than a container load </w:t>
      </w:r>
      <w:r w:rsidR="006418F1" w:rsidRPr="005E2909">
        <w:t xml:space="preserve">(LCL) </w:t>
      </w:r>
      <w:r w:rsidR="00472E00" w:rsidRPr="005E2909">
        <w:t>sea freight</w:t>
      </w:r>
    </w:p>
    <w:p w14:paraId="6C85E2CA" w14:textId="5D73F08D" w:rsidR="004967D1" w:rsidRDefault="004967D1" w:rsidP="005E2909">
      <w:pPr>
        <w:pStyle w:val="ListBullet"/>
      </w:pPr>
      <w:r>
        <w:t>assessing unpack destination postcodes for FCL and FCX sea freight (metro/rural/split)</w:t>
      </w:r>
    </w:p>
    <w:p w14:paraId="212C355D" w14:textId="0ABC0317" w:rsidR="00472E00" w:rsidRDefault="009018A0" w:rsidP="005E2909">
      <w:pPr>
        <w:pStyle w:val="ListBullet"/>
      </w:pPr>
      <w:r>
        <w:t>a</w:t>
      </w:r>
      <w:r w:rsidR="00FF41B5" w:rsidRPr="005E2909">
        <w:t>ssessing</w:t>
      </w:r>
      <w:r w:rsidR="002F46D1">
        <w:t xml:space="preserve"> container origin for </w:t>
      </w:r>
      <w:r w:rsidR="005F0F06">
        <w:t>k</w:t>
      </w:r>
      <w:r w:rsidR="002F46D1">
        <w:t xml:space="preserve">hapra beetle </w:t>
      </w:r>
      <w:r w:rsidR="003406BB">
        <w:t>concerns and</w:t>
      </w:r>
      <w:r w:rsidR="00472E00" w:rsidRPr="005E2909">
        <w:t xml:space="preserve"> unpack destination postcodes</w:t>
      </w:r>
      <w:r w:rsidR="003406BB">
        <w:t xml:space="preserve"> (rural</w:t>
      </w:r>
      <w:r w:rsidR="004967D1">
        <w:t>/</w:t>
      </w:r>
      <w:r w:rsidR="00242DF5">
        <w:t>khapra risk</w:t>
      </w:r>
      <w:r w:rsidR="003406BB">
        <w:t>)</w:t>
      </w:r>
      <w:r w:rsidR="00472E00" w:rsidRPr="005E2909">
        <w:t xml:space="preserve"> for FCL and FCX sea freight</w:t>
      </w:r>
    </w:p>
    <w:p w14:paraId="6726A60A" w14:textId="00A13410" w:rsidR="00517E6D" w:rsidRPr="005E2909" w:rsidRDefault="00517E6D" w:rsidP="005E2909">
      <w:pPr>
        <w:pStyle w:val="ListBullet"/>
      </w:pPr>
      <w:r>
        <w:t>answering ICS general declaration questions</w:t>
      </w:r>
    </w:p>
    <w:p w14:paraId="380806CE" w14:textId="3A7418ED" w:rsidR="00472E00" w:rsidRPr="005E2909" w:rsidRDefault="009018A0" w:rsidP="005E2909">
      <w:pPr>
        <w:pStyle w:val="ListBullet"/>
      </w:pPr>
      <w:r>
        <w:t>a</w:t>
      </w:r>
      <w:r w:rsidR="00472E00" w:rsidRPr="005E2909">
        <w:t xml:space="preserve">pplying an AQIS concern type in the </w:t>
      </w:r>
      <w:r w:rsidR="00FD5CF3" w:rsidRPr="005E2909">
        <w:t xml:space="preserve">Department of Home Affairs </w:t>
      </w:r>
      <w:hyperlink r:id="rId28" w:history="1">
        <w:r w:rsidR="004267CE">
          <w:rPr>
            <w:rStyle w:val="Hyperlink"/>
            <w:color w:val="auto"/>
            <w:u w:val="none"/>
          </w:rPr>
          <w:t>Integrated cargo s</w:t>
        </w:r>
        <w:r w:rsidR="00FD5CF3" w:rsidRPr="005E2909">
          <w:rPr>
            <w:rStyle w:val="Hyperlink"/>
            <w:color w:val="auto"/>
            <w:u w:val="none"/>
          </w:rPr>
          <w:t>ystem</w:t>
        </w:r>
      </w:hyperlink>
      <w:r w:rsidR="00FD5CF3" w:rsidRPr="005E2909">
        <w:rPr>
          <w:rStyle w:val="Hyperlink"/>
          <w:color w:val="auto"/>
          <w:u w:val="none"/>
        </w:rPr>
        <w:t xml:space="preserve"> (</w:t>
      </w:r>
      <w:r w:rsidR="00472E00" w:rsidRPr="005E2909">
        <w:t>ICS</w:t>
      </w:r>
      <w:r w:rsidR="00FD5CF3" w:rsidRPr="005E2909">
        <w:t>)</w:t>
      </w:r>
      <w:r w:rsidR="00472E00" w:rsidRPr="005E2909">
        <w:t xml:space="preserve"> to generate a biosecurity direction in the A</w:t>
      </w:r>
      <w:r w:rsidR="00A679B1" w:rsidRPr="005E2909">
        <w:t xml:space="preserve">griculture </w:t>
      </w:r>
      <w:r w:rsidR="004267CE">
        <w:t>import m</w:t>
      </w:r>
      <w:r w:rsidR="00A679B1" w:rsidRPr="005E2909">
        <w:t xml:space="preserve">anagement </w:t>
      </w:r>
      <w:r w:rsidR="004267CE">
        <w:t>s</w:t>
      </w:r>
      <w:r w:rsidR="00472E00" w:rsidRPr="005E2909">
        <w:t>ystem</w:t>
      </w:r>
      <w:r w:rsidR="003E02B1" w:rsidRPr="005E2909">
        <w:t xml:space="preserve"> </w:t>
      </w:r>
      <w:r w:rsidR="00472E00" w:rsidRPr="005E2909">
        <w:t>(</w:t>
      </w:r>
      <w:r w:rsidR="006418F1" w:rsidRPr="005E2909">
        <w:t>AIMS</w:t>
      </w:r>
      <w:r w:rsidR="00472E00" w:rsidRPr="005E2909">
        <w:t>) which will be used for the assessment</w:t>
      </w:r>
      <w:r w:rsidR="005913AE" w:rsidRPr="005E2909">
        <w:t xml:space="preserve"> and management</w:t>
      </w:r>
      <w:r w:rsidR="00472E00" w:rsidRPr="005E2909">
        <w:t xml:space="preserve"> of </w:t>
      </w:r>
      <w:r w:rsidR="00627C56" w:rsidRPr="005E2909">
        <w:t xml:space="preserve">non-commodity </w:t>
      </w:r>
      <w:r w:rsidR="00472E00" w:rsidRPr="005E2909">
        <w:t>biosecurity risk</w:t>
      </w:r>
    </w:p>
    <w:p w14:paraId="767ED6B2" w14:textId="1789DB3C" w:rsidR="00D873D9" w:rsidRPr="009E70D9" w:rsidRDefault="009018A0" w:rsidP="006F7039">
      <w:pPr>
        <w:pStyle w:val="ListBullet"/>
        <w:numPr>
          <w:ilvl w:val="0"/>
          <w:numId w:val="13"/>
        </w:numPr>
      </w:pPr>
      <w:r>
        <w:t>r</w:t>
      </w:r>
      <w:r w:rsidR="00707255" w:rsidRPr="005E2909">
        <w:t xml:space="preserve">eceiving </w:t>
      </w:r>
      <w:r w:rsidR="00472E00" w:rsidRPr="005E2909">
        <w:t>biosecurity directions generated by AIMS</w:t>
      </w:r>
      <w:r w:rsidR="00707255" w:rsidRPr="005E2909">
        <w:t xml:space="preserve"> and ensuring that the directions are complied with.</w:t>
      </w:r>
    </w:p>
    <w:p w14:paraId="2F1CF36A" w14:textId="0B1F201E" w:rsidR="001D1312" w:rsidRDefault="00A250AB" w:rsidP="001D1312">
      <w:pPr>
        <w:pStyle w:val="Heading3"/>
        <w:spacing w:after="200"/>
      </w:pPr>
      <w:bookmarkStart w:id="20" w:name="_Toc105147369"/>
      <w:r>
        <w:t xml:space="preserve">Requirements to hold a </w:t>
      </w:r>
      <w:r w:rsidR="00B712E9">
        <w:t xml:space="preserve">Class 19.1 </w:t>
      </w:r>
      <w:r>
        <w:t>approved arrangement</w:t>
      </w:r>
      <w:bookmarkEnd w:id="20"/>
    </w:p>
    <w:p w14:paraId="5933DDC0" w14:textId="7B3DCA80" w:rsidR="001C6B61" w:rsidRPr="00631B76" w:rsidRDefault="00A250AB" w:rsidP="005E2909">
      <w:pPr>
        <w:rPr>
          <w:rStyle w:val="Strong"/>
          <w:b w:val="0"/>
        </w:rPr>
      </w:pPr>
      <w:r>
        <w:rPr>
          <w:rStyle w:val="Strong"/>
          <w:b w:val="0"/>
        </w:rPr>
        <w:t>Section 79 of Biosecur</w:t>
      </w:r>
      <w:r w:rsidRPr="006D43FE">
        <w:rPr>
          <w:rStyle w:val="Strong"/>
          <w:b w:val="0"/>
        </w:rPr>
        <w:t>ity Regulation 2016</w:t>
      </w:r>
      <w:r w:rsidR="001C6B61" w:rsidRPr="00EB380C">
        <w:rPr>
          <w:rStyle w:val="Strong"/>
          <w:b w:val="0"/>
        </w:rPr>
        <w:t xml:space="preserve"> stipulates the requirements the Director </w:t>
      </w:r>
      <w:r>
        <w:rPr>
          <w:rStyle w:val="Strong"/>
          <w:b w:val="0"/>
        </w:rPr>
        <w:t xml:space="preserve">of Biosecurity </w:t>
      </w:r>
      <w:r w:rsidR="001C6B61" w:rsidRPr="00EB380C">
        <w:rPr>
          <w:rStyle w:val="Strong"/>
          <w:b w:val="0"/>
        </w:rPr>
        <w:t xml:space="preserve">must be satisfied a proposed arrangement meets. To </w:t>
      </w:r>
      <w:r w:rsidR="00631B76">
        <w:rPr>
          <w:rStyle w:val="Strong"/>
          <w:b w:val="0"/>
        </w:rPr>
        <w:t>demonstrate the</w:t>
      </w:r>
      <w:r w:rsidR="001C6B61" w:rsidRPr="00EB380C">
        <w:rPr>
          <w:rStyle w:val="Strong"/>
          <w:b w:val="0"/>
        </w:rPr>
        <w:t xml:space="preserve"> biosecurity industry participant has the capability, </w:t>
      </w:r>
      <w:r w:rsidRPr="00EB380C">
        <w:rPr>
          <w:rStyle w:val="Strong"/>
          <w:b w:val="0"/>
        </w:rPr>
        <w:t>equipment,</w:t>
      </w:r>
      <w:r w:rsidR="001C6B61" w:rsidRPr="00EB380C">
        <w:rPr>
          <w:rStyle w:val="Strong"/>
          <w:b w:val="0"/>
        </w:rPr>
        <w:t xml:space="preserve"> and facilities to carry out </w:t>
      </w:r>
      <w:r w:rsidR="00715DA0">
        <w:rPr>
          <w:rStyle w:val="Strong"/>
          <w:b w:val="0"/>
        </w:rPr>
        <w:t>class 19.1</w:t>
      </w:r>
      <w:r w:rsidR="001C6B61" w:rsidRPr="00EB380C">
        <w:rPr>
          <w:rStyle w:val="Strong"/>
          <w:b w:val="0"/>
        </w:rPr>
        <w:t xml:space="preserve"> activities</w:t>
      </w:r>
      <w:r w:rsidR="000F186C">
        <w:rPr>
          <w:rStyle w:val="Strong"/>
          <w:b w:val="0"/>
        </w:rPr>
        <w:t>,</w:t>
      </w:r>
      <w:r w:rsidR="001C6B61" w:rsidRPr="00EB380C">
        <w:rPr>
          <w:rStyle w:val="Strong"/>
          <w:b w:val="0"/>
        </w:rPr>
        <w:t xml:space="preserve"> the following requirements must be </w:t>
      </w:r>
      <w:r w:rsidR="00715DA0">
        <w:rPr>
          <w:rStyle w:val="Strong"/>
          <w:b w:val="0"/>
        </w:rPr>
        <w:t xml:space="preserve">maintained </w:t>
      </w:r>
      <w:r>
        <w:rPr>
          <w:rStyle w:val="Strong"/>
          <w:b w:val="0"/>
        </w:rPr>
        <w:t xml:space="preserve">during </w:t>
      </w:r>
      <w:r w:rsidR="00631B76">
        <w:rPr>
          <w:rStyle w:val="Strong"/>
          <w:b w:val="0"/>
        </w:rPr>
        <w:t xml:space="preserve">the operation of </w:t>
      </w:r>
      <w:r w:rsidR="003C718E">
        <w:rPr>
          <w:rStyle w:val="Strong"/>
          <w:b w:val="0"/>
        </w:rPr>
        <w:t xml:space="preserve">the </w:t>
      </w:r>
      <w:r w:rsidR="0077088E">
        <w:rPr>
          <w:rStyle w:val="Strong"/>
          <w:b w:val="0"/>
        </w:rPr>
        <w:t>arrangement.</w:t>
      </w:r>
      <w:r w:rsidR="001C6B61" w:rsidRPr="00EB380C">
        <w:rPr>
          <w:rStyle w:val="Strong"/>
          <w:b w:val="0"/>
        </w:rPr>
        <w:t xml:space="preserve"> </w:t>
      </w:r>
    </w:p>
    <w:p w14:paraId="3028C3C7" w14:textId="1B5763F1" w:rsidR="0067750B" w:rsidRDefault="00D412CD" w:rsidP="005E2909">
      <w:pPr>
        <w:rPr>
          <w:rStyle w:val="Strong"/>
          <w:b w:val="0"/>
          <w:bCs w:val="0"/>
        </w:rPr>
      </w:pPr>
      <w:r w:rsidRPr="00D412CD">
        <w:rPr>
          <w:rStyle w:val="Strong"/>
        </w:rPr>
        <w:t>Requirement 1:</w:t>
      </w:r>
      <w:r w:rsidRPr="00D412CD">
        <w:rPr>
          <w:rStyle w:val="Strong"/>
          <w:b w:val="0"/>
          <w:bCs w:val="0"/>
        </w:rPr>
        <w:t xml:space="preserve"> The biosecurity industry participant must</w:t>
      </w:r>
      <w:r w:rsidR="0067750B">
        <w:rPr>
          <w:rStyle w:val="Strong"/>
          <w:b w:val="0"/>
          <w:bCs w:val="0"/>
        </w:rPr>
        <w:t>:</w:t>
      </w:r>
    </w:p>
    <w:p w14:paraId="4DC733D6" w14:textId="0C8E7E0C" w:rsidR="0067750B" w:rsidRPr="0067750B" w:rsidRDefault="00D412CD" w:rsidP="002B1B07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rStyle w:val="Strong"/>
          <w:b w:val="0"/>
          <w:bCs w:val="0"/>
        </w:rPr>
      </w:pPr>
      <w:r w:rsidRPr="0067750B">
        <w:rPr>
          <w:rStyle w:val="Strong"/>
          <w:b w:val="0"/>
          <w:bCs w:val="0"/>
        </w:rPr>
        <w:t xml:space="preserve">have obtained a </w:t>
      </w:r>
      <w:r w:rsidR="00C029C4" w:rsidRPr="0067750B">
        <w:rPr>
          <w:rStyle w:val="Strong"/>
          <w:b w:val="0"/>
          <w:bCs w:val="0"/>
        </w:rPr>
        <w:t>b</w:t>
      </w:r>
      <w:r w:rsidRPr="0067750B">
        <w:rPr>
          <w:rStyle w:val="Strong"/>
          <w:b w:val="0"/>
          <w:bCs w:val="0"/>
        </w:rPr>
        <w:t xml:space="preserve">ranch ID </w:t>
      </w:r>
      <w:r w:rsidR="006B5442" w:rsidRPr="0067750B">
        <w:rPr>
          <w:rStyle w:val="Strong"/>
          <w:b w:val="0"/>
          <w:bCs w:val="0"/>
        </w:rPr>
        <w:t>f</w:t>
      </w:r>
      <w:r w:rsidRPr="0067750B">
        <w:rPr>
          <w:rStyle w:val="Strong"/>
          <w:b w:val="0"/>
          <w:bCs w:val="0"/>
        </w:rPr>
        <w:t xml:space="preserve">rom the Department of Home Affairs, </w:t>
      </w:r>
    </w:p>
    <w:p w14:paraId="564D39D0" w14:textId="51865B6A" w:rsidR="0067750B" w:rsidRPr="0067750B" w:rsidRDefault="006B5442" w:rsidP="002B1B07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rStyle w:val="Strong"/>
          <w:b w:val="0"/>
          <w:bCs w:val="0"/>
        </w:rPr>
      </w:pPr>
      <w:r w:rsidRPr="0067750B">
        <w:rPr>
          <w:rStyle w:val="Strong"/>
          <w:b w:val="0"/>
          <w:bCs w:val="0"/>
        </w:rPr>
        <w:t xml:space="preserve">be a registered client in the ICS </w:t>
      </w:r>
      <w:r w:rsidR="00A250AB">
        <w:rPr>
          <w:rStyle w:val="Strong"/>
          <w:b w:val="0"/>
          <w:bCs w:val="0"/>
        </w:rPr>
        <w:t>permitted</w:t>
      </w:r>
      <w:r w:rsidR="00D412CD" w:rsidRPr="0067750B">
        <w:rPr>
          <w:rStyle w:val="Strong"/>
          <w:b w:val="0"/>
          <w:bCs w:val="0"/>
        </w:rPr>
        <w:t xml:space="preserve"> to lodge import declarations, and </w:t>
      </w:r>
    </w:p>
    <w:p w14:paraId="1B8D76D0" w14:textId="6E1C7F51" w:rsidR="00BB3B36" w:rsidRPr="0067750B" w:rsidRDefault="00D412CD" w:rsidP="002B1B07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rStyle w:val="Strong"/>
          <w:b w:val="0"/>
          <w:bCs w:val="0"/>
        </w:rPr>
      </w:pPr>
      <w:r w:rsidRPr="0067750B">
        <w:rPr>
          <w:rStyle w:val="Strong"/>
          <w:b w:val="0"/>
          <w:bCs w:val="0"/>
        </w:rPr>
        <w:t>provide the branch ID to the department as part of the application.</w:t>
      </w:r>
      <w:r w:rsidRPr="0067750B">
        <w:rPr>
          <w:rStyle w:val="Strong"/>
          <w:b w:val="0"/>
          <w:bCs w:val="0"/>
        </w:rPr>
        <w:tab/>
        <w:t xml:space="preserve"> </w:t>
      </w:r>
    </w:p>
    <w:p w14:paraId="2FE4C7CA" w14:textId="358B2AE4" w:rsidR="00ED3FE1" w:rsidRDefault="006179FC" w:rsidP="005E2909">
      <w:r>
        <w:rPr>
          <w:rStyle w:val="Strong"/>
        </w:rPr>
        <w:lastRenderedPageBreak/>
        <w:t>Requirement</w:t>
      </w:r>
      <w:r w:rsidR="00ED3FE1" w:rsidRPr="005E2909">
        <w:rPr>
          <w:rStyle w:val="Strong"/>
        </w:rPr>
        <w:t xml:space="preserve"> </w:t>
      </w:r>
      <w:r w:rsidR="00BB3B36">
        <w:rPr>
          <w:rStyle w:val="Strong"/>
        </w:rPr>
        <w:t>2</w:t>
      </w:r>
      <w:r w:rsidR="00ED3FE1" w:rsidRPr="005E2909">
        <w:rPr>
          <w:rStyle w:val="Strong"/>
        </w:rPr>
        <w:t>:</w:t>
      </w:r>
      <w:r w:rsidR="00ED3FE1" w:rsidRPr="00CD44FE">
        <w:t xml:space="preserve"> </w:t>
      </w:r>
      <w:r w:rsidR="001943EB">
        <w:t xml:space="preserve">The </w:t>
      </w:r>
      <w:r w:rsidR="00516BFF">
        <w:t xml:space="preserve">biosecurity industry </w:t>
      </w:r>
      <w:r w:rsidR="00ED3000">
        <w:t>participant must</w:t>
      </w:r>
      <w:r w:rsidR="009D56A9">
        <w:t xml:space="preserve"> h</w:t>
      </w:r>
      <w:r w:rsidR="00ED3FE1">
        <w:t xml:space="preserve">ave </w:t>
      </w:r>
      <w:r w:rsidR="008B476B">
        <w:t>a minimum of one</w:t>
      </w:r>
      <w:r w:rsidR="00ED3FE1" w:rsidRPr="00CD44FE">
        <w:t xml:space="preserve"> employed or contracted person who is accredited to undertake </w:t>
      </w:r>
      <w:r w:rsidR="00A250AB">
        <w:t xml:space="preserve">biosecurity </w:t>
      </w:r>
      <w:r w:rsidR="00C90E3C">
        <w:t>activities</w:t>
      </w:r>
      <w:r w:rsidR="00ED3FE1" w:rsidRPr="00CD44FE">
        <w:t xml:space="preserve"> under the </w:t>
      </w:r>
      <w:r w:rsidR="00567431">
        <w:t>class 19.1</w:t>
      </w:r>
      <w:r w:rsidR="00ED3FE1" w:rsidRPr="00CD44FE">
        <w:t xml:space="preserve"> </w:t>
      </w:r>
      <w:r w:rsidR="00D2181D">
        <w:t>approved arrangement</w:t>
      </w:r>
      <w:r w:rsidR="00ED3FE1" w:rsidRPr="00CD44FE">
        <w:t>.</w:t>
      </w:r>
    </w:p>
    <w:p w14:paraId="4048DCEE" w14:textId="394563A5" w:rsidR="00281517" w:rsidRPr="00CD44FE" w:rsidRDefault="006179FC" w:rsidP="005E2909">
      <w:r>
        <w:rPr>
          <w:rStyle w:val="Strong"/>
        </w:rPr>
        <w:t>Requirement</w:t>
      </w:r>
      <w:r w:rsidR="00374C4A" w:rsidRPr="005E2909">
        <w:rPr>
          <w:rStyle w:val="Strong"/>
        </w:rPr>
        <w:t xml:space="preserve"> </w:t>
      </w:r>
      <w:r w:rsidR="00BB3B36">
        <w:rPr>
          <w:rStyle w:val="Strong"/>
        </w:rPr>
        <w:t>3</w:t>
      </w:r>
      <w:r w:rsidR="00281517" w:rsidRPr="005E2909">
        <w:rPr>
          <w:rStyle w:val="Strong"/>
        </w:rPr>
        <w:t xml:space="preserve">: </w:t>
      </w:r>
      <w:r w:rsidR="0039312D">
        <w:t>When applying for an approved arrangement</w:t>
      </w:r>
      <w:r w:rsidR="00567431">
        <w:t xml:space="preserve">, </w:t>
      </w:r>
      <w:r w:rsidR="001943EB">
        <w:t xml:space="preserve">the </w:t>
      </w:r>
      <w:r w:rsidR="00516BFF">
        <w:t>biosecurity industry participant</w:t>
      </w:r>
      <w:r w:rsidR="001943EB">
        <w:t xml:space="preserve"> </w:t>
      </w:r>
      <w:r w:rsidR="00567431">
        <w:t xml:space="preserve">must </w:t>
      </w:r>
      <w:r w:rsidR="00B03FBC">
        <w:t>identify</w:t>
      </w:r>
      <w:r w:rsidR="00C90E3C">
        <w:t xml:space="preserve"> the</w:t>
      </w:r>
      <w:r w:rsidR="00281517" w:rsidRPr="00CD44FE">
        <w:t xml:space="preserve"> accredited persons </w:t>
      </w:r>
      <w:r w:rsidR="000258F8">
        <w:t xml:space="preserve">that will perform the approved activities </w:t>
      </w:r>
      <w:r w:rsidR="00AF5FBC">
        <w:t xml:space="preserve">on behalf of the </w:t>
      </w:r>
      <w:r w:rsidR="00516BFF">
        <w:t xml:space="preserve">biosecurity industry </w:t>
      </w:r>
      <w:r w:rsidR="0032577C">
        <w:t>participant</w:t>
      </w:r>
      <w:r w:rsidR="00B03FBC">
        <w:t xml:space="preserve"> and include</w:t>
      </w:r>
      <w:r w:rsidR="00812BD7">
        <w:t xml:space="preserve"> </w:t>
      </w:r>
      <w:r w:rsidR="00B03FBC">
        <w:t>t</w:t>
      </w:r>
      <w:r w:rsidR="00281517" w:rsidRPr="00CD44FE">
        <w:t>heir customs broker licence number</w:t>
      </w:r>
      <w:r w:rsidR="001D7C75">
        <w:t xml:space="preserve"> </w:t>
      </w:r>
      <w:r w:rsidR="00B03FBC">
        <w:t>as part of</w:t>
      </w:r>
      <w:r w:rsidR="00710B94">
        <w:t xml:space="preserve"> the application</w:t>
      </w:r>
      <w:r w:rsidR="00CB309F">
        <w:t>.</w:t>
      </w:r>
    </w:p>
    <w:p w14:paraId="7BE627D5" w14:textId="3780EB15" w:rsidR="00044130" w:rsidRDefault="004A1B2C" w:rsidP="005E2909">
      <w:r>
        <w:t>T</w:t>
      </w:r>
      <w:r w:rsidR="00212F2D" w:rsidRPr="00CD44FE">
        <w:t xml:space="preserve">raining and accreditation </w:t>
      </w:r>
      <w:r>
        <w:t xml:space="preserve">obligations </w:t>
      </w:r>
      <w:r w:rsidR="00212F2D" w:rsidRPr="00CD44FE">
        <w:t xml:space="preserve">under the </w:t>
      </w:r>
      <w:r w:rsidR="00771499">
        <w:t>approved arrangement</w:t>
      </w:r>
      <w:r w:rsidR="00212F2D" w:rsidRPr="00CD44FE">
        <w:t xml:space="preserve"> are available at</w:t>
      </w:r>
      <w:r w:rsidR="001211FB">
        <w:t xml:space="preserve"> </w:t>
      </w:r>
      <w:hyperlink r:id="rId29" w:anchor="accreditation-for-class-19-approved-arrangements" w:history="1">
        <w:r w:rsidR="00E17D4D">
          <w:rPr>
            <w:rStyle w:val="Hyperlink"/>
          </w:rPr>
          <w:t xml:space="preserve">Training and accreditation for class 19 approved </w:t>
        </w:r>
        <w:r w:rsidR="00E653BD">
          <w:rPr>
            <w:rStyle w:val="Hyperlink"/>
          </w:rPr>
          <w:t>arrangements</w:t>
        </w:r>
      </w:hyperlink>
      <w:hyperlink r:id="rId30" w:anchor="broker-accreditation" w:history="1">
        <w:r w:rsidR="00212F2D" w:rsidRPr="00FE3A17">
          <w:t>.</w:t>
        </w:r>
      </w:hyperlink>
    </w:p>
    <w:p w14:paraId="51E58AEF" w14:textId="4E1F8C42" w:rsidR="006179FC" w:rsidRDefault="006179FC" w:rsidP="00222EAC">
      <w:pPr>
        <w:pStyle w:val="Heading3"/>
      </w:pPr>
      <w:bookmarkStart w:id="21" w:name="_Toc105147370"/>
      <w:bookmarkStart w:id="22" w:name="_Toc501475892"/>
      <w:r>
        <w:t xml:space="preserve">Conditions </w:t>
      </w:r>
      <w:r w:rsidR="00CF22B8">
        <w:t>for</w:t>
      </w:r>
      <w:r w:rsidR="00F56F10">
        <w:t xml:space="preserve"> </w:t>
      </w:r>
      <w:r>
        <w:t>operating a Class 19.1 approved arrangement</w:t>
      </w:r>
      <w:bookmarkEnd w:id="21"/>
    </w:p>
    <w:p w14:paraId="78CABC55" w14:textId="61E6E86E" w:rsidR="0077088E" w:rsidRDefault="0077088E" w:rsidP="0077088E">
      <w:pPr>
        <w:pStyle w:val="ListBullet"/>
        <w:numPr>
          <w:ilvl w:val="0"/>
          <w:numId w:val="0"/>
        </w:numPr>
      </w:pPr>
      <w:r>
        <w:rPr>
          <w:rStyle w:val="Strong"/>
          <w:b w:val="0"/>
        </w:rPr>
        <w:t xml:space="preserve">The class 19.1 </w:t>
      </w:r>
      <w:r w:rsidR="00812BD7">
        <w:rPr>
          <w:rStyle w:val="Strong"/>
          <w:b w:val="0"/>
        </w:rPr>
        <w:t xml:space="preserve">approved </w:t>
      </w:r>
      <w:r>
        <w:rPr>
          <w:rStyle w:val="Strong"/>
          <w:b w:val="0"/>
        </w:rPr>
        <w:t xml:space="preserve">arrangement is subject to the following conditions that must be complied with. </w:t>
      </w:r>
    </w:p>
    <w:p w14:paraId="48E00F87" w14:textId="3DE32E04" w:rsidR="00461369" w:rsidRDefault="00775389" w:rsidP="006179FC">
      <w:pPr>
        <w:pStyle w:val="Heading4"/>
        <w:rPr>
          <w:sz w:val="32"/>
          <w:szCs w:val="32"/>
        </w:rPr>
      </w:pPr>
      <w:r w:rsidRPr="006179FC">
        <w:rPr>
          <w:sz w:val="32"/>
          <w:szCs w:val="32"/>
        </w:rPr>
        <w:t xml:space="preserve">General </w:t>
      </w:r>
      <w:bookmarkEnd w:id="22"/>
      <w:r w:rsidR="00B712E9" w:rsidRPr="006179FC">
        <w:rPr>
          <w:sz w:val="32"/>
          <w:szCs w:val="32"/>
        </w:rPr>
        <w:t>conditions</w:t>
      </w:r>
    </w:p>
    <w:p w14:paraId="2E5F10C9" w14:textId="0804AD04" w:rsidR="00BC1EAE" w:rsidRDefault="008B4F6F" w:rsidP="008B4F6F">
      <w:r>
        <w:rPr>
          <w:rStyle w:val="Strong"/>
        </w:rPr>
        <w:t>Condition 1</w:t>
      </w:r>
      <w:r w:rsidRPr="005E2909">
        <w:rPr>
          <w:rStyle w:val="Strong"/>
        </w:rPr>
        <w:t>:</w:t>
      </w:r>
      <w:r w:rsidRPr="00ED4CE4">
        <w:rPr>
          <w:b/>
        </w:rPr>
        <w:t xml:space="preserve"> </w:t>
      </w:r>
      <w:r w:rsidR="00FF4460">
        <w:t>A</w:t>
      </w:r>
      <w:r w:rsidR="00D61850">
        <w:t xml:space="preserve">ll </w:t>
      </w:r>
      <w:r>
        <w:t>a</w:t>
      </w:r>
      <w:r w:rsidRPr="00CD44FE">
        <w:t>ccredited persons</w:t>
      </w:r>
      <w:r w:rsidR="00D61850">
        <w:t xml:space="preserve"> employed or contracted by the </w:t>
      </w:r>
      <w:r w:rsidR="0032577C">
        <w:t>biosecurity industry participant</w:t>
      </w:r>
      <w:r w:rsidR="000965C2">
        <w:t xml:space="preserve"> </w:t>
      </w:r>
      <w:r w:rsidR="001943EB">
        <w:t xml:space="preserve">must </w:t>
      </w:r>
      <w:r w:rsidRPr="00CD44FE">
        <w:t xml:space="preserve">maintain </w:t>
      </w:r>
      <w:r>
        <w:t>their</w:t>
      </w:r>
      <w:r w:rsidRPr="00CD44FE">
        <w:t xml:space="preserve"> accreditation as stipulated by the </w:t>
      </w:r>
      <w:hyperlink r:id="rId31" w:anchor="accreditation-for-class-19-approved-arrangements" w:history="1">
        <w:r w:rsidR="00B9548C" w:rsidRPr="007723D0">
          <w:rPr>
            <w:rStyle w:val="Hyperlink"/>
          </w:rPr>
          <w:t>T</w:t>
        </w:r>
        <w:r w:rsidRPr="007723D0">
          <w:rPr>
            <w:rStyle w:val="Hyperlink"/>
          </w:rPr>
          <w:t xml:space="preserve">raining and accreditation </w:t>
        </w:r>
        <w:r w:rsidR="001943EB" w:rsidRPr="007723D0">
          <w:rPr>
            <w:rStyle w:val="Hyperlink"/>
          </w:rPr>
          <w:t xml:space="preserve">for </w:t>
        </w:r>
        <w:r w:rsidR="00227570">
          <w:rPr>
            <w:rStyle w:val="Hyperlink"/>
          </w:rPr>
          <w:t>class 19</w:t>
        </w:r>
        <w:r w:rsidR="00227570" w:rsidRPr="007723D0">
          <w:rPr>
            <w:rStyle w:val="Hyperlink"/>
          </w:rPr>
          <w:t xml:space="preserve"> </w:t>
        </w:r>
        <w:r w:rsidR="001943EB" w:rsidRPr="007723D0">
          <w:rPr>
            <w:rStyle w:val="Hyperlink"/>
          </w:rPr>
          <w:t>approved arrangements (class 19.1 and class 19.2)</w:t>
        </w:r>
      </w:hyperlink>
      <w:r w:rsidR="001943EB">
        <w:t xml:space="preserve"> </w:t>
      </w:r>
      <w:r w:rsidRPr="00CD44FE">
        <w:t>policy</w:t>
      </w:r>
      <w:r>
        <w:t>, including completing</w:t>
      </w:r>
      <w:r w:rsidRPr="00CD44FE">
        <w:t xml:space="preserve"> </w:t>
      </w:r>
      <w:hyperlink r:id="rId32" w:anchor="accreditation-for-class-19-approved-arrangements" w:history="1">
        <w:r w:rsidRPr="007723D0">
          <w:rPr>
            <w:rStyle w:val="Hyperlink"/>
          </w:rPr>
          <w:t>Cont</w:t>
        </w:r>
        <w:r w:rsidR="00B9548C" w:rsidRPr="007723D0">
          <w:rPr>
            <w:rStyle w:val="Hyperlink"/>
          </w:rPr>
          <w:t>inued b</w:t>
        </w:r>
        <w:r w:rsidRPr="007723D0">
          <w:rPr>
            <w:rStyle w:val="Hyperlink"/>
          </w:rPr>
          <w:t xml:space="preserve">iosecurity </w:t>
        </w:r>
        <w:r w:rsidR="00B9548C" w:rsidRPr="007723D0">
          <w:rPr>
            <w:rStyle w:val="Hyperlink"/>
          </w:rPr>
          <w:t>c</w:t>
        </w:r>
        <w:r w:rsidRPr="007723D0">
          <w:rPr>
            <w:rStyle w:val="Hyperlink"/>
          </w:rPr>
          <w:t>ompetency</w:t>
        </w:r>
      </w:hyperlink>
      <w:r w:rsidRPr="00CD44FE">
        <w:t xml:space="preserve"> </w:t>
      </w:r>
      <w:r w:rsidR="00206E0C">
        <w:t xml:space="preserve">(CBC) </w:t>
      </w:r>
      <w:r w:rsidRPr="00CD44FE">
        <w:t>training</w:t>
      </w:r>
      <w:r>
        <w:t xml:space="preserve"> each CBC </w:t>
      </w:r>
      <w:r w:rsidR="005C5D51">
        <w:t xml:space="preserve">period </w:t>
      </w:r>
      <w:r>
        <w:t>(1 April to 31 March)</w:t>
      </w:r>
      <w:r w:rsidRPr="00CD44FE">
        <w:t>.</w:t>
      </w:r>
    </w:p>
    <w:p w14:paraId="6980D834" w14:textId="207DC578" w:rsidR="008B4F6F" w:rsidRDefault="00BC1EAE" w:rsidP="008B4F6F">
      <w:r w:rsidRPr="00BC1EAE">
        <w:rPr>
          <w:b/>
        </w:rPr>
        <w:t>Condition 2:</w:t>
      </w:r>
      <w:r>
        <w:t xml:space="preserve"> </w:t>
      </w:r>
      <w:r w:rsidR="008835CC">
        <w:t>The biosecurity industry participant must ensure all employed or contracted persons lodging full import declarations are accredited at the time of lodgement</w:t>
      </w:r>
      <w:r w:rsidR="00C5253D">
        <w:t>.</w:t>
      </w:r>
    </w:p>
    <w:p w14:paraId="06CB123A" w14:textId="3A253198" w:rsidR="00007A2E" w:rsidRDefault="00BD2DE9" w:rsidP="00BD2DE9">
      <w:r>
        <w:rPr>
          <w:rStyle w:val="Strong"/>
        </w:rPr>
        <w:t xml:space="preserve">Condition </w:t>
      </w:r>
      <w:r w:rsidR="00BC1EAE">
        <w:rPr>
          <w:rStyle w:val="Strong"/>
        </w:rPr>
        <w:t>3</w:t>
      </w:r>
      <w:r w:rsidRPr="005E2909">
        <w:rPr>
          <w:rStyle w:val="Strong"/>
        </w:rPr>
        <w:t>:</w:t>
      </w:r>
      <w:r w:rsidRPr="00CD44FE">
        <w:t xml:space="preserve"> </w:t>
      </w:r>
      <w:r w:rsidR="00FF4460">
        <w:t>T</w:t>
      </w:r>
      <w:r>
        <w:t xml:space="preserve">he </w:t>
      </w:r>
      <w:r w:rsidR="002D12A9">
        <w:t xml:space="preserve">biosecurity industry participant </w:t>
      </w:r>
      <w:r>
        <w:t>must</w:t>
      </w:r>
      <w:r w:rsidR="00007A2E">
        <w:t xml:space="preserve"> notify the department in writing within 15 working days</w:t>
      </w:r>
      <w:r w:rsidR="001943EB">
        <w:t xml:space="preserve"> </w:t>
      </w:r>
      <w:r w:rsidR="008B476B">
        <w:t>regarding</w:t>
      </w:r>
      <w:r w:rsidR="001943EB">
        <w:t xml:space="preserve"> any of the following matters</w:t>
      </w:r>
      <w:r w:rsidR="00007A2E">
        <w:t>:</w:t>
      </w:r>
    </w:p>
    <w:p w14:paraId="3CA94510" w14:textId="15EBD5D0" w:rsidR="005F464F" w:rsidRDefault="00BD2DE9" w:rsidP="00CE7A16">
      <w:pPr>
        <w:pStyle w:val="ListBullet"/>
      </w:pPr>
      <w:r>
        <w:t>details of accredited persons who join or depart the approved arrangement</w:t>
      </w:r>
    </w:p>
    <w:p w14:paraId="44E51CA1" w14:textId="2554ED37" w:rsidR="00BD2DE9" w:rsidRDefault="00BD2DE9" w:rsidP="00CE7A16">
      <w:pPr>
        <w:pStyle w:val="ListBullet"/>
      </w:pPr>
      <w:r>
        <w:t xml:space="preserve">when </w:t>
      </w:r>
      <w:r w:rsidR="001943EB">
        <w:t>the approved arrangement</w:t>
      </w:r>
      <w:r>
        <w:t xml:space="preserve"> cease</w:t>
      </w:r>
      <w:r w:rsidR="001943EB">
        <w:t>s</w:t>
      </w:r>
      <w:r>
        <w:t xml:space="preserve"> to employ or contract at least one accredited person</w:t>
      </w:r>
    </w:p>
    <w:p w14:paraId="24255523" w14:textId="2D0528BE" w:rsidR="00007A2E" w:rsidRDefault="0077088E" w:rsidP="00631B76">
      <w:pPr>
        <w:pStyle w:val="ListBullet"/>
      </w:pPr>
      <w:r>
        <w:t xml:space="preserve">when the contact details or the approved arrangement manager </w:t>
      </w:r>
      <w:r w:rsidR="00631B76">
        <w:t xml:space="preserve">for the approved arrangement </w:t>
      </w:r>
      <w:r>
        <w:t>changes.</w:t>
      </w:r>
    </w:p>
    <w:p w14:paraId="349357D1" w14:textId="769A6E1F" w:rsidR="00BD2DE9" w:rsidRPr="00394D09" w:rsidRDefault="00BD2DE9" w:rsidP="00BD2DE9">
      <w:pPr>
        <w:rPr>
          <w:rFonts w:asciiTheme="majorHAnsi" w:hAnsiTheme="majorHAnsi" w:cstheme="majorHAnsi"/>
          <w:bCs/>
        </w:rPr>
      </w:pPr>
      <w:r>
        <w:rPr>
          <w:rStyle w:val="Strong"/>
        </w:rPr>
        <w:t xml:space="preserve">Condition </w:t>
      </w:r>
      <w:r w:rsidR="00BC1EAE">
        <w:rPr>
          <w:rStyle w:val="Strong"/>
        </w:rPr>
        <w:t>4</w:t>
      </w:r>
      <w:r w:rsidRPr="005E2909">
        <w:rPr>
          <w:rStyle w:val="Strong"/>
        </w:rPr>
        <w:t>:</w:t>
      </w:r>
      <w:r w:rsidRPr="00CD44FE">
        <w:t xml:space="preserve"> </w:t>
      </w:r>
      <w:r w:rsidR="008B476B">
        <w:t xml:space="preserve">The </w:t>
      </w:r>
      <w:r w:rsidR="0032577C">
        <w:t>biosecurity industry participant</w:t>
      </w:r>
      <w:r w:rsidR="000965C2">
        <w:t xml:space="preserve"> </w:t>
      </w:r>
      <w:r w:rsidR="008B476B" w:rsidRPr="00A30719">
        <w:rPr>
          <w:rFonts w:cstheme="majorHAnsi"/>
          <w:bCs/>
        </w:rPr>
        <w:t xml:space="preserve">must notify the department in writing within 15 working days of becoming aware of any change of status, of the </w:t>
      </w:r>
      <w:r w:rsidR="0032577C">
        <w:t>biosecurity industry participant</w:t>
      </w:r>
      <w:r w:rsidR="000965C2">
        <w:t xml:space="preserve"> </w:t>
      </w:r>
      <w:r w:rsidR="008B476B" w:rsidRPr="00A30719">
        <w:rPr>
          <w:rFonts w:cstheme="majorHAnsi"/>
          <w:bCs/>
        </w:rPr>
        <w:t xml:space="preserve">or their associates (including accredited persons) relevant to the operation of the </w:t>
      </w:r>
      <w:r w:rsidR="0032577C">
        <w:rPr>
          <w:rFonts w:cstheme="majorHAnsi"/>
          <w:bCs/>
        </w:rPr>
        <w:t>approved arrangement</w:t>
      </w:r>
      <w:r w:rsidR="008B476B">
        <w:rPr>
          <w:rFonts w:cstheme="majorHAnsi"/>
          <w:bCs/>
        </w:rPr>
        <w:t xml:space="preserve">, </w:t>
      </w:r>
      <w:r w:rsidR="008B476B" w:rsidRPr="00A30719">
        <w:rPr>
          <w:rFonts w:cstheme="majorHAnsi"/>
          <w:bCs/>
        </w:rPr>
        <w:t>not previously been notified to the department in relation to:</w:t>
      </w:r>
    </w:p>
    <w:p w14:paraId="139CC485" w14:textId="56D81A8D" w:rsidR="00BD2DE9" w:rsidRPr="00CF4E27" w:rsidRDefault="00BD2DE9" w:rsidP="00BD2DE9">
      <w:pPr>
        <w:pStyle w:val="ListBullet"/>
        <w:rPr>
          <w:rStyle w:val="Emphasis"/>
          <w:rFonts w:eastAsia="Cambria" w:cs="Segoe UI"/>
          <w:i w:val="0"/>
          <w:iCs w:val="0"/>
          <w:lang w:eastAsia="en-AU"/>
        </w:rPr>
      </w:pPr>
      <w:r>
        <w:t>conviction of an offence or order to pay a pecuniary penalty under the</w:t>
      </w:r>
      <w:r w:rsidR="00AE4725" w:rsidRPr="00AE4725">
        <w:rPr>
          <w:rStyle w:val="Emphasis"/>
          <w:i w:val="0"/>
        </w:rPr>
        <w:t xml:space="preserve"> Biosecurity Act</w:t>
      </w:r>
      <w:r>
        <w:t xml:space="preserve">, </w:t>
      </w:r>
      <w:r w:rsidRPr="00CF4E27">
        <w:rPr>
          <w:rStyle w:val="Emphasis"/>
        </w:rPr>
        <w:t>Customs Act 1901</w:t>
      </w:r>
      <w:r>
        <w:t xml:space="preserve">, Criminal Code or </w:t>
      </w:r>
      <w:r w:rsidRPr="00CF4E27">
        <w:rPr>
          <w:rStyle w:val="Emphasis"/>
        </w:rPr>
        <w:t>Crimes Act 1914</w:t>
      </w:r>
    </w:p>
    <w:p w14:paraId="002BE2C2" w14:textId="339D7F95" w:rsidR="00BD2DE9" w:rsidRDefault="00BD2DE9" w:rsidP="00BD2DE9">
      <w:pPr>
        <w:pStyle w:val="ListBullet"/>
      </w:pPr>
      <w:r>
        <w:t>debt to the Commonwealth that is more than 28 days overdue</w:t>
      </w:r>
      <w:r w:rsidRPr="0001239B">
        <w:t xml:space="preserve"> </w:t>
      </w:r>
      <w:r>
        <w:t>under the</w:t>
      </w:r>
      <w:r w:rsidRPr="00DE558F">
        <w:rPr>
          <w:rStyle w:val="Emphasis"/>
        </w:rPr>
        <w:t xml:space="preserve"> </w:t>
      </w:r>
      <w:r w:rsidR="00AE4725" w:rsidRPr="00AE4725">
        <w:rPr>
          <w:rStyle w:val="Emphasis"/>
          <w:i w:val="0"/>
        </w:rPr>
        <w:t>Biosecurity Act</w:t>
      </w:r>
      <w:r w:rsidR="00AE4725">
        <w:rPr>
          <w:rStyle w:val="Emphasis"/>
        </w:rPr>
        <w:t>,</w:t>
      </w:r>
      <w:r>
        <w:t xml:space="preserve"> </w:t>
      </w:r>
      <w:r>
        <w:rPr>
          <w:rStyle w:val="Emphasis"/>
        </w:rPr>
        <w:t>Customs Act 1901</w:t>
      </w:r>
      <w:r>
        <w:t xml:space="preserve">, Criminal Code or </w:t>
      </w:r>
      <w:r>
        <w:rPr>
          <w:rStyle w:val="Emphasis"/>
        </w:rPr>
        <w:t>Crimes Act 1914</w:t>
      </w:r>
    </w:p>
    <w:p w14:paraId="2EA6E80C" w14:textId="39E7344B" w:rsidR="00BD2DE9" w:rsidRDefault="00BD2DE9" w:rsidP="00BD2DE9">
      <w:pPr>
        <w:pStyle w:val="ListBullet"/>
      </w:pPr>
      <w:r>
        <w:t xml:space="preserve">refusal, involuntary suspension, involuntary revocation/cancellation or involuntary variation of an import permit, </w:t>
      </w:r>
      <w:r w:rsidR="002D12A9">
        <w:t>approved arrangement</w:t>
      </w:r>
      <w:r w:rsidR="000965C2">
        <w:t xml:space="preserve"> </w:t>
      </w:r>
      <w:r>
        <w:t xml:space="preserve">site, or </w:t>
      </w:r>
      <w:r w:rsidR="002D12A9">
        <w:t xml:space="preserve">approved arrangement </w:t>
      </w:r>
      <w:r>
        <w:t xml:space="preserve">under the </w:t>
      </w:r>
      <w:r w:rsidRPr="00AE4725">
        <w:rPr>
          <w:rStyle w:val="Emphasis"/>
          <w:i w:val="0"/>
        </w:rPr>
        <w:t>Biosecurity Act</w:t>
      </w:r>
      <w:r>
        <w:t>.</w:t>
      </w:r>
    </w:p>
    <w:p w14:paraId="257E9631" w14:textId="4721B44B" w:rsidR="00BD2DE9" w:rsidRDefault="00BD2DE9" w:rsidP="00BD2DE9">
      <w:r>
        <w:rPr>
          <w:rStyle w:val="Strong"/>
        </w:rPr>
        <w:lastRenderedPageBreak/>
        <w:t xml:space="preserve">Condition </w:t>
      </w:r>
      <w:r w:rsidR="00BC1EAE">
        <w:rPr>
          <w:rStyle w:val="Strong"/>
        </w:rPr>
        <w:t>5</w:t>
      </w:r>
      <w:r w:rsidRPr="005E2909">
        <w:rPr>
          <w:rStyle w:val="Strong"/>
        </w:rPr>
        <w:t>:</w:t>
      </w:r>
      <w:r w:rsidRPr="00CD44FE">
        <w:t xml:space="preserve"> </w:t>
      </w:r>
      <w:r w:rsidR="00FF4460">
        <w:t>The</w:t>
      </w:r>
      <w:r w:rsidRPr="00CD44FE">
        <w:t xml:space="preserve"> department </w:t>
      </w:r>
      <w:r>
        <w:t xml:space="preserve">must be notified </w:t>
      </w:r>
      <w:r w:rsidRPr="00CD44FE">
        <w:t xml:space="preserve">of any </w:t>
      </w:r>
      <w:hyperlink r:id="rId33" w:history="1">
        <w:r w:rsidRPr="007723D0">
          <w:rPr>
            <w:rStyle w:val="Hyperlink"/>
          </w:rPr>
          <w:t>reportable biosecurity incident</w:t>
        </w:r>
      </w:hyperlink>
      <w:r w:rsidRPr="00CD44FE">
        <w:t xml:space="preserve"> as soon as practicable, in accordance with the determination made by the Director of Biosecurity.</w:t>
      </w:r>
    </w:p>
    <w:p w14:paraId="01939919" w14:textId="6601C67D" w:rsidR="00494169" w:rsidRDefault="00007D28" w:rsidP="005E2909">
      <w:r>
        <w:rPr>
          <w:rStyle w:val="Strong"/>
        </w:rPr>
        <w:t xml:space="preserve">Condition </w:t>
      </w:r>
      <w:r w:rsidR="00BC1EAE">
        <w:rPr>
          <w:rStyle w:val="Strong"/>
        </w:rPr>
        <w:t>6</w:t>
      </w:r>
      <w:r w:rsidR="009644FC" w:rsidRPr="005E2909">
        <w:rPr>
          <w:rStyle w:val="Strong"/>
        </w:rPr>
        <w:t>:</w:t>
      </w:r>
      <w:r w:rsidR="009644FC" w:rsidRPr="00CD44FE">
        <w:rPr>
          <w:b/>
        </w:rPr>
        <w:t xml:space="preserve"> </w:t>
      </w:r>
      <w:r w:rsidR="00FF4460">
        <w:t>T</w:t>
      </w:r>
      <w:r w:rsidR="00FC419D">
        <w:t xml:space="preserve">he </w:t>
      </w:r>
      <w:r w:rsidR="0032577C">
        <w:t xml:space="preserve">biosecurity industry participant </w:t>
      </w:r>
      <w:r w:rsidR="00FC419D">
        <w:t xml:space="preserve">must provide </w:t>
      </w:r>
      <w:r>
        <w:t>s</w:t>
      </w:r>
      <w:r w:rsidR="008B7AFC" w:rsidRPr="00CD44FE">
        <w:t xml:space="preserve">ite access </w:t>
      </w:r>
      <w:r w:rsidR="008B7AFC" w:rsidRPr="008F7ABB">
        <w:t>to biosecurity officers, biosecurity enforcement officers and department</w:t>
      </w:r>
      <w:r w:rsidR="00206E0C">
        <w:t xml:space="preserve"> </w:t>
      </w:r>
      <w:r w:rsidR="008B7AFC" w:rsidRPr="008F7ABB">
        <w:t xml:space="preserve">approved auditors to perform the functions and exercise the powers </w:t>
      </w:r>
      <w:r w:rsidR="00C5253D">
        <w:t>granted</w:t>
      </w:r>
      <w:r w:rsidR="008B7AFC" w:rsidRPr="008F7ABB">
        <w:t xml:space="preserve"> </w:t>
      </w:r>
      <w:r w:rsidR="00C5253D">
        <w:t>to</w:t>
      </w:r>
      <w:r w:rsidR="008B7AFC" w:rsidRPr="008F7ABB">
        <w:t xml:space="preserve"> them by the </w:t>
      </w:r>
      <w:r w:rsidR="008B7AFC" w:rsidRPr="00AE4725">
        <w:rPr>
          <w:rStyle w:val="Emphasis"/>
          <w:i w:val="0"/>
        </w:rPr>
        <w:t>Biosecurity Act</w:t>
      </w:r>
      <w:r w:rsidR="00206E0C">
        <w:t xml:space="preserve"> </w:t>
      </w:r>
      <w:r w:rsidR="008B7AFC" w:rsidRPr="008F7ABB">
        <w:t>or another law of the Commonwealth.</w:t>
      </w:r>
    </w:p>
    <w:p w14:paraId="31BC5B74" w14:textId="6CE52B78" w:rsidR="008B7AFC" w:rsidRDefault="00007D28" w:rsidP="005E2909">
      <w:r>
        <w:rPr>
          <w:rStyle w:val="Strong"/>
        </w:rPr>
        <w:t xml:space="preserve">Condition </w:t>
      </w:r>
      <w:r w:rsidR="00BC1EAE">
        <w:rPr>
          <w:rStyle w:val="Strong"/>
        </w:rPr>
        <w:t>7</w:t>
      </w:r>
      <w:r w:rsidR="009644FC" w:rsidRPr="005E2909">
        <w:rPr>
          <w:rStyle w:val="Strong"/>
        </w:rPr>
        <w:t>:</w:t>
      </w:r>
      <w:r w:rsidR="009644FC" w:rsidRPr="00CD44FE">
        <w:t xml:space="preserve"> </w:t>
      </w:r>
      <w:r w:rsidR="00FF4460">
        <w:t>The</w:t>
      </w:r>
      <w:r w:rsidR="00FC419D">
        <w:t xml:space="preserve"> </w:t>
      </w:r>
      <w:r w:rsidR="002D12A9">
        <w:t xml:space="preserve">biosecurity industry participant </w:t>
      </w:r>
      <w:r w:rsidR="00FC419D">
        <w:t xml:space="preserve">must provide </w:t>
      </w:r>
      <w:r w:rsidR="00AA7ED2">
        <w:t>d</w:t>
      </w:r>
      <w:r w:rsidR="008B7AFC">
        <w:t xml:space="preserve">epartmental </w:t>
      </w:r>
      <w:r w:rsidR="00D307E8">
        <w:t xml:space="preserve">biosecurity officers, auditors </w:t>
      </w:r>
      <w:r w:rsidR="008B7AFC">
        <w:t>or department</w:t>
      </w:r>
      <w:r w:rsidR="00567431">
        <w:t>-</w:t>
      </w:r>
      <w:r w:rsidR="008B7AFC" w:rsidRPr="008F7ABB">
        <w:t>approved auditors with facilities and assistance as requested</w:t>
      </w:r>
      <w:r w:rsidR="004B6F89">
        <w:t>,</w:t>
      </w:r>
      <w:r w:rsidR="008B7AFC" w:rsidRPr="008F7ABB">
        <w:t xml:space="preserve"> and any required documents</w:t>
      </w:r>
      <w:r w:rsidR="005008EB">
        <w:t xml:space="preserve"> (including electronic documents)</w:t>
      </w:r>
      <w:r w:rsidR="008B7AFC" w:rsidRPr="008F7ABB">
        <w:t xml:space="preserve">, records or </w:t>
      </w:r>
      <w:r w:rsidR="00567431">
        <w:t>items</w:t>
      </w:r>
      <w:r w:rsidR="00567431" w:rsidRPr="008F7ABB">
        <w:t xml:space="preserve"> </w:t>
      </w:r>
      <w:r w:rsidR="008B7AFC" w:rsidRPr="008F7ABB">
        <w:t>relevant to the audit.</w:t>
      </w:r>
    </w:p>
    <w:p w14:paraId="327C7793" w14:textId="539E9E64" w:rsidR="008B7AFC" w:rsidRDefault="00007D28" w:rsidP="005E2909">
      <w:r>
        <w:rPr>
          <w:rStyle w:val="Strong"/>
        </w:rPr>
        <w:t xml:space="preserve">Condition </w:t>
      </w:r>
      <w:r w:rsidR="00BC1EAE">
        <w:rPr>
          <w:rStyle w:val="Strong"/>
        </w:rPr>
        <w:t>8</w:t>
      </w:r>
      <w:r w:rsidR="009644FC" w:rsidRPr="005E2909">
        <w:rPr>
          <w:rStyle w:val="Strong"/>
        </w:rPr>
        <w:t>:</w:t>
      </w:r>
      <w:r w:rsidR="009644FC" w:rsidRPr="00CD44FE">
        <w:t xml:space="preserve"> </w:t>
      </w:r>
      <w:r w:rsidR="00FF4460">
        <w:t>The</w:t>
      </w:r>
      <w:r w:rsidR="00D307E8">
        <w:t xml:space="preserve"> </w:t>
      </w:r>
      <w:r w:rsidR="002D12A9">
        <w:t xml:space="preserve">biosecurity industry participant </w:t>
      </w:r>
      <w:r w:rsidR="00D307E8">
        <w:t xml:space="preserve">must allow </w:t>
      </w:r>
      <w:r>
        <w:t>d</w:t>
      </w:r>
      <w:r w:rsidR="006C3547">
        <w:t xml:space="preserve">epartmental </w:t>
      </w:r>
      <w:r w:rsidR="00D307E8">
        <w:t xml:space="preserve">biosecurity officers, auditors </w:t>
      </w:r>
      <w:r w:rsidR="006C3547">
        <w:t>or d</w:t>
      </w:r>
      <w:r w:rsidR="00DD3EF1" w:rsidRPr="00AE6B94">
        <w:t xml:space="preserve">epartment-approved auditors to </w:t>
      </w:r>
      <w:r w:rsidR="005008EB">
        <w:t>examine documents</w:t>
      </w:r>
      <w:r w:rsidR="007E4C8B">
        <w:t xml:space="preserve"> (including electronic documents)</w:t>
      </w:r>
      <w:r w:rsidR="007E4C8B" w:rsidRPr="00AE6B94">
        <w:t xml:space="preserve"> </w:t>
      </w:r>
      <w:r w:rsidR="005008EB">
        <w:t xml:space="preserve">and </w:t>
      </w:r>
      <w:r w:rsidR="00DD3EF1" w:rsidRPr="00AE6B94">
        <w:t>collect evidence of compliance and non-</w:t>
      </w:r>
      <w:r w:rsidR="00206E0C">
        <w:t>c</w:t>
      </w:r>
      <w:r w:rsidR="00DD3EF1" w:rsidRPr="00AE6B94">
        <w:t xml:space="preserve">ompliance with </w:t>
      </w:r>
      <w:r w:rsidR="00D2181D">
        <w:t>approved arrangement</w:t>
      </w:r>
      <w:r w:rsidR="00DD3EF1" w:rsidRPr="00AE6B94">
        <w:t xml:space="preserve"> </w:t>
      </w:r>
      <w:r w:rsidR="00F27D41">
        <w:t>condition</w:t>
      </w:r>
      <w:r w:rsidR="00DD3EF1" w:rsidRPr="00AE6B94">
        <w:t>s by performing actions such as copying documents</w:t>
      </w:r>
      <w:r w:rsidR="005008EB">
        <w:t xml:space="preserve"> </w:t>
      </w:r>
      <w:r w:rsidR="00DD3EF1" w:rsidRPr="00AE6B94">
        <w:t>and taking photographs.</w:t>
      </w:r>
    </w:p>
    <w:p w14:paraId="0CBDB350" w14:textId="722D9E3F" w:rsidR="003B1C22" w:rsidRPr="006179FC" w:rsidRDefault="00DF3F14" w:rsidP="006179FC">
      <w:pPr>
        <w:pStyle w:val="Heading4"/>
        <w:rPr>
          <w:sz w:val="32"/>
          <w:szCs w:val="32"/>
        </w:rPr>
      </w:pPr>
      <w:bookmarkStart w:id="23" w:name="_Toc501475893"/>
      <w:r w:rsidRPr="006179FC">
        <w:rPr>
          <w:sz w:val="32"/>
          <w:szCs w:val="32"/>
        </w:rPr>
        <w:t xml:space="preserve">Operating </w:t>
      </w:r>
      <w:bookmarkEnd w:id="23"/>
      <w:r w:rsidR="003003BC" w:rsidRPr="006179FC">
        <w:rPr>
          <w:sz w:val="32"/>
          <w:szCs w:val="32"/>
        </w:rPr>
        <w:t>conditions</w:t>
      </w:r>
    </w:p>
    <w:p w14:paraId="4A8B1001" w14:textId="528BAAF2" w:rsidR="002759E5" w:rsidRPr="00CD44FE" w:rsidRDefault="003003BC" w:rsidP="005E2909">
      <w:r>
        <w:rPr>
          <w:rStyle w:val="Strong"/>
        </w:rPr>
        <w:t xml:space="preserve">Condition </w:t>
      </w:r>
      <w:r w:rsidR="00BC1EAE">
        <w:rPr>
          <w:rStyle w:val="Strong"/>
        </w:rPr>
        <w:t>9</w:t>
      </w:r>
      <w:r w:rsidR="002939D2" w:rsidRPr="005E2909">
        <w:rPr>
          <w:rStyle w:val="Strong"/>
        </w:rPr>
        <w:t>:</w:t>
      </w:r>
      <w:r w:rsidR="002939D2" w:rsidRPr="00CD44FE">
        <w:t xml:space="preserve"> </w:t>
      </w:r>
      <w:r w:rsidR="00FF4460">
        <w:t>O</w:t>
      </w:r>
      <w:r w:rsidR="0017781F">
        <w:t>nly a</w:t>
      </w:r>
      <w:r w:rsidR="002759E5" w:rsidRPr="00CD44FE">
        <w:t xml:space="preserve">ccredited persons </w:t>
      </w:r>
      <w:r w:rsidR="008B1DFE">
        <w:t xml:space="preserve">are </w:t>
      </w:r>
      <w:r w:rsidR="00E3023D">
        <w:t>to</w:t>
      </w:r>
      <w:r w:rsidR="00E3023D" w:rsidRPr="00CD44FE">
        <w:t xml:space="preserve"> </w:t>
      </w:r>
      <w:r w:rsidR="001D407A">
        <w:t xml:space="preserve">assess </w:t>
      </w:r>
      <w:r w:rsidR="002759E5" w:rsidRPr="00CD44FE">
        <w:t xml:space="preserve">all </w:t>
      </w:r>
      <w:r w:rsidR="00DF0BB1" w:rsidRPr="00CD44FE">
        <w:t>non</w:t>
      </w:r>
      <w:r w:rsidR="002759E5" w:rsidRPr="00CD44FE">
        <w:t>-commodity documentation</w:t>
      </w:r>
      <w:r w:rsidR="007C45EC">
        <w:t xml:space="preserve">, </w:t>
      </w:r>
      <w:r w:rsidR="00054C4E">
        <w:t>k</w:t>
      </w:r>
      <w:r w:rsidR="007C45EC">
        <w:t>hapra beetle concerns</w:t>
      </w:r>
      <w:r w:rsidR="00511498">
        <w:t xml:space="preserve"> for containers</w:t>
      </w:r>
      <w:r w:rsidR="002759E5" w:rsidRPr="00CD44FE">
        <w:t xml:space="preserve"> </w:t>
      </w:r>
      <w:r w:rsidR="001D407A">
        <w:t xml:space="preserve">and </w:t>
      </w:r>
      <w:r w:rsidR="003F2840" w:rsidRPr="005E2909">
        <w:t>unpack destination postcodes</w:t>
      </w:r>
      <w:r w:rsidR="003F2840" w:rsidRPr="00CD44FE">
        <w:t xml:space="preserve"> </w:t>
      </w:r>
      <w:r w:rsidR="001D407A" w:rsidRPr="00CD44FE">
        <w:t>for FCL</w:t>
      </w:r>
      <w:r w:rsidR="001D407A">
        <w:t>/FCX and LCL</w:t>
      </w:r>
      <w:r w:rsidR="001D407A" w:rsidRPr="00CD44FE">
        <w:t xml:space="preserve"> sea freight</w:t>
      </w:r>
      <w:r w:rsidR="001D407A" w:rsidRPr="00CD44FE" w:rsidDel="001D407A">
        <w:t xml:space="preserve"> </w:t>
      </w:r>
      <w:r w:rsidR="006D1555">
        <w:t>utilising</w:t>
      </w:r>
      <w:r w:rsidR="002759E5" w:rsidRPr="00CD44FE">
        <w:t xml:space="preserve"> the</w:t>
      </w:r>
      <w:r w:rsidR="00CD44FE">
        <w:t xml:space="preserve"> most current versions of the</w:t>
      </w:r>
      <w:r w:rsidR="00DF0BB1" w:rsidRPr="00CD44FE">
        <w:t>:</w:t>
      </w:r>
    </w:p>
    <w:p w14:paraId="728F7B73" w14:textId="5A56CBFA" w:rsidR="00DF0BB1" w:rsidRPr="007723D0" w:rsidRDefault="00206E0C" w:rsidP="009E70D9">
      <w:pPr>
        <w:pStyle w:val="ListBullet"/>
        <w:rPr>
          <w:rStyle w:val="Hyperlink"/>
        </w:rPr>
      </w:pPr>
      <w:r>
        <w:rPr>
          <w:rStyle w:val="Hyperlink"/>
        </w:rPr>
        <w:fldChar w:fldCharType="begin"/>
      </w:r>
      <w:r w:rsidR="00AC599A">
        <w:rPr>
          <w:rStyle w:val="Hyperlink"/>
        </w:rPr>
        <w:instrText>HYPERLINK "http://www.awe.gov.au/import/arrival/clearance-inspection/documentary-requirements/minimum-document-requirements-policy"</w:instrText>
      </w:r>
      <w:r>
        <w:rPr>
          <w:rStyle w:val="Hyperlink"/>
        </w:rPr>
        <w:fldChar w:fldCharType="separate"/>
      </w:r>
      <w:r w:rsidR="00DF0BB1" w:rsidRPr="007723D0">
        <w:rPr>
          <w:rStyle w:val="Hyperlink"/>
        </w:rPr>
        <w:t>Minimum documentary and import declaration requirements policy</w:t>
      </w:r>
    </w:p>
    <w:p w14:paraId="7B7842C3" w14:textId="62DF14CB" w:rsidR="00036A51" w:rsidRPr="007723D0" w:rsidRDefault="00206E0C" w:rsidP="00036A51">
      <w:pPr>
        <w:pStyle w:val="ListBullet"/>
        <w:rPr>
          <w:rStyle w:val="Hyperlink"/>
        </w:rPr>
      </w:pPr>
      <w:r>
        <w:rPr>
          <w:rStyle w:val="Hyperlink"/>
        </w:rPr>
        <w:fldChar w:fldCharType="end"/>
      </w:r>
      <w:hyperlink r:id="rId34" w:history="1">
        <w:r w:rsidR="00DF0BB1" w:rsidRPr="007723D0">
          <w:rPr>
            <w:rStyle w:val="Hyperlink"/>
          </w:rPr>
          <w:t>Non-commodity information requirements policy</w:t>
        </w:r>
      </w:hyperlink>
    </w:p>
    <w:p w14:paraId="4C892088" w14:textId="26129206" w:rsidR="00B76858" w:rsidRPr="007723D0" w:rsidRDefault="00C03B04" w:rsidP="00036A51">
      <w:pPr>
        <w:pStyle w:val="ListBullet"/>
        <w:rPr>
          <w:rStyle w:val="Hyperlink"/>
        </w:rPr>
      </w:pPr>
      <w:hyperlink r:id="rId35" w:history="1">
        <w:r w:rsidR="00B76858" w:rsidRPr="007723D0">
          <w:rPr>
            <w:rStyle w:val="Hyperlink"/>
          </w:rPr>
          <w:t>BICON import conditions</w:t>
        </w:r>
      </w:hyperlink>
      <w:r w:rsidR="00F77F57" w:rsidRPr="007723D0">
        <w:rPr>
          <w:rStyle w:val="Hyperlink"/>
        </w:rPr>
        <w:t>.</w:t>
      </w:r>
    </w:p>
    <w:p w14:paraId="057FDAF3" w14:textId="0F0D53B0" w:rsidR="00DF0BB1" w:rsidRDefault="00036A51" w:rsidP="00642B30">
      <w:r>
        <w:rPr>
          <w:rStyle w:val="Strong"/>
        </w:rPr>
        <w:t xml:space="preserve">Condition </w:t>
      </w:r>
      <w:r w:rsidR="00BC1EAE">
        <w:rPr>
          <w:rStyle w:val="Strong"/>
        </w:rPr>
        <w:t>10</w:t>
      </w:r>
      <w:r w:rsidRPr="005E2909">
        <w:rPr>
          <w:rStyle w:val="Strong"/>
        </w:rPr>
        <w:t>:</w:t>
      </w:r>
      <w:r>
        <w:rPr>
          <w:b/>
        </w:rPr>
        <w:t xml:space="preserve"> </w:t>
      </w:r>
      <w:r w:rsidR="00FF4460">
        <w:t>A</w:t>
      </w:r>
      <w:r w:rsidRPr="002002C8">
        <w:t>ccredited person</w:t>
      </w:r>
      <w:r>
        <w:t xml:space="preserve">s must provide </w:t>
      </w:r>
      <w:r w:rsidRPr="002002C8">
        <w:t>information in the</w:t>
      </w:r>
      <w:r>
        <w:t xml:space="preserve"> import</w:t>
      </w:r>
      <w:r w:rsidRPr="002002C8">
        <w:t xml:space="preserve"> declaration </w:t>
      </w:r>
      <w:r>
        <w:t xml:space="preserve">that </w:t>
      </w:r>
      <w:r w:rsidRPr="002002C8">
        <w:t xml:space="preserve">accurately reflects the consignment </w:t>
      </w:r>
      <w:r w:rsidR="00926B9E">
        <w:t>noting that</w:t>
      </w:r>
      <w:r w:rsidR="00926B9E" w:rsidRPr="002002C8">
        <w:t xml:space="preserve"> </w:t>
      </w:r>
      <w:r w:rsidRPr="002002C8">
        <w:t xml:space="preserve">all necessary </w:t>
      </w:r>
      <w:r w:rsidR="00547A4C">
        <w:t xml:space="preserve">information </w:t>
      </w:r>
      <w:r w:rsidRPr="002002C8">
        <w:t xml:space="preserve">fields </w:t>
      </w:r>
      <w:r w:rsidR="00ED043D" w:rsidRPr="002002C8">
        <w:t xml:space="preserve">that are specific </w:t>
      </w:r>
      <w:r w:rsidRPr="002002C8">
        <w:t>to biosecurity are compl</w:t>
      </w:r>
      <w:r>
        <w:t>eted</w:t>
      </w:r>
      <w:r w:rsidR="00547A4C">
        <w:t xml:space="preserve"> as required by </w:t>
      </w:r>
      <w:r>
        <w:t xml:space="preserve">the </w:t>
      </w:r>
      <w:hyperlink r:id="rId36" w:history="1">
        <w:r w:rsidRPr="007723D0">
          <w:rPr>
            <w:rStyle w:val="Hyperlink"/>
          </w:rPr>
          <w:t>Minimum documentary and import declaration requirements policy</w:t>
        </w:r>
      </w:hyperlink>
      <w:r w:rsidRPr="007723D0">
        <w:rPr>
          <w:rStyle w:val="Hyperlink"/>
        </w:rPr>
        <w:t>.</w:t>
      </w:r>
    </w:p>
    <w:p w14:paraId="13010D88" w14:textId="5F715318" w:rsidR="00BC1EAE" w:rsidRDefault="00547A4C" w:rsidP="00547A4C">
      <w:pPr>
        <w:rPr>
          <w:rStyle w:val="Hyperlink"/>
        </w:rPr>
      </w:pPr>
      <w:r>
        <w:rPr>
          <w:rStyle w:val="Strong"/>
        </w:rPr>
        <w:t xml:space="preserve">Condition </w:t>
      </w:r>
      <w:r w:rsidR="006475B6">
        <w:rPr>
          <w:rStyle w:val="Strong"/>
        </w:rPr>
        <w:t>1</w:t>
      </w:r>
      <w:r w:rsidR="00BC1EAE">
        <w:rPr>
          <w:rStyle w:val="Strong"/>
        </w:rPr>
        <w:t>1</w:t>
      </w:r>
      <w:r w:rsidRPr="005E2909">
        <w:rPr>
          <w:rStyle w:val="Strong"/>
        </w:rPr>
        <w:t>:</w:t>
      </w:r>
      <w:r>
        <w:t xml:space="preserve"> </w:t>
      </w:r>
      <w:r w:rsidR="00FF4460">
        <w:t>A</w:t>
      </w:r>
      <w:r>
        <w:t xml:space="preserve">ccredited persons must be in possession of all the documents required </w:t>
      </w:r>
      <w:r w:rsidR="000D048E">
        <w:t xml:space="preserve">per relevant BICON </w:t>
      </w:r>
      <w:r w:rsidR="00FC611E">
        <w:t xml:space="preserve">import </w:t>
      </w:r>
      <w:r w:rsidR="000D048E">
        <w:t>conditions</w:t>
      </w:r>
      <w:r w:rsidR="00BC1EAE">
        <w:t xml:space="preserve"> and</w:t>
      </w:r>
      <w:r w:rsidR="00575648">
        <w:t xml:space="preserve"> the</w:t>
      </w:r>
      <w:r w:rsidR="00D81024">
        <w:t xml:space="preserve"> </w:t>
      </w:r>
      <w:hyperlink r:id="rId37" w:history="1">
        <w:r w:rsidR="00B76858" w:rsidRPr="007723D0">
          <w:rPr>
            <w:rStyle w:val="Hyperlink"/>
          </w:rPr>
          <w:t>N</w:t>
        </w:r>
        <w:r w:rsidR="00D81024" w:rsidRPr="007723D0">
          <w:rPr>
            <w:rStyle w:val="Hyperlink"/>
          </w:rPr>
          <w:t>on-commodity information requirements policy</w:t>
        </w:r>
      </w:hyperlink>
      <w:r w:rsidR="009B4D25" w:rsidRPr="007723D0">
        <w:rPr>
          <w:rStyle w:val="Hyperlink"/>
        </w:rPr>
        <w:t>.</w:t>
      </w:r>
    </w:p>
    <w:p w14:paraId="3B60FE93" w14:textId="4E5F9B6C" w:rsidR="00547A4C" w:rsidRDefault="00BC1EAE" w:rsidP="00547A4C">
      <w:r w:rsidRPr="008708CF">
        <w:rPr>
          <w:rStyle w:val="Strong"/>
        </w:rPr>
        <w:t>Condition 12:</w:t>
      </w:r>
      <w:r w:rsidR="00D81024" w:rsidRPr="00BC1EAE">
        <w:t xml:space="preserve"> </w:t>
      </w:r>
      <w:r w:rsidR="00FF4460">
        <w:t>A</w:t>
      </w:r>
      <w:r w:rsidR="001B5E79">
        <w:t xml:space="preserve">ccredited persons must be in possession of </w:t>
      </w:r>
      <w:r>
        <w:t xml:space="preserve">documentation </w:t>
      </w:r>
      <w:r w:rsidR="001B5E79">
        <w:t xml:space="preserve">that </w:t>
      </w:r>
      <w:r>
        <w:t>meets</w:t>
      </w:r>
      <w:r w:rsidR="00BD3AD5">
        <w:t xml:space="preserve"> </w:t>
      </w:r>
      <w:r w:rsidR="00547A4C">
        <w:t xml:space="preserve">the </w:t>
      </w:r>
      <w:hyperlink r:id="rId38" w:history="1">
        <w:r w:rsidR="00547A4C" w:rsidRPr="007723D0">
          <w:rPr>
            <w:rStyle w:val="Hyperlink"/>
          </w:rPr>
          <w:t>Minimum documentary and import declaration requirements policy</w:t>
        </w:r>
      </w:hyperlink>
      <w:r w:rsidR="00547A4C">
        <w:rPr>
          <w:rStyle w:val="Hyperlink"/>
        </w:rPr>
        <w:t xml:space="preserve"> </w:t>
      </w:r>
      <w:r w:rsidR="00547A4C">
        <w:t xml:space="preserve">prior to the full import declaration being lodged </w:t>
      </w:r>
      <w:r w:rsidR="00AE2B63">
        <w:t>under the approved arrangement</w:t>
      </w:r>
      <w:r w:rsidR="000D048E">
        <w:t>.</w:t>
      </w:r>
    </w:p>
    <w:p w14:paraId="30D02D4A" w14:textId="2B4A370D" w:rsidR="00A2067F" w:rsidRDefault="00A2067F" w:rsidP="00547A4C">
      <w:r w:rsidRPr="00122DE7">
        <w:rPr>
          <w:rStyle w:val="Strong"/>
        </w:rPr>
        <w:t>Condition 13:</w:t>
      </w:r>
      <w:r>
        <w:t xml:space="preserve"> </w:t>
      </w:r>
      <w:r w:rsidR="00F013E3">
        <w:t>Accredited persons must present all documentation assessed to generate an automated direction for a consignment to the department at the initial request for documentation (this includes provid</w:t>
      </w:r>
      <w:r w:rsidR="004267CE">
        <w:t>ing documentation in the Cargo o</w:t>
      </w:r>
      <w:r w:rsidR="00F013E3">
        <w:t xml:space="preserve">nline </w:t>
      </w:r>
      <w:r w:rsidR="004267CE">
        <w:t>l</w:t>
      </w:r>
      <w:r w:rsidR="00F013E3">
        <w:t xml:space="preserve">odgement </w:t>
      </w:r>
      <w:r w:rsidR="004267CE">
        <w:t>s</w:t>
      </w:r>
      <w:r w:rsidR="00F013E3">
        <w:t>ystem (COLS)</w:t>
      </w:r>
      <w:r w:rsidR="000E0C9A">
        <w:t>.</w:t>
      </w:r>
    </w:p>
    <w:p w14:paraId="7D07243D" w14:textId="0F8D182E" w:rsidR="00F02812" w:rsidRPr="002B1B07" w:rsidRDefault="003003BC" w:rsidP="005E2909">
      <w:pPr>
        <w:rPr>
          <w:color w:val="165788"/>
          <w:u w:val="single"/>
        </w:rPr>
      </w:pPr>
      <w:r>
        <w:rPr>
          <w:rStyle w:val="Strong"/>
        </w:rPr>
        <w:t xml:space="preserve">Condition </w:t>
      </w:r>
      <w:r w:rsidR="00E75532">
        <w:rPr>
          <w:rStyle w:val="Strong"/>
        </w:rPr>
        <w:t>1</w:t>
      </w:r>
      <w:r w:rsidR="00FD69FC">
        <w:rPr>
          <w:rStyle w:val="Strong"/>
        </w:rPr>
        <w:t>4</w:t>
      </w:r>
      <w:r w:rsidR="002939D2" w:rsidRPr="005E2909">
        <w:rPr>
          <w:rStyle w:val="Strong"/>
        </w:rPr>
        <w:t>:</w:t>
      </w:r>
      <w:r w:rsidR="002939D2" w:rsidRPr="006D1555">
        <w:t xml:space="preserve"> </w:t>
      </w:r>
      <w:r w:rsidR="000E0C9A">
        <w:t>A</w:t>
      </w:r>
      <w:r w:rsidR="007B1ECB" w:rsidRPr="00BC08DD">
        <w:t>ccredited persons</w:t>
      </w:r>
      <w:r w:rsidR="007B1ECB" w:rsidRPr="00BC08DD" w:rsidDel="0024783C">
        <w:t xml:space="preserve"> </w:t>
      </w:r>
      <w:r w:rsidR="00E3023D" w:rsidRPr="00BC08DD">
        <w:t xml:space="preserve">must </w:t>
      </w:r>
      <w:r w:rsidR="00B75A30" w:rsidRPr="005E2909">
        <w:t xml:space="preserve">correctly answer the department’s non-commodity general declaration questions in the </w:t>
      </w:r>
      <w:r w:rsidR="00E4231F">
        <w:t xml:space="preserve">ICS </w:t>
      </w:r>
      <w:r w:rsidR="00B75A30" w:rsidRPr="005E2909">
        <w:t>and declar</w:t>
      </w:r>
      <w:r w:rsidR="00E3023D" w:rsidRPr="005E2909">
        <w:t>e</w:t>
      </w:r>
      <w:r w:rsidR="00B75A30" w:rsidRPr="005E2909">
        <w:t xml:space="preserve"> all non-commodity concern types</w:t>
      </w:r>
      <w:r w:rsidR="009615CD" w:rsidRPr="005E2909">
        <w:t>.</w:t>
      </w:r>
      <w:r w:rsidR="000965C2">
        <w:t xml:space="preserve"> </w:t>
      </w:r>
      <w:r w:rsidR="00F02812">
        <w:t>W</w:t>
      </w:r>
      <w:r w:rsidR="00F02812" w:rsidRPr="00FA6195">
        <w:rPr>
          <w:bCs/>
        </w:rPr>
        <w:t>here no non commodity conce</w:t>
      </w:r>
      <w:r w:rsidR="00F02812">
        <w:rPr>
          <w:bCs/>
        </w:rPr>
        <w:t>r</w:t>
      </w:r>
      <w:r w:rsidR="00F02812" w:rsidRPr="00FA6195">
        <w:rPr>
          <w:bCs/>
        </w:rPr>
        <w:t xml:space="preserve">n types have been identified </w:t>
      </w:r>
      <w:r w:rsidR="00820301">
        <w:rPr>
          <w:bCs/>
        </w:rPr>
        <w:t xml:space="preserve">other than delivery of an FCL/X container to </w:t>
      </w:r>
      <w:r w:rsidR="00820301">
        <w:rPr>
          <w:bCs/>
        </w:rPr>
        <w:lastRenderedPageBreak/>
        <w:t xml:space="preserve">a rural destination postcode, </w:t>
      </w:r>
      <w:r w:rsidR="00F02812">
        <w:rPr>
          <w:bCs/>
        </w:rPr>
        <w:t>a</w:t>
      </w:r>
      <w:r w:rsidR="00F02812" w:rsidRPr="00FA6195">
        <w:rPr>
          <w:bCs/>
        </w:rPr>
        <w:t>ccredited pe</w:t>
      </w:r>
      <w:r w:rsidR="00F02812">
        <w:rPr>
          <w:bCs/>
        </w:rPr>
        <w:t>r</w:t>
      </w:r>
      <w:r w:rsidR="00F02812" w:rsidRPr="00FA6195">
        <w:rPr>
          <w:bCs/>
        </w:rPr>
        <w:t>son</w:t>
      </w:r>
      <w:r w:rsidR="00D9468B">
        <w:rPr>
          <w:bCs/>
        </w:rPr>
        <w:t>s</w:t>
      </w:r>
      <w:r w:rsidR="00F02812" w:rsidRPr="00FA6195">
        <w:rPr>
          <w:bCs/>
        </w:rPr>
        <w:t xml:space="preserve"> may use concern types</w:t>
      </w:r>
      <w:r w:rsidR="00F02812">
        <w:rPr>
          <w:b/>
        </w:rPr>
        <w:t xml:space="preserve"> </w:t>
      </w:r>
      <w:r w:rsidR="00F02812" w:rsidRPr="002B1B07">
        <w:t xml:space="preserve">RUAA </w:t>
      </w:r>
      <w:r w:rsidR="00820301" w:rsidRPr="002B1B07">
        <w:t>or</w:t>
      </w:r>
      <w:r w:rsidR="00F02812" w:rsidRPr="002B1B07">
        <w:t xml:space="preserve"> R</w:t>
      </w:r>
      <w:r w:rsidR="00AB6F63" w:rsidRPr="002B1B07">
        <w:t>EA</w:t>
      </w:r>
      <w:r w:rsidR="00F02812" w:rsidRPr="002B1B07">
        <w:t>A.</w:t>
      </w:r>
      <w:r w:rsidR="00F02812" w:rsidRPr="00E55CEE">
        <w:t xml:space="preserve"> </w:t>
      </w:r>
      <w:r w:rsidR="002B1888" w:rsidRPr="005E2909">
        <w:t xml:space="preserve">The method of reporting </w:t>
      </w:r>
      <w:r w:rsidR="006D1555" w:rsidRPr="005E2909">
        <w:t xml:space="preserve">must comply with </w:t>
      </w:r>
      <w:r w:rsidR="00F27D41">
        <w:t>condition</w:t>
      </w:r>
      <w:r w:rsidR="006D1555" w:rsidRPr="005E2909">
        <w:t xml:space="preserve"> 1</w:t>
      </w:r>
      <w:r w:rsidR="00F013E3">
        <w:t>0</w:t>
      </w:r>
      <w:r w:rsidR="006B2646" w:rsidRPr="005E2909">
        <w:t xml:space="preserve"> </w:t>
      </w:r>
      <w:r w:rsidR="006B2646" w:rsidRPr="00BC08DD">
        <w:t xml:space="preserve">and </w:t>
      </w:r>
      <w:hyperlink w:anchor="_Appendix_1._Reporting" w:history="1">
        <w:r w:rsidR="00E4231F" w:rsidRPr="008708CF">
          <w:rPr>
            <w:rStyle w:val="Hyperlink"/>
          </w:rPr>
          <w:t>Appendix 1: Reporting guide</w:t>
        </w:r>
      </w:hyperlink>
      <w:r w:rsidR="00F77F57" w:rsidRPr="008708CF">
        <w:rPr>
          <w:rStyle w:val="Hyperlink"/>
        </w:rPr>
        <w:t>.</w:t>
      </w:r>
      <w:r w:rsidR="00A50CA2" w:rsidRPr="00A50CA2">
        <w:rPr>
          <w:color w:val="165788"/>
          <w:u w:val="single"/>
        </w:rPr>
        <w:t xml:space="preserve"> </w:t>
      </w:r>
    </w:p>
    <w:p w14:paraId="4CDD355D" w14:textId="2505334C" w:rsidR="00F02812" w:rsidRDefault="003003BC" w:rsidP="005E2909">
      <w:r>
        <w:rPr>
          <w:rStyle w:val="Strong"/>
        </w:rPr>
        <w:t xml:space="preserve">Condition </w:t>
      </w:r>
      <w:r w:rsidR="00E75532">
        <w:rPr>
          <w:rStyle w:val="Strong"/>
        </w:rPr>
        <w:t>1</w:t>
      </w:r>
      <w:r w:rsidR="00FD69FC">
        <w:rPr>
          <w:rStyle w:val="Strong"/>
        </w:rPr>
        <w:t>5</w:t>
      </w:r>
      <w:r w:rsidR="00246956" w:rsidRPr="005E2909">
        <w:rPr>
          <w:rStyle w:val="Strong"/>
        </w:rPr>
        <w:t>:</w:t>
      </w:r>
      <w:r w:rsidR="00246956">
        <w:rPr>
          <w:b/>
        </w:rPr>
        <w:t xml:space="preserve"> </w:t>
      </w:r>
      <w:r w:rsidR="000E0C9A">
        <w:t>A</w:t>
      </w:r>
      <w:r w:rsidR="007F7CBE">
        <w:t xml:space="preserve">ccredited persons </w:t>
      </w:r>
      <w:r w:rsidR="00AE3F28">
        <w:t xml:space="preserve">must </w:t>
      </w:r>
      <w:r w:rsidR="007F7CBE">
        <w:t xml:space="preserve">enter an </w:t>
      </w:r>
      <w:r w:rsidR="00D2181D">
        <w:t xml:space="preserve">approved arrangement </w:t>
      </w:r>
      <w:r w:rsidR="007F7CBE">
        <w:t>site number into the AQIS Location field in the ICS for concern types other than BCOM</w:t>
      </w:r>
      <w:r w:rsidR="008934E7">
        <w:t>,</w:t>
      </w:r>
      <w:r w:rsidR="007F7CBE">
        <w:t xml:space="preserve"> BNCC</w:t>
      </w:r>
      <w:r w:rsidR="008934E7">
        <w:t xml:space="preserve"> or KPRA</w:t>
      </w:r>
      <w:r w:rsidR="007F7CBE">
        <w:t xml:space="preserve"> to ensure that a location is assigned to the biosecurity direction. The </w:t>
      </w:r>
      <w:r w:rsidR="00D2181D">
        <w:t xml:space="preserve">approved arrangement </w:t>
      </w:r>
      <w:r w:rsidR="007F7CBE">
        <w:t>site location must be a</w:t>
      </w:r>
      <w:r w:rsidR="00CA454E">
        <w:t>n appropriate</w:t>
      </w:r>
      <w:r w:rsidR="003F3D15">
        <w:t xml:space="preserve"> </w:t>
      </w:r>
      <w:r w:rsidR="004A356E">
        <w:t>c</w:t>
      </w:r>
      <w:r w:rsidR="007F7CBE">
        <w:t>lass</w:t>
      </w:r>
      <w:r w:rsidR="00F56F10">
        <w:t xml:space="preserve"> to perform the directed biosecurity activity</w:t>
      </w:r>
      <w:r w:rsidR="00371FCF">
        <w:t>.</w:t>
      </w:r>
      <w:r w:rsidR="00F02812">
        <w:t xml:space="preserve"> </w:t>
      </w:r>
    </w:p>
    <w:p w14:paraId="73DB4C2E" w14:textId="7E325E6A" w:rsidR="007F7CBE" w:rsidRDefault="00F02812" w:rsidP="005E2909">
      <w:r>
        <w:t xml:space="preserve">For concern types </w:t>
      </w:r>
      <w:r w:rsidRPr="002B1B07">
        <w:t>RUAA and RE</w:t>
      </w:r>
      <w:r w:rsidR="00AB6F63">
        <w:t>A</w:t>
      </w:r>
      <w:r w:rsidRPr="002B1B07">
        <w:t>A</w:t>
      </w:r>
      <w:r w:rsidRPr="00F02812">
        <w:t xml:space="preserve"> </w:t>
      </w:r>
      <w:r>
        <w:t>the approved arrangement site location must be a</w:t>
      </w:r>
      <w:r w:rsidR="004908FA">
        <w:t xml:space="preserve"> </w:t>
      </w:r>
      <w:r>
        <w:t>Class 14.4</w:t>
      </w:r>
      <w:r w:rsidR="00AB6F63">
        <w:t>.</w:t>
      </w:r>
    </w:p>
    <w:p w14:paraId="0A48C11A" w14:textId="0CB73298" w:rsidR="00E55CEE" w:rsidRDefault="006E7DF8" w:rsidP="005E2909">
      <w:r>
        <w:t xml:space="preserve">For a list of </w:t>
      </w:r>
      <w:r w:rsidR="00D2181D">
        <w:t xml:space="preserve">approved arrangement </w:t>
      </w:r>
      <w:r>
        <w:t>sites and their premise</w:t>
      </w:r>
      <w:r w:rsidR="0043223E">
        <w:t>s</w:t>
      </w:r>
      <w:r>
        <w:t xml:space="preserve"> ID, see </w:t>
      </w:r>
      <w:hyperlink r:id="rId39" w:anchor="vic1.1" w:history="1">
        <w:r w:rsidR="00960600" w:rsidRPr="008708CF">
          <w:rPr>
            <w:rStyle w:val="Hyperlink"/>
          </w:rPr>
          <w:t>sites operating under an approved arrangement</w:t>
        </w:r>
      </w:hyperlink>
      <w:r>
        <w:t xml:space="preserve"> on the department’s website.</w:t>
      </w:r>
    </w:p>
    <w:p w14:paraId="4D8A3FB6" w14:textId="6BE65DF8" w:rsidR="00882123" w:rsidRDefault="003003BC" w:rsidP="003003BC">
      <w:r>
        <w:rPr>
          <w:rStyle w:val="Strong"/>
        </w:rPr>
        <w:t xml:space="preserve">Condition </w:t>
      </w:r>
      <w:r w:rsidR="00E75532">
        <w:rPr>
          <w:rStyle w:val="Strong"/>
        </w:rPr>
        <w:t>1</w:t>
      </w:r>
      <w:r w:rsidR="00FD69FC">
        <w:rPr>
          <w:rStyle w:val="Strong"/>
        </w:rPr>
        <w:t>6</w:t>
      </w:r>
      <w:r w:rsidRPr="005E2909">
        <w:rPr>
          <w:rStyle w:val="Strong"/>
        </w:rPr>
        <w:t>:</w:t>
      </w:r>
      <w:r>
        <w:rPr>
          <w:b/>
        </w:rPr>
        <w:t xml:space="preserve"> </w:t>
      </w:r>
      <w:r w:rsidR="000E0C9A">
        <w:t>A</w:t>
      </w:r>
      <w:r w:rsidR="00547A4C" w:rsidRPr="00547A4C">
        <w:t>ccredited persons must</w:t>
      </w:r>
      <w:r w:rsidR="00547A4C">
        <w:rPr>
          <w:b/>
        </w:rPr>
        <w:t xml:space="preserve"> </w:t>
      </w:r>
      <w:r w:rsidR="00BB637E">
        <w:t>enter</w:t>
      </w:r>
      <w:r w:rsidR="00547A4C">
        <w:t xml:space="preserve"> the treatment provider</w:t>
      </w:r>
      <w:r w:rsidR="00BB637E">
        <w:t>’</w:t>
      </w:r>
      <w:r w:rsidR="00547A4C">
        <w:t>s AQIS/agriculture entity identifier (AEI) in the AEI field</w:t>
      </w:r>
      <w:r w:rsidR="00D81024">
        <w:t xml:space="preserve"> in the ICS</w:t>
      </w:r>
      <w:r w:rsidR="00454901">
        <w:t xml:space="preserve"> </w:t>
      </w:r>
      <w:r w:rsidR="00547A4C">
        <w:t>w</w:t>
      </w:r>
      <w:r>
        <w:t xml:space="preserve">here a consignment has been treated </w:t>
      </w:r>
      <w:r w:rsidR="002D0284">
        <w:t xml:space="preserve">by an </w:t>
      </w:r>
      <w:r>
        <w:t>offshore</w:t>
      </w:r>
      <w:r w:rsidR="00454901">
        <w:t xml:space="preserve"> treatment</w:t>
      </w:r>
      <w:r>
        <w:t xml:space="preserve"> provider</w:t>
      </w:r>
      <w:r w:rsidR="00454901">
        <w:t>,</w:t>
      </w:r>
      <w:r w:rsidR="00D81024">
        <w:t xml:space="preserve"> </w:t>
      </w:r>
      <w:r w:rsidR="00D603E7">
        <w:t>to address</w:t>
      </w:r>
      <w:r w:rsidR="00D81024">
        <w:t xml:space="preserve"> BICON conditions for </w:t>
      </w:r>
      <w:r w:rsidR="00BC1EAE">
        <w:t xml:space="preserve">the </w:t>
      </w:r>
      <w:r w:rsidR="00BB637E">
        <w:t>relevant biosecurity concern (</w:t>
      </w:r>
      <w:r w:rsidR="00E653BD">
        <w:t>i.e.,</w:t>
      </w:r>
      <w:r w:rsidR="00BB637E">
        <w:t xml:space="preserve"> </w:t>
      </w:r>
      <w:r w:rsidR="00D81024">
        <w:t>non-commodity and/or hitchhiker pests</w:t>
      </w:r>
      <w:r w:rsidR="00BB637E">
        <w:t>)</w:t>
      </w:r>
      <w:r w:rsidR="00547A4C">
        <w:t>.</w:t>
      </w:r>
      <w:r w:rsidR="00454901">
        <w:t xml:space="preserve"> </w:t>
      </w:r>
      <w:r w:rsidR="00882123">
        <w:t>AEI number</w:t>
      </w:r>
      <w:r w:rsidR="00454901">
        <w:t>s must be entered in accordance with</w:t>
      </w:r>
      <w:r w:rsidR="00882123">
        <w:t xml:space="preserve"> </w:t>
      </w:r>
      <w:hyperlink r:id="rId40" w:history="1">
        <w:r w:rsidR="00882123" w:rsidRPr="008708CF">
          <w:rPr>
            <w:rStyle w:val="Hyperlink"/>
          </w:rPr>
          <w:t>Entity Identifier webpage.</w:t>
        </w:r>
      </w:hyperlink>
    </w:p>
    <w:p w14:paraId="6764DA14" w14:textId="21D80631" w:rsidR="00E75532" w:rsidRDefault="00E75532" w:rsidP="00E75532">
      <w:r>
        <w:rPr>
          <w:rStyle w:val="Strong"/>
        </w:rPr>
        <w:t>Condition 1</w:t>
      </w:r>
      <w:r w:rsidR="00FD69FC">
        <w:rPr>
          <w:rStyle w:val="Strong"/>
        </w:rPr>
        <w:t>7</w:t>
      </w:r>
      <w:r w:rsidRPr="005E2909">
        <w:rPr>
          <w:rStyle w:val="Strong"/>
        </w:rPr>
        <w:t>:</w:t>
      </w:r>
      <w:r w:rsidRPr="00CD44FE">
        <w:t xml:space="preserve"> </w:t>
      </w:r>
      <w:r w:rsidR="000E0C9A">
        <w:t>T</w:t>
      </w:r>
      <w:r>
        <w:t xml:space="preserve">he </w:t>
      </w:r>
      <w:r w:rsidR="002D12A9">
        <w:t xml:space="preserve">biosecurity industry participant </w:t>
      </w:r>
      <w:r w:rsidRPr="00D13D2D">
        <w:t xml:space="preserve">must ensure that biosecurity directions </w:t>
      </w:r>
      <w:r w:rsidRPr="00B33001">
        <w:t xml:space="preserve">are </w:t>
      </w:r>
      <w:r>
        <w:t xml:space="preserve">carried out </w:t>
      </w:r>
      <w:r w:rsidR="0043223E">
        <w:t xml:space="preserve">or arranged to be carried out </w:t>
      </w:r>
      <w:r w:rsidRPr="00B33001">
        <w:t xml:space="preserve">within the </w:t>
      </w:r>
      <w:r w:rsidR="003F3D15">
        <w:t xml:space="preserve">designated AIMS </w:t>
      </w:r>
      <w:r w:rsidRPr="00B33001">
        <w:t>direction timeframe.</w:t>
      </w:r>
    </w:p>
    <w:p w14:paraId="230F1453" w14:textId="15241A9A" w:rsidR="00E75532" w:rsidRDefault="00451F1E" w:rsidP="00E75532">
      <w:r>
        <w:t>As the primary receiver of biosecurity directions, t</w:t>
      </w:r>
      <w:r w:rsidR="00E75532" w:rsidRPr="00B33001">
        <w:t xml:space="preserve">he </w:t>
      </w:r>
      <w:r w:rsidR="002D12A9">
        <w:t xml:space="preserve">biosecurity industry participant </w:t>
      </w:r>
      <w:r w:rsidR="00C5253D">
        <w:t xml:space="preserve">is responsible for the goods and </w:t>
      </w:r>
      <w:r>
        <w:t xml:space="preserve">required to do the </w:t>
      </w:r>
      <w:r w:rsidR="00693F01">
        <w:t xml:space="preserve">following </w:t>
      </w:r>
      <w:r>
        <w:t>to support of the direction</w:t>
      </w:r>
      <w:r w:rsidR="00E75532">
        <w:t>:</w:t>
      </w:r>
    </w:p>
    <w:p w14:paraId="148B6C94" w14:textId="10A02A4E" w:rsidR="00E75532" w:rsidRDefault="00693F01" w:rsidP="00BF09F0">
      <w:pPr>
        <w:pStyle w:val="ListBullet"/>
      </w:pPr>
      <w:r>
        <w:t>arrange inspection activities</w:t>
      </w:r>
    </w:p>
    <w:p w14:paraId="43D114A0" w14:textId="2B6BC11B" w:rsidR="00E75532" w:rsidRDefault="00E75532" w:rsidP="00BF09F0">
      <w:pPr>
        <w:pStyle w:val="ListBullet"/>
      </w:pPr>
      <w:r w:rsidRPr="00B33001">
        <w:t>provide</w:t>
      </w:r>
      <w:r w:rsidR="00FA1906">
        <w:t xml:space="preserve"> </w:t>
      </w:r>
      <w:r w:rsidR="00715DA0">
        <w:t xml:space="preserve">non class 19 </w:t>
      </w:r>
      <w:r w:rsidR="00FA1906">
        <w:t xml:space="preserve">approved arrangements </w:t>
      </w:r>
      <w:r w:rsidRPr="00B33001">
        <w:t>with</w:t>
      </w:r>
      <w:r w:rsidR="00715DA0">
        <w:t xml:space="preserve"> the</w:t>
      </w:r>
      <w:r w:rsidRPr="00B33001">
        <w:t xml:space="preserve"> biosecurity directions to be carried out </w:t>
      </w:r>
      <w:r w:rsidR="00715DA0">
        <w:t xml:space="preserve">(e.g., inspection/treatment location) </w:t>
      </w:r>
      <w:r w:rsidRPr="00B33001">
        <w:t xml:space="preserve">within the </w:t>
      </w:r>
      <w:r w:rsidR="00693F01">
        <w:t xml:space="preserve">AIMS </w:t>
      </w:r>
      <w:r w:rsidRPr="00B33001">
        <w:t>direction timeframe</w:t>
      </w:r>
    </w:p>
    <w:p w14:paraId="53E0138F" w14:textId="1E1D48F1" w:rsidR="008B044B" w:rsidRDefault="008B044B" w:rsidP="00BF09F0">
      <w:pPr>
        <w:pStyle w:val="ListBullet"/>
      </w:pPr>
      <w:r>
        <w:t xml:space="preserve">provide </w:t>
      </w:r>
      <w:r w:rsidR="00715DA0">
        <w:t xml:space="preserve">non-approved arrangement </w:t>
      </w:r>
      <w:r>
        <w:t xml:space="preserve">third parties with </w:t>
      </w:r>
      <w:r w:rsidR="00715DA0">
        <w:t xml:space="preserve">the </w:t>
      </w:r>
      <w:r>
        <w:t xml:space="preserve">biosecurity directions to be carried out </w:t>
      </w:r>
      <w:r w:rsidR="00715DA0">
        <w:t xml:space="preserve">(e.g., transport/logistics providers who move containers) </w:t>
      </w:r>
      <w:r>
        <w:t xml:space="preserve">within the </w:t>
      </w:r>
      <w:r w:rsidR="00FA1906">
        <w:t xml:space="preserve">AIMS direction </w:t>
      </w:r>
      <w:r>
        <w:t>timeframe</w:t>
      </w:r>
    </w:p>
    <w:p w14:paraId="61A2C5A9" w14:textId="3A5380E8" w:rsidR="00D418F3" w:rsidRDefault="00D418F3" w:rsidP="00BF09F0">
      <w:pPr>
        <w:pStyle w:val="ListBullet"/>
      </w:pPr>
      <w:r>
        <w:t xml:space="preserve">present any documentation as specified </w:t>
      </w:r>
      <w:r w:rsidR="00715DA0">
        <w:t>in the</w:t>
      </w:r>
      <w:r>
        <w:t xml:space="preserve"> AIMS directions</w:t>
      </w:r>
      <w:r w:rsidR="00F013E3">
        <w:t xml:space="preserve"> when </w:t>
      </w:r>
      <w:r w:rsidR="003C3655">
        <w:t>required</w:t>
      </w:r>
      <w:r w:rsidR="00AA1E72">
        <w:t>.</w:t>
      </w:r>
    </w:p>
    <w:p w14:paraId="630C3BF4" w14:textId="7F096F9C" w:rsidR="00E75532" w:rsidRDefault="008B4A57" w:rsidP="00E75532">
      <w:pPr>
        <w:rPr>
          <w:rStyle w:val="Strong"/>
        </w:rPr>
      </w:pPr>
      <w:r w:rsidRPr="008B4A57">
        <w:rPr>
          <w:rStyle w:val="Strong"/>
        </w:rPr>
        <w:t>Condition 18:</w:t>
      </w:r>
      <w:r>
        <w:t xml:space="preserve"> </w:t>
      </w:r>
      <w:r w:rsidR="00724DDB">
        <w:t>W</w:t>
      </w:r>
      <w:r w:rsidR="00E75532">
        <w:t xml:space="preserve">here a consignment has bypassed biosecurity </w:t>
      </w:r>
      <w:r w:rsidR="0077088E">
        <w:t>control</w:t>
      </w:r>
      <w:r w:rsidR="00E75532">
        <w:t xml:space="preserve">, the </w:t>
      </w:r>
      <w:r w:rsidR="002D12A9">
        <w:t xml:space="preserve">biosecurity industry participant </w:t>
      </w:r>
      <w:r w:rsidR="00E75532">
        <w:t xml:space="preserve">must be able to provide </w:t>
      </w:r>
      <w:r w:rsidR="0043223E">
        <w:t xml:space="preserve">evidence </w:t>
      </w:r>
      <w:r w:rsidR="00E75532">
        <w:t xml:space="preserve">that all relevant directions were passed onto third parties </w:t>
      </w:r>
      <w:r w:rsidR="007014AF">
        <w:t>within the</w:t>
      </w:r>
      <w:r w:rsidR="000D1AB1">
        <w:t xml:space="preserve"> </w:t>
      </w:r>
      <w:r w:rsidR="007014AF">
        <w:t>AIMS direction timeframe</w:t>
      </w:r>
      <w:r w:rsidR="00E75532">
        <w:t>.</w:t>
      </w:r>
    </w:p>
    <w:p w14:paraId="4B5BC8F8" w14:textId="3871ACFD" w:rsidR="000C716D" w:rsidRDefault="003003BC" w:rsidP="009E70D9">
      <w:r>
        <w:rPr>
          <w:rStyle w:val="Strong"/>
        </w:rPr>
        <w:t xml:space="preserve">Condition </w:t>
      </w:r>
      <w:r w:rsidR="008B4F6F">
        <w:rPr>
          <w:rStyle w:val="Strong"/>
        </w:rPr>
        <w:t>1</w:t>
      </w:r>
      <w:r w:rsidR="008B4A57">
        <w:rPr>
          <w:rStyle w:val="Strong"/>
        </w:rPr>
        <w:t>9</w:t>
      </w:r>
      <w:r w:rsidR="000C716D" w:rsidRPr="005E2909">
        <w:rPr>
          <w:rStyle w:val="Strong"/>
        </w:rPr>
        <w:t>:</w:t>
      </w:r>
      <w:r w:rsidR="000C716D">
        <w:t xml:space="preserve"> </w:t>
      </w:r>
      <w:r w:rsidR="000E0C9A">
        <w:t>T</w:t>
      </w:r>
      <w:r w:rsidR="00BC1EAE">
        <w:t xml:space="preserve">he </w:t>
      </w:r>
      <w:r w:rsidR="002D12A9">
        <w:t xml:space="preserve">biosecurity industry participant </w:t>
      </w:r>
      <w:r w:rsidR="00BC1EAE">
        <w:t>and</w:t>
      </w:r>
      <w:r w:rsidR="000E0C9A">
        <w:t>/or</w:t>
      </w:r>
      <w:r w:rsidR="00BC1EAE">
        <w:t xml:space="preserve"> </w:t>
      </w:r>
      <w:r>
        <w:t>a</w:t>
      </w:r>
      <w:r w:rsidR="000C716D">
        <w:t>ccredited person</w:t>
      </w:r>
      <w:r w:rsidR="00256FDA">
        <w:t>s</w:t>
      </w:r>
      <w:r w:rsidR="000C716D">
        <w:t xml:space="preserve"> must not manipulate biosecurity goods management </w:t>
      </w:r>
      <w:r w:rsidR="0022464C">
        <w:t>to gain a favourable and preferred outcome.</w:t>
      </w:r>
    </w:p>
    <w:p w14:paraId="006E4A82" w14:textId="280BB0F4" w:rsidR="00D16458" w:rsidRDefault="00D16458" w:rsidP="009E70D9">
      <w:r>
        <w:rPr>
          <w:rStyle w:val="Strong"/>
        </w:rPr>
        <w:t xml:space="preserve">Condition </w:t>
      </w:r>
      <w:r w:rsidR="008B4A57">
        <w:rPr>
          <w:rStyle w:val="Strong"/>
        </w:rPr>
        <w:t>20</w:t>
      </w:r>
      <w:r w:rsidRPr="005E2909">
        <w:rPr>
          <w:rStyle w:val="Strong"/>
        </w:rPr>
        <w:t>:</w:t>
      </w:r>
      <w:r w:rsidRPr="00246956">
        <w:t xml:space="preserve"> </w:t>
      </w:r>
      <w:r w:rsidR="000E0C9A">
        <w:t>I</w:t>
      </w:r>
      <w:r w:rsidRPr="003F17B3">
        <w:t xml:space="preserve">f </w:t>
      </w:r>
      <w:r>
        <w:t>an</w:t>
      </w:r>
      <w:r w:rsidRPr="003F17B3">
        <w:t xml:space="preserve"> </w:t>
      </w:r>
      <w:r w:rsidR="00122DE7" w:rsidRPr="003F17B3">
        <w:t>accredited person requests amendment</w:t>
      </w:r>
      <w:r w:rsidRPr="003F17B3">
        <w:t xml:space="preserve"> to documentation, they must document the </w:t>
      </w:r>
      <w:r w:rsidR="00BC1EAE">
        <w:t xml:space="preserve">time, date, type of </w:t>
      </w:r>
      <w:r w:rsidRPr="003F17B3">
        <w:t xml:space="preserve">request and </w:t>
      </w:r>
      <w:r w:rsidR="00BC1EAE">
        <w:t xml:space="preserve">amendment made and the time, </w:t>
      </w:r>
      <w:r w:rsidR="00451F1E">
        <w:t>date,</w:t>
      </w:r>
      <w:r w:rsidR="00BC1EAE">
        <w:t xml:space="preserve"> and </w:t>
      </w:r>
      <w:r w:rsidRPr="003F17B3">
        <w:t xml:space="preserve">response </w:t>
      </w:r>
      <w:r>
        <w:t xml:space="preserve">from the </w:t>
      </w:r>
      <w:r w:rsidR="00BC1EAE">
        <w:t>issuer of the document.</w:t>
      </w:r>
      <w:r w:rsidR="000965C2">
        <w:t xml:space="preserve"> </w:t>
      </w:r>
      <w:r w:rsidR="00BC1EAE">
        <w:t xml:space="preserve">The accredited person must </w:t>
      </w:r>
      <w:r w:rsidRPr="003F17B3">
        <w:t>retain th</w:t>
      </w:r>
      <w:r w:rsidR="00BC1EAE">
        <w:t>e correspondence</w:t>
      </w:r>
      <w:r w:rsidRPr="003F17B3">
        <w:t xml:space="preserve"> as part of the documentation clearance </w:t>
      </w:r>
      <w:r>
        <w:t>of</w:t>
      </w:r>
      <w:r w:rsidRPr="003F17B3">
        <w:t xml:space="preserve"> the consignment</w:t>
      </w:r>
      <w:r>
        <w:t>.</w:t>
      </w:r>
    </w:p>
    <w:p w14:paraId="205EDA1B" w14:textId="77777777" w:rsidR="00F8078A" w:rsidRDefault="00F8078A">
      <w:pPr>
        <w:spacing w:after="0" w:line="240" w:lineRule="auto"/>
        <w:rPr>
          <w:rFonts w:ascii="Calibri" w:eastAsia="Times New Roman" w:hAnsi="Calibri"/>
          <w:b/>
          <w:bCs/>
          <w:sz w:val="32"/>
          <w:szCs w:val="32"/>
          <w:lang w:eastAsia="en-US"/>
        </w:rPr>
      </w:pPr>
      <w:bookmarkStart w:id="24" w:name="_Toc501475894"/>
      <w:r>
        <w:rPr>
          <w:sz w:val="32"/>
          <w:szCs w:val="32"/>
        </w:rPr>
        <w:br w:type="page"/>
      </w:r>
    </w:p>
    <w:p w14:paraId="1D0615CB" w14:textId="30CC156E" w:rsidR="00631CF0" w:rsidRPr="006179FC" w:rsidRDefault="00631CF0" w:rsidP="006179FC">
      <w:pPr>
        <w:pStyle w:val="Heading4"/>
        <w:rPr>
          <w:sz w:val="32"/>
          <w:szCs w:val="32"/>
        </w:rPr>
      </w:pPr>
      <w:r w:rsidRPr="006179FC">
        <w:rPr>
          <w:sz w:val="32"/>
          <w:szCs w:val="32"/>
        </w:rPr>
        <w:lastRenderedPageBreak/>
        <w:t>Administration and management</w:t>
      </w:r>
      <w:bookmarkEnd w:id="24"/>
      <w:r w:rsidR="004A30FB">
        <w:rPr>
          <w:sz w:val="32"/>
          <w:szCs w:val="32"/>
        </w:rPr>
        <w:t xml:space="preserve"> conditions</w:t>
      </w:r>
    </w:p>
    <w:p w14:paraId="0D7ECAB7" w14:textId="39AD22D9" w:rsidR="00631CF0" w:rsidRDefault="003003BC" w:rsidP="005E2909">
      <w:r>
        <w:rPr>
          <w:rStyle w:val="Strong"/>
        </w:rPr>
        <w:t xml:space="preserve">Condition </w:t>
      </w:r>
      <w:r w:rsidR="00FD69FC">
        <w:rPr>
          <w:rStyle w:val="Strong"/>
        </w:rPr>
        <w:t>2</w:t>
      </w:r>
      <w:r w:rsidR="008B4A57">
        <w:rPr>
          <w:rStyle w:val="Strong"/>
        </w:rPr>
        <w:t>1</w:t>
      </w:r>
      <w:r w:rsidR="00631CF0" w:rsidRPr="005E2909">
        <w:rPr>
          <w:rStyle w:val="Strong"/>
        </w:rPr>
        <w:t>:</w:t>
      </w:r>
      <w:r w:rsidR="00631CF0" w:rsidRPr="00515477">
        <w:t xml:space="preserve"> </w:t>
      </w:r>
      <w:r w:rsidR="000E0C9A">
        <w:t>F</w:t>
      </w:r>
      <w:r w:rsidR="00296430">
        <w:t>or every import declaration lodged</w:t>
      </w:r>
      <w:r w:rsidR="000F3E88">
        <w:t xml:space="preserve"> by a </w:t>
      </w:r>
      <w:r w:rsidR="002D12A9">
        <w:t>biosecurity industry participant</w:t>
      </w:r>
      <w:r w:rsidR="00582091">
        <w:t>,</w:t>
      </w:r>
      <w:r w:rsidR="00296430">
        <w:t xml:space="preserve"> </w:t>
      </w:r>
      <w:r w:rsidR="00D16458">
        <w:t xml:space="preserve">the following </w:t>
      </w:r>
      <w:r w:rsidR="00296430" w:rsidRPr="0009590D">
        <w:t>records and documents must be maintained</w:t>
      </w:r>
      <w:r w:rsidR="00C010CC">
        <w:t xml:space="preserve"> for a </w:t>
      </w:r>
      <w:r w:rsidR="00D82832">
        <w:t xml:space="preserve">minimum </w:t>
      </w:r>
      <w:r w:rsidR="00C010CC">
        <w:t xml:space="preserve">of </w:t>
      </w:r>
      <w:r w:rsidR="00F56F10">
        <w:t>5 years</w:t>
      </w:r>
      <w:r w:rsidR="00C010CC">
        <w:t xml:space="preserve"> from the date the document assessment was conducted</w:t>
      </w:r>
      <w:r w:rsidR="00296430" w:rsidRPr="0009590D">
        <w:t>:</w:t>
      </w:r>
    </w:p>
    <w:p w14:paraId="54338A46" w14:textId="31CC977B" w:rsidR="00631CF0" w:rsidRPr="009E70D9" w:rsidRDefault="00631CF0" w:rsidP="009E70D9">
      <w:pPr>
        <w:pStyle w:val="ListBullet"/>
      </w:pPr>
      <w:r w:rsidRPr="009E70D9">
        <w:t>import declaration number</w:t>
      </w:r>
    </w:p>
    <w:p w14:paraId="584C7752" w14:textId="10DC25B3" w:rsidR="00631CF0" w:rsidRPr="009E70D9" w:rsidRDefault="00631CF0" w:rsidP="009E70D9">
      <w:pPr>
        <w:pStyle w:val="ListBullet"/>
      </w:pPr>
      <w:r w:rsidRPr="009E70D9">
        <w:t>container cleanliness declaration</w:t>
      </w:r>
    </w:p>
    <w:p w14:paraId="088A611B" w14:textId="689EF999" w:rsidR="00631CF0" w:rsidRPr="009E70D9" w:rsidRDefault="00631CF0" w:rsidP="009E70D9">
      <w:pPr>
        <w:pStyle w:val="ListBullet"/>
      </w:pPr>
      <w:r w:rsidRPr="009E70D9">
        <w:t xml:space="preserve">packing declaration or valid documents containing unacceptable packaging materials statements, </w:t>
      </w:r>
      <w:r w:rsidR="003F3D15">
        <w:t>T</w:t>
      </w:r>
      <w:r w:rsidRPr="009E70D9">
        <w:t>imber</w:t>
      </w:r>
      <w:r w:rsidR="007E43E6" w:rsidRPr="009E70D9">
        <w:t>/bamboo packaging</w:t>
      </w:r>
      <w:r w:rsidRPr="009E70D9">
        <w:t xml:space="preserve"> and ISPM15 statements</w:t>
      </w:r>
    </w:p>
    <w:p w14:paraId="3FBBF3E5" w14:textId="35DA5DEA" w:rsidR="00631CF0" w:rsidRPr="009E70D9" w:rsidRDefault="00631CF0" w:rsidP="009E70D9">
      <w:pPr>
        <w:pStyle w:val="ListBullet"/>
      </w:pPr>
      <w:r w:rsidRPr="009E70D9">
        <w:t>annual packing declaration (where appropriate)</w:t>
      </w:r>
    </w:p>
    <w:p w14:paraId="28885CAD" w14:textId="1551B31A" w:rsidR="00631CF0" w:rsidRPr="009E70D9" w:rsidRDefault="00631CF0" w:rsidP="009E70D9">
      <w:pPr>
        <w:pStyle w:val="ListBullet"/>
      </w:pPr>
      <w:r w:rsidRPr="009E70D9">
        <w:t>treatment certificate (where required)</w:t>
      </w:r>
    </w:p>
    <w:p w14:paraId="12583370" w14:textId="4A54532C" w:rsidR="00631CF0" w:rsidRPr="009E70D9" w:rsidRDefault="00631CF0" w:rsidP="009E70D9">
      <w:pPr>
        <w:pStyle w:val="ListBullet"/>
      </w:pPr>
      <w:r w:rsidRPr="009E70D9">
        <w:t xml:space="preserve">documents that have been used in the decision-making process, such as bills of lading, commercial invoices or cartage </w:t>
      </w:r>
      <w:r w:rsidR="00451F1E" w:rsidRPr="009E70D9">
        <w:t>advice</w:t>
      </w:r>
    </w:p>
    <w:p w14:paraId="5CBA1A51" w14:textId="01E8D45A" w:rsidR="00631CF0" w:rsidRDefault="00631CF0" w:rsidP="00631CF0">
      <w:pPr>
        <w:pStyle w:val="ListBullet"/>
      </w:pPr>
      <w:r>
        <w:t>evidence of amendments to documentation used in the clearance of the consignment in accordance with</w:t>
      </w:r>
      <w:r w:rsidRPr="00BC08DD">
        <w:t xml:space="preserve"> </w:t>
      </w:r>
      <w:r w:rsidR="00D16458" w:rsidRPr="008B4A57">
        <w:rPr>
          <w:rStyle w:val="Strong"/>
        </w:rPr>
        <w:t xml:space="preserve">Condition </w:t>
      </w:r>
      <w:r w:rsidR="003E7554">
        <w:rPr>
          <w:rStyle w:val="Strong"/>
        </w:rPr>
        <w:t>20</w:t>
      </w:r>
    </w:p>
    <w:p w14:paraId="6A906BF7" w14:textId="5C2724E2" w:rsidR="00631CF0" w:rsidRDefault="00631CF0" w:rsidP="00631CF0">
      <w:pPr>
        <w:pStyle w:val="ListBullet"/>
      </w:pPr>
      <w:r>
        <w:t>evidence of the premise</w:t>
      </w:r>
      <w:r w:rsidR="0043223E">
        <w:t>s</w:t>
      </w:r>
      <w:r>
        <w:t xml:space="preserve"> ID used</w:t>
      </w:r>
    </w:p>
    <w:p w14:paraId="418ADB11" w14:textId="64BEE80A" w:rsidR="00631CF0" w:rsidRDefault="00631CF0" w:rsidP="00631CF0">
      <w:pPr>
        <w:pStyle w:val="ListBullet"/>
      </w:pPr>
      <w:r>
        <w:t>record of the accredited person who performed the assessment</w:t>
      </w:r>
      <w:r w:rsidR="008B4A57">
        <w:t xml:space="preserve"> and lodgement</w:t>
      </w:r>
    </w:p>
    <w:p w14:paraId="0702EA14" w14:textId="3096F1B1" w:rsidR="00631CF0" w:rsidRPr="00515477" w:rsidRDefault="00631CF0" w:rsidP="00631CF0">
      <w:pPr>
        <w:pStyle w:val="ListBullet"/>
      </w:pPr>
      <w:r w:rsidRPr="00515477">
        <w:t>any other relevant documentation and records</w:t>
      </w:r>
      <w:r w:rsidR="00F77F57">
        <w:t>—for example,</w:t>
      </w:r>
      <w:r w:rsidR="003A4B1A">
        <w:t xml:space="preserve"> </w:t>
      </w:r>
      <w:r w:rsidR="00157EDE">
        <w:t xml:space="preserve">records of </w:t>
      </w:r>
      <w:r w:rsidR="003A4B1A">
        <w:t xml:space="preserve">providing biosecurity directions to </w:t>
      </w:r>
      <w:r w:rsidR="002C6C7C">
        <w:t xml:space="preserve">third </w:t>
      </w:r>
      <w:r w:rsidR="003A4B1A">
        <w:t>parties</w:t>
      </w:r>
      <w:r w:rsidR="00582091">
        <w:t>.</w:t>
      </w:r>
    </w:p>
    <w:p w14:paraId="03DE7CFB" w14:textId="0AD8B4BB" w:rsidR="00631CF0" w:rsidRDefault="003003BC" w:rsidP="005E2909">
      <w:r>
        <w:rPr>
          <w:rStyle w:val="Strong"/>
        </w:rPr>
        <w:t xml:space="preserve">Condition </w:t>
      </w:r>
      <w:r w:rsidR="00D82832">
        <w:rPr>
          <w:rStyle w:val="Strong"/>
        </w:rPr>
        <w:t>2</w:t>
      </w:r>
      <w:r w:rsidR="008B4A57">
        <w:rPr>
          <w:rStyle w:val="Strong"/>
        </w:rPr>
        <w:t>2</w:t>
      </w:r>
      <w:r w:rsidR="00631CF0" w:rsidRPr="005E2909">
        <w:rPr>
          <w:rStyle w:val="Strong"/>
        </w:rPr>
        <w:t>:</w:t>
      </w:r>
      <w:r w:rsidR="00E21CFA">
        <w:t xml:space="preserve"> </w:t>
      </w:r>
      <w:r w:rsidR="000E0C9A">
        <w:t>T</w:t>
      </w:r>
      <w:r w:rsidR="00296430">
        <w:t xml:space="preserve">he </w:t>
      </w:r>
      <w:r w:rsidR="002D12A9">
        <w:t xml:space="preserve">biosecurity industry participant </w:t>
      </w:r>
      <w:r w:rsidR="00296430">
        <w:t xml:space="preserve">must </w:t>
      </w:r>
      <w:r w:rsidR="000F3E88">
        <w:t>maintain</w:t>
      </w:r>
      <w:r w:rsidR="00296430">
        <w:t xml:space="preserve"> records of </w:t>
      </w:r>
      <w:r w:rsidR="003C6F5A">
        <w:t xml:space="preserve">their </w:t>
      </w:r>
      <w:r w:rsidR="00296430">
        <w:t>accredited persons</w:t>
      </w:r>
      <w:r w:rsidR="00916C28">
        <w:t>.</w:t>
      </w:r>
      <w:r w:rsidR="000965C2">
        <w:t xml:space="preserve"> </w:t>
      </w:r>
      <w:r w:rsidR="00916C28">
        <w:t xml:space="preserve">The records must be </w:t>
      </w:r>
      <w:r w:rsidR="00296430">
        <w:t xml:space="preserve">up to date </w:t>
      </w:r>
      <w:r w:rsidR="00916C28">
        <w:t xml:space="preserve">and include </w:t>
      </w:r>
      <w:r w:rsidR="003F3D15">
        <w:t>CBC</w:t>
      </w:r>
      <w:r w:rsidR="00296430" w:rsidRPr="00AB5301">
        <w:t xml:space="preserve"> </w:t>
      </w:r>
      <w:r w:rsidR="00296430">
        <w:t xml:space="preserve">completion </w:t>
      </w:r>
      <w:r w:rsidR="00296430" w:rsidRPr="00AB5301">
        <w:t>records.</w:t>
      </w:r>
    </w:p>
    <w:p w14:paraId="3075F16D" w14:textId="357DEB6A" w:rsidR="007816D1" w:rsidRDefault="003003BC" w:rsidP="005E2909">
      <w:r>
        <w:rPr>
          <w:rStyle w:val="Strong"/>
        </w:rPr>
        <w:t xml:space="preserve">Condition </w:t>
      </w:r>
      <w:r w:rsidR="00D82832">
        <w:rPr>
          <w:rStyle w:val="Strong"/>
        </w:rPr>
        <w:t>2</w:t>
      </w:r>
      <w:r w:rsidR="008B4A57">
        <w:rPr>
          <w:rStyle w:val="Strong"/>
        </w:rPr>
        <w:t>3</w:t>
      </w:r>
      <w:r w:rsidR="00631CF0" w:rsidRPr="005E2909">
        <w:rPr>
          <w:rStyle w:val="Strong"/>
        </w:rPr>
        <w:t>:</w:t>
      </w:r>
      <w:r w:rsidR="00E21CFA">
        <w:t xml:space="preserve"> </w:t>
      </w:r>
      <w:r w:rsidR="000E0C9A">
        <w:t>R</w:t>
      </w:r>
      <w:r w:rsidR="00296430">
        <w:t>ecords</w:t>
      </w:r>
      <w:r w:rsidR="00296430" w:rsidRPr="00AB5301">
        <w:t xml:space="preserve"> and/or documents </w:t>
      </w:r>
      <w:r w:rsidR="00296430">
        <w:t xml:space="preserve">must be made available </w:t>
      </w:r>
      <w:r w:rsidR="003029CE">
        <w:t xml:space="preserve">to the department when requested </w:t>
      </w:r>
      <w:r w:rsidR="00296430" w:rsidRPr="00AB5301">
        <w:t xml:space="preserve">within </w:t>
      </w:r>
      <w:r w:rsidR="003029CE">
        <w:t>one</w:t>
      </w:r>
      <w:r w:rsidR="005C2DCC">
        <w:t xml:space="preserve"> </w:t>
      </w:r>
      <w:r w:rsidR="009B2B98">
        <w:t>business day</w:t>
      </w:r>
      <w:r w:rsidR="00296430" w:rsidRPr="00AB5301">
        <w:t xml:space="preserve"> </w:t>
      </w:r>
      <w:r w:rsidR="008D4698">
        <w:t>or a</w:t>
      </w:r>
      <w:r w:rsidR="003029CE">
        <w:t xml:space="preserve"> timeframe</w:t>
      </w:r>
      <w:r w:rsidR="008D4698">
        <w:t xml:space="preserve"> specified by the department</w:t>
      </w:r>
      <w:r w:rsidR="00296430" w:rsidRPr="00AB5301">
        <w:t>.</w:t>
      </w:r>
    </w:p>
    <w:p w14:paraId="45181F17" w14:textId="369A2F65" w:rsidR="00631CF0" w:rsidRPr="00AB5301" w:rsidRDefault="00960600" w:rsidP="005E2909">
      <w:r>
        <w:t>A</w:t>
      </w:r>
      <w:r w:rsidR="007816D1">
        <w:t xml:space="preserve">ny request for further documentation </w:t>
      </w:r>
      <w:r w:rsidR="00FE5420">
        <w:t xml:space="preserve">for assessment </w:t>
      </w:r>
      <w:r w:rsidR="007816D1">
        <w:t xml:space="preserve">after the initial request </w:t>
      </w:r>
      <w:r w:rsidR="00F64FE7">
        <w:t>is</w:t>
      </w:r>
      <w:r w:rsidR="007816D1">
        <w:t xml:space="preserve"> considered a new document assessment</w:t>
      </w:r>
      <w:r w:rsidR="00F64FE7">
        <w:t>.</w:t>
      </w:r>
    </w:p>
    <w:p w14:paraId="34F1EE8E" w14:textId="2385CED0" w:rsidR="00246956" w:rsidRPr="003A1CCB" w:rsidRDefault="00246956" w:rsidP="005E2909">
      <w:pPr>
        <w:pStyle w:val="Heading2"/>
      </w:pPr>
      <w:bookmarkStart w:id="25" w:name="_Appendix_1._Reporting"/>
      <w:bookmarkStart w:id="26" w:name="_Appendix_1:_Reporting"/>
      <w:bookmarkStart w:id="27" w:name="_Toc501475895"/>
      <w:bookmarkStart w:id="28" w:name="_Toc105147371"/>
      <w:bookmarkEnd w:id="25"/>
      <w:bookmarkEnd w:id="26"/>
      <w:r w:rsidRPr="003A1CCB">
        <w:lastRenderedPageBreak/>
        <w:t>A</w:t>
      </w:r>
      <w:r w:rsidR="00377EF2" w:rsidRPr="003A1CCB">
        <w:t>ppendix</w:t>
      </w:r>
      <w:r w:rsidRPr="003A1CCB">
        <w:t xml:space="preserve"> </w:t>
      </w:r>
      <w:r w:rsidR="006B2646" w:rsidRPr="003A1CCB">
        <w:t>1</w:t>
      </w:r>
      <w:r w:rsidR="006102C2" w:rsidRPr="003A1CCB">
        <w:t>:</w:t>
      </w:r>
      <w:r w:rsidRPr="003A1CCB">
        <w:t xml:space="preserve"> </w:t>
      </w:r>
      <w:r w:rsidR="009018A0">
        <w:t>R</w:t>
      </w:r>
      <w:r w:rsidRPr="003A1CCB">
        <w:t xml:space="preserve">eporting </w:t>
      </w:r>
      <w:r w:rsidR="006102C2" w:rsidRPr="003A1CCB">
        <w:t>g</w:t>
      </w:r>
      <w:r w:rsidRPr="003A1CCB">
        <w:t>uide</w:t>
      </w:r>
      <w:bookmarkEnd w:id="27"/>
      <w:bookmarkEnd w:id="28"/>
    </w:p>
    <w:p w14:paraId="2699E8D9" w14:textId="6DE1B3CB" w:rsidR="00827861" w:rsidRDefault="00827861" w:rsidP="005E2909">
      <w:pPr>
        <w:pStyle w:val="Heading3"/>
      </w:pPr>
      <w:bookmarkStart w:id="29" w:name="_Toc427142145"/>
      <w:bookmarkStart w:id="30" w:name="_Toc105147372"/>
      <w:r w:rsidRPr="00A01538">
        <w:t>Non-</w:t>
      </w:r>
      <w:r w:rsidR="009018A0">
        <w:t>c</w:t>
      </w:r>
      <w:r w:rsidRPr="00A01538">
        <w:t xml:space="preserve">ommodity </w:t>
      </w:r>
      <w:r w:rsidR="009018A0">
        <w:t>c</w:t>
      </w:r>
      <w:r w:rsidRPr="00A01538">
        <w:t xml:space="preserve">oncern </w:t>
      </w:r>
      <w:r w:rsidR="009018A0">
        <w:t>s</w:t>
      </w:r>
      <w:r w:rsidRPr="00A01538">
        <w:t>tatements</w:t>
      </w:r>
      <w:bookmarkEnd w:id="29"/>
      <w:bookmarkEnd w:id="30"/>
    </w:p>
    <w:p w14:paraId="25F9BDB5" w14:textId="6F7F7484" w:rsidR="00827861" w:rsidRDefault="00827861" w:rsidP="00827861">
      <w:pPr>
        <w:rPr>
          <w:szCs w:val="24"/>
        </w:rPr>
      </w:pPr>
      <w:r w:rsidRPr="008C74E6">
        <w:rPr>
          <w:szCs w:val="24"/>
        </w:rPr>
        <w:t xml:space="preserve">Refer to the </w:t>
      </w:r>
      <w:hyperlink r:id="rId41" w:history="1">
        <w:r w:rsidRPr="007723D0">
          <w:rPr>
            <w:rStyle w:val="Hyperlink"/>
          </w:rPr>
          <w:t>Non-commodity information requirements policy</w:t>
        </w:r>
      </w:hyperlink>
      <w:r w:rsidRPr="00827861">
        <w:rPr>
          <w:rStyle w:val="Hyperlink"/>
          <w:color w:val="auto"/>
          <w:u w:val="none"/>
        </w:rPr>
        <w:t xml:space="preserve"> </w:t>
      </w:r>
      <w:r w:rsidRPr="008C74E6">
        <w:rPr>
          <w:szCs w:val="24"/>
        </w:rPr>
        <w:t>to determine the non-commodity concerns to be address</w:t>
      </w:r>
      <w:r>
        <w:rPr>
          <w:szCs w:val="24"/>
        </w:rPr>
        <w:t>ed for each specific cargo type.</w:t>
      </w:r>
    </w:p>
    <w:p w14:paraId="0F27B127" w14:textId="609481AE" w:rsidR="00827861" w:rsidRPr="0048786D" w:rsidRDefault="00827861" w:rsidP="005E2909">
      <w:pPr>
        <w:pStyle w:val="Heading3"/>
      </w:pPr>
      <w:bookmarkStart w:id="31" w:name="_Toc427142146"/>
      <w:bookmarkStart w:id="32" w:name="_Toc105147373"/>
      <w:r w:rsidRPr="0048786D">
        <w:t xml:space="preserve">Unpack </w:t>
      </w:r>
      <w:r w:rsidR="005E60F0">
        <w:t>d</w:t>
      </w:r>
      <w:r w:rsidRPr="0048786D">
        <w:t xml:space="preserve">estination </w:t>
      </w:r>
      <w:r w:rsidR="005E60F0">
        <w:t>p</w:t>
      </w:r>
      <w:r w:rsidRPr="0048786D">
        <w:t>ostcodes</w:t>
      </w:r>
      <w:bookmarkEnd w:id="31"/>
      <w:bookmarkEnd w:id="32"/>
    </w:p>
    <w:p w14:paraId="7F68DC7B" w14:textId="6C2AA64B" w:rsidR="00827861" w:rsidRPr="005739A8" w:rsidRDefault="00827861" w:rsidP="00827861">
      <w:r w:rsidRPr="005739A8">
        <w:t>The Department of Agriculture</w:t>
      </w:r>
      <w:r w:rsidR="00074BE9">
        <w:t>, Water and the Environment</w:t>
      </w:r>
      <w:r w:rsidRPr="005739A8">
        <w:t xml:space="preserve"> uses postcode classifications to manage the risk associated with unpack destinations for sea containers. There are </w:t>
      </w:r>
      <w:r w:rsidR="00F65668">
        <w:t>4</w:t>
      </w:r>
      <w:r w:rsidR="009C3284" w:rsidRPr="005739A8">
        <w:t xml:space="preserve"> </w:t>
      </w:r>
      <w:r w:rsidRPr="005739A8">
        <w:t>postcode classifications:</w:t>
      </w:r>
    </w:p>
    <w:p w14:paraId="74DF64EC" w14:textId="77777777" w:rsidR="00827861" w:rsidRPr="005739A8" w:rsidRDefault="00827861" w:rsidP="005E2909">
      <w:pPr>
        <w:pStyle w:val="ListBullet"/>
      </w:pPr>
      <w:r w:rsidRPr="005739A8">
        <w:t>metropolitan</w:t>
      </w:r>
    </w:p>
    <w:p w14:paraId="392FB6E2" w14:textId="77777777" w:rsidR="00827861" w:rsidRPr="005739A8" w:rsidRDefault="00827861" w:rsidP="005E2909">
      <w:pPr>
        <w:pStyle w:val="ListBullet"/>
      </w:pPr>
      <w:r w:rsidRPr="005739A8">
        <w:t>rural</w:t>
      </w:r>
    </w:p>
    <w:p w14:paraId="5EEC43EB" w14:textId="77777777" w:rsidR="009C3284" w:rsidRDefault="00827861" w:rsidP="005E2909">
      <w:pPr>
        <w:pStyle w:val="ListBullet"/>
      </w:pPr>
      <w:r w:rsidRPr="005739A8">
        <w:t>split (part metropolitan, part rural)</w:t>
      </w:r>
    </w:p>
    <w:p w14:paraId="7687CD65" w14:textId="4F8B5B79" w:rsidR="00827861" w:rsidRDefault="00242DF5" w:rsidP="005E2909">
      <w:pPr>
        <w:pStyle w:val="ListBullet"/>
      </w:pPr>
      <w:r>
        <w:t>rural khapra risk</w:t>
      </w:r>
      <w:r w:rsidR="006B2C17">
        <w:t>.</w:t>
      </w:r>
    </w:p>
    <w:p w14:paraId="11B95CBE" w14:textId="489BB90D" w:rsidR="00827861" w:rsidRDefault="00827861" w:rsidP="00827861">
      <w:pPr>
        <w:pStyle w:val="ListBullet"/>
        <w:numPr>
          <w:ilvl w:val="0"/>
          <w:numId w:val="0"/>
        </w:numPr>
        <w:spacing w:before="0" w:after="200" w:line="240" w:lineRule="auto"/>
        <w:contextualSpacing/>
        <w:rPr>
          <w:color w:val="000000"/>
          <w:lang w:val="en"/>
        </w:rPr>
      </w:pPr>
      <w:r w:rsidRPr="00827861">
        <w:rPr>
          <w:color w:val="000000"/>
          <w:lang w:val="en"/>
        </w:rPr>
        <w:t>To check if a postcode is metropolitan, rural</w:t>
      </w:r>
      <w:r w:rsidR="00DE6B3D">
        <w:rPr>
          <w:color w:val="000000"/>
          <w:lang w:val="en"/>
        </w:rPr>
        <w:t xml:space="preserve">, </w:t>
      </w:r>
      <w:r w:rsidRPr="00827861">
        <w:rPr>
          <w:color w:val="000000"/>
          <w:lang w:val="en"/>
        </w:rPr>
        <w:t>split</w:t>
      </w:r>
      <w:r w:rsidR="00DE6B3D">
        <w:rPr>
          <w:color w:val="000000"/>
          <w:lang w:val="en"/>
        </w:rPr>
        <w:t xml:space="preserve"> or </w:t>
      </w:r>
      <w:r w:rsidR="00242DF5">
        <w:rPr>
          <w:color w:val="000000"/>
          <w:lang w:val="en"/>
        </w:rPr>
        <w:t xml:space="preserve">rural khapra risk, </w:t>
      </w:r>
      <w:r w:rsidR="005E60F0">
        <w:rPr>
          <w:color w:val="000000"/>
          <w:lang w:val="en"/>
        </w:rPr>
        <w:t>see</w:t>
      </w:r>
      <w:r w:rsidRPr="00827861">
        <w:rPr>
          <w:color w:val="000000"/>
          <w:lang w:val="en"/>
        </w:rPr>
        <w:t xml:space="preserve"> the </w:t>
      </w:r>
      <w:hyperlink r:id="rId42" w:history="1">
        <w:r w:rsidRPr="007723D0">
          <w:rPr>
            <w:rStyle w:val="Hyperlink"/>
          </w:rPr>
          <w:t>postcode classification search</w:t>
        </w:r>
      </w:hyperlink>
      <w:r w:rsidRPr="00827861">
        <w:rPr>
          <w:color w:val="000000"/>
          <w:lang w:val="en"/>
        </w:rPr>
        <w:t xml:space="preserve"> on the department’s web</w:t>
      </w:r>
      <w:r w:rsidR="005E60F0">
        <w:rPr>
          <w:color w:val="000000"/>
          <w:lang w:val="en"/>
        </w:rPr>
        <w:t>site</w:t>
      </w:r>
      <w:r w:rsidRPr="00827861">
        <w:rPr>
          <w:color w:val="000000"/>
          <w:lang w:val="en"/>
        </w:rPr>
        <w:t>.</w:t>
      </w:r>
    </w:p>
    <w:p w14:paraId="40598D63" w14:textId="5B727712" w:rsidR="00246956" w:rsidRPr="00E70111" w:rsidRDefault="00246956" w:rsidP="005E2909">
      <w:pPr>
        <w:pStyle w:val="Heading3"/>
      </w:pPr>
      <w:bookmarkStart w:id="33" w:name="_Toc105147374"/>
      <w:r w:rsidRPr="00E70111">
        <w:t>Non-</w:t>
      </w:r>
      <w:r w:rsidR="005E60F0">
        <w:t>c</w:t>
      </w:r>
      <w:r w:rsidRPr="00E70111">
        <w:t>ommodity general declaration questions</w:t>
      </w:r>
      <w:bookmarkEnd w:id="33"/>
    </w:p>
    <w:p w14:paraId="5FFBC4C5" w14:textId="0F19EAB1" w:rsidR="0026300B" w:rsidRPr="00E16D9E" w:rsidRDefault="0026300B" w:rsidP="0026300B">
      <w:pPr>
        <w:rPr>
          <w:u w:val="single"/>
        </w:rPr>
      </w:pPr>
      <w:r>
        <w:t xml:space="preserve">When </w:t>
      </w:r>
      <w:r w:rsidR="001F7D2A">
        <w:t xml:space="preserve">assessing and managing </w:t>
      </w:r>
      <w:r>
        <w:t xml:space="preserve">a consignment under this </w:t>
      </w:r>
      <w:r w:rsidR="00D2181D">
        <w:t>approved arrangement</w:t>
      </w:r>
      <w:r>
        <w:t>, accredited persons m</w:t>
      </w:r>
      <w:r w:rsidR="0053596F">
        <w:t>ust answer the department</w:t>
      </w:r>
      <w:r w:rsidR="004F5AF6">
        <w:t>’</w:t>
      </w:r>
      <w:r w:rsidR="0053596F">
        <w:t>s non-</w:t>
      </w:r>
      <w:r>
        <w:t xml:space="preserve">commodity general declaration questions in the </w:t>
      </w:r>
      <w:r w:rsidR="00B202A5">
        <w:t xml:space="preserve">ICS </w:t>
      </w:r>
      <w:r w:rsidR="00D01F5F">
        <w:rPr>
          <w:lang w:eastAsia="ja-JP"/>
        </w:rPr>
        <w:t xml:space="preserve">based on their assessment of cargo type, </w:t>
      </w:r>
      <w:r w:rsidR="00E54EB2">
        <w:t xml:space="preserve">container origin for </w:t>
      </w:r>
      <w:r w:rsidR="0062435A">
        <w:t>k</w:t>
      </w:r>
      <w:r w:rsidR="00E54EB2">
        <w:t xml:space="preserve">hapra beetle concerns, </w:t>
      </w:r>
      <w:r w:rsidR="00D01F5F">
        <w:rPr>
          <w:lang w:eastAsia="ja-JP"/>
        </w:rPr>
        <w:t>documentation and unpack location postcode</w:t>
      </w:r>
      <w:r w:rsidR="00D01F5F" w:rsidRPr="00174AE3">
        <w:rPr>
          <w:lang w:eastAsia="ja-JP"/>
        </w:rPr>
        <w:t>.</w:t>
      </w:r>
      <w:r w:rsidR="00B76074">
        <w:rPr>
          <w:lang w:eastAsia="ja-JP"/>
        </w:rPr>
        <w:t xml:space="preserve"> </w:t>
      </w:r>
      <w:r w:rsidRPr="004F5C09">
        <w:t>These questions are described as AQIS declaration questions in the ICS</w:t>
      </w:r>
      <w:r w:rsidR="000C238F">
        <w:t>.</w:t>
      </w:r>
    </w:p>
    <w:p w14:paraId="58B8AF47" w14:textId="70215CC4" w:rsidR="0026300B" w:rsidRDefault="0026300B" w:rsidP="0026300B">
      <w:r>
        <w:t xml:space="preserve">The non-commodity declaration questions are specific to the cargo type applicable to the </w:t>
      </w:r>
      <w:r w:rsidR="006102C2">
        <w:t>i</w:t>
      </w:r>
      <w:r>
        <w:t xml:space="preserve">mport </w:t>
      </w:r>
      <w:r w:rsidR="006102C2">
        <w:t>d</w:t>
      </w:r>
      <w:r>
        <w:t>eclaration.</w:t>
      </w:r>
    </w:p>
    <w:p w14:paraId="341EE5F3" w14:textId="2BB4E36A" w:rsidR="00DD29C6" w:rsidRDefault="0026300B" w:rsidP="005E2909">
      <w:pPr>
        <w:pStyle w:val="Heading4"/>
      </w:pPr>
      <w:r w:rsidRPr="00DD29C6">
        <w:t xml:space="preserve">Question 1 (Question </w:t>
      </w:r>
      <w:r w:rsidR="00F35531">
        <w:t>ID</w:t>
      </w:r>
      <w:r w:rsidR="00F35531" w:rsidRPr="00DD29C6">
        <w:t xml:space="preserve"> </w:t>
      </w:r>
      <w:r w:rsidRPr="00DD29C6">
        <w:t>6 or 8)</w:t>
      </w:r>
    </w:p>
    <w:p w14:paraId="047DF0DC" w14:textId="1B38D548" w:rsidR="0026300B" w:rsidRPr="00DD29C6" w:rsidRDefault="0026300B" w:rsidP="0026300B">
      <w:pPr>
        <w:rPr>
          <w:b/>
        </w:rPr>
      </w:pPr>
      <w:r>
        <w:t xml:space="preserve">The first non-commodity declaration question relates to accreditation and registration for the </w:t>
      </w:r>
      <w:r w:rsidR="00D2181D">
        <w:t>approved arrangement</w:t>
      </w:r>
      <w:r>
        <w:t>.</w:t>
      </w:r>
    </w:p>
    <w:p w14:paraId="6E8DE80F" w14:textId="6DB454EE" w:rsidR="0026300B" w:rsidRDefault="0026300B" w:rsidP="0026300B">
      <w:r>
        <w:t xml:space="preserve">A ‘Yes’ answer </w:t>
      </w:r>
      <w:r w:rsidR="006C25B5">
        <w:t>must</w:t>
      </w:r>
      <w:r>
        <w:t xml:space="preserve"> be given if</w:t>
      </w:r>
      <w:r w:rsidR="005E60F0">
        <w:t xml:space="preserve"> both</w:t>
      </w:r>
      <w:r>
        <w:t>:</w:t>
      </w:r>
    </w:p>
    <w:p w14:paraId="550C73DF" w14:textId="5418F7C7" w:rsidR="0026300B" w:rsidRDefault="0026300B" w:rsidP="004545D6">
      <w:pPr>
        <w:pStyle w:val="ListBullet"/>
        <w:tabs>
          <w:tab w:val="num" w:pos="360"/>
        </w:tabs>
        <w:spacing w:before="0" w:after="200" w:line="360" w:lineRule="auto"/>
        <w:ind w:left="357" w:hanging="357"/>
        <w:contextualSpacing/>
      </w:pPr>
      <w:r>
        <w:t xml:space="preserve">the individual lodging the </w:t>
      </w:r>
      <w:r w:rsidR="005E60F0">
        <w:t>i</w:t>
      </w:r>
      <w:r>
        <w:t xml:space="preserve">mport </w:t>
      </w:r>
      <w:r w:rsidR="005E60F0">
        <w:t>d</w:t>
      </w:r>
      <w:r>
        <w:t xml:space="preserve">eclaration is an accredited person under the </w:t>
      </w:r>
      <w:r w:rsidR="00D2181D">
        <w:t>approved arrangement</w:t>
      </w:r>
    </w:p>
    <w:p w14:paraId="59C6058E" w14:textId="0F400751" w:rsidR="0026300B" w:rsidRDefault="0026300B" w:rsidP="004545D6">
      <w:pPr>
        <w:pStyle w:val="ListBullet"/>
        <w:tabs>
          <w:tab w:val="num" w:pos="360"/>
        </w:tabs>
        <w:spacing w:before="0" w:after="200" w:line="360" w:lineRule="auto"/>
        <w:ind w:left="357" w:hanging="357"/>
        <w:contextualSpacing/>
      </w:pPr>
      <w:r>
        <w:t xml:space="preserve">the accredited person is lodging the </w:t>
      </w:r>
      <w:r w:rsidR="005E60F0">
        <w:t>i</w:t>
      </w:r>
      <w:r>
        <w:t xml:space="preserve">mport </w:t>
      </w:r>
      <w:r w:rsidR="005E60F0">
        <w:t>d</w:t>
      </w:r>
      <w:r>
        <w:t xml:space="preserve">eclaration on behalf of the </w:t>
      </w:r>
      <w:r w:rsidR="002D12A9">
        <w:t>biosecurity industry participant</w:t>
      </w:r>
      <w:r w:rsidR="000965C2">
        <w:t xml:space="preserve"> </w:t>
      </w:r>
      <w:r>
        <w:t>covered by the AA.</w:t>
      </w:r>
    </w:p>
    <w:p w14:paraId="1FD5A7AD" w14:textId="728F763F" w:rsidR="0026300B" w:rsidRDefault="0026300B" w:rsidP="0026300B">
      <w:r>
        <w:t>In all other cases, a ‘No’ answer must be given</w:t>
      </w:r>
      <w:r w:rsidR="008D1E02">
        <w:t>,</w:t>
      </w:r>
      <w:r>
        <w:t xml:space="preserve"> and the consignment </w:t>
      </w:r>
      <w:r w:rsidR="004D2F07">
        <w:t>will</w:t>
      </w:r>
      <w:r>
        <w:t xml:space="preserve"> be referred to the department for assessment.</w:t>
      </w:r>
    </w:p>
    <w:p w14:paraId="4EDC1AB9" w14:textId="763607E5" w:rsidR="0026300B" w:rsidRPr="002E2B33" w:rsidRDefault="0026300B" w:rsidP="002E2B33">
      <w:pPr>
        <w:pStyle w:val="Caption"/>
        <w:rPr>
          <w:rStyle w:val="Strong"/>
          <w:b/>
          <w:bCs/>
        </w:rPr>
      </w:pPr>
      <w:bookmarkStart w:id="34" w:name="_Toc103586621"/>
      <w:r w:rsidRPr="002E2B33">
        <w:rPr>
          <w:rStyle w:val="Strong"/>
          <w:b/>
          <w:bCs/>
        </w:rPr>
        <w:lastRenderedPageBreak/>
        <w:t xml:space="preserve">Figure </w:t>
      </w:r>
      <w:r w:rsidR="003003BC" w:rsidRPr="002E2B33">
        <w:rPr>
          <w:rStyle w:val="Strong"/>
          <w:b/>
          <w:bCs/>
        </w:rPr>
        <w:fldChar w:fldCharType="begin"/>
      </w:r>
      <w:r w:rsidR="003003BC" w:rsidRPr="002E2B33">
        <w:rPr>
          <w:rStyle w:val="Strong"/>
          <w:b/>
          <w:bCs/>
        </w:rPr>
        <w:instrText xml:space="preserve"> SEQ Figure \* ARABIC </w:instrText>
      </w:r>
      <w:r w:rsidR="003003BC" w:rsidRPr="002E2B33">
        <w:rPr>
          <w:rStyle w:val="Strong"/>
          <w:b/>
          <w:bCs/>
        </w:rPr>
        <w:fldChar w:fldCharType="separate"/>
      </w:r>
      <w:r w:rsidR="00EE033A">
        <w:rPr>
          <w:rStyle w:val="Strong"/>
          <w:b/>
          <w:bCs/>
          <w:noProof/>
        </w:rPr>
        <w:t>1</w:t>
      </w:r>
      <w:r w:rsidR="003003BC" w:rsidRPr="002E2B33">
        <w:rPr>
          <w:rStyle w:val="Strong"/>
          <w:b/>
          <w:bCs/>
        </w:rPr>
        <w:fldChar w:fldCharType="end"/>
      </w:r>
      <w:r w:rsidR="00194AE6">
        <w:rPr>
          <w:rStyle w:val="Strong"/>
          <w:b/>
          <w:bCs/>
        </w:rPr>
        <w:t>.</w:t>
      </w:r>
      <w:r w:rsidRPr="002E2B33">
        <w:rPr>
          <w:rStyle w:val="Strong"/>
          <w:b/>
          <w:bCs/>
        </w:rPr>
        <w:t xml:space="preserve"> Non-commodity </w:t>
      </w:r>
      <w:r w:rsidR="00A93770" w:rsidRPr="002E2B33">
        <w:rPr>
          <w:rStyle w:val="Strong"/>
          <w:b/>
          <w:bCs/>
        </w:rPr>
        <w:t xml:space="preserve">declaration </w:t>
      </w:r>
      <w:r w:rsidRPr="002E2B33">
        <w:rPr>
          <w:rStyle w:val="Strong"/>
          <w:b/>
          <w:bCs/>
        </w:rPr>
        <w:t>question 1</w:t>
      </w:r>
      <w:bookmarkEnd w:id="34"/>
    </w:p>
    <w:p w14:paraId="26F19525" w14:textId="4523863B" w:rsidR="00800634" w:rsidRPr="00800634" w:rsidRDefault="002F6062" w:rsidP="00800634">
      <w:pPr>
        <w:rPr>
          <w:lang w:eastAsia="en-US"/>
        </w:rPr>
      </w:pPr>
      <w:r>
        <w:rPr>
          <w:noProof/>
        </w:rPr>
        <w:drawing>
          <wp:inline distT="0" distB="0" distL="0" distR="0" wp14:anchorId="7EE160EB" wp14:editId="5E368875">
            <wp:extent cx="5759450" cy="3604895"/>
            <wp:effectExtent l="0" t="0" r="0" b="0"/>
            <wp:docPr id="5" name="Picture 5" descr="Non-commodity declaration question 1 data flow diagram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on-commodity declaration question 1 data flow diagram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206AE" w14:textId="55160C43" w:rsidR="0026300B" w:rsidRPr="00AB4CB3" w:rsidRDefault="0026300B" w:rsidP="005E2909">
      <w:pPr>
        <w:pStyle w:val="Heading4"/>
      </w:pPr>
      <w:r w:rsidRPr="00AB4CB3">
        <w:t xml:space="preserve">Question 2 (Question </w:t>
      </w:r>
      <w:r w:rsidR="00F35531">
        <w:t xml:space="preserve">ID </w:t>
      </w:r>
      <w:r w:rsidRPr="00AB4CB3">
        <w:t>7 or 9)</w:t>
      </w:r>
    </w:p>
    <w:p w14:paraId="110711B0" w14:textId="51E07D4D" w:rsidR="0026300B" w:rsidRDefault="0026300B" w:rsidP="0026300B">
      <w:r>
        <w:t xml:space="preserve">The second non-commodity declaration question relates to the </w:t>
      </w:r>
      <w:r w:rsidR="00575648">
        <w:t xml:space="preserve">accredited person’s </w:t>
      </w:r>
      <w:r w:rsidR="00EE4737">
        <w:t xml:space="preserve">assessment of the </w:t>
      </w:r>
      <w:r>
        <w:t>consignment</w:t>
      </w:r>
      <w:r w:rsidR="0053596F">
        <w:t xml:space="preserve"> </w:t>
      </w:r>
      <w:r>
        <w:t>in relation to:</w:t>
      </w:r>
    </w:p>
    <w:p w14:paraId="573E438F" w14:textId="3257B825" w:rsidR="0026300B" w:rsidRDefault="0026300B" w:rsidP="004545D6">
      <w:pPr>
        <w:pStyle w:val="ListBullet"/>
        <w:tabs>
          <w:tab w:val="num" w:pos="360"/>
        </w:tabs>
        <w:spacing w:before="0" w:after="200" w:line="360" w:lineRule="auto"/>
        <w:ind w:left="357" w:hanging="357"/>
        <w:contextualSpacing/>
      </w:pPr>
      <w:r>
        <w:t>the non-commodity documentation accompanying it</w:t>
      </w:r>
    </w:p>
    <w:p w14:paraId="0AB2AEC0" w14:textId="77777777" w:rsidR="0026300B" w:rsidRDefault="0026300B" w:rsidP="004545D6">
      <w:pPr>
        <w:pStyle w:val="ListBullet"/>
        <w:tabs>
          <w:tab w:val="num" w:pos="360"/>
        </w:tabs>
        <w:spacing w:before="0" w:after="200" w:line="360" w:lineRule="auto"/>
        <w:ind w:left="357" w:hanging="357"/>
        <w:contextualSpacing/>
      </w:pPr>
      <w:r>
        <w:t>unpack destination for FCL/X consignments.</w:t>
      </w:r>
    </w:p>
    <w:p w14:paraId="03E6C183" w14:textId="3A2B13C4" w:rsidR="0026300B" w:rsidRDefault="0026300B" w:rsidP="0026300B">
      <w:r>
        <w:t xml:space="preserve">A ‘Yes’ answer </w:t>
      </w:r>
      <w:r w:rsidR="006C25B5">
        <w:t>must</w:t>
      </w:r>
      <w:r>
        <w:t xml:space="preserve"> be given if:</w:t>
      </w:r>
    </w:p>
    <w:p w14:paraId="469A7630" w14:textId="57FD7D05" w:rsidR="0026300B" w:rsidRDefault="0026300B" w:rsidP="0072781F">
      <w:pPr>
        <w:pStyle w:val="ListBullet"/>
        <w:spacing w:before="0" w:after="200" w:line="240" w:lineRule="auto"/>
        <w:ind w:left="357" w:hanging="357"/>
      </w:pPr>
      <w:r>
        <w:t>the consignment is covered by non-commodity documentation assessed by an accredited person as acceptable</w:t>
      </w:r>
      <w:r w:rsidR="00D603E7">
        <w:t xml:space="preserve"> to address</w:t>
      </w:r>
      <w:r w:rsidR="00C0421C">
        <w:t xml:space="preserve"> khapra beetle risk (when applicable) and non-commodity concern statements</w:t>
      </w:r>
    </w:p>
    <w:p w14:paraId="30818A1A" w14:textId="27D0DCAC" w:rsidR="003F1727" w:rsidRDefault="0026300B" w:rsidP="001211FB">
      <w:pPr>
        <w:pStyle w:val="ListBullet"/>
        <w:tabs>
          <w:tab w:val="num" w:pos="360"/>
        </w:tabs>
        <w:spacing w:before="0" w:after="200" w:line="240" w:lineRule="auto"/>
        <w:ind w:left="357" w:hanging="357"/>
        <w:contextualSpacing/>
      </w:pPr>
      <w:r>
        <w:t>for FCL/X consignments</w:t>
      </w:r>
      <w:r w:rsidR="004F5AF6">
        <w:t>,</w:t>
      </w:r>
      <w:r>
        <w:t xml:space="preserve"> the consignment is being unpacked at a metropolitan postcode with the department’s authority for delivery.</w:t>
      </w:r>
    </w:p>
    <w:p w14:paraId="0EF73DA5" w14:textId="12AE7D57" w:rsidR="0026300B" w:rsidRDefault="0026300B" w:rsidP="00DD29C6">
      <w:r>
        <w:t>In all other cases, a ‘N</w:t>
      </w:r>
      <w:r w:rsidR="00132400">
        <w:t>o’ answer must be given.</w:t>
      </w:r>
    </w:p>
    <w:p w14:paraId="65B6F915" w14:textId="7A9661E2" w:rsidR="0026300B" w:rsidRDefault="0026300B" w:rsidP="0026300B">
      <w:pPr>
        <w:pStyle w:val="Caption"/>
      </w:pPr>
      <w:bookmarkStart w:id="35" w:name="_Toc103586622"/>
      <w:r>
        <w:lastRenderedPageBreak/>
        <w:t xml:space="preserve">Figure </w:t>
      </w:r>
      <w:r w:rsidR="003003BC">
        <w:rPr>
          <w:noProof/>
        </w:rPr>
        <w:fldChar w:fldCharType="begin"/>
      </w:r>
      <w:r w:rsidR="003003BC">
        <w:rPr>
          <w:noProof/>
        </w:rPr>
        <w:instrText xml:space="preserve"> SEQ Figure \* ARABIC </w:instrText>
      </w:r>
      <w:r w:rsidR="003003BC">
        <w:rPr>
          <w:noProof/>
        </w:rPr>
        <w:fldChar w:fldCharType="separate"/>
      </w:r>
      <w:r w:rsidR="00EE033A">
        <w:rPr>
          <w:noProof/>
        </w:rPr>
        <w:t>2</w:t>
      </w:r>
      <w:r w:rsidR="003003BC">
        <w:rPr>
          <w:noProof/>
        </w:rPr>
        <w:fldChar w:fldCharType="end"/>
      </w:r>
      <w:r w:rsidR="00194AE6">
        <w:rPr>
          <w:noProof/>
        </w:rPr>
        <w:t>.</w:t>
      </w:r>
      <w:r>
        <w:t xml:space="preserve"> Non-commodity</w:t>
      </w:r>
      <w:r w:rsidR="004A5DFE">
        <w:t xml:space="preserve"> declaration</w:t>
      </w:r>
      <w:r>
        <w:t xml:space="preserve"> question 2</w:t>
      </w:r>
      <w:bookmarkEnd w:id="35"/>
    </w:p>
    <w:p w14:paraId="595F4BCF" w14:textId="4B610A2B" w:rsidR="0099784F" w:rsidRPr="0099784F" w:rsidRDefault="00C116E2" w:rsidP="0099784F">
      <w:pPr>
        <w:rPr>
          <w:lang w:eastAsia="en-US"/>
        </w:rPr>
      </w:pPr>
      <w:r>
        <w:rPr>
          <w:noProof/>
        </w:rPr>
        <w:drawing>
          <wp:inline distT="0" distB="0" distL="0" distR="0" wp14:anchorId="64CFFFD1" wp14:editId="407C9307">
            <wp:extent cx="5759450" cy="3900805"/>
            <wp:effectExtent l="0" t="0" r="0" b="4445"/>
            <wp:docPr id="6" name="Picture 6" descr="Non-commodity declaration question 2 data-flow diagram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Non-commodity declaration question 2 data-flow diagram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416A9" w14:textId="77777777" w:rsidR="00D01F5F" w:rsidRPr="005E60F0" w:rsidRDefault="00D01F5F" w:rsidP="005E2909">
      <w:pPr>
        <w:pStyle w:val="Heading3"/>
      </w:pPr>
      <w:bookmarkStart w:id="36" w:name="_Toc105147375"/>
      <w:r w:rsidRPr="005E60F0">
        <w:t>Non-commodity biosecurity concerns</w:t>
      </w:r>
      <w:bookmarkEnd w:id="36"/>
    </w:p>
    <w:p w14:paraId="51812E3A" w14:textId="59140DF9" w:rsidR="00AA69AB" w:rsidRDefault="002E6EC1" w:rsidP="005E2909">
      <w:r>
        <w:t>When an accredited person answers ‘No’ to the second non-commodity general declaration question</w:t>
      </w:r>
      <w:r w:rsidR="003C3C81">
        <w:t xml:space="preserve"> they</w:t>
      </w:r>
      <w:r w:rsidR="003C3C81" w:rsidRPr="005E60F0">
        <w:t xml:space="preserve"> </w:t>
      </w:r>
      <w:r w:rsidR="003C3C81" w:rsidRPr="005E2909">
        <w:t>must</w:t>
      </w:r>
      <w:r w:rsidR="003C3C81" w:rsidRPr="002002C8">
        <w:t xml:space="preserve"> declare all </w:t>
      </w:r>
      <w:r w:rsidR="003C3C81">
        <w:t xml:space="preserve">applicable </w:t>
      </w:r>
      <w:r w:rsidR="003C3C81" w:rsidRPr="002002C8">
        <w:t xml:space="preserve">concern types </w:t>
      </w:r>
      <w:r w:rsidR="003C3C81">
        <w:t xml:space="preserve">as </w:t>
      </w:r>
      <w:r w:rsidR="003C3C81" w:rsidRPr="002002C8">
        <w:t xml:space="preserve">described </w:t>
      </w:r>
      <w:r w:rsidR="003C3C81" w:rsidRPr="003F55DB">
        <w:t xml:space="preserve">in </w:t>
      </w:r>
      <w:r w:rsidR="00D32C52">
        <w:t>Table 1</w:t>
      </w:r>
      <w:r w:rsidR="005E60F0" w:rsidRPr="003F55DB">
        <w:t>.</w:t>
      </w:r>
      <w:r w:rsidR="003C3C81" w:rsidRPr="004202A8">
        <w:t xml:space="preserve"> </w:t>
      </w:r>
      <w:r w:rsidR="003C3C81" w:rsidRPr="003F55DB">
        <w:t>All concern</w:t>
      </w:r>
      <w:r w:rsidR="003C3C81" w:rsidRPr="006B3B7D">
        <w:t xml:space="preserve"> types are outcome based</w:t>
      </w:r>
      <w:r w:rsidR="005E60F0">
        <w:t>,</w:t>
      </w:r>
      <w:r w:rsidR="003C3C81" w:rsidRPr="006B3B7D">
        <w:t xml:space="preserve"> which allows the accredited person to select the appropriate outcome to manage the biosecurity </w:t>
      </w:r>
      <w:r w:rsidR="0019586B">
        <w:t>risk</w:t>
      </w:r>
      <w:r w:rsidR="003C3C81" w:rsidRPr="006B3B7D">
        <w:t>. For example</w:t>
      </w:r>
      <w:r w:rsidR="003C3C81">
        <w:t>,</w:t>
      </w:r>
      <w:r w:rsidR="003C3C81" w:rsidRPr="006B3B7D">
        <w:t xml:space="preserve"> for untreated timber pack</w:t>
      </w:r>
      <w:r w:rsidR="003C3C81">
        <w:t>aging</w:t>
      </w:r>
      <w:r w:rsidR="003C3C81" w:rsidRPr="006B3B7D">
        <w:t xml:space="preserve"> there are three concern types to select from to manage the </w:t>
      </w:r>
      <w:r w:rsidR="003C3C81">
        <w:t>biosecurity risk</w:t>
      </w:r>
      <w:r w:rsidR="003C3C81" w:rsidRPr="006B3B7D">
        <w:t>. Only one timber concern type is required to be entered</w:t>
      </w:r>
      <w:r w:rsidR="003C3C81">
        <w:t>.</w:t>
      </w:r>
    </w:p>
    <w:p w14:paraId="3DF31554" w14:textId="12F4831B" w:rsidR="00761B74" w:rsidRDefault="00345CD5" w:rsidP="005E2909">
      <w:r>
        <w:t>Note: In the ICS, c</w:t>
      </w:r>
      <w:r w:rsidR="00761B74">
        <w:t>oncern types are</w:t>
      </w:r>
      <w:r>
        <w:t xml:space="preserve"> located </w:t>
      </w:r>
      <w:r w:rsidR="00761B74">
        <w:t xml:space="preserve">in the AQIS concern type field, </w:t>
      </w:r>
      <w:r w:rsidR="00DC177D">
        <w:t>in</w:t>
      </w:r>
      <w:r w:rsidR="00761B74">
        <w:t xml:space="preserve"> the Import </w:t>
      </w:r>
      <w:r w:rsidR="00DC177D">
        <w:t>d</w:t>
      </w:r>
      <w:r w:rsidR="00761B74">
        <w:t xml:space="preserve">eclaration </w:t>
      </w:r>
      <w:r w:rsidR="00DC177D">
        <w:t>h</w:t>
      </w:r>
      <w:r w:rsidR="00761B74">
        <w:t xml:space="preserve">eader </w:t>
      </w:r>
      <w:r w:rsidR="00DC177D">
        <w:t>c</w:t>
      </w:r>
      <w:r w:rsidR="00761B74">
        <w:t>reate screen</w:t>
      </w:r>
      <w:r>
        <w:t>.</w:t>
      </w:r>
    </w:p>
    <w:p w14:paraId="790FEAA6" w14:textId="6FC40220" w:rsidR="00613F1C" w:rsidRDefault="00613F1C" w:rsidP="005E2909">
      <w:pPr>
        <w:sectPr w:rsidR="00613F1C" w:rsidSect="002967C1">
          <w:headerReference w:type="even" r:id="rId45"/>
          <w:headerReference w:type="default" r:id="rId46"/>
          <w:footerReference w:type="default" r:id="rId47"/>
          <w:headerReference w:type="first" r:id="rId48"/>
          <w:pgSz w:w="11906" w:h="16838"/>
          <w:pgMar w:top="1418" w:right="1418" w:bottom="1418" w:left="1418" w:header="567" w:footer="283" w:gutter="0"/>
          <w:pgNumType w:start="1"/>
          <w:cols w:space="708"/>
          <w:docGrid w:linePitch="360"/>
        </w:sectPr>
      </w:pPr>
    </w:p>
    <w:p w14:paraId="3C1B3CC6" w14:textId="050A6376" w:rsidR="00DF7876" w:rsidRPr="00451EE4" w:rsidRDefault="00C92E4B" w:rsidP="00C92E4B">
      <w:pPr>
        <w:pStyle w:val="Caption"/>
      </w:pPr>
      <w:bookmarkStart w:id="37" w:name="_Toc103586616"/>
      <w:r>
        <w:lastRenderedPageBreak/>
        <w:t xml:space="preserve">Table </w:t>
      </w:r>
      <w:r w:rsidR="00C738AF">
        <w:rPr>
          <w:noProof/>
        </w:rPr>
        <w:fldChar w:fldCharType="begin"/>
      </w:r>
      <w:r w:rsidR="00C738AF">
        <w:rPr>
          <w:noProof/>
        </w:rPr>
        <w:instrText xml:space="preserve"> SEQ Table \* ARABIC </w:instrText>
      </w:r>
      <w:r w:rsidR="00C738AF">
        <w:rPr>
          <w:noProof/>
        </w:rPr>
        <w:fldChar w:fldCharType="separate"/>
      </w:r>
      <w:r w:rsidR="00EE033A">
        <w:rPr>
          <w:noProof/>
        </w:rPr>
        <w:t>1</w:t>
      </w:r>
      <w:r w:rsidR="00C738AF">
        <w:rPr>
          <w:noProof/>
        </w:rPr>
        <w:fldChar w:fldCharType="end"/>
      </w:r>
      <w:r w:rsidR="00194AE6">
        <w:rPr>
          <w:noProof/>
        </w:rPr>
        <w:t>.</w:t>
      </w:r>
      <w:r>
        <w:t xml:space="preserve"> Concern types</w:t>
      </w:r>
      <w:bookmarkEnd w:id="37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2112"/>
        <w:gridCol w:w="6525"/>
        <w:gridCol w:w="2187"/>
        <w:gridCol w:w="1792"/>
      </w:tblGrid>
      <w:tr w:rsidR="0040627E" w:rsidRPr="0040627E" w14:paraId="649D6265" w14:textId="77777777" w:rsidTr="00A4124E">
        <w:trPr>
          <w:trHeight w:val="315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2E25F" w14:textId="772EF559" w:rsidR="0040627E" w:rsidRPr="00A4124E" w:rsidRDefault="00DF7876" w:rsidP="009F6C54">
            <w:pPr>
              <w:pStyle w:val="TableHeading"/>
            </w:pPr>
            <w:r>
              <w:br w:type="page"/>
            </w:r>
            <w:r w:rsidR="0040627E" w:rsidRPr="00A4124E">
              <w:t>Concern type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31634" w14:textId="77777777" w:rsidR="0040627E" w:rsidRPr="00A4124E" w:rsidRDefault="0040627E" w:rsidP="009F6C54">
            <w:pPr>
              <w:pStyle w:val="TableHeading"/>
            </w:pPr>
            <w:r w:rsidRPr="00A4124E">
              <w:t>Concern</w:t>
            </w:r>
          </w:p>
        </w:tc>
        <w:tc>
          <w:tcPr>
            <w:tcW w:w="2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78B80" w14:textId="77777777" w:rsidR="0040627E" w:rsidRPr="00A4124E" w:rsidRDefault="0040627E" w:rsidP="009F6C54">
            <w:pPr>
              <w:pStyle w:val="TableHeading"/>
            </w:pPr>
            <w:r w:rsidRPr="00A4124E">
              <w:t>Description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F99B2" w14:textId="7C39F0E0" w:rsidR="0040627E" w:rsidRPr="00A4124E" w:rsidRDefault="0040627E" w:rsidP="009F6C54">
            <w:pPr>
              <w:pStyle w:val="TableHeading"/>
            </w:pPr>
            <w:r w:rsidRPr="00A4124E">
              <w:t xml:space="preserve">Cargo </w:t>
            </w:r>
            <w:r w:rsidR="00A51BA3" w:rsidRPr="00A4124E">
              <w:t>t</w:t>
            </w:r>
            <w:r w:rsidRPr="00A4124E">
              <w:t>ype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82699" w14:textId="77777777" w:rsidR="0040627E" w:rsidRPr="00A4124E" w:rsidRDefault="0040627E" w:rsidP="009F6C54">
            <w:pPr>
              <w:pStyle w:val="TableHeading"/>
            </w:pPr>
            <w:r w:rsidRPr="00A4124E">
              <w:t>Outcome</w:t>
            </w:r>
          </w:p>
        </w:tc>
      </w:tr>
      <w:tr w:rsidR="0040627E" w:rsidRPr="0040627E" w14:paraId="3DCDA080" w14:textId="77777777" w:rsidTr="00F90248">
        <w:trPr>
          <w:trHeight w:val="975"/>
        </w:trPr>
        <w:tc>
          <w:tcPr>
            <w:tcW w:w="49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499FB" w14:textId="77777777" w:rsidR="0040627E" w:rsidRPr="0040627E" w:rsidRDefault="0040627E" w:rsidP="00B46E91">
            <w:pPr>
              <w:pStyle w:val="TableText"/>
            </w:pPr>
            <w:r w:rsidRPr="0040627E">
              <w:t>BCOM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3EB20" w14:textId="711370C2" w:rsidR="0040627E" w:rsidRPr="0040627E" w:rsidRDefault="0040627E" w:rsidP="00B46E91">
            <w:pPr>
              <w:pStyle w:val="TableText"/>
            </w:pPr>
            <w:r w:rsidRPr="0040627E">
              <w:t xml:space="preserve">Broker </w:t>
            </w:r>
            <w:r w:rsidR="006C25B5">
              <w:t>referred</w:t>
            </w:r>
            <w:r w:rsidR="00602845">
              <w:t>:</w:t>
            </w:r>
            <w:r w:rsidRPr="0040627E">
              <w:t xml:space="preserve"> commodity issues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02CA0" w14:textId="55DAC0A4" w:rsidR="0040627E" w:rsidRPr="0040627E" w:rsidRDefault="0040627E" w:rsidP="00B46E91">
            <w:pPr>
              <w:pStyle w:val="TableText"/>
            </w:pPr>
            <w:r w:rsidRPr="0040627E">
              <w:t>Department assessment required. To be used to refer concerns with a commodity line that has not been referred to the department through ICS community protection profiles or concerns regarding the authenticity of the commodity documentation.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CD5A9" w14:textId="4D926C93" w:rsidR="0040627E" w:rsidRPr="0040627E" w:rsidRDefault="0040627E" w:rsidP="00B46E91">
            <w:pPr>
              <w:pStyle w:val="TableText"/>
            </w:pPr>
            <w:r w:rsidRPr="0040627E">
              <w:t>For all cargo types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05D7E93" w14:textId="77777777" w:rsidR="0040627E" w:rsidRPr="0040627E" w:rsidRDefault="0040627E" w:rsidP="00B46E91">
            <w:pPr>
              <w:pStyle w:val="TableText"/>
            </w:pPr>
            <w:r w:rsidRPr="0040627E">
              <w:t>Document processing required (applies to all lines)</w:t>
            </w:r>
          </w:p>
        </w:tc>
      </w:tr>
      <w:tr w:rsidR="0040627E" w:rsidRPr="0040627E" w14:paraId="52B52F66" w14:textId="77777777" w:rsidTr="00F90248">
        <w:trPr>
          <w:trHeight w:val="975"/>
        </w:trPr>
        <w:tc>
          <w:tcPr>
            <w:tcW w:w="4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9312D6" w14:textId="77777777" w:rsidR="0040627E" w:rsidRPr="0040627E" w:rsidRDefault="0040627E" w:rsidP="00B46E91">
            <w:pPr>
              <w:pStyle w:val="TableText"/>
            </w:pPr>
            <w:r w:rsidRPr="0040627E">
              <w:t>BNCC</w:t>
            </w:r>
          </w:p>
        </w:tc>
        <w:tc>
          <w:tcPr>
            <w:tcW w:w="7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466864" w14:textId="11D9BB6A" w:rsidR="0040627E" w:rsidRPr="0040627E" w:rsidRDefault="0040627E" w:rsidP="00B46E91">
            <w:pPr>
              <w:pStyle w:val="TableText"/>
            </w:pPr>
            <w:r w:rsidRPr="0040627E">
              <w:t xml:space="preserve">Broker </w:t>
            </w:r>
            <w:r w:rsidR="006C25B5">
              <w:t>referred</w:t>
            </w:r>
            <w:r w:rsidR="00602845">
              <w:t>:</w:t>
            </w:r>
            <w:r w:rsidRPr="0040627E">
              <w:t xml:space="preserve"> non-commodity issues</w:t>
            </w:r>
          </w:p>
        </w:tc>
        <w:tc>
          <w:tcPr>
            <w:tcW w:w="233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1FBD90" w14:textId="441D2E2B" w:rsidR="0040627E" w:rsidRPr="0040627E" w:rsidRDefault="0040627E" w:rsidP="00B46E91">
            <w:pPr>
              <w:pStyle w:val="TableText"/>
            </w:pPr>
            <w:r w:rsidRPr="0040627E">
              <w:t>Department assessment required. To be used to refer non-commodity concerns other than listed or would like the non-commodity concerns assessed by the department due to the outcome required not being available—for example, external container inspection.</w:t>
            </w:r>
          </w:p>
        </w:tc>
        <w:tc>
          <w:tcPr>
            <w:tcW w:w="7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B8131B" w14:textId="055C336D" w:rsidR="0040627E" w:rsidRPr="0040627E" w:rsidRDefault="0040627E" w:rsidP="00B46E91">
            <w:pPr>
              <w:pStyle w:val="TableText"/>
            </w:pPr>
            <w:r w:rsidRPr="0040627E">
              <w:t>For all cargo types</w:t>
            </w:r>
          </w:p>
        </w:tc>
        <w:tc>
          <w:tcPr>
            <w:tcW w:w="64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C1CBD4" w14:textId="77777777" w:rsidR="0040627E" w:rsidRPr="0040627E" w:rsidRDefault="0040627E" w:rsidP="00B46E91">
            <w:pPr>
              <w:pStyle w:val="TableText"/>
            </w:pPr>
            <w:r w:rsidRPr="0040627E">
              <w:t>Document processing required</w:t>
            </w:r>
          </w:p>
        </w:tc>
      </w:tr>
      <w:tr w:rsidR="004409B4" w:rsidRPr="0040627E" w14:paraId="6D127588" w14:textId="77777777" w:rsidTr="00352088">
        <w:trPr>
          <w:trHeight w:val="315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6274" w14:textId="77777777" w:rsidR="004409B4" w:rsidRPr="00075282" w:rsidRDefault="004409B4" w:rsidP="00352088">
            <w:pPr>
              <w:pStyle w:val="TableText"/>
            </w:pPr>
            <w:r w:rsidRPr="00075282">
              <w:t>KPRA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2AFFD" w14:textId="26B5A283" w:rsidR="004409B4" w:rsidRPr="00075282" w:rsidRDefault="004409B4" w:rsidP="00352088">
            <w:pPr>
              <w:pStyle w:val="TableText"/>
            </w:pPr>
            <w:r w:rsidRPr="00075282">
              <w:t>Khapra</w:t>
            </w:r>
            <w:r>
              <w:t xml:space="preserve"> </w:t>
            </w:r>
            <w:r w:rsidR="001715AD">
              <w:t>b</w:t>
            </w:r>
            <w:r>
              <w:t>eetle risk not managed offshore</w:t>
            </w:r>
          </w:p>
        </w:tc>
        <w:tc>
          <w:tcPr>
            <w:tcW w:w="2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26716D" w14:textId="34A8D944" w:rsidR="004409B4" w:rsidRPr="00075282" w:rsidRDefault="004409B4" w:rsidP="00352088">
            <w:pPr>
              <w:pStyle w:val="TableText"/>
            </w:pPr>
            <w:r w:rsidRPr="00075282">
              <w:t xml:space="preserve">Department assessment required. FCL/X not treated for </w:t>
            </w:r>
            <w:r>
              <w:t>k</w:t>
            </w:r>
            <w:r w:rsidRPr="00075282">
              <w:t xml:space="preserve">hapra beetle or treatment certificate is unacceptable (for containers </w:t>
            </w:r>
            <w:r>
              <w:t>packed in</w:t>
            </w:r>
            <w:r w:rsidRPr="00075282">
              <w:t xml:space="preserve"> a </w:t>
            </w:r>
            <w:r>
              <w:t>k</w:t>
            </w:r>
            <w:r w:rsidRPr="00075282">
              <w:t xml:space="preserve">hapra beetle country and </w:t>
            </w:r>
            <w:r>
              <w:t xml:space="preserve">destined </w:t>
            </w:r>
            <w:r w:rsidRPr="00075282">
              <w:t xml:space="preserve">to be </w:t>
            </w:r>
            <w:r w:rsidRPr="008D327F">
              <w:t>unpacked in</w:t>
            </w:r>
            <w:r w:rsidRPr="00075282">
              <w:t xml:space="preserve"> a </w:t>
            </w:r>
            <w:r w:rsidR="00E742FB">
              <w:t xml:space="preserve">rural khapra risk post code </w:t>
            </w:r>
            <w:r>
              <w:t>in Australia</w:t>
            </w:r>
            <w:r w:rsidRPr="00075282">
              <w:t>)</w:t>
            </w:r>
            <w:r>
              <w:t>.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A2763" w14:textId="04F3E13D" w:rsidR="004409B4" w:rsidRPr="00075282" w:rsidRDefault="00C35B12" w:rsidP="00352088">
            <w:pPr>
              <w:pStyle w:val="TableText"/>
            </w:pPr>
            <w:r w:rsidRPr="0040627E">
              <w:t>For cargo types—</w:t>
            </w:r>
            <w:r w:rsidR="004409B4" w:rsidRPr="00075282">
              <w:t>FC</w:t>
            </w:r>
            <w:r>
              <w:t>L, FCX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5AAB4" w14:textId="77777777" w:rsidR="004409B4" w:rsidRPr="00075282" w:rsidRDefault="004409B4" w:rsidP="00352088">
            <w:pPr>
              <w:pStyle w:val="TableText"/>
            </w:pPr>
            <w:r w:rsidRPr="00075282">
              <w:t xml:space="preserve">Document processing required </w:t>
            </w:r>
          </w:p>
        </w:tc>
      </w:tr>
      <w:tr w:rsidR="0040627E" w:rsidRPr="0040627E" w14:paraId="4C50C2DE" w14:textId="77777777" w:rsidTr="002B1B07">
        <w:trPr>
          <w:trHeight w:val="735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2C3DB87" w14:textId="1B149876" w:rsidR="00D83E97" w:rsidRDefault="0040627E" w:rsidP="00B46E91">
            <w:pPr>
              <w:pStyle w:val="TableText"/>
            </w:pPr>
            <w:r w:rsidRPr="0040627E">
              <w:t>RURL</w:t>
            </w:r>
          </w:p>
          <w:p w14:paraId="4629308E" w14:textId="353890C1" w:rsidR="00664A80" w:rsidRDefault="00664A80" w:rsidP="00B46E91">
            <w:pPr>
              <w:pStyle w:val="TableText"/>
            </w:pPr>
          </w:p>
          <w:p w14:paraId="30962FD5" w14:textId="77777777" w:rsidR="00664A80" w:rsidRDefault="00664A80" w:rsidP="00B46E91">
            <w:pPr>
              <w:pStyle w:val="TableText"/>
            </w:pPr>
          </w:p>
          <w:p w14:paraId="4DDF17CC" w14:textId="77777777" w:rsidR="00664A80" w:rsidRDefault="00664A80" w:rsidP="00B46E91">
            <w:pPr>
              <w:pStyle w:val="TableText"/>
            </w:pPr>
          </w:p>
          <w:p w14:paraId="75A655DB" w14:textId="48325476" w:rsidR="00664A80" w:rsidRDefault="00664A80" w:rsidP="00B46E91">
            <w:pPr>
              <w:pStyle w:val="TableText"/>
            </w:pPr>
            <w:r>
              <w:t>RUAA</w:t>
            </w:r>
          </w:p>
          <w:p w14:paraId="5C65D4A8" w14:textId="77777777" w:rsidR="00664A80" w:rsidRDefault="00664A80" w:rsidP="00B46E91">
            <w:pPr>
              <w:pStyle w:val="TableText"/>
            </w:pPr>
          </w:p>
          <w:p w14:paraId="0702C904" w14:textId="77777777" w:rsidR="00664A80" w:rsidRDefault="00664A80" w:rsidP="00B46E91">
            <w:pPr>
              <w:pStyle w:val="TableText"/>
            </w:pPr>
          </w:p>
          <w:p w14:paraId="719769D1" w14:textId="77777777" w:rsidR="00664A80" w:rsidRDefault="00664A80" w:rsidP="00B46E91">
            <w:pPr>
              <w:pStyle w:val="TableText"/>
            </w:pPr>
          </w:p>
          <w:p w14:paraId="0BE83C6A" w14:textId="58C375A1" w:rsidR="00664A80" w:rsidRPr="0040627E" w:rsidRDefault="00664A80" w:rsidP="00B46E91">
            <w:pPr>
              <w:pStyle w:val="TableText"/>
            </w:pPr>
            <w:r>
              <w:t>REAA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44AEBD7" w14:textId="2F1A4064" w:rsidR="0040627E" w:rsidRDefault="0040627E" w:rsidP="00B46E91">
            <w:pPr>
              <w:pStyle w:val="TableText"/>
            </w:pPr>
            <w:r w:rsidRPr="0040627E">
              <w:t>Rural</w:t>
            </w:r>
            <w:r w:rsidR="000515FA">
              <w:t xml:space="preserve"> unpack location</w:t>
            </w:r>
          </w:p>
          <w:p w14:paraId="1829B164" w14:textId="77777777" w:rsidR="00664A80" w:rsidRDefault="00664A80" w:rsidP="00B46E91">
            <w:pPr>
              <w:pStyle w:val="TableText"/>
            </w:pPr>
          </w:p>
          <w:p w14:paraId="36F850BB" w14:textId="77777777" w:rsidR="00664A80" w:rsidRDefault="00664A80" w:rsidP="00664A80">
            <w:pPr>
              <w:pStyle w:val="TableText"/>
            </w:pPr>
          </w:p>
          <w:p w14:paraId="378BA070" w14:textId="77777777" w:rsidR="00664A80" w:rsidRDefault="00664A80" w:rsidP="00664A80">
            <w:pPr>
              <w:pStyle w:val="TableText"/>
            </w:pPr>
          </w:p>
          <w:p w14:paraId="3F7C238E" w14:textId="6F3DF923" w:rsidR="00664A80" w:rsidRDefault="00664A80" w:rsidP="00664A80">
            <w:pPr>
              <w:pStyle w:val="TableText"/>
            </w:pPr>
            <w:r w:rsidRPr="0040627E">
              <w:t>Rural</w:t>
            </w:r>
            <w:r>
              <w:t xml:space="preserve"> unpack location</w:t>
            </w:r>
          </w:p>
          <w:p w14:paraId="0E268E8B" w14:textId="21FD68CA" w:rsidR="00664A80" w:rsidRDefault="00664A80" w:rsidP="00B46E91">
            <w:pPr>
              <w:pStyle w:val="TableText"/>
            </w:pPr>
          </w:p>
          <w:p w14:paraId="6A2DA3AE" w14:textId="77777777" w:rsidR="00664A80" w:rsidRDefault="00664A80" w:rsidP="00B46E91">
            <w:pPr>
              <w:pStyle w:val="TableText"/>
            </w:pPr>
          </w:p>
          <w:p w14:paraId="2F937D15" w14:textId="77777777" w:rsidR="00664A80" w:rsidRDefault="00664A80" w:rsidP="00B46E91">
            <w:pPr>
              <w:pStyle w:val="TableText"/>
            </w:pPr>
          </w:p>
          <w:p w14:paraId="11A9D983" w14:textId="3F620CD7" w:rsidR="00664A80" w:rsidRDefault="00664A80" w:rsidP="00B46E91">
            <w:pPr>
              <w:pStyle w:val="TableText"/>
            </w:pPr>
            <w:r w:rsidRPr="0040627E">
              <w:t>Rural</w:t>
            </w:r>
            <w:r>
              <w:t xml:space="preserve"> unpack location – external inspect</w:t>
            </w:r>
          </w:p>
          <w:p w14:paraId="6762789C" w14:textId="64E946B8" w:rsidR="00D83E97" w:rsidRPr="0040627E" w:rsidRDefault="00D83E97" w:rsidP="00B46E91">
            <w:pPr>
              <w:pStyle w:val="TableText"/>
            </w:pPr>
          </w:p>
        </w:tc>
        <w:tc>
          <w:tcPr>
            <w:tcW w:w="2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90E984" w14:textId="34CEF437" w:rsidR="00664A80" w:rsidRDefault="0040627E" w:rsidP="00B46E91">
            <w:pPr>
              <w:pStyle w:val="TableText"/>
            </w:pPr>
            <w:r w:rsidRPr="0040627E">
              <w:t>FCL/X destined to be unpacked at a non-metropolitan location. For containers that meet the need for an external inspection only, the BNCC code needs to be included with the RURL designation at lodgement.</w:t>
            </w:r>
          </w:p>
          <w:p w14:paraId="2BBDEDB1" w14:textId="77777777" w:rsidR="00664A80" w:rsidRDefault="00664A80" w:rsidP="00B46E91">
            <w:pPr>
              <w:pStyle w:val="TableText"/>
            </w:pPr>
          </w:p>
          <w:p w14:paraId="19907CA5" w14:textId="1E5B32F0" w:rsidR="00664A80" w:rsidRDefault="00664A80" w:rsidP="00B46E91">
            <w:pPr>
              <w:pStyle w:val="TableText"/>
            </w:pPr>
            <w:r w:rsidRPr="0040627E">
              <w:t>FCL/X destined to be unpacked at a non-metropolitan location.</w:t>
            </w:r>
            <w:r>
              <w:t xml:space="preserve"> To be used to refer rural destination concerns for inspection at a class 14.4 approved arrangement site.</w:t>
            </w:r>
          </w:p>
          <w:p w14:paraId="0E155AB8" w14:textId="6446085A" w:rsidR="00664A80" w:rsidRDefault="00664A80" w:rsidP="00B46E91">
            <w:pPr>
              <w:pStyle w:val="TableText"/>
            </w:pPr>
          </w:p>
          <w:p w14:paraId="6AFC476B" w14:textId="77777777" w:rsidR="002C55A4" w:rsidRPr="009C2618" w:rsidRDefault="002C55A4" w:rsidP="002C55A4">
            <w:pPr>
              <w:pStyle w:val="TableText"/>
            </w:pPr>
            <w:bookmarkStart w:id="38" w:name="_Hlk107337608"/>
            <w:r w:rsidRPr="009C2618">
              <w:t xml:space="preserve">FCL/X destined to be unpacked at a non-metropolitan location. To be used to refer hard frozen containers, iso tanks, containers carrying </w:t>
            </w:r>
            <w:r w:rsidRPr="006B6D97">
              <w:t>dangerous goods</w:t>
            </w:r>
            <w:r w:rsidRPr="009C2618">
              <w:t xml:space="preserve">, or containers carrying </w:t>
            </w:r>
            <w:r w:rsidRPr="006B6D97">
              <w:t>diplomatic goods with</w:t>
            </w:r>
            <w:r w:rsidRPr="009C2618">
              <w:t xml:space="preserve"> rural destination concerns for inspection at a class 14.4 approved arrangement site.</w:t>
            </w:r>
          </w:p>
          <w:bookmarkEnd w:id="38"/>
          <w:p w14:paraId="47B9EB2A" w14:textId="04ACC698" w:rsidR="00D83E97" w:rsidRPr="0040627E" w:rsidRDefault="00D83E97" w:rsidP="00B46E91">
            <w:pPr>
              <w:pStyle w:val="TableText"/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6C9D793" w14:textId="77777777" w:rsidR="0040627E" w:rsidRDefault="0040627E" w:rsidP="00B46E91">
            <w:pPr>
              <w:pStyle w:val="TableText"/>
            </w:pPr>
            <w:r w:rsidRPr="0040627E">
              <w:t>For cargo types—FCL, FCX</w:t>
            </w:r>
          </w:p>
          <w:p w14:paraId="6B175FCE" w14:textId="77777777" w:rsidR="00664A80" w:rsidRDefault="00664A80" w:rsidP="00B46E91">
            <w:pPr>
              <w:pStyle w:val="TableText"/>
            </w:pPr>
          </w:p>
          <w:p w14:paraId="2FA71B28" w14:textId="77777777" w:rsidR="00664A80" w:rsidRDefault="00664A80" w:rsidP="00B46E91">
            <w:pPr>
              <w:pStyle w:val="TableText"/>
            </w:pPr>
          </w:p>
          <w:p w14:paraId="3D74465D" w14:textId="7AC34125" w:rsidR="00664A80" w:rsidRDefault="00664A80" w:rsidP="00B46E91">
            <w:pPr>
              <w:pStyle w:val="TableText"/>
            </w:pPr>
            <w:r w:rsidRPr="0040627E">
              <w:t>For cargo types—FCL, FCX</w:t>
            </w:r>
          </w:p>
          <w:p w14:paraId="4024A17F" w14:textId="77777777" w:rsidR="00664A80" w:rsidRDefault="00664A80" w:rsidP="00B46E91">
            <w:pPr>
              <w:pStyle w:val="TableText"/>
            </w:pPr>
          </w:p>
          <w:p w14:paraId="35682A0A" w14:textId="77777777" w:rsidR="00664A80" w:rsidRDefault="00664A80" w:rsidP="00B46E91">
            <w:pPr>
              <w:pStyle w:val="TableText"/>
            </w:pPr>
          </w:p>
          <w:p w14:paraId="427F72B7" w14:textId="77D93D46" w:rsidR="00664A80" w:rsidRPr="0040627E" w:rsidRDefault="00664A80" w:rsidP="00B46E91">
            <w:pPr>
              <w:pStyle w:val="TableText"/>
            </w:pPr>
            <w:r w:rsidRPr="0040627E">
              <w:t>For cargo types—FCL, FCX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4528B90" w14:textId="027BC231" w:rsidR="00664A80" w:rsidRDefault="0040627E" w:rsidP="00B46E91">
            <w:pPr>
              <w:pStyle w:val="TableText"/>
            </w:pPr>
            <w:r w:rsidRPr="0040627E">
              <w:t>Inspection—rural tailgate</w:t>
            </w:r>
          </w:p>
          <w:p w14:paraId="2BB0B2FA" w14:textId="77777777" w:rsidR="00664A80" w:rsidRDefault="00664A80" w:rsidP="00B46E91">
            <w:pPr>
              <w:pStyle w:val="TableText"/>
            </w:pPr>
          </w:p>
          <w:p w14:paraId="100C3531" w14:textId="38C9AAF8" w:rsidR="00664A80" w:rsidRDefault="00664A80" w:rsidP="00B46E91">
            <w:pPr>
              <w:pStyle w:val="TableText"/>
            </w:pPr>
            <w:r>
              <w:t xml:space="preserve">Approved arrangements - </w:t>
            </w:r>
            <w:r w:rsidRPr="00C35B12">
              <w:t>AA Rural Tailgate Inspection</w:t>
            </w:r>
          </w:p>
          <w:p w14:paraId="14B1FAB5" w14:textId="77777777" w:rsidR="00664A80" w:rsidRDefault="00664A80" w:rsidP="00B46E91">
            <w:pPr>
              <w:pStyle w:val="TableText"/>
            </w:pPr>
          </w:p>
          <w:p w14:paraId="2E60A2C2" w14:textId="0AEBA861" w:rsidR="00664A80" w:rsidRPr="0040627E" w:rsidRDefault="00664A80" w:rsidP="00B46E91">
            <w:pPr>
              <w:pStyle w:val="TableText"/>
            </w:pPr>
            <w:r>
              <w:t xml:space="preserve">Approved arrangements - </w:t>
            </w:r>
            <w:r w:rsidRPr="00C35B12">
              <w:t>AA Rural Tailgate Ext. inspect</w:t>
            </w:r>
          </w:p>
        </w:tc>
      </w:tr>
      <w:tr w:rsidR="0040627E" w:rsidRPr="0040627E" w14:paraId="74A38AAA" w14:textId="77777777" w:rsidTr="00696467">
        <w:trPr>
          <w:trHeight w:val="495"/>
        </w:trPr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BCF9DC" w14:textId="77777777" w:rsidR="0040627E" w:rsidRPr="0040627E" w:rsidRDefault="0040627E" w:rsidP="00B46E91">
            <w:pPr>
              <w:pStyle w:val="TableText"/>
            </w:pPr>
            <w:r w:rsidRPr="0040627E">
              <w:t>PCIN</w:t>
            </w:r>
          </w:p>
        </w:tc>
        <w:tc>
          <w:tcPr>
            <w:tcW w:w="75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CA1ADA" w14:textId="77777777" w:rsidR="0040627E" w:rsidRPr="0040627E" w:rsidRDefault="0040627E" w:rsidP="00B46E91">
            <w:pPr>
              <w:pStyle w:val="TableText"/>
            </w:pPr>
            <w:r w:rsidRPr="0040627E">
              <w:t>Packaging/cleanliness—inspection</w:t>
            </w:r>
          </w:p>
        </w:tc>
        <w:tc>
          <w:tcPr>
            <w:tcW w:w="23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75044C" w14:textId="77777777" w:rsidR="0040627E" w:rsidRPr="0040627E" w:rsidRDefault="0040627E" w:rsidP="00B46E91">
            <w:pPr>
              <w:pStyle w:val="TableText"/>
            </w:pPr>
            <w:r w:rsidRPr="0040627E">
              <w:t>Declared unacceptable packaging material and/or nil container cleanliness statement.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32AF0D" w14:textId="77777777" w:rsidR="0040627E" w:rsidRPr="0040627E" w:rsidRDefault="0040627E" w:rsidP="00B46E91">
            <w:pPr>
              <w:pStyle w:val="TableText"/>
            </w:pPr>
            <w:r w:rsidRPr="0040627E">
              <w:t>For cargo types—FCL, FCX, LCL</w:t>
            </w:r>
          </w:p>
        </w:tc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725E97" w14:textId="77777777" w:rsidR="0040627E" w:rsidRPr="0040627E" w:rsidRDefault="0040627E" w:rsidP="00B46E91">
            <w:pPr>
              <w:pStyle w:val="TableText"/>
            </w:pPr>
            <w:r w:rsidRPr="0040627E">
              <w:t>Cargo inspection</w:t>
            </w:r>
          </w:p>
        </w:tc>
      </w:tr>
      <w:tr w:rsidR="0040627E" w:rsidRPr="0040627E" w14:paraId="59935FDE" w14:textId="77777777" w:rsidTr="00696467">
        <w:trPr>
          <w:trHeight w:val="495"/>
        </w:trPr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0B845C" w14:textId="77777777" w:rsidR="0040627E" w:rsidRPr="0040627E" w:rsidRDefault="0040627E" w:rsidP="00B46E91">
            <w:pPr>
              <w:pStyle w:val="TableText"/>
            </w:pPr>
            <w:r w:rsidRPr="0040627E">
              <w:t>PCTG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E186C6" w14:textId="77777777" w:rsidR="0040627E" w:rsidRPr="0040627E" w:rsidRDefault="0040627E" w:rsidP="00B46E91">
            <w:pPr>
              <w:pStyle w:val="TableText"/>
            </w:pPr>
            <w:r w:rsidRPr="0040627E">
              <w:t>Packaging/cleanliness—tailgate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FC5376" w14:textId="5B9FF6CF" w:rsidR="00A54D1D" w:rsidRPr="0040627E" w:rsidRDefault="0040627E" w:rsidP="00B46E91">
            <w:pPr>
              <w:pStyle w:val="TableText"/>
            </w:pPr>
            <w:r w:rsidRPr="0040627E">
              <w:t>Declared unacceptable packaging material and/or nil container cleanliness statement.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1AC7AF" w14:textId="77777777" w:rsidR="0040627E" w:rsidRPr="0040627E" w:rsidRDefault="0040627E" w:rsidP="00B46E91">
            <w:pPr>
              <w:pStyle w:val="TableText"/>
            </w:pPr>
            <w:r w:rsidRPr="0040627E">
              <w:t>For cargo types—FCL, FCX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6B5B1E" w14:textId="77777777" w:rsidR="0040627E" w:rsidRPr="0040627E" w:rsidRDefault="0040627E" w:rsidP="00B46E91">
            <w:pPr>
              <w:pStyle w:val="TableText"/>
            </w:pPr>
            <w:r w:rsidRPr="0040627E">
              <w:t>Tailgate</w:t>
            </w:r>
          </w:p>
        </w:tc>
      </w:tr>
      <w:tr w:rsidR="0040627E" w:rsidRPr="0040627E" w14:paraId="18E13985" w14:textId="77777777" w:rsidTr="00696467">
        <w:trPr>
          <w:trHeight w:val="735"/>
        </w:trPr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940500" w14:textId="77777777" w:rsidR="0040627E" w:rsidRPr="0040627E" w:rsidRDefault="0040627E" w:rsidP="00B46E91">
            <w:pPr>
              <w:pStyle w:val="TableText"/>
            </w:pPr>
            <w:r w:rsidRPr="0040627E">
              <w:t>PDIN</w:t>
            </w:r>
          </w:p>
        </w:tc>
        <w:tc>
          <w:tcPr>
            <w:tcW w:w="75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90B541" w14:textId="77777777" w:rsidR="0040627E" w:rsidRPr="0040627E" w:rsidRDefault="0040627E" w:rsidP="00B46E91">
            <w:pPr>
              <w:pStyle w:val="TableText"/>
            </w:pPr>
            <w:r w:rsidRPr="0040627E">
              <w:t>Packing declaration—inspection</w:t>
            </w:r>
          </w:p>
        </w:tc>
        <w:tc>
          <w:tcPr>
            <w:tcW w:w="23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8659CD" w14:textId="158A96B3" w:rsidR="0040627E" w:rsidRPr="0040627E" w:rsidRDefault="0040627E" w:rsidP="00B46E91">
            <w:pPr>
              <w:pStyle w:val="TableText"/>
            </w:pPr>
            <w:r w:rsidRPr="00B46E91">
              <w:t xml:space="preserve">Packing declaration concerns. Nil </w:t>
            </w:r>
            <w:r w:rsidR="00A51BA3" w:rsidRPr="00B46E91">
              <w:t>p</w:t>
            </w:r>
            <w:r w:rsidRPr="00B46E91">
              <w:t>acking declaration or it does not comply with the Minimum documentary and import declaration requirements policy</w:t>
            </w:r>
            <w:r w:rsidRPr="0040627E">
              <w:t>.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2FE97C" w14:textId="77777777" w:rsidR="0040627E" w:rsidRPr="0040627E" w:rsidRDefault="0040627E" w:rsidP="00B46E91">
            <w:pPr>
              <w:pStyle w:val="TableText"/>
            </w:pPr>
            <w:r w:rsidRPr="0040627E">
              <w:t>For cargo types—FCL, FCX, LCL</w:t>
            </w:r>
          </w:p>
        </w:tc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1D15FD" w14:textId="77777777" w:rsidR="0040627E" w:rsidRPr="0040627E" w:rsidRDefault="0040627E" w:rsidP="00B46E91">
            <w:pPr>
              <w:pStyle w:val="TableText"/>
            </w:pPr>
            <w:r w:rsidRPr="0040627E">
              <w:t>Cargo inspection</w:t>
            </w:r>
          </w:p>
        </w:tc>
      </w:tr>
      <w:tr w:rsidR="0040627E" w:rsidRPr="0040627E" w14:paraId="29ACC5E0" w14:textId="77777777" w:rsidTr="00696467">
        <w:trPr>
          <w:trHeight w:val="495"/>
        </w:trPr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68560C" w14:textId="77777777" w:rsidR="0040627E" w:rsidRPr="0040627E" w:rsidRDefault="0040627E" w:rsidP="00B46E91">
            <w:pPr>
              <w:pStyle w:val="TableText"/>
            </w:pPr>
            <w:r w:rsidRPr="0040627E">
              <w:t>PDTG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B9BCB7" w14:textId="77777777" w:rsidR="0040627E" w:rsidRPr="0040627E" w:rsidRDefault="0040627E" w:rsidP="00B46E91">
            <w:pPr>
              <w:pStyle w:val="TableText"/>
            </w:pPr>
            <w:r w:rsidRPr="0040627E">
              <w:t>Packing declaration—tailgate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896E5C" w14:textId="22CC3DCB" w:rsidR="00A54D1D" w:rsidRPr="0040627E" w:rsidRDefault="0040627E" w:rsidP="00B46E91">
            <w:pPr>
              <w:pStyle w:val="TableText"/>
            </w:pPr>
            <w:r w:rsidRPr="0040627E">
              <w:t xml:space="preserve">Packing declaration concerns. Nil </w:t>
            </w:r>
            <w:r w:rsidR="00A51BA3">
              <w:t>p</w:t>
            </w:r>
            <w:r w:rsidRPr="0040627E">
              <w:t>acking declaration or it does not comply with the Minimum documentary and import declaration requirements policy.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5B638A" w14:textId="77777777" w:rsidR="0040627E" w:rsidRPr="0040627E" w:rsidRDefault="0040627E" w:rsidP="00B46E91">
            <w:pPr>
              <w:pStyle w:val="TableText"/>
            </w:pPr>
            <w:r w:rsidRPr="0040627E">
              <w:t>For cargo types—FCL, FCX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066DBC" w14:textId="77777777" w:rsidR="0040627E" w:rsidRPr="0040627E" w:rsidRDefault="0040627E" w:rsidP="00B46E91">
            <w:pPr>
              <w:pStyle w:val="TableText"/>
            </w:pPr>
            <w:r w:rsidRPr="0040627E">
              <w:t>Tailgate</w:t>
            </w:r>
          </w:p>
        </w:tc>
      </w:tr>
      <w:tr w:rsidR="0040627E" w:rsidRPr="0040627E" w14:paraId="0DAD36A8" w14:textId="77777777" w:rsidTr="00696467">
        <w:trPr>
          <w:trHeight w:val="735"/>
        </w:trPr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9D6A81C" w14:textId="77777777" w:rsidR="0040627E" w:rsidRPr="0040627E" w:rsidRDefault="0040627E" w:rsidP="00B46E91">
            <w:pPr>
              <w:pStyle w:val="TableText"/>
            </w:pPr>
            <w:r w:rsidRPr="0040627E">
              <w:lastRenderedPageBreak/>
              <w:t>TFUM</w:t>
            </w:r>
          </w:p>
        </w:tc>
        <w:tc>
          <w:tcPr>
            <w:tcW w:w="75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FC410B" w14:textId="77777777" w:rsidR="0040627E" w:rsidRPr="0040627E" w:rsidRDefault="0040627E" w:rsidP="00B46E91">
            <w:pPr>
              <w:pStyle w:val="TableText"/>
            </w:pPr>
            <w:r w:rsidRPr="0040627E">
              <w:t>Timber—fumigate</w:t>
            </w:r>
          </w:p>
        </w:tc>
        <w:tc>
          <w:tcPr>
            <w:tcW w:w="23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581B09" w14:textId="77777777" w:rsidR="0040627E" w:rsidRPr="0040627E" w:rsidRDefault="0040627E" w:rsidP="00B46E91">
            <w:pPr>
              <w:pStyle w:val="TableText"/>
            </w:pPr>
            <w:r w:rsidRPr="0040627E">
              <w:t>Untreated timber/bamboo packaging.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121285" w14:textId="77777777" w:rsidR="0040627E" w:rsidRPr="0040627E" w:rsidRDefault="0040627E" w:rsidP="00B46E91">
            <w:pPr>
              <w:pStyle w:val="TableText"/>
            </w:pPr>
            <w:r w:rsidRPr="0040627E">
              <w:t>For cargo types—FCL, FCX, LCL</w:t>
            </w:r>
          </w:p>
        </w:tc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5D41AC" w14:textId="77777777" w:rsidR="0040627E" w:rsidRPr="0040627E" w:rsidRDefault="0040627E" w:rsidP="00B46E91">
            <w:pPr>
              <w:pStyle w:val="TableText"/>
            </w:pPr>
            <w:r w:rsidRPr="0040627E">
              <w:t>Fumigation (CH3Br 48g/M3 24hr 21C or above)</w:t>
            </w:r>
          </w:p>
        </w:tc>
      </w:tr>
      <w:tr w:rsidR="0040627E" w:rsidRPr="0040627E" w14:paraId="7CEC1FE6" w14:textId="77777777" w:rsidTr="00696467">
        <w:trPr>
          <w:trHeight w:val="495"/>
        </w:trPr>
        <w:tc>
          <w:tcPr>
            <w:tcW w:w="495" w:type="pct"/>
            <w:shd w:val="clear" w:color="auto" w:fill="auto"/>
            <w:vAlign w:val="center"/>
            <w:hideMark/>
          </w:tcPr>
          <w:p w14:paraId="49169655" w14:textId="77777777" w:rsidR="0040627E" w:rsidRPr="0040627E" w:rsidRDefault="0040627E" w:rsidP="00B46E91">
            <w:pPr>
              <w:pStyle w:val="TableText"/>
            </w:pPr>
            <w:r w:rsidRPr="0040627E">
              <w:t>TINS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9229C7" w14:textId="77777777" w:rsidR="0040627E" w:rsidRPr="0040627E" w:rsidRDefault="0040627E" w:rsidP="00B46E91">
            <w:pPr>
              <w:pStyle w:val="TableText"/>
              <w:rPr>
                <w:rFonts w:ascii="Calibri" w:hAnsi="Calibri"/>
              </w:rPr>
            </w:pPr>
            <w:r w:rsidRPr="0040627E">
              <w:rPr>
                <w:rFonts w:ascii="Calibri" w:hAnsi="Calibri"/>
              </w:rPr>
              <w:t>T</w:t>
            </w:r>
            <w:r w:rsidRPr="0040627E">
              <w:t>imber—inspect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14:paraId="3C59642D" w14:textId="34A0FF62" w:rsidR="0040627E" w:rsidRPr="0040627E" w:rsidRDefault="0040627E" w:rsidP="00B46E91">
            <w:pPr>
              <w:pStyle w:val="TableText"/>
            </w:pPr>
            <w:r w:rsidRPr="0040627E">
              <w:t>Untreated timber</w:t>
            </w:r>
            <w:r w:rsidR="00BB7EE7">
              <w:t>/bamboo</w:t>
            </w:r>
            <w:r w:rsidRPr="0040627E">
              <w:t xml:space="preserve"> packaging.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4C64E49F" w14:textId="77777777" w:rsidR="0040627E" w:rsidRPr="0040627E" w:rsidRDefault="0040627E" w:rsidP="00B46E91">
            <w:pPr>
              <w:pStyle w:val="TableText"/>
            </w:pPr>
            <w:r w:rsidRPr="0040627E">
              <w:t>For cargo types—FCL, FCX, LCL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5A3832C" w14:textId="77777777" w:rsidR="0040627E" w:rsidRPr="0040627E" w:rsidRDefault="0040627E" w:rsidP="00B46E91">
            <w:pPr>
              <w:pStyle w:val="TableText"/>
            </w:pPr>
            <w:r w:rsidRPr="0040627E">
              <w:t>Cargo inspection</w:t>
            </w:r>
          </w:p>
        </w:tc>
      </w:tr>
      <w:tr w:rsidR="0040627E" w:rsidRPr="0040627E" w14:paraId="01E3332A" w14:textId="77777777" w:rsidTr="00696467">
        <w:trPr>
          <w:trHeight w:val="735"/>
        </w:trPr>
        <w:tc>
          <w:tcPr>
            <w:tcW w:w="495" w:type="pct"/>
            <w:shd w:val="clear" w:color="auto" w:fill="auto"/>
            <w:vAlign w:val="center"/>
            <w:hideMark/>
          </w:tcPr>
          <w:p w14:paraId="0990B07F" w14:textId="77777777" w:rsidR="0040627E" w:rsidRPr="0040627E" w:rsidRDefault="0040627E" w:rsidP="00B46E91">
            <w:pPr>
              <w:pStyle w:val="TableText"/>
            </w:pPr>
            <w:r w:rsidRPr="0040627E">
              <w:t>TDIS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CFA805" w14:textId="77777777" w:rsidR="0040627E" w:rsidRPr="0040627E" w:rsidRDefault="0040627E" w:rsidP="00B46E91">
            <w:pPr>
              <w:pStyle w:val="TableText"/>
            </w:pPr>
            <w:r w:rsidRPr="0040627E">
              <w:t>Timber—dispose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14:paraId="4F6D7DEA" w14:textId="77777777" w:rsidR="0040627E" w:rsidRPr="0040627E" w:rsidRDefault="0040627E" w:rsidP="00B46E91">
            <w:pPr>
              <w:pStyle w:val="TableText"/>
            </w:pPr>
            <w:r w:rsidRPr="0040627E">
              <w:t>Untreated timber/bamboo packaging.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36845964" w14:textId="77777777" w:rsidR="0040627E" w:rsidRPr="0040627E" w:rsidRDefault="0040627E" w:rsidP="00B46E91">
            <w:pPr>
              <w:pStyle w:val="TableText"/>
            </w:pPr>
            <w:r w:rsidRPr="0040627E">
              <w:t>For cargo types—FCL, FCX, LCL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E6633F0" w14:textId="77777777" w:rsidR="0040627E" w:rsidRPr="0040627E" w:rsidRDefault="0040627E" w:rsidP="00B46E91">
            <w:pPr>
              <w:pStyle w:val="TableText"/>
            </w:pPr>
            <w:r w:rsidRPr="0040627E">
              <w:t>Disposal permission—non-commodity</w:t>
            </w:r>
          </w:p>
        </w:tc>
      </w:tr>
    </w:tbl>
    <w:p w14:paraId="71DCE72A" w14:textId="527C0618" w:rsidR="0040627E" w:rsidRDefault="0040627E" w:rsidP="009E70D9">
      <w:pPr>
        <w:rPr>
          <w:lang w:eastAsia="ja-JP"/>
        </w:rPr>
        <w:sectPr w:rsidR="0040627E" w:rsidSect="007B259C">
          <w:pgSz w:w="16838" w:h="11906" w:orient="landscape"/>
          <w:pgMar w:top="1418" w:right="1418" w:bottom="1418" w:left="1418" w:header="567" w:footer="283" w:gutter="0"/>
          <w:pgNumType w:start="8"/>
          <w:cols w:space="708"/>
          <w:docGrid w:linePitch="360"/>
        </w:sectPr>
      </w:pPr>
    </w:p>
    <w:p w14:paraId="6C7E6962" w14:textId="3D2D7EEA" w:rsidR="00E14300" w:rsidRDefault="003F3016" w:rsidP="009E70D9">
      <w:pPr>
        <w:rPr>
          <w:lang w:eastAsia="ja-JP"/>
        </w:rPr>
      </w:pPr>
      <w:r>
        <w:rPr>
          <w:lang w:eastAsia="ja-JP"/>
        </w:rPr>
        <w:lastRenderedPageBreak/>
        <w:t xml:space="preserve">AIMS </w:t>
      </w:r>
      <w:r w:rsidR="00E75532">
        <w:rPr>
          <w:lang w:eastAsia="ja-JP"/>
        </w:rPr>
        <w:t>creates</w:t>
      </w:r>
      <w:r>
        <w:rPr>
          <w:lang w:eastAsia="ja-JP"/>
        </w:rPr>
        <w:t xml:space="preserve"> a </w:t>
      </w:r>
      <w:r w:rsidR="0092046A">
        <w:rPr>
          <w:lang w:eastAsia="ja-JP"/>
        </w:rPr>
        <w:t xml:space="preserve">non-commodity </w:t>
      </w:r>
      <w:r>
        <w:rPr>
          <w:lang w:eastAsia="ja-JP"/>
        </w:rPr>
        <w:t xml:space="preserve">line </w:t>
      </w:r>
      <w:r w:rsidR="000078D7">
        <w:rPr>
          <w:lang w:eastAsia="ja-JP"/>
        </w:rPr>
        <w:t xml:space="preserve">per container </w:t>
      </w:r>
      <w:r>
        <w:rPr>
          <w:lang w:eastAsia="ja-JP"/>
        </w:rPr>
        <w:t>(</w:t>
      </w:r>
      <w:r w:rsidR="000078D7">
        <w:rPr>
          <w:lang w:eastAsia="ja-JP"/>
        </w:rPr>
        <w:t xml:space="preserve">starting at </w:t>
      </w:r>
      <w:r>
        <w:rPr>
          <w:lang w:eastAsia="ja-JP"/>
        </w:rPr>
        <w:t xml:space="preserve">line </w:t>
      </w:r>
      <w:r w:rsidR="000078D7">
        <w:rPr>
          <w:lang w:eastAsia="ja-JP"/>
        </w:rPr>
        <w:t>6</w:t>
      </w:r>
      <w:r w:rsidR="00904F88">
        <w:rPr>
          <w:lang w:eastAsia="ja-JP"/>
        </w:rPr>
        <w:t>,</w:t>
      </w:r>
      <w:r>
        <w:rPr>
          <w:lang w:eastAsia="ja-JP"/>
        </w:rPr>
        <w:t>000)</w:t>
      </w:r>
      <w:r w:rsidR="000078D7">
        <w:rPr>
          <w:lang w:eastAsia="ja-JP"/>
        </w:rPr>
        <w:t>.</w:t>
      </w:r>
      <w:r w:rsidR="000965C2">
        <w:rPr>
          <w:lang w:eastAsia="ja-JP"/>
        </w:rPr>
        <w:t xml:space="preserve"> </w:t>
      </w:r>
      <w:r w:rsidR="00E75532">
        <w:rPr>
          <w:lang w:eastAsia="ja-JP"/>
        </w:rPr>
        <w:t>When a concern type is entered (</w:t>
      </w:r>
      <w:r w:rsidR="009364FC">
        <w:rPr>
          <w:lang w:eastAsia="ja-JP"/>
        </w:rPr>
        <w:t>except for</w:t>
      </w:r>
      <w:r w:rsidR="00E75532">
        <w:rPr>
          <w:lang w:eastAsia="ja-JP"/>
        </w:rPr>
        <w:t xml:space="preserve"> BCOM), </w:t>
      </w:r>
      <w:r w:rsidR="000078D7">
        <w:rPr>
          <w:lang w:eastAsia="ja-JP"/>
        </w:rPr>
        <w:t xml:space="preserve">AIMS will </w:t>
      </w:r>
      <w:r w:rsidR="00E75532">
        <w:rPr>
          <w:lang w:eastAsia="ja-JP"/>
        </w:rPr>
        <w:t>direct the non-commodity lines according to the concern type</w:t>
      </w:r>
      <w:r w:rsidR="001B187E">
        <w:rPr>
          <w:lang w:eastAsia="ja-JP"/>
        </w:rPr>
        <w:t xml:space="preserve"> outcome</w:t>
      </w:r>
      <w:r w:rsidR="00E75532">
        <w:rPr>
          <w:lang w:eastAsia="ja-JP"/>
        </w:rPr>
        <w:t>.</w:t>
      </w:r>
      <w:r w:rsidR="000965C2">
        <w:rPr>
          <w:lang w:eastAsia="ja-JP"/>
        </w:rPr>
        <w:t xml:space="preserve"> </w:t>
      </w:r>
      <w:r w:rsidR="00E75532">
        <w:rPr>
          <w:lang w:eastAsia="ja-JP"/>
        </w:rPr>
        <w:t xml:space="preserve">AIMS will </w:t>
      </w:r>
      <w:r w:rsidR="000078D7">
        <w:rPr>
          <w:lang w:eastAsia="ja-JP"/>
        </w:rPr>
        <w:t>generate a</w:t>
      </w:r>
      <w:r>
        <w:rPr>
          <w:lang w:eastAsia="ja-JP"/>
        </w:rPr>
        <w:t xml:space="preserve"> biosecurity direction based on the concern type to </w:t>
      </w:r>
      <w:r w:rsidR="00E14300">
        <w:rPr>
          <w:lang w:eastAsia="ja-JP"/>
        </w:rPr>
        <w:t>manage</w:t>
      </w:r>
      <w:r>
        <w:rPr>
          <w:lang w:eastAsia="ja-JP"/>
        </w:rPr>
        <w:t xml:space="preserve"> the biosecurity risk associated with the non-commodity component of the consignment.</w:t>
      </w:r>
    </w:p>
    <w:p w14:paraId="62187D1A" w14:textId="5B1D8F38" w:rsidR="00F56408" w:rsidRPr="006B2C17" w:rsidRDefault="00FB3F9C" w:rsidP="00904F88">
      <w:pPr>
        <w:rPr>
          <w:lang w:eastAsia="ja-JP"/>
        </w:rPr>
      </w:pPr>
      <w:r>
        <w:rPr>
          <w:lang w:eastAsia="ja-JP"/>
        </w:rPr>
        <w:t xml:space="preserve">When </w:t>
      </w:r>
      <w:r w:rsidR="00371FCF">
        <w:rPr>
          <w:lang w:eastAsia="ja-JP"/>
        </w:rPr>
        <w:t xml:space="preserve">two </w:t>
      </w:r>
      <w:r>
        <w:rPr>
          <w:lang w:eastAsia="ja-JP"/>
        </w:rPr>
        <w:t>or more concern types are selected</w:t>
      </w:r>
      <w:r w:rsidR="002F3DEA">
        <w:rPr>
          <w:lang w:eastAsia="ja-JP"/>
        </w:rPr>
        <w:t>,</w:t>
      </w:r>
      <w:r>
        <w:rPr>
          <w:lang w:eastAsia="ja-JP"/>
        </w:rPr>
        <w:t xml:space="preserve"> the </w:t>
      </w:r>
      <w:r w:rsidR="003F3016">
        <w:rPr>
          <w:lang w:eastAsia="ja-JP"/>
        </w:rPr>
        <w:t>biosecurity direction will be based on the concern type hierarchy described in</w:t>
      </w:r>
      <w:r w:rsidR="00AA69AB">
        <w:rPr>
          <w:lang w:eastAsia="ja-JP"/>
        </w:rPr>
        <w:t xml:space="preserve"> </w:t>
      </w:r>
      <w:r w:rsidR="003F55DB">
        <w:rPr>
          <w:lang w:eastAsia="ja-JP"/>
        </w:rPr>
        <w:fldChar w:fldCharType="begin"/>
      </w:r>
      <w:r w:rsidR="003F55DB">
        <w:rPr>
          <w:lang w:eastAsia="ja-JP"/>
        </w:rPr>
        <w:instrText xml:space="preserve"> REF _Ref511918376 \h </w:instrText>
      </w:r>
      <w:r w:rsidR="003F55DB">
        <w:rPr>
          <w:lang w:eastAsia="ja-JP"/>
        </w:rPr>
      </w:r>
      <w:r w:rsidR="003F55DB">
        <w:rPr>
          <w:lang w:eastAsia="ja-JP"/>
        </w:rPr>
        <w:fldChar w:fldCharType="separate"/>
      </w:r>
      <w:r w:rsidR="00EE033A">
        <w:t xml:space="preserve">Table </w:t>
      </w:r>
      <w:r w:rsidR="00EE033A">
        <w:rPr>
          <w:noProof/>
        </w:rPr>
        <w:t>2</w:t>
      </w:r>
      <w:r w:rsidR="003F55DB">
        <w:rPr>
          <w:lang w:eastAsia="ja-JP"/>
        </w:rPr>
        <w:fldChar w:fldCharType="end"/>
      </w:r>
      <w:r w:rsidR="00904F88">
        <w:rPr>
          <w:lang w:eastAsia="ja-JP"/>
        </w:rPr>
        <w:t>.</w:t>
      </w:r>
    </w:p>
    <w:p w14:paraId="7AB547B1" w14:textId="21FC9A17" w:rsidR="003F3016" w:rsidRDefault="003F3016" w:rsidP="009E70D9">
      <w:pPr>
        <w:rPr>
          <w:color w:val="000000" w:themeColor="text1"/>
        </w:rPr>
      </w:pPr>
      <w:r w:rsidRPr="00370569">
        <w:rPr>
          <w:color w:val="000000" w:themeColor="text1"/>
        </w:rPr>
        <w:t>For example</w:t>
      </w:r>
      <w:r w:rsidR="00FB3F9C">
        <w:rPr>
          <w:color w:val="000000" w:themeColor="text1"/>
        </w:rPr>
        <w:t>,</w:t>
      </w:r>
      <w:r w:rsidRPr="00370569">
        <w:rPr>
          <w:color w:val="000000" w:themeColor="text1"/>
        </w:rPr>
        <w:t xml:space="preserve"> if an accredited </w:t>
      </w:r>
      <w:r w:rsidR="00E2281F" w:rsidRPr="00370569">
        <w:rPr>
          <w:color w:val="000000" w:themeColor="text1"/>
        </w:rPr>
        <w:t xml:space="preserve">person </w:t>
      </w:r>
      <w:r w:rsidR="00E2281F">
        <w:rPr>
          <w:color w:val="000000" w:themeColor="text1"/>
        </w:rPr>
        <w:t>selects</w:t>
      </w:r>
      <w:r w:rsidR="002F3DEA">
        <w:rPr>
          <w:color w:val="000000" w:themeColor="text1"/>
        </w:rPr>
        <w:t xml:space="preserve"> both</w:t>
      </w:r>
      <w:r>
        <w:rPr>
          <w:color w:val="000000" w:themeColor="text1"/>
        </w:rPr>
        <w:t xml:space="preserve"> RURL and PCIN</w:t>
      </w:r>
      <w:r w:rsidR="002F3DEA">
        <w:rPr>
          <w:color w:val="000000" w:themeColor="text1"/>
        </w:rPr>
        <w:t>,</w:t>
      </w:r>
      <w:r w:rsidRPr="00370569">
        <w:rPr>
          <w:color w:val="000000" w:themeColor="text1"/>
        </w:rPr>
        <w:t xml:space="preserve"> the system will automatically add the non-commodity line to the entry and apply the direction associated with the highest concern type in the hierarchy</w:t>
      </w:r>
      <w:r>
        <w:rPr>
          <w:color w:val="000000" w:themeColor="text1"/>
        </w:rPr>
        <w:t xml:space="preserve"> to </w:t>
      </w:r>
      <w:r w:rsidR="008252B3">
        <w:rPr>
          <w:color w:val="000000" w:themeColor="text1"/>
        </w:rPr>
        <w:t>that line</w:t>
      </w:r>
      <w:r w:rsidRPr="00370569">
        <w:rPr>
          <w:color w:val="000000" w:themeColor="text1"/>
        </w:rPr>
        <w:t>. In this case</w:t>
      </w:r>
      <w:r w:rsidR="00123D92">
        <w:rPr>
          <w:color w:val="000000" w:themeColor="text1"/>
        </w:rPr>
        <w:t>,</w:t>
      </w:r>
      <w:r w:rsidRPr="00370569">
        <w:rPr>
          <w:color w:val="000000" w:themeColor="text1"/>
        </w:rPr>
        <w:t xml:space="preserve"> the concern type ranked highest in the hierarchy is </w:t>
      </w:r>
      <w:r>
        <w:rPr>
          <w:color w:val="000000" w:themeColor="text1"/>
        </w:rPr>
        <w:t>RURL</w:t>
      </w:r>
      <w:r w:rsidRPr="00370569">
        <w:rPr>
          <w:color w:val="000000" w:themeColor="text1"/>
        </w:rPr>
        <w:t xml:space="preserve">, so AIMS will apply the associated direction for </w:t>
      </w:r>
      <w:r w:rsidR="0019586B">
        <w:rPr>
          <w:color w:val="000000" w:themeColor="text1"/>
        </w:rPr>
        <w:t>RURL</w:t>
      </w:r>
      <w:r w:rsidR="0019586B" w:rsidRPr="00370569">
        <w:rPr>
          <w:color w:val="000000" w:themeColor="text1"/>
        </w:rPr>
        <w:t xml:space="preserve"> </w:t>
      </w:r>
      <w:r w:rsidRPr="00370569">
        <w:rPr>
          <w:color w:val="000000" w:themeColor="text1"/>
        </w:rPr>
        <w:t xml:space="preserve">which is </w:t>
      </w:r>
      <w:r w:rsidR="00937DA5">
        <w:rPr>
          <w:color w:val="000000" w:themeColor="text1"/>
        </w:rPr>
        <w:t>‘</w:t>
      </w:r>
      <w:r w:rsidR="003106D4">
        <w:rPr>
          <w:lang w:eastAsia="ja-JP"/>
        </w:rPr>
        <w:t>Inspection – rural tailgate</w:t>
      </w:r>
      <w:r w:rsidR="00937DA5">
        <w:rPr>
          <w:lang w:eastAsia="ja-JP"/>
        </w:rPr>
        <w:t>’</w:t>
      </w:r>
      <w:r w:rsidR="00AA69AB">
        <w:rPr>
          <w:color w:val="000000" w:themeColor="text1"/>
        </w:rPr>
        <w:t>.</w:t>
      </w:r>
    </w:p>
    <w:p w14:paraId="72B038F2" w14:textId="40407520" w:rsidR="000E0B93" w:rsidRPr="00AA69AB" w:rsidRDefault="000E0B93" w:rsidP="009E70D9">
      <w:pPr>
        <w:rPr>
          <w:color w:val="000000" w:themeColor="text1"/>
        </w:rPr>
      </w:pPr>
      <w:r>
        <w:rPr>
          <w:color w:val="000000" w:themeColor="text1"/>
        </w:rPr>
        <w:t>The only ex</w:t>
      </w:r>
      <w:r w:rsidR="00C005B8">
        <w:rPr>
          <w:color w:val="000000" w:themeColor="text1"/>
        </w:rPr>
        <w:t>ce</w:t>
      </w:r>
      <w:r>
        <w:rPr>
          <w:color w:val="000000" w:themeColor="text1"/>
        </w:rPr>
        <w:t xml:space="preserve">ption  is if RUAA or REAA are selected. If any other </w:t>
      </w:r>
      <w:r w:rsidR="004D6DF5">
        <w:rPr>
          <w:color w:val="000000" w:themeColor="text1"/>
        </w:rPr>
        <w:t>biosecurity concerns</w:t>
      </w:r>
      <w:r w:rsidR="0050040D">
        <w:rPr>
          <w:color w:val="000000" w:themeColor="text1"/>
        </w:rPr>
        <w:t xml:space="preserve"> have been identified, then the standard RURL concern type </w:t>
      </w:r>
      <w:r w:rsidR="00C005B8">
        <w:rPr>
          <w:color w:val="000000" w:themeColor="text1"/>
        </w:rPr>
        <w:t>must</w:t>
      </w:r>
      <w:r w:rsidR="0050040D">
        <w:rPr>
          <w:color w:val="000000" w:themeColor="text1"/>
        </w:rPr>
        <w:t xml:space="preserve"> be applied.</w:t>
      </w:r>
    </w:p>
    <w:p w14:paraId="178C5122" w14:textId="7BAF0972" w:rsidR="003F3016" w:rsidRDefault="003F3016" w:rsidP="003F3016">
      <w:pPr>
        <w:pStyle w:val="Caption"/>
      </w:pPr>
      <w:bookmarkStart w:id="39" w:name="_Ref511918376"/>
      <w:bookmarkStart w:id="40" w:name="_Toc103586617"/>
      <w:r>
        <w:t xml:space="preserve">Table </w:t>
      </w:r>
      <w:r w:rsidR="003003BC">
        <w:rPr>
          <w:noProof/>
        </w:rPr>
        <w:fldChar w:fldCharType="begin"/>
      </w:r>
      <w:r w:rsidR="003003BC">
        <w:rPr>
          <w:noProof/>
        </w:rPr>
        <w:instrText xml:space="preserve"> SEQ Table \* ARABIC </w:instrText>
      </w:r>
      <w:r w:rsidR="003003BC">
        <w:rPr>
          <w:noProof/>
        </w:rPr>
        <w:fldChar w:fldCharType="separate"/>
      </w:r>
      <w:r w:rsidR="00EE033A">
        <w:rPr>
          <w:noProof/>
        </w:rPr>
        <w:t>2</w:t>
      </w:r>
      <w:r w:rsidR="003003BC">
        <w:rPr>
          <w:noProof/>
        </w:rPr>
        <w:fldChar w:fldCharType="end"/>
      </w:r>
      <w:bookmarkEnd w:id="39"/>
      <w:r w:rsidR="00194AE6">
        <w:rPr>
          <w:noProof/>
        </w:rPr>
        <w:t>.</w:t>
      </w:r>
      <w:r>
        <w:rPr>
          <w:noProof/>
        </w:rPr>
        <w:t xml:space="preserve"> </w:t>
      </w:r>
      <w:r>
        <w:t>Concern type hierarchy</w:t>
      </w:r>
      <w:bookmarkEnd w:id="40"/>
    </w:p>
    <w:tbl>
      <w:tblPr>
        <w:tblStyle w:val="TableGrid"/>
        <w:tblW w:w="1904" w:type="pct"/>
        <w:tblLook w:val="04A0" w:firstRow="1" w:lastRow="0" w:firstColumn="1" w:lastColumn="0" w:noHBand="0" w:noVBand="1"/>
      </w:tblPr>
      <w:tblGrid>
        <w:gridCol w:w="2309"/>
        <w:gridCol w:w="1141"/>
      </w:tblGrid>
      <w:tr w:rsidR="003F3016" w:rsidRPr="0059556D" w14:paraId="70F9DE09" w14:textId="77777777" w:rsidTr="004202A8">
        <w:trPr>
          <w:cantSplit/>
          <w:tblHeader/>
        </w:trPr>
        <w:tc>
          <w:tcPr>
            <w:tcW w:w="3346" w:type="pct"/>
            <w:shd w:val="clear" w:color="auto" w:fill="D9D9D9" w:themeFill="background1" w:themeFillShade="D9"/>
          </w:tcPr>
          <w:p w14:paraId="7D113454" w14:textId="45506116" w:rsidR="003F3016" w:rsidRPr="0059556D" w:rsidRDefault="003F3016" w:rsidP="005E2909">
            <w:pPr>
              <w:pStyle w:val="TableHeading"/>
            </w:pPr>
            <w:r w:rsidRPr="0059556D">
              <w:t xml:space="preserve">Concern </w:t>
            </w:r>
            <w:r w:rsidR="005E2909">
              <w:t>t</w:t>
            </w:r>
            <w:r w:rsidRPr="0059556D">
              <w:t>ype</w:t>
            </w:r>
          </w:p>
        </w:tc>
        <w:tc>
          <w:tcPr>
            <w:tcW w:w="1654" w:type="pct"/>
            <w:shd w:val="clear" w:color="auto" w:fill="D9D9D9" w:themeFill="background1" w:themeFillShade="D9"/>
          </w:tcPr>
          <w:p w14:paraId="18117673" w14:textId="77777777" w:rsidR="003F3016" w:rsidRPr="0059556D" w:rsidRDefault="003F3016" w:rsidP="005E2909">
            <w:pPr>
              <w:pStyle w:val="TableHeading"/>
            </w:pPr>
            <w:r w:rsidRPr="0059556D">
              <w:t>Hierarchy</w:t>
            </w:r>
          </w:p>
        </w:tc>
      </w:tr>
      <w:tr w:rsidR="003F3016" w:rsidRPr="0059556D" w14:paraId="4EC7F308" w14:textId="77777777" w:rsidTr="006A7AED">
        <w:tc>
          <w:tcPr>
            <w:tcW w:w="3346" w:type="pct"/>
          </w:tcPr>
          <w:p w14:paraId="3CC7EB51" w14:textId="77777777" w:rsidR="003F3016" w:rsidRPr="0059556D" w:rsidRDefault="003F3016" w:rsidP="005E2909">
            <w:pPr>
              <w:pStyle w:val="TableText"/>
            </w:pPr>
            <w:r w:rsidRPr="0059556D">
              <w:t>BCOM</w:t>
            </w:r>
          </w:p>
        </w:tc>
        <w:tc>
          <w:tcPr>
            <w:tcW w:w="1654" w:type="pct"/>
          </w:tcPr>
          <w:p w14:paraId="5C9B5991" w14:textId="77777777" w:rsidR="003F3016" w:rsidRPr="0059556D" w:rsidRDefault="003F3016" w:rsidP="005E2909">
            <w:pPr>
              <w:pStyle w:val="TableText"/>
            </w:pPr>
            <w:r w:rsidRPr="0059556D">
              <w:t>n/a</w:t>
            </w:r>
          </w:p>
        </w:tc>
      </w:tr>
      <w:tr w:rsidR="003F3016" w:rsidRPr="0059556D" w14:paraId="592BB4EE" w14:textId="77777777" w:rsidTr="006A7AED">
        <w:tc>
          <w:tcPr>
            <w:tcW w:w="3346" w:type="pct"/>
          </w:tcPr>
          <w:p w14:paraId="67C34E33" w14:textId="39289A8D" w:rsidR="003F3016" w:rsidRPr="0059556D" w:rsidRDefault="003F3016" w:rsidP="005E2909">
            <w:pPr>
              <w:pStyle w:val="TableText"/>
            </w:pPr>
            <w:r w:rsidRPr="0059556D">
              <w:t>BNCC</w:t>
            </w:r>
          </w:p>
        </w:tc>
        <w:tc>
          <w:tcPr>
            <w:tcW w:w="1654" w:type="pct"/>
          </w:tcPr>
          <w:p w14:paraId="4A9BE1A1" w14:textId="1399E8FF" w:rsidR="003F3016" w:rsidRPr="0059556D" w:rsidRDefault="003F3016" w:rsidP="005E2909">
            <w:pPr>
              <w:pStyle w:val="TableText"/>
            </w:pPr>
            <w:r w:rsidRPr="0059556D">
              <w:t>1</w:t>
            </w:r>
          </w:p>
        </w:tc>
      </w:tr>
      <w:tr w:rsidR="00B072B8" w:rsidRPr="0059556D" w14:paraId="5BF369D3" w14:textId="77777777" w:rsidTr="006A7AED">
        <w:tc>
          <w:tcPr>
            <w:tcW w:w="3346" w:type="pct"/>
          </w:tcPr>
          <w:p w14:paraId="7CC8E753" w14:textId="65BDD3A9" w:rsidR="00B072B8" w:rsidRPr="0059556D" w:rsidRDefault="00B072B8" w:rsidP="00B072B8">
            <w:pPr>
              <w:pStyle w:val="TableText"/>
            </w:pPr>
            <w:r>
              <w:t>KPRA</w:t>
            </w:r>
            <w:r w:rsidRPr="0059556D" w:rsidDel="00B072B8">
              <w:t xml:space="preserve"> </w:t>
            </w:r>
          </w:p>
        </w:tc>
        <w:tc>
          <w:tcPr>
            <w:tcW w:w="1654" w:type="pct"/>
          </w:tcPr>
          <w:p w14:paraId="425F4553" w14:textId="3E6DDC54" w:rsidR="00B072B8" w:rsidRPr="0059556D" w:rsidRDefault="00B072B8" w:rsidP="00B072B8">
            <w:pPr>
              <w:pStyle w:val="TableText"/>
            </w:pPr>
            <w:r w:rsidRPr="0059556D">
              <w:t>2</w:t>
            </w:r>
          </w:p>
        </w:tc>
      </w:tr>
      <w:tr w:rsidR="00B072B8" w:rsidRPr="0059556D" w14:paraId="35647AB6" w14:textId="77777777" w:rsidTr="006A7AED">
        <w:tc>
          <w:tcPr>
            <w:tcW w:w="3346" w:type="pct"/>
          </w:tcPr>
          <w:p w14:paraId="242FBA57" w14:textId="17AA4581" w:rsidR="00B072B8" w:rsidRPr="0059556D" w:rsidRDefault="00B072B8" w:rsidP="00B072B8">
            <w:pPr>
              <w:pStyle w:val="TableText"/>
            </w:pPr>
            <w:r w:rsidRPr="0059556D">
              <w:t>RURL</w:t>
            </w:r>
            <w:r>
              <w:t>; RUAA; REAA</w:t>
            </w:r>
          </w:p>
        </w:tc>
        <w:tc>
          <w:tcPr>
            <w:tcW w:w="1654" w:type="pct"/>
          </w:tcPr>
          <w:p w14:paraId="560C6AA7" w14:textId="7A39282C" w:rsidR="00B072B8" w:rsidRPr="0059556D" w:rsidRDefault="00B072B8" w:rsidP="00B072B8">
            <w:pPr>
              <w:pStyle w:val="TableText"/>
            </w:pPr>
            <w:r w:rsidRPr="0059556D">
              <w:t>3</w:t>
            </w:r>
          </w:p>
        </w:tc>
      </w:tr>
      <w:tr w:rsidR="00B072B8" w:rsidRPr="0059556D" w14:paraId="4087E9A2" w14:textId="77777777" w:rsidTr="006A7AED">
        <w:tc>
          <w:tcPr>
            <w:tcW w:w="3346" w:type="pct"/>
          </w:tcPr>
          <w:p w14:paraId="6AC45D20" w14:textId="59BD9388" w:rsidR="00B072B8" w:rsidRPr="0059556D" w:rsidRDefault="00B072B8" w:rsidP="00B072B8">
            <w:pPr>
              <w:pStyle w:val="TableText"/>
            </w:pPr>
            <w:r w:rsidRPr="0059556D">
              <w:t>TINS; PCIN; PDIN</w:t>
            </w:r>
          </w:p>
        </w:tc>
        <w:tc>
          <w:tcPr>
            <w:tcW w:w="1654" w:type="pct"/>
          </w:tcPr>
          <w:p w14:paraId="0A3579A2" w14:textId="58D1BA85" w:rsidR="00B072B8" w:rsidRPr="0059556D" w:rsidRDefault="00B072B8" w:rsidP="00B072B8">
            <w:pPr>
              <w:pStyle w:val="TableText"/>
            </w:pPr>
            <w:r w:rsidRPr="0059556D">
              <w:t>4</w:t>
            </w:r>
          </w:p>
        </w:tc>
      </w:tr>
      <w:tr w:rsidR="00B072B8" w:rsidRPr="0059556D" w14:paraId="0362B8D6" w14:textId="77777777" w:rsidTr="006A7AED">
        <w:tc>
          <w:tcPr>
            <w:tcW w:w="3346" w:type="pct"/>
          </w:tcPr>
          <w:p w14:paraId="391AC504" w14:textId="00ED72A9" w:rsidR="00B072B8" w:rsidRPr="0059556D" w:rsidRDefault="00B072B8" w:rsidP="00B072B8">
            <w:pPr>
              <w:pStyle w:val="TableText"/>
            </w:pPr>
            <w:r>
              <w:t>PCTG; PD</w:t>
            </w:r>
            <w:r w:rsidRPr="0059556D">
              <w:t>TG</w:t>
            </w:r>
          </w:p>
        </w:tc>
        <w:tc>
          <w:tcPr>
            <w:tcW w:w="1654" w:type="pct"/>
          </w:tcPr>
          <w:p w14:paraId="53050A23" w14:textId="305477EA" w:rsidR="00B072B8" w:rsidRPr="0059556D" w:rsidRDefault="00B072B8" w:rsidP="00B072B8">
            <w:pPr>
              <w:pStyle w:val="TableText"/>
            </w:pPr>
            <w:r w:rsidRPr="0059556D">
              <w:t>5</w:t>
            </w:r>
          </w:p>
        </w:tc>
      </w:tr>
      <w:tr w:rsidR="00B072B8" w:rsidRPr="0059556D" w14:paraId="5D992732" w14:textId="77777777" w:rsidTr="006A7AED">
        <w:tc>
          <w:tcPr>
            <w:tcW w:w="3346" w:type="pct"/>
          </w:tcPr>
          <w:p w14:paraId="7775E419" w14:textId="4600D8CD" w:rsidR="00B072B8" w:rsidRPr="0059556D" w:rsidRDefault="00B072B8" w:rsidP="00B072B8">
            <w:pPr>
              <w:pStyle w:val="TableText"/>
            </w:pPr>
            <w:r w:rsidRPr="0059556D">
              <w:t>TFUM; TDIS</w:t>
            </w:r>
          </w:p>
        </w:tc>
        <w:tc>
          <w:tcPr>
            <w:tcW w:w="1654" w:type="pct"/>
          </w:tcPr>
          <w:p w14:paraId="00BC947D" w14:textId="7CABF2C6" w:rsidR="00B072B8" w:rsidRPr="0059556D" w:rsidRDefault="00B072B8" w:rsidP="00B072B8">
            <w:pPr>
              <w:pStyle w:val="TableText"/>
            </w:pPr>
            <w:r>
              <w:t>6</w:t>
            </w:r>
          </w:p>
        </w:tc>
      </w:tr>
    </w:tbl>
    <w:p w14:paraId="2083D191" w14:textId="33892087" w:rsidR="00121538" w:rsidRDefault="009018A0" w:rsidP="00121538">
      <w:pPr>
        <w:pStyle w:val="FigureTableNoteSource"/>
      </w:pPr>
      <w:r>
        <w:t xml:space="preserve">Note: 1 = highest, </w:t>
      </w:r>
      <w:r w:rsidR="00B072B8">
        <w:t>6</w:t>
      </w:r>
      <w:r>
        <w:t xml:space="preserve"> = lowest</w:t>
      </w:r>
    </w:p>
    <w:p w14:paraId="7FB56BFC" w14:textId="40BC1B89" w:rsidR="001C36F6" w:rsidRDefault="00194AE6" w:rsidP="00F8078A">
      <w:pPr>
        <w:pStyle w:val="Caption"/>
        <w:ind w:left="-284"/>
      </w:pPr>
      <w:bookmarkStart w:id="41" w:name="_Toc103586618"/>
      <w:r>
        <w:lastRenderedPageBreak/>
        <w:t>Figure</w:t>
      </w:r>
      <w:r w:rsidR="00121538">
        <w:t xml:space="preserve"> </w:t>
      </w:r>
      <w:r w:rsidR="00C03B04">
        <w:fldChar w:fldCharType="begin"/>
      </w:r>
      <w:r w:rsidR="00C03B04">
        <w:instrText xml:space="preserve"> SEQ Table \* ARABIC </w:instrText>
      </w:r>
      <w:r w:rsidR="00C03B04">
        <w:fldChar w:fldCharType="separate"/>
      </w:r>
      <w:r w:rsidR="00EE033A">
        <w:t>3</w:t>
      </w:r>
      <w:r w:rsidR="00C03B04">
        <w:fldChar w:fldCharType="end"/>
      </w:r>
      <w:r>
        <w:t>.</w:t>
      </w:r>
      <w:r w:rsidR="00121538">
        <w:t xml:space="preserve"> </w:t>
      </w:r>
      <w:r w:rsidR="00121538" w:rsidRPr="00451EE4">
        <w:t>Detailed activities for FCL/FCX/LCL consignments</w:t>
      </w:r>
      <w:bookmarkEnd w:id="41"/>
    </w:p>
    <w:p w14:paraId="08A14057" w14:textId="557C1048" w:rsidR="004264A2" w:rsidRPr="001F56A4" w:rsidRDefault="004264A2" w:rsidP="002B1B07">
      <w:pPr>
        <w:ind w:left="-284"/>
      </w:pPr>
      <w:r>
        <w:rPr>
          <w:noProof/>
        </w:rPr>
        <w:drawing>
          <wp:inline distT="0" distB="0" distL="0" distR="0" wp14:anchorId="417426E5" wp14:editId="0FF3BD1B">
            <wp:extent cx="6657739" cy="82579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54" cy="832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4E538" w14:textId="77777777" w:rsidR="00996204" w:rsidRDefault="00996204" w:rsidP="001C36F6">
      <w:pPr>
        <w:pStyle w:val="FigureTableNoteSource"/>
        <w:rPr>
          <w:lang w:val="en"/>
        </w:rPr>
      </w:pPr>
      <w:r>
        <w:rPr>
          <w:lang w:val="en"/>
        </w:rPr>
        <w:t>*Ex</w:t>
      </w:r>
      <w:r w:rsidR="00633CA0">
        <w:rPr>
          <w:lang w:val="en"/>
        </w:rPr>
        <w:t>emptions</w:t>
      </w:r>
      <w:r>
        <w:rPr>
          <w:lang w:val="en"/>
        </w:rPr>
        <w:t xml:space="preserve"> apply</w:t>
      </w:r>
      <w:r w:rsidR="00DF7876">
        <w:rPr>
          <w:lang w:val="en"/>
        </w:rPr>
        <w:t>;</w:t>
      </w:r>
      <w:r>
        <w:rPr>
          <w:lang w:val="en"/>
        </w:rPr>
        <w:t xml:space="preserve"> **Excludes bamboo</w:t>
      </w:r>
    </w:p>
    <w:p w14:paraId="51169292" w14:textId="67B1CE8E" w:rsidR="00D418F3" w:rsidRDefault="00AB0D50" w:rsidP="003F55DB">
      <w:pPr>
        <w:pStyle w:val="Heading3"/>
        <w:rPr>
          <w:lang w:val="en"/>
        </w:rPr>
      </w:pPr>
      <w:bookmarkStart w:id="42" w:name="_Toc105147376"/>
      <w:r>
        <w:rPr>
          <w:lang w:val="en"/>
        </w:rPr>
        <w:lastRenderedPageBreak/>
        <w:t>Ex</w:t>
      </w:r>
      <w:r w:rsidR="004409B4">
        <w:rPr>
          <w:lang w:val="en"/>
        </w:rPr>
        <w:t>em</w:t>
      </w:r>
      <w:r>
        <w:rPr>
          <w:lang w:val="en"/>
        </w:rPr>
        <w:t>ptions</w:t>
      </w:r>
      <w:bookmarkEnd w:id="42"/>
    </w:p>
    <w:p w14:paraId="6A01CA7F" w14:textId="6AC31A6C" w:rsidR="00D418F3" w:rsidRDefault="00AB0D50" w:rsidP="004202A8">
      <w:pPr>
        <w:keepNext/>
        <w:rPr>
          <w:lang w:val="en" w:eastAsia="en-US"/>
        </w:rPr>
      </w:pPr>
      <w:r>
        <w:rPr>
          <w:lang w:val="en" w:eastAsia="en-US"/>
        </w:rPr>
        <w:t xml:space="preserve">Some consignments and cargo types are exempt from aspects of the non-commodity requirements. For a full list of exceptions see </w:t>
      </w:r>
      <w:hyperlink r:id="rId50" w:history="1">
        <w:r w:rsidR="00B641F4" w:rsidRPr="000411DF">
          <w:rPr>
            <w:rStyle w:val="Hyperlink"/>
          </w:rPr>
          <w:t>Non-commodity information requirements policy</w:t>
        </w:r>
      </w:hyperlink>
      <w:r w:rsidR="00D418F3">
        <w:rPr>
          <w:lang w:val="en" w:eastAsia="en-US"/>
        </w:rPr>
        <w:t>.</w:t>
      </w:r>
    </w:p>
    <w:p w14:paraId="61C253B5" w14:textId="54E8F9AE" w:rsidR="00D418F3" w:rsidRDefault="00D418F3" w:rsidP="004202A8">
      <w:pPr>
        <w:keepNext/>
        <w:rPr>
          <w:lang w:val="en" w:eastAsia="en-US"/>
        </w:rPr>
      </w:pPr>
      <w:r>
        <w:rPr>
          <w:lang w:val="en" w:eastAsia="en-US"/>
        </w:rPr>
        <w:t xml:space="preserve">Importers are responsible for providing evidence that acceptable packaging and dunnage was used in the consignment and advising the department of any contamination or </w:t>
      </w:r>
      <w:r w:rsidR="00685580">
        <w:rPr>
          <w:lang w:val="en" w:eastAsia="en-US"/>
        </w:rPr>
        <w:t>noncompliance</w:t>
      </w:r>
      <w:r>
        <w:rPr>
          <w:lang w:val="en" w:eastAsia="en-US"/>
        </w:rPr>
        <w:t xml:space="preserve"> </w:t>
      </w:r>
      <w:r w:rsidR="00451F1E">
        <w:rPr>
          <w:lang w:val="en" w:eastAsia="en-US"/>
        </w:rPr>
        <w:t>packaging,</w:t>
      </w:r>
      <w:r>
        <w:rPr>
          <w:lang w:val="en" w:eastAsia="en-US"/>
        </w:rPr>
        <w:t xml:space="preserve"> or evidence of pests found when unpacking the containers.</w:t>
      </w:r>
    </w:p>
    <w:p w14:paraId="24C1135E" w14:textId="2DE52C2C" w:rsidR="00DC0577" w:rsidRDefault="00AC48F2" w:rsidP="008D4698">
      <w:pPr>
        <w:pStyle w:val="Heading3"/>
      </w:pPr>
      <w:bookmarkStart w:id="43" w:name="_Toc105147377"/>
      <w:bookmarkStart w:id="44" w:name="_Hlk72232150"/>
      <w:r>
        <w:t>Self-declaring</w:t>
      </w:r>
      <w:r w:rsidR="008D4698">
        <w:t xml:space="preserve"> consignments for department intervention</w:t>
      </w:r>
      <w:bookmarkEnd w:id="43"/>
    </w:p>
    <w:p w14:paraId="6E2A4C33" w14:textId="04F86A36" w:rsidR="00B264B7" w:rsidRDefault="00B264B7" w:rsidP="00B264B7">
      <w:r>
        <w:t xml:space="preserve">When </w:t>
      </w:r>
      <w:r w:rsidR="003512E5">
        <w:t xml:space="preserve">the </w:t>
      </w:r>
      <w:r w:rsidR="002D12A9">
        <w:t>biosecurity industry participant</w:t>
      </w:r>
      <w:r w:rsidR="003E0E02">
        <w:t xml:space="preserve"> (BIP)/accredited person</w:t>
      </w:r>
      <w:r w:rsidR="002D12A9">
        <w:t xml:space="preserve"> </w:t>
      </w:r>
      <w:r w:rsidR="003512E5">
        <w:t>has</w:t>
      </w:r>
      <w:r>
        <w:t xml:space="preserve"> concerns that </w:t>
      </w:r>
      <w:r w:rsidR="00D4329E">
        <w:t>are</w:t>
      </w:r>
      <w:r>
        <w:t xml:space="preserve"> not able to be managed </w:t>
      </w:r>
      <w:r w:rsidR="00EB5416">
        <w:t>using</w:t>
      </w:r>
      <w:r>
        <w:t xml:space="preserve"> a specific </w:t>
      </w:r>
      <w:r w:rsidR="0023156D">
        <w:t>non</w:t>
      </w:r>
      <w:r w:rsidR="0063701B">
        <w:t>-</w:t>
      </w:r>
      <w:r w:rsidR="0023156D">
        <w:t xml:space="preserve">commodity </w:t>
      </w:r>
      <w:r>
        <w:t>concern type</w:t>
      </w:r>
      <w:r w:rsidR="00AC48F2">
        <w:t>,</w:t>
      </w:r>
      <w:r>
        <w:t xml:space="preserve"> or tariff profile questions do not provide appropriate scope for providing a commodity’s biosecurity concern</w:t>
      </w:r>
      <w:r w:rsidR="00343C2B">
        <w:t>,</w:t>
      </w:r>
      <w:r>
        <w:t xml:space="preserve"> then </w:t>
      </w:r>
      <w:r w:rsidR="00486F74">
        <w:t xml:space="preserve">the broker </w:t>
      </w:r>
      <w:r w:rsidR="003512E5">
        <w:t>referred</w:t>
      </w:r>
      <w:r w:rsidR="00486F74">
        <w:t xml:space="preserve"> concern types must be used.</w:t>
      </w:r>
      <w:r w:rsidR="000965C2">
        <w:t xml:space="preserve"> </w:t>
      </w:r>
      <w:r w:rsidR="00ED15E4">
        <w:t xml:space="preserve">The two concern </w:t>
      </w:r>
      <w:r w:rsidR="00D4329E">
        <w:t xml:space="preserve">types </w:t>
      </w:r>
      <w:r w:rsidR="00ED15E4">
        <w:t>are</w:t>
      </w:r>
      <w:r w:rsidR="00343C2B">
        <w:t>:</w:t>
      </w:r>
      <w:r w:rsidR="00ED15E4">
        <w:t xml:space="preserve"> </w:t>
      </w:r>
      <w:r w:rsidR="00ED15E4" w:rsidRPr="00971EA6">
        <w:rPr>
          <w:rStyle w:val="Strong"/>
        </w:rPr>
        <w:t>BCOM</w:t>
      </w:r>
      <w:r w:rsidR="00ED15E4">
        <w:t xml:space="preserve"> to </w:t>
      </w:r>
      <w:r w:rsidR="003512E5">
        <w:t>refer</w:t>
      </w:r>
      <w:r w:rsidR="00ED15E4">
        <w:t xml:space="preserve"> commodity</w:t>
      </w:r>
      <w:r w:rsidR="00343C2B">
        <w:t>,</w:t>
      </w:r>
      <w:r w:rsidR="00ED15E4">
        <w:t xml:space="preserve"> and </w:t>
      </w:r>
      <w:r w:rsidR="00ED15E4" w:rsidRPr="00971EA6">
        <w:rPr>
          <w:rStyle w:val="Strong"/>
        </w:rPr>
        <w:t>BNCC</w:t>
      </w:r>
      <w:r w:rsidR="00ED15E4">
        <w:t xml:space="preserve"> to </w:t>
      </w:r>
      <w:r w:rsidR="003512E5">
        <w:t>refer</w:t>
      </w:r>
      <w:r w:rsidR="00ED15E4">
        <w:t xml:space="preserve"> non-commodity concerns.</w:t>
      </w:r>
      <w:r w:rsidR="00D52881">
        <w:t xml:space="preserve"> By self-declaring (volunteering) consignment for department intervention</w:t>
      </w:r>
      <w:r w:rsidR="00144572">
        <w:t>,</w:t>
      </w:r>
      <w:r w:rsidR="00D52881">
        <w:t xml:space="preserve"> the FID will be assessed by a </w:t>
      </w:r>
      <w:r w:rsidR="00B13479">
        <w:t>b</w:t>
      </w:r>
      <w:r w:rsidR="00D52881">
        <w:t xml:space="preserve">iosecurity </w:t>
      </w:r>
      <w:r w:rsidR="00B13479">
        <w:t>o</w:t>
      </w:r>
      <w:r w:rsidR="00D52881">
        <w:t xml:space="preserve">fficer. When submitting documentation via COLS, provide reasons for </w:t>
      </w:r>
      <w:r w:rsidR="00144572">
        <w:t>volunteering the consignment.</w:t>
      </w:r>
    </w:p>
    <w:p w14:paraId="39068066" w14:textId="24EC0CAC" w:rsidR="00486F74" w:rsidRDefault="00486F74" w:rsidP="00B264B7">
      <w:r w:rsidRPr="00971EA6">
        <w:rPr>
          <w:rStyle w:val="Strong"/>
        </w:rPr>
        <w:t>BCOM</w:t>
      </w:r>
      <w:r w:rsidRPr="00486F74">
        <w:rPr>
          <w:b/>
        </w:rPr>
        <w:t>:</w:t>
      </w:r>
      <w:r>
        <w:rPr>
          <w:b/>
        </w:rPr>
        <w:t xml:space="preserve"> </w:t>
      </w:r>
      <w:r>
        <w:t xml:space="preserve">An accredited person </w:t>
      </w:r>
      <w:r w:rsidR="003512E5">
        <w:t>may</w:t>
      </w:r>
      <w:r>
        <w:t xml:space="preserve"> use </w:t>
      </w:r>
      <w:r w:rsidR="00F52A68">
        <w:t xml:space="preserve">the </w:t>
      </w:r>
      <w:r>
        <w:t xml:space="preserve">BCOM concern type to identify a concern not otherwise identified about the commodity and ensure the consignment is referred to the </w:t>
      </w:r>
      <w:r w:rsidR="0043223E">
        <w:t xml:space="preserve">department </w:t>
      </w:r>
      <w:r>
        <w:t>for assessment.</w:t>
      </w:r>
      <w:r w:rsidR="003E7DB8">
        <w:t xml:space="preserve"> For example, BCOM should be used:</w:t>
      </w:r>
    </w:p>
    <w:p w14:paraId="44266D1F" w14:textId="08122A28" w:rsidR="003E7DB8" w:rsidRDefault="00482012" w:rsidP="00871AEF">
      <w:pPr>
        <w:pStyle w:val="ListBullet"/>
      </w:pPr>
      <w:r>
        <w:t xml:space="preserve">when commodity </w:t>
      </w:r>
      <w:r w:rsidR="003E7DB8">
        <w:t>profile questions do not declare a biosecurity concern</w:t>
      </w:r>
      <w:r w:rsidR="006819AF">
        <w:t>, or</w:t>
      </w:r>
    </w:p>
    <w:p w14:paraId="05227822" w14:textId="54C03AF9" w:rsidR="00482012" w:rsidRDefault="003E7DB8" w:rsidP="00871AEF">
      <w:pPr>
        <w:pStyle w:val="ListBullet"/>
      </w:pPr>
      <w:r>
        <w:t xml:space="preserve">when </w:t>
      </w:r>
      <w:r w:rsidR="00482012">
        <w:t xml:space="preserve">an AEI has been entered and there are concerns with an offshore treatment certificate. Refer to the </w:t>
      </w:r>
      <w:hyperlink r:id="rId51" w:history="1">
        <w:r w:rsidR="00482012" w:rsidRPr="000411DF">
          <w:rPr>
            <w:rStyle w:val="Hyperlink"/>
          </w:rPr>
          <w:t xml:space="preserve">Entity </w:t>
        </w:r>
        <w:r w:rsidR="006C585A" w:rsidRPr="000411DF">
          <w:rPr>
            <w:rStyle w:val="Hyperlink"/>
          </w:rPr>
          <w:t>i</w:t>
        </w:r>
        <w:r w:rsidR="00482012" w:rsidRPr="000411DF">
          <w:rPr>
            <w:rStyle w:val="Hyperlink"/>
          </w:rPr>
          <w:t>dentifier webpage for further details.</w:t>
        </w:r>
      </w:hyperlink>
    </w:p>
    <w:p w14:paraId="70B35724" w14:textId="2338C1BA" w:rsidR="00482012" w:rsidRDefault="00482012" w:rsidP="00122DE7">
      <w:pPr>
        <w:pStyle w:val="ListBullet"/>
        <w:numPr>
          <w:ilvl w:val="0"/>
          <w:numId w:val="0"/>
        </w:numPr>
      </w:pPr>
      <w:r w:rsidRPr="003D2DBC">
        <w:rPr>
          <w:b/>
          <w:bCs/>
        </w:rPr>
        <w:t>Note:</w:t>
      </w:r>
      <w:r>
        <w:t xml:space="preserve"> BCOM is not required when a treatment provider is deemed unacceptable as the system will automatically identify and refer </w:t>
      </w:r>
      <w:r w:rsidR="00D52881">
        <w:t>these consignments</w:t>
      </w:r>
      <w:r>
        <w:t xml:space="preserve"> when the AEI is entered.</w:t>
      </w:r>
    </w:p>
    <w:p w14:paraId="3C4723B0" w14:textId="3BEBF09A" w:rsidR="003512E5" w:rsidRDefault="00486F74" w:rsidP="00B264B7">
      <w:r w:rsidRPr="00971EA6">
        <w:rPr>
          <w:rStyle w:val="Strong"/>
        </w:rPr>
        <w:t>BNCC</w:t>
      </w:r>
      <w:r>
        <w:rPr>
          <w:b/>
        </w:rPr>
        <w:t xml:space="preserve">: </w:t>
      </w:r>
      <w:r>
        <w:t xml:space="preserve">is appropriate when </w:t>
      </w:r>
      <w:r w:rsidR="00AC48F2">
        <w:t>the</w:t>
      </w:r>
      <w:r>
        <w:t xml:space="preserve"> specific non-commodity concern code</w:t>
      </w:r>
      <w:r w:rsidR="00C005D1">
        <w:t>s</w:t>
      </w:r>
      <w:r>
        <w:t xml:space="preserve"> do </w:t>
      </w:r>
      <w:r w:rsidR="00724DDB">
        <w:t xml:space="preserve">not </w:t>
      </w:r>
      <w:r>
        <w:t xml:space="preserve">provide a </w:t>
      </w:r>
      <w:r w:rsidR="00931102">
        <w:t>suitable</w:t>
      </w:r>
      <w:r>
        <w:t xml:space="preserve"> outcome to manage the risk.</w:t>
      </w:r>
      <w:r w:rsidR="000965C2">
        <w:t xml:space="preserve"> </w:t>
      </w:r>
      <w:r w:rsidR="003512E5">
        <w:t>For example, BNCC should be used:</w:t>
      </w:r>
    </w:p>
    <w:p w14:paraId="1B580CDD" w14:textId="657A0CB3" w:rsidR="003512E5" w:rsidRDefault="003512E5" w:rsidP="003512E5">
      <w:pPr>
        <w:pStyle w:val="ListBullet"/>
      </w:pPr>
      <w:r>
        <w:t xml:space="preserve">when a consignment is being split </w:t>
      </w:r>
      <w:r w:rsidR="000D3A5C">
        <w:t xml:space="preserve">to a </w:t>
      </w:r>
      <w:r>
        <w:t xml:space="preserve">metro and rural </w:t>
      </w:r>
      <w:r w:rsidR="000D3A5C">
        <w:t xml:space="preserve">delivery </w:t>
      </w:r>
      <w:r>
        <w:t xml:space="preserve">locations so only </w:t>
      </w:r>
      <w:r w:rsidR="000D3A5C">
        <w:t>some</w:t>
      </w:r>
      <w:r>
        <w:t xml:space="preserve"> containers require Rural Tailgate inspections</w:t>
      </w:r>
      <w:r w:rsidR="003F55DB">
        <w:t>,</w:t>
      </w:r>
      <w:r>
        <w:t xml:space="preserve"> or</w:t>
      </w:r>
    </w:p>
    <w:p w14:paraId="4EFDB19D" w14:textId="4D2960FD" w:rsidR="00507D9E" w:rsidRPr="006B6D97" w:rsidRDefault="00507D9E" w:rsidP="003512E5">
      <w:pPr>
        <w:pStyle w:val="ListBullet"/>
      </w:pPr>
      <w:bookmarkStart w:id="45" w:name="_Hlk72231966"/>
      <w:r w:rsidRPr="006B6D97">
        <w:t>when a hard frozen, ISO tank or open top container is being unpacked in a rural destination and is being directed for a rural external tailgate inspection at a class 1 AA site, or</w:t>
      </w:r>
    </w:p>
    <w:bookmarkEnd w:id="45"/>
    <w:p w14:paraId="1BB36E20" w14:textId="4EF4D649" w:rsidR="003512E5" w:rsidRDefault="003512E5" w:rsidP="003512E5">
      <w:pPr>
        <w:pStyle w:val="ListBullet"/>
      </w:pPr>
      <w:r>
        <w:t>when the existing packaging, packing or timber/bamboo concern types do not appropriately identify and/or manage the biosecurity risk</w:t>
      </w:r>
      <w:r w:rsidR="009547E7">
        <w:t xml:space="preserve">, </w:t>
      </w:r>
      <w:r w:rsidR="00666442">
        <w:t>or</w:t>
      </w:r>
    </w:p>
    <w:p w14:paraId="74F6EA81" w14:textId="2D1DE1A0" w:rsidR="00BD2595" w:rsidRDefault="00BD2595">
      <w:pPr>
        <w:pStyle w:val="ListBullet"/>
      </w:pPr>
      <w:r>
        <w:t xml:space="preserve">for </w:t>
      </w:r>
      <w:r w:rsidR="00655C80">
        <w:t xml:space="preserve">all </w:t>
      </w:r>
      <w:r w:rsidR="009547E7">
        <w:t>diplomatic goods being unpacked in a rural destination</w:t>
      </w:r>
      <w:r w:rsidR="00655C80">
        <w:t xml:space="preserve"> and being directed</w:t>
      </w:r>
      <w:r w:rsidR="009547E7">
        <w:t xml:space="preserve"> for a rural </w:t>
      </w:r>
      <w:r w:rsidR="008F6803">
        <w:t xml:space="preserve">external </w:t>
      </w:r>
      <w:r w:rsidR="009547E7">
        <w:t xml:space="preserve">tailgate </w:t>
      </w:r>
      <w:r w:rsidR="009547E7" w:rsidRPr="006B6D97">
        <w:t>inspection</w:t>
      </w:r>
      <w:r w:rsidR="007E1DF7" w:rsidRPr="006B6D97">
        <w:t xml:space="preserve"> at a class 1 AA site</w:t>
      </w:r>
      <w:r w:rsidR="00D6315A">
        <w:t>, or</w:t>
      </w:r>
    </w:p>
    <w:p w14:paraId="0286B9A1" w14:textId="2DD29FBC" w:rsidR="00D6315A" w:rsidRPr="00F96552" w:rsidRDefault="006F687C" w:rsidP="00D6315A">
      <w:pPr>
        <w:pStyle w:val="ListBullet"/>
      </w:pPr>
      <w:r w:rsidRPr="006B6D97">
        <w:t>for all</w:t>
      </w:r>
      <w:r w:rsidR="00D6315A" w:rsidRPr="006B6D97">
        <w:t xml:space="preserve"> </w:t>
      </w:r>
      <w:r w:rsidR="00D6315A" w:rsidRPr="000849D0">
        <w:t>dangerous goods</w:t>
      </w:r>
      <w:r>
        <w:t xml:space="preserve"> </w:t>
      </w:r>
      <w:bookmarkStart w:id="46" w:name="_Hlk106185119"/>
      <w:r>
        <w:t xml:space="preserve">being unpacked in a rural destination </w:t>
      </w:r>
      <w:bookmarkEnd w:id="46"/>
      <w:r>
        <w:t>and being directed for a rural external tailgate inspection at a class 1 AA site.</w:t>
      </w:r>
    </w:p>
    <w:p w14:paraId="33874AB3" w14:textId="255625F2" w:rsidR="00C35ADB" w:rsidRDefault="0050040D">
      <w:pPr>
        <w:pStyle w:val="Heading3"/>
      </w:pPr>
      <w:bookmarkStart w:id="47" w:name="_Toc105147378"/>
      <w:r>
        <w:t>R</w:t>
      </w:r>
      <w:r w:rsidR="00C35ADB" w:rsidRPr="00A30AE1">
        <w:t>ural tailgate concerns</w:t>
      </w:r>
      <w:bookmarkEnd w:id="47"/>
    </w:p>
    <w:p w14:paraId="066C769B" w14:textId="1B1CD1A6" w:rsidR="0050040D" w:rsidRDefault="0050040D" w:rsidP="0050040D">
      <w:r>
        <w:rPr>
          <w:lang w:eastAsia="en-US"/>
        </w:rPr>
        <w:t xml:space="preserve">When a container is being unpacked in a rural destination </w:t>
      </w:r>
      <w:r>
        <w:t xml:space="preserve">the biosecurity industry participant (BIP)/accredited person </w:t>
      </w:r>
      <w:r w:rsidR="008F16D0">
        <w:t>is required to:</w:t>
      </w:r>
    </w:p>
    <w:p w14:paraId="3BA39A8E" w14:textId="34FE4666" w:rsidR="008F16D0" w:rsidRDefault="008F16D0" w:rsidP="00C41C9E">
      <w:pPr>
        <w:pStyle w:val="ListParagraph"/>
        <w:numPr>
          <w:ilvl w:val="0"/>
          <w:numId w:val="18"/>
        </w:numPr>
        <w:spacing w:before="120" w:after="120"/>
        <w:ind w:left="714" w:hanging="357"/>
        <w:contextualSpacing w:val="0"/>
        <w:rPr>
          <w:lang w:eastAsia="en-US"/>
        </w:rPr>
      </w:pPr>
      <w:r>
        <w:rPr>
          <w:lang w:eastAsia="en-US"/>
        </w:rPr>
        <w:t>answer ‘No’ to gen dec question</w:t>
      </w:r>
      <w:r w:rsidR="008A7B69">
        <w:rPr>
          <w:lang w:eastAsia="en-US"/>
        </w:rPr>
        <w:t xml:space="preserve"> ID</w:t>
      </w:r>
      <w:r>
        <w:rPr>
          <w:lang w:eastAsia="en-US"/>
        </w:rPr>
        <w:t xml:space="preserve"> 7, and</w:t>
      </w:r>
    </w:p>
    <w:p w14:paraId="7E9667BB" w14:textId="5BCA7BFE" w:rsidR="008F16D0" w:rsidRDefault="008F16D0" w:rsidP="00C41C9E">
      <w:pPr>
        <w:pStyle w:val="ListParagraph"/>
        <w:numPr>
          <w:ilvl w:val="0"/>
          <w:numId w:val="18"/>
        </w:numPr>
        <w:spacing w:before="120" w:after="120"/>
        <w:ind w:left="714" w:hanging="357"/>
        <w:contextualSpacing w:val="0"/>
        <w:rPr>
          <w:lang w:eastAsia="en-US"/>
        </w:rPr>
      </w:pPr>
      <w:r>
        <w:rPr>
          <w:lang w:eastAsia="en-US"/>
        </w:rPr>
        <w:lastRenderedPageBreak/>
        <w:t xml:space="preserve">apply one of the following rural unpack concern types to the consignment: </w:t>
      </w:r>
      <w:r w:rsidRPr="008F16D0">
        <w:rPr>
          <w:lang w:eastAsia="en-US"/>
        </w:rPr>
        <w:t>RURL; RUAA;</w:t>
      </w:r>
      <w:r>
        <w:rPr>
          <w:lang w:eastAsia="en-US"/>
        </w:rPr>
        <w:t xml:space="preserve"> or</w:t>
      </w:r>
      <w:r w:rsidRPr="008F16D0">
        <w:rPr>
          <w:lang w:eastAsia="en-US"/>
        </w:rPr>
        <w:t xml:space="preserve"> REAA</w:t>
      </w:r>
    </w:p>
    <w:p w14:paraId="173CC478" w14:textId="74FA695C" w:rsidR="00B3462A" w:rsidRDefault="00D662F6" w:rsidP="00B3462A">
      <w:pPr>
        <w:rPr>
          <w:lang w:eastAsia="en-US"/>
        </w:rPr>
      </w:pPr>
      <w:r>
        <w:rPr>
          <w:lang w:eastAsia="en-US"/>
        </w:rPr>
        <w:t xml:space="preserve">RUAA and REAA can only be used when directing containers </w:t>
      </w:r>
      <w:r w:rsidR="00B856AB">
        <w:rPr>
          <w:lang w:eastAsia="en-US"/>
        </w:rPr>
        <w:t>for inspection by</w:t>
      </w:r>
      <w:r>
        <w:rPr>
          <w:lang w:eastAsia="en-US"/>
        </w:rPr>
        <w:t xml:space="preserve"> a class 14.4 AA </w:t>
      </w:r>
      <w:r w:rsidR="00351058" w:rsidRPr="00351058">
        <w:rPr>
          <w:lang w:eastAsia="en-US"/>
        </w:rPr>
        <w:t>to address rural concerns only</w:t>
      </w:r>
      <w:r w:rsidR="00351058">
        <w:rPr>
          <w:lang w:eastAsia="en-US"/>
        </w:rPr>
        <w:t xml:space="preserve">, </w:t>
      </w:r>
      <w:r>
        <w:rPr>
          <w:lang w:eastAsia="en-US"/>
        </w:rPr>
        <w:t>and no other biosecurity concerns have been identified with the consignment.</w:t>
      </w:r>
      <w:r w:rsidR="00351058" w:rsidRPr="00351058">
        <w:rPr>
          <w:lang w:eastAsia="en-US"/>
        </w:rPr>
        <w:t xml:space="preserve"> </w:t>
      </w:r>
      <w:r w:rsidR="00BD2595">
        <w:rPr>
          <w:lang w:eastAsia="en-US"/>
        </w:rPr>
        <w:t>RUAA and REAA must</w:t>
      </w:r>
      <w:r w:rsidR="00BD2595" w:rsidRPr="00BD2595">
        <w:rPr>
          <w:lang w:eastAsia="en-US"/>
        </w:rPr>
        <w:t xml:space="preserve"> not be used for diplomatic goods</w:t>
      </w:r>
      <w:r w:rsidR="00BD2595">
        <w:rPr>
          <w:lang w:eastAsia="en-US"/>
        </w:rPr>
        <w:t xml:space="preserve">. </w:t>
      </w:r>
      <w:r w:rsidR="00B3462A">
        <w:rPr>
          <w:lang w:eastAsia="en-US"/>
        </w:rPr>
        <w:t xml:space="preserve">The RURL concern code must be applied in all other circumstances. </w:t>
      </w:r>
    </w:p>
    <w:p w14:paraId="7D545A0A" w14:textId="5E0635EE" w:rsidR="008A7B69" w:rsidRDefault="008A7B69" w:rsidP="008A7B69">
      <w:pPr>
        <w:rPr>
          <w:lang w:eastAsia="en-US"/>
        </w:rPr>
      </w:pPr>
      <w:r>
        <w:rPr>
          <w:lang w:eastAsia="en-US"/>
        </w:rPr>
        <w:t xml:space="preserve">An external inspection only is required for the following type of goods: </w:t>
      </w:r>
    </w:p>
    <w:p w14:paraId="2676B6E2" w14:textId="77777777" w:rsidR="008A7B69" w:rsidRDefault="008A7B69" w:rsidP="00C41C9E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  <w:rPr>
          <w:lang w:eastAsia="en-US"/>
        </w:rPr>
      </w:pPr>
      <w:r w:rsidRPr="008A7B69">
        <w:rPr>
          <w:lang w:eastAsia="en-US"/>
        </w:rPr>
        <w:t xml:space="preserve">isotankers, </w:t>
      </w:r>
    </w:p>
    <w:p w14:paraId="07F55D9F" w14:textId="279141AB" w:rsidR="008A7B69" w:rsidRDefault="00106012" w:rsidP="00C41C9E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  <w:rPr>
          <w:lang w:eastAsia="en-US"/>
        </w:rPr>
      </w:pPr>
      <w:r>
        <w:rPr>
          <w:lang w:eastAsia="en-US"/>
        </w:rPr>
        <w:t>hard frozen containers</w:t>
      </w:r>
      <w:r w:rsidR="008A7B69" w:rsidRPr="008A7B69">
        <w:rPr>
          <w:lang w:eastAsia="en-US"/>
        </w:rPr>
        <w:t xml:space="preserve">, </w:t>
      </w:r>
    </w:p>
    <w:p w14:paraId="29F0BA23" w14:textId="77777777" w:rsidR="008A7B69" w:rsidRDefault="008A7B69" w:rsidP="00C41C9E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  <w:rPr>
          <w:lang w:eastAsia="en-US"/>
        </w:rPr>
      </w:pPr>
      <w:r w:rsidRPr="008A7B69">
        <w:rPr>
          <w:lang w:eastAsia="en-US"/>
        </w:rPr>
        <w:t xml:space="preserve">containers carrying dangerous goods, or </w:t>
      </w:r>
    </w:p>
    <w:p w14:paraId="0203B3B7" w14:textId="700CEC13" w:rsidR="008A7B69" w:rsidRDefault="008A7B69" w:rsidP="00C41C9E">
      <w:pPr>
        <w:pStyle w:val="ListParagraph"/>
        <w:numPr>
          <w:ilvl w:val="0"/>
          <w:numId w:val="19"/>
        </w:numPr>
        <w:spacing w:after="120"/>
        <w:ind w:left="714" w:hanging="357"/>
        <w:contextualSpacing w:val="0"/>
        <w:rPr>
          <w:lang w:eastAsia="en-US"/>
        </w:rPr>
      </w:pPr>
      <w:r w:rsidRPr="008A7B69">
        <w:rPr>
          <w:lang w:eastAsia="en-US"/>
        </w:rPr>
        <w:t>containers carrying diplomatic goods</w:t>
      </w:r>
    </w:p>
    <w:p w14:paraId="4C9D72C3" w14:textId="5C42D82E" w:rsidR="00D6315A" w:rsidRDefault="00D6315A" w:rsidP="00D6315A">
      <w:pPr>
        <w:spacing w:after="120"/>
        <w:rPr>
          <w:lang w:eastAsia="en-US"/>
        </w:rPr>
      </w:pPr>
      <w:bookmarkStart w:id="48" w:name="_Dangerous_goods"/>
      <w:bookmarkEnd w:id="48"/>
    </w:p>
    <w:bookmarkEnd w:id="44"/>
    <w:sectPr w:rsidR="00D6315A" w:rsidSect="007B259C">
      <w:pgSz w:w="11906" w:h="16838"/>
      <w:pgMar w:top="1418" w:right="1418" w:bottom="1418" w:left="1418" w:header="567" w:footer="283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80E7" w14:textId="77777777" w:rsidR="00E55CEE" w:rsidRDefault="00E55CEE" w:rsidP="00267841">
      <w:r>
        <w:separator/>
      </w:r>
    </w:p>
    <w:p w14:paraId="6246FF53" w14:textId="77777777" w:rsidR="00E55CEE" w:rsidRDefault="00E55CEE"/>
    <w:p w14:paraId="58BDF216" w14:textId="77777777" w:rsidR="00E55CEE" w:rsidRDefault="00E55CEE"/>
  </w:endnote>
  <w:endnote w:type="continuationSeparator" w:id="0">
    <w:p w14:paraId="4D2146DE" w14:textId="77777777" w:rsidR="00E55CEE" w:rsidRDefault="00E55CEE" w:rsidP="00267841">
      <w:r>
        <w:continuationSeparator/>
      </w:r>
    </w:p>
    <w:p w14:paraId="10A89A5A" w14:textId="77777777" w:rsidR="00E55CEE" w:rsidRDefault="00E55CEE"/>
    <w:p w14:paraId="2F363128" w14:textId="77777777" w:rsidR="00E55CEE" w:rsidRDefault="00E55CEE"/>
  </w:endnote>
  <w:endnote w:type="continuationNotice" w:id="1">
    <w:p w14:paraId="6066978D" w14:textId="77777777" w:rsidR="00E55CEE" w:rsidRPr="00696C70" w:rsidRDefault="00E55CEE" w:rsidP="00267841">
      <w:pPr>
        <w:pStyle w:val="Footer"/>
      </w:pPr>
    </w:p>
    <w:p w14:paraId="5AD0EF03" w14:textId="77777777" w:rsidR="00E55CEE" w:rsidRDefault="00E55CEE"/>
    <w:p w14:paraId="1C6E2A6C" w14:textId="77777777" w:rsidR="00E55CEE" w:rsidRDefault="00E55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A1CF" w14:textId="45027624" w:rsidR="00E55CEE" w:rsidRDefault="00E55CEE" w:rsidP="00267841">
    <w:pPr>
      <w:pStyle w:val="Footer"/>
    </w:pPr>
    <w:r>
      <w:t xml:space="preserve">Department of Agriculture, </w:t>
    </w:r>
    <w:r w:rsidR="000849D0">
      <w:t>Fisheries, and Forestry</w:t>
    </w:r>
  </w:p>
  <w:p w14:paraId="26D26A34" w14:textId="04C2B15A" w:rsidR="00E55CEE" w:rsidRDefault="00E55CEE" w:rsidP="0026784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5056" w14:textId="77777777" w:rsidR="00E55CEE" w:rsidRDefault="00E55CEE" w:rsidP="00267841">
      <w:r>
        <w:separator/>
      </w:r>
    </w:p>
    <w:p w14:paraId="30C8DDB7" w14:textId="77777777" w:rsidR="00E55CEE" w:rsidRDefault="00E55CEE"/>
    <w:p w14:paraId="24EE93AB" w14:textId="77777777" w:rsidR="00E55CEE" w:rsidRDefault="00E55CEE"/>
  </w:footnote>
  <w:footnote w:type="continuationSeparator" w:id="0">
    <w:p w14:paraId="79149BE9" w14:textId="77777777" w:rsidR="00E55CEE" w:rsidRDefault="00E55CEE" w:rsidP="00267841">
      <w:r>
        <w:continuationSeparator/>
      </w:r>
    </w:p>
    <w:p w14:paraId="26AE440A" w14:textId="77777777" w:rsidR="00E55CEE" w:rsidRDefault="00E55CEE"/>
    <w:p w14:paraId="0674F9FF" w14:textId="77777777" w:rsidR="00E55CEE" w:rsidRDefault="00E55CEE"/>
  </w:footnote>
  <w:footnote w:type="continuationNotice" w:id="1">
    <w:p w14:paraId="3D71EA4E" w14:textId="77777777" w:rsidR="00E55CEE" w:rsidRPr="00310C6A" w:rsidRDefault="00E55CEE" w:rsidP="00267841">
      <w:pPr>
        <w:pStyle w:val="Footer"/>
      </w:pPr>
    </w:p>
    <w:p w14:paraId="5636923E" w14:textId="77777777" w:rsidR="00E55CEE" w:rsidRDefault="00E55CEE"/>
    <w:p w14:paraId="0695418C" w14:textId="77777777" w:rsidR="00E55CEE" w:rsidRDefault="00E55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0A98" w14:textId="045AD81F" w:rsidR="00E55CEE" w:rsidRDefault="00C03B04">
    <w:pPr>
      <w:pStyle w:val="Header"/>
    </w:pPr>
    <w:r>
      <w:rPr>
        <w:noProof/>
      </w:rPr>
      <w:pict w14:anchorId="0E022B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7266" o:spid="_x0000_s157699" type="#_x0000_t136" style="position:absolute;left:0;text-align:left;margin-left:0;margin-top:0;width:605.6pt;height:33.6pt;rotation:315;z-index:-251655168;mso-position-horizontal:center;mso-position-horizontal-relative:margin;mso-position-vertical:center;mso-position-vertical-relative:margin" o:allowincell="f" fillcolor="#7f7f7f [1612]" stroked="f">
          <v:textpath style="font-family:&quot;Cambria&quot;;font-size:1pt" string="DRAFT ONLY - final version due 8 Augus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A00C" w14:textId="5E9B5572" w:rsidR="00E55CEE" w:rsidRDefault="00C03B04" w:rsidP="002B5D7D">
    <w:pPr>
      <w:pStyle w:val="Header"/>
    </w:pPr>
    <w:r>
      <w:rPr>
        <w:noProof/>
      </w:rPr>
      <w:pict w14:anchorId="253E35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7267" o:spid="_x0000_s157700" type="#_x0000_t136" style="position:absolute;left:0;text-align:left;margin-left:0;margin-top:0;width:605.6pt;height:33.6pt;rotation:315;z-index:-251653120;mso-position-horizontal:center;mso-position-horizontal-relative:margin;mso-position-vertical:center;mso-position-vertical-relative:margin" o:allowincell="f" fillcolor="#7f7f7f [1612]" stroked="f">
          <v:textpath style="font-family:&quot;Cambria&quot;;font-size:1pt" string="DRAFT ONLY - final version due 8 August 2022"/>
          <w10:wrap anchorx="margin" anchory="margin"/>
        </v:shape>
      </w:pict>
    </w:r>
    <w:r w:rsidR="00E55CEE" w:rsidRPr="005907D8">
      <w:rPr>
        <w:sz w:val="18"/>
        <w:szCs w:val="18"/>
      </w:rPr>
      <w:t>Requirements and conditions for approved arrangement class 19.1: non-commodity for containerised</w:t>
    </w:r>
    <w:r w:rsidR="00E55CEE">
      <w:rPr>
        <w:sz w:val="18"/>
        <w:szCs w:val="18"/>
      </w:rPr>
      <w:t xml:space="preserve"> cargo </w:t>
    </w:r>
    <w:r w:rsidR="00E55CEE" w:rsidRPr="005907D8">
      <w:rPr>
        <w:sz w:val="18"/>
        <w:szCs w:val="18"/>
      </w:rPr>
      <w:t>clearance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872D" w14:textId="0F92125E" w:rsidR="00E55CEE" w:rsidRDefault="00C03B04">
    <w:pPr>
      <w:pStyle w:val="Header"/>
    </w:pPr>
    <w:r>
      <w:rPr>
        <w:noProof/>
      </w:rPr>
      <w:pict w14:anchorId="236FB5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7265" o:spid="_x0000_s157698" type="#_x0000_t136" style="position:absolute;left:0;text-align:left;margin-left:0;margin-top:0;width:605.6pt;height:33.6pt;rotation:315;z-index:-251657216;mso-position-horizontal:center;mso-position-horizontal-relative:margin;mso-position-vertical:center;mso-position-vertical-relative:margin" o:allowincell="f" fillcolor="#7f7f7f [1612]" stroked="f">
          <v:textpath style="font-family:&quot;Cambria&quot;;font-size:1pt" string="DRAFT ONLY - final version due 8 August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798C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6B606F"/>
    <w:multiLevelType w:val="hybridMultilevel"/>
    <w:tmpl w:val="E0560262"/>
    <w:lvl w:ilvl="0" w:tplc="7528175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01A4F"/>
    <w:multiLevelType w:val="hybridMultilevel"/>
    <w:tmpl w:val="DAEAF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1367"/>
    <w:multiLevelType w:val="hybridMultilevel"/>
    <w:tmpl w:val="17CC42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763AC"/>
    <w:multiLevelType w:val="hybridMultilevel"/>
    <w:tmpl w:val="047AF578"/>
    <w:lvl w:ilvl="0" w:tplc="0C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5" w15:restartNumberingAfterBreak="0">
    <w:nsid w:val="21A328D5"/>
    <w:multiLevelType w:val="multilevel"/>
    <w:tmpl w:val="4182A4F0"/>
    <w:numStyleLink w:val="Numberlist"/>
  </w:abstractNum>
  <w:abstractNum w:abstractNumId="6" w15:restartNumberingAfterBreak="0">
    <w:nsid w:val="21E20078"/>
    <w:multiLevelType w:val="multilevel"/>
    <w:tmpl w:val="197C0294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80E6BFF"/>
    <w:multiLevelType w:val="hybridMultilevel"/>
    <w:tmpl w:val="ABFED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00B9E"/>
    <w:multiLevelType w:val="hybridMultilevel"/>
    <w:tmpl w:val="B20CF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60337"/>
    <w:multiLevelType w:val="hybridMultilevel"/>
    <w:tmpl w:val="F84C3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F7415"/>
    <w:multiLevelType w:val="multilevel"/>
    <w:tmpl w:val="11C654C2"/>
    <w:styleLink w:val="Complianc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10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0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"/>
        </w:tabs>
        <w:ind w:left="567" w:hanging="567"/>
      </w:pPr>
      <w:rPr>
        <w:rFonts w:hint="default"/>
      </w:rPr>
    </w:lvl>
  </w:abstractNum>
  <w:abstractNum w:abstractNumId="11" w15:restartNumberingAfterBreak="0">
    <w:nsid w:val="48DE2E4A"/>
    <w:multiLevelType w:val="hybridMultilevel"/>
    <w:tmpl w:val="B7086130"/>
    <w:lvl w:ilvl="0" w:tplc="0C090001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8F3B04"/>
    <w:multiLevelType w:val="multilevel"/>
    <w:tmpl w:val="4182A4F0"/>
    <w:styleLink w:val="Numberlist"/>
    <w:lvl w:ilvl="0">
      <w:start w:val="1"/>
      <w:numFmt w:val="decimal"/>
      <w:pStyle w:val="ListNumber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4" w15:restartNumberingAfterBreak="0">
    <w:nsid w:val="620531F0"/>
    <w:multiLevelType w:val="hybridMultilevel"/>
    <w:tmpl w:val="01021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774A2"/>
    <w:multiLevelType w:val="multilevel"/>
    <w:tmpl w:val="67B4EB12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6825253"/>
    <w:multiLevelType w:val="multilevel"/>
    <w:tmpl w:val="3D4AA674"/>
    <w:styleLink w:val="StyleBulletedSymb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i/>
        <w:iCs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E4887"/>
    <w:multiLevelType w:val="multilevel"/>
    <w:tmpl w:val="72D6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715534">
    <w:abstractNumId w:val="11"/>
  </w:num>
  <w:num w:numId="2" w16cid:durableId="1832061919">
    <w:abstractNumId w:val="1"/>
  </w:num>
  <w:num w:numId="3" w16cid:durableId="1114904914">
    <w:abstractNumId w:val="12"/>
  </w:num>
  <w:num w:numId="4" w16cid:durableId="281546428">
    <w:abstractNumId w:val="13"/>
  </w:num>
  <w:num w:numId="5" w16cid:durableId="2063359256">
    <w:abstractNumId w:val="6"/>
  </w:num>
  <w:num w:numId="6" w16cid:durableId="482939300">
    <w:abstractNumId w:val="10"/>
  </w:num>
  <w:num w:numId="7" w16cid:durableId="580724315">
    <w:abstractNumId w:val="16"/>
  </w:num>
  <w:num w:numId="8" w16cid:durableId="59334719">
    <w:abstractNumId w:val="12"/>
  </w:num>
  <w:num w:numId="9" w16cid:durableId="749162135">
    <w:abstractNumId w:val="5"/>
  </w:num>
  <w:num w:numId="10" w16cid:durableId="481697261">
    <w:abstractNumId w:val="4"/>
  </w:num>
  <w:num w:numId="11" w16cid:durableId="1728915118">
    <w:abstractNumId w:val="3"/>
  </w:num>
  <w:num w:numId="12" w16cid:durableId="1575509749">
    <w:abstractNumId w:val="2"/>
  </w:num>
  <w:num w:numId="13" w16cid:durableId="762729240">
    <w:abstractNumId w:val="15"/>
  </w:num>
  <w:num w:numId="14" w16cid:durableId="898327360">
    <w:abstractNumId w:val="0"/>
  </w:num>
  <w:num w:numId="15" w16cid:durableId="1775706670">
    <w:abstractNumId w:val="8"/>
  </w:num>
  <w:num w:numId="16" w16cid:durableId="346636466">
    <w:abstractNumId w:val="14"/>
  </w:num>
  <w:num w:numId="17" w16cid:durableId="644551470">
    <w:abstractNumId w:val="17"/>
  </w:num>
  <w:num w:numId="18" w16cid:durableId="1680347631">
    <w:abstractNumId w:val="9"/>
  </w:num>
  <w:num w:numId="19" w16cid:durableId="1769233141">
    <w:abstractNumId w:val="7"/>
  </w:num>
  <w:num w:numId="20" w16cid:durableId="77740934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57701"/>
    <o:shapelayout v:ext="edit">
      <o:idmap v:ext="edit" data="15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7dd317e1-0813-4f12-b4bc-e110aa66b627"/>
  </w:docVars>
  <w:rsids>
    <w:rsidRoot w:val="007454F7"/>
    <w:rsid w:val="000008A6"/>
    <w:rsid w:val="0000103A"/>
    <w:rsid w:val="000012FE"/>
    <w:rsid w:val="00001B76"/>
    <w:rsid w:val="000020B5"/>
    <w:rsid w:val="000027C9"/>
    <w:rsid w:val="000039FD"/>
    <w:rsid w:val="00003E38"/>
    <w:rsid w:val="00004147"/>
    <w:rsid w:val="000045BE"/>
    <w:rsid w:val="00004BAA"/>
    <w:rsid w:val="0000510A"/>
    <w:rsid w:val="00005693"/>
    <w:rsid w:val="00006FBD"/>
    <w:rsid w:val="000073E5"/>
    <w:rsid w:val="000077F4"/>
    <w:rsid w:val="000078D7"/>
    <w:rsid w:val="00007A2E"/>
    <w:rsid w:val="00007D28"/>
    <w:rsid w:val="00007FD4"/>
    <w:rsid w:val="00011A8A"/>
    <w:rsid w:val="000121BF"/>
    <w:rsid w:val="0001239B"/>
    <w:rsid w:val="000125BB"/>
    <w:rsid w:val="00014ADB"/>
    <w:rsid w:val="00014B26"/>
    <w:rsid w:val="00014EF6"/>
    <w:rsid w:val="0001504C"/>
    <w:rsid w:val="000150DB"/>
    <w:rsid w:val="000152F2"/>
    <w:rsid w:val="00015516"/>
    <w:rsid w:val="0001570A"/>
    <w:rsid w:val="000165F4"/>
    <w:rsid w:val="00016CD8"/>
    <w:rsid w:val="00017CC5"/>
    <w:rsid w:val="0002097C"/>
    <w:rsid w:val="00020B9F"/>
    <w:rsid w:val="000223F0"/>
    <w:rsid w:val="0002273A"/>
    <w:rsid w:val="000227C2"/>
    <w:rsid w:val="00022D55"/>
    <w:rsid w:val="0002320D"/>
    <w:rsid w:val="000232C5"/>
    <w:rsid w:val="00023C00"/>
    <w:rsid w:val="00024054"/>
    <w:rsid w:val="000247F2"/>
    <w:rsid w:val="000257A4"/>
    <w:rsid w:val="000257A6"/>
    <w:rsid w:val="000258F8"/>
    <w:rsid w:val="0002655F"/>
    <w:rsid w:val="0003014A"/>
    <w:rsid w:val="000304DC"/>
    <w:rsid w:val="0003068F"/>
    <w:rsid w:val="00030743"/>
    <w:rsid w:val="00030DBE"/>
    <w:rsid w:val="00030FFE"/>
    <w:rsid w:val="00033D7D"/>
    <w:rsid w:val="00033EE3"/>
    <w:rsid w:val="00034415"/>
    <w:rsid w:val="00034582"/>
    <w:rsid w:val="0003507A"/>
    <w:rsid w:val="000353F7"/>
    <w:rsid w:val="000357D6"/>
    <w:rsid w:val="000365C4"/>
    <w:rsid w:val="00036A51"/>
    <w:rsid w:val="00036F4B"/>
    <w:rsid w:val="00037065"/>
    <w:rsid w:val="00040239"/>
    <w:rsid w:val="000403DE"/>
    <w:rsid w:val="00040640"/>
    <w:rsid w:val="000409CF"/>
    <w:rsid w:val="000411DF"/>
    <w:rsid w:val="000413BD"/>
    <w:rsid w:val="00041B91"/>
    <w:rsid w:val="00041C73"/>
    <w:rsid w:val="00041D7C"/>
    <w:rsid w:val="0004353E"/>
    <w:rsid w:val="00043D8C"/>
    <w:rsid w:val="00044130"/>
    <w:rsid w:val="00044210"/>
    <w:rsid w:val="00044441"/>
    <w:rsid w:val="00044A45"/>
    <w:rsid w:val="00044B19"/>
    <w:rsid w:val="00045B8E"/>
    <w:rsid w:val="00045C03"/>
    <w:rsid w:val="00045C0E"/>
    <w:rsid w:val="00046640"/>
    <w:rsid w:val="00047A8C"/>
    <w:rsid w:val="000509C7"/>
    <w:rsid w:val="00050D60"/>
    <w:rsid w:val="00051268"/>
    <w:rsid w:val="000513A6"/>
    <w:rsid w:val="000515FA"/>
    <w:rsid w:val="0005234D"/>
    <w:rsid w:val="00052573"/>
    <w:rsid w:val="00053C6D"/>
    <w:rsid w:val="00054838"/>
    <w:rsid w:val="00054C4E"/>
    <w:rsid w:val="000552AB"/>
    <w:rsid w:val="000559B8"/>
    <w:rsid w:val="00055E1D"/>
    <w:rsid w:val="00056540"/>
    <w:rsid w:val="0005680A"/>
    <w:rsid w:val="00057BCF"/>
    <w:rsid w:val="00057C26"/>
    <w:rsid w:val="0006118A"/>
    <w:rsid w:val="00062969"/>
    <w:rsid w:val="00063145"/>
    <w:rsid w:val="00063DFE"/>
    <w:rsid w:val="000657DE"/>
    <w:rsid w:val="00066293"/>
    <w:rsid w:val="00066BCD"/>
    <w:rsid w:val="00067307"/>
    <w:rsid w:val="00067C92"/>
    <w:rsid w:val="00067D89"/>
    <w:rsid w:val="00070C6A"/>
    <w:rsid w:val="000710E2"/>
    <w:rsid w:val="00071914"/>
    <w:rsid w:val="00072255"/>
    <w:rsid w:val="0007238F"/>
    <w:rsid w:val="00072BB5"/>
    <w:rsid w:val="00072F5D"/>
    <w:rsid w:val="00073001"/>
    <w:rsid w:val="00073076"/>
    <w:rsid w:val="00073C5D"/>
    <w:rsid w:val="0007466B"/>
    <w:rsid w:val="00074BE9"/>
    <w:rsid w:val="00074FA1"/>
    <w:rsid w:val="00075282"/>
    <w:rsid w:val="00075E46"/>
    <w:rsid w:val="00075F7A"/>
    <w:rsid w:val="000762B2"/>
    <w:rsid w:val="00076539"/>
    <w:rsid w:val="00076791"/>
    <w:rsid w:val="000768B4"/>
    <w:rsid w:val="00076F1E"/>
    <w:rsid w:val="000773A5"/>
    <w:rsid w:val="0008128C"/>
    <w:rsid w:val="000812F7"/>
    <w:rsid w:val="00082202"/>
    <w:rsid w:val="0008286D"/>
    <w:rsid w:val="00082B00"/>
    <w:rsid w:val="00082BFB"/>
    <w:rsid w:val="00083505"/>
    <w:rsid w:val="00083BBC"/>
    <w:rsid w:val="00083FCE"/>
    <w:rsid w:val="000849D0"/>
    <w:rsid w:val="00084FAB"/>
    <w:rsid w:val="0008574A"/>
    <w:rsid w:val="00085A2C"/>
    <w:rsid w:val="0008679E"/>
    <w:rsid w:val="00086969"/>
    <w:rsid w:val="00086AEC"/>
    <w:rsid w:val="0008702B"/>
    <w:rsid w:val="00087F29"/>
    <w:rsid w:val="000902BD"/>
    <w:rsid w:val="000908B8"/>
    <w:rsid w:val="00090FC3"/>
    <w:rsid w:val="000917A0"/>
    <w:rsid w:val="00092BD5"/>
    <w:rsid w:val="00092F0D"/>
    <w:rsid w:val="0009344B"/>
    <w:rsid w:val="00094DC9"/>
    <w:rsid w:val="00094E78"/>
    <w:rsid w:val="0009590D"/>
    <w:rsid w:val="000965C2"/>
    <w:rsid w:val="00096CAD"/>
    <w:rsid w:val="00097278"/>
    <w:rsid w:val="00097F1D"/>
    <w:rsid w:val="000A0288"/>
    <w:rsid w:val="000A0EFD"/>
    <w:rsid w:val="000A10E2"/>
    <w:rsid w:val="000A165C"/>
    <w:rsid w:val="000A17CE"/>
    <w:rsid w:val="000A1F76"/>
    <w:rsid w:val="000A2463"/>
    <w:rsid w:val="000A247E"/>
    <w:rsid w:val="000A3013"/>
    <w:rsid w:val="000A342F"/>
    <w:rsid w:val="000A4F76"/>
    <w:rsid w:val="000A4FA1"/>
    <w:rsid w:val="000A562D"/>
    <w:rsid w:val="000A5D3E"/>
    <w:rsid w:val="000A66A7"/>
    <w:rsid w:val="000A6A8B"/>
    <w:rsid w:val="000A6CE8"/>
    <w:rsid w:val="000A6D1E"/>
    <w:rsid w:val="000A6E29"/>
    <w:rsid w:val="000A7805"/>
    <w:rsid w:val="000A78EF"/>
    <w:rsid w:val="000B0517"/>
    <w:rsid w:val="000B0FDD"/>
    <w:rsid w:val="000B2059"/>
    <w:rsid w:val="000B234A"/>
    <w:rsid w:val="000B2EC1"/>
    <w:rsid w:val="000B31BB"/>
    <w:rsid w:val="000B3B4D"/>
    <w:rsid w:val="000B57B0"/>
    <w:rsid w:val="000B5859"/>
    <w:rsid w:val="000B5D1C"/>
    <w:rsid w:val="000B623B"/>
    <w:rsid w:val="000B66AE"/>
    <w:rsid w:val="000B6B51"/>
    <w:rsid w:val="000B719A"/>
    <w:rsid w:val="000B7841"/>
    <w:rsid w:val="000C1672"/>
    <w:rsid w:val="000C184E"/>
    <w:rsid w:val="000C1F61"/>
    <w:rsid w:val="000C238F"/>
    <w:rsid w:val="000C2829"/>
    <w:rsid w:val="000C4A92"/>
    <w:rsid w:val="000C4F8B"/>
    <w:rsid w:val="000C5035"/>
    <w:rsid w:val="000C5064"/>
    <w:rsid w:val="000C55B6"/>
    <w:rsid w:val="000C5957"/>
    <w:rsid w:val="000C66D4"/>
    <w:rsid w:val="000C6D11"/>
    <w:rsid w:val="000C6D47"/>
    <w:rsid w:val="000C716D"/>
    <w:rsid w:val="000C7474"/>
    <w:rsid w:val="000C77CB"/>
    <w:rsid w:val="000D0236"/>
    <w:rsid w:val="000D048E"/>
    <w:rsid w:val="000D0A52"/>
    <w:rsid w:val="000D0A73"/>
    <w:rsid w:val="000D1256"/>
    <w:rsid w:val="000D1AB1"/>
    <w:rsid w:val="000D1B32"/>
    <w:rsid w:val="000D22EA"/>
    <w:rsid w:val="000D3A5C"/>
    <w:rsid w:val="000D4626"/>
    <w:rsid w:val="000D4B9C"/>
    <w:rsid w:val="000D51AA"/>
    <w:rsid w:val="000D5CBE"/>
    <w:rsid w:val="000D6BF6"/>
    <w:rsid w:val="000E04F1"/>
    <w:rsid w:val="000E04FE"/>
    <w:rsid w:val="000E0B93"/>
    <w:rsid w:val="000E0C9A"/>
    <w:rsid w:val="000E1B48"/>
    <w:rsid w:val="000E2148"/>
    <w:rsid w:val="000E2D89"/>
    <w:rsid w:val="000E3A1C"/>
    <w:rsid w:val="000E3DED"/>
    <w:rsid w:val="000E5684"/>
    <w:rsid w:val="000E6656"/>
    <w:rsid w:val="000E73E7"/>
    <w:rsid w:val="000F036B"/>
    <w:rsid w:val="000F041C"/>
    <w:rsid w:val="000F061B"/>
    <w:rsid w:val="000F186C"/>
    <w:rsid w:val="000F28CF"/>
    <w:rsid w:val="000F2911"/>
    <w:rsid w:val="000F338C"/>
    <w:rsid w:val="000F35BE"/>
    <w:rsid w:val="000F3E88"/>
    <w:rsid w:val="000F4AC8"/>
    <w:rsid w:val="000F4E34"/>
    <w:rsid w:val="000F6983"/>
    <w:rsid w:val="000F6B5F"/>
    <w:rsid w:val="0010004A"/>
    <w:rsid w:val="00100295"/>
    <w:rsid w:val="001026BE"/>
    <w:rsid w:val="00102736"/>
    <w:rsid w:val="00102852"/>
    <w:rsid w:val="001029E3"/>
    <w:rsid w:val="00103291"/>
    <w:rsid w:val="0010348B"/>
    <w:rsid w:val="001039FC"/>
    <w:rsid w:val="00103B88"/>
    <w:rsid w:val="00103C5B"/>
    <w:rsid w:val="001046B3"/>
    <w:rsid w:val="00104AFD"/>
    <w:rsid w:val="0010519D"/>
    <w:rsid w:val="00105AC2"/>
    <w:rsid w:val="00105BB4"/>
    <w:rsid w:val="00106012"/>
    <w:rsid w:val="001061D4"/>
    <w:rsid w:val="00106A53"/>
    <w:rsid w:val="00106F10"/>
    <w:rsid w:val="00107171"/>
    <w:rsid w:val="0011051E"/>
    <w:rsid w:val="001129FE"/>
    <w:rsid w:val="00113808"/>
    <w:rsid w:val="00113F79"/>
    <w:rsid w:val="00114AAB"/>
    <w:rsid w:val="00114ACF"/>
    <w:rsid w:val="00115AEC"/>
    <w:rsid w:val="00115E20"/>
    <w:rsid w:val="00115FB0"/>
    <w:rsid w:val="00116CED"/>
    <w:rsid w:val="00117EB8"/>
    <w:rsid w:val="00120DE4"/>
    <w:rsid w:val="001211FB"/>
    <w:rsid w:val="00121538"/>
    <w:rsid w:val="00121944"/>
    <w:rsid w:val="00122334"/>
    <w:rsid w:val="00122DE7"/>
    <w:rsid w:val="0012363D"/>
    <w:rsid w:val="00123D92"/>
    <w:rsid w:val="00124376"/>
    <w:rsid w:val="00124CCD"/>
    <w:rsid w:val="00125E18"/>
    <w:rsid w:val="001267E6"/>
    <w:rsid w:val="00126B2D"/>
    <w:rsid w:val="00127368"/>
    <w:rsid w:val="001300C5"/>
    <w:rsid w:val="00130F65"/>
    <w:rsid w:val="00131124"/>
    <w:rsid w:val="0013137B"/>
    <w:rsid w:val="00131571"/>
    <w:rsid w:val="00131EEC"/>
    <w:rsid w:val="001320CF"/>
    <w:rsid w:val="00132400"/>
    <w:rsid w:val="00132C2A"/>
    <w:rsid w:val="00132D29"/>
    <w:rsid w:val="00133EF6"/>
    <w:rsid w:val="00135269"/>
    <w:rsid w:val="00136E3F"/>
    <w:rsid w:val="00137026"/>
    <w:rsid w:val="00137058"/>
    <w:rsid w:val="0013739D"/>
    <w:rsid w:val="00137B2F"/>
    <w:rsid w:val="00140403"/>
    <w:rsid w:val="0014069B"/>
    <w:rsid w:val="00140ABD"/>
    <w:rsid w:val="00140B61"/>
    <w:rsid w:val="001419F7"/>
    <w:rsid w:val="00141A65"/>
    <w:rsid w:val="00141BF0"/>
    <w:rsid w:val="00142AE3"/>
    <w:rsid w:val="00142E21"/>
    <w:rsid w:val="00143271"/>
    <w:rsid w:val="00143503"/>
    <w:rsid w:val="001437F8"/>
    <w:rsid w:val="0014392C"/>
    <w:rsid w:val="00144572"/>
    <w:rsid w:val="00144632"/>
    <w:rsid w:val="00144B27"/>
    <w:rsid w:val="00144DA9"/>
    <w:rsid w:val="001452C9"/>
    <w:rsid w:val="001452E6"/>
    <w:rsid w:val="00145330"/>
    <w:rsid w:val="00145DC0"/>
    <w:rsid w:val="0014629B"/>
    <w:rsid w:val="001466E8"/>
    <w:rsid w:val="001469AD"/>
    <w:rsid w:val="001470DF"/>
    <w:rsid w:val="00147A7D"/>
    <w:rsid w:val="00147B62"/>
    <w:rsid w:val="00150924"/>
    <w:rsid w:val="00150ECF"/>
    <w:rsid w:val="0015124D"/>
    <w:rsid w:val="00151CC8"/>
    <w:rsid w:val="00151FED"/>
    <w:rsid w:val="00152A7F"/>
    <w:rsid w:val="00152C97"/>
    <w:rsid w:val="00153092"/>
    <w:rsid w:val="001535F1"/>
    <w:rsid w:val="001536F6"/>
    <w:rsid w:val="00153E24"/>
    <w:rsid w:val="00153F7A"/>
    <w:rsid w:val="00155902"/>
    <w:rsid w:val="00155F0B"/>
    <w:rsid w:val="0015679F"/>
    <w:rsid w:val="001568B8"/>
    <w:rsid w:val="0015764B"/>
    <w:rsid w:val="001576A2"/>
    <w:rsid w:val="001578A4"/>
    <w:rsid w:val="00157C13"/>
    <w:rsid w:val="00157C7C"/>
    <w:rsid w:val="00157D1E"/>
    <w:rsid w:val="00157EDE"/>
    <w:rsid w:val="00161ACC"/>
    <w:rsid w:val="00161C21"/>
    <w:rsid w:val="00162233"/>
    <w:rsid w:val="00162F72"/>
    <w:rsid w:val="00164202"/>
    <w:rsid w:val="0016454F"/>
    <w:rsid w:val="00164AB2"/>
    <w:rsid w:val="001654D0"/>
    <w:rsid w:val="001658E0"/>
    <w:rsid w:val="00165E98"/>
    <w:rsid w:val="00166297"/>
    <w:rsid w:val="00166452"/>
    <w:rsid w:val="00166505"/>
    <w:rsid w:val="00166A10"/>
    <w:rsid w:val="00167417"/>
    <w:rsid w:val="00170C4E"/>
    <w:rsid w:val="0017118A"/>
    <w:rsid w:val="001715AD"/>
    <w:rsid w:val="0017195A"/>
    <w:rsid w:val="00171AD9"/>
    <w:rsid w:val="00172129"/>
    <w:rsid w:val="0017258C"/>
    <w:rsid w:val="00172A5F"/>
    <w:rsid w:val="00173243"/>
    <w:rsid w:val="001733D1"/>
    <w:rsid w:val="00173C56"/>
    <w:rsid w:val="00174AE3"/>
    <w:rsid w:val="00174B15"/>
    <w:rsid w:val="00174B32"/>
    <w:rsid w:val="00174F3A"/>
    <w:rsid w:val="00175477"/>
    <w:rsid w:val="001758A7"/>
    <w:rsid w:val="001760FE"/>
    <w:rsid w:val="0017615D"/>
    <w:rsid w:val="0017781F"/>
    <w:rsid w:val="00180C63"/>
    <w:rsid w:val="001810A6"/>
    <w:rsid w:val="00181533"/>
    <w:rsid w:val="00182084"/>
    <w:rsid w:val="00183CE1"/>
    <w:rsid w:val="001846E8"/>
    <w:rsid w:val="00184AAE"/>
    <w:rsid w:val="00184B56"/>
    <w:rsid w:val="001853F3"/>
    <w:rsid w:val="00185963"/>
    <w:rsid w:val="00185EBD"/>
    <w:rsid w:val="00186088"/>
    <w:rsid w:val="00187304"/>
    <w:rsid w:val="0018762B"/>
    <w:rsid w:val="00190057"/>
    <w:rsid w:val="00190F9D"/>
    <w:rsid w:val="001912C6"/>
    <w:rsid w:val="0019163E"/>
    <w:rsid w:val="00191C45"/>
    <w:rsid w:val="00191E13"/>
    <w:rsid w:val="00191E2B"/>
    <w:rsid w:val="00192613"/>
    <w:rsid w:val="001926EB"/>
    <w:rsid w:val="00192B7F"/>
    <w:rsid w:val="00193D66"/>
    <w:rsid w:val="001943EB"/>
    <w:rsid w:val="001944D0"/>
    <w:rsid w:val="00194AE6"/>
    <w:rsid w:val="0019586B"/>
    <w:rsid w:val="00195971"/>
    <w:rsid w:val="00195D43"/>
    <w:rsid w:val="00196211"/>
    <w:rsid w:val="00197838"/>
    <w:rsid w:val="001A0D11"/>
    <w:rsid w:val="001A12B2"/>
    <w:rsid w:val="001A1A0B"/>
    <w:rsid w:val="001A1B5E"/>
    <w:rsid w:val="001A2008"/>
    <w:rsid w:val="001A2162"/>
    <w:rsid w:val="001A21CB"/>
    <w:rsid w:val="001A22E6"/>
    <w:rsid w:val="001A24EC"/>
    <w:rsid w:val="001A2597"/>
    <w:rsid w:val="001A2AED"/>
    <w:rsid w:val="001A2D64"/>
    <w:rsid w:val="001A30AE"/>
    <w:rsid w:val="001A3315"/>
    <w:rsid w:val="001A3BD3"/>
    <w:rsid w:val="001A4983"/>
    <w:rsid w:val="001A5035"/>
    <w:rsid w:val="001A618A"/>
    <w:rsid w:val="001A6572"/>
    <w:rsid w:val="001A68C3"/>
    <w:rsid w:val="001A7C00"/>
    <w:rsid w:val="001A7F88"/>
    <w:rsid w:val="001B02BE"/>
    <w:rsid w:val="001B1446"/>
    <w:rsid w:val="001B187E"/>
    <w:rsid w:val="001B1BDB"/>
    <w:rsid w:val="001B1C7D"/>
    <w:rsid w:val="001B1CC8"/>
    <w:rsid w:val="001B3503"/>
    <w:rsid w:val="001B37E2"/>
    <w:rsid w:val="001B4470"/>
    <w:rsid w:val="001B4FBE"/>
    <w:rsid w:val="001B5E79"/>
    <w:rsid w:val="001B6877"/>
    <w:rsid w:val="001B71AF"/>
    <w:rsid w:val="001C013E"/>
    <w:rsid w:val="001C147B"/>
    <w:rsid w:val="001C1D7F"/>
    <w:rsid w:val="001C1DFC"/>
    <w:rsid w:val="001C2157"/>
    <w:rsid w:val="001C2843"/>
    <w:rsid w:val="001C2F2D"/>
    <w:rsid w:val="001C36F6"/>
    <w:rsid w:val="001C3919"/>
    <w:rsid w:val="001C391A"/>
    <w:rsid w:val="001C4BF4"/>
    <w:rsid w:val="001C50A0"/>
    <w:rsid w:val="001C6898"/>
    <w:rsid w:val="001C6A9B"/>
    <w:rsid w:val="001C6B61"/>
    <w:rsid w:val="001C7F63"/>
    <w:rsid w:val="001D0F46"/>
    <w:rsid w:val="001D1312"/>
    <w:rsid w:val="001D14F7"/>
    <w:rsid w:val="001D157D"/>
    <w:rsid w:val="001D1DE5"/>
    <w:rsid w:val="001D2444"/>
    <w:rsid w:val="001D348D"/>
    <w:rsid w:val="001D39B9"/>
    <w:rsid w:val="001D407A"/>
    <w:rsid w:val="001D43A0"/>
    <w:rsid w:val="001D4FF5"/>
    <w:rsid w:val="001D54A4"/>
    <w:rsid w:val="001D6225"/>
    <w:rsid w:val="001D6563"/>
    <w:rsid w:val="001D6701"/>
    <w:rsid w:val="001D6D1D"/>
    <w:rsid w:val="001D702D"/>
    <w:rsid w:val="001D71DC"/>
    <w:rsid w:val="001D7C75"/>
    <w:rsid w:val="001D7F09"/>
    <w:rsid w:val="001E0BF4"/>
    <w:rsid w:val="001E13E5"/>
    <w:rsid w:val="001E2A52"/>
    <w:rsid w:val="001E3121"/>
    <w:rsid w:val="001E36E8"/>
    <w:rsid w:val="001E3831"/>
    <w:rsid w:val="001E3E73"/>
    <w:rsid w:val="001E409F"/>
    <w:rsid w:val="001E4EFF"/>
    <w:rsid w:val="001E4F8B"/>
    <w:rsid w:val="001E5501"/>
    <w:rsid w:val="001E5818"/>
    <w:rsid w:val="001E67EB"/>
    <w:rsid w:val="001E6E04"/>
    <w:rsid w:val="001E78D8"/>
    <w:rsid w:val="001F0308"/>
    <w:rsid w:val="001F04F9"/>
    <w:rsid w:val="001F1528"/>
    <w:rsid w:val="001F1F5A"/>
    <w:rsid w:val="001F2331"/>
    <w:rsid w:val="001F25B1"/>
    <w:rsid w:val="001F31BD"/>
    <w:rsid w:val="001F3623"/>
    <w:rsid w:val="001F3911"/>
    <w:rsid w:val="001F39CC"/>
    <w:rsid w:val="001F3B94"/>
    <w:rsid w:val="001F4186"/>
    <w:rsid w:val="001F56A4"/>
    <w:rsid w:val="001F674E"/>
    <w:rsid w:val="001F6777"/>
    <w:rsid w:val="001F685C"/>
    <w:rsid w:val="001F7D2A"/>
    <w:rsid w:val="001F7E9C"/>
    <w:rsid w:val="002002C8"/>
    <w:rsid w:val="00200708"/>
    <w:rsid w:val="00200903"/>
    <w:rsid w:val="00201135"/>
    <w:rsid w:val="0020114C"/>
    <w:rsid w:val="002013A9"/>
    <w:rsid w:val="00201EE2"/>
    <w:rsid w:val="00202144"/>
    <w:rsid w:val="00203CC0"/>
    <w:rsid w:val="00206036"/>
    <w:rsid w:val="00206E0C"/>
    <w:rsid w:val="002072BC"/>
    <w:rsid w:val="0020765D"/>
    <w:rsid w:val="00207CAC"/>
    <w:rsid w:val="00210233"/>
    <w:rsid w:val="00210276"/>
    <w:rsid w:val="002105B1"/>
    <w:rsid w:val="0021080C"/>
    <w:rsid w:val="00210C13"/>
    <w:rsid w:val="002110C3"/>
    <w:rsid w:val="002113F7"/>
    <w:rsid w:val="00211E19"/>
    <w:rsid w:val="002121CC"/>
    <w:rsid w:val="00212A28"/>
    <w:rsid w:val="00212E72"/>
    <w:rsid w:val="00212EDE"/>
    <w:rsid w:val="00212F2D"/>
    <w:rsid w:val="002142FC"/>
    <w:rsid w:val="00215228"/>
    <w:rsid w:val="00215370"/>
    <w:rsid w:val="0021543F"/>
    <w:rsid w:val="002161BF"/>
    <w:rsid w:val="002170F2"/>
    <w:rsid w:val="00217F02"/>
    <w:rsid w:val="0022024E"/>
    <w:rsid w:val="002202FB"/>
    <w:rsid w:val="00221012"/>
    <w:rsid w:val="0022132B"/>
    <w:rsid w:val="00221499"/>
    <w:rsid w:val="00222EAC"/>
    <w:rsid w:val="00223164"/>
    <w:rsid w:val="002231C2"/>
    <w:rsid w:val="00223C63"/>
    <w:rsid w:val="0022464C"/>
    <w:rsid w:val="002246DD"/>
    <w:rsid w:val="002251C5"/>
    <w:rsid w:val="00225776"/>
    <w:rsid w:val="00225DAA"/>
    <w:rsid w:val="0022648D"/>
    <w:rsid w:val="00226A69"/>
    <w:rsid w:val="00226EEE"/>
    <w:rsid w:val="00227570"/>
    <w:rsid w:val="00227AA6"/>
    <w:rsid w:val="00227FE6"/>
    <w:rsid w:val="002307C8"/>
    <w:rsid w:val="0023139E"/>
    <w:rsid w:val="0023156D"/>
    <w:rsid w:val="00231C98"/>
    <w:rsid w:val="002327C2"/>
    <w:rsid w:val="00232891"/>
    <w:rsid w:val="00232B03"/>
    <w:rsid w:val="002330AC"/>
    <w:rsid w:val="0023338C"/>
    <w:rsid w:val="00233AB4"/>
    <w:rsid w:val="0023438B"/>
    <w:rsid w:val="0023484B"/>
    <w:rsid w:val="00234AAB"/>
    <w:rsid w:val="00234EE6"/>
    <w:rsid w:val="002360AA"/>
    <w:rsid w:val="0023774F"/>
    <w:rsid w:val="00237871"/>
    <w:rsid w:val="00237993"/>
    <w:rsid w:val="00241122"/>
    <w:rsid w:val="00241AB2"/>
    <w:rsid w:val="00242775"/>
    <w:rsid w:val="00242DF5"/>
    <w:rsid w:val="00242E2E"/>
    <w:rsid w:val="00243A09"/>
    <w:rsid w:val="00244CD6"/>
    <w:rsid w:val="00245D70"/>
    <w:rsid w:val="00246104"/>
    <w:rsid w:val="0024645F"/>
    <w:rsid w:val="00246554"/>
    <w:rsid w:val="00246824"/>
    <w:rsid w:val="00246956"/>
    <w:rsid w:val="00246D4F"/>
    <w:rsid w:val="00247E51"/>
    <w:rsid w:val="00250E19"/>
    <w:rsid w:val="00251614"/>
    <w:rsid w:val="00251760"/>
    <w:rsid w:val="002517E7"/>
    <w:rsid w:val="002519EC"/>
    <w:rsid w:val="00251A2E"/>
    <w:rsid w:val="00251E06"/>
    <w:rsid w:val="00251EA8"/>
    <w:rsid w:val="0025201A"/>
    <w:rsid w:val="002525A6"/>
    <w:rsid w:val="00252E72"/>
    <w:rsid w:val="00253B77"/>
    <w:rsid w:val="00253C3C"/>
    <w:rsid w:val="00253D32"/>
    <w:rsid w:val="00254335"/>
    <w:rsid w:val="002543D6"/>
    <w:rsid w:val="0025465A"/>
    <w:rsid w:val="00254A1E"/>
    <w:rsid w:val="00254AAC"/>
    <w:rsid w:val="002550AA"/>
    <w:rsid w:val="002561E3"/>
    <w:rsid w:val="00256C20"/>
    <w:rsid w:val="00256D17"/>
    <w:rsid w:val="00256F2A"/>
    <w:rsid w:val="00256FDA"/>
    <w:rsid w:val="0025706E"/>
    <w:rsid w:val="00257466"/>
    <w:rsid w:val="002600E2"/>
    <w:rsid w:val="002604CC"/>
    <w:rsid w:val="00262A31"/>
    <w:rsid w:val="0026300B"/>
    <w:rsid w:val="00263013"/>
    <w:rsid w:val="0026328F"/>
    <w:rsid w:val="00263AEF"/>
    <w:rsid w:val="00263BE0"/>
    <w:rsid w:val="0026441C"/>
    <w:rsid w:val="00265315"/>
    <w:rsid w:val="00265C44"/>
    <w:rsid w:val="002667AC"/>
    <w:rsid w:val="00266DAF"/>
    <w:rsid w:val="00266DEC"/>
    <w:rsid w:val="0026729B"/>
    <w:rsid w:val="002677C7"/>
    <w:rsid w:val="00267841"/>
    <w:rsid w:val="0026798C"/>
    <w:rsid w:val="00270C95"/>
    <w:rsid w:val="00270FF8"/>
    <w:rsid w:val="00271356"/>
    <w:rsid w:val="00272516"/>
    <w:rsid w:val="002731E8"/>
    <w:rsid w:val="002746EF"/>
    <w:rsid w:val="00274ECA"/>
    <w:rsid w:val="0027595B"/>
    <w:rsid w:val="002759E5"/>
    <w:rsid w:val="00275F76"/>
    <w:rsid w:val="002761E6"/>
    <w:rsid w:val="002771A2"/>
    <w:rsid w:val="002771AD"/>
    <w:rsid w:val="00277B05"/>
    <w:rsid w:val="00277BB9"/>
    <w:rsid w:val="00281272"/>
    <w:rsid w:val="00281517"/>
    <w:rsid w:val="00281A62"/>
    <w:rsid w:val="00281C1B"/>
    <w:rsid w:val="0028208A"/>
    <w:rsid w:val="002821C0"/>
    <w:rsid w:val="002824DE"/>
    <w:rsid w:val="00282A20"/>
    <w:rsid w:val="002838D8"/>
    <w:rsid w:val="00283C9E"/>
    <w:rsid w:val="00283ED9"/>
    <w:rsid w:val="00284507"/>
    <w:rsid w:val="00284C40"/>
    <w:rsid w:val="00285292"/>
    <w:rsid w:val="00285FB3"/>
    <w:rsid w:val="00286E8D"/>
    <w:rsid w:val="002871D2"/>
    <w:rsid w:val="002875B4"/>
    <w:rsid w:val="00290680"/>
    <w:rsid w:val="0029131F"/>
    <w:rsid w:val="00291FC3"/>
    <w:rsid w:val="00292794"/>
    <w:rsid w:val="002929A9"/>
    <w:rsid w:val="00292A9C"/>
    <w:rsid w:val="00292E9B"/>
    <w:rsid w:val="0029311E"/>
    <w:rsid w:val="00293535"/>
    <w:rsid w:val="002939D2"/>
    <w:rsid w:val="0029486E"/>
    <w:rsid w:val="0029495F"/>
    <w:rsid w:val="00294B17"/>
    <w:rsid w:val="00296430"/>
    <w:rsid w:val="002967C1"/>
    <w:rsid w:val="002967DE"/>
    <w:rsid w:val="00297BA9"/>
    <w:rsid w:val="00297D32"/>
    <w:rsid w:val="002A0EEA"/>
    <w:rsid w:val="002A17FB"/>
    <w:rsid w:val="002A2254"/>
    <w:rsid w:val="002A23DD"/>
    <w:rsid w:val="002A2A04"/>
    <w:rsid w:val="002A2E7D"/>
    <w:rsid w:val="002A2F85"/>
    <w:rsid w:val="002A33E4"/>
    <w:rsid w:val="002A3865"/>
    <w:rsid w:val="002A4CE2"/>
    <w:rsid w:val="002A54CA"/>
    <w:rsid w:val="002A55C0"/>
    <w:rsid w:val="002A584F"/>
    <w:rsid w:val="002A5F2C"/>
    <w:rsid w:val="002A5F59"/>
    <w:rsid w:val="002A6BE6"/>
    <w:rsid w:val="002A7718"/>
    <w:rsid w:val="002A7E02"/>
    <w:rsid w:val="002B0F72"/>
    <w:rsid w:val="002B115C"/>
    <w:rsid w:val="002B11DB"/>
    <w:rsid w:val="002B1209"/>
    <w:rsid w:val="002B1888"/>
    <w:rsid w:val="002B1B07"/>
    <w:rsid w:val="002B25D7"/>
    <w:rsid w:val="002B2FC4"/>
    <w:rsid w:val="002B3A00"/>
    <w:rsid w:val="002B3E57"/>
    <w:rsid w:val="002B3F79"/>
    <w:rsid w:val="002B4509"/>
    <w:rsid w:val="002B5D7D"/>
    <w:rsid w:val="002B7460"/>
    <w:rsid w:val="002B77D7"/>
    <w:rsid w:val="002B7DB6"/>
    <w:rsid w:val="002C093F"/>
    <w:rsid w:val="002C0D29"/>
    <w:rsid w:val="002C1642"/>
    <w:rsid w:val="002C1CDF"/>
    <w:rsid w:val="002C1D88"/>
    <w:rsid w:val="002C1E54"/>
    <w:rsid w:val="002C2070"/>
    <w:rsid w:val="002C2668"/>
    <w:rsid w:val="002C2976"/>
    <w:rsid w:val="002C2C3D"/>
    <w:rsid w:val="002C38E0"/>
    <w:rsid w:val="002C40CD"/>
    <w:rsid w:val="002C55A4"/>
    <w:rsid w:val="002C5D39"/>
    <w:rsid w:val="002C65AB"/>
    <w:rsid w:val="002C66B5"/>
    <w:rsid w:val="002C69F8"/>
    <w:rsid w:val="002C6C7C"/>
    <w:rsid w:val="002C70CC"/>
    <w:rsid w:val="002C73A2"/>
    <w:rsid w:val="002C7486"/>
    <w:rsid w:val="002C771E"/>
    <w:rsid w:val="002D0284"/>
    <w:rsid w:val="002D0571"/>
    <w:rsid w:val="002D064E"/>
    <w:rsid w:val="002D07F5"/>
    <w:rsid w:val="002D0BDB"/>
    <w:rsid w:val="002D12A9"/>
    <w:rsid w:val="002D17A3"/>
    <w:rsid w:val="002D17D9"/>
    <w:rsid w:val="002D23C0"/>
    <w:rsid w:val="002D316C"/>
    <w:rsid w:val="002D4180"/>
    <w:rsid w:val="002D4884"/>
    <w:rsid w:val="002D49A7"/>
    <w:rsid w:val="002D570E"/>
    <w:rsid w:val="002D6678"/>
    <w:rsid w:val="002D6689"/>
    <w:rsid w:val="002D6A6C"/>
    <w:rsid w:val="002D770B"/>
    <w:rsid w:val="002E0129"/>
    <w:rsid w:val="002E1135"/>
    <w:rsid w:val="002E15C1"/>
    <w:rsid w:val="002E1CB3"/>
    <w:rsid w:val="002E1F51"/>
    <w:rsid w:val="002E2B33"/>
    <w:rsid w:val="002E369B"/>
    <w:rsid w:val="002E36E9"/>
    <w:rsid w:val="002E371A"/>
    <w:rsid w:val="002E49EC"/>
    <w:rsid w:val="002E58BF"/>
    <w:rsid w:val="002E62F5"/>
    <w:rsid w:val="002E6EC1"/>
    <w:rsid w:val="002E6F1A"/>
    <w:rsid w:val="002F09FD"/>
    <w:rsid w:val="002F0E6B"/>
    <w:rsid w:val="002F10AE"/>
    <w:rsid w:val="002F148C"/>
    <w:rsid w:val="002F17E3"/>
    <w:rsid w:val="002F1BC1"/>
    <w:rsid w:val="002F2183"/>
    <w:rsid w:val="002F2530"/>
    <w:rsid w:val="002F274D"/>
    <w:rsid w:val="002F2C61"/>
    <w:rsid w:val="002F3062"/>
    <w:rsid w:val="002F30F0"/>
    <w:rsid w:val="002F35FB"/>
    <w:rsid w:val="002F36A9"/>
    <w:rsid w:val="002F37D3"/>
    <w:rsid w:val="002F397E"/>
    <w:rsid w:val="002F3DEA"/>
    <w:rsid w:val="002F461F"/>
    <w:rsid w:val="002F46D1"/>
    <w:rsid w:val="002F4C2D"/>
    <w:rsid w:val="002F5DD6"/>
    <w:rsid w:val="002F5F8F"/>
    <w:rsid w:val="002F6062"/>
    <w:rsid w:val="002F62C7"/>
    <w:rsid w:val="002F6488"/>
    <w:rsid w:val="002F788D"/>
    <w:rsid w:val="00300228"/>
    <w:rsid w:val="003003BC"/>
    <w:rsid w:val="00301E66"/>
    <w:rsid w:val="003020C4"/>
    <w:rsid w:val="003022CA"/>
    <w:rsid w:val="003029CE"/>
    <w:rsid w:val="00302F2E"/>
    <w:rsid w:val="003035F8"/>
    <w:rsid w:val="0030404A"/>
    <w:rsid w:val="003049A6"/>
    <w:rsid w:val="00304A83"/>
    <w:rsid w:val="00304D12"/>
    <w:rsid w:val="00306735"/>
    <w:rsid w:val="00306CF6"/>
    <w:rsid w:val="003106D4"/>
    <w:rsid w:val="0031086C"/>
    <w:rsid w:val="00310C6A"/>
    <w:rsid w:val="00310C71"/>
    <w:rsid w:val="00311643"/>
    <w:rsid w:val="00311AE5"/>
    <w:rsid w:val="00311B43"/>
    <w:rsid w:val="0031204B"/>
    <w:rsid w:val="00313686"/>
    <w:rsid w:val="00313A45"/>
    <w:rsid w:val="00313B55"/>
    <w:rsid w:val="00313FC3"/>
    <w:rsid w:val="00314712"/>
    <w:rsid w:val="0031474D"/>
    <w:rsid w:val="00315528"/>
    <w:rsid w:val="003165F8"/>
    <w:rsid w:val="00316C39"/>
    <w:rsid w:val="0031752B"/>
    <w:rsid w:val="00317CC0"/>
    <w:rsid w:val="00320B83"/>
    <w:rsid w:val="00320C94"/>
    <w:rsid w:val="00320C9A"/>
    <w:rsid w:val="003217B8"/>
    <w:rsid w:val="00322325"/>
    <w:rsid w:val="00322505"/>
    <w:rsid w:val="0032367D"/>
    <w:rsid w:val="00323FD6"/>
    <w:rsid w:val="003244ED"/>
    <w:rsid w:val="0032481D"/>
    <w:rsid w:val="00324F22"/>
    <w:rsid w:val="0032577C"/>
    <w:rsid w:val="00325786"/>
    <w:rsid w:val="00326587"/>
    <w:rsid w:val="00326A34"/>
    <w:rsid w:val="00327109"/>
    <w:rsid w:val="0033080B"/>
    <w:rsid w:val="00330AA8"/>
    <w:rsid w:val="00330B23"/>
    <w:rsid w:val="00331854"/>
    <w:rsid w:val="00331C28"/>
    <w:rsid w:val="00331E25"/>
    <w:rsid w:val="003322ED"/>
    <w:rsid w:val="003329E9"/>
    <w:rsid w:val="00332DB8"/>
    <w:rsid w:val="00333663"/>
    <w:rsid w:val="003339BE"/>
    <w:rsid w:val="003340EB"/>
    <w:rsid w:val="00334B8E"/>
    <w:rsid w:val="003354A8"/>
    <w:rsid w:val="00335B32"/>
    <w:rsid w:val="00335CD5"/>
    <w:rsid w:val="00335EBF"/>
    <w:rsid w:val="00336225"/>
    <w:rsid w:val="00336F6D"/>
    <w:rsid w:val="003375D8"/>
    <w:rsid w:val="003376BE"/>
    <w:rsid w:val="0034013C"/>
    <w:rsid w:val="003406BB"/>
    <w:rsid w:val="00342B3D"/>
    <w:rsid w:val="0034357E"/>
    <w:rsid w:val="003435B5"/>
    <w:rsid w:val="00343B1C"/>
    <w:rsid w:val="00343C2B"/>
    <w:rsid w:val="00343DD0"/>
    <w:rsid w:val="0034406C"/>
    <w:rsid w:val="00344857"/>
    <w:rsid w:val="00344DE6"/>
    <w:rsid w:val="0034503D"/>
    <w:rsid w:val="003453B6"/>
    <w:rsid w:val="00345A0B"/>
    <w:rsid w:val="00345CD5"/>
    <w:rsid w:val="003468F6"/>
    <w:rsid w:val="00346D3D"/>
    <w:rsid w:val="003475C2"/>
    <w:rsid w:val="00347E8B"/>
    <w:rsid w:val="00350747"/>
    <w:rsid w:val="00351058"/>
    <w:rsid w:val="003512E5"/>
    <w:rsid w:val="00351FA5"/>
    <w:rsid w:val="00352088"/>
    <w:rsid w:val="00352441"/>
    <w:rsid w:val="003524A5"/>
    <w:rsid w:val="00352520"/>
    <w:rsid w:val="00352605"/>
    <w:rsid w:val="00352CDE"/>
    <w:rsid w:val="003537FB"/>
    <w:rsid w:val="00354D6A"/>
    <w:rsid w:val="0035581B"/>
    <w:rsid w:val="00355E15"/>
    <w:rsid w:val="00356108"/>
    <w:rsid w:val="0035611C"/>
    <w:rsid w:val="003567B9"/>
    <w:rsid w:val="00356F49"/>
    <w:rsid w:val="003609D9"/>
    <w:rsid w:val="003618B4"/>
    <w:rsid w:val="00362AF5"/>
    <w:rsid w:val="00362E5F"/>
    <w:rsid w:val="00362ECF"/>
    <w:rsid w:val="003632DA"/>
    <w:rsid w:val="003637BA"/>
    <w:rsid w:val="003641A4"/>
    <w:rsid w:val="00364BFC"/>
    <w:rsid w:val="00364FA3"/>
    <w:rsid w:val="0036505B"/>
    <w:rsid w:val="0036556E"/>
    <w:rsid w:val="003663EB"/>
    <w:rsid w:val="00366DFB"/>
    <w:rsid w:val="00366E41"/>
    <w:rsid w:val="0036732C"/>
    <w:rsid w:val="003675C3"/>
    <w:rsid w:val="00370809"/>
    <w:rsid w:val="00370B4F"/>
    <w:rsid w:val="0037107C"/>
    <w:rsid w:val="003712CC"/>
    <w:rsid w:val="00371FB4"/>
    <w:rsid w:val="00371FCF"/>
    <w:rsid w:val="0037207E"/>
    <w:rsid w:val="0037223D"/>
    <w:rsid w:val="0037253B"/>
    <w:rsid w:val="00372606"/>
    <w:rsid w:val="0037284F"/>
    <w:rsid w:val="00372A43"/>
    <w:rsid w:val="00372CF5"/>
    <w:rsid w:val="003730CC"/>
    <w:rsid w:val="00373501"/>
    <w:rsid w:val="003743CF"/>
    <w:rsid w:val="00374C4A"/>
    <w:rsid w:val="00374E71"/>
    <w:rsid w:val="003752B3"/>
    <w:rsid w:val="00375355"/>
    <w:rsid w:val="00375CD1"/>
    <w:rsid w:val="0037626B"/>
    <w:rsid w:val="003769A7"/>
    <w:rsid w:val="00377827"/>
    <w:rsid w:val="00377EF2"/>
    <w:rsid w:val="003808AB"/>
    <w:rsid w:val="00381443"/>
    <w:rsid w:val="00382100"/>
    <w:rsid w:val="0038217A"/>
    <w:rsid w:val="0038231F"/>
    <w:rsid w:val="003823CE"/>
    <w:rsid w:val="00383FB8"/>
    <w:rsid w:val="003841DB"/>
    <w:rsid w:val="0038456A"/>
    <w:rsid w:val="00384D41"/>
    <w:rsid w:val="00384E58"/>
    <w:rsid w:val="003862D9"/>
    <w:rsid w:val="00386DCD"/>
    <w:rsid w:val="003873A0"/>
    <w:rsid w:val="00387765"/>
    <w:rsid w:val="0038793A"/>
    <w:rsid w:val="00390285"/>
    <w:rsid w:val="003912D2"/>
    <w:rsid w:val="00391BC5"/>
    <w:rsid w:val="00392846"/>
    <w:rsid w:val="0039312D"/>
    <w:rsid w:val="00393C00"/>
    <w:rsid w:val="00394186"/>
    <w:rsid w:val="003942D7"/>
    <w:rsid w:val="00394B1D"/>
    <w:rsid w:val="00394B8A"/>
    <w:rsid w:val="00395354"/>
    <w:rsid w:val="0039642D"/>
    <w:rsid w:val="00396A21"/>
    <w:rsid w:val="00396FE1"/>
    <w:rsid w:val="0039707B"/>
    <w:rsid w:val="0039776B"/>
    <w:rsid w:val="0039777A"/>
    <w:rsid w:val="003A05B4"/>
    <w:rsid w:val="003A0BEE"/>
    <w:rsid w:val="003A1544"/>
    <w:rsid w:val="003A1CCB"/>
    <w:rsid w:val="003A1F8A"/>
    <w:rsid w:val="003A341B"/>
    <w:rsid w:val="003A348D"/>
    <w:rsid w:val="003A43E0"/>
    <w:rsid w:val="003A49D7"/>
    <w:rsid w:val="003A4B1A"/>
    <w:rsid w:val="003A4D54"/>
    <w:rsid w:val="003A5196"/>
    <w:rsid w:val="003A61EC"/>
    <w:rsid w:val="003A6D6E"/>
    <w:rsid w:val="003A75E1"/>
    <w:rsid w:val="003A7969"/>
    <w:rsid w:val="003B19C9"/>
    <w:rsid w:val="003B1BCB"/>
    <w:rsid w:val="003B1C22"/>
    <w:rsid w:val="003B1CD5"/>
    <w:rsid w:val="003B1E1E"/>
    <w:rsid w:val="003B22C9"/>
    <w:rsid w:val="003B28CF"/>
    <w:rsid w:val="003B3C41"/>
    <w:rsid w:val="003B41DB"/>
    <w:rsid w:val="003B490D"/>
    <w:rsid w:val="003B4A60"/>
    <w:rsid w:val="003B5279"/>
    <w:rsid w:val="003B585C"/>
    <w:rsid w:val="003B5935"/>
    <w:rsid w:val="003B5B5B"/>
    <w:rsid w:val="003B732F"/>
    <w:rsid w:val="003B77CB"/>
    <w:rsid w:val="003B79E1"/>
    <w:rsid w:val="003C2026"/>
    <w:rsid w:val="003C22F7"/>
    <w:rsid w:val="003C27A5"/>
    <w:rsid w:val="003C3655"/>
    <w:rsid w:val="003C3C81"/>
    <w:rsid w:val="003C4042"/>
    <w:rsid w:val="003C414A"/>
    <w:rsid w:val="003C4B0B"/>
    <w:rsid w:val="003C4E62"/>
    <w:rsid w:val="003C5005"/>
    <w:rsid w:val="003C5E30"/>
    <w:rsid w:val="003C5E6A"/>
    <w:rsid w:val="003C6B5F"/>
    <w:rsid w:val="003C6F5A"/>
    <w:rsid w:val="003C718E"/>
    <w:rsid w:val="003C7696"/>
    <w:rsid w:val="003C7B2F"/>
    <w:rsid w:val="003D12A0"/>
    <w:rsid w:val="003D1904"/>
    <w:rsid w:val="003D19F7"/>
    <w:rsid w:val="003D1F05"/>
    <w:rsid w:val="003D1FD1"/>
    <w:rsid w:val="003D2C18"/>
    <w:rsid w:val="003D2DBC"/>
    <w:rsid w:val="003D55FB"/>
    <w:rsid w:val="003E02B1"/>
    <w:rsid w:val="003E0E02"/>
    <w:rsid w:val="003E1159"/>
    <w:rsid w:val="003E1175"/>
    <w:rsid w:val="003E12C1"/>
    <w:rsid w:val="003E179A"/>
    <w:rsid w:val="003E1B9E"/>
    <w:rsid w:val="003E2FDF"/>
    <w:rsid w:val="003E3C22"/>
    <w:rsid w:val="003E3DD5"/>
    <w:rsid w:val="003E4B01"/>
    <w:rsid w:val="003E503E"/>
    <w:rsid w:val="003E54A6"/>
    <w:rsid w:val="003E6254"/>
    <w:rsid w:val="003E6619"/>
    <w:rsid w:val="003E706F"/>
    <w:rsid w:val="003E7408"/>
    <w:rsid w:val="003E7554"/>
    <w:rsid w:val="003E75BA"/>
    <w:rsid w:val="003E7998"/>
    <w:rsid w:val="003E7A8B"/>
    <w:rsid w:val="003E7C5D"/>
    <w:rsid w:val="003E7DB8"/>
    <w:rsid w:val="003E7F55"/>
    <w:rsid w:val="003F021E"/>
    <w:rsid w:val="003F088A"/>
    <w:rsid w:val="003F14CD"/>
    <w:rsid w:val="003F1727"/>
    <w:rsid w:val="003F17B3"/>
    <w:rsid w:val="003F1A50"/>
    <w:rsid w:val="003F1BF8"/>
    <w:rsid w:val="003F2249"/>
    <w:rsid w:val="003F2744"/>
    <w:rsid w:val="003F2840"/>
    <w:rsid w:val="003F2A1D"/>
    <w:rsid w:val="003F3016"/>
    <w:rsid w:val="003F3A57"/>
    <w:rsid w:val="003F3D15"/>
    <w:rsid w:val="003F44E5"/>
    <w:rsid w:val="003F45EF"/>
    <w:rsid w:val="003F4F9F"/>
    <w:rsid w:val="003F51B7"/>
    <w:rsid w:val="003F55DB"/>
    <w:rsid w:val="003F5C65"/>
    <w:rsid w:val="003F6BCD"/>
    <w:rsid w:val="003F6D9D"/>
    <w:rsid w:val="003F7001"/>
    <w:rsid w:val="003F7397"/>
    <w:rsid w:val="003F7DFB"/>
    <w:rsid w:val="003F7F49"/>
    <w:rsid w:val="004004EE"/>
    <w:rsid w:val="00400742"/>
    <w:rsid w:val="0040119C"/>
    <w:rsid w:val="004012D9"/>
    <w:rsid w:val="004012DA"/>
    <w:rsid w:val="00401983"/>
    <w:rsid w:val="00401AD4"/>
    <w:rsid w:val="00401C7D"/>
    <w:rsid w:val="00401DE8"/>
    <w:rsid w:val="0040223D"/>
    <w:rsid w:val="00402ABD"/>
    <w:rsid w:val="00402ECC"/>
    <w:rsid w:val="004032BA"/>
    <w:rsid w:val="00403577"/>
    <w:rsid w:val="0040371A"/>
    <w:rsid w:val="00403BA3"/>
    <w:rsid w:val="00403C78"/>
    <w:rsid w:val="00404098"/>
    <w:rsid w:val="00404755"/>
    <w:rsid w:val="00404F7A"/>
    <w:rsid w:val="0040523D"/>
    <w:rsid w:val="004053D5"/>
    <w:rsid w:val="0040627E"/>
    <w:rsid w:val="004066B6"/>
    <w:rsid w:val="0040715D"/>
    <w:rsid w:val="00407183"/>
    <w:rsid w:val="00407682"/>
    <w:rsid w:val="00407E91"/>
    <w:rsid w:val="00407EF5"/>
    <w:rsid w:val="00407F6C"/>
    <w:rsid w:val="00407F74"/>
    <w:rsid w:val="00410E5D"/>
    <w:rsid w:val="00410E90"/>
    <w:rsid w:val="00411178"/>
    <w:rsid w:val="00411526"/>
    <w:rsid w:val="00412CD9"/>
    <w:rsid w:val="00413B42"/>
    <w:rsid w:val="0041423E"/>
    <w:rsid w:val="00414417"/>
    <w:rsid w:val="00414BAC"/>
    <w:rsid w:val="00414CB2"/>
    <w:rsid w:val="00414F28"/>
    <w:rsid w:val="00416108"/>
    <w:rsid w:val="0041651B"/>
    <w:rsid w:val="00416BCE"/>
    <w:rsid w:val="004202A8"/>
    <w:rsid w:val="00420AD1"/>
    <w:rsid w:val="0042125E"/>
    <w:rsid w:val="00421318"/>
    <w:rsid w:val="004213A2"/>
    <w:rsid w:val="00421EC4"/>
    <w:rsid w:val="00422053"/>
    <w:rsid w:val="0042237A"/>
    <w:rsid w:val="0042298D"/>
    <w:rsid w:val="004229FD"/>
    <w:rsid w:val="00422AD6"/>
    <w:rsid w:val="00422FFD"/>
    <w:rsid w:val="00423304"/>
    <w:rsid w:val="00423860"/>
    <w:rsid w:val="00423D71"/>
    <w:rsid w:val="004242F9"/>
    <w:rsid w:val="00424322"/>
    <w:rsid w:val="004245C8"/>
    <w:rsid w:val="004249AC"/>
    <w:rsid w:val="00424CEC"/>
    <w:rsid w:val="00425E8C"/>
    <w:rsid w:val="004262E7"/>
    <w:rsid w:val="004264A2"/>
    <w:rsid w:val="00426706"/>
    <w:rsid w:val="004267CE"/>
    <w:rsid w:val="004268FD"/>
    <w:rsid w:val="00426A08"/>
    <w:rsid w:val="00427186"/>
    <w:rsid w:val="00427213"/>
    <w:rsid w:val="004274ED"/>
    <w:rsid w:val="004276DD"/>
    <w:rsid w:val="004279DD"/>
    <w:rsid w:val="00427B51"/>
    <w:rsid w:val="00427B6B"/>
    <w:rsid w:val="00427EFF"/>
    <w:rsid w:val="004306CF"/>
    <w:rsid w:val="00430AB1"/>
    <w:rsid w:val="0043110D"/>
    <w:rsid w:val="00431F16"/>
    <w:rsid w:val="0043223E"/>
    <w:rsid w:val="00432A10"/>
    <w:rsid w:val="00432AE9"/>
    <w:rsid w:val="0043315F"/>
    <w:rsid w:val="0043317E"/>
    <w:rsid w:val="0043318B"/>
    <w:rsid w:val="004335F6"/>
    <w:rsid w:val="00433D4A"/>
    <w:rsid w:val="004343FA"/>
    <w:rsid w:val="00435143"/>
    <w:rsid w:val="0043538E"/>
    <w:rsid w:val="00435424"/>
    <w:rsid w:val="00435931"/>
    <w:rsid w:val="00436184"/>
    <w:rsid w:val="00436C67"/>
    <w:rsid w:val="004401CA"/>
    <w:rsid w:val="004409B4"/>
    <w:rsid w:val="00440D8E"/>
    <w:rsid w:val="004411B8"/>
    <w:rsid w:val="00441882"/>
    <w:rsid w:val="004418CA"/>
    <w:rsid w:val="00442909"/>
    <w:rsid w:val="00443104"/>
    <w:rsid w:val="00443597"/>
    <w:rsid w:val="0044379E"/>
    <w:rsid w:val="00444066"/>
    <w:rsid w:val="004443ED"/>
    <w:rsid w:val="00444508"/>
    <w:rsid w:val="00444D96"/>
    <w:rsid w:val="00444E80"/>
    <w:rsid w:val="0044567B"/>
    <w:rsid w:val="00445B21"/>
    <w:rsid w:val="004469F3"/>
    <w:rsid w:val="004470C1"/>
    <w:rsid w:val="004470F1"/>
    <w:rsid w:val="00447720"/>
    <w:rsid w:val="00450440"/>
    <w:rsid w:val="0045077E"/>
    <w:rsid w:val="004507F8"/>
    <w:rsid w:val="004519FB"/>
    <w:rsid w:val="00451D43"/>
    <w:rsid w:val="00451EE4"/>
    <w:rsid w:val="00451F1E"/>
    <w:rsid w:val="00452412"/>
    <w:rsid w:val="00452587"/>
    <w:rsid w:val="00452593"/>
    <w:rsid w:val="00452A40"/>
    <w:rsid w:val="00452F3A"/>
    <w:rsid w:val="00453004"/>
    <w:rsid w:val="004530CA"/>
    <w:rsid w:val="00453DE1"/>
    <w:rsid w:val="004545D6"/>
    <w:rsid w:val="00454668"/>
    <w:rsid w:val="004546B7"/>
    <w:rsid w:val="00454901"/>
    <w:rsid w:val="004555F7"/>
    <w:rsid w:val="00455779"/>
    <w:rsid w:val="00455B9E"/>
    <w:rsid w:val="0045621B"/>
    <w:rsid w:val="004578FF"/>
    <w:rsid w:val="00457C08"/>
    <w:rsid w:val="004604B7"/>
    <w:rsid w:val="00460A87"/>
    <w:rsid w:val="00460F78"/>
    <w:rsid w:val="00461369"/>
    <w:rsid w:val="004614BC"/>
    <w:rsid w:val="004615AA"/>
    <w:rsid w:val="00461A51"/>
    <w:rsid w:val="00462F75"/>
    <w:rsid w:val="00463549"/>
    <w:rsid w:val="00463666"/>
    <w:rsid w:val="00463F3E"/>
    <w:rsid w:val="00464339"/>
    <w:rsid w:val="00464443"/>
    <w:rsid w:val="0046563C"/>
    <w:rsid w:val="004660D4"/>
    <w:rsid w:val="0046659D"/>
    <w:rsid w:val="004675EC"/>
    <w:rsid w:val="00467B8E"/>
    <w:rsid w:val="00467F54"/>
    <w:rsid w:val="00471B86"/>
    <w:rsid w:val="00472100"/>
    <w:rsid w:val="00472659"/>
    <w:rsid w:val="00472861"/>
    <w:rsid w:val="00472E00"/>
    <w:rsid w:val="00472ED2"/>
    <w:rsid w:val="004732E7"/>
    <w:rsid w:val="00473C6A"/>
    <w:rsid w:val="004745F2"/>
    <w:rsid w:val="00474754"/>
    <w:rsid w:val="00475160"/>
    <w:rsid w:val="00475A8A"/>
    <w:rsid w:val="00476F32"/>
    <w:rsid w:val="00477A36"/>
    <w:rsid w:val="00477E84"/>
    <w:rsid w:val="00482012"/>
    <w:rsid w:val="004820C1"/>
    <w:rsid w:val="00482C6F"/>
    <w:rsid w:val="00484A1A"/>
    <w:rsid w:val="00484D03"/>
    <w:rsid w:val="00485297"/>
    <w:rsid w:val="00485655"/>
    <w:rsid w:val="00485C9B"/>
    <w:rsid w:val="00486452"/>
    <w:rsid w:val="00486F74"/>
    <w:rsid w:val="00487C43"/>
    <w:rsid w:val="00490443"/>
    <w:rsid w:val="004908FA"/>
    <w:rsid w:val="0049128F"/>
    <w:rsid w:val="004916D9"/>
    <w:rsid w:val="00492E12"/>
    <w:rsid w:val="004933D3"/>
    <w:rsid w:val="00494169"/>
    <w:rsid w:val="004947D8"/>
    <w:rsid w:val="00495A06"/>
    <w:rsid w:val="00496418"/>
    <w:rsid w:val="004967D1"/>
    <w:rsid w:val="00496A72"/>
    <w:rsid w:val="00496A7F"/>
    <w:rsid w:val="00496E7E"/>
    <w:rsid w:val="00497185"/>
    <w:rsid w:val="004971DA"/>
    <w:rsid w:val="0049774D"/>
    <w:rsid w:val="004A0BD3"/>
    <w:rsid w:val="004A0C76"/>
    <w:rsid w:val="004A1B2C"/>
    <w:rsid w:val="004A285C"/>
    <w:rsid w:val="004A30FB"/>
    <w:rsid w:val="004A356E"/>
    <w:rsid w:val="004A3CE9"/>
    <w:rsid w:val="004A3E30"/>
    <w:rsid w:val="004A44D6"/>
    <w:rsid w:val="004A5D9D"/>
    <w:rsid w:val="004A5DFE"/>
    <w:rsid w:val="004A6006"/>
    <w:rsid w:val="004A6ED7"/>
    <w:rsid w:val="004A704A"/>
    <w:rsid w:val="004A7C75"/>
    <w:rsid w:val="004B0201"/>
    <w:rsid w:val="004B0F1C"/>
    <w:rsid w:val="004B1DF0"/>
    <w:rsid w:val="004B23D7"/>
    <w:rsid w:val="004B2A00"/>
    <w:rsid w:val="004B2DFA"/>
    <w:rsid w:val="004B391B"/>
    <w:rsid w:val="004B4238"/>
    <w:rsid w:val="004B4FF6"/>
    <w:rsid w:val="004B5172"/>
    <w:rsid w:val="004B51A1"/>
    <w:rsid w:val="004B5A5E"/>
    <w:rsid w:val="004B5FC6"/>
    <w:rsid w:val="004B6182"/>
    <w:rsid w:val="004B61E4"/>
    <w:rsid w:val="004B67DD"/>
    <w:rsid w:val="004B6A1A"/>
    <w:rsid w:val="004B6F89"/>
    <w:rsid w:val="004B7778"/>
    <w:rsid w:val="004B7781"/>
    <w:rsid w:val="004B7E1A"/>
    <w:rsid w:val="004C07A8"/>
    <w:rsid w:val="004C124F"/>
    <w:rsid w:val="004C14C6"/>
    <w:rsid w:val="004C1604"/>
    <w:rsid w:val="004C209E"/>
    <w:rsid w:val="004C22DC"/>
    <w:rsid w:val="004C3484"/>
    <w:rsid w:val="004C353B"/>
    <w:rsid w:val="004C430F"/>
    <w:rsid w:val="004C47FE"/>
    <w:rsid w:val="004C480F"/>
    <w:rsid w:val="004C5223"/>
    <w:rsid w:val="004C5767"/>
    <w:rsid w:val="004C5AF3"/>
    <w:rsid w:val="004C5B22"/>
    <w:rsid w:val="004C5B5A"/>
    <w:rsid w:val="004C5FB0"/>
    <w:rsid w:val="004C5FC2"/>
    <w:rsid w:val="004C6B2A"/>
    <w:rsid w:val="004C7134"/>
    <w:rsid w:val="004C751B"/>
    <w:rsid w:val="004C7A36"/>
    <w:rsid w:val="004C7FEE"/>
    <w:rsid w:val="004C7FFA"/>
    <w:rsid w:val="004D17C0"/>
    <w:rsid w:val="004D1962"/>
    <w:rsid w:val="004D19EE"/>
    <w:rsid w:val="004D2C19"/>
    <w:rsid w:val="004D2DBD"/>
    <w:rsid w:val="004D2F07"/>
    <w:rsid w:val="004D341C"/>
    <w:rsid w:val="004D45FA"/>
    <w:rsid w:val="004D4BA0"/>
    <w:rsid w:val="004D4D66"/>
    <w:rsid w:val="004D4F07"/>
    <w:rsid w:val="004D4F4F"/>
    <w:rsid w:val="004D536C"/>
    <w:rsid w:val="004D56A7"/>
    <w:rsid w:val="004D6DEE"/>
    <w:rsid w:val="004D6DF5"/>
    <w:rsid w:val="004D70C0"/>
    <w:rsid w:val="004D7433"/>
    <w:rsid w:val="004D793B"/>
    <w:rsid w:val="004E0D46"/>
    <w:rsid w:val="004E1711"/>
    <w:rsid w:val="004E1E54"/>
    <w:rsid w:val="004E2582"/>
    <w:rsid w:val="004E31D1"/>
    <w:rsid w:val="004E4683"/>
    <w:rsid w:val="004E54AE"/>
    <w:rsid w:val="004E5D19"/>
    <w:rsid w:val="004E60BD"/>
    <w:rsid w:val="004E79B1"/>
    <w:rsid w:val="004F06E7"/>
    <w:rsid w:val="004F07D6"/>
    <w:rsid w:val="004F0860"/>
    <w:rsid w:val="004F165E"/>
    <w:rsid w:val="004F1C24"/>
    <w:rsid w:val="004F25D9"/>
    <w:rsid w:val="004F2AD5"/>
    <w:rsid w:val="004F2C05"/>
    <w:rsid w:val="004F2C93"/>
    <w:rsid w:val="004F3CE8"/>
    <w:rsid w:val="004F3FBE"/>
    <w:rsid w:val="004F49E8"/>
    <w:rsid w:val="004F4C6E"/>
    <w:rsid w:val="004F51D5"/>
    <w:rsid w:val="004F5A9B"/>
    <w:rsid w:val="004F5AF6"/>
    <w:rsid w:val="004F7B23"/>
    <w:rsid w:val="0050040D"/>
    <w:rsid w:val="005008EB"/>
    <w:rsid w:val="00501BF1"/>
    <w:rsid w:val="00501E0D"/>
    <w:rsid w:val="00501FE0"/>
    <w:rsid w:val="00503C66"/>
    <w:rsid w:val="00504994"/>
    <w:rsid w:val="00505082"/>
    <w:rsid w:val="00506E2E"/>
    <w:rsid w:val="005073DC"/>
    <w:rsid w:val="005074D5"/>
    <w:rsid w:val="00507D9E"/>
    <w:rsid w:val="00510618"/>
    <w:rsid w:val="00510B17"/>
    <w:rsid w:val="0051105A"/>
    <w:rsid w:val="00511373"/>
    <w:rsid w:val="00511498"/>
    <w:rsid w:val="00511BD6"/>
    <w:rsid w:val="00511E0E"/>
    <w:rsid w:val="0051282D"/>
    <w:rsid w:val="005129D4"/>
    <w:rsid w:val="00512A59"/>
    <w:rsid w:val="00512C75"/>
    <w:rsid w:val="005135E2"/>
    <w:rsid w:val="0051361E"/>
    <w:rsid w:val="00513C8B"/>
    <w:rsid w:val="0051442D"/>
    <w:rsid w:val="0051444D"/>
    <w:rsid w:val="00515477"/>
    <w:rsid w:val="00515B4D"/>
    <w:rsid w:val="00515F3C"/>
    <w:rsid w:val="00516BDA"/>
    <w:rsid w:val="00516BFF"/>
    <w:rsid w:val="0051715D"/>
    <w:rsid w:val="0051749D"/>
    <w:rsid w:val="00517AD6"/>
    <w:rsid w:val="00517E6D"/>
    <w:rsid w:val="00520EB6"/>
    <w:rsid w:val="005212E4"/>
    <w:rsid w:val="00521AB9"/>
    <w:rsid w:val="0052206F"/>
    <w:rsid w:val="00522BC2"/>
    <w:rsid w:val="0052534C"/>
    <w:rsid w:val="00525450"/>
    <w:rsid w:val="00525E99"/>
    <w:rsid w:val="00526497"/>
    <w:rsid w:val="00526DD3"/>
    <w:rsid w:val="00526E30"/>
    <w:rsid w:val="0052700A"/>
    <w:rsid w:val="00527416"/>
    <w:rsid w:val="005277EA"/>
    <w:rsid w:val="0053096C"/>
    <w:rsid w:val="00530E23"/>
    <w:rsid w:val="00531659"/>
    <w:rsid w:val="005324DD"/>
    <w:rsid w:val="005326BF"/>
    <w:rsid w:val="005326EF"/>
    <w:rsid w:val="005327E8"/>
    <w:rsid w:val="00533889"/>
    <w:rsid w:val="005352F5"/>
    <w:rsid w:val="0053534F"/>
    <w:rsid w:val="005356E9"/>
    <w:rsid w:val="0053596F"/>
    <w:rsid w:val="00535BB3"/>
    <w:rsid w:val="0053796B"/>
    <w:rsid w:val="00537ADB"/>
    <w:rsid w:val="005412E1"/>
    <w:rsid w:val="00541D00"/>
    <w:rsid w:val="00543134"/>
    <w:rsid w:val="0054318A"/>
    <w:rsid w:val="005439C8"/>
    <w:rsid w:val="00543CE3"/>
    <w:rsid w:val="00544B37"/>
    <w:rsid w:val="00544C1D"/>
    <w:rsid w:val="00545FAE"/>
    <w:rsid w:val="00546502"/>
    <w:rsid w:val="0054666C"/>
    <w:rsid w:val="00546F63"/>
    <w:rsid w:val="00547112"/>
    <w:rsid w:val="005476EF"/>
    <w:rsid w:val="005478E4"/>
    <w:rsid w:val="00547A4C"/>
    <w:rsid w:val="00547CE0"/>
    <w:rsid w:val="0055172A"/>
    <w:rsid w:val="005517FF"/>
    <w:rsid w:val="00551877"/>
    <w:rsid w:val="005522BD"/>
    <w:rsid w:val="00553194"/>
    <w:rsid w:val="005531A2"/>
    <w:rsid w:val="0055393D"/>
    <w:rsid w:val="00553DB2"/>
    <w:rsid w:val="0055410B"/>
    <w:rsid w:val="005542D1"/>
    <w:rsid w:val="00554960"/>
    <w:rsid w:val="00554BB6"/>
    <w:rsid w:val="00554FD4"/>
    <w:rsid w:val="00555044"/>
    <w:rsid w:val="005558B7"/>
    <w:rsid w:val="00555E31"/>
    <w:rsid w:val="00555F57"/>
    <w:rsid w:val="00555FC1"/>
    <w:rsid w:val="00556032"/>
    <w:rsid w:val="00556345"/>
    <w:rsid w:val="0055649E"/>
    <w:rsid w:val="00557311"/>
    <w:rsid w:val="00557829"/>
    <w:rsid w:val="00557BA2"/>
    <w:rsid w:val="005603F5"/>
    <w:rsid w:val="00560D0B"/>
    <w:rsid w:val="00561167"/>
    <w:rsid w:val="005617AF"/>
    <w:rsid w:val="00561A0A"/>
    <w:rsid w:val="00562061"/>
    <w:rsid w:val="005622FA"/>
    <w:rsid w:val="005632FD"/>
    <w:rsid w:val="00563A41"/>
    <w:rsid w:val="00564125"/>
    <w:rsid w:val="00565116"/>
    <w:rsid w:val="00565579"/>
    <w:rsid w:val="00565768"/>
    <w:rsid w:val="00565D7A"/>
    <w:rsid w:val="0056698B"/>
    <w:rsid w:val="00566CDA"/>
    <w:rsid w:val="00567431"/>
    <w:rsid w:val="00570397"/>
    <w:rsid w:val="0057067B"/>
    <w:rsid w:val="005707D0"/>
    <w:rsid w:val="0057096D"/>
    <w:rsid w:val="0057159D"/>
    <w:rsid w:val="0057166A"/>
    <w:rsid w:val="00571E44"/>
    <w:rsid w:val="0057258C"/>
    <w:rsid w:val="00572CCA"/>
    <w:rsid w:val="00572E47"/>
    <w:rsid w:val="0057327C"/>
    <w:rsid w:val="00573807"/>
    <w:rsid w:val="005739A8"/>
    <w:rsid w:val="005741E8"/>
    <w:rsid w:val="00575648"/>
    <w:rsid w:val="005765E4"/>
    <w:rsid w:val="0057671C"/>
    <w:rsid w:val="005768EE"/>
    <w:rsid w:val="00576B0A"/>
    <w:rsid w:val="00576DAF"/>
    <w:rsid w:val="00576E29"/>
    <w:rsid w:val="0057704E"/>
    <w:rsid w:val="0057767F"/>
    <w:rsid w:val="00580202"/>
    <w:rsid w:val="005812F9"/>
    <w:rsid w:val="00582091"/>
    <w:rsid w:val="0058240B"/>
    <w:rsid w:val="0058256A"/>
    <w:rsid w:val="00582CFC"/>
    <w:rsid w:val="005831DA"/>
    <w:rsid w:val="005852D5"/>
    <w:rsid w:val="005857D7"/>
    <w:rsid w:val="0058595C"/>
    <w:rsid w:val="00585B06"/>
    <w:rsid w:val="00585C59"/>
    <w:rsid w:val="005869CE"/>
    <w:rsid w:val="00587FBF"/>
    <w:rsid w:val="00590061"/>
    <w:rsid w:val="00590662"/>
    <w:rsid w:val="005907D8"/>
    <w:rsid w:val="005913AE"/>
    <w:rsid w:val="00591B19"/>
    <w:rsid w:val="00592679"/>
    <w:rsid w:val="0059333E"/>
    <w:rsid w:val="00593589"/>
    <w:rsid w:val="00593CA6"/>
    <w:rsid w:val="00594334"/>
    <w:rsid w:val="005944F1"/>
    <w:rsid w:val="00594A40"/>
    <w:rsid w:val="0059556D"/>
    <w:rsid w:val="00595649"/>
    <w:rsid w:val="005958F2"/>
    <w:rsid w:val="00595B1F"/>
    <w:rsid w:val="00595ECE"/>
    <w:rsid w:val="00596706"/>
    <w:rsid w:val="00596C04"/>
    <w:rsid w:val="00596D63"/>
    <w:rsid w:val="0059778C"/>
    <w:rsid w:val="005A0829"/>
    <w:rsid w:val="005A09BB"/>
    <w:rsid w:val="005A0DE9"/>
    <w:rsid w:val="005A0FC8"/>
    <w:rsid w:val="005A2966"/>
    <w:rsid w:val="005A2BD7"/>
    <w:rsid w:val="005A305A"/>
    <w:rsid w:val="005A37E0"/>
    <w:rsid w:val="005A3C14"/>
    <w:rsid w:val="005A4C64"/>
    <w:rsid w:val="005A5021"/>
    <w:rsid w:val="005A5497"/>
    <w:rsid w:val="005A62D3"/>
    <w:rsid w:val="005A6423"/>
    <w:rsid w:val="005A710E"/>
    <w:rsid w:val="005A72D6"/>
    <w:rsid w:val="005A76FA"/>
    <w:rsid w:val="005B03A6"/>
    <w:rsid w:val="005B104C"/>
    <w:rsid w:val="005B19E2"/>
    <w:rsid w:val="005B2827"/>
    <w:rsid w:val="005B2B38"/>
    <w:rsid w:val="005B2E10"/>
    <w:rsid w:val="005B35C1"/>
    <w:rsid w:val="005B3617"/>
    <w:rsid w:val="005B3B07"/>
    <w:rsid w:val="005B4857"/>
    <w:rsid w:val="005B62EA"/>
    <w:rsid w:val="005B6577"/>
    <w:rsid w:val="005B664F"/>
    <w:rsid w:val="005B6812"/>
    <w:rsid w:val="005B69B3"/>
    <w:rsid w:val="005C0493"/>
    <w:rsid w:val="005C05DB"/>
    <w:rsid w:val="005C0A23"/>
    <w:rsid w:val="005C0DCA"/>
    <w:rsid w:val="005C0F59"/>
    <w:rsid w:val="005C0FEA"/>
    <w:rsid w:val="005C1605"/>
    <w:rsid w:val="005C16A7"/>
    <w:rsid w:val="005C1B5F"/>
    <w:rsid w:val="005C1C69"/>
    <w:rsid w:val="005C203A"/>
    <w:rsid w:val="005C235C"/>
    <w:rsid w:val="005C2A41"/>
    <w:rsid w:val="005C2DCC"/>
    <w:rsid w:val="005C4238"/>
    <w:rsid w:val="005C433E"/>
    <w:rsid w:val="005C4B3D"/>
    <w:rsid w:val="005C5494"/>
    <w:rsid w:val="005C5D51"/>
    <w:rsid w:val="005C5EC8"/>
    <w:rsid w:val="005C640D"/>
    <w:rsid w:val="005C72BE"/>
    <w:rsid w:val="005C77B4"/>
    <w:rsid w:val="005C7ABE"/>
    <w:rsid w:val="005D00CA"/>
    <w:rsid w:val="005D01CC"/>
    <w:rsid w:val="005D0F74"/>
    <w:rsid w:val="005D40CB"/>
    <w:rsid w:val="005D5179"/>
    <w:rsid w:val="005D561A"/>
    <w:rsid w:val="005D60FF"/>
    <w:rsid w:val="005D660A"/>
    <w:rsid w:val="005D6C0F"/>
    <w:rsid w:val="005D7B41"/>
    <w:rsid w:val="005D7BD7"/>
    <w:rsid w:val="005E168A"/>
    <w:rsid w:val="005E18F9"/>
    <w:rsid w:val="005E1EEA"/>
    <w:rsid w:val="005E2909"/>
    <w:rsid w:val="005E2C2F"/>
    <w:rsid w:val="005E3148"/>
    <w:rsid w:val="005E3F32"/>
    <w:rsid w:val="005E41EC"/>
    <w:rsid w:val="005E4210"/>
    <w:rsid w:val="005E49A6"/>
    <w:rsid w:val="005E5B4A"/>
    <w:rsid w:val="005E5B60"/>
    <w:rsid w:val="005E60F0"/>
    <w:rsid w:val="005E66AC"/>
    <w:rsid w:val="005E6A42"/>
    <w:rsid w:val="005E772C"/>
    <w:rsid w:val="005E7B56"/>
    <w:rsid w:val="005E7C32"/>
    <w:rsid w:val="005F026B"/>
    <w:rsid w:val="005F03AE"/>
    <w:rsid w:val="005F0F06"/>
    <w:rsid w:val="005F18A6"/>
    <w:rsid w:val="005F20FC"/>
    <w:rsid w:val="005F2551"/>
    <w:rsid w:val="005F2AF4"/>
    <w:rsid w:val="005F2EEC"/>
    <w:rsid w:val="005F3885"/>
    <w:rsid w:val="005F39A5"/>
    <w:rsid w:val="005F42E1"/>
    <w:rsid w:val="005F464F"/>
    <w:rsid w:val="005F4921"/>
    <w:rsid w:val="005F50EB"/>
    <w:rsid w:val="005F5A23"/>
    <w:rsid w:val="005F5C2B"/>
    <w:rsid w:val="005F5D9C"/>
    <w:rsid w:val="005F659A"/>
    <w:rsid w:val="00600239"/>
    <w:rsid w:val="0060271E"/>
    <w:rsid w:val="00602845"/>
    <w:rsid w:val="00602E10"/>
    <w:rsid w:val="00603400"/>
    <w:rsid w:val="00603D45"/>
    <w:rsid w:val="00603D5C"/>
    <w:rsid w:val="006048B5"/>
    <w:rsid w:val="00604E09"/>
    <w:rsid w:val="00605113"/>
    <w:rsid w:val="0060588A"/>
    <w:rsid w:val="00605AEB"/>
    <w:rsid w:val="00605C4B"/>
    <w:rsid w:val="00607373"/>
    <w:rsid w:val="0060779C"/>
    <w:rsid w:val="006102C2"/>
    <w:rsid w:val="006103BE"/>
    <w:rsid w:val="00610D0C"/>
    <w:rsid w:val="006127D1"/>
    <w:rsid w:val="0061363E"/>
    <w:rsid w:val="00613F1C"/>
    <w:rsid w:val="006141A3"/>
    <w:rsid w:val="00614743"/>
    <w:rsid w:val="0061542D"/>
    <w:rsid w:val="00617820"/>
    <w:rsid w:val="006179FC"/>
    <w:rsid w:val="00617AB9"/>
    <w:rsid w:val="00620144"/>
    <w:rsid w:val="006210B8"/>
    <w:rsid w:val="00621557"/>
    <w:rsid w:val="00621A78"/>
    <w:rsid w:val="00621A7E"/>
    <w:rsid w:val="00621ACD"/>
    <w:rsid w:val="00621C56"/>
    <w:rsid w:val="00622AEF"/>
    <w:rsid w:val="0062352A"/>
    <w:rsid w:val="0062358C"/>
    <w:rsid w:val="0062435A"/>
    <w:rsid w:val="006243FA"/>
    <w:rsid w:val="00624B3C"/>
    <w:rsid w:val="0062686F"/>
    <w:rsid w:val="00627344"/>
    <w:rsid w:val="00627A06"/>
    <w:rsid w:val="00627C56"/>
    <w:rsid w:val="00627C5F"/>
    <w:rsid w:val="00627D0D"/>
    <w:rsid w:val="006300E5"/>
    <w:rsid w:val="00630B5C"/>
    <w:rsid w:val="00631B08"/>
    <w:rsid w:val="00631B76"/>
    <w:rsid w:val="00631CF0"/>
    <w:rsid w:val="00631EA6"/>
    <w:rsid w:val="0063272C"/>
    <w:rsid w:val="00632861"/>
    <w:rsid w:val="00632D50"/>
    <w:rsid w:val="0063313F"/>
    <w:rsid w:val="006336FC"/>
    <w:rsid w:val="00633CA0"/>
    <w:rsid w:val="00633F5B"/>
    <w:rsid w:val="006343CE"/>
    <w:rsid w:val="006344C2"/>
    <w:rsid w:val="00635315"/>
    <w:rsid w:val="00635CE8"/>
    <w:rsid w:val="0063701B"/>
    <w:rsid w:val="0063716B"/>
    <w:rsid w:val="0063774B"/>
    <w:rsid w:val="0063792E"/>
    <w:rsid w:val="00637B0C"/>
    <w:rsid w:val="00640258"/>
    <w:rsid w:val="00640690"/>
    <w:rsid w:val="00640F7A"/>
    <w:rsid w:val="00641192"/>
    <w:rsid w:val="006418F1"/>
    <w:rsid w:val="00642B30"/>
    <w:rsid w:val="00642F61"/>
    <w:rsid w:val="00643C3C"/>
    <w:rsid w:val="00644B6C"/>
    <w:rsid w:val="006450AD"/>
    <w:rsid w:val="00646234"/>
    <w:rsid w:val="00646FF6"/>
    <w:rsid w:val="006475B6"/>
    <w:rsid w:val="0064791A"/>
    <w:rsid w:val="006479BF"/>
    <w:rsid w:val="00647DDA"/>
    <w:rsid w:val="00647E79"/>
    <w:rsid w:val="0065049F"/>
    <w:rsid w:val="00650D95"/>
    <w:rsid w:val="00651666"/>
    <w:rsid w:val="00651D2B"/>
    <w:rsid w:val="00651D36"/>
    <w:rsid w:val="00651E20"/>
    <w:rsid w:val="006542B4"/>
    <w:rsid w:val="006553AB"/>
    <w:rsid w:val="00655B95"/>
    <w:rsid w:val="00655C80"/>
    <w:rsid w:val="00655E8A"/>
    <w:rsid w:val="0065672D"/>
    <w:rsid w:val="006567C6"/>
    <w:rsid w:val="00656EF1"/>
    <w:rsid w:val="0065745F"/>
    <w:rsid w:val="006600DC"/>
    <w:rsid w:val="0066031B"/>
    <w:rsid w:val="00660817"/>
    <w:rsid w:val="00660AA5"/>
    <w:rsid w:val="00660C1F"/>
    <w:rsid w:val="00662927"/>
    <w:rsid w:val="006630C0"/>
    <w:rsid w:val="00663EF8"/>
    <w:rsid w:val="006641E4"/>
    <w:rsid w:val="00664A80"/>
    <w:rsid w:val="00664DDB"/>
    <w:rsid w:val="00665673"/>
    <w:rsid w:val="00665777"/>
    <w:rsid w:val="00665BC3"/>
    <w:rsid w:val="00666442"/>
    <w:rsid w:val="00667A02"/>
    <w:rsid w:val="0067058D"/>
    <w:rsid w:val="0067079F"/>
    <w:rsid w:val="00670980"/>
    <w:rsid w:val="00670C9E"/>
    <w:rsid w:val="00671039"/>
    <w:rsid w:val="0067174F"/>
    <w:rsid w:val="006717EE"/>
    <w:rsid w:val="006720AE"/>
    <w:rsid w:val="00672917"/>
    <w:rsid w:val="00673379"/>
    <w:rsid w:val="00673FEC"/>
    <w:rsid w:val="006740A2"/>
    <w:rsid w:val="006743D4"/>
    <w:rsid w:val="006744C8"/>
    <w:rsid w:val="00674E67"/>
    <w:rsid w:val="00675D5B"/>
    <w:rsid w:val="00675FAF"/>
    <w:rsid w:val="006761C5"/>
    <w:rsid w:val="0067665B"/>
    <w:rsid w:val="0067665D"/>
    <w:rsid w:val="0067673F"/>
    <w:rsid w:val="0067750B"/>
    <w:rsid w:val="0068058C"/>
    <w:rsid w:val="00680976"/>
    <w:rsid w:val="00680E84"/>
    <w:rsid w:val="00680F3E"/>
    <w:rsid w:val="006811F8"/>
    <w:rsid w:val="006813D4"/>
    <w:rsid w:val="006819AF"/>
    <w:rsid w:val="00681C89"/>
    <w:rsid w:val="00682708"/>
    <w:rsid w:val="0068323B"/>
    <w:rsid w:val="006839C2"/>
    <w:rsid w:val="00683F6A"/>
    <w:rsid w:val="00684A68"/>
    <w:rsid w:val="006854F7"/>
    <w:rsid w:val="00685580"/>
    <w:rsid w:val="006867F6"/>
    <w:rsid w:val="00687131"/>
    <w:rsid w:val="0069020A"/>
    <w:rsid w:val="00690824"/>
    <w:rsid w:val="006909CE"/>
    <w:rsid w:val="006916F1"/>
    <w:rsid w:val="0069252F"/>
    <w:rsid w:val="00692C9B"/>
    <w:rsid w:val="00693568"/>
    <w:rsid w:val="00693AD8"/>
    <w:rsid w:val="00693F01"/>
    <w:rsid w:val="00693F24"/>
    <w:rsid w:val="00694406"/>
    <w:rsid w:val="00694FF9"/>
    <w:rsid w:val="0069563C"/>
    <w:rsid w:val="00696467"/>
    <w:rsid w:val="0069687F"/>
    <w:rsid w:val="00696C70"/>
    <w:rsid w:val="00697157"/>
    <w:rsid w:val="006971E3"/>
    <w:rsid w:val="006976AE"/>
    <w:rsid w:val="006A0197"/>
    <w:rsid w:val="006A1CE8"/>
    <w:rsid w:val="006A2166"/>
    <w:rsid w:val="006A27B0"/>
    <w:rsid w:val="006A31CA"/>
    <w:rsid w:val="006A3CD8"/>
    <w:rsid w:val="006A3F0E"/>
    <w:rsid w:val="006A436F"/>
    <w:rsid w:val="006A4B31"/>
    <w:rsid w:val="006A4EE4"/>
    <w:rsid w:val="006A6C1B"/>
    <w:rsid w:val="006A7338"/>
    <w:rsid w:val="006A740A"/>
    <w:rsid w:val="006A7AED"/>
    <w:rsid w:val="006A7BB6"/>
    <w:rsid w:val="006A7CE4"/>
    <w:rsid w:val="006B04CB"/>
    <w:rsid w:val="006B0D48"/>
    <w:rsid w:val="006B0F34"/>
    <w:rsid w:val="006B1292"/>
    <w:rsid w:val="006B176D"/>
    <w:rsid w:val="006B1B63"/>
    <w:rsid w:val="006B234D"/>
    <w:rsid w:val="006B2646"/>
    <w:rsid w:val="006B2A4E"/>
    <w:rsid w:val="006B2BD6"/>
    <w:rsid w:val="006B2C17"/>
    <w:rsid w:val="006B2EF7"/>
    <w:rsid w:val="006B39E9"/>
    <w:rsid w:val="006B3B7D"/>
    <w:rsid w:val="006B46F2"/>
    <w:rsid w:val="006B5152"/>
    <w:rsid w:val="006B5442"/>
    <w:rsid w:val="006B5BC7"/>
    <w:rsid w:val="006B5F7E"/>
    <w:rsid w:val="006B6604"/>
    <w:rsid w:val="006B6D97"/>
    <w:rsid w:val="006B71E3"/>
    <w:rsid w:val="006B73BD"/>
    <w:rsid w:val="006B73CF"/>
    <w:rsid w:val="006B7F60"/>
    <w:rsid w:val="006C0EE8"/>
    <w:rsid w:val="006C181F"/>
    <w:rsid w:val="006C1849"/>
    <w:rsid w:val="006C1B75"/>
    <w:rsid w:val="006C202E"/>
    <w:rsid w:val="006C2101"/>
    <w:rsid w:val="006C25B5"/>
    <w:rsid w:val="006C26D7"/>
    <w:rsid w:val="006C3547"/>
    <w:rsid w:val="006C3D50"/>
    <w:rsid w:val="006C486E"/>
    <w:rsid w:val="006C5181"/>
    <w:rsid w:val="006C53BC"/>
    <w:rsid w:val="006C5433"/>
    <w:rsid w:val="006C585A"/>
    <w:rsid w:val="006C621B"/>
    <w:rsid w:val="006C6597"/>
    <w:rsid w:val="006C75D4"/>
    <w:rsid w:val="006C7877"/>
    <w:rsid w:val="006C7A96"/>
    <w:rsid w:val="006C7B29"/>
    <w:rsid w:val="006C7C6C"/>
    <w:rsid w:val="006D028D"/>
    <w:rsid w:val="006D058B"/>
    <w:rsid w:val="006D120C"/>
    <w:rsid w:val="006D1373"/>
    <w:rsid w:val="006D1555"/>
    <w:rsid w:val="006D180E"/>
    <w:rsid w:val="006D1BD8"/>
    <w:rsid w:val="006D30E0"/>
    <w:rsid w:val="006D322C"/>
    <w:rsid w:val="006D3BF3"/>
    <w:rsid w:val="006D3FA4"/>
    <w:rsid w:val="006D427A"/>
    <w:rsid w:val="006D4566"/>
    <w:rsid w:val="006D50BD"/>
    <w:rsid w:val="006D53A0"/>
    <w:rsid w:val="006D5CCE"/>
    <w:rsid w:val="006D62C0"/>
    <w:rsid w:val="006D63CA"/>
    <w:rsid w:val="006D72DB"/>
    <w:rsid w:val="006E0122"/>
    <w:rsid w:val="006E074D"/>
    <w:rsid w:val="006E07FE"/>
    <w:rsid w:val="006E0BB4"/>
    <w:rsid w:val="006E0E0C"/>
    <w:rsid w:val="006E1CA1"/>
    <w:rsid w:val="006E1EFC"/>
    <w:rsid w:val="006E2CB7"/>
    <w:rsid w:val="006E31EA"/>
    <w:rsid w:val="006E39B1"/>
    <w:rsid w:val="006E4896"/>
    <w:rsid w:val="006E5A26"/>
    <w:rsid w:val="006E5F71"/>
    <w:rsid w:val="006E6494"/>
    <w:rsid w:val="006E77BC"/>
    <w:rsid w:val="006E7DF8"/>
    <w:rsid w:val="006F0C57"/>
    <w:rsid w:val="006F1800"/>
    <w:rsid w:val="006F189D"/>
    <w:rsid w:val="006F1D1B"/>
    <w:rsid w:val="006F2643"/>
    <w:rsid w:val="006F2E79"/>
    <w:rsid w:val="006F31E7"/>
    <w:rsid w:val="006F4911"/>
    <w:rsid w:val="006F500C"/>
    <w:rsid w:val="006F66F2"/>
    <w:rsid w:val="006F6740"/>
    <w:rsid w:val="006F687C"/>
    <w:rsid w:val="006F6B4D"/>
    <w:rsid w:val="006F7039"/>
    <w:rsid w:val="006F77A0"/>
    <w:rsid w:val="006F7911"/>
    <w:rsid w:val="0070011B"/>
    <w:rsid w:val="007003FE"/>
    <w:rsid w:val="00700502"/>
    <w:rsid w:val="0070069C"/>
    <w:rsid w:val="00700FD5"/>
    <w:rsid w:val="007014AF"/>
    <w:rsid w:val="00701830"/>
    <w:rsid w:val="00701DD1"/>
    <w:rsid w:val="00701E1A"/>
    <w:rsid w:val="00701E1E"/>
    <w:rsid w:val="00701F08"/>
    <w:rsid w:val="00702CB5"/>
    <w:rsid w:val="0070310B"/>
    <w:rsid w:val="00703709"/>
    <w:rsid w:val="0070381E"/>
    <w:rsid w:val="00703B44"/>
    <w:rsid w:val="00704995"/>
    <w:rsid w:val="00704F1C"/>
    <w:rsid w:val="007058D2"/>
    <w:rsid w:val="00706508"/>
    <w:rsid w:val="00706BC1"/>
    <w:rsid w:val="00707255"/>
    <w:rsid w:val="0070731E"/>
    <w:rsid w:val="007073DF"/>
    <w:rsid w:val="00710571"/>
    <w:rsid w:val="007106CF"/>
    <w:rsid w:val="007108F2"/>
    <w:rsid w:val="00710B94"/>
    <w:rsid w:val="00710C82"/>
    <w:rsid w:val="007111CB"/>
    <w:rsid w:val="007111DF"/>
    <w:rsid w:val="00711D5E"/>
    <w:rsid w:val="007126D7"/>
    <w:rsid w:val="00712706"/>
    <w:rsid w:val="00712B8C"/>
    <w:rsid w:val="00713C2B"/>
    <w:rsid w:val="0071432B"/>
    <w:rsid w:val="00714EF6"/>
    <w:rsid w:val="007152DF"/>
    <w:rsid w:val="00715DA0"/>
    <w:rsid w:val="00716CE1"/>
    <w:rsid w:val="007177CA"/>
    <w:rsid w:val="00717868"/>
    <w:rsid w:val="00717A77"/>
    <w:rsid w:val="00717FD5"/>
    <w:rsid w:val="007201E4"/>
    <w:rsid w:val="00720573"/>
    <w:rsid w:val="007207BB"/>
    <w:rsid w:val="007213F8"/>
    <w:rsid w:val="00721472"/>
    <w:rsid w:val="00722835"/>
    <w:rsid w:val="00722EBF"/>
    <w:rsid w:val="00722F3D"/>
    <w:rsid w:val="00722F83"/>
    <w:rsid w:val="007234C8"/>
    <w:rsid w:val="00723EE7"/>
    <w:rsid w:val="00723F60"/>
    <w:rsid w:val="007241EB"/>
    <w:rsid w:val="00724377"/>
    <w:rsid w:val="007249CD"/>
    <w:rsid w:val="00724DDB"/>
    <w:rsid w:val="0072505B"/>
    <w:rsid w:val="00726CF5"/>
    <w:rsid w:val="0072781F"/>
    <w:rsid w:val="00727898"/>
    <w:rsid w:val="007279CD"/>
    <w:rsid w:val="00730E09"/>
    <w:rsid w:val="007316EC"/>
    <w:rsid w:val="00732118"/>
    <w:rsid w:val="0073267C"/>
    <w:rsid w:val="007336EF"/>
    <w:rsid w:val="00733DF4"/>
    <w:rsid w:val="0073435D"/>
    <w:rsid w:val="0073483A"/>
    <w:rsid w:val="00734A48"/>
    <w:rsid w:val="007371F0"/>
    <w:rsid w:val="00737235"/>
    <w:rsid w:val="0073730F"/>
    <w:rsid w:val="00737A18"/>
    <w:rsid w:val="00737B34"/>
    <w:rsid w:val="00737F4B"/>
    <w:rsid w:val="007409D0"/>
    <w:rsid w:val="00741431"/>
    <w:rsid w:val="0074204B"/>
    <w:rsid w:val="00742122"/>
    <w:rsid w:val="00742978"/>
    <w:rsid w:val="00742DC2"/>
    <w:rsid w:val="0074342F"/>
    <w:rsid w:val="00743F32"/>
    <w:rsid w:val="00744CEC"/>
    <w:rsid w:val="00744F40"/>
    <w:rsid w:val="00745130"/>
    <w:rsid w:val="007454F7"/>
    <w:rsid w:val="00745FCE"/>
    <w:rsid w:val="007465A9"/>
    <w:rsid w:val="007467A3"/>
    <w:rsid w:val="007468D6"/>
    <w:rsid w:val="00746FDF"/>
    <w:rsid w:val="007471F8"/>
    <w:rsid w:val="00747237"/>
    <w:rsid w:val="00747640"/>
    <w:rsid w:val="00747D07"/>
    <w:rsid w:val="0075033D"/>
    <w:rsid w:val="007509BE"/>
    <w:rsid w:val="0075111C"/>
    <w:rsid w:val="0075164A"/>
    <w:rsid w:val="00751AAE"/>
    <w:rsid w:val="00751B8E"/>
    <w:rsid w:val="00751D2C"/>
    <w:rsid w:val="00751FD4"/>
    <w:rsid w:val="007528C6"/>
    <w:rsid w:val="00752BA9"/>
    <w:rsid w:val="0075353B"/>
    <w:rsid w:val="00753AC2"/>
    <w:rsid w:val="00753CAB"/>
    <w:rsid w:val="00753D81"/>
    <w:rsid w:val="00753FAA"/>
    <w:rsid w:val="00754161"/>
    <w:rsid w:val="007547B9"/>
    <w:rsid w:val="00754F2E"/>
    <w:rsid w:val="0075592C"/>
    <w:rsid w:val="00755BF3"/>
    <w:rsid w:val="00755D43"/>
    <w:rsid w:val="0075609A"/>
    <w:rsid w:val="007574F0"/>
    <w:rsid w:val="00757C65"/>
    <w:rsid w:val="00757D09"/>
    <w:rsid w:val="00760266"/>
    <w:rsid w:val="00760364"/>
    <w:rsid w:val="00761B74"/>
    <w:rsid w:val="00761E68"/>
    <w:rsid w:val="00761F97"/>
    <w:rsid w:val="007624BA"/>
    <w:rsid w:val="00762CB3"/>
    <w:rsid w:val="00764057"/>
    <w:rsid w:val="007641D1"/>
    <w:rsid w:val="00764264"/>
    <w:rsid w:val="00764F41"/>
    <w:rsid w:val="00766C5E"/>
    <w:rsid w:val="0076749A"/>
    <w:rsid w:val="007675A5"/>
    <w:rsid w:val="00767C70"/>
    <w:rsid w:val="00767FB4"/>
    <w:rsid w:val="0077088E"/>
    <w:rsid w:val="00770C0B"/>
    <w:rsid w:val="00770D5B"/>
    <w:rsid w:val="00770EB5"/>
    <w:rsid w:val="00771465"/>
    <w:rsid w:val="00771499"/>
    <w:rsid w:val="00771875"/>
    <w:rsid w:val="00771BF4"/>
    <w:rsid w:val="007723D0"/>
    <w:rsid w:val="00772AE8"/>
    <w:rsid w:val="00772F61"/>
    <w:rsid w:val="00772FAB"/>
    <w:rsid w:val="00773189"/>
    <w:rsid w:val="0077325B"/>
    <w:rsid w:val="00773327"/>
    <w:rsid w:val="00773A05"/>
    <w:rsid w:val="00774CF2"/>
    <w:rsid w:val="00775389"/>
    <w:rsid w:val="007761CE"/>
    <w:rsid w:val="00776BB1"/>
    <w:rsid w:val="00777868"/>
    <w:rsid w:val="007778F8"/>
    <w:rsid w:val="00777FC7"/>
    <w:rsid w:val="0078050C"/>
    <w:rsid w:val="00780819"/>
    <w:rsid w:val="00780AF0"/>
    <w:rsid w:val="00780E3B"/>
    <w:rsid w:val="007816D1"/>
    <w:rsid w:val="00781B81"/>
    <w:rsid w:val="00781E4A"/>
    <w:rsid w:val="00782046"/>
    <w:rsid w:val="00784104"/>
    <w:rsid w:val="00784744"/>
    <w:rsid w:val="00784F32"/>
    <w:rsid w:val="007859E0"/>
    <w:rsid w:val="00785C95"/>
    <w:rsid w:val="00785FBD"/>
    <w:rsid w:val="00786176"/>
    <w:rsid w:val="0078617D"/>
    <w:rsid w:val="007864A0"/>
    <w:rsid w:val="00786825"/>
    <w:rsid w:val="00786D71"/>
    <w:rsid w:val="00786EBD"/>
    <w:rsid w:val="00787C3E"/>
    <w:rsid w:val="00787EB6"/>
    <w:rsid w:val="00790050"/>
    <w:rsid w:val="007907B2"/>
    <w:rsid w:val="0079125B"/>
    <w:rsid w:val="007915FB"/>
    <w:rsid w:val="007916E7"/>
    <w:rsid w:val="00791724"/>
    <w:rsid w:val="00791CB7"/>
    <w:rsid w:val="00791DF5"/>
    <w:rsid w:val="007928DF"/>
    <w:rsid w:val="00792B1E"/>
    <w:rsid w:val="00792F4D"/>
    <w:rsid w:val="00793ABC"/>
    <w:rsid w:val="00794FCD"/>
    <w:rsid w:val="00795268"/>
    <w:rsid w:val="00795456"/>
    <w:rsid w:val="00796168"/>
    <w:rsid w:val="00796196"/>
    <w:rsid w:val="007966D2"/>
    <w:rsid w:val="00797293"/>
    <w:rsid w:val="00797688"/>
    <w:rsid w:val="00797D09"/>
    <w:rsid w:val="00797E5B"/>
    <w:rsid w:val="007A0366"/>
    <w:rsid w:val="007A041D"/>
    <w:rsid w:val="007A07E9"/>
    <w:rsid w:val="007A193B"/>
    <w:rsid w:val="007A1A44"/>
    <w:rsid w:val="007A3974"/>
    <w:rsid w:val="007A424A"/>
    <w:rsid w:val="007A431C"/>
    <w:rsid w:val="007A452D"/>
    <w:rsid w:val="007A4C7E"/>
    <w:rsid w:val="007A55F1"/>
    <w:rsid w:val="007A6216"/>
    <w:rsid w:val="007A634D"/>
    <w:rsid w:val="007A63C6"/>
    <w:rsid w:val="007A6723"/>
    <w:rsid w:val="007B0989"/>
    <w:rsid w:val="007B0B6D"/>
    <w:rsid w:val="007B0C7D"/>
    <w:rsid w:val="007B1165"/>
    <w:rsid w:val="007B160E"/>
    <w:rsid w:val="007B1C9A"/>
    <w:rsid w:val="007B1ECB"/>
    <w:rsid w:val="007B259C"/>
    <w:rsid w:val="007B2AD2"/>
    <w:rsid w:val="007B3348"/>
    <w:rsid w:val="007B3444"/>
    <w:rsid w:val="007B532B"/>
    <w:rsid w:val="007B5406"/>
    <w:rsid w:val="007B5D53"/>
    <w:rsid w:val="007B5E2F"/>
    <w:rsid w:val="007B6340"/>
    <w:rsid w:val="007B6896"/>
    <w:rsid w:val="007B6F51"/>
    <w:rsid w:val="007B7877"/>
    <w:rsid w:val="007C0F80"/>
    <w:rsid w:val="007C23B9"/>
    <w:rsid w:val="007C387D"/>
    <w:rsid w:val="007C4245"/>
    <w:rsid w:val="007C425F"/>
    <w:rsid w:val="007C42FD"/>
    <w:rsid w:val="007C45EC"/>
    <w:rsid w:val="007C4B03"/>
    <w:rsid w:val="007C53D2"/>
    <w:rsid w:val="007C66FC"/>
    <w:rsid w:val="007C6867"/>
    <w:rsid w:val="007C6B3A"/>
    <w:rsid w:val="007C7797"/>
    <w:rsid w:val="007C7874"/>
    <w:rsid w:val="007C7981"/>
    <w:rsid w:val="007D18D9"/>
    <w:rsid w:val="007D1E45"/>
    <w:rsid w:val="007D2636"/>
    <w:rsid w:val="007D334B"/>
    <w:rsid w:val="007D335A"/>
    <w:rsid w:val="007D33DB"/>
    <w:rsid w:val="007D366D"/>
    <w:rsid w:val="007D3AEB"/>
    <w:rsid w:val="007D3CFB"/>
    <w:rsid w:val="007D42C4"/>
    <w:rsid w:val="007D461F"/>
    <w:rsid w:val="007D547A"/>
    <w:rsid w:val="007D5C1A"/>
    <w:rsid w:val="007D5D0A"/>
    <w:rsid w:val="007D5E8C"/>
    <w:rsid w:val="007D640A"/>
    <w:rsid w:val="007D6446"/>
    <w:rsid w:val="007D6474"/>
    <w:rsid w:val="007D6B17"/>
    <w:rsid w:val="007D70EC"/>
    <w:rsid w:val="007D7443"/>
    <w:rsid w:val="007D7606"/>
    <w:rsid w:val="007E0038"/>
    <w:rsid w:val="007E00E6"/>
    <w:rsid w:val="007E0704"/>
    <w:rsid w:val="007E0C3C"/>
    <w:rsid w:val="007E13D5"/>
    <w:rsid w:val="007E1647"/>
    <w:rsid w:val="007E19D0"/>
    <w:rsid w:val="007E1DF7"/>
    <w:rsid w:val="007E26DE"/>
    <w:rsid w:val="007E379E"/>
    <w:rsid w:val="007E43E6"/>
    <w:rsid w:val="007E484F"/>
    <w:rsid w:val="007E4C8B"/>
    <w:rsid w:val="007E5BCD"/>
    <w:rsid w:val="007E6169"/>
    <w:rsid w:val="007E619A"/>
    <w:rsid w:val="007E7602"/>
    <w:rsid w:val="007F03FD"/>
    <w:rsid w:val="007F0B1C"/>
    <w:rsid w:val="007F18EF"/>
    <w:rsid w:val="007F2BAB"/>
    <w:rsid w:val="007F2C9F"/>
    <w:rsid w:val="007F2E89"/>
    <w:rsid w:val="007F2ED3"/>
    <w:rsid w:val="007F2F89"/>
    <w:rsid w:val="007F4681"/>
    <w:rsid w:val="007F58ED"/>
    <w:rsid w:val="007F5EE4"/>
    <w:rsid w:val="007F64C4"/>
    <w:rsid w:val="007F6F33"/>
    <w:rsid w:val="007F6FD8"/>
    <w:rsid w:val="007F711A"/>
    <w:rsid w:val="007F77A0"/>
    <w:rsid w:val="007F77C4"/>
    <w:rsid w:val="007F7CBE"/>
    <w:rsid w:val="007F7EBD"/>
    <w:rsid w:val="00800634"/>
    <w:rsid w:val="0080083C"/>
    <w:rsid w:val="00800C49"/>
    <w:rsid w:val="0080195C"/>
    <w:rsid w:val="00801B49"/>
    <w:rsid w:val="0080230D"/>
    <w:rsid w:val="00803000"/>
    <w:rsid w:val="00803744"/>
    <w:rsid w:val="00803901"/>
    <w:rsid w:val="008047D6"/>
    <w:rsid w:val="0080482B"/>
    <w:rsid w:val="008048DC"/>
    <w:rsid w:val="00804B66"/>
    <w:rsid w:val="0080537A"/>
    <w:rsid w:val="0080560E"/>
    <w:rsid w:val="00805700"/>
    <w:rsid w:val="0080586F"/>
    <w:rsid w:val="00807D21"/>
    <w:rsid w:val="00807DF2"/>
    <w:rsid w:val="00810981"/>
    <w:rsid w:val="00810B70"/>
    <w:rsid w:val="00810E35"/>
    <w:rsid w:val="008116BA"/>
    <w:rsid w:val="008120AB"/>
    <w:rsid w:val="0081266C"/>
    <w:rsid w:val="00812750"/>
    <w:rsid w:val="0081282A"/>
    <w:rsid w:val="00812AD9"/>
    <w:rsid w:val="00812BD7"/>
    <w:rsid w:val="008136D2"/>
    <w:rsid w:val="00813BF0"/>
    <w:rsid w:val="00813F2F"/>
    <w:rsid w:val="008145D6"/>
    <w:rsid w:val="00815E22"/>
    <w:rsid w:val="00816305"/>
    <w:rsid w:val="0081685B"/>
    <w:rsid w:val="008168AD"/>
    <w:rsid w:val="00816F86"/>
    <w:rsid w:val="00816FAA"/>
    <w:rsid w:val="00817497"/>
    <w:rsid w:val="00817C22"/>
    <w:rsid w:val="00817C6A"/>
    <w:rsid w:val="00817E99"/>
    <w:rsid w:val="00820301"/>
    <w:rsid w:val="008206E4"/>
    <w:rsid w:val="0082091C"/>
    <w:rsid w:val="008210CA"/>
    <w:rsid w:val="008218E3"/>
    <w:rsid w:val="008233F2"/>
    <w:rsid w:val="00823ABF"/>
    <w:rsid w:val="00823B80"/>
    <w:rsid w:val="00823CDA"/>
    <w:rsid w:val="00823DC9"/>
    <w:rsid w:val="00823EE5"/>
    <w:rsid w:val="00823FA2"/>
    <w:rsid w:val="00824AD4"/>
    <w:rsid w:val="008252B3"/>
    <w:rsid w:val="00825771"/>
    <w:rsid w:val="0082590A"/>
    <w:rsid w:val="008259B5"/>
    <w:rsid w:val="00826813"/>
    <w:rsid w:val="00826C7A"/>
    <w:rsid w:val="008276A5"/>
    <w:rsid w:val="0082780E"/>
    <w:rsid w:val="00827861"/>
    <w:rsid w:val="00827D9F"/>
    <w:rsid w:val="00827F39"/>
    <w:rsid w:val="008306C1"/>
    <w:rsid w:val="008307E6"/>
    <w:rsid w:val="00830DD0"/>
    <w:rsid w:val="00831584"/>
    <w:rsid w:val="00831591"/>
    <w:rsid w:val="00832BB9"/>
    <w:rsid w:val="00832C9C"/>
    <w:rsid w:val="00832FE7"/>
    <w:rsid w:val="008330A3"/>
    <w:rsid w:val="00834998"/>
    <w:rsid w:val="00834EDB"/>
    <w:rsid w:val="00835008"/>
    <w:rsid w:val="0083564E"/>
    <w:rsid w:val="008356E6"/>
    <w:rsid w:val="00835A9F"/>
    <w:rsid w:val="00835BDE"/>
    <w:rsid w:val="00835D93"/>
    <w:rsid w:val="0083658A"/>
    <w:rsid w:val="008367FC"/>
    <w:rsid w:val="00836ED7"/>
    <w:rsid w:val="0083748F"/>
    <w:rsid w:val="00840650"/>
    <w:rsid w:val="008408F1"/>
    <w:rsid w:val="008419E1"/>
    <w:rsid w:val="00841B10"/>
    <w:rsid w:val="00841C87"/>
    <w:rsid w:val="00841CAA"/>
    <w:rsid w:val="008423F6"/>
    <w:rsid w:val="00842E9E"/>
    <w:rsid w:val="00843D66"/>
    <w:rsid w:val="00844186"/>
    <w:rsid w:val="00844347"/>
    <w:rsid w:val="00844782"/>
    <w:rsid w:val="00844C17"/>
    <w:rsid w:val="00846966"/>
    <w:rsid w:val="008502AB"/>
    <w:rsid w:val="0085041D"/>
    <w:rsid w:val="008504C2"/>
    <w:rsid w:val="00850664"/>
    <w:rsid w:val="0085071E"/>
    <w:rsid w:val="00850F56"/>
    <w:rsid w:val="0085186C"/>
    <w:rsid w:val="00851C46"/>
    <w:rsid w:val="00851FAC"/>
    <w:rsid w:val="00852C2B"/>
    <w:rsid w:val="00853466"/>
    <w:rsid w:val="00853A8C"/>
    <w:rsid w:val="00853AEA"/>
    <w:rsid w:val="00853C56"/>
    <w:rsid w:val="00855247"/>
    <w:rsid w:val="00856AF0"/>
    <w:rsid w:val="008605EB"/>
    <w:rsid w:val="008605FB"/>
    <w:rsid w:val="00860633"/>
    <w:rsid w:val="00860EB3"/>
    <w:rsid w:val="00861C93"/>
    <w:rsid w:val="008626B5"/>
    <w:rsid w:val="00862801"/>
    <w:rsid w:val="00862912"/>
    <w:rsid w:val="00862A3F"/>
    <w:rsid w:val="008630B5"/>
    <w:rsid w:val="00863992"/>
    <w:rsid w:val="00863A29"/>
    <w:rsid w:val="00863D0A"/>
    <w:rsid w:val="008664BF"/>
    <w:rsid w:val="008676F4"/>
    <w:rsid w:val="00867E9C"/>
    <w:rsid w:val="008708CF"/>
    <w:rsid w:val="00870C2E"/>
    <w:rsid w:val="00870C9A"/>
    <w:rsid w:val="00870DAA"/>
    <w:rsid w:val="008718B4"/>
    <w:rsid w:val="00871AEF"/>
    <w:rsid w:val="0087271C"/>
    <w:rsid w:val="00873262"/>
    <w:rsid w:val="008738DA"/>
    <w:rsid w:val="00873E15"/>
    <w:rsid w:val="00875BB4"/>
    <w:rsid w:val="00875C89"/>
    <w:rsid w:val="00875E24"/>
    <w:rsid w:val="0087605A"/>
    <w:rsid w:val="008766F4"/>
    <w:rsid w:val="0088053A"/>
    <w:rsid w:val="008806E7"/>
    <w:rsid w:val="00881B78"/>
    <w:rsid w:val="00882123"/>
    <w:rsid w:val="0088243B"/>
    <w:rsid w:val="008825A4"/>
    <w:rsid w:val="008826BA"/>
    <w:rsid w:val="008835CC"/>
    <w:rsid w:val="008845A2"/>
    <w:rsid w:val="008847BC"/>
    <w:rsid w:val="008850E2"/>
    <w:rsid w:val="00885936"/>
    <w:rsid w:val="00885CB5"/>
    <w:rsid w:val="00886132"/>
    <w:rsid w:val="00886210"/>
    <w:rsid w:val="00886F67"/>
    <w:rsid w:val="00890D46"/>
    <w:rsid w:val="00890D61"/>
    <w:rsid w:val="00892A5E"/>
    <w:rsid w:val="00892B45"/>
    <w:rsid w:val="008930A6"/>
    <w:rsid w:val="008932A6"/>
    <w:rsid w:val="008934E7"/>
    <w:rsid w:val="008934E9"/>
    <w:rsid w:val="008939C0"/>
    <w:rsid w:val="00895158"/>
    <w:rsid w:val="008960B1"/>
    <w:rsid w:val="008A0E66"/>
    <w:rsid w:val="008A1166"/>
    <w:rsid w:val="008A12BF"/>
    <w:rsid w:val="008A3327"/>
    <w:rsid w:val="008A35E3"/>
    <w:rsid w:val="008A3A55"/>
    <w:rsid w:val="008A431F"/>
    <w:rsid w:val="008A4D24"/>
    <w:rsid w:val="008A5786"/>
    <w:rsid w:val="008A5AE9"/>
    <w:rsid w:val="008A5BD7"/>
    <w:rsid w:val="008A7931"/>
    <w:rsid w:val="008A79B4"/>
    <w:rsid w:val="008A7B69"/>
    <w:rsid w:val="008A7EF3"/>
    <w:rsid w:val="008B00D4"/>
    <w:rsid w:val="008B044B"/>
    <w:rsid w:val="008B04BF"/>
    <w:rsid w:val="008B0F3C"/>
    <w:rsid w:val="008B15B5"/>
    <w:rsid w:val="008B1DFE"/>
    <w:rsid w:val="008B36ED"/>
    <w:rsid w:val="008B3802"/>
    <w:rsid w:val="008B4097"/>
    <w:rsid w:val="008B476B"/>
    <w:rsid w:val="008B4A57"/>
    <w:rsid w:val="008B4B39"/>
    <w:rsid w:val="008B4F6F"/>
    <w:rsid w:val="008B63BC"/>
    <w:rsid w:val="008B63E8"/>
    <w:rsid w:val="008B6535"/>
    <w:rsid w:val="008B6AB5"/>
    <w:rsid w:val="008B7AFC"/>
    <w:rsid w:val="008C03D3"/>
    <w:rsid w:val="008C07F0"/>
    <w:rsid w:val="008C0930"/>
    <w:rsid w:val="008C23B1"/>
    <w:rsid w:val="008C2804"/>
    <w:rsid w:val="008C3720"/>
    <w:rsid w:val="008C3759"/>
    <w:rsid w:val="008C3D0C"/>
    <w:rsid w:val="008C3EF2"/>
    <w:rsid w:val="008C41D2"/>
    <w:rsid w:val="008C4C90"/>
    <w:rsid w:val="008C4CFD"/>
    <w:rsid w:val="008C6550"/>
    <w:rsid w:val="008C6E36"/>
    <w:rsid w:val="008D0D53"/>
    <w:rsid w:val="008D0E59"/>
    <w:rsid w:val="008D1D33"/>
    <w:rsid w:val="008D1E02"/>
    <w:rsid w:val="008D327F"/>
    <w:rsid w:val="008D32CC"/>
    <w:rsid w:val="008D3A0D"/>
    <w:rsid w:val="008D3ABD"/>
    <w:rsid w:val="008D3F7C"/>
    <w:rsid w:val="008D44E3"/>
    <w:rsid w:val="008D4698"/>
    <w:rsid w:val="008D5BBE"/>
    <w:rsid w:val="008D629F"/>
    <w:rsid w:val="008D6A59"/>
    <w:rsid w:val="008D6CA2"/>
    <w:rsid w:val="008D6E21"/>
    <w:rsid w:val="008E0093"/>
    <w:rsid w:val="008E1645"/>
    <w:rsid w:val="008E17F9"/>
    <w:rsid w:val="008E229E"/>
    <w:rsid w:val="008E36BD"/>
    <w:rsid w:val="008E42AE"/>
    <w:rsid w:val="008E5F19"/>
    <w:rsid w:val="008E699C"/>
    <w:rsid w:val="008E6B4F"/>
    <w:rsid w:val="008E7BCD"/>
    <w:rsid w:val="008F00EF"/>
    <w:rsid w:val="008F0DCF"/>
    <w:rsid w:val="008F1087"/>
    <w:rsid w:val="008F16D0"/>
    <w:rsid w:val="008F19DB"/>
    <w:rsid w:val="008F20C7"/>
    <w:rsid w:val="008F2B7A"/>
    <w:rsid w:val="008F37B0"/>
    <w:rsid w:val="008F53E8"/>
    <w:rsid w:val="008F5F5D"/>
    <w:rsid w:val="008F6803"/>
    <w:rsid w:val="008F6FA5"/>
    <w:rsid w:val="008F7097"/>
    <w:rsid w:val="008F763D"/>
    <w:rsid w:val="008F7ABB"/>
    <w:rsid w:val="00900381"/>
    <w:rsid w:val="00900847"/>
    <w:rsid w:val="00900918"/>
    <w:rsid w:val="009017BE"/>
    <w:rsid w:val="009018A0"/>
    <w:rsid w:val="00901E57"/>
    <w:rsid w:val="00902521"/>
    <w:rsid w:val="0090391A"/>
    <w:rsid w:val="00903935"/>
    <w:rsid w:val="00903BA4"/>
    <w:rsid w:val="00904F88"/>
    <w:rsid w:val="0090597E"/>
    <w:rsid w:val="00905BF4"/>
    <w:rsid w:val="00906433"/>
    <w:rsid w:val="00906901"/>
    <w:rsid w:val="0090717C"/>
    <w:rsid w:val="00907B48"/>
    <w:rsid w:val="00907C1C"/>
    <w:rsid w:val="00910371"/>
    <w:rsid w:val="009105C9"/>
    <w:rsid w:val="0091089D"/>
    <w:rsid w:val="00911280"/>
    <w:rsid w:val="00912107"/>
    <w:rsid w:val="00912289"/>
    <w:rsid w:val="00912A7F"/>
    <w:rsid w:val="00912ACC"/>
    <w:rsid w:val="00912C06"/>
    <w:rsid w:val="009131C4"/>
    <w:rsid w:val="00913C94"/>
    <w:rsid w:val="00914674"/>
    <w:rsid w:val="00915695"/>
    <w:rsid w:val="00915991"/>
    <w:rsid w:val="00915A00"/>
    <w:rsid w:val="00916187"/>
    <w:rsid w:val="009164EE"/>
    <w:rsid w:val="0091660D"/>
    <w:rsid w:val="00916C28"/>
    <w:rsid w:val="0092046A"/>
    <w:rsid w:val="00920507"/>
    <w:rsid w:val="00920C44"/>
    <w:rsid w:val="00920D0B"/>
    <w:rsid w:val="0092245A"/>
    <w:rsid w:val="00922863"/>
    <w:rsid w:val="009230C6"/>
    <w:rsid w:val="00923F0C"/>
    <w:rsid w:val="00924CCA"/>
    <w:rsid w:val="009255EE"/>
    <w:rsid w:val="009256D1"/>
    <w:rsid w:val="00925763"/>
    <w:rsid w:val="00925DAB"/>
    <w:rsid w:val="00926590"/>
    <w:rsid w:val="00926B9E"/>
    <w:rsid w:val="00926FC2"/>
    <w:rsid w:val="0092717A"/>
    <w:rsid w:val="009277E3"/>
    <w:rsid w:val="00931102"/>
    <w:rsid w:val="00931522"/>
    <w:rsid w:val="0093289F"/>
    <w:rsid w:val="00932B62"/>
    <w:rsid w:val="00932F27"/>
    <w:rsid w:val="00933451"/>
    <w:rsid w:val="009335CC"/>
    <w:rsid w:val="00933AFC"/>
    <w:rsid w:val="00933CAF"/>
    <w:rsid w:val="009345B6"/>
    <w:rsid w:val="009346D0"/>
    <w:rsid w:val="00934906"/>
    <w:rsid w:val="0093560E"/>
    <w:rsid w:val="009357EB"/>
    <w:rsid w:val="00935B07"/>
    <w:rsid w:val="009364FC"/>
    <w:rsid w:val="009369F8"/>
    <w:rsid w:val="00936FB6"/>
    <w:rsid w:val="0093747A"/>
    <w:rsid w:val="009374B3"/>
    <w:rsid w:val="00937A39"/>
    <w:rsid w:val="00937AE9"/>
    <w:rsid w:val="00937DA5"/>
    <w:rsid w:val="009402F5"/>
    <w:rsid w:val="00940F0B"/>
    <w:rsid w:val="00941B57"/>
    <w:rsid w:val="00941B60"/>
    <w:rsid w:val="00942694"/>
    <w:rsid w:val="0094314E"/>
    <w:rsid w:val="0094419E"/>
    <w:rsid w:val="00944457"/>
    <w:rsid w:val="009444D7"/>
    <w:rsid w:val="0094478E"/>
    <w:rsid w:val="009455A9"/>
    <w:rsid w:val="0094566F"/>
    <w:rsid w:val="00945EAA"/>
    <w:rsid w:val="009468B3"/>
    <w:rsid w:val="00946AEC"/>
    <w:rsid w:val="009472B6"/>
    <w:rsid w:val="00947383"/>
    <w:rsid w:val="00950050"/>
    <w:rsid w:val="0095023D"/>
    <w:rsid w:val="00950641"/>
    <w:rsid w:val="00950806"/>
    <w:rsid w:val="00950832"/>
    <w:rsid w:val="009509A5"/>
    <w:rsid w:val="00950AA7"/>
    <w:rsid w:val="0095198B"/>
    <w:rsid w:val="00951A80"/>
    <w:rsid w:val="00951C8F"/>
    <w:rsid w:val="00951DF1"/>
    <w:rsid w:val="0095225E"/>
    <w:rsid w:val="009523A7"/>
    <w:rsid w:val="009527C0"/>
    <w:rsid w:val="00954641"/>
    <w:rsid w:val="009547E7"/>
    <w:rsid w:val="009547FF"/>
    <w:rsid w:val="00954D35"/>
    <w:rsid w:val="009561D3"/>
    <w:rsid w:val="00956428"/>
    <w:rsid w:val="009564DD"/>
    <w:rsid w:val="0095678A"/>
    <w:rsid w:val="00956A7B"/>
    <w:rsid w:val="00956B8E"/>
    <w:rsid w:val="009573A5"/>
    <w:rsid w:val="0095744A"/>
    <w:rsid w:val="00957548"/>
    <w:rsid w:val="0095788B"/>
    <w:rsid w:val="00957D33"/>
    <w:rsid w:val="00960600"/>
    <w:rsid w:val="00960C20"/>
    <w:rsid w:val="00960C29"/>
    <w:rsid w:val="0096129E"/>
    <w:rsid w:val="009613EA"/>
    <w:rsid w:val="009615CD"/>
    <w:rsid w:val="00961C8E"/>
    <w:rsid w:val="00961CF1"/>
    <w:rsid w:val="009621EC"/>
    <w:rsid w:val="00962462"/>
    <w:rsid w:val="009625AB"/>
    <w:rsid w:val="00962604"/>
    <w:rsid w:val="00962B6C"/>
    <w:rsid w:val="009635FF"/>
    <w:rsid w:val="009637D0"/>
    <w:rsid w:val="009639AC"/>
    <w:rsid w:val="009644FC"/>
    <w:rsid w:val="009649FB"/>
    <w:rsid w:val="00964CAC"/>
    <w:rsid w:val="00964D57"/>
    <w:rsid w:val="00964FB0"/>
    <w:rsid w:val="009653DA"/>
    <w:rsid w:val="00965D9F"/>
    <w:rsid w:val="0096610C"/>
    <w:rsid w:val="0096704E"/>
    <w:rsid w:val="00967AD1"/>
    <w:rsid w:val="00967B6C"/>
    <w:rsid w:val="00970AD9"/>
    <w:rsid w:val="00971694"/>
    <w:rsid w:val="00971A9A"/>
    <w:rsid w:val="00971AF5"/>
    <w:rsid w:val="00971EA6"/>
    <w:rsid w:val="0097271C"/>
    <w:rsid w:val="00972C97"/>
    <w:rsid w:val="00972E8D"/>
    <w:rsid w:val="00973BAC"/>
    <w:rsid w:val="00974218"/>
    <w:rsid w:val="00975F3E"/>
    <w:rsid w:val="009760D1"/>
    <w:rsid w:val="00976650"/>
    <w:rsid w:val="00976937"/>
    <w:rsid w:val="00976F6F"/>
    <w:rsid w:val="009776D0"/>
    <w:rsid w:val="00980672"/>
    <w:rsid w:val="0098073C"/>
    <w:rsid w:val="009816C3"/>
    <w:rsid w:val="00981C0C"/>
    <w:rsid w:val="009833F0"/>
    <w:rsid w:val="009839E5"/>
    <w:rsid w:val="00983EFF"/>
    <w:rsid w:val="009848AF"/>
    <w:rsid w:val="00984ABB"/>
    <w:rsid w:val="00984ADC"/>
    <w:rsid w:val="00984E0B"/>
    <w:rsid w:val="0098534A"/>
    <w:rsid w:val="00985E10"/>
    <w:rsid w:val="00985EB0"/>
    <w:rsid w:val="009863A4"/>
    <w:rsid w:val="00986A66"/>
    <w:rsid w:val="00987024"/>
    <w:rsid w:val="0098761C"/>
    <w:rsid w:val="00987960"/>
    <w:rsid w:val="00987F7A"/>
    <w:rsid w:val="00990670"/>
    <w:rsid w:val="00992B09"/>
    <w:rsid w:val="0099300C"/>
    <w:rsid w:val="00993A4D"/>
    <w:rsid w:val="009948A3"/>
    <w:rsid w:val="00995424"/>
    <w:rsid w:val="0099585A"/>
    <w:rsid w:val="00995D31"/>
    <w:rsid w:val="00995DCD"/>
    <w:rsid w:val="00996204"/>
    <w:rsid w:val="009963D1"/>
    <w:rsid w:val="0099671E"/>
    <w:rsid w:val="0099784F"/>
    <w:rsid w:val="009A0330"/>
    <w:rsid w:val="009A055F"/>
    <w:rsid w:val="009A080B"/>
    <w:rsid w:val="009A12AF"/>
    <w:rsid w:val="009A1550"/>
    <w:rsid w:val="009A1DB5"/>
    <w:rsid w:val="009A259D"/>
    <w:rsid w:val="009A2B28"/>
    <w:rsid w:val="009A2EFA"/>
    <w:rsid w:val="009A5522"/>
    <w:rsid w:val="009A57DC"/>
    <w:rsid w:val="009A62D5"/>
    <w:rsid w:val="009A6602"/>
    <w:rsid w:val="009A6A9F"/>
    <w:rsid w:val="009A7D0B"/>
    <w:rsid w:val="009B02BE"/>
    <w:rsid w:val="009B03AA"/>
    <w:rsid w:val="009B0DCC"/>
    <w:rsid w:val="009B1ADD"/>
    <w:rsid w:val="009B20EB"/>
    <w:rsid w:val="009B2408"/>
    <w:rsid w:val="009B2B98"/>
    <w:rsid w:val="009B2FD9"/>
    <w:rsid w:val="009B3254"/>
    <w:rsid w:val="009B36A7"/>
    <w:rsid w:val="009B3913"/>
    <w:rsid w:val="009B437B"/>
    <w:rsid w:val="009B4D25"/>
    <w:rsid w:val="009B5205"/>
    <w:rsid w:val="009B56E7"/>
    <w:rsid w:val="009B59FE"/>
    <w:rsid w:val="009B6060"/>
    <w:rsid w:val="009B6C7A"/>
    <w:rsid w:val="009B78FA"/>
    <w:rsid w:val="009C1089"/>
    <w:rsid w:val="009C3145"/>
    <w:rsid w:val="009C3284"/>
    <w:rsid w:val="009C3465"/>
    <w:rsid w:val="009C38CC"/>
    <w:rsid w:val="009C3E36"/>
    <w:rsid w:val="009C44AA"/>
    <w:rsid w:val="009C4ECD"/>
    <w:rsid w:val="009C5684"/>
    <w:rsid w:val="009C62B3"/>
    <w:rsid w:val="009C67FF"/>
    <w:rsid w:val="009C69D6"/>
    <w:rsid w:val="009C6E45"/>
    <w:rsid w:val="009C71DF"/>
    <w:rsid w:val="009C7765"/>
    <w:rsid w:val="009D06B2"/>
    <w:rsid w:val="009D0EB7"/>
    <w:rsid w:val="009D1E1F"/>
    <w:rsid w:val="009D2359"/>
    <w:rsid w:val="009D3CE5"/>
    <w:rsid w:val="009D403D"/>
    <w:rsid w:val="009D4458"/>
    <w:rsid w:val="009D480E"/>
    <w:rsid w:val="009D4D3F"/>
    <w:rsid w:val="009D56A9"/>
    <w:rsid w:val="009D5ACF"/>
    <w:rsid w:val="009D5B99"/>
    <w:rsid w:val="009D62D4"/>
    <w:rsid w:val="009D6366"/>
    <w:rsid w:val="009D7AF8"/>
    <w:rsid w:val="009E1122"/>
    <w:rsid w:val="009E1227"/>
    <w:rsid w:val="009E1D31"/>
    <w:rsid w:val="009E26E2"/>
    <w:rsid w:val="009E2A2C"/>
    <w:rsid w:val="009E2B7D"/>
    <w:rsid w:val="009E30DC"/>
    <w:rsid w:val="009E3595"/>
    <w:rsid w:val="009E374B"/>
    <w:rsid w:val="009E3836"/>
    <w:rsid w:val="009E42CD"/>
    <w:rsid w:val="009E5674"/>
    <w:rsid w:val="009E61DE"/>
    <w:rsid w:val="009E6491"/>
    <w:rsid w:val="009E6F05"/>
    <w:rsid w:val="009E6F74"/>
    <w:rsid w:val="009E70D9"/>
    <w:rsid w:val="009E733F"/>
    <w:rsid w:val="009E7B5A"/>
    <w:rsid w:val="009F00F2"/>
    <w:rsid w:val="009F0695"/>
    <w:rsid w:val="009F0747"/>
    <w:rsid w:val="009F0815"/>
    <w:rsid w:val="009F08D0"/>
    <w:rsid w:val="009F1482"/>
    <w:rsid w:val="009F1605"/>
    <w:rsid w:val="009F162F"/>
    <w:rsid w:val="009F1876"/>
    <w:rsid w:val="009F1ACA"/>
    <w:rsid w:val="009F1C41"/>
    <w:rsid w:val="009F2B39"/>
    <w:rsid w:val="009F312B"/>
    <w:rsid w:val="009F444B"/>
    <w:rsid w:val="009F4651"/>
    <w:rsid w:val="009F5860"/>
    <w:rsid w:val="009F5AE9"/>
    <w:rsid w:val="009F6C54"/>
    <w:rsid w:val="009F6E68"/>
    <w:rsid w:val="00A00BB3"/>
    <w:rsid w:val="00A00C3A"/>
    <w:rsid w:val="00A010E2"/>
    <w:rsid w:val="00A01763"/>
    <w:rsid w:val="00A01D02"/>
    <w:rsid w:val="00A01DD6"/>
    <w:rsid w:val="00A02251"/>
    <w:rsid w:val="00A02598"/>
    <w:rsid w:val="00A02638"/>
    <w:rsid w:val="00A03B2B"/>
    <w:rsid w:val="00A03E5C"/>
    <w:rsid w:val="00A0417E"/>
    <w:rsid w:val="00A042E5"/>
    <w:rsid w:val="00A04650"/>
    <w:rsid w:val="00A04BB4"/>
    <w:rsid w:val="00A0551A"/>
    <w:rsid w:val="00A05790"/>
    <w:rsid w:val="00A057C3"/>
    <w:rsid w:val="00A05A79"/>
    <w:rsid w:val="00A05FB2"/>
    <w:rsid w:val="00A06906"/>
    <w:rsid w:val="00A078ED"/>
    <w:rsid w:val="00A079F5"/>
    <w:rsid w:val="00A12105"/>
    <w:rsid w:val="00A12797"/>
    <w:rsid w:val="00A1375B"/>
    <w:rsid w:val="00A13BBD"/>
    <w:rsid w:val="00A14455"/>
    <w:rsid w:val="00A14EC7"/>
    <w:rsid w:val="00A14F1A"/>
    <w:rsid w:val="00A150E6"/>
    <w:rsid w:val="00A1560E"/>
    <w:rsid w:val="00A165C4"/>
    <w:rsid w:val="00A16766"/>
    <w:rsid w:val="00A16881"/>
    <w:rsid w:val="00A174CD"/>
    <w:rsid w:val="00A1773E"/>
    <w:rsid w:val="00A177EC"/>
    <w:rsid w:val="00A179B2"/>
    <w:rsid w:val="00A17AE8"/>
    <w:rsid w:val="00A20067"/>
    <w:rsid w:val="00A20656"/>
    <w:rsid w:val="00A2067F"/>
    <w:rsid w:val="00A207D5"/>
    <w:rsid w:val="00A20953"/>
    <w:rsid w:val="00A20C44"/>
    <w:rsid w:val="00A212A9"/>
    <w:rsid w:val="00A213DA"/>
    <w:rsid w:val="00A21F35"/>
    <w:rsid w:val="00A2231B"/>
    <w:rsid w:val="00A2255B"/>
    <w:rsid w:val="00A22CF8"/>
    <w:rsid w:val="00A22EAE"/>
    <w:rsid w:val="00A23990"/>
    <w:rsid w:val="00A24D9C"/>
    <w:rsid w:val="00A250AB"/>
    <w:rsid w:val="00A25102"/>
    <w:rsid w:val="00A25E45"/>
    <w:rsid w:val="00A25E60"/>
    <w:rsid w:val="00A25FDA"/>
    <w:rsid w:val="00A26254"/>
    <w:rsid w:val="00A262F3"/>
    <w:rsid w:val="00A30741"/>
    <w:rsid w:val="00A30AE1"/>
    <w:rsid w:val="00A322A9"/>
    <w:rsid w:val="00A32BBE"/>
    <w:rsid w:val="00A32BBF"/>
    <w:rsid w:val="00A32E08"/>
    <w:rsid w:val="00A33B9F"/>
    <w:rsid w:val="00A33FD9"/>
    <w:rsid w:val="00A34729"/>
    <w:rsid w:val="00A34C4E"/>
    <w:rsid w:val="00A34F9A"/>
    <w:rsid w:val="00A35A43"/>
    <w:rsid w:val="00A35B68"/>
    <w:rsid w:val="00A35FAB"/>
    <w:rsid w:val="00A36330"/>
    <w:rsid w:val="00A364F9"/>
    <w:rsid w:val="00A36703"/>
    <w:rsid w:val="00A373FD"/>
    <w:rsid w:val="00A40B9B"/>
    <w:rsid w:val="00A40C43"/>
    <w:rsid w:val="00A40CB1"/>
    <w:rsid w:val="00A4124E"/>
    <w:rsid w:val="00A415B2"/>
    <w:rsid w:val="00A41BC3"/>
    <w:rsid w:val="00A42232"/>
    <w:rsid w:val="00A42B10"/>
    <w:rsid w:val="00A43AB4"/>
    <w:rsid w:val="00A43CFC"/>
    <w:rsid w:val="00A444EA"/>
    <w:rsid w:val="00A44EF0"/>
    <w:rsid w:val="00A4525B"/>
    <w:rsid w:val="00A45B03"/>
    <w:rsid w:val="00A47418"/>
    <w:rsid w:val="00A47547"/>
    <w:rsid w:val="00A4754D"/>
    <w:rsid w:val="00A507E6"/>
    <w:rsid w:val="00A50834"/>
    <w:rsid w:val="00A50CA2"/>
    <w:rsid w:val="00A51010"/>
    <w:rsid w:val="00A513A4"/>
    <w:rsid w:val="00A51BA3"/>
    <w:rsid w:val="00A51EF7"/>
    <w:rsid w:val="00A5282D"/>
    <w:rsid w:val="00A52B8F"/>
    <w:rsid w:val="00A532F3"/>
    <w:rsid w:val="00A533C0"/>
    <w:rsid w:val="00A53607"/>
    <w:rsid w:val="00A54D1D"/>
    <w:rsid w:val="00A55696"/>
    <w:rsid w:val="00A556EF"/>
    <w:rsid w:val="00A56857"/>
    <w:rsid w:val="00A5690C"/>
    <w:rsid w:val="00A574A6"/>
    <w:rsid w:val="00A57C8F"/>
    <w:rsid w:val="00A57F0B"/>
    <w:rsid w:val="00A603B3"/>
    <w:rsid w:val="00A6086C"/>
    <w:rsid w:val="00A608AB"/>
    <w:rsid w:val="00A61A54"/>
    <w:rsid w:val="00A6251B"/>
    <w:rsid w:val="00A62CB8"/>
    <w:rsid w:val="00A62FC6"/>
    <w:rsid w:val="00A63978"/>
    <w:rsid w:val="00A63A45"/>
    <w:rsid w:val="00A64917"/>
    <w:rsid w:val="00A65731"/>
    <w:rsid w:val="00A659DE"/>
    <w:rsid w:val="00A65CF1"/>
    <w:rsid w:val="00A66506"/>
    <w:rsid w:val="00A67961"/>
    <w:rsid w:val="00A679B1"/>
    <w:rsid w:val="00A71182"/>
    <w:rsid w:val="00A72184"/>
    <w:rsid w:val="00A73187"/>
    <w:rsid w:val="00A733DF"/>
    <w:rsid w:val="00A73F66"/>
    <w:rsid w:val="00A75071"/>
    <w:rsid w:val="00A756D1"/>
    <w:rsid w:val="00A75A8D"/>
    <w:rsid w:val="00A775E2"/>
    <w:rsid w:val="00A8086B"/>
    <w:rsid w:val="00A80D40"/>
    <w:rsid w:val="00A81C7F"/>
    <w:rsid w:val="00A821C0"/>
    <w:rsid w:val="00A8233F"/>
    <w:rsid w:val="00A82B7C"/>
    <w:rsid w:val="00A82B89"/>
    <w:rsid w:val="00A82CBA"/>
    <w:rsid w:val="00A82E80"/>
    <w:rsid w:val="00A8313D"/>
    <w:rsid w:val="00A85031"/>
    <w:rsid w:val="00A852E5"/>
    <w:rsid w:val="00A87167"/>
    <w:rsid w:val="00A87427"/>
    <w:rsid w:val="00A87FC0"/>
    <w:rsid w:val="00A903F7"/>
    <w:rsid w:val="00A9070F"/>
    <w:rsid w:val="00A91590"/>
    <w:rsid w:val="00A92059"/>
    <w:rsid w:val="00A92242"/>
    <w:rsid w:val="00A922B5"/>
    <w:rsid w:val="00A9230E"/>
    <w:rsid w:val="00A928C8"/>
    <w:rsid w:val="00A92DA8"/>
    <w:rsid w:val="00A9330E"/>
    <w:rsid w:val="00A93770"/>
    <w:rsid w:val="00A94383"/>
    <w:rsid w:val="00A9467E"/>
    <w:rsid w:val="00A9502B"/>
    <w:rsid w:val="00A952FC"/>
    <w:rsid w:val="00A953B8"/>
    <w:rsid w:val="00A9566D"/>
    <w:rsid w:val="00A95AE8"/>
    <w:rsid w:val="00A95FBD"/>
    <w:rsid w:val="00A96AE7"/>
    <w:rsid w:val="00A97436"/>
    <w:rsid w:val="00A97BFA"/>
    <w:rsid w:val="00A97E0C"/>
    <w:rsid w:val="00AA04F7"/>
    <w:rsid w:val="00AA1E72"/>
    <w:rsid w:val="00AA27FA"/>
    <w:rsid w:val="00AA298B"/>
    <w:rsid w:val="00AA2991"/>
    <w:rsid w:val="00AA2F94"/>
    <w:rsid w:val="00AA3175"/>
    <w:rsid w:val="00AA4085"/>
    <w:rsid w:val="00AA54FD"/>
    <w:rsid w:val="00AA5727"/>
    <w:rsid w:val="00AA6068"/>
    <w:rsid w:val="00AA64BE"/>
    <w:rsid w:val="00AA69AB"/>
    <w:rsid w:val="00AA7127"/>
    <w:rsid w:val="00AA74CF"/>
    <w:rsid w:val="00AA7CA7"/>
    <w:rsid w:val="00AA7ECC"/>
    <w:rsid w:val="00AA7ED2"/>
    <w:rsid w:val="00AB04A8"/>
    <w:rsid w:val="00AB0D50"/>
    <w:rsid w:val="00AB1066"/>
    <w:rsid w:val="00AB14CA"/>
    <w:rsid w:val="00AB1974"/>
    <w:rsid w:val="00AB4BF1"/>
    <w:rsid w:val="00AB4CB3"/>
    <w:rsid w:val="00AB523E"/>
    <w:rsid w:val="00AB5301"/>
    <w:rsid w:val="00AB54D3"/>
    <w:rsid w:val="00AB6F63"/>
    <w:rsid w:val="00AB7530"/>
    <w:rsid w:val="00AB7C9C"/>
    <w:rsid w:val="00AC0DFE"/>
    <w:rsid w:val="00AC195F"/>
    <w:rsid w:val="00AC1F2C"/>
    <w:rsid w:val="00AC2267"/>
    <w:rsid w:val="00AC255E"/>
    <w:rsid w:val="00AC2F0C"/>
    <w:rsid w:val="00AC3895"/>
    <w:rsid w:val="00AC3AC6"/>
    <w:rsid w:val="00AC48F2"/>
    <w:rsid w:val="00AC4983"/>
    <w:rsid w:val="00AC4D9F"/>
    <w:rsid w:val="00AC4EFB"/>
    <w:rsid w:val="00AC51E5"/>
    <w:rsid w:val="00AC5947"/>
    <w:rsid w:val="00AC599A"/>
    <w:rsid w:val="00AC5EC7"/>
    <w:rsid w:val="00AC663D"/>
    <w:rsid w:val="00AC77E9"/>
    <w:rsid w:val="00AC7D48"/>
    <w:rsid w:val="00AC7DA5"/>
    <w:rsid w:val="00AD04A0"/>
    <w:rsid w:val="00AD07AC"/>
    <w:rsid w:val="00AD0902"/>
    <w:rsid w:val="00AD2DF9"/>
    <w:rsid w:val="00AD32C5"/>
    <w:rsid w:val="00AD33F0"/>
    <w:rsid w:val="00AD374E"/>
    <w:rsid w:val="00AD3CF8"/>
    <w:rsid w:val="00AD4150"/>
    <w:rsid w:val="00AD417A"/>
    <w:rsid w:val="00AD4586"/>
    <w:rsid w:val="00AD516A"/>
    <w:rsid w:val="00AD563F"/>
    <w:rsid w:val="00AD56A9"/>
    <w:rsid w:val="00AD5CED"/>
    <w:rsid w:val="00AD5F0E"/>
    <w:rsid w:val="00AD72A1"/>
    <w:rsid w:val="00AD7912"/>
    <w:rsid w:val="00AD79E6"/>
    <w:rsid w:val="00AD7FDC"/>
    <w:rsid w:val="00AE04AF"/>
    <w:rsid w:val="00AE0656"/>
    <w:rsid w:val="00AE0EA5"/>
    <w:rsid w:val="00AE0F85"/>
    <w:rsid w:val="00AE15CA"/>
    <w:rsid w:val="00AE19A4"/>
    <w:rsid w:val="00AE1A34"/>
    <w:rsid w:val="00AE1C63"/>
    <w:rsid w:val="00AE23E5"/>
    <w:rsid w:val="00AE242D"/>
    <w:rsid w:val="00AE2AC0"/>
    <w:rsid w:val="00AE2B63"/>
    <w:rsid w:val="00AE35A0"/>
    <w:rsid w:val="00AE3692"/>
    <w:rsid w:val="00AE3B4E"/>
    <w:rsid w:val="00AE3D0F"/>
    <w:rsid w:val="00AE3F28"/>
    <w:rsid w:val="00AE4725"/>
    <w:rsid w:val="00AE4761"/>
    <w:rsid w:val="00AE5570"/>
    <w:rsid w:val="00AE578C"/>
    <w:rsid w:val="00AE6254"/>
    <w:rsid w:val="00AE6B94"/>
    <w:rsid w:val="00AE7BBC"/>
    <w:rsid w:val="00AF00E5"/>
    <w:rsid w:val="00AF0AF0"/>
    <w:rsid w:val="00AF2157"/>
    <w:rsid w:val="00AF2D57"/>
    <w:rsid w:val="00AF3777"/>
    <w:rsid w:val="00AF4337"/>
    <w:rsid w:val="00AF47FE"/>
    <w:rsid w:val="00AF4814"/>
    <w:rsid w:val="00AF4A72"/>
    <w:rsid w:val="00AF50A6"/>
    <w:rsid w:val="00AF52C0"/>
    <w:rsid w:val="00AF54DD"/>
    <w:rsid w:val="00AF5C07"/>
    <w:rsid w:val="00AF5FBC"/>
    <w:rsid w:val="00AF6399"/>
    <w:rsid w:val="00AF6BCB"/>
    <w:rsid w:val="00AF7C6D"/>
    <w:rsid w:val="00B007DA"/>
    <w:rsid w:val="00B01907"/>
    <w:rsid w:val="00B01B84"/>
    <w:rsid w:val="00B021A5"/>
    <w:rsid w:val="00B02708"/>
    <w:rsid w:val="00B031DE"/>
    <w:rsid w:val="00B033DC"/>
    <w:rsid w:val="00B03DA1"/>
    <w:rsid w:val="00B03DAA"/>
    <w:rsid w:val="00B03F61"/>
    <w:rsid w:val="00B03FBC"/>
    <w:rsid w:val="00B0608F"/>
    <w:rsid w:val="00B072B8"/>
    <w:rsid w:val="00B0783B"/>
    <w:rsid w:val="00B07D5B"/>
    <w:rsid w:val="00B1091C"/>
    <w:rsid w:val="00B10D52"/>
    <w:rsid w:val="00B110B0"/>
    <w:rsid w:val="00B11E4E"/>
    <w:rsid w:val="00B1205E"/>
    <w:rsid w:val="00B12332"/>
    <w:rsid w:val="00B12349"/>
    <w:rsid w:val="00B124EF"/>
    <w:rsid w:val="00B12817"/>
    <w:rsid w:val="00B12EE1"/>
    <w:rsid w:val="00B13256"/>
    <w:rsid w:val="00B13479"/>
    <w:rsid w:val="00B134C9"/>
    <w:rsid w:val="00B13FAE"/>
    <w:rsid w:val="00B14544"/>
    <w:rsid w:val="00B14E6A"/>
    <w:rsid w:val="00B1572C"/>
    <w:rsid w:val="00B158BF"/>
    <w:rsid w:val="00B15A1B"/>
    <w:rsid w:val="00B15F2C"/>
    <w:rsid w:val="00B1623B"/>
    <w:rsid w:val="00B16409"/>
    <w:rsid w:val="00B16514"/>
    <w:rsid w:val="00B166E2"/>
    <w:rsid w:val="00B170F9"/>
    <w:rsid w:val="00B178B1"/>
    <w:rsid w:val="00B20293"/>
    <w:rsid w:val="00B202A5"/>
    <w:rsid w:val="00B20A50"/>
    <w:rsid w:val="00B210AC"/>
    <w:rsid w:val="00B21174"/>
    <w:rsid w:val="00B21462"/>
    <w:rsid w:val="00B2156D"/>
    <w:rsid w:val="00B22356"/>
    <w:rsid w:val="00B2239F"/>
    <w:rsid w:val="00B2242D"/>
    <w:rsid w:val="00B2342D"/>
    <w:rsid w:val="00B2347B"/>
    <w:rsid w:val="00B2454C"/>
    <w:rsid w:val="00B2464C"/>
    <w:rsid w:val="00B2471A"/>
    <w:rsid w:val="00B24914"/>
    <w:rsid w:val="00B24982"/>
    <w:rsid w:val="00B258A4"/>
    <w:rsid w:val="00B25B47"/>
    <w:rsid w:val="00B264B7"/>
    <w:rsid w:val="00B27285"/>
    <w:rsid w:val="00B27C5A"/>
    <w:rsid w:val="00B27D07"/>
    <w:rsid w:val="00B27DDD"/>
    <w:rsid w:val="00B300E6"/>
    <w:rsid w:val="00B311BA"/>
    <w:rsid w:val="00B31508"/>
    <w:rsid w:val="00B31736"/>
    <w:rsid w:val="00B317E3"/>
    <w:rsid w:val="00B31A3E"/>
    <w:rsid w:val="00B32082"/>
    <w:rsid w:val="00B325E8"/>
    <w:rsid w:val="00B328E3"/>
    <w:rsid w:val="00B33001"/>
    <w:rsid w:val="00B3378F"/>
    <w:rsid w:val="00B33AE2"/>
    <w:rsid w:val="00B3462A"/>
    <w:rsid w:val="00B35841"/>
    <w:rsid w:val="00B361B0"/>
    <w:rsid w:val="00B369F1"/>
    <w:rsid w:val="00B36BC6"/>
    <w:rsid w:val="00B36C2C"/>
    <w:rsid w:val="00B36FD2"/>
    <w:rsid w:val="00B379DB"/>
    <w:rsid w:val="00B37AFB"/>
    <w:rsid w:val="00B37D3F"/>
    <w:rsid w:val="00B40885"/>
    <w:rsid w:val="00B41500"/>
    <w:rsid w:val="00B4226B"/>
    <w:rsid w:val="00B42500"/>
    <w:rsid w:val="00B4277C"/>
    <w:rsid w:val="00B4299C"/>
    <w:rsid w:val="00B42A06"/>
    <w:rsid w:val="00B4499D"/>
    <w:rsid w:val="00B4536A"/>
    <w:rsid w:val="00B455D6"/>
    <w:rsid w:val="00B467DB"/>
    <w:rsid w:val="00B46E91"/>
    <w:rsid w:val="00B477D1"/>
    <w:rsid w:val="00B47865"/>
    <w:rsid w:val="00B47918"/>
    <w:rsid w:val="00B50A54"/>
    <w:rsid w:val="00B512F7"/>
    <w:rsid w:val="00B51F46"/>
    <w:rsid w:val="00B52E3D"/>
    <w:rsid w:val="00B53426"/>
    <w:rsid w:val="00B53E8C"/>
    <w:rsid w:val="00B546F2"/>
    <w:rsid w:val="00B550B7"/>
    <w:rsid w:val="00B5550C"/>
    <w:rsid w:val="00B55B45"/>
    <w:rsid w:val="00B56816"/>
    <w:rsid w:val="00B56EAF"/>
    <w:rsid w:val="00B570D2"/>
    <w:rsid w:val="00B57635"/>
    <w:rsid w:val="00B60961"/>
    <w:rsid w:val="00B60C11"/>
    <w:rsid w:val="00B62A59"/>
    <w:rsid w:val="00B631B2"/>
    <w:rsid w:val="00B641F4"/>
    <w:rsid w:val="00B64B2B"/>
    <w:rsid w:val="00B654C1"/>
    <w:rsid w:val="00B65D9A"/>
    <w:rsid w:val="00B66249"/>
    <w:rsid w:val="00B664D4"/>
    <w:rsid w:val="00B665BA"/>
    <w:rsid w:val="00B6730F"/>
    <w:rsid w:val="00B675F2"/>
    <w:rsid w:val="00B67BB8"/>
    <w:rsid w:val="00B67F03"/>
    <w:rsid w:val="00B70B5D"/>
    <w:rsid w:val="00B712E9"/>
    <w:rsid w:val="00B7163D"/>
    <w:rsid w:val="00B71AC1"/>
    <w:rsid w:val="00B724F0"/>
    <w:rsid w:val="00B72BA9"/>
    <w:rsid w:val="00B72BF5"/>
    <w:rsid w:val="00B73015"/>
    <w:rsid w:val="00B73C23"/>
    <w:rsid w:val="00B73F28"/>
    <w:rsid w:val="00B7497C"/>
    <w:rsid w:val="00B75A26"/>
    <w:rsid w:val="00B75A30"/>
    <w:rsid w:val="00B75F2A"/>
    <w:rsid w:val="00B76074"/>
    <w:rsid w:val="00B76858"/>
    <w:rsid w:val="00B7724D"/>
    <w:rsid w:val="00B776F2"/>
    <w:rsid w:val="00B77A40"/>
    <w:rsid w:val="00B805D0"/>
    <w:rsid w:val="00B815AA"/>
    <w:rsid w:val="00B81CAA"/>
    <w:rsid w:val="00B820FD"/>
    <w:rsid w:val="00B82C88"/>
    <w:rsid w:val="00B8300E"/>
    <w:rsid w:val="00B83047"/>
    <w:rsid w:val="00B832DB"/>
    <w:rsid w:val="00B83484"/>
    <w:rsid w:val="00B84465"/>
    <w:rsid w:val="00B84742"/>
    <w:rsid w:val="00B84E9E"/>
    <w:rsid w:val="00B8523C"/>
    <w:rsid w:val="00B854B2"/>
    <w:rsid w:val="00B85521"/>
    <w:rsid w:val="00B856AB"/>
    <w:rsid w:val="00B85BC4"/>
    <w:rsid w:val="00B86738"/>
    <w:rsid w:val="00B867A7"/>
    <w:rsid w:val="00B8755B"/>
    <w:rsid w:val="00B87972"/>
    <w:rsid w:val="00B87F2B"/>
    <w:rsid w:val="00B90A13"/>
    <w:rsid w:val="00B91664"/>
    <w:rsid w:val="00B91DEC"/>
    <w:rsid w:val="00B9327E"/>
    <w:rsid w:val="00B93425"/>
    <w:rsid w:val="00B9342F"/>
    <w:rsid w:val="00B93A7D"/>
    <w:rsid w:val="00B9544F"/>
    <w:rsid w:val="00B9548C"/>
    <w:rsid w:val="00B954A2"/>
    <w:rsid w:val="00B95AF4"/>
    <w:rsid w:val="00B95F1E"/>
    <w:rsid w:val="00B96657"/>
    <w:rsid w:val="00B96AEF"/>
    <w:rsid w:val="00B97A63"/>
    <w:rsid w:val="00BA01B3"/>
    <w:rsid w:val="00BA01BB"/>
    <w:rsid w:val="00BA0C7B"/>
    <w:rsid w:val="00BA1456"/>
    <w:rsid w:val="00BA2984"/>
    <w:rsid w:val="00BA30DD"/>
    <w:rsid w:val="00BA3185"/>
    <w:rsid w:val="00BA39F8"/>
    <w:rsid w:val="00BA4171"/>
    <w:rsid w:val="00BA4963"/>
    <w:rsid w:val="00BA4E90"/>
    <w:rsid w:val="00BA57F5"/>
    <w:rsid w:val="00BA6E15"/>
    <w:rsid w:val="00BA75F9"/>
    <w:rsid w:val="00BA7D27"/>
    <w:rsid w:val="00BB0CA2"/>
    <w:rsid w:val="00BB17E3"/>
    <w:rsid w:val="00BB1DCC"/>
    <w:rsid w:val="00BB2847"/>
    <w:rsid w:val="00BB28AE"/>
    <w:rsid w:val="00BB3B36"/>
    <w:rsid w:val="00BB4C26"/>
    <w:rsid w:val="00BB4DD6"/>
    <w:rsid w:val="00BB57D3"/>
    <w:rsid w:val="00BB6361"/>
    <w:rsid w:val="00BB637E"/>
    <w:rsid w:val="00BB70FE"/>
    <w:rsid w:val="00BB7447"/>
    <w:rsid w:val="00BB7820"/>
    <w:rsid w:val="00BB79D2"/>
    <w:rsid w:val="00BB7EE7"/>
    <w:rsid w:val="00BC08DD"/>
    <w:rsid w:val="00BC0900"/>
    <w:rsid w:val="00BC1EAE"/>
    <w:rsid w:val="00BC21D1"/>
    <w:rsid w:val="00BC24FA"/>
    <w:rsid w:val="00BC2DED"/>
    <w:rsid w:val="00BC2E0A"/>
    <w:rsid w:val="00BC31FE"/>
    <w:rsid w:val="00BC3B6C"/>
    <w:rsid w:val="00BC4CF9"/>
    <w:rsid w:val="00BC4D10"/>
    <w:rsid w:val="00BC5D69"/>
    <w:rsid w:val="00BC622D"/>
    <w:rsid w:val="00BC752B"/>
    <w:rsid w:val="00BC7887"/>
    <w:rsid w:val="00BC7C94"/>
    <w:rsid w:val="00BD03D0"/>
    <w:rsid w:val="00BD0BDC"/>
    <w:rsid w:val="00BD21EC"/>
    <w:rsid w:val="00BD2595"/>
    <w:rsid w:val="00BD2614"/>
    <w:rsid w:val="00BD2DE9"/>
    <w:rsid w:val="00BD370B"/>
    <w:rsid w:val="00BD37BF"/>
    <w:rsid w:val="00BD38A9"/>
    <w:rsid w:val="00BD39CF"/>
    <w:rsid w:val="00BD3AC7"/>
    <w:rsid w:val="00BD3AD5"/>
    <w:rsid w:val="00BD3BBC"/>
    <w:rsid w:val="00BD5DCF"/>
    <w:rsid w:val="00BD64C7"/>
    <w:rsid w:val="00BD6533"/>
    <w:rsid w:val="00BD6FC6"/>
    <w:rsid w:val="00BD7067"/>
    <w:rsid w:val="00BD747E"/>
    <w:rsid w:val="00BD7C2B"/>
    <w:rsid w:val="00BD7C2F"/>
    <w:rsid w:val="00BE1A29"/>
    <w:rsid w:val="00BE1B9A"/>
    <w:rsid w:val="00BE2390"/>
    <w:rsid w:val="00BE262D"/>
    <w:rsid w:val="00BE2AB3"/>
    <w:rsid w:val="00BE2F6E"/>
    <w:rsid w:val="00BE30A8"/>
    <w:rsid w:val="00BE3253"/>
    <w:rsid w:val="00BE32FD"/>
    <w:rsid w:val="00BE3484"/>
    <w:rsid w:val="00BE394D"/>
    <w:rsid w:val="00BE39E3"/>
    <w:rsid w:val="00BE3A30"/>
    <w:rsid w:val="00BE3B3A"/>
    <w:rsid w:val="00BE3E00"/>
    <w:rsid w:val="00BE441D"/>
    <w:rsid w:val="00BE5698"/>
    <w:rsid w:val="00BE6460"/>
    <w:rsid w:val="00BE6594"/>
    <w:rsid w:val="00BE6885"/>
    <w:rsid w:val="00BE6BA8"/>
    <w:rsid w:val="00BE7658"/>
    <w:rsid w:val="00BE7CBD"/>
    <w:rsid w:val="00BF001B"/>
    <w:rsid w:val="00BF09F0"/>
    <w:rsid w:val="00BF0A7E"/>
    <w:rsid w:val="00BF20C3"/>
    <w:rsid w:val="00BF2323"/>
    <w:rsid w:val="00BF2952"/>
    <w:rsid w:val="00BF296A"/>
    <w:rsid w:val="00BF29C2"/>
    <w:rsid w:val="00BF3D88"/>
    <w:rsid w:val="00BF49D5"/>
    <w:rsid w:val="00BF4BB3"/>
    <w:rsid w:val="00BF4E8D"/>
    <w:rsid w:val="00BF66E3"/>
    <w:rsid w:val="00BF6A24"/>
    <w:rsid w:val="00BF6F82"/>
    <w:rsid w:val="00BF743E"/>
    <w:rsid w:val="00BF7618"/>
    <w:rsid w:val="00C00185"/>
    <w:rsid w:val="00C005B8"/>
    <w:rsid w:val="00C005D1"/>
    <w:rsid w:val="00C00FB0"/>
    <w:rsid w:val="00C010CC"/>
    <w:rsid w:val="00C01326"/>
    <w:rsid w:val="00C01F43"/>
    <w:rsid w:val="00C01FCD"/>
    <w:rsid w:val="00C029C4"/>
    <w:rsid w:val="00C02B0E"/>
    <w:rsid w:val="00C02EBA"/>
    <w:rsid w:val="00C03A33"/>
    <w:rsid w:val="00C03B04"/>
    <w:rsid w:val="00C0410D"/>
    <w:rsid w:val="00C0421C"/>
    <w:rsid w:val="00C04A7D"/>
    <w:rsid w:val="00C04EFD"/>
    <w:rsid w:val="00C056FA"/>
    <w:rsid w:val="00C05DAC"/>
    <w:rsid w:val="00C06268"/>
    <w:rsid w:val="00C06993"/>
    <w:rsid w:val="00C071F0"/>
    <w:rsid w:val="00C075CF"/>
    <w:rsid w:val="00C07D91"/>
    <w:rsid w:val="00C10124"/>
    <w:rsid w:val="00C113EA"/>
    <w:rsid w:val="00C11554"/>
    <w:rsid w:val="00C116E2"/>
    <w:rsid w:val="00C119D3"/>
    <w:rsid w:val="00C11CF7"/>
    <w:rsid w:val="00C130F4"/>
    <w:rsid w:val="00C135A3"/>
    <w:rsid w:val="00C13B58"/>
    <w:rsid w:val="00C13CCE"/>
    <w:rsid w:val="00C14061"/>
    <w:rsid w:val="00C1491E"/>
    <w:rsid w:val="00C14E00"/>
    <w:rsid w:val="00C15315"/>
    <w:rsid w:val="00C15410"/>
    <w:rsid w:val="00C15420"/>
    <w:rsid w:val="00C15531"/>
    <w:rsid w:val="00C158A1"/>
    <w:rsid w:val="00C15B39"/>
    <w:rsid w:val="00C16FC4"/>
    <w:rsid w:val="00C1727B"/>
    <w:rsid w:val="00C17B5F"/>
    <w:rsid w:val="00C20FBA"/>
    <w:rsid w:val="00C219B7"/>
    <w:rsid w:val="00C21A81"/>
    <w:rsid w:val="00C226B0"/>
    <w:rsid w:val="00C23104"/>
    <w:rsid w:val="00C23689"/>
    <w:rsid w:val="00C23762"/>
    <w:rsid w:val="00C23AF7"/>
    <w:rsid w:val="00C23B4B"/>
    <w:rsid w:val="00C24D7F"/>
    <w:rsid w:val="00C24F72"/>
    <w:rsid w:val="00C252DC"/>
    <w:rsid w:val="00C25E5A"/>
    <w:rsid w:val="00C26A78"/>
    <w:rsid w:val="00C27069"/>
    <w:rsid w:val="00C27259"/>
    <w:rsid w:val="00C30D69"/>
    <w:rsid w:val="00C314D6"/>
    <w:rsid w:val="00C31EAD"/>
    <w:rsid w:val="00C320BD"/>
    <w:rsid w:val="00C32419"/>
    <w:rsid w:val="00C32E4E"/>
    <w:rsid w:val="00C334B3"/>
    <w:rsid w:val="00C34541"/>
    <w:rsid w:val="00C345D6"/>
    <w:rsid w:val="00C34818"/>
    <w:rsid w:val="00C35995"/>
    <w:rsid w:val="00C35ADB"/>
    <w:rsid w:val="00C35AE3"/>
    <w:rsid w:val="00C35B12"/>
    <w:rsid w:val="00C36919"/>
    <w:rsid w:val="00C37179"/>
    <w:rsid w:val="00C373A4"/>
    <w:rsid w:val="00C37A9D"/>
    <w:rsid w:val="00C37B3B"/>
    <w:rsid w:val="00C4070E"/>
    <w:rsid w:val="00C40ABD"/>
    <w:rsid w:val="00C41C9E"/>
    <w:rsid w:val="00C42601"/>
    <w:rsid w:val="00C43779"/>
    <w:rsid w:val="00C45603"/>
    <w:rsid w:val="00C457AF"/>
    <w:rsid w:val="00C45BA4"/>
    <w:rsid w:val="00C45C23"/>
    <w:rsid w:val="00C45F76"/>
    <w:rsid w:val="00C46800"/>
    <w:rsid w:val="00C46E75"/>
    <w:rsid w:val="00C478E1"/>
    <w:rsid w:val="00C47A73"/>
    <w:rsid w:val="00C47B25"/>
    <w:rsid w:val="00C51062"/>
    <w:rsid w:val="00C51858"/>
    <w:rsid w:val="00C51CF9"/>
    <w:rsid w:val="00C5212B"/>
    <w:rsid w:val="00C52195"/>
    <w:rsid w:val="00C5253D"/>
    <w:rsid w:val="00C52565"/>
    <w:rsid w:val="00C52994"/>
    <w:rsid w:val="00C52A72"/>
    <w:rsid w:val="00C52FA6"/>
    <w:rsid w:val="00C54726"/>
    <w:rsid w:val="00C54B2C"/>
    <w:rsid w:val="00C54B8B"/>
    <w:rsid w:val="00C54C2F"/>
    <w:rsid w:val="00C54C8F"/>
    <w:rsid w:val="00C54CC6"/>
    <w:rsid w:val="00C54F6F"/>
    <w:rsid w:val="00C55202"/>
    <w:rsid w:val="00C57CCD"/>
    <w:rsid w:val="00C57F35"/>
    <w:rsid w:val="00C60C85"/>
    <w:rsid w:val="00C60DD3"/>
    <w:rsid w:val="00C610DD"/>
    <w:rsid w:val="00C611AF"/>
    <w:rsid w:val="00C6185A"/>
    <w:rsid w:val="00C61EFD"/>
    <w:rsid w:val="00C62B41"/>
    <w:rsid w:val="00C62EBB"/>
    <w:rsid w:val="00C632F9"/>
    <w:rsid w:val="00C638A9"/>
    <w:rsid w:val="00C64342"/>
    <w:rsid w:val="00C65558"/>
    <w:rsid w:val="00C656F8"/>
    <w:rsid w:val="00C6575B"/>
    <w:rsid w:val="00C6604C"/>
    <w:rsid w:val="00C670C9"/>
    <w:rsid w:val="00C703A2"/>
    <w:rsid w:val="00C708FD"/>
    <w:rsid w:val="00C71F0E"/>
    <w:rsid w:val="00C7285C"/>
    <w:rsid w:val="00C73419"/>
    <w:rsid w:val="00C734DA"/>
    <w:rsid w:val="00C738AF"/>
    <w:rsid w:val="00C73B7E"/>
    <w:rsid w:val="00C73E52"/>
    <w:rsid w:val="00C7414B"/>
    <w:rsid w:val="00C7416F"/>
    <w:rsid w:val="00C743EF"/>
    <w:rsid w:val="00C74438"/>
    <w:rsid w:val="00C75E69"/>
    <w:rsid w:val="00C7619F"/>
    <w:rsid w:val="00C76725"/>
    <w:rsid w:val="00C76988"/>
    <w:rsid w:val="00C77C73"/>
    <w:rsid w:val="00C77E6E"/>
    <w:rsid w:val="00C801E2"/>
    <w:rsid w:val="00C8054C"/>
    <w:rsid w:val="00C80857"/>
    <w:rsid w:val="00C824EC"/>
    <w:rsid w:val="00C832C1"/>
    <w:rsid w:val="00C83D63"/>
    <w:rsid w:val="00C83E8C"/>
    <w:rsid w:val="00C840C9"/>
    <w:rsid w:val="00C84CAF"/>
    <w:rsid w:val="00C85281"/>
    <w:rsid w:val="00C8534A"/>
    <w:rsid w:val="00C8544D"/>
    <w:rsid w:val="00C8555C"/>
    <w:rsid w:val="00C85B33"/>
    <w:rsid w:val="00C85DBF"/>
    <w:rsid w:val="00C86656"/>
    <w:rsid w:val="00C866AA"/>
    <w:rsid w:val="00C868D5"/>
    <w:rsid w:val="00C904E7"/>
    <w:rsid w:val="00C90DA3"/>
    <w:rsid w:val="00C90E3C"/>
    <w:rsid w:val="00C915FB"/>
    <w:rsid w:val="00C91B00"/>
    <w:rsid w:val="00C926A0"/>
    <w:rsid w:val="00C926AA"/>
    <w:rsid w:val="00C92E4B"/>
    <w:rsid w:val="00C93120"/>
    <w:rsid w:val="00C93300"/>
    <w:rsid w:val="00C93D49"/>
    <w:rsid w:val="00C941B6"/>
    <w:rsid w:val="00C95418"/>
    <w:rsid w:val="00C954C5"/>
    <w:rsid w:val="00C9599E"/>
    <w:rsid w:val="00C95DDD"/>
    <w:rsid w:val="00C96783"/>
    <w:rsid w:val="00C97261"/>
    <w:rsid w:val="00C97344"/>
    <w:rsid w:val="00CA1258"/>
    <w:rsid w:val="00CA18CC"/>
    <w:rsid w:val="00CA1AA2"/>
    <w:rsid w:val="00CA1D3E"/>
    <w:rsid w:val="00CA1FD4"/>
    <w:rsid w:val="00CA2711"/>
    <w:rsid w:val="00CA27AA"/>
    <w:rsid w:val="00CA30BB"/>
    <w:rsid w:val="00CA3FC4"/>
    <w:rsid w:val="00CA454E"/>
    <w:rsid w:val="00CA472F"/>
    <w:rsid w:val="00CA515A"/>
    <w:rsid w:val="00CA61F3"/>
    <w:rsid w:val="00CA68AF"/>
    <w:rsid w:val="00CA6DE5"/>
    <w:rsid w:val="00CA75CC"/>
    <w:rsid w:val="00CB00EE"/>
    <w:rsid w:val="00CB1172"/>
    <w:rsid w:val="00CB17B9"/>
    <w:rsid w:val="00CB1B0E"/>
    <w:rsid w:val="00CB1ED7"/>
    <w:rsid w:val="00CB2A2D"/>
    <w:rsid w:val="00CB2CA4"/>
    <w:rsid w:val="00CB309F"/>
    <w:rsid w:val="00CB3DC2"/>
    <w:rsid w:val="00CB3FB2"/>
    <w:rsid w:val="00CB4837"/>
    <w:rsid w:val="00CB5E4B"/>
    <w:rsid w:val="00CB5FC4"/>
    <w:rsid w:val="00CB62A4"/>
    <w:rsid w:val="00CB6471"/>
    <w:rsid w:val="00CB6D70"/>
    <w:rsid w:val="00CB7147"/>
    <w:rsid w:val="00CB7650"/>
    <w:rsid w:val="00CB7C14"/>
    <w:rsid w:val="00CC0184"/>
    <w:rsid w:val="00CC058A"/>
    <w:rsid w:val="00CC2713"/>
    <w:rsid w:val="00CC3601"/>
    <w:rsid w:val="00CC4D16"/>
    <w:rsid w:val="00CC4F16"/>
    <w:rsid w:val="00CC57DF"/>
    <w:rsid w:val="00CC5B9B"/>
    <w:rsid w:val="00CC5D71"/>
    <w:rsid w:val="00CC62C6"/>
    <w:rsid w:val="00CC6318"/>
    <w:rsid w:val="00CC637E"/>
    <w:rsid w:val="00CC73C1"/>
    <w:rsid w:val="00CC78D1"/>
    <w:rsid w:val="00CD004F"/>
    <w:rsid w:val="00CD05F2"/>
    <w:rsid w:val="00CD0745"/>
    <w:rsid w:val="00CD1116"/>
    <w:rsid w:val="00CD1212"/>
    <w:rsid w:val="00CD1E41"/>
    <w:rsid w:val="00CD2550"/>
    <w:rsid w:val="00CD31A4"/>
    <w:rsid w:val="00CD3459"/>
    <w:rsid w:val="00CD354A"/>
    <w:rsid w:val="00CD44FE"/>
    <w:rsid w:val="00CD53D0"/>
    <w:rsid w:val="00CD5916"/>
    <w:rsid w:val="00CD608F"/>
    <w:rsid w:val="00CD6402"/>
    <w:rsid w:val="00CD6D09"/>
    <w:rsid w:val="00CD72CD"/>
    <w:rsid w:val="00CD7948"/>
    <w:rsid w:val="00CE0CC5"/>
    <w:rsid w:val="00CE1979"/>
    <w:rsid w:val="00CE19F7"/>
    <w:rsid w:val="00CE1E4B"/>
    <w:rsid w:val="00CE254E"/>
    <w:rsid w:val="00CE3138"/>
    <w:rsid w:val="00CE36A6"/>
    <w:rsid w:val="00CE372E"/>
    <w:rsid w:val="00CE38FA"/>
    <w:rsid w:val="00CE38FF"/>
    <w:rsid w:val="00CE40AB"/>
    <w:rsid w:val="00CE4C8C"/>
    <w:rsid w:val="00CE4F67"/>
    <w:rsid w:val="00CE52F1"/>
    <w:rsid w:val="00CE67D8"/>
    <w:rsid w:val="00CE71C6"/>
    <w:rsid w:val="00CE79AB"/>
    <w:rsid w:val="00CE7A16"/>
    <w:rsid w:val="00CE7C23"/>
    <w:rsid w:val="00CE7DB3"/>
    <w:rsid w:val="00CE7F50"/>
    <w:rsid w:val="00CF04B5"/>
    <w:rsid w:val="00CF0980"/>
    <w:rsid w:val="00CF0E41"/>
    <w:rsid w:val="00CF1B58"/>
    <w:rsid w:val="00CF22B8"/>
    <w:rsid w:val="00CF2E5F"/>
    <w:rsid w:val="00CF36A9"/>
    <w:rsid w:val="00CF3C71"/>
    <w:rsid w:val="00CF3FB0"/>
    <w:rsid w:val="00CF43C2"/>
    <w:rsid w:val="00CF44A6"/>
    <w:rsid w:val="00CF48E4"/>
    <w:rsid w:val="00CF4973"/>
    <w:rsid w:val="00CF4B3C"/>
    <w:rsid w:val="00CF4E27"/>
    <w:rsid w:val="00CF552B"/>
    <w:rsid w:val="00CF61AA"/>
    <w:rsid w:val="00CF6C52"/>
    <w:rsid w:val="00CF73DB"/>
    <w:rsid w:val="00CF742D"/>
    <w:rsid w:val="00D00C1C"/>
    <w:rsid w:val="00D01F5F"/>
    <w:rsid w:val="00D02308"/>
    <w:rsid w:val="00D02377"/>
    <w:rsid w:val="00D02666"/>
    <w:rsid w:val="00D03BE8"/>
    <w:rsid w:val="00D04495"/>
    <w:rsid w:val="00D04E9A"/>
    <w:rsid w:val="00D04F93"/>
    <w:rsid w:val="00D05235"/>
    <w:rsid w:val="00D05255"/>
    <w:rsid w:val="00D05631"/>
    <w:rsid w:val="00D05646"/>
    <w:rsid w:val="00D0597D"/>
    <w:rsid w:val="00D060FC"/>
    <w:rsid w:val="00D06A34"/>
    <w:rsid w:val="00D06F81"/>
    <w:rsid w:val="00D0740F"/>
    <w:rsid w:val="00D07A41"/>
    <w:rsid w:val="00D07D7A"/>
    <w:rsid w:val="00D1025E"/>
    <w:rsid w:val="00D1150D"/>
    <w:rsid w:val="00D133A3"/>
    <w:rsid w:val="00D135F5"/>
    <w:rsid w:val="00D137AC"/>
    <w:rsid w:val="00D13D2D"/>
    <w:rsid w:val="00D13E57"/>
    <w:rsid w:val="00D1452E"/>
    <w:rsid w:val="00D147D0"/>
    <w:rsid w:val="00D152D4"/>
    <w:rsid w:val="00D15306"/>
    <w:rsid w:val="00D155AD"/>
    <w:rsid w:val="00D15ABB"/>
    <w:rsid w:val="00D16458"/>
    <w:rsid w:val="00D1780C"/>
    <w:rsid w:val="00D17B1E"/>
    <w:rsid w:val="00D205A0"/>
    <w:rsid w:val="00D205AC"/>
    <w:rsid w:val="00D2080D"/>
    <w:rsid w:val="00D20A05"/>
    <w:rsid w:val="00D211E0"/>
    <w:rsid w:val="00D21608"/>
    <w:rsid w:val="00D2175C"/>
    <w:rsid w:val="00D2181D"/>
    <w:rsid w:val="00D21EDB"/>
    <w:rsid w:val="00D22005"/>
    <w:rsid w:val="00D22673"/>
    <w:rsid w:val="00D231DF"/>
    <w:rsid w:val="00D23258"/>
    <w:rsid w:val="00D241A8"/>
    <w:rsid w:val="00D24CAD"/>
    <w:rsid w:val="00D24D17"/>
    <w:rsid w:val="00D2528C"/>
    <w:rsid w:val="00D254C0"/>
    <w:rsid w:val="00D25CB1"/>
    <w:rsid w:val="00D26240"/>
    <w:rsid w:val="00D26832"/>
    <w:rsid w:val="00D272B1"/>
    <w:rsid w:val="00D273E6"/>
    <w:rsid w:val="00D2774B"/>
    <w:rsid w:val="00D30556"/>
    <w:rsid w:val="00D307E8"/>
    <w:rsid w:val="00D30D31"/>
    <w:rsid w:val="00D30D8B"/>
    <w:rsid w:val="00D31716"/>
    <w:rsid w:val="00D31ABD"/>
    <w:rsid w:val="00D31E5B"/>
    <w:rsid w:val="00D31F0A"/>
    <w:rsid w:val="00D32434"/>
    <w:rsid w:val="00D32B43"/>
    <w:rsid w:val="00D32C52"/>
    <w:rsid w:val="00D33390"/>
    <w:rsid w:val="00D33537"/>
    <w:rsid w:val="00D335F6"/>
    <w:rsid w:val="00D3439F"/>
    <w:rsid w:val="00D347C4"/>
    <w:rsid w:val="00D34A4F"/>
    <w:rsid w:val="00D34EB4"/>
    <w:rsid w:val="00D34F34"/>
    <w:rsid w:val="00D3538A"/>
    <w:rsid w:val="00D35778"/>
    <w:rsid w:val="00D36467"/>
    <w:rsid w:val="00D36F3C"/>
    <w:rsid w:val="00D37829"/>
    <w:rsid w:val="00D37C48"/>
    <w:rsid w:val="00D40A76"/>
    <w:rsid w:val="00D40BCF"/>
    <w:rsid w:val="00D40E11"/>
    <w:rsid w:val="00D412CD"/>
    <w:rsid w:val="00D418F3"/>
    <w:rsid w:val="00D41B54"/>
    <w:rsid w:val="00D425DE"/>
    <w:rsid w:val="00D4329E"/>
    <w:rsid w:val="00D43E18"/>
    <w:rsid w:val="00D45045"/>
    <w:rsid w:val="00D45543"/>
    <w:rsid w:val="00D45795"/>
    <w:rsid w:val="00D4611F"/>
    <w:rsid w:val="00D47AB7"/>
    <w:rsid w:val="00D47BDC"/>
    <w:rsid w:val="00D47EE5"/>
    <w:rsid w:val="00D50B99"/>
    <w:rsid w:val="00D50FAD"/>
    <w:rsid w:val="00D511F9"/>
    <w:rsid w:val="00D51D62"/>
    <w:rsid w:val="00D51D71"/>
    <w:rsid w:val="00D51DA4"/>
    <w:rsid w:val="00D52881"/>
    <w:rsid w:val="00D52D0D"/>
    <w:rsid w:val="00D52F01"/>
    <w:rsid w:val="00D54A0F"/>
    <w:rsid w:val="00D54DBA"/>
    <w:rsid w:val="00D554D6"/>
    <w:rsid w:val="00D55C97"/>
    <w:rsid w:val="00D5678F"/>
    <w:rsid w:val="00D603E7"/>
    <w:rsid w:val="00D60F4E"/>
    <w:rsid w:val="00D61850"/>
    <w:rsid w:val="00D61A6F"/>
    <w:rsid w:val="00D6315A"/>
    <w:rsid w:val="00D6397F"/>
    <w:rsid w:val="00D63A9A"/>
    <w:rsid w:val="00D648CF"/>
    <w:rsid w:val="00D650D6"/>
    <w:rsid w:val="00D662F6"/>
    <w:rsid w:val="00D669CD"/>
    <w:rsid w:val="00D6783A"/>
    <w:rsid w:val="00D70631"/>
    <w:rsid w:val="00D70C93"/>
    <w:rsid w:val="00D71A17"/>
    <w:rsid w:val="00D728E8"/>
    <w:rsid w:val="00D733F0"/>
    <w:rsid w:val="00D74C51"/>
    <w:rsid w:val="00D75210"/>
    <w:rsid w:val="00D755C5"/>
    <w:rsid w:val="00D75C7D"/>
    <w:rsid w:val="00D77035"/>
    <w:rsid w:val="00D7746D"/>
    <w:rsid w:val="00D77547"/>
    <w:rsid w:val="00D7793D"/>
    <w:rsid w:val="00D8014A"/>
    <w:rsid w:val="00D80834"/>
    <w:rsid w:val="00D80CC3"/>
    <w:rsid w:val="00D81024"/>
    <w:rsid w:val="00D81452"/>
    <w:rsid w:val="00D81515"/>
    <w:rsid w:val="00D817CE"/>
    <w:rsid w:val="00D81F5F"/>
    <w:rsid w:val="00D82024"/>
    <w:rsid w:val="00D820BD"/>
    <w:rsid w:val="00D82832"/>
    <w:rsid w:val="00D835B5"/>
    <w:rsid w:val="00D83774"/>
    <w:rsid w:val="00D83938"/>
    <w:rsid w:val="00D8399A"/>
    <w:rsid w:val="00D83AD8"/>
    <w:rsid w:val="00D83E97"/>
    <w:rsid w:val="00D8413C"/>
    <w:rsid w:val="00D85AAE"/>
    <w:rsid w:val="00D8618C"/>
    <w:rsid w:val="00D873D9"/>
    <w:rsid w:val="00D87422"/>
    <w:rsid w:val="00D87DD9"/>
    <w:rsid w:val="00D90149"/>
    <w:rsid w:val="00D908DE"/>
    <w:rsid w:val="00D90B9E"/>
    <w:rsid w:val="00D91015"/>
    <w:rsid w:val="00D9245C"/>
    <w:rsid w:val="00D935BE"/>
    <w:rsid w:val="00D9458B"/>
    <w:rsid w:val="00D9468B"/>
    <w:rsid w:val="00D94B24"/>
    <w:rsid w:val="00D9565D"/>
    <w:rsid w:val="00D957F0"/>
    <w:rsid w:val="00D96E10"/>
    <w:rsid w:val="00D97243"/>
    <w:rsid w:val="00D978A9"/>
    <w:rsid w:val="00D97EA3"/>
    <w:rsid w:val="00DA0174"/>
    <w:rsid w:val="00DA01C2"/>
    <w:rsid w:val="00DA054A"/>
    <w:rsid w:val="00DA09E7"/>
    <w:rsid w:val="00DA114C"/>
    <w:rsid w:val="00DA18E4"/>
    <w:rsid w:val="00DA2009"/>
    <w:rsid w:val="00DA319E"/>
    <w:rsid w:val="00DA3315"/>
    <w:rsid w:val="00DA5066"/>
    <w:rsid w:val="00DA5287"/>
    <w:rsid w:val="00DA62AA"/>
    <w:rsid w:val="00DA62D0"/>
    <w:rsid w:val="00DA7B1A"/>
    <w:rsid w:val="00DA7C4F"/>
    <w:rsid w:val="00DB018A"/>
    <w:rsid w:val="00DB0244"/>
    <w:rsid w:val="00DB158F"/>
    <w:rsid w:val="00DB16B2"/>
    <w:rsid w:val="00DB2106"/>
    <w:rsid w:val="00DB2DB5"/>
    <w:rsid w:val="00DB3B55"/>
    <w:rsid w:val="00DB4535"/>
    <w:rsid w:val="00DB4FA4"/>
    <w:rsid w:val="00DB525A"/>
    <w:rsid w:val="00DB698F"/>
    <w:rsid w:val="00DB7A56"/>
    <w:rsid w:val="00DC0034"/>
    <w:rsid w:val="00DC0487"/>
    <w:rsid w:val="00DC0577"/>
    <w:rsid w:val="00DC0621"/>
    <w:rsid w:val="00DC0DD2"/>
    <w:rsid w:val="00DC10DA"/>
    <w:rsid w:val="00DC177D"/>
    <w:rsid w:val="00DC1C6D"/>
    <w:rsid w:val="00DC3AFB"/>
    <w:rsid w:val="00DC462A"/>
    <w:rsid w:val="00DC4664"/>
    <w:rsid w:val="00DC5C81"/>
    <w:rsid w:val="00DC5F59"/>
    <w:rsid w:val="00DC66C0"/>
    <w:rsid w:val="00DC7218"/>
    <w:rsid w:val="00DC74A9"/>
    <w:rsid w:val="00DC7857"/>
    <w:rsid w:val="00DC7C33"/>
    <w:rsid w:val="00DD077B"/>
    <w:rsid w:val="00DD1185"/>
    <w:rsid w:val="00DD11AD"/>
    <w:rsid w:val="00DD11CB"/>
    <w:rsid w:val="00DD191B"/>
    <w:rsid w:val="00DD1A68"/>
    <w:rsid w:val="00DD29C6"/>
    <w:rsid w:val="00DD35EF"/>
    <w:rsid w:val="00DD3EF1"/>
    <w:rsid w:val="00DD4A22"/>
    <w:rsid w:val="00DD5239"/>
    <w:rsid w:val="00DD5409"/>
    <w:rsid w:val="00DD5497"/>
    <w:rsid w:val="00DD64B5"/>
    <w:rsid w:val="00DD6810"/>
    <w:rsid w:val="00DD6A95"/>
    <w:rsid w:val="00DD72EF"/>
    <w:rsid w:val="00DD7D43"/>
    <w:rsid w:val="00DE053A"/>
    <w:rsid w:val="00DE059B"/>
    <w:rsid w:val="00DE07A2"/>
    <w:rsid w:val="00DE27EB"/>
    <w:rsid w:val="00DE3855"/>
    <w:rsid w:val="00DE387E"/>
    <w:rsid w:val="00DE3B88"/>
    <w:rsid w:val="00DE46E8"/>
    <w:rsid w:val="00DE4C24"/>
    <w:rsid w:val="00DE558F"/>
    <w:rsid w:val="00DE56ED"/>
    <w:rsid w:val="00DE5820"/>
    <w:rsid w:val="00DE5B22"/>
    <w:rsid w:val="00DE6B3D"/>
    <w:rsid w:val="00DE71F4"/>
    <w:rsid w:val="00DE75B2"/>
    <w:rsid w:val="00DE785C"/>
    <w:rsid w:val="00DE78E7"/>
    <w:rsid w:val="00DF0BB1"/>
    <w:rsid w:val="00DF1493"/>
    <w:rsid w:val="00DF16C9"/>
    <w:rsid w:val="00DF1B46"/>
    <w:rsid w:val="00DF1EB7"/>
    <w:rsid w:val="00DF22E4"/>
    <w:rsid w:val="00DF2355"/>
    <w:rsid w:val="00DF3B1E"/>
    <w:rsid w:val="00DF3F14"/>
    <w:rsid w:val="00DF4172"/>
    <w:rsid w:val="00DF45FD"/>
    <w:rsid w:val="00DF4B8B"/>
    <w:rsid w:val="00DF5ABA"/>
    <w:rsid w:val="00DF633B"/>
    <w:rsid w:val="00DF6D71"/>
    <w:rsid w:val="00DF76C2"/>
    <w:rsid w:val="00DF7831"/>
    <w:rsid w:val="00DF7876"/>
    <w:rsid w:val="00E00F7D"/>
    <w:rsid w:val="00E012C3"/>
    <w:rsid w:val="00E01887"/>
    <w:rsid w:val="00E01A10"/>
    <w:rsid w:val="00E01A2D"/>
    <w:rsid w:val="00E01FC4"/>
    <w:rsid w:val="00E02545"/>
    <w:rsid w:val="00E02B83"/>
    <w:rsid w:val="00E03721"/>
    <w:rsid w:val="00E041DB"/>
    <w:rsid w:val="00E0423D"/>
    <w:rsid w:val="00E043C9"/>
    <w:rsid w:val="00E0450A"/>
    <w:rsid w:val="00E06221"/>
    <w:rsid w:val="00E0681E"/>
    <w:rsid w:val="00E06A6D"/>
    <w:rsid w:val="00E07721"/>
    <w:rsid w:val="00E07728"/>
    <w:rsid w:val="00E07F58"/>
    <w:rsid w:val="00E10E21"/>
    <w:rsid w:val="00E121F2"/>
    <w:rsid w:val="00E12BE0"/>
    <w:rsid w:val="00E12F68"/>
    <w:rsid w:val="00E13185"/>
    <w:rsid w:val="00E1388A"/>
    <w:rsid w:val="00E13E92"/>
    <w:rsid w:val="00E13F24"/>
    <w:rsid w:val="00E14300"/>
    <w:rsid w:val="00E144D4"/>
    <w:rsid w:val="00E145F3"/>
    <w:rsid w:val="00E14AC2"/>
    <w:rsid w:val="00E15480"/>
    <w:rsid w:val="00E156CC"/>
    <w:rsid w:val="00E15EFE"/>
    <w:rsid w:val="00E16EB0"/>
    <w:rsid w:val="00E17571"/>
    <w:rsid w:val="00E176BC"/>
    <w:rsid w:val="00E17D4D"/>
    <w:rsid w:val="00E17D88"/>
    <w:rsid w:val="00E17E37"/>
    <w:rsid w:val="00E207FB"/>
    <w:rsid w:val="00E20D63"/>
    <w:rsid w:val="00E20DBB"/>
    <w:rsid w:val="00E20E0C"/>
    <w:rsid w:val="00E21675"/>
    <w:rsid w:val="00E21959"/>
    <w:rsid w:val="00E21CFA"/>
    <w:rsid w:val="00E2281F"/>
    <w:rsid w:val="00E22DF2"/>
    <w:rsid w:val="00E23AA8"/>
    <w:rsid w:val="00E2444C"/>
    <w:rsid w:val="00E24AF4"/>
    <w:rsid w:val="00E254DD"/>
    <w:rsid w:val="00E258DE"/>
    <w:rsid w:val="00E25ED9"/>
    <w:rsid w:val="00E26B74"/>
    <w:rsid w:val="00E26CD2"/>
    <w:rsid w:val="00E3023D"/>
    <w:rsid w:val="00E3083D"/>
    <w:rsid w:val="00E30B21"/>
    <w:rsid w:val="00E31D91"/>
    <w:rsid w:val="00E32C4D"/>
    <w:rsid w:val="00E339DC"/>
    <w:rsid w:val="00E33DE7"/>
    <w:rsid w:val="00E33F6D"/>
    <w:rsid w:val="00E341E1"/>
    <w:rsid w:val="00E3466B"/>
    <w:rsid w:val="00E3615E"/>
    <w:rsid w:val="00E3693C"/>
    <w:rsid w:val="00E37690"/>
    <w:rsid w:val="00E37F4E"/>
    <w:rsid w:val="00E400BD"/>
    <w:rsid w:val="00E404C8"/>
    <w:rsid w:val="00E41012"/>
    <w:rsid w:val="00E41023"/>
    <w:rsid w:val="00E415B1"/>
    <w:rsid w:val="00E41AE8"/>
    <w:rsid w:val="00E41FAE"/>
    <w:rsid w:val="00E42101"/>
    <w:rsid w:val="00E42262"/>
    <w:rsid w:val="00E4231F"/>
    <w:rsid w:val="00E426C3"/>
    <w:rsid w:val="00E44D3B"/>
    <w:rsid w:val="00E4549D"/>
    <w:rsid w:val="00E45BE5"/>
    <w:rsid w:val="00E46BD6"/>
    <w:rsid w:val="00E4702F"/>
    <w:rsid w:val="00E50159"/>
    <w:rsid w:val="00E501D6"/>
    <w:rsid w:val="00E503A8"/>
    <w:rsid w:val="00E50424"/>
    <w:rsid w:val="00E50458"/>
    <w:rsid w:val="00E504C8"/>
    <w:rsid w:val="00E505F7"/>
    <w:rsid w:val="00E506BD"/>
    <w:rsid w:val="00E509D0"/>
    <w:rsid w:val="00E50B19"/>
    <w:rsid w:val="00E50D5B"/>
    <w:rsid w:val="00E51601"/>
    <w:rsid w:val="00E52CCA"/>
    <w:rsid w:val="00E539EE"/>
    <w:rsid w:val="00E54CD9"/>
    <w:rsid w:val="00E54CEA"/>
    <w:rsid w:val="00E54D4E"/>
    <w:rsid w:val="00E54EB2"/>
    <w:rsid w:val="00E55CC5"/>
    <w:rsid w:val="00E55CEE"/>
    <w:rsid w:val="00E5795A"/>
    <w:rsid w:val="00E6023E"/>
    <w:rsid w:val="00E607ED"/>
    <w:rsid w:val="00E61C85"/>
    <w:rsid w:val="00E6310E"/>
    <w:rsid w:val="00E6364B"/>
    <w:rsid w:val="00E64852"/>
    <w:rsid w:val="00E64CA9"/>
    <w:rsid w:val="00E65228"/>
    <w:rsid w:val="00E653BD"/>
    <w:rsid w:val="00E6685F"/>
    <w:rsid w:val="00E66D5F"/>
    <w:rsid w:val="00E67521"/>
    <w:rsid w:val="00E6762C"/>
    <w:rsid w:val="00E67CEC"/>
    <w:rsid w:val="00E70111"/>
    <w:rsid w:val="00E7188D"/>
    <w:rsid w:val="00E71DFE"/>
    <w:rsid w:val="00E73B1C"/>
    <w:rsid w:val="00E7407D"/>
    <w:rsid w:val="00E742CA"/>
    <w:rsid w:val="00E742FB"/>
    <w:rsid w:val="00E74A2A"/>
    <w:rsid w:val="00E74F51"/>
    <w:rsid w:val="00E75532"/>
    <w:rsid w:val="00E75862"/>
    <w:rsid w:val="00E766AD"/>
    <w:rsid w:val="00E76852"/>
    <w:rsid w:val="00E7689A"/>
    <w:rsid w:val="00E76B7B"/>
    <w:rsid w:val="00E778CC"/>
    <w:rsid w:val="00E81421"/>
    <w:rsid w:val="00E82D6A"/>
    <w:rsid w:val="00E82DF7"/>
    <w:rsid w:val="00E83B03"/>
    <w:rsid w:val="00E83CAA"/>
    <w:rsid w:val="00E83E2C"/>
    <w:rsid w:val="00E84460"/>
    <w:rsid w:val="00E845EF"/>
    <w:rsid w:val="00E84BDB"/>
    <w:rsid w:val="00E8601C"/>
    <w:rsid w:val="00E874E6"/>
    <w:rsid w:val="00E87BD3"/>
    <w:rsid w:val="00E87BD6"/>
    <w:rsid w:val="00E87F24"/>
    <w:rsid w:val="00E9019D"/>
    <w:rsid w:val="00E90DFC"/>
    <w:rsid w:val="00E921A5"/>
    <w:rsid w:val="00E92EE4"/>
    <w:rsid w:val="00E93351"/>
    <w:rsid w:val="00E937E9"/>
    <w:rsid w:val="00E93B3C"/>
    <w:rsid w:val="00E93D02"/>
    <w:rsid w:val="00E93F19"/>
    <w:rsid w:val="00E943FE"/>
    <w:rsid w:val="00E94868"/>
    <w:rsid w:val="00E96275"/>
    <w:rsid w:val="00E96799"/>
    <w:rsid w:val="00E969E5"/>
    <w:rsid w:val="00E96E8A"/>
    <w:rsid w:val="00E96EE5"/>
    <w:rsid w:val="00E97E86"/>
    <w:rsid w:val="00EA04F3"/>
    <w:rsid w:val="00EA18C8"/>
    <w:rsid w:val="00EA2814"/>
    <w:rsid w:val="00EA2831"/>
    <w:rsid w:val="00EA35EB"/>
    <w:rsid w:val="00EA3E11"/>
    <w:rsid w:val="00EA4366"/>
    <w:rsid w:val="00EA4D02"/>
    <w:rsid w:val="00EA5003"/>
    <w:rsid w:val="00EA7C4D"/>
    <w:rsid w:val="00EA7CF6"/>
    <w:rsid w:val="00EB005E"/>
    <w:rsid w:val="00EB0526"/>
    <w:rsid w:val="00EB0D15"/>
    <w:rsid w:val="00EB0D19"/>
    <w:rsid w:val="00EB1339"/>
    <w:rsid w:val="00EB14DE"/>
    <w:rsid w:val="00EB2107"/>
    <w:rsid w:val="00EB217A"/>
    <w:rsid w:val="00EB2491"/>
    <w:rsid w:val="00EB2F39"/>
    <w:rsid w:val="00EB3DC6"/>
    <w:rsid w:val="00EB3EFF"/>
    <w:rsid w:val="00EB4461"/>
    <w:rsid w:val="00EB4DA0"/>
    <w:rsid w:val="00EB5162"/>
    <w:rsid w:val="00EB5416"/>
    <w:rsid w:val="00EB58C6"/>
    <w:rsid w:val="00EB59D8"/>
    <w:rsid w:val="00EB5D27"/>
    <w:rsid w:val="00EB6182"/>
    <w:rsid w:val="00EB78D8"/>
    <w:rsid w:val="00EB791E"/>
    <w:rsid w:val="00EC03E5"/>
    <w:rsid w:val="00EC12B4"/>
    <w:rsid w:val="00EC12C5"/>
    <w:rsid w:val="00EC1BF3"/>
    <w:rsid w:val="00EC40FC"/>
    <w:rsid w:val="00EC468C"/>
    <w:rsid w:val="00EC4F4D"/>
    <w:rsid w:val="00EC66E0"/>
    <w:rsid w:val="00EC68D7"/>
    <w:rsid w:val="00EC6C88"/>
    <w:rsid w:val="00EC70B0"/>
    <w:rsid w:val="00ED043D"/>
    <w:rsid w:val="00ED14FA"/>
    <w:rsid w:val="00ED15E4"/>
    <w:rsid w:val="00ED1896"/>
    <w:rsid w:val="00ED1B1D"/>
    <w:rsid w:val="00ED1C3D"/>
    <w:rsid w:val="00ED26D3"/>
    <w:rsid w:val="00ED3000"/>
    <w:rsid w:val="00ED3FE1"/>
    <w:rsid w:val="00ED4173"/>
    <w:rsid w:val="00ED49B4"/>
    <w:rsid w:val="00ED5DE1"/>
    <w:rsid w:val="00ED63E1"/>
    <w:rsid w:val="00ED6916"/>
    <w:rsid w:val="00EE033A"/>
    <w:rsid w:val="00EE0413"/>
    <w:rsid w:val="00EE0CB0"/>
    <w:rsid w:val="00EE0EB9"/>
    <w:rsid w:val="00EE13C0"/>
    <w:rsid w:val="00EE2BF2"/>
    <w:rsid w:val="00EE2F17"/>
    <w:rsid w:val="00EE35E9"/>
    <w:rsid w:val="00EE3A7B"/>
    <w:rsid w:val="00EE3E6F"/>
    <w:rsid w:val="00EE40B9"/>
    <w:rsid w:val="00EE40FA"/>
    <w:rsid w:val="00EE4737"/>
    <w:rsid w:val="00EE4940"/>
    <w:rsid w:val="00EE7C56"/>
    <w:rsid w:val="00EE7CF2"/>
    <w:rsid w:val="00EF03FE"/>
    <w:rsid w:val="00EF0B71"/>
    <w:rsid w:val="00EF196A"/>
    <w:rsid w:val="00EF1E68"/>
    <w:rsid w:val="00EF20D2"/>
    <w:rsid w:val="00EF239B"/>
    <w:rsid w:val="00EF2CA1"/>
    <w:rsid w:val="00EF35E0"/>
    <w:rsid w:val="00EF375D"/>
    <w:rsid w:val="00EF436F"/>
    <w:rsid w:val="00EF4CAE"/>
    <w:rsid w:val="00EF5321"/>
    <w:rsid w:val="00EF6C19"/>
    <w:rsid w:val="00EF70AD"/>
    <w:rsid w:val="00F00CF7"/>
    <w:rsid w:val="00F00E4A"/>
    <w:rsid w:val="00F013E3"/>
    <w:rsid w:val="00F015DF"/>
    <w:rsid w:val="00F01D1D"/>
    <w:rsid w:val="00F02109"/>
    <w:rsid w:val="00F022D0"/>
    <w:rsid w:val="00F026CC"/>
    <w:rsid w:val="00F02812"/>
    <w:rsid w:val="00F02970"/>
    <w:rsid w:val="00F0430F"/>
    <w:rsid w:val="00F0516F"/>
    <w:rsid w:val="00F053C8"/>
    <w:rsid w:val="00F05EFB"/>
    <w:rsid w:val="00F0708A"/>
    <w:rsid w:val="00F076DD"/>
    <w:rsid w:val="00F07716"/>
    <w:rsid w:val="00F07C41"/>
    <w:rsid w:val="00F1051A"/>
    <w:rsid w:val="00F10B6B"/>
    <w:rsid w:val="00F10FC0"/>
    <w:rsid w:val="00F11CBC"/>
    <w:rsid w:val="00F126C4"/>
    <w:rsid w:val="00F12FAF"/>
    <w:rsid w:val="00F133D6"/>
    <w:rsid w:val="00F13485"/>
    <w:rsid w:val="00F13EB3"/>
    <w:rsid w:val="00F141A8"/>
    <w:rsid w:val="00F14849"/>
    <w:rsid w:val="00F14AD9"/>
    <w:rsid w:val="00F14C57"/>
    <w:rsid w:val="00F169A8"/>
    <w:rsid w:val="00F17A34"/>
    <w:rsid w:val="00F17C7D"/>
    <w:rsid w:val="00F17E47"/>
    <w:rsid w:val="00F17EE2"/>
    <w:rsid w:val="00F22EC4"/>
    <w:rsid w:val="00F23914"/>
    <w:rsid w:val="00F24B27"/>
    <w:rsid w:val="00F25291"/>
    <w:rsid w:val="00F25C5B"/>
    <w:rsid w:val="00F26383"/>
    <w:rsid w:val="00F26C19"/>
    <w:rsid w:val="00F27132"/>
    <w:rsid w:val="00F27247"/>
    <w:rsid w:val="00F27598"/>
    <w:rsid w:val="00F2797D"/>
    <w:rsid w:val="00F27D41"/>
    <w:rsid w:val="00F30015"/>
    <w:rsid w:val="00F307DB"/>
    <w:rsid w:val="00F30C91"/>
    <w:rsid w:val="00F31C0D"/>
    <w:rsid w:val="00F31DBA"/>
    <w:rsid w:val="00F31E35"/>
    <w:rsid w:val="00F32501"/>
    <w:rsid w:val="00F32C66"/>
    <w:rsid w:val="00F32DF1"/>
    <w:rsid w:val="00F33E0A"/>
    <w:rsid w:val="00F34932"/>
    <w:rsid w:val="00F34E21"/>
    <w:rsid w:val="00F35531"/>
    <w:rsid w:val="00F35ED2"/>
    <w:rsid w:val="00F3650B"/>
    <w:rsid w:val="00F377A8"/>
    <w:rsid w:val="00F37EB1"/>
    <w:rsid w:val="00F40306"/>
    <w:rsid w:val="00F40AE8"/>
    <w:rsid w:val="00F416DB"/>
    <w:rsid w:val="00F41BCA"/>
    <w:rsid w:val="00F420A6"/>
    <w:rsid w:val="00F42917"/>
    <w:rsid w:val="00F42CB8"/>
    <w:rsid w:val="00F42F46"/>
    <w:rsid w:val="00F430E5"/>
    <w:rsid w:val="00F4368E"/>
    <w:rsid w:val="00F43FF5"/>
    <w:rsid w:val="00F44642"/>
    <w:rsid w:val="00F45416"/>
    <w:rsid w:val="00F46E09"/>
    <w:rsid w:val="00F47348"/>
    <w:rsid w:val="00F5092F"/>
    <w:rsid w:val="00F510FA"/>
    <w:rsid w:val="00F52A68"/>
    <w:rsid w:val="00F52AF4"/>
    <w:rsid w:val="00F52F96"/>
    <w:rsid w:val="00F53197"/>
    <w:rsid w:val="00F531F3"/>
    <w:rsid w:val="00F53406"/>
    <w:rsid w:val="00F5441C"/>
    <w:rsid w:val="00F548BA"/>
    <w:rsid w:val="00F552F0"/>
    <w:rsid w:val="00F55BDB"/>
    <w:rsid w:val="00F56408"/>
    <w:rsid w:val="00F56507"/>
    <w:rsid w:val="00F56F10"/>
    <w:rsid w:val="00F578BA"/>
    <w:rsid w:val="00F604F0"/>
    <w:rsid w:val="00F60AF6"/>
    <w:rsid w:val="00F6133F"/>
    <w:rsid w:val="00F62C94"/>
    <w:rsid w:val="00F62CF5"/>
    <w:rsid w:val="00F62D21"/>
    <w:rsid w:val="00F62D5A"/>
    <w:rsid w:val="00F632AE"/>
    <w:rsid w:val="00F63BE6"/>
    <w:rsid w:val="00F64D4F"/>
    <w:rsid w:val="00F64FE7"/>
    <w:rsid w:val="00F65668"/>
    <w:rsid w:val="00F6568C"/>
    <w:rsid w:val="00F65BAE"/>
    <w:rsid w:val="00F65E58"/>
    <w:rsid w:val="00F65F0C"/>
    <w:rsid w:val="00F66D09"/>
    <w:rsid w:val="00F672E9"/>
    <w:rsid w:val="00F67481"/>
    <w:rsid w:val="00F675EF"/>
    <w:rsid w:val="00F67870"/>
    <w:rsid w:val="00F7006E"/>
    <w:rsid w:val="00F70A0D"/>
    <w:rsid w:val="00F70BA5"/>
    <w:rsid w:val="00F71962"/>
    <w:rsid w:val="00F721A4"/>
    <w:rsid w:val="00F723BA"/>
    <w:rsid w:val="00F72739"/>
    <w:rsid w:val="00F7288C"/>
    <w:rsid w:val="00F7304C"/>
    <w:rsid w:val="00F7377E"/>
    <w:rsid w:val="00F73F44"/>
    <w:rsid w:val="00F748DF"/>
    <w:rsid w:val="00F74A14"/>
    <w:rsid w:val="00F750B4"/>
    <w:rsid w:val="00F751D8"/>
    <w:rsid w:val="00F76871"/>
    <w:rsid w:val="00F76FF1"/>
    <w:rsid w:val="00F771FB"/>
    <w:rsid w:val="00F777D7"/>
    <w:rsid w:val="00F77CE5"/>
    <w:rsid w:val="00F77F57"/>
    <w:rsid w:val="00F8014F"/>
    <w:rsid w:val="00F8078A"/>
    <w:rsid w:val="00F81DC4"/>
    <w:rsid w:val="00F82221"/>
    <w:rsid w:val="00F82556"/>
    <w:rsid w:val="00F82ECF"/>
    <w:rsid w:val="00F83A72"/>
    <w:rsid w:val="00F8402D"/>
    <w:rsid w:val="00F843CC"/>
    <w:rsid w:val="00F84506"/>
    <w:rsid w:val="00F848BC"/>
    <w:rsid w:val="00F84A3E"/>
    <w:rsid w:val="00F84AA9"/>
    <w:rsid w:val="00F850C1"/>
    <w:rsid w:val="00F85690"/>
    <w:rsid w:val="00F861AC"/>
    <w:rsid w:val="00F8657D"/>
    <w:rsid w:val="00F86BCA"/>
    <w:rsid w:val="00F86D51"/>
    <w:rsid w:val="00F90248"/>
    <w:rsid w:val="00F9031A"/>
    <w:rsid w:val="00F9064E"/>
    <w:rsid w:val="00F908B1"/>
    <w:rsid w:val="00F9124A"/>
    <w:rsid w:val="00F920A9"/>
    <w:rsid w:val="00F92348"/>
    <w:rsid w:val="00F92F11"/>
    <w:rsid w:val="00F92F1E"/>
    <w:rsid w:val="00F93571"/>
    <w:rsid w:val="00F93CD9"/>
    <w:rsid w:val="00F94157"/>
    <w:rsid w:val="00F94275"/>
    <w:rsid w:val="00F94AA8"/>
    <w:rsid w:val="00F94D17"/>
    <w:rsid w:val="00F957C5"/>
    <w:rsid w:val="00F95E57"/>
    <w:rsid w:val="00F96238"/>
    <w:rsid w:val="00F963D9"/>
    <w:rsid w:val="00F96884"/>
    <w:rsid w:val="00F96ABB"/>
    <w:rsid w:val="00FA0359"/>
    <w:rsid w:val="00FA0935"/>
    <w:rsid w:val="00FA0DEC"/>
    <w:rsid w:val="00FA0F52"/>
    <w:rsid w:val="00FA1062"/>
    <w:rsid w:val="00FA1357"/>
    <w:rsid w:val="00FA1906"/>
    <w:rsid w:val="00FA1949"/>
    <w:rsid w:val="00FA1C2E"/>
    <w:rsid w:val="00FA1C8B"/>
    <w:rsid w:val="00FA3148"/>
    <w:rsid w:val="00FA3301"/>
    <w:rsid w:val="00FA33F0"/>
    <w:rsid w:val="00FA3469"/>
    <w:rsid w:val="00FA4650"/>
    <w:rsid w:val="00FA4A21"/>
    <w:rsid w:val="00FA5538"/>
    <w:rsid w:val="00FA5637"/>
    <w:rsid w:val="00FA5B48"/>
    <w:rsid w:val="00FA75EF"/>
    <w:rsid w:val="00FB00EA"/>
    <w:rsid w:val="00FB09ED"/>
    <w:rsid w:val="00FB0D61"/>
    <w:rsid w:val="00FB1006"/>
    <w:rsid w:val="00FB1072"/>
    <w:rsid w:val="00FB18EB"/>
    <w:rsid w:val="00FB2C4B"/>
    <w:rsid w:val="00FB2E8D"/>
    <w:rsid w:val="00FB363F"/>
    <w:rsid w:val="00FB3A31"/>
    <w:rsid w:val="00FB3B82"/>
    <w:rsid w:val="00FB3BC4"/>
    <w:rsid w:val="00FB3E27"/>
    <w:rsid w:val="00FB3F9C"/>
    <w:rsid w:val="00FB41D0"/>
    <w:rsid w:val="00FB5F84"/>
    <w:rsid w:val="00FB6E52"/>
    <w:rsid w:val="00FB762A"/>
    <w:rsid w:val="00FB7EF5"/>
    <w:rsid w:val="00FC03CC"/>
    <w:rsid w:val="00FC1980"/>
    <w:rsid w:val="00FC245A"/>
    <w:rsid w:val="00FC269C"/>
    <w:rsid w:val="00FC2F5A"/>
    <w:rsid w:val="00FC377B"/>
    <w:rsid w:val="00FC419D"/>
    <w:rsid w:val="00FC4BFC"/>
    <w:rsid w:val="00FC611E"/>
    <w:rsid w:val="00FC6918"/>
    <w:rsid w:val="00FC7923"/>
    <w:rsid w:val="00FD058B"/>
    <w:rsid w:val="00FD0955"/>
    <w:rsid w:val="00FD0C0A"/>
    <w:rsid w:val="00FD1420"/>
    <w:rsid w:val="00FD14A3"/>
    <w:rsid w:val="00FD1D5F"/>
    <w:rsid w:val="00FD2124"/>
    <w:rsid w:val="00FD2274"/>
    <w:rsid w:val="00FD2DF3"/>
    <w:rsid w:val="00FD35D0"/>
    <w:rsid w:val="00FD4145"/>
    <w:rsid w:val="00FD4C1E"/>
    <w:rsid w:val="00FD4D99"/>
    <w:rsid w:val="00FD5CF3"/>
    <w:rsid w:val="00FD5DD6"/>
    <w:rsid w:val="00FD68CA"/>
    <w:rsid w:val="00FD69FC"/>
    <w:rsid w:val="00FD6E7C"/>
    <w:rsid w:val="00FD700F"/>
    <w:rsid w:val="00FD7837"/>
    <w:rsid w:val="00FE0575"/>
    <w:rsid w:val="00FE1556"/>
    <w:rsid w:val="00FE1564"/>
    <w:rsid w:val="00FE1E9E"/>
    <w:rsid w:val="00FE3A17"/>
    <w:rsid w:val="00FE4104"/>
    <w:rsid w:val="00FE45A3"/>
    <w:rsid w:val="00FE469F"/>
    <w:rsid w:val="00FE49B4"/>
    <w:rsid w:val="00FE5420"/>
    <w:rsid w:val="00FE579B"/>
    <w:rsid w:val="00FE5903"/>
    <w:rsid w:val="00FE60DA"/>
    <w:rsid w:val="00FE6DCF"/>
    <w:rsid w:val="00FE78CC"/>
    <w:rsid w:val="00FE7B52"/>
    <w:rsid w:val="00FF0822"/>
    <w:rsid w:val="00FF3569"/>
    <w:rsid w:val="00FF41B5"/>
    <w:rsid w:val="00FF4460"/>
    <w:rsid w:val="00FF4EED"/>
    <w:rsid w:val="00FF563A"/>
    <w:rsid w:val="00FF57CE"/>
    <w:rsid w:val="00FF5E52"/>
    <w:rsid w:val="00FF5F2F"/>
    <w:rsid w:val="00FF617C"/>
    <w:rsid w:val="00FF7097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701"/>
    <o:shapelayout v:ext="edit">
      <o:idmap v:ext="edit" data="1"/>
    </o:shapelayout>
  </w:shapeDefaults>
  <w:decimalSymbol w:val="."/>
  <w:listSeparator w:val=","/>
  <w14:docId w14:val="33B80E16"/>
  <w15:docId w15:val="{BA8311A7-A559-4EDF-9C37-6FE38DB7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Segoe U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CCB"/>
    <w:pPr>
      <w:spacing w:after="200" w:line="276" w:lineRule="auto"/>
    </w:pPr>
  </w:style>
  <w:style w:type="paragraph" w:styleId="Heading1">
    <w:name w:val="heading 1"/>
    <w:next w:val="Normal"/>
    <w:link w:val="Heading1Char"/>
    <w:uiPriority w:val="1"/>
    <w:qFormat/>
    <w:rsid w:val="006C181F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3A1CCB"/>
    <w:pPr>
      <w:keepNext/>
      <w:keepLines/>
      <w:pageBreakBefore/>
      <w:spacing w:after="240" w:line="240" w:lineRule="auto"/>
      <w:outlineLvl w:val="1"/>
    </w:pPr>
    <w:rPr>
      <w:rFonts w:ascii="Calibri" w:eastAsiaTheme="minorEastAsia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3A1CCB"/>
    <w:pPr>
      <w:keepNext/>
      <w:keepLines/>
      <w:outlineLvl w:val="2"/>
    </w:pPr>
    <w:rPr>
      <w:rFonts w:ascii="Calibri" w:eastAsia="Times New Roman" w:hAnsi="Calibri" w:cs="Times New Roman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9E70D9"/>
    <w:pPr>
      <w:spacing w:before="120" w:after="120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3B585C"/>
    <w:pPr>
      <w:keepNext/>
      <w:keepLines/>
      <w:spacing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B5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85C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3B585C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3B585C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B585C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B585C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3B5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5C"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C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C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rsid w:val="003B585C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3B585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181F"/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210276"/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3A1CCB"/>
    <w:rPr>
      <w:rFonts w:ascii="Calibri" w:eastAsia="Times New Roman" w:hAnsi="Calibri" w:cs="Times New Roman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D01F5F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3B585C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3B585C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3B585C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3A1CCB"/>
    <w:pPr>
      <w:keepNext/>
      <w:spacing w:after="120" w:line="240" w:lineRule="auto"/>
    </w:pPr>
    <w:rPr>
      <w:rFonts w:ascii="Calibri" w:eastAsiaTheme="minorHAnsi" w:hAnsi="Calibri" w:cstheme="minorBidi"/>
      <w:b/>
      <w:bCs/>
      <w:sz w:val="24"/>
      <w:szCs w:val="18"/>
      <w:lang w:eastAsia="en-US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9018A0"/>
    <w:pPr>
      <w:spacing w:before="120" w:line="264" w:lineRule="auto"/>
      <w:contextualSpacing/>
    </w:pPr>
    <w:rPr>
      <w:rFonts w:ascii="Calibri" w:eastAsiaTheme="minorHAnsi" w:hAnsi="Calibri" w:cstheme="minorBidi"/>
      <w:sz w:val="18"/>
      <w:lang w:eastAsia="en-US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3F2744"/>
    <w:pPr>
      <w:spacing w:before="120"/>
    </w:pPr>
    <w:rPr>
      <w:b w:val="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3F2744"/>
    <w:rPr>
      <w:rFonts w:ascii="Calibri" w:eastAsiaTheme="minorHAnsi" w:hAnsi="Calibri" w:cstheme="minorBidi"/>
      <w:bCs/>
      <w:color w:val="000000"/>
      <w:spacing w:val="5"/>
      <w:kern w:val="28"/>
      <w:sz w:val="56"/>
      <w:szCs w:val="56"/>
      <w:lang w:eastAsia="en-US"/>
    </w:rPr>
  </w:style>
  <w:style w:type="paragraph" w:styleId="TOCHeading">
    <w:name w:val="TOC Heading"/>
    <w:next w:val="Normal"/>
    <w:uiPriority w:val="39"/>
    <w:qFormat/>
    <w:rsid w:val="003B585C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3B585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3B585C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3B585C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3B585C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00FD5"/>
    <w:pPr>
      <w:numPr>
        <w:numId w:val="8"/>
      </w:numPr>
      <w:spacing w:before="120" w:after="120"/>
    </w:pPr>
    <w:rPr>
      <w:rFonts w:eastAsiaTheme="minorHAnsi" w:cstheme="minorBidi"/>
      <w:lang w:eastAsia="en-US"/>
    </w:rPr>
  </w:style>
  <w:style w:type="paragraph" w:styleId="TableofFigures">
    <w:name w:val="table of figures"/>
    <w:basedOn w:val="Normal"/>
    <w:next w:val="Normal"/>
    <w:uiPriority w:val="99"/>
    <w:rsid w:val="00C97261"/>
    <w:pPr>
      <w:spacing w:before="120" w:after="120" w:line="240" w:lineRule="auto"/>
    </w:pPr>
    <w:rPr>
      <w:b/>
    </w:rPr>
  </w:style>
  <w:style w:type="paragraph" w:styleId="ListBullet2">
    <w:name w:val="List Bullet 2"/>
    <w:basedOn w:val="Normal"/>
    <w:uiPriority w:val="8"/>
    <w:qFormat/>
    <w:rsid w:val="003B585C"/>
    <w:pPr>
      <w:numPr>
        <w:ilvl w:val="1"/>
        <w:numId w:val="8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rsid w:val="00700FD5"/>
    <w:pPr>
      <w:numPr>
        <w:numId w:val="9"/>
      </w:numPr>
      <w:tabs>
        <w:tab w:val="left" w:pos="142"/>
      </w:tabs>
      <w:spacing w:before="120" w:after="120"/>
    </w:pPr>
    <w:rPr>
      <w:rFonts w:eastAsiaTheme="minorHAnsi" w:cstheme="minorBidi"/>
      <w:lang w:eastAsia="en-US"/>
    </w:rPr>
  </w:style>
  <w:style w:type="paragraph" w:styleId="ListNumber2">
    <w:name w:val="List Number 2"/>
    <w:uiPriority w:val="10"/>
    <w:qFormat/>
    <w:rsid w:val="00700FD5"/>
    <w:pPr>
      <w:numPr>
        <w:ilvl w:val="1"/>
        <w:numId w:val="9"/>
      </w:numPr>
      <w:tabs>
        <w:tab w:val="left" w:pos="567"/>
      </w:tabs>
      <w:spacing w:before="120" w:after="120" w:line="264" w:lineRule="auto"/>
    </w:pPr>
    <w:rPr>
      <w:rFonts w:eastAsia="Times New Roman" w:cs="Times New Roman"/>
      <w:szCs w:val="24"/>
      <w:lang w:eastAsia="en-US"/>
    </w:rPr>
  </w:style>
  <w:style w:type="paragraph" w:styleId="ListNumber3">
    <w:name w:val="List Number 3"/>
    <w:uiPriority w:val="11"/>
    <w:qFormat/>
    <w:rsid w:val="00700FD5"/>
    <w:pPr>
      <w:numPr>
        <w:ilvl w:val="2"/>
        <w:numId w:val="9"/>
      </w:numPr>
      <w:spacing w:before="120" w:after="120" w:line="264" w:lineRule="auto"/>
    </w:pPr>
    <w:rPr>
      <w:rFonts w:eastAsia="Times New Roman" w:cs="Times New Roman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3B58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3B585C"/>
    <w:rPr>
      <w:color w:val="E36C0A"/>
      <w:sz w:val="20"/>
      <w:szCs w:val="20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3B585C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3B585C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3B585C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3B585C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3B585C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3B585C"/>
    <w:pPr>
      <w:spacing w:after="720"/>
    </w:pPr>
  </w:style>
  <w:style w:type="character" w:styleId="Strong">
    <w:name w:val="Strong"/>
    <w:basedOn w:val="DefaultParagraphFont"/>
    <w:uiPriority w:val="99"/>
    <w:qFormat/>
    <w:rsid w:val="003B585C"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rsid w:val="003B585C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3B585C"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aliases w:val="Italics"/>
    <w:basedOn w:val="DefaultParagraphFont"/>
    <w:uiPriority w:val="20"/>
    <w:qFormat/>
    <w:rsid w:val="003B585C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3B585C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3B585C"/>
    <w:pPr>
      <w:spacing w:after="168" w:line="168" w:lineRule="atLeast"/>
      <w:jc w:val="both"/>
    </w:pPr>
    <w:rPr>
      <w:rFonts w:ascii="Times New Roman" w:hAnsi="Times New Roman"/>
      <w:sz w:val="13"/>
      <w:szCs w:val="13"/>
    </w:rPr>
  </w:style>
  <w:style w:type="paragraph" w:customStyle="1" w:styleId="BoxTextBullet">
    <w:name w:val="Box Text Bullet"/>
    <w:basedOn w:val="BoxText"/>
    <w:uiPriority w:val="21"/>
    <w:qFormat/>
    <w:rsid w:val="003B585C"/>
    <w:pPr>
      <w:numPr>
        <w:numId w:val="1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3B585C"/>
    <w:pPr>
      <w:numPr>
        <w:numId w:val="2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8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3B585C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3B585C"/>
    <w:pPr>
      <w:spacing w:before="120" w:after="120" w:line="240" w:lineRule="auto"/>
    </w:pPr>
    <w:rPr>
      <w:noProof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3B585C"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3B585C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85C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5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585C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5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585C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3B585C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3B585C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B585C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B91DEC"/>
    <w:rPr>
      <w:rFonts w:ascii="Calibri Light" w:eastAsiaTheme="minorHAnsi" w:hAnsi="Calibri Light" w:cstheme="minorBidi"/>
      <w:sz w:val="36"/>
      <w:lang w:eastAsia="en-US"/>
    </w:rPr>
  </w:style>
  <w:style w:type="numbering" w:customStyle="1" w:styleId="Numberlist">
    <w:name w:val="Number list"/>
    <w:uiPriority w:val="99"/>
    <w:rsid w:val="00680E84"/>
    <w:pPr>
      <w:numPr>
        <w:numId w:val="4"/>
      </w:numPr>
    </w:pPr>
  </w:style>
  <w:style w:type="numbering" w:customStyle="1" w:styleId="Headinglist">
    <w:name w:val="Heading list"/>
    <w:uiPriority w:val="99"/>
    <w:rsid w:val="00282A20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212A28"/>
    <w:pPr>
      <w:ind w:left="720"/>
      <w:contextualSpacing/>
    </w:pPr>
  </w:style>
  <w:style w:type="paragraph" w:styleId="Revision">
    <w:name w:val="Revision"/>
    <w:hidden/>
    <w:uiPriority w:val="99"/>
    <w:semiHidden/>
    <w:rsid w:val="002B4509"/>
    <w:rPr>
      <w:rFonts w:eastAsiaTheme="minorHAnsi" w:cstheme="minorBidi"/>
      <w:lang w:eastAsia="en-US"/>
    </w:rPr>
  </w:style>
  <w:style w:type="paragraph" w:styleId="NoSpacing">
    <w:name w:val="No Spacing"/>
    <w:uiPriority w:val="1"/>
    <w:qFormat/>
    <w:rsid w:val="008D6A59"/>
    <w:rPr>
      <w:rFonts w:eastAsia="Calibri"/>
      <w:color w:val="000000"/>
      <w:lang w:eastAsia="en-US"/>
    </w:rPr>
  </w:style>
  <w:style w:type="numbering" w:customStyle="1" w:styleId="Compliance">
    <w:name w:val="Compliance"/>
    <w:uiPriority w:val="99"/>
    <w:rsid w:val="00A43AB4"/>
    <w:pPr>
      <w:numPr>
        <w:numId w:val="6"/>
      </w:numPr>
    </w:pPr>
  </w:style>
  <w:style w:type="paragraph" w:customStyle="1" w:styleId="Normalnumbered">
    <w:name w:val="Normal numbered"/>
    <w:qFormat/>
    <w:rsid w:val="00A43AB4"/>
    <w:pPr>
      <w:tabs>
        <w:tab w:val="left" w:pos="426"/>
        <w:tab w:val="num" w:pos="567"/>
      </w:tabs>
      <w:spacing w:after="120"/>
    </w:pPr>
    <w:rPr>
      <w:rFonts w:eastAsiaTheme="minorHAnsi" w:cstheme="minorBid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33DF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A733DF"/>
    <w:rPr>
      <w:rFonts w:ascii="Calibri" w:eastAsiaTheme="minorHAnsi" w:hAnsi="Calibri"/>
      <w:sz w:val="22"/>
      <w:szCs w:val="22"/>
    </w:rPr>
  </w:style>
  <w:style w:type="numbering" w:customStyle="1" w:styleId="StyleBulletedSymbol">
    <w:name w:val="Style Bulleted Symbol"/>
    <w:basedOn w:val="NoList"/>
    <w:rsid w:val="0026300B"/>
    <w:pPr>
      <w:numPr>
        <w:numId w:val="7"/>
      </w:numPr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E93D02"/>
    <w:pPr>
      <w:spacing w:after="0" w:line="240" w:lineRule="auto"/>
      <w:ind w:left="220" w:hanging="220"/>
    </w:pPr>
  </w:style>
  <w:style w:type="table" w:customStyle="1" w:styleId="TableGrid10">
    <w:name w:val="Table Grid1"/>
    <w:basedOn w:val="TableNormal"/>
    <w:next w:val="TableGrid"/>
    <w:uiPriority w:val="59"/>
    <w:rsid w:val="00CA12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mall">
    <w:name w:val="Normal small"/>
    <w:qFormat/>
    <w:rsid w:val="003A7969"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0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9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8606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350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27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10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16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61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0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9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7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86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98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154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63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131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03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499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959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95659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560480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9864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pyright@awe.gov.au" TargetMode="External"/><Relationship Id="rId18" Type="http://schemas.openxmlformats.org/officeDocument/2006/relationships/hyperlink" Target="mailto:AEP.Arrangements@awe.gov.au" TargetMode="External"/><Relationship Id="rId26" Type="http://schemas.openxmlformats.org/officeDocument/2006/relationships/hyperlink" Target="http://biconnet.daff.gov.au/BICONWeb/ImportConditions/Questions/EvaluateCase?elementID=0000088555&amp;elementVersionID=104" TargetMode="External"/><Relationship Id="rId39" Type="http://schemas.openxmlformats.org/officeDocument/2006/relationships/hyperlink" Target="http://www.awe.gov.au/import/arrival/arrangements/sit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we.gov.au/import/arrival/clearance-inspection/documentary-requirements/minimum-document-requirements-policy" TargetMode="External"/><Relationship Id="rId34" Type="http://schemas.openxmlformats.org/officeDocument/2006/relationships/hyperlink" Target="http://www.awe.gov.au/import/arrival/clearance-inspection/documentary-requirements/non-commodity_information_requirements_policy" TargetMode="External"/><Relationship Id="rId42" Type="http://schemas.openxmlformats.org/officeDocument/2006/relationships/hyperlink" Target="http://www.awe.gov.au/import/online-services/delivery-postcode/summary" TargetMode="External"/><Relationship Id="rId47" Type="http://schemas.openxmlformats.org/officeDocument/2006/relationships/footer" Target="footer1.xml"/><Relationship Id="rId50" Type="http://schemas.openxmlformats.org/officeDocument/2006/relationships/hyperlink" Target="https://www.awe.gov.au/import/arrival/clearance-inspection/documentary-requirements/non-commodity_information_requirements_polic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legalcode" TargetMode="External"/><Relationship Id="rId17" Type="http://schemas.openxmlformats.org/officeDocument/2006/relationships/hyperlink" Target="http://www.awe.gov.au/import/arrival/arrangements" TargetMode="External"/><Relationship Id="rId25" Type="http://schemas.openxmlformats.org/officeDocument/2006/relationships/hyperlink" Target="http://www.awe.gov.au/import/arrival/clearance-inspection/documentary-requirements/non-commodity_information_requirements_policy" TargetMode="External"/><Relationship Id="rId33" Type="http://schemas.openxmlformats.org/officeDocument/2006/relationships/hyperlink" Target="http://www.awe.gov.au/biosecurity/legislation/reportable-incident" TargetMode="External"/><Relationship Id="rId38" Type="http://schemas.openxmlformats.org/officeDocument/2006/relationships/hyperlink" Target="http://www.awe.gov.au/import/arrival/clearance-inspection/documentary-requirements/minimum-document-requirements-policy" TargetMode="External"/><Relationship Id="rId46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awe.gov.au/" TargetMode="External"/><Relationship Id="rId20" Type="http://schemas.openxmlformats.org/officeDocument/2006/relationships/hyperlink" Target="http://www.awe.gov.au/import/arrival/arrangements/general-policies" TargetMode="External"/><Relationship Id="rId29" Type="http://schemas.openxmlformats.org/officeDocument/2006/relationships/hyperlink" Target="https://www.awe.gov.au/import/arrival/arrangements/training-accreditation" TargetMode="External"/><Relationship Id="rId41" Type="http://schemas.openxmlformats.org/officeDocument/2006/relationships/hyperlink" Target="http://www.awe.gov.au/import/arrival/clearance-inspection/documentary-requirements/non-commodity_information_requirements_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awe.gov.au/import/arrival/arrangements/requirements/compliance-classifications" TargetMode="External"/><Relationship Id="rId32" Type="http://schemas.openxmlformats.org/officeDocument/2006/relationships/hyperlink" Target="https://www.awe.gov.au/import/arrival/arrangements/training-accreditation" TargetMode="External"/><Relationship Id="rId37" Type="http://schemas.openxmlformats.org/officeDocument/2006/relationships/hyperlink" Target="http://www.awe.gov.au/import/arrival/clearance-inspection/documentary-requirements/non-commodity_information_requirements_policy" TargetMode="External"/><Relationship Id="rId40" Type="http://schemas.openxmlformats.org/officeDocument/2006/relationships/hyperlink" Target="https://www.awe.gov.au/import/arrival/clearance-inspection/documentary-requirements/entity-identifier" TargetMode="External"/><Relationship Id="rId45" Type="http://schemas.openxmlformats.org/officeDocument/2006/relationships/header" Target="header1.xm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we.gov.au/import/arrival/arrangements/requirements" TargetMode="External"/><Relationship Id="rId23" Type="http://schemas.openxmlformats.org/officeDocument/2006/relationships/hyperlink" Target="http://www.awe.gov.au/import/arrival/arrangements/general-policies" TargetMode="External"/><Relationship Id="rId28" Type="http://schemas.openxmlformats.org/officeDocument/2006/relationships/hyperlink" Target="https://www.border.gov.au/Busi/Carg/Inte" TargetMode="External"/><Relationship Id="rId36" Type="http://schemas.openxmlformats.org/officeDocument/2006/relationships/hyperlink" Target="http://www.awe.gov.au/import/arrival/clearance-inspection/documentary-requirements/minimum-document-requirements-policy" TargetMode="External"/><Relationship Id="rId49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http://www.awe.gov.au/import/arrival/arrangements/glossary" TargetMode="External"/><Relationship Id="rId31" Type="http://schemas.openxmlformats.org/officeDocument/2006/relationships/hyperlink" Target="https://www.awe.gov.au/import/arrival/arrangements/training-accreditation" TargetMode="External"/><Relationship Id="rId44" Type="http://schemas.openxmlformats.org/officeDocument/2006/relationships/image" Target="media/image4.png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://www.awe.gov.au/import/arrival/clearance-inspection/documentary-requirements/non-commodity_information_requirements_policy" TargetMode="External"/><Relationship Id="rId27" Type="http://schemas.openxmlformats.org/officeDocument/2006/relationships/hyperlink" Target="http://www.awe.gov.au/import/arrival/clearance-inspection/documentary-requirements/minimum-document-requirements-policy" TargetMode="External"/><Relationship Id="rId30" Type="http://schemas.openxmlformats.org/officeDocument/2006/relationships/hyperlink" Target="http://www.agriculture.gov.au/import/arrival/arrangements/training-accreditation" TargetMode="External"/><Relationship Id="rId35" Type="http://schemas.openxmlformats.org/officeDocument/2006/relationships/hyperlink" Target="http://www.awe.gov.au/import/online-services/bicon" TargetMode="External"/><Relationship Id="rId43" Type="http://schemas.openxmlformats.org/officeDocument/2006/relationships/image" Target="media/image3.png"/><Relationship Id="rId48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https://www.awe.gov.au/import/arrival/clearance-inspection/documentary-requirements/entity-identif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1CACCFC3-B0F8-4746-901B-6FD073A8A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5F3CA-78EE-4172-84DF-488A352B3E22}"/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5a5c30-4c2f-474f-aa2f-443e46b3d189"/>
    <ds:schemaRef ds:uri="ac7ce04e-ea5d-4d46-bab0-39b1fa6a6f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4963</Words>
  <Characters>29882</Characters>
  <Application>Microsoft Office Word</Application>
  <DocSecurity>0</DocSecurity>
  <Lines>766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and conditions for approved arrangement class 19.1: non-commodity for containerised cargo clearance</vt:lpstr>
    </vt:vector>
  </TitlesOfParts>
  <Company/>
  <LinksUpToDate>false</LinksUpToDate>
  <CharactersWithSpaces>34381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and conditions for approved arrangement class 19.1: non-commodity for containerised cargo clearance</dc:title>
  <dc:creator>Department of Agriculture, Water and the Environment</dc:creator>
  <cp:lastModifiedBy>Wise, Nicola</cp:lastModifiedBy>
  <cp:revision>5</cp:revision>
  <cp:lastPrinted>2021-08-03T05:13:00Z</cp:lastPrinted>
  <dcterms:created xsi:type="dcterms:W3CDTF">2022-06-28T09:38:00Z</dcterms:created>
  <dcterms:modified xsi:type="dcterms:W3CDTF">2022-07-01T00:53:00Z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