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CA53E" w14:textId="6E02BB80" w:rsidR="004A0FA3" w:rsidRPr="00D529CB" w:rsidRDefault="00FB5493">
      <w:pPr>
        <w:pStyle w:val="Heading1"/>
        <w:spacing w:before="240"/>
        <w:rPr>
          <w:color w:val="FF0000"/>
          <w:sz w:val="56"/>
          <w:szCs w:val="24"/>
        </w:rPr>
      </w:pPr>
      <w:bookmarkStart w:id="0" w:name="_Hlk61425019"/>
      <w:r>
        <w:rPr>
          <w:sz w:val="56"/>
          <w:szCs w:val="24"/>
        </w:rPr>
        <w:t>Draft a</w:t>
      </w:r>
      <w:r w:rsidR="00907D50" w:rsidRPr="00D529CB">
        <w:rPr>
          <w:sz w:val="56"/>
          <w:szCs w:val="24"/>
        </w:rPr>
        <w:t xml:space="preserve">ssessment of a </w:t>
      </w:r>
      <w:r w:rsidR="00C04D2D">
        <w:rPr>
          <w:sz w:val="56"/>
          <w:szCs w:val="24"/>
        </w:rPr>
        <w:t xml:space="preserve">prescribed </w:t>
      </w:r>
      <w:r w:rsidR="00907D50" w:rsidRPr="00D529CB">
        <w:rPr>
          <w:sz w:val="56"/>
          <w:szCs w:val="24"/>
        </w:rPr>
        <w:t>heat treatment as a risk management measure</w:t>
      </w:r>
      <w:r w:rsidR="001C7774" w:rsidRPr="00D529CB">
        <w:rPr>
          <w:sz w:val="56"/>
          <w:szCs w:val="24"/>
        </w:rPr>
        <w:t xml:space="preserve"> for fish</w:t>
      </w:r>
      <w:r>
        <w:rPr>
          <w:sz w:val="56"/>
          <w:szCs w:val="24"/>
        </w:rPr>
        <w:t xml:space="preserve"> and fish</w:t>
      </w:r>
      <w:r w:rsidR="001C7774" w:rsidRPr="00D529CB">
        <w:rPr>
          <w:sz w:val="56"/>
          <w:szCs w:val="24"/>
        </w:rPr>
        <w:t xml:space="preserve"> products for use as </w:t>
      </w:r>
      <w:r w:rsidR="00A74756">
        <w:rPr>
          <w:sz w:val="56"/>
          <w:szCs w:val="24"/>
        </w:rPr>
        <w:t xml:space="preserve">pet food and </w:t>
      </w:r>
      <w:r w:rsidR="001C7774" w:rsidRPr="00D529CB">
        <w:rPr>
          <w:sz w:val="56"/>
          <w:szCs w:val="24"/>
        </w:rPr>
        <w:t xml:space="preserve">stockfeed </w:t>
      </w:r>
    </w:p>
    <w:bookmarkEnd w:id="0"/>
    <w:p w14:paraId="223E5878" w14:textId="298679B4" w:rsidR="006868A7" w:rsidRPr="00EA1CC4" w:rsidRDefault="006868A7" w:rsidP="006868A7">
      <w:pPr>
        <w:pStyle w:val="Subtitle"/>
        <w:rPr>
          <w:sz w:val="48"/>
          <w:szCs w:val="48"/>
        </w:rPr>
      </w:pPr>
      <w:r w:rsidRPr="00EA1CC4">
        <w:rPr>
          <w:sz w:val="48"/>
          <w:szCs w:val="48"/>
        </w:rPr>
        <w:t>Draft</w:t>
      </w:r>
      <w:r w:rsidR="001C7774" w:rsidRPr="00EA1CC4">
        <w:rPr>
          <w:sz w:val="48"/>
          <w:szCs w:val="48"/>
        </w:rPr>
        <w:t xml:space="preserve"> </w:t>
      </w:r>
      <w:r w:rsidR="00907D50" w:rsidRPr="00EA1CC4">
        <w:rPr>
          <w:sz w:val="48"/>
          <w:szCs w:val="48"/>
        </w:rPr>
        <w:t>report</w:t>
      </w:r>
    </w:p>
    <w:p w14:paraId="6A6C2146" w14:textId="2EB8E7C0" w:rsidR="004A0FA3" w:rsidRDefault="00E739A7">
      <w:pPr>
        <w:pStyle w:val="Publicationdate"/>
      </w:pPr>
      <w:r>
        <w:t>September</w:t>
      </w:r>
      <w:r w:rsidR="00971828">
        <w:t xml:space="preserve"> </w:t>
      </w:r>
      <w:r w:rsidR="001C7774" w:rsidRPr="001C7774">
        <w:t>202</w:t>
      </w:r>
      <w:r w:rsidR="00BC0487">
        <w:t>1</w:t>
      </w:r>
    </w:p>
    <w:p w14:paraId="51456E0B" w14:textId="77777777" w:rsidR="004A0FA3" w:rsidRDefault="006868A7">
      <w:pPr>
        <w:pStyle w:val="Picture"/>
      </w:pPr>
      <w:r>
        <w:drawing>
          <wp:inline distT="0" distB="0" distL="0" distR="0" wp14:anchorId="731F8C6A" wp14:editId="1C5AADB4">
            <wp:extent cx="5268917" cy="5216056"/>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Government Department of Agriculture Biosecurity Biosphere"/>
                    <pic:cNvPicPr>
                      <a:picLocks noChangeAspect="1" noChangeArrowheads="1"/>
                    </pic:cNvPicPr>
                  </pic:nvPicPr>
                  <pic:blipFill>
                    <a:blip r:embed="rId11" cstate="print"/>
                    <a:srcRect/>
                    <a:stretch>
                      <a:fillRect/>
                    </a:stretch>
                  </pic:blipFill>
                  <pic:spPr bwMode="auto">
                    <a:xfrm>
                      <a:off x="0" y="0"/>
                      <a:ext cx="5278845" cy="5225884"/>
                    </a:xfrm>
                    <a:prstGeom prst="rect">
                      <a:avLst/>
                    </a:prstGeom>
                    <a:noFill/>
                    <a:ln w="9525">
                      <a:noFill/>
                      <a:miter lim="800000"/>
                      <a:headEnd/>
                      <a:tailEnd/>
                    </a:ln>
                  </pic:spPr>
                </pic:pic>
              </a:graphicData>
            </a:graphic>
          </wp:inline>
        </w:drawing>
      </w:r>
    </w:p>
    <w:p w14:paraId="6F9B803F" w14:textId="77777777" w:rsidR="004A0FA3" w:rsidRDefault="004A0FA3">
      <w:pPr>
        <w:pStyle w:val="Picture"/>
        <w:sectPr w:rsidR="004A0FA3">
          <w:headerReference w:type="default" r:id="rId12"/>
          <w:footerReference w:type="default" r:id="rId13"/>
          <w:type w:val="oddPage"/>
          <w:pgSz w:w="11906" w:h="16838"/>
          <w:pgMar w:top="1418" w:right="1418" w:bottom="1418" w:left="1418" w:header="567" w:footer="283" w:gutter="0"/>
          <w:cols w:space="708"/>
          <w:docGrid w:linePitch="360"/>
        </w:sectPr>
      </w:pPr>
    </w:p>
    <w:p w14:paraId="3B93F270" w14:textId="5A3ED6D6" w:rsidR="004A0FA3" w:rsidRDefault="006868A7" w:rsidP="00E966D9">
      <w:pPr>
        <w:pStyle w:val="Normalsmall"/>
      </w:pPr>
      <w:r>
        <w:lastRenderedPageBreak/>
        <w:t xml:space="preserve">© </w:t>
      </w:r>
      <w:r w:rsidRPr="00E966D9">
        <w:t xml:space="preserve">Commonwealth of </w:t>
      </w:r>
      <w:r w:rsidRPr="00B4042A">
        <w:t xml:space="preserve">Australia </w:t>
      </w:r>
      <w:r w:rsidR="00E966D9" w:rsidRPr="00B4042A">
        <w:t>202</w:t>
      </w:r>
      <w:r w:rsidR="00BC0487" w:rsidRPr="00B4042A">
        <w:t>1</w:t>
      </w:r>
    </w:p>
    <w:p w14:paraId="35C88EC6" w14:textId="77777777" w:rsidR="004A0FA3" w:rsidRDefault="006868A7">
      <w:pPr>
        <w:pStyle w:val="Normalsmall"/>
        <w:spacing w:after="60"/>
        <w:rPr>
          <w:rStyle w:val="Strong"/>
        </w:rPr>
      </w:pPr>
      <w:r>
        <w:rPr>
          <w:rStyle w:val="Strong"/>
        </w:rPr>
        <w:t>Ownership of intellectual property rights</w:t>
      </w:r>
    </w:p>
    <w:p w14:paraId="6A1A24D5" w14:textId="77777777" w:rsidR="004A0FA3" w:rsidRDefault="006868A7">
      <w:pPr>
        <w:pStyle w:val="Normalsmall"/>
      </w:pPr>
      <w:r>
        <w:t>Unless otherwise noted, copyright (and any other intellectual property rights, if any) in this publication is owned by the Commonwealth of Australia (referred to as the Commonwealth).</w:t>
      </w:r>
    </w:p>
    <w:p w14:paraId="0803F698" w14:textId="77777777" w:rsidR="004A0FA3" w:rsidRDefault="006868A7">
      <w:pPr>
        <w:pStyle w:val="Normalsmall"/>
        <w:spacing w:after="60"/>
        <w:rPr>
          <w:rStyle w:val="Strong"/>
        </w:rPr>
      </w:pPr>
      <w:r>
        <w:rPr>
          <w:rStyle w:val="Strong"/>
        </w:rPr>
        <w:t>Creative Commons licence</w:t>
      </w:r>
    </w:p>
    <w:p w14:paraId="1B17D853" w14:textId="77777777" w:rsidR="004A0FA3" w:rsidRDefault="006868A7">
      <w:pPr>
        <w:pStyle w:val="Normalsmall"/>
      </w:pPr>
      <w:r>
        <w:t xml:space="preserve">All material in this publication is licensed under a </w:t>
      </w:r>
      <w:hyperlink r:id="rId14"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7CD296FB" w14:textId="3FDE903E" w:rsidR="004A0FA3" w:rsidRDefault="006868A7">
      <w:pPr>
        <w:pStyle w:val="Normalsmall"/>
      </w:pPr>
      <w:r>
        <w:t xml:space="preserve">Inquiries about the licence and any use of this document should be emailed to </w:t>
      </w:r>
      <w:hyperlink r:id="rId15" w:history="1">
        <w:r w:rsidR="00E24066" w:rsidRPr="00015C1A">
          <w:rPr>
            <w:rStyle w:val="Hyperlink"/>
          </w:rPr>
          <w:t>copyright@awe.gov.au</w:t>
        </w:r>
      </w:hyperlink>
      <w:r>
        <w:t>.</w:t>
      </w:r>
    </w:p>
    <w:p w14:paraId="35F7092E" w14:textId="77777777" w:rsidR="004A0FA3" w:rsidRDefault="006868A7">
      <w:pPr>
        <w:pStyle w:val="Normalsmall"/>
      </w:pPr>
      <w:r>
        <w:rPr>
          <w:noProof/>
          <w:lang w:eastAsia="en-AU"/>
        </w:rPr>
        <w:drawing>
          <wp:inline distT="0" distB="0" distL="0" distR="0" wp14:anchorId="5DC69B25" wp14:editId="273AC298">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6"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6127F610" w14:textId="77777777" w:rsidR="004A0FA3" w:rsidRDefault="006868A7">
      <w:pPr>
        <w:pStyle w:val="Normalsmall"/>
        <w:spacing w:after="60"/>
        <w:rPr>
          <w:rStyle w:val="Strong"/>
        </w:rPr>
      </w:pPr>
      <w:r>
        <w:rPr>
          <w:rStyle w:val="Strong"/>
        </w:rPr>
        <w:t>Cataloguing data</w:t>
      </w:r>
    </w:p>
    <w:p w14:paraId="5517A12C" w14:textId="26A5AD5B" w:rsidR="004A0FA3" w:rsidRPr="00EA1CC4" w:rsidRDefault="006868A7">
      <w:pPr>
        <w:pStyle w:val="Normalsmall"/>
        <w:rPr>
          <w:b/>
          <w:bCs/>
          <w:highlight w:val="yellow"/>
        </w:rPr>
      </w:pPr>
      <w:r>
        <w:t>This publication (and any material sourced from it) should be attributed as</w:t>
      </w:r>
      <w:r w:rsidRPr="00E966D9">
        <w:t>: Department of Agriculture</w:t>
      </w:r>
      <w:r w:rsidR="00E24066" w:rsidRPr="00E966D9">
        <w:t>, Water and the Environment</w:t>
      </w:r>
      <w:r w:rsidR="00E966D9" w:rsidRPr="00E966D9">
        <w:t xml:space="preserve"> </w:t>
      </w:r>
      <w:r w:rsidR="00E966D9" w:rsidRPr="00E449F8">
        <w:t>202</w:t>
      </w:r>
      <w:r w:rsidR="00BC0487" w:rsidRPr="00E449F8">
        <w:t>1</w:t>
      </w:r>
      <w:r w:rsidR="00E966D9" w:rsidRPr="00E449F8">
        <w:t xml:space="preserve">, </w:t>
      </w:r>
      <w:r w:rsidR="00A74756" w:rsidRPr="00E449F8">
        <w:t>Assessment of a prescribed heat treatment as a risk management measure for fish products for use as pet food and stockfeed</w:t>
      </w:r>
      <w:r w:rsidR="00E966D9" w:rsidRPr="00E449F8">
        <w:rPr>
          <w:i/>
          <w:iCs/>
        </w:rPr>
        <w:t xml:space="preserve">, </w:t>
      </w:r>
      <w:r w:rsidR="00E966D9" w:rsidRPr="00E449F8">
        <w:t>Canber</w:t>
      </w:r>
      <w:r w:rsidR="00E966D9" w:rsidRPr="00600AB7">
        <w:rPr>
          <w:color w:val="000000" w:themeColor="text1"/>
        </w:rPr>
        <w:t xml:space="preserve">ra, </w:t>
      </w:r>
      <w:r w:rsidR="00600AB7" w:rsidRPr="00600AB7">
        <w:rPr>
          <w:color w:val="000000" w:themeColor="text1"/>
        </w:rPr>
        <w:t>September</w:t>
      </w:r>
      <w:r w:rsidR="00E966D9" w:rsidRPr="00600AB7">
        <w:rPr>
          <w:color w:val="000000" w:themeColor="text1"/>
        </w:rPr>
        <w:t>.</w:t>
      </w:r>
      <w:r w:rsidRPr="00600AB7">
        <w:rPr>
          <w:color w:val="000000" w:themeColor="text1"/>
        </w:rPr>
        <w:t xml:space="preserve"> CC BY 4.</w:t>
      </w:r>
      <w:r w:rsidRPr="00A81F25">
        <w:t>0.</w:t>
      </w:r>
    </w:p>
    <w:p w14:paraId="068EFB44" w14:textId="0557BC01" w:rsidR="004A0FA3" w:rsidRDefault="006868A7">
      <w:pPr>
        <w:pStyle w:val="TableText"/>
        <w:spacing w:after="240"/>
      </w:pPr>
      <w:r>
        <w:t xml:space="preserve">This publication is available at </w:t>
      </w:r>
      <w:hyperlink r:id="rId17" w:history="1">
        <w:r w:rsidR="00E24066">
          <w:rPr>
            <w:rStyle w:val="Hyperlink"/>
          </w:rPr>
          <w:t>awe</w:t>
        </w:r>
        <w:r>
          <w:rPr>
            <w:rStyle w:val="Hyperlink"/>
          </w:rPr>
          <w:t>.gov.au</w:t>
        </w:r>
      </w:hyperlink>
      <w:r>
        <w:t>.</w:t>
      </w:r>
    </w:p>
    <w:p w14:paraId="364A10DB" w14:textId="5B9EC0F5" w:rsidR="004A0FA3" w:rsidRDefault="006868A7">
      <w:pPr>
        <w:pStyle w:val="Normalsmall"/>
        <w:spacing w:after="0"/>
      </w:pPr>
      <w:r>
        <w:t>Department of Agriculture</w:t>
      </w:r>
      <w:r w:rsidR="00E24066">
        <w:t xml:space="preserve">, </w:t>
      </w:r>
      <w:proofErr w:type="gramStart"/>
      <w:r w:rsidR="00E24066">
        <w:t>Water</w:t>
      </w:r>
      <w:proofErr w:type="gramEnd"/>
      <w:r w:rsidR="00E24066">
        <w:t xml:space="preserve"> and the Environment</w:t>
      </w:r>
    </w:p>
    <w:p w14:paraId="52758164" w14:textId="77777777" w:rsidR="004A0FA3" w:rsidRDefault="006868A7">
      <w:pPr>
        <w:pStyle w:val="Normalsmall"/>
        <w:spacing w:after="0"/>
      </w:pPr>
      <w:r>
        <w:t>GPO Box 858 Canberra ACT 2601</w:t>
      </w:r>
    </w:p>
    <w:p w14:paraId="00F1BF62" w14:textId="77777777" w:rsidR="004A0FA3" w:rsidRDefault="006868A7">
      <w:pPr>
        <w:pStyle w:val="Normalsmall"/>
        <w:spacing w:after="0"/>
      </w:pPr>
      <w:r>
        <w:t>Telephone 1800 900 090</w:t>
      </w:r>
    </w:p>
    <w:p w14:paraId="5547D536" w14:textId="4FC4A11A" w:rsidR="004A0FA3" w:rsidRDefault="006868A7">
      <w:pPr>
        <w:pStyle w:val="Normalsmall"/>
      </w:pPr>
      <w:r>
        <w:t xml:space="preserve">Web </w:t>
      </w:r>
      <w:hyperlink r:id="rId18" w:history="1">
        <w:r w:rsidR="00BE5774">
          <w:rPr>
            <w:rStyle w:val="Hyperlink"/>
          </w:rPr>
          <w:t>awe</w:t>
        </w:r>
        <w:r>
          <w:rPr>
            <w:rStyle w:val="Hyperlink"/>
          </w:rPr>
          <w:t>.gov.au</w:t>
        </w:r>
      </w:hyperlink>
    </w:p>
    <w:p w14:paraId="3FCB64D1" w14:textId="1590AFC8" w:rsidR="004A0FA3" w:rsidRDefault="006868A7">
      <w:pPr>
        <w:pStyle w:val="Normalsmall"/>
      </w:pPr>
      <w:bookmarkStart w:id="1" w:name="_Hlk39583412"/>
      <w:r>
        <w:t>The Australian Government acting through the Department of Agriculture</w:t>
      </w:r>
      <w:r w:rsidR="00E24066">
        <w:t>, Water and the Environment</w:t>
      </w:r>
      <w:r>
        <w:t xml:space="preserve"> has exercised due care and skill in preparing and compiling the information and data in this publication. Notwithstanding, the Department of Agriculture</w:t>
      </w:r>
      <w:r w:rsidR="00E24066">
        <w:t>, Water and the Environme</w:t>
      </w:r>
      <w:r w:rsidR="00BE5774">
        <w:t>n</w:t>
      </w:r>
      <w:r w:rsidR="00E24066">
        <w:t>t</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bookmarkEnd w:id="1"/>
    </w:p>
    <w:p w14:paraId="552C9F84" w14:textId="77777777" w:rsidR="004A0FA3" w:rsidRDefault="006868A7">
      <w:pPr>
        <w:pStyle w:val="Normalsmall"/>
        <w:rPr>
          <w:rStyle w:val="Strong"/>
        </w:rPr>
      </w:pPr>
      <w:r>
        <w:rPr>
          <w:rStyle w:val="Strong"/>
        </w:rPr>
        <w:t>Stakeholder submissions on draft reports</w:t>
      </w:r>
    </w:p>
    <w:p w14:paraId="2BF060E6" w14:textId="77777777" w:rsidR="004A0FA3" w:rsidRDefault="006868A7">
      <w:pPr>
        <w:pStyle w:val="Normalsmall"/>
      </w:pPr>
      <w:r>
        <w:t>This draft report allows interested parties to comment on relevant technical biosecurity issues. A final report will consider any comments received.</w:t>
      </w:r>
    </w:p>
    <w:p w14:paraId="3FC21825" w14:textId="4932E06D" w:rsidR="004A0FA3" w:rsidRDefault="006868A7">
      <w:pPr>
        <w:pStyle w:val="Normalsmall"/>
      </w:pPr>
      <w:r>
        <w:t>Submissions should be sent to the Department of Agriculture</w:t>
      </w:r>
      <w:r w:rsidR="00F749F0">
        <w:t>, Water and the Environment</w:t>
      </w:r>
      <w:r>
        <w:t xml:space="preserve"> and must meet the conditions specified in the relevant </w:t>
      </w:r>
      <w:hyperlink r:id="rId19" w:history="1">
        <w:r>
          <w:rPr>
            <w:rStyle w:val="Hyperlink"/>
          </w:rPr>
          <w:t>Biosecurity advice notice</w:t>
        </w:r>
      </w:hyperlink>
      <w:r>
        <w:t>.</w:t>
      </w:r>
    </w:p>
    <w:p w14:paraId="14250CF3" w14:textId="77777777" w:rsidR="004A0FA3" w:rsidRDefault="004A0FA3">
      <w:pPr>
        <w:pStyle w:val="Normalsmall"/>
        <w:sectPr w:rsidR="004A0FA3">
          <w:headerReference w:type="default" r:id="rId20"/>
          <w:footerReference w:type="default" r:id="rId21"/>
          <w:pgSz w:w="11906" w:h="16838"/>
          <w:pgMar w:top="1418" w:right="1418" w:bottom="1418" w:left="1418" w:header="567" w:footer="283" w:gutter="0"/>
          <w:cols w:space="708"/>
          <w:docGrid w:linePitch="360"/>
        </w:sectPr>
      </w:pPr>
    </w:p>
    <w:sdt>
      <w:sdtPr>
        <w:rPr>
          <w:rFonts w:ascii="Cambria" w:eastAsiaTheme="minorHAnsi" w:hAnsi="Cambria" w:cstheme="minorBidi"/>
          <w:b w:val="0"/>
          <w:bCs w:val="0"/>
          <w:color w:val="auto"/>
          <w:sz w:val="22"/>
          <w:szCs w:val="22"/>
          <w:lang w:val="en-AU"/>
        </w:rPr>
        <w:id w:val="-389501355"/>
        <w:docPartObj>
          <w:docPartGallery w:val="Table of Contents"/>
          <w:docPartUnique/>
        </w:docPartObj>
      </w:sdtPr>
      <w:sdtEndPr>
        <w:rPr>
          <w:noProof/>
        </w:rPr>
      </w:sdtEndPr>
      <w:sdtContent>
        <w:p w14:paraId="6C6E8105" w14:textId="77777777" w:rsidR="004A0FA3" w:rsidRDefault="006868A7">
          <w:pPr>
            <w:pStyle w:val="TOCHeading"/>
          </w:pPr>
          <w:r>
            <w:t>Contents</w:t>
          </w:r>
        </w:p>
        <w:p w14:paraId="4F998092" w14:textId="3441C1C0" w:rsidR="00E87034" w:rsidRDefault="006868A7">
          <w:pPr>
            <w:pStyle w:val="TOC1"/>
            <w:rPr>
              <w:rFonts w:eastAsiaTheme="minorEastAsia"/>
              <w:b w:val="0"/>
              <w:lang w:eastAsia="en-AU"/>
            </w:rPr>
          </w:pPr>
          <w:r>
            <w:rPr>
              <w:b w:val="0"/>
              <w:bCs/>
            </w:rPr>
            <w:fldChar w:fldCharType="begin"/>
          </w:r>
          <w:r>
            <w:rPr>
              <w:b w:val="0"/>
              <w:bCs/>
            </w:rPr>
            <w:instrText xml:space="preserve"> TOC \h \z \t "Heading 2,1,Heading 3,2" </w:instrText>
          </w:r>
          <w:r>
            <w:rPr>
              <w:b w:val="0"/>
              <w:bCs/>
            </w:rPr>
            <w:fldChar w:fldCharType="separate"/>
          </w:r>
          <w:hyperlink w:anchor="_Toc71018568" w:history="1">
            <w:r w:rsidR="00E87034" w:rsidRPr="005026FB">
              <w:rPr>
                <w:rStyle w:val="Hyperlink"/>
              </w:rPr>
              <w:t>Summary</w:t>
            </w:r>
            <w:r w:rsidR="00E87034">
              <w:rPr>
                <w:webHidden/>
              </w:rPr>
              <w:tab/>
            </w:r>
            <w:r w:rsidR="00E87034">
              <w:rPr>
                <w:webHidden/>
              </w:rPr>
              <w:fldChar w:fldCharType="begin"/>
            </w:r>
            <w:r w:rsidR="00E87034">
              <w:rPr>
                <w:webHidden/>
              </w:rPr>
              <w:instrText xml:space="preserve"> PAGEREF _Toc71018568 \h </w:instrText>
            </w:r>
            <w:r w:rsidR="00E87034">
              <w:rPr>
                <w:webHidden/>
              </w:rPr>
            </w:r>
            <w:r w:rsidR="00E87034">
              <w:rPr>
                <w:webHidden/>
              </w:rPr>
              <w:fldChar w:fldCharType="separate"/>
            </w:r>
            <w:r w:rsidR="00910EF8">
              <w:rPr>
                <w:webHidden/>
              </w:rPr>
              <w:t>5</w:t>
            </w:r>
            <w:r w:rsidR="00E87034">
              <w:rPr>
                <w:webHidden/>
              </w:rPr>
              <w:fldChar w:fldCharType="end"/>
            </w:r>
          </w:hyperlink>
        </w:p>
        <w:p w14:paraId="4EE6339C" w14:textId="58546D12" w:rsidR="00E87034" w:rsidRDefault="005D1612">
          <w:pPr>
            <w:pStyle w:val="TOC1"/>
            <w:rPr>
              <w:rFonts w:eastAsiaTheme="minorEastAsia"/>
              <w:b w:val="0"/>
              <w:lang w:eastAsia="en-AU"/>
            </w:rPr>
          </w:pPr>
          <w:hyperlink w:anchor="_Toc71018569" w:history="1">
            <w:r w:rsidR="00E87034" w:rsidRPr="005026FB">
              <w:rPr>
                <w:rStyle w:val="Hyperlink"/>
              </w:rPr>
              <w:t>1</w:t>
            </w:r>
            <w:r w:rsidR="00E87034">
              <w:rPr>
                <w:rFonts w:eastAsiaTheme="minorEastAsia"/>
                <w:b w:val="0"/>
                <w:lang w:eastAsia="en-AU"/>
              </w:rPr>
              <w:tab/>
            </w:r>
            <w:r w:rsidR="00E87034" w:rsidRPr="005026FB">
              <w:rPr>
                <w:rStyle w:val="Hyperlink"/>
              </w:rPr>
              <w:t>Introduction</w:t>
            </w:r>
            <w:r w:rsidR="00E87034">
              <w:rPr>
                <w:webHidden/>
              </w:rPr>
              <w:tab/>
            </w:r>
            <w:r w:rsidR="00E87034">
              <w:rPr>
                <w:webHidden/>
              </w:rPr>
              <w:fldChar w:fldCharType="begin"/>
            </w:r>
            <w:r w:rsidR="00E87034">
              <w:rPr>
                <w:webHidden/>
              </w:rPr>
              <w:instrText xml:space="preserve"> PAGEREF _Toc71018569 \h </w:instrText>
            </w:r>
            <w:r w:rsidR="00E87034">
              <w:rPr>
                <w:webHidden/>
              </w:rPr>
            </w:r>
            <w:r w:rsidR="00E87034">
              <w:rPr>
                <w:webHidden/>
              </w:rPr>
              <w:fldChar w:fldCharType="separate"/>
            </w:r>
            <w:r w:rsidR="00910EF8">
              <w:rPr>
                <w:webHidden/>
              </w:rPr>
              <w:t>7</w:t>
            </w:r>
            <w:r w:rsidR="00E87034">
              <w:rPr>
                <w:webHidden/>
              </w:rPr>
              <w:fldChar w:fldCharType="end"/>
            </w:r>
          </w:hyperlink>
        </w:p>
        <w:p w14:paraId="7056C7F4" w14:textId="5866CB30" w:rsidR="00E87034" w:rsidRDefault="005D1612">
          <w:pPr>
            <w:pStyle w:val="TOC2"/>
            <w:tabs>
              <w:tab w:val="left" w:pos="1100"/>
            </w:tabs>
            <w:rPr>
              <w:rFonts w:eastAsiaTheme="minorEastAsia"/>
              <w:lang w:eastAsia="en-AU"/>
            </w:rPr>
          </w:pPr>
          <w:hyperlink w:anchor="_Toc71018570" w:history="1">
            <w:r w:rsidR="00E87034" w:rsidRPr="005026FB">
              <w:rPr>
                <w:rStyle w:val="Hyperlink"/>
              </w:rPr>
              <w:t>1.1</w:t>
            </w:r>
            <w:r w:rsidR="00E87034">
              <w:rPr>
                <w:rFonts w:eastAsiaTheme="minorEastAsia"/>
                <w:lang w:eastAsia="en-AU"/>
              </w:rPr>
              <w:tab/>
            </w:r>
            <w:r w:rsidR="00E87034" w:rsidRPr="005026FB">
              <w:rPr>
                <w:rStyle w:val="Hyperlink"/>
              </w:rPr>
              <w:t>Australia’s biosecurity policy framework</w:t>
            </w:r>
            <w:r w:rsidR="00E87034">
              <w:rPr>
                <w:webHidden/>
              </w:rPr>
              <w:tab/>
            </w:r>
            <w:r w:rsidR="00E87034">
              <w:rPr>
                <w:webHidden/>
              </w:rPr>
              <w:fldChar w:fldCharType="begin"/>
            </w:r>
            <w:r w:rsidR="00E87034">
              <w:rPr>
                <w:webHidden/>
              </w:rPr>
              <w:instrText xml:space="preserve"> PAGEREF _Toc71018570 \h </w:instrText>
            </w:r>
            <w:r w:rsidR="00E87034">
              <w:rPr>
                <w:webHidden/>
              </w:rPr>
            </w:r>
            <w:r w:rsidR="00E87034">
              <w:rPr>
                <w:webHidden/>
              </w:rPr>
              <w:fldChar w:fldCharType="separate"/>
            </w:r>
            <w:r w:rsidR="00910EF8">
              <w:rPr>
                <w:webHidden/>
              </w:rPr>
              <w:t>7</w:t>
            </w:r>
            <w:r w:rsidR="00E87034">
              <w:rPr>
                <w:webHidden/>
              </w:rPr>
              <w:fldChar w:fldCharType="end"/>
            </w:r>
          </w:hyperlink>
        </w:p>
        <w:p w14:paraId="4C41C524" w14:textId="7B66DD6F" w:rsidR="00E87034" w:rsidRDefault="005D1612">
          <w:pPr>
            <w:pStyle w:val="TOC2"/>
            <w:tabs>
              <w:tab w:val="left" w:pos="1100"/>
            </w:tabs>
            <w:rPr>
              <w:rFonts w:eastAsiaTheme="minorEastAsia"/>
              <w:lang w:eastAsia="en-AU"/>
            </w:rPr>
          </w:pPr>
          <w:hyperlink w:anchor="_Toc71018571" w:history="1">
            <w:r w:rsidR="00E87034" w:rsidRPr="005026FB">
              <w:rPr>
                <w:rStyle w:val="Hyperlink"/>
              </w:rPr>
              <w:t>1.2</w:t>
            </w:r>
            <w:r w:rsidR="00E87034">
              <w:rPr>
                <w:rFonts w:eastAsiaTheme="minorEastAsia"/>
                <w:lang w:eastAsia="en-AU"/>
              </w:rPr>
              <w:tab/>
            </w:r>
            <w:r w:rsidR="00E87034" w:rsidRPr="005026FB">
              <w:rPr>
                <w:rStyle w:val="Hyperlink"/>
              </w:rPr>
              <w:t>Request to assess heat treatment</w:t>
            </w:r>
            <w:r w:rsidR="00E87034">
              <w:rPr>
                <w:webHidden/>
              </w:rPr>
              <w:tab/>
            </w:r>
            <w:r w:rsidR="00E87034">
              <w:rPr>
                <w:webHidden/>
              </w:rPr>
              <w:fldChar w:fldCharType="begin"/>
            </w:r>
            <w:r w:rsidR="00E87034">
              <w:rPr>
                <w:webHidden/>
              </w:rPr>
              <w:instrText xml:space="preserve"> PAGEREF _Toc71018571 \h </w:instrText>
            </w:r>
            <w:r w:rsidR="00E87034">
              <w:rPr>
                <w:webHidden/>
              </w:rPr>
            </w:r>
            <w:r w:rsidR="00E87034">
              <w:rPr>
                <w:webHidden/>
              </w:rPr>
              <w:fldChar w:fldCharType="separate"/>
            </w:r>
            <w:r w:rsidR="00910EF8">
              <w:rPr>
                <w:webHidden/>
              </w:rPr>
              <w:t>7</w:t>
            </w:r>
            <w:r w:rsidR="00E87034">
              <w:rPr>
                <w:webHidden/>
              </w:rPr>
              <w:fldChar w:fldCharType="end"/>
            </w:r>
          </w:hyperlink>
        </w:p>
        <w:p w14:paraId="1234C654" w14:textId="34705251" w:rsidR="00E87034" w:rsidRDefault="005D1612">
          <w:pPr>
            <w:pStyle w:val="TOC1"/>
            <w:rPr>
              <w:rFonts w:eastAsiaTheme="minorEastAsia"/>
              <w:b w:val="0"/>
              <w:lang w:eastAsia="en-AU"/>
            </w:rPr>
          </w:pPr>
          <w:hyperlink w:anchor="_Toc71018572" w:history="1">
            <w:r w:rsidR="00E87034" w:rsidRPr="005026FB">
              <w:rPr>
                <w:rStyle w:val="Hyperlink"/>
              </w:rPr>
              <w:t>2</w:t>
            </w:r>
            <w:r w:rsidR="00E87034">
              <w:rPr>
                <w:rFonts w:eastAsiaTheme="minorEastAsia"/>
                <w:b w:val="0"/>
                <w:lang w:eastAsia="en-AU"/>
              </w:rPr>
              <w:tab/>
            </w:r>
            <w:r w:rsidR="00E87034" w:rsidRPr="005026FB">
              <w:rPr>
                <w:rStyle w:val="Hyperlink"/>
              </w:rPr>
              <w:t>The assessment</w:t>
            </w:r>
            <w:r w:rsidR="00E87034">
              <w:rPr>
                <w:webHidden/>
              </w:rPr>
              <w:tab/>
            </w:r>
            <w:r w:rsidR="00E87034">
              <w:rPr>
                <w:webHidden/>
              </w:rPr>
              <w:fldChar w:fldCharType="begin"/>
            </w:r>
            <w:r w:rsidR="00E87034">
              <w:rPr>
                <w:webHidden/>
              </w:rPr>
              <w:instrText xml:space="preserve"> PAGEREF _Toc71018572 \h </w:instrText>
            </w:r>
            <w:r w:rsidR="00E87034">
              <w:rPr>
                <w:webHidden/>
              </w:rPr>
            </w:r>
            <w:r w:rsidR="00E87034">
              <w:rPr>
                <w:webHidden/>
              </w:rPr>
              <w:fldChar w:fldCharType="separate"/>
            </w:r>
            <w:r w:rsidR="00910EF8">
              <w:rPr>
                <w:webHidden/>
              </w:rPr>
              <w:t>10</w:t>
            </w:r>
            <w:r w:rsidR="00E87034">
              <w:rPr>
                <w:webHidden/>
              </w:rPr>
              <w:fldChar w:fldCharType="end"/>
            </w:r>
          </w:hyperlink>
        </w:p>
        <w:p w14:paraId="0DA94C9A" w14:textId="6F408B77" w:rsidR="00E87034" w:rsidRDefault="005D1612">
          <w:pPr>
            <w:pStyle w:val="TOC1"/>
            <w:rPr>
              <w:rFonts w:eastAsiaTheme="minorEastAsia"/>
              <w:b w:val="0"/>
              <w:lang w:eastAsia="en-AU"/>
            </w:rPr>
          </w:pPr>
          <w:hyperlink w:anchor="_Toc71018573" w:history="1">
            <w:r w:rsidR="00E87034" w:rsidRPr="005026FB">
              <w:rPr>
                <w:rStyle w:val="Hyperlink"/>
              </w:rPr>
              <w:t>3</w:t>
            </w:r>
            <w:r w:rsidR="00E87034">
              <w:rPr>
                <w:rFonts w:eastAsiaTheme="minorEastAsia"/>
                <w:b w:val="0"/>
                <w:lang w:eastAsia="en-AU"/>
              </w:rPr>
              <w:tab/>
            </w:r>
            <w:r w:rsidR="00E87034" w:rsidRPr="005026FB">
              <w:rPr>
                <w:rStyle w:val="Hyperlink"/>
              </w:rPr>
              <w:t>Key findings</w:t>
            </w:r>
            <w:r w:rsidR="00E87034">
              <w:rPr>
                <w:webHidden/>
              </w:rPr>
              <w:tab/>
            </w:r>
            <w:r w:rsidR="00E87034">
              <w:rPr>
                <w:webHidden/>
              </w:rPr>
              <w:fldChar w:fldCharType="begin"/>
            </w:r>
            <w:r w:rsidR="00E87034">
              <w:rPr>
                <w:webHidden/>
              </w:rPr>
              <w:instrText xml:space="preserve"> PAGEREF _Toc71018573 \h </w:instrText>
            </w:r>
            <w:r w:rsidR="00E87034">
              <w:rPr>
                <w:webHidden/>
              </w:rPr>
            </w:r>
            <w:r w:rsidR="00E87034">
              <w:rPr>
                <w:webHidden/>
              </w:rPr>
              <w:fldChar w:fldCharType="separate"/>
            </w:r>
            <w:r w:rsidR="00910EF8">
              <w:rPr>
                <w:webHidden/>
              </w:rPr>
              <w:t>12</w:t>
            </w:r>
            <w:r w:rsidR="00E87034">
              <w:rPr>
                <w:webHidden/>
              </w:rPr>
              <w:fldChar w:fldCharType="end"/>
            </w:r>
          </w:hyperlink>
        </w:p>
        <w:p w14:paraId="32EC5962" w14:textId="7564C6D4" w:rsidR="00E87034" w:rsidRDefault="005D1612">
          <w:pPr>
            <w:pStyle w:val="TOC2"/>
            <w:tabs>
              <w:tab w:val="left" w:pos="1100"/>
            </w:tabs>
            <w:rPr>
              <w:rFonts w:eastAsiaTheme="minorEastAsia"/>
              <w:lang w:eastAsia="en-AU"/>
            </w:rPr>
          </w:pPr>
          <w:hyperlink w:anchor="_Toc71018574" w:history="1">
            <w:r w:rsidR="00E87034" w:rsidRPr="005026FB">
              <w:rPr>
                <w:rStyle w:val="Hyperlink"/>
              </w:rPr>
              <w:t>3.1</w:t>
            </w:r>
            <w:r w:rsidR="00E87034">
              <w:rPr>
                <w:rFonts w:eastAsiaTheme="minorEastAsia"/>
                <w:lang w:eastAsia="en-AU"/>
              </w:rPr>
              <w:tab/>
            </w:r>
            <w:r w:rsidR="00E87034" w:rsidRPr="005026FB">
              <w:rPr>
                <w:rStyle w:val="Hyperlink"/>
              </w:rPr>
              <w:t>Infectious pancreatic necrosis virus</w:t>
            </w:r>
            <w:r w:rsidR="00E87034">
              <w:rPr>
                <w:webHidden/>
              </w:rPr>
              <w:tab/>
            </w:r>
            <w:r w:rsidR="00E87034">
              <w:rPr>
                <w:webHidden/>
              </w:rPr>
              <w:fldChar w:fldCharType="begin"/>
            </w:r>
            <w:r w:rsidR="00E87034">
              <w:rPr>
                <w:webHidden/>
              </w:rPr>
              <w:instrText xml:space="preserve"> PAGEREF _Toc71018574 \h </w:instrText>
            </w:r>
            <w:r w:rsidR="00E87034">
              <w:rPr>
                <w:webHidden/>
              </w:rPr>
            </w:r>
            <w:r w:rsidR="00E87034">
              <w:rPr>
                <w:webHidden/>
              </w:rPr>
              <w:fldChar w:fldCharType="separate"/>
            </w:r>
            <w:r w:rsidR="00910EF8">
              <w:rPr>
                <w:webHidden/>
              </w:rPr>
              <w:t>12</w:t>
            </w:r>
            <w:r w:rsidR="00E87034">
              <w:rPr>
                <w:webHidden/>
              </w:rPr>
              <w:fldChar w:fldCharType="end"/>
            </w:r>
          </w:hyperlink>
        </w:p>
        <w:p w14:paraId="302DC93D" w14:textId="3B96F260" w:rsidR="00E87034" w:rsidRDefault="005D1612">
          <w:pPr>
            <w:pStyle w:val="TOC1"/>
            <w:rPr>
              <w:rFonts w:eastAsiaTheme="minorEastAsia"/>
              <w:b w:val="0"/>
              <w:lang w:eastAsia="en-AU"/>
            </w:rPr>
          </w:pPr>
          <w:hyperlink w:anchor="_Toc71018575" w:history="1">
            <w:r w:rsidR="00E87034" w:rsidRPr="005026FB">
              <w:rPr>
                <w:rStyle w:val="Hyperlink"/>
              </w:rPr>
              <w:t>4</w:t>
            </w:r>
            <w:r w:rsidR="00E87034">
              <w:rPr>
                <w:rFonts w:eastAsiaTheme="minorEastAsia"/>
                <w:b w:val="0"/>
                <w:lang w:eastAsia="en-AU"/>
              </w:rPr>
              <w:tab/>
            </w:r>
            <w:r w:rsidR="00E87034" w:rsidRPr="005026FB">
              <w:rPr>
                <w:rStyle w:val="Hyperlink"/>
              </w:rPr>
              <w:t>Biosecurity measures</w:t>
            </w:r>
            <w:r w:rsidR="00E87034">
              <w:rPr>
                <w:webHidden/>
              </w:rPr>
              <w:tab/>
            </w:r>
            <w:r w:rsidR="00E87034">
              <w:rPr>
                <w:webHidden/>
              </w:rPr>
              <w:fldChar w:fldCharType="begin"/>
            </w:r>
            <w:r w:rsidR="00E87034">
              <w:rPr>
                <w:webHidden/>
              </w:rPr>
              <w:instrText xml:space="preserve"> PAGEREF _Toc71018575 \h </w:instrText>
            </w:r>
            <w:r w:rsidR="00E87034">
              <w:rPr>
                <w:webHidden/>
              </w:rPr>
            </w:r>
            <w:r w:rsidR="00E87034">
              <w:rPr>
                <w:webHidden/>
              </w:rPr>
              <w:fldChar w:fldCharType="separate"/>
            </w:r>
            <w:r w:rsidR="00910EF8">
              <w:rPr>
                <w:webHidden/>
              </w:rPr>
              <w:t>16</w:t>
            </w:r>
            <w:r w:rsidR="00E87034">
              <w:rPr>
                <w:webHidden/>
              </w:rPr>
              <w:fldChar w:fldCharType="end"/>
            </w:r>
          </w:hyperlink>
        </w:p>
        <w:p w14:paraId="678DEB52" w14:textId="67C7B9CD" w:rsidR="00E87034" w:rsidRDefault="005D1612">
          <w:pPr>
            <w:pStyle w:val="TOC2"/>
            <w:tabs>
              <w:tab w:val="left" w:pos="1100"/>
            </w:tabs>
            <w:rPr>
              <w:rFonts w:eastAsiaTheme="minorEastAsia"/>
              <w:lang w:eastAsia="en-AU"/>
            </w:rPr>
          </w:pPr>
          <w:hyperlink w:anchor="_Toc71018576" w:history="1">
            <w:r w:rsidR="00E87034" w:rsidRPr="005026FB">
              <w:rPr>
                <w:rStyle w:val="Hyperlink"/>
              </w:rPr>
              <w:t>4.1</w:t>
            </w:r>
            <w:r w:rsidR="00E87034">
              <w:rPr>
                <w:rFonts w:eastAsiaTheme="minorEastAsia"/>
                <w:lang w:eastAsia="en-AU"/>
              </w:rPr>
              <w:tab/>
            </w:r>
            <w:r w:rsidR="00E87034" w:rsidRPr="005026FB">
              <w:rPr>
                <w:rStyle w:val="Hyperlink"/>
              </w:rPr>
              <w:t>Biosecurity measures for the importation of fish and fish products</w:t>
            </w:r>
            <w:r w:rsidR="00E87034">
              <w:rPr>
                <w:webHidden/>
              </w:rPr>
              <w:tab/>
            </w:r>
            <w:r w:rsidR="00E87034">
              <w:rPr>
                <w:webHidden/>
              </w:rPr>
              <w:fldChar w:fldCharType="begin"/>
            </w:r>
            <w:r w:rsidR="00E87034">
              <w:rPr>
                <w:webHidden/>
              </w:rPr>
              <w:instrText xml:space="preserve"> PAGEREF _Toc71018576 \h </w:instrText>
            </w:r>
            <w:r w:rsidR="00E87034">
              <w:rPr>
                <w:webHidden/>
              </w:rPr>
            </w:r>
            <w:r w:rsidR="00E87034">
              <w:rPr>
                <w:webHidden/>
              </w:rPr>
              <w:fldChar w:fldCharType="separate"/>
            </w:r>
            <w:r w:rsidR="00910EF8">
              <w:rPr>
                <w:webHidden/>
              </w:rPr>
              <w:t>16</w:t>
            </w:r>
            <w:r w:rsidR="00E87034">
              <w:rPr>
                <w:webHidden/>
              </w:rPr>
              <w:fldChar w:fldCharType="end"/>
            </w:r>
          </w:hyperlink>
        </w:p>
        <w:p w14:paraId="4A89918A" w14:textId="352BEAFA" w:rsidR="00E87034" w:rsidRDefault="005D1612">
          <w:pPr>
            <w:pStyle w:val="TOC1"/>
            <w:rPr>
              <w:rFonts w:eastAsiaTheme="minorEastAsia"/>
              <w:b w:val="0"/>
              <w:lang w:eastAsia="en-AU"/>
            </w:rPr>
          </w:pPr>
          <w:hyperlink w:anchor="_Toc71018577" w:history="1">
            <w:r w:rsidR="00E87034" w:rsidRPr="005026FB">
              <w:rPr>
                <w:rStyle w:val="Hyperlink"/>
              </w:rPr>
              <w:t>References</w:t>
            </w:r>
            <w:r w:rsidR="00E87034">
              <w:rPr>
                <w:webHidden/>
              </w:rPr>
              <w:tab/>
            </w:r>
            <w:r w:rsidR="00E87034">
              <w:rPr>
                <w:webHidden/>
              </w:rPr>
              <w:fldChar w:fldCharType="begin"/>
            </w:r>
            <w:r w:rsidR="00E87034">
              <w:rPr>
                <w:webHidden/>
              </w:rPr>
              <w:instrText xml:space="preserve"> PAGEREF _Toc71018577 \h </w:instrText>
            </w:r>
            <w:r w:rsidR="00E87034">
              <w:rPr>
                <w:webHidden/>
              </w:rPr>
            </w:r>
            <w:r w:rsidR="00E87034">
              <w:rPr>
                <w:webHidden/>
              </w:rPr>
              <w:fldChar w:fldCharType="separate"/>
            </w:r>
            <w:r w:rsidR="00910EF8">
              <w:rPr>
                <w:webHidden/>
              </w:rPr>
              <w:t>18</w:t>
            </w:r>
            <w:r w:rsidR="00E87034">
              <w:rPr>
                <w:webHidden/>
              </w:rPr>
              <w:fldChar w:fldCharType="end"/>
            </w:r>
          </w:hyperlink>
        </w:p>
        <w:p w14:paraId="1AA1326D" w14:textId="2157B667" w:rsidR="00E87034" w:rsidRDefault="005D1612">
          <w:pPr>
            <w:pStyle w:val="TOC1"/>
            <w:rPr>
              <w:rFonts w:eastAsiaTheme="minorEastAsia"/>
              <w:b w:val="0"/>
              <w:lang w:eastAsia="en-AU"/>
            </w:rPr>
          </w:pPr>
          <w:hyperlink w:anchor="_Toc71018578" w:history="1">
            <w:r w:rsidR="00E87034" w:rsidRPr="005026FB">
              <w:rPr>
                <w:rStyle w:val="Hyperlink"/>
              </w:rPr>
              <w:t>Glossary</w:t>
            </w:r>
            <w:r w:rsidR="00E87034">
              <w:rPr>
                <w:webHidden/>
              </w:rPr>
              <w:tab/>
            </w:r>
            <w:r w:rsidR="00E87034">
              <w:rPr>
                <w:webHidden/>
              </w:rPr>
              <w:fldChar w:fldCharType="begin"/>
            </w:r>
            <w:r w:rsidR="00E87034">
              <w:rPr>
                <w:webHidden/>
              </w:rPr>
              <w:instrText xml:space="preserve"> PAGEREF _Toc71018578 \h </w:instrText>
            </w:r>
            <w:r w:rsidR="00E87034">
              <w:rPr>
                <w:webHidden/>
              </w:rPr>
            </w:r>
            <w:r w:rsidR="00E87034">
              <w:rPr>
                <w:webHidden/>
              </w:rPr>
              <w:fldChar w:fldCharType="separate"/>
            </w:r>
            <w:r w:rsidR="00910EF8">
              <w:rPr>
                <w:webHidden/>
              </w:rPr>
              <w:t>21</w:t>
            </w:r>
            <w:r w:rsidR="00E87034">
              <w:rPr>
                <w:webHidden/>
              </w:rPr>
              <w:fldChar w:fldCharType="end"/>
            </w:r>
          </w:hyperlink>
        </w:p>
        <w:p w14:paraId="35184A87" w14:textId="7D47A0BB" w:rsidR="00E87034" w:rsidRDefault="005D1612">
          <w:pPr>
            <w:pStyle w:val="TOC1"/>
            <w:rPr>
              <w:rFonts w:eastAsiaTheme="minorEastAsia"/>
              <w:b w:val="0"/>
              <w:lang w:eastAsia="en-AU"/>
            </w:rPr>
          </w:pPr>
          <w:hyperlink w:anchor="_Toc71018579" w:history="1">
            <w:r w:rsidR="00E87034" w:rsidRPr="005026FB">
              <w:rPr>
                <w:rStyle w:val="Hyperlink"/>
              </w:rPr>
              <w:t>Appendix 1</w:t>
            </w:r>
            <w:r w:rsidR="00E87034">
              <w:rPr>
                <w:webHidden/>
              </w:rPr>
              <w:tab/>
            </w:r>
            <w:r w:rsidR="00E87034">
              <w:rPr>
                <w:webHidden/>
              </w:rPr>
              <w:fldChar w:fldCharType="begin"/>
            </w:r>
            <w:r w:rsidR="00E87034">
              <w:rPr>
                <w:webHidden/>
              </w:rPr>
              <w:instrText xml:space="preserve"> PAGEREF _Toc71018579 \h </w:instrText>
            </w:r>
            <w:r w:rsidR="00E87034">
              <w:rPr>
                <w:webHidden/>
              </w:rPr>
            </w:r>
            <w:r w:rsidR="00E87034">
              <w:rPr>
                <w:webHidden/>
              </w:rPr>
              <w:fldChar w:fldCharType="separate"/>
            </w:r>
            <w:r w:rsidR="00910EF8">
              <w:rPr>
                <w:webHidden/>
              </w:rPr>
              <w:t>23</w:t>
            </w:r>
            <w:r w:rsidR="00E87034">
              <w:rPr>
                <w:webHidden/>
              </w:rPr>
              <w:fldChar w:fldCharType="end"/>
            </w:r>
          </w:hyperlink>
        </w:p>
        <w:p w14:paraId="68D65B34" w14:textId="7FEFE917" w:rsidR="004A0FA3" w:rsidRDefault="006868A7">
          <w:r>
            <w:rPr>
              <w:rFonts w:asciiTheme="minorHAnsi" w:hAnsiTheme="minorHAnsi"/>
              <w:b/>
              <w:bCs/>
              <w:noProof/>
            </w:rPr>
            <w:fldChar w:fldCharType="end"/>
          </w:r>
        </w:p>
      </w:sdtContent>
    </w:sdt>
    <w:p w14:paraId="0C8A8E9A" w14:textId="40CCDED0" w:rsidR="004A0FA3" w:rsidRDefault="006868A7">
      <w:pPr>
        <w:pStyle w:val="TOCHeading"/>
      </w:pPr>
      <w:r>
        <w:t>Table</w:t>
      </w:r>
    </w:p>
    <w:p w14:paraId="56FF736B" w14:textId="2B208228" w:rsidR="00E87034" w:rsidRDefault="00EB58EB">
      <w:pPr>
        <w:pStyle w:val="TableofFigures"/>
        <w:tabs>
          <w:tab w:val="right" w:leader="dot" w:pos="9060"/>
        </w:tabs>
        <w:rPr>
          <w:rFonts w:eastAsiaTheme="minorEastAsia"/>
          <w:noProof/>
          <w:lang w:eastAsia="en-AU"/>
        </w:rPr>
      </w:pPr>
      <w:r>
        <w:rPr>
          <w:bCs/>
          <w:szCs w:val="24"/>
        </w:rPr>
        <w:fldChar w:fldCharType="begin"/>
      </w:r>
      <w:r>
        <w:rPr>
          <w:bCs/>
          <w:szCs w:val="24"/>
        </w:rPr>
        <w:instrText xml:space="preserve"> TOC \c "Table" </w:instrText>
      </w:r>
      <w:r>
        <w:rPr>
          <w:bCs/>
          <w:szCs w:val="24"/>
        </w:rPr>
        <w:fldChar w:fldCharType="separate"/>
      </w:r>
      <w:r w:rsidR="00E87034">
        <w:rPr>
          <w:noProof/>
        </w:rPr>
        <w:t>Table 1 Inactivation studies of infectious pancreatic necrosis virus</w:t>
      </w:r>
      <w:r w:rsidR="00E87034">
        <w:rPr>
          <w:noProof/>
        </w:rPr>
        <w:tab/>
      </w:r>
      <w:r w:rsidR="00E87034">
        <w:rPr>
          <w:noProof/>
        </w:rPr>
        <w:fldChar w:fldCharType="begin"/>
      </w:r>
      <w:r w:rsidR="00E87034">
        <w:rPr>
          <w:noProof/>
        </w:rPr>
        <w:instrText xml:space="preserve"> PAGEREF _Toc71018580 \h </w:instrText>
      </w:r>
      <w:r w:rsidR="00E87034">
        <w:rPr>
          <w:noProof/>
        </w:rPr>
      </w:r>
      <w:r w:rsidR="00E87034">
        <w:rPr>
          <w:noProof/>
        </w:rPr>
        <w:fldChar w:fldCharType="separate"/>
      </w:r>
      <w:r w:rsidR="00910EF8">
        <w:rPr>
          <w:noProof/>
        </w:rPr>
        <w:t>13</w:t>
      </w:r>
      <w:r w:rsidR="00E87034">
        <w:rPr>
          <w:noProof/>
        </w:rPr>
        <w:fldChar w:fldCharType="end"/>
      </w:r>
    </w:p>
    <w:p w14:paraId="31F5E1C5" w14:textId="20FBB600" w:rsidR="004A0FA3" w:rsidRDefault="00EB58EB" w:rsidP="00EB58EB">
      <w:pPr>
        <w:pStyle w:val="TableofFigures"/>
        <w:tabs>
          <w:tab w:val="right" w:leader="dot" w:pos="9060"/>
        </w:tabs>
        <w:sectPr w:rsidR="004A0FA3">
          <w:headerReference w:type="default" r:id="rId22"/>
          <w:footerReference w:type="default" r:id="rId23"/>
          <w:pgSz w:w="11906" w:h="16838"/>
          <w:pgMar w:top="1418" w:right="1418" w:bottom="1418" w:left="1418" w:header="567" w:footer="283" w:gutter="0"/>
          <w:pgNumType w:fmt="lowerRoman"/>
          <w:cols w:space="708"/>
          <w:docGrid w:linePitch="360"/>
        </w:sectPr>
      </w:pPr>
      <w:r>
        <w:rPr>
          <w:bCs/>
          <w:szCs w:val="24"/>
        </w:rPr>
        <w:fldChar w:fldCharType="end"/>
      </w:r>
    </w:p>
    <w:p w14:paraId="40E31CB5" w14:textId="77777777" w:rsidR="004A0FA3" w:rsidRDefault="006868A7">
      <w:pPr>
        <w:pStyle w:val="Heading2"/>
        <w:numPr>
          <w:ilvl w:val="0"/>
          <w:numId w:val="0"/>
        </w:numPr>
      </w:pPr>
      <w:bookmarkStart w:id="2" w:name="_Toc11849518"/>
      <w:bookmarkStart w:id="3" w:name="_Toc71018568"/>
      <w:r>
        <w:lastRenderedPageBreak/>
        <w:t>Summary</w:t>
      </w:r>
      <w:bookmarkEnd w:id="2"/>
      <w:bookmarkEnd w:id="3"/>
    </w:p>
    <w:p w14:paraId="502CF96C" w14:textId="61758FAC" w:rsidR="001E6BE1" w:rsidRDefault="009F1AE9">
      <w:r w:rsidRPr="009F1AE9">
        <w:t xml:space="preserve">The Australian Government Department of Agriculture, Water and the Environment has prepared this draft </w:t>
      </w:r>
      <w:r w:rsidR="00907D50">
        <w:t>report</w:t>
      </w:r>
      <w:r w:rsidRPr="009F1AE9">
        <w:t xml:space="preserve"> to assess an alternative biosecurity measure to the current heat treatment requirements</w:t>
      </w:r>
      <w:r w:rsidR="00867194">
        <w:t xml:space="preserve"> for</w:t>
      </w:r>
      <w:r w:rsidR="00602414">
        <w:t xml:space="preserve"> salmonid and non-salmonid</w:t>
      </w:r>
      <w:r w:rsidR="00D529CB">
        <w:t xml:space="preserve"> </w:t>
      </w:r>
      <w:r w:rsidRPr="00F372B0">
        <w:t xml:space="preserve">fish products </w:t>
      </w:r>
      <w:r w:rsidR="00EE2690" w:rsidRPr="00F372B0">
        <w:t xml:space="preserve">imported into Australia </w:t>
      </w:r>
      <w:r w:rsidR="00163AF1" w:rsidRPr="00F372B0">
        <w:t>for use as pet food and stockfeed</w:t>
      </w:r>
      <w:r w:rsidR="001E6BE1">
        <w:t>.</w:t>
      </w:r>
      <w:r w:rsidR="00842D17">
        <w:t xml:space="preserve"> </w:t>
      </w:r>
    </w:p>
    <w:p w14:paraId="56A07546" w14:textId="1828DBAE" w:rsidR="00D529CB" w:rsidRDefault="001E6BE1">
      <w:r>
        <w:t xml:space="preserve">Any changes made to the import heat treatment requirements </w:t>
      </w:r>
      <w:r w:rsidR="00587DE5">
        <w:t xml:space="preserve">for fish products </w:t>
      </w:r>
      <w:r>
        <w:t>will also apply to</w:t>
      </w:r>
      <w:r w:rsidR="00D529CB">
        <w:t xml:space="preserve"> </w:t>
      </w:r>
      <w:r w:rsidR="004E7488">
        <w:t>whole</w:t>
      </w:r>
      <w:r w:rsidR="00842D17">
        <w:t xml:space="preserve"> </w:t>
      </w:r>
      <w:r w:rsidR="006673AF">
        <w:t xml:space="preserve">non-salmonid </w:t>
      </w:r>
      <w:r w:rsidR="00842D17" w:rsidRPr="00842D17">
        <w:t xml:space="preserve">fish </w:t>
      </w:r>
      <w:r w:rsidR="004E7488">
        <w:t xml:space="preserve">imported into Australia for </w:t>
      </w:r>
      <w:r w:rsidR="00842D17" w:rsidRPr="00842D17">
        <w:t>further process</w:t>
      </w:r>
      <w:r w:rsidR="004E7488">
        <w:t>ing</w:t>
      </w:r>
      <w:r w:rsidR="00842D17" w:rsidRPr="00842D17">
        <w:t xml:space="preserve"> at an</w:t>
      </w:r>
      <w:r w:rsidR="00007451" w:rsidRPr="00007451">
        <w:t xml:space="preserve"> approved arrangement</w:t>
      </w:r>
      <w:r w:rsidR="00842D17" w:rsidRPr="00842D17">
        <w:t xml:space="preserve"> </w:t>
      </w:r>
      <w:r w:rsidR="00007451">
        <w:t>(</w:t>
      </w:r>
      <w:r w:rsidR="00842D17" w:rsidRPr="00842D17">
        <w:t>AA</w:t>
      </w:r>
      <w:r w:rsidR="00007451">
        <w:t>)</w:t>
      </w:r>
      <w:r w:rsidR="00842D17" w:rsidRPr="00842D17">
        <w:t xml:space="preserve"> site for the manufacture of pet food.</w:t>
      </w:r>
      <w:r w:rsidR="00DF6B48">
        <w:t xml:space="preserve"> It should be noted that whole salmonid fish are not permitted to be imported to Australia.</w:t>
      </w:r>
    </w:p>
    <w:p w14:paraId="2927737E" w14:textId="419F9541" w:rsidR="00842D17" w:rsidRPr="00180A75" w:rsidRDefault="00842D17">
      <w:r>
        <w:t>The</w:t>
      </w:r>
      <w:r w:rsidRPr="009F1AE9">
        <w:t xml:space="preserve"> alternative biosecurity measure </w:t>
      </w:r>
      <w:r>
        <w:t xml:space="preserve">assessed </w:t>
      </w:r>
      <w:r w:rsidR="00074018">
        <w:t>in</w:t>
      </w:r>
      <w:r w:rsidR="005E2D31">
        <w:t xml:space="preserve"> </w:t>
      </w:r>
      <w:r w:rsidR="00074018">
        <w:t xml:space="preserve">this draft </w:t>
      </w:r>
      <w:r w:rsidR="000E2874">
        <w:t xml:space="preserve">report </w:t>
      </w:r>
      <w:r>
        <w:t xml:space="preserve">is </w:t>
      </w:r>
      <w:r w:rsidRPr="00842D17">
        <w:t>the European Union’s processing method for category two</w:t>
      </w:r>
      <w:r w:rsidR="000E5017">
        <w:t xml:space="preserve"> </w:t>
      </w:r>
      <w:r w:rsidRPr="00842D17">
        <w:t>and three material of fish origin</w:t>
      </w:r>
      <w:r w:rsidR="00B67EC4">
        <w:t xml:space="preserve"> (for definitions see, Regulation No 1069/2009 of 21 October 2009</w:t>
      </w:r>
      <w:r w:rsidR="00D86369">
        <w:rPr>
          <w:rStyle w:val="FootnoteReference"/>
        </w:rPr>
        <w:footnoteReference w:id="2"/>
      </w:r>
      <w:r w:rsidR="00B67EC4">
        <w:t>)</w:t>
      </w:r>
      <w:r w:rsidR="00C04D2D" w:rsidRPr="00C04D2D">
        <w:t xml:space="preserve"> in response to a request from the Norwegian Food Safety Authority</w:t>
      </w:r>
      <w:r w:rsidR="002046E1">
        <w:t xml:space="preserve"> (NFSA)</w:t>
      </w:r>
      <w:r>
        <w:t>.</w:t>
      </w:r>
    </w:p>
    <w:p w14:paraId="18C26178" w14:textId="116F7785" w:rsidR="00EA1CC4" w:rsidRDefault="009F1AE9">
      <w:r w:rsidRPr="009F1AE9">
        <w:t xml:space="preserve">Australia permits the </w:t>
      </w:r>
      <w:r w:rsidRPr="00F372B0">
        <w:t>importation</w:t>
      </w:r>
      <w:r w:rsidR="00206C8B">
        <w:t xml:space="preserve"> of</w:t>
      </w:r>
      <w:r w:rsidRPr="00F372B0">
        <w:t xml:space="preserve"> fish products</w:t>
      </w:r>
      <w:r w:rsidR="00036B42" w:rsidRPr="00F372B0">
        <w:t xml:space="preserve"> </w:t>
      </w:r>
      <w:r w:rsidRPr="00F372B0">
        <w:t>for use</w:t>
      </w:r>
      <w:r w:rsidRPr="009F1AE9">
        <w:t xml:space="preserve"> as pet food or </w:t>
      </w:r>
      <w:r w:rsidR="00E8764B">
        <w:t>stockfeed</w:t>
      </w:r>
      <w:r w:rsidRPr="009F1AE9">
        <w:t xml:space="preserve"> from any country based on import conditions.</w:t>
      </w:r>
      <w:bookmarkStart w:id="4" w:name="_Hlk59009037"/>
      <w:r w:rsidR="00AE5871" w:rsidRPr="00AE5871">
        <w:t xml:space="preserve"> Fish products are typically a product that has been processed into a fish meal or fish oil.</w:t>
      </w:r>
      <w:bookmarkEnd w:id="4"/>
    </w:p>
    <w:p w14:paraId="642CFAC3" w14:textId="6A2FE038" w:rsidR="009F1AE9" w:rsidRDefault="009F1AE9">
      <w:r w:rsidRPr="009F1AE9">
        <w:t xml:space="preserve">This draft </w:t>
      </w:r>
      <w:r w:rsidR="00907D50">
        <w:t>report</w:t>
      </w:r>
      <w:r w:rsidRPr="009F1AE9">
        <w:t xml:space="preserve"> proposes changes to the current biosecurity </w:t>
      </w:r>
      <w:r w:rsidRPr="00F372B0">
        <w:t>measures for</w:t>
      </w:r>
      <w:r w:rsidR="00036B42" w:rsidRPr="00F372B0">
        <w:t xml:space="preserve"> </w:t>
      </w:r>
      <w:r w:rsidRPr="00F372B0">
        <w:t>fish products</w:t>
      </w:r>
      <w:r w:rsidRPr="009F1AE9">
        <w:t xml:space="preserve"> imported into Australia for use as pet food and </w:t>
      </w:r>
      <w:r w:rsidR="00E8764B">
        <w:t>stockfeed</w:t>
      </w:r>
      <w:r w:rsidRPr="009F1AE9">
        <w:t xml:space="preserve"> based on relevant peer-reviewed scientific information. This </w:t>
      </w:r>
      <w:r w:rsidR="00907D50">
        <w:t>draft report</w:t>
      </w:r>
      <w:r w:rsidR="00907D50" w:rsidRPr="009F1AE9">
        <w:t xml:space="preserve"> </w:t>
      </w:r>
      <w:r w:rsidRPr="009F1AE9">
        <w:t>also took advice from scientific experts</w:t>
      </w:r>
      <w:r w:rsidR="00D529CB">
        <w:t xml:space="preserve"> into account</w:t>
      </w:r>
      <w:r w:rsidRPr="009F1AE9">
        <w:t xml:space="preserve">, and </w:t>
      </w:r>
      <w:r w:rsidR="00BC0487">
        <w:t xml:space="preserve">considered </w:t>
      </w:r>
      <w:r w:rsidRPr="009F1AE9">
        <w:t>relevant changes in industry practices</w:t>
      </w:r>
      <w:r w:rsidR="000E5017">
        <w:t>,</w:t>
      </w:r>
      <w:r w:rsidRPr="009F1AE9">
        <w:t xml:space="preserve"> operational </w:t>
      </w:r>
      <w:proofErr w:type="gramStart"/>
      <w:r w:rsidRPr="009F1AE9">
        <w:t>practicalities</w:t>
      </w:r>
      <w:proofErr w:type="gramEnd"/>
      <w:r w:rsidR="00DF7042">
        <w:t xml:space="preserve"> and international standards</w:t>
      </w:r>
      <w:r w:rsidRPr="009F1AE9">
        <w:t>.</w:t>
      </w:r>
    </w:p>
    <w:p w14:paraId="218C0F98" w14:textId="111D6105" w:rsidR="009F1AE9" w:rsidRDefault="009F1AE9" w:rsidP="009F1AE9">
      <w:r>
        <w:t xml:space="preserve">This draft </w:t>
      </w:r>
      <w:r w:rsidR="000E2874">
        <w:t xml:space="preserve">report </w:t>
      </w:r>
      <w:r>
        <w:t>uses infectious pancreatic necrosis virus (IPNV), the most resistant of aquatic animal viruses to thermo-chemical treatments, as the minimum standard for aquatic viral inactivation to manage risks to achieve Australia’s appropriate level of protection (ALOP).</w:t>
      </w:r>
    </w:p>
    <w:p w14:paraId="5F6F4216" w14:textId="6FCEC6FD" w:rsidR="009F1AE9" w:rsidRDefault="009F1AE9" w:rsidP="009F1AE9">
      <w:r>
        <w:t xml:space="preserve">This draft </w:t>
      </w:r>
      <w:r w:rsidR="000E2874">
        <w:t xml:space="preserve">report </w:t>
      </w:r>
      <w:r>
        <w:t xml:space="preserve">proposes a combination of risk management measures and operational systems that will reduce the risk associated with the </w:t>
      </w:r>
      <w:r w:rsidRPr="00F372B0">
        <w:t>importation of fish products</w:t>
      </w:r>
      <w:r>
        <w:t xml:space="preserve"> </w:t>
      </w:r>
      <w:r w:rsidR="00036B42">
        <w:t xml:space="preserve">imported </w:t>
      </w:r>
      <w:r>
        <w:t xml:space="preserve">for use as pet food and </w:t>
      </w:r>
      <w:r w:rsidR="00E8764B">
        <w:t>stockfeed</w:t>
      </w:r>
      <w:r>
        <w:t xml:space="preserve"> into Australia</w:t>
      </w:r>
      <w:r w:rsidR="00E8764B">
        <w:t xml:space="preserve"> </w:t>
      </w:r>
      <w:r w:rsidR="00E8764B" w:rsidRPr="00E8764B">
        <w:t>to achieve Australia’s ALOP</w:t>
      </w:r>
      <w:r w:rsidR="00DF7042">
        <w:t>.</w:t>
      </w:r>
    </w:p>
    <w:p w14:paraId="394E804A" w14:textId="5D1F7DE8" w:rsidR="009F1AE9" w:rsidRDefault="009F1AE9" w:rsidP="009F1AE9">
      <w:r>
        <w:t xml:space="preserve">The proposed risk management </w:t>
      </w:r>
      <w:r w:rsidRPr="00F372B0">
        <w:t xml:space="preserve">measures </w:t>
      </w:r>
      <w:r w:rsidR="00FD59BD">
        <w:t xml:space="preserve">applicable to </w:t>
      </w:r>
      <w:r w:rsidRPr="00F372B0">
        <w:t>fish products for use</w:t>
      </w:r>
      <w:r>
        <w:t xml:space="preserve"> as pet food and </w:t>
      </w:r>
      <w:r w:rsidR="00E8764B">
        <w:t>stockfeed</w:t>
      </w:r>
      <w:r>
        <w:t xml:space="preserve"> </w:t>
      </w:r>
      <w:r w:rsidR="00D86369">
        <w:t>are:</w:t>
      </w:r>
    </w:p>
    <w:p w14:paraId="139C70A6" w14:textId="377D3ABA" w:rsidR="009F1AE9" w:rsidRDefault="009F1AE9" w:rsidP="009F1AE9">
      <w:pPr>
        <w:pStyle w:val="ListBullet"/>
      </w:pPr>
      <w:r>
        <w:t xml:space="preserve">fish products for use as pet food and </w:t>
      </w:r>
      <w:r w:rsidR="00E8764B">
        <w:t>stockfeed</w:t>
      </w:r>
      <w:r>
        <w:t xml:space="preserve"> (excluding non-salmonid fish products sourced from New Zealand) must have been treated to meet the following condition:</w:t>
      </w:r>
    </w:p>
    <w:p w14:paraId="03A2393E" w14:textId="3C58690A" w:rsidR="009F1AE9" w:rsidRDefault="009F1AE9" w:rsidP="009F1AE9">
      <w:pPr>
        <w:pStyle w:val="ListBullet2"/>
      </w:pPr>
      <w:r>
        <w:t xml:space="preserve">moist heated at </w:t>
      </w:r>
      <w:r w:rsidR="00FE1F83">
        <w:t xml:space="preserve">a core temperature </w:t>
      </w:r>
      <w:r w:rsidR="007855A5">
        <w:t xml:space="preserve">for at least </w:t>
      </w:r>
      <w:r>
        <w:t xml:space="preserve">85°C for </w:t>
      </w:r>
      <w:r w:rsidR="007855A5">
        <w:t>at least</w:t>
      </w:r>
      <w:r>
        <w:t xml:space="preserve"> 25 minutes, or at an equivalent time and temperature</w:t>
      </w:r>
      <w:r w:rsidR="007855A5">
        <w:t xml:space="preserve"> agreed by the </w:t>
      </w:r>
      <w:r w:rsidR="007855A5" w:rsidRPr="009F1AE9">
        <w:t xml:space="preserve">Department of Agriculture, </w:t>
      </w:r>
      <w:proofErr w:type="gramStart"/>
      <w:r w:rsidR="007855A5" w:rsidRPr="009F1AE9">
        <w:t>Water</w:t>
      </w:r>
      <w:proofErr w:type="gramEnd"/>
      <w:r w:rsidR="007855A5" w:rsidRPr="009F1AE9">
        <w:t xml:space="preserve"> and the Environment</w:t>
      </w:r>
      <w:r w:rsidR="007855A5">
        <w:t>.</w:t>
      </w:r>
    </w:p>
    <w:p w14:paraId="017AA704" w14:textId="49FF12E6" w:rsidR="009F1AE9" w:rsidRDefault="009F1AE9" w:rsidP="009F1AE9">
      <w:pPr>
        <w:pStyle w:val="ListBullet"/>
      </w:pPr>
      <w:r>
        <w:t>must have been processed and packaged in premises approved by and under the control of the Competent Authority</w:t>
      </w:r>
    </w:p>
    <w:p w14:paraId="4F1733C1" w14:textId="41582656" w:rsidR="009F1AE9" w:rsidRDefault="009F1AE9" w:rsidP="009F1AE9">
      <w:pPr>
        <w:pStyle w:val="ListBullet"/>
      </w:pPr>
      <w:r>
        <w:t xml:space="preserve">must have been manufactured from ingredients which have not been derived from terrestrial or avian animals. This includes egg products, dairy </w:t>
      </w:r>
      <w:proofErr w:type="gramStart"/>
      <w:r>
        <w:t>products</w:t>
      </w:r>
      <w:proofErr w:type="gramEnd"/>
      <w:r>
        <w:t xml:space="preserve"> and feathers.</w:t>
      </w:r>
    </w:p>
    <w:p w14:paraId="2CB53830" w14:textId="7EA5A7A1" w:rsidR="00B45EDF" w:rsidRDefault="00DF7042" w:rsidP="003A35D6">
      <w:r>
        <w:lastRenderedPageBreak/>
        <w:t xml:space="preserve">These proposed measures reduce animal biosecurity risks to a level that </w:t>
      </w:r>
      <w:r w:rsidR="00FE1F83">
        <w:t>meets</w:t>
      </w:r>
      <w:r>
        <w:t xml:space="preserve"> Australia’s ALOP.</w:t>
      </w:r>
    </w:p>
    <w:p w14:paraId="3DFE13C7" w14:textId="5E9F4925" w:rsidR="003A35D6" w:rsidRDefault="003A35D6" w:rsidP="003A35D6">
      <w:pPr>
        <w:pStyle w:val="ListBullet"/>
        <w:numPr>
          <w:ilvl w:val="0"/>
          <w:numId w:val="0"/>
        </w:numPr>
      </w:pPr>
      <w:r>
        <w:t xml:space="preserve">The proposed biosecurity measures recommended for </w:t>
      </w:r>
      <w:r w:rsidRPr="00F372B0">
        <w:t xml:space="preserve">fish products </w:t>
      </w:r>
      <w:r w:rsidR="00036B42" w:rsidRPr="00F372B0">
        <w:t>imported</w:t>
      </w:r>
      <w:r w:rsidR="00036B42">
        <w:t xml:space="preserve"> </w:t>
      </w:r>
      <w:r>
        <w:t xml:space="preserve">for use as pet food and </w:t>
      </w:r>
      <w:r w:rsidR="00E8764B">
        <w:t>stockfeed</w:t>
      </w:r>
      <w:r>
        <w:t xml:space="preserve"> in this draft </w:t>
      </w:r>
      <w:r w:rsidR="000E2874">
        <w:t>report</w:t>
      </w:r>
      <w:r w:rsidR="00EA1CC4">
        <w:t xml:space="preserve"> </w:t>
      </w:r>
      <w:r>
        <w:t>differ from existing measures.</w:t>
      </w:r>
      <w:r w:rsidR="00B45EDF">
        <w:t xml:space="preserve"> </w:t>
      </w:r>
      <w:r>
        <w:t>The proposed changes to existing measures are:</w:t>
      </w:r>
    </w:p>
    <w:p w14:paraId="62B6460A" w14:textId="6858DAE6" w:rsidR="003A35D6" w:rsidRPr="003A35D6" w:rsidRDefault="003A35D6" w:rsidP="003A35D6">
      <w:pPr>
        <w:pStyle w:val="ListBullet"/>
      </w:pPr>
      <w:r w:rsidRPr="003A35D6">
        <w:t xml:space="preserve">the current heat treatment of 100°C for no less than 30 minutes for fish products containing salmonid material will be reduced to a moist heat treatment of </w:t>
      </w:r>
      <w:bookmarkStart w:id="5" w:name="_Hlk71014731"/>
      <w:r w:rsidR="00FE1F83">
        <w:t xml:space="preserve">a core temperature </w:t>
      </w:r>
      <w:r w:rsidR="00D86369">
        <w:t>of</w:t>
      </w:r>
      <w:r w:rsidR="00FE1F83">
        <w:t xml:space="preserve"> </w:t>
      </w:r>
      <w:bookmarkEnd w:id="5"/>
      <w:r w:rsidRPr="003A35D6">
        <w:t>85°C for no less than 25 minutes, or an equivalent time and temperature.</w:t>
      </w:r>
    </w:p>
    <w:p w14:paraId="05A9E8E5" w14:textId="26C267B2" w:rsidR="003A35D6" w:rsidRDefault="003A35D6" w:rsidP="003A35D6">
      <w:pPr>
        <w:pStyle w:val="ListBullet"/>
      </w:pPr>
      <w:bookmarkStart w:id="6" w:name="_Hlk59007547"/>
      <w:r w:rsidRPr="003A35D6">
        <w:t xml:space="preserve">the current heat treatment of 80°C for no less than 20 minutes, or at 85°C for no less than 15 minutes for fish products containing non-salmonid material, will be increased to a moist heat treatment of </w:t>
      </w:r>
      <w:r w:rsidR="00FE1F83" w:rsidRPr="00FE1F83">
        <w:t xml:space="preserve">a core temperature </w:t>
      </w:r>
      <w:r w:rsidR="00D86369">
        <w:t>of</w:t>
      </w:r>
      <w:r w:rsidR="007855A5">
        <w:t xml:space="preserve"> at</w:t>
      </w:r>
      <w:r w:rsidR="00FE1F83" w:rsidRPr="00FE1F83">
        <w:t xml:space="preserve"> </w:t>
      </w:r>
      <w:r w:rsidR="007855A5">
        <w:t>least</w:t>
      </w:r>
      <w:r w:rsidR="007855A5" w:rsidRPr="00FE1F83">
        <w:t xml:space="preserve"> </w:t>
      </w:r>
      <w:r w:rsidRPr="003A35D6">
        <w:t xml:space="preserve">85°C </w:t>
      </w:r>
      <w:r w:rsidR="007855A5">
        <w:t>for at least</w:t>
      </w:r>
      <w:r w:rsidRPr="003A35D6">
        <w:t xml:space="preserve"> 25 minutes</w:t>
      </w:r>
      <w:r w:rsidR="007855A5">
        <w:t>,</w:t>
      </w:r>
      <w:r w:rsidRPr="003A35D6">
        <w:t xml:space="preserve"> or at an equivalent time and temperature</w:t>
      </w:r>
      <w:r w:rsidR="007855A5">
        <w:t xml:space="preserve"> agreed by the </w:t>
      </w:r>
      <w:r w:rsidR="007855A5" w:rsidRPr="009F1AE9">
        <w:t xml:space="preserve">Department of Agriculture, </w:t>
      </w:r>
      <w:proofErr w:type="gramStart"/>
      <w:r w:rsidR="007855A5" w:rsidRPr="009F1AE9">
        <w:t>Water</w:t>
      </w:r>
      <w:proofErr w:type="gramEnd"/>
      <w:r w:rsidR="007855A5" w:rsidRPr="009F1AE9">
        <w:t xml:space="preserve"> and the Environment</w:t>
      </w:r>
      <w:r w:rsidRPr="003A35D6">
        <w:t>.</w:t>
      </w:r>
    </w:p>
    <w:bookmarkEnd w:id="6"/>
    <w:p w14:paraId="56F4CBC6" w14:textId="78CF796D" w:rsidR="003A35D6" w:rsidRDefault="003A35D6" w:rsidP="003A35D6">
      <w:pPr>
        <w:pStyle w:val="ListBullet"/>
      </w:pPr>
      <w:r w:rsidRPr="003A35D6">
        <w:t>the current restrictions on the percentage of salmonid material contained in the fish products (no more than 2 per cent) will no longer apply.</w:t>
      </w:r>
    </w:p>
    <w:p w14:paraId="78CAF53C" w14:textId="6BCEC43F" w:rsidR="004B3822" w:rsidRDefault="00DF7042" w:rsidP="00EA1CC4">
      <w:pPr>
        <w:sectPr w:rsidR="004B3822">
          <w:footerReference w:type="default" r:id="rId24"/>
          <w:type w:val="oddPage"/>
          <w:pgSz w:w="11906" w:h="16838"/>
          <w:pgMar w:top="1418" w:right="1418" w:bottom="1418" w:left="1418" w:header="567" w:footer="283" w:gutter="0"/>
          <w:cols w:space="708"/>
          <w:docGrid w:linePitch="360"/>
        </w:sectPr>
      </w:pPr>
      <w:r w:rsidRPr="00DF7042">
        <w:t xml:space="preserve">Interested parties are requested to provide comments and submissions to the Department of Agriculture, </w:t>
      </w:r>
      <w:proofErr w:type="gramStart"/>
      <w:r w:rsidRPr="00DF7042">
        <w:t>Water</w:t>
      </w:r>
      <w:proofErr w:type="gramEnd"/>
      <w:r w:rsidRPr="00DF7042">
        <w:t xml:space="preserve"> and the Environment within the </w:t>
      </w:r>
      <w:r w:rsidR="00B67EC4" w:rsidRPr="00DF7042">
        <w:t>60-day</w:t>
      </w:r>
      <w:r w:rsidRPr="00DF7042">
        <w:t xml:space="preserve"> consultation period.</w:t>
      </w:r>
    </w:p>
    <w:p w14:paraId="6A90C7E3" w14:textId="77777777" w:rsidR="004A0FA3" w:rsidRDefault="006868A7">
      <w:pPr>
        <w:pStyle w:val="Heading2"/>
      </w:pPr>
      <w:bookmarkStart w:id="7" w:name="_Toc11849519"/>
      <w:bookmarkStart w:id="8" w:name="_Toc71018569"/>
      <w:r>
        <w:lastRenderedPageBreak/>
        <w:t>Introduction</w:t>
      </w:r>
      <w:bookmarkEnd w:id="7"/>
      <w:bookmarkEnd w:id="8"/>
    </w:p>
    <w:p w14:paraId="4F513CEF" w14:textId="77777777" w:rsidR="004A0FA3" w:rsidRDefault="006868A7">
      <w:pPr>
        <w:pStyle w:val="Heading3"/>
      </w:pPr>
      <w:bookmarkStart w:id="9" w:name="_Toc11849520"/>
      <w:bookmarkStart w:id="10" w:name="_Toc71018570"/>
      <w:r>
        <w:t>Australia’s biosecurity policy framework</w:t>
      </w:r>
      <w:bookmarkEnd w:id="9"/>
      <w:bookmarkEnd w:id="10"/>
    </w:p>
    <w:p w14:paraId="3422087B" w14:textId="764B8970" w:rsidR="00CA073F" w:rsidRDefault="00CA073F" w:rsidP="00CA073F">
      <w:r>
        <w:t>Australia’s biosecurity policies aim to protect Australia against the risks that may arise from exotic pests</w:t>
      </w:r>
      <w:r w:rsidR="00C92F4A">
        <w:t xml:space="preserve"> and diseases</w:t>
      </w:r>
      <w:r>
        <w:t xml:space="preserve"> entering, </w:t>
      </w:r>
      <w:proofErr w:type="gramStart"/>
      <w:r>
        <w:t>establishing</w:t>
      </w:r>
      <w:proofErr w:type="gramEnd"/>
      <w:r>
        <w:t xml:space="preserve"> </w:t>
      </w:r>
      <w:r w:rsidR="00C33A2F">
        <w:t xml:space="preserve">or </w:t>
      </w:r>
      <w:r>
        <w:t xml:space="preserve">spreading in Australia, thereby threatening Australia's unique flora and fauna, </w:t>
      </w:r>
      <w:r w:rsidR="00E5451D">
        <w:t xml:space="preserve">and </w:t>
      </w:r>
      <w:r>
        <w:t>agricultural industries that are relatively free from serious pests and diseases.</w:t>
      </w:r>
    </w:p>
    <w:p w14:paraId="18AC36E5" w14:textId="7EBDB43D" w:rsidR="00CA073F" w:rsidRDefault="00B50BF9" w:rsidP="00CA073F">
      <w:r>
        <w:t>T</w:t>
      </w:r>
      <w:r w:rsidR="00CA073F">
        <w:t>he Australian Government</w:t>
      </w:r>
      <w:r>
        <w:t xml:space="preserve"> conduct</w:t>
      </w:r>
      <w:r w:rsidR="007A27B3">
        <w:t>s</w:t>
      </w:r>
      <w:r>
        <w:t xml:space="preserve"> risk analys</w:t>
      </w:r>
      <w:r w:rsidR="00DF6B48">
        <w:t>e</w:t>
      </w:r>
      <w:r>
        <w:t xml:space="preserve">s </w:t>
      </w:r>
      <w:r w:rsidR="00CA073F">
        <w:t>to formally consider the level of biosecurity risk that may be associated with proposals to import goods into Australia. If the biosecurity risks do not achieve the appropriate level of protection (ALOP) for Australia, risk management measures are proposed to reduce the risks to an acceptable level. If the risks cannot be reduced to an acceptable level, the goods will not be imported into Australia, until suitable measures are identified.</w:t>
      </w:r>
    </w:p>
    <w:p w14:paraId="21C2AB5C" w14:textId="77777777" w:rsidR="00CA073F" w:rsidRDefault="00CA073F" w:rsidP="00CA073F">
      <w:r>
        <w:t>Successive Australian Governments have maintained a conservative, but not a zero risk, approach to the management of biosecurity risks. This approach is expressed in terms of Australia’s ALOP, which reflects community expectations through government policy and is currently described as providing a high level of protection aimed at reducing risk to a very low level, but not to zero.</w:t>
      </w:r>
    </w:p>
    <w:p w14:paraId="15D0C16B" w14:textId="07ED7BEF" w:rsidR="00B45EDF" w:rsidRDefault="00CA073F" w:rsidP="00CA073F">
      <w:r>
        <w:t xml:space="preserve">Australia’s risk analyses are undertaken by the Department of Agriculture, Water and the Environment using technical and scientific experts in relevant </w:t>
      </w:r>
      <w:r w:rsidR="0015045C">
        <w:t>fields and</w:t>
      </w:r>
      <w:r>
        <w:t xml:space="preserve"> involve consultation with stakeholders at various stages during the process.</w:t>
      </w:r>
    </w:p>
    <w:p w14:paraId="363B7F74" w14:textId="3F395723" w:rsidR="00CA073F" w:rsidRDefault="00CA073F" w:rsidP="00CA073F">
      <w:r>
        <w:t>Risk analyses may take the form of a biosecurity import risk analysis (BIRA) or a non-regulated risk analysis (such as scientific review of existing policy and import conditions, or scientific advice).</w:t>
      </w:r>
    </w:p>
    <w:p w14:paraId="23955877" w14:textId="143355EF" w:rsidR="00CA073F" w:rsidRPr="006A5AFA" w:rsidRDefault="00CA073F" w:rsidP="00CA073F">
      <w:r>
        <w:t xml:space="preserve">Further information about Australia’s biosecurity framework is provided in the </w:t>
      </w:r>
      <w:hyperlink r:id="rId25" w:history="1">
        <w:r w:rsidRPr="006A5AFA">
          <w:rPr>
            <w:rStyle w:val="Hyperlink"/>
          </w:rPr>
          <w:t xml:space="preserve">Biosecurity </w:t>
        </w:r>
        <w:r w:rsidR="007341F8" w:rsidRPr="006A5AFA">
          <w:rPr>
            <w:rStyle w:val="Hyperlink"/>
          </w:rPr>
          <w:t>i</w:t>
        </w:r>
        <w:r w:rsidRPr="006A5AFA">
          <w:rPr>
            <w:rStyle w:val="Hyperlink"/>
          </w:rPr>
          <w:t xml:space="preserve">mport </w:t>
        </w:r>
        <w:r w:rsidR="007341F8" w:rsidRPr="006A5AFA">
          <w:rPr>
            <w:rStyle w:val="Hyperlink"/>
          </w:rPr>
          <w:t>r</w:t>
        </w:r>
        <w:r w:rsidRPr="006A5AFA">
          <w:rPr>
            <w:rStyle w:val="Hyperlink"/>
          </w:rPr>
          <w:t xml:space="preserve">isk </w:t>
        </w:r>
        <w:r w:rsidR="007341F8" w:rsidRPr="006A5AFA">
          <w:rPr>
            <w:rStyle w:val="Hyperlink"/>
          </w:rPr>
          <w:t>a</w:t>
        </w:r>
        <w:r w:rsidRPr="006A5AFA">
          <w:rPr>
            <w:rStyle w:val="Hyperlink"/>
          </w:rPr>
          <w:t xml:space="preserve">nalysis </w:t>
        </w:r>
        <w:r w:rsidR="007341F8" w:rsidRPr="006A5AFA">
          <w:rPr>
            <w:rStyle w:val="Hyperlink"/>
          </w:rPr>
          <w:t>g</w:t>
        </w:r>
        <w:r w:rsidRPr="006A5AFA">
          <w:rPr>
            <w:rStyle w:val="Hyperlink"/>
          </w:rPr>
          <w:t>uidelines</w:t>
        </w:r>
      </w:hyperlink>
      <w:r w:rsidR="007341F8">
        <w:t xml:space="preserve"> </w:t>
      </w:r>
      <w:r>
        <w:t xml:space="preserve">2016 located on the </w:t>
      </w:r>
      <w:hyperlink r:id="rId26" w:history="1">
        <w:r w:rsidRPr="006A5AFA">
          <w:t>Department of Agriculture, Water and the Environment</w:t>
        </w:r>
      </w:hyperlink>
      <w:r w:rsidRPr="006A5AFA">
        <w:t xml:space="preserve"> website.</w:t>
      </w:r>
    </w:p>
    <w:p w14:paraId="650653E5" w14:textId="336F801C" w:rsidR="004A0FA3" w:rsidRDefault="00CA073F" w:rsidP="00CA073F">
      <w:r>
        <w:t>The Department of Agriculture, Water and the Environment recognises that there might be new scientific information, technologies, or other measures that may provide an equivalent level of biosecurity protection for the disease agents identified as requiring risk management. Submissions supporting equivalence measures will be considered on a case-by-case basis.</w:t>
      </w:r>
    </w:p>
    <w:p w14:paraId="3ECD6A4F" w14:textId="3A2C23A7" w:rsidR="004A0FA3" w:rsidRDefault="009A1397">
      <w:pPr>
        <w:pStyle w:val="Heading3"/>
      </w:pPr>
      <w:bookmarkStart w:id="11" w:name="_Toc71018571"/>
      <w:r>
        <w:t>Request to a</w:t>
      </w:r>
      <w:r w:rsidR="0085156E">
        <w:t>ss</w:t>
      </w:r>
      <w:r>
        <w:t xml:space="preserve">ess </w:t>
      </w:r>
      <w:r w:rsidR="0085156E">
        <w:t>heat treatment</w:t>
      </w:r>
      <w:bookmarkEnd w:id="11"/>
    </w:p>
    <w:p w14:paraId="697424AD" w14:textId="2988ECFD" w:rsidR="004A0FA3" w:rsidRDefault="006868A7">
      <w:pPr>
        <w:pStyle w:val="Heading4"/>
      </w:pPr>
      <w:r>
        <w:t>Background</w:t>
      </w:r>
    </w:p>
    <w:p w14:paraId="5E188951" w14:textId="60EAF29C" w:rsidR="009C36EA" w:rsidRDefault="009C36EA" w:rsidP="009C36EA">
      <w:r w:rsidRPr="00C07B52">
        <w:t xml:space="preserve">Currently, fish products that meet the </w:t>
      </w:r>
      <w:r>
        <w:t xml:space="preserve">specified limits for </w:t>
      </w:r>
      <w:r w:rsidRPr="00C07B52">
        <w:rPr>
          <w:rFonts w:eastAsia="Calibri"/>
        </w:rPr>
        <w:t xml:space="preserve">salmonid </w:t>
      </w:r>
      <w:r w:rsidRPr="00C07B52">
        <w:t>material</w:t>
      </w:r>
      <w:r>
        <w:t xml:space="preserve"> content,</w:t>
      </w:r>
      <w:r w:rsidRPr="00C07B52">
        <w:t xml:space="preserve"> and </w:t>
      </w:r>
      <w:r>
        <w:t xml:space="preserve">the </w:t>
      </w:r>
      <w:r w:rsidRPr="00C07B52">
        <w:t xml:space="preserve">specific </w:t>
      </w:r>
      <w:r>
        <w:t xml:space="preserve">time and </w:t>
      </w:r>
      <w:r w:rsidRPr="00C07B52">
        <w:t>temperature requirements</w:t>
      </w:r>
      <w:r w:rsidRPr="00362EB5">
        <w:t xml:space="preserve"> during the manufacturing process</w:t>
      </w:r>
      <w:r>
        <w:t>,</w:t>
      </w:r>
      <w:r w:rsidRPr="00362EB5">
        <w:t xml:space="preserve"> are permitted</w:t>
      </w:r>
      <w:r>
        <w:t xml:space="preserve"> entry</w:t>
      </w:r>
      <w:r w:rsidRPr="00362EB5">
        <w:t xml:space="preserve"> into Australia.</w:t>
      </w:r>
      <w:r>
        <w:t xml:space="preserve"> </w:t>
      </w:r>
      <w:r w:rsidR="00FE1F83">
        <w:t>C</w:t>
      </w:r>
      <w:r>
        <w:t>urrent measures cap salmonid material content at 2%.</w:t>
      </w:r>
    </w:p>
    <w:p w14:paraId="6E58E2C8" w14:textId="76AD7F1B" w:rsidR="009C36EA" w:rsidRPr="002428ED" w:rsidRDefault="009C36EA" w:rsidP="009C36EA">
      <w:r w:rsidRPr="00362EB5">
        <w:t xml:space="preserve">Australia’s </w:t>
      </w:r>
      <w:r>
        <w:t xml:space="preserve">existing </w:t>
      </w:r>
      <w:r w:rsidRPr="00362EB5">
        <w:t>import requirements for</w:t>
      </w:r>
      <w:r w:rsidR="00036B42">
        <w:t xml:space="preserve"> whole</w:t>
      </w:r>
      <w:r w:rsidRPr="00362EB5">
        <w:t xml:space="preserve"> fish </w:t>
      </w:r>
      <w:r w:rsidR="00036B42">
        <w:t xml:space="preserve">for processing at an </w:t>
      </w:r>
      <w:r w:rsidR="00B50BF9">
        <w:t>approved arrangement (</w:t>
      </w:r>
      <w:r w:rsidR="00036B42">
        <w:t>AA</w:t>
      </w:r>
      <w:r w:rsidR="00B50BF9">
        <w:t>)</w:t>
      </w:r>
      <w:r w:rsidR="00036B42">
        <w:t xml:space="preserve"> </w:t>
      </w:r>
      <w:r w:rsidRPr="00362EB5">
        <w:t xml:space="preserve">and fish products </w:t>
      </w:r>
      <w:r w:rsidR="00036B42">
        <w:t xml:space="preserve">imported </w:t>
      </w:r>
      <w:r w:rsidRPr="00362EB5">
        <w:t xml:space="preserve">for use as pet food and </w:t>
      </w:r>
      <w:r w:rsidR="00E8764B">
        <w:t>stockfeed</w:t>
      </w:r>
      <w:r w:rsidRPr="00362EB5">
        <w:t xml:space="preserve"> </w:t>
      </w:r>
      <w:r>
        <w:t>are</w:t>
      </w:r>
      <w:r w:rsidRPr="00B759D2">
        <w:t xml:space="preserve"> specified in the </w:t>
      </w:r>
      <w:r w:rsidRPr="002428ED">
        <w:t>relevant</w:t>
      </w:r>
      <w:r w:rsidR="00DF7042" w:rsidRPr="00DF7042">
        <w:t xml:space="preserve"> Australia’s Biosecurity Import Conditions database</w:t>
      </w:r>
      <w:r w:rsidRPr="002428ED">
        <w:t xml:space="preserve"> </w:t>
      </w:r>
      <w:r w:rsidR="00DF7042">
        <w:t>(</w:t>
      </w:r>
      <w:r w:rsidRPr="002428ED">
        <w:t>BICON</w:t>
      </w:r>
      <w:r w:rsidR="00DF7042">
        <w:t>)</w:t>
      </w:r>
      <w:r w:rsidRPr="002428ED">
        <w:t xml:space="preserve"> cases.</w:t>
      </w:r>
    </w:p>
    <w:p w14:paraId="6875ACFA" w14:textId="30BB5134" w:rsidR="001726DC" w:rsidRPr="009C36EA" w:rsidRDefault="001726DC" w:rsidP="001726DC">
      <w:r>
        <w:lastRenderedPageBreak/>
        <w:t xml:space="preserve">The </w:t>
      </w:r>
      <w:r w:rsidR="0004496C" w:rsidRPr="0004496C">
        <w:t xml:space="preserve">Norwegian Food Safety Authority </w:t>
      </w:r>
      <w:r w:rsidR="0004496C">
        <w:t xml:space="preserve">(NFSA) </w:t>
      </w:r>
      <w:r>
        <w:t xml:space="preserve">requested </w:t>
      </w:r>
      <w:r w:rsidR="00B50BF9">
        <w:t>that</w:t>
      </w:r>
      <w:r w:rsidR="00B50BF9" w:rsidRPr="00362EB5">
        <w:t xml:space="preserve"> </w:t>
      </w:r>
      <w:r>
        <w:t xml:space="preserve">Australia </w:t>
      </w:r>
      <w:r w:rsidR="00B50BF9">
        <w:t>consider adopting</w:t>
      </w:r>
      <w:r>
        <w:t xml:space="preserve"> the European Union’s </w:t>
      </w:r>
      <w:r w:rsidRPr="00362EB5">
        <w:t xml:space="preserve">processing method for </w:t>
      </w:r>
      <w:r w:rsidRPr="00D75EBE">
        <w:t xml:space="preserve">category </w:t>
      </w:r>
      <w:r>
        <w:t>two</w:t>
      </w:r>
      <w:r w:rsidRPr="00D75EBE">
        <w:t xml:space="preserve"> and </w:t>
      </w:r>
      <w:r>
        <w:t>three</w:t>
      </w:r>
      <w:r w:rsidRPr="00D75EBE">
        <w:t xml:space="preserve"> material of fish origin</w:t>
      </w:r>
      <w:r>
        <w:t xml:space="preserve"> </w:t>
      </w:r>
      <w:r w:rsidRPr="00BE63DA">
        <w:t>(</w:t>
      </w:r>
      <w:r>
        <w:t>Commission R</w:t>
      </w:r>
      <w:r w:rsidRPr="00BE63DA">
        <w:t xml:space="preserve">egulation (EU) 2015/9 of 6 January </w:t>
      </w:r>
      <w:r w:rsidRPr="00F372B0">
        <w:t>2015</w:t>
      </w:r>
      <w:r w:rsidR="00764117">
        <w:rPr>
          <w:rStyle w:val="FootnoteReference"/>
        </w:rPr>
        <w:footnoteReference w:id="3"/>
      </w:r>
      <w:r w:rsidRPr="00F372B0">
        <w:t>),</w:t>
      </w:r>
      <w:r w:rsidRPr="00F372B0">
        <w:rPr>
          <w:rFonts w:asciiTheme="minorHAnsi" w:eastAsia="Times New Roman" w:hAnsiTheme="minorHAnsi" w:cs="Times New Roman"/>
          <w:lang w:eastAsia="en-AU"/>
        </w:rPr>
        <w:t xml:space="preserve"> </w:t>
      </w:r>
      <w:r w:rsidRPr="00F372B0">
        <w:t>which includes ensilage at a pH below 4 for 24</w:t>
      </w:r>
      <w:r w:rsidR="00F475A0">
        <w:t xml:space="preserve"> </w:t>
      </w:r>
      <w:r w:rsidRPr="00F372B0">
        <w:t>h</w:t>
      </w:r>
      <w:r w:rsidR="00F475A0">
        <w:t>ours</w:t>
      </w:r>
      <w:r w:rsidRPr="00F372B0">
        <w:t xml:space="preserve"> before</w:t>
      </w:r>
      <w:r w:rsidR="00E5451D">
        <w:t xml:space="preserve"> moist</w:t>
      </w:r>
      <w:r w:rsidRPr="00F372B0">
        <w:t xml:space="preserve"> heat treatment at ≥ 85°C for ≥ 25 min</w:t>
      </w:r>
      <w:r>
        <w:t>utes</w:t>
      </w:r>
      <w:r w:rsidRPr="00F372B0">
        <w:t>.</w:t>
      </w:r>
    </w:p>
    <w:p w14:paraId="6817CE1D" w14:textId="2B051F12" w:rsidR="001726DC" w:rsidRDefault="009C36EA" w:rsidP="009C36EA">
      <w:r w:rsidRPr="00362EB5">
        <w:t xml:space="preserve">This draft </w:t>
      </w:r>
      <w:r w:rsidR="000E2874">
        <w:t>report</w:t>
      </w:r>
      <w:r w:rsidR="001726DC">
        <w:t xml:space="preserve"> is an assessment of the </w:t>
      </w:r>
      <w:r w:rsidR="001726DC" w:rsidRPr="001726DC">
        <w:t>European Union’s processing method</w:t>
      </w:r>
      <w:r w:rsidR="001726DC">
        <w:t xml:space="preserve"> of </w:t>
      </w:r>
      <w:r w:rsidR="00B50BF9" w:rsidRPr="00B50BF9">
        <w:t xml:space="preserve">ensilage at a pH below 4 for 24 hours before </w:t>
      </w:r>
      <w:r w:rsidR="001726DC">
        <w:t>a moist heat treatment of</w:t>
      </w:r>
      <w:r w:rsidR="001726DC" w:rsidRPr="001726DC">
        <w:t xml:space="preserve"> 85°C for 25 minutes</w:t>
      </w:r>
      <w:r w:rsidR="001726DC">
        <w:t xml:space="preserve"> for managing the biosecurity risk associated with </w:t>
      </w:r>
      <w:r w:rsidR="001726DC" w:rsidRPr="00036B42">
        <w:t xml:space="preserve">fish products </w:t>
      </w:r>
      <w:r w:rsidR="001726DC">
        <w:t>for use as pet food and stockfeed</w:t>
      </w:r>
      <w:r w:rsidR="001726DC" w:rsidRPr="001726DC">
        <w:t xml:space="preserve"> </w:t>
      </w:r>
      <w:r w:rsidR="001726DC" w:rsidRPr="00362EB5">
        <w:t>in response to NFSA</w:t>
      </w:r>
      <w:r w:rsidR="001726DC">
        <w:t>’s request</w:t>
      </w:r>
      <w:r w:rsidR="00A11BAC">
        <w:t xml:space="preserve"> and its potential application in the Australian context</w:t>
      </w:r>
      <w:r w:rsidR="001726DC">
        <w:t>.</w:t>
      </w:r>
    </w:p>
    <w:p w14:paraId="21739774" w14:textId="05CF76CC" w:rsidR="004A0FA3" w:rsidRDefault="006868A7">
      <w:pPr>
        <w:pStyle w:val="Heading4"/>
      </w:pPr>
      <w:r>
        <w:t>Scope</w:t>
      </w:r>
    </w:p>
    <w:p w14:paraId="2B721CA6" w14:textId="1D5ED5B4" w:rsidR="00F475A0" w:rsidRDefault="009C36EA" w:rsidP="009C36EA">
      <w:r>
        <w:t xml:space="preserve">The scope of this </w:t>
      </w:r>
      <w:r w:rsidR="00D7689E">
        <w:t>draft</w:t>
      </w:r>
      <w:r>
        <w:t xml:space="preserve"> </w:t>
      </w:r>
      <w:r w:rsidR="000E2874">
        <w:t xml:space="preserve">report </w:t>
      </w:r>
      <w:r>
        <w:t xml:space="preserve">is </w:t>
      </w:r>
      <w:r w:rsidR="00F475A0">
        <w:t>limited to an assessment of</w:t>
      </w:r>
      <w:r w:rsidR="00D7689E">
        <w:t xml:space="preserve"> the </w:t>
      </w:r>
      <w:r w:rsidR="003E53C3">
        <w:t xml:space="preserve">thermal </w:t>
      </w:r>
      <w:r w:rsidR="00D7689E">
        <w:t xml:space="preserve">inactivation of </w:t>
      </w:r>
      <w:r w:rsidR="00D7689E" w:rsidRPr="00D7689E">
        <w:t>infectious pancreatic necrosis</w:t>
      </w:r>
      <w:r w:rsidR="00D7689E">
        <w:t xml:space="preserve"> virus (IPNV</w:t>
      </w:r>
      <w:r w:rsidR="00D7689E" w:rsidRPr="00C33A2F">
        <w:t>)</w:t>
      </w:r>
      <w:r w:rsidR="00F475A0" w:rsidRPr="009674EE">
        <w:t xml:space="preserve"> in fish </w:t>
      </w:r>
      <w:r w:rsidR="00F475A0">
        <w:t xml:space="preserve">when </w:t>
      </w:r>
      <w:r w:rsidR="009674EE" w:rsidRPr="009674EE">
        <w:t>ensilage</w:t>
      </w:r>
      <w:r w:rsidR="009674EE">
        <w:t>d</w:t>
      </w:r>
      <w:r w:rsidR="009674EE" w:rsidRPr="009674EE">
        <w:t xml:space="preserve"> at a pH below 4 for 24 hours before </w:t>
      </w:r>
      <w:r w:rsidR="00764117">
        <w:t xml:space="preserve">being </w:t>
      </w:r>
      <w:r w:rsidR="00F475A0" w:rsidRPr="003E53C3">
        <w:t xml:space="preserve">moist heated at 85°C for no less than 25 minutes </w:t>
      </w:r>
      <w:r w:rsidR="00F475A0">
        <w:t>(</w:t>
      </w:r>
      <w:r w:rsidR="00F475A0" w:rsidRPr="003E53C3">
        <w:t>or at an equivalent time and temperature</w:t>
      </w:r>
      <w:r w:rsidR="00F475A0">
        <w:t xml:space="preserve">). </w:t>
      </w:r>
    </w:p>
    <w:p w14:paraId="15D92FA0" w14:textId="622569A9" w:rsidR="003E53C3" w:rsidRDefault="00F475A0" w:rsidP="009C36EA">
      <w:r>
        <w:t xml:space="preserve">This draft report only assessed IPNV, </w:t>
      </w:r>
      <w:r w:rsidR="003E53C3">
        <w:t>as</w:t>
      </w:r>
      <w:r>
        <w:t xml:space="preserve"> it</w:t>
      </w:r>
      <w:r w:rsidR="003E53C3">
        <w:t xml:space="preserve"> </w:t>
      </w:r>
      <w:r w:rsidR="00E5451D">
        <w:t xml:space="preserve">is </w:t>
      </w:r>
      <w:r w:rsidR="003E53C3">
        <w:t>the most heat resistant aquatic pathogen</w:t>
      </w:r>
      <w:r w:rsidR="00E5451D">
        <w:t xml:space="preserve"> (</w:t>
      </w:r>
      <w:r w:rsidR="005C62A6">
        <w:t>Defra 2005</w:t>
      </w:r>
      <w:r w:rsidR="00E5451D">
        <w:t>)</w:t>
      </w:r>
      <w:r>
        <w:t xml:space="preserve"> and was considered the benchmark for aquatic viral inactivation to manage </w:t>
      </w:r>
      <w:r w:rsidR="004C6D63">
        <w:t xml:space="preserve">the biosecurity </w:t>
      </w:r>
      <w:r>
        <w:t>risk to achieve Australia’s ALOP</w:t>
      </w:r>
      <w:r w:rsidR="00D7689E">
        <w:t xml:space="preserve"> in </w:t>
      </w:r>
      <w:r w:rsidR="003E53C3" w:rsidRPr="003E53C3">
        <w:t xml:space="preserve">imported </w:t>
      </w:r>
      <w:r w:rsidR="00D7689E">
        <w:t>fish products (excluding non-salmonid fish products sourced from New Zealand).</w:t>
      </w:r>
      <w:r w:rsidR="007A27B3">
        <w:t xml:space="preserve"> </w:t>
      </w:r>
      <w:r w:rsidR="00B075A8">
        <w:t>T</w:t>
      </w:r>
      <w:r w:rsidR="007A27B3">
        <w:t>he proposed</w:t>
      </w:r>
      <w:r w:rsidR="00A11BAC">
        <w:t xml:space="preserve"> heat treatment </w:t>
      </w:r>
      <w:r w:rsidR="007A27B3">
        <w:t xml:space="preserve">to </w:t>
      </w:r>
      <w:r w:rsidR="00A11BAC">
        <w:t xml:space="preserve">inactivate IPNV </w:t>
      </w:r>
      <w:r w:rsidR="00B50BF9">
        <w:t>will</w:t>
      </w:r>
      <w:r w:rsidR="00A11BAC" w:rsidRPr="00087CC9">
        <w:t xml:space="preserve"> </w:t>
      </w:r>
      <w:r w:rsidR="00A11BAC">
        <w:t>inactivate</w:t>
      </w:r>
      <w:r w:rsidR="00A11BAC" w:rsidRPr="00087CC9">
        <w:t xml:space="preserve"> fish pathogens of concern</w:t>
      </w:r>
      <w:r w:rsidR="007A27B3">
        <w:t xml:space="preserve"> to Australia</w:t>
      </w:r>
      <w:r w:rsidR="00A11BAC">
        <w:t>.</w:t>
      </w:r>
      <w:r w:rsidR="007A27B3">
        <w:t xml:space="preserve"> A summary of heat inactivation data for these pathogens is at Appendix 1</w:t>
      </w:r>
      <w:r w:rsidR="00C61742">
        <w:t>.</w:t>
      </w:r>
    </w:p>
    <w:p w14:paraId="1A4FDD50" w14:textId="77777777" w:rsidR="00DC3599" w:rsidRDefault="003E53C3" w:rsidP="009C36EA">
      <w:r>
        <w:t xml:space="preserve">Fish products are typically a product that has been processed into a fish meal or fish oil and may be imported </w:t>
      </w:r>
      <w:r w:rsidRPr="003E53C3">
        <w:t xml:space="preserve">for use as pet food and </w:t>
      </w:r>
      <w:r w:rsidR="00E8764B">
        <w:t>stockfeed</w:t>
      </w:r>
      <w:r w:rsidRPr="003E53C3">
        <w:t>, including aquaculture feed</w:t>
      </w:r>
      <w:r w:rsidR="00D66206">
        <w:t xml:space="preserve">. </w:t>
      </w:r>
    </w:p>
    <w:p w14:paraId="4833240D" w14:textId="0CC4C3AD" w:rsidR="00D7689E" w:rsidRDefault="00D7689E" w:rsidP="009C36EA">
      <w:r w:rsidRPr="00F372B0">
        <w:t xml:space="preserve">This </w:t>
      </w:r>
      <w:r>
        <w:t>draft report</w:t>
      </w:r>
      <w:r w:rsidRPr="00F372B0">
        <w:t xml:space="preserve"> has not considered the risks posed by products that have been derived from terrestrial or avian animals</w:t>
      </w:r>
      <w:r w:rsidR="00DC3599">
        <w:t xml:space="preserve"> and</w:t>
      </w:r>
      <w:r w:rsidR="00905C05">
        <w:t xml:space="preserve"> </w:t>
      </w:r>
      <w:r w:rsidR="009C36EA">
        <w:t>does not include an assessment of the risks associated with fish products treated to meet conditions other than those described above.</w:t>
      </w:r>
      <w:r w:rsidRPr="00D7689E">
        <w:t xml:space="preserve"> </w:t>
      </w:r>
    </w:p>
    <w:p w14:paraId="64F1BD12" w14:textId="77777777" w:rsidR="004A0FA3" w:rsidRDefault="006868A7">
      <w:pPr>
        <w:pStyle w:val="Heading4"/>
      </w:pPr>
      <w:r>
        <w:t>Existing policy</w:t>
      </w:r>
    </w:p>
    <w:p w14:paraId="30233794" w14:textId="77777777" w:rsidR="00B45EDF" w:rsidRDefault="00DC00B6">
      <w:pPr>
        <w:pStyle w:val="Heading5"/>
      </w:pPr>
      <w:r>
        <w:t>Australian Policy</w:t>
      </w:r>
    </w:p>
    <w:p w14:paraId="451070D3" w14:textId="58D3F0EA" w:rsidR="00DC00B6" w:rsidRPr="00DC00B6" w:rsidRDefault="00DC00B6" w:rsidP="00DC00B6">
      <w:r w:rsidRPr="00DC00B6">
        <w:t xml:space="preserve">Import policy exists </w:t>
      </w:r>
      <w:r w:rsidRPr="00F372B0">
        <w:t xml:space="preserve">for </w:t>
      </w:r>
      <w:r w:rsidR="00163AF1" w:rsidRPr="00F372B0">
        <w:t xml:space="preserve">whole </w:t>
      </w:r>
      <w:r w:rsidRPr="00F372B0">
        <w:t>fish</w:t>
      </w:r>
      <w:r w:rsidR="00163AF1" w:rsidRPr="00F372B0">
        <w:t xml:space="preserve"> for further processing at a</w:t>
      </w:r>
      <w:r w:rsidR="00DC3599">
        <w:t>n</w:t>
      </w:r>
      <w:r w:rsidR="00163AF1" w:rsidRPr="00F372B0">
        <w:t xml:space="preserve"> AA</w:t>
      </w:r>
      <w:r w:rsidR="00764117">
        <w:t>,</w:t>
      </w:r>
      <w:r w:rsidR="00163AF1" w:rsidRPr="00F372B0">
        <w:t xml:space="preserve"> </w:t>
      </w:r>
      <w:r w:rsidRPr="00F372B0">
        <w:t>and fish products</w:t>
      </w:r>
      <w:r w:rsidRPr="00DC00B6">
        <w:t xml:space="preserve"> from all countries for use as pet food and </w:t>
      </w:r>
      <w:r w:rsidR="00E8764B">
        <w:t>stockfeed</w:t>
      </w:r>
      <w:r w:rsidRPr="00DC00B6">
        <w:t>.</w:t>
      </w:r>
    </w:p>
    <w:p w14:paraId="22C51829" w14:textId="6ADC1F6C" w:rsidR="00DC00B6" w:rsidRDefault="00DC00B6" w:rsidP="00DC00B6">
      <w:r w:rsidRPr="00DC00B6">
        <w:t xml:space="preserve">The </w:t>
      </w:r>
      <w:hyperlink r:id="rId27" w:history="1">
        <w:r w:rsidRPr="00DC00B6">
          <w:rPr>
            <w:rStyle w:val="Hyperlink"/>
          </w:rPr>
          <w:t>import requirements</w:t>
        </w:r>
      </w:hyperlink>
      <w:r w:rsidRPr="00DC00B6">
        <w:t xml:space="preserve"> for these commodities can be found on BICON or on the department’s website (</w:t>
      </w:r>
      <w:hyperlink r:id="rId28" w:history="1">
        <w:r w:rsidRPr="00DC00B6">
          <w:rPr>
            <w:rStyle w:val="Hyperlink"/>
          </w:rPr>
          <w:t>a</w:t>
        </w:r>
        <w:r w:rsidR="00CD24E6">
          <w:rPr>
            <w:rStyle w:val="Hyperlink"/>
          </w:rPr>
          <w:t>we</w:t>
        </w:r>
        <w:r w:rsidRPr="00DC00B6">
          <w:rPr>
            <w:rStyle w:val="Hyperlink"/>
          </w:rPr>
          <w:t>.gov.au</w:t>
        </w:r>
      </w:hyperlink>
      <w:r w:rsidRPr="00DC00B6">
        <w:t>)</w:t>
      </w:r>
      <w:r>
        <w:t>.</w:t>
      </w:r>
    </w:p>
    <w:p w14:paraId="4B895C2B" w14:textId="306A3DC4" w:rsidR="005D72DA" w:rsidRPr="005D72DA" w:rsidRDefault="00FE1F83" w:rsidP="005D72DA">
      <w:r>
        <w:t>Currently</w:t>
      </w:r>
      <w:r w:rsidR="00D95048">
        <w:t>,</w:t>
      </w:r>
      <w:r w:rsidRPr="005D72DA">
        <w:t xml:space="preserve"> </w:t>
      </w:r>
      <w:r w:rsidR="005D72DA" w:rsidRPr="005D72DA">
        <w:t xml:space="preserve">imports of fish products for use as pet food and </w:t>
      </w:r>
      <w:r w:rsidR="00E8764B">
        <w:t>stockfeed</w:t>
      </w:r>
      <w:r w:rsidR="005D72DA" w:rsidRPr="005D72DA">
        <w:t xml:space="preserve"> must:</w:t>
      </w:r>
    </w:p>
    <w:p w14:paraId="6FA1B2C6" w14:textId="77777777" w:rsidR="005D72DA" w:rsidRPr="005D72DA" w:rsidRDefault="005D72DA" w:rsidP="005D72DA">
      <w:pPr>
        <w:numPr>
          <w:ilvl w:val="0"/>
          <w:numId w:val="29"/>
        </w:numPr>
      </w:pPr>
      <w:r w:rsidRPr="005D72DA">
        <w:t>be heated at 80°C for no less than 20 minutes, or at 85°C for no less than 15 minutes, or at an equivalent time and temperature, and</w:t>
      </w:r>
    </w:p>
    <w:p w14:paraId="295453A9" w14:textId="77777777" w:rsidR="005D72DA" w:rsidRPr="005D72DA" w:rsidRDefault="005D72DA" w:rsidP="005D72DA">
      <w:pPr>
        <w:numPr>
          <w:ilvl w:val="0"/>
          <w:numId w:val="29"/>
        </w:numPr>
      </w:pPr>
      <w:r w:rsidRPr="005D72DA">
        <w:t>not contain any salmonid material, or</w:t>
      </w:r>
    </w:p>
    <w:p w14:paraId="19AE6541" w14:textId="048BFB2D" w:rsidR="005D72DA" w:rsidRPr="00DC00B6" w:rsidRDefault="005D72DA" w:rsidP="00EA1CC4">
      <w:pPr>
        <w:numPr>
          <w:ilvl w:val="0"/>
          <w:numId w:val="29"/>
        </w:numPr>
      </w:pPr>
      <w:r w:rsidRPr="005D72DA">
        <w:t>not comprise more than 2% salmonid material, and the salmonid material has been heated at 100°C for not less than 30 minutes.</w:t>
      </w:r>
    </w:p>
    <w:p w14:paraId="0D742E43" w14:textId="2FB63B0E" w:rsidR="004A0FA3" w:rsidRDefault="00DC00B6" w:rsidP="00DC00B6">
      <w:r w:rsidRPr="00DC00B6">
        <w:lastRenderedPageBreak/>
        <w:t xml:space="preserve">The department has considered all the diseases previously identified in the existing policies and where relevant, the information in those assessments has been </w:t>
      </w:r>
      <w:proofErr w:type="gramStart"/>
      <w:r w:rsidRPr="00DC00B6">
        <w:t>taken into account</w:t>
      </w:r>
      <w:proofErr w:type="gramEnd"/>
      <w:r w:rsidRPr="00DC00B6">
        <w:t xml:space="preserve"> in this </w:t>
      </w:r>
      <w:r w:rsidR="00FE1F83">
        <w:t>review</w:t>
      </w:r>
      <w:r w:rsidRPr="00DC00B6">
        <w:t>.</w:t>
      </w:r>
    </w:p>
    <w:p w14:paraId="3D1F711E" w14:textId="09889F20" w:rsidR="004A0FA3" w:rsidRDefault="006868A7">
      <w:pPr>
        <w:pStyle w:val="Heading5"/>
      </w:pPr>
      <w:r>
        <w:t>Domestic arrangements</w:t>
      </w:r>
    </w:p>
    <w:p w14:paraId="7DEC68B1" w14:textId="6ECDBD49" w:rsidR="00B45EDF" w:rsidRDefault="00DC00B6" w:rsidP="00DC00B6">
      <w:r w:rsidRPr="00DC00B6">
        <w:t xml:space="preserve">The </w:t>
      </w:r>
      <w:r w:rsidR="00D66206">
        <w:t xml:space="preserve">Australian </w:t>
      </w:r>
      <w:r w:rsidRPr="00DC00B6">
        <w:t>Government</w:t>
      </w:r>
      <w:r w:rsidR="00FA1A7A">
        <w:t xml:space="preserve"> </w:t>
      </w:r>
      <w:r w:rsidRPr="00DC00B6">
        <w:t>is responsible for regulating the movement of animals and animal products into and out of Australia. However, the state and territory governments are responsible for animal health and environmental controls within their individual jurisdiction</w:t>
      </w:r>
      <w:r w:rsidR="00764117">
        <w:t>s</w:t>
      </w:r>
      <w:r w:rsidRPr="00DC00B6">
        <w:t>.</w:t>
      </w:r>
    </w:p>
    <w:p w14:paraId="594D4FF6" w14:textId="694CCFF4" w:rsidR="00DC00B6" w:rsidRPr="00DC00B6" w:rsidRDefault="00DC00B6" w:rsidP="00DC00B6">
      <w:r w:rsidRPr="00DC00B6">
        <w:t xml:space="preserve">Legislation relating to resource management or animal health may be used by state and territory government agencies to control interstate movement of animals and their products. Once animals and animal products have been cleared by Australian Government biosecurity officers, they may be subject to interstate movement conditions. It is the importer’s responsibility to </w:t>
      </w:r>
      <w:r w:rsidR="00905C05" w:rsidRPr="00DC00B6">
        <w:t>identify and</w:t>
      </w:r>
      <w:r w:rsidRPr="00DC00B6">
        <w:t xml:space="preserve"> ensure compliance with all requirements.</w:t>
      </w:r>
    </w:p>
    <w:p w14:paraId="080FE4E9" w14:textId="77777777" w:rsidR="004A0FA3" w:rsidRDefault="006868A7">
      <w:pPr>
        <w:pStyle w:val="Heading4"/>
      </w:pPr>
      <w:r>
        <w:t>Consultation</w:t>
      </w:r>
    </w:p>
    <w:p w14:paraId="58545A25" w14:textId="7DC79CFC" w:rsidR="006B1C47" w:rsidRDefault="006B1C47">
      <w:r w:rsidRPr="006B1C47">
        <w:t xml:space="preserve">This draft </w:t>
      </w:r>
      <w:r w:rsidR="000C58B5">
        <w:t>report</w:t>
      </w:r>
      <w:r w:rsidR="000C58B5" w:rsidRPr="006B1C47">
        <w:t xml:space="preserve"> </w:t>
      </w:r>
      <w:r w:rsidRPr="006B1C47">
        <w:t xml:space="preserve">will be released for 60 days </w:t>
      </w:r>
      <w:r w:rsidR="00764117">
        <w:t>of</w:t>
      </w:r>
      <w:r w:rsidRPr="006B1C47">
        <w:t xml:space="preserve"> public consultation to give stakeholders the opportunity to provide technical comment.</w:t>
      </w:r>
      <w:r w:rsidR="000363E7">
        <w:t xml:space="preserve"> </w:t>
      </w:r>
      <w:r w:rsidR="00C57555">
        <w:t>The c</w:t>
      </w:r>
      <w:r w:rsidR="000363E7">
        <w:t xml:space="preserve">losing date for comments is </w:t>
      </w:r>
      <w:r w:rsidR="0015045C">
        <w:t>1 November 2021.</w:t>
      </w:r>
      <w:r w:rsidRPr="006B1C47">
        <w:t xml:space="preserve"> Stakeholder submissions will be considered when finalising the draft </w:t>
      </w:r>
      <w:r w:rsidR="00C57555">
        <w:t>report</w:t>
      </w:r>
      <w:r w:rsidRPr="006B1C47">
        <w:t>.</w:t>
      </w:r>
    </w:p>
    <w:p w14:paraId="1DF5724D" w14:textId="77777777" w:rsidR="004A0FA3" w:rsidRDefault="006868A7">
      <w:pPr>
        <w:pStyle w:val="Heading4"/>
      </w:pPr>
      <w:r>
        <w:t>Next steps</w:t>
      </w:r>
    </w:p>
    <w:p w14:paraId="5689E50D" w14:textId="72D5486C" w:rsidR="004A0FA3" w:rsidRPr="006B1C47" w:rsidRDefault="006868A7" w:rsidP="006B1C47">
      <w:pPr>
        <w:rPr>
          <w:color w:val="000000" w:themeColor="text1"/>
        </w:rPr>
      </w:pPr>
      <w:r w:rsidRPr="006B1C47">
        <w:rPr>
          <w:color w:val="000000" w:themeColor="text1"/>
        </w:rPr>
        <w:t xml:space="preserve">This draft </w:t>
      </w:r>
      <w:r w:rsidR="000C58B5">
        <w:rPr>
          <w:color w:val="000000" w:themeColor="text1"/>
        </w:rPr>
        <w:t>report</w:t>
      </w:r>
      <w:r w:rsidRPr="006B1C47">
        <w:rPr>
          <w:color w:val="000000" w:themeColor="text1"/>
        </w:rPr>
        <w:t xml:space="preserve"> gives stakeholders the opportunity to comment and draw attention to any scientific, </w:t>
      </w:r>
      <w:proofErr w:type="gramStart"/>
      <w:r w:rsidRPr="006B1C47">
        <w:rPr>
          <w:color w:val="000000" w:themeColor="text1"/>
        </w:rPr>
        <w:t>technical</w:t>
      </w:r>
      <w:proofErr w:type="gramEnd"/>
      <w:r w:rsidRPr="006B1C47">
        <w:rPr>
          <w:color w:val="000000" w:themeColor="text1"/>
        </w:rPr>
        <w:t xml:space="preserve"> or other gaps in the data, misinterpretations and errors.</w:t>
      </w:r>
    </w:p>
    <w:p w14:paraId="0324F8C5" w14:textId="7B485CD4" w:rsidR="004A0FA3" w:rsidRPr="006B1C47" w:rsidRDefault="006868A7" w:rsidP="006B1C47">
      <w:pPr>
        <w:rPr>
          <w:color w:val="000000" w:themeColor="text1"/>
        </w:rPr>
      </w:pPr>
      <w:r w:rsidRPr="006B1C47">
        <w:rPr>
          <w:color w:val="000000" w:themeColor="text1"/>
        </w:rPr>
        <w:t xml:space="preserve">The department will consider submissions received on this draft </w:t>
      </w:r>
      <w:r w:rsidR="000C58B5">
        <w:rPr>
          <w:color w:val="000000" w:themeColor="text1"/>
        </w:rPr>
        <w:t>report</w:t>
      </w:r>
      <w:r w:rsidRPr="006B1C47">
        <w:rPr>
          <w:color w:val="000000" w:themeColor="text1"/>
        </w:rPr>
        <w:t xml:space="preserve"> and may consult informally with stakeholders. The department will then prepare a final report, </w:t>
      </w:r>
      <w:proofErr w:type="gramStart"/>
      <w:r w:rsidRPr="006B1C47">
        <w:rPr>
          <w:color w:val="000000" w:themeColor="text1"/>
        </w:rPr>
        <w:t>taking into account</w:t>
      </w:r>
      <w:proofErr w:type="gramEnd"/>
      <w:r w:rsidRPr="006B1C47">
        <w:rPr>
          <w:color w:val="000000" w:themeColor="text1"/>
        </w:rPr>
        <w:t xml:space="preserve"> stakeholder comments.</w:t>
      </w:r>
    </w:p>
    <w:p w14:paraId="4372733A" w14:textId="288A3CAC" w:rsidR="00817F0A" w:rsidRDefault="006868A7" w:rsidP="006B1C47">
      <w:pPr>
        <w:rPr>
          <w:color w:val="000000" w:themeColor="text1"/>
        </w:rPr>
        <w:sectPr w:rsidR="00817F0A" w:rsidSect="004B3822">
          <w:pgSz w:w="11906" w:h="16838"/>
          <w:pgMar w:top="1418" w:right="1418" w:bottom="1418" w:left="1418" w:header="567" w:footer="283" w:gutter="0"/>
          <w:cols w:space="708"/>
          <w:docGrid w:linePitch="360"/>
        </w:sectPr>
      </w:pPr>
      <w:r w:rsidRPr="006B1C47">
        <w:rPr>
          <w:color w:val="000000" w:themeColor="text1"/>
        </w:rPr>
        <w:t xml:space="preserve">The final </w:t>
      </w:r>
      <w:r w:rsidR="000C58B5">
        <w:rPr>
          <w:color w:val="000000" w:themeColor="text1"/>
        </w:rPr>
        <w:t>report</w:t>
      </w:r>
      <w:r w:rsidRPr="006B1C47">
        <w:rPr>
          <w:color w:val="000000" w:themeColor="text1"/>
        </w:rPr>
        <w:t xml:space="preserve"> will be published on the department’s website with a notice advising stakeholders of the release. The department will also notify the </w:t>
      </w:r>
      <w:r w:rsidR="00BD0349">
        <w:rPr>
          <w:color w:val="000000" w:themeColor="text1"/>
        </w:rPr>
        <w:t>proponent</w:t>
      </w:r>
      <w:r w:rsidRPr="006B1C47">
        <w:rPr>
          <w:color w:val="000000" w:themeColor="text1"/>
        </w:rPr>
        <w:t xml:space="preserve">, registered </w:t>
      </w:r>
      <w:proofErr w:type="gramStart"/>
      <w:r w:rsidRPr="006B1C47">
        <w:rPr>
          <w:color w:val="000000" w:themeColor="text1"/>
        </w:rPr>
        <w:t>stakeholders</w:t>
      </w:r>
      <w:proofErr w:type="gramEnd"/>
      <w:r w:rsidRPr="006B1C47">
        <w:rPr>
          <w:color w:val="000000" w:themeColor="text1"/>
        </w:rPr>
        <w:t xml:space="preserve"> and the </w:t>
      </w:r>
      <w:r w:rsidR="00D66206">
        <w:rPr>
          <w:color w:val="000000" w:themeColor="text1"/>
        </w:rPr>
        <w:t>World Trade Organization (</w:t>
      </w:r>
      <w:r w:rsidRPr="006B1C47">
        <w:rPr>
          <w:color w:val="000000" w:themeColor="text1"/>
        </w:rPr>
        <w:t>WTO</w:t>
      </w:r>
      <w:r w:rsidR="00D66206">
        <w:rPr>
          <w:color w:val="000000" w:themeColor="text1"/>
        </w:rPr>
        <w:t>)</w:t>
      </w:r>
      <w:r w:rsidRPr="006B1C47">
        <w:rPr>
          <w:color w:val="000000" w:themeColor="text1"/>
        </w:rPr>
        <w:t xml:space="preserve"> Secretariat about the release of the final </w:t>
      </w:r>
      <w:r w:rsidR="000C58B5">
        <w:rPr>
          <w:color w:val="000000" w:themeColor="text1"/>
        </w:rPr>
        <w:t>report</w:t>
      </w:r>
      <w:r w:rsidRPr="006B1C47">
        <w:rPr>
          <w:color w:val="000000" w:themeColor="text1"/>
        </w:rPr>
        <w:t>. Publication of the final report represents the end of the process. The conditions recommended in the final report will be the basis of any import permits issued.</w:t>
      </w:r>
    </w:p>
    <w:p w14:paraId="369AB971" w14:textId="03EFD447" w:rsidR="004A0FA3" w:rsidRDefault="00B65DEE">
      <w:pPr>
        <w:pStyle w:val="Heading2"/>
      </w:pPr>
      <w:bookmarkStart w:id="12" w:name="_Toc71018572"/>
      <w:bookmarkStart w:id="13" w:name="_Toc11849522"/>
      <w:r>
        <w:lastRenderedPageBreak/>
        <w:t>The a</w:t>
      </w:r>
      <w:r w:rsidR="0067094B">
        <w:t>ssessment</w:t>
      </w:r>
      <w:bookmarkEnd w:id="12"/>
      <w:r w:rsidR="0067094B">
        <w:t xml:space="preserve"> </w:t>
      </w:r>
      <w:bookmarkEnd w:id="13"/>
    </w:p>
    <w:p w14:paraId="35D5BB86" w14:textId="21C23868" w:rsidR="004A0FA3" w:rsidRDefault="00C9201F" w:rsidP="0067094B">
      <w:r w:rsidRPr="00C9201F">
        <w:t>The World Organisation for Animal Health (OIE), in its Aquatic Animal Health Code (</w:t>
      </w:r>
      <w:bookmarkStart w:id="14" w:name="_Hlk61440515"/>
      <w:r w:rsidRPr="00C9201F">
        <w:t xml:space="preserve">the OIE </w:t>
      </w:r>
      <w:r w:rsidR="00D66206">
        <w:t xml:space="preserve">Aquatic </w:t>
      </w:r>
      <w:r w:rsidRPr="00C9201F">
        <w:t>Code</w:t>
      </w:r>
      <w:bookmarkEnd w:id="14"/>
      <w:r w:rsidRPr="00C9201F">
        <w:t xml:space="preserve">), describes the components of risk analysis in Chapter 2.1. </w:t>
      </w:r>
    </w:p>
    <w:p w14:paraId="14FAF91C" w14:textId="77777777" w:rsidR="00B65DEE" w:rsidRDefault="00B65DEE" w:rsidP="00B65DEE">
      <w:r>
        <w:t>This draft report has drawn on several sources of information (this list is not exhaustive):</w:t>
      </w:r>
    </w:p>
    <w:p w14:paraId="7B336163" w14:textId="77777777" w:rsidR="00B65DEE" w:rsidRDefault="00B65DEE" w:rsidP="00B65DEE">
      <w:pPr>
        <w:pStyle w:val="ListBullet"/>
      </w:pPr>
      <w:r>
        <w:t xml:space="preserve">the 1999 non-viable marine finfish IRA (AQIS 1999), the full title being Australia’s </w:t>
      </w:r>
      <w:hyperlink r:id="rId29" w:history="1">
        <w:r w:rsidRPr="007341F8">
          <w:rPr>
            <w:rStyle w:val="Hyperlink"/>
          </w:rPr>
          <w:t>Import risk analysis on non-viable salmonids and non-salmonid marine finfish</w:t>
        </w:r>
      </w:hyperlink>
    </w:p>
    <w:p w14:paraId="7D2C1855" w14:textId="77777777" w:rsidR="00B65DEE" w:rsidRDefault="00B65DEE" w:rsidP="00B65DEE">
      <w:pPr>
        <w:pStyle w:val="ListBullet"/>
      </w:pPr>
      <w:r>
        <w:t>the OIE Aquatic Code (OIE 2019)</w:t>
      </w:r>
    </w:p>
    <w:p w14:paraId="1FAE815F" w14:textId="77777777" w:rsidR="00B65DEE" w:rsidRDefault="00B65DEE" w:rsidP="00B65DEE">
      <w:pPr>
        <w:pStyle w:val="ListBullet"/>
      </w:pPr>
      <w:r>
        <w:t>a review of relevant scientific literature</w:t>
      </w:r>
    </w:p>
    <w:p w14:paraId="21EAE818" w14:textId="790EA6AC" w:rsidR="00B65DEE" w:rsidRDefault="00B65DEE" w:rsidP="00B65DEE">
      <w:pPr>
        <w:pStyle w:val="ListBullet"/>
      </w:pPr>
      <w:r>
        <w:t>existing Australian Government policy.</w:t>
      </w:r>
    </w:p>
    <w:p w14:paraId="6978FE01" w14:textId="53BE2AA5" w:rsidR="00087CC9" w:rsidRPr="00087CC9" w:rsidRDefault="00C9201F" w:rsidP="00087CC9">
      <w:pPr>
        <w:spacing w:before="240"/>
      </w:pPr>
      <w:r>
        <w:t xml:space="preserve">While this </w:t>
      </w:r>
      <w:r w:rsidR="000C58B5">
        <w:t xml:space="preserve">report </w:t>
      </w:r>
      <w:r>
        <w:t xml:space="preserve">is consistent with OIE principles, it is a modified </w:t>
      </w:r>
      <w:r w:rsidR="00905C05">
        <w:t>analysis,</w:t>
      </w:r>
      <w:r>
        <w:t xml:space="preserve"> and the hazard identification is limited to </w:t>
      </w:r>
      <w:r w:rsidR="00087CC9">
        <w:t xml:space="preserve">the </w:t>
      </w:r>
      <w:r w:rsidR="00087CC9" w:rsidRPr="00087CC9">
        <w:t>virus causing infectious pancreatic necrosis (IPN)</w:t>
      </w:r>
      <w:r w:rsidR="00047E5A">
        <w:t>. IPN</w:t>
      </w:r>
      <w:r w:rsidR="00087CC9">
        <w:t xml:space="preserve"> </w:t>
      </w:r>
      <w:r w:rsidR="00047E5A">
        <w:t xml:space="preserve">virus (IPNV) </w:t>
      </w:r>
      <w:r w:rsidR="00047E5A" w:rsidRPr="00087CC9">
        <w:t xml:space="preserve">is a non-enveloped RNA virus </w:t>
      </w:r>
      <w:r w:rsidR="00047E5A">
        <w:t xml:space="preserve">that is </w:t>
      </w:r>
      <w:r>
        <w:t xml:space="preserve">the most thermo-chemical treatment resistant aquatic animal pathogen </w:t>
      </w:r>
      <w:r w:rsidR="00087CC9" w:rsidRPr="00087CC9">
        <w:t>and is often used as the minimum standard for aquatic viral inactivation (Defra 2005).</w:t>
      </w:r>
    </w:p>
    <w:p w14:paraId="6E1891B6" w14:textId="45B13BC5" w:rsidR="00087CC9" w:rsidRPr="00B65DEE" w:rsidRDefault="00087CC9" w:rsidP="00087CC9">
      <w:r w:rsidRPr="00087CC9">
        <w:t xml:space="preserve">IPNV can infect both salmonid and non-salmonid species and was identified as </w:t>
      </w:r>
      <w:r w:rsidR="007F2BB3">
        <w:t xml:space="preserve">a </w:t>
      </w:r>
      <w:r w:rsidRPr="00087CC9">
        <w:t>disease of concern that requires biosecurity measures in the 1999 non-viable marine finfish IRA (</w:t>
      </w:r>
      <w:r w:rsidR="00047E5A">
        <w:t xml:space="preserve">AQIS </w:t>
      </w:r>
      <w:r w:rsidRPr="00087CC9">
        <w:t xml:space="preserve">1999). Measures that inactivate this pathogen </w:t>
      </w:r>
      <w:r w:rsidR="000363E7">
        <w:t>will</w:t>
      </w:r>
      <w:r w:rsidRPr="00087CC9">
        <w:t xml:space="preserve"> also manage</w:t>
      </w:r>
      <w:r w:rsidR="000363E7">
        <w:t xml:space="preserve"> </w:t>
      </w:r>
      <w:r w:rsidRPr="00087CC9">
        <w:t>fish pathogens of concern</w:t>
      </w:r>
      <w:r w:rsidR="007A27B3">
        <w:t xml:space="preserve"> to Australia</w:t>
      </w:r>
      <w:r>
        <w:t>, i</w:t>
      </w:r>
      <w:r w:rsidRPr="00B65DEE">
        <w:t>ncluding but not limited to:</w:t>
      </w:r>
    </w:p>
    <w:p w14:paraId="3F9AE981" w14:textId="77777777" w:rsidR="00087CC9" w:rsidRPr="00087CC9" w:rsidRDefault="00087CC9" w:rsidP="00087CC9">
      <w:pPr>
        <w:numPr>
          <w:ilvl w:val="0"/>
          <w:numId w:val="29"/>
        </w:numPr>
      </w:pPr>
      <w:r w:rsidRPr="00087CC9">
        <w:t>infectious haematopoietic necrosis virus</w:t>
      </w:r>
    </w:p>
    <w:p w14:paraId="34FCD367" w14:textId="77777777" w:rsidR="00087CC9" w:rsidRPr="00087CC9" w:rsidRDefault="00087CC9" w:rsidP="00087CC9">
      <w:pPr>
        <w:numPr>
          <w:ilvl w:val="0"/>
          <w:numId w:val="29"/>
        </w:numPr>
      </w:pPr>
      <w:r w:rsidRPr="00087CC9">
        <w:t>infectious salmon anaemia virus</w:t>
      </w:r>
    </w:p>
    <w:p w14:paraId="6246F294" w14:textId="77777777" w:rsidR="00087CC9" w:rsidRPr="00087CC9" w:rsidRDefault="00087CC9" w:rsidP="00087CC9">
      <w:pPr>
        <w:numPr>
          <w:ilvl w:val="0"/>
          <w:numId w:val="29"/>
        </w:numPr>
      </w:pPr>
      <w:r w:rsidRPr="00087CC9">
        <w:t>salmonid alphavirus</w:t>
      </w:r>
    </w:p>
    <w:p w14:paraId="56D501A3" w14:textId="77777777" w:rsidR="00087CC9" w:rsidRPr="00087CC9" w:rsidRDefault="00087CC9" w:rsidP="00087CC9">
      <w:pPr>
        <w:numPr>
          <w:ilvl w:val="0"/>
          <w:numId w:val="29"/>
        </w:numPr>
      </w:pPr>
      <w:r w:rsidRPr="00087CC9">
        <w:t>viral haemorrhagic septicaemia</w:t>
      </w:r>
    </w:p>
    <w:p w14:paraId="44ACBD4E" w14:textId="77777777" w:rsidR="00087CC9" w:rsidRPr="00087CC9" w:rsidRDefault="00087CC9" w:rsidP="00087CC9">
      <w:pPr>
        <w:numPr>
          <w:ilvl w:val="0"/>
          <w:numId w:val="29"/>
        </w:numPr>
      </w:pPr>
      <w:r w:rsidRPr="00087CC9">
        <w:t xml:space="preserve">other aquatic </w:t>
      </w:r>
      <w:proofErr w:type="spellStart"/>
      <w:r w:rsidRPr="00087CC9">
        <w:t>birnaviruses</w:t>
      </w:r>
      <w:proofErr w:type="spellEnd"/>
    </w:p>
    <w:p w14:paraId="31E7332D" w14:textId="77777777" w:rsidR="00087CC9" w:rsidRPr="00087CC9" w:rsidRDefault="00087CC9" w:rsidP="00087CC9">
      <w:pPr>
        <w:numPr>
          <w:ilvl w:val="0"/>
          <w:numId w:val="29"/>
        </w:numPr>
      </w:pPr>
      <w:r w:rsidRPr="00087CC9">
        <w:t>red sea bream iridovirus and other iridoviruses</w:t>
      </w:r>
    </w:p>
    <w:p w14:paraId="0DA31706" w14:textId="77777777" w:rsidR="00087CC9" w:rsidRPr="00087CC9" w:rsidRDefault="00087CC9" w:rsidP="00087CC9">
      <w:pPr>
        <w:numPr>
          <w:ilvl w:val="0"/>
          <w:numId w:val="29"/>
        </w:numPr>
      </w:pPr>
      <w:r w:rsidRPr="00087CC9">
        <w:rPr>
          <w:i/>
          <w:iCs/>
        </w:rPr>
        <w:t xml:space="preserve">Aeromonas </w:t>
      </w:r>
      <w:proofErr w:type="spellStart"/>
      <w:r w:rsidRPr="00087CC9">
        <w:rPr>
          <w:i/>
          <w:iCs/>
        </w:rPr>
        <w:t>salmonicida</w:t>
      </w:r>
      <w:proofErr w:type="spellEnd"/>
      <w:r w:rsidRPr="00087CC9">
        <w:t xml:space="preserve"> typical (furunculosis) and atypical strains</w:t>
      </w:r>
    </w:p>
    <w:p w14:paraId="44B6F435" w14:textId="77777777" w:rsidR="00087CC9" w:rsidRPr="00087CC9" w:rsidRDefault="00087CC9" w:rsidP="00087CC9">
      <w:pPr>
        <w:numPr>
          <w:ilvl w:val="0"/>
          <w:numId w:val="29"/>
        </w:numPr>
        <w:rPr>
          <w:i/>
          <w:iCs/>
        </w:rPr>
      </w:pPr>
      <w:proofErr w:type="spellStart"/>
      <w:r w:rsidRPr="00087CC9">
        <w:rPr>
          <w:i/>
          <w:iCs/>
        </w:rPr>
        <w:t>Renibacterium</w:t>
      </w:r>
      <w:proofErr w:type="spellEnd"/>
      <w:r w:rsidRPr="00087CC9">
        <w:rPr>
          <w:i/>
          <w:iCs/>
        </w:rPr>
        <w:t xml:space="preserve"> </w:t>
      </w:r>
      <w:proofErr w:type="spellStart"/>
      <w:r w:rsidRPr="00087CC9">
        <w:rPr>
          <w:i/>
          <w:iCs/>
        </w:rPr>
        <w:t>salmoninarum</w:t>
      </w:r>
      <w:proofErr w:type="spellEnd"/>
    </w:p>
    <w:p w14:paraId="39C3637B" w14:textId="77777777" w:rsidR="00087CC9" w:rsidRPr="00087CC9" w:rsidRDefault="00087CC9" w:rsidP="00087CC9">
      <w:pPr>
        <w:numPr>
          <w:ilvl w:val="0"/>
          <w:numId w:val="29"/>
        </w:numPr>
      </w:pPr>
      <w:r w:rsidRPr="00087CC9">
        <w:rPr>
          <w:i/>
          <w:iCs/>
        </w:rPr>
        <w:t xml:space="preserve">Yersinia </w:t>
      </w:r>
      <w:proofErr w:type="spellStart"/>
      <w:r w:rsidRPr="00087CC9">
        <w:rPr>
          <w:i/>
          <w:iCs/>
        </w:rPr>
        <w:t>ruckeri</w:t>
      </w:r>
      <w:proofErr w:type="spellEnd"/>
      <w:r w:rsidRPr="00087CC9">
        <w:t xml:space="preserve"> (Hagerman strain)</w:t>
      </w:r>
    </w:p>
    <w:p w14:paraId="3D81603A" w14:textId="344621AC" w:rsidR="00087CC9" w:rsidRDefault="00087CC9" w:rsidP="00087CC9">
      <w:pPr>
        <w:numPr>
          <w:ilvl w:val="0"/>
          <w:numId w:val="29"/>
        </w:numPr>
      </w:pPr>
      <w:r w:rsidRPr="00087CC9">
        <w:rPr>
          <w:i/>
          <w:iCs/>
        </w:rPr>
        <w:t xml:space="preserve">Photobacterium </w:t>
      </w:r>
      <w:proofErr w:type="spellStart"/>
      <w:r w:rsidRPr="00087CC9">
        <w:rPr>
          <w:i/>
          <w:iCs/>
        </w:rPr>
        <w:t>damsela</w:t>
      </w:r>
      <w:proofErr w:type="spellEnd"/>
      <w:r w:rsidRPr="00087CC9">
        <w:t xml:space="preserve"> subsp. </w:t>
      </w:r>
      <w:r w:rsidRPr="00087CC9">
        <w:rPr>
          <w:i/>
          <w:iCs/>
        </w:rPr>
        <w:t>piscicida.</w:t>
      </w:r>
    </w:p>
    <w:p w14:paraId="080D089C" w14:textId="5A466488" w:rsidR="00087CC9" w:rsidRPr="00087CC9" w:rsidRDefault="00087CC9" w:rsidP="00087CC9">
      <w:r w:rsidRPr="00087CC9">
        <w:t xml:space="preserve">Therefore, </w:t>
      </w:r>
      <w:r w:rsidR="00BD0349" w:rsidRPr="00087CC9">
        <w:t xml:space="preserve">in this draft report </w:t>
      </w:r>
      <w:r w:rsidRPr="00087CC9">
        <w:t xml:space="preserve">IPNV is used as the benchmark pathogen for aquatic </w:t>
      </w:r>
      <w:r w:rsidR="00A11BAC">
        <w:t>pathogen</w:t>
      </w:r>
      <w:r w:rsidRPr="00087CC9">
        <w:t xml:space="preserve"> inactivation to manage risks to achieve Australia’s ALOP.</w:t>
      </w:r>
    </w:p>
    <w:p w14:paraId="2F799556" w14:textId="70E88816" w:rsidR="00B45EDF" w:rsidRDefault="00B65DEE" w:rsidP="005F75BA">
      <w:r>
        <w:t>T</w:t>
      </w:r>
      <w:r w:rsidR="005F75BA">
        <w:t>o determine viral inactivation, the desired sterility assurance level (SAL</w:t>
      </w:r>
      <w:r>
        <w:t>) is usually</w:t>
      </w:r>
      <w:r w:rsidR="005F75BA">
        <w:t xml:space="preserve"> set at 10</w:t>
      </w:r>
      <w:r w:rsidR="005F75BA" w:rsidRPr="00F372B0">
        <w:rPr>
          <w:vertAlign w:val="superscript"/>
        </w:rPr>
        <w:t>-6</w:t>
      </w:r>
      <w:r w:rsidR="005F75BA">
        <w:t>. This SAL provides an assurance that there is less than one chance in a million of viable contamination in any one unit. Hence, a process shown to achieve a 6-log reduction (</w:t>
      </w:r>
      <w:proofErr w:type="gramStart"/>
      <w:r w:rsidR="005F75BA">
        <w:t>i.e.</w:t>
      </w:r>
      <w:proofErr w:type="gramEnd"/>
      <w:r w:rsidR="005F75BA">
        <w:t xml:space="preserve"> 10</w:t>
      </w:r>
      <w:r w:rsidR="005F75BA" w:rsidRPr="00F372B0">
        <w:rPr>
          <w:vertAlign w:val="superscript"/>
        </w:rPr>
        <w:t>-6</w:t>
      </w:r>
      <w:r w:rsidR="005F75BA">
        <w:t xml:space="preserve">) </w:t>
      </w:r>
      <w:r w:rsidR="005F75BA">
        <w:lastRenderedPageBreak/>
        <w:t>will reduce a population from a million viable pathogens (10</w:t>
      </w:r>
      <w:r w:rsidR="005F75BA" w:rsidRPr="00F372B0">
        <w:rPr>
          <w:vertAlign w:val="superscript"/>
        </w:rPr>
        <w:t>-6</w:t>
      </w:r>
      <w:r w:rsidR="005F75BA">
        <w:t>) to one viable pathogenic agent (Mosley 2008).</w:t>
      </w:r>
    </w:p>
    <w:p w14:paraId="69A5DC20" w14:textId="596ADC69" w:rsidR="00501655" w:rsidRDefault="00B65DEE" w:rsidP="00087CC9">
      <w:r>
        <w:t xml:space="preserve">For this assessment, </w:t>
      </w:r>
      <w:r w:rsidR="00087CC9">
        <w:t xml:space="preserve">if </w:t>
      </w:r>
      <w:r w:rsidR="005F75BA">
        <w:t xml:space="preserve">the </w:t>
      </w:r>
      <w:r>
        <w:t xml:space="preserve">prescribed heat treatment </w:t>
      </w:r>
      <w:r w:rsidR="00A11BAC" w:rsidRPr="00087CC9">
        <w:t>achiev</w:t>
      </w:r>
      <w:r w:rsidR="00A11BAC">
        <w:t>es</w:t>
      </w:r>
      <w:r w:rsidR="00087CC9" w:rsidRPr="00087CC9">
        <w:t xml:space="preserve"> a titre reduction of at least 6 logs (that is, 10</w:t>
      </w:r>
      <w:r w:rsidR="00611FF2" w:rsidRPr="00805D54">
        <w:rPr>
          <w:vertAlign w:val="superscript"/>
        </w:rPr>
        <w:t>-</w:t>
      </w:r>
      <w:r w:rsidR="00087CC9" w:rsidRPr="00087CC9">
        <w:rPr>
          <w:vertAlign w:val="superscript"/>
        </w:rPr>
        <w:t>6</w:t>
      </w:r>
      <w:r w:rsidR="00087CC9" w:rsidRPr="00087CC9">
        <w:t>)</w:t>
      </w:r>
      <w:r w:rsidR="00087CC9">
        <w:t xml:space="preserve"> of IPNV in a fish product</w:t>
      </w:r>
      <w:r w:rsidR="00087CC9" w:rsidRPr="00087CC9">
        <w:t xml:space="preserve"> before export to Australia</w:t>
      </w:r>
      <w:r w:rsidR="00087CC9">
        <w:t xml:space="preserve"> </w:t>
      </w:r>
      <w:r>
        <w:t xml:space="preserve">then </w:t>
      </w:r>
      <w:r w:rsidR="00087CC9">
        <w:t xml:space="preserve">it </w:t>
      </w:r>
      <w:r w:rsidR="00A11BAC">
        <w:t>is</w:t>
      </w:r>
      <w:r w:rsidR="00087CC9" w:rsidRPr="00087CC9">
        <w:t xml:space="preserve"> considered to present a “negligible” </w:t>
      </w:r>
      <w:r w:rsidR="00B059C3">
        <w:t>likelihood</w:t>
      </w:r>
      <w:r w:rsidR="00B059C3" w:rsidRPr="00087CC9">
        <w:t xml:space="preserve"> </w:t>
      </w:r>
      <w:r w:rsidR="00087CC9" w:rsidRPr="00087CC9">
        <w:t xml:space="preserve">of </w:t>
      </w:r>
      <w:r w:rsidR="00B5156B">
        <w:t xml:space="preserve">entry </w:t>
      </w:r>
      <w:r w:rsidR="00087CC9">
        <w:t xml:space="preserve">and, therefore, </w:t>
      </w:r>
      <w:r w:rsidR="00B059C3">
        <w:t>result</w:t>
      </w:r>
      <w:r w:rsidR="00BD0349">
        <w:t>s</w:t>
      </w:r>
      <w:r w:rsidR="00B059C3">
        <w:t xml:space="preserve"> in an overall risk of “very low”</w:t>
      </w:r>
      <w:r w:rsidR="00B5156B">
        <w:t xml:space="preserve">, </w:t>
      </w:r>
      <w:r w:rsidR="00087CC9" w:rsidRPr="00087CC9">
        <w:t>achiev</w:t>
      </w:r>
      <w:r w:rsidR="00B059C3">
        <w:t>ing</w:t>
      </w:r>
      <w:r w:rsidR="00087CC9" w:rsidRPr="00087CC9">
        <w:t xml:space="preserve"> Australia’s ALOP</w:t>
      </w:r>
      <w:r w:rsidR="00087CC9">
        <w:t>.</w:t>
      </w:r>
    </w:p>
    <w:p w14:paraId="5F87C88F" w14:textId="4817C3B8" w:rsidR="009A1397" w:rsidRDefault="00501655" w:rsidP="00087CC9">
      <w:r>
        <w:t xml:space="preserve">The department has </w:t>
      </w:r>
      <w:r w:rsidR="00A11BAC">
        <w:t>compiled</w:t>
      </w:r>
      <w:r>
        <w:t xml:space="preserve"> its key findings, </w:t>
      </w:r>
      <w:proofErr w:type="gramStart"/>
      <w:r>
        <w:t>conclusions</w:t>
      </w:r>
      <w:proofErr w:type="gramEnd"/>
      <w:r>
        <w:t xml:space="preserve"> and proposed changes to biosecurity measures in this document. The report is spilt into two further sections, the next chapter addresses the scientific information regarding the prescribed heat treatment for inactivation of IPNV. The final section proposes changes to the biosecurity requirements for </w:t>
      </w:r>
      <w:r w:rsidR="00BD0349">
        <w:t xml:space="preserve">imported </w:t>
      </w:r>
      <w:r>
        <w:t xml:space="preserve">fish products </w:t>
      </w:r>
      <w:r w:rsidR="00BD0349">
        <w:t>to</w:t>
      </w:r>
      <w:r w:rsidRPr="00501655">
        <w:t xml:space="preserve"> Australia </w:t>
      </w:r>
      <w:r w:rsidR="00A11BAC">
        <w:t xml:space="preserve">according to the findings </w:t>
      </w:r>
      <w:r w:rsidR="00B059C3">
        <w:t>of</w:t>
      </w:r>
      <w:r w:rsidR="00E5451D">
        <w:t xml:space="preserve"> </w:t>
      </w:r>
      <w:r w:rsidR="00A11BAC">
        <w:t>this report</w:t>
      </w:r>
      <w:r>
        <w:t>.</w:t>
      </w:r>
      <w:r w:rsidRPr="00501655">
        <w:t xml:space="preserve"> </w:t>
      </w:r>
      <w:r w:rsidR="009A1397">
        <w:br w:type="page"/>
      </w:r>
    </w:p>
    <w:p w14:paraId="6FFE205B" w14:textId="5FFB23A3" w:rsidR="004A0FA3" w:rsidRPr="005C42B3" w:rsidRDefault="00B65DEE">
      <w:pPr>
        <w:pStyle w:val="Heading2"/>
      </w:pPr>
      <w:bookmarkStart w:id="15" w:name="_Review_of_hazard"/>
      <w:bookmarkStart w:id="16" w:name="_Risk_reviews"/>
      <w:bookmarkStart w:id="17" w:name="_Toc71018573"/>
      <w:bookmarkEnd w:id="15"/>
      <w:bookmarkEnd w:id="16"/>
      <w:r>
        <w:lastRenderedPageBreak/>
        <w:t>Key findings</w:t>
      </w:r>
      <w:bookmarkEnd w:id="17"/>
    </w:p>
    <w:p w14:paraId="032C33FB" w14:textId="03B2DFC7" w:rsidR="004A0FA3" w:rsidRPr="005C42B3" w:rsidRDefault="005C42B3">
      <w:pPr>
        <w:pStyle w:val="Heading3"/>
      </w:pPr>
      <w:bookmarkStart w:id="18" w:name="_Toc71018574"/>
      <w:r w:rsidRPr="005C42B3">
        <w:t>Infectious pancreatic necrosis virus</w:t>
      </w:r>
      <w:bookmarkEnd w:id="18"/>
    </w:p>
    <w:p w14:paraId="7762FBDD" w14:textId="0B4C22AD" w:rsidR="005C42B3" w:rsidRDefault="005C42B3" w:rsidP="005C42B3">
      <w:pPr>
        <w:pStyle w:val="Heading4"/>
      </w:pPr>
      <w:r w:rsidRPr="005C42B3">
        <w:t>Background</w:t>
      </w:r>
    </w:p>
    <w:p w14:paraId="1994A0A3" w14:textId="0A7019D7" w:rsidR="00B45EDF" w:rsidRDefault="005C42B3" w:rsidP="005C42B3">
      <w:r>
        <w:t xml:space="preserve">Infectious pancreatic necrosis (IPN) is a particularly important disease of </w:t>
      </w:r>
      <w:r w:rsidR="009A7E22">
        <w:t>salmonid</w:t>
      </w:r>
      <w:r w:rsidR="00025343">
        <w:t>s</w:t>
      </w:r>
      <w:r w:rsidR="009A7E22">
        <w:t>,</w:t>
      </w:r>
      <w:r w:rsidR="00A523FB">
        <w:t xml:space="preserve"> </w:t>
      </w:r>
      <w:r w:rsidR="00F7271D">
        <w:t xml:space="preserve">but </w:t>
      </w:r>
      <w:r w:rsidR="009E7B00">
        <w:t xml:space="preserve">other species of </w:t>
      </w:r>
      <w:r w:rsidR="00A523FB">
        <w:t>non-salmonid fish</w:t>
      </w:r>
      <w:r>
        <w:t xml:space="preserve"> </w:t>
      </w:r>
      <w:r w:rsidR="009E7B00">
        <w:t>are also susceptible to</w:t>
      </w:r>
      <w:r>
        <w:t xml:space="preserve"> </w:t>
      </w:r>
      <w:r w:rsidR="00047E5A">
        <w:t>the disease</w:t>
      </w:r>
      <w:r>
        <w:t>.</w:t>
      </w:r>
    </w:p>
    <w:p w14:paraId="61258161" w14:textId="538DE323" w:rsidR="00925A43" w:rsidRDefault="00925A43" w:rsidP="00925A43">
      <w:r>
        <w:t xml:space="preserve">IPN was originally described as a disease affecting salmonid fry and fingerlings in freshwater hatcheries in North America and subsequently northern Europe. However, since the 1980s, it has been reported in both freshwater and marine farms infecting all age groups with increasing prevalence and distribution (OIE 2009; Jensen and </w:t>
      </w:r>
      <w:proofErr w:type="spellStart"/>
      <w:r>
        <w:t>Kristoffersen</w:t>
      </w:r>
      <w:proofErr w:type="spellEnd"/>
      <w:r>
        <w:t xml:space="preserve"> 2015).</w:t>
      </w:r>
    </w:p>
    <w:p w14:paraId="73A82E2C" w14:textId="5DAF09E1" w:rsidR="001F3580" w:rsidRPr="00F7271D" w:rsidRDefault="005C42B3" w:rsidP="00925A43">
      <w:pPr>
        <w:rPr>
          <w:i/>
          <w:iCs/>
        </w:rPr>
      </w:pPr>
      <w:r>
        <w:t>The mortality caused by IPNV may be as high as 70% in young salmonid fish and the virus establishes an asymptomatic carrier state in survivors, both in different species of salmonids and in other species of farmed fish, such as turbot and Atlantic cod (Curtin et al. 2005; García et al. 2006; Rodriguez et al. 2001).</w:t>
      </w:r>
      <w:r w:rsidR="00DD519C">
        <w:t xml:space="preserve"> </w:t>
      </w:r>
      <w:r w:rsidR="00925A43">
        <w:t xml:space="preserve">IPNV is also known to infect </w:t>
      </w:r>
      <w:r w:rsidR="00F7271D" w:rsidRPr="00F7271D">
        <w:t>Atlantic menhaden (</w:t>
      </w:r>
      <w:r w:rsidR="00F7271D" w:rsidRPr="00F7271D">
        <w:rPr>
          <w:i/>
          <w:iCs/>
        </w:rPr>
        <w:t>Brevoortia</w:t>
      </w:r>
      <w:r w:rsidR="00F7271D">
        <w:rPr>
          <w:i/>
          <w:iCs/>
        </w:rPr>
        <w:t xml:space="preserve"> </w:t>
      </w:r>
      <w:proofErr w:type="spellStart"/>
      <w:r w:rsidR="00F7271D" w:rsidRPr="00F7271D">
        <w:rPr>
          <w:i/>
          <w:iCs/>
        </w:rPr>
        <w:t>tyrannus</w:t>
      </w:r>
      <w:proofErr w:type="spellEnd"/>
      <w:r w:rsidR="00F7271D" w:rsidRPr="00F7271D">
        <w:t>), striped bass (</w:t>
      </w:r>
      <w:proofErr w:type="spellStart"/>
      <w:r w:rsidR="00F7271D" w:rsidRPr="00F7271D">
        <w:rPr>
          <w:i/>
          <w:iCs/>
        </w:rPr>
        <w:t>Morone</w:t>
      </w:r>
      <w:proofErr w:type="spellEnd"/>
      <w:r w:rsidR="00F7271D" w:rsidRPr="00F7271D">
        <w:rPr>
          <w:i/>
          <w:iCs/>
        </w:rPr>
        <w:t xml:space="preserve"> saxatilis</w:t>
      </w:r>
      <w:r w:rsidR="00F7271D" w:rsidRPr="00F7271D">
        <w:t>) and southern</w:t>
      </w:r>
      <w:r w:rsidR="00F7271D">
        <w:rPr>
          <w:i/>
          <w:iCs/>
        </w:rPr>
        <w:t xml:space="preserve"> </w:t>
      </w:r>
      <w:r w:rsidR="00F7271D" w:rsidRPr="00F7271D">
        <w:t>flounder (</w:t>
      </w:r>
      <w:proofErr w:type="spellStart"/>
      <w:r w:rsidR="00F7271D" w:rsidRPr="00F7271D">
        <w:rPr>
          <w:i/>
          <w:iCs/>
        </w:rPr>
        <w:t>Paralichthys</w:t>
      </w:r>
      <w:proofErr w:type="spellEnd"/>
      <w:r w:rsidR="00F7271D" w:rsidRPr="00F7271D">
        <w:rPr>
          <w:i/>
          <w:iCs/>
        </w:rPr>
        <w:t xml:space="preserve"> </w:t>
      </w:r>
      <w:proofErr w:type="spellStart"/>
      <w:r w:rsidR="00F7271D" w:rsidRPr="00F7271D">
        <w:rPr>
          <w:i/>
          <w:iCs/>
        </w:rPr>
        <w:t>lethostigma</w:t>
      </w:r>
      <w:proofErr w:type="spellEnd"/>
      <w:r w:rsidR="00F7271D" w:rsidRPr="00F7271D">
        <w:t>) in the United States</w:t>
      </w:r>
      <w:r w:rsidR="00F7271D">
        <w:rPr>
          <w:i/>
          <w:iCs/>
        </w:rPr>
        <w:t xml:space="preserve"> </w:t>
      </w:r>
      <w:r w:rsidR="00F7271D" w:rsidRPr="00F7271D">
        <w:t>and Japanese eel (</w:t>
      </w:r>
      <w:r w:rsidR="00F7271D" w:rsidRPr="00F7271D">
        <w:rPr>
          <w:i/>
          <w:iCs/>
        </w:rPr>
        <w:t>Anguilla japonica</w:t>
      </w:r>
      <w:r w:rsidR="00F7271D" w:rsidRPr="00F7271D">
        <w:t>)</w:t>
      </w:r>
      <w:r w:rsidR="00F7271D">
        <w:t xml:space="preserve"> in Taiwan</w:t>
      </w:r>
      <w:r w:rsidR="00925A43">
        <w:t xml:space="preserve"> (</w:t>
      </w:r>
      <w:r w:rsidR="00B5156B" w:rsidRPr="00B5156B">
        <w:t>McAllister and Owens 1995</w:t>
      </w:r>
      <w:r w:rsidR="00925A43">
        <w:t>)</w:t>
      </w:r>
      <w:r w:rsidR="00905C05">
        <w:t xml:space="preserve"> and </w:t>
      </w:r>
      <w:r w:rsidR="009E7B00" w:rsidRPr="009E7B00">
        <w:rPr>
          <w:lang w:val="en"/>
        </w:rPr>
        <w:t xml:space="preserve">spotted wolffish </w:t>
      </w:r>
      <w:r w:rsidR="009E7B00">
        <w:rPr>
          <w:lang w:val="en"/>
        </w:rPr>
        <w:t>(</w:t>
      </w:r>
      <w:proofErr w:type="spellStart"/>
      <w:r w:rsidR="009E7B00" w:rsidRPr="009E7B00">
        <w:rPr>
          <w:i/>
          <w:iCs/>
          <w:lang w:val="en"/>
        </w:rPr>
        <w:t>Anarhichas</w:t>
      </w:r>
      <w:proofErr w:type="spellEnd"/>
      <w:r w:rsidR="009E7B00" w:rsidRPr="009E7B00">
        <w:rPr>
          <w:i/>
          <w:iCs/>
          <w:lang w:val="en"/>
        </w:rPr>
        <w:t xml:space="preserve"> minor</w:t>
      </w:r>
      <w:r w:rsidR="009E7B00" w:rsidRPr="009E7B00">
        <w:rPr>
          <w:lang w:val="en"/>
        </w:rPr>
        <w:t xml:space="preserve">) </w:t>
      </w:r>
      <w:r w:rsidR="00905C05">
        <w:t>(</w:t>
      </w:r>
      <w:r w:rsidR="009E7B00">
        <w:t>Sommer et al. 2004</w:t>
      </w:r>
      <w:r w:rsidR="00905C05">
        <w:t>).</w:t>
      </w:r>
    </w:p>
    <w:p w14:paraId="42CBCE19" w14:textId="048E3B9E" w:rsidR="00B45EDF" w:rsidRDefault="005C42B3" w:rsidP="001F3580">
      <w:r>
        <w:t xml:space="preserve">In addition, surveys and case reports have documented the occurrence of IPNV, or </w:t>
      </w:r>
      <w:r w:rsidR="001F3580">
        <w:t>viruses showing serological relatedness</w:t>
      </w:r>
      <w:r>
        <w:t xml:space="preserve">, </w:t>
      </w:r>
      <w:r w:rsidR="001F3580" w:rsidRPr="001F3580">
        <w:t>in a wide range of estuarine and freshwater fish species</w:t>
      </w:r>
      <w:r w:rsidR="00905C05">
        <w:t>. S</w:t>
      </w:r>
      <w:r w:rsidR="001F3580" w:rsidRPr="001F3580">
        <w:t>uch as</w:t>
      </w:r>
      <w:r w:rsidR="00905C05">
        <w:t>,</w:t>
      </w:r>
      <w:r w:rsidR="001F3580" w:rsidRPr="001F3580">
        <w:t xml:space="preserve"> loach (</w:t>
      </w:r>
      <w:proofErr w:type="spellStart"/>
      <w:r w:rsidR="001F3580" w:rsidRPr="00EA1CC4">
        <w:rPr>
          <w:i/>
          <w:iCs/>
        </w:rPr>
        <w:t>Misgurnus</w:t>
      </w:r>
      <w:proofErr w:type="spellEnd"/>
      <w:r w:rsidR="001F3580" w:rsidRPr="00EA1CC4">
        <w:rPr>
          <w:i/>
          <w:iCs/>
        </w:rPr>
        <w:t xml:space="preserve"> </w:t>
      </w:r>
      <w:proofErr w:type="spellStart"/>
      <w:r w:rsidR="001F3580" w:rsidRPr="00EA1CC4">
        <w:rPr>
          <w:i/>
          <w:iCs/>
        </w:rPr>
        <w:t>anguillicaudatus</w:t>
      </w:r>
      <w:proofErr w:type="spellEnd"/>
      <w:r w:rsidR="001F3580" w:rsidRPr="001F3580">
        <w:t>)</w:t>
      </w:r>
      <w:r w:rsidR="001F3580">
        <w:t xml:space="preserve">, </w:t>
      </w:r>
      <w:r w:rsidR="001F3580" w:rsidRPr="001F3580">
        <w:t>pike</w:t>
      </w:r>
      <w:r w:rsidR="001F3580">
        <w:t xml:space="preserve"> </w:t>
      </w:r>
      <w:r w:rsidR="001F3580" w:rsidRPr="001F3580">
        <w:t>(</w:t>
      </w:r>
      <w:r w:rsidR="001F3580" w:rsidRPr="00EA1CC4">
        <w:rPr>
          <w:i/>
          <w:iCs/>
        </w:rPr>
        <w:t xml:space="preserve">Esox </w:t>
      </w:r>
      <w:proofErr w:type="spellStart"/>
      <w:r w:rsidR="001F3580" w:rsidRPr="00EA1CC4">
        <w:rPr>
          <w:i/>
          <w:iCs/>
        </w:rPr>
        <w:t>lucius</w:t>
      </w:r>
      <w:proofErr w:type="spellEnd"/>
      <w:r w:rsidR="001F3580" w:rsidRPr="001F3580">
        <w:t xml:space="preserve">) and numerous other species in the families </w:t>
      </w:r>
      <w:proofErr w:type="spellStart"/>
      <w:r w:rsidR="001F3580" w:rsidRPr="001F3580">
        <w:t>Anguillidae</w:t>
      </w:r>
      <w:proofErr w:type="spellEnd"/>
      <w:r w:rsidR="001F3580" w:rsidRPr="001F3580">
        <w:t xml:space="preserve">, Atherinidae, Bothidae, Carangidae, </w:t>
      </w:r>
      <w:proofErr w:type="spellStart"/>
      <w:r w:rsidR="001F3580" w:rsidRPr="001F3580">
        <w:t>Cotostomidae</w:t>
      </w:r>
      <w:proofErr w:type="spellEnd"/>
      <w:r w:rsidR="001F3580" w:rsidRPr="001F3580">
        <w:t>,</w:t>
      </w:r>
      <w:r w:rsidR="001F3580">
        <w:t xml:space="preserve"> </w:t>
      </w:r>
      <w:proofErr w:type="spellStart"/>
      <w:r w:rsidR="001F3580" w:rsidRPr="001F3580">
        <w:t>Cichlidae</w:t>
      </w:r>
      <w:proofErr w:type="spellEnd"/>
      <w:r w:rsidR="001F3580" w:rsidRPr="001F3580">
        <w:t xml:space="preserve">, </w:t>
      </w:r>
      <w:proofErr w:type="spellStart"/>
      <w:r w:rsidR="001F3580" w:rsidRPr="001F3580">
        <w:t>Clupeidae</w:t>
      </w:r>
      <w:proofErr w:type="spellEnd"/>
      <w:r w:rsidR="001F3580" w:rsidRPr="001F3580">
        <w:t xml:space="preserve">, Cobitidae, </w:t>
      </w:r>
      <w:proofErr w:type="spellStart"/>
      <w:r w:rsidR="001F3580" w:rsidRPr="001F3580">
        <w:t>Coregonidae</w:t>
      </w:r>
      <w:proofErr w:type="spellEnd"/>
      <w:r w:rsidR="001F3580" w:rsidRPr="001F3580">
        <w:t xml:space="preserve">, </w:t>
      </w:r>
      <w:proofErr w:type="spellStart"/>
      <w:r w:rsidR="001F3580" w:rsidRPr="001F3580">
        <w:t>Cyprinidae</w:t>
      </w:r>
      <w:proofErr w:type="spellEnd"/>
      <w:r w:rsidR="001F3580" w:rsidRPr="001F3580">
        <w:t xml:space="preserve">, </w:t>
      </w:r>
      <w:proofErr w:type="spellStart"/>
      <w:r w:rsidR="001F3580" w:rsidRPr="001F3580">
        <w:t>Esocidae</w:t>
      </w:r>
      <w:proofErr w:type="spellEnd"/>
      <w:r w:rsidR="001F3580" w:rsidRPr="001F3580">
        <w:t xml:space="preserve">, </w:t>
      </w:r>
      <w:proofErr w:type="spellStart"/>
      <w:r w:rsidR="001F3580" w:rsidRPr="001F3580">
        <w:t>Moronidae</w:t>
      </w:r>
      <w:proofErr w:type="spellEnd"/>
      <w:r w:rsidR="001F3580" w:rsidRPr="001F3580">
        <w:t xml:space="preserve">, </w:t>
      </w:r>
      <w:proofErr w:type="spellStart"/>
      <w:r w:rsidR="001F3580" w:rsidRPr="001F3580">
        <w:t>Paralichthydae</w:t>
      </w:r>
      <w:proofErr w:type="spellEnd"/>
      <w:r w:rsidR="001F3580" w:rsidRPr="001F3580">
        <w:t xml:space="preserve">, </w:t>
      </w:r>
      <w:proofErr w:type="spellStart"/>
      <w:r w:rsidR="001F3580" w:rsidRPr="001F3580">
        <w:t>Percidae</w:t>
      </w:r>
      <w:proofErr w:type="spellEnd"/>
      <w:r w:rsidR="001F3580" w:rsidRPr="001F3580">
        <w:t xml:space="preserve">, </w:t>
      </w:r>
      <w:proofErr w:type="spellStart"/>
      <w:r w:rsidR="001F3580" w:rsidRPr="001F3580">
        <w:t>Poecilidae</w:t>
      </w:r>
      <w:proofErr w:type="spellEnd"/>
      <w:r w:rsidR="001F3580" w:rsidRPr="001F3580">
        <w:t xml:space="preserve">, </w:t>
      </w:r>
      <w:proofErr w:type="spellStart"/>
      <w:r w:rsidR="001F3580" w:rsidRPr="001F3580">
        <w:t>Sciaenidae</w:t>
      </w:r>
      <w:proofErr w:type="spellEnd"/>
      <w:r w:rsidR="001F3580" w:rsidRPr="001F3580">
        <w:t>,</w:t>
      </w:r>
      <w:r w:rsidR="001F3580">
        <w:t xml:space="preserve"> </w:t>
      </w:r>
      <w:r w:rsidR="001F3580" w:rsidRPr="001F3580">
        <w:t xml:space="preserve">Soleidae and </w:t>
      </w:r>
      <w:proofErr w:type="spellStart"/>
      <w:r w:rsidR="001F3580" w:rsidRPr="001F3580">
        <w:t>Thymallidae</w:t>
      </w:r>
      <w:proofErr w:type="spellEnd"/>
      <w:r w:rsidR="001F3580" w:rsidRPr="001F3580">
        <w:t xml:space="preserve"> </w:t>
      </w:r>
      <w:r>
        <w:t>(</w:t>
      </w:r>
      <w:proofErr w:type="spellStart"/>
      <w:r w:rsidR="001F3580" w:rsidRPr="00DF06E4">
        <w:t>Ahne</w:t>
      </w:r>
      <w:proofErr w:type="spellEnd"/>
      <w:r w:rsidR="001F3580" w:rsidRPr="00DF06E4">
        <w:t xml:space="preserve"> et al. 1978; Chou et al. 1993; Reno 1999; </w:t>
      </w:r>
      <w:r w:rsidRPr="00DF06E4">
        <w:t>OIE 200</w:t>
      </w:r>
      <w:r w:rsidR="00D9778B">
        <w:t>9</w:t>
      </w:r>
      <w:r w:rsidRPr="00DF06E4">
        <w:t xml:space="preserve">; Jensen and </w:t>
      </w:r>
      <w:proofErr w:type="spellStart"/>
      <w:r w:rsidRPr="00DF06E4">
        <w:t>Kristoffersen</w:t>
      </w:r>
      <w:proofErr w:type="spellEnd"/>
      <w:r w:rsidRPr="00DF06E4">
        <w:t xml:space="preserve"> 2015).</w:t>
      </w:r>
    </w:p>
    <w:p w14:paraId="0288DDE9" w14:textId="26F37929" w:rsidR="00B45EDF" w:rsidRDefault="005C42B3" w:rsidP="005C42B3">
      <w:r>
        <w:t xml:space="preserve">IPNV is a nationally notifiable disease in Australia (Department of Agriculture 2019) and </w:t>
      </w:r>
      <w:r w:rsidR="003E31F8">
        <w:t xml:space="preserve">was </w:t>
      </w:r>
      <w:r>
        <w:t>previously listed by the OIE until 2009.</w:t>
      </w:r>
      <w:r w:rsidR="00B45EDF">
        <w:t xml:space="preserve"> </w:t>
      </w:r>
      <w:r>
        <w:t>The basis of delisting by the OIE is that IPNV is considered enzootic in most of the regions where salmonid fish are cultivated (Tapia et al. 2017).</w:t>
      </w:r>
    </w:p>
    <w:p w14:paraId="737ED29D" w14:textId="1FAE7345" w:rsidR="005C42B3" w:rsidRDefault="005C42B3" w:rsidP="000A7542">
      <w:pPr>
        <w:pStyle w:val="Heading5"/>
      </w:pPr>
      <w:r>
        <w:t>Australian Status</w:t>
      </w:r>
    </w:p>
    <w:p w14:paraId="02DB04D1" w14:textId="6362C8FE" w:rsidR="005C42B3" w:rsidRPr="005C42B3" w:rsidRDefault="005C42B3" w:rsidP="005C42B3">
      <w:r>
        <w:t>IPNV is a nationally notifiable disease of concern and has not been reported in Australia.</w:t>
      </w:r>
    </w:p>
    <w:p w14:paraId="16FA56A0" w14:textId="67BA0194" w:rsidR="004A0FA3" w:rsidRDefault="006868A7">
      <w:pPr>
        <w:pStyle w:val="Heading4"/>
      </w:pPr>
      <w:r>
        <w:t>Technical information</w:t>
      </w:r>
    </w:p>
    <w:p w14:paraId="69302237" w14:textId="5A6AA852" w:rsidR="00DD519C" w:rsidRDefault="00E6131B" w:rsidP="00E6131B">
      <w:bookmarkStart w:id="19" w:name="_Hlk58921788"/>
      <w:r w:rsidRPr="00CE0084">
        <w:t xml:space="preserve">The virus causing IPN is a non-enveloped virus of the </w:t>
      </w:r>
      <w:proofErr w:type="spellStart"/>
      <w:r w:rsidRPr="00CE0084">
        <w:t>Birnaviridae</w:t>
      </w:r>
      <w:proofErr w:type="spellEnd"/>
      <w:r w:rsidRPr="00CE0084">
        <w:t xml:space="preserve"> family, which has a </w:t>
      </w:r>
      <w:proofErr w:type="spellStart"/>
      <w:r w:rsidRPr="00CE0084">
        <w:t>bisegmented</w:t>
      </w:r>
      <w:proofErr w:type="spellEnd"/>
      <w:r w:rsidRPr="00CE0084">
        <w:t xml:space="preserve"> genome of double-stranded RNA (</w:t>
      </w:r>
      <w:proofErr w:type="spellStart"/>
      <w:r w:rsidRPr="00CE0084">
        <w:t>Dobos</w:t>
      </w:r>
      <w:proofErr w:type="spellEnd"/>
      <w:r w:rsidRPr="00CE0084">
        <w:t xml:space="preserve"> 1995).</w:t>
      </w:r>
      <w:r w:rsidR="00DD519C">
        <w:t xml:space="preserve"> </w:t>
      </w:r>
      <w:r w:rsidRPr="00CE0084">
        <w:t xml:space="preserve">There are three distinguished species of </w:t>
      </w:r>
      <w:proofErr w:type="spellStart"/>
      <w:r w:rsidRPr="00CE0084">
        <w:t>aquabirnaviruses</w:t>
      </w:r>
      <w:proofErr w:type="spellEnd"/>
      <w:r w:rsidRPr="00CE0084">
        <w:t xml:space="preserve"> (IPNV</w:t>
      </w:r>
      <w:r w:rsidR="00DD519C">
        <w:t xml:space="preserve"> being the type species</w:t>
      </w:r>
      <w:r w:rsidRPr="00CE0084">
        <w:t xml:space="preserve">), </w:t>
      </w:r>
      <w:r>
        <w:t xml:space="preserve">categorised </w:t>
      </w:r>
      <w:r w:rsidRPr="00CE0084">
        <w:t xml:space="preserve">primarily </w:t>
      </w:r>
      <w:r w:rsidR="00905C05" w:rsidRPr="00CE0084">
        <w:t>based on</w:t>
      </w:r>
      <w:r w:rsidRPr="00CE0084">
        <w:t xml:space="preserve"> host species</w:t>
      </w:r>
      <w:r w:rsidR="00CC19C4">
        <w:t xml:space="preserve"> (Delmas et al. 2019)</w:t>
      </w:r>
      <w:r w:rsidRPr="00CE0084">
        <w:t xml:space="preserve">. </w:t>
      </w:r>
    </w:p>
    <w:p w14:paraId="50A77185" w14:textId="40903E84" w:rsidR="00E6131B" w:rsidRDefault="00E6131B" w:rsidP="00E6131B">
      <w:proofErr w:type="spellStart"/>
      <w:r w:rsidRPr="00CE0084">
        <w:t>Aquabirnaviruses</w:t>
      </w:r>
      <w:proofErr w:type="spellEnd"/>
      <w:r w:rsidRPr="00CE0084">
        <w:t xml:space="preserve"> display considerable antigenic diversity </w:t>
      </w:r>
      <w:r w:rsidR="00DD519C">
        <w:t>and</w:t>
      </w:r>
      <w:r w:rsidRPr="00C16EC7">
        <w:t xml:space="preserve"> </w:t>
      </w:r>
      <w:r>
        <w:t>can be separated into two serogroups (A and B)</w:t>
      </w:r>
      <w:r w:rsidR="00D8645A">
        <w:t>, with different serotypes within each group</w:t>
      </w:r>
      <w:r w:rsidR="00DD519C">
        <w:t>.</w:t>
      </w:r>
      <w:r>
        <w:t xml:space="preserve"> </w:t>
      </w:r>
      <w:r w:rsidR="00DD519C">
        <w:t xml:space="preserve">The virus causing </w:t>
      </w:r>
      <w:r>
        <w:t>IPN conta</w:t>
      </w:r>
      <w:r w:rsidR="001F3580">
        <w:t>ins</w:t>
      </w:r>
      <w:r>
        <w:t xml:space="preserve"> </w:t>
      </w:r>
      <w:proofErr w:type="gramStart"/>
      <w:r>
        <w:t>a number of</w:t>
      </w:r>
      <w:proofErr w:type="gramEnd"/>
      <w:r>
        <w:t xml:space="preserve"> </w:t>
      </w:r>
      <w:r w:rsidRPr="00CE0084">
        <w:t>serotypes</w:t>
      </w:r>
      <w:r>
        <w:t xml:space="preserve"> within group A</w:t>
      </w:r>
      <w:r w:rsidR="00905C05">
        <w:t>. D</w:t>
      </w:r>
      <w:r w:rsidR="00D8645A">
        <w:t xml:space="preserve">ifferent serotypes </w:t>
      </w:r>
      <w:r w:rsidR="00905C05">
        <w:t xml:space="preserve">of IPNV </w:t>
      </w:r>
      <w:r w:rsidR="00D8645A">
        <w:t>have been</w:t>
      </w:r>
      <w:r w:rsidR="001F3580">
        <w:t xml:space="preserve"> </w:t>
      </w:r>
      <w:r w:rsidR="00D8645A">
        <w:t xml:space="preserve">isolated </w:t>
      </w:r>
      <w:r w:rsidR="001F3580">
        <w:t>from a number of</w:t>
      </w:r>
      <w:r>
        <w:t xml:space="preserve"> different geographical area</w:t>
      </w:r>
      <w:r w:rsidR="00D8645A">
        <w:t>s</w:t>
      </w:r>
      <w:r>
        <w:t xml:space="preserve"> (</w:t>
      </w:r>
      <w:r w:rsidRPr="00CE0084">
        <w:t>King et al. 2011</w:t>
      </w:r>
      <w:r>
        <w:t>). Each serotype</w:t>
      </w:r>
      <w:r w:rsidR="001F3580">
        <w:t xml:space="preserve"> of IPNV</w:t>
      </w:r>
      <w:r>
        <w:t xml:space="preserve"> has a </w:t>
      </w:r>
      <w:r w:rsidRPr="00C16EC7">
        <w:t xml:space="preserve">marked difference in </w:t>
      </w:r>
      <w:r>
        <w:t xml:space="preserve">the </w:t>
      </w:r>
      <w:r w:rsidRPr="00C16EC7">
        <w:t>degree of virulence</w:t>
      </w:r>
      <w:r>
        <w:t xml:space="preserve"> (</w:t>
      </w:r>
      <w:proofErr w:type="spellStart"/>
      <w:r w:rsidRPr="00C16EC7">
        <w:t>Mcallister</w:t>
      </w:r>
      <w:proofErr w:type="spellEnd"/>
      <w:r w:rsidRPr="00C16EC7">
        <w:t xml:space="preserve"> </w:t>
      </w:r>
      <w:r>
        <w:t>and</w:t>
      </w:r>
      <w:r w:rsidRPr="00C16EC7">
        <w:t xml:space="preserve"> Owens</w:t>
      </w:r>
      <w:r>
        <w:t xml:space="preserve"> 1995)</w:t>
      </w:r>
      <w:r w:rsidR="003D24C0">
        <w:t xml:space="preserve"> but </w:t>
      </w:r>
      <w:r w:rsidR="00D8645A">
        <w:t xml:space="preserve">any </w:t>
      </w:r>
      <w:r w:rsidR="003D24C0">
        <w:t>difference in thermal tolerance between serotypes</w:t>
      </w:r>
      <w:r w:rsidR="00D8645A">
        <w:t>,</w:t>
      </w:r>
      <w:r w:rsidR="003D24C0">
        <w:t xml:space="preserve"> </w:t>
      </w:r>
      <w:r w:rsidR="00D8645A">
        <w:t xml:space="preserve">or serogroups of </w:t>
      </w:r>
      <w:proofErr w:type="spellStart"/>
      <w:r w:rsidR="00D8645A" w:rsidRPr="00CE0084">
        <w:t>aquabirnaviruses</w:t>
      </w:r>
      <w:proofErr w:type="spellEnd"/>
      <w:r w:rsidR="00D8645A">
        <w:t xml:space="preserve">, </w:t>
      </w:r>
      <w:r w:rsidR="00905C05">
        <w:t>is unknown</w:t>
      </w:r>
      <w:r w:rsidR="00D8645A">
        <w:t>.</w:t>
      </w:r>
    </w:p>
    <w:p w14:paraId="770BF1F8" w14:textId="140CD0B9" w:rsidR="00B45EDF" w:rsidRDefault="00E6131B" w:rsidP="00E6131B">
      <w:r w:rsidRPr="00CE0084">
        <w:lastRenderedPageBreak/>
        <w:t>In experimentally infected rainbow trout (</w:t>
      </w:r>
      <w:r w:rsidRPr="00CE0084">
        <w:rPr>
          <w:i/>
        </w:rPr>
        <w:t>Oncorhynchus mykiss</w:t>
      </w:r>
      <w:r w:rsidRPr="00CE0084">
        <w:t>)</w:t>
      </w:r>
      <w:r w:rsidRPr="00B13FEA">
        <w:t xml:space="preserve"> </w:t>
      </w:r>
      <w:r>
        <w:t xml:space="preserve">control </w:t>
      </w:r>
      <w:r w:rsidRPr="00CE0084">
        <w:t xml:space="preserve">fish infected with IPNV </w:t>
      </w:r>
      <w:r>
        <w:t xml:space="preserve">during a vaccination trial </w:t>
      </w:r>
      <w:r w:rsidRPr="00CE0084">
        <w:t xml:space="preserve">had a viral infective titre </w:t>
      </w:r>
      <w:r>
        <w:t>of</w:t>
      </w:r>
      <w:r w:rsidRPr="00CE0084">
        <w:t xml:space="preserve"> 10</w:t>
      </w:r>
      <w:r w:rsidRPr="00CE0084">
        <w:rPr>
          <w:vertAlign w:val="superscript"/>
        </w:rPr>
        <w:t>3</w:t>
      </w:r>
      <w:r w:rsidRPr="00CE0084">
        <w:t xml:space="preserve"> to 10</w:t>
      </w:r>
      <w:r w:rsidRPr="00CE0084">
        <w:rPr>
          <w:vertAlign w:val="superscript"/>
        </w:rPr>
        <w:t>8</w:t>
      </w:r>
      <w:r w:rsidRPr="00CE0084">
        <w:t xml:space="preserve"> TCID</w:t>
      </w:r>
      <w:r w:rsidRPr="00CE0084">
        <w:rPr>
          <w:vertAlign w:val="subscript"/>
        </w:rPr>
        <w:t>50</w:t>
      </w:r>
      <w:r w:rsidRPr="00CE0084">
        <w:t xml:space="preserve"> mL</w:t>
      </w:r>
      <w:r w:rsidRPr="00CE0084">
        <w:rPr>
          <w:vertAlign w:val="superscript"/>
        </w:rPr>
        <w:t>-1</w:t>
      </w:r>
      <w:r w:rsidRPr="00CE0084">
        <w:t xml:space="preserve"> (Heras et al. 2010). During acute IPN, viral replication in pancreatic, intestinal and kidney tissues can yield titres &gt; 10</w:t>
      </w:r>
      <w:r w:rsidRPr="00CE0084">
        <w:rPr>
          <w:vertAlign w:val="superscript"/>
        </w:rPr>
        <w:t>10</w:t>
      </w:r>
      <w:r w:rsidRPr="00CE0084">
        <w:t xml:space="preserve"> TCID</w:t>
      </w:r>
      <w:r w:rsidRPr="00CE0084">
        <w:rPr>
          <w:vertAlign w:val="subscript"/>
        </w:rPr>
        <w:t>50</w:t>
      </w:r>
      <w:r w:rsidRPr="00CE0084">
        <w:t xml:space="preserve"> mL</w:t>
      </w:r>
      <w:r w:rsidRPr="00CE0084">
        <w:rPr>
          <w:vertAlign w:val="superscript"/>
        </w:rPr>
        <w:t>-1</w:t>
      </w:r>
      <w:r w:rsidRPr="00CE0084">
        <w:t xml:space="preserve"> (</w:t>
      </w:r>
      <w:proofErr w:type="spellStart"/>
      <w:r w:rsidRPr="00CE0084">
        <w:t>Smail</w:t>
      </w:r>
      <w:proofErr w:type="spellEnd"/>
      <w:r w:rsidRPr="00CE0084">
        <w:t xml:space="preserve"> et al., 1995, 2006), coinciding with considerable cell necrosis. While kidney titres up to 10</w:t>
      </w:r>
      <w:r w:rsidRPr="00CE0084">
        <w:rPr>
          <w:vertAlign w:val="superscript"/>
        </w:rPr>
        <w:t>5</w:t>
      </w:r>
      <w:r w:rsidRPr="00CE0084">
        <w:t xml:space="preserve"> TCID</w:t>
      </w:r>
      <w:r w:rsidRPr="00CE0084">
        <w:rPr>
          <w:vertAlign w:val="subscript"/>
        </w:rPr>
        <w:t>50</w:t>
      </w:r>
      <w:r w:rsidRPr="00CE0084">
        <w:t xml:space="preserve"> mL</w:t>
      </w:r>
      <w:r w:rsidRPr="00CE0084">
        <w:rPr>
          <w:vertAlign w:val="superscript"/>
        </w:rPr>
        <w:t>-1</w:t>
      </w:r>
      <w:r w:rsidRPr="00CE0084">
        <w:t xml:space="preserve"> are not uncom</w:t>
      </w:r>
      <w:r>
        <w:t xml:space="preserve">mon in apparently healthy fish </w:t>
      </w:r>
      <w:r w:rsidRPr="00CE0084">
        <w:t xml:space="preserve">(Wolf, 1988; </w:t>
      </w:r>
      <w:proofErr w:type="spellStart"/>
      <w:r w:rsidRPr="00CE0084">
        <w:t>Taksdal</w:t>
      </w:r>
      <w:proofErr w:type="spellEnd"/>
      <w:r w:rsidRPr="00CE0084">
        <w:t xml:space="preserve"> and </w:t>
      </w:r>
      <w:proofErr w:type="spellStart"/>
      <w:r w:rsidRPr="00CE0084">
        <w:t>Thorud</w:t>
      </w:r>
      <w:proofErr w:type="spellEnd"/>
      <w:r w:rsidRPr="00CE0084">
        <w:t>, 1999).</w:t>
      </w:r>
    </w:p>
    <w:p w14:paraId="13EF3873" w14:textId="4AAF4410" w:rsidR="00E6131B" w:rsidRPr="00CE0084" w:rsidRDefault="00E6131B" w:rsidP="00E6131B">
      <w:proofErr w:type="spellStart"/>
      <w:r w:rsidRPr="009E0E24">
        <w:t>Smail</w:t>
      </w:r>
      <w:proofErr w:type="spellEnd"/>
      <w:r w:rsidRPr="009E0E24">
        <w:t xml:space="preserve"> et al. (1993) </w:t>
      </w:r>
      <w:r>
        <w:t xml:space="preserve">reported </w:t>
      </w:r>
      <w:r w:rsidRPr="009E0E24">
        <w:t xml:space="preserve">IPNV </w:t>
      </w:r>
      <w:r>
        <w:t>concentrations</w:t>
      </w:r>
      <w:r w:rsidRPr="009E0E24">
        <w:t xml:space="preserve"> found in</w:t>
      </w:r>
      <w:r w:rsidRPr="00F61ED8">
        <w:t xml:space="preserve"> fish silage from </w:t>
      </w:r>
      <w:r>
        <w:t xml:space="preserve">mortalities on </w:t>
      </w:r>
      <w:r w:rsidRPr="00F61ED8">
        <w:t>a fish farm</w:t>
      </w:r>
      <w:r>
        <w:t xml:space="preserve"> to be between </w:t>
      </w:r>
      <w:r w:rsidRPr="009E0E24">
        <w:t>2</w:t>
      </w:r>
      <w:r>
        <w:t>-</w:t>
      </w:r>
      <w:r w:rsidRPr="00361C41">
        <w:t>2.5 log</w:t>
      </w:r>
      <w:r w:rsidRPr="00361C41">
        <w:rPr>
          <w:vertAlign w:val="subscript"/>
        </w:rPr>
        <w:t>10</w:t>
      </w:r>
      <w:r w:rsidRPr="00361C41">
        <w:t>,</w:t>
      </w:r>
      <w:r w:rsidRPr="00611FF2">
        <w:rPr>
          <w:rFonts w:eastAsia="Cambria" w:cs="Minion-Regular"/>
          <w:lang w:eastAsia="en-AU"/>
        </w:rPr>
        <w:t xml:space="preserve"> </w:t>
      </w:r>
      <w:r w:rsidR="00361C41">
        <w:rPr>
          <w:rFonts w:eastAsia="Cambria" w:cs="Minion-Regular"/>
          <w:lang w:eastAsia="en-AU"/>
        </w:rPr>
        <w:t>p</w:t>
      </w:r>
      <w:r w:rsidR="00361C41" w:rsidRPr="00611FF2">
        <w:rPr>
          <w:rFonts w:eastAsia="Cambria" w:cs="Minion-Regular"/>
          <w:lang w:eastAsia="en-AU"/>
        </w:rPr>
        <w:t>laque forming units (</w:t>
      </w:r>
      <w:r w:rsidRPr="00361C41">
        <w:t>PFU</w:t>
      </w:r>
      <w:r w:rsidR="00361C41" w:rsidRPr="00361C41">
        <w:t>)</w:t>
      </w:r>
      <w:r w:rsidRPr="00361C41">
        <w:t xml:space="preserve"> mL</w:t>
      </w:r>
      <w:r w:rsidRPr="005134A0">
        <w:rPr>
          <w:vertAlign w:val="superscript"/>
        </w:rPr>
        <w:t>-1</w:t>
      </w:r>
      <w:r w:rsidR="001E6BE1" w:rsidRPr="005134A0">
        <w:rPr>
          <w:vertAlign w:val="superscript"/>
        </w:rPr>
        <w:t xml:space="preserve"> </w:t>
      </w:r>
      <w:r w:rsidRPr="005134A0">
        <w:t>(approximately</w:t>
      </w:r>
      <w:r>
        <w:t xml:space="preserve"> 3-3.6</w:t>
      </w:r>
      <w:r w:rsidRPr="00F61ED8">
        <w:t xml:space="preserve"> </w:t>
      </w:r>
      <w:r w:rsidRPr="00B07301">
        <w:t>log</w:t>
      </w:r>
      <w:r w:rsidRPr="00B07301">
        <w:rPr>
          <w:vertAlign w:val="subscript"/>
        </w:rPr>
        <w:t>10</w:t>
      </w:r>
      <w:r w:rsidRPr="00B07301">
        <w:t>, TCID</w:t>
      </w:r>
      <w:r w:rsidRPr="00B07301">
        <w:rPr>
          <w:vertAlign w:val="subscript"/>
        </w:rPr>
        <w:t>50</w:t>
      </w:r>
      <w:r w:rsidRPr="00B07301">
        <w:t xml:space="preserve"> mL</w:t>
      </w:r>
      <w:r w:rsidRPr="00B07301">
        <w:rPr>
          <w:vertAlign w:val="superscript"/>
        </w:rPr>
        <w:t>-1</w:t>
      </w:r>
      <w:r>
        <w:t>)</w:t>
      </w:r>
      <w:r w:rsidRPr="00B07301">
        <w:t xml:space="preserve"> </w:t>
      </w:r>
      <w:r w:rsidRPr="00F61ED8">
        <w:t xml:space="preserve">which was claimed to be typical for </w:t>
      </w:r>
      <w:r>
        <w:t>native</w:t>
      </w:r>
      <w:r w:rsidRPr="00F61ED8">
        <w:t xml:space="preserve"> silages</w:t>
      </w:r>
      <w:r>
        <w:t>.</w:t>
      </w:r>
    </w:p>
    <w:p w14:paraId="5B554767" w14:textId="4B147DE8" w:rsidR="00E6131B" w:rsidRPr="00CE0084" w:rsidRDefault="00E6131B" w:rsidP="00E6131B">
      <w:r w:rsidRPr="00CE0084">
        <w:t xml:space="preserve">The minimum dose for </w:t>
      </w:r>
      <w:r>
        <w:t xml:space="preserve">IPNV </w:t>
      </w:r>
      <w:r w:rsidRPr="00CE0084">
        <w:t xml:space="preserve">infection is unknown (Munro </w:t>
      </w:r>
      <w:r>
        <w:t>and</w:t>
      </w:r>
      <w:r w:rsidRPr="00CE0084">
        <w:t xml:space="preserve"> </w:t>
      </w:r>
      <w:proofErr w:type="spellStart"/>
      <w:r w:rsidRPr="00CE0084">
        <w:t>Midtlyng</w:t>
      </w:r>
      <w:proofErr w:type="spellEnd"/>
      <w:r w:rsidRPr="00CE0084">
        <w:t xml:space="preserve"> 2011) but </w:t>
      </w:r>
      <w:r>
        <w:t xml:space="preserve">it </w:t>
      </w:r>
      <w:r w:rsidRPr="00CE0084">
        <w:t xml:space="preserve">has been estimated to </w:t>
      </w:r>
      <w:r>
        <w:t xml:space="preserve">require </w:t>
      </w:r>
      <w:r w:rsidRPr="00CE0084">
        <w:t>&lt; 1</w:t>
      </w:r>
      <w:r>
        <w:t>0</w:t>
      </w:r>
      <w:r w:rsidRPr="00CE0084">
        <w:t xml:space="preserve"> TCID</w:t>
      </w:r>
      <w:r w:rsidRPr="00CE0084">
        <w:rPr>
          <w:vertAlign w:val="subscript"/>
        </w:rPr>
        <w:t>50</w:t>
      </w:r>
      <w:r w:rsidRPr="00CE0084">
        <w:t xml:space="preserve"> mL</w:t>
      </w:r>
      <w:r w:rsidRPr="00CE0084">
        <w:rPr>
          <w:vertAlign w:val="superscript"/>
        </w:rPr>
        <w:t>-1</w:t>
      </w:r>
      <w:r w:rsidRPr="00CE0084">
        <w:t xml:space="preserve"> to infect Atlantic salmon post-smolts via the water (Urquhart et al. 2008).</w:t>
      </w:r>
      <w:r>
        <w:t xml:space="preserve"> The observation that </w:t>
      </w:r>
      <w:r w:rsidR="00361C41">
        <w:t xml:space="preserve">only </w:t>
      </w:r>
      <w:r>
        <w:t xml:space="preserve">very low concentrations of IPNV are needed for successful infection via water suggests that very efficient mechanisms for active uptake of the virus are present in gill, intestinal mucus and/or cutaneous tissues </w:t>
      </w:r>
      <w:r w:rsidRPr="00EF153F">
        <w:t xml:space="preserve">(Munro </w:t>
      </w:r>
      <w:r>
        <w:t>and</w:t>
      </w:r>
      <w:r w:rsidRPr="00EF153F">
        <w:t xml:space="preserve"> </w:t>
      </w:r>
      <w:proofErr w:type="spellStart"/>
      <w:r w:rsidRPr="00EF153F">
        <w:t>Midtlyng</w:t>
      </w:r>
      <w:proofErr w:type="spellEnd"/>
      <w:r w:rsidRPr="00EF153F">
        <w:t xml:space="preserve"> 2011)</w:t>
      </w:r>
      <w:r>
        <w:t>.</w:t>
      </w:r>
    </w:p>
    <w:p w14:paraId="0653965D" w14:textId="77777777" w:rsidR="00B45EDF" w:rsidRDefault="00E6131B" w:rsidP="00E6131B">
      <w:r w:rsidRPr="00CE0084">
        <w:t xml:space="preserve">IPNV is </w:t>
      </w:r>
      <w:r>
        <w:t xml:space="preserve">also </w:t>
      </w:r>
      <w:r w:rsidRPr="00CE0084">
        <w:t xml:space="preserve">resistant to environmental conditions and </w:t>
      </w:r>
      <w:r>
        <w:t xml:space="preserve">may survive for days in the </w:t>
      </w:r>
      <w:r w:rsidRPr="0065330D">
        <w:t>external environment, with loss of 99.9% of titre</w:t>
      </w:r>
      <w:r>
        <w:t xml:space="preserve"> </w:t>
      </w:r>
      <w:r w:rsidRPr="0065330D">
        <w:t>taking 27 days in estuarine water and 17 days in sea</w:t>
      </w:r>
      <w:r>
        <w:t xml:space="preserve"> water at 15°</w:t>
      </w:r>
      <w:r w:rsidRPr="0065330D">
        <w:t>C (</w:t>
      </w:r>
      <w:proofErr w:type="spellStart"/>
      <w:r w:rsidRPr="0065330D">
        <w:t>Toranzo</w:t>
      </w:r>
      <w:proofErr w:type="spellEnd"/>
      <w:r w:rsidRPr="0065330D">
        <w:t xml:space="preserve"> </w:t>
      </w:r>
      <w:r>
        <w:t>and</w:t>
      </w:r>
      <w:r w:rsidRPr="0065330D">
        <w:t xml:space="preserve"> Hetrick 1982)</w:t>
      </w:r>
      <w:r w:rsidRPr="00CE0084">
        <w:t>.</w:t>
      </w:r>
    </w:p>
    <w:p w14:paraId="1B448F6F" w14:textId="7123EFB2" w:rsidR="0015215C" w:rsidRDefault="00E6131B" w:rsidP="00E6131B">
      <w:proofErr w:type="spellStart"/>
      <w:r w:rsidRPr="00CE0084">
        <w:t>Birnaviridae</w:t>
      </w:r>
      <w:proofErr w:type="spellEnd"/>
      <w:r w:rsidRPr="00CE0084">
        <w:t xml:space="preserve"> viruses are generally stable at pH 3–9 and resistant to heat at 60 °C for </w:t>
      </w:r>
      <w:r>
        <w:t>one</w:t>
      </w:r>
      <w:r w:rsidRPr="00CE0084">
        <w:t xml:space="preserve"> hour (King et al. 2011</w:t>
      </w:r>
      <w:r>
        <w:t xml:space="preserve">). </w:t>
      </w:r>
      <w:r w:rsidRPr="00CE0084">
        <w:t>A review of heat</w:t>
      </w:r>
      <w:r>
        <w:t xml:space="preserve"> inactivation information for IPNV is</w:t>
      </w:r>
      <w:r w:rsidRPr="00CE0084">
        <w:t xml:space="preserve"> outlined in </w:t>
      </w:r>
      <w:r w:rsidR="00880F4E">
        <w:fldChar w:fldCharType="begin"/>
      </w:r>
      <w:r w:rsidR="00880F4E">
        <w:instrText xml:space="preserve"> REF _Ref58926186 \h </w:instrText>
      </w:r>
      <w:r w:rsidR="00880F4E">
        <w:fldChar w:fldCharType="separate"/>
      </w:r>
      <w:r w:rsidR="00817F0A">
        <w:t xml:space="preserve">Table </w:t>
      </w:r>
      <w:r w:rsidR="00817F0A">
        <w:rPr>
          <w:noProof/>
        </w:rPr>
        <w:t>1</w:t>
      </w:r>
      <w:r w:rsidR="00880F4E">
        <w:fldChar w:fldCharType="end"/>
      </w:r>
      <w:r w:rsidRPr="00CE0084">
        <w:t>.</w:t>
      </w:r>
      <w:r>
        <w:t xml:space="preserve"> It is generally accepted that IPNV inactivation is biphasic, with an initial rapid degradation phase at relatively low temperatures and a slower inactivation phase at higher temperatures. The information i</w:t>
      </w:r>
      <w:r w:rsidR="00880F4E">
        <w:t xml:space="preserve">n </w:t>
      </w:r>
      <w:r w:rsidR="00880F4E">
        <w:fldChar w:fldCharType="begin"/>
      </w:r>
      <w:r w:rsidR="00880F4E">
        <w:instrText xml:space="preserve"> REF _Ref58926186 \h </w:instrText>
      </w:r>
      <w:r w:rsidR="00880F4E">
        <w:fldChar w:fldCharType="separate"/>
      </w:r>
      <w:r w:rsidR="00817F0A">
        <w:t xml:space="preserve">Table </w:t>
      </w:r>
      <w:r w:rsidR="00817F0A">
        <w:rPr>
          <w:noProof/>
        </w:rPr>
        <w:t>1</w:t>
      </w:r>
      <w:r w:rsidR="00880F4E">
        <w:fldChar w:fldCharType="end"/>
      </w:r>
      <w:r w:rsidR="00880F4E">
        <w:t xml:space="preserve"> </w:t>
      </w:r>
      <w:r>
        <w:t>focuses on inactivation in the later phase.</w:t>
      </w:r>
      <w:bookmarkEnd w:id="19"/>
    </w:p>
    <w:p w14:paraId="33615D50" w14:textId="7E923887" w:rsidR="005A5D5F" w:rsidRDefault="005A5D5F" w:rsidP="005A5D5F">
      <w:pPr>
        <w:pStyle w:val="Caption"/>
      </w:pPr>
      <w:bookmarkStart w:id="20" w:name="_Ref58926186"/>
      <w:bookmarkStart w:id="21" w:name="_Ref58932727"/>
      <w:bookmarkStart w:id="22" w:name="_Toc71018580"/>
      <w:r>
        <w:t xml:space="preserve">Table </w:t>
      </w:r>
      <w:fldSimple w:instr=" SEQ Table \* ARABIC ">
        <w:r w:rsidR="00902B43">
          <w:rPr>
            <w:noProof/>
          </w:rPr>
          <w:t>1</w:t>
        </w:r>
      </w:fldSimple>
      <w:bookmarkEnd w:id="20"/>
      <w:r>
        <w:t xml:space="preserve"> Inactivation studies of infectious pancreatic necrosis virus</w:t>
      </w:r>
      <w:bookmarkEnd w:id="21"/>
      <w:bookmarkEnd w:id="22"/>
      <w:r>
        <w:t xml:space="preserve"> </w:t>
      </w:r>
    </w:p>
    <w:tbl>
      <w:tblPr>
        <w:tblStyle w:val="TableGrid10"/>
        <w:tblW w:w="963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134"/>
        <w:gridCol w:w="1276"/>
        <w:gridCol w:w="567"/>
        <w:gridCol w:w="1134"/>
        <w:gridCol w:w="1417"/>
        <w:gridCol w:w="1418"/>
        <w:gridCol w:w="1417"/>
      </w:tblGrid>
      <w:tr w:rsidR="00AB30F6" w:rsidRPr="00CE0084" w14:paraId="3BCBAEB7" w14:textId="77777777" w:rsidTr="00706CE7">
        <w:trPr>
          <w:cantSplit/>
          <w:tblHeader/>
        </w:trPr>
        <w:tc>
          <w:tcPr>
            <w:tcW w:w="1276" w:type="dxa"/>
            <w:tcBorders>
              <w:top w:val="single" w:sz="4" w:space="0" w:color="auto"/>
              <w:bottom w:val="single" w:sz="4" w:space="0" w:color="auto"/>
            </w:tcBorders>
          </w:tcPr>
          <w:p w14:paraId="75A0BB80" w14:textId="37415D40" w:rsidR="00A91F6E" w:rsidRPr="00CE0084" w:rsidRDefault="00A91F6E" w:rsidP="00A91F6E">
            <w:pPr>
              <w:pStyle w:val="TableHeading"/>
            </w:pPr>
            <w:r>
              <w:t>Start</w:t>
            </w:r>
            <w:r w:rsidR="00C93F4F">
              <w:t>ing</w:t>
            </w:r>
            <w:r>
              <w:t xml:space="preserve"> titre</w:t>
            </w:r>
            <w:r w:rsidRPr="00CE0084">
              <w:t xml:space="preserve"> </w:t>
            </w:r>
          </w:p>
        </w:tc>
        <w:tc>
          <w:tcPr>
            <w:tcW w:w="1134" w:type="dxa"/>
            <w:tcBorders>
              <w:top w:val="single" w:sz="4" w:space="0" w:color="auto"/>
              <w:bottom w:val="single" w:sz="4" w:space="0" w:color="auto"/>
            </w:tcBorders>
          </w:tcPr>
          <w:p w14:paraId="324624F9" w14:textId="001EF10F" w:rsidR="00A91F6E" w:rsidRDefault="00052406" w:rsidP="00A91F6E">
            <w:pPr>
              <w:pStyle w:val="TableHeading"/>
            </w:pPr>
            <w:r>
              <w:t>M</w:t>
            </w:r>
            <w:r w:rsidR="00A91F6E">
              <w:t>ed</w:t>
            </w:r>
            <w:r w:rsidR="00C93F4F">
              <w:t>i</w:t>
            </w:r>
            <w:r w:rsidR="00A91F6E">
              <w:t>um</w:t>
            </w:r>
          </w:p>
        </w:tc>
        <w:tc>
          <w:tcPr>
            <w:tcW w:w="1276" w:type="dxa"/>
            <w:tcBorders>
              <w:top w:val="single" w:sz="4" w:space="0" w:color="auto"/>
              <w:bottom w:val="single" w:sz="4" w:space="0" w:color="auto"/>
            </w:tcBorders>
          </w:tcPr>
          <w:p w14:paraId="48052785" w14:textId="77777777" w:rsidR="00A91F6E" w:rsidRPr="00CE0084" w:rsidRDefault="00A91F6E" w:rsidP="00A91F6E">
            <w:pPr>
              <w:pStyle w:val="TableHeading"/>
            </w:pPr>
            <w:r>
              <w:t xml:space="preserve">Inactivation </w:t>
            </w:r>
          </w:p>
        </w:tc>
        <w:tc>
          <w:tcPr>
            <w:tcW w:w="567" w:type="dxa"/>
            <w:tcBorders>
              <w:top w:val="single" w:sz="4" w:space="0" w:color="auto"/>
              <w:bottom w:val="single" w:sz="4" w:space="0" w:color="auto"/>
            </w:tcBorders>
          </w:tcPr>
          <w:p w14:paraId="08C9E29A" w14:textId="77777777" w:rsidR="00A91F6E" w:rsidRDefault="00A91F6E" w:rsidP="00A91F6E">
            <w:pPr>
              <w:pStyle w:val="TableHeading"/>
            </w:pPr>
            <w:r>
              <w:t>pH</w:t>
            </w:r>
          </w:p>
        </w:tc>
        <w:tc>
          <w:tcPr>
            <w:tcW w:w="1134" w:type="dxa"/>
            <w:tcBorders>
              <w:top w:val="single" w:sz="4" w:space="0" w:color="auto"/>
              <w:bottom w:val="single" w:sz="4" w:space="0" w:color="auto"/>
            </w:tcBorders>
          </w:tcPr>
          <w:p w14:paraId="4406D3C9" w14:textId="77777777" w:rsidR="00A91F6E" w:rsidRPr="00CE0084" w:rsidRDefault="00A91F6E" w:rsidP="00A91F6E">
            <w:pPr>
              <w:pStyle w:val="TableHeading"/>
            </w:pPr>
            <w:r>
              <w:t>Time</w:t>
            </w:r>
          </w:p>
        </w:tc>
        <w:tc>
          <w:tcPr>
            <w:tcW w:w="1417" w:type="dxa"/>
            <w:tcBorders>
              <w:top w:val="single" w:sz="4" w:space="0" w:color="auto"/>
              <w:bottom w:val="single" w:sz="4" w:space="0" w:color="auto"/>
            </w:tcBorders>
          </w:tcPr>
          <w:p w14:paraId="54F79571" w14:textId="77777777" w:rsidR="00A91F6E" w:rsidRPr="00CE0084" w:rsidRDefault="00A91F6E" w:rsidP="00A91F6E">
            <w:pPr>
              <w:pStyle w:val="TableHeading"/>
            </w:pPr>
            <w:r>
              <w:t>Temperature (degrees)</w:t>
            </w:r>
          </w:p>
        </w:tc>
        <w:tc>
          <w:tcPr>
            <w:tcW w:w="1418" w:type="dxa"/>
            <w:tcBorders>
              <w:top w:val="single" w:sz="4" w:space="0" w:color="auto"/>
              <w:bottom w:val="single" w:sz="4" w:space="0" w:color="auto"/>
            </w:tcBorders>
          </w:tcPr>
          <w:p w14:paraId="392CFE92" w14:textId="536FDB94" w:rsidR="00A91F6E" w:rsidRPr="00CE0084" w:rsidRDefault="00C93F4F" w:rsidP="00A91F6E">
            <w:pPr>
              <w:pStyle w:val="TableHeading"/>
            </w:pPr>
            <w:r>
              <w:t>Q</w:t>
            </w:r>
            <w:r w:rsidR="00A91F6E">
              <w:t>uantification</w:t>
            </w:r>
            <w:r>
              <w:t xml:space="preserve"> </w:t>
            </w:r>
            <w:r w:rsidR="00EA0D20">
              <w:t>m</w:t>
            </w:r>
            <w:r w:rsidRPr="00C93F4F">
              <w:t xml:space="preserve">ethod </w:t>
            </w:r>
          </w:p>
        </w:tc>
        <w:tc>
          <w:tcPr>
            <w:tcW w:w="1417" w:type="dxa"/>
            <w:tcBorders>
              <w:top w:val="single" w:sz="4" w:space="0" w:color="auto"/>
              <w:bottom w:val="single" w:sz="4" w:space="0" w:color="auto"/>
            </w:tcBorders>
          </w:tcPr>
          <w:p w14:paraId="0E2EFDCF" w14:textId="77777777" w:rsidR="00A91F6E" w:rsidRPr="00CE0084" w:rsidRDefault="00A91F6E" w:rsidP="00A91F6E">
            <w:pPr>
              <w:pStyle w:val="TableHeading"/>
            </w:pPr>
            <w:r w:rsidRPr="00CE0084">
              <w:t xml:space="preserve">Reference </w:t>
            </w:r>
          </w:p>
        </w:tc>
      </w:tr>
      <w:tr w:rsidR="00AB30F6" w:rsidRPr="00CE0084" w14:paraId="6124B89C" w14:textId="77777777" w:rsidTr="00FC08B5">
        <w:trPr>
          <w:cantSplit/>
          <w:trHeight w:val="1383"/>
        </w:trPr>
        <w:tc>
          <w:tcPr>
            <w:tcW w:w="1276" w:type="dxa"/>
            <w:tcBorders>
              <w:top w:val="single" w:sz="4" w:space="0" w:color="auto"/>
              <w:bottom w:val="nil"/>
            </w:tcBorders>
          </w:tcPr>
          <w:p w14:paraId="0FFA6505" w14:textId="77777777" w:rsidR="00A91F6E" w:rsidRPr="00CE0084" w:rsidRDefault="00A91F6E" w:rsidP="00891A18">
            <w:pPr>
              <w:pStyle w:val="TableText"/>
            </w:pPr>
            <w:r>
              <w:t>Not</w:t>
            </w:r>
            <w:r w:rsidRPr="00CE0084">
              <w:t xml:space="preserve"> reported</w:t>
            </w:r>
          </w:p>
        </w:tc>
        <w:tc>
          <w:tcPr>
            <w:tcW w:w="1134" w:type="dxa"/>
            <w:tcBorders>
              <w:top w:val="single" w:sz="4" w:space="0" w:color="auto"/>
              <w:bottom w:val="nil"/>
            </w:tcBorders>
          </w:tcPr>
          <w:p w14:paraId="14022FAF" w14:textId="77777777" w:rsidR="00A91F6E" w:rsidRDefault="00A91F6E" w:rsidP="00891A18">
            <w:pPr>
              <w:pStyle w:val="TableText"/>
            </w:pPr>
            <w:r>
              <w:t>Not reported</w:t>
            </w:r>
          </w:p>
        </w:tc>
        <w:tc>
          <w:tcPr>
            <w:tcW w:w="1276" w:type="dxa"/>
            <w:tcBorders>
              <w:top w:val="single" w:sz="4" w:space="0" w:color="auto"/>
              <w:bottom w:val="nil"/>
            </w:tcBorders>
          </w:tcPr>
          <w:p w14:paraId="32EC0F43" w14:textId="77777777" w:rsidR="00A91F6E" w:rsidRPr="00CE0084" w:rsidRDefault="00A91F6E" w:rsidP="00891A18">
            <w:pPr>
              <w:pStyle w:val="TableText"/>
            </w:pPr>
            <w:r>
              <w:t>99.9%</w:t>
            </w:r>
          </w:p>
        </w:tc>
        <w:tc>
          <w:tcPr>
            <w:tcW w:w="567" w:type="dxa"/>
            <w:tcBorders>
              <w:top w:val="single" w:sz="4" w:space="0" w:color="auto"/>
              <w:bottom w:val="nil"/>
            </w:tcBorders>
          </w:tcPr>
          <w:p w14:paraId="25124A25" w14:textId="77777777" w:rsidR="00A91F6E" w:rsidRDefault="00A91F6E" w:rsidP="00891A18">
            <w:pPr>
              <w:pStyle w:val="TableText"/>
            </w:pPr>
            <w:r>
              <w:t>3</w:t>
            </w:r>
          </w:p>
        </w:tc>
        <w:tc>
          <w:tcPr>
            <w:tcW w:w="1134" w:type="dxa"/>
            <w:tcBorders>
              <w:top w:val="single" w:sz="4" w:space="0" w:color="auto"/>
              <w:bottom w:val="nil"/>
            </w:tcBorders>
          </w:tcPr>
          <w:p w14:paraId="49B327E3" w14:textId="77777777" w:rsidR="00A91F6E" w:rsidRPr="00CE0084" w:rsidRDefault="00A91F6E" w:rsidP="00891A18">
            <w:pPr>
              <w:pStyle w:val="TableText"/>
            </w:pPr>
            <w:r>
              <w:t>30 minutes</w:t>
            </w:r>
          </w:p>
        </w:tc>
        <w:tc>
          <w:tcPr>
            <w:tcW w:w="1417" w:type="dxa"/>
            <w:tcBorders>
              <w:top w:val="single" w:sz="4" w:space="0" w:color="auto"/>
              <w:bottom w:val="nil"/>
            </w:tcBorders>
          </w:tcPr>
          <w:p w14:paraId="790DFD03" w14:textId="68F81041" w:rsidR="00A91F6E" w:rsidRPr="00CE0084" w:rsidRDefault="0040023F" w:rsidP="00891A18">
            <w:pPr>
              <w:pStyle w:val="TableText"/>
            </w:pPr>
            <w:r>
              <w:t>60</w:t>
            </w:r>
          </w:p>
        </w:tc>
        <w:tc>
          <w:tcPr>
            <w:tcW w:w="1418" w:type="dxa"/>
            <w:tcBorders>
              <w:top w:val="single" w:sz="4" w:space="0" w:color="auto"/>
              <w:bottom w:val="nil"/>
            </w:tcBorders>
          </w:tcPr>
          <w:p w14:paraId="28B05C38" w14:textId="77777777" w:rsidR="00A91F6E" w:rsidRPr="00CE0084" w:rsidRDefault="00A91F6E" w:rsidP="00891A18">
            <w:pPr>
              <w:pStyle w:val="TableText"/>
            </w:pPr>
            <w:r>
              <w:t>Not reported</w:t>
            </w:r>
          </w:p>
        </w:tc>
        <w:tc>
          <w:tcPr>
            <w:tcW w:w="1417" w:type="dxa"/>
            <w:tcBorders>
              <w:top w:val="single" w:sz="4" w:space="0" w:color="auto"/>
              <w:bottom w:val="nil"/>
            </w:tcBorders>
          </w:tcPr>
          <w:p w14:paraId="10CE9B33" w14:textId="77777777" w:rsidR="00A91F6E" w:rsidRPr="00CE0084" w:rsidRDefault="00A91F6E" w:rsidP="00891A18">
            <w:pPr>
              <w:pStyle w:val="TableText"/>
            </w:pPr>
            <w:r w:rsidRPr="00CE0084">
              <w:t>OIE Animal Disease Card (2000)</w:t>
            </w:r>
          </w:p>
        </w:tc>
      </w:tr>
      <w:tr w:rsidR="00AB30F6" w:rsidRPr="00CE0084" w14:paraId="71BF0BC1" w14:textId="77777777" w:rsidTr="00FC08B5">
        <w:trPr>
          <w:cantSplit/>
        </w:trPr>
        <w:tc>
          <w:tcPr>
            <w:tcW w:w="1276" w:type="dxa"/>
            <w:tcBorders>
              <w:top w:val="nil"/>
              <w:bottom w:val="nil"/>
            </w:tcBorders>
          </w:tcPr>
          <w:p w14:paraId="58CB24A4" w14:textId="77777777" w:rsidR="00A91F6E" w:rsidRPr="00CE0084" w:rsidRDefault="00A91F6E" w:rsidP="00891A18">
            <w:pPr>
              <w:pStyle w:val="TableText"/>
            </w:pPr>
            <w:r>
              <w:t>Not reported</w:t>
            </w:r>
          </w:p>
        </w:tc>
        <w:tc>
          <w:tcPr>
            <w:tcW w:w="1134" w:type="dxa"/>
            <w:tcBorders>
              <w:top w:val="nil"/>
              <w:bottom w:val="nil"/>
            </w:tcBorders>
          </w:tcPr>
          <w:p w14:paraId="04499DF8" w14:textId="77777777" w:rsidR="00A91F6E" w:rsidRDefault="00A91F6E" w:rsidP="00891A18">
            <w:pPr>
              <w:pStyle w:val="TableText"/>
            </w:pPr>
            <w:r>
              <w:t>Not reported</w:t>
            </w:r>
          </w:p>
        </w:tc>
        <w:tc>
          <w:tcPr>
            <w:tcW w:w="1276" w:type="dxa"/>
            <w:tcBorders>
              <w:top w:val="nil"/>
              <w:bottom w:val="nil"/>
            </w:tcBorders>
          </w:tcPr>
          <w:p w14:paraId="173DE646" w14:textId="77777777" w:rsidR="00A91F6E" w:rsidRDefault="00A91F6E" w:rsidP="00891A18">
            <w:pPr>
              <w:pStyle w:val="TableText"/>
            </w:pPr>
            <w:r>
              <w:t>99.9%</w:t>
            </w:r>
          </w:p>
        </w:tc>
        <w:tc>
          <w:tcPr>
            <w:tcW w:w="567" w:type="dxa"/>
            <w:tcBorders>
              <w:top w:val="nil"/>
              <w:bottom w:val="nil"/>
            </w:tcBorders>
          </w:tcPr>
          <w:p w14:paraId="3CB7C13B" w14:textId="77777777" w:rsidR="00A91F6E" w:rsidRDefault="00A91F6E" w:rsidP="00891A18">
            <w:pPr>
              <w:pStyle w:val="TableText"/>
            </w:pPr>
            <w:r>
              <w:t>7-9</w:t>
            </w:r>
          </w:p>
        </w:tc>
        <w:tc>
          <w:tcPr>
            <w:tcW w:w="1134" w:type="dxa"/>
            <w:tcBorders>
              <w:top w:val="nil"/>
              <w:bottom w:val="nil"/>
            </w:tcBorders>
          </w:tcPr>
          <w:p w14:paraId="707CB7F1" w14:textId="77777777" w:rsidR="00A91F6E" w:rsidRDefault="00A91F6E" w:rsidP="00891A18">
            <w:pPr>
              <w:pStyle w:val="TableText"/>
            </w:pPr>
            <w:r>
              <w:t>5 hours</w:t>
            </w:r>
          </w:p>
        </w:tc>
        <w:tc>
          <w:tcPr>
            <w:tcW w:w="1417" w:type="dxa"/>
            <w:tcBorders>
              <w:top w:val="nil"/>
              <w:bottom w:val="nil"/>
            </w:tcBorders>
          </w:tcPr>
          <w:p w14:paraId="7BA98BA3" w14:textId="77777777" w:rsidR="00A91F6E" w:rsidRPr="00CE0084" w:rsidRDefault="00A91F6E" w:rsidP="00891A18">
            <w:pPr>
              <w:pStyle w:val="TableText"/>
            </w:pPr>
            <w:r>
              <w:t>60</w:t>
            </w:r>
          </w:p>
        </w:tc>
        <w:tc>
          <w:tcPr>
            <w:tcW w:w="1418" w:type="dxa"/>
            <w:tcBorders>
              <w:top w:val="nil"/>
              <w:bottom w:val="nil"/>
            </w:tcBorders>
          </w:tcPr>
          <w:p w14:paraId="325EEC6B" w14:textId="77777777" w:rsidR="00A91F6E" w:rsidRPr="00CE0084" w:rsidRDefault="00A91F6E" w:rsidP="00891A18">
            <w:pPr>
              <w:pStyle w:val="TableText"/>
            </w:pPr>
            <w:r>
              <w:t>Not reported</w:t>
            </w:r>
          </w:p>
        </w:tc>
        <w:tc>
          <w:tcPr>
            <w:tcW w:w="1417" w:type="dxa"/>
            <w:tcBorders>
              <w:top w:val="nil"/>
              <w:bottom w:val="nil"/>
            </w:tcBorders>
          </w:tcPr>
          <w:p w14:paraId="7EA0969D" w14:textId="77777777" w:rsidR="00A91F6E" w:rsidRPr="00CE0084" w:rsidRDefault="00A91F6E" w:rsidP="00891A18">
            <w:pPr>
              <w:pStyle w:val="TableText"/>
            </w:pPr>
            <w:r w:rsidRPr="00CE0084">
              <w:t>OIE Animal Disease Card (2000)</w:t>
            </w:r>
          </w:p>
        </w:tc>
      </w:tr>
      <w:tr w:rsidR="00AB30F6" w:rsidRPr="00CE0084" w14:paraId="11FBE8B6" w14:textId="77777777" w:rsidTr="00FC08B5">
        <w:trPr>
          <w:cantSplit/>
        </w:trPr>
        <w:tc>
          <w:tcPr>
            <w:tcW w:w="1276" w:type="dxa"/>
            <w:tcBorders>
              <w:top w:val="nil"/>
              <w:bottom w:val="nil"/>
            </w:tcBorders>
          </w:tcPr>
          <w:p w14:paraId="4932DBBB" w14:textId="77777777" w:rsidR="00A91F6E" w:rsidRPr="00CE0084" w:rsidRDefault="00A91F6E" w:rsidP="00891A18">
            <w:pPr>
              <w:pStyle w:val="TableText"/>
            </w:pPr>
            <w:r>
              <w:t>5</w:t>
            </w:r>
            <w:r w:rsidRPr="00CE0084">
              <w:t>.6 log</w:t>
            </w:r>
            <w:r w:rsidRPr="00CE0084">
              <w:rPr>
                <w:vertAlign w:val="subscript"/>
              </w:rPr>
              <w:t>10</w:t>
            </w:r>
            <w:r w:rsidRPr="00CE0084">
              <w:t xml:space="preserve"> (TCID</w:t>
            </w:r>
            <w:r w:rsidRPr="00CE0084">
              <w:rPr>
                <w:vertAlign w:val="subscript"/>
              </w:rPr>
              <w:t>50</w:t>
            </w:r>
            <w:r w:rsidRPr="00CE0084">
              <w:t xml:space="preserve"> </w:t>
            </w:r>
            <w:proofErr w:type="gramStart"/>
            <w:r w:rsidRPr="00CE0084">
              <w:t>mL</w:t>
            </w:r>
            <w:r w:rsidRPr="00CE0084">
              <w:rPr>
                <w:vertAlign w:val="superscript"/>
              </w:rPr>
              <w:t>-1</w:t>
            </w:r>
            <w:proofErr w:type="gramEnd"/>
            <w:r w:rsidRPr="00CE0084">
              <w:t>)</w:t>
            </w:r>
          </w:p>
        </w:tc>
        <w:tc>
          <w:tcPr>
            <w:tcW w:w="1134" w:type="dxa"/>
            <w:tcBorders>
              <w:top w:val="nil"/>
              <w:bottom w:val="nil"/>
            </w:tcBorders>
          </w:tcPr>
          <w:p w14:paraId="3F246F13" w14:textId="77777777" w:rsidR="00A91F6E" w:rsidRDefault="00A91F6E" w:rsidP="00891A18">
            <w:pPr>
              <w:pStyle w:val="TableText"/>
            </w:pPr>
            <w:r>
              <w:t>M</w:t>
            </w:r>
            <w:r w:rsidRPr="00CE0084">
              <w:t xml:space="preserve">edium mimicking the water-soluble phase of </w:t>
            </w:r>
            <w:proofErr w:type="spellStart"/>
            <w:r w:rsidRPr="00CE0084">
              <w:t>hydrolyzed</w:t>
            </w:r>
            <w:proofErr w:type="spellEnd"/>
            <w:r w:rsidRPr="00CE0084">
              <w:t xml:space="preserve"> fish by-products</w:t>
            </w:r>
          </w:p>
        </w:tc>
        <w:tc>
          <w:tcPr>
            <w:tcW w:w="1276" w:type="dxa"/>
            <w:tcBorders>
              <w:top w:val="nil"/>
              <w:bottom w:val="nil"/>
            </w:tcBorders>
          </w:tcPr>
          <w:p w14:paraId="73C5F315" w14:textId="77777777" w:rsidR="00A91F6E" w:rsidRPr="00CE0084" w:rsidRDefault="00A91F6E" w:rsidP="00891A18">
            <w:pPr>
              <w:pStyle w:val="TableText"/>
            </w:pPr>
            <w:r>
              <w:t xml:space="preserve">5 </w:t>
            </w:r>
            <w:r w:rsidRPr="00CE0084">
              <w:t>log</w:t>
            </w:r>
            <w:r w:rsidRPr="00CE0084">
              <w:rPr>
                <w:vertAlign w:val="subscript"/>
              </w:rPr>
              <w:t>10</w:t>
            </w:r>
            <w:r>
              <w:t xml:space="preserve"> </w:t>
            </w:r>
          </w:p>
        </w:tc>
        <w:tc>
          <w:tcPr>
            <w:tcW w:w="567" w:type="dxa"/>
            <w:tcBorders>
              <w:top w:val="nil"/>
              <w:bottom w:val="nil"/>
            </w:tcBorders>
          </w:tcPr>
          <w:p w14:paraId="0C0B5BE7" w14:textId="77777777" w:rsidR="00A91F6E" w:rsidRPr="00CE0084" w:rsidRDefault="00A91F6E" w:rsidP="00891A18">
            <w:pPr>
              <w:pStyle w:val="TableText"/>
            </w:pPr>
            <w:r>
              <w:t>4</w:t>
            </w:r>
          </w:p>
        </w:tc>
        <w:tc>
          <w:tcPr>
            <w:tcW w:w="1134" w:type="dxa"/>
            <w:tcBorders>
              <w:top w:val="nil"/>
              <w:bottom w:val="nil"/>
            </w:tcBorders>
          </w:tcPr>
          <w:p w14:paraId="2AD1565B" w14:textId="77777777" w:rsidR="00A91F6E" w:rsidRPr="00CE0084" w:rsidRDefault="00A91F6E" w:rsidP="00891A18">
            <w:pPr>
              <w:pStyle w:val="TableText"/>
            </w:pPr>
            <w:r>
              <w:t>4.1 minutes</w:t>
            </w:r>
          </w:p>
        </w:tc>
        <w:tc>
          <w:tcPr>
            <w:tcW w:w="1417" w:type="dxa"/>
            <w:tcBorders>
              <w:top w:val="nil"/>
              <w:bottom w:val="nil"/>
            </w:tcBorders>
          </w:tcPr>
          <w:p w14:paraId="3BEAA5B2" w14:textId="77777777" w:rsidR="00A91F6E" w:rsidRPr="00CE0084" w:rsidRDefault="00A91F6E" w:rsidP="00891A18">
            <w:pPr>
              <w:pStyle w:val="TableText"/>
            </w:pPr>
            <w:r>
              <w:t xml:space="preserve">85 </w:t>
            </w:r>
          </w:p>
        </w:tc>
        <w:tc>
          <w:tcPr>
            <w:tcW w:w="1418" w:type="dxa"/>
            <w:tcBorders>
              <w:top w:val="nil"/>
              <w:bottom w:val="nil"/>
            </w:tcBorders>
          </w:tcPr>
          <w:p w14:paraId="33E35FD4" w14:textId="77777777" w:rsidR="00A91F6E" w:rsidRPr="00CE0084" w:rsidRDefault="00A91F6E" w:rsidP="00891A18">
            <w:pPr>
              <w:pStyle w:val="TableText"/>
            </w:pPr>
            <w:proofErr w:type="spellStart"/>
            <w:r w:rsidRPr="00CE0084">
              <w:t>Kärber</w:t>
            </w:r>
            <w:proofErr w:type="spellEnd"/>
            <w:r w:rsidRPr="00CE0084">
              <w:t xml:space="preserve"> method</w:t>
            </w:r>
          </w:p>
        </w:tc>
        <w:tc>
          <w:tcPr>
            <w:tcW w:w="1417" w:type="dxa"/>
            <w:tcBorders>
              <w:top w:val="nil"/>
              <w:bottom w:val="nil"/>
            </w:tcBorders>
          </w:tcPr>
          <w:p w14:paraId="34E00A67" w14:textId="77777777" w:rsidR="00A91F6E" w:rsidRPr="00CE0084" w:rsidRDefault="00A91F6E" w:rsidP="00891A18">
            <w:pPr>
              <w:pStyle w:val="TableText"/>
            </w:pPr>
            <w:r w:rsidRPr="00CE0084">
              <w:t>Nygaard et al. (2012)</w:t>
            </w:r>
          </w:p>
        </w:tc>
      </w:tr>
      <w:tr w:rsidR="00AB30F6" w:rsidRPr="00CE0084" w14:paraId="7A28CAF2" w14:textId="77777777" w:rsidTr="00FC08B5">
        <w:trPr>
          <w:cantSplit/>
        </w:trPr>
        <w:tc>
          <w:tcPr>
            <w:tcW w:w="1276" w:type="dxa"/>
            <w:tcBorders>
              <w:top w:val="nil"/>
            </w:tcBorders>
          </w:tcPr>
          <w:p w14:paraId="081B590D" w14:textId="77777777" w:rsidR="00A91F6E" w:rsidRPr="00CE0084" w:rsidRDefault="00A91F6E" w:rsidP="00891A18">
            <w:pPr>
              <w:pStyle w:val="TableText"/>
            </w:pPr>
            <w:r w:rsidRPr="00CE0084">
              <w:t>7.5 TCID</w:t>
            </w:r>
            <w:r w:rsidRPr="00CE0084">
              <w:rPr>
                <w:vertAlign w:val="subscript"/>
              </w:rPr>
              <w:t>50</w:t>
            </w:r>
            <w:r w:rsidRPr="00CE0084">
              <w:t xml:space="preserve"> </w:t>
            </w:r>
            <w:proofErr w:type="gramStart"/>
            <w:r w:rsidRPr="00CE0084">
              <w:t>mL</w:t>
            </w:r>
            <w:r w:rsidRPr="00CE0084">
              <w:rPr>
                <w:vertAlign w:val="superscript"/>
              </w:rPr>
              <w:t>-1</w:t>
            </w:r>
            <w:proofErr w:type="gramEnd"/>
            <w:r w:rsidRPr="00CE0084">
              <w:t>.</w:t>
            </w:r>
          </w:p>
        </w:tc>
        <w:tc>
          <w:tcPr>
            <w:tcW w:w="1134" w:type="dxa"/>
            <w:tcBorders>
              <w:top w:val="nil"/>
            </w:tcBorders>
          </w:tcPr>
          <w:p w14:paraId="1C33ED6A" w14:textId="77777777" w:rsidR="00A91F6E" w:rsidRPr="00CE0084" w:rsidRDefault="00A91F6E" w:rsidP="00891A18">
            <w:pPr>
              <w:pStyle w:val="TableText"/>
            </w:pPr>
            <w:r w:rsidRPr="00704849">
              <w:t>Citric phosphate buffer</w:t>
            </w:r>
          </w:p>
        </w:tc>
        <w:tc>
          <w:tcPr>
            <w:tcW w:w="1276" w:type="dxa"/>
            <w:tcBorders>
              <w:top w:val="nil"/>
            </w:tcBorders>
          </w:tcPr>
          <w:p w14:paraId="0F27BD00" w14:textId="77777777" w:rsidR="00A91F6E" w:rsidRDefault="00A91F6E" w:rsidP="00891A18">
            <w:pPr>
              <w:pStyle w:val="TableText"/>
            </w:pPr>
            <w:r>
              <w:t>No virus detected at end of treatment</w:t>
            </w:r>
          </w:p>
          <w:p w14:paraId="028A530A" w14:textId="77777777" w:rsidR="00A91F6E" w:rsidRPr="00CE0084" w:rsidRDefault="00A91F6E" w:rsidP="00891A18">
            <w:pPr>
              <w:pStyle w:val="TableText"/>
            </w:pPr>
          </w:p>
        </w:tc>
        <w:tc>
          <w:tcPr>
            <w:tcW w:w="567" w:type="dxa"/>
            <w:tcBorders>
              <w:top w:val="nil"/>
            </w:tcBorders>
          </w:tcPr>
          <w:p w14:paraId="0FA0564A" w14:textId="77777777" w:rsidR="00A91F6E" w:rsidRPr="00CE0084" w:rsidRDefault="00A91F6E" w:rsidP="00891A18">
            <w:pPr>
              <w:pStyle w:val="TableText"/>
            </w:pPr>
            <w:r>
              <w:t>4</w:t>
            </w:r>
          </w:p>
        </w:tc>
        <w:tc>
          <w:tcPr>
            <w:tcW w:w="1134" w:type="dxa"/>
            <w:tcBorders>
              <w:top w:val="nil"/>
            </w:tcBorders>
          </w:tcPr>
          <w:p w14:paraId="151B1C72" w14:textId="77777777" w:rsidR="00A91F6E" w:rsidRPr="00CE0084" w:rsidRDefault="00A91F6E" w:rsidP="00891A18">
            <w:pPr>
              <w:pStyle w:val="TableText"/>
            </w:pPr>
            <w:r>
              <w:t xml:space="preserve">5 minutes </w:t>
            </w:r>
          </w:p>
        </w:tc>
        <w:tc>
          <w:tcPr>
            <w:tcW w:w="1417" w:type="dxa"/>
            <w:tcBorders>
              <w:top w:val="nil"/>
            </w:tcBorders>
          </w:tcPr>
          <w:p w14:paraId="4C1EF770" w14:textId="77777777" w:rsidR="00A91F6E" w:rsidRPr="00CE0084" w:rsidRDefault="00A91F6E" w:rsidP="00891A18">
            <w:pPr>
              <w:pStyle w:val="TableText"/>
            </w:pPr>
            <w:r>
              <w:t xml:space="preserve">82 </w:t>
            </w:r>
          </w:p>
        </w:tc>
        <w:tc>
          <w:tcPr>
            <w:tcW w:w="1418" w:type="dxa"/>
            <w:tcBorders>
              <w:top w:val="nil"/>
            </w:tcBorders>
          </w:tcPr>
          <w:p w14:paraId="5B075C1A" w14:textId="282278CE" w:rsidR="00A91F6E" w:rsidRPr="00CE0084" w:rsidRDefault="00A91F6E" w:rsidP="00891A18">
            <w:pPr>
              <w:pStyle w:val="TableText"/>
            </w:pPr>
            <w:r w:rsidRPr="00704849">
              <w:t>endpoint dilution assay</w:t>
            </w:r>
          </w:p>
        </w:tc>
        <w:tc>
          <w:tcPr>
            <w:tcW w:w="1417" w:type="dxa"/>
            <w:tcBorders>
              <w:top w:val="nil"/>
            </w:tcBorders>
          </w:tcPr>
          <w:p w14:paraId="4465382C" w14:textId="77777777" w:rsidR="00A91F6E" w:rsidRPr="00CE0084" w:rsidRDefault="00A91F6E" w:rsidP="00891A18">
            <w:pPr>
              <w:pStyle w:val="TableText"/>
            </w:pPr>
            <w:r w:rsidRPr="00CE0084">
              <w:t xml:space="preserve">Whipple </w:t>
            </w:r>
            <w:r>
              <w:t>and</w:t>
            </w:r>
            <w:r w:rsidRPr="00CE0084">
              <w:t xml:space="preserve"> </w:t>
            </w:r>
            <w:proofErr w:type="spellStart"/>
            <w:r w:rsidRPr="00CE0084">
              <w:t>Rohovec</w:t>
            </w:r>
            <w:proofErr w:type="spellEnd"/>
            <w:r w:rsidRPr="00CE0084">
              <w:t xml:space="preserve"> (1994)</w:t>
            </w:r>
          </w:p>
        </w:tc>
      </w:tr>
      <w:tr w:rsidR="00A91F6E" w:rsidRPr="00CE0084" w14:paraId="3493AD10" w14:textId="77777777" w:rsidTr="00FC08B5">
        <w:trPr>
          <w:cantSplit/>
        </w:trPr>
        <w:tc>
          <w:tcPr>
            <w:tcW w:w="1276" w:type="dxa"/>
            <w:tcBorders>
              <w:top w:val="nil"/>
            </w:tcBorders>
          </w:tcPr>
          <w:p w14:paraId="09FE9363" w14:textId="77777777" w:rsidR="00A91F6E" w:rsidRPr="00CE0084" w:rsidRDefault="00A91F6E" w:rsidP="00891A18">
            <w:pPr>
              <w:pStyle w:val="TableText"/>
            </w:pPr>
            <w:r w:rsidRPr="00CE0084">
              <w:lastRenderedPageBreak/>
              <w:t>7.5 TCID</w:t>
            </w:r>
            <w:r w:rsidRPr="00CE0084">
              <w:rPr>
                <w:vertAlign w:val="subscript"/>
              </w:rPr>
              <w:t>50</w:t>
            </w:r>
            <w:r w:rsidRPr="00CE0084">
              <w:t xml:space="preserve"> </w:t>
            </w:r>
            <w:proofErr w:type="gramStart"/>
            <w:r w:rsidRPr="00CE0084">
              <w:t>mL</w:t>
            </w:r>
            <w:r w:rsidRPr="00CE0084">
              <w:rPr>
                <w:vertAlign w:val="superscript"/>
              </w:rPr>
              <w:t>-1</w:t>
            </w:r>
            <w:proofErr w:type="gramEnd"/>
            <w:r w:rsidRPr="00CE0084">
              <w:t>.</w:t>
            </w:r>
          </w:p>
        </w:tc>
        <w:tc>
          <w:tcPr>
            <w:tcW w:w="1134" w:type="dxa"/>
            <w:tcBorders>
              <w:top w:val="nil"/>
            </w:tcBorders>
          </w:tcPr>
          <w:p w14:paraId="0668FEFB" w14:textId="77777777" w:rsidR="00A91F6E" w:rsidRPr="00704849" w:rsidRDefault="00A91F6E" w:rsidP="00891A18">
            <w:pPr>
              <w:pStyle w:val="TableText"/>
            </w:pPr>
            <w:r>
              <w:t>Fish silage</w:t>
            </w:r>
          </w:p>
        </w:tc>
        <w:tc>
          <w:tcPr>
            <w:tcW w:w="1276" w:type="dxa"/>
            <w:tcBorders>
              <w:top w:val="nil"/>
            </w:tcBorders>
          </w:tcPr>
          <w:p w14:paraId="050A97A3" w14:textId="77777777" w:rsidR="00A91F6E" w:rsidRPr="00CE0084" w:rsidRDefault="00A91F6E" w:rsidP="00891A18">
            <w:pPr>
              <w:pStyle w:val="TableText"/>
            </w:pPr>
            <w:r w:rsidRPr="00704849">
              <w:t>No virus detected at end of treatment</w:t>
            </w:r>
          </w:p>
        </w:tc>
        <w:tc>
          <w:tcPr>
            <w:tcW w:w="567" w:type="dxa"/>
            <w:tcBorders>
              <w:top w:val="nil"/>
            </w:tcBorders>
          </w:tcPr>
          <w:p w14:paraId="02680164" w14:textId="77777777" w:rsidR="00A91F6E" w:rsidRDefault="00A91F6E" w:rsidP="00891A18">
            <w:pPr>
              <w:pStyle w:val="TableText"/>
            </w:pPr>
            <w:r>
              <w:t>3.8-4.3</w:t>
            </w:r>
          </w:p>
        </w:tc>
        <w:tc>
          <w:tcPr>
            <w:tcW w:w="1134" w:type="dxa"/>
            <w:tcBorders>
              <w:top w:val="nil"/>
            </w:tcBorders>
          </w:tcPr>
          <w:p w14:paraId="6B09FD24" w14:textId="77777777" w:rsidR="00A91F6E" w:rsidRPr="00CE0084" w:rsidRDefault="00A91F6E" w:rsidP="00891A18">
            <w:pPr>
              <w:pStyle w:val="TableText"/>
            </w:pPr>
            <w:r>
              <w:t>5 minutes</w:t>
            </w:r>
          </w:p>
        </w:tc>
        <w:tc>
          <w:tcPr>
            <w:tcW w:w="1417" w:type="dxa"/>
            <w:tcBorders>
              <w:top w:val="nil"/>
            </w:tcBorders>
          </w:tcPr>
          <w:p w14:paraId="79414789" w14:textId="77777777" w:rsidR="00A91F6E" w:rsidRPr="00CE0084" w:rsidRDefault="00A91F6E" w:rsidP="00891A18">
            <w:pPr>
              <w:pStyle w:val="TableText"/>
            </w:pPr>
            <w:r>
              <w:t>82</w:t>
            </w:r>
          </w:p>
        </w:tc>
        <w:tc>
          <w:tcPr>
            <w:tcW w:w="1418" w:type="dxa"/>
            <w:tcBorders>
              <w:top w:val="nil"/>
            </w:tcBorders>
          </w:tcPr>
          <w:p w14:paraId="58625478" w14:textId="1F9B9749" w:rsidR="00A91F6E" w:rsidRPr="00CE0084" w:rsidRDefault="00A91F6E" w:rsidP="00891A18">
            <w:pPr>
              <w:pStyle w:val="TableText"/>
            </w:pPr>
            <w:r w:rsidRPr="00704849">
              <w:t>endpoint dilution assay</w:t>
            </w:r>
          </w:p>
        </w:tc>
        <w:tc>
          <w:tcPr>
            <w:tcW w:w="1417" w:type="dxa"/>
            <w:tcBorders>
              <w:top w:val="nil"/>
            </w:tcBorders>
          </w:tcPr>
          <w:p w14:paraId="4F4F699E" w14:textId="6624CA84" w:rsidR="00A91F6E" w:rsidRPr="00CE0084" w:rsidRDefault="00A91F6E" w:rsidP="00891A18">
            <w:pPr>
              <w:pStyle w:val="TableText"/>
            </w:pPr>
            <w:r w:rsidRPr="00CE0084">
              <w:t xml:space="preserve">Whipple </w:t>
            </w:r>
            <w:r>
              <w:t>and</w:t>
            </w:r>
            <w:r w:rsidRPr="00CE0084">
              <w:t xml:space="preserve"> </w:t>
            </w:r>
            <w:proofErr w:type="spellStart"/>
            <w:r w:rsidRPr="00CE0084">
              <w:t>Rohovec</w:t>
            </w:r>
            <w:proofErr w:type="spellEnd"/>
            <w:r w:rsidRPr="00CE0084">
              <w:t xml:space="preserve"> (1994</w:t>
            </w:r>
            <w:r w:rsidR="00F00E30">
              <w:t>)</w:t>
            </w:r>
          </w:p>
        </w:tc>
      </w:tr>
      <w:tr w:rsidR="00AB30F6" w:rsidRPr="00CE0084" w14:paraId="3C4E6FB1" w14:textId="77777777" w:rsidTr="00FC08B5">
        <w:trPr>
          <w:cantSplit/>
        </w:trPr>
        <w:tc>
          <w:tcPr>
            <w:tcW w:w="1276" w:type="dxa"/>
          </w:tcPr>
          <w:p w14:paraId="20631069" w14:textId="3DC96043" w:rsidR="00A91F6E" w:rsidRPr="00CE0084" w:rsidRDefault="0005649A" w:rsidP="00891A18">
            <w:pPr>
              <w:pStyle w:val="TableText"/>
            </w:pPr>
            <w:r>
              <w:t>Not reported</w:t>
            </w:r>
          </w:p>
        </w:tc>
        <w:tc>
          <w:tcPr>
            <w:tcW w:w="1134" w:type="dxa"/>
          </w:tcPr>
          <w:p w14:paraId="13795E92" w14:textId="26241E67" w:rsidR="00A91F6E" w:rsidRPr="00CE0084" w:rsidRDefault="00CC4AF0" w:rsidP="00891A18">
            <w:pPr>
              <w:pStyle w:val="TableText"/>
            </w:pPr>
            <w:r w:rsidRPr="00CC4AF0">
              <w:t xml:space="preserve">2 </w:t>
            </w:r>
            <w:r w:rsidR="00130FFA">
              <w:t>%</w:t>
            </w:r>
            <w:r w:rsidRPr="00CC4AF0">
              <w:t xml:space="preserve"> foetal bovine materia</w:t>
            </w:r>
            <w:r>
              <w:t>l</w:t>
            </w:r>
          </w:p>
        </w:tc>
        <w:tc>
          <w:tcPr>
            <w:tcW w:w="1276" w:type="dxa"/>
          </w:tcPr>
          <w:p w14:paraId="322DB306" w14:textId="3402A4D6" w:rsidR="00A91F6E" w:rsidRPr="00CE0084" w:rsidRDefault="00CC4AF0" w:rsidP="00891A18">
            <w:pPr>
              <w:pStyle w:val="TableText"/>
            </w:pPr>
            <w:r w:rsidRPr="00CE0084">
              <w:t>4 log</w:t>
            </w:r>
            <w:r w:rsidRPr="00CE0084">
              <w:rPr>
                <w:vertAlign w:val="subscript"/>
              </w:rPr>
              <w:t>10</w:t>
            </w:r>
          </w:p>
        </w:tc>
        <w:tc>
          <w:tcPr>
            <w:tcW w:w="567" w:type="dxa"/>
          </w:tcPr>
          <w:p w14:paraId="1E39B88F" w14:textId="73BEF4CE" w:rsidR="00A91F6E" w:rsidRPr="00CE0084" w:rsidRDefault="00CC4AF0" w:rsidP="00891A18">
            <w:pPr>
              <w:pStyle w:val="TableText"/>
            </w:pPr>
            <w:r>
              <w:t>7.2</w:t>
            </w:r>
          </w:p>
        </w:tc>
        <w:tc>
          <w:tcPr>
            <w:tcW w:w="1134" w:type="dxa"/>
          </w:tcPr>
          <w:p w14:paraId="276A1573" w14:textId="0C4C61EC" w:rsidR="00A91F6E" w:rsidRPr="00CE0084" w:rsidRDefault="00CC4AF0" w:rsidP="00891A18">
            <w:pPr>
              <w:pStyle w:val="TableText"/>
            </w:pPr>
            <w:r>
              <w:t>45 minutes</w:t>
            </w:r>
          </w:p>
        </w:tc>
        <w:tc>
          <w:tcPr>
            <w:tcW w:w="1417" w:type="dxa"/>
          </w:tcPr>
          <w:p w14:paraId="2BC5ABE7" w14:textId="3C612BDA" w:rsidR="00A91F6E" w:rsidRPr="00CE0084" w:rsidRDefault="00CC4AF0" w:rsidP="00891A18">
            <w:pPr>
              <w:pStyle w:val="TableText"/>
            </w:pPr>
            <w:r>
              <w:t>70</w:t>
            </w:r>
          </w:p>
        </w:tc>
        <w:tc>
          <w:tcPr>
            <w:tcW w:w="1418" w:type="dxa"/>
          </w:tcPr>
          <w:p w14:paraId="59608F90" w14:textId="5FE0D366" w:rsidR="00A91F6E" w:rsidRPr="00CE0084" w:rsidRDefault="00CC4AF0" w:rsidP="00891A18">
            <w:pPr>
              <w:pStyle w:val="TableText"/>
            </w:pPr>
            <w:r w:rsidRPr="00CC4AF0">
              <w:t>endpoint dilution assay</w:t>
            </w:r>
          </w:p>
        </w:tc>
        <w:tc>
          <w:tcPr>
            <w:tcW w:w="1417" w:type="dxa"/>
          </w:tcPr>
          <w:p w14:paraId="68706E90" w14:textId="77777777" w:rsidR="00A91F6E" w:rsidRPr="00CE0084" w:rsidRDefault="00A91F6E" w:rsidP="00891A18">
            <w:pPr>
              <w:pStyle w:val="TableText"/>
            </w:pPr>
            <w:proofErr w:type="spellStart"/>
            <w:r w:rsidRPr="00CE0084">
              <w:t>Humphery</w:t>
            </w:r>
            <w:proofErr w:type="spellEnd"/>
            <w:r w:rsidRPr="00CE0084">
              <w:t xml:space="preserve"> et al. (1991)</w:t>
            </w:r>
          </w:p>
        </w:tc>
      </w:tr>
    </w:tbl>
    <w:p w14:paraId="7F8B768D" w14:textId="75614314" w:rsidR="00B45EDF" w:rsidRDefault="00FD40AA" w:rsidP="007B090C">
      <w:pPr>
        <w:spacing w:before="120"/>
      </w:pPr>
      <w:r>
        <w:t xml:space="preserve">IPNV </w:t>
      </w:r>
      <w:r w:rsidR="00805D54">
        <w:t xml:space="preserve">has been found to </w:t>
      </w:r>
      <w:r w:rsidR="00BD6A22">
        <w:t xml:space="preserve">either </w:t>
      </w:r>
      <w:r w:rsidR="00805D54">
        <w:t>be</w:t>
      </w:r>
      <w:r>
        <w:t xml:space="preserve"> more resistant to </w:t>
      </w:r>
      <w:r w:rsidR="00C61742">
        <w:t xml:space="preserve">thermal </w:t>
      </w:r>
      <w:r>
        <w:t>inactivation at lower pH when compared to neutral pH values</w:t>
      </w:r>
      <w:r w:rsidR="00805D54">
        <w:t xml:space="preserve"> (</w:t>
      </w:r>
      <w:r w:rsidR="00805D54" w:rsidRPr="00805D54">
        <w:t>Nygaard et al. 2012)</w:t>
      </w:r>
      <w:r w:rsidR="00BD6A22">
        <w:t>,</w:t>
      </w:r>
      <w:r w:rsidR="00805D54">
        <w:t xml:space="preserve"> or </w:t>
      </w:r>
      <w:r w:rsidR="00BD6A22">
        <w:t xml:space="preserve">pH </w:t>
      </w:r>
      <w:r w:rsidR="00805D54">
        <w:t xml:space="preserve">did not </w:t>
      </w:r>
      <w:proofErr w:type="gramStart"/>
      <w:r w:rsidR="00805D54">
        <w:t>have an effect on</w:t>
      </w:r>
      <w:proofErr w:type="gramEnd"/>
      <w:r w:rsidR="00805D54">
        <w:t xml:space="preserve"> the thermal resistan</w:t>
      </w:r>
      <w:r w:rsidR="00D050BC">
        <w:t>ce (</w:t>
      </w:r>
      <w:r w:rsidR="00D050BC" w:rsidRPr="00D050BC">
        <w:t xml:space="preserve">Whipple and </w:t>
      </w:r>
      <w:proofErr w:type="spellStart"/>
      <w:r w:rsidR="00D050BC" w:rsidRPr="00D050BC">
        <w:t>Rohovec</w:t>
      </w:r>
      <w:proofErr w:type="spellEnd"/>
      <w:r w:rsidR="00D050BC" w:rsidRPr="00D050BC">
        <w:t xml:space="preserve"> 1994)</w:t>
      </w:r>
      <w:r>
        <w:t xml:space="preserve">. Fish silages are </w:t>
      </w:r>
      <w:r w:rsidR="00D050BC">
        <w:t xml:space="preserve">typically </w:t>
      </w:r>
      <w:r>
        <w:t xml:space="preserve">processed at </w:t>
      </w:r>
      <w:r w:rsidR="00D050BC">
        <w:t xml:space="preserve">a </w:t>
      </w:r>
      <w:r>
        <w:t>low pH to aid protein hydrolyzation and limit bacterial contamination.</w:t>
      </w:r>
    </w:p>
    <w:p w14:paraId="615760C2" w14:textId="570E28D7" w:rsidR="00FD40AA" w:rsidRDefault="00FD40AA" w:rsidP="00FD40AA">
      <w:r>
        <w:t>Where the start points of the studies are stated, they are much lower than the maximum IPNV titres found in acutely infected susceptible fish (&gt; 10</w:t>
      </w:r>
      <w:r w:rsidRPr="00163AF1">
        <w:rPr>
          <w:vertAlign w:val="superscript"/>
        </w:rPr>
        <w:t>10</w:t>
      </w:r>
      <w:r>
        <w:t xml:space="preserve"> TCID</w:t>
      </w:r>
      <w:r w:rsidRPr="00163AF1">
        <w:rPr>
          <w:vertAlign w:val="subscript"/>
        </w:rPr>
        <w:t>50</w:t>
      </w:r>
      <w:r>
        <w:t xml:space="preserve"> </w:t>
      </w:r>
      <w:proofErr w:type="gramStart"/>
      <w:r>
        <w:t>mL</w:t>
      </w:r>
      <w:r w:rsidRPr="00163AF1">
        <w:rPr>
          <w:vertAlign w:val="superscript"/>
        </w:rPr>
        <w:t>-1</w:t>
      </w:r>
      <w:proofErr w:type="gramEnd"/>
      <w:r>
        <w:t xml:space="preserve">; </w:t>
      </w:r>
      <w:proofErr w:type="spellStart"/>
      <w:r>
        <w:t>Smail</w:t>
      </w:r>
      <w:proofErr w:type="spellEnd"/>
      <w:r>
        <w:t xml:space="preserve"> et al., 1995, 2006)</w:t>
      </w:r>
      <w:r w:rsidR="007F2BB3">
        <w:t>.</w:t>
      </w:r>
    </w:p>
    <w:p w14:paraId="7027C9D7" w14:textId="2A06D732" w:rsidR="00FD40AA" w:rsidRDefault="00FD40AA" w:rsidP="00FD40AA">
      <w:r>
        <w:t>When the IPNV inactivation data of Nygaard et al. (2012) are extrapolated, the times for 6, 7, 8, 9 and 10 log</w:t>
      </w:r>
      <w:r w:rsidRPr="00163AF1">
        <w:rPr>
          <w:vertAlign w:val="subscript"/>
        </w:rPr>
        <w:t xml:space="preserve">10 </w:t>
      </w:r>
      <w:r>
        <w:t>reductions at 85°</w:t>
      </w:r>
      <w:proofErr w:type="spellStart"/>
      <w:r>
        <w:t>C are</w:t>
      </w:r>
      <w:proofErr w:type="spellEnd"/>
      <w:r>
        <w:t xml:space="preserve"> 5.0, 6.0, 6.9, 7.9 and 8.8 minutes, respectively.</w:t>
      </w:r>
    </w:p>
    <w:p w14:paraId="2FCDFC21" w14:textId="62254C16" w:rsidR="00FB0613" w:rsidRDefault="00E321EA" w:rsidP="00FD40AA">
      <w:r>
        <w:t xml:space="preserve">Based on the evidence outlined in Table </w:t>
      </w:r>
      <w:r w:rsidR="005875FA">
        <w:t>1</w:t>
      </w:r>
      <w:r w:rsidR="00FB0613">
        <w:t>,</w:t>
      </w:r>
      <w:r>
        <w:t xml:space="preserve"> IPNV would be inactivated </w:t>
      </w:r>
      <w:r w:rsidR="00CC19C4">
        <w:t xml:space="preserve">in a fish product </w:t>
      </w:r>
      <w:r>
        <w:t xml:space="preserve">when a moist heat treatment is applied at </w:t>
      </w:r>
      <w:r w:rsidR="00361C41">
        <w:t xml:space="preserve">a core temperature of </w:t>
      </w:r>
      <w:r w:rsidRPr="00E321EA">
        <w:t>85°C for 25 min</w:t>
      </w:r>
      <w:r w:rsidR="00FB0613">
        <w:t>utes</w:t>
      </w:r>
      <w:r w:rsidR="00BD6A22">
        <w:t xml:space="preserve">, as per the European Union’s </w:t>
      </w:r>
      <w:r w:rsidR="00BD6A22" w:rsidRPr="00362EB5">
        <w:t xml:space="preserve">processing method for </w:t>
      </w:r>
      <w:r w:rsidR="00BD6A22" w:rsidRPr="00D75EBE">
        <w:t xml:space="preserve">category </w:t>
      </w:r>
      <w:r w:rsidR="00BD6A22">
        <w:t>two</w:t>
      </w:r>
      <w:r w:rsidR="00BD6A22" w:rsidRPr="00D75EBE">
        <w:t xml:space="preserve"> and </w:t>
      </w:r>
      <w:r w:rsidR="00BD6A22">
        <w:t>three</w:t>
      </w:r>
      <w:r w:rsidR="00BD6A22" w:rsidRPr="00D75EBE">
        <w:t xml:space="preserve"> material of fish origin</w:t>
      </w:r>
      <w:r w:rsidR="00CC19C4">
        <w:t xml:space="preserve">. </w:t>
      </w:r>
      <w:r w:rsidR="00FB0613">
        <w:t xml:space="preserve"> </w:t>
      </w:r>
    </w:p>
    <w:p w14:paraId="3FA5BCD6" w14:textId="131E1A79" w:rsidR="004A0FA3" w:rsidRDefault="005D72DA">
      <w:pPr>
        <w:pStyle w:val="Heading4"/>
      </w:pPr>
      <w:r>
        <w:t>Key points</w:t>
      </w:r>
    </w:p>
    <w:p w14:paraId="5139F608" w14:textId="226785AC" w:rsidR="00B45EDF" w:rsidRDefault="00B96B2B" w:rsidP="004C6D63">
      <w:pPr>
        <w:pStyle w:val="ListBullet"/>
        <w:spacing w:line="276" w:lineRule="auto"/>
      </w:pPr>
      <w:r>
        <w:t>I</w:t>
      </w:r>
      <w:r w:rsidR="00A523FB">
        <w:t>P</w:t>
      </w:r>
      <w:r>
        <w:t xml:space="preserve">NV is nationally notifiable in Australia and is listed as </w:t>
      </w:r>
      <w:r w:rsidR="00844A25">
        <w:t>a</w:t>
      </w:r>
      <w:r w:rsidR="00E5451D">
        <w:t xml:space="preserve"> </w:t>
      </w:r>
      <w:r>
        <w:t>disease of concern in both salmonid and non-salmonid species of finfish in the 1999 non-viable marine finfish IRA</w:t>
      </w:r>
    </w:p>
    <w:p w14:paraId="0E6B3407" w14:textId="2A9820F0" w:rsidR="00B96B2B" w:rsidRDefault="00B96B2B" w:rsidP="004C6D63">
      <w:pPr>
        <w:pStyle w:val="ListBullet"/>
        <w:spacing w:line="276" w:lineRule="auto"/>
      </w:pPr>
      <w:r>
        <w:t>IPNV can cause high mortality and morbidity levels with a mortality rate greater than 70 per cent in young salmonid fish</w:t>
      </w:r>
    </w:p>
    <w:p w14:paraId="41B7A179" w14:textId="293461AB" w:rsidR="00B96B2B" w:rsidRDefault="00B96B2B" w:rsidP="004C6D63">
      <w:pPr>
        <w:pStyle w:val="ListBullet"/>
        <w:spacing w:line="276" w:lineRule="auto"/>
      </w:pPr>
      <w:r>
        <w:t>IPNV can establish as an asymptomatic carrier state in survivors</w:t>
      </w:r>
    </w:p>
    <w:p w14:paraId="064CFC9C" w14:textId="5D1E29B8" w:rsidR="0026283D" w:rsidRDefault="0026283D" w:rsidP="004C6D63">
      <w:pPr>
        <w:pStyle w:val="ListBullet"/>
        <w:spacing w:line="276" w:lineRule="auto"/>
      </w:pPr>
      <w:r w:rsidRPr="0026283D">
        <w:t xml:space="preserve">IPNV, or viruses showing serological relatedness, </w:t>
      </w:r>
      <w:r>
        <w:t xml:space="preserve">have been detected </w:t>
      </w:r>
      <w:r w:rsidRPr="001F3580">
        <w:t>in a wide range of estuarine and freshwater fish species</w:t>
      </w:r>
    </w:p>
    <w:p w14:paraId="3CBA69E3" w14:textId="5C887BE9" w:rsidR="00B96B2B" w:rsidRDefault="00B96B2B" w:rsidP="004C6D63">
      <w:pPr>
        <w:pStyle w:val="ListBullet"/>
        <w:spacing w:line="276" w:lineRule="auto"/>
      </w:pPr>
      <w:r>
        <w:t>IPNV has been detected at &gt;10</w:t>
      </w:r>
      <w:r w:rsidRPr="00163AF1">
        <w:rPr>
          <w:vertAlign w:val="superscript"/>
        </w:rPr>
        <w:t>10</w:t>
      </w:r>
      <w:r>
        <w:t xml:space="preserve"> TCID</w:t>
      </w:r>
      <w:r w:rsidRPr="00163AF1">
        <w:rPr>
          <w:vertAlign w:val="subscript"/>
        </w:rPr>
        <w:t>50</w:t>
      </w:r>
      <w:r>
        <w:t xml:space="preserve"> mL</w:t>
      </w:r>
      <w:r w:rsidRPr="00163AF1">
        <w:rPr>
          <w:vertAlign w:val="superscript"/>
        </w:rPr>
        <w:t>-1</w:t>
      </w:r>
      <w:r>
        <w:t xml:space="preserve"> in </w:t>
      </w:r>
      <w:r w:rsidR="00611FF2">
        <w:t xml:space="preserve">the target organs of </w:t>
      </w:r>
      <w:r>
        <w:t>heavily infected fish.</w:t>
      </w:r>
    </w:p>
    <w:p w14:paraId="21DDFF88" w14:textId="78717675" w:rsidR="00B45EDF" w:rsidRDefault="0026283D" w:rsidP="004C6D63">
      <w:pPr>
        <w:pStyle w:val="ListBullet"/>
        <w:spacing w:line="276" w:lineRule="auto"/>
      </w:pPr>
      <w:r>
        <w:t>k</w:t>
      </w:r>
      <w:r w:rsidR="00B96B2B">
        <w:t>idney titres up to 10</w:t>
      </w:r>
      <w:r w:rsidR="00B96B2B" w:rsidRPr="00163AF1">
        <w:rPr>
          <w:vertAlign w:val="superscript"/>
        </w:rPr>
        <w:t>5</w:t>
      </w:r>
      <w:r w:rsidR="00B96B2B">
        <w:t xml:space="preserve"> TCID</w:t>
      </w:r>
      <w:r w:rsidR="00B96B2B" w:rsidRPr="00163AF1">
        <w:rPr>
          <w:vertAlign w:val="subscript"/>
        </w:rPr>
        <w:t>50</w:t>
      </w:r>
      <w:r w:rsidR="00B96B2B">
        <w:t xml:space="preserve"> mL</w:t>
      </w:r>
      <w:r w:rsidR="00B96B2B" w:rsidRPr="00163AF1">
        <w:rPr>
          <w:vertAlign w:val="superscript"/>
        </w:rPr>
        <w:t>-1</w:t>
      </w:r>
      <w:r w:rsidR="00B96B2B">
        <w:t xml:space="preserve"> </w:t>
      </w:r>
      <w:r w:rsidR="006F7BFB">
        <w:t xml:space="preserve">IPNV </w:t>
      </w:r>
      <w:r w:rsidR="00B96B2B">
        <w:t>are not uncommon in apparently healthy fish.</w:t>
      </w:r>
    </w:p>
    <w:p w14:paraId="12E3B0CF" w14:textId="1049AACA" w:rsidR="00B96B2B" w:rsidRDefault="00B96B2B" w:rsidP="004C6D63">
      <w:pPr>
        <w:pStyle w:val="ListBullet"/>
        <w:spacing w:line="276" w:lineRule="auto"/>
      </w:pPr>
      <w:r>
        <w:t>IPNV concentrations found in fish silage from mortalities on a fish farm were between 3</w:t>
      </w:r>
      <w:r w:rsidR="003E31F8">
        <w:t xml:space="preserve"> to </w:t>
      </w:r>
      <w:r>
        <w:t>3.6 log</w:t>
      </w:r>
      <w:r w:rsidRPr="00163AF1">
        <w:rPr>
          <w:vertAlign w:val="subscript"/>
        </w:rPr>
        <w:t>10</w:t>
      </w:r>
      <w:r>
        <w:t xml:space="preserve"> TCID</w:t>
      </w:r>
      <w:r w:rsidRPr="00163AF1">
        <w:rPr>
          <w:vertAlign w:val="subscript"/>
        </w:rPr>
        <w:t>50</w:t>
      </w:r>
      <w:r>
        <w:t xml:space="preserve"> mL</w:t>
      </w:r>
      <w:r w:rsidRPr="00163AF1">
        <w:rPr>
          <w:vertAlign w:val="superscript"/>
        </w:rPr>
        <w:t>-1</w:t>
      </w:r>
      <w:r>
        <w:t>, which was claimed to be typical for native silages from IPNV-infected fish</w:t>
      </w:r>
    </w:p>
    <w:p w14:paraId="02D0BBB3" w14:textId="2FAB9FEF" w:rsidR="007013CB" w:rsidRDefault="007013CB" w:rsidP="004C6D63">
      <w:pPr>
        <w:pStyle w:val="ListBullet"/>
        <w:spacing w:line="276" w:lineRule="auto"/>
      </w:pPr>
      <w:proofErr w:type="spellStart"/>
      <w:r w:rsidRPr="00CE0084">
        <w:t>Birnaviridae</w:t>
      </w:r>
      <w:proofErr w:type="spellEnd"/>
      <w:r w:rsidRPr="00CE0084">
        <w:t xml:space="preserve"> viruses are generally stable at pH 3–9</w:t>
      </w:r>
      <w:r>
        <w:t xml:space="preserve"> and there was no additional inactivation of IPNV when </w:t>
      </w:r>
      <w:r w:rsidR="002403A4">
        <w:t>a</w:t>
      </w:r>
      <w:r>
        <w:t xml:space="preserve"> heat treatment was applied at a low pH</w:t>
      </w:r>
      <w:r w:rsidRPr="00CE0084">
        <w:t xml:space="preserve"> </w:t>
      </w:r>
    </w:p>
    <w:p w14:paraId="015EF5CA" w14:textId="6983D38E" w:rsidR="003E53C3" w:rsidRDefault="0026283D" w:rsidP="004C6D63">
      <w:pPr>
        <w:pStyle w:val="ListBullet"/>
        <w:spacing w:line="276" w:lineRule="auto"/>
      </w:pPr>
      <w:r>
        <w:t>t</w:t>
      </w:r>
      <w:r w:rsidR="00B96B2B">
        <w:t>he proposed treatment conditions (</w:t>
      </w:r>
      <w:bookmarkStart w:id="23" w:name="_Hlk61355709"/>
      <w:r w:rsidR="00B96B2B">
        <w:t>85°C for 25 mins</w:t>
      </w:r>
      <w:bookmarkEnd w:id="23"/>
      <w:r w:rsidR="00B96B2B">
        <w:t xml:space="preserve">) for primary processing of fish product will inactivate IPNV </w:t>
      </w:r>
      <w:r w:rsidR="009A1397" w:rsidRPr="009A1397">
        <w:t>(minimum 10</w:t>
      </w:r>
      <w:r w:rsidR="009A1397" w:rsidRPr="009A1397">
        <w:rPr>
          <w:vertAlign w:val="superscript"/>
        </w:rPr>
        <w:t>-6</w:t>
      </w:r>
      <w:r w:rsidR="009A1397" w:rsidRPr="009A1397">
        <w:t xml:space="preserve"> reduction)</w:t>
      </w:r>
      <w:r w:rsidR="009A1397">
        <w:t xml:space="preserve"> </w:t>
      </w:r>
      <w:r w:rsidR="00B96B2B">
        <w:t>over the range of observed titres in individual fish or in silage of infected fish populations</w:t>
      </w:r>
    </w:p>
    <w:p w14:paraId="6419E0E6" w14:textId="4A0C4DA2" w:rsidR="00AD4F14" w:rsidRDefault="00501655" w:rsidP="004C6D63">
      <w:pPr>
        <w:pStyle w:val="ListBullet"/>
        <w:spacing w:line="276" w:lineRule="auto"/>
      </w:pPr>
      <w:r>
        <w:t xml:space="preserve">therefore, </w:t>
      </w:r>
      <w:r w:rsidR="00AD4F14" w:rsidRPr="00AD4F14">
        <w:t xml:space="preserve">the likelihood of entry of IPNV in fish products for use as pet food and </w:t>
      </w:r>
      <w:r w:rsidR="00E8764B">
        <w:t>stockfeed</w:t>
      </w:r>
      <w:r w:rsidR="00AD4F14" w:rsidRPr="00AD4F14">
        <w:t xml:space="preserve"> </w:t>
      </w:r>
      <w:r w:rsidR="00C61742">
        <w:t xml:space="preserve">when moist heat treated to a core temperature of at least 85°C for at least 25 minutes </w:t>
      </w:r>
      <w:r w:rsidR="00AD4F14" w:rsidRPr="00AD4F14">
        <w:t xml:space="preserve">was estimated to be </w:t>
      </w:r>
      <w:r w:rsidR="00AD4F14" w:rsidRPr="003E53C3">
        <w:rPr>
          <w:b/>
          <w:bCs/>
        </w:rPr>
        <w:t>negligible</w:t>
      </w:r>
      <w:r w:rsidR="00AD4F14" w:rsidRPr="00AD4F14">
        <w:t>.</w:t>
      </w:r>
    </w:p>
    <w:p w14:paraId="5A2CCE35" w14:textId="223CD3B6" w:rsidR="004A0FA3" w:rsidRDefault="00BC72D6" w:rsidP="00BC72D6">
      <w:pPr>
        <w:pStyle w:val="Heading4"/>
      </w:pPr>
      <w:r>
        <w:lastRenderedPageBreak/>
        <w:t>Conclusions</w:t>
      </w:r>
    </w:p>
    <w:p w14:paraId="2124D7F3" w14:textId="0AA07E50" w:rsidR="00B45EDF" w:rsidRDefault="00BC72D6" w:rsidP="00BC72D6">
      <w:r>
        <w:t>Based on the above information</w:t>
      </w:r>
      <w:r w:rsidR="00BD6A22">
        <w:t>,</w:t>
      </w:r>
      <w:r>
        <w:t xml:space="preserve"> the processing methods as defined in the scope at section 1.2.2. of this document (moist heat treatment </w:t>
      </w:r>
      <w:r w:rsidR="00C61742">
        <w:t xml:space="preserve">of at least </w:t>
      </w:r>
      <w:r>
        <w:t xml:space="preserve">85°C for </w:t>
      </w:r>
      <w:r w:rsidR="00C61742">
        <w:t xml:space="preserve">at least </w:t>
      </w:r>
      <w:r>
        <w:t>25 minutes) will inactivate (minimum 10</w:t>
      </w:r>
      <w:r w:rsidRPr="00E96D90">
        <w:rPr>
          <w:vertAlign w:val="superscript"/>
        </w:rPr>
        <w:t>-6</w:t>
      </w:r>
      <w:r>
        <w:t xml:space="preserve"> reduction) any IPNV that may be present in fish</w:t>
      </w:r>
      <w:r w:rsidR="005C62A6">
        <w:t>.</w:t>
      </w:r>
      <w:r w:rsidR="0026283D">
        <w:t xml:space="preserve"> </w:t>
      </w:r>
    </w:p>
    <w:p w14:paraId="0A1F93CD" w14:textId="22C68717" w:rsidR="00BF2769" w:rsidRDefault="00BF2769" w:rsidP="00BC72D6">
      <w:r>
        <w:t>Therefore, the following conclusion can be made:</w:t>
      </w:r>
    </w:p>
    <w:p w14:paraId="0E6B184D" w14:textId="784324E8" w:rsidR="00805D54" w:rsidRDefault="00BF2769" w:rsidP="00BF2769">
      <w:pPr>
        <w:pStyle w:val="ListParagraph"/>
        <w:numPr>
          <w:ilvl w:val="0"/>
          <w:numId w:val="58"/>
        </w:numPr>
      </w:pPr>
      <w:r>
        <w:t>f</w:t>
      </w:r>
      <w:r w:rsidR="00BC72D6">
        <w:t xml:space="preserve">ish products that have been derived from </w:t>
      </w:r>
      <w:r>
        <w:t xml:space="preserve">fish </w:t>
      </w:r>
      <w:r w:rsidR="00BC72D6">
        <w:t xml:space="preserve">that </w:t>
      </w:r>
      <w:r w:rsidR="00043839">
        <w:t>have</w:t>
      </w:r>
      <w:r w:rsidR="00BC72D6">
        <w:t xml:space="preserve"> been </w:t>
      </w:r>
      <w:r w:rsidR="00213036">
        <w:t xml:space="preserve">moist heat </w:t>
      </w:r>
      <w:r w:rsidR="00BC72D6">
        <w:t xml:space="preserve">treated at </w:t>
      </w:r>
      <w:r w:rsidR="006F7BFB">
        <w:t xml:space="preserve">a core temperature of </w:t>
      </w:r>
      <w:r w:rsidR="00213036">
        <w:t xml:space="preserve">at least </w:t>
      </w:r>
      <w:r w:rsidR="00BC72D6">
        <w:t xml:space="preserve">85°C for </w:t>
      </w:r>
      <w:r w:rsidR="00213036">
        <w:t xml:space="preserve">at least </w:t>
      </w:r>
      <w:r w:rsidR="00BC72D6">
        <w:t xml:space="preserve">25 minutes would </w:t>
      </w:r>
      <w:r w:rsidR="009A1397">
        <w:t>inactivate</w:t>
      </w:r>
      <w:r w:rsidR="00BC72D6">
        <w:t xml:space="preserve"> any viable </w:t>
      </w:r>
      <w:r w:rsidR="00FD59BD">
        <w:t xml:space="preserve">IPNV </w:t>
      </w:r>
      <w:r w:rsidR="00BC72D6">
        <w:t>present in the product</w:t>
      </w:r>
      <w:r w:rsidR="00805D54">
        <w:t>.</w:t>
      </w:r>
      <w:r w:rsidR="00611FF2">
        <w:t xml:space="preserve"> </w:t>
      </w:r>
    </w:p>
    <w:p w14:paraId="0F043AE2" w14:textId="1CBCB4A6" w:rsidR="00BC72D6" w:rsidRDefault="00611FF2" w:rsidP="00BF2769">
      <w:pPr>
        <w:pStyle w:val="ListParagraph"/>
        <w:numPr>
          <w:ilvl w:val="0"/>
          <w:numId w:val="58"/>
        </w:numPr>
      </w:pPr>
      <w:r w:rsidRPr="00611FF2">
        <w:t>ensilage at a pH below 4 for 24 hours</w:t>
      </w:r>
      <w:r>
        <w:t xml:space="preserve"> </w:t>
      </w:r>
      <w:r w:rsidR="00805D54">
        <w:t xml:space="preserve">prior to the heat treatment </w:t>
      </w:r>
      <w:r>
        <w:t>would not</w:t>
      </w:r>
      <w:r w:rsidR="00FE78C2">
        <w:t xml:space="preserve"> provide any additional inactivation of IPNV</w:t>
      </w:r>
      <w:r w:rsidR="00BC72D6">
        <w:t>.</w:t>
      </w:r>
    </w:p>
    <w:p w14:paraId="64755BB8" w14:textId="009BE163" w:rsidR="00BF2769" w:rsidRDefault="00BF2769" w:rsidP="00BF2769">
      <w:pPr>
        <w:pStyle w:val="ListParagraph"/>
        <w:numPr>
          <w:ilvl w:val="0"/>
          <w:numId w:val="58"/>
        </w:numPr>
      </w:pPr>
      <w:r>
        <w:t>t</w:t>
      </w:r>
      <w:r w:rsidR="005D72DA">
        <w:t>o ensure that the required heat treatment has been applied, the fish products</w:t>
      </w:r>
      <w:r w:rsidR="0026283D">
        <w:t xml:space="preserve"> </w:t>
      </w:r>
      <w:r w:rsidR="0089675E">
        <w:t>should</w:t>
      </w:r>
      <w:r w:rsidR="00844A25" w:rsidRPr="005D72DA">
        <w:t xml:space="preserve"> </w:t>
      </w:r>
      <w:r w:rsidR="005D72DA">
        <w:t>be</w:t>
      </w:r>
      <w:r w:rsidR="005D72DA" w:rsidRPr="005D72DA">
        <w:t xml:space="preserve"> processed and packaged in premises approved by</w:t>
      </w:r>
      <w:r w:rsidR="005D72DA">
        <w:t>,</w:t>
      </w:r>
      <w:r w:rsidR="005D72DA" w:rsidRPr="005D72DA">
        <w:t xml:space="preserve"> and under the control of </w:t>
      </w:r>
      <w:r w:rsidR="00844A25">
        <w:t>a</w:t>
      </w:r>
      <w:r w:rsidR="00844A25" w:rsidRPr="005D72DA">
        <w:t xml:space="preserve"> </w:t>
      </w:r>
      <w:r w:rsidR="005D72DA">
        <w:t>CA.</w:t>
      </w:r>
      <w:r>
        <w:t xml:space="preserve"> </w:t>
      </w:r>
    </w:p>
    <w:p w14:paraId="1292B93F" w14:textId="7C04486C" w:rsidR="00BC72D6" w:rsidRPr="00BC72D6" w:rsidRDefault="00BF2769" w:rsidP="00BF2769">
      <w:pPr>
        <w:pStyle w:val="ListParagraph"/>
        <w:numPr>
          <w:ilvl w:val="0"/>
          <w:numId w:val="58"/>
        </w:numPr>
      </w:pPr>
      <w:r>
        <w:t>a</w:t>
      </w:r>
      <w:r w:rsidR="00BC72D6">
        <w:t>s the processing applied to the fish products will manage risks to achieve Australia’s ALOP, the current restrictions on the percentage of salmonid material contained in imported fish products (no more than 2</w:t>
      </w:r>
      <w:r w:rsidR="00B53E5F">
        <w:t>%</w:t>
      </w:r>
      <w:r w:rsidR="00BC72D6">
        <w:t xml:space="preserve">) </w:t>
      </w:r>
      <w:r w:rsidR="0089675E">
        <w:t>should</w:t>
      </w:r>
      <w:r w:rsidR="005C62A6">
        <w:t xml:space="preserve"> </w:t>
      </w:r>
      <w:r w:rsidR="00BC72D6">
        <w:t>no longer apply.</w:t>
      </w:r>
    </w:p>
    <w:p w14:paraId="527AB6F0" w14:textId="7889B8A9" w:rsidR="004C6775" w:rsidRDefault="00971828" w:rsidP="00BF2769">
      <w:pPr>
        <w:pStyle w:val="ListParagraph"/>
        <w:numPr>
          <w:ilvl w:val="0"/>
          <w:numId w:val="58"/>
        </w:numPr>
        <w:sectPr w:rsidR="004C6775" w:rsidSect="00817F0A">
          <w:pgSz w:w="11906" w:h="16838"/>
          <w:pgMar w:top="1418" w:right="1418" w:bottom="1418" w:left="1418" w:header="567" w:footer="283" w:gutter="0"/>
          <w:cols w:space="708"/>
          <w:docGrid w:linePitch="360"/>
        </w:sectPr>
      </w:pPr>
      <w:r>
        <w:t xml:space="preserve">To ensure </w:t>
      </w:r>
      <w:r w:rsidR="00113DB3">
        <w:t>consistency</w:t>
      </w:r>
      <w:r>
        <w:t xml:space="preserve"> with import requirements, </w:t>
      </w:r>
      <w:r w:rsidR="00BF2769">
        <w:t>t</w:t>
      </w:r>
      <w:r w:rsidR="00E96D90" w:rsidRPr="00F372B0">
        <w:t xml:space="preserve">he proposed heat treatment </w:t>
      </w:r>
      <w:r w:rsidR="0089675E">
        <w:t>should</w:t>
      </w:r>
      <w:r w:rsidR="00E5451D" w:rsidRPr="00F372B0">
        <w:t xml:space="preserve"> </w:t>
      </w:r>
      <w:r w:rsidR="00E96D90" w:rsidRPr="00F372B0">
        <w:t xml:space="preserve">also replace the current heat treatment requirements for </w:t>
      </w:r>
      <w:r w:rsidR="005D72DA">
        <w:t xml:space="preserve">whole </w:t>
      </w:r>
      <w:r w:rsidR="00E96D90" w:rsidRPr="00F372B0">
        <w:t>medium and high risk non-salmonid fish further processed at AA site</w:t>
      </w:r>
      <w:r w:rsidR="00095A44">
        <w:t>s</w:t>
      </w:r>
      <w:r w:rsidR="00E96D90" w:rsidRPr="00F372B0">
        <w:t xml:space="preserve"> in Australia for the manufacture of pet food</w:t>
      </w:r>
      <w:r w:rsidR="00D74772">
        <w:t>.</w:t>
      </w:r>
    </w:p>
    <w:p w14:paraId="27C8DF77" w14:textId="4D4B2E3B" w:rsidR="00B45EDF" w:rsidRDefault="006868A7">
      <w:pPr>
        <w:pStyle w:val="Heading2"/>
      </w:pPr>
      <w:bookmarkStart w:id="24" w:name="_Toc11849532"/>
      <w:bookmarkStart w:id="25" w:name="_Toc71018575"/>
      <w:r>
        <w:lastRenderedPageBreak/>
        <w:t>Biosecurity measures</w:t>
      </w:r>
      <w:bookmarkEnd w:id="24"/>
      <w:bookmarkEnd w:id="25"/>
    </w:p>
    <w:p w14:paraId="35E0F669" w14:textId="661B32BE" w:rsidR="001C7143" w:rsidRDefault="006F7BFB" w:rsidP="001C7143">
      <w:r>
        <w:t>It is proposed that t</w:t>
      </w:r>
      <w:r w:rsidR="001C7143" w:rsidRPr="001C7143">
        <w:t xml:space="preserve">he following import conditions will apply to </w:t>
      </w:r>
      <w:r w:rsidR="003E31F8" w:rsidRPr="00B9189C">
        <w:t xml:space="preserve">fish products imported </w:t>
      </w:r>
      <w:r w:rsidR="003E31F8" w:rsidRPr="001C7143">
        <w:t xml:space="preserve">for use as pet food (including fish food) and </w:t>
      </w:r>
      <w:r w:rsidR="00E8764B">
        <w:t>stockfeed</w:t>
      </w:r>
      <w:r w:rsidR="003E31F8" w:rsidRPr="001C7143">
        <w:t xml:space="preserve"> (including aquaculture feed)</w:t>
      </w:r>
      <w:r w:rsidR="003E31F8">
        <w:t>.</w:t>
      </w:r>
    </w:p>
    <w:p w14:paraId="0BA1EAB3" w14:textId="1BA58C24" w:rsidR="004A0FA3" w:rsidRPr="00F372B0" w:rsidRDefault="006868A7" w:rsidP="001C7143">
      <w:pPr>
        <w:pStyle w:val="Heading3"/>
      </w:pPr>
      <w:bookmarkStart w:id="26" w:name="_Toc11849533"/>
      <w:bookmarkStart w:id="27" w:name="_Toc71018576"/>
      <w:r w:rsidRPr="001C7143">
        <w:t xml:space="preserve">Biosecurity measures for the importation </w:t>
      </w:r>
      <w:r w:rsidRPr="00F372B0">
        <w:t xml:space="preserve">of </w:t>
      </w:r>
      <w:bookmarkEnd w:id="26"/>
      <w:r w:rsidR="001C7143" w:rsidRPr="00F372B0">
        <w:t>fish and fish products</w:t>
      </w:r>
      <w:bookmarkEnd w:id="27"/>
      <w:r w:rsidR="001C7143" w:rsidRPr="00F372B0">
        <w:t xml:space="preserve"> </w:t>
      </w:r>
    </w:p>
    <w:p w14:paraId="0BBA671E" w14:textId="475D6DCA" w:rsidR="00593611" w:rsidRDefault="00593611" w:rsidP="00593611">
      <w:r>
        <w:t xml:space="preserve">Importers must obtain a permit from the Department of Agriculture, </w:t>
      </w:r>
      <w:proofErr w:type="gramStart"/>
      <w:r>
        <w:t>Water</w:t>
      </w:r>
      <w:proofErr w:type="gramEnd"/>
      <w:r>
        <w:t xml:space="preserve"> and the Environment to import </w:t>
      </w:r>
      <w:r w:rsidR="00E96D90" w:rsidRPr="00E96D90">
        <w:t xml:space="preserve">whole fish for further processing at an AA </w:t>
      </w:r>
      <w:r w:rsidR="00B9189C" w:rsidRPr="00B9189C">
        <w:t xml:space="preserve">and fish products </w:t>
      </w:r>
      <w:r>
        <w:t xml:space="preserve">(excluding non-salmonid products sourced from New Zealand) into Australia for use as pet food and </w:t>
      </w:r>
      <w:r w:rsidR="00E8764B">
        <w:t>stockfeed</w:t>
      </w:r>
      <w:r>
        <w:t>, before the goods are imported.</w:t>
      </w:r>
    </w:p>
    <w:p w14:paraId="091291FD" w14:textId="77777777" w:rsidR="00593611" w:rsidRDefault="00593611" w:rsidP="00593611">
      <w:r>
        <w:t>The application must include:</w:t>
      </w:r>
    </w:p>
    <w:p w14:paraId="28775135" w14:textId="7EFE64DB" w:rsidR="00593611" w:rsidRDefault="00593611" w:rsidP="00593611">
      <w:pPr>
        <w:pStyle w:val="ListBullet"/>
      </w:pPr>
      <w:r>
        <w:t>the name of the importer and exporter</w:t>
      </w:r>
    </w:p>
    <w:p w14:paraId="04731DDF" w14:textId="5BA1BC4B" w:rsidR="00593611" w:rsidRDefault="00593611" w:rsidP="00593611">
      <w:pPr>
        <w:pStyle w:val="ListBullet"/>
      </w:pPr>
      <w:r>
        <w:t>a description of the goods to be imported.</w:t>
      </w:r>
    </w:p>
    <w:p w14:paraId="4F4DAFA7" w14:textId="1D58358D" w:rsidR="00593611" w:rsidRDefault="00593611" w:rsidP="00593611">
      <w:r>
        <w:t>The application will be assessed on the above information as well as any other criteria deemed relevant by the delegate of the Director of Biosecurity. The goods exported to Australia must be accompanied by an Official Government Certificate issued from a body listed in the List of Overseas Authorities – Aquatic Animals for Import (also known as a CA).</w:t>
      </w:r>
    </w:p>
    <w:p w14:paraId="725889FC" w14:textId="412C9B98" w:rsidR="00593611" w:rsidRDefault="00593611" w:rsidP="00593611">
      <w:r>
        <w:t>Non-salmonid fish and their products sourced from New Zealand do not require an import permit but will be required to meet conditions that are specified in the Biosecurity (Prohibited and Conditionally Non-prohibited Goods) Determination 20</w:t>
      </w:r>
      <w:r w:rsidR="005134A0">
        <w:t>21</w:t>
      </w:r>
      <w:r>
        <w:t xml:space="preserve">. These conditions specify that the goods are accompanied by a New Zealand Ministry of Primary Industries (MPI) </w:t>
      </w:r>
      <w:r w:rsidR="00F40E27">
        <w:t>c</w:t>
      </w:r>
      <w:r>
        <w:t>ertificate stating that the fish from which the product was derived are of New Zealand origin or were caught in New Zealand's exclusive economic zone (EEZ) or in adjacent international waters.</w:t>
      </w:r>
    </w:p>
    <w:p w14:paraId="3CB0CA95" w14:textId="0F7C9BBE" w:rsidR="00E87034" w:rsidRDefault="00E87034" w:rsidP="00E87034">
      <w:pPr>
        <w:rPr>
          <w:rStyle w:val="Hyperlink"/>
        </w:rPr>
      </w:pPr>
      <w:r>
        <w:t>For further information on import requirements for the</w:t>
      </w:r>
      <w:r w:rsidRPr="00B552F8">
        <w:t xml:space="preserve"> import </w:t>
      </w:r>
      <w:r>
        <w:t xml:space="preserve">of </w:t>
      </w:r>
      <w:r w:rsidRPr="00B552F8">
        <w:t xml:space="preserve">whole fish for further processing at an AA and </w:t>
      </w:r>
      <w:r w:rsidRPr="00B552F8">
        <w:rPr>
          <w:bCs/>
        </w:rPr>
        <w:t>non-salmonid whole fish and fish products sources from New Zealand</w:t>
      </w:r>
      <w:r>
        <w:rPr>
          <w:b/>
        </w:rPr>
        <w:t xml:space="preserve"> </w:t>
      </w:r>
      <w:r w:rsidRPr="00B552F8">
        <w:t>into Australia for use as pet food and stockfeed</w:t>
      </w:r>
      <w:r>
        <w:t xml:space="preserve"> see Australia’s Biosecurity Import Conditions database (BICON): </w:t>
      </w:r>
      <w:r w:rsidRPr="00593611">
        <w:rPr>
          <w:rStyle w:val="Hyperlink"/>
        </w:rPr>
        <w:t>bicon.agriculture.gov.au/BiconWeb4.0</w:t>
      </w:r>
    </w:p>
    <w:p w14:paraId="61211905" w14:textId="1BC119F2" w:rsidR="00DF06E4" w:rsidRDefault="00DF06E4" w:rsidP="00DF06E4">
      <w:pPr>
        <w:tabs>
          <w:tab w:val="left" w:pos="567"/>
          <w:tab w:val="left" w:pos="1134"/>
          <w:tab w:val="left" w:pos="1701"/>
          <w:tab w:val="left" w:pos="2268"/>
          <w:tab w:val="left" w:pos="2835"/>
          <w:tab w:val="left" w:pos="3402"/>
          <w:tab w:val="left" w:pos="3969"/>
        </w:tabs>
        <w:spacing w:after="120"/>
      </w:pPr>
      <w:r w:rsidRPr="0032649B">
        <w:t xml:space="preserve">Manufactured aquatic animal feeds also require an import permit. Applications are assessed </w:t>
      </w:r>
      <w:proofErr w:type="gramStart"/>
      <w:r w:rsidRPr="0032649B">
        <w:t>on the basis of</w:t>
      </w:r>
      <w:proofErr w:type="gramEnd"/>
      <w:r w:rsidRPr="0032649B">
        <w:t xml:space="preserve"> the individual ingredients and how they have been processed.</w:t>
      </w:r>
    </w:p>
    <w:p w14:paraId="696822E2" w14:textId="79B914D3" w:rsidR="00DF06E4" w:rsidRPr="0032649B" w:rsidRDefault="00DF06E4" w:rsidP="00DF06E4">
      <w:pPr>
        <w:tabs>
          <w:tab w:val="left" w:pos="567"/>
          <w:tab w:val="left" w:pos="1134"/>
          <w:tab w:val="left" w:pos="1701"/>
          <w:tab w:val="left" w:pos="2268"/>
          <w:tab w:val="left" w:pos="2835"/>
          <w:tab w:val="left" w:pos="3402"/>
          <w:tab w:val="left" w:pos="3969"/>
        </w:tabs>
        <w:spacing w:after="120"/>
      </w:pPr>
      <w:r w:rsidRPr="0032649B">
        <w:t xml:space="preserve">If a fish product is present in a manufactured aquatic animal feed it must meet the same ingredient and heating requirements during the manufacturing process as for </w:t>
      </w:r>
      <w:r w:rsidR="0095545B">
        <w:t xml:space="preserve">those specified </w:t>
      </w:r>
      <w:r w:rsidRPr="0032649B">
        <w:t>fish products.</w:t>
      </w:r>
    </w:p>
    <w:p w14:paraId="6FC82A60" w14:textId="48256573" w:rsidR="00F40E27" w:rsidRDefault="00F40E27" w:rsidP="00F40E27">
      <w:pPr>
        <w:pStyle w:val="Heading4"/>
      </w:pPr>
      <w:r>
        <w:t>Import conditions</w:t>
      </w:r>
    </w:p>
    <w:p w14:paraId="452CDD8A" w14:textId="77777777" w:rsidR="00F372B0" w:rsidRPr="0032649B" w:rsidRDefault="00F372B0" w:rsidP="004C6775">
      <w:pPr>
        <w:pStyle w:val="Heading5"/>
      </w:pPr>
      <w:r w:rsidRPr="0032649B">
        <w:t>Fish products (excluding non-salmonid fish products sourced from New Zealand)</w:t>
      </w:r>
    </w:p>
    <w:p w14:paraId="653BC85A" w14:textId="3DF45260" w:rsidR="00F372B0" w:rsidRPr="0032649B" w:rsidRDefault="00F372B0" w:rsidP="00F372B0">
      <w:pPr>
        <w:spacing w:before="120" w:after="120"/>
        <w:rPr>
          <w:rFonts w:eastAsia="Calibri"/>
        </w:rPr>
      </w:pPr>
      <w:r w:rsidRPr="0032649B">
        <w:rPr>
          <w:rFonts w:eastAsia="Calibri"/>
        </w:rPr>
        <w:t xml:space="preserve">Fish products may be exported to Australia from a country with a listed CA </w:t>
      </w:r>
      <w:r w:rsidR="00D95048">
        <w:rPr>
          <w:rFonts w:eastAsia="Calibri"/>
        </w:rPr>
        <w:t>and</w:t>
      </w:r>
      <w:r w:rsidRPr="0032649B">
        <w:rPr>
          <w:rFonts w:eastAsia="Calibri"/>
        </w:rPr>
        <w:t xml:space="preserve"> must be accompanied by an Official Government Certificate.</w:t>
      </w:r>
      <w:r w:rsidRPr="0032649B" w:rsidDel="00ED4A47">
        <w:rPr>
          <w:rFonts w:eastAsia="Calibri"/>
        </w:rPr>
        <w:t xml:space="preserve"> </w:t>
      </w:r>
      <w:r w:rsidRPr="0032649B">
        <w:rPr>
          <w:rFonts w:eastAsia="Calibri"/>
        </w:rPr>
        <w:t>The Official Government Certificate must state that the fish product:</w:t>
      </w:r>
    </w:p>
    <w:p w14:paraId="41822100" w14:textId="77777777" w:rsidR="00F372B0" w:rsidRPr="0032649B" w:rsidRDefault="00F372B0" w:rsidP="003143A8">
      <w:pPr>
        <w:pStyle w:val="ListParagraph"/>
        <w:numPr>
          <w:ilvl w:val="0"/>
          <w:numId w:val="56"/>
        </w:numPr>
        <w:spacing w:after="0"/>
        <w:contextualSpacing/>
        <w:rPr>
          <w:rFonts w:eastAsia="Calibri"/>
        </w:rPr>
      </w:pPr>
      <w:r w:rsidRPr="0032649B">
        <w:rPr>
          <w:rFonts w:eastAsia="Calibri"/>
        </w:rPr>
        <w:t>has been treated to meet one of the following conditions:</w:t>
      </w:r>
    </w:p>
    <w:p w14:paraId="3838E3F4" w14:textId="73CC831B" w:rsidR="00F372B0" w:rsidRPr="0032649B" w:rsidRDefault="00F372B0" w:rsidP="003143A8">
      <w:pPr>
        <w:pStyle w:val="ListParagraph"/>
        <w:numPr>
          <w:ilvl w:val="0"/>
          <w:numId w:val="55"/>
        </w:numPr>
        <w:spacing w:after="60"/>
        <w:contextualSpacing/>
        <w:rPr>
          <w:rFonts w:eastAsia="Calibri" w:cs="Times New Roman"/>
        </w:rPr>
      </w:pPr>
      <w:r w:rsidRPr="0032649B">
        <w:rPr>
          <w:rFonts w:eastAsia="Calibri" w:cs="Times New Roman"/>
        </w:rPr>
        <w:t xml:space="preserve">moist heated at </w:t>
      </w:r>
      <w:r w:rsidR="006F7BFB">
        <w:rPr>
          <w:rFonts w:eastAsia="Calibri" w:cs="Times New Roman"/>
        </w:rPr>
        <w:t>a core tem</w:t>
      </w:r>
      <w:r w:rsidR="0095545B">
        <w:rPr>
          <w:rFonts w:eastAsia="Calibri" w:cs="Times New Roman"/>
        </w:rPr>
        <w:t xml:space="preserve">perature of </w:t>
      </w:r>
      <w:r w:rsidR="00213036">
        <w:rPr>
          <w:rFonts w:eastAsia="Calibri" w:cs="Times New Roman"/>
        </w:rPr>
        <w:t xml:space="preserve">at least </w:t>
      </w:r>
      <w:r w:rsidRPr="0032649B">
        <w:rPr>
          <w:rFonts w:eastAsia="Calibri" w:cs="Times New Roman"/>
        </w:rPr>
        <w:t>85°C for</w:t>
      </w:r>
      <w:r w:rsidR="00213036">
        <w:rPr>
          <w:rFonts w:eastAsia="Calibri" w:cs="Times New Roman"/>
        </w:rPr>
        <w:t xml:space="preserve"> at least</w:t>
      </w:r>
      <w:r w:rsidRPr="0032649B">
        <w:rPr>
          <w:rFonts w:eastAsia="Calibri" w:cs="Times New Roman"/>
        </w:rPr>
        <w:t xml:space="preserve"> 25 minutes, or at an equivalent time and temperature</w:t>
      </w:r>
      <w:r w:rsidR="00213036" w:rsidRPr="00213036">
        <w:t xml:space="preserve"> </w:t>
      </w:r>
      <w:r w:rsidR="00213036">
        <w:t xml:space="preserve">agreed by the </w:t>
      </w:r>
      <w:r w:rsidR="00213036" w:rsidRPr="009F1AE9">
        <w:t xml:space="preserve">Department of Agriculture, </w:t>
      </w:r>
      <w:proofErr w:type="gramStart"/>
      <w:r w:rsidR="00213036" w:rsidRPr="009F1AE9">
        <w:t>Water</w:t>
      </w:r>
      <w:proofErr w:type="gramEnd"/>
      <w:r w:rsidR="00213036" w:rsidRPr="009F1AE9">
        <w:t xml:space="preserve"> and the Environment</w:t>
      </w:r>
    </w:p>
    <w:p w14:paraId="798DD124" w14:textId="77777777" w:rsidR="00F372B0" w:rsidRPr="0032649B" w:rsidRDefault="00F372B0" w:rsidP="003143A8">
      <w:pPr>
        <w:pStyle w:val="ListParagraph"/>
        <w:numPr>
          <w:ilvl w:val="0"/>
          <w:numId w:val="57"/>
        </w:numPr>
        <w:spacing w:after="60"/>
        <w:contextualSpacing/>
        <w:rPr>
          <w:rFonts w:eastAsia="Calibri"/>
        </w:rPr>
      </w:pPr>
      <w:r w:rsidRPr="0032649B">
        <w:rPr>
          <w:rFonts w:eastAsia="Calibri"/>
        </w:rPr>
        <w:lastRenderedPageBreak/>
        <w:t>has been processed and packaged in premises approved by and under the control of the CA</w:t>
      </w:r>
    </w:p>
    <w:p w14:paraId="509D598C" w14:textId="77777777" w:rsidR="00F372B0" w:rsidRPr="0032649B" w:rsidRDefault="00F372B0" w:rsidP="003143A8">
      <w:pPr>
        <w:pStyle w:val="ListParagraph"/>
        <w:numPr>
          <w:ilvl w:val="0"/>
          <w:numId w:val="57"/>
        </w:numPr>
        <w:spacing w:after="0"/>
        <w:contextualSpacing/>
        <w:rPr>
          <w:rFonts w:eastAsia="Calibri" w:cs="Times New Roman"/>
        </w:rPr>
      </w:pPr>
      <w:r w:rsidRPr="0032649B">
        <w:rPr>
          <w:rFonts w:eastAsia="Calibri" w:cs="Times New Roman"/>
        </w:rPr>
        <w:t xml:space="preserve">has been manufactured from ingredients which have not been derived from terrestrial or avian animals. This includes egg products, dairy </w:t>
      </w:r>
      <w:proofErr w:type="gramStart"/>
      <w:r w:rsidRPr="0032649B">
        <w:rPr>
          <w:rFonts w:eastAsia="Calibri" w:cs="Times New Roman"/>
        </w:rPr>
        <w:t>products</w:t>
      </w:r>
      <w:proofErr w:type="gramEnd"/>
      <w:r w:rsidRPr="0032649B">
        <w:rPr>
          <w:rFonts w:eastAsia="Calibri" w:cs="Times New Roman"/>
        </w:rPr>
        <w:t xml:space="preserve"> and feathers.</w:t>
      </w:r>
    </w:p>
    <w:p w14:paraId="3F813949" w14:textId="77777777" w:rsidR="00F372B0" w:rsidRPr="0032649B" w:rsidRDefault="00F372B0" w:rsidP="00F372B0">
      <w:pPr>
        <w:spacing w:after="120"/>
        <w:ind w:left="720"/>
        <w:contextualSpacing/>
        <w:rPr>
          <w:rFonts w:eastAsia="Calibri"/>
        </w:rPr>
      </w:pPr>
    </w:p>
    <w:p w14:paraId="21B43170" w14:textId="2AF4D2A3" w:rsidR="00F372B0" w:rsidRPr="00F372B0" w:rsidRDefault="00F372B0" w:rsidP="00F372B0">
      <w:pPr>
        <w:spacing w:before="120" w:after="240"/>
        <w:rPr>
          <w:rFonts w:eastAsia="Calibri"/>
          <w:lang w:val="en"/>
        </w:rPr>
      </w:pPr>
      <w:r w:rsidRPr="0032649B">
        <w:rPr>
          <w:rFonts w:eastAsia="Calibri"/>
          <w:lang w:val="en"/>
        </w:rPr>
        <w:t>Each consignment must be packed in clean and new packaging and must be free of Biosecurity Risk Material (BRM) prior to arrival into Australian territory.</w:t>
      </w:r>
    </w:p>
    <w:p w14:paraId="5A26E38A" w14:textId="77777777" w:rsidR="00D9778B" w:rsidRPr="00D9778B" w:rsidRDefault="00D9778B" w:rsidP="00D9778B">
      <w:pPr>
        <w:pStyle w:val="Heading5"/>
      </w:pPr>
      <w:r w:rsidRPr="00D9778B">
        <w:t>Verification of import conditions</w:t>
      </w:r>
    </w:p>
    <w:p w14:paraId="20F4171A" w14:textId="77777777" w:rsidR="00D9778B" w:rsidRPr="00D9778B" w:rsidRDefault="00D9778B" w:rsidP="00D9778B">
      <w:pPr>
        <w:pStyle w:val="ListBullet"/>
        <w:numPr>
          <w:ilvl w:val="0"/>
          <w:numId w:val="0"/>
        </w:numPr>
      </w:pPr>
      <w:r w:rsidRPr="00D9778B">
        <w:t>On arrival in Australia consignments may be inspected to ensure freedom from BRM and samples may be taken to test for the presence of terrestrial animal or avian derived material.</w:t>
      </w:r>
    </w:p>
    <w:p w14:paraId="4F26FE7C" w14:textId="77777777" w:rsidR="00D9778B" w:rsidRPr="00D9778B" w:rsidRDefault="00D9778B" w:rsidP="00D9778B">
      <w:pPr>
        <w:pStyle w:val="ListBullet"/>
        <w:numPr>
          <w:ilvl w:val="0"/>
          <w:numId w:val="0"/>
        </w:numPr>
      </w:pPr>
      <w:r w:rsidRPr="00D9778B">
        <w:t xml:space="preserve">The department will examine the certificate on arrival. If there are reasonable grounds to suspect the certificate is fraudulent, the department will </w:t>
      </w:r>
      <w:proofErr w:type="gramStart"/>
      <w:r w:rsidRPr="00D9778B">
        <w:t>conduct an investigation</w:t>
      </w:r>
      <w:proofErr w:type="gramEnd"/>
      <w:r w:rsidRPr="00D9778B">
        <w:t>.</w:t>
      </w:r>
    </w:p>
    <w:p w14:paraId="25FDC42C" w14:textId="77777777" w:rsidR="00D9778B" w:rsidRPr="00D9778B" w:rsidRDefault="00D9778B" w:rsidP="00D9778B">
      <w:pPr>
        <w:pStyle w:val="ListBullet"/>
        <w:numPr>
          <w:ilvl w:val="0"/>
          <w:numId w:val="0"/>
        </w:numPr>
      </w:pPr>
      <w:r w:rsidRPr="00D9778B">
        <w:t>Fish and fish products may be inspected by the department to ensure compliance with biosecurity attestations.</w:t>
      </w:r>
    </w:p>
    <w:p w14:paraId="135B9FC2" w14:textId="77777777" w:rsidR="00D9778B" w:rsidRPr="00D9778B" w:rsidRDefault="00D9778B" w:rsidP="00D9778B">
      <w:pPr>
        <w:pStyle w:val="Heading5"/>
      </w:pPr>
      <w:r w:rsidRPr="00D9778B">
        <w:t>Review of processes</w:t>
      </w:r>
    </w:p>
    <w:p w14:paraId="7F04738A" w14:textId="3D0C8BCD" w:rsidR="00D9778B" w:rsidRDefault="00D9778B" w:rsidP="00D9778B">
      <w:pPr>
        <w:pStyle w:val="ListBullet"/>
        <w:numPr>
          <w:ilvl w:val="0"/>
          <w:numId w:val="0"/>
        </w:numPr>
      </w:pPr>
      <w:r w:rsidRPr="00D9778B">
        <w:t>The Director of Biosecurity may suspend, revoke and/or review these conditions as warranted in the light of new information and</w:t>
      </w:r>
      <w:proofErr w:type="gramStart"/>
      <w:r w:rsidRPr="00D9778B">
        <w:t>, in particular, significant</w:t>
      </w:r>
      <w:proofErr w:type="gramEnd"/>
      <w:r w:rsidRPr="00D9778B">
        <w:t xml:space="preserve"> changes in factors relating to biosecurity risk.</w:t>
      </w:r>
    </w:p>
    <w:p w14:paraId="5555FBC5" w14:textId="77777777" w:rsidR="00DF06E4" w:rsidRDefault="00DF06E4" w:rsidP="00DF06E4">
      <w:pPr>
        <w:pStyle w:val="ListBullet"/>
        <w:numPr>
          <w:ilvl w:val="0"/>
          <w:numId w:val="0"/>
        </w:numPr>
        <w:ind w:left="397" w:hanging="397"/>
      </w:pPr>
    </w:p>
    <w:p w14:paraId="19CC7B67" w14:textId="77777777" w:rsidR="004A0FA3" w:rsidRDefault="004A0FA3">
      <w:pPr>
        <w:sectPr w:rsidR="004A0FA3" w:rsidSect="004C6775">
          <w:pgSz w:w="11906" w:h="16838"/>
          <w:pgMar w:top="1418" w:right="1418" w:bottom="1418" w:left="1418" w:header="567" w:footer="283" w:gutter="0"/>
          <w:cols w:space="708"/>
          <w:docGrid w:linePitch="360"/>
        </w:sectPr>
      </w:pPr>
    </w:p>
    <w:p w14:paraId="186E0E5D" w14:textId="77777777" w:rsidR="00B45EDF" w:rsidRDefault="00DB07C5">
      <w:pPr>
        <w:pStyle w:val="Heading2"/>
        <w:numPr>
          <w:ilvl w:val="0"/>
          <w:numId w:val="0"/>
        </w:numPr>
      </w:pPr>
      <w:bookmarkStart w:id="28" w:name="_Toc71018577"/>
      <w:r>
        <w:lastRenderedPageBreak/>
        <w:t>References</w:t>
      </w:r>
      <w:bookmarkEnd w:id="28"/>
    </w:p>
    <w:p w14:paraId="4FE7A9D7" w14:textId="04DA168A" w:rsidR="00C23350" w:rsidRDefault="00C23350" w:rsidP="00DB07C5">
      <w:proofErr w:type="spellStart"/>
      <w:r w:rsidRPr="00C23350">
        <w:t>A</w:t>
      </w:r>
      <w:r>
        <w:t>hne</w:t>
      </w:r>
      <w:proofErr w:type="spellEnd"/>
      <w:r w:rsidRPr="00C23350">
        <w:t xml:space="preserve"> W</w:t>
      </w:r>
      <w:r>
        <w:t>.</w:t>
      </w:r>
      <w:r w:rsidRPr="00C23350">
        <w:t xml:space="preserve"> (1978) Isolation and characterisation of infectious pancreatic necrosis virus from pike (</w:t>
      </w:r>
      <w:r w:rsidRPr="00C23350">
        <w:rPr>
          <w:i/>
          <w:iCs/>
        </w:rPr>
        <w:t xml:space="preserve">Esox </w:t>
      </w:r>
      <w:proofErr w:type="spellStart"/>
      <w:r w:rsidRPr="00C23350">
        <w:rPr>
          <w:i/>
          <w:iCs/>
        </w:rPr>
        <w:t>lucius</w:t>
      </w:r>
      <w:proofErr w:type="spellEnd"/>
      <w:r w:rsidRPr="00C23350">
        <w:t xml:space="preserve">). Arch. </w:t>
      </w:r>
      <w:proofErr w:type="spellStart"/>
      <w:r w:rsidRPr="00C23350">
        <w:t>Virol</w:t>
      </w:r>
      <w:proofErr w:type="spellEnd"/>
      <w:r w:rsidRPr="00C23350">
        <w:t>. 58</w:t>
      </w:r>
      <w:r>
        <w:t>:</w:t>
      </w:r>
      <w:r w:rsidRPr="00C23350">
        <w:t xml:space="preserve"> 65–69. </w:t>
      </w:r>
    </w:p>
    <w:p w14:paraId="0C3C659F" w14:textId="77777777" w:rsidR="0003760D" w:rsidRPr="0003760D" w:rsidRDefault="0003760D" w:rsidP="0003760D">
      <w:r w:rsidRPr="0003760D">
        <w:t>AQIS (1999) Import Risk Analysis on Non-viable Salmonids and Non-salmonid Marine Finfish. Australian Quarantine and Inspection Service. Australian Government.</w:t>
      </w:r>
    </w:p>
    <w:p w14:paraId="5754F4DA" w14:textId="09D56B92" w:rsidR="00C23350" w:rsidRDefault="00C23350" w:rsidP="00C23350">
      <w:r w:rsidRPr="00C23350">
        <w:t>C</w:t>
      </w:r>
      <w:r>
        <w:t>hou</w:t>
      </w:r>
      <w:r w:rsidRPr="00C23350">
        <w:t xml:space="preserve"> HY, L</w:t>
      </w:r>
      <w:r>
        <w:t>o</w:t>
      </w:r>
      <w:r w:rsidRPr="00C23350">
        <w:t xml:space="preserve"> CF, T</w:t>
      </w:r>
      <w:r>
        <w:t>ung</w:t>
      </w:r>
      <w:r w:rsidRPr="00C23350">
        <w:t xml:space="preserve"> MC, W</w:t>
      </w:r>
      <w:r>
        <w:t>ang</w:t>
      </w:r>
      <w:r w:rsidRPr="00C23350">
        <w:t xml:space="preserve"> CH, F</w:t>
      </w:r>
      <w:r>
        <w:t>ukuda</w:t>
      </w:r>
      <w:r w:rsidRPr="00C23350">
        <w:t xml:space="preserve"> H</w:t>
      </w:r>
      <w:r>
        <w:t>,</w:t>
      </w:r>
      <w:r w:rsidRPr="00C23350">
        <w:t xml:space="preserve"> S</w:t>
      </w:r>
      <w:r>
        <w:t>anto</w:t>
      </w:r>
      <w:r w:rsidRPr="00C23350">
        <w:t xml:space="preserve"> T. (1993) The general characteristics of a </w:t>
      </w:r>
      <w:proofErr w:type="spellStart"/>
      <w:r w:rsidRPr="00C23350">
        <w:t>birnavirus</w:t>
      </w:r>
      <w:proofErr w:type="spellEnd"/>
      <w:r w:rsidRPr="00C23350">
        <w:t xml:space="preserve"> isolated from cultured loach (</w:t>
      </w:r>
      <w:proofErr w:type="spellStart"/>
      <w:r w:rsidRPr="00C23350">
        <w:rPr>
          <w:i/>
          <w:iCs/>
        </w:rPr>
        <w:t>Misgurnus</w:t>
      </w:r>
      <w:proofErr w:type="spellEnd"/>
      <w:r w:rsidRPr="00C23350">
        <w:rPr>
          <w:i/>
          <w:iCs/>
        </w:rPr>
        <w:t xml:space="preserve"> </w:t>
      </w:r>
      <w:proofErr w:type="spellStart"/>
      <w:r w:rsidRPr="00C23350">
        <w:rPr>
          <w:i/>
          <w:iCs/>
        </w:rPr>
        <w:t>anguillicaudatus</w:t>
      </w:r>
      <w:proofErr w:type="spellEnd"/>
      <w:r w:rsidRPr="00C23350">
        <w:t xml:space="preserve">) in Taiwan. Fish </w:t>
      </w:r>
      <w:proofErr w:type="spellStart"/>
      <w:r w:rsidRPr="00C23350">
        <w:t>Pathol</w:t>
      </w:r>
      <w:proofErr w:type="spellEnd"/>
      <w:r w:rsidRPr="00C23350">
        <w:t>.</w:t>
      </w:r>
      <w:r>
        <w:t xml:space="preserve"> </w:t>
      </w:r>
      <w:r w:rsidRPr="00C23350">
        <w:t>28</w:t>
      </w:r>
      <w:r>
        <w:t>:</w:t>
      </w:r>
      <w:r w:rsidRPr="00C23350">
        <w:t xml:space="preserve"> 1–7.</w:t>
      </w:r>
    </w:p>
    <w:p w14:paraId="41C6BCF4" w14:textId="4867F5FE" w:rsidR="00DB07C5" w:rsidRPr="00DB07C5" w:rsidRDefault="00DB07C5" w:rsidP="00DB07C5">
      <w:r w:rsidRPr="00DB07C5">
        <w:t>Commission Regulation (EU) 2015/9 of 6 January 2015, amending Regulation (EU) No 142/2011 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 Text with EEA relevance.</w:t>
      </w:r>
    </w:p>
    <w:p w14:paraId="004BBD14" w14:textId="4B67D031" w:rsidR="00DB07C5" w:rsidRPr="00DB07C5" w:rsidRDefault="00DB07C5" w:rsidP="00DB07C5">
      <w:proofErr w:type="spellStart"/>
      <w:r w:rsidRPr="00DB07C5">
        <w:t>Cutrin</w:t>
      </w:r>
      <w:proofErr w:type="spellEnd"/>
      <w:r w:rsidRPr="00DB07C5">
        <w:t xml:space="preserve"> JM, Lopez-Vazquez C, </w:t>
      </w:r>
      <w:proofErr w:type="spellStart"/>
      <w:r w:rsidRPr="00DB07C5">
        <w:t>Olveira</w:t>
      </w:r>
      <w:proofErr w:type="spellEnd"/>
      <w:r w:rsidRPr="00DB07C5">
        <w:t xml:space="preserve"> JG, Castro S, </w:t>
      </w:r>
      <w:proofErr w:type="spellStart"/>
      <w:r w:rsidRPr="00DB07C5">
        <w:t>Dopazo</w:t>
      </w:r>
      <w:proofErr w:type="spellEnd"/>
      <w:r w:rsidRPr="00DB07C5">
        <w:t xml:space="preserve"> CP, </w:t>
      </w:r>
      <w:proofErr w:type="spellStart"/>
      <w:r w:rsidRPr="00DB07C5">
        <w:t>Bandin</w:t>
      </w:r>
      <w:proofErr w:type="spellEnd"/>
      <w:r w:rsidRPr="00DB07C5">
        <w:t xml:space="preserve"> I</w:t>
      </w:r>
      <w:r w:rsidR="00094192">
        <w:t>.</w:t>
      </w:r>
      <w:r w:rsidRPr="00DB07C5">
        <w:t xml:space="preserve"> </w:t>
      </w:r>
      <w:r w:rsidR="00094192">
        <w:t>(</w:t>
      </w:r>
      <w:r w:rsidRPr="00DB07C5">
        <w:t>2005</w:t>
      </w:r>
      <w:r w:rsidR="00094192">
        <w:t>)</w:t>
      </w:r>
      <w:r w:rsidRPr="00DB07C5">
        <w:t xml:space="preserve"> Isolation in cell culture and detection by PCR-based technology of IPNV-like virus from leukocytes of carrier turbot, </w:t>
      </w:r>
      <w:r w:rsidRPr="00DB07C5">
        <w:rPr>
          <w:i/>
        </w:rPr>
        <w:t>Scophthalmus maximus</w:t>
      </w:r>
      <w:r w:rsidRPr="00DB07C5">
        <w:t xml:space="preserve"> (L). J. Fish Dis. 28: 713 – 722</w:t>
      </w:r>
      <w:r w:rsidR="00094192">
        <w:t>.</w:t>
      </w:r>
    </w:p>
    <w:p w14:paraId="428EED8A" w14:textId="2804028C" w:rsidR="00CC19C4" w:rsidRPr="00CC19C4" w:rsidRDefault="00CC19C4" w:rsidP="00DB07C5">
      <w:pPr>
        <w:rPr>
          <w:i/>
          <w:iCs/>
        </w:rPr>
      </w:pPr>
      <w:r w:rsidRPr="00CC19C4">
        <w:rPr>
          <w:bCs/>
        </w:rPr>
        <w:t xml:space="preserve">Delmas B, </w:t>
      </w:r>
      <w:proofErr w:type="spellStart"/>
      <w:r w:rsidRPr="00CC19C4">
        <w:rPr>
          <w:bCs/>
        </w:rPr>
        <w:t>Attoui</w:t>
      </w:r>
      <w:proofErr w:type="spellEnd"/>
      <w:r w:rsidRPr="00CC19C4">
        <w:rPr>
          <w:bCs/>
        </w:rPr>
        <w:t xml:space="preserve"> H, Ghosh S, Malik YS, Mundt E</w:t>
      </w:r>
      <w:r>
        <w:rPr>
          <w:bCs/>
        </w:rPr>
        <w:t>,</w:t>
      </w:r>
      <w:r w:rsidRPr="00CC19C4">
        <w:rPr>
          <w:bCs/>
        </w:rPr>
        <w:t xml:space="preserve"> </w:t>
      </w:r>
      <w:proofErr w:type="spellStart"/>
      <w:r w:rsidRPr="00CC19C4">
        <w:rPr>
          <w:bCs/>
        </w:rPr>
        <w:t>Vakharia</w:t>
      </w:r>
      <w:proofErr w:type="spellEnd"/>
      <w:r w:rsidRPr="00CC19C4">
        <w:rPr>
          <w:bCs/>
        </w:rPr>
        <w:t xml:space="preserve"> VN</w:t>
      </w:r>
      <w:r>
        <w:rPr>
          <w:bCs/>
        </w:rPr>
        <w:t>.</w:t>
      </w:r>
      <w:r w:rsidRPr="00CC19C4">
        <w:rPr>
          <w:bCs/>
        </w:rPr>
        <w:t xml:space="preserve"> </w:t>
      </w:r>
      <w:r>
        <w:rPr>
          <w:bCs/>
        </w:rPr>
        <w:t>(</w:t>
      </w:r>
      <w:r w:rsidRPr="00CC19C4">
        <w:rPr>
          <w:bCs/>
        </w:rPr>
        <w:t>2019</w:t>
      </w:r>
      <w:r>
        <w:rPr>
          <w:bCs/>
        </w:rPr>
        <w:t>)</w:t>
      </w:r>
      <w:r w:rsidRPr="00CC19C4">
        <w:rPr>
          <w:bCs/>
        </w:rPr>
        <w:t xml:space="preserve"> ICTV virus taxonomy profile: </w:t>
      </w:r>
      <w:proofErr w:type="spellStart"/>
      <w:r w:rsidRPr="00CC19C4">
        <w:rPr>
          <w:bCs/>
        </w:rPr>
        <w:t>Birnaviridae</w:t>
      </w:r>
      <w:proofErr w:type="spellEnd"/>
      <w:r>
        <w:rPr>
          <w:bCs/>
        </w:rPr>
        <w:t xml:space="preserve">, </w:t>
      </w:r>
      <w:r w:rsidRPr="00CC19C4">
        <w:t>Genus:</w:t>
      </w:r>
      <w:r w:rsidRPr="00CC19C4">
        <w:rPr>
          <w:i/>
          <w:iCs/>
        </w:rPr>
        <w:t xml:space="preserve"> </w:t>
      </w:r>
      <w:proofErr w:type="spellStart"/>
      <w:r w:rsidRPr="00CC19C4">
        <w:rPr>
          <w:i/>
          <w:iCs/>
        </w:rPr>
        <w:t>Aquabirnavirus</w:t>
      </w:r>
      <w:proofErr w:type="spellEnd"/>
      <w:r w:rsidRPr="00CC19C4">
        <w:rPr>
          <w:bCs/>
        </w:rPr>
        <w:t xml:space="preserve">. J. Gen. </w:t>
      </w:r>
      <w:proofErr w:type="spellStart"/>
      <w:r w:rsidRPr="00CC19C4">
        <w:rPr>
          <w:bCs/>
        </w:rPr>
        <w:t>Virol</w:t>
      </w:r>
      <w:proofErr w:type="spellEnd"/>
      <w:r w:rsidRPr="00CC19C4">
        <w:rPr>
          <w:bCs/>
        </w:rPr>
        <w:t>., 100(1)</w:t>
      </w:r>
      <w:r>
        <w:rPr>
          <w:bCs/>
        </w:rPr>
        <w:t xml:space="preserve">: </w:t>
      </w:r>
      <w:r w:rsidRPr="00CC19C4">
        <w:rPr>
          <w:bCs/>
        </w:rPr>
        <w:t>5-6.</w:t>
      </w:r>
    </w:p>
    <w:p w14:paraId="74A152F9" w14:textId="4AC6AAB0" w:rsidR="00DB07C5" w:rsidRPr="00DB07C5" w:rsidRDefault="00DB07C5" w:rsidP="00DB07C5">
      <w:r w:rsidRPr="00DB07C5">
        <w:rPr>
          <w:bCs/>
        </w:rPr>
        <w:t>Defra</w:t>
      </w:r>
      <w:r w:rsidRPr="00DB07C5">
        <w:rPr>
          <w:b/>
          <w:bCs/>
        </w:rPr>
        <w:t xml:space="preserve"> </w:t>
      </w:r>
      <w:r w:rsidRPr="00DB07C5">
        <w:rPr>
          <w:bCs/>
        </w:rPr>
        <w:t>(</w:t>
      </w:r>
      <w:r w:rsidRPr="00DB07C5">
        <w:t>2005) Inactivation of fish pathogens following ensiling or composting. Research project final report to United Kingdom Department for Environment, Food and Rural Affairs, London, United Kingdom.</w:t>
      </w:r>
    </w:p>
    <w:p w14:paraId="6BF908D3" w14:textId="7051D971" w:rsidR="00DB07C5" w:rsidRPr="00DB07C5" w:rsidRDefault="00DB07C5" w:rsidP="00DB07C5">
      <w:proofErr w:type="spellStart"/>
      <w:r w:rsidRPr="00DB07C5">
        <w:t>Dobos</w:t>
      </w:r>
      <w:proofErr w:type="spellEnd"/>
      <w:r w:rsidRPr="00DB07C5">
        <w:t xml:space="preserve"> </w:t>
      </w:r>
      <w:r w:rsidR="00357CC2">
        <w:t xml:space="preserve">P. </w:t>
      </w:r>
      <w:r w:rsidR="00094192">
        <w:t>(</w:t>
      </w:r>
      <w:r w:rsidRPr="00DB07C5">
        <w:t>1995</w:t>
      </w:r>
      <w:r w:rsidR="00094192">
        <w:t>)</w:t>
      </w:r>
      <w:r w:rsidRPr="00DB07C5">
        <w:t xml:space="preserve"> The molecular biology of infectious pancreatic necrosis virus (IPNV). Ann. Rev. Fish Dis. 5: 25-54</w:t>
      </w:r>
      <w:r w:rsidR="00094192">
        <w:t>.</w:t>
      </w:r>
    </w:p>
    <w:p w14:paraId="344EB7C2" w14:textId="3C5A4C5C" w:rsidR="00A7650C" w:rsidRDefault="00A7650C" w:rsidP="00DB07C5">
      <w:r w:rsidRPr="00A7650C">
        <w:t xml:space="preserve">Falk K, </w:t>
      </w:r>
      <w:proofErr w:type="spellStart"/>
      <w:r w:rsidRPr="00A7650C">
        <w:t>Namork</w:t>
      </w:r>
      <w:proofErr w:type="spellEnd"/>
      <w:r w:rsidRPr="00A7650C">
        <w:t xml:space="preserve"> E, </w:t>
      </w:r>
      <w:proofErr w:type="spellStart"/>
      <w:r w:rsidRPr="00A7650C">
        <w:t>Rimstad</w:t>
      </w:r>
      <w:proofErr w:type="spellEnd"/>
      <w:r w:rsidRPr="00A7650C">
        <w:t xml:space="preserve"> E, </w:t>
      </w:r>
      <w:proofErr w:type="spellStart"/>
      <w:r w:rsidRPr="00A7650C">
        <w:t>Mjaaland</w:t>
      </w:r>
      <w:proofErr w:type="spellEnd"/>
      <w:r w:rsidRPr="00A7650C">
        <w:t xml:space="preserve"> S</w:t>
      </w:r>
      <w:r>
        <w:t>,</w:t>
      </w:r>
      <w:r w:rsidRPr="00A7650C">
        <w:t xml:space="preserve"> </w:t>
      </w:r>
      <w:proofErr w:type="spellStart"/>
      <w:r w:rsidRPr="00A7650C">
        <w:t>Dannevig</w:t>
      </w:r>
      <w:proofErr w:type="spellEnd"/>
      <w:r w:rsidRPr="00A7650C">
        <w:t xml:space="preserve"> BH </w:t>
      </w:r>
      <w:r>
        <w:t>(</w:t>
      </w:r>
      <w:r w:rsidRPr="00A7650C">
        <w:t>1997</w:t>
      </w:r>
      <w:r>
        <w:t>)</w:t>
      </w:r>
      <w:r w:rsidRPr="00A7650C">
        <w:t xml:space="preserve">. Characterization of infectious salmon </w:t>
      </w:r>
      <w:proofErr w:type="spellStart"/>
      <w:r w:rsidRPr="00A7650C">
        <w:t>anemia</w:t>
      </w:r>
      <w:proofErr w:type="spellEnd"/>
      <w:r w:rsidRPr="00A7650C">
        <w:t xml:space="preserve"> virus, an </w:t>
      </w:r>
      <w:proofErr w:type="spellStart"/>
      <w:r w:rsidRPr="00A7650C">
        <w:t>orthomyxo</w:t>
      </w:r>
      <w:proofErr w:type="spellEnd"/>
      <w:r w:rsidRPr="00A7650C">
        <w:t>-like virus isolated from Atlantic salmon (</w:t>
      </w:r>
      <w:r w:rsidRPr="00A7650C">
        <w:rPr>
          <w:i/>
          <w:iCs/>
        </w:rPr>
        <w:t xml:space="preserve">Salmo </w:t>
      </w:r>
      <w:proofErr w:type="spellStart"/>
      <w:r w:rsidRPr="00A7650C">
        <w:rPr>
          <w:i/>
          <w:iCs/>
        </w:rPr>
        <w:t>salar</w:t>
      </w:r>
      <w:proofErr w:type="spellEnd"/>
      <w:r w:rsidRPr="00A7650C">
        <w:t xml:space="preserve"> L.). </w:t>
      </w:r>
      <w:r>
        <w:t>J</w:t>
      </w:r>
      <w:r w:rsidRPr="00A7650C">
        <w:t xml:space="preserve"> </w:t>
      </w:r>
      <w:proofErr w:type="spellStart"/>
      <w:r>
        <w:t>Virol</w:t>
      </w:r>
      <w:proofErr w:type="spellEnd"/>
      <w:r w:rsidR="00E93657">
        <w:t>.</w:t>
      </w:r>
      <w:r w:rsidRPr="00A7650C">
        <w:t> 71(12)</w:t>
      </w:r>
      <w:r>
        <w:t xml:space="preserve">: </w:t>
      </w:r>
      <w:r w:rsidRPr="00A7650C">
        <w:t xml:space="preserve">9016-9023. </w:t>
      </w:r>
    </w:p>
    <w:p w14:paraId="32E495B4" w14:textId="4DD660DC" w:rsidR="00DB07C5" w:rsidRPr="00DB07C5" w:rsidRDefault="00DB07C5" w:rsidP="00DB07C5">
      <w:r w:rsidRPr="00DB07C5">
        <w:t xml:space="preserve">García J, Urquhart K, Ellis AE. </w:t>
      </w:r>
      <w:r w:rsidR="00094192">
        <w:t>(</w:t>
      </w:r>
      <w:r w:rsidRPr="00DB07C5">
        <w:t>2006</w:t>
      </w:r>
      <w:r w:rsidR="00094192">
        <w:t>)</w:t>
      </w:r>
      <w:r w:rsidRPr="00DB07C5">
        <w:t xml:space="preserve"> Infectious pancreatic necrosis virus establishes an asymptomatic carrier state in kidney leucocytes from juvenile Atlantic cod </w:t>
      </w:r>
      <w:r w:rsidRPr="00DB07C5">
        <w:rPr>
          <w:i/>
        </w:rPr>
        <w:t xml:space="preserve">Gadus </w:t>
      </w:r>
      <w:proofErr w:type="spellStart"/>
      <w:r w:rsidRPr="00DB07C5">
        <w:rPr>
          <w:i/>
        </w:rPr>
        <w:t>morhua</w:t>
      </w:r>
      <w:proofErr w:type="spellEnd"/>
      <w:r w:rsidRPr="00DB07C5">
        <w:t xml:space="preserve"> L. J. Fish Dis. 29: 409 - 413.</w:t>
      </w:r>
    </w:p>
    <w:p w14:paraId="18474B13" w14:textId="3FDD68FC" w:rsidR="00E93657" w:rsidRDefault="00E93657" w:rsidP="00DB07C5">
      <w:r w:rsidRPr="00E93657">
        <w:t xml:space="preserve">Graham DA, Staples C, Wilson CJ, </w:t>
      </w:r>
      <w:proofErr w:type="spellStart"/>
      <w:r w:rsidRPr="00E93657">
        <w:t>Jewhurst</w:t>
      </w:r>
      <w:proofErr w:type="spellEnd"/>
      <w:r w:rsidRPr="00E93657">
        <w:t xml:space="preserve"> H, Cherry K, Gordon A</w:t>
      </w:r>
      <w:r>
        <w:t>,</w:t>
      </w:r>
      <w:r w:rsidRPr="00E93657">
        <w:t xml:space="preserve"> Rowley HM </w:t>
      </w:r>
      <w:r>
        <w:t>(</w:t>
      </w:r>
      <w:r w:rsidRPr="00E93657">
        <w:t>2007</w:t>
      </w:r>
      <w:r>
        <w:t>)</w:t>
      </w:r>
      <w:r w:rsidRPr="00E93657">
        <w:t>. Biophysical properties of salmonid alphaviruses: influence of temperature and pH on virus survival. J Fish Dis</w:t>
      </w:r>
      <w:r>
        <w:t>.</w:t>
      </w:r>
      <w:r w:rsidRPr="00E93657">
        <w:t> 30(9)</w:t>
      </w:r>
      <w:r>
        <w:t xml:space="preserve">: </w:t>
      </w:r>
      <w:r w:rsidRPr="00E93657">
        <w:t>533-543.</w:t>
      </w:r>
    </w:p>
    <w:p w14:paraId="064FED6A" w14:textId="4242D08B" w:rsidR="00DB07C5" w:rsidRPr="00DB07C5" w:rsidRDefault="00DB07C5" w:rsidP="00DB07C5">
      <w:r w:rsidRPr="00DB07C5">
        <w:t>Heras AI, Saint-Jean SR, Pérez-Prieto SI. (2010) Immunogenic and protective effects of an oral DNA vaccine against infectious pancreatic necrosis virus in fish. Fish Shellfish Immun. 28: 562 – 570.</w:t>
      </w:r>
    </w:p>
    <w:p w14:paraId="0A9B8D8B" w14:textId="1030D2A2" w:rsidR="00094192" w:rsidRDefault="00094192" w:rsidP="00DB07C5">
      <w:r w:rsidRPr="00094192">
        <w:lastRenderedPageBreak/>
        <w:t xml:space="preserve">Humphrey JD, Smith MT, </w:t>
      </w:r>
      <w:proofErr w:type="spellStart"/>
      <w:r w:rsidRPr="00094192">
        <w:t>Gudkovs</w:t>
      </w:r>
      <w:proofErr w:type="spellEnd"/>
      <w:r w:rsidRPr="00094192">
        <w:t xml:space="preserve"> N</w:t>
      </w:r>
      <w:r>
        <w:t xml:space="preserve">, </w:t>
      </w:r>
      <w:r w:rsidRPr="00094192">
        <w:t>Stone R</w:t>
      </w:r>
      <w:r>
        <w:t>.</w:t>
      </w:r>
      <w:r w:rsidRPr="00094192">
        <w:t xml:space="preserve"> (1991) Heat susceptibility of selected exotic viral and bacterial pathogens of fish. Report of a study undertaken for the Australian Quarantine and Inspection Service.</w:t>
      </w:r>
      <w:r w:rsidRPr="00094192">
        <w:rPr>
          <w:rFonts w:eastAsia="Calibri" w:cs="Times New Roman"/>
        </w:rPr>
        <w:t xml:space="preserve"> </w:t>
      </w:r>
      <w:r w:rsidRPr="00094192">
        <w:t>Australian Government.</w:t>
      </w:r>
    </w:p>
    <w:p w14:paraId="7521B2CB" w14:textId="2C9BD9D2" w:rsidR="00DF06E4" w:rsidRDefault="00DF06E4" w:rsidP="00DB07C5">
      <w:pPr>
        <w:rPr>
          <w:rFonts w:eastAsia="Calibri" w:cs="Times New Roman"/>
        </w:rPr>
      </w:pPr>
      <w:r w:rsidRPr="00DF06E4">
        <w:rPr>
          <w:rFonts w:eastAsia="Calibri" w:cs="Times New Roman"/>
        </w:rPr>
        <w:t>Jensen BB</w:t>
      </w:r>
      <w:r w:rsidR="003143A8">
        <w:rPr>
          <w:rFonts w:eastAsia="Calibri" w:cs="Times New Roman"/>
        </w:rPr>
        <w:t xml:space="preserve"> and </w:t>
      </w:r>
      <w:proofErr w:type="spellStart"/>
      <w:r w:rsidRPr="00DF06E4">
        <w:rPr>
          <w:rFonts w:eastAsia="Calibri" w:cs="Times New Roman"/>
        </w:rPr>
        <w:t>Kristoffersen</w:t>
      </w:r>
      <w:proofErr w:type="spellEnd"/>
      <w:r w:rsidRPr="00DF06E4">
        <w:rPr>
          <w:rFonts w:eastAsia="Calibri" w:cs="Times New Roman"/>
        </w:rPr>
        <w:t xml:space="preserve"> AB</w:t>
      </w:r>
      <w:r>
        <w:rPr>
          <w:rFonts w:eastAsia="Calibri" w:cs="Times New Roman"/>
        </w:rPr>
        <w:t>.</w:t>
      </w:r>
      <w:r w:rsidRPr="00DF06E4">
        <w:rPr>
          <w:rFonts w:eastAsia="Calibri" w:cs="Times New Roman"/>
        </w:rPr>
        <w:t xml:space="preserve"> </w:t>
      </w:r>
      <w:r>
        <w:rPr>
          <w:rFonts w:eastAsia="Calibri" w:cs="Times New Roman"/>
        </w:rPr>
        <w:t>(</w:t>
      </w:r>
      <w:r w:rsidRPr="00DF06E4">
        <w:rPr>
          <w:rFonts w:eastAsia="Calibri" w:cs="Times New Roman"/>
        </w:rPr>
        <w:t>2015</w:t>
      </w:r>
      <w:r>
        <w:rPr>
          <w:rFonts w:eastAsia="Calibri" w:cs="Times New Roman"/>
        </w:rPr>
        <w:t>)</w:t>
      </w:r>
      <w:r w:rsidRPr="00DF06E4">
        <w:rPr>
          <w:rFonts w:eastAsia="Calibri" w:cs="Times New Roman"/>
        </w:rPr>
        <w:t xml:space="preserve"> Risk factors for outbreaks of infectious pancreatic necrosis (IPN) and associated mortality in Norwegian salmonid farming. Dis</w:t>
      </w:r>
      <w:r>
        <w:rPr>
          <w:rFonts w:eastAsia="Calibri" w:cs="Times New Roman"/>
        </w:rPr>
        <w:t>.</w:t>
      </w:r>
      <w:r w:rsidRPr="00DF06E4">
        <w:rPr>
          <w:rFonts w:eastAsia="Calibri" w:cs="Times New Roman"/>
        </w:rPr>
        <w:t xml:space="preserve"> </w:t>
      </w:r>
      <w:proofErr w:type="spellStart"/>
      <w:r w:rsidRPr="00DF06E4">
        <w:rPr>
          <w:rFonts w:eastAsia="Calibri" w:cs="Times New Roman"/>
        </w:rPr>
        <w:t>Aquat</w:t>
      </w:r>
      <w:proofErr w:type="spellEnd"/>
      <w:r>
        <w:rPr>
          <w:rFonts w:eastAsia="Calibri" w:cs="Times New Roman"/>
        </w:rPr>
        <w:t>.</w:t>
      </w:r>
      <w:r w:rsidRPr="00DF06E4">
        <w:rPr>
          <w:rFonts w:eastAsia="Calibri" w:cs="Times New Roman"/>
        </w:rPr>
        <w:t xml:space="preserve"> Org</w:t>
      </w:r>
      <w:r>
        <w:rPr>
          <w:rFonts w:eastAsia="Calibri" w:cs="Times New Roman"/>
        </w:rPr>
        <w:t>.</w:t>
      </w:r>
      <w:r w:rsidRPr="00DF06E4">
        <w:rPr>
          <w:rFonts w:eastAsia="Calibri" w:cs="Times New Roman"/>
        </w:rPr>
        <w:t xml:space="preserve"> 114(3)</w:t>
      </w:r>
      <w:r>
        <w:rPr>
          <w:rFonts w:eastAsia="Calibri" w:cs="Times New Roman"/>
        </w:rPr>
        <w:t xml:space="preserve">: </w:t>
      </w:r>
      <w:r w:rsidRPr="00DF06E4">
        <w:rPr>
          <w:rFonts w:eastAsia="Calibri" w:cs="Times New Roman"/>
        </w:rPr>
        <w:t>177-187.</w:t>
      </w:r>
    </w:p>
    <w:p w14:paraId="69335FEB" w14:textId="6F227AC2" w:rsidR="001B3BE4" w:rsidRDefault="001B3BE4" w:rsidP="00DB07C5">
      <w:proofErr w:type="spellStart"/>
      <w:r>
        <w:t>J</w:t>
      </w:r>
      <w:r w:rsidRPr="001B3BE4">
        <w:t>ørgensen</w:t>
      </w:r>
      <w:proofErr w:type="spellEnd"/>
      <w:r w:rsidRPr="001B3BE4">
        <w:t xml:space="preserve"> PEV (1973). Inactivation of IPN and Egtved virus. </w:t>
      </w:r>
      <w:proofErr w:type="spellStart"/>
      <w:r w:rsidRPr="001B3BE4">
        <w:t>Riv</w:t>
      </w:r>
      <w:proofErr w:type="spellEnd"/>
      <w:r w:rsidRPr="001B3BE4">
        <w:t xml:space="preserve"> It </w:t>
      </w:r>
      <w:proofErr w:type="spellStart"/>
      <w:r w:rsidRPr="001B3BE4">
        <w:t>Piscic</w:t>
      </w:r>
      <w:proofErr w:type="spellEnd"/>
      <w:r w:rsidRPr="001B3BE4">
        <w:t xml:space="preserve"> </w:t>
      </w:r>
      <w:proofErr w:type="spellStart"/>
      <w:r w:rsidRPr="001B3BE4">
        <w:t>Ittiop</w:t>
      </w:r>
      <w:proofErr w:type="spellEnd"/>
      <w:r w:rsidRPr="001B3BE4">
        <w:t xml:space="preserve"> – A. VIII N. 4.</w:t>
      </w:r>
    </w:p>
    <w:p w14:paraId="510B964D" w14:textId="496956CA" w:rsidR="00DB07C5" w:rsidRPr="00DB07C5" w:rsidRDefault="00DB07C5" w:rsidP="00DB07C5">
      <w:r w:rsidRPr="00DB07C5">
        <w:t xml:space="preserve">King, Andrew MQ, Elliot Lefkowitz, Michael J. Adams, and Eric B. Carstens, eds. </w:t>
      </w:r>
      <w:r w:rsidR="00094192">
        <w:t>(</w:t>
      </w:r>
      <w:r w:rsidRPr="00DB07C5">
        <w:t>2011</w:t>
      </w:r>
      <w:r w:rsidR="00094192">
        <w:t>)</w:t>
      </w:r>
      <w:r w:rsidRPr="00DB07C5">
        <w:t xml:space="preserve"> Virus taxonomy: ninth report of the International Committee on Taxonomy of Viruses. Vol. 9. Elsevier.</w:t>
      </w:r>
    </w:p>
    <w:p w14:paraId="4491E15D" w14:textId="20D6ADCA" w:rsidR="00DB07C5" w:rsidRPr="00DB07C5" w:rsidRDefault="00DB07C5" w:rsidP="00DB07C5">
      <w:proofErr w:type="spellStart"/>
      <w:r w:rsidRPr="00DB07C5">
        <w:t>Mcallister</w:t>
      </w:r>
      <w:proofErr w:type="spellEnd"/>
      <w:r w:rsidRPr="00DB07C5">
        <w:t xml:space="preserve"> PE and Owens WJ</w:t>
      </w:r>
      <w:r w:rsidR="00094192">
        <w:t>.</w:t>
      </w:r>
      <w:r w:rsidRPr="00DB07C5">
        <w:t xml:space="preserve"> (1995) Assessment of the virulence of fish and molluscan isolates of infectious pancreatic necrosis virus for salmonid fish by challenge of brook trout, </w:t>
      </w:r>
      <w:r w:rsidRPr="00357CC2">
        <w:rPr>
          <w:i/>
          <w:iCs/>
        </w:rPr>
        <w:t xml:space="preserve">Salvelinus fontinalis </w:t>
      </w:r>
      <w:r w:rsidRPr="00DB07C5">
        <w:t>(</w:t>
      </w:r>
      <w:proofErr w:type="spellStart"/>
      <w:r w:rsidRPr="00DB07C5">
        <w:t>Mitchill</w:t>
      </w:r>
      <w:proofErr w:type="spellEnd"/>
      <w:r w:rsidRPr="00DB07C5">
        <w:t>). J. Fish. Dis. 18: 97–103.</w:t>
      </w:r>
    </w:p>
    <w:p w14:paraId="2B7F7B03" w14:textId="1CBEB45E" w:rsidR="00DB07C5" w:rsidRPr="00DB07C5" w:rsidRDefault="00DB07C5" w:rsidP="00DB07C5">
      <w:r w:rsidRPr="00DB07C5">
        <w:t>Mosley GA</w:t>
      </w:r>
      <w:r w:rsidR="00094192">
        <w:t>.</w:t>
      </w:r>
      <w:r w:rsidRPr="00DB07C5">
        <w:t xml:space="preserve"> </w:t>
      </w:r>
      <w:r w:rsidR="00094192">
        <w:t>(</w:t>
      </w:r>
      <w:r w:rsidRPr="00DB07C5">
        <w:t>2008</w:t>
      </w:r>
      <w:r w:rsidR="00094192">
        <w:t>)</w:t>
      </w:r>
      <w:r w:rsidRPr="00DB07C5">
        <w:t xml:space="preserve"> Sterility Assurance Level (SAL): the term and its definition </w:t>
      </w:r>
      <w:proofErr w:type="gramStart"/>
      <w:r w:rsidRPr="00DB07C5">
        <w:t>continues</w:t>
      </w:r>
      <w:proofErr w:type="gramEnd"/>
      <w:r w:rsidRPr="00DB07C5">
        <w:t xml:space="preserve"> to cause confusion in the industry. In Pharmaceutical Microbiology Forum Newsletter 14</w:t>
      </w:r>
      <w:r w:rsidR="00094192">
        <w:t>(</w:t>
      </w:r>
      <w:r w:rsidRPr="00DB07C5">
        <w:t>5</w:t>
      </w:r>
      <w:r w:rsidR="00094192">
        <w:t>):</w:t>
      </w:r>
      <w:r w:rsidRPr="00DB07C5">
        <w:t xml:space="preserve"> 2-15.</w:t>
      </w:r>
    </w:p>
    <w:p w14:paraId="549EEDD7" w14:textId="5D524164" w:rsidR="00DB07C5" w:rsidRPr="00DB07C5" w:rsidRDefault="00DB07C5" w:rsidP="00DB07C5">
      <w:r w:rsidRPr="00DB07C5">
        <w:t>Munro ES</w:t>
      </w:r>
      <w:r w:rsidR="00094192">
        <w:t xml:space="preserve"> and </w:t>
      </w:r>
      <w:proofErr w:type="spellStart"/>
      <w:r w:rsidRPr="00DB07C5">
        <w:t>Midtlyng</w:t>
      </w:r>
      <w:proofErr w:type="spellEnd"/>
      <w:r w:rsidRPr="00DB07C5">
        <w:t xml:space="preserve"> PJ</w:t>
      </w:r>
      <w:r w:rsidR="00094192">
        <w:t>.</w:t>
      </w:r>
      <w:r w:rsidRPr="00DB07C5">
        <w:t xml:space="preserve"> </w:t>
      </w:r>
      <w:r w:rsidR="00094192">
        <w:t>(</w:t>
      </w:r>
      <w:r w:rsidRPr="00DB07C5">
        <w:t>2011</w:t>
      </w:r>
      <w:r w:rsidR="00094192">
        <w:t>)</w:t>
      </w:r>
      <w:r w:rsidRPr="00DB07C5">
        <w:t xml:space="preserve"> Infectious Pancreatic Necrosis and Associated Aquatic </w:t>
      </w:r>
      <w:proofErr w:type="spellStart"/>
      <w:r w:rsidRPr="00DB07C5">
        <w:t>Birnaviruses</w:t>
      </w:r>
      <w:proofErr w:type="spellEnd"/>
      <w:r w:rsidRPr="00DB07C5">
        <w:t>. Fish Diseases and Disorders: Volume 3: Viral, Bacterial and Fungal Infections, 3, 1.</w:t>
      </w:r>
    </w:p>
    <w:p w14:paraId="5CFBEA03" w14:textId="0610A91A" w:rsidR="00902B43" w:rsidRDefault="00902B43" w:rsidP="00DB07C5">
      <w:r w:rsidRPr="00902B43">
        <w:t xml:space="preserve">Nakajima K and </w:t>
      </w:r>
      <w:proofErr w:type="spellStart"/>
      <w:r w:rsidRPr="00902B43">
        <w:t>Sorimachi</w:t>
      </w:r>
      <w:proofErr w:type="spellEnd"/>
      <w:r w:rsidRPr="00902B43">
        <w:t xml:space="preserve"> M (1994) Biological and </w:t>
      </w:r>
      <w:proofErr w:type="spellStart"/>
      <w:r w:rsidRPr="00902B43">
        <w:t>physico</w:t>
      </w:r>
      <w:proofErr w:type="spellEnd"/>
      <w:r w:rsidRPr="00902B43">
        <w:t xml:space="preserve">-chemical properties of the iridovirus isolated from cultured red sea bream, </w:t>
      </w:r>
      <w:proofErr w:type="spellStart"/>
      <w:r w:rsidRPr="00902B43">
        <w:rPr>
          <w:i/>
          <w:iCs/>
        </w:rPr>
        <w:t>Pagrus</w:t>
      </w:r>
      <w:proofErr w:type="spellEnd"/>
      <w:r w:rsidRPr="00902B43">
        <w:rPr>
          <w:i/>
          <w:iCs/>
        </w:rPr>
        <w:t xml:space="preserve"> major</w:t>
      </w:r>
      <w:r w:rsidRPr="00902B43">
        <w:t xml:space="preserve">. Fish </w:t>
      </w:r>
      <w:proofErr w:type="spellStart"/>
      <w:r w:rsidRPr="00902B43">
        <w:t>Pathol</w:t>
      </w:r>
      <w:proofErr w:type="spellEnd"/>
      <w:r w:rsidRPr="00902B43">
        <w:t>. 29: 2933.</w:t>
      </w:r>
    </w:p>
    <w:p w14:paraId="70174372" w14:textId="2213644F" w:rsidR="00DB07C5" w:rsidRPr="00DB07C5" w:rsidRDefault="00DB07C5" w:rsidP="00DB07C5">
      <w:r w:rsidRPr="00DB07C5">
        <w:t xml:space="preserve">Nygaard H, </w:t>
      </w:r>
      <w:proofErr w:type="spellStart"/>
      <w:r w:rsidRPr="00DB07C5">
        <w:t>Modahl</w:t>
      </w:r>
      <w:proofErr w:type="spellEnd"/>
      <w:r w:rsidRPr="00DB07C5">
        <w:t xml:space="preserve"> I, </w:t>
      </w:r>
      <w:proofErr w:type="spellStart"/>
      <w:r w:rsidRPr="00DB07C5">
        <w:t>Myrmel</w:t>
      </w:r>
      <w:proofErr w:type="spellEnd"/>
      <w:r w:rsidRPr="00DB07C5">
        <w:t xml:space="preserve"> M. (2012) Thermal </w:t>
      </w:r>
      <w:r w:rsidR="00357CC2">
        <w:t>i</w:t>
      </w:r>
      <w:r w:rsidRPr="00DB07C5">
        <w:t xml:space="preserve">nactivation of </w:t>
      </w:r>
      <w:r w:rsidR="00357CC2">
        <w:t>i</w:t>
      </w:r>
      <w:r w:rsidRPr="00DB07C5">
        <w:t xml:space="preserve">nfectious </w:t>
      </w:r>
      <w:r w:rsidR="00357CC2">
        <w:t>p</w:t>
      </w:r>
      <w:r w:rsidRPr="00DB07C5">
        <w:t xml:space="preserve">ancreatic </w:t>
      </w:r>
      <w:r w:rsidR="00357CC2">
        <w:t>n</w:t>
      </w:r>
      <w:r w:rsidRPr="00DB07C5">
        <w:t xml:space="preserve">ecrosis </w:t>
      </w:r>
      <w:r w:rsidR="00357CC2">
        <w:t>v</w:t>
      </w:r>
      <w:r w:rsidRPr="00DB07C5">
        <w:t xml:space="preserve">irus in a </w:t>
      </w:r>
      <w:r w:rsidR="00357CC2">
        <w:t>p</w:t>
      </w:r>
      <w:r w:rsidRPr="00DB07C5">
        <w:t>eptone-</w:t>
      </w:r>
      <w:r w:rsidR="00357CC2">
        <w:t>s</w:t>
      </w:r>
      <w:r w:rsidRPr="00DB07C5">
        <w:t xml:space="preserve">alt </w:t>
      </w:r>
      <w:r w:rsidR="00357CC2">
        <w:t>m</w:t>
      </w:r>
      <w:r w:rsidRPr="00DB07C5">
        <w:t xml:space="preserve">edium </w:t>
      </w:r>
      <w:r w:rsidR="00357CC2">
        <w:t>m</w:t>
      </w:r>
      <w:r w:rsidRPr="00DB07C5">
        <w:t xml:space="preserve">imicking the </w:t>
      </w:r>
      <w:r w:rsidR="00357CC2">
        <w:t>w</w:t>
      </w:r>
      <w:r w:rsidRPr="00DB07C5">
        <w:t>ater-</w:t>
      </w:r>
      <w:r w:rsidR="00357CC2">
        <w:t>s</w:t>
      </w:r>
      <w:r w:rsidRPr="00DB07C5">
        <w:t xml:space="preserve">oluble </w:t>
      </w:r>
      <w:r w:rsidR="00357CC2">
        <w:t>p</w:t>
      </w:r>
      <w:r w:rsidRPr="00DB07C5">
        <w:t xml:space="preserve">hase of </w:t>
      </w:r>
      <w:proofErr w:type="spellStart"/>
      <w:r w:rsidR="00357CC2">
        <w:t>h</w:t>
      </w:r>
      <w:r w:rsidRPr="00DB07C5">
        <w:t>ydrolyzed</w:t>
      </w:r>
      <w:proofErr w:type="spellEnd"/>
      <w:r w:rsidRPr="00DB07C5">
        <w:t xml:space="preserve"> </w:t>
      </w:r>
      <w:r w:rsidR="00357CC2">
        <w:t>f</w:t>
      </w:r>
      <w:r w:rsidRPr="00DB07C5">
        <w:t xml:space="preserve">ish </w:t>
      </w:r>
      <w:r w:rsidR="00357CC2">
        <w:t>b</w:t>
      </w:r>
      <w:r w:rsidRPr="00DB07C5">
        <w:t>y-</w:t>
      </w:r>
      <w:r w:rsidR="00357CC2">
        <w:t>p</w:t>
      </w:r>
      <w:r w:rsidRPr="00DB07C5">
        <w:t>roducts. App. Environ. Microbiol. 78 (7): 2446 – 2448.</w:t>
      </w:r>
    </w:p>
    <w:p w14:paraId="3CF5E950" w14:textId="77777777" w:rsidR="00094192" w:rsidRPr="00094192" w:rsidRDefault="00094192" w:rsidP="00094192">
      <w:r w:rsidRPr="00094192">
        <w:t xml:space="preserve">OIE (2000) Infectious pancreatic necrosis. Aquatic Animal Disease Cards, September. </w:t>
      </w:r>
    </w:p>
    <w:p w14:paraId="1BA98F79" w14:textId="067832A6" w:rsidR="009E7B00" w:rsidRDefault="009E7B00" w:rsidP="00C04D2D">
      <w:pPr>
        <w:rPr>
          <w:lang w:val="en-US"/>
        </w:rPr>
      </w:pPr>
      <w:r>
        <w:rPr>
          <w:lang w:val="en-US"/>
        </w:rPr>
        <w:t>OIE (200</w:t>
      </w:r>
      <w:r w:rsidR="00047E5A">
        <w:rPr>
          <w:lang w:val="en-US"/>
        </w:rPr>
        <w:t>9</w:t>
      </w:r>
      <w:r>
        <w:rPr>
          <w:lang w:val="en-US"/>
        </w:rPr>
        <w:t xml:space="preserve">) </w:t>
      </w:r>
      <w:r w:rsidRPr="009E7B00">
        <w:t>Infectious pancreatic necrosis</w:t>
      </w:r>
      <w:r w:rsidR="00C23350">
        <w:t xml:space="preserve">. </w:t>
      </w:r>
      <w:r w:rsidR="00C23350" w:rsidRPr="00C23350">
        <w:t xml:space="preserve">Chapter </w:t>
      </w:r>
      <w:r w:rsidR="00C23350">
        <w:t>2.1.15</w:t>
      </w:r>
      <w:r w:rsidR="00C23350" w:rsidRPr="00C23350">
        <w:t>. OIE Manual of Diagnostic Tests for Aquatic Animals</w:t>
      </w:r>
      <w:r w:rsidR="00D9778B">
        <w:t xml:space="preserve"> (Chapter has not been updated since 2003)</w:t>
      </w:r>
      <w:r w:rsidR="00C23350">
        <w:t>.</w:t>
      </w:r>
    </w:p>
    <w:p w14:paraId="09584175" w14:textId="6840DEA0" w:rsidR="00C04D2D" w:rsidRPr="00C04D2D" w:rsidRDefault="00DB07C5" w:rsidP="00C04D2D">
      <w:r w:rsidRPr="00DB07C5">
        <w:rPr>
          <w:lang w:val="en-US"/>
        </w:rPr>
        <w:t xml:space="preserve">OIE </w:t>
      </w:r>
      <w:r w:rsidR="00B67EC4">
        <w:rPr>
          <w:lang w:val="en-US"/>
        </w:rPr>
        <w:t>(</w:t>
      </w:r>
      <w:r w:rsidRPr="00DB07C5">
        <w:rPr>
          <w:lang w:val="en-US"/>
        </w:rPr>
        <w:t>2019</w:t>
      </w:r>
      <w:r w:rsidR="00B67EC4">
        <w:rPr>
          <w:lang w:val="en-US"/>
        </w:rPr>
        <w:t>)</w:t>
      </w:r>
      <w:r w:rsidRPr="00DB07C5">
        <w:rPr>
          <w:lang w:val="en-US"/>
        </w:rPr>
        <w:t xml:space="preserve"> ‘Aquatic Animal Health Code’, World </w:t>
      </w:r>
      <w:proofErr w:type="spellStart"/>
      <w:r w:rsidRPr="00DB07C5">
        <w:rPr>
          <w:lang w:val="en-US"/>
        </w:rPr>
        <w:t>Organisation</w:t>
      </w:r>
      <w:proofErr w:type="spellEnd"/>
      <w:r w:rsidRPr="00DB07C5">
        <w:rPr>
          <w:lang w:val="en-US"/>
        </w:rPr>
        <w:t xml:space="preserve"> for Animal Health, France, available at </w:t>
      </w:r>
      <w:hyperlink r:id="rId30" w:history="1">
        <w:r w:rsidRPr="00DB07C5">
          <w:rPr>
            <w:u w:val="single"/>
            <w:lang w:val="en-US"/>
          </w:rPr>
          <w:t>oie.int/standard-setting/aquatic-code/access-online/</w:t>
        </w:r>
      </w:hyperlink>
      <w:r w:rsidRPr="00DB07C5">
        <w:rPr>
          <w:lang w:val="en-US"/>
        </w:rPr>
        <w:t xml:space="preserve"> accessed </w:t>
      </w:r>
      <w:r w:rsidR="00B41E4E">
        <w:rPr>
          <w:lang w:val="en-US"/>
        </w:rPr>
        <w:t>20</w:t>
      </w:r>
      <w:r w:rsidRPr="00DB07C5">
        <w:rPr>
          <w:lang w:val="en-US"/>
        </w:rPr>
        <w:t xml:space="preserve"> September 2020</w:t>
      </w:r>
      <w:r w:rsidR="00C04D2D">
        <w:rPr>
          <w:lang w:val="en-US"/>
        </w:rPr>
        <w:t>.</w:t>
      </w:r>
    </w:p>
    <w:p w14:paraId="10B87E95" w14:textId="6D4937A1" w:rsidR="00C04D2D" w:rsidRPr="00C04D2D" w:rsidRDefault="00C04D2D" w:rsidP="00C04D2D">
      <w:r w:rsidRPr="00EA1CC4">
        <w:t xml:space="preserve">Regulation (EC) No 1069/2009 </w:t>
      </w:r>
      <w:r w:rsidRPr="00C04D2D">
        <w:t xml:space="preserve">of the </w:t>
      </w:r>
      <w:r>
        <w:t>E</w:t>
      </w:r>
      <w:r w:rsidRPr="00C04D2D">
        <w:t xml:space="preserve">uropean </w:t>
      </w:r>
      <w:r>
        <w:t>P</w:t>
      </w:r>
      <w:r w:rsidRPr="00C04D2D">
        <w:t xml:space="preserve">arliament and of the </w:t>
      </w:r>
      <w:r>
        <w:t>C</w:t>
      </w:r>
      <w:r w:rsidRPr="00C04D2D">
        <w:t xml:space="preserve">ouncil </w:t>
      </w:r>
      <w:r w:rsidRPr="00EA1CC4">
        <w:t>of 21 October 2009</w:t>
      </w:r>
      <w:r w:rsidRPr="00C04D2D">
        <w:t xml:space="preserve"> </w:t>
      </w:r>
      <w:r w:rsidRPr="00EA1CC4">
        <w:t>laying down health rules as regards animal by-products and derived products not intended for human consumption and repealing Regulation (EC) No 1774/2002 (Animal by-products Regulation).</w:t>
      </w:r>
    </w:p>
    <w:p w14:paraId="1A64BA0F" w14:textId="45AF2791" w:rsidR="00C23350" w:rsidRDefault="00C23350" w:rsidP="00C23350">
      <w:r w:rsidRPr="00C23350">
        <w:t>R</w:t>
      </w:r>
      <w:r>
        <w:t>eno</w:t>
      </w:r>
      <w:r w:rsidRPr="00C23350">
        <w:t xml:space="preserve"> PW</w:t>
      </w:r>
      <w:r>
        <w:t>.</w:t>
      </w:r>
      <w:r w:rsidRPr="00C23350">
        <w:t xml:space="preserve"> (1999) Infectious pancreatic necrosis virus and its virulence. In: Fish Diseases and Disorders. Vol. 3: Viral, Bacterial and</w:t>
      </w:r>
      <w:r>
        <w:t xml:space="preserve"> </w:t>
      </w:r>
      <w:r w:rsidRPr="00C23350">
        <w:t>Fungal Infections, Woo P.T.K. &amp; Bruno D.W., eds. CABI Publishing, Wallingford, UK, 1–55.</w:t>
      </w:r>
    </w:p>
    <w:p w14:paraId="13393135" w14:textId="14123AC1" w:rsidR="00DB07C5" w:rsidRPr="00DB07C5" w:rsidRDefault="00DB07C5" w:rsidP="00DB07C5">
      <w:r w:rsidRPr="00DB07C5">
        <w:t xml:space="preserve">Rodriguez S, Alonso M, Pérez Prieto S. </w:t>
      </w:r>
      <w:r w:rsidR="00094192">
        <w:t>(</w:t>
      </w:r>
      <w:r w:rsidRPr="00DB07C5">
        <w:t>2001</w:t>
      </w:r>
      <w:r w:rsidR="00094192">
        <w:t>)</w:t>
      </w:r>
      <w:r w:rsidRPr="00DB07C5">
        <w:t xml:space="preserve"> Detection of Infectious Pancreatic Necrosis Virus (IPNV) from leukocytes of carrier rainbow trout </w:t>
      </w:r>
      <w:r w:rsidRPr="00DB07C5">
        <w:rPr>
          <w:i/>
        </w:rPr>
        <w:t>Oncorhynchus mykiss</w:t>
      </w:r>
      <w:r w:rsidRPr="00DB07C5">
        <w:t xml:space="preserve">. Fish </w:t>
      </w:r>
      <w:proofErr w:type="spellStart"/>
      <w:r w:rsidRPr="00DB07C5">
        <w:t>Pathol</w:t>
      </w:r>
      <w:proofErr w:type="spellEnd"/>
      <w:r w:rsidRPr="00DB07C5">
        <w:t>. 36:</w:t>
      </w:r>
      <w:r w:rsidR="00357CC2">
        <w:t xml:space="preserve"> </w:t>
      </w:r>
      <w:r w:rsidRPr="00DB07C5">
        <w:t>139</w:t>
      </w:r>
      <w:r w:rsidR="00357CC2">
        <w:t>-</w:t>
      </w:r>
      <w:r w:rsidRPr="00DB07C5">
        <w:t>146.</w:t>
      </w:r>
    </w:p>
    <w:p w14:paraId="14217481" w14:textId="3F2473A2" w:rsidR="00DB07C5" w:rsidRPr="00DB07C5" w:rsidRDefault="00DB07C5" w:rsidP="00DB07C5">
      <w:proofErr w:type="spellStart"/>
      <w:r w:rsidRPr="00DB07C5">
        <w:rPr>
          <w:bCs/>
        </w:rPr>
        <w:lastRenderedPageBreak/>
        <w:t>Smail</w:t>
      </w:r>
      <w:proofErr w:type="spellEnd"/>
      <w:r w:rsidRPr="00DB07C5">
        <w:rPr>
          <w:bCs/>
        </w:rPr>
        <w:t xml:space="preserve"> DA, Huntly PJ, Munro ALS</w:t>
      </w:r>
      <w:r w:rsidR="00094192">
        <w:rPr>
          <w:bCs/>
        </w:rPr>
        <w:t>.</w:t>
      </w:r>
      <w:r w:rsidRPr="00DB07C5">
        <w:rPr>
          <w:bCs/>
        </w:rPr>
        <w:t xml:space="preserve"> </w:t>
      </w:r>
      <w:r w:rsidR="00094192">
        <w:rPr>
          <w:bCs/>
        </w:rPr>
        <w:t>(</w:t>
      </w:r>
      <w:r w:rsidRPr="00DB07C5">
        <w:t>1993</w:t>
      </w:r>
      <w:r w:rsidR="00094192">
        <w:t>)</w:t>
      </w:r>
      <w:r w:rsidRPr="00DB07C5">
        <w:t xml:space="preserve"> Fate of four fish pathogens after exposure to fish silage containing fish farm mortalities and conditions for inactivation of infectious pancreatic necrosis virus. Aquaculture </w:t>
      </w:r>
      <w:r w:rsidRPr="00DB07C5">
        <w:rPr>
          <w:bCs/>
        </w:rPr>
        <w:t>113</w:t>
      </w:r>
      <w:r w:rsidRPr="00DB07C5">
        <w:t>: 173– 181.</w:t>
      </w:r>
    </w:p>
    <w:p w14:paraId="627F3FD2" w14:textId="1F28F122" w:rsidR="00DB07C5" w:rsidRPr="00DB07C5" w:rsidRDefault="00DB07C5" w:rsidP="00DB07C5">
      <w:proofErr w:type="spellStart"/>
      <w:r w:rsidRPr="00DB07C5">
        <w:t>Smail</w:t>
      </w:r>
      <w:proofErr w:type="spellEnd"/>
      <w:r w:rsidRPr="00DB07C5">
        <w:t xml:space="preserve"> DA, McFarlane L, Bruno DW, McVicar AH</w:t>
      </w:r>
      <w:r w:rsidR="00094192">
        <w:t>.</w:t>
      </w:r>
      <w:r w:rsidRPr="00DB07C5">
        <w:t xml:space="preserve"> </w:t>
      </w:r>
      <w:r w:rsidR="00094192">
        <w:t>(</w:t>
      </w:r>
      <w:r w:rsidRPr="00DB07C5">
        <w:t>1995</w:t>
      </w:r>
      <w:r w:rsidR="00094192">
        <w:t>)</w:t>
      </w:r>
      <w:r w:rsidRPr="00DB07C5">
        <w:t xml:space="preserve"> The pathology of an IPN-</w:t>
      </w:r>
      <w:proofErr w:type="spellStart"/>
      <w:r w:rsidRPr="00DB07C5">
        <w:t>Sp</w:t>
      </w:r>
      <w:proofErr w:type="spellEnd"/>
      <w:r w:rsidRPr="00DB07C5">
        <w:t xml:space="preserve"> sub-type (</w:t>
      </w:r>
      <w:proofErr w:type="spellStart"/>
      <w:r w:rsidRPr="00DB07C5">
        <w:t>Sh</w:t>
      </w:r>
      <w:proofErr w:type="spellEnd"/>
      <w:r w:rsidRPr="00DB07C5">
        <w:t xml:space="preserve">) in farmed Atlantic salmon, </w:t>
      </w:r>
      <w:r w:rsidRPr="00DB07C5">
        <w:rPr>
          <w:i/>
        </w:rPr>
        <w:t xml:space="preserve">Salmo </w:t>
      </w:r>
      <w:proofErr w:type="spellStart"/>
      <w:r w:rsidRPr="00DB07C5">
        <w:rPr>
          <w:i/>
        </w:rPr>
        <w:t>salar</w:t>
      </w:r>
      <w:proofErr w:type="spellEnd"/>
      <w:r w:rsidRPr="00DB07C5">
        <w:t xml:space="preserve"> L., post-smolts in the Shetland Isles, Scotland. J. Fish Dis. 18: 631–638.</w:t>
      </w:r>
    </w:p>
    <w:p w14:paraId="46C035A7" w14:textId="3BF9FBDD" w:rsidR="00DB07C5" w:rsidRPr="00DB07C5" w:rsidRDefault="00DB07C5" w:rsidP="00DB07C5">
      <w:proofErr w:type="spellStart"/>
      <w:r w:rsidRPr="00DB07C5">
        <w:t>Smail</w:t>
      </w:r>
      <w:proofErr w:type="spellEnd"/>
      <w:r w:rsidRPr="00DB07C5">
        <w:t xml:space="preserve"> DA, Bain N, Bruno DW, King JA, Thompson F, </w:t>
      </w:r>
      <w:proofErr w:type="spellStart"/>
      <w:r w:rsidRPr="00DB07C5">
        <w:t>Pendrey</w:t>
      </w:r>
      <w:proofErr w:type="spellEnd"/>
      <w:r w:rsidRPr="00DB07C5">
        <w:t xml:space="preserve"> DJ, Morrice S, Cunningham CO</w:t>
      </w:r>
      <w:r w:rsidR="00094192">
        <w:t>.</w:t>
      </w:r>
      <w:r w:rsidRPr="00DB07C5">
        <w:t xml:space="preserve"> </w:t>
      </w:r>
      <w:r w:rsidR="00094192">
        <w:t>(</w:t>
      </w:r>
      <w:r w:rsidRPr="00DB07C5">
        <w:t>2006</w:t>
      </w:r>
      <w:r w:rsidR="00094192">
        <w:t>)</w:t>
      </w:r>
      <w:r w:rsidRPr="00DB07C5">
        <w:t xml:space="preserve"> Infectious pancreatic necrosis virus in Atlantic salmon </w:t>
      </w:r>
      <w:r w:rsidRPr="00DB07C5">
        <w:rPr>
          <w:i/>
          <w:iCs/>
        </w:rPr>
        <w:t xml:space="preserve">Salmo </w:t>
      </w:r>
      <w:proofErr w:type="spellStart"/>
      <w:r w:rsidRPr="00DB07C5">
        <w:rPr>
          <w:i/>
          <w:iCs/>
        </w:rPr>
        <w:t>salar</w:t>
      </w:r>
      <w:proofErr w:type="spellEnd"/>
      <w:r w:rsidRPr="00DB07C5">
        <w:rPr>
          <w:i/>
          <w:iCs/>
        </w:rPr>
        <w:t xml:space="preserve"> </w:t>
      </w:r>
      <w:r w:rsidRPr="00DB07C5">
        <w:t>L., post-smolts in the Shetland</w:t>
      </w:r>
      <w:r w:rsidR="00690BEC">
        <w:t xml:space="preserve"> </w:t>
      </w:r>
      <w:r w:rsidRPr="00DB07C5">
        <w:t xml:space="preserve">Isles, Scotland: virus identification, histopathology, </w:t>
      </w:r>
      <w:proofErr w:type="gramStart"/>
      <w:r w:rsidRPr="00DB07C5">
        <w:t>immunohistochemistry</w:t>
      </w:r>
      <w:proofErr w:type="gramEnd"/>
      <w:r w:rsidRPr="00DB07C5">
        <w:t xml:space="preserve"> and genetic comparison with Scottish mainland isolates. </w:t>
      </w:r>
      <w:r w:rsidRPr="00DB07C5">
        <w:rPr>
          <w:iCs/>
        </w:rPr>
        <w:t>J. Fish Dis.</w:t>
      </w:r>
      <w:r w:rsidRPr="00DB07C5">
        <w:rPr>
          <w:i/>
          <w:iCs/>
        </w:rPr>
        <w:t xml:space="preserve"> </w:t>
      </w:r>
      <w:r w:rsidRPr="00DB07C5">
        <w:t>29: 31</w:t>
      </w:r>
      <w:r w:rsidRPr="00DB07C5">
        <w:rPr>
          <w:rFonts w:hint="eastAsia"/>
        </w:rPr>
        <w:t>–</w:t>
      </w:r>
      <w:r w:rsidRPr="00DB07C5">
        <w:t>41.</w:t>
      </w:r>
    </w:p>
    <w:p w14:paraId="5F9EA45A" w14:textId="635E157D" w:rsidR="009E7B00" w:rsidRDefault="009E7B00" w:rsidP="00DB07C5">
      <w:pPr>
        <w:rPr>
          <w:lang w:val="en-US"/>
        </w:rPr>
      </w:pPr>
      <w:r w:rsidRPr="009E7B00">
        <w:t>Sommer AI, Strand MA, Rasmussen E</w:t>
      </w:r>
      <w:r>
        <w:t>,</w:t>
      </w:r>
      <w:r w:rsidRPr="009E7B00">
        <w:t xml:space="preserve"> Mennen S</w:t>
      </w:r>
      <w:r>
        <w:t>.</w:t>
      </w:r>
      <w:r w:rsidRPr="009E7B00">
        <w:t xml:space="preserve"> </w:t>
      </w:r>
      <w:r>
        <w:t>(</w:t>
      </w:r>
      <w:r w:rsidRPr="009E7B00">
        <w:t>2004</w:t>
      </w:r>
      <w:r>
        <w:t>)</w:t>
      </w:r>
      <w:r w:rsidRPr="009E7B00">
        <w:t xml:space="preserve"> Susceptibility of spotted wolffish </w:t>
      </w:r>
      <w:proofErr w:type="spellStart"/>
      <w:r w:rsidRPr="009E7B00">
        <w:rPr>
          <w:i/>
          <w:iCs/>
        </w:rPr>
        <w:t>Anarhichas</w:t>
      </w:r>
      <w:proofErr w:type="spellEnd"/>
      <w:r w:rsidRPr="009E7B00">
        <w:rPr>
          <w:i/>
          <w:iCs/>
        </w:rPr>
        <w:t xml:space="preserve"> minor</w:t>
      </w:r>
      <w:r w:rsidRPr="009E7B00">
        <w:t xml:space="preserve"> to experimental infection with </w:t>
      </w:r>
      <w:proofErr w:type="spellStart"/>
      <w:r w:rsidRPr="009E7B00">
        <w:t>nodavirus</w:t>
      </w:r>
      <w:proofErr w:type="spellEnd"/>
      <w:r w:rsidRPr="009E7B00">
        <w:t xml:space="preserve"> and infectious pancreatic necrosis virus. Dis </w:t>
      </w:r>
      <w:proofErr w:type="spellStart"/>
      <w:r>
        <w:t>A</w:t>
      </w:r>
      <w:r w:rsidRPr="009E7B00">
        <w:t>quat</w:t>
      </w:r>
      <w:proofErr w:type="spellEnd"/>
      <w:r>
        <w:t>.</w:t>
      </w:r>
      <w:r w:rsidRPr="009E7B00">
        <w:t xml:space="preserve"> </w:t>
      </w:r>
      <w:r>
        <w:t>O</w:t>
      </w:r>
      <w:r w:rsidRPr="009E7B00">
        <w:t>rg</w:t>
      </w:r>
      <w:r>
        <w:t>.</w:t>
      </w:r>
      <w:r w:rsidRPr="009E7B00">
        <w:t xml:space="preserve"> 59(2)</w:t>
      </w:r>
      <w:r>
        <w:t xml:space="preserve">: </w:t>
      </w:r>
      <w:r w:rsidRPr="009E7B00">
        <w:t>101-108.</w:t>
      </w:r>
    </w:p>
    <w:p w14:paraId="56D723C1" w14:textId="3E51B522" w:rsidR="00DB07C5" w:rsidRPr="00DB07C5" w:rsidRDefault="00DB07C5" w:rsidP="00DB07C5">
      <w:pPr>
        <w:rPr>
          <w:lang w:val="en-US"/>
        </w:rPr>
      </w:pPr>
      <w:r w:rsidRPr="00DB07C5">
        <w:rPr>
          <w:lang w:val="en-US"/>
        </w:rPr>
        <w:t xml:space="preserve">Standards Australia 2005. </w:t>
      </w:r>
      <w:r w:rsidRPr="00DB07C5">
        <w:rPr>
          <w:i/>
          <w:lang w:val="en-US"/>
        </w:rPr>
        <w:t>Risk management guidelines: companion to AS/NZS 4360:2004</w:t>
      </w:r>
      <w:r w:rsidRPr="00DB07C5">
        <w:rPr>
          <w:lang w:val="en-US"/>
        </w:rPr>
        <w:t xml:space="preserve">, Standards Australia International and Standards New Zealand, </w:t>
      </w:r>
      <w:proofErr w:type="gramStart"/>
      <w:r w:rsidRPr="00DB07C5">
        <w:rPr>
          <w:lang w:val="en-US"/>
        </w:rPr>
        <w:t>Sydney</w:t>
      </w:r>
      <w:proofErr w:type="gramEnd"/>
      <w:r w:rsidRPr="00DB07C5">
        <w:rPr>
          <w:lang w:val="en-US"/>
        </w:rPr>
        <w:t xml:space="preserve"> and Wellington.</w:t>
      </w:r>
    </w:p>
    <w:p w14:paraId="16838605" w14:textId="393ADC03" w:rsidR="00DB07C5" w:rsidRPr="00DB07C5" w:rsidRDefault="00DB07C5" w:rsidP="00DB07C5">
      <w:proofErr w:type="spellStart"/>
      <w:r w:rsidRPr="00DB07C5">
        <w:t>Taksdal</w:t>
      </w:r>
      <w:proofErr w:type="spellEnd"/>
      <w:r w:rsidRPr="00DB07C5">
        <w:t xml:space="preserve"> T</w:t>
      </w:r>
      <w:r w:rsidR="00094192">
        <w:t xml:space="preserve"> and</w:t>
      </w:r>
      <w:r w:rsidRPr="00DB07C5">
        <w:t xml:space="preserve"> </w:t>
      </w:r>
      <w:proofErr w:type="spellStart"/>
      <w:r w:rsidRPr="00DB07C5">
        <w:t>Thorud</w:t>
      </w:r>
      <w:proofErr w:type="spellEnd"/>
      <w:r w:rsidRPr="00DB07C5">
        <w:t xml:space="preserve"> K</w:t>
      </w:r>
      <w:r w:rsidR="00094192">
        <w:t>.</w:t>
      </w:r>
      <w:r w:rsidRPr="00DB07C5">
        <w:t xml:space="preserve"> </w:t>
      </w:r>
      <w:r w:rsidR="00094192">
        <w:t>(</w:t>
      </w:r>
      <w:r w:rsidRPr="00DB07C5">
        <w:t>1999</w:t>
      </w:r>
      <w:r w:rsidR="00094192">
        <w:t>)</w:t>
      </w:r>
      <w:r w:rsidRPr="00DB07C5">
        <w:t xml:space="preserve"> Evaluation of a rapid co</w:t>
      </w:r>
      <w:r w:rsidR="00690BEC">
        <w:t xml:space="preserve"> </w:t>
      </w:r>
      <w:r w:rsidRPr="00DB07C5">
        <w:t>agglutination (COA) test for the detection of infectious</w:t>
      </w:r>
      <w:r w:rsidR="00690BEC">
        <w:t xml:space="preserve"> </w:t>
      </w:r>
      <w:r w:rsidRPr="00DB07C5">
        <w:t>pancreatic necrosis virus (IPNV) in tissue samples of Atlantic salmon (</w:t>
      </w:r>
      <w:r w:rsidRPr="00DB07C5">
        <w:rPr>
          <w:i/>
          <w:iCs/>
        </w:rPr>
        <w:t xml:space="preserve">Salmo </w:t>
      </w:r>
      <w:proofErr w:type="spellStart"/>
      <w:r w:rsidRPr="00DB07C5">
        <w:rPr>
          <w:i/>
          <w:iCs/>
        </w:rPr>
        <w:t>salar</w:t>
      </w:r>
      <w:proofErr w:type="spellEnd"/>
      <w:r w:rsidRPr="00DB07C5">
        <w:t>). J. Fish Dis. 22: 117</w:t>
      </w:r>
      <w:r w:rsidRPr="00DB07C5">
        <w:rPr>
          <w:rFonts w:hint="eastAsia"/>
        </w:rPr>
        <w:t>–</w:t>
      </w:r>
      <w:r w:rsidRPr="00DB07C5">
        <w:t>124.</w:t>
      </w:r>
    </w:p>
    <w:p w14:paraId="4EB93EAA" w14:textId="6FF97485" w:rsidR="00DB07C5" w:rsidRPr="00DB07C5" w:rsidRDefault="00DB07C5" w:rsidP="00DB07C5">
      <w:r w:rsidRPr="00DB07C5">
        <w:t xml:space="preserve">Tapia D, </w:t>
      </w:r>
      <w:proofErr w:type="spellStart"/>
      <w:r w:rsidRPr="00DB07C5">
        <w:t>Eissler</w:t>
      </w:r>
      <w:proofErr w:type="spellEnd"/>
      <w:r w:rsidRPr="00DB07C5">
        <w:t xml:space="preserve"> Y, Espinoza JC</w:t>
      </w:r>
      <w:r w:rsidR="00094192">
        <w:t xml:space="preserve">, </w:t>
      </w:r>
      <w:proofErr w:type="spellStart"/>
      <w:r w:rsidRPr="00DB07C5">
        <w:t>Kuznar</w:t>
      </w:r>
      <w:proofErr w:type="spellEnd"/>
      <w:r w:rsidRPr="00DB07C5">
        <w:t xml:space="preserve"> J</w:t>
      </w:r>
      <w:r w:rsidR="00094192">
        <w:t>.</w:t>
      </w:r>
      <w:r w:rsidRPr="00DB07C5">
        <w:t xml:space="preserve"> (2017) Inter-laboratory ring trial to evaluate real-time reverse transcription polymerase chain reaction methods used for detection of infectious pancreatic necrosis virus in Chile. </w:t>
      </w:r>
      <w:r w:rsidRPr="00094192">
        <w:t xml:space="preserve">Electron. J. </w:t>
      </w:r>
      <w:proofErr w:type="spellStart"/>
      <w:r w:rsidRPr="00094192">
        <w:t>Biotechnol</w:t>
      </w:r>
      <w:proofErr w:type="spellEnd"/>
      <w:r w:rsidRPr="00094192">
        <w:t>. 28</w:t>
      </w:r>
      <w:r w:rsidR="00094192">
        <w:t xml:space="preserve">: </w:t>
      </w:r>
      <w:r w:rsidRPr="00DB07C5">
        <w:t>20-26.</w:t>
      </w:r>
    </w:p>
    <w:p w14:paraId="33A5D939" w14:textId="355F860F" w:rsidR="00DB07C5" w:rsidRPr="00DB07C5" w:rsidRDefault="00DB07C5" w:rsidP="00DB07C5">
      <w:proofErr w:type="spellStart"/>
      <w:r w:rsidRPr="00DB07C5">
        <w:t>Toranzo</w:t>
      </w:r>
      <w:proofErr w:type="spellEnd"/>
      <w:r w:rsidRPr="00DB07C5">
        <w:t xml:space="preserve"> AE</w:t>
      </w:r>
      <w:r w:rsidR="00094192">
        <w:t xml:space="preserve"> and</w:t>
      </w:r>
      <w:r w:rsidRPr="00DB07C5">
        <w:t xml:space="preserve"> Hetrick FM</w:t>
      </w:r>
      <w:r w:rsidR="00094192">
        <w:t>.</w:t>
      </w:r>
      <w:r w:rsidRPr="00DB07C5">
        <w:t xml:space="preserve"> </w:t>
      </w:r>
      <w:r w:rsidR="00094192">
        <w:t>(</w:t>
      </w:r>
      <w:r w:rsidRPr="00DB07C5">
        <w:t>1982</w:t>
      </w:r>
      <w:r w:rsidR="00094192">
        <w:t>)</w:t>
      </w:r>
      <w:r w:rsidRPr="00DB07C5">
        <w:t xml:space="preserve"> Comparative stability of two salmonid viruses and poliovirus in fresh, </w:t>
      </w:r>
      <w:proofErr w:type="gramStart"/>
      <w:r w:rsidRPr="00DB07C5">
        <w:t>estuarine</w:t>
      </w:r>
      <w:proofErr w:type="gramEnd"/>
      <w:r w:rsidRPr="00DB07C5">
        <w:t xml:space="preserve"> and marine waters. J. Fish Dis. 5: 223–231.</w:t>
      </w:r>
    </w:p>
    <w:p w14:paraId="7C8B34E6" w14:textId="42CF49C4" w:rsidR="00DB07C5" w:rsidRPr="00DB07C5" w:rsidRDefault="00DB07C5" w:rsidP="00DB07C5">
      <w:r w:rsidRPr="00DB07C5">
        <w:t xml:space="preserve">Urquhart K, Murray AG, Gregory A, O’Dea M, Munro LA, </w:t>
      </w:r>
      <w:proofErr w:type="spellStart"/>
      <w:r w:rsidRPr="00DB07C5">
        <w:t>Smail</w:t>
      </w:r>
      <w:proofErr w:type="spellEnd"/>
      <w:r w:rsidRPr="00DB07C5">
        <w:t xml:space="preserve"> DA, Shanks AM, </w:t>
      </w:r>
      <w:proofErr w:type="spellStart"/>
      <w:r w:rsidRPr="00DB07C5">
        <w:t>Raynard</w:t>
      </w:r>
      <w:proofErr w:type="spellEnd"/>
      <w:r w:rsidRPr="00DB07C5">
        <w:t xml:space="preserve"> RS</w:t>
      </w:r>
      <w:r w:rsidR="00094192">
        <w:t>.</w:t>
      </w:r>
      <w:r w:rsidRPr="00DB07C5">
        <w:t xml:space="preserve"> </w:t>
      </w:r>
      <w:r w:rsidR="00094192">
        <w:t>(</w:t>
      </w:r>
      <w:r w:rsidRPr="00DB07C5">
        <w:t>2008</w:t>
      </w:r>
      <w:r w:rsidR="00094192">
        <w:t>)</w:t>
      </w:r>
      <w:r w:rsidRPr="00DB07C5">
        <w:t xml:space="preserve"> Estimation of infectious dose and viral shedding rates for infectious pancreatic necrosis virus in Atlantic salmon, </w:t>
      </w:r>
      <w:r w:rsidRPr="00DB07C5">
        <w:rPr>
          <w:i/>
          <w:iCs/>
        </w:rPr>
        <w:t xml:space="preserve">Salmo </w:t>
      </w:r>
      <w:proofErr w:type="spellStart"/>
      <w:r w:rsidRPr="00DB07C5">
        <w:rPr>
          <w:i/>
          <w:iCs/>
        </w:rPr>
        <w:t>salar</w:t>
      </w:r>
      <w:proofErr w:type="spellEnd"/>
      <w:r w:rsidRPr="00DB07C5">
        <w:rPr>
          <w:i/>
          <w:iCs/>
        </w:rPr>
        <w:t xml:space="preserve"> </w:t>
      </w:r>
      <w:r w:rsidRPr="00DB07C5">
        <w:t xml:space="preserve">L., post-smolts. </w:t>
      </w:r>
      <w:r w:rsidRPr="00DB07C5">
        <w:rPr>
          <w:iCs/>
        </w:rPr>
        <w:t>J. Fish Dis.</w:t>
      </w:r>
      <w:r w:rsidRPr="00DB07C5">
        <w:rPr>
          <w:i/>
          <w:iCs/>
        </w:rPr>
        <w:t xml:space="preserve"> </w:t>
      </w:r>
      <w:r w:rsidRPr="00DB07C5">
        <w:t>31: 879</w:t>
      </w:r>
      <w:r w:rsidRPr="00DB07C5">
        <w:rPr>
          <w:rFonts w:hint="eastAsia"/>
        </w:rPr>
        <w:t>–</w:t>
      </w:r>
      <w:r w:rsidRPr="00DB07C5">
        <w:t>887.</w:t>
      </w:r>
    </w:p>
    <w:p w14:paraId="6F022B81" w14:textId="2F298551" w:rsidR="00094192" w:rsidRPr="00094192" w:rsidRDefault="00094192" w:rsidP="00094192">
      <w:r w:rsidRPr="00094192">
        <w:t>Whipple MJ</w:t>
      </w:r>
      <w:r>
        <w:t xml:space="preserve"> and</w:t>
      </w:r>
      <w:r w:rsidRPr="00094192">
        <w:t xml:space="preserve"> </w:t>
      </w:r>
      <w:proofErr w:type="spellStart"/>
      <w:r w:rsidRPr="00094192">
        <w:t>Rohovec</w:t>
      </w:r>
      <w:proofErr w:type="spellEnd"/>
      <w:r w:rsidRPr="00094192">
        <w:t xml:space="preserve"> JS</w:t>
      </w:r>
      <w:r>
        <w:t>.</w:t>
      </w:r>
      <w:r w:rsidRPr="00094192">
        <w:t xml:space="preserve"> (1994) The effect of heat and low pH on selected viral and bacterial fish pathogens. Aquaculture 123: 179 – 189.</w:t>
      </w:r>
    </w:p>
    <w:p w14:paraId="626D15D1" w14:textId="1972A1A5" w:rsidR="004A0FA3" w:rsidRDefault="00DB07C5">
      <w:r w:rsidRPr="00DB07C5">
        <w:t xml:space="preserve">Wolf K. </w:t>
      </w:r>
      <w:r w:rsidR="00094192">
        <w:t>(</w:t>
      </w:r>
      <w:r w:rsidRPr="00DB07C5">
        <w:t>1988</w:t>
      </w:r>
      <w:r w:rsidR="00094192">
        <w:t>)</w:t>
      </w:r>
      <w:r w:rsidRPr="00DB07C5">
        <w:t xml:space="preserve"> </w:t>
      </w:r>
      <w:r w:rsidRPr="00DB07C5">
        <w:rPr>
          <w:i/>
          <w:iCs/>
        </w:rPr>
        <w:t xml:space="preserve">Fish Viruses and Fish Virus Diseases. </w:t>
      </w:r>
      <w:r w:rsidRPr="00DB07C5">
        <w:t>Cornell University Press, Ithaca, New York.</w:t>
      </w:r>
      <w:r w:rsidRPr="00DB07C5">
        <w:rPr>
          <w:b/>
        </w:rPr>
        <w:t xml:space="preserve"> </w:t>
      </w:r>
    </w:p>
    <w:p w14:paraId="174DB5F8" w14:textId="653FFA2A" w:rsidR="00DB07C5" w:rsidRDefault="00DB07C5">
      <w:pPr>
        <w:sectPr w:rsidR="00DB07C5">
          <w:pgSz w:w="11906" w:h="16838"/>
          <w:pgMar w:top="1418" w:right="1418" w:bottom="1418" w:left="1418" w:header="567" w:footer="283" w:gutter="0"/>
          <w:cols w:space="708"/>
          <w:docGrid w:linePitch="360"/>
        </w:sectPr>
      </w:pPr>
    </w:p>
    <w:p w14:paraId="1BF972F3" w14:textId="72131957" w:rsidR="004A0FA3" w:rsidRPr="0031250C" w:rsidRDefault="006868A7" w:rsidP="0031250C">
      <w:pPr>
        <w:pStyle w:val="Heading2"/>
        <w:numPr>
          <w:ilvl w:val="0"/>
          <w:numId w:val="0"/>
        </w:numPr>
      </w:pPr>
      <w:bookmarkStart w:id="29" w:name="_Toc11849538"/>
      <w:bookmarkStart w:id="30" w:name="_Toc71018578"/>
      <w:bookmarkStart w:id="31" w:name="_Toc11849539"/>
      <w:r>
        <w:lastRenderedPageBreak/>
        <w:t>Glossary</w:t>
      </w:r>
      <w:bookmarkEnd w:id="29"/>
      <w:bookmarkEnd w:id="30"/>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4A0FA3" w14:paraId="48C229A4" w14:textId="77777777">
        <w:trPr>
          <w:cantSplit/>
          <w:tblHeader/>
        </w:trPr>
        <w:tc>
          <w:tcPr>
            <w:tcW w:w="1509" w:type="pct"/>
          </w:tcPr>
          <w:p w14:paraId="4BBB9F94" w14:textId="77777777" w:rsidR="004A0FA3" w:rsidRDefault="006868A7">
            <w:pPr>
              <w:pStyle w:val="TableHeading"/>
            </w:pPr>
            <w:r>
              <w:t>Term or abbreviation</w:t>
            </w:r>
          </w:p>
        </w:tc>
        <w:tc>
          <w:tcPr>
            <w:tcW w:w="3491" w:type="pct"/>
          </w:tcPr>
          <w:p w14:paraId="77E5DFA8" w14:textId="77777777" w:rsidR="004A0FA3" w:rsidRDefault="006868A7">
            <w:pPr>
              <w:pStyle w:val="TableHeading"/>
            </w:pPr>
            <w:r>
              <w:t>Definition</w:t>
            </w:r>
          </w:p>
        </w:tc>
      </w:tr>
      <w:tr w:rsidR="004A0FA3" w14:paraId="5525E4D1" w14:textId="77777777">
        <w:trPr>
          <w:trHeight w:val="414"/>
        </w:trPr>
        <w:tc>
          <w:tcPr>
            <w:tcW w:w="1509" w:type="pct"/>
          </w:tcPr>
          <w:p w14:paraId="5BC44AEC" w14:textId="77777777" w:rsidR="004A0FA3" w:rsidRDefault="006868A7">
            <w:pPr>
              <w:pStyle w:val="TableText"/>
            </w:pPr>
            <w:r>
              <w:t>ALOP</w:t>
            </w:r>
          </w:p>
        </w:tc>
        <w:tc>
          <w:tcPr>
            <w:tcW w:w="3491" w:type="pct"/>
          </w:tcPr>
          <w:p w14:paraId="147B317A" w14:textId="77777777" w:rsidR="004A0FA3" w:rsidRDefault="006868A7">
            <w:pPr>
              <w:pStyle w:val="TableText"/>
            </w:pPr>
            <w:r>
              <w:t>Appropriate level of protection</w:t>
            </w:r>
          </w:p>
        </w:tc>
      </w:tr>
      <w:tr w:rsidR="004A0FA3" w14:paraId="666AB36B" w14:textId="77777777">
        <w:tc>
          <w:tcPr>
            <w:tcW w:w="1509" w:type="pct"/>
          </w:tcPr>
          <w:p w14:paraId="29C81B6A" w14:textId="77777777" w:rsidR="004A0FA3" w:rsidRDefault="006868A7">
            <w:pPr>
              <w:pStyle w:val="TableText"/>
            </w:pPr>
            <w:r>
              <w:t>appropriate level of protection (ALOP) for Australia</w:t>
            </w:r>
          </w:p>
        </w:tc>
        <w:tc>
          <w:tcPr>
            <w:tcW w:w="3491" w:type="pct"/>
          </w:tcPr>
          <w:p w14:paraId="7CD08426" w14:textId="77777777" w:rsidR="004A0FA3" w:rsidRDefault="006868A7">
            <w:pPr>
              <w:pStyle w:val="TableText"/>
            </w:pPr>
            <w:r>
              <w:t xml:space="preserve">The </w:t>
            </w:r>
            <w:r>
              <w:rPr>
                <w:i/>
              </w:rPr>
              <w:t>Biosecurity Act 2015</w:t>
            </w:r>
            <w:r>
              <w:t xml:space="preserve"> defines the appropriate level of protection (or ALOP) for Australia as a high level of sanitary and phytosanitary protection aimed at reducing biosecurity risks to very low, but not to zero.</w:t>
            </w:r>
          </w:p>
        </w:tc>
      </w:tr>
      <w:tr w:rsidR="00D73843" w14:paraId="668D9899" w14:textId="77777777">
        <w:tc>
          <w:tcPr>
            <w:tcW w:w="1509" w:type="pct"/>
          </w:tcPr>
          <w:p w14:paraId="6C54F542" w14:textId="41AC872B" w:rsidR="00D73843" w:rsidRDefault="00D73843">
            <w:pPr>
              <w:pStyle w:val="TableText"/>
            </w:pPr>
            <w:bookmarkStart w:id="32" w:name="_Hlk42844154"/>
            <w:r>
              <w:t>approved arrangement</w:t>
            </w:r>
            <w:r w:rsidR="00565271">
              <w:t xml:space="preserve"> (AA)</w:t>
            </w:r>
          </w:p>
        </w:tc>
        <w:tc>
          <w:tcPr>
            <w:tcW w:w="3491" w:type="pct"/>
          </w:tcPr>
          <w:p w14:paraId="1251C8B6" w14:textId="3A1FB1C5" w:rsidR="00D73843" w:rsidRPr="00D73843" w:rsidRDefault="000C4FC2" w:rsidP="00D73843">
            <w:pPr>
              <w:pStyle w:val="TableText"/>
            </w:pPr>
            <w:r w:rsidRPr="000C4FC2">
              <w:t xml:space="preserve">Approved arrangement (AA) is defined in the </w:t>
            </w:r>
            <w:r w:rsidRPr="000C4FC2">
              <w:rPr>
                <w:i/>
                <w:iCs/>
              </w:rPr>
              <w:t>Biosecurity Act 2015</w:t>
            </w:r>
            <w:r w:rsidRPr="000C4FC2">
              <w:t xml:space="preserve"> as an arrangement for which an approval is in force under paragraph 406(1)(a) (including a varied arrangement for which an approval is in force under that paragraph as it applies because of subsection 412(3)).</w:t>
            </w:r>
          </w:p>
        </w:tc>
      </w:tr>
      <w:bookmarkEnd w:id="32"/>
      <w:tr w:rsidR="004A0FA3" w14:paraId="38BE29CB" w14:textId="77777777">
        <w:tc>
          <w:tcPr>
            <w:tcW w:w="1509" w:type="pct"/>
          </w:tcPr>
          <w:p w14:paraId="407FDBDD" w14:textId="77777777" w:rsidR="004A0FA3" w:rsidRDefault="006868A7">
            <w:pPr>
              <w:pStyle w:val="TableText"/>
            </w:pPr>
            <w:r>
              <w:t>Australian territory</w:t>
            </w:r>
          </w:p>
        </w:tc>
        <w:tc>
          <w:tcPr>
            <w:tcW w:w="3491" w:type="pct"/>
          </w:tcPr>
          <w:p w14:paraId="042273B9" w14:textId="77777777" w:rsidR="004A0FA3" w:rsidRDefault="006868A7">
            <w:pPr>
              <w:pStyle w:val="TableText"/>
            </w:pPr>
            <w:r>
              <w:t xml:space="preserve">Australian territory as referenced in the </w:t>
            </w:r>
            <w:r>
              <w:rPr>
                <w:i/>
              </w:rPr>
              <w:t>Biosecurity Act 2015</w:t>
            </w:r>
            <w:r>
              <w:t xml:space="preserve"> refers to Australia, Christmas Island and Cocos (Keeling) Islands.</w:t>
            </w:r>
          </w:p>
        </w:tc>
      </w:tr>
      <w:tr w:rsidR="004A0FA3" w14:paraId="24289B54" w14:textId="77777777">
        <w:trPr>
          <w:trHeight w:val="414"/>
        </w:trPr>
        <w:tc>
          <w:tcPr>
            <w:tcW w:w="1509" w:type="pct"/>
          </w:tcPr>
          <w:p w14:paraId="72562350" w14:textId="77777777" w:rsidR="004A0FA3" w:rsidRDefault="006868A7">
            <w:pPr>
              <w:pStyle w:val="TableText"/>
            </w:pPr>
            <w:r>
              <w:t>BA</w:t>
            </w:r>
          </w:p>
        </w:tc>
        <w:tc>
          <w:tcPr>
            <w:tcW w:w="3491" w:type="pct"/>
          </w:tcPr>
          <w:p w14:paraId="6D95BAB5" w14:textId="77777777" w:rsidR="004A0FA3" w:rsidRDefault="006868A7">
            <w:pPr>
              <w:pStyle w:val="TableText"/>
            </w:pPr>
            <w:r>
              <w:t>Biosecurity advice</w:t>
            </w:r>
          </w:p>
        </w:tc>
      </w:tr>
      <w:tr w:rsidR="004A0FA3" w14:paraId="092EEA0B" w14:textId="77777777">
        <w:trPr>
          <w:trHeight w:val="414"/>
        </w:trPr>
        <w:tc>
          <w:tcPr>
            <w:tcW w:w="1509" w:type="pct"/>
          </w:tcPr>
          <w:p w14:paraId="44DBBCCF" w14:textId="77777777" w:rsidR="004A0FA3" w:rsidRDefault="006868A7">
            <w:pPr>
              <w:pStyle w:val="TableText"/>
            </w:pPr>
            <w:r>
              <w:t>BICON</w:t>
            </w:r>
          </w:p>
        </w:tc>
        <w:tc>
          <w:tcPr>
            <w:tcW w:w="3491" w:type="pct"/>
          </w:tcPr>
          <w:p w14:paraId="3CE71C21" w14:textId="77777777" w:rsidR="004A0FA3" w:rsidRDefault="006868A7">
            <w:pPr>
              <w:pStyle w:val="TableText"/>
            </w:pPr>
            <w:r>
              <w:t>Australia’s Biosecurity Import Condition System</w:t>
            </w:r>
          </w:p>
        </w:tc>
      </w:tr>
      <w:tr w:rsidR="004A0FA3" w14:paraId="0A980D6F" w14:textId="77777777">
        <w:tc>
          <w:tcPr>
            <w:tcW w:w="1509" w:type="pct"/>
          </w:tcPr>
          <w:p w14:paraId="67D5697B" w14:textId="77777777" w:rsidR="004A0FA3" w:rsidRDefault="006868A7">
            <w:pPr>
              <w:pStyle w:val="TableText"/>
            </w:pPr>
            <w:r>
              <w:t>biosecurity</w:t>
            </w:r>
          </w:p>
        </w:tc>
        <w:tc>
          <w:tcPr>
            <w:tcW w:w="3491" w:type="pct"/>
          </w:tcPr>
          <w:p w14:paraId="013C8A73" w14:textId="77777777" w:rsidR="004A0FA3" w:rsidRDefault="006868A7">
            <w:pPr>
              <w:pStyle w:val="TableText"/>
            </w:pPr>
            <w:r>
              <w:t>The prevention of the entry, establishment or spread of unwanted pests and infectious disease agents to protect human, animal or plant health or life, and the environment.</w:t>
            </w:r>
          </w:p>
        </w:tc>
      </w:tr>
      <w:tr w:rsidR="004A0FA3" w14:paraId="76B89BAD" w14:textId="77777777">
        <w:tc>
          <w:tcPr>
            <w:tcW w:w="1509" w:type="pct"/>
          </w:tcPr>
          <w:p w14:paraId="064822E3" w14:textId="77777777" w:rsidR="004A0FA3" w:rsidRDefault="006868A7">
            <w:pPr>
              <w:pStyle w:val="TableText"/>
            </w:pPr>
            <w:r>
              <w:t>biosecurity import risk analysis (BIRA)</w:t>
            </w:r>
          </w:p>
        </w:tc>
        <w:tc>
          <w:tcPr>
            <w:tcW w:w="3491" w:type="pct"/>
          </w:tcPr>
          <w:p w14:paraId="186F08FD" w14:textId="77777777" w:rsidR="004A0FA3" w:rsidRDefault="006868A7">
            <w:pPr>
              <w:pStyle w:val="TableText"/>
            </w:pPr>
            <w:r>
              <w:t xml:space="preserve">The </w:t>
            </w:r>
            <w:r>
              <w:rPr>
                <w:i/>
              </w:rPr>
              <w:t>Biosecurity Act 2015</w:t>
            </w:r>
            <w:r>
              <w:t xml:space="preserve"> defines a BIRA as an evaluation of the level of biosecurity risk associated with </w:t>
            </w:r>
            <w:proofErr w:type="gramStart"/>
            <w:r>
              <w:t>particular goods</w:t>
            </w:r>
            <w:proofErr w:type="gramEnd"/>
            <w:r>
              <w:t>, or a particular class of goods, that may be imported, or proposed to be imported, into Australian territory, including, if necessary, the identification of conditions that must be met to manage the level of biosecurity risk associated with the goods, or the class of goods, to a level that achieves the ALOP for Australia. The risk analysis process is regulated under legislation.</w:t>
            </w:r>
          </w:p>
        </w:tc>
      </w:tr>
      <w:tr w:rsidR="004A0FA3" w14:paraId="79C6D2CA" w14:textId="77777777">
        <w:tc>
          <w:tcPr>
            <w:tcW w:w="1509" w:type="pct"/>
          </w:tcPr>
          <w:p w14:paraId="2339222A" w14:textId="77777777" w:rsidR="004A0FA3" w:rsidRDefault="006868A7">
            <w:pPr>
              <w:pStyle w:val="TableText"/>
            </w:pPr>
            <w:r>
              <w:t>biosecurity measures</w:t>
            </w:r>
          </w:p>
        </w:tc>
        <w:tc>
          <w:tcPr>
            <w:tcW w:w="3491" w:type="pct"/>
          </w:tcPr>
          <w:p w14:paraId="61E06D1D" w14:textId="77777777" w:rsidR="004A0FA3" w:rsidRDefault="006868A7">
            <w:pPr>
              <w:pStyle w:val="TableText"/>
            </w:pPr>
            <w:r>
              <w:t xml:space="preserve">The </w:t>
            </w:r>
            <w:r>
              <w:rPr>
                <w:i/>
              </w:rPr>
              <w:t>Biosecurity Act 2015</w:t>
            </w:r>
            <w:r>
              <w:t xml:space="preserve"> defines biosecurity measures as measures to manage any of the following: biosecurity risk, the risk of contagion of a listed human disease, the risk of listed human diseases entering, emerging, establishing themselves or spreading in Australian territory, and biosecurity emergencies and human biosecurity emergencies.</w:t>
            </w:r>
          </w:p>
        </w:tc>
      </w:tr>
      <w:tr w:rsidR="004A0FA3" w14:paraId="6C98186B" w14:textId="77777777">
        <w:tc>
          <w:tcPr>
            <w:tcW w:w="1509" w:type="pct"/>
          </w:tcPr>
          <w:p w14:paraId="5B9186BE" w14:textId="77777777" w:rsidR="004A0FA3" w:rsidRDefault="006868A7">
            <w:pPr>
              <w:pStyle w:val="TableText"/>
            </w:pPr>
            <w:r>
              <w:t>biosecurity risk</w:t>
            </w:r>
          </w:p>
        </w:tc>
        <w:tc>
          <w:tcPr>
            <w:tcW w:w="3491" w:type="pct"/>
          </w:tcPr>
          <w:p w14:paraId="78EB0E7F" w14:textId="77777777" w:rsidR="004A0FA3" w:rsidRDefault="006868A7">
            <w:pPr>
              <w:pStyle w:val="TableText"/>
            </w:pPr>
            <w:r>
              <w:t xml:space="preserve">The </w:t>
            </w:r>
            <w:r>
              <w:rPr>
                <w:i/>
              </w:rPr>
              <w:t>Biosecurity Act 2015</w:t>
            </w:r>
            <w:r>
              <w:t xml:space="preserve"> refers to biosecurity risk as the likelihood of a disease or pest entering, </w:t>
            </w:r>
            <w:proofErr w:type="gramStart"/>
            <w:r>
              <w:t>establishing</w:t>
            </w:r>
            <w:proofErr w:type="gramEnd"/>
            <w:r>
              <w:t xml:space="preserve"> or spreading in Australian territory, and the potential for the disease or pest causing harm to human, animal or plant health, the environment, economic or community activities.</w:t>
            </w:r>
          </w:p>
        </w:tc>
      </w:tr>
      <w:tr w:rsidR="00E5451D" w14:paraId="23A2F961" w14:textId="77777777">
        <w:tc>
          <w:tcPr>
            <w:tcW w:w="1509" w:type="pct"/>
          </w:tcPr>
          <w:p w14:paraId="68CF6DF6" w14:textId="2415EFEB" w:rsidR="00E5451D" w:rsidRDefault="00E5451D">
            <w:pPr>
              <w:pStyle w:val="TableText"/>
            </w:pPr>
            <w:r w:rsidRPr="00E5451D">
              <w:rPr>
                <w:lang w:val="en"/>
              </w:rPr>
              <w:t>Biosecurity Risk Material</w:t>
            </w:r>
            <w:r w:rsidR="00D959C2">
              <w:rPr>
                <w:lang w:val="en"/>
              </w:rPr>
              <w:t xml:space="preserve"> (BRM)</w:t>
            </w:r>
          </w:p>
        </w:tc>
        <w:tc>
          <w:tcPr>
            <w:tcW w:w="3491" w:type="pct"/>
          </w:tcPr>
          <w:p w14:paraId="78BA718C" w14:textId="1B477830" w:rsidR="00E5451D" w:rsidRDefault="00D959C2">
            <w:pPr>
              <w:pStyle w:val="TableText"/>
            </w:pPr>
            <w:r>
              <w:t>Material that can be found in the packaging of consignments. A definition of BRM</w:t>
            </w:r>
            <w:r w:rsidRPr="00D959C2">
              <w:t xml:space="preserve"> can be found in Australia’s Biosecurity Import Conditions database (BICON): </w:t>
            </w:r>
            <w:hyperlink r:id="rId31" w:history="1">
              <w:r w:rsidRPr="00D959C2">
                <w:rPr>
                  <w:rStyle w:val="Hyperlink"/>
                </w:rPr>
                <w:t>bicon.agriculture.gov.au/BiconWeb4.0</w:t>
              </w:r>
            </w:hyperlink>
            <w:r>
              <w:t>.</w:t>
            </w:r>
          </w:p>
        </w:tc>
      </w:tr>
      <w:tr w:rsidR="00525A71" w14:paraId="4095E142" w14:textId="77777777">
        <w:tc>
          <w:tcPr>
            <w:tcW w:w="1509" w:type="pct"/>
          </w:tcPr>
          <w:p w14:paraId="1A02B341" w14:textId="67167486" w:rsidR="00525A71" w:rsidRDefault="00525A71" w:rsidP="00525A71">
            <w:pPr>
              <w:pStyle w:val="TableText"/>
            </w:pPr>
            <w:r w:rsidRPr="00CE0084">
              <w:t>Competent Authority</w:t>
            </w:r>
          </w:p>
        </w:tc>
        <w:tc>
          <w:tcPr>
            <w:tcW w:w="3491" w:type="pct"/>
          </w:tcPr>
          <w:p w14:paraId="74A38799" w14:textId="63811464" w:rsidR="00525A71" w:rsidRDefault="00525A71" w:rsidP="00525A71">
            <w:pPr>
              <w:pStyle w:val="TableText"/>
            </w:pPr>
            <w:r w:rsidRPr="00CE0084">
              <w:t>The Veterinary Authority or other Governmental Authority of a Member Country having the responsibility and competence for ensuring or supervising the implementation of aquatic animal health and welfare measures, international health certification and other standards and recommendations in the Aquatic Code in the whole territory.</w:t>
            </w:r>
          </w:p>
        </w:tc>
      </w:tr>
      <w:tr w:rsidR="00525A71" w14:paraId="4E21CBB4" w14:textId="77777777">
        <w:tc>
          <w:tcPr>
            <w:tcW w:w="1509" w:type="pct"/>
          </w:tcPr>
          <w:p w14:paraId="0975FFFD" w14:textId="1FB3A248" w:rsidR="00525A71" w:rsidRPr="00CE0084" w:rsidRDefault="000A4E8B" w:rsidP="00525A71">
            <w:pPr>
              <w:pStyle w:val="TableText"/>
            </w:pPr>
            <w:r>
              <w:t>t</w:t>
            </w:r>
            <w:r w:rsidR="00525A71" w:rsidRPr="00CE0084">
              <w:t>he department</w:t>
            </w:r>
          </w:p>
        </w:tc>
        <w:tc>
          <w:tcPr>
            <w:tcW w:w="3491" w:type="pct"/>
          </w:tcPr>
          <w:p w14:paraId="0EEA5093" w14:textId="55C2F307" w:rsidR="00525A71" w:rsidRPr="00CE0084" w:rsidRDefault="00525A71" w:rsidP="00525A71">
            <w:pPr>
              <w:pStyle w:val="TableText"/>
            </w:pPr>
            <w:r w:rsidRPr="00CE0084">
              <w:t>The Australian Government Department of Agriculture</w:t>
            </w:r>
            <w:r>
              <w:t xml:space="preserve">, </w:t>
            </w:r>
            <w:proofErr w:type="gramStart"/>
            <w:r>
              <w:t>Water</w:t>
            </w:r>
            <w:proofErr w:type="gramEnd"/>
            <w:r>
              <w:t xml:space="preserve"> and the Environment</w:t>
            </w:r>
          </w:p>
        </w:tc>
      </w:tr>
      <w:tr w:rsidR="00AD31FF" w14:paraId="6BC0F1BE" w14:textId="77777777">
        <w:tc>
          <w:tcPr>
            <w:tcW w:w="1509" w:type="pct"/>
          </w:tcPr>
          <w:p w14:paraId="1D6DD037" w14:textId="3047D558" w:rsidR="00AD31FF" w:rsidRPr="00CE0084" w:rsidRDefault="000A4E8B" w:rsidP="00AD31FF">
            <w:pPr>
              <w:pStyle w:val="TableText"/>
            </w:pPr>
            <w:r>
              <w:t>d</w:t>
            </w:r>
            <w:r w:rsidR="00AD31FF" w:rsidRPr="00CE0084">
              <w:t>isease agent</w:t>
            </w:r>
          </w:p>
        </w:tc>
        <w:tc>
          <w:tcPr>
            <w:tcW w:w="3491" w:type="pct"/>
          </w:tcPr>
          <w:p w14:paraId="18D9849B" w14:textId="0FA925B2" w:rsidR="00AD31FF" w:rsidRPr="00CE0084" w:rsidRDefault="00AD31FF" w:rsidP="00AD31FF">
            <w:pPr>
              <w:pStyle w:val="TableText"/>
            </w:pPr>
            <w:r w:rsidRPr="00CE0084">
              <w:t>A biological agent that can cause disease to its host.</w:t>
            </w:r>
          </w:p>
        </w:tc>
      </w:tr>
      <w:tr w:rsidR="00AD31FF" w14:paraId="1CE7E17E" w14:textId="77777777">
        <w:tc>
          <w:tcPr>
            <w:tcW w:w="1509" w:type="pct"/>
          </w:tcPr>
          <w:p w14:paraId="6CD76999" w14:textId="77777777" w:rsidR="00AD31FF" w:rsidRDefault="00AD31FF" w:rsidP="00AD31FF">
            <w:pPr>
              <w:pStyle w:val="TableText"/>
            </w:pPr>
            <w:r>
              <w:t>endemic</w:t>
            </w:r>
          </w:p>
        </w:tc>
        <w:tc>
          <w:tcPr>
            <w:tcW w:w="3491" w:type="pct"/>
          </w:tcPr>
          <w:p w14:paraId="1EFAF724" w14:textId="77777777" w:rsidR="00AD31FF" w:rsidRDefault="00AD31FF" w:rsidP="00AD31FF">
            <w:pPr>
              <w:pStyle w:val="TableText"/>
            </w:pPr>
            <w:r>
              <w:t xml:space="preserve">Belonging to, native to, or prevalent in a particular geography, </w:t>
            </w:r>
            <w:proofErr w:type="gramStart"/>
            <w:r>
              <w:t>area</w:t>
            </w:r>
            <w:proofErr w:type="gramEnd"/>
            <w:r>
              <w:t xml:space="preserve"> or environment.</w:t>
            </w:r>
          </w:p>
        </w:tc>
      </w:tr>
      <w:tr w:rsidR="00AD31FF" w14:paraId="6F779316" w14:textId="77777777">
        <w:trPr>
          <w:trHeight w:val="414"/>
        </w:trPr>
        <w:tc>
          <w:tcPr>
            <w:tcW w:w="1509" w:type="pct"/>
          </w:tcPr>
          <w:p w14:paraId="06C26835" w14:textId="77777777" w:rsidR="00AD31FF" w:rsidRDefault="00AD31FF" w:rsidP="00AD31FF">
            <w:pPr>
              <w:pStyle w:val="TableText"/>
            </w:pPr>
            <w:r>
              <w:t>FAO</w:t>
            </w:r>
          </w:p>
        </w:tc>
        <w:tc>
          <w:tcPr>
            <w:tcW w:w="3491" w:type="pct"/>
          </w:tcPr>
          <w:p w14:paraId="6B246D07" w14:textId="77777777" w:rsidR="00AD31FF" w:rsidRDefault="00AD31FF" w:rsidP="00AD31FF">
            <w:pPr>
              <w:pStyle w:val="TableText"/>
            </w:pPr>
            <w:r>
              <w:t>Food and Agriculture Organization of the United Nations</w:t>
            </w:r>
          </w:p>
        </w:tc>
      </w:tr>
      <w:tr w:rsidR="000A4E8B" w14:paraId="3CC0EBD8" w14:textId="77777777">
        <w:trPr>
          <w:trHeight w:val="414"/>
        </w:trPr>
        <w:tc>
          <w:tcPr>
            <w:tcW w:w="1509" w:type="pct"/>
          </w:tcPr>
          <w:p w14:paraId="564AB1C6" w14:textId="5BEB21E2" w:rsidR="000A4E8B" w:rsidRDefault="000A4E8B" w:rsidP="000A4E8B">
            <w:pPr>
              <w:pStyle w:val="TableText"/>
            </w:pPr>
            <w:r w:rsidRPr="00CE0084">
              <w:t>Fish</w:t>
            </w:r>
          </w:p>
        </w:tc>
        <w:tc>
          <w:tcPr>
            <w:tcW w:w="3491" w:type="pct"/>
          </w:tcPr>
          <w:p w14:paraId="0A92CCA1" w14:textId="68D46F47" w:rsidR="000A4E8B" w:rsidRDefault="000A4E8B" w:rsidP="000A4E8B">
            <w:pPr>
              <w:pStyle w:val="TableText"/>
            </w:pPr>
            <w:r w:rsidRPr="00CE0084">
              <w:t>Means a</w:t>
            </w:r>
            <w:r w:rsidR="00B075A8">
              <w:t>n elasmobranch or a teleost</w:t>
            </w:r>
            <w:r w:rsidRPr="00CE0084">
              <w:t>.</w:t>
            </w:r>
          </w:p>
        </w:tc>
      </w:tr>
      <w:tr w:rsidR="000A4E8B" w14:paraId="2A7AD330" w14:textId="77777777">
        <w:trPr>
          <w:trHeight w:val="414"/>
        </w:trPr>
        <w:tc>
          <w:tcPr>
            <w:tcW w:w="1509" w:type="pct"/>
          </w:tcPr>
          <w:p w14:paraId="4B6C14F0" w14:textId="797270E0" w:rsidR="000A4E8B" w:rsidRDefault="000A4E8B" w:rsidP="000A4E8B">
            <w:pPr>
              <w:pStyle w:val="TableText"/>
            </w:pPr>
            <w:r w:rsidRPr="00CE0084">
              <w:t>Fish meal</w:t>
            </w:r>
          </w:p>
        </w:tc>
        <w:tc>
          <w:tcPr>
            <w:tcW w:w="3491" w:type="pct"/>
          </w:tcPr>
          <w:p w14:paraId="0C6C1C00" w14:textId="06F168EB" w:rsidR="000A4E8B" w:rsidRDefault="000A4E8B" w:rsidP="000A4E8B">
            <w:pPr>
              <w:pStyle w:val="TableText"/>
            </w:pPr>
            <w:r w:rsidRPr="00CE0084">
              <w:t>Means a product derived from a fish that has been ground and heat processed</w:t>
            </w:r>
            <w:r w:rsidR="00113DB3">
              <w:t xml:space="preserve"> with a low moisture content.</w:t>
            </w:r>
          </w:p>
        </w:tc>
      </w:tr>
      <w:tr w:rsidR="000A4E8B" w14:paraId="18AC80F6" w14:textId="77777777">
        <w:trPr>
          <w:trHeight w:val="414"/>
        </w:trPr>
        <w:tc>
          <w:tcPr>
            <w:tcW w:w="1509" w:type="pct"/>
          </w:tcPr>
          <w:p w14:paraId="0FD3361C" w14:textId="078C9FA3" w:rsidR="000A4E8B" w:rsidRDefault="000A4E8B" w:rsidP="000A4E8B">
            <w:pPr>
              <w:pStyle w:val="TableText"/>
            </w:pPr>
            <w:r w:rsidRPr="00CE0084">
              <w:lastRenderedPageBreak/>
              <w:t>Fish product</w:t>
            </w:r>
          </w:p>
        </w:tc>
        <w:tc>
          <w:tcPr>
            <w:tcW w:w="3491" w:type="pct"/>
          </w:tcPr>
          <w:p w14:paraId="34CF884B" w14:textId="66C0911D" w:rsidR="000A4E8B" w:rsidRDefault="000A4E8B" w:rsidP="000A4E8B">
            <w:pPr>
              <w:pStyle w:val="TableText"/>
            </w:pPr>
            <w:r w:rsidRPr="00A061C2">
              <w:t xml:space="preserve">A product derived from a fish that has </w:t>
            </w:r>
            <w:r w:rsidR="0094406E">
              <w:t>undergone</w:t>
            </w:r>
            <w:r w:rsidRPr="00A061C2">
              <w:t xml:space="preserve"> </w:t>
            </w:r>
            <w:r w:rsidR="00677FE7" w:rsidRPr="00A061C2">
              <w:t xml:space="preserve">a heat treatment </w:t>
            </w:r>
            <w:r w:rsidRPr="00A061C2">
              <w:t>as defined in the scope at section 1.</w:t>
            </w:r>
            <w:r w:rsidR="00677FE7" w:rsidRPr="00A061C2">
              <w:t>2.2</w:t>
            </w:r>
            <w:r w:rsidRPr="00A061C2">
              <w:t>.</w:t>
            </w:r>
          </w:p>
        </w:tc>
      </w:tr>
      <w:tr w:rsidR="000A4E8B" w14:paraId="19D67430" w14:textId="77777777">
        <w:trPr>
          <w:trHeight w:val="414"/>
        </w:trPr>
        <w:tc>
          <w:tcPr>
            <w:tcW w:w="1509" w:type="pct"/>
          </w:tcPr>
          <w:p w14:paraId="0D8B6D54" w14:textId="2E2AF08F" w:rsidR="000A4E8B" w:rsidRDefault="000A4E8B" w:rsidP="000A4E8B">
            <w:pPr>
              <w:pStyle w:val="TableText"/>
            </w:pPr>
            <w:r>
              <w:t>fish oil</w:t>
            </w:r>
          </w:p>
        </w:tc>
        <w:tc>
          <w:tcPr>
            <w:tcW w:w="3491" w:type="pct"/>
          </w:tcPr>
          <w:p w14:paraId="38EDE77D" w14:textId="3983012B" w:rsidR="000A4E8B" w:rsidRDefault="000A4E8B" w:rsidP="000A4E8B">
            <w:pPr>
              <w:pStyle w:val="TableText"/>
            </w:pPr>
            <w:r>
              <w:t>A product that is</w:t>
            </w:r>
            <w:r w:rsidRPr="005A3DD3">
              <w:t xml:space="preserve"> </w:t>
            </w:r>
            <w:r>
              <w:t>derived</w:t>
            </w:r>
            <w:r w:rsidRPr="005A3DD3">
              <w:t xml:space="preserve"> from fish </w:t>
            </w:r>
            <w:r>
              <w:t xml:space="preserve">and </w:t>
            </w:r>
            <w:r w:rsidRPr="005A3DD3">
              <w:t xml:space="preserve">is </w:t>
            </w:r>
            <w:r>
              <w:t>a</w:t>
            </w:r>
            <w:r w:rsidRPr="005A3DD3">
              <w:t xml:space="preserve"> purified fatty oil</w:t>
            </w:r>
            <w:r>
              <w:t xml:space="preserve"> that is free of protein material </w:t>
            </w:r>
            <w:r w:rsidRPr="006605DE">
              <w:t>for human consumption, which has destined for purposes other than human consumption</w:t>
            </w:r>
          </w:p>
        </w:tc>
      </w:tr>
      <w:tr w:rsidR="000A4E8B" w14:paraId="4B3E0B54" w14:textId="77777777">
        <w:trPr>
          <w:trHeight w:val="414"/>
        </w:trPr>
        <w:tc>
          <w:tcPr>
            <w:tcW w:w="1509" w:type="pct"/>
          </w:tcPr>
          <w:p w14:paraId="407D8E1E" w14:textId="12700BF1" w:rsidR="000A4E8B" w:rsidRDefault="000A4E8B" w:rsidP="000A4E8B">
            <w:pPr>
              <w:pStyle w:val="TableText"/>
            </w:pPr>
            <w:r>
              <w:t>fish silage</w:t>
            </w:r>
          </w:p>
        </w:tc>
        <w:tc>
          <w:tcPr>
            <w:tcW w:w="3491" w:type="pct"/>
          </w:tcPr>
          <w:p w14:paraId="2BC1F76E" w14:textId="695E6499" w:rsidR="000A4E8B" w:rsidRDefault="000A4E8B" w:rsidP="000A4E8B">
            <w:pPr>
              <w:pStyle w:val="TableText"/>
            </w:pPr>
            <w:r>
              <w:t xml:space="preserve">A product that is </w:t>
            </w:r>
            <w:r w:rsidRPr="005407FC">
              <w:t xml:space="preserve">derived from </w:t>
            </w:r>
            <w:r>
              <w:t>fish and is a processed protein</w:t>
            </w:r>
          </w:p>
        </w:tc>
      </w:tr>
      <w:tr w:rsidR="000A4E8B" w14:paraId="34C3617F" w14:textId="77777777">
        <w:tc>
          <w:tcPr>
            <w:tcW w:w="1509" w:type="pct"/>
          </w:tcPr>
          <w:p w14:paraId="5952A269" w14:textId="77777777" w:rsidR="000A4E8B" w:rsidRDefault="000A4E8B" w:rsidP="000A4E8B">
            <w:pPr>
              <w:pStyle w:val="TableText"/>
            </w:pPr>
            <w:r>
              <w:t>goods</w:t>
            </w:r>
          </w:p>
        </w:tc>
        <w:tc>
          <w:tcPr>
            <w:tcW w:w="3491" w:type="pct"/>
          </w:tcPr>
          <w:p w14:paraId="522D73E1" w14:textId="77777777" w:rsidR="000A4E8B" w:rsidRDefault="000A4E8B" w:rsidP="000A4E8B">
            <w:pPr>
              <w:pStyle w:val="TableText"/>
            </w:pPr>
            <w:r>
              <w:t xml:space="preserve">The </w:t>
            </w:r>
            <w:r>
              <w:rPr>
                <w:i/>
              </w:rPr>
              <w:t>Biosecurity Act 2015</w:t>
            </w:r>
            <w:r>
              <w:t xml:space="preserve"> defines goods as an animal, a plant (whether moveable or not), a sample or specimen of a disease agent, a pest, mail or any other article, </w:t>
            </w:r>
            <w:proofErr w:type="gramStart"/>
            <w:r>
              <w:t>substance</w:t>
            </w:r>
            <w:proofErr w:type="gramEnd"/>
            <w:r>
              <w:t xml:space="preserve"> or thing (including, but not limited to, any kind of moveable property).</w:t>
            </w:r>
          </w:p>
        </w:tc>
      </w:tr>
      <w:tr w:rsidR="000A4E8B" w14:paraId="75A6DE9E" w14:textId="77777777">
        <w:tc>
          <w:tcPr>
            <w:tcW w:w="1509" w:type="pct"/>
          </w:tcPr>
          <w:p w14:paraId="4680080C" w14:textId="77777777" w:rsidR="000A4E8B" w:rsidRDefault="000A4E8B" w:rsidP="000A4E8B">
            <w:pPr>
              <w:pStyle w:val="TableText"/>
            </w:pPr>
            <w:r>
              <w:t>host</w:t>
            </w:r>
          </w:p>
        </w:tc>
        <w:tc>
          <w:tcPr>
            <w:tcW w:w="3491" w:type="pct"/>
          </w:tcPr>
          <w:p w14:paraId="38C19611" w14:textId="77777777" w:rsidR="000A4E8B" w:rsidRDefault="000A4E8B" w:rsidP="000A4E8B">
            <w:pPr>
              <w:pStyle w:val="TableText"/>
            </w:pPr>
            <w:r>
              <w:t>An organism that harbours a parasite, mutual partner, or commensal partner, typically providing nourishment and shelter.</w:t>
            </w:r>
          </w:p>
        </w:tc>
      </w:tr>
      <w:tr w:rsidR="000A4E8B" w14:paraId="366E00D2" w14:textId="77777777">
        <w:tc>
          <w:tcPr>
            <w:tcW w:w="1509" w:type="pct"/>
          </w:tcPr>
          <w:p w14:paraId="1DB74870" w14:textId="77777777" w:rsidR="000A4E8B" w:rsidRDefault="000A4E8B" w:rsidP="000A4E8B">
            <w:pPr>
              <w:pStyle w:val="TableText"/>
            </w:pPr>
            <w:r>
              <w:t>import permit</w:t>
            </w:r>
          </w:p>
        </w:tc>
        <w:tc>
          <w:tcPr>
            <w:tcW w:w="3491" w:type="pct"/>
          </w:tcPr>
          <w:p w14:paraId="1B62C00A" w14:textId="77777777" w:rsidR="000A4E8B" w:rsidRDefault="000A4E8B" w:rsidP="000A4E8B">
            <w:pPr>
              <w:pStyle w:val="TableText"/>
            </w:pPr>
            <w:r>
              <w:t>Official document authorising a person to bring or import particular goods into Australian territory in accordance with specified import requirements</w:t>
            </w:r>
            <w:r>
              <w:fldChar w:fldCharType="begin"/>
            </w:r>
            <w:r>
              <w:instrText xml:space="preserve"> ADDIN REFMGR.CITE &lt;Refman&gt;&lt;Cite&gt;&lt;Author&gt;FAO&lt;/Author&gt;&lt;Year&gt;2012&lt;/Year&gt;&lt;RecNum&gt;81219&lt;/RecNum&gt;&lt;IDText&gt;International Standards for Phytosanitary Measures (ISPM) no. 5: Glossary of phytosanitary terms&lt;/IDText&gt;&lt;MDL Ref_Type="Report"&gt;&lt;Ref_Type&gt;Report&lt;/Ref_Type&gt;&lt;Ref_ID&gt;81219&lt;/Ref_ID&gt;&lt;Title_Primary&gt;International Standards for Phytosanitary Measures (ISPM) no. 5: Glossary of phytosanitary terms&lt;/Title_Primary&gt;&lt;Authors_Primary&gt;FAO&lt;/Authors_Primary&gt;&lt;Date_Primary&gt;2012&lt;/Date_Primary&gt;&lt;Keywords&gt;Glossaries&lt;/Keywords&gt;&lt;Keywords&gt;Measures&lt;/Keywords&gt;&lt;Keywords&gt;Phytosanitary&lt;/Keywords&gt;&lt;Keywords&gt;Phytosanitary measures&lt;/Keywords&gt;&lt;Keywords&gt;Standards&lt;/Keywords&gt;&lt;Start_Page&gt;1&lt;/Start_Page&gt;&lt;End_Page&gt;38&lt;/End_Page&gt;&lt;Pub_Place&gt;Rome&lt;/Pub_Place&gt;&lt;Publisher&gt;Food and Agriculture Organization of the United Nations&lt;/Publisher&gt;&lt;User_Def_1&gt;IRA template as&lt;/User_Def_1&gt;&lt;Web_URL&gt;&lt;u&gt;https://www.ippc.int/file_uploaded/1336736415_ISPM_05_En_2012-05-07(CPM-7).pdf&lt;/u&gt;&lt;/Web_URL&gt;&lt;Web_URL_Link1&gt;&lt;u&gt;J:\E Library\Plant Catalogue\F&lt;/u&gt;&lt;/Web_URL_Link1&gt;&lt;ZZ_WorkformID&gt;24&lt;/ZZ_WorkformID&gt;&lt;/MDL&gt;&lt;/Cite&gt;&lt;/Refman&gt;</w:instrText>
            </w:r>
            <w:r>
              <w:fldChar w:fldCharType="end"/>
            </w:r>
            <w:r>
              <w:t>.</w:t>
            </w:r>
          </w:p>
        </w:tc>
      </w:tr>
      <w:tr w:rsidR="000A4E8B" w14:paraId="57E23041" w14:textId="77777777">
        <w:trPr>
          <w:trHeight w:val="414"/>
        </w:trPr>
        <w:tc>
          <w:tcPr>
            <w:tcW w:w="1509" w:type="pct"/>
          </w:tcPr>
          <w:p w14:paraId="3522532E" w14:textId="77777777" w:rsidR="000A4E8B" w:rsidRDefault="000A4E8B" w:rsidP="000A4E8B">
            <w:pPr>
              <w:pStyle w:val="TableText"/>
            </w:pPr>
            <w:r>
              <w:t>IRA</w:t>
            </w:r>
          </w:p>
        </w:tc>
        <w:tc>
          <w:tcPr>
            <w:tcW w:w="3491" w:type="pct"/>
          </w:tcPr>
          <w:p w14:paraId="00DDCBDB" w14:textId="77777777" w:rsidR="000A4E8B" w:rsidRDefault="000A4E8B" w:rsidP="000A4E8B">
            <w:pPr>
              <w:pStyle w:val="TableText"/>
            </w:pPr>
            <w:r>
              <w:t>Import risk analysis</w:t>
            </w:r>
          </w:p>
        </w:tc>
      </w:tr>
      <w:tr w:rsidR="000A4E8B" w14:paraId="29EAE976" w14:textId="77777777">
        <w:trPr>
          <w:trHeight w:val="414"/>
        </w:trPr>
        <w:tc>
          <w:tcPr>
            <w:tcW w:w="1509" w:type="pct"/>
          </w:tcPr>
          <w:p w14:paraId="0B701557" w14:textId="4800468C" w:rsidR="000A4E8B" w:rsidRDefault="00D959C2" w:rsidP="000A4E8B">
            <w:pPr>
              <w:pStyle w:val="TableText"/>
            </w:pPr>
            <w:r>
              <w:t xml:space="preserve">Low, </w:t>
            </w:r>
            <w:proofErr w:type="gramStart"/>
            <w:r>
              <w:t>m</w:t>
            </w:r>
            <w:r w:rsidR="000A4E8B" w:rsidRPr="00CE0084">
              <w:t>edium</w:t>
            </w:r>
            <w:proofErr w:type="gramEnd"/>
            <w:r w:rsidR="000A4E8B" w:rsidRPr="00CE0084">
              <w:t xml:space="preserve"> and high risk non-salmonid species </w:t>
            </w:r>
          </w:p>
        </w:tc>
        <w:tc>
          <w:tcPr>
            <w:tcW w:w="3491" w:type="pct"/>
          </w:tcPr>
          <w:p w14:paraId="65EF5709" w14:textId="0253AB45" w:rsidR="000A4E8B" w:rsidRDefault="000A4E8B" w:rsidP="000A4E8B">
            <w:pPr>
              <w:pStyle w:val="TableText"/>
            </w:pPr>
            <w:r w:rsidRPr="00CE0084">
              <w:rPr>
                <w:szCs w:val="18"/>
              </w:rPr>
              <w:t xml:space="preserve">Information regarding low, </w:t>
            </w:r>
            <w:proofErr w:type="gramStart"/>
            <w:r w:rsidRPr="00CE0084">
              <w:rPr>
                <w:szCs w:val="18"/>
              </w:rPr>
              <w:t>medium</w:t>
            </w:r>
            <w:proofErr w:type="gramEnd"/>
            <w:r w:rsidRPr="00CE0084">
              <w:rPr>
                <w:szCs w:val="18"/>
              </w:rPr>
              <w:t xml:space="preserve"> and </w:t>
            </w:r>
            <w:r w:rsidR="00B107EB" w:rsidRPr="00CE0084">
              <w:rPr>
                <w:szCs w:val="18"/>
              </w:rPr>
              <w:t>high-risk</w:t>
            </w:r>
            <w:r w:rsidRPr="00CE0084">
              <w:rPr>
                <w:szCs w:val="18"/>
              </w:rPr>
              <w:t xml:space="preserve"> species can be found in Australia’s Biosecurity Import Conditions database (BICON): </w:t>
            </w:r>
            <w:hyperlink r:id="rId32" w:history="1">
              <w:r w:rsidRPr="00CE0084">
                <w:rPr>
                  <w:rStyle w:val="Hyperlink"/>
                  <w:color w:val="auto"/>
                  <w:szCs w:val="18"/>
                </w:rPr>
                <w:t>bicon.agriculture.gov.au/BiconWeb4.0</w:t>
              </w:r>
            </w:hyperlink>
            <w:r w:rsidRPr="00CE0084">
              <w:rPr>
                <w:szCs w:val="18"/>
              </w:rPr>
              <w:t>.</w:t>
            </w:r>
          </w:p>
        </w:tc>
      </w:tr>
      <w:tr w:rsidR="000A4E8B" w14:paraId="6D2FAE75" w14:textId="77777777">
        <w:tc>
          <w:tcPr>
            <w:tcW w:w="1509" w:type="pct"/>
          </w:tcPr>
          <w:p w14:paraId="1B620116" w14:textId="77777777" w:rsidR="000A4E8B" w:rsidRDefault="000A4E8B" w:rsidP="000A4E8B">
            <w:pPr>
              <w:pStyle w:val="TableText"/>
            </w:pPr>
            <w:r>
              <w:t>non-regulated risk analysis</w:t>
            </w:r>
          </w:p>
        </w:tc>
        <w:tc>
          <w:tcPr>
            <w:tcW w:w="3491" w:type="pct"/>
          </w:tcPr>
          <w:p w14:paraId="19D07546" w14:textId="77777777" w:rsidR="000A4E8B" w:rsidRDefault="000A4E8B" w:rsidP="000A4E8B">
            <w:pPr>
              <w:pStyle w:val="TableText"/>
            </w:pPr>
            <w:r>
              <w:t>Refers to the process for conducting a risk analysis that is not regulated under legislation (</w:t>
            </w:r>
            <w:r>
              <w:rPr>
                <w:i/>
              </w:rPr>
              <w:t>Biosecurity import risk analysis guidelines 2016</w:t>
            </w:r>
            <w:r>
              <w:t>).</w:t>
            </w:r>
          </w:p>
        </w:tc>
      </w:tr>
      <w:tr w:rsidR="000A4E8B" w14:paraId="259A8BCE" w14:textId="77777777">
        <w:trPr>
          <w:trHeight w:val="414"/>
        </w:trPr>
        <w:tc>
          <w:tcPr>
            <w:tcW w:w="1509" w:type="pct"/>
          </w:tcPr>
          <w:p w14:paraId="5944A8E7" w14:textId="77777777" w:rsidR="000A4E8B" w:rsidRDefault="000A4E8B" w:rsidP="000A4E8B">
            <w:pPr>
              <w:pStyle w:val="TableText"/>
            </w:pPr>
            <w:r>
              <w:t>OIE</w:t>
            </w:r>
          </w:p>
        </w:tc>
        <w:tc>
          <w:tcPr>
            <w:tcW w:w="3491" w:type="pct"/>
          </w:tcPr>
          <w:p w14:paraId="3A107D0F" w14:textId="77777777" w:rsidR="000A4E8B" w:rsidRPr="004E6821" w:rsidRDefault="000A4E8B" w:rsidP="000A4E8B">
            <w:pPr>
              <w:pStyle w:val="TableText"/>
            </w:pPr>
            <w:r w:rsidRPr="004E6821">
              <w:t>World Organisation for Animal Health</w:t>
            </w:r>
          </w:p>
        </w:tc>
      </w:tr>
      <w:tr w:rsidR="000A4E8B" w14:paraId="45D560CC" w14:textId="77777777">
        <w:trPr>
          <w:trHeight w:val="414"/>
        </w:trPr>
        <w:tc>
          <w:tcPr>
            <w:tcW w:w="1509" w:type="pct"/>
          </w:tcPr>
          <w:p w14:paraId="34F23222" w14:textId="77777777" w:rsidR="000A4E8B" w:rsidRDefault="000A4E8B" w:rsidP="000A4E8B">
            <w:pPr>
              <w:pStyle w:val="TableText"/>
            </w:pPr>
            <w:r>
              <w:t>OIE Code</w:t>
            </w:r>
          </w:p>
        </w:tc>
        <w:tc>
          <w:tcPr>
            <w:tcW w:w="3491" w:type="pct"/>
          </w:tcPr>
          <w:p w14:paraId="4A7A0317" w14:textId="1925164C" w:rsidR="000A4E8B" w:rsidRPr="004E6821" w:rsidRDefault="000A4E8B" w:rsidP="000A4E8B">
            <w:pPr>
              <w:pStyle w:val="TableText"/>
            </w:pPr>
            <w:r w:rsidRPr="004E6821">
              <w:t>OIE Aquatic Animal Health Code 2019</w:t>
            </w:r>
          </w:p>
        </w:tc>
      </w:tr>
      <w:tr w:rsidR="000A4E8B" w14:paraId="19833517" w14:textId="77777777">
        <w:trPr>
          <w:trHeight w:val="414"/>
        </w:trPr>
        <w:tc>
          <w:tcPr>
            <w:tcW w:w="1509" w:type="pct"/>
          </w:tcPr>
          <w:p w14:paraId="25EF4AFA" w14:textId="77777777" w:rsidR="000A4E8B" w:rsidRDefault="000A4E8B" w:rsidP="000A4E8B">
            <w:pPr>
              <w:pStyle w:val="TableText"/>
            </w:pPr>
            <w:r>
              <w:t>OIE Manual</w:t>
            </w:r>
          </w:p>
        </w:tc>
        <w:tc>
          <w:tcPr>
            <w:tcW w:w="3491" w:type="pct"/>
          </w:tcPr>
          <w:p w14:paraId="681C1CA1" w14:textId="38641928" w:rsidR="000A4E8B" w:rsidRPr="004E6821" w:rsidRDefault="000A4E8B" w:rsidP="000A4E8B">
            <w:pPr>
              <w:pStyle w:val="TableText"/>
            </w:pPr>
            <w:r w:rsidRPr="004E6821">
              <w:t>OIE Manual of Diagnostic Tests for Aquatic Animals 2019</w:t>
            </w:r>
          </w:p>
        </w:tc>
      </w:tr>
      <w:tr w:rsidR="000A4E8B" w14:paraId="4961E4E0" w14:textId="77777777">
        <w:tc>
          <w:tcPr>
            <w:tcW w:w="1509" w:type="pct"/>
          </w:tcPr>
          <w:p w14:paraId="271820F8" w14:textId="77777777" w:rsidR="000A4E8B" w:rsidRDefault="000A4E8B" w:rsidP="000A4E8B">
            <w:pPr>
              <w:pStyle w:val="TableText"/>
            </w:pPr>
            <w:r>
              <w:t>pathogen</w:t>
            </w:r>
          </w:p>
        </w:tc>
        <w:tc>
          <w:tcPr>
            <w:tcW w:w="3491" w:type="pct"/>
          </w:tcPr>
          <w:p w14:paraId="63B59D56" w14:textId="77777777" w:rsidR="000A4E8B" w:rsidRPr="004E6821" w:rsidRDefault="000A4E8B" w:rsidP="000A4E8B">
            <w:pPr>
              <w:pStyle w:val="TableText"/>
            </w:pPr>
            <w:r w:rsidRPr="004E6821">
              <w:t>A biological agent that can cause disease to its host.</w:t>
            </w:r>
          </w:p>
        </w:tc>
      </w:tr>
      <w:tr w:rsidR="00786E9F" w14:paraId="74DAA450" w14:textId="77777777">
        <w:tc>
          <w:tcPr>
            <w:tcW w:w="1509" w:type="pct"/>
          </w:tcPr>
          <w:p w14:paraId="00771083" w14:textId="4E8C95C6" w:rsidR="00786E9F" w:rsidRDefault="00786E9F" w:rsidP="000A4E8B">
            <w:pPr>
              <w:pStyle w:val="TableText"/>
            </w:pPr>
            <w:r>
              <w:t xml:space="preserve">petfood </w:t>
            </w:r>
          </w:p>
        </w:tc>
        <w:tc>
          <w:tcPr>
            <w:tcW w:w="3491" w:type="pct"/>
          </w:tcPr>
          <w:p w14:paraId="72C118A0" w14:textId="69FC2C30" w:rsidR="00786E9F" w:rsidRPr="004E6821" w:rsidRDefault="0075106B" w:rsidP="000A4E8B">
            <w:pPr>
              <w:pStyle w:val="TableText"/>
            </w:pPr>
            <w:r>
              <w:t>Food for pets</w:t>
            </w:r>
            <w:r w:rsidR="00007451">
              <w:t xml:space="preserve"> (including pet fish)</w:t>
            </w:r>
            <w:r>
              <w:t xml:space="preserve"> </w:t>
            </w:r>
          </w:p>
        </w:tc>
      </w:tr>
      <w:tr w:rsidR="000A4E8B" w14:paraId="35FF7279" w14:textId="77777777">
        <w:tc>
          <w:tcPr>
            <w:tcW w:w="1509" w:type="pct"/>
          </w:tcPr>
          <w:p w14:paraId="04EAD29B" w14:textId="77777777" w:rsidR="000A4E8B" w:rsidRDefault="000A4E8B" w:rsidP="000A4E8B">
            <w:pPr>
              <w:pStyle w:val="TableText"/>
            </w:pPr>
            <w:r>
              <w:t>restricted risk</w:t>
            </w:r>
          </w:p>
        </w:tc>
        <w:tc>
          <w:tcPr>
            <w:tcW w:w="3491" w:type="pct"/>
          </w:tcPr>
          <w:p w14:paraId="3F9E4665" w14:textId="77777777" w:rsidR="000A4E8B" w:rsidRPr="004E6821" w:rsidRDefault="000A4E8B" w:rsidP="000A4E8B">
            <w:pPr>
              <w:pStyle w:val="TableText"/>
            </w:pPr>
            <w:r w:rsidRPr="004E6821">
              <w:t>Risk estimate with phytosanitary measure(s) applied.</w:t>
            </w:r>
          </w:p>
        </w:tc>
      </w:tr>
      <w:tr w:rsidR="000A4E8B" w14:paraId="7B15C5BF" w14:textId="77777777">
        <w:tc>
          <w:tcPr>
            <w:tcW w:w="1509" w:type="pct"/>
          </w:tcPr>
          <w:p w14:paraId="23D7675F" w14:textId="77777777" w:rsidR="000A4E8B" w:rsidRDefault="000A4E8B" w:rsidP="000A4E8B">
            <w:pPr>
              <w:pStyle w:val="TableText"/>
            </w:pPr>
            <w:r>
              <w:t>risk analysis</w:t>
            </w:r>
          </w:p>
        </w:tc>
        <w:tc>
          <w:tcPr>
            <w:tcW w:w="3491" w:type="pct"/>
          </w:tcPr>
          <w:p w14:paraId="19A57211" w14:textId="77777777" w:rsidR="000A4E8B" w:rsidRDefault="000A4E8B" w:rsidP="000A4E8B">
            <w:pPr>
              <w:pStyle w:val="TableText"/>
            </w:pPr>
            <w:r>
              <w:t>Refers to the technical or scientific process for assessing the level of biosecurity risk associated with the goods, or the class of goods, and if necessary, the identification of conditions that must be met to manage the level of biosecurity risk associated with the goods, or class of goods to a level that achieves the ALOP for Australia.</w:t>
            </w:r>
          </w:p>
        </w:tc>
      </w:tr>
      <w:tr w:rsidR="000A4E8B" w14:paraId="76860D90" w14:textId="77777777">
        <w:tc>
          <w:tcPr>
            <w:tcW w:w="1509" w:type="pct"/>
          </w:tcPr>
          <w:p w14:paraId="734B7BCC" w14:textId="7D202830" w:rsidR="000A4E8B" w:rsidRDefault="000A4E8B" w:rsidP="000A4E8B">
            <w:pPr>
              <w:pStyle w:val="TableText"/>
            </w:pPr>
            <w:r>
              <w:t>s</w:t>
            </w:r>
            <w:r w:rsidRPr="00CE0084">
              <w:t>almonid</w:t>
            </w:r>
          </w:p>
        </w:tc>
        <w:tc>
          <w:tcPr>
            <w:tcW w:w="3491" w:type="pct"/>
          </w:tcPr>
          <w:p w14:paraId="31D94057" w14:textId="7C82C8CF" w:rsidR="000A4E8B" w:rsidRDefault="000A4E8B" w:rsidP="000A4E8B">
            <w:pPr>
              <w:pStyle w:val="TableText"/>
            </w:pPr>
            <w:r>
              <w:t>Fish that are</w:t>
            </w:r>
            <w:r w:rsidRPr="00CE0084">
              <w:t xml:space="preserve"> members of the family Salmonidae and the genus </w:t>
            </w:r>
            <w:proofErr w:type="spellStart"/>
            <w:r w:rsidRPr="00CE0084">
              <w:rPr>
                <w:i/>
              </w:rPr>
              <w:t>Plecoglossus</w:t>
            </w:r>
            <w:proofErr w:type="spellEnd"/>
            <w:r w:rsidRPr="00CE0084">
              <w:t>.</w:t>
            </w:r>
          </w:p>
        </w:tc>
      </w:tr>
      <w:tr w:rsidR="000A4E8B" w14:paraId="27955FC6" w14:textId="77777777">
        <w:tc>
          <w:tcPr>
            <w:tcW w:w="1509" w:type="pct"/>
          </w:tcPr>
          <w:p w14:paraId="0D502CD9" w14:textId="77777777" w:rsidR="000A4E8B" w:rsidRDefault="000A4E8B" w:rsidP="000A4E8B">
            <w:pPr>
              <w:pStyle w:val="TableText"/>
            </w:pPr>
            <w:r>
              <w:t>SPS Agreement</w:t>
            </w:r>
          </w:p>
        </w:tc>
        <w:tc>
          <w:tcPr>
            <w:tcW w:w="3491" w:type="pct"/>
          </w:tcPr>
          <w:p w14:paraId="57D52911" w14:textId="77777777" w:rsidR="000A4E8B" w:rsidRDefault="000A4E8B" w:rsidP="000A4E8B">
            <w:pPr>
              <w:pStyle w:val="TableText"/>
            </w:pPr>
            <w:r>
              <w:t>WTO Agreement on the Application of Sanitary and Phytosanitary Measures.</w:t>
            </w:r>
          </w:p>
        </w:tc>
      </w:tr>
      <w:tr w:rsidR="000A4E8B" w14:paraId="2E9A52A3" w14:textId="77777777">
        <w:tc>
          <w:tcPr>
            <w:tcW w:w="1509" w:type="pct"/>
          </w:tcPr>
          <w:p w14:paraId="70EE322C" w14:textId="77777777" w:rsidR="000A4E8B" w:rsidRDefault="000A4E8B" w:rsidP="000A4E8B">
            <w:pPr>
              <w:pStyle w:val="TableText"/>
            </w:pPr>
            <w:r>
              <w:t>stakeholders</w:t>
            </w:r>
          </w:p>
        </w:tc>
        <w:tc>
          <w:tcPr>
            <w:tcW w:w="3491" w:type="pct"/>
          </w:tcPr>
          <w:p w14:paraId="7D07C841" w14:textId="77777777" w:rsidR="000A4E8B" w:rsidRDefault="000A4E8B" w:rsidP="000A4E8B">
            <w:pPr>
              <w:pStyle w:val="TableText"/>
            </w:pPr>
            <w:r>
              <w:t>Government agencies, individuals, community or industry groups or organisations, in Australia or overseas, including the proponent/applicant for a specific proposal, that have an interest in the policy issues.</w:t>
            </w:r>
          </w:p>
        </w:tc>
      </w:tr>
      <w:tr w:rsidR="0015652B" w14:paraId="6144F014" w14:textId="77777777">
        <w:tc>
          <w:tcPr>
            <w:tcW w:w="1509" w:type="pct"/>
          </w:tcPr>
          <w:p w14:paraId="102187DB" w14:textId="6CB2A8D3" w:rsidR="0015652B" w:rsidRDefault="004C1327" w:rsidP="000A4E8B">
            <w:pPr>
              <w:pStyle w:val="TableText"/>
            </w:pPr>
            <w:r>
              <w:t>s</w:t>
            </w:r>
            <w:r w:rsidR="00786E9F">
              <w:t>tockfeed</w:t>
            </w:r>
          </w:p>
        </w:tc>
        <w:tc>
          <w:tcPr>
            <w:tcW w:w="3491" w:type="pct"/>
          </w:tcPr>
          <w:p w14:paraId="71659653" w14:textId="18F0B533" w:rsidR="0015652B" w:rsidRDefault="0075106B" w:rsidP="000A4E8B">
            <w:pPr>
              <w:pStyle w:val="TableText"/>
            </w:pPr>
            <w:r w:rsidRPr="0075106B">
              <w:t xml:space="preserve">Any single material, or multiple materials, whether processed, semi-processed or raw, which is intended to be fed directly to food producing species (including horses, poultry and for aquaculture) for the maintenance of life, normal growth, production, </w:t>
            </w:r>
            <w:proofErr w:type="gramStart"/>
            <w:r w:rsidRPr="0075106B">
              <w:t>work</w:t>
            </w:r>
            <w:proofErr w:type="gramEnd"/>
            <w:r w:rsidRPr="0075106B">
              <w:t xml:space="preserve"> and reproduction. A stockfeed comprises one or more stockfeed ingredients and may also contain one or more stockfeed additives</w:t>
            </w:r>
          </w:p>
        </w:tc>
      </w:tr>
      <w:tr w:rsidR="00361C41" w14:paraId="7A5DB1F6" w14:textId="77777777">
        <w:tc>
          <w:tcPr>
            <w:tcW w:w="1509" w:type="pct"/>
          </w:tcPr>
          <w:p w14:paraId="6D06030F" w14:textId="7FDF2B2E" w:rsidR="00361C41" w:rsidRDefault="00361C41" w:rsidP="000A4E8B">
            <w:pPr>
              <w:pStyle w:val="TableText"/>
            </w:pPr>
            <w:r w:rsidRPr="00361C41">
              <w:t>TCID</w:t>
            </w:r>
            <w:r w:rsidRPr="00361C41">
              <w:rPr>
                <w:vertAlign w:val="subscript"/>
              </w:rPr>
              <w:t>50</w:t>
            </w:r>
          </w:p>
        </w:tc>
        <w:tc>
          <w:tcPr>
            <w:tcW w:w="3491" w:type="pct"/>
          </w:tcPr>
          <w:p w14:paraId="1AB05947" w14:textId="5F85D26F" w:rsidR="00361C41" w:rsidRPr="0075106B" w:rsidRDefault="00361C41" w:rsidP="000A4E8B">
            <w:pPr>
              <w:pStyle w:val="TableText"/>
            </w:pPr>
            <w:r w:rsidRPr="00361C41">
              <w:t xml:space="preserve">50% Tissue </w:t>
            </w:r>
            <w:r>
              <w:t>C</w:t>
            </w:r>
            <w:r w:rsidRPr="00361C41">
              <w:t>ulture Infective Dose</w:t>
            </w:r>
          </w:p>
        </w:tc>
      </w:tr>
      <w:tr w:rsidR="000A4E8B" w14:paraId="5774856D" w14:textId="77777777">
        <w:tc>
          <w:tcPr>
            <w:tcW w:w="1509" w:type="pct"/>
          </w:tcPr>
          <w:p w14:paraId="687336CE" w14:textId="77777777" w:rsidR="000A4E8B" w:rsidRDefault="000A4E8B" w:rsidP="000A4E8B">
            <w:pPr>
              <w:pStyle w:val="TableText"/>
            </w:pPr>
            <w:r>
              <w:t>unrestricted risk</w:t>
            </w:r>
          </w:p>
        </w:tc>
        <w:tc>
          <w:tcPr>
            <w:tcW w:w="3491" w:type="pct"/>
          </w:tcPr>
          <w:p w14:paraId="270A7699" w14:textId="77777777" w:rsidR="000A4E8B" w:rsidRDefault="000A4E8B" w:rsidP="000A4E8B">
            <w:pPr>
              <w:pStyle w:val="TableText"/>
            </w:pPr>
            <w:r>
              <w:t>Unrestricted risk estimates apply in the absence of risk mitigation measures.</w:t>
            </w:r>
          </w:p>
        </w:tc>
      </w:tr>
      <w:tr w:rsidR="000A4E8B" w14:paraId="321E6DD7" w14:textId="77777777">
        <w:trPr>
          <w:trHeight w:val="414"/>
        </w:trPr>
        <w:tc>
          <w:tcPr>
            <w:tcW w:w="1509" w:type="pct"/>
          </w:tcPr>
          <w:p w14:paraId="6A56954E" w14:textId="77777777" w:rsidR="000A4E8B" w:rsidRDefault="000A4E8B" w:rsidP="000A4E8B">
            <w:pPr>
              <w:pStyle w:val="TableText"/>
            </w:pPr>
            <w:r>
              <w:t>WTO</w:t>
            </w:r>
          </w:p>
        </w:tc>
        <w:tc>
          <w:tcPr>
            <w:tcW w:w="3491" w:type="pct"/>
          </w:tcPr>
          <w:p w14:paraId="16AAD0F1" w14:textId="77777777" w:rsidR="000A4E8B" w:rsidRDefault="000A4E8B" w:rsidP="000A4E8B">
            <w:pPr>
              <w:pStyle w:val="TableText"/>
            </w:pPr>
            <w:r>
              <w:t>World Trade Organization</w:t>
            </w:r>
          </w:p>
        </w:tc>
      </w:tr>
      <w:tr w:rsidR="000A4E8B" w14:paraId="0C07D136" w14:textId="77777777">
        <w:trPr>
          <w:trHeight w:val="414"/>
        </w:trPr>
        <w:tc>
          <w:tcPr>
            <w:tcW w:w="1509" w:type="pct"/>
          </w:tcPr>
          <w:p w14:paraId="59E969B0" w14:textId="20EEE370" w:rsidR="000A4E8B" w:rsidRDefault="00102C84" w:rsidP="000A4E8B">
            <w:pPr>
              <w:pStyle w:val="TableText"/>
            </w:pPr>
            <w:r>
              <w:t>v</w:t>
            </w:r>
            <w:r w:rsidR="000A4E8B" w:rsidRPr="00CE0084">
              <w:t>iral titre</w:t>
            </w:r>
          </w:p>
        </w:tc>
        <w:tc>
          <w:tcPr>
            <w:tcW w:w="3491" w:type="pct"/>
          </w:tcPr>
          <w:p w14:paraId="6A885A94" w14:textId="2BFDD975" w:rsidR="000A4E8B" w:rsidRDefault="000A4E8B" w:rsidP="000A4E8B">
            <w:pPr>
              <w:pStyle w:val="TableText"/>
            </w:pPr>
            <w:r w:rsidRPr="00CE0084">
              <w:t xml:space="preserve">Numerical expression of the quantity of virus </w:t>
            </w:r>
            <w:proofErr w:type="gramStart"/>
            <w:r w:rsidRPr="00CE0084">
              <w:t>in a given</w:t>
            </w:r>
            <w:proofErr w:type="gramEnd"/>
            <w:r w:rsidRPr="00CE0084">
              <w:t xml:space="preserve"> volume.</w:t>
            </w:r>
          </w:p>
        </w:tc>
      </w:tr>
      <w:bookmarkEnd w:id="31"/>
    </w:tbl>
    <w:p w14:paraId="3264740F" w14:textId="77777777" w:rsidR="00D74772" w:rsidRDefault="00D74772"/>
    <w:p w14:paraId="310FB14A" w14:textId="77777777" w:rsidR="00D74772" w:rsidRDefault="00D74772"/>
    <w:p w14:paraId="2801A754" w14:textId="31E7E9A3" w:rsidR="00D74772" w:rsidRDefault="00D74772" w:rsidP="004E2A80">
      <w:pPr>
        <w:pStyle w:val="Heading2"/>
        <w:numPr>
          <w:ilvl w:val="0"/>
          <w:numId w:val="0"/>
        </w:numPr>
        <w:ind w:left="794" w:hanging="794"/>
      </w:pPr>
      <w:bookmarkStart w:id="33" w:name="_Toc71018579"/>
      <w:r>
        <w:t xml:space="preserve">Appendix </w:t>
      </w:r>
      <w:r w:rsidR="007A27B3">
        <w:t>1</w:t>
      </w:r>
      <w:bookmarkEnd w:id="33"/>
    </w:p>
    <w:p w14:paraId="098276E7" w14:textId="7EA88F59" w:rsidR="00D74772" w:rsidRDefault="007A27B3" w:rsidP="00D74772">
      <w:r>
        <w:t xml:space="preserve">The table below </w:t>
      </w:r>
      <w:r w:rsidR="00D74772">
        <w:t xml:space="preserve">outlines </w:t>
      </w:r>
      <w:r w:rsidR="004E2A80">
        <w:t xml:space="preserve">the </w:t>
      </w:r>
      <w:r w:rsidR="00D74772">
        <w:t xml:space="preserve">evidence </w:t>
      </w:r>
      <w:r w:rsidR="008B215E">
        <w:t>that</w:t>
      </w:r>
      <w:r w:rsidR="00D74772">
        <w:t xml:space="preserve"> the prescribed </w:t>
      </w:r>
      <w:r w:rsidR="00213036">
        <w:t xml:space="preserve">moist </w:t>
      </w:r>
      <w:r w:rsidR="00D74772">
        <w:t>heat treatment (</w:t>
      </w:r>
      <w:r w:rsidR="00213036">
        <w:t xml:space="preserve">at least </w:t>
      </w:r>
      <w:r w:rsidR="00D74772">
        <w:t xml:space="preserve">85°C for </w:t>
      </w:r>
      <w:r w:rsidR="00213036">
        <w:t xml:space="preserve">at least </w:t>
      </w:r>
      <w:r w:rsidR="00D74772">
        <w:t>25 minutes) inactivat</w:t>
      </w:r>
      <w:r w:rsidR="008B215E">
        <w:t>es</w:t>
      </w:r>
      <w:r w:rsidR="00D74772">
        <w:t xml:space="preserve"> other aquatic diseases of concern.</w:t>
      </w:r>
    </w:p>
    <w:p w14:paraId="6D182713" w14:textId="640881E6" w:rsidR="00D74772" w:rsidRDefault="00D74772" w:rsidP="00D74772">
      <w:pPr>
        <w:pStyle w:val="Caption"/>
      </w:pPr>
      <w:r>
        <w:t>Overview of h</w:t>
      </w:r>
      <w:r w:rsidRPr="00902B43">
        <w:t xml:space="preserve">eat inactivation for other </w:t>
      </w:r>
      <w:r>
        <w:t xml:space="preserve">fish </w:t>
      </w:r>
      <w:r w:rsidRPr="00902B43">
        <w:t xml:space="preserve">viral, bacterial and </w:t>
      </w:r>
      <w:proofErr w:type="spellStart"/>
      <w:r>
        <w:t>m</w:t>
      </w:r>
      <w:r w:rsidRPr="00902B43">
        <w:t>yxozoan</w:t>
      </w:r>
      <w:proofErr w:type="spellEnd"/>
      <w:r w:rsidRPr="00902B43">
        <w:t xml:space="preserve"> pathogens.</w:t>
      </w:r>
    </w:p>
    <w:tbl>
      <w:tblPr>
        <w:tblW w:w="9356" w:type="dxa"/>
        <w:tblBorders>
          <w:top w:val="single" w:sz="4" w:space="0" w:color="auto"/>
          <w:bottom w:val="single" w:sz="4" w:space="0" w:color="auto"/>
        </w:tblBorders>
        <w:tblLook w:val="04A0" w:firstRow="1" w:lastRow="0" w:firstColumn="1" w:lastColumn="0" w:noHBand="0" w:noVBand="1"/>
      </w:tblPr>
      <w:tblGrid>
        <w:gridCol w:w="1418"/>
        <w:gridCol w:w="5245"/>
        <w:gridCol w:w="1701"/>
        <w:gridCol w:w="992"/>
      </w:tblGrid>
      <w:tr w:rsidR="00D74772" w:rsidRPr="006A030B" w14:paraId="1A294F19" w14:textId="77777777" w:rsidTr="00DF6B48">
        <w:tc>
          <w:tcPr>
            <w:tcW w:w="1418" w:type="dxa"/>
            <w:tcBorders>
              <w:bottom w:val="single" w:sz="4" w:space="0" w:color="auto"/>
            </w:tcBorders>
          </w:tcPr>
          <w:p w14:paraId="529FF5B8" w14:textId="77777777" w:rsidR="00D74772" w:rsidRPr="0042726E" w:rsidRDefault="00D74772" w:rsidP="00DF6B48">
            <w:pPr>
              <w:rPr>
                <w:rFonts w:asciiTheme="majorHAnsi" w:hAnsiTheme="majorHAnsi"/>
                <w:sz w:val="18"/>
                <w:szCs w:val="18"/>
              </w:rPr>
            </w:pPr>
            <w:r w:rsidRPr="0042726E">
              <w:rPr>
                <w:rFonts w:asciiTheme="majorHAnsi" w:hAnsiTheme="majorHAnsi"/>
                <w:sz w:val="18"/>
                <w:szCs w:val="18"/>
              </w:rPr>
              <w:t>Pathogen</w:t>
            </w:r>
          </w:p>
        </w:tc>
        <w:tc>
          <w:tcPr>
            <w:tcW w:w="5245" w:type="dxa"/>
            <w:tcBorders>
              <w:bottom w:val="single" w:sz="4" w:space="0" w:color="auto"/>
            </w:tcBorders>
          </w:tcPr>
          <w:p w14:paraId="5DA26A62" w14:textId="77777777" w:rsidR="00D74772" w:rsidRPr="0042726E" w:rsidRDefault="00D74772" w:rsidP="00DF6B48">
            <w:pPr>
              <w:rPr>
                <w:rFonts w:asciiTheme="majorHAnsi" w:hAnsiTheme="majorHAnsi"/>
                <w:sz w:val="18"/>
                <w:szCs w:val="18"/>
              </w:rPr>
            </w:pPr>
            <w:r w:rsidRPr="0042726E">
              <w:rPr>
                <w:rFonts w:asciiTheme="majorHAnsi" w:hAnsiTheme="majorHAnsi"/>
                <w:sz w:val="18"/>
                <w:szCs w:val="18"/>
              </w:rPr>
              <w:t xml:space="preserve">Results </w:t>
            </w:r>
          </w:p>
        </w:tc>
        <w:tc>
          <w:tcPr>
            <w:tcW w:w="1701" w:type="dxa"/>
            <w:tcBorders>
              <w:bottom w:val="single" w:sz="4" w:space="0" w:color="auto"/>
            </w:tcBorders>
          </w:tcPr>
          <w:p w14:paraId="3AD829F0" w14:textId="77777777" w:rsidR="00D74772" w:rsidRDefault="00D74772" w:rsidP="00DF6B48">
            <w:pPr>
              <w:rPr>
                <w:rFonts w:asciiTheme="majorHAnsi" w:hAnsiTheme="majorHAnsi"/>
                <w:sz w:val="18"/>
                <w:szCs w:val="18"/>
              </w:rPr>
            </w:pPr>
            <w:r w:rsidRPr="00E140CD">
              <w:rPr>
                <w:rFonts w:asciiTheme="majorHAnsi" w:hAnsiTheme="majorHAnsi"/>
                <w:sz w:val="18"/>
                <w:szCs w:val="18"/>
              </w:rPr>
              <w:t>Reference</w:t>
            </w:r>
          </w:p>
        </w:tc>
        <w:tc>
          <w:tcPr>
            <w:tcW w:w="992" w:type="dxa"/>
            <w:tcBorders>
              <w:bottom w:val="single" w:sz="4" w:space="0" w:color="auto"/>
            </w:tcBorders>
          </w:tcPr>
          <w:p w14:paraId="11CDAB17" w14:textId="77777777" w:rsidR="00D74772" w:rsidRPr="0042726E" w:rsidRDefault="00D74772" w:rsidP="00DF6B48">
            <w:pPr>
              <w:rPr>
                <w:rFonts w:asciiTheme="majorHAnsi" w:hAnsiTheme="majorHAnsi"/>
                <w:sz w:val="18"/>
                <w:szCs w:val="18"/>
              </w:rPr>
            </w:pPr>
            <w:r>
              <w:rPr>
                <w:rFonts w:asciiTheme="majorHAnsi" w:hAnsiTheme="majorHAnsi"/>
                <w:sz w:val="18"/>
                <w:szCs w:val="18"/>
              </w:rPr>
              <w:t>E</w:t>
            </w:r>
            <w:r w:rsidRPr="0042726E">
              <w:rPr>
                <w:rFonts w:asciiTheme="majorHAnsi" w:hAnsiTheme="majorHAnsi"/>
                <w:sz w:val="18"/>
                <w:szCs w:val="18"/>
              </w:rPr>
              <w:t xml:space="preserve">ffective </w:t>
            </w:r>
          </w:p>
        </w:tc>
      </w:tr>
      <w:tr w:rsidR="00D74772" w:rsidRPr="006A030B" w14:paraId="009CE862" w14:textId="77777777" w:rsidTr="00DF6B48">
        <w:tc>
          <w:tcPr>
            <w:tcW w:w="1418" w:type="dxa"/>
            <w:tcBorders>
              <w:top w:val="single" w:sz="4" w:space="0" w:color="auto"/>
              <w:bottom w:val="nil"/>
            </w:tcBorders>
          </w:tcPr>
          <w:p w14:paraId="3DCC3F55" w14:textId="77777777" w:rsidR="00D74772" w:rsidRPr="006A030B" w:rsidRDefault="00D74772" w:rsidP="00DF6B48">
            <w:pPr>
              <w:rPr>
                <w:rFonts w:asciiTheme="majorHAnsi" w:hAnsiTheme="majorHAnsi"/>
                <w:sz w:val="18"/>
                <w:szCs w:val="18"/>
              </w:rPr>
            </w:pPr>
            <w:r w:rsidRPr="006A030B">
              <w:rPr>
                <w:rFonts w:asciiTheme="majorHAnsi" w:hAnsiTheme="majorHAnsi"/>
                <w:sz w:val="18"/>
                <w:szCs w:val="18"/>
              </w:rPr>
              <w:t>ISAV</w:t>
            </w:r>
          </w:p>
        </w:tc>
        <w:tc>
          <w:tcPr>
            <w:tcW w:w="5245" w:type="dxa"/>
            <w:tcBorders>
              <w:top w:val="single" w:sz="4" w:space="0" w:color="auto"/>
              <w:bottom w:val="nil"/>
            </w:tcBorders>
          </w:tcPr>
          <w:p w14:paraId="5FA68422" w14:textId="77777777" w:rsidR="00D74772" w:rsidRPr="006A030B" w:rsidRDefault="00D74772" w:rsidP="00DF6B48">
            <w:pPr>
              <w:rPr>
                <w:rFonts w:asciiTheme="majorHAnsi" w:hAnsiTheme="majorHAnsi"/>
                <w:sz w:val="18"/>
                <w:szCs w:val="18"/>
                <w:lang w:val="en"/>
              </w:rPr>
            </w:pPr>
            <w:r w:rsidRPr="006A030B">
              <w:rPr>
                <w:rFonts w:asciiTheme="majorHAnsi" w:hAnsiTheme="majorHAnsi"/>
                <w:sz w:val="18"/>
                <w:szCs w:val="18"/>
                <w:lang w:val="en"/>
              </w:rPr>
              <w:t>Virus infectivity is lost within 30 min of exposure at 56°C</w:t>
            </w:r>
            <w:r>
              <w:rPr>
                <w:rFonts w:asciiTheme="majorHAnsi" w:hAnsiTheme="majorHAnsi"/>
                <w:sz w:val="18"/>
                <w:szCs w:val="18"/>
                <w:lang w:val="en"/>
              </w:rPr>
              <w:t>.</w:t>
            </w:r>
          </w:p>
        </w:tc>
        <w:tc>
          <w:tcPr>
            <w:tcW w:w="1701" w:type="dxa"/>
            <w:tcBorders>
              <w:top w:val="single" w:sz="4" w:space="0" w:color="auto"/>
              <w:bottom w:val="nil"/>
            </w:tcBorders>
          </w:tcPr>
          <w:p w14:paraId="1227E78B" w14:textId="77777777" w:rsidR="00D74772" w:rsidRPr="006A030B" w:rsidRDefault="00D74772" w:rsidP="00DF6B48">
            <w:pPr>
              <w:rPr>
                <w:rFonts w:asciiTheme="majorHAnsi" w:hAnsiTheme="majorHAnsi"/>
                <w:sz w:val="18"/>
                <w:szCs w:val="18"/>
                <w:lang w:val="en"/>
              </w:rPr>
            </w:pPr>
            <w:r>
              <w:rPr>
                <w:rFonts w:asciiTheme="majorHAnsi" w:hAnsiTheme="majorHAnsi"/>
                <w:sz w:val="18"/>
                <w:szCs w:val="18"/>
              </w:rPr>
              <w:t>Falk et al. (1997)</w:t>
            </w:r>
          </w:p>
        </w:tc>
        <w:tc>
          <w:tcPr>
            <w:tcW w:w="992" w:type="dxa"/>
            <w:tcBorders>
              <w:top w:val="single" w:sz="4" w:space="0" w:color="auto"/>
              <w:bottom w:val="nil"/>
            </w:tcBorders>
          </w:tcPr>
          <w:p w14:paraId="1FEA7526" w14:textId="77777777" w:rsidR="00D74772" w:rsidRPr="006A030B" w:rsidRDefault="00D74772" w:rsidP="00DF6B48">
            <w:pPr>
              <w:rPr>
                <w:rFonts w:asciiTheme="majorHAnsi" w:hAnsiTheme="majorHAnsi"/>
                <w:sz w:val="18"/>
                <w:szCs w:val="18"/>
                <w:lang w:val="en"/>
              </w:rPr>
            </w:pPr>
            <w:r w:rsidRPr="006A030B">
              <w:rPr>
                <w:rFonts w:asciiTheme="majorHAnsi" w:hAnsiTheme="majorHAnsi"/>
                <w:sz w:val="18"/>
                <w:szCs w:val="18"/>
                <w:lang w:val="en"/>
              </w:rPr>
              <w:t>Yes</w:t>
            </w:r>
          </w:p>
        </w:tc>
      </w:tr>
      <w:tr w:rsidR="00D74772" w:rsidRPr="006A030B" w14:paraId="7F134544" w14:textId="77777777" w:rsidTr="00DF6B48">
        <w:tc>
          <w:tcPr>
            <w:tcW w:w="1418" w:type="dxa"/>
            <w:tcBorders>
              <w:top w:val="nil"/>
            </w:tcBorders>
          </w:tcPr>
          <w:p w14:paraId="1E8BA636" w14:textId="77777777" w:rsidR="00D74772" w:rsidRPr="0042726E" w:rsidRDefault="00D74772" w:rsidP="00DF6B48">
            <w:pPr>
              <w:rPr>
                <w:rFonts w:asciiTheme="majorHAnsi" w:hAnsiTheme="majorHAnsi"/>
                <w:sz w:val="18"/>
                <w:szCs w:val="18"/>
              </w:rPr>
            </w:pPr>
            <w:r w:rsidRPr="0042726E">
              <w:rPr>
                <w:rFonts w:asciiTheme="majorHAnsi" w:hAnsiTheme="majorHAnsi"/>
                <w:sz w:val="18"/>
                <w:szCs w:val="18"/>
              </w:rPr>
              <w:t>SAV</w:t>
            </w:r>
          </w:p>
        </w:tc>
        <w:tc>
          <w:tcPr>
            <w:tcW w:w="5245" w:type="dxa"/>
            <w:tcBorders>
              <w:top w:val="nil"/>
            </w:tcBorders>
          </w:tcPr>
          <w:p w14:paraId="6E741858" w14:textId="77777777" w:rsidR="00D74772" w:rsidRPr="0042726E" w:rsidRDefault="00D74772" w:rsidP="00DF6B48">
            <w:pPr>
              <w:rPr>
                <w:rFonts w:asciiTheme="majorHAnsi" w:hAnsiTheme="majorHAnsi"/>
                <w:sz w:val="18"/>
                <w:szCs w:val="18"/>
              </w:rPr>
            </w:pPr>
            <w:r>
              <w:rPr>
                <w:rFonts w:asciiTheme="majorHAnsi" w:hAnsiTheme="majorHAnsi"/>
                <w:sz w:val="18"/>
                <w:szCs w:val="18"/>
                <w:lang w:val="en"/>
              </w:rPr>
              <w:t>I</w:t>
            </w:r>
            <w:r w:rsidRPr="0042726E">
              <w:rPr>
                <w:rFonts w:asciiTheme="majorHAnsi" w:hAnsiTheme="majorHAnsi"/>
                <w:sz w:val="18"/>
                <w:szCs w:val="18"/>
                <w:lang w:val="en"/>
              </w:rPr>
              <w:t xml:space="preserve">nactivated </w:t>
            </w:r>
            <w:r>
              <w:rPr>
                <w:rFonts w:asciiTheme="majorHAnsi" w:hAnsiTheme="majorHAnsi"/>
                <w:sz w:val="18"/>
                <w:szCs w:val="18"/>
                <w:lang w:val="en"/>
              </w:rPr>
              <w:t>with no virus detected within 1 hour at</w:t>
            </w:r>
            <w:r w:rsidRPr="0042726E">
              <w:rPr>
                <w:rFonts w:asciiTheme="majorHAnsi" w:hAnsiTheme="majorHAnsi"/>
                <w:sz w:val="18"/>
                <w:szCs w:val="18"/>
                <w:lang w:val="en"/>
              </w:rPr>
              <w:t xml:space="preserve"> 60°C</w:t>
            </w:r>
            <w:r>
              <w:rPr>
                <w:rFonts w:asciiTheme="majorHAnsi" w:hAnsiTheme="majorHAnsi"/>
                <w:sz w:val="18"/>
                <w:szCs w:val="18"/>
                <w:lang w:val="en"/>
              </w:rPr>
              <w:t>.</w:t>
            </w:r>
          </w:p>
        </w:tc>
        <w:tc>
          <w:tcPr>
            <w:tcW w:w="1701" w:type="dxa"/>
            <w:tcBorders>
              <w:top w:val="nil"/>
            </w:tcBorders>
          </w:tcPr>
          <w:p w14:paraId="76D6CC2F" w14:textId="77777777" w:rsidR="00D74772" w:rsidRPr="006A030B" w:rsidRDefault="00D74772" w:rsidP="00DF6B48">
            <w:pPr>
              <w:rPr>
                <w:rFonts w:asciiTheme="majorHAnsi" w:hAnsiTheme="majorHAnsi"/>
                <w:sz w:val="18"/>
                <w:szCs w:val="18"/>
                <w:lang w:val="en"/>
              </w:rPr>
            </w:pPr>
            <w:r>
              <w:rPr>
                <w:rFonts w:asciiTheme="majorHAnsi" w:hAnsiTheme="majorHAnsi"/>
                <w:sz w:val="18"/>
                <w:szCs w:val="18"/>
              </w:rPr>
              <w:t>Graham et al. (2007)</w:t>
            </w:r>
          </w:p>
        </w:tc>
        <w:tc>
          <w:tcPr>
            <w:tcW w:w="992" w:type="dxa"/>
            <w:tcBorders>
              <w:top w:val="nil"/>
            </w:tcBorders>
          </w:tcPr>
          <w:p w14:paraId="29641200" w14:textId="77777777" w:rsidR="00D74772" w:rsidRPr="0042726E" w:rsidRDefault="00D74772" w:rsidP="00DF6B48">
            <w:pPr>
              <w:rPr>
                <w:rFonts w:asciiTheme="majorHAnsi" w:hAnsiTheme="majorHAnsi"/>
                <w:sz w:val="18"/>
                <w:szCs w:val="18"/>
                <w:lang w:val="en"/>
              </w:rPr>
            </w:pPr>
            <w:r w:rsidRPr="0042726E">
              <w:rPr>
                <w:rFonts w:asciiTheme="majorHAnsi" w:hAnsiTheme="majorHAnsi"/>
                <w:sz w:val="18"/>
                <w:szCs w:val="18"/>
                <w:lang w:val="en"/>
              </w:rPr>
              <w:t>Yes</w:t>
            </w:r>
          </w:p>
        </w:tc>
      </w:tr>
      <w:tr w:rsidR="00D74772" w:rsidRPr="006A030B" w14:paraId="566145A0" w14:textId="77777777" w:rsidTr="00DF6B48">
        <w:tc>
          <w:tcPr>
            <w:tcW w:w="1418" w:type="dxa"/>
          </w:tcPr>
          <w:p w14:paraId="2155358B" w14:textId="77777777" w:rsidR="00D74772" w:rsidRPr="0042726E" w:rsidRDefault="00D74772" w:rsidP="00DF6B48">
            <w:pPr>
              <w:rPr>
                <w:rFonts w:asciiTheme="majorHAnsi" w:hAnsiTheme="majorHAnsi"/>
                <w:sz w:val="18"/>
                <w:szCs w:val="18"/>
              </w:rPr>
            </w:pPr>
            <w:r w:rsidRPr="0042726E">
              <w:rPr>
                <w:rFonts w:asciiTheme="majorHAnsi" w:hAnsiTheme="majorHAnsi"/>
                <w:sz w:val="18"/>
                <w:szCs w:val="18"/>
              </w:rPr>
              <w:t>VHS</w:t>
            </w:r>
            <w:r>
              <w:rPr>
                <w:rFonts w:asciiTheme="majorHAnsi" w:hAnsiTheme="majorHAnsi"/>
                <w:sz w:val="18"/>
                <w:szCs w:val="18"/>
              </w:rPr>
              <w:t>V</w:t>
            </w:r>
          </w:p>
        </w:tc>
        <w:tc>
          <w:tcPr>
            <w:tcW w:w="5245" w:type="dxa"/>
          </w:tcPr>
          <w:p w14:paraId="5CF3E871" w14:textId="77777777" w:rsidR="00D74772" w:rsidRPr="0042726E" w:rsidRDefault="00D74772" w:rsidP="00DF6B48">
            <w:pPr>
              <w:rPr>
                <w:rFonts w:asciiTheme="majorHAnsi" w:hAnsiTheme="majorHAnsi"/>
                <w:sz w:val="18"/>
                <w:szCs w:val="18"/>
              </w:rPr>
            </w:pPr>
            <w:r w:rsidRPr="0042726E">
              <w:rPr>
                <w:rFonts w:asciiTheme="majorHAnsi" w:hAnsiTheme="majorHAnsi"/>
                <w:sz w:val="18"/>
                <w:szCs w:val="18"/>
              </w:rPr>
              <w:t xml:space="preserve">Inactivated by heat </w:t>
            </w:r>
            <w:r>
              <w:rPr>
                <w:rFonts w:asciiTheme="majorHAnsi" w:hAnsiTheme="majorHAnsi"/>
                <w:sz w:val="18"/>
                <w:szCs w:val="18"/>
              </w:rPr>
              <w:t>70</w:t>
            </w:r>
            <w:r w:rsidRPr="0042726E">
              <w:rPr>
                <w:rFonts w:asciiTheme="majorHAnsi" w:hAnsiTheme="majorHAnsi"/>
                <w:sz w:val="18"/>
                <w:szCs w:val="18"/>
              </w:rPr>
              <w:t>°C</w:t>
            </w:r>
            <w:r>
              <w:rPr>
                <w:rFonts w:asciiTheme="majorHAnsi" w:hAnsiTheme="majorHAnsi"/>
                <w:sz w:val="18"/>
                <w:szCs w:val="18"/>
              </w:rPr>
              <w:t xml:space="preserve"> for 1 min</w:t>
            </w:r>
            <w:r w:rsidRPr="0042726E">
              <w:rPr>
                <w:rFonts w:asciiTheme="majorHAnsi" w:hAnsiTheme="majorHAnsi"/>
                <w:sz w:val="18"/>
                <w:szCs w:val="18"/>
              </w:rPr>
              <w:t xml:space="preserve">. </w:t>
            </w:r>
          </w:p>
        </w:tc>
        <w:tc>
          <w:tcPr>
            <w:tcW w:w="1701" w:type="dxa"/>
          </w:tcPr>
          <w:p w14:paraId="142913D1" w14:textId="77777777" w:rsidR="00D74772" w:rsidRPr="006A030B" w:rsidRDefault="00D74772" w:rsidP="00DF6B48">
            <w:pPr>
              <w:rPr>
                <w:rFonts w:asciiTheme="majorHAnsi" w:hAnsiTheme="majorHAnsi"/>
                <w:sz w:val="18"/>
                <w:szCs w:val="18"/>
              </w:rPr>
            </w:pPr>
            <w:proofErr w:type="spellStart"/>
            <w:r w:rsidRPr="001B3BE4">
              <w:rPr>
                <w:rFonts w:asciiTheme="majorHAnsi" w:hAnsiTheme="majorHAnsi"/>
                <w:sz w:val="18"/>
                <w:szCs w:val="18"/>
              </w:rPr>
              <w:t>Jørgensen</w:t>
            </w:r>
            <w:proofErr w:type="spellEnd"/>
            <w:r>
              <w:rPr>
                <w:rFonts w:asciiTheme="majorHAnsi" w:hAnsiTheme="majorHAnsi"/>
                <w:sz w:val="18"/>
                <w:szCs w:val="18"/>
              </w:rPr>
              <w:t xml:space="preserve"> (1973)</w:t>
            </w:r>
          </w:p>
        </w:tc>
        <w:tc>
          <w:tcPr>
            <w:tcW w:w="992" w:type="dxa"/>
          </w:tcPr>
          <w:p w14:paraId="06E9E776" w14:textId="77777777" w:rsidR="00D74772" w:rsidRPr="0042726E" w:rsidRDefault="00D74772" w:rsidP="00DF6B48">
            <w:pPr>
              <w:rPr>
                <w:rFonts w:asciiTheme="majorHAnsi" w:hAnsiTheme="majorHAnsi"/>
                <w:sz w:val="18"/>
                <w:szCs w:val="18"/>
              </w:rPr>
            </w:pPr>
            <w:r w:rsidRPr="0042726E">
              <w:rPr>
                <w:rFonts w:asciiTheme="majorHAnsi" w:hAnsiTheme="majorHAnsi"/>
                <w:sz w:val="18"/>
                <w:szCs w:val="18"/>
              </w:rPr>
              <w:t>Yes</w:t>
            </w:r>
          </w:p>
        </w:tc>
      </w:tr>
      <w:tr w:rsidR="00D74772" w:rsidRPr="006A030B" w14:paraId="6F7517E4" w14:textId="77777777" w:rsidTr="00DF6B48">
        <w:tc>
          <w:tcPr>
            <w:tcW w:w="1418" w:type="dxa"/>
          </w:tcPr>
          <w:p w14:paraId="6CB8E7F5" w14:textId="77777777" w:rsidR="00D74772" w:rsidRPr="0042726E" w:rsidRDefault="00D74772" w:rsidP="00DF6B48">
            <w:pPr>
              <w:rPr>
                <w:rFonts w:asciiTheme="majorHAnsi" w:hAnsiTheme="majorHAnsi"/>
                <w:sz w:val="18"/>
                <w:szCs w:val="18"/>
              </w:rPr>
            </w:pPr>
            <w:r w:rsidRPr="0042726E">
              <w:rPr>
                <w:rFonts w:asciiTheme="majorHAnsi" w:hAnsiTheme="majorHAnsi"/>
                <w:sz w:val="18"/>
                <w:szCs w:val="18"/>
              </w:rPr>
              <w:t>IHNV</w:t>
            </w:r>
          </w:p>
        </w:tc>
        <w:tc>
          <w:tcPr>
            <w:tcW w:w="5245" w:type="dxa"/>
          </w:tcPr>
          <w:p w14:paraId="0CA7A43C" w14:textId="77777777" w:rsidR="00D74772" w:rsidRPr="0042726E" w:rsidRDefault="00D74772" w:rsidP="00DF6B48">
            <w:pPr>
              <w:rPr>
                <w:rFonts w:asciiTheme="majorHAnsi" w:hAnsiTheme="majorHAnsi"/>
                <w:sz w:val="18"/>
                <w:szCs w:val="18"/>
              </w:rPr>
            </w:pPr>
            <w:r w:rsidRPr="0042726E">
              <w:rPr>
                <w:rFonts w:asciiTheme="majorHAnsi" w:hAnsiTheme="majorHAnsi"/>
                <w:sz w:val="18"/>
                <w:szCs w:val="18"/>
              </w:rPr>
              <w:t xml:space="preserve">Inactivated </w:t>
            </w:r>
            <w:r>
              <w:rPr>
                <w:rFonts w:asciiTheme="majorHAnsi" w:hAnsiTheme="majorHAnsi"/>
                <w:sz w:val="18"/>
                <w:szCs w:val="18"/>
              </w:rPr>
              <w:t>by heat 55</w:t>
            </w:r>
            <w:r w:rsidRPr="0042726E">
              <w:rPr>
                <w:rFonts w:asciiTheme="majorHAnsi" w:hAnsiTheme="majorHAnsi"/>
                <w:sz w:val="18"/>
                <w:szCs w:val="18"/>
              </w:rPr>
              <w:t>°C</w:t>
            </w:r>
            <w:r>
              <w:rPr>
                <w:rFonts w:asciiTheme="majorHAnsi" w:hAnsiTheme="majorHAnsi"/>
                <w:sz w:val="18"/>
                <w:szCs w:val="18"/>
              </w:rPr>
              <w:t xml:space="preserve"> for 30 sec</w:t>
            </w:r>
            <w:r w:rsidRPr="0042726E">
              <w:rPr>
                <w:rFonts w:asciiTheme="majorHAnsi" w:hAnsiTheme="majorHAnsi"/>
                <w:sz w:val="18"/>
                <w:szCs w:val="18"/>
              </w:rPr>
              <w:t>.</w:t>
            </w:r>
          </w:p>
        </w:tc>
        <w:tc>
          <w:tcPr>
            <w:tcW w:w="1701" w:type="dxa"/>
          </w:tcPr>
          <w:p w14:paraId="16543996" w14:textId="77777777" w:rsidR="00D74772" w:rsidRPr="006A030B" w:rsidRDefault="00D74772" w:rsidP="00DF6B48">
            <w:pPr>
              <w:rPr>
                <w:rFonts w:asciiTheme="majorHAnsi" w:hAnsiTheme="majorHAnsi"/>
                <w:sz w:val="18"/>
                <w:szCs w:val="18"/>
              </w:rPr>
            </w:pPr>
            <w:r w:rsidRPr="00D917EE">
              <w:rPr>
                <w:rFonts w:asciiTheme="majorHAnsi" w:hAnsiTheme="majorHAnsi"/>
                <w:sz w:val="18"/>
                <w:szCs w:val="18"/>
              </w:rPr>
              <w:t xml:space="preserve">Whipple &amp; </w:t>
            </w:r>
            <w:proofErr w:type="spellStart"/>
            <w:r w:rsidRPr="00D917EE">
              <w:rPr>
                <w:rFonts w:asciiTheme="majorHAnsi" w:hAnsiTheme="majorHAnsi"/>
                <w:sz w:val="18"/>
                <w:szCs w:val="18"/>
              </w:rPr>
              <w:t>Rohovec</w:t>
            </w:r>
            <w:proofErr w:type="spellEnd"/>
            <w:r w:rsidRPr="00D917EE">
              <w:rPr>
                <w:rFonts w:asciiTheme="majorHAnsi" w:hAnsiTheme="majorHAnsi"/>
                <w:sz w:val="18"/>
                <w:szCs w:val="18"/>
              </w:rPr>
              <w:t xml:space="preserve"> (1994)</w:t>
            </w:r>
          </w:p>
        </w:tc>
        <w:tc>
          <w:tcPr>
            <w:tcW w:w="992" w:type="dxa"/>
          </w:tcPr>
          <w:p w14:paraId="3831F447" w14:textId="77777777" w:rsidR="00D74772" w:rsidRPr="0042726E" w:rsidRDefault="00D74772" w:rsidP="00DF6B48">
            <w:pPr>
              <w:rPr>
                <w:rFonts w:asciiTheme="majorHAnsi" w:hAnsiTheme="majorHAnsi"/>
                <w:sz w:val="18"/>
                <w:szCs w:val="18"/>
              </w:rPr>
            </w:pPr>
            <w:r w:rsidRPr="0042726E">
              <w:rPr>
                <w:rFonts w:asciiTheme="majorHAnsi" w:hAnsiTheme="majorHAnsi"/>
                <w:sz w:val="18"/>
                <w:szCs w:val="18"/>
              </w:rPr>
              <w:t>Yes</w:t>
            </w:r>
          </w:p>
        </w:tc>
      </w:tr>
      <w:tr w:rsidR="00D74772" w:rsidRPr="006A030B" w14:paraId="39F38009" w14:textId="77777777" w:rsidTr="00DF6B48">
        <w:tc>
          <w:tcPr>
            <w:tcW w:w="1418" w:type="dxa"/>
          </w:tcPr>
          <w:p w14:paraId="7A226655" w14:textId="77777777" w:rsidR="00D74772" w:rsidRPr="00902B43" w:rsidRDefault="00D74772" w:rsidP="00DF6B48">
            <w:pPr>
              <w:rPr>
                <w:sz w:val="18"/>
                <w:szCs w:val="18"/>
              </w:rPr>
            </w:pPr>
            <w:r w:rsidRPr="00902B43">
              <w:rPr>
                <w:sz w:val="18"/>
                <w:szCs w:val="18"/>
              </w:rPr>
              <w:t>RSIV</w:t>
            </w:r>
          </w:p>
        </w:tc>
        <w:tc>
          <w:tcPr>
            <w:tcW w:w="5245" w:type="dxa"/>
          </w:tcPr>
          <w:p w14:paraId="14BCC949" w14:textId="77777777" w:rsidR="00D74772" w:rsidRPr="00902B43" w:rsidRDefault="00D74772" w:rsidP="00DF6B48">
            <w:pPr>
              <w:rPr>
                <w:sz w:val="18"/>
                <w:szCs w:val="18"/>
              </w:rPr>
            </w:pPr>
            <w:r w:rsidRPr="00902B43">
              <w:rPr>
                <w:sz w:val="18"/>
                <w:szCs w:val="18"/>
              </w:rPr>
              <w:t xml:space="preserve">RSIV is inactivated at a heat treatment of 56 °C for 30 min </w:t>
            </w:r>
          </w:p>
        </w:tc>
        <w:tc>
          <w:tcPr>
            <w:tcW w:w="1701" w:type="dxa"/>
          </w:tcPr>
          <w:p w14:paraId="2982B97B" w14:textId="77777777" w:rsidR="00D74772" w:rsidRPr="00902B43" w:rsidRDefault="00D74772" w:rsidP="00DF6B48">
            <w:pPr>
              <w:rPr>
                <w:sz w:val="18"/>
                <w:szCs w:val="18"/>
              </w:rPr>
            </w:pPr>
            <w:r w:rsidRPr="00902B43">
              <w:rPr>
                <w:sz w:val="18"/>
                <w:szCs w:val="18"/>
              </w:rPr>
              <w:t xml:space="preserve">Nakajima and </w:t>
            </w:r>
            <w:proofErr w:type="spellStart"/>
            <w:r w:rsidRPr="00902B43">
              <w:rPr>
                <w:sz w:val="18"/>
                <w:szCs w:val="18"/>
              </w:rPr>
              <w:t>Sorimachi</w:t>
            </w:r>
            <w:proofErr w:type="spellEnd"/>
            <w:r>
              <w:rPr>
                <w:sz w:val="18"/>
                <w:szCs w:val="18"/>
              </w:rPr>
              <w:t xml:space="preserve"> (</w:t>
            </w:r>
            <w:r w:rsidRPr="00902B43">
              <w:rPr>
                <w:sz w:val="18"/>
                <w:szCs w:val="18"/>
              </w:rPr>
              <w:t>1994)</w:t>
            </w:r>
          </w:p>
        </w:tc>
        <w:tc>
          <w:tcPr>
            <w:tcW w:w="992" w:type="dxa"/>
          </w:tcPr>
          <w:p w14:paraId="171273DC" w14:textId="77777777" w:rsidR="00D74772" w:rsidRPr="00AF65B5" w:rsidRDefault="00D74772" w:rsidP="00DF6B48">
            <w:pPr>
              <w:rPr>
                <w:rFonts w:asciiTheme="majorHAnsi" w:hAnsiTheme="majorHAnsi"/>
                <w:sz w:val="18"/>
                <w:szCs w:val="18"/>
              </w:rPr>
            </w:pPr>
            <w:r>
              <w:rPr>
                <w:rFonts w:asciiTheme="majorHAnsi" w:hAnsiTheme="majorHAnsi"/>
                <w:sz w:val="18"/>
                <w:szCs w:val="18"/>
              </w:rPr>
              <w:t>Yes</w:t>
            </w:r>
          </w:p>
        </w:tc>
      </w:tr>
      <w:tr w:rsidR="00D74772" w:rsidRPr="006A030B" w14:paraId="215AF9DB" w14:textId="77777777" w:rsidTr="00DF6B48">
        <w:tc>
          <w:tcPr>
            <w:tcW w:w="1418" w:type="dxa"/>
          </w:tcPr>
          <w:p w14:paraId="4D83AD30" w14:textId="77777777" w:rsidR="00D74772" w:rsidRPr="0042726E" w:rsidRDefault="00D74772" w:rsidP="00DF6B48">
            <w:pPr>
              <w:rPr>
                <w:rFonts w:asciiTheme="majorHAnsi" w:hAnsiTheme="majorHAnsi"/>
                <w:i/>
                <w:sz w:val="18"/>
                <w:szCs w:val="18"/>
              </w:rPr>
            </w:pPr>
            <w:proofErr w:type="spellStart"/>
            <w:r w:rsidRPr="0042726E">
              <w:rPr>
                <w:rFonts w:asciiTheme="majorHAnsi" w:hAnsiTheme="majorHAnsi"/>
                <w:i/>
                <w:sz w:val="18"/>
                <w:szCs w:val="18"/>
              </w:rPr>
              <w:t>Renibacterium</w:t>
            </w:r>
            <w:proofErr w:type="spellEnd"/>
            <w:r w:rsidRPr="0042726E">
              <w:rPr>
                <w:rFonts w:asciiTheme="majorHAnsi" w:hAnsiTheme="majorHAnsi"/>
                <w:i/>
                <w:sz w:val="18"/>
                <w:szCs w:val="18"/>
              </w:rPr>
              <w:t xml:space="preserve"> </w:t>
            </w:r>
            <w:proofErr w:type="spellStart"/>
            <w:r w:rsidRPr="0042726E">
              <w:rPr>
                <w:rFonts w:asciiTheme="majorHAnsi" w:hAnsiTheme="majorHAnsi"/>
                <w:i/>
                <w:sz w:val="18"/>
                <w:szCs w:val="18"/>
              </w:rPr>
              <w:t>salmonarum</w:t>
            </w:r>
            <w:proofErr w:type="spellEnd"/>
          </w:p>
        </w:tc>
        <w:tc>
          <w:tcPr>
            <w:tcW w:w="5245" w:type="dxa"/>
          </w:tcPr>
          <w:p w14:paraId="4F97F50F" w14:textId="77777777" w:rsidR="00D74772" w:rsidRDefault="00D74772" w:rsidP="00DF6B48">
            <w:pPr>
              <w:rPr>
                <w:rFonts w:asciiTheme="majorHAnsi" w:hAnsiTheme="majorHAnsi"/>
                <w:sz w:val="18"/>
                <w:szCs w:val="18"/>
              </w:rPr>
            </w:pPr>
            <w:r>
              <w:rPr>
                <w:rFonts w:asciiTheme="majorHAnsi" w:hAnsiTheme="majorHAnsi"/>
                <w:sz w:val="18"/>
                <w:szCs w:val="18"/>
              </w:rPr>
              <w:t>W</w:t>
            </w:r>
            <w:r w:rsidRPr="0042726E">
              <w:rPr>
                <w:rFonts w:asciiTheme="majorHAnsi" w:hAnsiTheme="majorHAnsi"/>
                <w:sz w:val="18"/>
                <w:szCs w:val="18"/>
              </w:rPr>
              <w:t xml:space="preserve">as not detected after 15 min at 65°C. </w:t>
            </w:r>
          </w:p>
          <w:p w14:paraId="13A12C80" w14:textId="77777777" w:rsidR="00D74772" w:rsidRPr="0042726E" w:rsidRDefault="00D74772" w:rsidP="00DF6B48">
            <w:pPr>
              <w:rPr>
                <w:rFonts w:asciiTheme="majorHAnsi" w:hAnsiTheme="majorHAnsi"/>
                <w:sz w:val="18"/>
                <w:szCs w:val="18"/>
              </w:rPr>
            </w:pPr>
            <w:r w:rsidRPr="0042726E">
              <w:rPr>
                <w:rFonts w:asciiTheme="majorHAnsi" w:hAnsiTheme="majorHAnsi"/>
                <w:sz w:val="18"/>
                <w:szCs w:val="18"/>
              </w:rPr>
              <w:t>Undetectable after 1 min in fish silage at 55°C.</w:t>
            </w:r>
          </w:p>
        </w:tc>
        <w:tc>
          <w:tcPr>
            <w:tcW w:w="1701" w:type="dxa"/>
          </w:tcPr>
          <w:p w14:paraId="2934DB21" w14:textId="77777777" w:rsidR="00D74772" w:rsidRPr="006A030B" w:rsidRDefault="00D74772" w:rsidP="00DF6B48">
            <w:pPr>
              <w:rPr>
                <w:rFonts w:asciiTheme="majorHAnsi" w:hAnsiTheme="majorHAnsi"/>
                <w:sz w:val="18"/>
                <w:szCs w:val="18"/>
              </w:rPr>
            </w:pPr>
            <w:r w:rsidRPr="00E140CD">
              <w:rPr>
                <w:rFonts w:asciiTheme="majorHAnsi" w:hAnsiTheme="majorHAnsi"/>
                <w:sz w:val="18"/>
                <w:szCs w:val="18"/>
              </w:rPr>
              <w:t xml:space="preserve">Whipple &amp; </w:t>
            </w:r>
            <w:proofErr w:type="spellStart"/>
            <w:r w:rsidRPr="00E140CD">
              <w:rPr>
                <w:rFonts w:asciiTheme="majorHAnsi" w:hAnsiTheme="majorHAnsi"/>
                <w:sz w:val="18"/>
                <w:szCs w:val="18"/>
              </w:rPr>
              <w:t>Rohovec</w:t>
            </w:r>
            <w:proofErr w:type="spellEnd"/>
            <w:r w:rsidRPr="00E140CD">
              <w:rPr>
                <w:rFonts w:asciiTheme="majorHAnsi" w:hAnsiTheme="majorHAnsi"/>
                <w:sz w:val="18"/>
                <w:szCs w:val="18"/>
              </w:rPr>
              <w:t xml:space="preserve"> (1994)</w:t>
            </w:r>
          </w:p>
        </w:tc>
        <w:tc>
          <w:tcPr>
            <w:tcW w:w="992" w:type="dxa"/>
          </w:tcPr>
          <w:p w14:paraId="6BC75667" w14:textId="77777777" w:rsidR="00D74772" w:rsidRPr="0042726E" w:rsidRDefault="00D74772" w:rsidP="00DF6B48">
            <w:pPr>
              <w:rPr>
                <w:rFonts w:asciiTheme="majorHAnsi" w:hAnsiTheme="majorHAnsi"/>
                <w:sz w:val="18"/>
                <w:szCs w:val="18"/>
              </w:rPr>
            </w:pPr>
            <w:r w:rsidRPr="0042726E">
              <w:rPr>
                <w:rFonts w:asciiTheme="majorHAnsi" w:hAnsiTheme="majorHAnsi"/>
                <w:sz w:val="18"/>
                <w:szCs w:val="18"/>
              </w:rPr>
              <w:t>Yes</w:t>
            </w:r>
          </w:p>
          <w:p w14:paraId="594AB051" w14:textId="77777777" w:rsidR="00D74772" w:rsidRPr="0042726E" w:rsidRDefault="00D74772" w:rsidP="00DF6B48">
            <w:pPr>
              <w:rPr>
                <w:rFonts w:asciiTheme="majorHAnsi" w:hAnsiTheme="majorHAnsi"/>
                <w:sz w:val="18"/>
                <w:szCs w:val="18"/>
              </w:rPr>
            </w:pPr>
          </w:p>
        </w:tc>
      </w:tr>
      <w:tr w:rsidR="00D74772" w:rsidRPr="006A030B" w14:paraId="101B7551" w14:textId="77777777" w:rsidTr="00DF6B48">
        <w:tc>
          <w:tcPr>
            <w:tcW w:w="1418" w:type="dxa"/>
          </w:tcPr>
          <w:p w14:paraId="3A3005A6" w14:textId="77777777" w:rsidR="00D74772" w:rsidRPr="0042726E" w:rsidRDefault="00D74772" w:rsidP="00DF6B48">
            <w:pPr>
              <w:rPr>
                <w:rFonts w:asciiTheme="majorHAnsi" w:hAnsiTheme="majorHAnsi"/>
                <w:i/>
                <w:sz w:val="18"/>
                <w:szCs w:val="18"/>
              </w:rPr>
            </w:pPr>
            <w:r w:rsidRPr="0042726E">
              <w:rPr>
                <w:rFonts w:asciiTheme="majorHAnsi" w:hAnsiTheme="majorHAnsi"/>
                <w:i/>
                <w:sz w:val="18"/>
                <w:szCs w:val="18"/>
              </w:rPr>
              <w:t xml:space="preserve">Aeromonas </w:t>
            </w:r>
            <w:proofErr w:type="spellStart"/>
            <w:r w:rsidRPr="0042726E">
              <w:rPr>
                <w:rFonts w:asciiTheme="majorHAnsi" w:hAnsiTheme="majorHAnsi"/>
                <w:i/>
                <w:sz w:val="18"/>
                <w:szCs w:val="18"/>
              </w:rPr>
              <w:t>salmonicida</w:t>
            </w:r>
            <w:proofErr w:type="spellEnd"/>
          </w:p>
        </w:tc>
        <w:tc>
          <w:tcPr>
            <w:tcW w:w="5245" w:type="dxa"/>
          </w:tcPr>
          <w:p w14:paraId="5F5588E5" w14:textId="77777777" w:rsidR="00D74772" w:rsidRPr="0042726E" w:rsidRDefault="00D74772" w:rsidP="00DF6B48">
            <w:pPr>
              <w:rPr>
                <w:rFonts w:asciiTheme="majorHAnsi" w:hAnsiTheme="majorHAnsi"/>
                <w:sz w:val="18"/>
                <w:szCs w:val="18"/>
              </w:rPr>
            </w:pPr>
            <w:r w:rsidRPr="0042726E">
              <w:rPr>
                <w:rFonts w:asciiTheme="majorHAnsi" w:hAnsiTheme="majorHAnsi"/>
                <w:sz w:val="18"/>
                <w:szCs w:val="18"/>
              </w:rPr>
              <w:t xml:space="preserve">Undetectable after 2 min at 50°C. </w:t>
            </w:r>
          </w:p>
        </w:tc>
        <w:tc>
          <w:tcPr>
            <w:tcW w:w="1701" w:type="dxa"/>
          </w:tcPr>
          <w:p w14:paraId="6F719FFE" w14:textId="77777777" w:rsidR="00D74772" w:rsidRPr="006A030B" w:rsidRDefault="00D74772" w:rsidP="00DF6B48">
            <w:pPr>
              <w:rPr>
                <w:rFonts w:asciiTheme="majorHAnsi" w:hAnsiTheme="majorHAnsi"/>
                <w:sz w:val="18"/>
                <w:szCs w:val="18"/>
              </w:rPr>
            </w:pPr>
            <w:r w:rsidRPr="00E140CD">
              <w:rPr>
                <w:rFonts w:asciiTheme="majorHAnsi" w:hAnsiTheme="majorHAnsi"/>
                <w:sz w:val="18"/>
                <w:szCs w:val="18"/>
              </w:rPr>
              <w:t xml:space="preserve">Whipple &amp; </w:t>
            </w:r>
            <w:proofErr w:type="spellStart"/>
            <w:r w:rsidRPr="00E140CD">
              <w:rPr>
                <w:rFonts w:asciiTheme="majorHAnsi" w:hAnsiTheme="majorHAnsi"/>
                <w:sz w:val="18"/>
                <w:szCs w:val="18"/>
              </w:rPr>
              <w:t>Rohovec</w:t>
            </w:r>
            <w:proofErr w:type="spellEnd"/>
            <w:r w:rsidRPr="00E140CD">
              <w:rPr>
                <w:rFonts w:asciiTheme="majorHAnsi" w:hAnsiTheme="majorHAnsi"/>
                <w:sz w:val="18"/>
                <w:szCs w:val="18"/>
              </w:rPr>
              <w:t xml:space="preserve"> (1994)</w:t>
            </w:r>
          </w:p>
        </w:tc>
        <w:tc>
          <w:tcPr>
            <w:tcW w:w="992" w:type="dxa"/>
          </w:tcPr>
          <w:p w14:paraId="7513B534" w14:textId="77777777" w:rsidR="00D74772" w:rsidRPr="0042726E" w:rsidRDefault="00D74772" w:rsidP="00DF6B48">
            <w:pPr>
              <w:rPr>
                <w:rFonts w:asciiTheme="majorHAnsi" w:hAnsiTheme="majorHAnsi"/>
                <w:sz w:val="18"/>
                <w:szCs w:val="18"/>
              </w:rPr>
            </w:pPr>
            <w:r w:rsidRPr="0042726E">
              <w:rPr>
                <w:rFonts w:asciiTheme="majorHAnsi" w:hAnsiTheme="majorHAnsi"/>
                <w:sz w:val="18"/>
                <w:szCs w:val="18"/>
              </w:rPr>
              <w:t>Ye</w:t>
            </w:r>
            <w:r>
              <w:rPr>
                <w:rFonts w:asciiTheme="majorHAnsi" w:hAnsiTheme="majorHAnsi"/>
                <w:sz w:val="18"/>
                <w:szCs w:val="18"/>
              </w:rPr>
              <w:t>s</w:t>
            </w:r>
          </w:p>
        </w:tc>
      </w:tr>
      <w:tr w:rsidR="00D74772" w:rsidRPr="006A030B" w14:paraId="5F3FAB08" w14:textId="77777777" w:rsidTr="00DF6B48">
        <w:tc>
          <w:tcPr>
            <w:tcW w:w="1418" w:type="dxa"/>
          </w:tcPr>
          <w:p w14:paraId="08706DC9" w14:textId="77777777" w:rsidR="00D74772" w:rsidRPr="0042726E" w:rsidRDefault="00D74772" w:rsidP="00DF6B48">
            <w:pPr>
              <w:rPr>
                <w:rFonts w:asciiTheme="majorHAnsi" w:hAnsiTheme="majorHAnsi"/>
                <w:i/>
                <w:sz w:val="18"/>
                <w:szCs w:val="18"/>
              </w:rPr>
            </w:pPr>
            <w:proofErr w:type="spellStart"/>
            <w:r w:rsidRPr="0042726E">
              <w:rPr>
                <w:rFonts w:asciiTheme="majorHAnsi" w:hAnsiTheme="majorHAnsi"/>
                <w:i/>
                <w:sz w:val="18"/>
                <w:szCs w:val="18"/>
              </w:rPr>
              <w:t>Myxobolus</w:t>
            </w:r>
            <w:proofErr w:type="spellEnd"/>
            <w:r w:rsidRPr="0042726E">
              <w:rPr>
                <w:rFonts w:asciiTheme="majorHAnsi" w:hAnsiTheme="majorHAnsi"/>
                <w:i/>
                <w:sz w:val="18"/>
                <w:szCs w:val="18"/>
              </w:rPr>
              <w:t xml:space="preserve"> </w:t>
            </w:r>
            <w:proofErr w:type="spellStart"/>
            <w:r w:rsidRPr="0042726E">
              <w:rPr>
                <w:rFonts w:asciiTheme="majorHAnsi" w:hAnsiTheme="majorHAnsi"/>
                <w:i/>
                <w:sz w:val="18"/>
                <w:szCs w:val="18"/>
              </w:rPr>
              <w:t>cerebralis</w:t>
            </w:r>
            <w:proofErr w:type="spellEnd"/>
          </w:p>
        </w:tc>
        <w:tc>
          <w:tcPr>
            <w:tcW w:w="5245" w:type="dxa"/>
          </w:tcPr>
          <w:p w14:paraId="5C3064D3" w14:textId="77777777" w:rsidR="00D74772" w:rsidRPr="0042726E" w:rsidRDefault="00D74772" w:rsidP="00DF6B48">
            <w:pPr>
              <w:rPr>
                <w:rFonts w:asciiTheme="majorHAnsi" w:hAnsiTheme="majorHAnsi"/>
                <w:sz w:val="18"/>
                <w:szCs w:val="18"/>
              </w:rPr>
            </w:pPr>
            <w:r w:rsidRPr="0042726E">
              <w:rPr>
                <w:rFonts w:asciiTheme="majorHAnsi" w:hAnsiTheme="majorHAnsi"/>
                <w:sz w:val="18"/>
                <w:szCs w:val="18"/>
              </w:rPr>
              <w:t xml:space="preserve">Temperatures above 75°C for at least 5 min </w:t>
            </w:r>
            <w:r>
              <w:rPr>
                <w:rFonts w:asciiTheme="majorHAnsi" w:hAnsiTheme="majorHAnsi"/>
                <w:sz w:val="18"/>
                <w:szCs w:val="18"/>
              </w:rPr>
              <w:t xml:space="preserve">inactivated the infective stage. </w:t>
            </w:r>
          </w:p>
        </w:tc>
        <w:tc>
          <w:tcPr>
            <w:tcW w:w="1701" w:type="dxa"/>
          </w:tcPr>
          <w:p w14:paraId="4798E452" w14:textId="77777777" w:rsidR="00D74772" w:rsidRPr="006A030B" w:rsidRDefault="00D74772" w:rsidP="00DF6B48">
            <w:pPr>
              <w:rPr>
                <w:rFonts w:asciiTheme="majorHAnsi" w:hAnsiTheme="majorHAnsi"/>
                <w:sz w:val="18"/>
                <w:szCs w:val="18"/>
              </w:rPr>
            </w:pPr>
            <w:r w:rsidRPr="00E140CD">
              <w:rPr>
                <w:rFonts w:asciiTheme="majorHAnsi" w:hAnsiTheme="majorHAnsi"/>
                <w:sz w:val="18"/>
                <w:szCs w:val="18"/>
              </w:rPr>
              <w:t>Wanger et al. (2003)</w:t>
            </w:r>
          </w:p>
        </w:tc>
        <w:tc>
          <w:tcPr>
            <w:tcW w:w="992" w:type="dxa"/>
          </w:tcPr>
          <w:p w14:paraId="4F7BE652" w14:textId="77777777" w:rsidR="00D74772" w:rsidRPr="0042726E" w:rsidRDefault="00D74772" w:rsidP="00DF6B48">
            <w:pPr>
              <w:rPr>
                <w:rFonts w:asciiTheme="majorHAnsi" w:hAnsiTheme="majorHAnsi"/>
                <w:sz w:val="18"/>
                <w:szCs w:val="18"/>
              </w:rPr>
            </w:pPr>
            <w:r w:rsidRPr="0042726E">
              <w:rPr>
                <w:rFonts w:asciiTheme="majorHAnsi" w:hAnsiTheme="majorHAnsi"/>
                <w:sz w:val="18"/>
                <w:szCs w:val="18"/>
              </w:rPr>
              <w:t>Yes</w:t>
            </w:r>
          </w:p>
        </w:tc>
      </w:tr>
    </w:tbl>
    <w:p w14:paraId="28914A8B" w14:textId="77777777" w:rsidR="00D74772" w:rsidRPr="00874468" w:rsidRDefault="00D74772" w:rsidP="00D74772">
      <w:pPr>
        <w:jc w:val="center"/>
        <w:rPr>
          <w:sz w:val="20"/>
          <w:szCs w:val="20"/>
        </w:rPr>
      </w:pPr>
      <w:r w:rsidRPr="00736B46">
        <w:rPr>
          <w:sz w:val="20"/>
          <w:szCs w:val="20"/>
        </w:rPr>
        <w:t xml:space="preserve">ISA = </w:t>
      </w:r>
      <w:r>
        <w:rPr>
          <w:sz w:val="20"/>
          <w:szCs w:val="20"/>
        </w:rPr>
        <w:t>i</w:t>
      </w:r>
      <w:r w:rsidRPr="00736B46">
        <w:rPr>
          <w:sz w:val="20"/>
          <w:szCs w:val="20"/>
        </w:rPr>
        <w:t xml:space="preserve">nfectious </w:t>
      </w:r>
      <w:r>
        <w:rPr>
          <w:sz w:val="20"/>
          <w:szCs w:val="20"/>
        </w:rPr>
        <w:t>s</w:t>
      </w:r>
      <w:r w:rsidRPr="00736B46">
        <w:rPr>
          <w:sz w:val="20"/>
          <w:szCs w:val="20"/>
        </w:rPr>
        <w:t xml:space="preserve">almon </w:t>
      </w:r>
      <w:r>
        <w:rPr>
          <w:sz w:val="20"/>
          <w:szCs w:val="20"/>
        </w:rPr>
        <w:t>a</w:t>
      </w:r>
      <w:r w:rsidRPr="00736B46">
        <w:rPr>
          <w:sz w:val="20"/>
          <w:szCs w:val="20"/>
        </w:rPr>
        <w:t xml:space="preserve">naemia; SAV = </w:t>
      </w:r>
      <w:r>
        <w:rPr>
          <w:sz w:val="20"/>
          <w:szCs w:val="20"/>
        </w:rPr>
        <w:t>s</w:t>
      </w:r>
      <w:r w:rsidRPr="00736B46">
        <w:rPr>
          <w:sz w:val="20"/>
          <w:szCs w:val="20"/>
        </w:rPr>
        <w:t xml:space="preserve">almon </w:t>
      </w:r>
      <w:r>
        <w:rPr>
          <w:sz w:val="20"/>
          <w:szCs w:val="20"/>
        </w:rPr>
        <w:t>a</w:t>
      </w:r>
      <w:r w:rsidRPr="00736B46">
        <w:rPr>
          <w:sz w:val="20"/>
          <w:szCs w:val="20"/>
        </w:rPr>
        <w:t xml:space="preserve">lpha </w:t>
      </w:r>
      <w:r>
        <w:rPr>
          <w:sz w:val="20"/>
          <w:szCs w:val="20"/>
        </w:rPr>
        <w:t>v</w:t>
      </w:r>
      <w:r w:rsidRPr="00736B46">
        <w:rPr>
          <w:sz w:val="20"/>
          <w:szCs w:val="20"/>
        </w:rPr>
        <w:t xml:space="preserve">irus; VHS = </w:t>
      </w:r>
      <w:r>
        <w:rPr>
          <w:sz w:val="20"/>
          <w:szCs w:val="20"/>
        </w:rPr>
        <w:t>v</w:t>
      </w:r>
      <w:r w:rsidRPr="00736B46">
        <w:rPr>
          <w:sz w:val="20"/>
          <w:szCs w:val="20"/>
        </w:rPr>
        <w:t xml:space="preserve">iral </w:t>
      </w:r>
      <w:r>
        <w:rPr>
          <w:sz w:val="20"/>
          <w:szCs w:val="20"/>
        </w:rPr>
        <w:t>h</w:t>
      </w:r>
      <w:r w:rsidRPr="00736B46">
        <w:rPr>
          <w:sz w:val="20"/>
          <w:szCs w:val="20"/>
        </w:rPr>
        <w:t xml:space="preserve">aemorrhagic </w:t>
      </w:r>
      <w:r>
        <w:rPr>
          <w:sz w:val="20"/>
          <w:szCs w:val="20"/>
        </w:rPr>
        <w:t>s</w:t>
      </w:r>
      <w:r w:rsidRPr="00736B46">
        <w:rPr>
          <w:sz w:val="20"/>
          <w:szCs w:val="20"/>
        </w:rPr>
        <w:t>epticaemia</w:t>
      </w:r>
      <w:r>
        <w:rPr>
          <w:sz w:val="20"/>
          <w:szCs w:val="20"/>
        </w:rPr>
        <w:t xml:space="preserve"> virus</w:t>
      </w:r>
      <w:r w:rsidRPr="00736B46">
        <w:rPr>
          <w:sz w:val="20"/>
          <w:szCs w:val="20"/>
        </w:rPr>
        <w:t xml:space="preserve">; IHN = </w:t>
      </w:r>
      <w:r>
        <w:rPr>
          <w:sz w:val="20"/>
          <w:szCs w:val="20"/>
        </w:rPr>
        <w:t>i</w:t>
      </w:r>
      <w:r w:rsidRPr="00736B46">
        <w:rPr>
          <w:sz w:val="20"/>
          <w:szCs w:val="20"/>
        </w:rPr>
        <w:t>nfectious haematopoietic necrosis</w:t>
      </w:r>
      <w:r>
        <w:rPr>
          <w:sz w:val="20"/>
          <w:szCs w:val="20"/>
        </w:rPr>
        <w:t xml:space="preserve">; and RSIV = </w:t>
      </w:r>
      <w:r w:rsidRPr="00874468">
        <w:rPr>
          <w:sz w:val="20"/>
          <w:szCs w:val="20"/>
        </w:rPr>
        <w:t>red sea bream iridovirus</w:t>
      </w:r>
      <w:r>
        <w:rPr>
          <w:sz w:val="20"/>
          <w:szCs w:val="20"/>
        </w:rPr>
        <w:t>.</w:t>
      </w:r>
    </w:p>
    <w:p w14:paraId="28CD9D7D" w14:textId="0F26D187" w:rsidR="004A0FA3" w:rsidRDefault="006868A7" w:rsidP="00D74772">
      <w:r>
        <w:fldChar w:fldCharType="begin"/>
      </w:r>
      <w:r>
        <w:instrText xml:space="preserve"> ADDIN EN.REFLIST </w:instrText>
      </w:r>
      <w:r>
        <w:fldChar w:fldCharType="end"/>
      </w:r>
    </w:p>
    <w:sectPr w:rsidR="004A0FA3">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CCBBE" w14:textId="77777777" w:rsidR="005D1612" w:rsidRDefault="005D1612">
      <w:pPr>
        <w:spacing w:after="0" w:line="240" w:lineRule="auto"/>
      </w:pPr>
      <w:r>
        <w:separator/>
      </w:r>
    </w:p>
  </w:endnote>
  <w:endnote w:type="continuationSeparator" w:id="0">
    <w:p w14:paraId="2F167979" w14:textId="77777777" w:rsidR="005D1612" w:rsidRDefault="005D1612">
      <w:pPr>
        <w:spacing w:after="0" w:line="240" w:lineRule="auto"/>
      </w:pPr>
      <w:r>
        <w:continuationSeparator/>
      </w:r>
    </w:p>
  </w:endnote>
  <w:endnote w:type="continuationNotice" w:id="1">
    <w:p w14:paraId="60E2EABE" w14:textId="77777777" w:rsidR="005D1612" w:rsidRDefault="005D1612">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58E0" w14:textId="77777777" w:rsidR="00D86369" w:rsidRDefault="00D86369">
    <w:pPr>
      <w:pStyle w:val="Footer"/>
      <w:tabs>
        <w:tab w:val="clear" w:pos="4536"/>
        <w:tab w:val="center" w:pos="9072"/>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358F" w14:textId="77777777" w:rsidR="00D86369" w:rsidRDefault="00D86369">
    <w:pPr>
      <w:pStyle w:val="Header"/>
      <w:tabs>
        <w:tab w:val="clear" w:pos="4820"/>
        <w:tab w:val="center" w:pos="8505"/>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422552"/>
      <w:docPartObj>
        <w:docPartGallery w:val="Page Numbers (Bottom of Page)"/>
        <w:docPartUnique/>
      </w:docPartObj>
    </w:sdtPr>
    <w:sdtEndPr>
      <w:rPr>
        <w:noProof/>
      </w:rPr>
    </w:sdtEndPr>
    <w:sdtContent>
      <w:p w14:paraId="04BDD52F" w14:textId="5C99F2F5" w:rsidR="00D86369" w:rsidRDefault="00D86369">
        <w:pPr>
          <w:pStyle w:val="Header"/>
          <w:tabs>
            <w:tab w:val="clear" w:pos="4820"/>
            <w:tab w:val="center" w:pos="8505"/>
          </w:tabs>
          <w:jc w:val="left"/>
        </w:pPr>
        <w:r>
          <w:t xml:space="preserve">Department of Agriculture, </w:t>
        </w:r>
        <w:proofErr w:type="gramStart"/>
        <w:r>
          <w:t>Water</w:t>
        </w:r>
        <w:proofErr w:type="gramEnd"/>
        <w:r>
          <w:t xml:space="preserve"> and the Environment</w:t>
        </w:r>
        <w:r>
          <w:tab/>
        </w:r>
        <w:r>
          <w:fldChar w:fldCharType="begin"/>
        </w:r>
        <w:r>
          <w:instrText xml:space="preserve"> PAGE  \* roman  \* MERGEFORMAT </w:instrText>
        </w:r>
        <w:r>
          <w:fldChar w:fldCharType="separate"/>
        </w:r>
        <w:r>
          <w:rPr>
            <w:noProof/>
          </w:rPr>
          <w:t>iii</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5BE3" w14:textId="6040B7E8" w:rsidR="00D86369" w:rsidRDefault="00D86369">
    <w:pPr>
      <w:pStyle w:val="Footer"/>
      <w:tabs>
        <w:tab w:val="clear" w:pos="4536"/>
        <w:tab w:val="right" w:pos="9072"/>
        <w:tab w:val="left" w:pos="14034"/>
      </w:tabs>
      <w:spacing w:before="120"/>
      <w:jc w:val="left"/>
    </w:pPr>
    <w:r>
      <w:t xml:space="preserve">Department of Agriculture, </w:t>
    </w:r>
    <w:proofErr w:type="gramStart"/>
    <w:r>
      <w:t>Water</w:t>
    </w:r>
    <w:proofErr w:type="gramEnd"/>
    <w:r>
      <w:t xml:space="preserve"> and the Environment</w:t>
    </w:r>
    <w:r>
      <w:tab/>
    </w:r>
    <w:r>
      <w:fldChar w:fldCharType="begin"/>
    </w:r>
    <w:r>
      <w:instrText xml:space="preserve"> PAGE   \* MERGEFORMAT </w:instrText>
    </w:r>
    <w:r>
      <w:fldChar w:fldCharType="separate"/>
    </w:r>
    <w:r>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169F2" w14:textId="77777777" w:rsidR="005D1612" w:rsidRDefault="005D1612">
      <w:pPr>
        <w:spacing w:after="0" w:line="240" w:lineRule="auto"/>
      </w:pPr>
      <w:r>
        <w:separator/>
      </w:r>
    </w:p>
  </w:footnote>
  <w:footnote w:type="continuationSeparator" w:id="0">
    <w:p w14:paraId="29D80061" w14:textId="77777777" w:rsidR="005D1612" w:rsidRDefault="005D1612">
      <w:pPr>
        <w:spacing w:after="0" w:line="240" w:lineRule="auto"/>
      </w:pPr>
      <w:r>
        <w:continuationSeparator/>
      </w:r>
    </w:p>
  </w:footnote>
  <w:footnote w:type="continuationNotice" w:id="1">
    <w:p w14:paraId="54AF0612" w14:textId="77777777" w:rsidR="005D1612" w:rsidRDefault="005D1612">
      <w:pPr>
        <w:pStyle w:val="Footer"/>
      </w:pPr>
    </w:p>
  </w:footnote>
  <w:footnote w:id="2">
    <w:p w14:paraId="222DAD5D" w14:textId="2AE5524A" w:rsidR="00D86369" w:rsidRDefault="00D86369">
      <w:pPr>
        <w:pStyle w:val="FootnoteText"/>
      </w:pPr>
      <w:r>
        <w:rPr>
          <w:rStyle w:val="FootnoteReference"/>
        </w:rPr>
        <w:footnoteRef/>
      </w:r>
      <w:r>
        <w:t xml:space="preserve"> </w:t>
      </w:r>
      <w:hyperlink r:id="rId1" w:history="1">
        <w:r w:rsidRPr="00D22DF1">
          <w:rPr>
            <w:rStyle w:val="Hyperlink"/>
          </w:rPr>
          <w:t>https://eur-lex.europa.eu/LexUriServ/LexUriServ.do?uri=OJ:L:2009:300:0001:0033:EN:PDF</w:t>
        </w:r>
      </w:hyperlink>
      <w:r>
        <w:t xml:space="preserve"> </w:t>
      </w:r>
    </w:p>
  </w:footnote>
  <w:footnote w:id="3">
    <w:p w14:paraId="1D26F8C8" w14:textId="7ED09246" w:rsidR="00764117" w:rsidRDefault="00764117">
      <w:pPr>
        <w:pStyle w:val="FootnoteText"/>
      </w:pPr>
      <w:r>
        <w:rPr>
          <w:rStyle w:val="FootnoteReference"/>
        </w:rPr>
        <w:footnoteRef/>
      </w:r>
      <w:r>
        <w:t xml:space="preserve"> </w:t>
      </w:r>
      <w:hyperlink r:id="rId2" w:history="1">
        <w:r w:rsidRPr="00D22DF1">
          <w:rPr>
            <w:rStyle w:val="Hyperlink"/>
          </w:rPr>
          <w:t>https://eur-lex.europa.eu/LexUriServ/LexUriServ.do?uri=OJ:L:2009:300:0001:0033:EN:PDF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6442" w14:textId="7C3F27F2" w:rsidR="00D86369" w:rsidRDefault="00D86369">
    <w:pPr>
      <w:pStyle w:val="Header"/>
      <w:tabs>
        <w:tab w:val="clear" w:pos="4820"/>
        <w:tab w:val="center" w:pos="8505"/>
      </w:tabs>
      <w:jc w:val="left"/>
    </w:pPr>
    <w:r>
      <w:rPr>
        <w:noProof/>
        <w:lang w:eastAsia="en-AU"/>
      </w:rPr>
      <w:drawing>
        <wp:inline distT="0" distB="0" distL="0" distR="0" wp14:anchorId="1DEC6EAB" wp14:editId="125E646D">
          <wp:extent cx="2417064" cy="725424"/>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CFB4" w14:textId="77777777" w:rsidR="00D86369" w:rsidRDefault="00D86369">
    <w:pPr>
      <w:pStyle w:val="Header"/>
      <w:tabs>
        <w:tab w:val="clear" w:pos="4820"/>
        <w:tab w:val="center" w:pos="8505"/>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685D" w14:textId="6B863B60" w:rsidR="00D86369" w:rsidRDefault="00D86369">
    <w:pPr>
      <w:pStyle w:val="Header"/>
      <w:tabs>
        <w:tab w:val="clear" w:pos="4820"/>
        <w:tab w:val="center" w:pos="8505"/>
      </w:tabs>
      <w:jc w:val="left"/>
    </w:pPr>
    <w:r>
      <w:rPr>
        <w:color w:val="000000" w:themeColor="text1"/>
      </w:rPr>
      <w:t>Draft report</w:t>
    </w:r>
    <w:r w:rsidRPr="00FB1BC7">
      <w:rPr>
        <w:color w:val="000000" w:themeColor="text1"/>
      </w:rPr>
      <w:t xml:space="preserve"> for fish products for pet food and </w:t>
    </w:r>
    <w:r>
      <w:rPr>
        <w:color w:val="000000" w:themeColor="text1"/>
      </w:rPr>
      <w:t>stockfeed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8A0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44AD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A0DB3E"/>
    <w:lvl w:ilvl="0">
      <w:start w:val="1"/>
      <w:numFmt w:val="lowerRoman"/>
      <w:lvlText w:val="%1)"/>
      <w:lvlJc w:val="left"/>
      <w:pPr>
        <w:tabs>
          <w:tab w:val="num" w:pos="926"/>
        </w:tabs>
        <w:ind w:left="926" w:hanging="360"/>
      </w:pPr>
      <w:rPr>
        <w:rFonts w:hint="default"/>
      </w:rPr>
    </w:lvl>
  </w:abstractNum>
  <w:abstractNum w:abstractNumId="3" w15:restartNumberingAfterBreak="0">
    <w:nsid w:val="FFFFFF80"/>
    <w:multiLevelType w:val="singleLevel"/>
    <w:tmpl w:val="D182182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E18D73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5040BE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B7462A2"/>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6EE6C94C"/>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7E752D5"/>
    <w:multiLevelType w:val="singleLevel"/>
    <w:tmpl w:val="DE424BC0"/>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09A831E8"/>
    <w:multiLevelType w:val="multilevel"/>
    <w:tmpl w:val="40A462FE"/>
    <w:styleLink w:val="heading"/>
    <w:lvl w:ilvl="0">
      <w:start w:val="1"/>
      <w:numFmt w:val="decimal"/>
      <w:pStyle w:val="Heading2"/>
      <w:lvlText w:val="%1"/>
      <w:lvlJc w:val="left"/>
      <w:pPr>
        <w:tabs>
          <w:tab w:val="num" w:pos="794"/>
        </w:tabs>
        <w:ind w:left="794" w:hanging="794"/>
      </w:pPr>
      <w:rPr>
        <w:rFonts w:hint="default"/>
      </w:rPr>
    </w:lvl>
    <w:lvl w:ilvl="1">
      <w:start w:val="1"/>
      <w:numFmt w:val="decimal"/>
      <w:pStyle w:val="Heading3"/>
      <w:lvlText w:val="%1.%2"/>
      <w:lvlJc w:val="left"/>
      <w:pPr>
        <w:tabs>
          <w:tab w:val="num" w:pos="794"/>
        </w:tabs>
        <w:ind w:left="794" w:hanging="794"/>
      </w:pPr>
      <w:rPr>
        <w:rFonts w:hint="default"/>
      </w:rPr>
    </w:lvl>
    <w:lvl w:ilvl="2">
      <w:start w:val="1"/>
      <w:numFmt w:val="decimal"/>
      <w:pStyle w:val="Heading4"/>
      <w:lvlText w:val="%1.%2.%3"/>
      <w:lvlJc w:val="left"/>
      <w:pPr>
        <w:tabs>
          <w:tab w:val="num" w:pos="4481"/>
        </w:tabs>
        <w:ind w:left="4481"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0" w15:restartNumberingAfterBreak="0">
    <w:nsid w:val="0BB37658"/>
    <w:multiLevelType w:val="multilevel"/>
    <w:tmpl w:val="6346ED0E"/>
    <w:numStyleLink w:val="listbullets"/>
  </w:abstractNum>
  <w:abstractNum w:abstractNumId="11" w15:restartNumberingAfterBreak="0">
    <w:nsid w:val="0DAB06F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8C72E0"/>
    <w:multiLevelType w:val="multilevel"/>
    <w:tmpl w:val="C32AB9AA"/>
    <w:numStyleLink w:val="ListNumber1"/>
  </w:abstractNum>
  <w:abstractNum w:abstractNumId="14" w15:restartNumberingAfterBreak="0">
    <w:nsid w:val="1CDE2052"/>
    <w:multiLevelType w:val="multilevel"/>
    <w:tmpl w:val="C32AB9AA"/>
    <w:numStyleLink w:val="ListNumber1"/>
  </w:abstractNum>
  <w:abstractNum w:abstractNumId="15" w15:restartNumberingAfterBreak="0">
    <w:nsid w:val="223917D5"/>
    <w:multiLevelType w:val="hybridMultilevel"/>
    <w:tmpl w:val="ED824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53399E"/>
    <w:multiLevelType w:val="multilevel"/>
    <w:tmpl w:val="40A462FE"/>
    <w:numStyleLink w:val="heading"/>
  </w:abstractNum>
  <w:abstractNum w:abstractNumId="17"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8" w15:restartNumberingAfterBreak="0">
    <w:nsid w:val="2D595B46"/>
    <w:multiLevelType w:val="multilevel"/>
    <w:tmpl w:val="C32AB9AA"/>
    <w:numStyleLink w:val="ListNumber1"/>
  </w:abstractNum>
  <w:abstractNum w:abstractNumId="19" w15:restartNumberingAfterBreak="0">
    <w:nsid w:val="31705593"/>
    <w:multiLevelType w:val="multilevel"/>
    <w:tmpl w:val="C32AB9AA"/>
    <w:numStyleLink w:val="ListNumber1"/>
  </w:abstractNum>
  <w:abstractNum w:abstractNumId="20"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1" w15:restartNumberingAfterBreak="0">
    <w:nsid w:val="357F0D4F"/>
    <w:multiLevelType w:val="multilevel"/>
    <w:tmpl w:val="311EB4D2"/>
    <w:numStyleLink w:val="captions"/>
  </w:abstractNum>
  <w:abstractNum w:abstractNumId="22" w15:restartNumberingAfterBreak="0">
    <w:nsid w:val="38EF7A6B"/>
    <w:multiLevelType w:val="multilevel"/>
    <w:tmpl w:val="C32AB9AA"/>
    <w:numStyleLink w:val="ListNumber1"/>
  </w:abstractNum>
  <w:abstractNum w:abstractNumId="23" w15:restartNumberingAfterBreak="0">
    <w:nsid w:val="39BA4227"/>
    <w:multiLevelType w:val="hybridMultilevel"/>
    <w:tmpl w:val="17AA3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A551C78"/>
    <w:multiLevelType w:val="hybridMultilevel"/>
    <w:tmpl w:val="A6AA52EC"/>
    <w:lvl w:ilvl="0" w:tplc="68C6DB6E">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26" w15:restartNumberingAfterBreak="0">
    <w:nsid w:val="3D2A3E94"/>
    <w:multiLevelType w:val="multilevel"/>
    <w:tmpl w:val="C32AB9AA"/>
    <w:numStyleLink w:val="Headings"/>
  </w:abstractNum>
  <w:abstractNum w:abstractNumId="27" w15:restartNumberingAfterBreak="0">
    <w:nsid w:val="3FDD470D"/>
    <w:multiLevelType w:val="singleLevel"/>
    <w:tmpl w:val="1CE029EE"/>
    <w:lvl w:ilvl="0">
      <w:start w:val="1"/>
      <w:numFmt w:val="decimal"/>
      <w:lvlText w:val="%1)"/>
      <w:lvlJc w:val="left"/>
      <w:pPr>
        <w:ind w:left="360" w:hanging="360"/>
      </w:pPr>
      <w:rPr>
        <w:color w:val="auto"/>
      </w:rPr>
    </w:lvl>
  </w:abstractNum>
  <w:abstractNum w:abstractNumId="28" w15:restartNumberingAfterBreak="0">
    <w:nsid w:val="40054877"/>
    <w:multiLevelType w:val="multilevel"/>
    <w:tmpl w:val="C32AB9AA"/>
    <w:numStyleLink w:val="ListNumber1"/>
  </w:abstractNum>
  <w:abstractNum w:abstractNumId="29" w15:restartNumberingAfterBreak="0">
    <w:nsid w:val="418604C4"/>
    <w:multiLevelType w:val="multilevel"/>
    <w:tmpl w:val="C32AB9AA"/>
    <w:numStyleLink w:val="ListNumber1"/>
  </w:abstractNum>
  <w:abstractNum w:abstractNumId="30" w15:restartNumberingAfterBreak="0">
    <w:nsid w:val="45F933DC"/>
    <w:multiLevelType w:val="hybridMultilevel"/>
    <w:tmpl w:val="778CD4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861DE6"/>
    <w:multiLevelType w:val="multilevel"/>
    <w:tmpl w:val="6346ED0E"/>
    <w:styleLink w:val="listbullets"/>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33" w15:restartNumberingAfterBreak="0">
    <w:nsid w:val="5134023C"/>
    <w:multiLevelType w:val="multilevel"/>
    <w:tmpl w:val="6346ED0E"/>
    <w:numStyleLink w:val="listbullets"/>
  </w:abstractNum>
  <w:abstractNum w:abstractNumId="34" w15:restartNumberingAfterBreak="0">
    <w:nsid w:val="58917CE2"/>
    <w:multiLevelType w:val="multilevel"/>
    <w:tmpl w:val="C32AB9AA"/>
    <w:numStyleLink w:val="ListNumber1"/>
  </w:abstractNum>
  <w:abstractNum w:abstractNumId="3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6" w15:restartNumberingAfterBreak="0">
    <w:nsid w:val="5CDD65A7"/>
    <w:multiLevelType w:val="hybridMultilevel"/>
    <w:tmpl w:val="15E8AD5A"/>
    <w:lvl w:ilvl="0" w:tplc="0D5A9BD8">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D13EEF"/>
    <w:multiLevelType w:val="multilevel"/>
    <w:tmpl w:val="C32AB9AA"/>
    <w:numStyleLink w:val="Headings"/>
  </w:abstractNum>
  <w:abstractNum w:abstractNumId="38" w15:restartNumberingAfterBreak="0">
    <w:nsid w:val="5F341504"/>
    <w:multiLevelType w:val="multilevel"/>
    <w:tmpl w:val="6346ED0E"/>
    <w:numStyleLink w:val="listbullets"/>
  </w:abstractNum>
  <w:abstractNum w:abstractNumId="39" w15:restartNumberingAfterBreak="0">
    <w:nsid w:val="61F70C9C"/>
    <w:multiLevelType w:val="hybridMultilevel"/>
    <w:tmpl w:val="EE92E38A"/>
    <w:lvl w:ilvl="0" w:tplc="0C090001">
      <w:start w:val="1"/>
      <w:numFmt w:val="bullet"/>
      <w:lvlText w:val=""/>
      <w:lvlJc w:val="left"/>
      <w:pPr>
        <w:ind w:left="1117" w:hanging="360"/>
      </w:pPr>
      <w:rPr>
        <w:rFonts w:ascii="Symbol" w:hAnsi="Symbol" w:hint="default"/>
      </w:rPr>
    </w:lvl>
    <w:lvl w:ilvl="1" w:tplc="0C090003">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40" w15:restartNumberingAfterBreak="0">
    <w:nsid w:val="63E34F50"/>
    <w:multiLevelType w:val="hybridMultilevel"/>
    <w:tmpl w:val="013E1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E6717B"/>
    <w:multiLevelType w:val="multilevel"/>
    <w:tmpl w:val="C32AB9AA"/>
    <w:numStyleLink w:val="ListNumber1"/>
  </w:abstractNum>
  <w:abstractNum w:abstractNumId="42" w15:restartNumberingAfterBreak="0">
    <w:nsid w:val="6F79500B"/>
    <w:multiLevelType w:val="hybridMultilevel"/>
    <w:tmpl w:val="DE063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0D330FE"/>
    <w:multiLevelType w:val="singleLevel"/>
    <w:tmpl w:val="E550C114"/>
    <w:lvl w:ilvl="0">
      <w:start w:val="1"/>
      <w:numFmt w:val="lowerLetter"/>
      <w:lvlText w:val="%1)"/>
      <w:lvlJc w:val="left"/>
      <w:pPr>
        <w:ind w:left="709" w:hanging="426"/>
      </w:pPr>
      <w:rPr>
        <w:rFonts w:hint="default"/>
      </w:rPr>
    </w:lvl>
  </w:abstractNum>
  <w:abstractNum w:abstractNumId="44" w15:restartNumberingAfterBreak="0">
    <w:nsid w:val="750629C4"/>
    <w:multiLevelType w:val="multilevel"/>
    <w:tmpl w:val="CA5A6F8E"/>
    <w:lvl w:ilvl="0">
      <w:start w:val="1"/>
      <w:numFmt w:val="bullet"/>
      <w:lvlText w:val=""/>
      <w:lvlJc w:val="left"/>
      <w:pPr>
        <w:tabs>
          <w:tab w:val="num" w:pos="643"/>
        </w:tabs>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00363E"/>
    <w:multiLevelType w:val="multilevel"/>
    <w:tmpl w:val="C32AB9AA"/>
    <w:numStyleLink w:val="Headings"/>
  </w:abstractNum>
  <w:abstractNum w:abstractNumId="46" w15:restartNumberingAfterBreak="0">
    <w:nsid w:val="7636387C"/>
    <w:multiLevelType w:val="multilevel"/>
    <w:tmpl w:val="6346ED0E"/>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47" w15:restartNumberingAfterBreak="0">
    <w:nsid w:val="7D417EA1"/>
    <w:multiLevelType w:val="multilevel"/>
    <w:tmpl w:val="C32AB9AA"/>
    <w:numStyleLink w:val="ListNumber1"/>
  </w:abstractNum>
  <w:num w:numId="1">
    <w:abstractNumId w:val="7"/>
  </w:num>
  <w:num w:numId="2">
    <w:abstractNumId w:val="6"/>
  </w:num>
  <w:num w:numId="3">
    <w:abstractNumId w:val="27"/>
  </w:num>
  <w:num w:numId="4">
    <w:abstractNumId w:val="43"/>
  </w:num>
  <w:num w:numId="5">
    <w:abstractNumId w:val="2"/>
    <w:lvlOverride w:ilvl="0">
      <w:startOverride w:val="1"/>
    </w:lvlOverride>
  </w:num>
  <w:num w:numId="6">
    <w:abstractNumId w:val="31"/>
  </w:num>
  <w:num w:numId="7">
    <w:abstractNumId w:val="12"/>
  </w:num>
  <w:num w:numId="8">
    <w:abstractNumId w:val="24"/>
  </w:num>
  <w:num w:numId="9">
    <w:abstractNumId w:val="8"/>
  </w:num>
  <w:num w:numId="10">
    <w:abstractNumId w:val="35"/>
  </w:num>
  <w:num w:numId="11">
    <w:abstractNumId w:val="11"/>
  </w:num>
  <w:num w:numId="12">
    <w:abstractNumId w:val="17"/>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1"/>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37"/>
  </w:num>
  <w:num w:numId="20">
    <w:abstractNumId w:val="37"/>
    <w:lvlOverride w:ilvl="0">
      <w:startOverride w:val="1"/>
    </w:lvlOverride>
  </w:num>
  <w:num w:numId="21">
    <w:abstractNumId w:val="26"/>
  </w:num>
  <w:num w:numId="22">
    <w:abstractNumId w:val="7"/>
  </w:num>
  <w:num w:numId="23">
    <w:abstractNumId w:val="44"/>
  </w:num>
  <w:num w:numId="24">
    <w:abstractNumId w:val="32"/>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8"/>
  </w:num>
  <w:num w:numId="28">
    <w:abstractNumId w:val="10"/>
  </w:num>
  <w:num w:numId="29">
    <w:abstractNumId w:val="46"/>
  </w:num>
  <w:num w:numId="30">
    <w:abstractNumId w:val="25"/>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9"/>
  </w:num>
  <w:num w:numId="35">
    <w:abstractNumId w:val="41"/>
  </w:num>
  <w:num w:numId="36">
    <w:abstractNumId w:val="47"/>
  </w:num>
  <w:num w:numId="37">
    <w:abstractNumId w:val="22"/>
  </w:num>
  <w:num w:numId="38">
    <w:abstractNumId w:val="28"/>
  </w:num>
  <w:num w:numId="39">
    <w:abstractNumId w:val="34"/>
  </w:num>
  <w:num w:numId="40">
    <w:abstractNumId w:val="13"/>
  </w:num>
  <w:num w:numId="41">
    <w:abstractNumId w:val="18"/>
  </w:num>
  <w:num w:numId="42">
    <w:abstractNumId w:val="5"/>
  </w:num>
  <w:num w:numId="43">
    <w:abstractNumId w:val="4"/>
  </w:num>
  <w:num w:numId="44">
    <w:abstractNumId w:val="3"/>
  </w:num>
  <w:num w:numId="45">
    <w:abstractNumId w:val="1"/>
  </w:num>
  <w:num w:numId="46">
    <w:abstractNumId w:val="0"/>
  </w:num>
  <w:num w:numId="47">
    <w:abstractNumId w:val="9"/>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46"/>
  </w:num>
  <w:num w:numId="51">
    <w:abstractNumId w:val="46"/>
  </w:num>
  <w:num w:numId="52">
    <w:abstractNumId w:val="46"/>
  </w:num>
  <w:num w:numId="53">
    <w:abstractNumId w:val="46"/>
  </w:num>
  <w:num w:numId="54">
    <w:abstractNumId w:val="39"/>
  </w:num>
  <w:num w:numId="55">
    <w:abstractNumId w:val="36"/>
  </w:num>
  <w:num w:numId="56">
    <w:abstractNumId w:val="42"/>
  </w:num>
  <w:num w:numId="57">
    <w:abstractNumId w:val="23"/>
  </w:num>
  <w:num w:numId="58">
    <w:abstractNumId w:val="30"/>
  </w:num>
  <w:num w:numId="59">
    <w:abstractNumId w:val="15"/>
  </w:num>
  <w:num w:numId="60">
    <w:abstractNumId w:val="40"/>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notated&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rtdd2awcr0v20es9r9xd0tie99vterwfza2&quot;&gt;Animal Database - Master&lt;record-ids&gt;&lt;item&gt;1488&lt;/item&gt;&lt;/record-ids&gt;&lt;/item&gt;&lt;/Libraries&gt;"/>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4A0FA3"/>
    <w:rsid w:val="0000424D"/>
    <w:rsid w:val="00007451"/>
    <w:rsid w:val="0001144E"/>
    <w:rsid w:val="000134C0"/>
    <w:rsid w:val="00025343"/>
    <w:rsid w:val="000271A2"/>
    <w:rsid w:val="000363E7"/>
    <w:rsid w:val="00036B42"/>
    <w:rsid w:val="0003760D"/>
    <w:rsid w:val="00043839"/>
    <w:rsid w:val="0004496C"/>
    <w:rsid w:val="00047E5A"/>
    <w:rsid w:val="00051F59"/>
    <w:rsid w:val="00052406"/>
    <w:rsid w:val="0005649A"/>
    <w:rsid w:val="00057123"/>
    <w:rsid w:val="00074018"/>
    <w:rsid w:val="00082823"/>
    <w:rsid w:val="000843E3"/>
    <w:rsid w:val="00087CC9"/>
    <w:rsid w:val="00092C36"/>
    <w:rsid w:val="00094192"/>
    <w:rsid w:val="00095A44"/>
    <w:rsid w:val="000A4E8B"/>
    <w:rsid w:val="000A6F61"/>
    <w:rsid w:val="000A7542"/>
    <w:rsid w:val="000C1EDF"/>
    <w:rsid w:val="000C4FC2"/>
    <w:rsid w:val="000C58B5"/>
    <w:rsid w:val="000E2199"/>
    <w:rsid w:val="000E2874"/>
    <w:rsid w:val="000E5017"/>
    <w:rsid w:val="00101366"/>
    <w:rsid w:val="00102C84"/>
    <w:rsid w:val="0011356D"/>
    <w:rsid w:val="00113DB3"/>
    <w:rsid w:val="001157D8"/>
    <w:rsid w:val="001213C1"/>
    <w:rsid w:val="00130FFA"/>
    <w:rsid w:val="00145652"/>
    <w:rsid w:val="0015045C"/>
    <w:rsid w:val="0015215C"/>
    <w:rsid w:val="0015652B"/>
    <w:rsid w:val="001567C4"/>
    <w:rsid w:val="00156A65"/>
    <w:rsid w:val="00163AF1"/>
    <w:rsid w:val="0016661D"/>
    <w:rsid w:val="001726DC"/>
    <w:rsid w:val="00180A75"/>
    <w:rsid w:val="001A2FFA"/>
    <w:rsid w:val="001B3BE4"/>
    <w:rsid w:val="001C7143"/>
    <w:rsid w:val="001C7774"/>
    <w:rsid w:val="001D3041"/>
    <w:rsid w:val="001D7C22"/>
    <w:rsid w:val="001E1919"/>
    <w:rsid w:val="001E5C3D"/>
    <w:rsid w:val="001E6BE1"/>
    <w:rsid w:val="001F1534"/>
    <w:rsid w:val="001F3580"/>
    <w:rsid w:val="002046E1"/>
    <w:rsid w:val="00206C8B"/>
    <w:rsid w:val="00207709"/>
    <w:rsid w:val="002102AF"/>
    <w:rsid w:val="00212666"/>
    <w:rsid w:val="00213036"/>
    <w:rsid w:val="00216132"/>
    <w:rsid w:val="00224E98"/>
    <w:rsid w:val="00227A4D"/>
    <w:rsid w:val="0023520E"/>
    <w:rsid w:val="002403A4"/>
    <w:rsid w:val="00241A50"/>
    <w:rsid w:val="00257CC0"/>
    <w:rsid w:val="0026283D"/>
    <w:rsid w:val="00271B8D"/>
    <w:rsid w:val="00281798"/>
    <w:rsid w:val="00282997"/>
    <w:rsid w:val="002954D5"/>
    <w:rsid w:val="002F73B1"/>
    <w:rsid w:val="003124FB"/>
    <w:rsid w:val="0031250C"/>
    <w:rsid w:val="003143A8"/>
    <w:rsid w:val="00325C0E"/>
    <w:rsid w:val="0032687B"/>
    <w:rsid w:val="003446C6"/>
    <w:rsid w:val="00351D21"/>
    <w:rsid w:val="00357CC2"/>
    <w:rsid w:val="00361C41"/>
    <w:rsid w:val="0036615D"/>
    <w:rsid w:val="0036767E"/>
    <w:rsid w:val="00377739"/>
    <w:rsid w:val="00395D25"/>
    <w:rsid w:val="003A35D6"/>
    <w:rsid w:val="003B7427"/>
    <w:rsid w:val="003C6731"/>
    <w:rsid w:val="003D24C0"/>
    <w:rsid w:val="003D39ED"/>
    <w:rsid w:val="003E31F8"/>
    <w:rsid w:val="003E53C3"/>
    <w:rsid w:val="003F569C"/>
    <w:rsid w:val="0040023F"/>
    <w:rsid w:val="004139D3"/>
    <w:rsid w:val="00413C45"/>
    <w:rsid w:val="0042726E"/>
    <w:rsid w:val="00430CC7"/>
    <w:rsid w:val="004375C5"/>
    <w:rsid w:val="004401CC"/>
    <w:rsid w:val="00442F3C"/>
    <w:rsid w:val="00445459"/>
    <w:rsid w:val="00451DC3"/>
    <w:rsid w:val="004545CD"/>
    <w:rsid w:val="00460E17"/>
    <w:rsid w:val="00464324"/>
    <w:rsid w:val="004818B6"/>
    <w:rsid w:val="00482375"/>
    <w:rsid w:val="00484075"/>
    <w:rsid w:val="00491BA7"/>
    <w:rsid w:val="00493631"/>
    <w:rsid w:val="004A0FA3"/>
    <w:rsid w:val="004A59C0"/>
    <w:rsid w:val="004A6B0D"/>
    <w:rsid w:val="004A6CD0"/>
    <w:rsid w:val="004B3822"/>
    <w:rsid w:val="004C1327"/>
    <w:rsid w:val="004C6775"/>
    <w:rsid w:val="004C6D63"/>
    <w:rsid w:val="004D5B87"/>
    <w:rsid w:val="004E2A80"/>
    <w:rsid w:val="004E6821"/>
    <w:rsid w:val="004E7488"/>
    <w:rsid w:val="004F6528"/>
    <w:rsid w:val="00501655"/>
    <w:rsid w:val="005134A0"/>
    <w:rsid w:val="0051365E"/>
    <w:rsid w:val="00525A71"/>
    <w:rsid w:val="005410C0"/>
    <w:rsid w:val="00555960"/>
    <w:rsid w:val="00565271"/>
    <w:rsid w:val="00566FEB"/>
    <w:rsid w:val="00572E52"/>
    <w:rsid w:val="00581B7C"/>
    <w:rsid w:val="00581C9D"/>
    <w:rsid w:val="005875FA"/>
    <w:rsid w:val="00587DE5"/>
    <w:rsid w:val="00593611"/>
    <w:rsid w:val="00596974"/>
    <w:rsid w:val="005A5D5F"/>
    <w:rsid w:val="005B599C"/>
    <w:rsid w:val="005C42B3"/>
    <w:rsid w:val="005C62A6"/>
    <w:rsid w:val="005D1612"/>
    <w:rsid w:val="005D72DA"/>
    <w:rsid w:val="005E2D31"/>
    <w:rsid w:val="005E6EEC"/>
    <w:rsid w:val="005F44DF"/>
    <w:rsid w:val="005F4FF9"/>
    <w:rsid w:val="005F7585"/>
    <w:rsid w:val="005F75BA"/>
    <w:rsid w:val="00600AB7"/>
    <w:rsid w:val="00602414"/>
    <w:rsid w:val="00604709"/>
    <w:rsid w:val="0060675F"/>
    <w:rsid w:val="00611FF2"/>
    <w:rsid w:val="00613B2C"/>
    <w:rsid w:val="006154B1"/>
    <w:rsid w:val="006202CF"/>
    <w:rsid w:val="00622231"/>
    <w:rsid w:val="00650A5D"/>
    <w:rsid w:val="00655017"/>
    <w:rsid w:val="006673AF"/>
    <w:rsid w:val="0067094B"/>
    <w:rsid w:val="0067623F"/>
    <w:rsid w:val="00677FE7"/>
    <w:rsid w:val="006868A7"/>
    <w:rsid w:val="00690BEC"/>
    <w:rsid w:val="0069166B"/>
    <w:rsid w:val="00693060"/>
    <w:rsid w:val="00695F14"/>
    <w:rsid w:val="006A030B"/>
    <w:rsid w:val="006A3A89"/>
    <w:rsid w:val="006A5AFA"/>
    <w:rsid w:val="006B1C47"/>
    <w:rsid w:val="006B4EE5"/>
    <w:rsid w:val="006C5014"/>
    <w:rsid w:val="006F7BFB"/>
    <w:rsid w:val="007007C4"/>
    <w:rsid w:val="007013CB"/>
    <w:rsid w:val="00706CE7"/>
    <w:rsid w:val="007126CE"/>
    <w:rsid w:val="00716634"/>
    <w:rsid w:val="007341F8"/>
    <w:rsid w:val="00736B46"/>
    <w:rsid w:val="007370CC"/>
    <w:rsid w:val="0075106B"/>
    <w:rsid w:val="00764117"/>
    <w:rsid w:val="00767214"/>
    <w:rsid w:val="00774168"/>
    <w:rsid w:val="00781304"/>
    <w:rsid w:val="007855A5"/>
    <w:rsid w:val="00786E9F"/>
    <w:rsid w:val="00793FED"/>
    <w:rsid w:val="007A27B3"/>
    <w:rsid w:val="007A7730"/>
    <w:rsid w:val="007A7E95"/>
    <w:rsid w:val="007B090C"/>
    <w:rsid w:val="007E3891"/>
    <w:rsid w:val="007E5780"/>
    <w:rsid w:val="007F2BB3"/>
    <w:rsid w:val="007F2D55"/>
    <w:rsid w:val="008018C5"/>
    <w:rsid w:val="00805D54"/>
    <w:rsid w:val="00807BE8"/>
    <w:rsid w:val="00817F0A"/>
    <w:rsid w:val="00825CB3"/>
    <w:rsid w:val="008273B4"/>
    <w:rsid w:val="008315AC"/>
    <w:rsid w:val="00842D17"/>
    <w:rsid w:val="00844A25"/>
    <w:rsid w:val="0085156E"/>
    <w:rsid w:val="00854607"/>
    <w:rsid w:val="0085565A"/>
    <w:rsid w:val="00867194"/>
    <w:rsid w:val="00874468"/>
    <w:rsid w:val="00880F4E"/>
    <w:rsid w:val="0088135B"/>
    <w:rsid w:val="00884896"/>
    <w:rsid w:val="00886BED"/>
    <w:rsid w:val="00891A18"/>
    <w:rsid w:val="0089675E"/>
    <w:rsid w:val="008A38EA"/>
    <w:rsid w:val="008B215E"/>
    <w:rsid w:val="008C7174"/>
    <w:rsid w:val="008E1094"/>
    <w:rsid w:val="008E622F"/>
    <w:rsid w:val="00902B43"/>
    <w:rsid w:val="00905C05"/>
    <w:rsid w:val="00906D5D"/>
    <w:rsid w:val="00907D50"/>
    <w:rsid w:val="00910EF8"/>
    <w:rsid w:val="009157CA"/>
    <w:rsid w:val="009244A3"/>
    <w:rsid w:val="00925A43"/>
    <w:rsid w:val="009349E5"/>
    <w:rsid w:val="0094406E"/>
    <w:rsid w:val="00953C1E"/>
    <w:rsid w:val="0095545B"/>
    <w:rsid w:val="00955CAD"/>
    <w:rsid w:val="0095710D"/>
    <w:rsid w:val="009655A1"/>
    <w:rsid w:val="009674EE"/>
    <w:rsid w:val="00971828"/>
    <w:rsid w:val="00981BB4"/>
    <w:rsid w:val="009941B2"/>
    <w:rsid w:val="00994A59"/>
    <w:rsid w:val="00996A42"/>
    <w:rsid w:val="009A1397"/>
    <w:rsid w:val="009A7E22"/>
    <w:rsid w:val="009B0C07"/>
    <w:rsid w:val="009B71BF"/>
    <w:rsid w:val="009C1550"/>
    <w:rsid w:val="009C36EA"/>
    <w:rsid w:val="009C784D"/>
    <w:rsid w:val="009D4DAB"/>
    <w:rsid w:val="009D4F86"/>
    <w:rsid w:val="009E6362"/>
    <w:rsid w:val="009E7B00"/>
    <w:rsid w:val="009F032C"/>
    <w:rsid w:val="009F1AE9"/>
    <w:rsid w:val="00A02449"/>
    <w:rsid w:val="00A04453"/>
    <w:rsid w:val="00A061C2"/>
    <w:rsid w:val="00A07D7A"/>
    <w:rsid w:val="00A11BAC"/>
    <w:rsid w:val="00A21086"/>
    <w:rsid w:val="00A21BC9"/>
    <w:rsid w:val="00A25A82"/>
    <w:rsid w:val="00A4560C"/>
    <w:rsid w:val="00A523FB"/>
    <w:rsid w:val="00A57359"/>
    <w:rsid w:val="00A74756"/>
    <w:rsid w:val="00A75400"/>
    <w:rsid w:val="00A7650C"/>
    <w:rsid w:val="00A81F25"/>
    <w:rsid w:val="00A87B84"/>
    <w:rsid w:val="00A91F6E"/>
    <w:rsid w:val="00AB30F6"/>
    <w:rsid w:val="00AB5654"/>
    <w:rsid w:val="00AC25E4"/>
    <w:rsid w:val="00AC4038"/>
    <w:rsid w:val="00AD31FF"/>
    <w:rsid w:val="00AD4F14"/>
    <w:rsid w:val="00AE5871"/>
    <w:rsid w:val="00AE5EC6"/>
    <w:rsid w:val="00AF65B5"/>
    <w:rsid w:val="00B059C3"/>
    <w:rsid w:val="00B05D1C"/>
    <w:rsid w:val="00B075A8"/>
    <w:rsid w:val="00B107EB"/>
    <w:rsid w:val="00B12828"/>
    <w:rsid w:val="00B31CEC"/>
    <w:rsid w:val="00B4042A"/>
    <w:rsid w:val="00B41E4E"/>
    <w:rsid w:val="00B45EDF"/>
    <w:rsid w:val="00B50BF9"/>
    <w:rsid w:val="00B5156B"/>
    <w:rsid w:val="00B53E5F"/>
    <w:rsid w:val="00B552F8"/>
    <w:rsid w:val="00B606A9"/>
    <w:rsid w:val="00B65DEE"/>
    <w:rsid w:val="00B67EC4"/>
    <w:rsid w:val="00B73F71"/>
    <w:rsid w:val="00B9189C"/>
    <w:rsid w:val="00B9328A"/>
    <w:rsid w:val="00B96B2B"/>
    <w:rsid w:val="00BA3254"/>
    <w:rsid w:val="00BA6673"/>
    <w:rsid w:val="00BB4E62"/>
    <w:rsid w:val="00BB7D30"/>
    <w:rsid w:val="00BC0487"/>
    <w:rsid w:val="00BC72D6"/>
    <w:rsid w:val="00BC7EC5"/>
    <w:rsid w:val="00BD0349"/>
    <w:rsid w:val="00BD6A22"/>
    <w:rsid w:val="00BE549B"/>
    <w:rsid w:val="00BE5774"/>
    <w:rsid w:val="00BF2769"/>
    <w:rsid w:val="00BF2778"/>
    <w:rsid w:val="00C04D2D"/>
    <w:rsid w:val="00C16CC9"/>
    <w:rsid w:val="00C23350"/>
    <w:rsid w:val="00C23A63"/>
    <w:rsid w:val="00C32315"/>
    <w:rsid w:val="00C33A2F"/>
    <w:rsid w:val="00C41B98"/>
    <w:rsid w:val="00C50269"/>
    <w:rsid w:val="00C52206"/>
    <w:rsid w:val="00C53515"/>
    <w:rsid w:val="00C570E5"/>
    <w:rsid w:val="00C57555"/>
    <w:rsid w:val="00C61742"/>
    <w:rsid w:val="00C73104"/>
    <w:rsid w:val="00C9201F"/>
    <w:rsid w:val="00C92F4A"/>
    <w:rsid w:val="00C93F4F"/>
    <w:rsid w:val="00CA073F"/>
    <w:rsid w:val="00CA6346"/>
    <w:rsid w:val="00CB1A3F"/>
    <w:rsid w:val="00CC19C4"/>
    <w:rsid w:val="00CC3445"/>
    <w:rsid w:val="00CC4AF0"/>
    <w:rsid w:val="00CD24E6"/>
    <w:rsid w:val="00CD7FA3"/>
    <w:rsid w:val="00CE707E"/>
    <w:rsid w:val="00D03965"/>
    <w:rsid w:val="00D050BC"/>
    <w:rsid w:val="00D109FA"/>
    <w:rsid w:val="00D16EFD"/>
    <w:rsid w:val="00D33A64"/>
    <w:rsid w:val="00D45130"/>
    <w:rsid w:val="00D529CB"/>
    <w:rsid w:val="00D57E73"/>
    <w:rsid w:val="00D66206"/>
    <w:rsid w:val="00D73843"/>
    <w:rsid w:val="00D74772"/>
    <w:rsid w:val="00D7689E"/>
    <w:rsid w:val="00D85FDF"/>
    <w:rsid w:val="00D86369"/>
    <w:rsid w:val="00D8645A"/>
    <w:rsid w:val="00D917EE"/>
    <w:rsid w:val="00D95048"/>
    <w:rsid w:val="00D959C2"/>
    <w:rsid w:val="00D9778B"/>
    <w:rsid w:val="00DA44F3"/>
    <w:rsid w:val="00DB07C5"/>
    <w:rsid w:val="00DC00B6"/>
    <w:rsid w:val="00DC3599"/>
    <w:rsid w:val="00DD2E3A"/>
    <w:rsid w:val="00DD519C"/>
    <w:rsid w:val="00DE0430"/>
    <w:rsid w:val="00DE13C9"/>
    <w:rsid w:val="00DF06E4"/>
    <w:rsid w:val="00DF6B48"/>
    <w:rsid w:val="00DF7042"/>
    <w:rsid w:val="00E0440F"/>
    <w:rsid w:val="00E10B24"/>
    <w:rsid w:val="00E12BE9"/>
    <w:rsid w:val="00E12E14"/>
    <w:rsid w:val="00E24066"/>
    <w:rsid w:val="00E321EA"/>
    <w:rsid w:val="00E449F8"/>
    <w:rsid w:val="00E5451D"/>
    <w:rsid w:val="00E6131B"/>
    <w:rsid w:val="00E67B35"/>
    <w:rsid w:val="00E739A7"/>
    <w:rsid w:val="00E76329"/>
    <w:rsid w:val="00E77C33"/>
    <w:rsid w:val="00E87034"/>
    <w:rsid w:val="00E87079"/>
    <w:rsid w:val="00E8764B"/>
    <w:rsid w:val="00E90488"/>
    <w:rsid w:val="00E93657"/>
    <w:rsid w:val="00E957B9"/>
    <w:rsid w:val="00E966D9"/>
    <w:rsid w:val="00E96D90"/>
    <w:rsid w:val="00EA0D20"/>
    <w:rsid w:val="00EA1CC4"/>
    <w:rsid w:val="00EA6FBA"/>
    <w:rsid w:val="00EB58EB"/>
    <w:rsid w:val="00EC21C4"/>
    <w:rsid w:val="00EC4CC6"/>
    <w:rsid w:val="00ED00F0"/>
    <w:rsid w:val="00ED466D"/>
    <w:rsid w:val="00EE2690"/>
    <w:rsid w:val="00EF016F"/>
    <w:rsid w:val="00EF0C54"/>
    <w:rsid w:val="00F00E30"/>
    <w:rsid w:val="00F15BEE"/>
    <w:rsid w:val="00F31265"/>
    <w:rsid w:val="00F372B0"/>
    <w:rsid w:val="00F40E27"/>
    <w:rsid w:val="00F475A0"/>
    <w:rsid w:val="00F52621"/>
    <w:rsid w:val="00F54025"/>
    <w:rsid w:val="00F66B70"/>
    <w:rsid w:val="00F670B1"/>
    <w:rsid w:val="00F7271D"/>
    <w:rsid w:val="00F749F0"/>
    <w:rsid w:val="00F82DD8"/>
    <w:rsid w:val="00FA1A7A"/>
    <w:rsid w:val="00FA7B39"/>
    <w:rsid w:val="00FB0613"/>
    <w:rsid w:val="00FB1BC7"/>
    <w:rsid w:val="00FB2826"/>
    <w:rsid w:val="00FB5493"/>
    <w:rsid w:val="00FB7B2A"/>
    <w:rsid w:val="00FC08B5"/>
    <w:rsid w:val="00FD1FE2"/>
    <w:rsid w:val="00FD40AA"/>
    <w:rsid w:val="00FD52D8"/>
    <w:rsid w:val="00FD59BD"/>
    <w:rsid w:val="00FE1F83"/>
    <w:rsid w:val="00FE78C2"/>
    <w:rsid w:val="00FF258F"/>
    <w:rsid w:val="00FF7F5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D046E"/>
  <w15:docId w15:val="{755A2506-CC3E-4B86-8C97-978DAE3F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9"/>
    <w:qFormat/>
    <w:pPr>
      <w:keepNext/>
      <w:keepLines/>
      <w:pBdr>
        <w:bottom w:val="single" w:sz="4" w:space="1" w:color="auto"/>
      </w:pBdr>
      <w:spacing w:before="480" w:after="120"/>
      <w:outlineLvl w:val="0"/>
    </w:pPr>
    <w:rPr>
      <w:rFonts w:ascii="Calibri" w:eastAsiaTheme="majorEastAsia" w:hAnsi="Calibri" w:cstheme="majorBidi"/>
      <w:b/>
      <w:bCs/>
      <w:sz w:val="72"/>
      <w:szCs w:val="28"/>
      <w:lang w:eastAsia="en-US"/>
    </w:rPr>
  </w:style>
  <w:style w:type="paragraph" w:styleId="Heading2">
    <w:name w:val="heading 2"/>
    <w:next w:val="Normal"/>
    <w:link w:val="Heading2Char"/>
    <w:uiPriority w:val="9"/>
    <w:qFormat/>
    <w:pPr>
      <w:keepNext/>
      <w:keepLines/>
      <w:numPr>
        <w:numId w:val="49"/>
      </w:numPr>
      <w:spacing w:after="120"/>
      <w:outlineLvl w:val="1"/>
    </w:pPr>
    <w:rPr>
      <w:rFonts w:ascii="Calibri" w:eastAsiaTheme="majorEastAsia" w:hAnsi="Calibri" w:cstheme="majorBidi"/>
      <w:b/>
      <w:bCs/>
      <w:color w:val="C6281C"/>
      <w:sz w:val="34"/>
      <w:szCs w:val="26"/>
      <w:lang w:eastAsia="en-US"/>
    </w:rPr>
  </w:style>
  <w:style w:type="paragraph" w:styleId="Heading3">
    <w:name w:val="heading 3"/>
    <w:next w:val="Normal"/>
    <w:link w:val="Heading3Char"/>
    <w:uiPriority w:val="4"/>
    <w:qFormat/>
    <w:pPr>
      <w:keepNext/>
      <w:keepLines/>
      <w:numPr>
        <w:ilvl w:val="1"/>
        <w:numId w:val="49"/>
      </w:numPr>
      <w:spacing w:before="120"/>
      <w:outlineLvl w:val="2"/>
    </w:pPr>
    <w:rPr>
      <w:rFonts w:ascii="Calibri" w:eastAsiaTheme="minorHAnsi" w:hAnsi="Calibri" w:cstheme="minorBidi"/>
      <w:b/>
      <w:bCs/>
      <w:color w:val="773141"/>
      <w:sz w:val="28"/>
      <w:szCs w:val="22"/>
      <w:lang w:eastAsia="en-US"/>
    </w:rPr>
  </w:style>
  <w:style w:type="paragraph" w:styleId="Heading4">
    <w:name w:val="heading 4"/>
    <w:next w:val="Normal"/>
    <w:link w:val="Heading4Char"/>
    <w:uiPriority w:val="5"/>
    <w:qFormat/>
    <w:pPr>
      <w:keepNext/>
      <w:keepLines/>
      <w:numPr>
        <w:ilvl w:val="2"/>
        <w:numId w:val="49"/>
      </w:numPr>
      <w:tabs>
        <w:tab w:val="clear" w:pos="4481"/>
        <w:tab w:val="num" w:pos="794"/>
      </w:tabs>
      <w:spacing w:before="120"/>
      <w:ind w:left="794"/>
      <w:outlineLvl w:val="3"/>
    </w:pPr>
    <w:rPr>
      <w:rFonts w:ascii="Calibri" w:eastAsiaTheme="minorHAnsi" w:hAnsi="Calibri" w:cstheme="minorBidi"/>
      <w:b/>
      <w:bCs/>
      <w:iCs/>
      <w:sz w:val="24"/>
      <w:szCs w:val="22"/>
      <w:lang w:eastAsia="en-US"/>
    </w:rPr>
  </w:style>
  <w:style w:type="paragraph" w:styleId="Heading5">
    <w:name w:val="heading 5"/>
    <w:next w:val="Normal"/>
    <w:link w:val="Heading5Char"/>
    <w:uiPriority w:val="6"/>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ajorHAnsi" w:eastAsiaTheme="majorEastAsia" w:hAnsiTheme="majorHAnsi" w:cstheme="majorBidi"/>
      <w:i/>
      <w:sz w:val="22"/>
      <w:szCs w:val="22"/>
      <w:lang w:eastAsia="en-US"/>
    </w:rPr>
  </w:style>
  <w:style w:type="paragraph" w:styleId="Heading7">
    <w:name w:val="heading 7"/>
    <w:next w:val="Normal"/>
    <w:link w:val="Heading7Char"/>
    <w:uiPriority w:val="9"/>
    <w:qFormat/>
    <w:pPr>
      <w:outlineLvl w:val="6"/>
    </w:pPr>
    <w:rPr>
      <w:rFonts w:asciiTheme="majorHAnsi" w:eastAsiaTheme="majorEastAsia" w:hAnsiTheme="majorHAnsi" w:cstheme="majorBidi"/>
      <w:i/>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imes New Roman" w:hAnsi="Calibri"/>
      <w:sz w:val="20"/>
      <w:szCs w:val="24"/>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12"/>
      </w:numPr>
    </w:pPr>
  </w:style>
  <w:style w:type="character" w:customStyle="1" w:styleId="Heading1Char">
    <w:name w:val="Heading 1 Char"/>
    <w:basedOn w:val="DefaultParagraphFont"/>
    <w:link w:val="Heading1"/>
    <w:uiPriority w:val="9"/>
    <w:rPr>
      <w:rFonts w:ascii="Calibri" w:eastAsiaTheme="majorEastAsia" w:hAnsi="Calibri" w:cstheme="majorBidi"/>
      <w:b/>
      <w:bCs/>
      <w:sz w:val="72"/>
      <w:szCs w:val="28"/>
      <w:lang w:eastAsia="en-US"/>
    </w:rPr>
  </w:style>
  <w:style w:type="paragraph" w:styleId="ListParagraph">
    <w:name w:val="List Paragraph"/>
    <w:basedOn w:val="Normal"/>
    <w:uiPriority w:val="99"/>
    <w:semiHidden/>
    <w:qFormat/>
    <w:pPr>
      <w:ind w:left="720"/>
    </w:pPr>
  </w:style>
  <w:style w:type="character" w:customStyle="1" w:styleId="Heading2Char">
    <w:name w:val="Heading 2 Char"/>
    <w:basedOn w:val="DefaultParagraphFont"/>
    <w:link w:val="Heading2"/>
    <w:uiPriority w:val="9"/>
    <w:rPr>
      <w:rFonts w:ascii="Calibri" w:eastAsiaTheme="majorEastAsia" w:hAnsi="Calibri" w:cstheme="majorBidi"/>
      <w:b/>
      <w:bCs/>
      <w:color w:val="C6281C"/>
      <w:sz w:val="34"/>
      <w:szCs w:val="26"/>
      <w:lang w:eastAsia="en-US"/>
    </w:rPr>
  </w:style>
  <w:style w:type="character" w:customStyle="1" w:styleId="Heading3Char">
    <w:name w:val="Heading 3 Char"/>
    <w:basedOn w:val="DefaultParagraphFont"/>
    <w:link w:val="Heading3"/>
    <w:uiPriority w:val="4"/>
    <w:rPr>
      <w:rFonts w:ascii="Calibri" w:eastAsiaTheme="minorHAnsi" w:hAnsi="Calibri" w:cstheme="minorBidi"/>
      <w:b/>
      <w:bCs/>
      <w:color w:val="773141"/>
      <w:sz w:val="28"/>
      <w:szCs w:val="22"/>
      <w:lang w:eastAsia="en-US"/>
    </w:rPr>
  </w:style>
  <w:style w:type="character" w:customStyle="1" w:styleId="Heading4Char">
    <w:name w:val="Heading 4 Char"/>
    <w:basedOn w:val="DefaultParagraphFont"/>
    <w:link w:val="Heading4"/>
    <w:uiPriority w:val="5"/>
    <w:rPr>
      <w:rFonts w:ascii="Calibri" w:eastAsiaTheme="minorHAnsi" w:hAnsi="Calibri" w:cstheme="minorBidi"/>
      <w:b/>
      <w:bCs/>
      <w:iCs/>
      <w:sz w:val="24"/>
      <w:szCs w:val="22"/>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pPr>
      <w:keepNext/>
      <w:spacing w:after="120"/>
    </w:pPr>
    <w:rPr>
      <w:rFonts w:eastAsiaTheme="majorEastAsia" w:cstheme="majorBidi"/>
      <w:b/>
      <w:bCs/>
      <w:color w:val="595959" w:themeColor="text1" w:themeTint="A6"/>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
      <w:bCs/>
      <w:color w:val="D52B1E"/>
      <w:sz w:val="34"/>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rFonts w:asciiTheme="minorHAnsi" w:hAnsiTheme="minorHAnsi"/>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rFonts w:asciiTheme="minorHAnsi" w:hAnsiTheme="minorHAnsi"/>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29"/>
      </w:numPr>
      <w:spacing w:before="120" w:after="120"/>
    </w:pPr>
    <w:rPr>
      <w:rFonts w:eastAsia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rPr>
      <w:rFonts w:asciiTheme="minorHAnsi" w:hAnsiTheme="minorHAnsi"/>
    </w:rPr>
  </w:style>
  <w:style w:type="paragraph" w:styleId="ListBullet2">
    <w:name w:val="List Bullet 2"/>
    <w:uiPriority w:val="8"/>
    <w:qFormat/>
    <w:pPr>
      <w:numPr>
        <w:ilvl w:val="1"/>
        <w:numId w:val="29"/>
      </w:numPr>
      <w:spacing w:before="120" w:after="120"/>
      <w:contextualSpacing/>
    </w:pPr>
    <w:rPr>
      <w:rFonts w:eastAsiaTheme="minorHAnsi" w:cstheme="minorBidi"/>
      <w:sz w:val="22"/>
      <w:szCs w:val="22"/>
      <w:lang w:eastAsia="en-US"/>
    </w:rPr>
  </w:style>
  <w:style w:type="paragraph" w:styleId="ListNumber">
    <w:name w:val="List Number"/>
    <w:basedOn w:val="Normal"/>
    <w:uiPriority w:val="9"/>
    <w:qFormat/>
    <w:pPr>
      <w:numPr>
        <w:numId w:val="41"/>
      </w:numPr>
      <w:spacing w:before="120" w:after="120" w:line="280" w:lineRule="atLeast"/>
    </w:pPr>
    <w:rPr>
      <w:szCs w:val="20"/>
    </w:rPr>
  </w:style>
  <w:style w:type="paragraph" w:styleId="ListNumber2">
    <w:name w:val="List Number 2"/>
    <w:uiPriority w:val="10"/>
    <w:qFormat/>
    <w:pPr>
      <w:numPr>
        <w:ilvl w:val="1"/>
        <w:numId w:val="41"/>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1"/>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eastAsia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99"/>
    <w:qFormat/>
    <w:rPr>
      <w:b/>
      <w:bC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6"/>
      </w:numPr>
      <w:ind w:left="357" w:hanging="357"/>
    </w:pPr>
  </w:style>
  <w:style w:type="paragraph" w:customStyle="1" w:styleId="TableBullet">
    <w:name w:val="Table Bullet"/>
    <w:basedOn w:val="TableText"/>
    <w:uiPriority w:val="15"/>
    <w:qFormat/>
    <w:pPr>
      <w:numPr>
        <w:numId w:val="7"/>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qFormat/>
    <w:pPr>
      <w:spacing w:after="0"/>
    </w:pPr>
    <w:rPr>
      <w:b/>
      <w:color w:val="FF0000"/>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imes New Roman"/>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47"/>
      </w:numPr>
    </w:pPr>
  </w:style>
  <w:style w:type="numbering" w:customStyle="1" w:styleId="captions">
    <w:name w:val="captions"/>
    <w:uiPriority w:val="99"/>
    <w:pPr>
      <w:numPr>
        <w:numId w:val="15"/>
      </w:numPr>
    </w:pPr>
  </w:style>
  <w:style w:type="character" w:customStyle="1" w:styleId="TableTextChar">
    <w:name w:val="Table Text Char"/>
    <w:basedOn w:val="DefaultParagraphFont"/>
    <w:link w:val="TableText"/>
    <w:uiPriority w:val="13"/>
    <w:rPr>
      <w:rFonts w:eastAsiaTheme="minorHAnsi" w:cstheme="minorBidi"/>
      <w:sz w:val="18"/>
      <w:szCs w:val="22"/>
      <w:lang w:eastAsia="en-US"/>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243F60" w:themeColor="accent1" w:themeShade="7F"/>
      <w:sz w:val="22"/>
      <w:szCs w:val="22"/>
      <w:lang w:eastAsia="en-US"/>
    </w:rPr>
  </w:style>
  <w:style w:type="numbering" w:customStyle="1" w:styleId="List1">
    <w:name w:val="List1"/>
    <w:basedOn w:val="NoList"/>
    <w:uiPriority w:val="99"/>
    <w:pPr>
      <w:numPr>
        <w:numId w:val="10"/>
      </w:numPr>
    </w:pPr>
  </w:style>
  <w:style w:type="character" w:customStyle="1" w:styleId="CaptionChar">
    <w:name w:val="Caption Char"/>
    <w:basedOn w:val="Heading1Char"/>
    <w:link w:val="Caption"/>
    <w:uiPriority w:val="12"/>
    <w:rPr>
      <w:rFonts w:ascii="Calibri" w:eastAsiaTheme="majorEastAsia" w:hAnsi="Calibri" w:cstheme="majorBidi"/>
      <w:b/>
      <w:bCs/>
      <w:color w:val="595959" w:themeColor="text1" w:themeTint="A6"/>
      <w:sz w:val="72"/>
      <w:szCs w:val="18"/>
      <w:lang w:eastAsia="en-US"/>
    </w:rPr>
  </w:style>
  <w:style w:type="numbering" w:customStyle="1" w:styleId="listbullets">
    <w:name w:val="list bullets"/>
    <w:uiPriority w:val="99"/>
    <w:pPr>
      <w:numPr>
        <w:numId w:val="24"/>
      </w:numPr>
    </w:pPr>
  </w:style>
  <w:style w:type="numbering" w:customStyle="1" w:styleId="ListNumber1">
    <w:name w:val="List Number1"/>
    <w:uiPriority w:val="99"/>
    <w:pPr>
      <w:numPr>
        <w:numId w:val="30"/>
      </w:numPr>
    </w:pPr>
  </w:style>
  <w:style w:type="character" w:customStyle="1" w:styleId="Heading6Char">
    <w:name w:val="Heading 6 Char"/>
    <w:basedOn w:val="DefaultParagraphFont"/>
    <w:link w:val="Heading6"/>
    <w:uiPriority w:val="9"/>
    <w:rPr>
      <w:rFonts w:asciiTheme="majorHAnsi" w:eastAsiaTheme="majorEastAsia" w:hAnsiTheme="majorHAnsi" w:cstheme="majorBidi"/>
      <w:i/>
      <w:sz w:val="22"/>
      <w:szCs w:val="22"/>
      <w:lang w:eastAsia="en-US"/>
    </w:rPr>
  </w:style>
  <w:style w:type="paragraph" w:customStyle="1" w:styleId="EndNoteBibliographyTitle">
    <w:name w:val="EndNote Bibliography Title"/>
    <w:basedOn w:val="Normal"/>
    <w:link w:val="EndNoteBibliographyTitleChar"/>
    <w:pPr>
      <w:spacing w:after="0"/>
      <w:jc w:val="center"/>
    </w:pPr>
    <w:rPr>
      <w:noProof/>
      <w:lang w:val="en-US"/>
    </w:rPr>
  </w:style>
  <w:style w:type="character" w:customStyle="1" w:styleId="EndNoteBibliographyTitleChar">
    <w:name w:val="EndNote Bibliography Title Char"/>
    <w:basedOn w:val="DefaultParagraphFont"/>
    <w:link w:val="EndNoteBibliographyTitle"/>
    <w:rPr>
      <w:rFonts w:eastAsiaTheme="minorHAnsi" w:cstheme="minorBidi"/>
      <w:noProof/>
      <w:sz w:val="22"/>
      <w:szCs w:val="22"/>
      <w:lang w:val="en-US" w:eastAsia="en-US"/>
    </w:rPr>
  </w:style>
  <w:style w:type="paragraph" w:customStyle="1" w:styleId="EndNoteBibliography">
    <w:name w:val="EndNote Bibliography"/>
    <w:basedOn w:val="Normal"/>
    <w:link w:val="EndNoteBibliographyChar"/>
    <w:pPr>
      <w:spacing w:line="240" w:lineRule="auto"/>
    </w:pPr>
    <w:rPr>
      <w:noProof/>
      <w:lang w:val="en-US"/>
    </w:rPr>
  </w:style>
  <w:style w:type="character" w:customStyle="1" w:styleId="EndNoteBibliographyChar">
    <w:name w:val="EndNote Bibliography Char"/>
    <w:basedOn w:val="DefaultParagraphFont"/>
    <w:link w:val="EndNoteBibliography"/>
    <w:rPr>
      <w:rFonts w:eastAsiaTheme="minorHAnsi" w:cstheme="minorBidi"/>
      <w:noProof/>
      <w:sz w:val="22"/>
      <w:szCs w:val="22"/>
      <w:lang w:val="en-US" w:eastAsia="en-US"/>
    </w:r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Publicationdate">
    <w:name w:val="Publication date"/>
    <w:qFormat/>
    <w:rPr>
      <w:rFonts w:eastAsiaTheme="minorHAnsi" w:cstheme="minorBidi"/>
      <w:sz w:val="22"/>
      <w:szCs w:val="22"/>
      <w:lang w:eastAsia="en-US"/>
    </w:rPr>
  </w:style>
  <w:style w:type="paragraph" w:styleId="Subtitle">
    <w:name w:val="Subtitle"/>
    <w:basedOn w:val="Heading1"/>
    <w:next w:val="Normal"/>
    <w:link w:val="SubtitleChar"/>
    <w:uiPriority w:val="23"/>
    <w:qFormat/>
    <w:rsid w:val="006868A7"/>
    <w:pPr>
      <w:keepNext w:val="0"/>
      <w:keepLines w:val="0"/>
      <w:widowControl w:val="0"/>
      <w:spacing w:before="120" w:after="0"/>
      <w:contextualSpacing/>
    </w:pPr>
    <w:rPr>
      <w:rFonts w:eastAsiaTheme="minorHAnsi" w:cstheme="minorBidi"/>
      <w:b w:val="0"/>
      <w:color w:val="000000"/>
      <w:spacing w:val="5"/>
      <w:kern w:val="28"/>
      <w:sz w:val="56"/>
      <w:szCs w:val="56"/>
    </w:rPr>
  </w:style>
  <w:style w:type="character" w:customStyle="1" w:styleId="SubtitleChar">
    <w:name w:val="Subtitle Char"/>
    <w:basedOn w:val="DefaultParagraphFont"/>
    <w:link w:val="Subtitle"/>
    <w:uiPriority w:val="23"/>
    <w:rsid w:val="006868A7"/>
    <w:rPr>
      <w:rFonts w:ascii="Calibri" w:eastAsiaTheme="minorHAnsi" w:hAnsi="Calibri" w:cstheme="minorBidi"/>
      <w:bCs/>
      <w:color w:val="000000"/>
      <w:spacing w:val="5"/>
      <w:kern w:val="28"/>
      <w:sz w:val="56"/>
      <w:szCs w:val="56"/>
      <w:lang w:eastAsia="en-US"/>
    </w:rPr>
  </w:style>
  <w:style w:type="character" w:styleId="UnresolvedMention">
    <w:name w:val="Unresolved Mention"/>
    <w:basedOn w:val="DefaultParagraphFont"/>
    <w:uiPriority w:val="99"/>
    <w:semiHidden/>
    <w:unhideWhenUsed/>
    <w:rsid w:val="00CA073F"/>
    <w:rPr>
      <w:color w:val="605E5C"/>
      <w:shd w:val="clear" w:color="auto" w:fill="E1DFDD"/>
    </w:rPr>
  </w:style>
  <w:style w:type="table" w:customStyle="1" w:styleId="TableGrid10">
    <w:name w:val="Table Grid1"/>
    <w:basedOn w:val="TableNormal"/>
    <w:next w:val="TableGrid"/>
    <w:uiPriority w:val="59"/>
    <w:rsid w:val="00A91F6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29406324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43952424">
      <w:bodyDiv w:val="1"/>
      <w:marLeft w:val="0"/>
      <w:marRight w:val="0"/>
      <w:marTop w:val="0"/>
      <w:marBottom w:val="0"/>
      <w:divBdr>
        <w:top w:val="none" w:sz="0" w:space="0" w:color="auto"/>
        <w:left w:val="none" w:sz="0" w:space="0" w:color="auto"/>
        <w:bottom w:val="none" w:sz="0" w:space="0" w:color="auto"/>
        <w:right w:val="none" w:sz="0" w:space="0" w:color="auto"/>
      </w:divBdr>
    </w:div>
    <w:div w:id="605579654">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awe.gov.au/" TargetMode="External"/><Relationship Id="rId26" Type="http://schemas.openxmlformats.org/officeDocument/2006/relationships/hyperlink" Target="https://www.awe.gov.a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daff.gov.au" TargetMode="External"/><Relationship Id="rId25" Type="http://schemas.openxmlformats.org/officeDocument/2006/relationships/hyperlink" Target="https://www.agriculture.gov.au/biosecurity/risk-analysis/guidelin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29" Type="http://schemas.openxmlformats.org/officeDocument/2006/relationships/hyperlink" Target="https://www.agriculture.gov.au/biosecurity/risk-analysis/animal/salm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32" Type="http://schemas.openxmlformats.org/officeDocument/2006/relationships/hyperlink" Target="https://bicon.agriculture.gov.au/BiconWeb4.0" TargetMode="External"/><Relationship Id="rId5" Type="http://schemas.openxmlformats.org/officeDocument/2006/relationships/numbering" Target="numbering.xml"/><Relationship Id="rId15" Type="http://schemas.openxmlformats.org/officeDocument/2006/relationships/hyperlink" Target="mailto:copyright@awe.gov.au" TargetMode="External"/><Relationship Id="rId23" Type="http://schemas.openxmlformats.org/officeDocument/2006/relationships/footer" Target="footer3.xml"/><Relationship Id="rId28" Type="http://schemas.openxmlformats.org/officeDocument/2006/relationships/hyperlink" Target="http://www.agriculture.gov.au" TargetMode="External"/><Relationship Id="rId10" Type="http://schemas.openxmlformats.org/officeDocument/2006/relationships/endnotes" Target="endnotes.xml"/><Relationship Id="rId19" Type="http://schemas.openxmlformats.org/officeDocument/2006/relationships/hyperlink" Target="http://www.agriculture.gov.au/biosecurity/risk-analysis/memos/" TargetMode="External"/><Relationship Id="rId31" Type="http://schemas.openxmlformats.org/officeDocument/2006/relationships/hyperlink" Target="https://bicon.agriculture.gov.au/BiconWeb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header" Target="header3.xml"/><Relationship Id="rId27" Type="http://schemas.openxmlformats.org/officeDocument/2006/relationships/hyperlink" Target="http://www.agriculture.gov.au/import/bicon" TargetMode="External"/><Relationship Id="rId30" Type="http://schemas.openxmlformats.org/officeDocument/2006/relationships/hyperlink" Target="https://www.oie.int/standard-setting/aquatic-code/access-onlin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xUriServ/LexUriServ.do?uri=OJ:L:2009:300:0001:0033:EN:PDF" TargetMode="External"/><Relationship Id="rId1" Type="http://schemas.openxmlformats.org/officeDocument/2006/relationships/hyperlink" Target="https://eur-lex.europa.eu/LexUriServ/LexUriServ.do?uri=OJ:L:2009:300:0001:0033: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E3404751E168468E393FECE57400E7" ma:contentTypeVersion="1" ma:contentTypeDescription="Create a new document." ma:contentTypeScope="" ma:versionID="07faab4fe777c1dfc17f1652cbbbab72">
  <xsd:schema xmlns:xsd="http://www.w3.org/2001/XMLSchema" xmlns:xs="http://www.w3.org/2001/XMLSchema" xmlns:p="http://schemas.microsoft.com/office/2006/metadata/properties" xmlns:ns2="a3c1fb92-f3b6-4505-b7df-85b4e49e1f22" targetNamespace="http://schemas.microsoft.com/office/2006/metadata/properties" ma:root="true" ma:fieldsID="ff12a6f9dc6d6ab4153a594dfc708dbd" ns2:_="">
    <xsd:import namespace="a3c1fb92-f3b6-4505-b7df-85b4e49e1f22"/>
    <xsd:element name="properties">
      <xsd:complexType>
        <xsd:sequence>
          <xsd:element name="documentManagement">
            <xsd:complexType>
              <xsd:all>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1fb92-f3b6-4505-b7df-85b4e49e1f22" elementFormDefault="qualified">
    <xsd:import namespace="http://schemas.microsoft.com/office/2006/documentManagement/types"/>
    <xsd:import namespace="http://schemas.microsoft.com/office/infopath/2007/PartnerControls"/>
    <xsd:element name="Link" ma:index="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ink xmlns="a3c1fb92-f3b6-4505-b7df-85b4e49e1f22">
      <Url xsi:nil="true"/>
      <Description xsi:nil="true"/>
    </Link>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95D77-A208-44F8-9E6A-0C5E812C0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1fb92-f3b6-4505-b7df-85b4e49e1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FF9F2-B553-40B8-AE51-8E46304031DB}">
  <ds:schemaRefs>
    <ds:schemaRef ds:uri="http://schemas.microsoft.com/sharepoint/v3/contenttype/forms"/>
  </ds:schemaRefs>
</ds:datastoreItem>
</file>

<file path=customXml/itemProps3.xml><?xml version="1.0" encoding="utf-8"?>
<ds:datastoreItem xmlns:ds="http://schemas.openxmlformats.org/officeDocument/2006/customXml" ds:itemID="{A1D323EF-822C-4E4A-9DA5-304476EA7B2B}">
  <ds:schemaRefs>
    <ds:schemaRef ds:uri="http://schemas.microsoft.com/office/2006/metadata/properties"/>
    <ds:schemaRef ds:uri="a3c1fb92-f3b6-4505-b7df-85b4e49e1f22"/>
  </ds:schemaRefs>
</ds:datastoreItem>
</file>

<file path=customXml/itemProps4.xml><?xml version="1.0" encoding="utf-8"?>
<ds:datastoreItem xmlns:ds="http://schemas.openxmlformats.org/officeDocument/2006/customXml" ds:itemID="{F798DED5-698E-4941-B4BA-04F19465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7273</Words>
  <Characters>41460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Draft assessment of a prescribed heat treatment as a risk management measure for fish and fish products for use as pet food and stockfeed </vt:lpstr>
    </vt:vector>
  </TitlesOfParts>
  <Company/>
  <LinksUpToDate>false</LinksUpToDate>
  <CharactersWithSpaces>48636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assessment of a prescribed heat treatment as a risk management measure for fish and fish products for use as pet food and stockfeed </dc:title>
  <dc:creator>Department of Agriculture, Water and the Environment</dc:creator>
  <cp:lastModifiedBy>Dang, Van</cp:lastModifiedBy>
  <cp:revision>11</cp:revision>
  <cp:lastPrinted>2021-02-15T22:17:00Z</cp:lastPrinted>
  <dcterms:created xsi:type="dcterms:W3CDTF">2021-07-15T06:22:00Z</dcterms:created>
  <dcterms:modified xsi:type="dcterms:W3CDTF">2021-08-31T22:39:00Z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0x010100EBE3404751E168468E393FECE57400E7</vt:lpwstr>
  </property>
</Properties>
</file>