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9C2F" w14:textId="50CE091B" w:rsidR="009D41D2" w:rsidRDefault="00460C44" w:rsidP="009D41D2">
      <w:pPr>
        <w:pStyle w:val="DisseminationLimitingMarker"/>
      </w:pPr>
      <w:r>
        <w:t xml:space="preserve">Conservation </w:t>
      </w:r>
      <w:r w:rsidR="002319AB">
        <w:t>A</w:t>
      </w:r>
      <w:r>
        <w:t>dvic</w:t>
      </w:r>
      <w:r w:rsidR="007C5B94">
        <w:t>e</w:t>
      </w:r>
      <w:r>
        <w:t xml:space="preserve"> for </w:t>
      </w:r>
      <w:r w:rsidR="00B16806">
        <w:br/>
      </w:r>
      <w:proofErr w:type="spellStart"/>
      <w:r w:rsidR="003B7521">
        <w:rPr>
          <w:rStyle w:val="Emphasis"/>
        </w:rPr>
        <w:t>Lophochroa</w:t>
      </w:r>
      <w:proofErr w:type="spellEnd"/>
      <w:r w:rsidR="003B7521">
        <w:rPr>
          <w:rStyle w:val="Emphasis"/>
        </w:rPr>
        <w:t xml:space="preserve"> </w:t>
      </w:r>
      <w:proofErr w:type="spellStart"/>
      <w:r w:rsidR="003B7521">
        <w:rPr>
          <w:rStyle w:val="Emphasis"/>
        </w:rPr>
        <w:t>leadbeateri</w:t>
      </w:r>
      <w:proofErr w:type="spellEnd"/>
      <w:r w:rsidR="003B7521">
        <w:rPr>
          <w:rStyle w:val="Emphasis"/>
        </w:rPr>
        <w:t xml:space="preserve"> </w:t>
      </w:r>
      <w:proofErr w:type="spellStart"/>
      <w:r w:rsidR="003B7521">
        <w:rPr>
          <w:rStyle w:val="Emphasis"/>
        </w:rPr>
        <w:t>leadbeater</w:t>
      </w:r>
      <w:r w:rsidR="00EF243C">
        <w:rPr>
          <w:rStyle w:val="Emphasis"/>
        </w:rPr>
        <w:t>i</w:t>
      </w:r>
      <w:proofErr w:type="spellEnd"/>
      <w:r w:rsidR="002B01EE">
        <w:t xml:space="preserve"> </w:t>
      </w:r>
      <w:r w:rsidRPr="002B01EE">
        <w:t>(</w:t>
      </w:r>
      <w:r w:rsidR="0066097D">
        <w:t>e</w:t>
      </w:r>
      <w:r w:rsidR="000243FD">
        <w:t>astern</w:t>
      </w:r>
      <w:r w:rsidR="00F61646">
        <w:t xml:space="preserve"> Major Mitchell’s </w:t>
      </w:r>
      <w:r w:rsidR="0066097D">
        <w:t>c</w:t>
      </w:r>
      <w:r w:rsidR="00F61646">
        <w:t>ockatoo</w:t>
      </w:r>
      <w:r w:rsidRPr="002B01EE">
        <w:t>)</w:t>
      </w:r>
    </w:p>
    <w:p w14:paraId="105C76F8" w14:textId="1DFA1AB9" w:rsidR="00A84071" w:rsidRDefault="00C877B7" w:rsidP="00A84071">
      <w:pPr>
        <w:pStyle w:val="Instructiontext"/>
      </w:pPr>
      <w:r>
        <w:rPr>
          <w:noProof/>
          <w:lang w:eastAsia="en-AU"/>
        </w:rPr>
        <mc:AlternateContent>
          <mc:Choice Requires="wps">
            <w:drawing>
              <wp:anchor distT="45720" distB="180340" distL="114300" distR="114300" simplePos="0" relativeHeight="251658241" behindDoc="0" locked="0" layoutInCell="1" allowOverlap="1" wp14:anchorId="18BF6FE0" wp14:editId="7F955D41">
                <wp:simplePos x="0" y="0"/>
                <wp:positionH relativeFrom="column">
                  <wp:posOffset>194945</wp:posOffset>
                </wp:positionH>
                <wp:positionV relativeFrom="paragraph">
                  <wp:posOffset>236855</wp:posOffset>
                </wp:positionV>
                <wp:extent cx="5238750" cy="2295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295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E94813B" w14:textId="77777777" w:rsidR="00157217" w:rsidRDefault="00157217"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0932242D" w14:textId="4FE7155F" w:rsidR="00157217" w:rsidRDefault="00157217" w:rsidP="00B86BDB">
                            <w:pPr>
                              <w:pStyle w:val="Consultationtext"/>
                            </w:pPr>
                            <w:r w:rsidRPr="004A3350">
                              <w:t xml:space="preserve">The purpose of this consultation document is to elicit additional information to better understand the </w:t>
                            </w:r>
                            <w:r>
                              <w:t>eligibility</w:t>
                            </w:r>
                            <w:r w:rsidRPr="004A3350">
                              <w:t xml:space="preserve"> of the species </w:t>
                            </w:r>
                            <w:r>
                              <w:t xml:space="preserve">for listing </w:t>
                            </w:r>
                            <w:r w:rsidRPr="004A3350">
                              <w:t>and inform conservation actions</w:t>
                            </w:r>
                            <w:r>
                              <w:t xml:space="preserve">, </w:t>
                            </w:r>
                            <w:r w:rsidRPr="004A3350">
                              <w:t xml:space="preserve">further </w:t>
                            </w:r>
                            <w:proofErr w:type="gramStart"/>
                            <w:r w:rsidRPr="004A3350">
                              <w:t>planning</w:t>
                            </w:r>
                            <w:proofErr w:type="gramEnd"/>
                            <w:r>
                              <w:t xml:space="preserve"> and the potential need for a Recovery Plan</w:t>
                            </w:r>
                            <w:r w:rsidRPr="004A3350">
                              <w:t>.</w:t>
                            </w:r>
                          </w:p>
                          <w:p w14:paraId="7CD5FEF7" w14:textId="5CAA37F9" w:rsidR="00157217" w:rsidRDefault="00157217" w:rsidP="00B86BDB">
                            <w:pPr>
                              <w:pStyle w:val="Consultationtext"/>
                            </w:pPr>
                            <w:r w:rsidRPr="004A3350">
                              <w:t xml:space="preserve">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6855CA3A" w14:textId="011BD8C1" w:rsidR="00157217" w:rsidRPr="00C877B7" w:rsidRDefault="00157217">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F6FE0" id="_x0000_t202" coordsize="21600,21600" o:spt="202" path="m,l,21600r21600,l21600,xe">
                <v:stroke joinstyle="miter"/>
                <v:path gradientshapeok="t" o:connecttype="rect"/>
              </v:shapetype>
              <v:shape id="Text Box 2" o:spid="_x0000_s1026" type="#_x0000_t202" style="position:absolute;margin-left:15.35pt;margin-top:18.65pt;width:412.5pt;height:180.75pt;z-index:251658241;visibility:visible;mso-wrap-style:square;mso-width-percent:0;mso-height-percent:0;mso-wrap-distance-left:9pt;mso-wrap-distance-top:3.6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4NLQIAAI8EAAAOAAAAZHJzL2Uyb0RvYy54bWysVNuO0zAQfUfiHyy/07ShYXejpqulCwhp&#10;uYiFD3Adu7HW8RjbbdL9esZOmi0g7QPixbIzc87MmUtW132ryUE4r8BUdDGbUyIMh1qZXUV/fH//&#10;6pISH5ipmQYjKnoUnl6vX75YdbYUOTSga+EIkhhfdraiTQi2zDLPG9EyPwMrDBoluJYFfLpdVjvW&#10;IXurs3w+f5N14GrrgAvv8evtYKTrxC+l4OGLlF4EoiuKuYV0unRu45mtV6zcOWYbxcc02D9k0TJl&#10;MOhEdcsCI3un/qJqFXfgQYYZhzYDKRUXSQOqWcz/UHPfMCuSFiyOt1OZ/P+j5Z8P9/arI6F/Cz02&#10;MInw9g74gycGNg0zO3HjHHSNYDUGXsSSZZ315QiNpfaljyTb7hPU2GS2D5CIeunaWBXUSZAdG3Cc&#10;ii76QDh+LPLXlxcFmjja8vyqKPIixWDlCW6dDx8EtCReKuqwq4meHe58iOmw8uQSo2kTz5jvO1On&#10;Bgem9HBH12hOAmLOY/bhqMUA/SYkUTXmlQ+liIMoNtqRA8MRqh8G/ZEFPSNEKq0n0Fi/30E6nECj&#10;b4SJNJwTcP58tMk7RQQTJmCrDLjnwXLwP6ketMamhX7bY33idQv1ETvoYNgQ3Gi8NOAeKelwOyrq&#10;f+6ZE5Tojwan4GqxXMZ1So9lcZHjw51btucWZjhSVTRQMlw3Ia1gFGPgBqdFqtTHp0zGZHHqU3vH&#10;DY1rdf5OXk//kfUvAAAA//8DAFBLAwQUAAYACAAAACEA1iwtTeAAAAAJAQAADwAAAGRycy9kb3du&#10;cmV2LnhtbEyPQUvDQBCF74L/YRnBi9iN1toYsyml0IPQIlYRj5Psmg3uzobsto399Y4nPQ3z3uPN&#10;N+Vi9E4czBC7QApuJhkIQ03QHbUK3l7X1zmImJA0ukBGwbeJsKjOz0osdDjSiznsUiu4hGKBCmxK&#10;fSFlbKzxGCehN8TeZxg8Jl6HVuoBj1zunbzNsnvpsSO+YLE3K2uar93eK8BnW3fxtHWn1Qct1093&#10;G3y/2ih1eTEuH0EkM6a/MPziMzpUzFSHPekonIJpNuckz/kUBPv5bMZCzcJDnoOsSvn/g+oHAAD/&#10;/wMAUEsBAi0AFAAGAAgAAAAhALaDOJL+AAAA4QEAABMAAAAAAAAAAAAAAAAAAAAAAFtDb250ZW50&#10;X1R5cGVzXS54bWxQSwECLQAUAAYACAAAACEAOP0h/9YAAACUAQAACwAAAAAAAAAAAAAAAAAvAQAA&#10;X3JlbHMvLnJlbHNQSwECLQAUAAYACAAAACEAhRR+DS0CAACPBAAADgAAAAAAAAAAAAAAAAAuAgAA&#10;ZHJzL2Uyb0RvYy54bWxQSwECLQAUAAYACAAAACEA1iwtTeAAAAAJAQAADwAAAAAAAAAAAAAAAACH&#10;BAAAZHJzL2Rvd25yZXYueG1sUEsFBgAAAAAEAAQA8wAAAJQFAAAAAA==&#10;" fillcolor="white [3201]" strokecolor="black [3200]" strokeweight="2pt">
                <v:textbox>
                  <w:txbxContent>
                    <w:p w14:paraId="0E94813B" w14:textId="77777777" w:rsidR="00157217" w:rsidRDefault="00157217"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0932242D" w14:textId="4FE7155F" w:rsidR="00157217" w:rsidRDefault="00157217" w:rsidP="00B86BDB">
                      <w:pPr>
                        <w:pStyle w:val="Consultationtext"/>
                      </w:pPr>
                      <w:r w:rsidRPr="004A3350">
                        <w:t xml:space="preserve">The purpose of this consultation document is to elicit additional information to better understand the </w:t>
                      </w:r>
                      <w:r>
                        <w:t>eligibility</w:t>
                      </w:r>
                      <w:r w:rsidRPr="004A3350">
                        <w:t xml:space="preserve"> of the species </w:t>
                      </w:r>
                      <w:r>
                        <w:t xml:space="preserve">for listing </w:t>
                      </w:r>
                      <w:r w:rsidRPr="004A3350">
                        <w:t>and inform conservation actions</w:t>
                      </w:r>
                      <w:r>
                        <w:t xml:space="preserve">, </w:t>
                      </w:r>
                      <w:r w:rsidRPr="004A3350">
                        <w:t xml:space="preserve">further </w:t>
                      </w:r>
                      <w:proofErr w:type="gramStart"/>
                      <w:r w:rsidRPr="004A3350">
                        <w:t>planning</w:t>
                      </w:r>
                      <w:proofErr w:type="gramEnd"/>
                      <w:r>
                        <w:t xml:space="preserve"> and the potential need for a Recovery Plan</w:t>
                      </w:r>
                      <w:r w:rsidRPr="004A3350">
                        <w:t>.</w:t>
                      </w:r>
                    </w:p>
                    <w:p w14:paraId="7CD5FEF7" w14:textId="5CAA37F9" w:rsidR="00157217" w:rsidRDefault="00157217" w:rsidP="00B86BDB">
                      <w:pPr>
                        <w:pStyle w:val="Consultationtext"/>
                      </w:pPr>
                      <w:r w:rsidRPr="004A3350">
                        <w:t xml:space="preserve">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6855CA3A" w14:textId="011BD8C1" w:rsidR="00157217" w:rsidRPr="00C877B7" w:rsidRDefault="00157217">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txbxContent>
                </v:textbox>
                <w10:wrap type="square"/>
              </v:shape>
            </w:pict>
          </mc:Fallback>
        </mc:AlternateContent>
      </w:r>
    </w:p>
    <w:p w14:paraId="4F528160" w14:textId="65057479" w:rsidR="0016081E" w:rsidRDefault="0016081E" w:rsidP="001C7420">
      <w:r w:rsidRPr="0016081E">
        <w:t xml:space="preserve">This document combines the </w:t>
      </w:r>
      <w:r w:rsidRPr="009D41D2">
        <w:t xml:space="preserve">approved conservation </w:t>
      </w:r>
      <w:r w:rsidRPr="00565F5A">
        <w:t>advice</w:t>
      </w:r>
      <w:r w:rsidRPr="0016081E">
        <w:t xml:space="preserve"> and listing assessment for the </w:t>
      </w:r>
      <w:r w:rsidR="00A62F8B" w:rsidRPr="00146D4B">
        <w:t>subspecies</w:t>
      </w:r>
      <w:r w:rsidRPr="0016081E">
        <w:t xml:space="preserve">. </w:t>
      </w:r>
      <w:r w:rsidRPr="009D41D2">
        <w:t>It provides a foundation for conservation action</w:t>
      </w:r>
      <w:r w:rsidR="004D0D1F">
        <w:t>s</w:t>
      </w:r>
      <w:r w:rsidRPr="009D41D2">
        <w:t xml:space="preserve"> and further planning.</w:t>
      </w:r>
    </w:p>
    <w:p w14:paraId="5174FDB1" w14:textId="375AC6C4" w:rsidR="00851688" w:rsidRDefault="00851688" w:rsidP="005633B0">
      <w:pPr>
        <w:pStyle w:val="FigureTableNoteSource"/>
        <w:jc w:val="center"/>
        <w:rPr>
          <w:highlight w:val="yellow"/>
        </w:rPr>
      </w:pPr>
      <w:bookmarkStart w:id="0" w:name="_Hlk46319602"/>
      <w:r>
        <w:rPr>
          <w:noProof/>
        </w:rPr>
        <w:drawing>
          <wp:inline distT="0" distB="0" distL="0" distR="0" wp14:anchorId="31DBCE1E" wp14:editId="34AC675C">
            <wp:extent cx="5759450" cy="3841115"/>
            <wp:effectExtent l="0" t="0" r="0" b="6985"/>
            <wp:docPr id="6" name="Picture 6" descr="A white bird standing in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bird standing in water&#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3841115"/>
                    </a:xfrm>
                    <a:prstGeom prst="rect">
                      <a:avLst/>
                    </a:prstGeom>
                    <a:noFill/>
                    <a:ln>
                      <a:noFill/>
                    </a:ln>
                  </pic:spPr>
                </pic:pic>
              </a:graphicData>
            </a:graphic>
          </wp:inline>
        </w:drawing>
      </w:r>
    </w:p>
    <w:p w14:paraId="35824B95" w14:textId="02152ACF" w:rsidR="006137FD" w:rsidRDefault="00BE44E9" w:rsidP="005633B0">
      <w:pPr>
        <w:pStyle w:val="FigureTableNoteSource"/>
        <w:jc w:val="center"/>
      </w:pPr>
      <w:r>
        <w:t xml:space="preserve">Major Mitchell’s </w:t>
      </w:r>
      <w:r w:rsidR="0066097D">
        <w:t>c</w:t>
      </w:r>
      <w:r>
        <w:t>ockatoo</w:t>
      </w:r>
      <w:r w:rsidR="00344617">
        <w:t xml:space="preserve"> </w:t>
      </w:r>
      <w:r w:rsidR="00A81027">
        <w:t>©</w:t>
      </w:r>
      <w:r w:rsidR="000A6133">
        <w:t xml:space="preserve"> Copyright, </w:t>
      </w:r>
      <w:r w:rsidR="00CC54E2">
        <w:t>Kristian Bell</w:t>
      </w:r>
      <w:r w:rsidR="000A6133">
        <w:t xml:space="preserve"> (from </w:t>
      </w:r>
      <w:r w:rsidR="00CC54E2">
        <w:t>Shutterstock</w:t>
      </w:r>
      <w:r w:rsidR="000A6133">
        <w:t>)</w:t>
      </w:r>
    </w:p>
    <w:bookmarkEnd w:id="0"/>
    <w:p w14:paraId="6C84335F" w14:textId="219D95A3" w:rsidR="006D3581" w:rsidRPr="00AC3A2A" w:rsidRDefault="006D3581" w:rsidP="006D3581">
      <w:pPr>
        <w:pStyle w:val="Heading2"/>
        <w:ind w:left="720" w:hanging="720"/>
      </w:pPr>
      <w:r>
        <w:lastRenderedPageBreak/>
        <w:t>Conservation status</w:t>
      </w:r>
    </w:p>
    <w:p w14:paraId="585CC154" w14:textId="00062AFD" w:rsidR="00E61E77" w:rsidRPr="00DF7AF2" w:rsidRDefault="00BB1942" w:rsidP="00B86BDB">
      <w:pPr>
        <w:pStyle w:val="Consultationtext"/>
        <w:rPr>
          <w:color w:val="auto"/>
        </w:rPr>
      </w:pPr>
      <w:proofErr w:type="spellStart"/>
      <w:r w:rsidRPr="00DF7AF2">
        <w:rPr>
          <w:rStyle w:val="Emphasis"/>
          <w:color w:val="auto"/>
        </w:rPr>
        <w:t>Lophochroa</w:t>
      </w:r>
      <w:proofErr w:type="spellEnd"/>
      <w:r w:rsidRPr="00DF7AF2">
        <w:rPr>
          <w:rStyle w:val="Emphasis"/>
          <w:color w:val="auto"/>
        </w:rPr>
        <w:t xml:space="preserve"> </w:t>
      </w:r>
      <w:proofErr w:type="spellStart"/>
      <w:r w:rsidRPr="00DF7AF2">
        <w:rPr>
          <w:rStyle w:val="Emphasis"/>
          <w:color w:val="auto"/>
        </w:rPr>
        <w:t>leadbeateri</w:t>
      </w:r>
      <w:proofErr w:type="spellEnd"/>
      <w:r w:rsidRPr="00DF7AF2">
        <w:rPr>
          <w:rStyle w:val="Emphasis"/>
          <w:color w:val="auto"/>
        </w:rPr>
        <w:t xml:space="preserve"> </w:t>
      </w:r>
      <w:proofErr w:type="spellStart"/>
      <w:r w:rsidRPr="00DF7AF2">
        <w:rPr>
          <w:rStyle w:val="Emphasis"/>
          <w:color w:val="auto"/>
        </w:rPr>
        <w:t>leadbeateri</w:t>
      </w:r>
      <w:proofErr w:type="spellEnd"/>
      <w:r w:rsidR="00E61E77" w:rsidRPr="00DF7AF2">
        <w:rPr>
          <w:color w:val="auto"/>
        </w:rPr>
        <w:t xml:space="preserve"> (</w:t>
      </w:r>
      <w:r w:rsidRPr="00DF7AF2">
        <w:rPr>
          <w:color w:val="auto"/>
        </w:rPr>
        <w:t>eastern Major Mitchell’s cockatoo</w:t>
      </w:r>
      <w:r w:rsidR="00E61E77" w:rsidRPr="00DF7AF2">
        <w:rPr>
          <w:color w:val="auto"/>
        </w:rPr>
        <w:t>) is proposed to be listed</w:t>
      </w:r>
      <w:r w:rsidRPr="00DF7AF2">
        <w:rPr>
          <w:color w:val="auto"/>
        </w:rPr>
        <w:t xml:space="preserve"> </w:t>
      </w:r>
      <w:r w:rsidR="001E1EA9" w:rsidRPr="00DF7AF2">
        <w:rPr>
          <w:color w:val="auto"/>
        </w:rPr>
        <w:t>in</w:t>
      </w:r>
      <w:r w:rsidR="00A876F6" w:rsidRPr="00DF7AF2">
        <w:rPr>
          <w:color w:val="auto"/>
        </w:rPr>
        <w:t xml:space="preserve"> the </w:t>
      </w:r>
      <w:sdt>
        <w:sdtPr>
          <w:rPr>
            <w:color w:val="auto"/>
          </w:rPr>
          <w:id w:val="454379346"/>
          <w:placeholder>
            <w:docPart w:val="C4F3B210625A49D1A68855672522768C"/>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A26545" w:rsidRPr="00DF7AF2">
            <w:rPr>
              <w:color w:val="auto"/>
            </w:rPr>
            <w:t>Endangered</w:t>
          </w:r>
        </w:sdtContent>
      </w:sdt>
      <w:r w:rsidR="00A876F6" w:rsidRPr="00DF7AF2">
        <w:rPr>
          <w:color w:val="auto"/>
        </w:rPr>
        <w:t xml:space="preserve"> category </w:t>
      </w:r>
      <w:r w:rsidR="00E61E77" w:rsidRPr="00DF7AF2">
        <w:rPr>
          <w:color w:val="auto"/>
        </w:rPr>
        <w:t xml:space="preserve">of the threatened species list under the </w:t>
      </w:r>
      <w:r w:rsidR="00E61E77" w:rsidRPr="00DF7AF2">
        <w:rPr>
          <w:rStyle w:val="Emphasis"/>
          <w:color w:val="auto"/>
        </w:rPr>
        <w:t>Environment Protection and Biodiversity Conservation Act 1999.</w:t>
      </w:r>
    </w:p>
    <w:p w14:paraId="7302C9BB" w14:textId="58AC8612" w:rsidR="004D2790" w:rsidRPr="00DF7AF2" w:rsidRDefault="00A26545" w:rsidP="004D2790">
      <w:proofErr w:type="spellStart"/>
      <w:r w:rsidRPr="00DF7AF2">
        <w:rPr>
          <w:rStyle w:val="Emphasis"/>
        </w:rPr>
        <w:t>Lophochroa</w:t>
      </w:r>
      <w:proofErr w:type="spellEnd"/>
      <w:r w:rsidRPr="00DF7AF2">
        <w:rPr>
          <w:rStyle w:val="Emphasis"/>
        </w:rPr>
        <w:t xml:space="preserve"> </w:t>
      </w:r>
      <w:proofErr w:type="spellStart"/>
      <w:r w:rsidRPr="00DF7AF2">
        <w:rPr>
          <w:rStyle w:val="Emphasis"/>
        </w:rPr>
        <w:t>leadbeateri</w:t>
      </w:r>
      <w:proofErr w:type="spellEnd"/>
      <w:r w:rsidRPr="00DF7AF2">
        <w:rPr>
          <w:rStyle w:val="Emphasis"/>
        </w:rPr>
        <w:t xml:space="preserve"> </w:t>
      </w:r>
      <w:proofErr w:type="spellStart"/>
      <w:r w:rsidRPr="00DF7AF2">
        <w:rPr>
          <w:rStyle w:val="Emphasis"/>
        </w:rPr>
        <w:t>leadbeateri</w:t>
      </w:r>
      <w:proofErr w:type="spellEnd"/>
      <w:r w:rsidRPr="00DF7AF2">
        <w:t xml:space="preserve"> </w:t>
      </w:r>
      <w:r w:rsidR="004D2790" w:rsidRPr="00DF7AF2">
        <w:t>was assessed by the Threatened Species Scientific Committee</w:t>
      </w:r>
      <w:r w:rsidR="005306BA" w:rsidRPr="00DF7AF2">
        <w:t xml:space="preserve"> to be eligible for listing</w:t>
      </w:r>
      <w:r w:rsidR="001573B8" w:rsidRPr="00DF7AF2">
        <w:t xml:space="preserve"> under </w:t>
      </w:r>
      <w:r w:rsidR="001E7C8D" w:rsidRPr="00DF7AF2">
        <w:t>crit</w:t>
      </w:r>
      <w:r w:rsidR="00094C09" w:rsidRPr="00DF7AF2">
        <w:t>erion</w:t>
      </w:r>
      <w:r w:rsidR="005306BA" w:rsidRPr="00DF7AF2">
        <w:t xml:space="preserve"> as </w:t>
      </w:r>
      <w:sdt>
        <w:sdtPr>
          <w:id w:val="257643898"/>
          <w:placeholder>
            <w:docPart w:val="3D0059D951D64E7187A8BEC276E4D5DE"/>
          </w:placeholder>
          <w:dropDownList>
            <w:listItem w:displayText="Critically Endangered" w:value="Critically Endangered"/>
            <w:listItem w:displayText="Endangered" w:value="Endangered"/>
            <w:listItem w:displayText="Vulnerable" w:value="Vulnerable"/>
            <w:listItem w:displayText="Conservation Dependent" w:value="Conservation Dependent"/>
            <w:listItem w:displayText="Extinct in the Wild" w:value="Extinct in the Wild"/>
          </w:dropDownList>
        </w:sdtPr>
        <w:sdtEndPr/>
        <w:sdtContent>
          <w:r w:rsidR="00DF7AF2" w:rsidRPr="00DF7AF2">
            <w:t>Endangered</w:t>
          </w:r>
        </w:sdtContent>
      </w:sdt>
      <w:r w:rsidR="005306BA" w:rsidRPr="00DF7AF2">
        <w:t xml:space="preserve"> </w:t>
      </w:r>
      <w:r w:rsidR="004D2790" w:rsidRPr="00DF7AF2">
        <w:t xml:space="preserve">under </w:t>
      </w:r>
      <w:r w:rsidR="005D452F" w:rsidRPr="00DF7AF2">
        <w:t>criterion</w:t>
      </w:r>
      <w:r w:rsidR="004D2790" w:rsidRPr="00DF7AF2">
        <w:t xml:space="preserve"> 1. The Committee’s assessment is at Attachment A</w:t>
      </w:r>
      <w:r w:rsidR="00972E40" w:rsidRPr="00DF7AF2">
        <w:t xml:space="preserve">. </w:t>
      </w:r>
      <w:r w:rsidR="004D2790" w:rsidRPr="00DF7AF2">
        <w:t>The Committee</w:t>
      </w:r>
      <w:r w:rsidR="003B2A51" w:rsidRPr="00DF7AF2">
        <w:t>’s</w:t>
      </w:r>
      <w:r w:rsidR="004D2790" w:rsidRPr="00DF7AF2">
        <w:t xml:space="preserve"> assessment of the species</w:t>
      </w:r>
      <w:r w:rsidR="009468FD" w:rsidRPr="00DF7AF2">
        <w:t>’</w:t>
      </w:r>
      <w:r w:rsidR="004D2790" w:rsidRPr="00DF7AF2">
        <w:t xml:space="preserve"> eligibility against each of the listing criteria is:</w:t>
      </w:r>
    </w:p>
    <w:p w14:paraId="5F58B327" w14:textId="3B4C83C9" w:rsidR="004D2790" w:rsidRPr="00DF7AF2" w:rsidRDefault="004D2790" w:rsidP="004D2790">
      <w:pPr>
        <w:pStyle w:val="ListBullet"/>
      </w:pPr>
      <w:r w:rsidRPr="00DF7AF2">
        <w:t>Criterion 1: A</w:t>
      </w:r>
      <w:r w:rsidR="0023474A" w:rsidRPr="00DF7AF2">
        <w:t>2</w:t>
      </w:r>
      <w:r w:rsidR="008A6F13" w:rsidRPr="00DF7AF2">
        <w:t>bce</w:t>
      </w:r>
      <w:r w:rsidRPr="00DF7AF2">
        <w:t xml:space="preserve">: </w:t>
      </w:r>
      <w:sdt>
        <w:sdtPr>
          <w:id w:val="77107183"/>
          <w:placeholder>
            <w:docPart w:val="F4B7BDA1EDFC4B4086A9B1DFC0FD768A"/>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23474A" w:rsidRPr="00DF7AF2">
            <w:t>Endangered</w:t>
          </w:r>
        </w:sdtContent>
      </w:sdt>
    </w:p>
    <w:p w14:paraId="68DDD866" w14:textId="2F3A2229" w:rsidR="004D2790" w:rsidRDefault="004D2790" w:rsidP="004D2790">
      <w:pPr>
        <w:pStyle w:val="ListBullet"/>
      </w:pPr>
      <w:r>
        <w:t>Criterion 2:</w:t>
      </w:r>
      <w:r w:rsidR="00A85421" w:rsidRPr="00A85421">
        <w:t xml:space="preserve"> </w:t>
      </w:r>
      <w:sdt>
        <w:sdtPr>
          <w:id w:val="-1042367401"/>
          <w:placeholder>
            <w:docPart w:val="D217EAE77AE049DFAAB7FB06C2A55358"/>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23474A">
            <w:t>Ineligible</w:t>
          </w:r>
        </w:sdtContent>
      </w:sdt>
    </w:p>
    <w:p w14:paraId="21C3BD37" w14:textId="1F410709" w:rsidR="004D2790" w:rsidRDefault="004D2790" w:rsidP="004D2790">
      <w:pPr>
        <w:pStyle w:val="ListBullet"/>
      </w:pPr>
      <w:r>
        <w:t>Criterion 3:</w:t>
      </w:r>
      <w:r w:rsidR="008B00FB" w:rsidRPr="008B00FB">
        <w:t xml:space="preserve"> </w:t>
      </w:r>
      <w:sdt>
        <w:sdtPr>
          <w:id w:val="-151294044"/>
          <w:placeholder>
            <w:docPart w:val="77BBBD97678C4C10950B924FB291B6F0"/>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23474A">
            <w:t>Ineligible</w:t>
          </w:r>
        </w:sdtContent>
      </w:sdt>
    </w:p>
    <w:p w14:paraId="6D3E99A1" w14:textId="5C9E120E" w:rsidR="002E32CA" w:rsidRDefault="004D2790" w:rsidP="004D2790">
      <w:pPr>
        <w:pStyle w:val="ListBullet"/>
      </w:pPr>
      <w:r>
        <w:t xml:space="preserve">Criterion 4: </w:t>
      </w:r>
      <w:sdt>
        <w:sdtPr>
          <w:id w:val="-2084978900"/>
          <w:placeholder>
            <w:docPart w:val="703D0D386FB448329095062685DA01BB"/>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23474A">
            <w:t>Ineligible</w:t>
          </w:r>
        </w:sdtContent>
      </w:sdt>
    </w:p>
    <w:p w14:paraId="1D48A704" w14:textId="217D9915" w:rsidR="005306BA" w:rsidRDefault="004D2790" w:rsidP="003A06CA">
      <w:pPr>
        <w:pStyle w:val="ListBullet"/>
      </w:pPr>
      <w:r>
        <w:t xml:space="preserve">Criterion 5: </w:t>
      </w:r>
      <w:sdt>
        <w:sdtPr>
          <w:id w:val="1205373663"/>
          <w:placeholder>
            <w:docPart w:val="AA3F430C24A344B7B131049C4B98C880"/>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23474A">
            <w:t>Insufficient data</w:t>
          </w:r>
        </w:sdtContent>
      </w:sdt>
    </w:p>
    <w:p w14:paraId="4A73877B" w14:textId="7A5874D1" w:rsidR="006864DA" w:rsidRDefault="004D2790" w:rsidP="006864DA">
      <w:pPr>
        <w:rPr>
          <w:lang w:eastAsia="ja-JP"/>
        </w:rPr>
      </w:pPr>
      <w:r>
        <w:t xml:space="preserve">The main factors that make the </w:t>
      </w:r>
      <w:r w:rsidRPr="00DF7AF2">
        <w:t xml:space="preserve">species </w:t>
      </w:r>
      <w:r w:rsidR="00CA32C5" w:rsidRPr="00DF7AF2">
        <w:t>proposed for</w:t>
      </w:r>
      <w:r w:rsidR="00794BA6" w:rsidRPr="00DF7AF2">
        <w:t xml:space="preserve"> </w:t>
      </w:r>
      <w:r w:rsidRPr="00DF7AF2">
        <w:t>listing</w:t>
      </w:r>
      <w:r>
        <w:t xml:space="preserve"> in the </w:t>
      </w:r>
      <w:sdt>
        <w:sdtPr>
          <w:id w:val="-775248640"/>
          <w:placeholder>
            <w:docPart w:val="7163FDDE01344F30BE6491AA91745DAD"/>
          </w:placeholder>
          <w:dropDownList>
            <w:listItem w:displayText="Critically Endangered" w:value="Critically Endangered"/>
            <w:listItem w:displayText="Endangered" w:value="Endangered"/>
            <w:listItem w:displayText="Vulnerable" w:value="Vulnerable"/>
            <w:listItem w:displayText="Conservation Dependent" w:value="Conservation Dependent"/>
            <w:listItem w:displayText="Extinct in the Wild" w:value="Extinct in the Wild"/>
          </w:dropDownList>
        </w:sdtPr>
        <w:sdtEndPr/>
        <w:sdtContent>
          <w:r w:rsidR="00DF7AF2">
            <w:t>Endangered</w:t>
          </w:r>
        </w:sdtContent>
      </w:sdt>
      <w:r w:rsidR="00624A10">
        <w:t xml:space="preserve"> </w:t>
      </w:r>
      <w:r>
        <w:t xml:space="preserve">category </w:t>
      </w:r>
      <w:r w:rsidR="00954CA5">
        <w:t>is the severe reduction in population numbers</w:t>
      </w:r>
      <w:r w:rsidR="0076072C">
        <w:t>.</w:t>
      </w:r>
      <w:r w:rsidR="00B60337">
        <w:t xml:space="preserve"> </w:t>
      </w:r>
      <w:r w:rsidR="006864DA">
        <w:rPr>
          <w:lang w:eastAsia="ja-JP"/>
        </w:rPr>
        <w:t>The population of the eastern Major Mitchell’s cockatoos was estimated (with low reliability) to be 15,000 mature individuals in 2011, based on the AOO and a density of 1 pair per 30 km</w:t>
      </w:r>
      <w:r w:rsidR="006864DA">
        <w:rPr>
          <w:vertAlign w:val="superscript"/>
          <w:lang w:eastAsia="ja-JP"/>
        </w:rPr>
        <w:t>2</w:t>
      </w:r>
      <w:r w:rsidR="006864DA">
        <w:rPr>
          <w:lang w:eastAsia="ja-JP"/>
        </w:rPr>
        <w:t xml:space="preserve"> (Garnett et al. 2011). </w:t>
      </w:r>
      <w:r w:rsidR="003415CB">
        <w:rPr>
          <w:lang w:eastAsia="ja-JP"/>
        </w:rPr>
        <w:t>In comparison to the estimated 50,000 mature individuals in 2000 (Garnett &amp; Crowley 2000), it is a decrease of 67% in mature individuals within one generation, though the reliability of the population size has always been low (Garnett &amp; Crowley 2000; Garnett et al. 2011; Hurley &amp; Garnett 2021).</w:t>
      </w:r>
    </w:p>
    <w:p w14:paraId="2906C5B2" w14:textId="158544AB" w:rsidR="00627BD2" w:rsidRPr="00E14EA4" w:rsidRDefault="00627BD2" w:rsidP="00627BD2">
      <w:pPr>
        <w:rPr>
          <w:lang w:eastAsia="ja-JP"/>
        </w:rPr>
      </w:pPr>
      <w:r w:rsidRPr="00E14EA4">
        <w:rPr>
          <w:lang w:eastAsia="ja-JP"/>
        </w:rPr>
        <w:t>The longevity and generation period (three generations of 6</w:t>
      </w:r>
      <w:r w:rsidR="00976C5E" w:rsidRPr="00E14EA4">
        <w:rPr>
          <w:lang w:eastAsia="ja-JP"/>
        </w:rPr>
        <w:t xml:space="preserve">6 </w:t>
      </w:r>
      <w:r w:rsidRPr="00E14EA4">
        <w:rPr>
          <w:lang w:eastAsia="ja-JP"/>
        </w:rPr>
        <w:t>years; Bird et al. 2020) means that population decline estimates will need to encompass losses in the 1950s and 60s when there was no monitoring. Most land-use intensification occurred in western New South Wales in the late 19</w:t>
      </w:r>
      <w:r w:rsidRPr="00E14EA4">
        <w:rPr>
          <w:vertAlign w:val="superscript"/>
          <w:lang w:eastAsia="ja-JP"/>
        </w:rPr>
        <w:t>th</w:t>
      </w:r>
      <w:r w:rsidRPr="00E14EA4">
        <w:rPr>
          <w:lang w:eastAsia="ja-JP"/>
        </w:rPr>
        <w:t xml:space="preserve"> century (</w:t>
      </w:r>
      <w:proofErr w:type="spellStart"/>
      <w:r w:rsidRPr="00E14EA4">
        <w:rPr>
          <w:lang w:eastAsia="ja-JP"/>
        </w:rPr>
        <w:t>Lunney</w:t>
      </w:r>
      <w:proofErr w:type="spellEnd"/>
      <w:r w:rsidRPr="00E14EA4">
        <w:rPr>
          <w:lang w:eastAsia="ja-JP"/>
        </w:rPr>
        <w:t xml:space="preserve"> 2001) and north-west Victoria from 1920 to 1940 (Fahey 2017), but legacy effects would have resulted in ongoing losses. </w:t>
      </w:r>
    </w:p>
    <w:p w14:paraId="0ED46F4B" w14:textId="531A0B0B" w:rsidR="00A76E60" w:rsidRDefault="00A76E60" w:rsidP="00627BD2">
      <w:pPr>
        <w:rPr>
          <w:lang w:eastAsia="ja-JP"/>
        </w:rPr>
      </w:pPr>
      <w:r w:rsidRPr="00E14EA4">
        <w:rPr>
          <w:lang w:eastAsia="ja-JP"/>
        </w:rPr>
        <w:t xml:space="preserve">Based on the average reporting rates from a range of surveys in the subspecies’ </w:t>
      </w:r>
      <w:r w:rsidR="009D7C99" w:rsidRPr="00E14EA4">
        <w:rPr>
          <w:lang w:eastAsia="ja-JP"/>
        </w:rPr>
        <w:t>10</w:t>
      </w:r>
      <w:r w:rsidRPr="00E14EA4">
        <w:rPr>
          <w:lang w:eastAsia="ja-JP"/>
        </w:rPr>
        <w:t xml:space="preserve"> core bioregions </w:t>
      </w:r>
      <w:r w:rsidR="00F60EB4" w:rsidRPr="00E14EA4">
        <w:rPr>
          <w:lang w:eastAsia="ja-JP"/>
        </w:rPr>
        <w:t xml:space="preserve">between 1977 and 2019, </w:t>
      </w:r>
      <w:r w:rsidR="003D3633" w:rsidRPr="00E14EA4">
        <w:rPr>
          <w:lang w:eastAsia="ja-JP"/>
        </w:rPr>
        <w:t>an average of 54% decline over three generations is estimated</w:t>
      </w:r>
      <w:r w:rsidR="009D7C99" w:rsidRPr="00E14EA4">
        <w:rPr>
          <w:lang w:eastAsia="ja-JP"/>
        </w:rPr>
        <w:t xml:space="preserve"> (see </w:t>
      </w:r>
      <w:r w:rsidR="009D7C99" w:rsidRPr="00E14EA4">
        <w:rPr>
          <w:i/>
          <w:iCs/>
          <w:lang w:eastAsia="ja-JP"/>
        </w:rPr>
        <w:t>Criterion 1 evidence</w:t>
      </w:r>
      <w:r w:rsidR="009D7C99" w:rsidRPr="00E14EA4">
        <w:rPr>
          <w:lang w:eastAsia="ja-JP"/>
        </w:rPr>
        <w:t>)</w:t>
      </w:r>
      <w:r w:rsidR="003D3633" w:rsidRPr="00E14EA4">
        <w:rPr>
          <w:lang w:eastAsia="ja-JP"/>
        </w:rPr>
        <w:t xml:space="preserve">. Hence, </w:t>
      </w:r>
      <w:r w:rsidR="00F60EB4" w:rsidRPr="00E14EA4">
        <w:rPr>
          <w:lang w:eastAsia="ja-JP"/>
        </w:rPr>
        <w:t xml:space="preserve">the Committee considers that the subspecies has undergone a severe reduction </w:t>
      </w:r>
      <w:r w:rsidR="00100BF8" w:rsidRPr="00E14EA4">
        <w:rPr>
          <w:lang w:eastAsia="ja-JP"/>
        </w:rPr>
        <w:t>in numbers over three generations. A decline in area of occupancy and quality of habitat is also evident from the ongoing loss and degradation of breeding habitat. Therefore, the subspecies has met the relevant element of Criterion 1 to make it eligible for listing as Endangered.</w:t>
      </w:r>
    </w:p>
    <w:p w14:paraId="112C4F8E"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14" w:history="1">
        <w:r w:rsidR="00624A10" w:rsidRPr="00624A10">
          <w:rPr>
            <w:rStyle w:val="Hyperlink"/>
          </w:rPr>
          <w:t>Species Profile and Threat Database</w:t>
        </w:r>
      </w:hyperlink>
      <w:r w:rsidR="00624A10">
        <w:t>.</w:t>
      </w:r>
    </w:p>
    <w:p w14:paraId="6BF4C357" w14:textId="3CBD584D" w:rsidR="006D3581" w:rsidRDefault="006D3581" w:rsidP="006D3581">
      <w:pPr>
        <w:pStyle w:val="Heading2"/>
        <w:ind w:left="720" w:hanging="720"/>
      </w:pPr>
      <w:r>
        <w:lastRenderedPageBreak/>
        <w:t>Species information</w:t>
      </w:r>
    </w:p>
    <w:p w14:paraId="0F8B77B7" w14:textId="747C649E" w:rsidR="001268C5" w:rsidRDefault="006D3581" w:rsidP="008064B3">
      <w:pPr>
        <w:pStyle w:val="Heading3"/>
      </w:pPr>
      <w:r>
        <w:t>Taxonomy</w:t>
      </w:r>
      <w:bookmarkStart w:id="1" w:name="_Ref445985062"/>
      <w:bookmarkStart w:id="2" w:name="_Toc409769199"/>
      <w:bookmarkStart w:id="3" w:name="_Toc454439316"/>
    </w:p>
    <w:p w14:paraId="64EE0EA4" w14:textId="5F27B535" w:rsidR="005F4416" w:rsidRPr="006B3EC1" w:rsidRDefault="00196797" w:rsidP="001268C5">
      <w:r>
        <w:t>Scientific name</w:t>
      </w:r>
      <w:r w:rsidR="00880575">
        <w:t xml:space="preserve"> </w:t>
      </w:r>
      <w:proofErr w:type="spellStart"/>
      <w:r w:rsidR="00880575">
        <w:rPr>
          <w:i/>
          <w:iCs/>
        </w:rPr>
        <w:t>Lophochroa</w:t>
      </w:r>
      <w:proofErr w:type="spellEnd"/>
      <w:r w:rsidR="00880575">
        <w:rPr>
          <w:i/>
          <w:iCs/>
        </w:rPr>
        <w:t xml:space="preserve"> </w:t>
      </w:r>
      <w:proofErr w:type="spellStart"/>
      <w:r w:rsidR="00880575">
        <w:rPr>
          <w:i/>
          <w:iCs/>
        </w:rPr>
        <w:t>leadbeateri</w:t>
      </w:r>
      <w:proofErr w:type="spellEnd"/>
      <w:r w:rsidR="00880575">
        <w:rPr>
          <w:i/>
          <w:iCs/>
        </w:rPr>
        <w:t xml:space="preserve"> </w:t>
      </w:r>
      <w:proofErr w:type="spellStart"/>
      <w:r w:rsidR="00880575">
        <w:rPr>
          <w:i/>
          <w:iCs/>
        </w:rPr>
        <w:t>leadbeateri</w:t>
      </w:r>
      <w:proofErr w:type="spellEnd"/>
      <w:r w:rsidR="009B448A">
        <w:rPr>
          <w:i/>
          <w:iCs/>
        </w:rPr>
        <w:t xml:space="preserve"> </w:t>
      </w:r>
      <w:r w:rsidR="0099492C">
        <w:t>(</w:t>
      </w:r>
      <w:proofErr w:type="spellStart"/>
      <w:r w:rsidR="0099492C">
        <w:t>Vigors</w:t>
      </w:r>
      <w:proofErr w:type="spellEnd"/>
      <w:r w:rsidR="0099492C">
        <w:t>, 1831)</w:t>
      </w:r>
      <w:r>
        <w:t>, the</w:t>
      </w:r>
      <w:r w:rsidR="00025643">
        <w:t xml:space="preserve">y are commonly known as </w:t>
      </w:r>
      <w:r w:rsidR="0066097D">
        <w:t>e</w:t>
      </w:r>
      <w:r w:rsidR="00025643">
        <w:t xml:space="preserve">astern Major Mitchell’s </w:t>
      </w:r>
      <w:r w:rsidR="0066097D">
        <w:t>c</w:t>
      </w:r>
      <w:r w:rsidR="00025643">
        <w:t xml:space="preserve">ockatoo. </w:t>
      </w:r>
      <w:r w:rsidR="001A6C65">
        <w:t>The other recognised subspecies</w:t>
      </w:r>
      <w:r w:rsidR="003C590E">
        <w:t xml:space="preserve">, </w:t>
      </w:r>
      <w:r w:rsidR="003C590E">
        <w:rPr>
          <w:i/>
          <w:iCs/>
        </w:rPr>
        <w:t xml:space="preserve">L. l. </w:t>
      </w:r>
      <w:proofErr w:type="spellStart"/>
      <w:r w:rsidR="003C590E">
        <w:rPr>
          <w:i/>
          <w:iCs/>
        </w:rPr>
        <w:t>mollis</w:t>
      </w:r>
      <w:proofErr w:type="spellEnd"/>
      <w:r w:rsidR="001A6C65">
        <w:t>,</w:t>
      </w:r>
      <w:r w:rsidR="003C590E">
        <w:t xml:space="preserve"> can be found in central and western Australia.</w:t>
      </w:r>
      <w:r w:rsidR="00E540F6">
        <w:t xml:space="preserve"> </w:t>
      </w:r>
      <w:r w:rsidR="005F4416">
        <w:t xml:space="preserve">The species is also commonly </w:t>
      </w:r>
      <w:r w:rsidR="00431554">
        <w:t>placed</w:t>
      </w:r>
      <w:r w:rsidR="006B3EC1">
        <w:t xml:space="preserve"> under the genus </w:t>
      </w:r>
      <w:r w:rsidR="006B3EC1">
        <w:rPr>
          <w:i/>
          <w:iCs/>
        </w:rPr>
        <w:t>Cacatua</w:t>
      </w:r>
      <w:r w:rsidR="00E540F6">
        <w:t xml:space="preserve">. </w:t>
      </w:r>
      <w:r w:rsidR="00A10950">
        <w:t xml:space="preserve">Other </w:t>
      </w:r>
      <w:r w:rsidR="00E540F6">
        <w:t>common</w:t>
      </w:r>
      <w:r w:rsidR="00A10950">
        <w:t xml:space="preserve"> names for the species are </w:t>
      </w:r>
      <w:r w:rsidR="0066097D">
        <w:t>pink cockatoo</w:t>
      </w:r>
      <w:r w:rsidR="00A10950">
        <w:t xml:space="preserve"> and </w:t>
      </w:r>
      <w:r w:rsidR="0066097D">
        <w:t>Leadbeater’s</w:t>
      </w:r>
      <w:r w:rsidR="00A10950">
        <w:t xml:space="preserve"> </w:t>
      </w:r>
      <w:r w:rsidR="0066097D">
        <w:t>c</w:t>
      </w:r>
      <w:r w:rsidR="00A10950">
        <w:t>ockatoo.</w:t>
      </w:r>
    </w:p>
    <w:p w14:paraId="361A9A56" w14:textId="61E8C418" w:rsidR="008064B3" w:rsidRDefault="008064B3" w:rsidP="008064B3">
      <w:pPr>
        <w:pStyle w:val="Heading3"/>
      </w:pPr>
      <w:r w:rsidRPr="008064B3">
        <w:t>Description</w:t>
      </w:r>
    </w:p>
    <w:p w14:paraId="39B7B0D3" w14:textId="5AEA713C" w:rsidR="00064886" w:rsidRPr="00064886" w:rsidRDefault="00064886" w:rsidP="00064886">
      <w:r>
        <w:t xml:space="preserve">The eastern Major Mitchell’s cockatoo is a small, </w:t>
      </w:r>
      <w:proofErr w:type="gramStart"/>
      <w:r>
        <w:t>white</w:t>
      </w:r>
      <w:proofErr w:type="gramEnd"/>
      <w:r>
        <w:t xml:space="preserve"> and pink cockatoo with a long, forward-pointing, scarlet and yellow-banded crest. </w:t>
      </w:r>
      <w:r w:rsidR="00A20B46" w:rsidRPr="00A20B46">
        <w:t>Birds</w:t>
      </w:r>
      <w:r w:rsidR="0030070E" w:rsidRPr="00A20B46">
        <w:t xml:space="preserve"> are mostly white, washed salmon pink on sides of the head, grading to white on the lower belly. Their crest appears white when folded, with broad red and yellow bands through the centre when raised</w:t>
      </w:r>
      <w:r w:rsidR="0030070E">
        <w:t xml:space="preserve"> and spread. The narrow yellow band varies individually and between sexes. </w:t>
      </w:r>
      <w:r w:rsidR="00A20B46">
        <w:t>Adults</w:t>
      </w:r>
      <w:r>
        <w:t xml:space="preserve"> weigh around 365-480 </w:t>
      </w:r>
      <w:proofErr w:type="gramStart"/>
      <w:r>
        <w:t>g, and</w:t>
      </w:r>
      <w:proofErr w:type="gramEnd"/>
      <w:r>
        <w:t xml:space="preserve"> have a body length of 39 cm (Higgins 1999; </w:t>
      </w:r>
      <w:proofErr w:type="spellStart"/>
      <w:r>
        <w:t>Menkhorst</w:t>
      </w:r>
      <w:proofErr w:type="spellEnd"/>
      <w:r>
        <w:t xml:space="preserve"> et al. 2017).</w:t>
      </w:r>
    </w:p>
    <w:p w14:paraId="4ABEC248" w14:textId="6EFF3E63" w:rsidR="008064B3" w:rsidRDefault="008064B3" w:rsidP="008064B3">
      <w:pPr>
        <w:pStyle w:val="Heading3"/>
      </w:pPr>
      <w:r w:rsidRPr="008064B3">
        <w:t>Distribution</w:t>
      </w:r>
    </w:p>
    <w:p w14:paraId="51094AB5" w14:textId="2257E5DC" w:rsidR="005E7D4F" w:rsidRPr="005E7D4F" w:rsidRDefault="00D2753C" w:rsidP="005E7D4F">
      <w:r>
        <w:t>The subspecies occur in the Murray-Darling, Eyre and Bulloo River basins</w:t>
      </w:r>
      <w:r w:rsidR="00A22A43">
        <w:t>, from Isisford</w:t>
      </w:r>
      <w:r w:rsidR="002D5C36">
        <w:t xml:space="preserve"> and Roma in the north</w:t>
      </w:r>
      <w:r w:rsidR="007D63DD">
        <w:t>, through western New South Wales to north-west</w:t>
      </w:r>
      <w:r w:rsidR="004A403E">
        <w:t xml:space="preserve"> Victoria and west to eastern South Australia</w:t>
      </w:r>
      <w:r w:rsidR="0079481F">
        <w:t xml:space="preserve"> (Higgins 1999). The subspecies had disappeared from the Adelaide and Mt Mary Plains in South Australia by the 1950s (Boehm 1961)</w:t>
      </w:r>
      <w:r w:rsidR="001D692D">
        <w:t>. As much as its range remains uncleared rangeland, it is assumed that 20 to 30% is still occupied (Hurley &amp; Garnett 2021).</w:t>
      </w:r>
    </w:p>
    <w:p w14:paraId="24CEABA6" w14:textId="7C35D90D" w:rsidR="00E362EF" w:rsidRDefault="007C5B94" w:rsidP="008064B3">
      <w:pPr>
        <w:pStyle w:val="Caption"/>
      </w:pPr>
      <w:r>
        <w:t xml:space="preserve">Map </w:t>
      </w:r>
      <w:r>
        <w:rPr>
          <w:noProof/>
        </w:rPr>
        <w:fldChar w:fldCharType="begin"/>
      </w:r>
      <w:r>
        <w:rPr>
          <w:noProof/>
        </w:rPr>
        <w:instrText xml:space="preserve"> SEQ Map \* ARABIC </w:instrText>
      </w:r>
      <w:r>
        <w:rPr>
          <w:noProof/>
        </w:rPr>
        <w:fldChar w:fldCharType="separate"/>
      </w:r>
      <w:r w:rsidR="004D0D1F">
        <w:rPr>
          <w:noProof/>
        </w:rPr>
        <w:t>1</w:t>
      </w:r>
      <w:r>
        <w:rPr>
          <w:noProof/>
        </w:rPr>
        <w:fldChar w:fldCharType="end"/>
      </w:r>
      <w:bookmarkEnd w:id="1"/>
      <w:r>
        <w:t xml:space="preserve"> </w:t>
      </w:r>
      <w:bookmarkEnd w:id="2"/>
      <w:bookmarkEnd w:id="3"/>
      <w:r w:rsidR="008064B3">
        <w:t xml:space="preserve">Modelled distribution </w:t>
      </w:r>
      <w:r w:rsidR="004C7F78">
        <w:t xml:space="preserve">of </w:t>
      </w:r>
      <w:r w:rsidR="00632BD9">
        <w:t>e</w:t>
      </w:r>
      <w:r w:rsidR="00B870AF">
        <w:t xml:space="preserve">astern Major Mitchell’s </w:t>
      </w:r>
      <w:r w:rsidR="00632BD9">
        <w:t>c</w:t>
      </w:r>
      <w:r w:rsidR="00B870AF">
        <w:t>ockatoo</w:t>
      </w:r>
    </w:p>
    <w:p w14:paraId="279BBAE0" w14:textId="7B289C86" w:rsidR="00E362EF" w:rsidRDefault="00AD57B1">
      <w:pPr>
        <w:pStyle w:val="Picture"/>
      </w:pPr>
      <w:r>
        <w:drawing>
          <wp:inline distT="0" distB="0" distL="0" distR="0" wp14:anchorId="5BF86676" wp14:editId="7502CF7E">
            <wp:extent cx="5759450" cy="4066540"/>
            <wp:effectExtent l="0" t="0" r="0"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4066540"/>
                    </a:xfrm>
                    <a:prstGeom prst="rect">
                      <a:avLst/>
                    </a:prstGeom>
                    <a:noFill/>
                    <a:ln>
                      <a:noFill/>
                    </a:ln>
                  </pic:spPr>
                </pic:pic>
              </a:graphicData>
            </a:graphic>
          </wp:inline>
        </w:drawing>
      </w:r>
    </w:p>
    <w:p w14:paraId="1C5CE65D" w14:textId="356187F2" w:rsidR="00E362EF" w:rsidRDefault="007C5B94">
      <w:pPr>
        <w:pStyle w:val="FigureTableNoteSource"/>
      </w:pPr>
      <w:r w:rsidRPr="002A3B07">
        <w:rPr>
          <w:b/>
          <w:bCs/>
        </w:rPr>
        <w:lastRenderedPageBreak/>
        <w:t>Source:</w:t>
      </w:r>
      <w:r>
        <w:t xml:space="preserve"> </w:t>
      </w:r>
      <w:r w:rsidR="00A12094">
        <w:t xml:space="preserve">Base map </w:t>
      </w:r>
      <w:r w:rsidR="008064B3">
        <w:t xml:space="preserve">Geoscience Australia; </w:t>
      </w:r>
      <w:r w:rsidR="00A12094">
        <w:t xml:space="preserve">species distribution data </w:t>
      </w:r>
      <w:hyperlink r:id="rId16" w:history="1">
        <w:r w:rsidR="008064B3" w:rsidRPr="008064B3">
          <w:rPr>
            <w:rStyle w:val="Hyperlink"/>
          </w:rPr>
          <w:t>Species of National Environmental Significance</w:t>
        </w:r>
      </w:hyperlink>
      <w:r w:rsidR="008064B3">
        <w:t xml:space="preserve"> database.</w:t>
      </w:r>
    </w:p>
    <w:p w14:paraId="22853FFC" w14:textId="77777777" w:rsidR="006137FD" w:rsidRDefault="002A3B07" w:rsidP="002A3B07">
      <w:pPr>
        <w:pStyle w:val="FigureTableNoteSource"/>
      </w:pPr>
      <w:r w:rsidRPr="002A3B07">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t>as a consequence of</w:t>
      </w:r>
      <w:proofErr w:type="gramEnd"/>
      <w:r>
        <w:t>, anything containing herein.</w:t>
      </w:r>
    </w:p>
    <w:p w14:paraId="79A928E6" w14:textId="52F1B04E" w:rsidR="0024487C" w:rsidRPr="0024487C" w:rsidRDefault="002A3B07" w:rsidP="002A3B07">
      <w:pPr>
        <w:pStyle w:val="FigureTableNoteSource"/>
      </w:pPr>
      <w:r w:rsidRPr="002A3B07">
        <w:rPr>
          <w:b/>
          <w:bCs/>
        </w:rPr>
        <w:t>Species distribution mapping:</w:t>
      </w:r>
      <w:r>
        <w:t xml:space="preserve"> The species distribution mapping categories are indicative only and aim to capture (a) the habitat or geographic feature that represents to recent observed locations of the species (known to occur) or habitat occurring </w:t>
      </w:r>
      <w:proofErr w:type="gramStart"/>
      <w:r>
        <w:t>in close proximity to</w:t>
      </w:r>
      <w:proofErr w:type="gramEnd"/>
      <w:r>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32FE4019" w14:textId="77777777" w:rsidR="00C304AA" w:rsidRDefault="00C304AA" w:rsidP="00C304AA">
      <w:pPr>
        <w:pStyle w:val="Heading3"/>
        <w:ind w:left="964" w:hanging="964"/>
      </w:pPr>
      <w:r>
        <w:t>Cultural and community significance</w:t>
      </w:r>
    </w:p>
    <w:p w14:paraId="5C093329" w14:textId="5D5B52E8" w:rsidR="009D454F" w:rsidRDefault="00064886" w:rsidP="0D9CFEC7">
      <w:r>
        <w:t>The eastern Major Mitchell’s cockatoo is k</w:t>
      </w:r>
      <w:r w:rsidR="009D454F">
        <w:t xml:space="preserve">nown to occur on the lands of at least the following Indigenous Peoples: Adnyamathanha, </w:t>
      </w:r>
      <w:proofErr w:type="spellStart"/>
      <w:r w:rsidR="009D454F">
        <w:t>Barapa</w:t>
      </w:r>
      <w:proofErr w:type="spellEnd"/>
      <w:r w:rsidR="009D454F">
        <w:t xml:space="preserve"> </w:t>
      </w:r>
      <w:proofErr w:type="spellStart"/>
      <w:r w:rsidR="009D454F">
        <w:t>Barapa</w:t>
      </w:r>
      <w:proofErr w:type="spellEnd"/>
      <w:r w:rsidR="009D454F">
        <w:t xml:space="preserve">, </w:t>
      </w:r>
      <w:proofErr w:type="spellStart"/>
      <w:r w:rsidR="009D454F">
        <w:t>Barkindji</w:t>
      </w:r>
      <w:proofErr w:type="spellEnd"/>
      <w:r w:rsidR="009D454F">
        <w:t xml:space="preserve">, </w:t>
      </w:r>
      <w:proofErr w:type="spellStart"/>
      <w:r w:rsidR="009D454F">
        <w:t>Bidjara</w:t>
      </w:r>
      <w:proofErr w:type="spellEnd"/>
      <w:r w:rsidR="009D454F">
        <w:t xml:space="preserve">, </w:t>
      </w:r>
      <w:proofErr w:type="spellStart"/>
      <w:r w:rsidR="009D454F">
        <w:t>Boonthamurra</w:t>
      </w:r>
      <w:proofErr w:type="spellEnd"/>
      <w:r w:rsidR="009D454F">
        <w:t xml:space="preserve">, </w:t>
      </w:r>
      <w:proofErr w:type="spellStart"/>
      <w:r w:rsidR="009D454F">
        <w:t>Budjiti</w:t>
      </w:r>
      <w:proofErr w:type="spellEnd"/>
      <w:r w:rsidR="009D454F">
        <w:t xml:space="preserve">, </w:t>
      </w:r>
      <w:proofErr w:type="spellStart"/>
      <w:r w:rsidR="009D454F">
        <w:t>Dieri</w:t>
      </w:r>
      <w:proofErr w:type="spellEnd"/>
      <w:r w:rsidR="009D454F">
        <w:t xml:space="preserve">, </w:t>
      </w:r>
      <w:proofErr w:type="spellStart"/>
      <w:r w:rsidR="009D454F">
        <w:t>Dja</w:t>
      </w:r>
      <w:proofErr w:type="spellEnd"/>
      <w:r w:rsidR="009D454F">
        <w:t xml:space="preserve"> </w:t>
      </w:r>
      <w:proofErr w:type="spellStart"/>
      <w:r w:rsidR="009D454F">
        <w:t>Dja</w:t>
      </w:r>
      <w:proofErr w:type="spellEnd"/>
      <w:r w:rsidR="009D454F">
        <w:t xml:space="preserve"> Wurrung, Euahlayi, Gamilaraay, </w:t>
      </w:r>
      <w:proofErr w:type="spellStart"/>
      <w:r w:rsidR="009D454F">
        <w:t>Gomeroi</w:t>
      </w:r>
      <w:proofErr w:type="spellEnd"/>
      <w:r w:rsidR="009D454F">
        <w:t xml:space="preserve">, </w:t>
      </w:r>
      <w:proofErr w:type="spellStart"/>
      <w:r w:rsidR="009D454F">
        <w:t>Gungari</w:t>
      </w:r>
      <w:proofErr w:type="spellEnd"/>
      <w:r w:rsidR="009D454F">
        <w:t xml:space="preserve">, </w:t>
      </w:r>
      <w:proofErr w:type="spellStart"/>
      <w:r w:rsidR="009D454F">
        <w:t>Iningai</w:t>
      </w:r>
      <w:proofErr w:type="spellEnd"/>
      <w:r w:rsidR="009D454F">
        <w:t xml:space="preserve">, </w:t>
      </w:r>
      <w:proofErr w:type="spellStart"/>
      <w:r w:rsidR="009D454F">
        <w:t>Kooma</w:t>
      </w:r>
      <w:proofErr w:type="spellEnd"/>
      <w:r w:rsidR="009D454F">
        <w:t xml:space="preserve">, </w:t>
      </w:r>
      <w:proofErr w:type="spellStart"/>
      <w:r w:rsidR="009D454F">
        <w:t>Kullilli</w:t>
      </w:r>
      <w:proofErr w:type="spellEnd"/>
      <w:r w:rsidR="009D454F">
        <w:t xml:space="preserve">, </w:t>
      </w:r>
      <w:proofErr w:type="spellStart"/>
      <w:r w:rsidR="009D454F">
        <w:t>Kuungkari</w:t>
      </w:r>
      <w:proofErr w:type="spellEnd"/>
      <w:r w:rsidR="009D454F">
        <w:t xml:space="preserve">, </w:t>
      </w:r>
      <w:proofErr w:type="spellStart"/>
      <w:r w:rsidR="009D454F">
        <w:t>Latji</w:t>
      </w:r>
      <w:proofErr w:type="spellEnd"/>
      <w:r w:rsidR="009D454F">
        <w:t xml:space="preserve"> </w:t>
      </w:r>
      <w:proofErr w:type="spellStart"/>
      <w:r w:rsidR="009D454F">
        <w:t>Latji</w:t>
      </w:r>
      <w:proofErr w:type="spellEnd"/>
      <w:r w:rsidR="009D454F">
        <w:t xml:space="preserve">, </w:t>
      </w:r>
      <w:proofErr w:type="spellStart"/>
      <w:r w:rsidR="009D454F">
        <w:t>Malintji</w:t>
      </w:r>
      <w:proofErr w:type="spellEnd"/>
      <w:r w:rsidR="009D454F">
        <w:t xml:space="preserve">, </w:t>
      </w:r>
      <w:proofErr w:type="spellStart"/>
      <w:r w:rsidR="009D454F">
        <w:t>Malyankapa</w:t>
      </w:r>
      <w:proofErr w:type="spellEnd"/>
      <w:r w:rsidR="009D454F">
        <w:t xml:space="preserve">, </w:t>
      </w:r>
      <w:proofErr w:type="spellStart"/>
      <w:r w:rsidR="009D454F">
        <w:t>Mandandangi</w:t>
      </w:r>
      <w:proofErr w:type="spellEnd"/>
      <w:r w:rsidR="009D454F">
        <w:t xml:space="preserve">, </w:t>
      </w:r>
      <w:proofErr w:type="spellStart"/>
      <w:r w:rsidR="009D454F">
        <w:t>Mardigan</w:t>
      </w:r>
      <w:proofErr w:type="spellEnd"/>
      <w:r w:rsidR="009D454F">
        <w:t xml:space="preserve">, </w:t>
      </w:r>
      <w:proofErr w:type="spellStart"/>
      <w:r w:rsidR="009D454F">
        <w:t>Ngadjuri</w:t>
      </w:r>
      <w:proofErr w:type="spellEnd"/>
      <w:r w:rsidR="009D454F">
        <w:t xml:space="preserve">, </w:t>
      </w:r>
      <w:proofErr w:type="spellStart"/>
      <w:r w:rsidR="009D454F">
        <w:t>Ngemba</w:t>
      </w:r>
      <w:proofErr w:type="spellEnd"/>
      <w:r w:rsidR="009D454F">
        <w:t xml:space="preserve">, </w:t>
      </w:r>
      <w:proofErr w:type="spellStart"/>
      <w:r w:rsidR="009D454F">
        <w:t>Ngintait</w:t>
      </w:r>
      <w:proofErr w:type="spellEnd"/>
      <w:r w:rsidR="009D454F">
        <w:t xml:space="preserve">, </w:t>
      </w:r>
      <w:proofErr w:type="spellStart"/>
      <w:r w:rsidR="009D454F">
        <w:t>Ngiyampaa</w:t>
      </w:r>
      <w:proofErr w:type="spellEnd"/>
      <w:r w:rsidR="009D454F">
        <w:t xml:space="preserve">, Nyeri </w:t>
      </w:r>
      <w:proofErr w:type="spellStart"/>
      <w:r w:rsidR="009D454F">
        <w:t>Nyeri</w:t>
      </w:r>
      <w:proofErr w:type="spellEnd"/>
      <w:r w:rsidR="009D454F">
        <w:t xml:space="preserve">, Wadi </w:t>
      </w:r>
      <w:proofErr w:type="spellStart"/>
      <w:r w:rsidR="009D454F">
        <w:t>Wadi</w:t>
      </w:r>
      <w:proofErr w:type="spellEnd"/>
      <w:r w:rsidR="009D454F">
        <w:t xml:space="preserve">, </w:t>
      </w:r>
      <w:proofErr w:type="spellStart"/>
      <w:r w:rsidR="009D454F">
        <w:t>Wadigali</w:t>
      </w:r>
      <w:proofErr w:type="spellEnd"/>
      <w:r w:rsidR="009D454F">
        <w:t xml:space="preserve">, </w:t>
      </w:r>
      <w:proofErr w:type="spellStart"/>
      <w:r w:rsidR="009D454F">
        <w:t>Wangaaypuwan</w:t>
      </w:r>
      <w:proofErr w:type="spellEnd"/>
      <w:r w:rsidR="009D454F">
        <w:t xml:space="preserve">, </w:t>
      </w:r>
      <w:proofErr w:type="spellStart"/>
      <w:r w:rsidR="009D454F">
        <w:t>Wayilwan</w:t>
      </w:r>
      <w:proofErr w:type="spellEnd"/>
      <w:r w:rsidR="009D454F">
        <w:t xml:space="preserve">, </w:t>
      </w:r>
      <w:proofErr w:type="spellStart"/>
      <w:r w:rsidR="009D454F">
        <w:t>Wemba</w:t>
      </w:r>
      <w:proofErr w:type="spellEnd"/>
      <w:r w:rsidR="009D454F">
        <w:t xml:space="preserve"> Wamba, </w:t>
      </w:r>
      <w:proofErr w:type="spellStart"/>
      <w:r w:rsidR="009D454F">
        <w:t>Wiljali</w:t>
      </w:r>
      <w:proofErr w:type="spellEnd"/>
      <w:r w:rsidR="009D454F">
        <w:t xml:space="preserve">, </w:t>
      </w:r>
      <w:proofErr w:type="spellStart"/>
      <w:r w:rsidR="009D454F">
        <w:t>Wilyakali</w:t>
      </w:r>
      <w:proofErr w:type="spellEnd"/>
      <w:r w:rsidR="009D454F">
        <w:t xml:space="preserve">, Wiradjuri, </w:t>
      </w:r>
      <w:proofErr w:type="spellStart"/>
      <w:r w:rsidR="009D454F">
        <w:t>Wongkumara</w:t>
      </w:r>
      <w:proofErr w:type="spellEnd"/>
      <w:r w:rsidR="009D454F">
        <w:t xml:space="preserve">, </w:t>
      </w:r>
      <w:proofErr w:type="spellStart"/>
      <w:r w:rsidR="009D454F">
        <w:t>Yandruwandha</w:t>
      </w:r>
      <w:proofErr w:type="spellEnd"/>
      <w:r w:rsidR="009D454F">
        <w:t xml:space="preserve">, </w:t>
      </w:r>
      <w:proofErr w:type="spellStart"/>
      <w:r w:rsidR="009D454F">
        <w:t>Yawarrawarrka</w:t>
      </w:r>
      <w:proofErr w:type="spellEnd"/>
      <w:r w:rsidR="009D454F">
        <w:t xml:space="preserve">, Yorta </w:t>
      </w:r>
      <w:proofErr w:type="spellStart"/>
      <w:r w:rsidR="009D454F">
        <w:t>Yorta</w:t>
      </w:r>
      <w:proofErr w:type="spellEnd"/>
      <w:r w:rsidR="009D454F">
        <w:t xml:space="preserve"> and </w:t>
      </w:r>
      <w:proofErr w:type="spellStart"/>
      <w:r w:rsidR="009D454F">
        <w:t>Yuwaalaraay</w:t>
      </w:r>
      <w:proofErr w:type="spellEnd"/>
      <w:r w:rsidR="00F322C0">
        <w:t xml:space="preserve"> (Hurley &amp; Garnett 2021).</w:t>
      </w:r>
    </w:p>
    <w:p w14:paraId="3312B3D1" w14:textId="5EBCACDE" w:rsidR="00706D59" w:rsidRPr="00B03229" w:rsidRDefault="000A4F74" w:rsidP="009D454F">
      <w:r>
        <w:t>The</w:t>
      </w:r>
      <w:r w:rsidR="006E4908">
        <w:t xml:space="preserve"> species has been known as</w:t>
      </w:r>
      <w:r w:rsidR="009C707E">
        <w:t xml:space="preserve"> </w:t>
      </w:r>
      <w:proofErr w:type="spellStart"/>
      <w:r w:rsidR="009C707E">
        <w:t>Jakkulyakkul</w:t>
      </w:r>
      <w:proofErr w:type="spellEnd"/>
      <w:r w:rsidR="009C707E">
        <w:t xml:space="preserve"> </w:t>
      </w:r>
      <w:r>
        <w:t>in Western Australia (</w:t>
      </w:r>
      <w:r w:rsidR="001B4BED">
        <w:t>Gould 1848)</w:t>
      </w:r>
      <w:r>
        <w:t xml:space="preserve">, and </w:t>
      </w:r>
      <w:proofErr w:type="spellStart"/>
      <w:r w:rsidR="00C87F15">
        <w:t>wijugla</w:t>
      </w:r>
      <w:proofErr w:type="spellEnd"/>
      <w:r w:rsidR="00C87F15">
        <w:t xml:space="preserve"> (Wiradjuri language</w:t>
      </w:r>
      <w:r w:rsidR="00B16D58">
        <w:t>; Fraser &amp; Gray 2013</w:t>
      </w:r>
      <w:r w:rsidR="00C87F15">
        <w:t>)</w:t>
      </w:r>
      <w:r w:rsidR="0079051B">
        <w:t xml:space="preserve">, </w:t>
      </w:r>
      <w:proofErr w:type="spellStart"/>
      <w:r w:rsidR="0029535F">
        <w:t>kakalyalya</w:t>
      </w:r>
      <w:proofErr w:type="spellEnd"/>
      <w:r w:rsidR="0029535F">
        <w:t xml:space="preserve"> (</w:t>
      </w:r>
      <w:r w:rsidR="004F3F60">
        <w:t>Pitjantjatjara dialect of Western Desert language</w:t>
      </w:r>
      <w:r w:rsidR="00AB7257">
        <w:t xml:space="preserve">), and </w:t>
      </w:r>
      <w:proofErr w:type="spellStart"/>
      <w:r w:rsidR="004B6337">
        <w:t>gugalarin</w:t>
      </w:r>
      <w:proofErr w:type="spellEnd"/>
      <w:r w:rsidR="004B6337">
        <w:t xml:space="preserve"> (</w:t>
      </w:r>
      <w:proofErr w:type="spellStart"/>
      <w:r w:rsidR="004B6337">
        <w:t>Yuwaalaraay</w:t>
      </w:r>
      <w:proofErr w:type="spellEnd"/>
      <w:r w:rsidR="004B6337">
        <w:t xml:space="preserve"> language) in New South Wales (M</w:t>
      </w:r>
      <w:r w:rsidR="00903608">
        <w:t>oonlit Sanctuary 2020).</w:t>
      </w:r>
      <w:r w:rsidR="007C1653">
        <w:t xml:space="preserve"> </w:t>
      </w:r>
      <w:r w:rsidR="009426C8">
        <w:t xml:space="preserve">In South Australia, they have been </w:t>
      </w:r>
      <w:r w:rsidR="00EC6C71">
        <w:t xml:space="preserve">known as </w:t>
      </w:r>
      <w:proofErr w:type="spellStart"/>
      <w:r w:rsidR="006E4908">
        <w:t>kukkalulla</w:t>
      </w:r>
      <w:proofErr w:type="spellEnd"/>
      <w:r w:rsidR="006E4908">
        <w:t xml:space="preserve"> </w:t>
      </w:r>
      <w:r w:rsidR="00453E5B">
        <w:t>(</w:t>
      </w:r>
      <w:proofErr w:type="spellStart"/>
      <w:r w:rsidR="009147E0">
        <w:t>Kokatha</w:t>
      </w:r>
      <w:proofErr w:type="spellEnd"/>
      <w:r w:rsidR="009147E0">
        <w:t xml:space="preserve"> </w:t>
      </w:r>
      <w:r w:rsidR="00623E3F">
        <w:t>dialect</w:t>
      </w:r>
      <w:r w:rsidR="0029535F">
        <w:t xml:space="preserve"> of Western Desert language</w:t>
      </w:r>
      <w:r w:rsidR="00856752">
        <w:t>)</w:t>
      </w:r>
      <w:r w:rsidR="00E04988">
        <w:t xml:space="preserve">, </w:t>
      </w:r>
      <w:proofErr w:type="spellStart"/>
      <w:r w:rsidR="006E4908">
        <w:t>nkuna</w:t>
      </w:r>
      <w:proofErr w:type="spellEnd"/>
      <w:r w:rsidR="00EC6C71">
        <w:t xml:space="preserve">, </w:t>
      </w:r>
      <w:proofErr w:type="spellStart"/>
      <w:r w:rsidR="006E4908">
        <w:t>ungkuna</w:t>
      </w:r>
      <w:proofErr w:type="spellEnd"/>
      <w:r w:rsidR="006E4908">
        <w:t xml:space="preserve"> </w:t>
      </w:r>
      <w:r w:rsidR="00706D59">
        <w:t>(</w:t>
      </w:r>
      <w:r w:rsidR="009C2FCB">
        <w:t>Arre</w:t>
      </w:r>
      <w:r w:rsidR="00C849FD">
        <w:t>r</w:t>
      </w:r>
      <w:r w:rsidR="009C2FCB">
        <w:t>nte language</w:t>
      </w:r>
      <w:r w:rsidR="00706D59">
        <w:t>)</w:t>
      </w:r>
      <w:r w:rsidR="00E04988">
        <w:t xml:space="preserve">, </w:t>
      </w:r>
      <w:proofErr w:type="spellStart"/>
      <w:r w:rsidR="006E4908">
        <w:t>yangkunnu</w:t>
      </w:r>
      <w:proofErr w:type="spellEnd"/>
      <w:r w:rsidR="006E4908">
        <w:t xml:space="preserve"> </w:t>
      </w:r>
      <w:r w:rsidR="00706D59">
        <w:t>(</w:t>
      </w:r>
      <w:proofErr w:type="spellStart"/>
      <w:r w:rsidR="009F74E4">
        <w:t>Barngarla</w:t>
      </w:r>
      <w:proofErr w:type="spellEnd"/>
      <w:r w:rsidR="00425107">
        <w:t xml:space="preserve"> language</w:t>
      </w:r>
      <w:r w:rsidR="00706D59">
        <w:t>)</w:t>
      </w:r>
      <w:r w:rsidR="00E04988">
        <w:t xml:space="preserve">, </w:t>
      </w:r>
      <w:proofErr w:type="spellStart"/>
      <w:r w:rsidR="006E4908">
        <w:t>yangwina</w:t>
      </w:r>
      <w:proofErr w:type="spellEnd"/>
      <w:r w:rsidR="006E4908">
        <w:t xml:space="preserve"> </w:t>
      </w:r>
      <w:r w:rsidR="00706D59">
        <w:t>(</w:t>
      </w:r>
      <w:proofErr w:type="spellStart"/>
      <w:r w:rsidR="00706D59">
        <w:t>Wirangu</w:t>
      </w:r>
      <w:proofErr w:type="spellEnd"/>
      <w:r w:rsidR="00425107">
        <w:t xml:space="preserve"> language</w:t>
      </w:r>
      <w:r w:rsidR="00706D59">
        <w:t>)</w:t>
      </w:r>
      <w:r w:rsidR="00E04988">
        <w:t xml:space="preserve"> (Condon 1955)</w:t>
      </w:r>
      <w:r w:rsidR="00EC6C71">
        <w:t>.</w:t>
      </w:r>
    </w:p>
    <w:p w14:paraId="364EC5FF" w14:textId="2CC9024E" w:rsidR="005F7FB7" w:rsidRDefault="003E070C" w:rsidP="005F7FB7">
      <w:r w:rsidRPr="00E72404">
        <w:t xml:space="preserve">Further research into the subject area may benefit the conservation of the subspecies by providing insights about traditional culture and land management. </w:t>
      </w:r>
      <w:r w:rsidR="005F7FB7" w:rsidRPr="005F7FB7">
        <w:t>This statement of significance is not intended to be comprehensive, applicable to, or speak for, all Indigenous Australians and it is acknowledged that Indigenous groups and individuals are the custodians of this knowledge</w:t>
      </w:r>
      <w:r w:rsidR="005F7FB7">
        <w:t>.</w:t>
      </w:r>
    </w:p>
    <w:p w14:paraId="36DF920F" w14:textId="77777777" w:rsidR="00C304AA" w:rsidRDefault="00C304AA" w:rsidP="00C304AA">
      <w:pPr>
        <w:pStyle w:val="Heading3"/>
        <w:ind w:left="964" w:hanging="964"/>
      </w:pPr>
      <w:r>
        <w:t>Relevant biology and ecology</w:t>
      </w:r>
    </w:p>
    <w:p w14:paraId="79D43377" w14:textId="6134D52F" w:rsidR="00103A46" w:rsidRDefault="001C52F3" w:rsidP="001C52F3">
      <w:pPr>
        <w:pStyle w:val="Heading4"/>
      </w:pPr>
      <w:r>
        <w:t>Habitat</w:t>
      </w:r>
    </w:p>
    <w:p w14:paraId="4C37AE02" w14:textId="505C4F02" w:rsidR="005A27FE" w:rsidRPr="00A76550" w:rsidRDefault="009F7F17" w:rsidP="0D9CFEC7">
      <w:r>
        <w:t>The eastern</w:t>
      </w:r>
      <w:r w:rsidR="00064886">
        <w:t xml:space="preserve"> Major Mitchell’s cockatoo</w:t>
      </w:r>
      <w:r w:rsidR="007531F9">
        <w:t xml:space="preserve"> lives in arid and semi-arid woodlands dominated by </w:t>
      </w:r>
      <w:r w:rsidR="00B371CF">
        <w:t>mulga (</w:t>
      </w:r>
      <w:r w:rsidR="00B371CF" w:rsidRPr="43EA5B1C">
        <w:rPr>
          <w:i/>
          <w:iCs/>
        </w:rPr>
        <w:t xml:space="preserve">Acacia </w:t>
      </w:r>
      <w:proofErr w:type="spellStart"/>
      <w:r w:rsidR="00B371CF" w:rsidRPr="43EA5B1C">
        <w:rPr>
          <w:i/>
          <w:iCs/>
        </w:rPr>
        <w:t>aneura</w:t>
      </w:r>
      <w:proofErr w:type="spellEnd"/>
      <w:r w:rsidR="00B371CF">
        <w:t xml:space="preserve">), mallee and box </w:t>
      </w:r>
      <w:r w:rsidR="00E63392">
        <w:t>eucalypts</w:t>
      </w:r>
      <w:r w:rsidR="00B371CF">
        <w:t xml:space="preserve">, </w:t>
      </w:r>
      <w:r w:rsidR="00CE2456">
        <w:t>slender cypress pine (</w:t>
      </w:r>
      <w:r w:rsidR="00CE2456" w:rsidRPr="43EA5B1C">
        <w:rPr>
          <w:i/>
          <w:iCs/>
        </w:rPr>
        <w:t xml:space="preserve">Callitris </w:t>
      </w:r>
      <w:proofErr w:type="spellStart"/>
      <w:r w:rsidR="00CE2456" w:rsidRPr="43EA5B1C">
        <w:rPr>
          <w:i/>
          <w:iCs/>
        </w:rPr>
        <w:t>gracilis</w:t>
      </w:r>
      <w:proofErr w:type="spellEnd"/>
      <w:r w:rsidR="00CE2456">
        <w:t xml:space="preserve">) or </w:t>
      </w:r>
      <w:proofErr w:type="spellStart"/>
      <w:r w:rsidR="00CE2456">
        <w:t>belah</w:t>
      </w:r>
      <w:proofErr w:type="spellEnd"/>
      <w:r w:rsidR="00CE2456">
        <w:t xml:space="preserve"> (</w:t>
      </w:r>
      <w:r w:rsidR="00CE2456" w:rsidRPr="43EA5B1C">
        <w:rPr>
          <w:i/>
          <w:iCs/>
        </w:rPr>
        <w:t>C</w:t>
      </w:r>
      <w:r w:rsidR="005153E2" w:rsidRPr="43EA5B1C">
        <w:rPr>
          <w:i/>
          <w:iCs/>
        </w:rPr>
        <w:t>asuarina cristata</w:t>
      </w:r>
      <w:r w:rsidR="005153E2">
        <w:t>).</w:t>
      </w:r>
      <w:r w:rsidR="00047ED4">
        <w:t xml:space="preserve"> The main requirements of the </w:t>
      </w:r>
      <w:r w:rsidR="00A76550">
        <w:t>subspecies are trees with suitable nesting hollows and fresh surface water (Higgins 1999</w:t>
      </w:r>
      <w:r w:rsidR="008D4F30">
        <w:t>; OEH 2017</w:t>
      </w:r>
      <w:r w:rsidR="00A76550">
        <w:t xml:space="preserve">), </w:t>
      </w:r>
      <w:r w:rsidR="00090D59">
        <w:t xml:space="preserve">they often nest in hollows in cypress pines that are over 80 years old, preferably 130 to 140 years old (Gibson </w:t>
      </w:r>
      <w:r w:rsidR="000D2564">
        <w:t>&amp; Florentine</w:t>
      </w:r>
      <w:r w:rsidR="00090D59">
        <w:t xml:space="preserve"> 2008).</w:t>
      </w:r>
      <w:r w:rsidR="00960A32">
        <w:t xml:space="preserve"> Remnant vegetation surrounding agricultural land has also been used </w:t>
      </w:r>
      <w:r w:rsidR="00E62870">
        <w:t>for nesting</w:t>
      </w:r>
      <w:r w:rsidR="005A27FE">
        <w:t>. In fragmented landscapes, they tend to travel along vegetated corridors to feeding sites, including roadside remnants (DSE 2004).</w:t>
      </w:r>
    </w:p>
    <w:p w14:paraId="3FDE5B7D" w14:textId="6639475E" w:rsidR="00A81A69" w:rsidRDefault="00EA7022" w:rsidP="001C52F3">
      <w:r>
        <w:t xml:space="preserve">Eastern </w:t>
      </w:r>
      <w:r w:rsidR="00CA6F56">
        <w:t xml:space="preserve">Major Mitchell’s cockatoos </w:t>
      </w:r>
      <w:r w:rsidR="00A81A69">
        <w:t xml:space="preserve">generally </w:t>
      </w:r>
      <w:r w:rsidR="00B31B94">
        <w:t>prefer</w:t>
      </w:r>
      <w:r w:rsidR="00A81A69">
        <w:t xml:space="preserve"> to nest in hollows with the following dimensions</w:t>
      </w:r>
      <w:r>
        <w:t xml:space="preserve"> (Hurley &amp; Harris 2014)</w:t>
      </w:r>
      <w:r w:rsidR="00A81A69">
        <w:t>:</w:t>
      </w:r>
    </w:p>
    <w:p w14:paraId="6BDD210E" w14:textId="1C7BC7F5" w:rsidR="005A27FE" w:rsidRDefault="00B01C76" w:rsidP="00F25293">
      <w:pPr>
        <w:pStyle w:val="ListBullet"/>
      </w:pPr>
      <w:r>
        <w:t>a</w:t>
      </w:r>
      <w:r w:rsidR="00E909AB">
        <w:t xml:space="preserve">verage hollow entrance diameter of 13.3 x </w:t>
      </w:r>
      <w:r w:rsidR="00497B92">
        <w:t>27.7 cm (</w:t>
      </w:r>
      <w:r w:rsidR="00202036">
        <w:t xml:space="preserve">range 8-30 x </w:t>
      </w:r>
      <w:r w:rsidR="004B23B0">
        <w:t>9</w:t>
      </w:r>
      <w:r w:rsidR="00A44078">
        <w:t>-</w:t>
      </w:r>
      <w:r w:rsidR="004B23B0">
        <w:t xml:space="preserve">80, </w:t>
      </w:r>
      <w:r w:rsidR="00497B92">
        <w:t>horizontal x vertical</w:t>
      </w:r>
      <w:r w:rsidR="004B23B0">
        <w:t xml:space="preserve"> diameter</w:t>
      </w:r>
      <w:proofErr w:type="gramStart"/>
      <w:r w:rsidR="00497B92">
        <w:t>);</w:t>
      </w:r>
      <w:proofErr w:type="gramEnd"/>
    </w:p>
    <w:p w14:paraId="245BC8B9" w14:textId="5333B990" w:rsidR="008D64F6" w:rsidRDefault="00B01C76" w:rsidP="00F25293">
      <w:pPr>
        <w:pStyle w:val="ListBullet"/>
      </w:pPr>
      <w:r>
        <w:lastRenderedPageBreak/>
        <w:t>a</w:t>
      </w:r>
      <w:r w:rsidR="00756169">
        <w:t xml:space="preserve">verage hollow depth of 53.9 cm (range 19 </w:t>
      </w:r>
      <w:r w:rsidR="00202036">
        <w:t>–</w:t>
      </w:r>
      <w:r w:rsidR="00756169">
        <w:t xml:space="preserve"> </w:t>
      </w:r>
      <w:r w:rsidR="00202036">
        <w:t>180</w:t>
      </w:r>
      <w:proofErr w:type="gramStart"/>
      <w:r w:rsidR="00202036">
        <w:t>)</w:t>
      </w:r>
      <w:r w:rsidR="004B23B0">
        <w:t>;</w:t>
      </w:r>
      <w:proofErr w:type="gramEnd"/>
    </w:p>
    <w:p w14:paraId="586AF42D" w14:textId="5FF1A15F" w:rsidR="004B23B0" w:rsidRDefault="00B01C76" w:rsidP="00F25293">
      <w:pPr>
        <w:pStyle w:val="ListBullet"/>
      </w:pPr>
      <w:r>
        <w:t>a</w:t>
      </w:r>
      <w:r w:rsidR="0023349C">
        <w:t xml:space="preserve">verage nest </w:t>
      </w:r>
      <w:r w:rsidR="00A768F5">
        <w:t>chamber floor diameter of</w:t>
      </w:r>
      <w:r w:rsidR="00484DEA">
        <w:t xml:space="preserve"> 18 cm (range 9-34 cm</w:t>
      </w:r>
      <w:proofErr w:type="gramStart"/>
      <w:r w:rsidR="00484DEA">
        <w:t>)</w:t>
      </w:r>
      <w:r w:rsidR="00A318B6">
        <w:t>;</w:t>
      </w:r>
      <w:proofErr w:type="gramEnd"/>
    </w:p>
    <w:p w14:paraId="4DF90CE7" w14:textId="4BBDDED8" w:rsidR="00A318B6" w:rsidRDefault="00B01C76" w:rsidP="00F25293">
      <w:pPr>
        <w:pStyle w:val="ListBullet"/>
      </w:pPr>
      <w:r>
        <w:t>average</w:t>
      </w:r>
      <w:r w:rsidR="00A63BAE">
        <w:t xml:space="preserve"> nest tree diameter at breast height of </w:t>
      </w:r>
      <w:r w:rsidR="00070C92">
        <w:t>72.5 cm (range 34-149).</w:t>
      </w:r>
    </w:p>
    <w:p w14:paraId="69268FC2" w14:textId="6750CE0D" w:rsidR="00497B92" w:rsidRDefault="007149F2" w:rsidP="00D714F9">
      <w:r>
        <w:t xml:space="preserve">A </w:t>
      </w:r>
      <w:r w:rsidR="009F7F17">
        <w:t>study of</w:t>
      </w:r>
      <w:r>
        <w:t xml:space="preserve"> the Western Australian subspecies (Rowley &amp; Chapman </w:t>
      </w:r>
      <w:r w:rsidR="00255C48">
        <w:t xml:space="preserve">1991) </w:t>
      </w:r>
      <w:r w:rsidR="00D714F9">
        <w:t xml:space="preserve">recorded similar ranges for these </w:t>
      </w:r>
      <w:r w:rsidR="000C6C23">
        <w:t>characteristics.</w:t>
      </w:r>
    </w:p>
    <w:p w14:paraId="19868AC0" w14:textId="249EEC70" w:rsidR="001C52F3" w:rsidRDefault="001C52F3" w:rsidP="001C52F3">
      <w:pPr>
        <w:pStyle w:val="Heading4"/>
      </w:pPr>
      <w:r>
        <w:t>Diet</w:t>
      </w:r>
    </w:p>
    <w:p w14:paraId="7FE15D79" w14:textId="1DDBB740" w:rsidR="001C52F3" w:rsidRPr="001C52F3" w:rsidRDefault="00D964B8" w:rsidP="001C52F3">
      <w:r>
        <w:t xml:space="preserve">The </w:t>
      </w:r>
      <w:r w:rsidR="009F7F17">
        <w:t>e</w:t>
      </w:r>
      <w:r>
        <w:t xml:space="preserve">astern Major Mitchell’s cockatoo’s diet consist of </w:t>
      </w:r>
      <w:r w:rsidR="00B73BD7">
        <w:t>seeds of native shrubs and trees, especially cypress pines, and sometimes</w:t>
      </w:r>
      <w:r w:rsidR="008F3333">
        <w:t xml:space="preserve"> </w:t>
      </w:r>
      <w:r w:rsidR="00023C27">
        <w:t>roots, bulbs,</w:t>
      </w:r>
      <w:r w:rsidR="00B73BD7">
        <w:t xml:space="preserve"> insect larvae and seeds of crops and weeds (Higgins 1999</w:t>
      </w:r>
      <w:r w:rsidR="00023C27">
        <w:t>; Moonlit Sanctuary 2020</w:t>
      </w:r>
      <w:r w:rsidR="00B73BD7">
        <w:t>).</w:t>
      </w:r>
      <w:r w:rsidR="0021461C">
        <w:t xml:space="preserve"> They are often found </w:t>
      </w:r>
      <w:r w:rsidR="000B17FD">
        <w:t>feeding on the ground or near water sources (Moonlit Sanctuary</w:t>
      </w:r>
      <w:r w:rsidR="00B45A19">
        <w:t xml:space="preserve"> 2020).</w:t>
      </w:r>
      <w:r w:rsidR="00E62870">
        <w:t xml:space="preserve"> They are normally found in pairs or small groups, though flocks of hundreds may be found where food is abundant (OEH 2017).</w:t>
      </w:r>
    </w:p>
    <w:p w14:paraId="63B54F79" w14:textId="03CBF488" w:rsidR="001C52F3" w:rsidRDefault="001C52F3" w:rsidP="001C52F3">
      <w:pPr>
        <w:pStyle w:val="Heading4"/>
      </w:pPr>
      <w:r>
        <w:t>Breeding</w:t>
      </w:r>
    </w:p>
    <w:p w14:paraId="4270A567" w14:textId="789E1171" w:rsidR="001C52F3" w:rsidRDefault="003E4D18" w:rsidP="001C52F3">
      <w:r>
        <w:t xml:space="preserve">Unlike other threatened cockatoos, Major Mitchell’s cockatoos do not like nesting </w:t>
      </w:r>
      <w:r w:rsidR="00B56535">
        <w:t xml:space="preserve">close to other </w:t>
      </w:r>
      <w:r w:rsidR="006567EA">
        <w:t>breeding pairs</w:t>
      </w:r>
      <w:r w:rsidR="00EE131B">
        <w:t>. Their nesting hollows are usually well-spaced</w:t>
      </w:r>
      <w:r w:rsidR="00940280">
        <w:t xml:space="preserve">, with an average distance of 444 m </w:t>
      </w:r>
      <w:r w:rsidR="007512A4">
        <w:t>apart in Victoria and</w:t>
      </w:r>
      <w:r w:rsidR="00EE131B">
        <w:t xml:space="preserve"> minimum of 50 m</w:t>
      </w:r>
      <w:r w:rsidR="007512A4">
        <w:t xml:space="preserve"> (Hurley 2006), and </w:t>
      </w:r>
      <w:r w:rsidR="009C7381">
        <w:t xml:space="preserve">an average distance of 2732 m </w:t>
      </w:r>
      <w:r w:rsidR="008675B2">
        <w:t>and</w:t>
      </w:r>
      <w:r w:rsidR="007512A4">
        <w:t xml:space="preserve"> 1 km </w:t>
      </w:r>
      <w:r w:rsidR="008675B2">
        <w:t xml:space="preserve">minimum </w:t>
      </w:r>
      <w:r w:rsidR="007512A4">
        <w:t>in the Western Australian subspecies (Saunders et al. 1985; Rowley &amp; Chapman 1991).</w:t>
      </w:r>
      <w:r w:rsidR="002242B3">
        <w:t xml:space="preserve"> They have a home range of about 30 km</w:t>
      </w:r>
      <w:r w:rsidR="009F7F17">
        <w:rPr>
          <w:vertAlign w:val="superscript"/>
        </w:rPr>
        <w:t>2</w:t>
      </w:r>
      <w:r w:rsidR="002242B3">
        <w:t xml:space="preserve"> (</w:t>
      </w:r>
      <w:r w:rsidR="009F7F17">
        <w:t>OEH 2017</w:t>
      </w:r>
      <w:r w:rsidR="002242B3">
        <w:t>).</w:t>
      </w:r>
    </w:p>
    <w:p w14:paraId="5E41D124" w14:textId="024F794E" w:rsidR="008D3C27" w:rsidRDefault="00AF3B8D" w:rsidP="001C52F3">
      <w:r>
        <w:t xml:space="preserve">Breeding pairs usually renest in the </w:t>
      </w:r>
      <w:r w:rsidRPr="009C17C0">
        <w:t xml:space="preserve">same area each </w:t>
      </w:r>
      <w:r w:rsidR="00222A71" w:rsidRPr="009C17C0">
        <w:t>season and</w:t>
      </w:r>
      <w:r w:rsidRPr="009C17C0">
        <w:t xml:space="preserve"> stay together throughout the year</w:t>
      </w:r>
      <w:r w:rsidR="00222A71" w:rsidRPr="009C17C0">
        <w:t xml:space="preserve">. </w:t>
      </w:r>
      <w:r w:rsidR="00B1163A" w:rsidRPr="009C17C0">
        <w:t xml:space="preserve">Their </w:t>
      </w:r>
      <w:r w:rsidR="004D0528" w:rsidRPr="009C17C0">
        <w:t>clutch</w:t>
      </w:r>
      <w:r w:rsidR="00B1163A" w:rsidRPr="009C17C0">
        <w:t xml:space="preserve"> size is usually three or four eggs</w:t>
      </w:r>
      <w:r w:rsidR="00222A71" w:rsidRPr="009C17C0">
        <w:t xml:space="preserve"> (Rowley &amp; Chapman 1911).</w:t>
      </w:r>
      <w:r w:rsidR="00012FC0" w:rsidRPr="009C17C0">
        <w:t xml:space="preserve"> </w:t>
      </w:r>
      <w:r w:rsidR="000C1437" w:rsidRPr="009C17C0">
        <w:t>They have an estimated generation length of 21.9 years (Bird et al. 2020).</w:t>
      </w:r>
    </w:p>
    <w:p w14:paraId="5C87E65F" w14:textId="362C69F5" w:rsidR="00C304AA" w:rsidRPr="00654514" w:rsidRDefault="00C304AA" w:rsidP="00C304AA">
      <w:pPr>
        <w:pStyle w:val="Heading3"/>
        <w:ind w:left="964" w:hanging="964"/>
      </w:pPr>
      <w:r w:rsidRPr="00654514">
        <w:t>Habitat critical to the survival</w:t>
      </w:r>
    </w:p>
    <w:p w14:paraId="60E9A1E9" w14:textId="0408BCED" w:rsidR="00027FA4" w:rsidRDefault="005C7B36" w:rsidP="00027FA4">
      <w:r>
        <w:t xml:space="preserve">Eastern Major Mitchell’s cockatoos </w:t>
      </w:r>
      <w:r w:rsidR="00146799">
        <w:t>inhabit a</w:t>
      </w:r>
      <w:r w:rsidR="008F3C29">
        <w:t xml:space="preserve"> wide range of </w:t>
      </w:r>
      <w:r w:rsidR="0028774A">
        <w:t>plant communities</w:t>
      </w:r>
      <w:r w:rsidR="00DF6CA6">
        <w:t xml:space="preserve">, mostly in </w:t>
      </w:r>
      <w:r w:rsidR="00463594">
        <w:t>ar</w:t>
      </w:r>
      <w:r w:rsidR="00606248">
        <w:t>id and semi-arid woodlands</w:t>
      </w:r>
      <w:r w:rsidR="00AD34E8">
        <w:t>, always within easy reach of surface water. Habitat critical to the survival of the eastern Major Mitchell’s cockatoo should consist of:</w:t>
      </w:r>
    </w:p>
    <w:p w14:paraId="7613C3BB" w14:textId="4EC5206E" w:rsidR="00654514" w:rsidRDefault="00654514" w:rsidP="00654514">
      <w:pPr>
        <w:pStyle w:val="ListBullet"/>
      </w:pPr>
      <w:r>
        <w:t xml:space="preserve">All known </w:t>
      </w:r>
      <w:r w:rsidR="002D2874">
        <w:t xml:space="preserve">areas where the subspecies </w:t>
      </w:r>
      <w:proofErr w:type="gramStart"/>
      <w:r w:rsidR="002D2874">
        <w:t>occur;</w:t>
      </w:r>
      <w:proofErr w:type="gramEnd"/>
    </w:p>
    <w:p w14:paraId="7B79FFE9" w14:textId="65C1DFB0" w:rsidR="002D2874" w:rsidRDefault="002D2874" w:rsidP="00654514">
      <w:pPr>
        <w:pStyle w:val="ListBullet"/>
      </w:pPr>
      <w:r>
        <w:t xml:space="preserve">Areas containing suitable </w:t>
      </w:r>
      <w:r w:rsidR="001577F9">
        <w:t>habitat attributes that may be potential habitat for the subspecies</w:t>
      </w:r>
      <w:r w:rsidR="00576670">
        <w:t>, especially where the is a presence of suitable tree hollows</w:t>
      </w:r>
      <w:r w:rsidR="001577F9">
        <w:t>; and</w:t>
      </w:r>
    </w:p>
    <w:p w14:paraId="71FAF2EF" w14:textId="7A698FF7" w:rsidR="001577F9" w:rsidRDefault="001577F9" w:rsidP="00654514">
      <w:pPr>
        <w:pStyle w:val="ListBullet"/>
      </w:pPr>
      <w:r>
        <w:t xml:space="preserve">Surrounding </w:t>
      </w:r>
      <w:r w:rsidR="00AC2D81">
        <w:t>matrix</w:t>
      </w:r>
      <w:r>
        <w:t xml:space="preserve"> of these areas for the role of providing movement corridors for </w:t>
      </w:r>
      <w:r w:rsidR="00AC2D81">
        <w:t>dispersal across the landscape.</w:t>
      </w:r>
    </w:p>
    <w:p w14:paraId="44C02ABB" w14:textId="495005DE" w:rsidR="00142E06" w:rsidRDefault="00142E06" w:rsidP="00027FA4">
      <w:r w:rsidRPr="008A18B0">
        <w:t>No Critical Habitat as defined under section 207A of the EPBC Act has been identified or included in the Register of Critical Habitat.</w:t>
      </w:r>
    </w:p>
    <w:p w14:paraId="733713B1" w14:textId="37473490" w:rsidR="00146799" w:rsidRDefault="00FE1F36" w:rsidP="00A92A35">
      <w:pPr>
        <w:pStyle w:val="Heading4"/>
      </w:pPr>
      <w:r>
        <w:t xml:space="preserve">Key </w:t>
      </w:r>
      <w:r w:rsidR="00A92A35">
        <w:t>considerations</w:t>
      </w:r>
      <w:r>
        <w:t xml:space="preserve"> in environmental impact assessments</w:t>
      </w:r>
    </w:p>
    <w:p w14:paraId="0E600E4E" w14:textId="0B4703F6" w:rsidR="00A92A35" w:rsidRDefault="000A1C67" w:rsidP="00027FA4">
      <w:r>
        <w:t>Assessments relevant to the eastern Major Mitchell’s cockatoo must consider that the subspecies:</w:t>
      </w:r>
    </w:p>
    <w:p w14:paraId="2203898E" w14:textId="5E4470EA" w:rsidR="000A1C67" w:rsidRDefault="00B03B13" w:rsidP="00F459DF">
      <w:pPr>
        <w:pStyle w:val="ListNumber"/>
      </w:pPr>
      <w:r>
        <w:t>Nests</w:t>
      </w:r>
      <w:r w:rsidR="0010729B">
        <w:t xml:space="preserve"> </w:t>
      </w:r>
      <w:r w:rsidR="00931897">
        <w:t>occur in very old trees in large hollows, which take a long time to form (Gibson &amp; Florentine 2008</w:t>
      </w:r>
      <w:proofErr w:type="gramStart"/>
      <w:r w:rsidR="00931897">
        <w:t>);</w:t>
      </w:r>
      <w:proofErr w:type="gramEnd"/>
    </w:p>
    <w:p w14:paraId="6EB4ADDD" w14:textId="389A7FE4" w:rsidR="00931897" w:rsidRDefault="00B03B13" w:rsidP="00F459DF">
      <w:pPr>
        <w:pStyle w:val="ListNumber"/>
      </w:pPr>
      <w:r>
        <w:t xml:space="preserve">Has a specific set of preferences in nesting tree species and hollow characteristics (see </w:t>
      </w:r>
      <w:proofErr w:type="gramStart"/>
      <w:r w:rsidR="00170E0A">
        <w:rPr>
          <w:i/>
          <w:iCs/>
        </w:rPr>
        <w:t>Habitat</w:t>
      </w:r>
      <w:r>
        <w:t>);</w:t>
      </w:r>
      <w:proofErr w:type="gramEnd"/>
    </w:p>
    <w:p w14:paraId="0107043E" w14:textId="5708FF25" w:rsidR="00B03B13" w:rsidRDefault="000430BC" w:rsidP="00F459DF">
      <w:pPr>
        <w:pStyle w:val="ListNumber"/>
      </w:pPr>
      <w:r>
        <w:lastRenderedPageBreak/>
        <w:t>Breeding pairs have</w:t>
      </w:r>
      <w:r w:rsidR="00170E0A">
        <w:t xml:space="preserve"> a relatively large home range (30 km</w:t>
      </w:r>
      <w:r w:rsidR="00170E0A">
        <w:rPr>
          <w:vertAlign w:val="superscript"/>
        </w:rPr>
        <w:t>2</w:t>
      </w:r>
      <w:r>
        <w:t xml:space="preserve">) and do not nest near other Major Mitchell’s cockatoos (see </w:t>
      </w:r>
      <w:r>
        <w:rPr>
          <w:i/>
          <w:iCs/>
        </w:rPr>
        <w:t>Breeding</w:t>
      </w:r>
      <w:proofErr w:type="gramStart"/>
      <w:r>
        <w:t>);</w:t>
      </w:r>
      <w:proofErr w:type="gramEnd"/>
    </w:p>
    <w:p w14:paraId="0F310895" w14:textId="22BE5C0B" w:rsidR="000430BC" w:rsidRDefault="003F27C9" w:rsidP="00F459DF">
      <w:pPr>
        <w:pStyle w:val="ListNumber"/>
      </w:pPr>
      <w:r>
        <w:t>Requires</w:t>
      </w:r>
      <w:r w:rsidR="00134D35">
        <w:t xml:space="preserve"> large areas of</w:t>
      </w:r>
      <w:r>
        <w:t xml:space="preserve"> </w:t>
      </w:r>
      <w:r w:rsidR="00250904">
        <w:t>intact vegetation and corridors for movement across the landscape</w:t>
      </w:r>
      <w:r w:rsidR="00134D35">
        <w:t xml:space="preserve"> (DSE 2004); and</w:t>
      </w:r>
    </w:p>
    <w:p w14:paraId="7BDDCF0F" w14:textId="2FFD47CB" w:rsidR="00134D35" w:rsidRPr="00027FA4" w:rsidRDefault="00E44652" w:rsidP="00F459DF">
      <w:pPr>
        <w:pStyle w:val="ListNumber"/>
      </w:pPr>
      <w:r>
        <w:t>Is a long</w:t>
      </w:r>
      <w:r w:rsidR="00921C08">
        <w:t>-lived subspecies with a long generation length (21.9 years; Bird et al. 2020).</w:t>
      </w:r>
    </w:p>
    <w:p w14:paraId="70FE901A" w14:textId="77777777" w:rsidR="00A420D6" w:rsidRDefault="00BB0F80" w:rsidP="00A420D6">
      <w:r>
        <w:t>Habitat critical to the survival of the eastern Major Mitchell’s cockatoo</w:t>
      </w:r>
      <w:r w:rsidR="00A420D6">
        <w:t xml:space="preserve"> occurs across a range of land tenures. Habitat critical to the survival of the subspecies should not be destroyed or degraded, and </w:t>
      </w:r>
      <w:r w:rsidR="00A420D6" w:rsidRPr="00CB1446">
        <w:t>all habitats should be maintained and/or increased</w:t>
      </w:r>
      <w:r w:rsidR="00A420D6">
        <w:t>. Actions that have indirect impacts on habitat critical to the survival should be minimised. Actions that compromise adult and juvenile survival should also be avoided.</w:t>
      </w:r>
    </w:p>
    <w:p w14:paraId="05D9CAC6" w14:textId="023027C1" w:rsidR="003940F5" w:rsidRDefault="00687FD8" w:rsidP="00C304AA">
      <w:r>
        <w:t>Actions that remove habitat critical to the survival of this subspecies would interfere with the recovery and reduce the area of occupancy of the subspecies. It is important to retain suitable habitat and maintain connectivity between habitat patches.</w:t>
      </w:r>
      <w:bookmarkStart w:id="4" w:name="_Hlk66453002"/>
      <w:r>
        <w:t xml:space="preserve"> Actions should not be assessed in isolation and consideration must be given to existing and future activities that may impact the subspecies to ensure conservation outcomes on a landscape scale are achieved.</w:t>
      </w:r>
      <w:bookmarkEnd w:id="4"/>
    </w:p>
    <w:p w14:paraId="65E0FCD8" w14:textId="6BC8A6FA" w:rsidR="00C304AA" w:rsidRDefault="00C304AA" w:rsidP="001E5131">
      <w:pPr>
        <w:pStyle w:val="Heading3"/>
        <w:ind w:left="964" w:hanging="964"/>
      </w:pPr>
      <w:r>
        <w:t>Threats</w:t>
      </w:r>
    </w:p>
    <w:p w14:paraId="06DB37A4" w14:textId="3838742D" w:rsidR="00C73D22" w:rsidRDefault="00950448" w:rsidP="00F8489D">
      <w:r>
        <w:t xml:space="preserve">The main threat causing the decline of the subspecies is habitat loss and degradation. </w:t>
      </w:r>
      <w:r w:rsidR="00F8489D">
        <w:t xml:space="preserve">A major aspect of habitat loss is the loss of large hollow-bearing trees which provide nest sites. </w:t>
      </w:r>
      <w:r w:rsidR="0093697B">
        <w:t>Hollow-bearing trees may be lost through natural tree fall</w:t>
      </w:r>
      <w:r w:rsidR="005218FA">
        <w:t xml:space="preserve">, </w:t>
      </w:r>
      <w:proofErr w:type="gramStart"/>
      <w:r w:rsidR="0093697B">
        <w:t>wildfires</w:t>
      </w:r>
      <w:proofErr w:type="gramEnd"/>
      <w:r w:rsidR="005218FA">
        <w:t xml:space="preserve"> and land clearing</w:t>
      </w:r>
      <w:r w:rsidR="00584979">
        <w:t xml:space="preserve">. </w:t>
      </w:r>
      <w:r w:rsidR="003C6475">
        <w:t xml:space="preserve">Additionally, there has also been a </w:t>
      </w:r>
      <w:r w:rsidR="008F2649">
        <w:t>lack</w:t>
      </w:r>
      <w:r w:rsidR="003C6475">
        <w:t xml:space="preserve"> of regeneration due to </w:t>
      </w:r>
      <w:r w:rsidR="00AC3B3B">
        <w:t>grazing by invasive species (DSE 2004).</w:t>
      </w:r>
    </w:p>
    <w:p w14:paraId="5B1DB8FB" w14:textId="4404592A" w:rsidR="00F8489D" w:rsidRDefault="00F8489D" w:rsidP="00F8489D">
      <w:r>
        <w:t xml:space="preserve">There has been increasing awareness of the importance of these hollows for hollow-dependant species as </w:t>
      </w:r>
      <w:bookmarkStart w:id="5" w:name="_Hlk66783871"/>
      <w:r>
        <w:t xml:space="preserve">these large hollows take </w:t>
      </w:r>
      <w:r w:rsidR="002C532E">
        <w:t>a long time</w:t>
      </w:r>
      <w:r>
        <w:t xml:space="preserve"> to form (</w:t>
      </w:r>
      <w:r w:rsidR="002C532E">
        <w:t>Gibson &amp; Florentine 2008</w:t>
      </w:r>
      <w:r>
        <w:t xml:space="preserve">). When hollow availability is limited, competition for hollows increases. This is harmful in itself </w:t>
      </w:r>
      <w:proofErr w:type="gramStart"/>
      <w:r>
        <w:t>and also</w:t>
      </w:r>
      <w:proofErr w:type="gramEnd"/>
      <w:r>
        <w:t xml:space="preserve"> may amplify otherwise minor threats such as the transmission of diseases.</w:t>
      </w:r>
    </w:p>
    <w:bookmarkEnd w:id="5"/>
    <w:p w14:paraId="7F33CF52" w14:textId="30D480BF" w:rsidR="002C532E" w:rsidRDefault="00C41E14" w:rsidP="002C532E">
      <w:r>
        <w:t xml:space="preserve">Under the changing climate, </w:t>
      </w:r>
      <w:r w:rsidR="00F11D25">
        <w:t xml:space="preserve">longer droughts (Evans et al. 2017), more frequent heatwaves (Herold et al. 2018), and more </w:t>
      </w:r>
      <w:r>
        <w:t>e</w:t>
      </w:r>
      <w:r w:rsidR="002C532E">
        <w:t xml:space="preserve">xtreme fire weather (Di Virgilio et al. 2019; Dowdy et al. 2019) are </w:t>
      </w:r>
      <w:r w:rsidR="00F11D25">
        <w:t>expected</w:t>
      </w:r>
      <w:r w:rsidR="002C532E">
        <w:t xml:space="preserve"> to increase </w:t>
      </w:r>
      <w:proofErr w:type="gramStart"/>
      <w:r w:rsidR="002C532E">
        <w:t>in the near future</w:t>
      </w:r>
      <w:proofErr w:type="gramEnd"/>
      <w:r w:rsidR="002C532E">
        <w:t xml:space="preserve">, </w:t>
      </w:r>
      <w:r>
        <w:t xml:space="preserve">which will increase the risk of </w:t>
      </w:r>
      <w:r w:rsidR="00F11D25">
        <w:t xml:space="preserve">individual survival and </w:t>
      </w:r>
      <w:r>
        <w:t>further habitat loss and degradation.</w:t>
      </w:r>
    </w:p>
    <w:p w14:paraId="2D5C7B07" w14:textId="77777777" w:rsidR="006137FD" w:rsidRDefault="00957A21" w:rsidP="009502E2">
      <w:pPr>
        <w:pStyle w:val="Caption"/>
      </w:pPr>
      <w:bookmarkStart w:id="6" w:name="_Ref40886856"/>
      <w:r>
        <w:t xml:space="preserve">Table </w:t>
      </w:r>
      <w:r w:rsidR="003A06CA">
        <w:rPr>
          <w:noProof/>
        </w:rPr>
        <w:fldChar w:fldCharType="begin"/>
      </w:r>
      <w:r w:rsidR="003A06CA">
        <w:rPr>
          <w:noProof/>
        </w:rPr>
        <w:instrText xml:space="preserve"> SEQ Table \* ARABIC </w:instrText>
      </w:r>
      <w:r w:rsidR="003A06CA">
        <w:rPr>
          <w:noProof/>
        </w:rPr>
        <w:fldChar w:fldCharType="separate"/>
      </w:r>
      <w:r w:rsidR="004D0D1F">
        <w:rPr>
          <w:noProof/>
        </w:rPr>
        <w:t>1</w:t>
      </w:r>
      <w:r w:rsidR="003A06CA">
        <w:rPr>
          <w:noProof/>
        </w:rPr>
        <w:fldChar w:fldCharType="end"/>
      </w:r>
      <w:bookmarkEnd w:id="6"/>
      <w:r>
        <w:t xml:space="preserve"> Threats</w:t>
      </w:r>
    </w:p>
    <w:p w14:paraId="0CA45CA9" w14:textId="770C4914" w:rsidR="00D759FF" w:rsidRPr="00D759FF" w:rsidRDefault="003A4214" w:rsidP="00D63060">
      <w:pPr>
        <w:keepNext/>
      </w:pPr>
      <w:r>
        <w:t xml:space="preserve">Threats in Table 1 are noted in approximate order of </w:t>
      </w:r>
      <w:r w:rsidR="009137FE">
        <w:t xml:space="preserve">highest to lowest </w:t>
      </w:r>
      <w:r w:rsidR="00C3331E">
        <w:t>impact, based on available evidence.</w:t>
      </w:r>
    </w:p>
    <w:tbl>
      <w:tblPr>
        <w:tblStyle w:val="TableGrid"/>
        <w:tblW w:w="0" w:type="auto"/>
        <w:tblLayout w:type="fixed"/>
        <w:tblLook w:val="04A0" w:firstRow="1" w:lastRow="0" w:firstColumn="1" w:lastColumn="0" w:noHBand="0" w:noVBand="1"/>
      </w:tblPr>
      <w:tblGrid>
        <w:gridCol w:w="1980"/>
        <w:gridCol w:w="3260"/>
        <w:gridCol w:w="3820"/>
      </w:tblGrid>
      <w:tr w:rsidR="00AA0A06" w14:paraId="11BA21C3" w14:textId="77777777" w:rsidTr="43EA5B1C">
        <w:trPr>
          <w:cantSplit/>
          <w:tblHeader/>
        </w:trPr>
        <w:tc>
          <w:tcPr>
            <w:tcW w:w="1980" w:type="dxa"/>
          </w:tcPr>
          <w:p w14:paraId="07F42E81" w14:textId="77777777" w:rsidR="00957A21" w:rsidRDefault="00957A21" w:rsidP="00D945A0">
            <w:pPr>
              <w:pStyle w:val="TableHeading"/>
            </w:pPr>
            <w:r>
              <w:t xml:space="preserve">Threat </w:t>
            </w:r>
          </w:p>
        </w:tc>
        <w:tc>
          <w:tcPr>
            <w:tcW w:w="3260" w:type="dxa"/>
          </w:tcPr>
          <w:p w14:paraId="3DA8BA85" w14:textId="77777777" w:rsidR="00957A21" w:rsidRDefault="00935CDF" w:rsidP="00D945A0">
            <w:pPr>
              <w:pStyle w:val="TableHeading"/>
            </w:pPr>
            <w:r>
              <w:t>S</w:t>
            </w:r>
            <w:r w:rsidR="00957A21">
              <w:t xml:space="preserve">tatus </w:t>
            </w:r>
            <w:r w:rsidR="00957A21" w:rsidRPr="006E5CC3">
              <w:rPr>
                <w:rStyle w:val="Strong"/>
                <w:vertAlign w:val="superscript"/>
              </w:rPr>
              <w:t>a</w:t>
            </w:r>
          </w:p>
        </w:tc>
        <w:tc>
          <w:tcPr>
            <w:tcW w:w="3820" w:type="dxa"/>
          </w:tcPr>
          <w:p w14:paraId="0D0847E0" w14:textId="77777777" w:rsidR="00957A21" w:rsidRDefault="00957A21" w:rsidP="00D945A0">
            <w:pPr>
              <w:pStyle w:val="TableHeading"/>
            </w:pPr>
            <w:r>
              <w:t xml:space="preserve">Evidence </w:t>
            </w:r>
          </w:p>
        </w:tc>
      </w:tr>
      <w:tr w:rsidR="00AC049E" w:rsidRPr="008A24A1" w14:paraId="2801CCE8" w14:textId="77777777" w:rsidTr="43EA5B1C">
        <w:tc>
          <w:tcPr>
            <w:tcW w:w="9060" w:type="dxa"/>
            <w:gridSpan w:val="3"/>
          </w:tcPr>
          <w:p w14:paraId="2CADF0F6" w14:textId="0D7DDDDB" w:rsidR="008A24A1" w:rsidRPr="007049F0" w:rsidRDefault="00AD2932" w:rsidP="007049F0">
            <w:pPr>
              <w:pStyle w:val="TableText"/>
              <w:keepNext/>
            </w:pPr>
            <w:r>
              <w:t>Habitat loss and degradation</w:t>
            </w:r>
          </w:p>
        </w:tc>
      </w:tr>
      <w:tr w:rsidR="00AA0A06" w14:paraId="7A082592" w14:textId="77777777" w:rsidTr="43EA5B1C">
        <w:tc>
          <w:tcPr>
            <w:tcW w:w="1980" w:type="dxa"/>
          </w:tcPr>
          <w:p w14:paraId="681EBB51" w14:textId="181BBF97" w:rsidR="008A24A1" w:rsidRPr="008A24A1" w:rsidRDefault="00AA78D2" w:rsidP="007049F0">
            <w:pPr>
              <w:pStyle w:val="TableText"/>
            </w:pPr>
            <w:r>
              <w:t>Clearing of native vegetation</w:t>
            </w:r>
            <w:r w:rsidR="00B05432">
              <w:t xml:space="preserve"> and loss of hollow-bearing trees</w:t>
            </w:r>
          </w:p>
        </w:tc>
        <w:tc>
          <w:tcPr>
            <w:tcW w:w="3260" w:type="dxa"/>
          </w:tcPr>
          <w:p w14:paraId="7E0506DC" w14:textId="7BE02003" w:rsidR="00284E69" w:rsidRPr="00D62525" w:rsidRDefault="0007233A" w:rsidP="00D945A0">
            <w:pPr>
              <w:pStyle w:val="TableBullet1"/>
              <w:keepNext/>
            </w:pPr>
            <w:r>
              <w:t>Timing</w:t>
            </w:r>
            <w:r w:rsidR="00284E69">
              <w:t xml:space="preserve">: </w:t>
            </w:r>
            <w:r w:rsidR="00A4379F" w:rsidRPr="00D62525">
              <w:t>historical, current &amp; future</w:t>
            </w:r>
          </w:p>
          <w:p w14:paraId="70811986" w14:textId="02FD490C" w:rsidR="00284E69" w:rsidRPr="00D62525" w:rsidRDefault="00284E69" w:rsidP="00A4379F">
            <w:pPr>
              <w:pStyle w:val="TableBullet1"/>
              <w:keepNext/>
            </w:pPr>
            <w:r w:rsidRPr="00D62525">
              <w:t xml:space="preserve">Confidence: </w:t>
            </w:r>
            <w:r w:rsidR="00AA0A06" w:rsidRPr="00D62525">
              <w:t>observed</w:t>
            </w:r>
          </w:p>
          <w:p w14:paraId="2C7DF082" w14:textId="66DD2298" w:rsidR="00C4221F" w:rsidRPr="00D62525" w:rsidRDefault="00C4221F" w:rsidP="00157217">
            <w:pPr>
              <w:pStyle w:val="TableBullet1"/>
            </w:pPr>
            <w:r w:rsidRPr="00D62525">
              <w:t>Likelihood: almost certain</w:t>
            </w:r>
          </w:p>
          <w:p w14:paraId="23BD10C8" w14:textId="2F7F6C3F" w:rsidR="00284E69" w:rsidRPr="00D62525" w:rsidRDefault="00284E69" w:rsidP="00D945A0">
            <w:pPr>
              <w:pStyle w:val="TableBullet1"/>
              <w:keepNext/>
            </w:pPr>
            <w:r w:rsidRPr="00D62525">
              <w:t xml:space="preserve">Consequence: </w:t>
            </w:r>
            <w:r w:rsidR="00CF0110" w:rsidRPr="00D62525">
              <w:t>major</w:t>
            </w:r>
          </w:p>
          <w:p w14:paraId="2739A019" w14:textId="0837AED4" w:rsidR="00284E69" w:rsidRPr="00D62525" w:rsidRDefault="00284E69" w:rsidP="00D945A0">
            <w:pPr>
              <w:pStyle w:val="TableBullet1"/>
              <w:keepNext/>
            </w:pPr>
            <w:r w:rsidRPr="00D62525">
              <w:t xml:space="preserve">Trend: </w:t>
            </w:r>
            <w:r w:rsidR="00D62525" w:rsidRPr="00D62525">
              <w:t>increasing</w:t>
            </w:r>
          </w:p>
          <w:p w14:paraId="68BFB7F2" w14:textId="4159449A" w:rsidR="00957A21" w:rsidRDefault="00284E69" w:rsidP="00D945A0">
            <w:pPr>
              <w:pStyle w:val="TableBullet1"/>
              <w:keepNext/>
            </w:pPr>
            <w:r w:rsidRPr="00D62525">
              <w:t>Extent: across the entire rang</w:t>
            </w:r>
            <w:r w:rsidR="00CF0110" w:rsidRPr="00D62525">
              <w:t>e</w:t>
            </w:r>
          </w:p>
        </w:tc>
        <w:tc>
          <w:tcPr>
            <w:tcW w:w="3820" w:type="dxa"/>
          </w:tcPr>
          <w:p w14:paraId="2967382E" w14:textId="77777777" w:rsidR="00AA0A06" w:rsidRDefault="008618E0" w:rsidP="007049F0">
            <w:pPr>
              <w:pStyle w:val="TableText"/>
            </w:pPr>
            <w:r>
              <w:t>Historically, there was widespread land clearance for agriculture</w:t>
            </w:r>
            <w:r w:rsidR="00D028DE">
              <w:t xml:space="preserve"> (</w:t>
            </w:r>
            <w:r w:rsidR="00405ADF">
              <w:t>DSE 2004</w:t>
            </w:r>
            <w:r w:rsidR="00E7271B">
              <w:t>)</w:t>
            </w:r>
            <w:r w:rsidR="00FA1A20">
              <w:t>. Though, minor clearance can still be authorised, along with the likelihood of small amount of illegal clearance, resulting in incremental habitat loss</w:t>
            </w:r>
            <w:r w:rsidR="00D028DE">
              <w:t>.</w:t>
            </w:r>
          </w:p>
          <w:p w14:paraId="3B7BDBAB" w14:textId="32D9620E" w:rsidR="005E4CA4" w:rsidRPr="00C23A2A" w:rsidRDefault="399E92A6" w:rsidP="007049F0">
            <w:pPr>
              <w:pStyle w:val="TableText"/>
            </w:pPr>
            <w:r>
              <w:t>The main threat impacting the subspecies persistence now is the loss and shortage of nesting hollows (Hurley &amp; Garnett 2021)</w:t>
            </w:r>
            <w:r w:rsidR="1DABE783">
              <w:t xml:space="preserve">, due to </w:t>
            </w:r>
            <w:r w:rsidR="29848634">
              <w:t xml:space="preserve">natural tree fall or wildfire (see </w:t>
            </w:r>
            <w:r w:rsidR="00E24AF4">
              <w:rPr>
                <w:i/>
                <w:iCs/>
              </w:rPr>
              <w:lastRenderedPageBreak/>
              <w:t>Inappropriate fire regimes</w:t>
            </w:r>
            <w:r w:rsidR="29848634">
              <w:t>)</w:t>
            </w:r>
            <w:r w:rsidR="61A44E9F">
              <w:t xml:space="preserve">. Furthermore, there has also been a lack of natural regeneration and recruitment due to </w:t>
            </w:r>
            <w:r w:rsidR="0673798D">
              <w:t xml:space="preserve">grazing by herbivores and stock (see </w:t>
            </w:r>
            <w:r w:rsidR="0673798D" w:rsidRPr="43EA5B1C">
              <w:rPr>
                <w:i/>
                <w:iCs/>
              </w:rPr>
              <w:t>Grazing</w:t>
            </w:r>
            <w:r w:rsidR="0673798D">
              <w:t>).</w:t>
            </w:r>
          </w:p>
          <w:p w14:paraId="1B50BB70" w14:textId="1AD29436" w:rsidR="002F4B08" w:rsidRPr="00165081" w:rsidRDefault="005E4CA4" w:rsidP="007049F0">
            <w:pPr>
              <w:pStyle w:val="TableText"/>
            </w:pPr>
            <w:r>
              <w:t>The shortage of nesting hollows will</w:t>
            </w:r>
            <w:r w:rsidR="00165081">
              <w:t xml:space="preserve"> lead to an increase in competition for nesting sites (see </w:t>
            </w:r>
            <w:r w:rsidR="00165081">
              <w:rPr>
                <w:i/>
                <w:iCs/>
              </w:rPr>
              <w:t>Competition for nest hollows</w:t>
            </w:r>
            <w:r w:rsidR="00165081">
              <w:t>).</w:t>
            </w:r>
            <w:r w:rsidR="00205224">
              <w:t xml:space="preserve"> Long-term monitoring of Major Mitchell’s cockatoo nests between 1995 and 2013 has predicted that this critical resource within the </w:t>
            </w:r>
            <w:r w:rsidR="00AC0240">
              <w:t>P</w:t>
            </w:r>
            <w:r w:rsidR="00205224">
              <w:t xml:space="preserve">ine </w:t>
            </w:r>
            <w:r w:rsidR="00AC0240">
              <w:t>P</w:t>
            </w:r>
            <w:r w:rsidR="00205224">
              <w:t xml:space="preserve">lains in </w:t>
            </w:r>
            <w:proofErr w:type="spellStart"/>
            <w:r w:rsidR="00205224">
              <w:t>Wyperfeld</w:t>
            </w:r>
            <w:proofErr w:type="spellEnd"/>
            <w:r w:rsidR="00205224">
              <w:t xml:space="preserve"> National Park will be gone by 2024 (Hurley 2011 cited in Hurley &amp; Harris 2014).</w:t>
            </w:r>
          </w:p>
          <w:p w14:paraId="2F92248E" w14:textId="77777777" w:rsidR="00C15D9C" w:rsidRDefault="005952A8" w:rsidP="007049F0">
            <w:pPr>
              <w:pStyle w:val="TableText"/>
            </w:pPr>
            <w:r>
              <w:t>Vegetation</w:t>
            </w:r>
            <w:r w:rsidR="00D92FB5">
              <w:t xml:space="preserve"> corridors </w:t>
            </w:r>
            <w:r w:rsidR="009D49DE">
              <w:t xml:space="preserve">also </w:t>
            </w:r>
            <w:r w:rsidR="00D92FB5">
              <w:t>play an important role in providing remnant habitat in areas otherwise cleared</w:t>
            </w:r>
            <w:r w:rsidR="007C1E78">
              <w:t>. Major Mitchell’s cockatoos often avoid flying across open areas (Rowley &amp; Chapman 1991).</w:t>
            </w:r>
            <w:r w:rsidR="00C15D9C">
              <w:t xml:space="preserve"> </w:t>
            </w:r>
            <w:r w:rsidR="009D49DE">
              <w:t>Retaining intact vegetation will allow the subspecies to move between suitable habitat patches.</w:t>
            </w:r>
          </w:p>
          <w:p w14:paraId="1A639998" w14:textId="73198D98" w:rsidR="00562671" w:rsidRPr="00C15D9C" w:rsidRDefault="00562671" w:rsidP="007049F0">
            <w:pPr>
              <w:pStyle w:val="TableText"/>
            </w:pPr>
            <w:r>
              <w:t>Further removal of habitat without consideration of the impacts on the eastern Major Mitchell’s cockatoo could result in significant habitat loss, fragmentation, and degradation, causing further decline of the subspecies.</w:t>
            </w:r>
          </w:p>
        </w:tc>
      </w:tr>
      <w:tr w:rsidR="00AA0A06" w14:paraId="6A7C388B" w14:textId="77777777" w:rsidTr="43EA5B1C">
        <w:tc>
          <w:tcPr>
            <w:tcW w:w="1980" w:type="dxa"/>
          </w:tcPr>
          <w:p w14:paraId="25964B93" w14:textId="293C686D" w:rsidR="00D945A0" w:rsidRPr="005218FA" w:rsidRDefault="00221E16" w:rsidP="0D9CFEC7">
            <w:pPr>
              <w:pStyle w:val="TableText"/>
            </w:pPr>
            <w:r>
              <w:lastRenderedPageBreak/>
              <w:t>Inappropriate fire regimes</w:t>
            </w:r>
          </w:p>
        </w:tc>
        <w:tc>
          <w:tcPr>
            <w:tcW w:w="3260" w:type="dxa"/>
          </w:tcPr>
          <w:p w14:paraId="43D33835" w14:textId="4736B8BF" w:rsidR="00295AA9" w:rsidRPr="00CE53E7" w:rsidRDefault="00295AA9" w:rsidP="00295AA9">
            <w:pPr>
              <w:pStyle w:val="TableBullet1"/>
              <w:keepNext/>
            </w:pPr>
            <w:r w:rsidRPr="00CE53E7">
              <w:t xml:space="preserve">Timing: </w:t>
            </w:r>
            <w:r w:rsidR="00CE53E7" w:rsidRPr="00CE53E7">
              <w:t>historical, current &amp; future</w:t>
            </w:r>
          </w:p>
          <w:p w14:paraId="031148D3" w14:textId="5FC74F14" w:rsidR="00295AA9" w:rsidRPr="00CE53E7" w:rsidRDefault="00295AA9" w:rsidP="00CE53E7">
            <w:pPr>
              <w:pStyle w:val="TableBullet1"/>
              <w:keepNext/>
            </w:pPr>
            <w:r w:rsidRPr="00CE53E7">
              <w:t>Confidence: observed</w:t>
            </w:r>
          </w:p>
          <w:p w14:paraId="492369F1" w14:textId="144BB44F" w:rsidR="00295AA9" w:rsidRPr="00CE53E7" w:rsidRDefault="00295AA9" w:rsidP="00295AA9">
            <w:pPr>
              <w:pStyle w:val="TableBullet1"/>
            </w:pPr>
            <w:r w:rsidRPr="00CE53E7">
              <w:t>Likelihood: almost certain</w:t>
            </w:r>
          </w:p>
          <w:p w14:paraId="6EA43198" w14:textId="7FFC8B5B" w:rsidR="00295AA9" w:rsidRPr="00CE53E7" w:rsidRDefault="00295AA9" w:rsidP="00295AA9">
            <w:pPr>
              <w:pStyle w:val="TableBullet1"/>
              <w:keepNext/>
            </w:pPr>
            <w:r w:rsidRPr="00CE53E7">
              <w:t xml:space="preserve">Consequence: </w:t>
            </w:r>
            <w:r w:rsidR="00CE53E7" w:rsidRPr="00CE53E7">
              <w:t>major</w:t>
            </w:r>
          </w:p>
          <w:p w14:paraId="2C0F8C68" w14:textId="7033EB9C" w:rsidR="00295AA9" w:rsidRPr="00CE53E7" w:rsidRDefault="00295AA9" w:rsidP="00295AA9">
            <w:pPr>
              <w:pStyle w:val="TableBullet1"/>
              <w:keepNext/>
            </w:pPr>
            <w:r w:rsidRPr="00CE53E7">
              <w:t xml:space="preserve">Trend: </w:t>
            </w:r>
            <w:r w:rsidR="00CE53E7" w:rsidRPr="00CE53E7">
              <w:t>increasing</w:t>
            </w:r>
          </w:p>
          <w:p w14:paraId="11DE11DC" w14:textId="1C4FEF82" w:rsidR="00284E69" w:rsidRDefault="00295AA9" w:rsidP="00295AA9">
            <w:pPr>
              <w:pStyle w:val="TableBullet1"/>
              <w:keepNext/>
            </w:pPr>
            <w:r w:rsidRPr="00CE53E7">
              <w:t>Extent: across the entire range</w:t>
            </w:r>
          </w:p>
        </w:tc>
        <w:tc>
          <w:tcPr>
            <w:tcW w:w="3820" w:type="dxa"/>
          </w:tcPr>
          <w:p w14:paraId="3CDB6036" w14:textId="4845E17C" w:rsidR="00B14980" w:rsidRDefault="00B14980" w:rsidP="00B14980">
            <w:pPr>
              <w:pStyle w:val="TableHeading"/>
            </w:pPr>
            <w:r>
              <w:t xml:space="preserve">Increase in frequency, </w:t>
            </w:r>
            <w:proofErr w:type="gramStart"/>
            <w:r>
              <w:t>scale</w:t>
            </w:r>
            <w:proofErr w:type="gramEnd"/>
            <w:r>
              <w:t xml:space="preserve"> and </w:t>
            </w:r>
            <w:r w:rsidR="00E87AC0">
              <w:t>severity</w:t>
            </w:r>
            <w:r>
              <w:t xml:space="preserve"> of wildfires</w:t>
            </w:r>
          </w:p>
          <w:p w14:paraId="311FD76B" w14:textId="2A679C86" w:rsidR="00B14980" w:rsidRDefault="005E7341" w:rsidP="005E7341">
            <w:pPr>
              <w:pStyle w:val="TableText"/>
            </w:pPr>
            <w:r>
              <w:t>Wildfire</w:t>
            </w:r>
            <w:r w:rsidR="00126CA3">
              <w:t xml:space="preserve"> can cause di</w:t>
            </w:r>
            <w:r w:rsidR="00B14454">
              <w:t>rect loss of birds and catastrophic loss of suitable habitat for the subspecies. It</w:t>
            </w:r>
            <w:r w:rsidR="00E4238E">
              <w:t xml:space="preserve"> is one of the major </w:t>
            </w:r>
            <w:r w:rsidR="00F51A36">
              <w:t>contributions</w:t>
            </w:r>
            <w:r w:rsidR="00E4238E">
              <w:t xml:space="preserve"> to the loss of </w:t>
            </w:r>
            <w:r w:rsidR="00564D62">
              <w:t>hollow-bearing trees</w:t>
            </w:r>
            <w:r w:rsidR="00661D14">
              <w:t xml:space="preserve"> (Hurley &amp; Garnett 2021). For example, </w:t>
            </w:r>
            <w:r w:rsidR="000B736E">
              <w:t xml:space="preserve">the Lake </w:t>
            </w:r>
            <w:proofErr w:type="spellStart"/>
            <w:r w:rsidR="000B736E">
              <w:t>Albacutya-Wyperfeld</w:t>
            </w:r>
            <w:proofErr w:type="spellEnd"/>
            <w:r w:rsidR="000B736E">
              <w:t xml:space="preserve"> bushfire in 2014 </w:t>
            </w:r>
            <w:r w:rsidR="00A6735B">
              <w:t>destroyed</w:t>
            </w:r>
            <w:r w:rsidR="00F92104">
              <w:t xml:space="preserve"> 92% of cavity bearing trees within the 4,9</w:t>
            </w:r>
            <w:r w:rsidR="00A6735B">
              <w:t>57ha burnt (Hurley &amp; Harris 2014).</w:t>
            </w:r>
          </w:p>
          <w:p w14:paraId="0B83CA1C" w14:textId="05F6F0D5" w:rsidR="0038004D" w:rsidRPr="00B907E3" w:rsidRDefault="0038004D" w:rsidP="005E7341">
            <w:pPr>
              <w:pStyle w:val="TableText"/>
              <w:rPr>
                <w:i/>
                <w:iCs/>
              </w:rPr>
            </w:pPr>
            <w:r>
              <w:t xml:space="preserve">Under the changing climate, the frequency, </w:t>
            </w:r>
            <w:proofErr w:type="gramStart"/>
            <w:r>
              <w:t>duration</w:t>
            </w:r>
            <w:proofErr w:type="gramEnd"/>
            <w:r>
              <w:t xml:space="preserve"> and intensity of </w:t>
            </w:r>
            <w:r w:rsidR="0057780C">
              <w:t>wildfires</w:t>
            </w:r>
            <w:r>
              <w:t xml:space="preserve"> is predicted to </w:t>
            </w:r>
            <w:r w:rsidRPr="00B907E3">
              <w:t xml:space="preserve">increase, as a result of </w:t>
            </w:r>
            <w:r w:rsidR="00D8345C" w:rsidRPr="00B907E3">
              <w:t>longer heatwaves and longer droughts (see</w:t>
            </w:r>
            <w:r w:rsidR="00A73474" w:rsidRPr="00B907E3">
              <w:t xml:space="preserve"> </w:t>
            </w:r>
            <w:r w:rsidR="00A73474" w:rsidRPr="00B907E3">
              <w:rPr>
                <w:i/>
                <w:iCs/>
              </w:rPr>
              <w:t>Climate change</w:t>
            </w:r>
            <w:r w:rsidR="00A73474" w:rsidRPr="00B907E3">
              <w:t>).</w:t>
            </w:r>
          </w:p>
          <w:p w14:paraId="0E854AB6" w14:textId="1672600C" w:rsidR="00B14980" w:rsidRPr="00B907E3" w:rsidRDefault="2E3959B8" w:rsidP="0D9CFEC7">
            <w:pPr>
              <w:pStyle w:val="TableHeading"/>
            </w:pPr>
            <w:r w:rsidRPr="00B907E3">
              <w:t>Inappropriate fire management</w:t>
            </w:r>
          </w:p>
          <w:p w14:paraId="0F5FD507" w14:textId="6FAC509D" w:rsidR="00284E69" w:rsidRDefault="3CCAC14B" w:rsidP="00B14980">
            <w:pPr>
              <w:pStyle w:val="TableText"/>
              <w:rPr>
                <w:highlight w:val="lightGray"/>
              </w:rPr>
            </w:pPr>
            <w:r w:rsidRPr="00B907E3">
              <w:t>Inappropriate fire management (e.g., prescribed fires too intense or too frequent) may significantly impact the subspecies’ habitat, rendering areas unsuitable for</w:t>
            </w:r>
            <w:r>
              <w:t xml:space="preserve"> long periods of time or slowing the regeneration rate, or reducing food resources over large areas</w:t>
            </w:r>
            <w:r w:rsidR="00A20B46">
              <w:t>.</w:t>
            </w:r>
          </w:p>
        </w:tc>
      </w:tr>
      <w:tr w:rsidR="00B24002" w14:paraId="50592566" w14:textId="77777777" w:rsidTr="43EA5B1C">
        <w:tc>
          <w:tcPr>
            <w:tcW w:w="1980" w:type="dxa"/>
          </w:tcPr>
          <w:p w14:paraId="2CAFC525" w14:textId="11DDEB4E" w:rsidR="00B24002" w:rsidRDefault="0024292A" w:rsidP="007049F0">
            <w:pPr>
              <w:pStyle w:val="TableText"/>
            </w:pPr>
            <w:r>
              <w:t>Grazing</w:t>
            </w:r>
          </w:p>
        </w:tc>
        <w:tc>
          <w:tcPr>
            <w:tcW w:w="3260" w:type="dxa"/>
          </w:tcPr>
          <w:p w14:paraId="2FC98F5F" w14:textId="2135826A" w:rsidR="00295AA9" w:rsidRDefault="00295AA9" w:rsidP="00295AA9">
            <w:pPr>
              <w:pStyle w:val="TableBullet1"/>
              <w:keepNext/>
            </w:pPr>
            <w:r>
              <w:t xml:space="preserve">Timing: </w:t>
            </w:r>
            <w:r w:rsidR="00395867">
              <w:t>current &amp; future</w:t>
            </w:r>
          </w:p>
          <w:p w14:paraId="7C0FAA20" w14:textId="22CCF4D0" w:rsidR="00295AA9" w:rsidRPr="001E3CC8" w:rsidRDefault="00295AA9" w:rsidP="00D12911">
            <w:pPr>
              <w:pStyle w:val="TableBullet1"/>
              <w:keepNext/>
            </w:pPr>
            <w:r w:rsidRPr="001E3CC8">
              <w:t>Confidence: observed</w:t>
            </w:r>
          </w:p>
          <w:p w14:paraId="7FFE89C7" w14:textId="28F99F9A" w:rsidR="00295AA9" w:rsidRPr="001E3CC8" w:rsidRDefault="00295AA9" w:rsidP="00295AA9">
            <w:pPr>
              <w:pStyle w:val="TableBullet1"/>
            </w:pPr>
            <w:r w:rsidRPr="001E3CC8">
              <w:t>Likelihood: likely</w:t>
            </w:r>
          </w:p>
          <w:p w14:paraId="62F896BF" w14:textId="62BBAEA9" w:rsidR="00295AA9" w:rsidRPr="001E3CC8" w:rsidRDefault="00295AA9" w:rsidP="00295AA9">
            <w:pPr>
              <w:pStyle w:val="TableBullet1"/>
              <w:keepNext/>
            </w:pPr>
            <w:r w:rsidRPr="001E3CC8">
              <w:t xml:space="preserve">Consequence: </w:t>
            </w:r>
            <w:r w:rsidR="001E3CC8" w:rsidRPr="001E3CC8">
              <w:t>minor</w:t>
            </w:r>
          </w:p>
          <w:p w14:paraId="75BBF62C" w14:textId="1E6C75CF" w:rsidR="00295AA9" w:rsidRPr="001E3CC8" w:rsidRDefault="00295AA9" w:rsidP="00295AA9">
            <w:pPr>
              <w:pStyle w:val="TableBullet1"/>
              <w:keepNext/>
            </w:pPr>
            <w:r w:rsidRPr="001E3CC8">
              <w:t xml:space="preserve">Trend: </w:t>
            </w:r>
            <w:r w:rsidR="001E3CC8" w:rsidRPr="001E3CC8">
              <w:t>static</w:t>
            </w:r>
          </w:p>
          <w:p w14:paraId="6E2AEFB0" w14:textId="3AA493B5" w:rsidR="00B24002" w:rsidRDefault="00295AA9" w:rsidP="00295AA9">
            <w:pPr>
              <w:pStyle w:val="TableBullet1"/>
              <w:keepNext/>
            </w:pPr>
            <w:r w:rsidRPr="001E3CC8">
              <w:t>Extent: across the entire range</w:t>
            </w:r>
          </w:p>
        </w:tc>
        <w:tc>
          <w:tcPr>
            <w:tcW w:w="3820" w:type="dxa"/>
          </w:tcPr>
          <w:p w14:paraId="003A1C37" w14:textId="553DA2FC" w:rsidR="00B24002" w:rsidRPr="001E4B8E" w:rsidRDefault="5251261B" w:rsidP="007049F0">
            <w:pPr>
              <w:pStyle w:val="TableText"/>
              <w:rPr>
                <w:highlight w:val="lightGray"/>
              </w:rPr>
            </w:pPr>
            <w:r>
              <w:t>Over</w:t>
            </w:r>
            <w:r w:rsidR="41010F08">
              <w:t>grazing by stock</w:t>
            </w:r>
            <w:r w:rsidR="22BE2A44">
              <w:t xml:space="preserve"> and grazing by rabbits (</w:t>
            </w:r>
            <w:r w:rsidR="22BE2A44" w:rsidRPr="43EA5B1C">
              <w:rPr>
                <w:i/>
                <w:iCs/>
              </w:rPr>
              <w:t>Oryctolagus cuniculus</w:t>
            </w:r>
            <w:r w:rsidR="22BE2A44">
              <w:t xml:space="preserve">), </w:t>
            </w:r>
            <w:r w:rsidR="6E218428">
              <w:t>feral goats (</w:t>
            </w:r>
            <w:r w:rsidR="6E218428" w:rsidRPr="43EA5B1C">
              <w:rPr>
                <w:i/>
                <w:iCs/>
              </w:rPr>
              <w:t xml:space="preserve">Capra </w:t>
            </w:r>
            <w:proofErr w:type="spellStart"/>
            <w:r w:rsidR="6E218428" w:rsidRPr="43EA5B1C">
              <w:rPr>
                <w:i/>
                <w:iCs/>
              </w:rPr>
              <w:t>hircus</w:t>
            </w:r>
            <w:proofErr w:type="spellEnd"/>
            <w:r w:rsidR="6E218428">
              <w:t>), and overabundant populations of kangaroos (</w:t>
            </w:r>
            <w:r w:rsidR="6E218428" w:rsidRPr="43EA5B1C">
              <w:rPr>
                <w:i/>
                <w:iCs/>
              </w:rPr>
              <w:t>Macropus</w:t>
            </w:r>
            <w:r w:rsidR="6E218428">
              <w:t xml:space="preserve"> spp.) </w:t>
            </w:r>
            <w:r w:rsidR="18938696">
              <w:t xml:space="preserve">has reduced the natural regeneration and recruitment of </w:t>
            </w:r>
            <w:r w:rsidR="041FC104">
              <w:t>large hollow-bearing trees in the last century (</w:t>
            </w:r>
            <w:r w:rsidR="67195C74">
              <w:t xml:space="preserve">DSE 2004; </w:t>
            </w:r>
            <w:r w:rsidR="6D24EF6B">
              <w:t>Hurley &amp; Harris 2014</w:t>
            </w:r>
            <w:r w:rsidR="67195C74">
              <w:t>; OEH 2017).</w:t>
            </w:r>
          </w:p>
        </w:tc>
      </w:tr>
      <w:tr w:rsidR="00B2542D" w14:paraId="4A067AE4" w14:textId="77777777" w:rsidTr="43EA5B1C">
        <w:tc>
          <w:tcPr>
            <w:tcW w:w="9060" w:type="dxa"/>
            <w:gridSpan w:val="3"/>
          </w:tcPr>
          <w:p w14:paraId="65780FE4" w14:textId="14DF5372" w:rsidR="00B2542D" w:rsidRPr="00B2542D" w:rsidRDefault="00C753B0" w:rsidP="007049F0">
            <w:pPr>
              <w:pStyle w:val="TableText"/>
            </w:pPr>
            <w:r>
              <w:t>Shortage and competition</w:t>
            </w:r>
            <w:r w:rsidR="00B2542D" w:rsidRPr="00B2542D">
              <w:t xml:space="preserve"> for resources</w:t>
            </w:r>
          </w:p>
        </w:tc>
      </w:tr>
      <w:tr w:rsidR="00B24002" w14:paraId="3F87CF21" w14:textId="77777777" w:rsidTr="43EA5B1C">
        <w:tc>
          <w:tcPr>
            <w:tcW w:w="1980" w:type="dxa"/>
          </w:tcPr>
          <w:p w14:paraId="19A5FB2C" w14:textId="74622720" w:rsidR="00B24002" w:rsidRDefault="00130364" w:rsidP="007049F0">
            <w:pPr>
              <w:pStyle w:val="TableText"/>
            </w:pPr>
            <w:r>
              <w:t>Competition for nest hollows</w:t>
            </w:r>
            <w:r w:rsidR="00C753B0">
              <w:t xml:space="preserve"> </w:t>
            </w:r>
          </w:p>
        </w:tc>
        <w:tc>
          <w:tcPr>
            <w:tcW w:w="3260" w:type="dxa"/>
          </w:tcPr>
          <w:p w14:paraId="1A5BB0F2" w14:textId="4780473D" w:rsidR="00295AA9" w:rsidRDefault="00295AA9" w:rsidP="00295AA9">
            <w:pPr>
              <w:pStyle w:val="TableBullet1"/>
              <w:keepNext/>
            </w:pPr>
            <w:r>
              <w:t xml:space="preserve">Timing: </w:t>
            </w:r>
            <w:r w:rsidR="006F45B8">
              <w:t>historical, current &amp; future</w:t>
            </w:r>
          </w:p>
          <w:p w14:paraId="4A9FFCE5" w14:textId="1B3CB7EE" w:rsidR="00295AA9" w:rsidRPr="006F45B8" w:rsidRDefault="00295AA9" w:rsidP="00295AA9">
            <w:pPr>
              <w:pStyle w:val="TableBullet1"/>
              <w:keepNext/>
            </w:pPr>
            <w:r w:rsidRPr="006F45B8">
              <w:t>Confidence: observed</w:t>
            </w:r>
          </w:p>
          <w:p w14:paraId="33C2C503" w14:textId="2FB60939" w:rsidR="00295AA9" w:rsidRPr="006F45B8" w:rsidRDefault="00295AA9" w:rsidP="00295AA9">
            <w:pPr>
              <w:pStyle w:val="TableBullet1"/>
            </w:pPr>
            <w:r w:rsidRPr="006F45B8">
              <w:t>Likelihood: almost certain</w:t>
            </w:r>
          </w:p>
          <w:p w14:paraId="520CCABF" w14:textId="1146A64F" w:rsidR="00295AA9" w:rsidRPr="006F45B8" w:rsidRDefault="00295AA9" w:rsidP="00295AA9">
            <w:pPr>
              <w:pStyle w:val="TableBullet1"/>
              <w:keepNext/>
            </w:pPr>
            <w:r w:rsidRPr="006F45B8">
              <w:lastRenderedPageBreak/>
              <w:t>Consequence: major</w:t>
            </w:r>
          </w:p>
          <w:p w14:paraId="4FCAE63D" w14:textId="63798BB0" w:rsidR="00295AA9" w:rsidRPr="006F45B8" w:rsidRDefault="00295AA9" w:rsidP="00295AA9">
            <w:pPr>
              <w:pStyle w:val="TableBullet1"/>
              <w:keepNext/>
            </w:pPr>
            <w:r w:rsidRPr="006F45B8">
              <w:t>Trend: increasing</w:t>
            </w:r>
          </w:p>
          <w:p w14:paraId="0FA18F4B" w14:textId="57A2684E" w:rsidR="00B24002" w:rsidRDefault="00295AA9" w:rsidP="00295AA9">
            <w:pPr>
              <w:pStyle w:val="TableBullet1"/>
              <w:keepNext/>
            </w:pPr>
            <w:r w:rsidRPr="006F45B8">
              <w:t>Extent: across the entire range</w:t>
            </w:r>
          </w:p>
        </w:tc>
        <w:tc>
          <w:tcPr>
            <w:tcW w:w="3820" w:type="dxa"/>
          </w:tcPr>
          <w:p w14:paraId="37BA517D" w14:textId="10117CF2" w:rsidR="009F0E97" w:rsidRPr="006F45B8" w:rsidRDefault="009F0E97" w:rsidP="009F0E97">
            <w:pPr>
              <w:pStyle w:val="TableText"/>
              <w:keepNext/>
              <w:rPr>
                <w:i/>
                <w:iCs/>
              </w:rPr>
            </w:pPr>
            <w:r w:rsidRPr="000B0088">
              <w:lastRenderedPageBreak/>
              <w:t xml:space="preserve">A </w:t>
            </w:r>
            <w:r w:rsidRPr="00B2251D">
              <w:t xml:space="preserve">large proportion of Australian bird species use tree hollows as nesting sites (Saunders et al. 1982; Newton 1994), and almost all arboreal marsupials use tree hollows (e.g., </w:t>
            </w:r>
            <w:r w:rsidRPr="00B2251D">
              <w:lastRenderedPageBreak/>
              <w:t xml:space="preserve">breeding site or shelter; </w:t>
            </w:r>
            <w:proofErr w:type="spellStart"/>
            <w:r w:rsidRPr="00B2251D">
              <w:t>Lindenmayer</w:t>
            </w:r>
            <w:proofErr w:type="spellEnd"/>
            <w:r w:rsidRPr="00B2251D">
              <w:t xml:space="preserve"> et al. 1991). As a result, inter-specific competition may be a common</w:t>
            </w:r>
            <w:r w:rsidRPr="000B0088">
              <w:t xml:space="preserve"> occurrence</w:t>
            </w:r>
            <w:r w:rsidR="006F45B8">
              <w:t xml:space="preserve">, especially with the decrease in hollow availability (see </w:t>
            </w:r>
            <w:r w:rsidR="006F45B8" w:rsidRPr="006F45B8">
              <w:rPr>
                <w:i/>
                <w:iCs/>
              </w:rPr>
              <w:t>Clearing of native vegetation and loss of hollow-bearing trees</w:t>
            </w:r>
            <w:r w:rsidR="006F45B8">
              <w:t>).</w:t>
            </w:r>
          </w:p>
          <w:p w14:paraId="38DE80EF" w14:textId="55956BB2" w:rsidR="00BB00B8" w:rsidRPr="000C2807" w:rsidRDefault="1291ADD3" w:rsidP="009F0E97">
            <w:pPr>
              <w:pStyle w:val="TableText"/>
              <w:keepNext/>
            </w:pPr>
            <w:r>
              <w:t xml:space="preserve">Potential hollow competitors include </w:t>
            </w:r>
            <w:r w:rsidR="1925D8C9">
              <w:t>Galah (</w:t>
            </w:r>
            <w:proofErr w:type="spellStart"/>
            <w:r w:rsidR="1925D8C9" w:rsidRPr="7DADC2A5">
              <w:rPr>
                <w:i/>
                <w:iCs/>
              </w:rPr>
              <w:t>Eolophus</w:t>
            </w:r>
            <w:proofErr w:type="spellEnd"/>
            <w:r w:rsidR="1925D8C9" w:rsidRPr="7DADC2A5">
              <w:rPr>
                <w:i/>
                <w:iCs/>
              </w:rPr>
              <w:t xml:space="preserve"> </w:t>
            </w:r>
            <w:proofErr w:type="spellStart"/>
            <w:r w:rsidR="1925D8C9" w:rsidRPr="7DADC2A5">
              <w:rPr>
                <w:i/>
                <w:iCs/>
              </w:rPr>
              <w:t>roseicapillus</w:t>
            </w:r>
            <w:proofErr w:type="spellEnd"/>
            <w:r w:rsidR="1925D8C9">
              <w:t xml:space="preserve">) and </w:t>
            </w:r>
            <w:r w:rsidR="50EB5BFE">
              <w:t xml:space="preserve">European </w:t>
            </w:r>
            <w:r w:rsidR="6AC90B9D">
              <w:t>honeybees</w:t>
            </w:r>
            <w:r w:rsidR="50EB5BFE">
              <w:t xml:space="preserve"> (</w:t>
            </w:r>
            <w:proofErr w:type="spellStart"/>
            <w:r w:rsidR="50EB5BFE" w:rsidRPr="7DADC2A5">
              <w:rPr>
                <w:i/>
                <w:iCs/>
              </w:rPr>
              <w:t>Apis</w:t>
            </w:r>
            <w:proofErr w:type="spellEnd"/>
            <w:r w:rsidR="50EB5BFE" w:rsidRPr="7DADC2A5">
              <w:rPr>
                <w:i/>
                <w:iCs/>
              </w:rPr>
              <w:t xml:space="preserve"> </w:t>
            </w:r>
            <w:proofErr w:type="spellStart"/>
            <w:r w:rsidR="50EB5BFE" w:rsidRPr="7DADC2A5">
              <w:rPr>
                <w:i/>
                <w:iCs/>
              </w:rPr>
              <w:t>melifera</w:t>
            </w:r>
            <w:proofErr w:type="spellEnd"/>
            <w:r w:rsidR="50EB5BFE">
              <w:t>) (DSE 2004).</w:t>
            </w:r>
            <w:r w:rsidR="782C3F7A">
              <w:t xml:space="preserve"> </w:t>
            </w:r>
            <w:r w:rsidR="376559A2">
              <w:t>A</w:t>
            </w:r>
            <w:r w:rsidR="367CEE3A">
              <w:t xml:space="preserve"> 40% </w:t>
            </w:r>
            <w:r w:rsidR="376559A2">
              <w:t xml:space="preserve">increase in the number of breeding Major Mitchell’s cockatoo was observed </w:t>
            </w:r>
            <w:r w:rsidR="16A26E72">
              <w:t xml:space="preserve">after the removal of Galahs </w:t>
            </w:r>
            <w:r w:rsidR="00A20B46">
              <w:t xml:space="preserve">at </w:t>
            </w:r>
            <w:proofErr w:type="spellStart"/>
            <w:r w:rsidR="00A20B46">
              <w:t>Wyperfeld</w:t>
            </w:r>
            <w:proofErr w:type="spellEnd"/>
            <w:r w:rsidR="00A20B46">
              <w:t xml:space="preserve"> National </w:t>
            </w:r>
            <w:r w:rsidR="006965B4">
              <w:t>Park (</w:t>
            </w:r>
            <w:r w:rsidR="16A26E72">
              <w:t>Hurley 2008, 2011</w:t>
            </w:r>
            <w:r w:rsidR="41A49DBD">
              <w:t xml:space="preserve"> cited in Hurley &amp; Garnett 2021</w:t>
            </w:r>
            <w:r w:rsidR="16A26E72">
              <w:t>).</w:t>
            </w:r>
          </w:p>
          <w:p w14:paraId="7EAAFAB9" w14:textId="193D5A94" w:rsidR="00082105" w:rsidRDefault="00082105" w:rsidP="00082105">
            <w:pPr>
              <w:pStyle w:val="TableText"/>
              <w:keepNext/>
            </w:pPr>
            <w:r>
              <w:t xml:space="preserve">Nest boxes and artificial hollows are becoming an increasingly </w:t>
            </w:r>
            <w:r w:rsidRPr="008470D0">
              <w:t xml:space="preserve">common management intervention to minimise the impacts of loss of nest sites for </w:t>
            </w:r>
            <w:proofErr w:type="gramStart"/>
            <w:r w:rsidR="007623D7" w:rsidRPr="008470D0">
              <w:t>hollow-nesters</w:t>
            </w:r>
            <w:proofErr w:type="gramEnd"/>
            <w:r w:rsidRPr="008470D0">
              <w:t xml:space="preserve"> (Griffith et al. 2008; </w:t>
            </w:r>
            <w:proofErr w:type="spellStart"/>
            <w:r w:rsidRPr="008470D0">
              <w:t>Rueegger</w:t>
            </w:r>
            <w:proofErr w:type="spellEnd"/>
            <w:r w:rsidRPr="008470D0">
              <w:t xml:space="preserve"> 2017; Fay et al. 2019). </w:t>
            </w:r>
            <w:r w:rsidR="00113DD6" w:rsidRPr="008470D0">
              <w:t>Studies</w:t>
            </w:r>
            <w:r w:rsidR="00B3095A" w:rsidRPr="008470D0">
              <w:t xml:space="preserve"> from nest box programs for</w:t>
            </w:r>
            <w:r w:rsidR="00B3095A">
              <w:t xml:space="preserve"> other </w:t>
            </w:r>
            <w:r w:rsidR="00733C06">
              <w:t xml:space="preserve">threatened </w:t>
            </w:r>
            <w:r w:rsidR="00B3095A">
              <w:t>cockatoo species</w:t>
            </w:r>
            <w:r w:rsidR="007E598A">
              <w:t xml:space="preserve"> such as the Kangaroo Island glossy black-cockatoo, </w:t>
            </w:r>
            <w:r w:rsidR="003564DE">
              <w:t>Carnaby’s cockatoo (</w:t>
            </w:r>
            <w:proofErr w:type="spellStart"/>
            <w:r w:rsidR="003564DE" w:rsidRPr="403B38E4">
              <w:rPr>
                <w:i/>
                <w:iCs/>
              </w:rPr>
              <w:t>Zanda</w:t>
            </w:r>
            <w:proofErr w:type="spellEnd"/>
            <w:r w:rsidR="003564DE" w:rsidRPr="403B38E4">
              <w:rPr>
                <w:i/>
                <w:iCs/>
              </w:rPr>
              <w:t xml:space="preserve"> </w:t>
            </w:r>
            <w:proofErr w:type="spellStart"/>
            <w:r w:rsidR="003564DE" w:rsidRPr="403B38E4">
              <w:rPr>
                <w:i/>
                <w:iCs/>
              </w:rPr>
              <w:t>latirostris</w:t>
            </w:r>
            <w:proofErr w:type="spellEnd"/>
            <w:r w:rsidR="003564DE">
              <w:t xml:space="preserve">), </w:t>
            </w:r>
            <w:proofErr w:type="spellStart"/>
            <w:r w:rsidR="003564DE">
              <w:t>Baudin’s</w:t>
            </w:r>
            <w:proofErr w:type="spellEnd"/>
            <w:r w:rsidR="003564DE">
              <w:t xml:space="preserve"> cockatoo (</w:t>
            </w:r>
            <w:proofErr w:type="spellStart"/>
            <w:r w:rsidR="003564DE" w:rsidRPr="403B38E4">
              <w:rPr>
                <w:i/>
                <w:iCs/>
              </w:rPr>
              <w:t>Zanda</w:t>
            </w:r>
            <w:proofErr w:type="spellEnd"/>
            <w:r w:rsidR="003564DE" w:rsidRPr="403B38E4">
              <w:rPr>
                <w:i/>
                <w:iCs/>
              </w:rPr>
              <w:t xml:space="preserve"> </w:t>
            </w:r>
            <w:proofErr w:type="spellStart"/>
            <w:r w:rsidR="003564DE" w:rsidRPr="403B38E4">
              <w:rPr>
                <w:i/>
                <w:iCs/>
              </w:rPr>
              <w:t>baudinii</w:t>
            </w:r>
            <w:proofErr w:type="spellEnd"/>
            <w:r w:rsidR="003564DE">
              <w:t>) and forest red-tailed black-cockatoo (</w:t>
            </w:r>
            <w:proofErr w:type="spellStart"/>
            <w:r w:rsidR="003564DE" w:rsidRPr="403B38E4">
              <w:rPr>
                <w:i/>
                <w:iCs/>
              </w:rPr>
              <w:t>Calytorhynchus</w:t>
            </w:r>
            <w:proofErr w:type="spellEnd"/>
            <w:r w:rsidR="003564DE" w:rsidRPr="403B38E4">
              <w:rPr>
                <w:i/>
                <w:iCs/>
              </w:rPr>
              <w:t xml:space="preserve"> </w:t>
            </w:r>
            <w:proofErr w:type="spellStart"/>
            <w:r w:rsidR="003564DE" w:rsidRPr="403B38E4">
              <w:rPr>
                <w:i/>
                <w:iCs/>
              </w:rPr>
              <w:t>banksii</w:t>
            </w:r>
            <w:proofErr w:type="spellEnd"/>
            <w:r w:rsidR="003564DE" w:rsidRPr="403B38E4">
              <w:rPr>
                <w:i/>
                <w:iCs/>
              </w:rPr>
              <w:t xml:space="preserve"> </w:t>
            </w:r>
            <w:proofErr w:type="spellStart"/>
            <w:r w:rsidR="003564DE" w:rsidRPr="403B38E4">
              <w:rPr>
                <w:i/>
                <w:iCs/>
              </w:rPr>
              <w:t>naso</w:t>
            </w:r>
            <w:proofErr w:type="spellEnd"/>
            <w:r w:rsidR="003564DE">
              <w:t xml:space="preserve">), may also assist in the development of </w:t>
            </w:r>
            <w:r w:rsidR="006975D6">
              <w:t>a</w:t>
            </w:r>
            <w:r w:rsidR="003564DE">
              <w:t xml:space="preserve"> </w:t>
            </w:r>
            <w:r w:rsidR="003834E3">
              <w:t>nest box</w:t>
            </w:r>
            <w:r w:rsidR="003564DE">
              <w:t xml:space="preserve"> program</w:t>
            </w:r>
            <w:r w:rsidR="003834E3">
              <w:t xml:space="preserve"> for the eastern Major Mitchell’s cockatoo.</w:t>
            </w:r>
          </w:p>
          <w:p w14:paraId="229185FE" w14:textId="41C0A5F5" w:rsidR="00B24002" w:rsidRDefault="2F8B477B" w:rsidP="007049F0">
            <w:pPr>
              <w:pStyle w:val="TableText"/>
            </w:pPr>
            <w:r>
              <w:t xml:space="preserve">It is important for nest box programs to be tailored to the targeted threatened species as studies have shown that simply setting up nest boxes mostly attract pest species rather than intended threatened species (Grarock et al. 2013; </w:t>
            </w:r>
            <w:proofErr w:type="spellStart"/>
            <w:r>
              <w:t>Lindenmayer</w:t>
            </w:r>
            <w:proofErr w:type="spellEnd"/>
            <w:r>
              <w:t xml:space="preserve"> et al. 2016, 2017). Furthermore, artificial nest sites cannot completely replicate resources that large, hollow-bearing trees provide (Le Roux et al. 2016)</w:t>
            </w:r>
            <w:r w:rsidR="006965B4">
              <w:t>, and they require ongoing maintenance and replacement.</w:t>
            </w:r>
            <w:r>
              <w:t xml:space="preserve"> In general, nest boxes should only be considered where there is evidence that a shortage of natural hollows exists or is suspected.</w:t>
            </w:r>
            <w:r w:rsidR="006965B4">
              <w:t xml:space="preserve"> It would likely to be most effective as a short-term solution, provide nesting sites in the interim while natural hollows form, in sites managed for long-term retention and recovery of hollow-bearing trees but in which there may be a temporal gap in the availability of hollows.</w:t>
            </w:r>
          </w:p>
          <w:p w14:paraId="640B4962" w14:textId="4C81EDEF" w:rsidR="00036D82" w:rsidRDefault="6FC5AF0B" w:rsidP="007049F0">
            <w:pPr>
              <w:pStyle w:val="TableText"/>
            </w:pPr>
            <w:r>
              <w:t>An emerging alternative to nest boxes is mechanically created artificial hollows (</w:t>
            </w:r>
            <w:proofErr w:type="spellStart"/>
            <w:r>
              <w:t>Rueegger</w:t>
            </w:r>
            <w:proofErr w:type="spellEnd"/>
            <w:r>
              <w:t xml:space="preserve"> 2017)</w:t>
            </w:r>
            <w:r w:rsidR="0B54BBDA">
              <w:t xml:space="preserve">, which has been shown to increase </w:t>
            </w:r>
            <w:r w:rsidR="11551352">
              <w:t xml:space="preserve">visitation </w:t>
            </w:r>
            <w:r w:rsidR="2BE8ED0A">
              <w:t>rate by</w:t>
            </w:r>
            <w:r w:rsidR="11551352">
              <w:t xml:space="preserve"> hollow-dependent species (Griffiths et al. 2020</w:t>
            </w:r>
            <w:r w:rsidR="65981BEB">
              <w:t>). This</w:t>
            </w:r>
            <w:r w:rsidR="098150C4">
              <w:t xml:space="preserve"> has also been trialled</w:t>
            </w:r>
            <w:r w:rsidR="4D3E7520">
              <w:t xml:space="preserve"> in </w:t>
            </w:r>
            <w:r w:rsidR="3CD0F8A9">
              <w:t>slender cypress pine (</w:t>
            </w:r>
            <w:r w:rsidR="3CD0F8A9" w:rsidRPr="43EA5B1C">
              <w:rPr>
                <w:i/>
                <w:iCs/>
              </w:rPr>
              <w:t xml:space="preserve">Callitris </w:t>
            </w:r>
            <w:proofErr w:type="spellStart"/>
            <w:r w:rsidR="3CD0F8A9" w:rsidRPr="43EA5B1C">
              <w:rPr>
                <w:i/>
                <w:iCs/>
              </w:rPr>
              <w:t>gracilis</w:t>
            </w:r>
            <w:proofErr w:type="spellEnd"/>
            <w:r w:rsidR="3CD0F8A9" w:rsidRPr="43EA5B1C">
              <w:rPr>
                <w:i/>
                <w:iCs/>
              </w:rPr>
              <w:t xml:space="preserve"> </w:t>
            </w:r>
            <w:proofErr w:type="spellStart"/>
            <w:r w:rsidR="3CD0F8A9" w:rsidRPr="43EA5B1C">
              <w:rPr>
                <w:i/>
                <w:iCs/>
              </w:rPr>
              <w:t>murrayensis</w:t>
            </w:r>
            <w:proofErr w:type="spellEnd"/>
            <w:r w:rsidR="3C4DF7A4">
              <w:t>), with</w:t>
            </w:r>
            <w:r w:rsidR="4C2D9A5E">
              <w:t xml:space="preserve"> some documented success (Hurley &amp; Harris 2014; Hurley &amp; Stark 2015).</w:t>
            </w:r>
          </w:p>
          <w:p w14:paraId="4402EE96" w14:textId="38A27AD5" w:rsidR="00881FDF" w:rsidRDefault="764E2B3F" w:rsidP="000E65EE">
            <w:pPr>
              <w:pStyle w:val="TableText"/>
              <w:rPr>
                <w:highlight w:val="lightGray"/>
              </w:rPr>
            </w:pPr>
            <w:r>
              <w:t>Finally, repairing damaged tree cavities is a</w:t>
            </w:r>
            <w:r w:rsidR="430672E6">
              <w:t xml:space="preserve">lso possible and has been successfully implemented </w:t>
            </w:r>
            <w:r w:rsidR="536D62C1">
              <w:t>(Goldingay &amp; Stevens; Saunders et al. 2014).</w:t>
            </w:r>
            <w:r w:rsidR="3E303F07">
              <w:t xml:space="preserve"> </w:t>
            </w:r>
          </w:p>
        </w:tc>
      </w:tr>
      <w:tr w:rsidR="005E6E27" w14:paraId="4AF5B111" w14:textId="77777777" w:rsidTr="43EA5B1C">
        <w:tc>
          <w:tcPr>
            <w:tcW w:w="9060" w:type="dxa"/>
            <w:gridSpan w:val="3"/>
          </w:tcPr>
          <w:p w14:paraId="141028B0" w14:textId="48475334" w:rsidR="005E6E27" w:rsidRPr="000B0088" w:rsidRDefault="005E6E27" w:rsidP="009F0E97">
            <w:pPr>
              <w:pStyle w:val="TableText"/>
              <w:keepNext/>
            </w:pPr>
            <w:r>
              <w:lastRenderedPageBreak/>
              <w:t>Climate change</w:t>
            </w:r>
          </w:p>
        </w:tc>
      </w:tr>
      <w:tr w:rsidR="005C3C51" w14:paraId="00DA98D4" w14:textId="77777777" w:rsidTr="43EA5B1C">
        <w:tc>
          <w:tcPr>
            <w:tcW w:w="1980" w:type="dxa"/>
          </w:tcPr>
          <w:p w14:paraId="49F4BB0D" w14:textId="44B70355" w:rsidR="005C3C51" w:rsidRDefault="005C3C51" w:rsidP="005C3C51">
            <w:pPr>
              <w:pStyle w:val="TableText"/>
            </w:pPr>
            <w:r>
              <w:lastRenderedPageBreak/>
              <w:t>Increased likelihood of extreme events (e.g., wildfire</w:t>
            </w:r>
            <w:r w:rsidR="00104455">
              <w:t>,</w:t>
            </w:r>
            <w:r>
              <w:t xml:space="preserve"> </w:t>
            </w:r>
            <w:proofErr w:type="gramStart"/>
            <w:r w:rsidR="00D8345C">
              <w:t>heatwave</w:t>
            </w:r>
            <w:proofErr w:type="gramEnd"/>
            <w:r w:rsidR="00D8345C">
              <w:t xml:space="preserve"> </w:t>
            </w:r>
            <w:r>
              <w:t>and drought)</w:t>
            </w:r>
          </w:p>
        </w:tc>
        <w:tc>
          <w:tcPr>
            <w:tcW w:w="3260" w:type="dxa"/>
          </w:tcPr>
          <w:p w14:paraId="42DEAC88" w14:textId="77777777" w:rsidR="005C3C51" w:rsidRDefault="005C3C51" w:rsidP="005C3C51">
            <w:pPr>
              <w:pStyle w:val="TableBullet1"/>
              <w:keepNext/>
            </w:pPr>
            <w:r>
              <w:t>Timing: current &amp; future</w:t>
            </w:r>
          </w:p>
          <w:p w14:paraId="738DA350" w14:textId="77777777" w:rsidR="005C3C51" w:rsidRPr="00183CF3" w:rsidRDefault="005C3C51" w:rsidP="005C3C51">
            <w:pPr>
              <w:pStyle w:val="TableBullet1"/>
              <w:keepNext/>
            </w:pPr>
            <w:r>
              <w:t xml:space="preserve">Confidence: </w:t>
            </w:r>
            <w:r w:rsidRPr="00183CF3">
              <w:t>estimated</w:t>
            </w:r>
          </w:p>
          <w:p w14:paraId="1BBF1FF6" w14:textId="77777777" w:rsidR="005C3C51" w:rsidRPr="00183CF3" w:rsidRDefault="005C3C51" w:rsidP="005C3C51">
            <w:pPr>
              <w:pStyle w:val="TableBullet1"/>
            </w:pPr>
            <w:r w:rsidRPr="00183CF3">
              <w:t>Likelihood: almost certain</w:t>
            </w:r>
          </w:p>
          <w:p w14:paraId="0E39E96D" w14:textId="7C0B84DB" w:rsidR="005C3C51" w:rsidRPr="00183CF3" w:rsidRDefault="005C3C51" w:rsidP="005C3C51">
            <w:pPr>
              <w:pStyle w:val="TableBullet1"/>
              <w:keepNext/>
            </w:pPr>
            <w:r w:rsidRPr="00183CF3">
              <w:t xml:space="preserve">Consequence: </w:t>
            </w:r>
            <w:r w:rsidR="00B907E3">
              <w:t>major</w:t>
            </w:r>
          </w:p>
          <w:p w14:paraId="5EBCB1E5" w14:textId="77777777" w:rsidR="005C3C51" w:rsidRPr="00183CF3" w:rsidRDefault="005C3C51" w:rsidP="005C3C51">
            <w:pPr>
              <w:pStyle w:val="TableBullet1"/>
              <w:keepNext/>
            </w:pPr>
            <w:r w:rsidRPr="00183CF3">
              <w:t>Trend: increasing</w:t>
            </w:r>
          </w:p>
          <w:p w14:paraId="4CB8B20C" w14:textId="080179FB" w:rsidR="005C3C51" w:rsidRDefault="005C3C51" w:rsidP="005C3C51">
            <w:pPr>
              <w:pStyle w:val="TableBullet1"/>
              <w:keepNext/>
            </w:pPr>
            <w:r w:rsidRPr="00183CF3">
              <w:t>Extent: across the entire range</w:t>
            </w:r>
          </w:p>
        </w:tc>
        <w:tc>
          <w:tcPr>
            <w:tcW w:w="3820" w:type="dxa"/>
          </w:tcPr>
          <w:p w14:paraId="64934568" w14:textId="25D1F765" w:rsidR="005C3C51" w:rsidRPr="00954A95" w:rsidRDefault="00EFDA0E" w:rsidP="00390DCD">
            <w:pPr>
              <w:pStyle w:val="TableText"/>
            </w:pPr>
            <w:r>
              <w:t>Average temperatures in Australia have increased by around 1.4°C in the past century (BOM &amp; CSIRO 2020; IPCC 2021), and global temperatures are likely to exceed 1.5°C in the next 20 years if global greenhouse gas emissions are not reduced immediately (IPCC 2021). As more frequent and extreme heatwaves are projected across Australia (BOM &amp; CSIRO 2020). Rainfall may also vary regionally under the changing climate (Evans et al. 2017), with lowest rainfall records in parts of Australia (BOM &amp; CSIRO 2020). Which will lead to an increase in frequency and intensity of droughts (Evans et al. 2017) and heatwaves (Herold et al. 2018).</w:t>
            </w:r>
            <w:r w:rsidR="7CE5A4C7">
              <w:t xml:space="preserve"> This </w:t>
            </w:r>
            <w:r w:rsidR="57662FD2">
              <w:t>may</w:t>
            </w:r>
            <w:r w:rsidR="1C2EDCC4">
              <w:t xml:space="preserve"> </w:t>
            </w:r>
            <w:r w:rsidR="57662FD2">
              <w:t>severely</w:t>
            </w:r>
            <w:r w:rsidR="1C2EDCC4">
              <w:t xml:space="preserve"> impact the subspecies as they already occupy the </w:t>
            </w:r>
            <w:r w:rsidR="55D98CF3">
              <w:t>tougher conditions of arid and semi-arid climates.</w:t>
            </w:r>
          </w:p>
        </w:tc>
      </w:tr>
      <w:tr w:rsidR="001417B9" w14:paraId="18B460CF" w14:textId="77777777" w:rsidTr="0075195F">
        <w:tc>
          <w:tcPr>
            <w:tcW w:w="9060" w:type="dxa"/>
            <w:gridSpan w:val="3"/>
          </w:tcPr>
          <w:p w14:paraId="282E7111" w14:textId="47E7D216" w:rsidR="001417B9" w:rsidRDefault="001417B9" w:rsidP="00390DCD">
            <w:pPr>
              <w:pStyle w:val="TableText"/>
            </w:pPr>
            <w:r>
              <w:t>Anthropogenic threats</w:t>
            </w:r>
          </w:p>
        </w:tc>
      </w:tr>
      <w:tr w:rsidR="001417B9" w14:paraId="765AB46B" w14:textId="77777777" w:rsidTr="43EA5B1C">
        <w:tc>
          <w:tcPr>
            <w:tcW w:w="1980" w:type="dxa"/>
          </w:tcPr>
          <w:p w14:paraId="5DC0624C" w14:textId="03357D4F" w:rsidR="001417B9" w:rsidRPr="00D464EE" w:rsidRDefault="001417B9" w:rsidP="005C3C51">
            <w:pPr>
              <w:pStyle w:val="TableText"/>
            </w:pPr>
            <w:r w:rsidRPr="00D464EE">
              <w:t>Vehicle strike</w:t>
            </w:r>
          </w:p>
        </w:tc>
        <w:tc>
          <w:tcPr>
            <w:tcW w:w="3260" w:type="dxa"/>
          </w:tcPr>
          <w:p w14:paraId="1B2AA322" w14:textId="77777777" w:rsidR="001417B9" w:rsidRPr="00D464EE" w:rsidRDefault="001417B9" w:rsidP="005C3C51">
            <w:pPr>
              <w:pStyle w:val="TableBullet1"/>
              <w:keepNext/>
            </w:pPr>
            <w:r w:rsidRPr="00D464EE">
              <w:t>Timing: current &amp; future</w:t>
            </w:r>
          </w:p>
          <w:p w14:paraId="0E5457E3" w14:textId="09BA6E28" w:rsidR="001417B9" w:rsidRPr="00D464EE" w:rsidRDefault="001417B9" w:rsidP="005C3C51">
            <w:pPr>
              <w:pStyle w:val="TableBullet1"/>
              <w:keepNext/>
            </w:pPr>
            <w:r w:rsidRPr="00D464EE">
              <w:t>Confidence: inferred</w:t>
            </w:r>
          </w:p>
          <w:p w14:paraId="1361DF77" w14:textId="77777777" w:rsidR="001417B9" w:rsidRPr="00D464EE" w:rsidRDefault="001417B9" w:rsidP="005C3C51">
            <w:pPr>
              <w:pStyle w:val="TableBullet1"/>
              <w:keepNext/>
            </w:pPr>
            <w:r w:rsidRPr="00D464EE">
              <w:t>Likelihood: likely</w:t>
            </w:r>
          </w:p>
          <w:p w14:paraId="0D9B4E4E" w14:textId="77777777" w:rsidR="001417B9" w:rsidRPr="00D464EE" w:rsidRDefault="001417B9" w:rsidP="005C3C51">
            <w:pPr>
              <w:pStyle w:val="TableBullet1"/>
              <w:keepNext/>
            </w:pPr>
            <w:r w:rsidRPr="00D464EE">
              <w:t>Consequence: minor</w:t>
            </w:r>
          </w:p>
          <w:p w14:paraId="593F5775" w14:textId="77777777" w:rsidR="001417B9" w:rsidRPr="00D464EE" w:rsidRDefault="001417B9" w:rsidP="005C3C51">
            <w:pPr>
              <w:pStyle w:val="TableBullet1"/>
              <w:keepNext/>
            </w:pPr>
            <w:r w:rsidRPr="00D464EE">
              <w:t>Trend: unknown</w:t>
            </w:r>
          </w:p>
          <w:p w14:paraId="3887DD72" w14:textId="45866943" w:rsidR="001417B9" w:rsidRPr="00D464EE" w:rsidRDefault="001417B9" w:rsidP="005C3C51">
            <w:pPr>
              <w:pStyle w:val="TableBullet1"/>
              <w:keepNext/>
            </w:pPr>
            <w:r w:rsidRPr="00D464EE">
              <w:t>Extent: across part of its range</w:t>
            </w:r>
          </w:p>
        </w:tc>
        <w:tc>
          <w:tcPr>
            <w:tcW w:w="3820" w:type="dxa"/>
          </w:tcPr>
          <w:p w14:paraId="065C49B5" w14:textId="5EE528B6" w:rsidR="001417B9" w:rsidRDefault="00E24AF4" w:rsidP="00390DCD">
            <w:pPr>
              <w:pStyle w:val="TableText"/>
            </w:pPr>
            <w:r>
              <w:t>A</w:t>
            </w:r>
            <w:r w:rsidR="006E4110">
              <w:t>s the eastern Major Mitchell’s cockatoo often feed on the ground</w:t>
            </w:r>
            <w:r w:rsidR="00383E42">
              <w:t xml:space="preserve"> or by a water source</w:t>
            </w:r>
            <w:r w:rsidR="006E4110">
              <w:t xml:space="preserve"> (see </w:t>
            </w:r>
            <w:r w:rsidR="00383E42">
              <w:rPr>
                <w:i/>
                <w:iCs/>
              </w:rPr>
              <w:t>Relevant biology and ecology</w:t>
            </w:r>
            <w:r w:rsidR="00383E42">
              <w:t>), a</w:t>
            </w:r>
            <w:r>
              <w:t xml:space="preserve"> likely source of mortality to individuals </w:t>
            </w:r>
            <w:r w:rsidR="006E4110">
              <w:t>is collision with vehicles.</w:t>
            </w:r>
            <w:r w:rsidR="00885443">
              <w:t xml:space="preserve"> Although the extent of this threat to the subspecies is unknown.</w:t>
            </w:r>
          </w:p>
          <w:p w14:paraId="4F471E1A" w14:textId="0500E3E9" w:rsidR="00885443" w:rsidRPr="00383E42" w:rsidRDefault="00383E42" w:rsidP="00390DCD">
            <w:pPr>
              <w:pStyle w:val="TableText"/>
            </w:pPr>
            <w:r>
              <w:t xml:space="preserve">This is a significant </w:t>
            </w:r>
            <w:r w:rsidR="00D464EE">
              <w:t>threat to</w:t>
            </w:r>
            <w:r>
              <w:t xml:space="preserve"> the </w:t>
            </w:r>
            <w:r w:rsidR="00D464EE">
              <w:t xml:space="preserve">Western Australian black cockatoos, the </w:t>
            </w:r>
            <w:r>
              <w:t>Carnaby’s cockatoo (</w:t>
            </w:r>
            <w:proofErr w:type="spellStart"/>
            <w:r>
              <w:rPr>
                <w:i/>
                <w:iCs/>
              </w:rPr>
              <w:t>Zanda</w:t>
            </w:r>
            <w:proofErr w:type="spellEnd"/>
            <w:r>
              <w:rPr>
                <w:i/>
                <w:iCs/>
              </w:rPr>
              <w:t xml:space="preserve"> </w:t>
            </w:r>
            <w:proofErr w:type="spellStart"/>
            <w:r>
              <w:rPr>
                <w:i/>
                <w:iCs/>
              </w:rPr>
              <w:t>latirostris</w:t>
            </w:r>
            <w:proofErr w:type="spellEnd"/>
            <w:r>
              <w:t>)</w:t>
            </w:r>
            <w:r w:rsidR="00D464EE">
              <w:t xml:space="preserve">, </w:t>
            </w:r>
            <w:proofErr w:type="spellStart"/>
            <w:r w:rsidR="00D464EE">
              <w:t>Baudin’s</w:t>
            </w:r>
            <w:proofErr w:type="spellEnd"/>
            <w:r w:rsidR="00D464EE">
              <w:t xml:space="preserve"> cockatoo (</w:t>
            </w:r>
            <w:proofErr w:type="spellStart"/>
            <w:r w:rsidR="00D464EE">
              <w:rPr>
                <w:i/>
                <w:iCs/>
              </w:rPr>
              <w:t>Zanda</w:t>
            </w:r>
            <w:proofErr w:type="spellEnd"/>
            <w:r w:rsidR="00D464EE">
              <w:rPr>
                <w:i/>
                <w:iCs/>
              </w:rPr>
              <w:t xml:space="preserve"> </w:t>
            </w:r>
            <w:proofErr w:type="spellStart"/>
            <w:r w:rsidR="00D464EE">
              <w:rPr>
                <w:i/>
                <w:iCs/>
              </w:rPr>
              <w:t>baudinii</w:t>
            </w:r>
            <w:proofErr w:type="spellEnd"/>
            <w:r w:rsidR="00D464EE">
              <w:t xml:space="preserve">), and forest red-tailed black </w:t>
            </w:r>
            <w:r w:rsidR="00D464EE" w:rsidRPr="00D464EE">
              <w:t>cockatoo (</w:t>
            </w:r>
            <w:r w:rsidR="00D464EE" w:rsidRPr="00D464EE">
              <w:rPr>
                <w:i/>
                <w:iCs/>
              </w:rPr>
              <w:t xml:space="preserve">Calyptorhynchus </w:t>
            </w:r>
            <w:proofErr w:type="spellStart"/>
            <w:r w:rsidR="00D464EE" w:rsidRPr="00D464EE">
              <w:rPr>
                <w:i/>
                <w:iCs/>
              </w:rPr>
              <w:t>banksii</w:t>
            </w:r>
            <w:proofErr w:type="spellEnd"/>
            <w:r w:rsidR="00D464EE" w:rsidRPr="00D464EE">
              <w:rPr>
                <w:i/>
                <w:iCs/>
              </w:rPr>
              <w:t xml:space="preserve"> </w:t>
            </w:r>
            <w:proofErr w:type="spellStart"/>
            <w:r w:rsidR="00D464EE" w:rsidRPr="00D464EE">
              <w:rPr>
                <w:i/>
                <w:iCs/>
              </w:rPr>
              <w:t>naso</w:t>
            </w:r>
            <w:proofErr w:type="spellEnd"/>
            <w:r w:rsidR="00D464EE" w:rsidRPr="00D464EE">
              <w:t>),</w:t>
            </w:r>
            <w:r w:rsidRPr="00D464EE">
              <w:t xml:space="preserve"> as </w:t>
            </w:r>
            <w:r w:rsidR="00071A8E">
              <w:t>birds</w:t>
            </w:r>
            <w:r w:rsidRPr="00D464EE">
              <w:t xml:space="preserve"> congregate on </w:t>
            </w:r>
            <w:r w:rsidR="00D464EE" w:rsidRPr="00D464EE">
              <w:t xml:space="preserve">roadside remnant vegetations </w:t>
            </w:r>
            <w:r w:rsidRPr="00D464EE">
              <w:t xml:space="preserve">in </w:t>
            </w:r>
            <w:r w:rsidR="00D464EE" w:rsidRPr="00D464EE">
              <w:t>urban and agricultural</w:t>
            </w:r>
            <w:r w:rsidRPr="00D464EE">
              <w:t xml:space="preserve"> </w:t>
            </w:r>
            <w:r w:rsidR="00D464EE" w:rsidRPr="00D464EE">
              <w:t xml:space="preserve">areas to feed on spilt grains and drink water </w:t>
            </w:r>
            <w:r w:rsidRPr="00D464EE">
              <w:t>(EPA 2019)</w:t>
            </w:r>
            <w:r w:rsidR="00D464EE" w:rsidRPr="00D464EE">
              <w:t>.</w:t>
            </w:r>
          </w:p>
        </w:tc>
      </w:tr>
      <w:tr w:rsidR="001417B9" w14:paraId="7996E28C" w14:textId="77777777" w:rsidTr="43EA5B1C">
        <w:tc>
          <w:tcPr>
            <w:tcW w:w="1980" w:type="dxa"/>
          </w:tcPr>
          <w:p w14:paraId="69158AB4" w14:textId="20463A94" w:rsidR="001417B9" w:rsidRDefault="001417B9" w:rsidP="001417B9">
            <w:pPr>
              <w:pStyle w:val="TableText"/>
            </w:pPr>
            <w:r>
              <w:t>Bird and egg collection</w:t>
            </w:r>
          </w:p>
        </w:tc>
        <w:tc>
          <w:tcPr>
            <w:tcW w:w="3260" w:type="dxa"/>
          </w:tcPr>
          <w:p w14:paraId="4141FEC8" w14:textId="77777777" w:rsidR="001417B9" w:rsidRPr="001417B9" w:rsidRDefault="001417B9" w:rsidP="001417B9">
            <w:pPr>
              <w:pStyle w:val="TableBullet1"/>
            </w:pPr>
            <w:r w:rsidRPr="00660380">
              <w:t xml:space="preserve">Timing: </w:t>
            </w:r>
            <w:r w:rsidRPr="001417B9">
              <w:t>historical, current &amp; future</w:t>
            </w:r>
          </w:p>
          <w:p w14:paraId="1BD80F48" w14:textId="77777777" w:rsidR="001417B9" w:rsidRPr="001417B9" w:rsidRDefault="001417B9" w:rsidP="001417B9">
            <w:pPr>
              <w:pStyle w:val="TableBullet1"/>
            </w:pPr>
            <w:r w:rsidRPr="001417B9">
              <w:t>Confidence: suspected</w:t>
            </w:r>
          </w:p>
          <w:p w14:paraId="4ACF01B7" w14:textId="77777777" w:rsidR="001417B9" w:rsidRPr="001417B9" w:rsidRDefault="001417B9" w:rsidP="001417B9">
            <w:pPr>
              <w:pStyle w:val="TableBullet1"/>
            </w:pPr>
            <w:r w:rsidRPr="001417B9">
              <w:t>Likelihood: unknown</w:t>
            </w:r>
          </w:p>
          <w:p w14:paraId="0281AB0B" w14:textId="77777777" w:rsidR="001417B9" w:rsidRPr="001417B9" w:rsidRDefault="001417B9" w:rsidP="001417B9">
            <w:pPr>
              <w:pStyle w:val="TableBullet1"/>
            </w:pPr>
            <w:r w:rsidRPr="001417B9">
              <w:t>Consequence: moderate</w:t>
            </w:r>
          </w:p>
          <w:p w14:paraId="438B6524" w14:textId="77777777" w:rsidR="001417B9" w:rsidRPr="001417B9" w:rsidRDefault="001417B9" w:rsidP="001417B9">
            <w:pPr>
              <w:pStyle w:val="TableBullet1"/>
            </w:pPr>
            <w:r w:rsidRPr="001417B9">
              <w:t>Trend: unknown</w:t>
            </w:r>
          </w:p>
          <w:p w14:paraId="7A770A48" w14:textId="55B3ECFF" w:rsidR="001417B9" w:rsidRDefault="001417B9" w:rsidP="001417B9">
            <w:pPr>
              <w:pStyle w:val="TableBullet1"/>
            </w:pPr>
            <w:r w:rsidRPr="001417B9">
              <w:t>Extent: unknown</w:t>
            </w:r>
          </w:p>
        </w:tc>
        <w:tc>
          <w:tcPr>
            <w:tcW w:w="3820" w:type="dxa"/>
          </w:tcPr>
          <w:p w14:paraId="43D265C4" w14:textId="7297D816" w:rsidR="001417B9" w:rsidRDefault="001417B9" w:rsidP="001417B9">
            <w:pPr>
              <w:pStyle w:val="TableText"/>
            </w:pPr>
            <w:r w:rsidRPr="00DE2B7C">
              <w:t>Like many other endangered parrots in Australia, the illegal trapping, and collection of nests for avian trade is a potential threat (</w:t>
            </w:r>
            <w:r>
              <w:t>DSE 2004; OEH 2017). The extent of this threat is unknown, but if active it may have severe consequences on the subspecies reproductive success.</w:t>
            </w:r>
          </w:p>
        </w:tc>
      </w:tr>
      <w:tr w:rsidR="00143EEE" w14:paraId="02B8E48F" w14:textId="77777777" w:rsidTr="43EA5B1C">
        <w:tc>
          <w:tcPr>
            <w:tcW w:w="9060" w:type="dxa"/>
            <w:gridSpan w:val="3"/>
          </w:tcPr>
          <w:p w14:paraId="1767C337" w14:textId="50E6B2BF" w:rsidR="00143EEE" w:rsidRPr="0039193D" w:rsidRDefault="0039193D" w:rsidP="007049F0">
            <w:pPr>
              <w:pStyle w:val="TableText"/>
            </w:pPr>
            <w:r w:rsidRPr="0039193D">
              <w:t>Diseases</w:t>
            </w:r>
          </w:p>
        </w:tc>
      </w:tr>
      <w:tr w:rsidR="00143EEE" w14:paraId="253C9574" w14:textId="77777777" w:rsidTr="43EA5B1C">
        <w:tc>
          <w:tcPr>
            <w:tcW w:w="1980" w:type="dxa"/>
          </w:tcPr>
          <w:p w14:paraId="2C04A0E1" w14:textId="2738ACDA" w:rsidR="00143EEE" w:rsidRDefault="007D40B8" w:rsidP="007049F0">
            <w:pPr>
              <w:pStyle w:val="TableText"/>
            </w:pPr>
            <w:r>
              <w:t>Psittacine Beak and Feather Disease (PBFD)</w:t>
            </w:r>
          </w:p>
        </w:tc>
        <w:tc>
          <w:tcPr>
            <w:tcW w:w="3260" w:type="dxa"/>
          </w:tcPr>
          <w:p w14:paraId="44A94D57" w14:textId="71AC74E2" w:rsidR="00295AA9" w:rsidRDefault="00295AA9" w:rsidP="00295AA9">
            <w:pPr>
              <w:pStyle w:val="TableBullet1"/>
              <w:keepNext/>
            </w:pPr>
            <w:r>
              <w:t xml:space="preserve">Timing: </w:t>
            </w:r>
            <w:r w:rsidR="003E15BE">
              <w:t>current &amp; future</w:t>
            </w:r>
          </w:p>
          <w:p w14:paraId="25C14A4B" w14:textId="01EB070C" w:rsidR="00295AA9" w:rsidRPr="004A343E" w:rsidRDefault="57097A74" w:rsidP="00975F04">
            <w:pPr>
              <w:pStyle w:val="TableBullet1"/>
              <w:keepNext/>
              <w:rPr>
                <w:rFonts w:eastAsia="Cambria" w:cs="Cambria"/>
                <w:szCs w:val="18"/>
              </w:rPr>
            </w:pPr>
            <w:r>
              <w:t>Confidence: suspected</w:t>
            </w:r>
          </w:p>
          <w:p w14:paraId="034BECF3" w14:textId="22223311" w:rsidR="00295AA9" w:rsidRPr="004A343E" w:rsidRDefault="00295AA9" w:rsidP="00295AA9">
            <w:pPr>
              <w:pStyle w:val="TableBullet1"/>
            </w:pPr>
            <w:r w:rsidRPr="004A343E">
              <w:t>Likelihood: possible</w:t>
            </w:r>
          </w:p>
          <w:p w14:paraId="12CDE79E" w14:textId="3B3FA62C" w:rsidR="00295AA9" w:rsidRPr="004A343E" w:rsidRDefault="00295AA9" w:rsidP="00295AA9">
            <w:pPr>
              <w:pStyle w:val="TableBullet1"/>
              <w:keepNext/>
            </w:pPr>
            <w:r w:rsidRPr="004A343E">
              <w:t xml:space="preserve">Consequence: </w:t>
            </w:r>
            <w:r w:rsidR="004A343E" w:rsidRPr="004A343E">
              <w:t>minor</w:t>
            </w:r>
          </w:p>
          <w:p w14:paraId="003B5ADE" w14:textId="13D6A800" w:rsidR="00295AA9" w:rsidRPr="004A343E" w:rsidRDefault="00295AA9" w:rsidP="00295AA9">
            <w:pPr>
              <w:pStyle w:val="TableBullet1"/>
              <w:keepNext/>
            </w:pPr>
            <w:r w:rsidRPr="004A343E">
              <w:t>Trend: unknown</w:t>
            </w:r>
          </w:p>
          <w:p w14:paraId="489C927B" w14:textId="37056750" w:rsidR="00143EEE" w:rsidRDefault="00295AA9" w:rsidP="00295AA9">
            <w:pPr>
              <w:pStyle w:val="TableBullet1"/>
              <w:keepNext/>
            </w:pPr>
            <w:r w:rsidRPr="004A343E">
              <w:t>Extent: across the entire range</w:t>
            </w:r>
          </w:p>
        </w:tc>
        <w:tc>
          <w:tcPr>
            <w:tcW w:w="3820" w:type="dxa"/>
          </w:tcPr>
          <w:p w14:paraId="2B1EF974" w14:textId="5C1E1CEB" w:rsidR="00004601" w:rsidRPr="00677250" w:rsidRDefault="00004601" w:rsidP="00004601">
            <w:pPr>
              <w:pStyle w:val="TableText"/>
              <w:keepNext/>
            </w:pPr>
            <w:r>
              <w:t xml:space="preserve">PBFD is a potentially fatal disease caused by psittacine circovirus, typically </w:t>
            </w:r>
            <w:r w:rsidRPr="00677250">
              <w:t xml:space="preserve">transferring between adults, </w:t>
            </w:r>
            <w:proofErr w:type="gramStart"/>
            <w:r w:rsidRPr="00677250">
              <w:t>nestlings</w:t>
            </w:r>
            <w:proofErr w:type="gramEnd"/>
            <w:r w:rsidRPr="00677250">
              <w:t xml:space="preserve"> and contaminated nest hollows (DEE 2016).</w:t>
            </w:r>
          </w:p>
          <w:p w14:paraId="2D5B467C" w14:textId="4F3D5C61" w:rsidR="00143EEE" w:rsidRDefault="00004601" w:rsidP="008077A9">
            <w:pPr>
              <w:pStyle w:val="TableText"/>
              <w:keepNext/>
            </w:pPr>
            <w:r w:rsidRPr="00677250">
              <w:t>Positive cases have been recorded in</w:t>
            </w:r>
            <w:r w:rsidR="00632BD9">
              <w:t xml:space="preserve"> the</w:t>
            </w:r>
            <w:r w:rsidRPr="00677250">
              <w:t xml:space="preserve"> </w:t>
            </w:r>
            <w:r w:rsidR="00632BD9">
              <w:t>e</w:t>
            </w:r>
            <w:r w:rsidRPr="00677250">
              <w:t xml:space="preserve">astern Major Mitchell’s </w:t>
            </w:r>
            <w:r w:rsidR="00632BD9">
              <w:t>c</w:t>
            </w:r>
            <w:r w:rsidRPr="00677250">
              <w:t>ockatoo (</w:t>
            </w:r>
            <w:r w:rsidR="00615DA6" w:rsidRPr="00677250">
              <w:t>Peachey 2012).</w:t>
            </w:r>
            <w:r w:rsidR="006876E5" w:rsidRPr="00677250">
              <w:t xml:space="preserve"> However, there is </w:t>
            </w:r>
            <w:r w:rsidR="0084608A" w:rsidRPr="00677250">
              <w:t xml:space="preserve">insufficient </w:t>
            </w:r>
            <w:r w:rsidR="009C57E8" w:rsidRPr="00677250">
              <w:t xml:space="preserve">data </w:t>
            </w:r>
            <w:r w:rsidR="008077A9" w:rsidRPr="00677250">
              <w:t xml:space="preserve">to determine the status of </w:t>
            </w:r>
            <w:r w:rsidR="008077A9">
              <w:t>this threat for the subspecies.</w:t>
            </w:r>
          </w:p>
          <w:p w14:paraId="39AC621C" w14:textId="1A8018AB" w:rsidR="008077A9" w:rsidRPr="008077A9" w:rsidRDefault="00666DF2" w:rsidP="008077A9">
            <w:pPr>
              <w:pStyle w:val="TableText"/>
              <w:keepNext/>
            </w:pPr>
            <w:r>
              <w:t xml:space="preserve">With decreasing nesting hollows and intensified competition (see </w:t>
            </w:r>
            <w:r w:rsidRPr="00666DF2">
              <w:rPr>
                <w:i/>
                <w:iCs/>
              </w:rPr>
              <w:t>Competition for nest hollows and lack of hollow-bearing trees</w:t>
            </w:r>
            <w:r>
              <w:t>), it is possible that the likelihood of disease transmission could be greater in the future.</w:t>
            </w:r>
          </w:p>
        </w:tc>
      </w:tr>
    </w:tbl>
    <w:p w14:paraId="3A9225E1" w14:textId="7644F8AE" w:rsidR="00C72F10" w:rsidRPr="009A615F" w:rsidRDefault="009F4586" w:rsidP="00FB52AC">
      <w:pPr>
        <w:pStyle w:val="FigureTableNoteSource"/>
      </w:pPr>
      <w:proofErr w:type="spellStart"/>
      <w:r w:rsidRPr="009F4586">
        <w:rPr>
          <w:vertAlign w:val="superscript"/>
        </w:rPr>
        <w:t>a</w:t>
      </w:r>
      <w:r w:rsidR="0007233A">
        <w:t>Timing</w:t>
      </w:r>
      <w:proofErr w:type="spellEnd"/>
      <w:r w:rsidR="006E5CC3" w:rsidRPr="009A615F">
        <w:t>—identif</w:t>
      </w:r>
      <w:r w:rsidR="00C4221F">
        <w:t>ies</w:t>
      </w:r>
      <w:r w:rsidR="006E5CC3" w:rsidRPr="009A615F">
        <w:t xml:space="preserve"> the temporal nature of the threat</w:t>
      </w:r>
    </w:p>
    <w:p w14:paraId="13C40C79" w14:textId="4F051F6D" w:rsidR="00C72F10" w:rsidRPr="009A615F" w:rsidRDefault="006E5CC3" w:rsidP="00FB52AC">
      <w:pPr>
        <w:pStyle w:val="FigureTableNoteSource"/>
      </w:pPr>
      <w:r w:rsidRPr="009A615F">
        <w:t>Confidence—identif</w:t>
      </w:r>
      <w:r w:rsidR="00C4221F">
        <w:t>ies</w:t>
      </w:r>
      <w:r w:rsidRPr="009A615F">
        <w:t xml:space="preserve"> the </w:t>
      </w:r>
      <w:r w:rsidR="0061241B">
        <w:t>nature of the evidence about</w:t>
      </w:r>
      <w:r w:rsidRPr="009A615F">
        <w:t xml:space="preserve"> th</w:t>
      </w:r>
      <w:r w:rsidR="00F92E66" w:rsidRPr="009A615F">
        <w:t>e impact of the</w:t>
      </w:r>
      <w:r w:rsidRPr="009A615F">
        <w:t xml:space="preserve"> threat</w:t>
      </w:r>
      <w:r w:rsidR="00F92E66" w:rsidRPr="009A615F">
        <w:t xml:space="preserve"> on the species</w:t>
      </w:r>
    </w:p>
    <w:p w14:paraId="2DB7671A" w14:textId="61D2FD1C" w:rsidR="0061241B" w:rsidRDefault="0061241B" w:rsidP="00FB52AC">
      <w:pPr>
        <w:pStyle w:val="FigureTableNoteSource"/>
      </w:pPr>
      <w:r>
        <w:lastRenderedPageBreak/>
        <w:t>Likelihood</w:t>
      </w:r>
      <w:r w:rsidRPr="009A615F">
        <w:t>—identif</w:t>
      </w:r>
      <w:r>
        <w:t>ies</w:t>
      </w:r>
      <w:r w:rsidRPr="009A615F">
        <w:t xml:space="preserve"> the</w:t>
      </w:r>
      <w:r>
        <w:t xml:space="preserve"> likelihood of the threat impacting on the whole population or extent of the species</w:t>
      </w:r>
    </w:p>
    <w:p w14:paraId="631F285D" w14:textId="129367F3" w:rsidR="00C72F10" w:rsidRPr="009A615F" w:rsidRDefault="006E5CC3" w:rsidP="00FB52AC">
      <w:pPr>
        <w:pStyle w:val="FigureTableNoteSource"/>
      </w:pPr>
      <w:r w:rsidRPr="009A615F">
        <w:t>Consequence—identif</w:t>
      </w:r>
      <w:r w:rsidR="00C4221F">
        <w:t>ies</w:t>
      </w:r>
      <w:r w:rsidRPr="009A615F">
        <w:t xml:space="preserve"> the severity of th</w:t>
      </w:r>
      <w:r w:rsidR="00F92E66" w:rsidRPr="009A615F">
        <w:t>e</w:t>
      </w:r>
      <w:r w:rsidRPr="009A615F">
        <w:t xml:space="preserve"> threat</w:t>
      </w:r>
    </w:p>
    <w:p w14:paraId="3D5C70A5" w14:textId="3C079677" w:rsidR="00C72F10" w:rsidRPr="009A615F" w:rsidRDefault="006E5CC3" w:rsidP="00FB52AC">
      <w:pPr>
        <w:pStyle w:val="FigureTableNoteSource"/>
      </w:pPr>
      <w:r w:rsidRPr="009A615F">
        <w:t>Trend—identif</w:t>
      </w:r>
      <w:r w:rsidR="00C4221F">
        <w:t>ies</w:t>
      </w:r>
      <w:r w:rsidRPr="009A615F">
        <w:t xml:space="preserve"> the extent to which it will continue to operate on the species</w:t>
      </w:r>
    </w:p>
    <w:p w14:paraId="2F576EB1" w14:textId="46EFFC3D" w:rsidR="006E3429" w:rsidRPr="006E3429" w:rsidRDefault="006E5CC3" w:rsidP="006E3429">
      <w:pPr>
        <w:pStyle w:val="FigureTableNoteSource"/>
      </w:pPr>
      <w:r w:rsidRPr="009A615F">
        <w:t>Extent—identif</w:t>
      </w:r>
      <w:r w:rsidR="00C4221F">
        <w:t>ies</w:t>
      </w:r>
      <w:r w:rsidRPr="009A615F">
        <w:t xml:space="preserve"> its spatial conte</w:t>
      </w:r>
      <w:r w:rsidR="00C4221F">
        <w:t>x</w:t>
      </w:r>
      <w:r w:rsidRPr="009A615F">
        <w:t>t</w:t>
      </w:r>
      <w:r w:rsidR="00F92E66" w:rsidRPr="009A615F">
        <w:t xml:space="preserve"> in terms of the range of the species</w:t>
      </w:r>
    </w:p>
    <w:p w14:paraId="566B71B1" w14:textId="77777777" w:rsidR="0091345E" w:rsidRDefault="0091345E" w:rsidP="006E3429">
      <w:pPr>
        <w:pStyle w:val="FigureTableNoteSource"/>
        <w:rPr>
          <w:b/>
          <w:bCs/>
        </w:rPr>
      </w:pPr>
    </w:p>
    <w:p w14:paraId="2FA55366" w14:textId="2BC8EE51" w:rsidR="006E3429" w:rsidRDefault="006E3429" w:rsidP="006E3429">
      <w:pPr>
        <w:pStyle w:val="FigureTableNoteSource"/>
        <w:rPr>
          <w:rFonts w:cs="Calibri"/>
          <w:b/>
          <w:bCs/>
          <w:szCs w:val="18"/>
        </w:rPr>
      </w:pPr>
      <w:r>
        <w:rPr>
          <w:b/>
          <w:bCs/>
        </w:rPr>
        <w:t>Categories for likelihood are defined as follows:</w:t>
      </w:r>
    </w:p>
    <w:p w14:paraId="747D3A75" w14:textId="77777777" w:rsidR="006E3429" w:rsidRDefault="006E3429" w:rsidP="006E3429">
      <w:pPr>
        <w:pStyle w:val="FigureTableNoteSource"/>
      </w:pPr>
      <w:r>
        <w:t>Almost certain – expected to occur every year</w:t>
      </w:r>
    </w:p>
    <w:p w14:paraId="03388282" w14:textId="77777777" w:rsidR="006E3429" w:rsidRDefault="006E3429" w:rsidP="006E3429">
      <w:pPr>
        <w:pStyle w:val="FigureTableNoteSource"/>
      </w:pPr>
      <w:r>
        <w:t>Likely – expected to occur at least once every five years</w:t>
      </w:r>
    </w:p>
    <w:p w14:paraId="29F36D33" w14:textId="77777777" w:rsidR="006E3429" w:rsidRDefault="006E3429" w:rsidP="006E3429">
      <w:pPr>
        <w:pStyle w:val="FigureTableNoteSource"/>
      </w:pPr>
      <w:r>
        <w:t>Possible – might occur at some time</w:t>
      </w:r>
    </w:p>
    <w:p w14:paraId="7AB10B4D" w14:textId="77777777" w:rsidR="006E3429" w:rsidRDefault="006E3429" w:rsidP="006E3429">
      <w:pPr>
        <w:pStyle w:val="FigureTableNoteSource"/>
      </w:pPr>
      <w:proofErr w:type="gramStart"/>
      <w:r>
        <w:t>Unlikely –known</w:t>
      </w:r>
      <w:proofErr w:type="gramEnd"/>
      <w:r>
        <w:t xml:space="preserve"> to have occurred only a few times</w:t>
      </w:r>
    </w:p>
    <w:p w14:paraId="750B8EA4" w14:textId="77777777" w:rsidR="006E3429" w:rsidRDefault="006E3429" w:rsidP="006E3429">
      <w:pPr>
        <w:pStyle w:val="FigureTableNoteSource"/>
      </w:pPr>
      <w:r>
        <w:t>Unknown – currently unknown how often the threat will occur</w:t>
      </w:r>
    </w:p>
    <w:p w14:paraId="576C2B94" w14:textId="77777777" w:rsidR="006E3429" w:rsidRDefault="006E3429" w:rsidP="006E3429">
      <w:pPr>
        <w:pStyle w:val="FigureTableNoteSource"/>
        <w:rPr>
          <w:b/>
          <w:bCs/>
        </w:rPr>
      </w:pPr>
      <w:r>
        <w:rPr>
          <w:b/>
          <w:bCs/>
        </w:rPr>
        <w:t xml:space="preserve">Categories for consequences are defined as follows: </w:t>
      </w:r>
    </w:p>
    <w:p w14:paraId="6BD0AC4C" w14:textId="77777777" w:rsidR="006E3429" w:rsidRDefault="006E3429" w:rsidP="006E3429">
      <w:pPr>
        <w:pStyle w:val="FigureTableNoteSource"/>
      </w:pPr>
      <w:r>
        <w:t>Not significant – no long-term effect on individuals or populations</w:t>
      </w:r>
    </w:p>
    <w:p w14:paraId="3F6ED027" w14:textId="77777777" w:rsidR="006E3429" w:rsidRDefault="006E3429" w:rsidP="006E3429">
      <w:pPr>
        <w:pStyle w:val="FigureTableNoteSource"/>
      </w:pPr>
      <w:r>
        <w:t>Minor – individuals are adversely affected but no effect at population level</w:t>
      </w:r>
    </w:p>
    <w:p w14:paraId="19343B6A" w14:textId="77777777" w:rsidR="006E3429" w:rsidRDefault="006E3429" w:rsidP="006E3429">
      <w:pPr>
        <w:pStyle w:val="FigureTableNoteSource"/>
      </w:pPr>
      <w:r>
        <w:t>Moderate – population recovery stable or declining</w:t>
      </w:r>
    </w:p>
    <w:p w14:paraId="03D823C8" w14:textId="77777777" w:rsidR="006E3429" w:rsidRDefault="006E3429" w:rsidP="006E3429">
      <w:pPr>
        <w:pStyle w:val="FigureTableNoteSource"/>
        <w:spacing w:before="0"/>
      </w:pPr>
      <w:r>
        <w:t>Major – population decline is ongoing</w:t>
      </w:r>
    </w:p>
    <w:p w14:paraId="37A77E4E" w14:textId="3FC45F25" w:rsidR="006E3429" w:rsidRPr="006E3429" w:rsidRDefault="006E3429" w:rsidP="006E3429">
      <w:pPr>
        <w:pStyle w:val="FigureTableNoteSource"/>
        <w:spacing w:before="0"/>
      </w:pPr>
      <w:r>
        <w:t>Catastrophic – population trajectory close to extinction</w:t>
      </w:r>
    </w:p>
    <w:p w14:paraId="450987AC" w14:textId="0B69D1E2" w:rsidR="00E707AE" w:rsidRDefault="00BD7983">
      <w:bookmarkStart w:id="7" w:name="_Toc430782162"/>
      <w:bookmarkStart w:id="8" w:name="_Toc511376531"/>
      <w:r>
        <w:t xml:space="preserve">Each threat has been described </w:t>
      </w:r>
      <w:r w:rsidR="000E630E">
        <w:t xml:space="preserve">in Table 1 </w:t>
      </w:r>
      <w:r>
        <w:t xml:space="preserve">in terms of the extent that it is operating on the species. </w:t>
      </w:r>
      <w:r w:rsidR="00F92E66">
        <w:t>The</w:t>
      </w:r>
      <w:r>
        <w:t xml:space="preserve"> risk matrix (</w:t>
      </w:r>
      <w:r w:rsidR="00C64C7F">
        <w:fldChar w:fldCharType="begin"/>
      </w:r>
      <w:r w:rsidR="00C64C7F">
        <w:instrText xml:space="preserve"> REF _Ref43127879 \h </w:instrText>
      </w:r>
      <w:r w:rsidR="00C64C7F">
        <w:fldChar w:fldCharType="separate"/>
      </w:r>
      <w:r w:rsidR="004D0D1F">
        <w:t xml:space="preserve">Table </w:t>
      </w:r>
      <w:r w:rsidR="004D0D1F">
        <w:rPr>
          <w:noProof/>
        </w:rPr>
        <w:t>2</w:t>
      </w:r>
      <w:r w:rsidR="00C64C7F">
        <w:fldChar w:fldCharType="end"/>
      </w:r>
      <w:r>
        <w:t xml:space="preserve">) provides a visual </w:t>
      </w:r>
      <w:r w:rsidR="00F92E66">
        <w:t>depiction of</w:t>
      </w:r>
      <w:r>
        <w:t xml:space="preserve"> the level of risk being imposed by a threat and supports the prioritisation of subsequent management and conservation actions. In </w:t>
      </w:r>
      <w:r w:rsidR="00F92E66">
        <w:t xml:space="preserve">preparing </w:t>
      </w:r>
      <w:r>
        <w:t>a risk matrix</w:t>
      </w:r>
      <w:r w:rsidR="00F92E66">
        <w:t>,</w:t>
      </w:r>
      <w:r>
        <w:t xml:space="preserve"> several factors have been taken into consideration, they </w:t>
      </w:r>
      <w:proofErr w:type="gramStart"/>
      <w:r>
        <w:t>are:</w:t>
      </w:r>
      <w:proofErr w:type="gramEnd"/>
      <w:r>
        <w:t xml:space="preserve"> the life stage they affect; the duration of the impact; </w:t>
      </w:r>
      <w:r w:rsidR="00D246E7">
        <w:t xml:space="preserve">the spatial extent, </w:t>
      </w:r>
      <w:r>
        <w:t>and the efficacy of curre</w:t>
      </w:r>
      <w:r w:rsidRPr="00B038DF">
        <w:t>nt management regimes, assuming that management will continu</w:t>
      </w:r>
      <w:r w:rsidR="00774EAA" w:rsidRPr="00B038DF">
        <w:t>e to be applied appropriately.</w:t>
      </w:r>
      <w:r w:rsidRPr="00B038DF">
        <w:t xml:space="preserve"> The risk matrix</w:t>
      </w:r>
      <w:r w:rsidR="001B077B" w:rsidRPr="00B038DF">
        <w:t xml:space="preserve"> </w:t>
      </w:r>
      <w:r w:rsidRPr="00B038DF">
        <w:t>and ranking of threats has been developed using available literature.</w:t>
      </w:r>
    </w:p>
    <w:p w14:paraId="19A69D17" w14:textId="77777777" w:rsidR="00774EAA" w:rsidRDefault="00774EAA" w:rsidP="005C125F">
      <w:pPr>
        <w:pStyle w:val="Caption"/>
        <w:keepLines/>
      </w:pPr>
      <w:bookmarkStart w:id="9" w:name="_Ref43127879"/>
      <w:r>
        <w:lastRenderedPageBreak/>
        <w:t xml:space="preserve">Table </w:t>
      </w:r>
      <w:r w:rsidR="00ED07EC">
        <w:rPr>
          <w:noProof/>
        </w:rPr>
        <w:fldChar w:fldCharType="begin"/>
      </w:r>
      <w:r w:rsidR="00ED07EC">
        <w:rPr>
          <w:noProof/>
        </w:rPr>
        <w:instrText xml:space="preserve"> SEQ Table \* ARABIC </w:instrText>
      </w:r>
      <w:r w:rsidR="00ED07EC">
        <w:rPr>
          <w:noProof/>
        </w:rPr>
        <w:fldChar w:fldCharType="separate"/>
      </w:r>
      <w:r w:rsidR="004D0D1F">
        <w:rPr>
          <w:noProof/>
        </w:rPr>
        <w:t>2</w:t>
      </w:r>
      <w:r w:rsidR="00ED07EC">
        <w:rPr>
          <w:noProof/>
        </w:rPr>
        <w:fldChar w:fldCharType="end"/>
      </w:r>
      <w:bookmarkEnd w:id="9"/>
      <w:r>
        <w:t xml:space="preserve"> </w:t>
      </w:r>
      <w:r w:rsidR="00322655">
        <w:t>R</w:t>
      </w:r>
      <w:r>
        <w:t xml:space="preserve">isk </w:t>
      </w:r>
      <w:r w:rsidR="00322655">
        <w:t>M</w:t>
      </w:r>
      <w:r>
        <w:t>atrix</w:t>
      </w:r>
    </w:p>
    <w:tbl>
      <w:tblPr>
        <w:tblStyle w:val="TableGrid"/>
        <w:tblW w:w="8824" w:type="dxa"/>
        <w:tblCellMar>
          <w:top w:w="85" w:type="dxa"/>
          <w:bottom w:w="85" w:type="dxa"/>
        </w:tblCellMar>
        <w:tblLook w:val="04A0" w:firstRow="1" w:lastRow="0" w:firstColumn="1" w:lastColumn="0" w:noHBand="0" w:noVBand="1"/>
      </w:tblPr>
      <w:tblGrid>
        <w:gridCol w:w="1451"/>
        <w:gridCol w:w="1432"/>
        <w:gridCol w:w="1499"/>
        <w:gridCol w:w="1352"/>
        <w:gridCol w:w="1579"/>
        <w:gridCol w:w="1511"/>
      </w:tblGrid>
      <w:tr w:rsidR="00A0427D" w14:paraId="10D4BA5B" w14:textId="77777777" w:rsidTr="43EA5B1C">
        <w:trPr>
          <w:tblHeader/>
        </w:trPr>
        <w:tc>
          <w:tcPr>
            <w:tcW w:w="1479" w:type="dxa"/>
            <w:vMerge w:val="restart"/>
          </w:tcPr>
          <w:p w14:paraId="1FD7C0D1" w14:textId="6D4746ED" w:rsidR="00A0427D" w:rsidRDefault="00A0427D" w:rsidP="001C2426">
            <w:pPr>
              <w:pStyle w:val="TableHeading"/>
              <w:spacing w:before="0" w:after="0"/>
            </w:pPr>
            <w:r>
              <w:t>Likelihood</w:t>
            </w:r>
          </w:p>
        </w:tc>
        <w:tc>
          <w:tcPr>
            <w:tcW w:w="7345" w:type="dxa"/>
            <w:gridSpan w:val="5"/>
          </w:tcPr>
          <w:p w14:paraId="330CE5B2" w14:textId="77777777" w:rsidR="00A0427D" w:rsidRDefault="00A0427D" w:rsidP="001C2426">
            <w:pPr>
              <w:pStyle w:val="TableHeading"/>
              <w:spacing w:before="0" w:after="0"/>
            </w:pPr>
            <w:r>
              <w:t>Consequences</w:t>
            </w:r>
          </w:p>
        </w:tc>
      </w:tr>
      <w:tr w:rsidR="00A0427D" w14:paraId="6DD7B510" w14:textId="77777777" w:rsidTr="43EA5B1C">
        <w:trPr>
          <w:tblHeader/>
        </w:trPr>
        <w:tc>
          <w:tcPr>
            <w:tcW w:w="1479" w:type="dxa"/>
            <w:vMerge/>
          </w:tcPr>
          <w:p w14:paraId="4BFDDC9F" w14:textId="77777777" w:rsidR="00A0427D" w:rsidRDefault="00A0427D" w:rsidP="001C2426">
            <w:pPr>
              <w:pStyle w:val="TableHeading"/>
              <w:spacing w:before="0" w:after="0"/>
            </w:pPr>
          </w:p>
        </w:tc>
        <w:tc>
          <w:tcPr>
            <w:tcW w:w="1460" w:type="dxa"/>
          </w:tcPr>
          <w:p w14:paraId="65059601" w14:textId="77777777" w:rsidR="00A0427D" w:rsidRDefault="00A0427D" w:rsidP="001C2426">
            <w:pPr>
              <w:pStyle w:val="TableHeading"/>
              <w:spacing w:before="0" w:after="0"/>
            </w:pPr>
            <w:r>
              <w:t>Not significant</w:t>
            </w:r>
          </w:p>
        </w:tc>
        <w:tc>
          <w:tcPr>
            <w:tcW w:w="1518" w:type="dxa"/>
          </w:tcPr>
          <w:p w14:paraId="225880D4" w14:textId="77777777" w:rsidR="00A0427D" w:rsidRDefault="00A0427D" w:rsidP="001C2426">
            <w:pPr>
              <w:pStyle w:val="TableHeading"/>
              <w:spacing w:before="0" w:after="0"/>
            </w:pPr>
            <w:r>
              <w:t>Minor</w:t>
            </w:r>
          </w:p>
        </w:tc>
        <w:tc>
          <w:tcPr>
            <w:tcW w:w="1360" w:type="dxa"/>
          </w:tcPr>
          <w:p w14:paraId="3852FE09" w14:textId="77777777" w:rsidR="00A0427D" w:rsidRDefault="00A0427D" w:rsidP="001C2426">
            <w:pPr>
              <w:pStyle w:val="TableHeading"/>
              <w:spacing w:before="0" w:after="0"/>
            </w:pPr>
            <w:r>
              <w:t>Moderate</w:t>
            </w:r>
          </w:p>
        </w:tc>
        <w:tc>
          <w:tcPr>
            <w:tcW w:w="1476" w:type="dxa"/>
          </w:tcPr>
          <w:p w14:paraId="62E881E0" w14:textId="77777777" w:rsidR="00A0427D" w:rsidRDefault="00A0427D" w:rsidP="001C2426">
            <w:pPr>
              <w:pStyle w:val="TableHeading"/>
              <w:spacing w:before="0" w:after="0"/>
            </w:pPr>
            <w:r>
              <w:t>Major</w:t>
            </w:r>
          </w:p>
        </w:tc>
        <w:tc>
          <w:tcPr>
            <w:tcW w:w="1531" w:type="dxa"/>
          </w:tcPr>
          <w:p w14:paraId="0CCB49B7" w14:textId="77777777" w:rsidR="00A0427D" w:rsidRDefault="00A0427D" w:rsidP="001C2426">
            <w:pPr>
              <w:pStyle w:val="TableHeading"/>
              <w:spacing w:before="0" w:after="0"/>
            </w:pPr>
            <w:r>
              <w:t>Catastrophic</w:t>
            </w:r>
          </w:p>
        </w:tc>
      </w:tr>
      <w:tr w:rsidR="00744092" w14:paraId="7298CDE0" w14:textId="77777777" w:rsidTr="43EA5B1C">
        <w:trPr>
          <w:tblHeader/>
        </w:trPr>
        <w:tc>
          <w:tcPr>
            <w:tcW w:w="1479" w:type="dxa"/>
          </w:tcPr>
          <w:p w14:paraId="074A20E0" w14:textId="77777777" w:rsidR="00744092" w:rsidRPr="00774EAA" w:rsidRDefault="00744092" w:rsidP="00744092">
            <w:pPr>
              <w:pStyle w:val="TableText"/>
              <w:keepNext/>
              <w:spacing w:before="0" w:after="0"/>
              <w:rPr>
                <w:rStyle w:val="Strong"/>
                <w:sz w:val="22"/>
              </w:rPr>
            </w:pPr>
            <w:r w:rsidRPr="00774EAA">
              <w:rPr>
                <w:rStyle w:val="Strong"/>
              </w:rPr>
              <w:t>Almost certain</w:t>
            </w:r>
          </w:p>
        </w:tc>
        <w:tc>
          <w:tcPr>
            <w:tcW w:w="1460" w:type="dxa"/>
            <w:shd w:val="clear" w:color="auto" w:fill="C2D69B" w:themeFill="accent3" w:themeFillTint="99"/>
          </w:tcPr>
          <w:p w14:paraId="41DBE0CE" w14:textId="11399FDB" w:rsidR="00744092" w:rsidRDefault="00744092" w:rsidP="00744092">
            <w:pPr>
              <w:pStyle w:val="TableText"/>
              <w:keepNext/>
              <w:spacing w:before="0" w:after="0"/>
            </w:pPr>
          </w:p>
        </w:tc>
        <w:tc>
          <w:tcPr>
            <w:tcW w:w="1518" w:type="dxa"/>
            <w:shd w:val="clear" w:color="auto" w:fill="8DB3E2" w:themeFill="text2" w:themeFillTint="66"/>
          </w:tcPr>
          <w:p w14:paraId="2B4C17DA" w14:textId="3AF2DA8C" w:rsidR="00744092" w:rsidRDefault="00744092" w:rsidP="001417B9">
            <w:pPr>
              <w:pStyle w:val="TableBullet1"/>
              <w:numPr>
                <w:ilvl w:val="0"/>
                <w:numId w:val="0"/>
              </w:numPr>
              <w:ind w:left="284" w:hanging="284"/>
            </w:pPr>
          </w:p>
        </w:tc>
        <w:tc>
          <w:tcPr>
            <w:tcW w:w="1360" w:type="dxa"/>
            <w:shd w:val="clear" w:color="auto" w:fill="D99594" w:themeFill="accent2" w:themeFillTint="99"/>
          </w:tcPr>
          <w:p w14:paraId="213BD7F2" w14:textId="2C252A09" w:rsidR="00744092" w:rsidRDefault="00744092" w:rsidP="00B907E3">
            <w:pPr>
              <w:pStyle w:val="TableBullet1"/>
              <w:numPr>
                <w:ilvl w:val="0"/>
                <w:numId w:val="0"/>
              </w:numPr>
            </w:pPr>
          </w:p>
        </w:tc>
        <w:tc>
          <w:tcPr>
            <w:tcW w:w="1476" w:type="dxa"/>
            <w:shd w:val="clear" w:color="auto" w:fill="D99594" w:themeFill="accent2" w:themeFillTint="99"/>
          </w:tcPr>
          <w:p w14:paraId="2A05833D" w14:textId="77777777" w:rsidR="00744092" w:rsidRDefault="00744092" w:rsidP="00975F04">
            <w:pPr>
              <w:pStyle w:val="TableBullet1"/>
            </w:pPr>
            <w:bookmarkStart w:id="10" w:name="_Hlk93935247"/>
            <w:r>
              <w:t>Clearing of native vegetation and loss of hollow-bearing trees</w:t>
            </w:r>
          </w:p>
          <w:bookmarkEnd w:id="10"/>
          <w:p w14:paraId="48CE4BAF" w14:textId="7D73DEB6" w:rsidR="00B907E3" w:rsidRDefault="00221E16" w:rsidP="00975F04">
            <w:pPr>
              <w:pStyle w:val="TableBullet1"/>
            </w:pPr>
            <w:r>
              <w:t>Inappropriate fire regimes</w:t>
            </w:r>
          </w:p>
          <w:p w14:paraId="480A096B" w14:textId="77777777" w:rsidR="00B907E3" w:rsidRDefault="00744092" w:rsidP="00975F04">
            <w:pPr>
              <w:pStyle w:val="TableBullet1"/>
            </w:pPr>
            <w:r>
              <w:t>Competition for nest hollows</w:t>
            </w:r>
          </w:p>
          <w:p w14:paraId="0FD818E9" w14:textId="44C80238" w:rsidR="00744092" w:rsidRDefault="00B907E3" w:rsidP="00975F04">
            <w:pPr>
              <w:pStyle w:val="TableBullet1"/>
            </w:pPr>
            <w:r>
              <w:t xml:space="preserve">Increased likelihood of extreme events (e.g., wildfire, </w:t>
            </w:r>
            <w:proofErr w:type="gramStart"/>
            <w:r>
              <w:t>heatwave</w:t>
            </w:r>
            <w:proofErr w:type="gramEnd"/>
            <w:r>
              <w:t xml:space="preserve"> and drought)</w:t>
            </w:r>
          </w:p>
        </w:tc>
        <w:tc>
          <w:tcPr>
            <w:tcW w:w="1531" w:type="dxa"/>
            <w:shd w:val="clear" w:color="auto" w:fill="D99594" w:themeFill="accent2" w:themeFillTint="99"/>
          </w:tcPr>
          <w:p w14:paraId="70406CBF" w14:textId="3B3FE200" w:rsidR="00744092" w:rsidRDefault="00744092" w:rsidP="00744092">
            <w:pPr>
              <w:pStyle w:val="TableText"/>
              <w:keepNext/>
              <w:spacing w:before="0" w:after="0"/>
            </w:pPr>
          </w:p>
        </w:tc>
      </w:tr>
      <w:tr w:rsidR="00744092" w14:paraId="0D904725" w14:textId="77777777" w:rsidTr="43EA5B1C">
        <w:trPr>
          <w:tblHeader/>
        </w:trPr>
        <w:tc>
          <w:tcPr>
            <w:tcW w:w="1479" w:type="dxa"/>
          </w:tcPr>
          <w:p w14:paraId="6B1EF931" w14:textId="77777777" w:rsidR="00744092" w:rsidRPr="00774EAA" w:rsidRDefault="00744092" w:rsidP="00744092">
            <w:pPr>
              <w:pStyle w:val="TableText"/>
              <w:keepNext/>
              <w:spacing w:before="0" w:after="0"/>
              <w:rPr>
                <w:rStyle w:val="Strong"/>
                <w:sz w:val="22"/>
              </w:rPr>
            </w:pPr>
            <w:r w:rsidRPr="00774EAA">
              <w:rPr>
                <w:rStyle w:val="Strong"/>
              </w:rPr>
              <w:t>Likely</w:t>
            </w:r>
          </w:p>
        </w:tc>
        <w:tc>
          <w:tcPr>
            <w:tcW w:w="1460" w:type="dxa"/>
            <w:shd w:val="clear" w:color="auto" w:fill="C2D69B" w:themeFill="accent3" w:themeFillTint="99"/>
          </w:tcPr>
          <w:p w14:paraId="1E4ABF85" w14:textId="6AB65080" w:rsidR="00744092" w:rsidRDefault="00744092" w:rsidP="00744092">
            <w:pPr>
              <w:pStyle w:val="TableText"/>
              <w:keepNext/>
              <w:spacing w:before="0" w:after="0"/>
            </w:pPr>
          </w:p>
        </w:tc>
        <w:tc>
          <w:tcPr>
            <w:tcW w:w="1518" w:type="dxa"/>
            <w:shd w:val="clear" w:color="auto" w:fill="8DB3E2" w:themeFill="text2" w:themeFillTint="66"/>
          </w:tcPr>
          <w:p w14:paraId="6799C710" w14:textId="77777777" w:rsidR="00744092" w:rsidRDefault="00744092" w:rsidP="00975F04">
            <w:pPr>
              <w:pStyle w:val="TableBullet1"/>
            </w:pPr>
            <w:r>
              <w:t>Grazing</w:t>
            </w:r>
          </w:p>
          <w:p w14:paraId="34A20864" w14:textId="52D11A82" w:rsidR="001417B9" w:rsidRDefault="001417B9" w:rsidP="00975F04">
            <w:pPr>
              <w:pStyle w:val="TableBullet1"/>
            </w:pPr>
            <w:r>
              <w:t>Vehicle strike</w:t>
            </w:r>
          </w:p>
        </w:tc>
        <w:tc>
          <w:tcPr>
            <w:tcW w:w="1360" w:type="dxa"/>
            <w:shd w:val="clear" w:color="auto" w:fill="FFC000"/>
          </w:tcPr>
          <w:p w14:paraId="4728AB36" w14:textId="6E369B3F" w:rsidR="00744092" w:rsidRDefault="00744092" w:rsidP="008A2A6B">
            <w:pPr>
              <w:pStyle w:val="TableBullet1"/>
              <w:numPr>
                <w:ilvl w:val="0"/>
                <w:numId w:val="0"/>
              </w:numPr>
            </w:pPr>
          </w:p>
        </w:tc>
        <w:tc>
          <w:tcPr>
            <w:tcW w:w="1476" w:type="dxa"/>
            <w:shd w:val="clear" w:color="auto" w:fill="D99594" w:themeFill="accent2" w:themeFillTint="99"/>
          </w:tcPr>
          <w:p w14:paraId="7E3D0A02" w14:textId="40160321" w:rsidR="00744092" w:rsidRDefault="00744092" w:rsidP="00744092">
            <w:pPr>
              <w:pStyle w:val="TableText"/>
              <w:keepNext/>
              <w:spacing w:before="0" w:after="0"/>
            </w:pPr>
          </w:p>
        </w:tc>
        <w:tc>
          <w:tcPr>
            <w:tcW w:w="1531" w:type="dxa"/>
            <w:shd w:val="clear" w:color="auto" w:fill="D99594" w:themeFill="accent2" w:themeFillTint="99"/>
          </w:tcPr>
          <w:p w14:paraId="06B5F54D" w14:textId="1CCDE575" w:rsidR="00744092" w:rsidRDefault="00744092" w:rsidP="00744092">
            <w:pPr>
              <w:pStyle w:val="TableText"/>
              <w:keepNext/>
              <w:spacing w:before="0" w:after="0"/>
            </w:pPr>
          </w:p>
        </w:tc>
      </w:tr>
      <w:tr w:rsidR="008A2A6B" w14:paraId="1FEC7635" w14:textId="77777777" w:rsidTr="43EA5B1C">
        <w:trPr>
          <w:tblHeader/>
        </w:trPr>
        <w:tc>
          <w:tcPr>
            <w:tcW w:w="1479" w:type="dxa"/>
          </w:tcPr>
          <w:p w14:paraId="73060472" w14:textId="77777777" w:rsidR="008A2A6B" w:rsidRPr="00774EAA" w:rsidRDefault="008A2A6B" w:rsidP="008A2A6B">
            <w:pPr>
              <w:pStyle w:val="TableText"/>
              <w:keepNext/>
              <w:spacing w:before="0" w:after="0"/>
              <w:rPr>
                <w:rStyle w:val="Strong"/>
                <w:sz w:val="22"/>
              </w:rPr>
            </w:pPr>
            <w:r w:rsidRPr="00774EAA">
              <w:rPr>
                <w:rStyle w:val="Strong"/>
              </w:rPr>
              <w:t>Possible</w:t>
            </w:r>
          </w:p>
        </w:tc>
        <w:tc>
          <w:tcPr>
            <w:tcW w:w="1460" w:type="dxa"/>
            <w:shd w:val="clear" w:color="auto" w:fill="C2D69B" w:themeFill="accent3" w:themeFillTint="99"/>
          </w:tcPr>
          <w:p w14:paraId="48E5777C" w14:textId="6F3B2453" w:rsidR="008A2A6B" w:rsidRDefault="008A2A6B" w:rsidP="008A2A6B">
            <w:pPr>
              <w:pStyle w:val="TableText"/>
              <w:keepNext/>
              <w:spacing w:before="0" w:after="0"/>
            </w:pPr>
          </w:p>
        </w:tc>
        <w:tc>
          <w:tcPr>
            <w:tcW w:w="1518" w:type="dxa"/>
            <w:shd w:val="clear" w:color="auto" w:fill="8DB3E2" w:themeFill="text2" w:themeFillTint="66"/>
          </w:tcPr>
          <w:p w14:paraId="0CFC0643" w14:textId="1A2EF081" w:rsidR="008A2A6B" w:rsidRPr="00663987" w:rsidRDefault="12A8EBEE" w:rsidP="00975F04">
            <w:pPr>
              <w:pStyle w:val="TableBullet1"/>
              <w:rPr>
                <w:b/>
                <w:bCs/>
              </w:rPr>
            </w:pPr>
            <w:r>
              <w:t>Psittacine Beak and Feather Disease (PBFD)</w:t>
            </w:r>
          </w:p>
        </w:tc>
        <w:tc>
          <w:tcPr>
            <w:tcW w:w="1360" w:type="dxa"/>
            <w:shd w:val="clear" w:color="auto" w:fill="FFC000"/>
          </w:tcPr>
          <w:p w14:paraId="3B88F482" w14:textId="3FEEC4CF" w:rsidR="008A2A6B" w:rsidRDefault="008A2A6B" w:rsidP="008A2A6B">
            <w:pPr>
              <w:pStyle w:val="TableBullet1"/>
              <w:numPr>
                <w:ilvl w:val="0"/>
                <w:numId w:val="0"/>
              </w:numPr>
            </w:pPr>
          </w:p>
        </w:tc>
        <w:tc>
          <w:tcPr>
            <w:tcW w:w="1476" w:type="dxa"/>
            <w:shd w:val="clear" w:color="auto" w:fill="D99594" w:themeFill="accent2" w:themeFillTint="99"/>
          </w:tcPr>
          <w:p w14:paraId="1018F399" w14:textId="2782D425" w:rsidR="008A2A6B" w:rsidRDefault="008A2A6B" w:rsidP="008A2A6B">
            <w:pPr>
              <w:pStyle w:val="TableText"/>
              <w:keepNext/>
              <w:spacing w:before="0" w:after="0"/>
            </w:pPr>
          </w:p>
        </w:tc>
        <w:tc>
          <w:tcPr>
            <w:tcW w:w="1531" w:type="dxa"/>
            <w:shd w:val="clear" w:color="auto" w:fill="D99594" w:themeFill="accent2" w:themeFillTint="99"/>
          </w:tcPr>
          <w:p w14:paraId="2845FC4A" w14:textId="21E8699C" w:rsidR="008A2A6B" w:rsidRDefault="008A2A6B" w:rsidP="008A2A6B">
            <w:pPr>
              <w:pStyle w:val="TableText"/>
              <w:keepNext/>
              <w:spacing w:before="0" w:after="0"/>
            </w:pPr>
          </w:p>
        </w:tc>
      </w:tr>
      <w:tr w:rsidR="008A2A6B" w14:paraId="6DFFBB45" w14:textId="77777777" w:rsidTr="43EA5B1C">
        <w:trPr>
          <w:tblHeader/>
        </w:trPr>
        <w:tc>
          <w:tcPr>
            <w:tcW w:w="1479" w:type="dxa"/>
          </w:tcPr>
          <w:p w14:paraId="4D7F8221" w14:textId="77777777" w:rsidR="008A2A6B" w:rsidRPr="00774EAA" w:rsidRDefault="008A2A6B" w:rsidP="008A2A6B">
            <w:pPr>
              <w:pStyle w:val="TableText"/>
              <w:keepNext/>
              <w:spacing w:before="0" w:after="0"/>
              <w:rPr>
                <w:rStyle w:val="Strong"/>
                <w:sz w:val="22"/>
              </w:rPr>
            </w:pPr>
            <w:r w:rsidRPr="00774EAA">
              <w:rPr>
                <w:rStyle w:val="Strong"/>
              </w:rPr>
              <w:t>Unlikely</w:t>
            </w:r>
          </w:p>
        </w:tc>
        <w:tc>
          <w:tcPr>
            <w:tcW w:w="1460" w:type="dxa"/>
            <w:shd w:val="clear" w:color="auto" w:fill="C2D69B" w:themeFill="accent3" w:themeFillTint="99"/>
          </w:tcPr>
          <w:p w14:paraId="2FB012A4" w14:textId="4AED7E96" w:rsidR="008A2A6B" w:rsidRDefault="008A2A6B" w:rsidP="008A2A6B">
            <w:pPr>
              <w:pStyle w:val="TableText"/>
              <w:keepNext/>
              <w:spacing w:before="0" w:after="0"/>
            </w:pPr>
          </w:p>
        </w:tc>
        <w:tc>
          <w:tcPr>
            <w:tcW w:w="1518" w:type="dxa"/>
            <w:shd w:val="clear" w:color="auto" w:fill="C2D69B" w:themeFill="accent3" w:themeFillTint="99"/>
          </w:tcPr>
          <w:p w14:paraId="10C7F193" w14:textId="2595D2FC" w:rsidR="008A2A6B" w:rsidRDefault="008A2A6B" w:rsidP="008A2A6B">
            <w:pPr>
              <w:pStyle w:val="TableText"/>
              <w:keepNext/>
              <w:spacing w:before="0" w:after="0"/>
            </w:pPr>
          </w:p>
        </w:tc>
        <w:tc>
          <w:tcPr>
            <w:tcW w:w="1360" w:type="dxa"/>
            <w:shd w:val="clear" w:color="auto" w:fill="8DB3E2" w:themeFill="text2" w:themeFillTint="66"/>
          </w:tcPr>
          <w:p w14:paraId="618B5FA1" w14:textId="46011C08" w:rsidR="008A2A6B" w:rsidRDefault="008A2A6B" w:rsidP="008A2A6B">
            <w:pPr>
              <w:pStyle w:val="TableText"/>
              <w:keepNext/>
              <w:spacing w:before="0" w:after="0"/>
            </w:pPr>
          </w:p>
        </w:tc>
        <w:tc>
          <w:tcPr>
            <w:tcW w:w="1476" w:type="dxa"/>
            <w:shd w:val="clear" w:color="auto" w:fill="FFC000"/>
          </w:tcPr>
          <w:p w14:paraId="3AE08B6A" w14:textId="61114A09" w:rsidR="008A2A6B" w:rsidRDefault="008A2A6B" w:rsidP="008A2A6B">
            <w:pPr>
              <w:pStyle w:val="TableText"/>
              <w:keepNext/>
              <w:spacing w:before="0" w:after="0"/>
            </w:pPr>
          </w:p>
        </w:tc>
        <w:tc>
          <w:tcPr>
            <w:tcW w:w="1531" w:type="dxa"/>
            <w:shd w:val="clear" w:color="auto" w:fill="D99594" w:themeFill="accent2" w:themeFillTint="99"/>
          </w:tcPr>
          <w:p w14:paraId="535138E0" w14:textId="6C2850AC" w:rsidR="008A2A6B" w:rsidRDefault="008A2A6B" w:rsidP="008A2A6B">
            <w:pPr>
              <w:pStyle w:val="TableText"/>
              <w:keepNext/>
              <w:spacing w:before="0" w:after="0"/>
            </w:pPr>
          </w:p>
        </w:tc>
      </w:tr>
      <w:tr w:rsidR="008A2A6B" w14:paraId="232B9012" w14:textId="77777777" w:rsidTr="43EA5B1C">
        <w:trPr>
          <w:tblHeader/>
        </w:trPr>
        <w:tc>
          <w:tcPr>
            <w:tcW w:w="1479" w:type="dxa"/>
          </w:tcPr>
          <w:p w14:paraId="06C0345D" w14:textId="77777777" w:rsidR="008A2A6B" w:rsidRPr="00774EAA" w:rsidRDefault="008A2A6B" w:rsidP="008A2A6B">
            <w:pPr>
              <w:pStyle w:val="TableText"/>
              <w:keepNext/>
              <w:spacing w:before="0" w:after="0"/>
              <w:rPr>
                <w:rStyle w:val="Strong"/>
                <w:sz w:val="22"/>
              </w:rPr>
            </w:pPr>
            <w:r w:rsidRPr="00774EAA">
              <w:rPr>
                <w:rStyle w:val="Strong"/>
              </w:rPr>
              <w:t>Unknown</w:t>
            </w:r>
          </w:p>
        </w:tc>
        <w:tc>
          <w:tcPr>
            <w:tcW w:w="1460" w:type="dxa"/>
            <w:shd w:val="clear" w:color="auto" w:fill="C2D69B" w:themeFill="accent3" w:themeFillTint="99"/>
          </w:tcPr>
          <w:p w14:paraId="16A595A6" w14:textId="141E12D7" w:rsidR="008A2A6B" w:rsidRDefault="008A2A6B" w:rsidP="008A2A6B">
            <w:pPr>
              <w:pStyle w:val="TableText"/>
              <w:keepNext/>
              <w:spacing w:before="0" w:after="0"/>
            </w:pPr>
          </w:p>
        </w:tc>
        <w:tc>
          <w:tcPr>
            <w:tcW w:w="1518" w:type="dxa"/>
            <w:shd w:val="clear" w:color="auto" w:fill="C2D69B" w:themeFill="accent3" w:themeFillTint="99"/>
          </w:tcPr>
          <w:p w14:paraId="696ACE2E" w14:textId="7FCBE030" w:rsidR="008A2A6B" w:rsidRDefault="008A2A6B" w:rsidP="008A2A6B">
            <w:pPr>
              <w:pStyle w:val="TableText"/>
              <w:keepNext/>
              <w:spacing w:before="0" w:after="0"/>
            </w:pPr>
          </w:p>
        </w:tc>
        <w:tc>
          <w:tcPr>
            <w:tcW w:w="1360" w:type="dxa"/>
            <w:shd w:val="clear" w:color="auto" w:fill="8DB3E2" w:themeFill="text2" w:themeFillTint="66"/>
          </w:tcPr>
          <w:p w14:paraId="4174A27D" w14:textId="4F738362" w:rsidR="008A2A6B" w:rsidRDefault="12A8EBEE" w:rsidP="00975F04">
            <w:pPr>
              <w:pStyle w:val="TableBullet1"/>
            </w:pPr>
            <w:r>
              <w:t>Bird and egg collection</w:t>
            </w:r>
          </w:p>
        </w:tc>
        <w:tc>
          <w:tcPr>
            <w:tcW w:w="1476" w:type="dxa"/>
            <w:shd w:val="clear" w:color="auto" w:fill="FFC000"/>
          </w:tcPr>
          <w:p w14:paraId="328A5ED7" w14:textId="6F5216C1" w:rsidR="008A2A6B" w:rsidRDefault="008A2A6B" w:rsidP="008A2A6B">
            <w:pPr>
              <w:pStyle w:val="TableBullet1"/>
              <w:numPr>
                <w:ilvl w:val="0"/>
                <w:numId w:val="0"/>
              </w:numPr>
            </w:pPr>
          </w:p>
        </w:tc>
        <w:tc>
          <w:tcPr>
            <w:tcW w:w="1531" w:type="dxa"/>
            <w:shd w:val="clear" w:color="auto" w:fill="D99594" w:themeFill="accent2" w:themeFillTint="99"/>
          </w:tcPr>
          <w:p w14:paraId="01653840" w14:textId="61ABCFDE" w:rsidR="008A2A6B" w:rsidRDefault="008A2A6B" w:rsidP="008A2A6B">
            <w:pPr>
              <w:pStyle w:val="TableText"/>
              <w:keepNext/>
              <w:spacing w:before="0" w:after="0"/>
            </w:pPr>
          </w:p>
        </w:tc>
      </w:tr>
    </w:tbl>
    <w:p w14:paraId="3C8868D7" w14:textId="3E7A75DE" w:rsidR="00C22752" w:rsidRDefault="00C22752" w:rsidP="005C125F">
      <w:pPr>
        <w:pStyle w:val="FootnoteText"/>
        <w:keepNext/>
      </w:pPr>
      <w:r>
        <w:t>Risk Matrix legend</w:t>
      </w:r>
      <w:r w:rsidR="00D246E7">
        <w:t>/Risk rating</w:t>
      </w:r>
      <w:r>
        <w:t xml:space="preserve">: </w:t>
      </w:r>
    </w:p>
    <w:tbl>
      <w:tblPr>
        <w:tblStyle w:val="TableGrid"/>
        <w:tblW w:w="0" w:type="auto"/>
        <w:tblLook w:val="04A0" w:firstRow="1" w:lastRow="0" w:firstColumn="1" w:lastColumn="0" w:noHBand="0" w:noVBand="1"/>
      </w:tblPr>
      <w:tblGrid>
        <w:gridCol w:w="1907"/>
        <w:gridCol w:w="2395"/>
        <w:gridCol w:w="2104"/>
        <w:gridCol w:w="2445"/>
      </w:tblGrid>
      <w:tr w:rsidR="00C22752" w14:paraId="11FE8B82" w14:textId="77777777" w:rsidTr="007F07A7">
        <w:trPr>
          <w:trHeight w:val="198"/>
        </w:trPr>
        <w:tc>
          <w:tcPr>
            <w:tcW w:w="1907" w:type="dxa"/>
            <w:shd w:val="clear" w:color="auto" w:fill="C2D69B" w:themeFill="accent3" w:themeFillTint="99"/>
          </w:tcPr>
          <w:p w14:paraId="7255BB6D" w14:textId="71993659" w:rsidR="00C22752" w:rsidRDefault="00C22752" w:rsidP="005C125F">
            <w:pPr>
              <w:pStyle w:val="TableText"/>
              <w:keepNext/>
              <w:jc w:val="center"/>
            </w:pPr>
            <w:r>
              <w:t>Low Risk</w:t>
            </w:r>
          </w:p>
        </w:tc>
        <w:tc>
          <w:tcPr>
            <w:tcW w:w="2395" w:type="dxa"/>
            <w:shd w:val="clear" w:color="auto" w:fill="8DB3E2" w:themeFill="text2" w:themeFillTint="66"/>
          </w:tcPr>
          <w:p w14:paraId="5E042F5E" w14:textId="760AC4B4" w:rsidR="00C22752" w:rsidRDefault="00C22752" w:rsidP="005C125F">
            <w:pPr>
              <w:pStyle w:val="FootnoteText"/>
              <w:keepNext/>
              <w:jc w:val="center"/>
            </w:pPr>
            <w:r>
              <w:t>Moderate Risk</w:t>
            </w:r>
          </w:p>
        </w:tc>
        <w:tc>
          <w:tcPr>
            <w:tcW w:w="2104" w:type="dxa"/>
            <w:shd w:val="clear" w:color="auto" w:fill="FFC000"/>
          </w:tcPr>
          <w:p w14:paraId="619A2334" w14:textId="4C69FBFA" w:rsidR="00C22752" w:rsidRDefault="00C22752" w:rsidP="005C125F">
            <w:pPr>
              <w:pStyle w:val="FootnoteText"/>
              <w:keepNext/>
              <w:jc w:val="center"/>
            </w:pPr>
            <w:r>
              <w:t>High Risk</w:t>
            </w:r>
          </w:p>
        </w:tc>
        <w:tc>
          <w:tcPr>
            <w:tcW w:w="2445" w:type="dxa"/>
            <w:shd w:val="clear" w:color="auto" w:fill="D99594" w:themeFill="accent2" w:themeFillTint="99"/>
          </w:tcPr>
          <w:p w14:paraId="71457DF8" w14:textId="1DC8D114" w:rsidR="00C22752" w:rsidRDefault="00C22752" w:rsidP="005C125F">
            <w:pPr>
              <w:pStyle w:val="FootnoteText"/>
              <w:keepNext/>
              <w:jc w:val="center"/>
            </w:pPr>
            <w:r>
              <w:t>Very High Risk</w:t>
            </w:r>
          </w:p>
        </w:tc>
      </w:tr>
    </w:tbl>
    <w:p w14:paraId="40F5F2DB" w14:textId="03D68270" w:rsidR="002B6A3F" w:rsidRDefault="002B6A3F" w:rsidP="00744092">
      <w:pPr>
        <w:spacing w:before="240"/>
      </w:pPr>
      <w:r w:rsidRPr="00744092">
        <w:t>Priority actions have then been developed to manage the threat</w:t>
      </w:r>
      <w:r w:rsidR="00C4221F" w:rsidRPr="00744092">
        <w:t>s,</w:t>
      </w:r>
      <w:r w:rsidRPr="00744092">
        <w:t xml:space="preserve"> particularly where the risk was deemed to be ‘very high’</w:t>
      </w:r>
      <w:r w:rsidR="00E93125" w:rsidRPr="00744092">
        <w:t xml:space="preserve"> (red shading)</w:t>
      </w:r>
      <w:r w:rsidRPr="00744092">
        <w:t xml:space="preserve"> or ‘high’</w:t>
      </w:r>
      <w:r w:rsidR="00E93125" w:rsidRPr="00744092">
        <w:t xml:space="preserve"> (</w:t>
      </w:r>
      <w:r w:rsidR="00C4221F" w:rsidRPr="00744092">
        <w:t>orange</w:t>
      </w:r>
      <w:r w:rsidR="00E93125" w:rsidRPr="00744092">
        <w:t xml:space="preserve"> shading)</w:t>
      </w:r>
      <w:r w:rsidRPr="00744092">
        <w:t xml:space="preserve">. For those threats with an unknown or low risk </w:t>
      </w:r>
      <w:r w:rsidR="000F6D5A" w:rsidRPr="00744092">
        <w:t>(</w:t>
      </w:r>
      <w:r w:rsidR="00FB52AC" w:rsidRPr="00744092">
        <w:t>blue</w:t>
      </w:r>
      <w:r w:rsidR="000F6D5A" w:rsidRPr="00744092">
        <w:t xml:space="preserve"> and </w:t>
      </w:r>
      <w:r w:rsidR="00FB52AC" w:rsidRPr="00744092">
        <w:t>green</w:t>
      </w:r>
      <w:r w:rsidR="000F6D5A" w:rsidRPr="00744092">
        <w:t xml:space="preserve"> shading</w:t>
      </w:r>
      <w:r w:rsidR="00FB52AC" w:rsidRPr="00744092">
        <w:t xml:space="preserve"> respectively</w:t>
      </w:r>
      <w:r w:rsidR="000F6D5A" w:rsidRPr="00744092">
        <w:t xml:space="preserve">) </w:t>
      </w:r>
      <w:r w:rsidRPr="00744092">
        <w:t xml:space="preserve">research </w:t>
      </w:r>
      <w:r w:rsidR="00BF2F61" w:rsidRPr="00744092">
        <w:t xml:space="preserve">and </w:t>
      </w:r>
      <w:r w:rsidR="00C4221F" w:rsidRPr="00744092">
        <w:t>monitor</w:t>
      </w:r>
      <w:r w:rsidR="00BF2F61" w:rsidRPr="00744092">
        <w:t>ing</w:t>
      </w:r>
      <w:r w:rsidR="00C4221F" w:rsidRPr="00744092">
        <w:t xml:space="preserve"> </w:t>
      </w:r>
      <w:r w:rsidR="00BF2F61" w:rsidRPr="00744092">
        <w:t xml:space="preserve">actions have been developed to understand and </w:t>
      </w:r>
      <w:r w:rsidR="001B06CC" w:rsidRPr="00744092">
        <w:t>evaluate</w:t>
      </w:r>
      <w:r w:rsidR="00BF2F61" w:rsidRPr="00744092">
        <w:t xml:space="preserve"> the impact of the threats</w:t>
      </w:r>
      <w:r w:rsidR="001B06CC" w:rsidRPr="00744092">
        <w:t>, where appropriate</w:t>
      </w:r>
      <w:r w:rsidRPr="00744092">
        <w:t>.</w:t>
      </w:r>
    </w:p>
    <w:p w14:paraId="3672921A" w14:textId="77777777" w:rsidR="002B6A3F" w:rsidRDefault="002B6A3F" w:rsidP="002B6A3F">
      <w:pPr>
        <w:pStyle w:val="Heading2"/>
        <w:ind w:left="720" w:hanging="720"/>
      </w:pPr>
      <w:bookmarkStart w:id="11" w:name="_Hlk80441560"/>
      <w:r>
        <w:t xml:space="preserve">Conservation and recovery </w:t>
      </w:r>
      <w:r w:rsidRPr="002B6A3F">
        <w:t>actions</w:t>
      </w:r>
    </w:p>
    <w:bookmarkEnd w:id="11"/>
    <w:p w14:paraId="645BC16A" w14:textId="420FC0B1" w:rsidR="002B6A3F" w:rsidRDefault="002B6A3F" w:rsidP="002B6A3F">
      <w:pPr>
        <w:pStyle w:val="Heading3"/>
        <w:ind w:left="964" w:hanging="964"/>
      </w:pPr>
      <w:r>
        <w:t xml:space="preserve">Primary conservation </w:t>
      </w:r>
      <w:r w:rsidR="003A6771">
        <w:t>objective</w:t>
      </w:r>
    </w:p>
    <w:p w14:paraId="71601A98" w14:textId="59A9C404" w:rsidR="00793966" w:rsidRDefault="00576670" w:rsidP="00163219">
      <w:pPr>
        <w:pStyle w:val="ListBullet"/>
      </w:pPr>
      <w:r>
        <w:t>Arrest the current decline and achieve a stable or increasing population trend</w:t>
      </w:r>
      <w:r w:rsidR="00163219">
        <w:t>.</w:t>
      </w:r>
    </w:p>
    <w:p w14:paraId="5AAC85DF" w14:textId="08660ECC" w:rsidR="00163219" w:rsidRPr="00793966" w:rsidRDefault="00772BC4" w:rsidP="00163219">
      <w:pPr>
        <w:pStyle w:val="ListBullet"/>
      </w:pPr>
      <w:r>
        <w:t>Increase nesting habitat availability within the subspecies’ range.</w:t>
      </w:r>
    </w:p>
    <w:p w14:paraId="54D3788F" w14:textId="77777777" w:rsidR="002B6A3F" w:rsidRDefault="002B6A3F" w:rsidP="008A51E7">
      <w:pPr>
        <w:pStyle w:val="Heading3"/>
        <w:ind w:left="964" w:hanging="964"/>
      </w:pPr>
      <w:r>
        <w:lastRenderedPageBreak/>
        <w:t>Conservation and management priorities</w:t>
      </w:r>
    </w:p>
    <w:p w14:paraId="1ABA98AC" w14:textId="77777777" w:rsidR="00641A2B" w:rsidRPr="00641A2B" w:rsidRDefault="00641A2B" w:rsidP="00641A2B">
      <w:pPr>
        <w:pStyle w:val="Heading4"/>
      </w:pPr>
      <w:r w:rsidRPr="00641A2B">
        <w:t>Clearing of native vegetation and loss of hollow-bearing trees</w:t>
      </w:r>
    </w:p>
    <w:p w14:paraId="67BD1657" w14:textId="21A6C831" w:rsidR="00EE4E28" w:rsidRDefault="00B12A73" w:rsidP="00895793">
      <w:pPr>
        <w:pStyle w:val="ListBullet"/>
      </w:pPr>
      <w:r>
        <w:t xml:space="preserve">Protect, </w:t>
      </w:r>
      <w:proofErr w:type="gramStart"/>
      <w:r>
        <w:t>restore</w:t>
      </w:r>
      <w:proofErr w:type="gramEnd"/>
      <w:r>
        <w:t xml:space="preserve"> and enhance the quality of </w:t>
      </w:r>
      <w:r w:rsidR="00395553">
        <w:t xml:space="preserve">known suitable </w:t>
      </w:r>
      <w:r w:rsidR="00414393">
        <w:t>habitat and increase the extent of habitat for the subspecies across their range (both current and future) to maintain viability in response to threats, including climate change.</w:t>
      </w:r>
    </w:p>
    <w:p w14:paraId="7BD72EAF" w14:textId="77777777" w:rsidR="009B2E30" w:rsidRDefault="009B2E30" w:rsidP="009B2E30">
      <w:pPr>
        <w:pStyle w:val="ListBullet"/>
      </w:pPr>
      <w:r>
        <w:t>Protect large old trees and smaller trees that contain large hollows, including those affected by fires. Ensure the recruitment of large old trees by retaining medium-sized trees, facilitating regeneration, and undertaking replanting.</w:t>
      </w:r>
    </w:p>
    <w:p w14:paraId="1F0435F2" w14:textId="77777777" w:rsidR="00B72E51" w:rsidRDefault="00B72E51" w:rsidP="00B72E51">
      <w:pPr>
        <w:pStyle w:val="ListBullet"/>
      </w:pPr>
      <w:r>
        <w:t>Maintain connectivity within and between regions:</w:t>
      </w:r>
    </w:p>
    <w:p w14:paraId="7F964905" w14:textId="792F429D" w:rsidR="00B72E51" w:rsidRDefault="00B72E51" w:rsidP="00B72E51">
      <w:pPr>
        <w:pStyle w:val="ListBullet2"/>
      </w:pPr>
      <w:r>
        <w:t xml:space="preserve">At a local scale, ensure that birds can move safely between food, water and roosting resources via corridors that provide cover, and are preferably away from roadsides. </w:t>
      </w:r>
    </w:p>
    <w:p w14:paraId="437C494A" w14:textId="3C79B10D" w:rsidR="00B72E51" w:rsidRDefault="00B72E51" w:rsidP="00B72E51">
      <w:pPr>
        <w:pStyle w:val="ListBullet2"/>
      </w:pPr>
      <w:r>
        <w:t xml:space="preserve">Enhance or restore regional corridors through strategic revegetation and other works that ensure the availability of food, </w:t>
      </w:r>
      <w:proofErr w:type="gramStart"/>
      <w:r>
        <w:t>shelter</w:t>
      </w:r>
      <w:proofErr w:type="gramEnd"/>
      <w:r>
        <w:t xml:space="preserve"> and water resources at regional scales.</w:t>
      </w:r>
    </w:p>
    <w:p w14:paraId="6A8988E7" w14:textId="77777777" w:rsidR="00A73879" w:rsidRDefault="00A73879" w:rsidP="00A73879">
      <w:pPr>
        <w:pStyle w:val="ListBullet"/>
      </w:pPr>
      <w:r>
        <w:t xml:space="preserve">Ensure the year-round availability of surface water </w:t>
      </w:r>
      <w:proofErr w:type="gramStart"/>
      <w:r>
        <w:t>in close proximity to</w:t>
      </w:r>
      <w:proofErr w:type="gramEnd"/>
      <w:r>
        <w:t xml:space="preserve"> foraging and nesting habitat. Where necessary, install or maintain artificial water recourses to ensure continued access to food and nest sites during periods when natural surface water is absent.</w:t>
      </w:r>
    </w:p>
    <w:p w14:paraId="412012E1" w14:textId="77777777" w:rsidR="00A73879" w:rsidRDefault="00A73879" w:rsidP="00A73879">
      <w:pPr>
        <w:pStyle w:val="ListBullet"/>
      </w:pPr>
      <w:r>
        <w:t>Maintain vegetation in proximity to water points, including the presence of smaller trees immediately adjacent to the water’s edge, to provide cover and resting place for drinking birds.</w:t>
      </w:r>
    </w:p>
    <w:p w14:paraId="165ABFA4" w14:textId="7E29D5D5" w:rsidR="009B2E30" w:rsidRDefault="00A73879" w:rsidP="00843037">
      <w:pPr>
        <w:pStyle w:val="ListBullet"/>
      </w:pPr>
      <w:r>
        <w:t>Identify important populations and engage stakeholders in the development and implementation of a local area management plan (a map-based document detailing the works necessary to secure the long-term viability of the population). Undertake baseline studies to support the preparation of these management plans.</w:t>
      </w:r>
    </w:p>
    <w:p w14:paraId="3A19F4B8" w14:textId="3C4E7424" w:rsidR="003B2A6A" w:rsidRPr="00EE4E28" w:rsidRDefault="003B2A6A" w:rsidP="00843037">
      <w:pPr>
        <w:pStyle w:val="ListBullet"/>
      </w:pPr>
      <w:r>
        <w:t xml:space="preserve">Manage total grazing pressure in rangelands and protected areas by controlling stock, rabbits, feral </w:t>
      </w:r>
      <w:proofErr w:type="gramStart"/>
      <w:r>
        <w:t>goats</w:t>
      </w:r>
      <w:proofErr w:type="gramEnd"/>
      <w:r>
        <w:t xml:space="preserve"> and kangaroos.</w:t>
      </w:r>
    </w:p>
    <w:p w14:paraId="51ADD7F1" w14:textId="1DD31454" w:rsidR="00641A2B" w:rsidRDefault="00641A2B" w:rsidP="00641A2B">
      <w:pPr>
        <w:pStyle w:val="Heading4"/>
      </w:pPr>
      <w:r>
        <w:t>Inappropriate fire regimes</w:t>
      </w:r>
    </w:p>
    <w:p w14:paraId="6A03D205" w14:textId="77777777" w:rsidR="00034237" w:rsidRDefault="00034237" w:rsidP="00034237">
      <w:pPr>
        <w:pStyle w:val="ListBullet"/>
        <w:numPr>
          <w:ilvl w:val="0"/>
          <w:numId w:val="50"/>
        </w:numPr>
        <w:rPr>
          <w:rFonts w:eastAsia="Cambria" w:cs="Cambria"/>
          <w:color w:val="000000" w:themeColor="text1"/>
        </w:rPr>
      </w:pPr>
      <w:r>
        <w:rPr>
          <w:rFonts w:eastAsia="Cambria" w:cs="Cambria"/>
        </w:rPr>
        <w:t xml:space="preserve">Provide fire and land managers with specific advice to support decision making in wildfire prevention, preparation, </w:t>
      </w:r>
      <w:proofErr w:type="gramStart"/>
      <w:r>
        <w:rPr>
          <w:rFonts w:eastAsia="Cambria" w:cs="Cambria"/>
        </w:rPr>
        <w:t>response</w:t>
      </w:r>
      <w:proofErr w:type="gramEnd"/>
      <w:r>
        <w:rPr>
          <w:rFonts w:eastAsia="Cambria" w:cs="Cambria"/>
        </w:rPr>
        <w:t xml:space="preserve"> and recovery. </w:t>
      </w:r>
      <w:r>
        <w:rPr>
          <w:rFonts w:eastAsia="Cambria" w:cs="Cambria"/>
          <w:color w:val="000000" w:themeColor="text1"/>
        </w:rPr>
        <w:t xml:space="preserve">Develop a landscape-scale fire management strategy which </w:t>
      </w:r>
      <w:r>
        <w:rPr>
          <w:rFonts w:eastAsia="Cambria" w:cs="Cambria"/>
        </w:rPr>
        <w:t xml:space="preserve">minimises the risk of extensive wildfire, whilst considering </w:t>
      </w:r>
      <w:r>
        <w:rPr>
          <w:rFonts w:eastAsia="Cambria" w:cs="Cambria"/>
          <w:color w:val="000000" w:themeColor="text1"/>
        </w:rPr>
        <w:t xml:space="preserve">the ecological needs of the subspecies. </w:t>
      </w:r>
      <w:r>
        <w:rPr>
          <w:rFonts w:eastAsia="Cambria" w:cs="Cambria"/>
        </w:rPr>
        <w:t>For example:</w:t>
      </w:r>
    </w:p>
    <w:p w14:paraId="2F9CFB8F" w14:textId="77777777" w:rsidR="00034237" w:rsidRDefault="00034237" w:rsidP="00034237">
      <w:pPr>
        <w:pStyle w:val="ListBullet2"/>
        <w:numPr>
          <w:ilvl w:val="1"/>
          <w:numId w:val="50"/>
        </w:numPr>
        <w:rPr>
          <w:rFonts w:eastAsia="Cambria" w:cs="Cambria"/>
        </w:rPr>
      </w:pPr>
      <w:r>
        <w:rPr>
          <w:rFonts w:eastAsia="Cambria" w:cs="Cambria"/>
        </w:rPr>
        <w:t>Ensure fire suppression strategies also consider impacts on the population or its habitat.</w:t>
      </w:r>
    </w:p>
    <w:p w14:paraId="346B6C73" w14:textId="77777777" w:rsidR="00034237" w:rsidRDefault="00034237" w:rsidP="00034237">
      <w:pPr>
        <w:pStyle w:val="ListBullet2"/>
        <w:numPr>
          <w:ilvl w:val="1"/>
          <w:numId w:val="50"/>
        </w:numPr>
        <w:rPr>
          <w:rFonts w:eastAsia="Cambria" w:cs="Cambria"/>
        </w:rPr>
      </w:pPr>
      <w:r>
        <w:rPr>
          <w:rFonts w:eastAsia="Cambria" w:cs="Cambria"/>
        </w:rPr>
        <w:t>Fire management activities to protect key sites and those identified as most at risk from wildfires should be prioritised.</w:t>
      </w:r>
    </w:p>
    <w:p w14:paraId="182C46E8" w14:textId="6433437E" w:rsidR="00034237" w:rsidRDefault="00034237" w:rsidP="00034237">
      <w:pPr>
        <w:pStyle w:val="ListBullet2"/>
        <w:numPr>
          <w:ilvl w:val="1"/>
          <w:numId w:val="50"/>
        </w:numPr>
        <w:rPr>
          <w:rFonts w:eastAsia="Cambria" w:cs="Cambria"/>
        </w:rPr>
      </w:pPr>
      <w:r w:rsidRPr="43EA5B1C">
        <w:rPr>
          <w:rFonts w:eastAsia="Cambria" w:cs="Cambria"/>
        </w:rPr>
        <w:t>Protect unburnt areas within or adjacent to recently burnt ground that may provide refuge, from planned burns, clearing and other disturbance until the burnt areas have recovered sufficiently to support the subspecies once again.</w:t>
      </w:r>
    </w:p>
    <w:p w14:paraId="7F18FAF7" w14:textId="0F8B1E3F" w:rsidR="009D5053" w:rsidRDefault="009D5053" w:rsidP="009D5053">
      <w:pPr>
        <w:pStyle w:val="ListBullet"/>
        <w:numPr>
          <w:ilvl w:val="0"/>
          <w:numId w:val="50"/>
        </w:numPr>
      </w:pPr>
      <w:r>
        <w:t xml:space="preserve">Identify appropriate fire regimes and management practices for </w:t>
      </w:r>
      <w:r w:rsidR="006D66BB">
        <w:t>potential</w:t>
      </w:r>
      <w:r>
        <w:t xml:space="preserve"> habitat, including under future fire risk scenarios due to climate change.</w:t>
      </w:r>
    </w:p>
    <w:p w14:paraId="7C60D9C0" w14:textId="65D04B1C" w:rsidR="009D5053" w:rsidRDefault="009D5053" w:rsidP="009D5053">
      <w:pPr>
        <w:pStyle w:val="ListBullet"/>
        <w:numPr>
          <w:ilvl w:val="0"/>
          <w:numId w:val="50"/>
        </w:numPr>
      </w:pPr>
      <w:r>
        <w:lastRenderedPageBreak/>
        <w:t>Implement appropriate fire planning and land management for conservation reserves and other public land with suitable habitat.</w:t>
      </w:r>
    </w:p>
    <w:p w14:paraId="5FC9D8FD" w14:textId="0A234832" w:rsidR="009D5053" w:rsidRPr="006D66BB" w:rsidRDefault="009D5053" w:rsidP="006D66BB">
      <w:pPr>
        <w:pStyle w:val="ListBullet"/>
        <w:numPr>
          <w:ilvl w:val="0"/>
          <w:numId w:val="50"/>
        </w:numPr>
      </w:pPr>
      <w:r>
        <w:t>Review proposed fire management plans at an appropriate interval to ensure remaining suitable habitat for the subspecies is protected.</w:t>
      </w:r>
    </w:p>
    <w:p w14:paraId="3F42B81A" w14:textId="77777777" w:rsidR="00034237" w:rsidRDefault="00034237" w:rsidP="00034237">
      <w:pPr>
        <w:pStyle w:val="ListBullet"/>
      </w:pPr>
      <w:r>
        <w:t>Apply adaptive management to inform future fire management plans and actions</w:t>
      </w:r>
    </w:p>
    <w:p w14:paraId="3A5FC65E" w14:textId="1F8EAAFF" w:rsidR="002B6A3F" w:rsidRDefault="00641A2B" w:rsidP="00034237">
      <w:pPr>
        <w:pStyle w:val="Heading4"/>
        <w:ind w:left="964" w:hanging="964"/>
      </w:pPr>
      <w:r>
        <w:t>Competition for nest hollows</w:t>
      </w:r>
    </w:p>
    <w:p w14:paraId="4209D0CB" w14:textId="5C089CDD" w:rsidR="002D485F" w:rsidRDefault="002D485F" w:rsidP="00D41BDE">
      <w:pPr>
        <w:pStyle w:val="ListBullet"/>
        <w:numPr>
          <w:ilvl w:val="0"/>
          <w:numId w:val="50"/>
        </w:numPr>
      </w:pPr>
      <w:bookmarkStart w:id="12" w:name="_Hlk66275270"/>
      <w:r>
        <w:t xml:space="preserve">Continue </w:t>
      </w:r>
      <w:r w:rsidR="00106CC2">
        <w:t xml:space="preserve">to trial the use of artificial hollows, including </w:t>
      </w:r>
      <w:r w:rsidR="00CA0C75">
        <w:t xml:space="preserve">the </w:t>
      </w:r>
      <w:r w:rsidR="00827544">
        <w:t>excavated/augmented hollow technique.</w:t>
      </w:r>
    </w:p>
    <w:p w14:paraId="1B67702F" w14:textId="6BB4591A" w:rsidR="00D41BDE" w:rsidRDefault="00D41BDE" w:rsidP="00D41BDE">
      <w:pPr>
        <w:pStyle w:val="ListBullet"/>
        <w:numPr>
          <w:ilvl w:val="0"/>
          <w:numId w:val="50"/>
        </w:numPr>
      </w:pPr>
      <w:r>
        <w:t>Identify sites where hollows are limiting and develop and implement strategies to increase hollow availability that have clear objectives and include monitoring, maintenance, and reporting requirements.</w:t>
      </w:r>
    </w:p>
    <w:bookmarkEnd w:id="12"/>
    <w:p w14:paraId="50BFC404" w14:textId="503D3465" w:rsidR="00C3468B" w:rsidRDefault="00C3468B" w:rsidP="00C3468B">
      <w:pPr>
        <w:pStyle w:val="ListBullet"/>
        <w:numPr>
          <w:ilvl w:val="0"/>
          <w:numId w:val="50"/>
        </w:numPr>
      </w:pPr>
      <w:r>
        <w:t xml:space="preserve">Protect individual regenerating </w:t>
      </w:r>
      <w:r w:rsidRPr="00C3468B">
        <w:rPr>
          <w:i/>
          <w:iCs/>
        </w:rPr>
        <w:t>Callitris</w:t>
      </w:r>
      <w:r>
        <w:t xml:space="preserve"> pine from browsing and the resultant coppicing to enhance a stock of future single-trunked trees as potential hollow-bearing trees by applying silvicultural practices.</w:t>
      </w:r>
    </w:p>
    <w:p w14:paraId="39E6D4D9" w14:textId="77777777" w:rsidR="002B6A3F" w:rsidRDefault="002B6A3F" w:rsidP="009E7A91">
      <w:pPr>
        <w:pStyle w:val="Heading3"/>
        <w:ind w:left="964" w:hanging="964"/>
      </w:pPr>
      <w:r>
        <w:t>Stakeholder engagement/community engagement</w:t>
      </w:r>
    </w:p>
    <w:p w14:paraId="471C1D19" w14:textId="44A58C2A" w:rsidR="006674D8" w:rsidRDefault="006674D8" w:rsidP="006674D8">
      <w:pPr>
        <w:pStyle w:val="ListBullet"/>
        <w:numPr>
          <w:ilvl w:val="0"/>
          <w:numId w:val="50"/>
        </w:numPr>
        <w:rPr>
          <w:rFonts w:eastAsia="Cambria" w:cs="Cambria"/>
        </w:rPr>
      </w:pPr>
      <w:r>
        <w:t>Educate stakeholders and landholders about the ecological and habitat requirements of the eastern Major Mitchell’s cockatoo.</w:t>
      </w:r>
    </w:p>
    <w:p w14:paraId="1C951F14" w14:textId="77777777" w:rsidR="006674D8" w:rsidRDefault="006674D8" w:rsidP="006674D8">
      <w:pPr>
        <w:pStyle w:val="ListBullet"/>
        <w:numPr>
          <w:ilvl w:val="0"/>
          <w:numId w:val="50"/>
        </w:numPr>
      </w:pPr>
      <w:r>
        <w:t>Raise the profile of the subspecies and its important habitats with landholders and generate awareness of impacts of inappropriate grazing regimes.</w:t>
      </w:r>
    </w:p>
    <w:p w14:paraId="1FD5F153" w14:textId="77777777" w:rsidR="006674D8" w:rsidRDefault="006674D8" w:rsidP="006674D8">
      <w:pPr>
        <w:pStyle w:val="ListBullet"/>
        <w:numPr>
          <w:ilvl w:val="0"/>
          <w:numId w:val="50"/>
        </w:numPr>
      </w:pPr>
      <w:r>
        <w:t>Raise awareness with the public and encourage submission of sightings to publicly available platforms (e.g., Atlas of Living Australia).</w:t>
      </w:r>
    </w:p>
    <w:p w14:paraId="6D97B353" w14:textId="32B1B42B" w:rsidR="006674D8" w:rsidRDefault="006674D8" w:rsidP="006674D8">
      <w:pPr>
        <w:pStyle w:val="ListBullet"/>
        <w:numPr>
          <w:ilvl w:val="0"/>
          <w:numId w:val="50"/>
        </w:numPr>
      </w:pPr>
      <w:r>
        <w:t>Raise awareness with landholders and the public on the importance of large hollow-bearing trees</w:t>
      </w:r>
      <w:r w:rsidR="00626009">
        <w:t>.</w:t>
      </w:r>
    </w:p>
    <w:p w14:paraId="6FC75D80" w14:textId="77777777" w:rsidR="006674D8" w:rsidRDefault="006674D8" w:rsidP="006674D8">
      <w:pPr>
        <w:pStyle w:val="ListBullet"/>
        <w:numPr>
          <w:ilvl w:val="0"/>
          <w:numId w:val="50"/>
        </w:numPr>
      </w:pPr>
      <w:r>
        <w:t>Promote and incentivise land management practices that produce, enhance and/or increase the extent of habitat and implement appropriate fire regimes on public and private land.</w:t>
      </w:r>
    </w:p>
    <w:p w14:paraId="19A676DF" w14:textId="77777777" w:rsidR="002B6A3F" w:rsidRDefault="002B6A3F" w:rsidP="009E7A91">
      <w:pPr>
        <w:pStyle w:val="Heading3"/>
        <w:ind w:left="964" w:hanging="964"/>
      </w:pPr>
      <w:r>
        <w:t xml:space="preserve">Survey and </w:t>
      </w:r>
      <w:r w:rsidR="009F08D5">
        <w:t>m</w:t>
      </w:r>
      <w:r>
        <w:t>onitoring priorities</w:t>
      </w:r>
    </w:p>
    <w:p w14:paraId="1088A946" w14:textId="77777777" w:rsidR="005D7CE3" w:rsidRDefault="005D7CE3" w:rsidP="005D7CE3">
      <w:pPr>
        <w:pStyle w:val="ListBullet"/>
        <w:numPr>
          <w:ilvl w:val="0"/>
          <w:numId w:val="50"/>
        </w:numPr>
      </w:pPr>
      <w:bookmarkStart w:id="13" w:name="_Hlk66268715"/>
      <w:r>
        <w:t xml:space="preserve">Monitor population trends at key sites throughout the distribution, </w:t>
      </w:r>
      <w:proofErr w:type="gramStart"/>
      <w:r>
        <w:t>in order to</w:t>
      </w:r>
      <w:proofErr w:type="gramEnd"/>
      <w:r>
        <w:t xml:space="preserve"> track overall population trends, document the effectiveness of management actions, and identify sites requiring further management action.</w:t>
      </w:r>
    </w:p>
    <w:p w14:paraId="65D294DB" w14:textId="77777777" w:rsidR="005D7CE3" w:rsidRDefault="005D7CE3" w:rsidP="005D7CE3">
      <w:pPr>
        <w:pStyle w:val="ListBullet"/>
        <w:numPr>
          <w:ilvl w:val="0"/>
          <w:numId w:val="50"/>
        </w:numPr>
      </w:pPr>
      <w:r>
        <w:t>Monitor both fire-affected and unburnt areas to assess the impact of wildfire on the subspecies and identify refugia sites.</w:t>
      </w:r>
    </w:p>
    <w:p w14:paraId="5AA578C3" w14:textId="1DB1245F" w:rsidR="005D7CE3" w:rsidRDefault="005D7CE3" w:rsidP="005D7CE3">
      <w:pPr>
        <w:pStyle w:val="ListBullet"/>
        <w:numPr>
          <w:ilvl w:val="0"/>
          <w:numId w:val="50"/>
        </w:numPr>
      </w:pPr>
      <w:r>
        <w:t xml:space="preserve">Locate new feeding and breeding </w:t>
      </w:r>
      <w:proofErr w:type="gramStart"/>
      <w:r>
        <w:t>sites, and</w:t>
      </w:r>
      <w:proofErr w:type="gramEnd"/>
      <w:r>
        <w:t xml:space="preserve"> include them in the monitoring.</w:t>
      </w:r>
    </w:p>
    <w:p w14:paraId="1916BD90" w14:textId="77777777" w:rsidR="005D7CE3" w:rsidRDefault="005D7CE3" w:rsidP="005D7CE3">
      <w:pPr>
        <w:pStyle w:val="ListBullet"/>
        <w:numPr>
          <w:ilvl w:val="0"/>
          <w:numId w:val="50"/>
        </w:numPr>
      </w:pPr>
      <w:r>
        <w:t>Monitor changes in habitat extent and use over time and in response to threats and management actions.</w:t>
      </w:r>
    </w:p>
    <w:p w14:paraId="1873064C" w14:textId="77777777" w:rsidR="005D7CE3" w:rsidRDefault="005D7CE3" w:rsidP="005D7CE3">
      <w:pPr>
        <w:pStyle w:val="ListBullet"/>
        <w:numPr>
          <w:ilvl w:val="0"/>
          <w:numId w:val="50"/>
        </w:numPr>
      </w:pPr>
      <w:r>
        <w:t>Ground-truth and refine mapping of habitat based on identified habitat characteristics and known feeding and breeding sites.</w:t>
      </w:r>
    </w:p>
    <w:p w14:paraId="0FC541F1" w14:textId="77777777" w:rsidR="005D7CE3" w:rsidRDefault="005D7CE3" w:rsidP="005D7CE3">
      <w:pPr>
        <w:pStyle w:val="ListBullet"/>
        <w:numPr>
          <w:ilvl w:val="0"/>
          <w:numId w:val="50"/>
        </w:numPr>
      </w:pPr>
      <w:r>
        <w:t>Monitor for cases of PBFD. If active, work with local authorities and develop site-based management strategies.</w:t>
      </w:r>
      <w:bookmarkEnd w:id="13"/>
    </w:p>
    <w:p w14:paraId="18B9CD09" w14:textId="77777777" w:rsidR="002B6A3F" w:rsidRDefault="002B6A3F" w:rsidP="009E7A91">
      <w:pPr>
        <w:pStyle w:val="Heading3"/>
        <w:ind w:left="964" w:hanging="964"/>
      </w:pPr>
      <w:r>
        <w:lastRenderedPageBreak/>
        <w:t xml:space="preserve">Information and </w:t>
      </w:r>
      <w:r w:rsidR="009F08D5">
        <w:t>r</w:t>
      </w:r>
      <w:r>
        <w:t>esearch priorities</w:t>
      </w:r>
    </w:p>
    <w:p w14:paraId="7DA8EF8C" w14:textId="77777777" w:rsidR="00B66331" w:rsidRDefault="00B66331" w:rsidP="00B66331">
      <w:pPr>
        <w:pStyle w:val="ListBullet"/>
        <w:numPr>
          <w:ilvl w:val="0"/>
          <w:numId w:val="50"/>
        </w:numPr>
      </w:pPr>
      <w:r>
        <w:t xml:space="preserve">Improve understanding of population demographics across range, patterns of dispersal and connectivity across subpopulations, </w:t>
      </w:r>
      <w:proofErr w:type="gramStart"/>
      <w:r>
        <w:t>in order to</w:t>
      </w:r>
      <w:proofErr w:type="gramEnd"/>
      <w:r>
        <w:t xml:space="preserve"> design management to retain and support landscape connectivity. This includes defining the habitat characteristics that allow birds to use areas as movement corridors.</w:t>
      </w:r>
    </w:p>
    <w:p w14:paraId="54FACCA3" w14:textId="77777777" w:rsidR="00B66331" w:rsidRDefault="00B66331" w:rsidP="00B66331">
      <w:pPr>
        <w:pStyle w:val="ListBullet"/>
        <w:numPr>
          <w:ilvl w:val="0"/>
          <w:numId w:val="50"/>
        </w:numPr>
      </w:pPr>
      <w:r>
        <w:t>Improve knowledge of the impact of wildfire on the subspecies and its habitat, and their ability to re-colonise recently burnt areas.</w:t>
      </w:r>
    </w:p>
    <w:p w14:paraId="34896FF1" w14:textId="77777777" w:rsidR="00B66331" w:rsidRDefault="00B66331" w:rsidP="00B66331">
      <w:pPr>
        <w:pStyle w:val="ListBullet"/>
        <w:numPr>
          <w:ilvl w:val="0"/>
          <w:numId w:val="50"/>
        </w:numPr>
      </w:pPr>
      <w:r>
        <w:t>Use modelling techniques to investigate the potential impact of climate change on the subspecies, habitats critical for survival, and the availability of key resources.</w:t>
      </w:r>
    </w:p>
    <w:p w14:paraId="17984B84" w14:textId="7BEABBE8" w:rsidR="00B66331" w:rsidRDefault="00B66331" w:rsidP="00B66331">
      <w:pPr>
        <w:pStyle w:val="ListBullet"/>
        <w:numPr>
          <w:ilvl w:val="0"/>
          <w:numId w:val="50"/>
        </w:numPr>
      </w:pPr>
      <w:r>
        <w:t>Conduct further research to examine the competition with other species (</w:t>
      </w:r>
      <w:proofErr w:type="gramStart"/>
      <w:r>
        <w:t>in particular introduced</w:t>
      </w:r>
      <w:proofErr w:type="gramEnd"/>
      <w:r>
        <w:t xml:space="preserve"> species), and the impacts on </w:t>
      </w:r>
      <w:r w:rsidR="008C0AFA">
        <w:t>the eastern Major Mitchell’s cockatoo</w:t>
      </w:r>
      <w:r>
        <w:t>.</w:t>
      </w:r>
    </w:p>
    <w:p w14:paraId="4895CE0F" w14:textId="77777777" w:rsidR="00B66331" w:rsidRDefault="00B66331" w:rsidP="00B66331">
      <w:pPr>
        <w:pStyle w:val="ListBullet"/>
        <w:numPr>
          <w:ilvl w:val="0"/>
          <w:numId w:val="50"/>
        </w:numPr>
      </w:pPr>
      <w:r>
        <w:t>Enable the integration of Traditional Ecological knowledge into site-based management strategies.</w:t>
      </w:r>
    </w:p>
    <w:p w14:paraId="64148182" w14:textId="77777777" w:rsidR="002B6A3F" w:rsidRDefault="002B6A3F" w:rsidP="00CC062B">
      <w:pPr>
        <w:pStyle w:val="Heading2"/>
        <w:ind w:left="720" w:hanging="720"/>
      </w:pPr>
      <w:r>
        <w:t>Links to relevant implementation documents</w:t>
      </w:r>
    </w:p>
    <w:p w14:paraId="33ECC1AA" w14:textId="01F3182A" w:rsidR="007C0638" w:rsidRDefault="00EF243C" w:rsidP="00F35CBA">
      <w:pPr>
        <w:pStyle w:val="ListBullet"/>
      </w:pPr>
      <w:hyperlink r:id="rId17" w:history="1">
        <w:r w:rsidR="006C5033" w:rsidRPr="006C5033">
          <w:rPr>
            <w:rStyle w:val="Hyperlink"/>
          </w:rPr>
          <w:t>Threat abatement plan for c</w:t>
        </w:r>
        <w:r w:rsidR="00F35CBA" w:rsidRPr="006C5033">
          <w:rPr>
            <w:rStyle w:val="Hyperlink"/>
          </w:rPr>
          <w:t>ompetition and land degradation by unmanaged goats</w:t>
        </w:r>
      </w:hyperlink>
      <w:r w:rsidR="00F35CBA">
        <w:t xml:space="preserve"> </w:t>
      </w:r>
      <w:r w:rsidR="00A74E8D">
        <w:t>(DE</w:t>
      </w:r>
      <w:r w:rsidR="00F35CBA">
        <w:t>WHA 2008)</w:t>
      </w:r>
      <w:r w:rsidR="00A74E8D">
        <w:t>.</w:t>
      </w:r>
    </w:p>
    <w:p w14:paraId="69A50AD6" w14:textId="57ECD679" w:rsidR="000B0257" w:rsidRDefault="00444AD8" w:rsidP="000B0257">
      <w:r>
        <w:t xml:space="preserve">This Conservation Advice </w:t>
      </w:r>
      <w:r w:rsidR="00382572">
        <w:t>is developed to</w:t>
      </w:r>
      <w:r w:rsidR="007706DF">
        <w:t xml:space="preserve"> be able to</w:t>
      </w:r>
      <w:r>
        <w:t xml:space="preserve"> subsequently inform other </w:t>
      </w:r>
      <w:r w:rsidR="00162F94">
        <w:t>planning instruments such as a Bioregional Plan</w:t>
      </w:r>
      <w:r w:rsidR="00A11FC7">
        <w:t xml:space="preserve"> or a multi-entity Conservation Plan</w:t>
      </w:r>
      <w:r w:rsidR="00E615F8">
        <w:t>.</w:t>
      </w:r>
    </w:p>
    <w:p w14:paraId="284584CA" w14:textId="1243D55B" w:rsidR="009E13C2" w:rsidRDefault="002319AB" w:rsidP="00674929">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7"/>
      <w:bookmarkEnd w:id="8"/>
      <w:r w:rsidR="0012461E">
        <w:t>L</w:t>
      </w:r>
      <w:r>
        <w:t xml:space="preserve">isting </w:t>
      </w:r>
      <w:r w:rsidR="0012461E">
        <w:t>A</w:t>
      </w:r>
      <w:r>
        <w:t>ssessment references</w:t>
      </w:r>
    </w:p>
    <w:p w14:paraId="7EC02B06" w14:textId="788B9B55" w:rsidR="0086619D" w:rsidRDefault="00674929" w:rsidP="00601FF6">
      <w:pPr>
        <w:rPr>
          <w:lang w:val="en-US" w:eastAsia="ja-JP"/>
        </w:rPr>
      </w:pPr>
      <w:r w:rsidRPr="00674929">
        <w:rPr>
          <w:lang w:val="en-US" w:eastAsia="ja-JP"/>
        </w:rPr>
        <w:t xml:space="preserve">Bird JP, Martin R, </w:t>
      </w:r>
      <w:proofErr w:type="spellStart"/>
      <w:r w:rsidRPr="00674929">
        <w:rPr>
          <w:lang w:val="en-US" w:eastAsia="ja-JP"/>
        </w:rPr>
        <w:t>Akçakaya</w:t>
      </w:r>
      <w:proofErr w:type="spellEnd"/>
      <w:r w:rsidRPr="00674929">
        <w:rPr>
          <w:lang w:val="en-US" w:eastAsia="ja-JP"/>
        </w:rPr>
        <w:t xml:space="preserve"> HR, Gilroy J, Burfield IJ, Garnett ST, Symes A, Taylor J, </w:t>
      </w:r>
      <w:proofErr w:type="spellStart"/>
      <w:r w:rsidRPr="00674929">
        <w:rPr>
          <w:lang w:val="en-US" w:eastAsia="ja-JP"/>
        </w:rPr>
        <w:t>Şekercioğlu</w:t>
      </w:r>
      <w:proofErr w:type="spellEnd"/>
      <w:r w:rsidRPr="00674929">
        <w:rPr>
          <w:lang w:val="en-US" w:eastAsia="ja-JP"/>
        </w:rPr>
        <w:t xml:space="preserve"> ÇH, Butchart SHM (2020) Generation lengths of the world's birds and their implications for extinction risk. </w:t>
      </w:r>
      <w:r w:rsidRPr="00674929">
        <w:rPr>
          <w:i/>
          <w:iCs/>
          <w:lang w:val="en-US" w:eastAsia="ja-JP"/>
        </w:rPr>
        <w:t>Conservation Biology</w:t>
      </w:r>
      <w:r w:rsidRPr="00674929">
        <w:rPr>
          <w:lang w:val="en-US" w:eastAsia="ja-JP"/>
        </w:rPr>
        <w:t xml:space="preserve"> 34, 1252–1261.</w:t>
      </w:r>
    </w:p>
    <w:p w14:paraId="1ED30A96" w14:textId="02B91EB9" w:rsidR="00420549" w:rsidRDefault="00112BA8" w:rsidP="00601FF6">
      <w:pPr>
        <w:rPr>
          <w:lang w:val="en-US" w:eastAsia="ja-JP"/>
        </w:rPr>
      </w:pPr>
      <w:r>
        <w:rPr>
          <w:lang w:val="en-US" w:eastAsia="ja-JP"/>
        </w:rPr>
        <w:t xml:space="preserve">Boehm EF (1961) Pink Cockatoo in southern South Australia. </w:t>
      </w:r>
      <w:r>
        <w:rPr>
          <w:i/>
          <w:iCs/>
          <w:lang w:val="en-US" w:eastAsia="ja-JP"/>
        </w:rPr>
        <w:t>Emu</w:t>
      </w:r>
      <w:r>
        <w:rPr>
          <w:lang w:val="en-US" w:eastAsia="ja-JP"/>
        </w:rPr>
        <w:t xml:space="preserve"> 61, 2, 138-139.</w:t>
      </w:r>
    </w:p>
    <w:p w14:paraId="12DC572E" w14:textId="7676582C" w:rsidR="004709A4" w:rsidRPr="004709A4" w:rsidRDefault="004709A4" w:rsidP="00601FF6">
      <w:r w:rsidRPr="00722409">
        <w:t xml:space="preserve">BOM &amp; CSIRO </w:t>
      </w:r>
      <w:r>
        <w:rPr>
          <w:bCs/>
        </w:rPr>
        <w:t>(</w:t>
      </w:r>
      <w:r w:rsidRPr="00722409">
        <w:t>20</w:t>
      </w:r>
      <w:r>
        <w:t>20</w:t>
      </w:r>
      <w:r>
        <w:rPr>
          <w:bCs/>
        </w:rPr>
        <w:t>)</w:t>
      </w:r>
      <w:r w:rsidRPr="00722409">
        <w:t xml:space="preserve"> </w:t>
      </w:r>
      <w:r w:rsidRPr="00722409">
        <w:rPr>
          <w:i/>
          <w:iCs/>
        </w:rPr>
        <w:t>State of the Climate 20</w:t>
      </w:r>
      <w:r>
        <w:rPr>
          <w:i/>
          <w:iCs/>
        </w:rPr>
        <w:t>20</w:t>
      </w:r>
      <w:r w:rsidRPr="00722409">
        <w:t>. CSIRO</w:t>
      </w:r>
      <w:r>
        <w:t>, Acton</w:t>
      </w:r>
      <w:r w:rsidRPr="00722409">
        <w:t>.</w:t>
      </w:r>
    </w:p>
    <w:p w14:paraId="0324F632" w14:textId="160DBC81" w:rsidR="00C641E6" w:rsidRDefault="00586D72" w:rsidP="00601FF6">
      <w:pPr>
        <w:rPr>
          <w:lang w:val="en-US" w:eastAsia="ja-JP"/>
        </w:rPr>
      </w:pPr>
      <w:proofErr w:type="spellStart"/>
      <w:r>
        <w:rPr>
          <w:lang w:val="en-US" w:eastAsia="ja-JP"/>
        </w:rPr>
        <w:t>Cheal</w:t>
      </w:r>
      <w:proofErr w:type="spellEnd"/>
      <w:r>
        <w:rPr>
          <w:lang w:val="en-US" w:eastAsia="ja-JP"/>
        </w:rPr>
        <w:t xml:space="preserve"> D, Lucas A &amp; Macaulay L (2011) </w:t>
      </w:r>
      <w:r>
        <w:rPr>
          <w:i/>
          <w:iCs/>
          <w:lang w:val="en-US" w:eastAsia="ja-JP"/>
        </w:rPr>
        <w:t xml:space="preserve">National Recovery Plan for </w:t>
      </w:r>
      <w:proofErr w:type="spellStart"/>
      <w:r>
        <w:rPr>
          <w:i/>
          <w:iCs/>
          <w:lang w:val="en-US" w:eastAsia="ja-JP"/>
        </w:rPr>
        <w:t>Buloke</w:t>
      </w:r>
      <w:proofErr w:type="spellEnd"/>
      <w:r>
        <w:rPr>
          <w:i/>
          <w:iCs/>
          <w:lang w:val="en-US" w:eastAsia="ja-JP"/>
        </w:rPr>
        <w:t xml:space="preserve"> Woodlands of </w:t>
      </w:r>
      <w:r w:rsidR="00005533">
        <w:rPr>
          <w:i/>
          <w:iCs/>
          <w:lang w:val="en-US" w:eastAsia="ja-JP"/>
        </w:rPr>
        <w:t>the Riverina and Murray-Darling Depression Bioregions.</w:t>
      </w:r>
      <w:r w:rsidR="00005533">
        <w:rPr>
          <w:lang w:val="en-US" w:eastAsia="ja-JP"/>
        </w:rPr>
        <w:t xml:space="preserve"> Department of Sustainability and Environment, Melbourne.</w:t>
      </w:r>
    </w:p>
    <w:p w14:paraId="28054E6C" w14:textId="187639E5" w:rsidR="00E04988" w:rsidRDefault="00E04988" w:rsidP="00601FF6">
      <w:pPr>
        <w:rPr>
          <w:lang w:val="en-US" w:eastAsia="ja-JP"/>
        </w:rPr>
      </w:pPr>
      <w:r>
        <w:rPr>
          <w:lang w:val="en-US" w:eastAsia="ja-JP"/>
        </w:rPr>
        <w:t>Condon HT (1955) Aboriginal bird names – South Australia Part One</w:t>
      </w:r>
      <w:r w:rsidR="00DF364C">
        <w:rPr>
          <w:lang w:val="en-US" w:eastAsia="ja-JP"/>
        </w:rPr>
        <w:t xml:space="preserve">. </w:t>
      </w:r>
      <w:r w:rsidR="00817196">
        <w:rPr>
          <w:i/>
          <w:iCs/>
          <w:lang w:val="en-US" w:eastAsia="ja-JP"/>
        </w:rPr>
        <w:t xml:space="preserve">South Australian </w:t>
      </w:r>
      <w:r w:rsidR="00DF364C">
        <w:rPr>
          <w:i/>
          <w:iCs/>
          <w:lang w:val="en-US" w:eastAsia="ja-JP"/>
        </w:rPr>
        <w:t>Ornithologist</w:t>
      </w:r>
      <w:r w:rsidR="00817196">
        <w:rPr>
          <w:i/>
          <w:iCs/>
          <w:lang w:val="en-US" w:eastAsia="ja-JP"/>
        </w:rPr>
        <w:t xml:space="preserve"> </w:t>
      </w:r>
      <w:r w:rsidR="00C150B3">
        <w:rPr>
          <w:lang w:val="en-US" w:eastAsia="ja-JP"/>
        </w:rPr>
        <w:t>21, 6-7, 74-88.</w:t>
      </w:r>
    </w:p>
    <w:p w14:paraId="0A97B254" w14:textId="77B48A31" w:rsidR="007C67B6" w:rsidRPr="00954A95" w:rsidRDefault="007C67B6" w:rsidP="00601FF6">
      <w:pPr>
        <w:rPr>
          <w:lang w:val="en-US" w:eastAsia="ja-JP"/>
        </w:rPr>
      </w:pPr>
      <w:r w:rsidRPr="00A910FA">
        <w:rPr>
          <w:lang w:val="en-US" w:eastAsia="ja-JP"/>
        </w:rPr>
        <w:t xml:space="preserve">Department of Environment and Energy (DEE) (2016) </w:t>
      </w:r>
      <w:r w:rsidRPr="00A910FA">
        <w:rPr>
          <w:i/>
          <w:iCs/>
          <w:lang w:val="en-US" w:eastAsia="ja-JP"/>
        </w:rPr>
        <w:t xml:space="preserve">Threat Abatement Advice for the key </w:t>
      </w:r>
      <w:r w:rsidRPr="00954A95">
        <w:rPr>
          <w:i/>
          <w:iCs/>
          <w:lang w:val="en-US" w:eastAsia="ja-JP"/>
        </w:rPr>
        <w:t>threatening process 'Psittacine Circoviral (beak and feather) Disease affecting endangered psittacine species'</w:t>
      </w:r>
      <w:r w:rsidRPr="00954A95">
        <w:rPr>
          <w:lang w:val="en-US" w:eastAsia="ja-JP"/>
        </w:rPr>
        <w:t>. Department of Environment and Energy, Canberra.</w:t>
      </w:r>
    </w:p>
    <w:p w14:paraId="642678BA" w14:textId="09F5BA28" w:rsidR="00174F58" w:rsidRDefault="00174F58" w:rsidP="00601FF6">
      <w:pPr>
        <w:rPr>
          <w:lang w:val="en-US" w:eastAsia="ja-JP"/>
        </w:rPr>
      </w:pPr>
      <w:r w:rsidRPr="00954A95">
        <w:rPr>
          <w:lang w:val="en-US" w:eastAsia="ja-JP"/>
        </w:rPr>
        <w:t xml:space="preserve">Department </w:t>
      </w:r>
      <w:r w:rsidR="00445B49" w:rsidRPr="00954A95">
        <w:rPr>
          <w:lang w:val="en-US" w:eastAsia="ja-JP"/>
        </w:rPr>
        <w:t xml:space="preserve">of Sustainability and Environment (2004) </w:t>
      </w:r>
      <w:r w:rsidR="00445B49" w:rsidRPr="00954A95">
        <w:rPr>
          <w:i/>
          <w:iCs/>
          <w:lang w:val="en-US" w:eastAsia="ja-JP"/>
        </w:rPr>
        <w:t xml:space="preserve">Flora and Fauna Guarantee Action Statement Major Mitchell’s Cockatoo </w:t>
      </w:r>
      <w:proofErr w:type="spellStart"/>
      <w:r w:rsidR="00445B49" w:rsidRPr="00954A95">
        <w:rPr>
          <w:lang w:val="en-US" w:eastAsia="ja-JP"/>
        </w:rPr>
        <w:t>L</w:t>
      </w:r>
      <w:r w:rsidR="001D00C1" w:rsidRPr="00954A95">
        <w:rPr>
          <w:lang w:val="en-US" w:eastAsia="ja-JP"/>
        </w:rPr>
        <w:t>oph</w:t>
      </w:r>
      <w:r w:rsidR="007F15D1" w:rsidRPr="00954A95">
        <w:rPr>
          <w:lang w:val="en-US" w:eastAsia="ja-JP"/>
        </w:rPr>
        <w:t>ocroa</w:t>
      </w:r>
      <w:proofErr w:type="spellEnd"/>
      <w:r w:rsidR="007F15D1" w:rsidRPr="00954A95">
        <w:rPr>
          <w:lang w:val="en-US" w:eastAsia="ja-JP"/>
        </w:rPr>
        <w:t xml:space="preserve"> </w:t>
      </w:r>
      <w:proofErr w:type="spellStart"/>
      <w:r w:rsidR="007F15D1" w:rsidRPr="00954A95">
        <w:rPr>
          <w:lang w:val="en-US" w:eastAsia="ja-JP"/>
        </w:rPr>
        <w:t>leadbeateri</w:t>
      </w:r>
      <w:proofErr w:type="spellEnd"/>
      <w:r w:rsidR="007F15D1" w:rsidRPr="00954A95">
        <w:rPr>
          <w:lang w:val="en-US" w:eastAsia="ja-JP"/>
        </w:rPr>
        <w:t xml:space="preserve">. </w:t>
      </w:r>
      <w:r w:rsidR="00954A95" w:rsidRPr="00954A95">
        <w:rPr>
          <w:lang w:val="en-US" w:eastAsia="ja-JP"/>
        </w:rPr>
        <w:t>Department of Sustainability and Environment, Melbourne.</w:t>
      </w:r>
    </w:p>
    <w:p w14:paraId="32F34A87" w14:textId="45152810" w:rsidR="00A74E8D" w:rsidRDefault="00A74E8D" w:rsidP="00601FF6">
      <w:pPr>
        <w:rPr>
          <w:lang w:val="en-US" w:eastAsia="ja-JP"/>
        </w:rPr>
      </w:pPr>
      <w:r>
        <w:rPr>
          <w:lang w:val="en-US" w:eastAsia="ja-JP"/>
        </w:rPr>
        <w:t xml:space="preserve">Department of the Environment, Water, </w:t>
      </w:r>
      <w:proofErr w:type="gramStart"/>
      <w:r w:rsidR="0080016B">
        <w:rPr>
          <w:lang w:val="en-US" w:eastAsia="ja-JP"/>
        </w:rPr>
        <w:t>Heritage</w:t>
      </w:r>
      <w:proofErr w:type="gramEnd"/>
      <w:r>
        <w:rPr>
          <w:lang w:val="en-US" w:eastAsia="ja-JP"/>
        </w:rPr>
        <w:t xml:space="preserve"> and the Arts (DEWHA) (2008) </w:t>
      </w:r>
      <w:r w:rsidR="0080016B">
        <w:rPr>
          <w:lang w:val="en-US" w:eastAsia="ja-JP"/>
        </w:rPr>
        <w:t>Threat abatement plan for c</w:t>
      </w:r>
      <w:r w:rsidR="0080016B">
        <w:rPr>
          <w:i/>
          <w:iCs/>
          <w:lang w:val="en-US" w:eastAsia="ja-JP"/>
        </w:rPr>
        <w:t>ompetition and land degradation by unmanaged goats</w:t>
      </w:r>
      <w:r w:rsidR="0080016B">
        <w:rPr>
          <w:lang w:val="en-US" w:eastAsia="ja-JP"/>
        </w:rPr>
        <w:t>. DEWHA, Canberra.</w:t>
      </w:r>
    </w:p>
    <w:p w14:paraId="57AECBD9" w14:textId="56516794" w:rsidR="00D464EE" w:rsidRPr="00D464EE" w:rsidRDefault="00D464EE" w:rsidP="00601FF6">
      <w:pPr>
        <w:rPr>
          <w:lang w:val="en-US" w:eastAsia="ja-JP"/>
        </w:rPr>
      </w:pPr>
      <w:r>
        <w:rPr>
          <w:lang w:val="en-US" w:eastAsia="ja-JP"/>
        </w:rPr>
        <w:lastRenderedPageBreak/>
        <w:t xml:space="preserve">Environmental protection Authority (EPA) (2019) </w:t>
      </w:r>
      <w:r>
        <w:rPr>
          <w:i/>
          <w:iCs/>
          <w:lang w:val="en-US" w:eastAsia="ja-JP"/>
        </w:rPr>
        <w:t>Carnaby’s Cockatoo in Environmental Impact Assessment in the Perth and Peel Region</w:t>
      </w:r>
      <w:r>
        <w:rPr>
          <w:lang w:val="en-US" w:eastAsia="ja-JP"/>
        </w:rPr>
        <w:t>. EPA, Western Australia.</w:t>
      </w:r>
    </w:p>
    <w:p w14:paraId="229B607D" w14:textId="7E8E2B57" w:rsidR="00AB6A64" w:rsidRPr="00AB6A64" w:rsidRDefault="00AB6A64" w:rsidP="00601FF6">
      <w:pPr>
        <w:rPr>
          <w:lang w:eastAsia="en-AU"/>
        </w:rPr>
      </w:pPr>
      <w:bookmarkStart w:id="14" w:name="_Hlk82770591"/>
      <w:r w:rsidRPr="003D7BA7">
        <w:rPr>
          <w:lang w:eastAsia="en-AU"/>
        </w:rPr>
        <w:t xml:space="preserve">Evans JP, </w:t>
      </w:r>
      <w:proofErr w:type="spellStart"/>
      <w:r w:rsidRPr="003D7BA7">
        <w:rPr>
          <w:lang w:eastAsia="en-AU"/>
        </w:rPr>
        <w:t>Argueso</w:t>
      </w:r>
      <w:proofErr w:type="spellEnd"/>
      <w:r w:rsidRPr="003D7BA7">
        <w:rPr>
          <w:lang w:eastAsia="en-AU"/>
        </w:rPr>
        <w:t xml:space="preserve"> D, Olson R &amp; Di Luca A (2017) Bias‐corrected regional climate projections of extreme rainfall in south‐east Australia. </w:t>
      </w:r>
      <w:r w:rsidRPr="003D7BA7">
        <w:rPr>
          <w:i/>
          <w:iCs/>
          <w:lang w:eastAsia="en-AU"/>
        </w:rPr>
        <w:t>Theoretical and Applied Climatology</w:t>
      </w:r>
      <w:r w:rsidRPr="003D7BA7">
        <w:rPr>
          <w:lang w:eastAsia="en-AU"/>
        </w:rPr>
        <w:t xml:space="preserve"> 130, 1085–1098.</w:t>
      </w:r>
      <w:bookmarkEnd w:id="14"/>
    </w:p>
    <w:p w14:paraId="0DD9ECC9" w14:textId="65496942" w:rsidR="00EB52E3" w:rsidRDefault="00EB52E3" w:rsidP="00601FF6">
      <w:pPr>
        <w:rPr>
          <w:lang w:val="en-US" w:eastAsia="ja-JP"/>
        </w:rPr>
      </w:pPr>
      <w:r>
        <w:rPr>
          <w:lang w:val="en-US" w:eastAsia="ja-JP"/>
        </w:rPr>
        <w:t xml:space="preserve">Fahey C (2017) Agricultural Settlement in Victoria’s Last Frontier: The Mallee, 1890-1951. </w:t>
      </w:r>
      <w:r>
        <w:rPr>
          <w:i/>
          <w:iCs/>
          <w:lang w:val="en-US" w:eastAsia="ja-JP"/>
        </w:rPr>
        <w:t>Agricultural History</w:t>
      </w:r>
      <w:r>
        <w:rPr>
          <w:lang w:val="en-US" w:eastAsia="ja-JP"/>
        </w:rPr>
        <w:t xml:space="preserve"> 91</w:t>
      </w:r>
      <w:r w:rsidR="00C13AA0">
        <w:rPr>
          <w:lang w:val="en-US" w:eastAsia="ja-JP"/>
        </w:rPr>
        <w:t>, 2, 187-214.</w:t>
      </w:r>
    </w:p>
    <w:p w14:paraId="555B3F17" w14:textId="77777777" w:rsidR="008470D0" w:rsidRPr="00A910FA" w:rsidRDefault="008470D0" w:rsidP="008470D0">
      <w:pPr>
        <w:rPr>
          <w:lang w:val="en-US" w:eastAsia="ja-JP"/>
        </w:rPr>
      </w:pPr>
      <w:r w:rsidRPr="00A910FA">
        <w:rPr>
          <w:lang w:val="en-US" w:eastAsia="ja-JP"/>
        </w:rPr>
        <w:t xml:space="preserve">Fay R, </w:t>
      </w:r>
      <w:proofErr w:type="spellStart"/>
      <w:r w:rsidRPr="00A910FA">
        <w:rPr>
          <w:lang w:val="en-US" w:eastAsia="ja-JP"/>
        </w:rPr>
        <w:t>Michler</w:t>
      </w:r>
      <w:proofErr w:type="spellEnd"/>
      <w:r w:rsidRPr="00A910FA">
        <w:rPr>
          <w:lang w:val="en-US" w:eastAsia="ja-JP"/>
        </w:rPr>
        <w:t xml:space="preserve"> S, </w:t>
      </w:r>
      <w:proofErr w:type="spellStart"/>
      <w:r w:rsidRPr="00A910FA">
        <w:rPr>
          <w:lang w:val="en-US" w:eastAsia="ja-JP"/>
        </w:rPr>
        <w:t>Laesser</w:t>
      </w:r>
      <w:proofErr w:type="spellEnd"/>
      <w:r w:rsidRPr="00A910FA">
        <w:rPr>
          <w:lang w:val="en-US" w:eastAsia="ja-JP"/>
        </w:rPr>
        <w:t xml:space="preserve"> J &amp; Schaub M (2019) Integrated population model reveals that kestrels breeding in nest boxes operate as a source population. </w:t>
      </w:r>
      <w:proofErr w:type="spellStart"/>
      <w:r w:rsidRPr="00A910FA">
        <w:rPr>
          <w:i/>
          <w:iCs/>
          <w:lang w:val="en-US" w:eastAsia="ja-JP"/>
        </w:rPr>
        <w:t>Ecography</w:t>
      </w:r>
      <w:proofErr w:type="spellEnd"/>
      <w:r w:rsidRPr="00A910FA">
        <w:rPr>
          <w:i/>
          <w:iCs/>
          <w:lang w:val="en-US" w:eastAsia="ja-JP"/>
        </w:rPr>
        <w:t xml:space="preserve"> </w:t>
      </w:r>
      <w:r w:rsidRPr="00A910FA">
        <w:rPr>
          <w:lang w:val="en-US" w:eastAsia="ja-JP"/>
        </w:rPr>
        <w:t>42, 12, 2122-2131.</w:t>
      </w:r>
    </w:p>
    <w:p w14:paraId="4C57EA15" w14:textId="589421FD" w:rsidR="00595D8E" w:rsidRDefault="00595D8E" w:rsidP="00601FF6">
      <w:pPr>
        <w:rPr>
          <w:lang w:val="en-US" w:eastAsia="ja-JP"/>
        </w:rPr>
      </w:pPr>
      <w:r>
        <w:rPr>
          <w:lang w:val="en-US" w:eastAsia="ja-JP"/>
        </w:rPr>
        <w:t xml:space="preserve">Fraser I &amp; Gray J (2013) </w:t>
      </w:r>
      <w:r w:rsidRPr="00595D8E">
        <w:rPr>
          <w:i/>
          <w:iCs/>
          <w:lang w:val="en-US" w:eastAsia="ja-JP"/>
        </w:rPr>
        <w:t>Australian bird names</w:t>
      </w:r>
      <w:r w:rsidR="00B16D58">
        <w:rPr>
          <w:i/>
          <w:iCs/>
          <w:lang w:val="en-US" w:eastAsia="ja-JP"/>
        </w:rPr>
        <w:t>:</w:t>
      </w:r>
      <w:r w:rsidRPr="00595D8E">
        <w:rPr>
          <w:i/>
          <w:iCs/>
          <w:lang w:val="en-US" w:eastAsia="ja-JP"/>
        </w:rPr>
        <w:t xml:space="preserve"> a complete guide</w:t>
      </w:r>
      <w:r>
        <w:rPr>
          <w:lang w:val="en-US" w:eastAsia="ja-JP"/>
        </w:rPr>
        <w:t xml:space="preserve">. </w:t>
      </w:r>
      <w:r w:rsidRPr="00595D8E">
        <w:rPr>
          <w:lang w:val="en-US" w:eastAsia="ja-JP"/>
        </w:rPr>
        <w:t>CSIRO Publishing</w:t>
      </w:r>
      <w:r>
        <w:rPr>
          <w:lang w:val="en-US" w:eastAsia="ja-JP"/>
        </w:rPr>
        <w:t>, Collingwood.</w:t>
      </w:r>
    </w:p>
    <w:p w14:paraId="45E8C159" w14:textId="5003B53C" w:rsidR="00F24ADD" w:rsidRPr="00F24ADD" w:rsidRDefault="00F24ADD" w:rsidP="00601FF6">
      <w:pPr>
        <w:rPr>
          <w:lang w:val="en-US" w:eastAsia="ja-JP"/>
        </w:rPr>
      </w:pPr>
      <w:r>
        <w:rPr>
          <w:lang w:val="en-US" w:eastAsia="ja-JP"/>
        </w:rPr>
        <w:t xml:space="preserve">Garnett ST &amp; Crowley GM (2000) </w:t>
      </w:r>
      <w:r>
        <w:rPr>
          <w:i/>
          <w:iCs/>
          <w:lang w:val="en-US" w:eastAsia="ja-JP"/>
        </w:rPr>
        <w:t>The action plan for Australian birds 2000</w:t>
      </w:r>
      <w:r>
        <w:rPr>
          <w:lang w:val="en-US" w:eastAsia="ja-JP"/>
        </w:rPr>
        <w:t>. Environment Australia, Canberra.</w:t>
      </w:r>
    </w:p>
    <w:p w14:paraId="1A830B36" w14:textId="3B944E71" w:rsidR="00DE2F32" w:rsidRDefault="00DE2F32" w:rsidP="00601FF6">
      <w:pPr>
        <w:rPr>
          <w:lang w:val="en-US" w:eastAsia="ja-JP"/>
        </w:rPr>
      </w:pPr>
      <w:r w:rsidRPr="00DE2F32">
        <w:rPr>
          <w:lang w:val="en-US" w:eastAsia="ja-JP"/>
        </w:rPr>
        <w:t xml:space="preserve">Garnett ST, Szabo JK, &amp; </w:t>
      </w:r>
      <w:proofErr w:type="spellStart"/>
      <w:r w:rsidRPr="00DE2F32">
        <w:rPr>
          <w:lang w:val="en-US" w:eastAsia="ja-JP"/>
        </w:rPr>
        <w:t>Dutson</w:t>
      </w:r>
      <w:proofErr w:type="spellEnd"/>
      <w:r w:rsidRPr="00DE2F32">
        <w:rPr>
          <w:lang w:val="en-US" w:eastAsia="ja-JP"/>
        </w:rPr>
        <w:t xml:space="preserve"> G (2011)</w:t>
      </w:r>
      <w:r w:rsidRPr="00DE2F32">
        <w:rPr>
          <w:i/>
          <w:iCs/>
          <w:lang w:val="en-US" w:eastAsia="ja-JP"/>
        </w:rPr>
        <w:t xml:space="preserve"> The Action Plan for Australian Birds 2010</w:t>
      </w:r>
      <w:r w:rsidRPr="00DE2F32">
        <w:rPr>
          <w:lang w:val="en-US" w:eastAsia="ja-JP"/>
        </w:rPr>
        <w:t>. CSIRO Publishing, Collingwood.</w:t>
      </w:r>
    </w:p>
    <w:p w14:paraId="43921D9E" w14:textId="1F4A0C79" w:rsidR="00771DB7" w:rsidRDefault="00771DB7" w:rsidP="00601FF6">
      <w:pPr>
        <w:rPr>
          <w:lang w:val="en-US" w:eastAsia="ja-JP"/>
        </w:rPr>
      </w:pPr>
      <w:r>
        <w:rPr>
          <w:lang w:val="en-US" w:eastAsia="ja-JP"/>
        </w:rPr>
        <w:t xml:space="preserve">Gibson M &amp; Florentine </w:t>
      </w:r>
      <w:r w:rsidR="005A67D9">
        <w:rPr>
          <w:lang w:val="en-US" w:eastAsia="ja-JP"/>
        </w:rPr>
        <w:t xml:space="preserve">S (2008) </w:t>
      </w:r>
      <w:r w:rsidR="005A67D9">
        <w:rPr>
          <w:i/>
          <w:iCs/>
          <w:lang w:val="en-US" w:eastAsia="ja-JP"/>
        </w:rPr>
        <w:t>Age distribution of Slender Cypress-pine (</w:t>
      </w:r>
      <w:r w:rsidR="005A67D9">
        <w:rPr>
          <w:lang w:val="en-US" w:eastAsia="ja-JP"/>
        </w:rPr>
        <w:t xml:space="preserve">Callitris </w:t>
      </w:r>
      <w:proofErr w:type="spellStart"/>
      <w:r w:rsidR="005A67D9">
        <w:rPr>
          <w:lang w:val="en-US" w:eastAsia="ja-JP"/>
        </w:rPr>
        <w:t>gracilis</w:t>
      </w:r>
      <w:proofErr w:type="spellEnd"/>
      <w:r w:rsidR="005A67D9">
        <w:rPr>
          <w:i/>
          <w:iCs/>
          <w:lang w:val="en-US" w:eastAsia="ja-JP"/>
        </w:rPr>
        <w:t xml:space="preserve">) within Pine Plains, </w:t>
      </w:r>
      <w:proofErr w:type="spellStart"/>
      <w:r w:rsidR="005A67D9">
        <w:rPr>
          <w:i/>
          <w:iCs/>
          <w:lang w:val="en-US" w:eastAsia="ja-JP"/>
        </w:rPr>
        <w:t>Wyperfeld</w:t>
      </w:r>
      <w:proofErr w:type="spellEnd"/>
      <w:r w:rsidR="005A67D9">
        <w:rPr>
          <w:i/>
          <w:iCs/>
          <w:lang w:val="en-US" w:eastAsia="ja-JP"/>
        </w:rPr>
        <w:t xml:space="preserve"> National Park</w:t>
      </w:r>
      <w:r w:rsidR="005A67D9">
        <w:rPr>
          <w:lang w:val="en-US" w:eastAsia="ja-JP"/>
        </w:rPr>
        <w:t xml:space="preserve">. Report prepared for the Department of Sustainability and Environment, </w:t>
      </w:r>
      <w:r w:rsidR="00D13CE3">
        <w:rPr>
          <w:lang w:val="en-US" w:eastAsia="ja-JP"/>
        </w:rPr>
        <w:t>Melbourne.</w:t>
      </w:r>
    </w:p>
    <w:p w14:paraId="76740993" w14:textId="77777777" w:rsidR="00D13482" w:rsidRPr="00EB3899" w:rsidRDefault="00D13482" w:rsidP="00D13482">
      <w:pPr>
        <w:rPr>
          <w:lang w:val="en-US"/>
        </w:rPr>
      </w:pPr>
      <w:r w:rsidRPr="00EB3899">
        <w:rPr>
          <w:lang w:val="en-US"/>
        </w:rPr>
        <w:t xml:space="preserve">Grarock K, </w:t>
      </w:r>
      <w:proofErr w:type="spellStart"/>
      <w:r w:rsidRPr="00EB3899">
        <w:rPr>
          <w:lang w:val="en-US"/>
        </w:rPr>
        <w:t>Lindenmayer</w:t>
      </w:r>
      <w:proofErr w:type="spellEnd"/>
      <w:r w:rsidRPr="00EB3899">
        <w:rPr>
          <w:lang w:val="en-US"/>
        </w:rPr>
        <w:t xml:space="preserve"> DB, Wood JT &amp; </w:t>
      </w:r>
      <w:proofErr w:type="spellStart"/>
      <w:r w:rsidRPr="00EB3899">
        <w:rPr>
          <w:lang w:val="en-US"/>
        </w:rPr>
        <w:t>Tidemann</w:t>
      </w:r>
      <w:proofErr w:type="spellEnd"/>
      <w:r w:rsidRPr="00EB3899">
        <w:rPr>
          <w:lang w:val="en-US"/>
        </w:rPr>
        <w:t xml:space="preserve"> CR (2013) Does </w:t>
      </w:r>
      <w:proofErr w:type="gramStart"/>
      <w:r w:rsidRPr="00EB3899">
        <w:rPr>
          <w:lang w:val="en-US"/>
        </w:rPr>
        <w:t>human</w:t>
      </w:r>
      <w:proofErr w:type="gramEnd"/>
      <w:r w:rsidRPr="00EB3899">
        <w:rPr>
          <w:lang w:val="en-US"/>
        </w:rPr>
        <w:t>-Induced habitat modification influence the impact of introduced species? A case study on cavity-nesting by the introduced Common myna (</w:t>
      </w:r>
      <w:proofErr w:type="spellStart"/>
      <w:r w:rsidRPr="00EB3899">
        <w:rPr>
          <w:i/>
          <w:iCs/>
          <w:lang w:val="en-US"/>
        </w:rPr>
        <w:t>Acridotheres</w:t>
      </w:r>
      <w:proofErr w:type="spellEnd"/>
      <w:r w:rsidRPr="00EB3899">
        <w:rPr>
          <w:i/>
          <w:iCs/>
          <w:lang w:val="en-US"/>
        </w:rPr>
        <w:t xml:space="preserve"> tristis</w:t>
      </w:r>
      <w:r w:rsidRPr="00EB3899">
        <w:rPr>
          <w:lang w:val="en-US"/>
        </w:rPr>
        <w:t xml:space="preserve">) and two Australian native parrots. </w:t>
      </w:r>
      <w:r w:rsidRPr="00EB3899">
        <w:rPr>
          <w:i/>
          <w:iCs/>
          <w:lang w:val="en-US"/>
        </w:rPr>
        <w:t xml:space="preserve">Environmental Management </w:t>
      </w:r>
      <w:r w:rsidRPr="00EB3899">
        <w:rPr>
          <w:lang w:val="en-US"/>
        </w:rPr>
        <w:t>52, 4, 958-970.</w:t>
      </w:r>
    </w:p>
    <w:p w14:paraId="423FC39A" w14:textId="77777777" w:rsidR="00C4481F" w:rsidRPr="00A910FA" w:rsidRDefault="00C4481F" w:rsidP="00C4481F">
      <w:pPr>
        <w:rPr>
          <w:lang w:val="en-US" w:eastAsia="ja-JP"/>
        </w:rPr>
      </w:pPr>
      <w:r w:rsidRPr="00A910FA">
        <w:rPr>
          <w:lang w:val="en-US" w:eastAsia="ja-JP"/>
        </w:rPr>
        <w:t xml:space="preserve">Griffith SC, </w:t>
      </w:r>
      <w:proofErr w:type="spellStart"/>
      <w:r w:rsidRPr="00A910FA">
        <w:rPr>
          <w:lang w:val="en-US" w:eastAsia="ja-JP"/>
        </w:rPr>
        <w:t>Pryke</w:t>
      </w:r>
      <w:proofErr w:type="spellEnd"/>
      <w:r w:rsidRPr="00A910FA">
        <w:rPr>
          <w:lang w:val="en-US" w:eastAsia="ja-JP"/>
        </w:rPr>
        <w:t xml:space="preserve"> SR &amp; Mariette M (2008). Use of nest-boxes by the Zebra Finch (</w:t>
      </w:r>
      <w:proofErr w:type="spellStart"/>
      <w:r w:rsidRPr="00A910FA">
        <w:rPr>
          <w:i/>
          <w:iCs/>
          <w:lang w:val="en-US" w:eastAsia="ja-JP"/>
        </w:rPr>
        <w:t>Taeniopygia</w:t>
      </w:r>
      <w:proofErr w:type="spellEnd"/>
      <w:r w:rsidRPr="00A910FA">
        <w:rPr>
          <w:i/>
          <w:iCs/>
          <w:lang w:val="en-US" w:eastAsia="ja-JP"/>
        </w:rPr>
        <w:t xml:space="preserve"> guttata</w:t>
      </w:r>
      <w:r w:rsidRPr="00A910FA">
        <w:rPr>
          <w:lang w:val="en-US" w:eastAsia="ja-JP"/>
        </w:rPr>
        <w:t xml:space="preserve">): implications for reproductive success and research. </w:t>
      </w:r>
      <w:r w:rsidRPr="00A910FA">
        <w:rPr>
          <w:i/>
          <w:iCs/>
          <w:lang w:val="en-US" w:eastAsia="ja-JP"/>
        </w:rPr>
        <w:t>Emu</w:t>
      </w:r>
      <w:r w:rsidRPr="00A910FA">
        <w:rPr>
          <w:lang w:val="en-US" w:eastAsia="ja-JP"/>
        </w:rPr>
        <w:t xml:space="preserve"> 108</w:t>
      </w:r>
      <w:r>
        <w:rPr>
          <w:lang w:val="en-US" w:eastAsia="ja-JP"/>
        </w:rPr>
        <w:t xml:space="preserve">, </w:t>
      </w:r>
      <w:r w:rsidRPr="00A910FA">
        <w:rPr>
          <w:lang w:val="en-US" w:eastAsia="ja-JP"/>
        </w:rPr>
        <w:t>4</w:t>
      </w:r>
      <w:r>
        <w:rPr>
          <w:lang w:val="en-US" w:eastAsia="ja-JP"/>
        </w:rPr>
        <w:t xml:space="preserve">, </w:t>
      </w:r>
      <w:r w:rsidRPr="00A910FA">
        <w:rPr>
          <w:lang w:val="en-US" w:eastAsia="ja-JP"/>
        </w:rPr>
        <w:t>311-319.</w:t>
      </w:r>
    </w:p>
    <w:p w14:paraId="76CD3C25" w14:textId="67EA398A" w:rsidR="003F0B7C" w:rsidRDefault="003F0B7C" w:rsidP="00601FF6">
      <w:pPr>
        <w:rPr>
          <w:lang w:val="en-US"/>
        </w:rPr>
      </w:pPr>
      <w:r w:rsidRPr="00EB3899">
        <w:rPr>
          <w:lang w:val="en-US"/>
        </w:rPr>
        <w:t xml:space="preserve">Goldingay RL &amp; Stevens JR (2009) Use of artificial tree hollows by Australian birds and bats. </w:t>
      </w:r>
      <w:r w:rsidRPr="00EB3899">
        <w:rPr>
          <w:i/>
          <w:iCs/>
          <w:lang w:val="en-US"/>
        </w:rPr>
        <w:t xml:space="preserve">Wildlife Research </w:t>
      </w:r>
      <w:r w:rsidRPr="00EB3899">
        <w:rPr>
          <w:lang w:val="en-US"/>
        </w:rPr>
        <w:t>36, 2, 81-97.</w:t>
      </w:r>
    </w:p>
    <w:p w14:paraId="0B680CCA" w14:textId="399EEE8B" w:rsidR="00CD1604" w:rsidRDefault="00CD1604" w:rsidP="00601FF6">
      <w:pPr>
        <w:rPr>
          <w:lang w:val="en-US" w:eastAsia="ja-JP"/>
        </w:rPr>
      </w:pPr>
      <w:r>
        <w:rPr>
          <w:lang w:val="en-US" w:eastAsia="ja-JP"/>
        </w:rPr>
        <w:t xml:space="preserve">Gould J (1848) </w:t>
      </w:r>
      <w:r w:rsidR="00114C8E">
        <w:rPr>
          <w:i/>
          <w:iCs/>
          <w:lang w:val="en-US" w:eastAsia="ja-JP"/>
        </w:rPr>
        <w:t xml:space="preserve">The Birds of Australia. Volume </w:t>
      </w:r>
      <w:r w:rsidR="004A5D1D">
        <w:rPr>
          <w:i/>
          <w:iCs/>
          <w:lang w:val="en-US" w:eastAsia="ja-JP"/>
        </w:rPr>
        <w:t>V</w:t>
      </w:r>
      <w:r w:rsidR="00114C8E">
        <w:rPr>
          <w:lang w:val="en-US" w:eastAsia="ja-JP"/>
        </w:rPr>
        <w:t>.</w:t>
      </w:r>
      <w:r w:rsidR="004A5D1D">
        <w:rPr>
          <w:lang w:val="en-US" w:eastAsia="ja-JP"/>
        </w:rPr>
        <w:t xml:space="preserve"> </w:t>
      </w:r>
      <w:r w:rsidR="00644D5A">
        <w:rPr>
          <w:lang w:val="en-US" w:eastAsia="ja-JP"/>
        </w:rPr>
        <w:t xml:space="preserve">R and JE </w:t>
      </w:r>
      <w:r w:rsidR="00F67F55">
        <w:rPr>
          <w:lang w:val="en-US" w:eastAsia="ja-JP"/>
        </w:rPr>
        <w:t>Taylor, London.</w:t>
      </w:r>
      <w:r w:rsidR="00114C8E">
        <w:rPr>
          <w:lang w:val="en-US" w:eastAsia="ja-JP"/>
        </w:rPr>
        <w:t xml:space="preserve"> </w:t>
      </w:r>
    </w:p>
    <w:p w14:paraId="21322F5A" w14:textId="3CD6CB6D" w:rsidR="007F15D1" w:rsidRPr="007F15D1" w:rsidRDefault="007F15D1" w:rsidP="00601FF6">
      <w:pPr>
        <w:rPr>
          <w:lang w:eastAsia="en-AU"/>
        </w:rPr>
      </w:pPr>
      <w:bookmarkStart w:id="15" w:name="_Hlk82770606"/>
      <w:r w:rsidRPr="003D7BA7">
        <w:rPr>
          <w:lang w:eastAsia="en-AU"/>
        </w:rPr>
        <w:t xml:space="preserve">Herold N, </w:t>
      </w:r>
      <w:proofErr w:type="spellStart"/>
      <w:r w:rsidRPr="003D7BA7">
        <w:rPr>
          <w:lang w:eastAsia="en-AU"/>
        </w:rPr>
        <w:t>Ekström</w:t>
      </w:r>
      <w:proofErr w:type="spellEnd"/>
      <w:r w:rsidRPr="003D7BA7">
        <w:rPr>
          <w:lang w:eastAsia="en-AU"/>
        </w:rPr>
        <w:t xml:space="preserve"> M, Kala J, Goldie J &amp; Evans JP (2018) Australian climate extremes in the 21st century according to a regional climate model ensemble: Implications for health and agriculture. </w:t>
      </w:r>
      <w:r w:rsidRPr="003D7BA7">
        <w:rPr>
          <w:i/>
          <w:iCs/>
          <w:lang w:eastAsia="en-AU"/>
        </w:rPr>
        <w:t>Weather and Climate Extremes</w:t>
      </w:r>
      <w:r w:rsidRPr="003D7BA7">
        <w:rPr>
          <w:lang w:eastAsia="en-AU"/>
        </w:rPr>
        <w:t xml:space="preserve"> 20, 54–68.</w:t>
      </w:r>
      <w:bookmarkEnd w:id="15"/>
    </w:p>
    <w:p w14:paraId="2C3661E1" w14:textId="4D89F02A" w:rsidR="009D3777" w:rsidRDefault="009D3777" w:rsidP="00601FF6">
      <w:pPr>
        <w:rPr>
          <w:lang w:val="en-US" w:eastAsia="ja-JP"/>
        </w:rPr>
      </w:pPr>
      <w:r w:rsidRPr="00A910FA">
        <w:rPr>
          <w:lang w:val="en-US" w:eastAsia="ja-JP"/>
        </w:rPr>
        <w:t xml:space="preserve">Higgins PJ (Ed) (1999) </w:t>
      </w:r>
      <w:r w:rsidRPr="00A910FA">
        <w:rPr>
          <w:i/>
          <w:iCs/>
          <w:lang w:val="en-US" w:eastAsia="ja-JP"/>
        </w:rPr>
        <w:t>Handbook of Australian, New Zealand and Antarctic Birds. Volume 4: Parrots to Dollarbird</w:t>
      </w:r>
      <w:r w:rsidRPr="00A910FA">
        <w:rPr>
          <w:lang w:val="en-US" w:eastAsia="ja-JP"/>
        </w:rPr>
        <w:t>. Oxford University Press, Melbourne.</w:t>
      </w:r>
    </w:p>
    <w:p w14:paraId="3FCF4B95" w14:textId="654DE7C6" w:rsidR="00C812AB" w:rsidRPr="00244055" w:rsidRDefault="00C812AB" w:rsidP="00601FF6">
      <w:pPr>
        <w:rPr>
          <w:lang w:val="en-US" w:eastAsia="ja-JP"/>
        </w:rPr>
      </w:pPr>
      <w:r>
        <w:rPr>
          <w:lang w:val="en-US" w:eastAsia="ja-JP"/>
        </w:rPr>
        <w:t xml:space="preserve">Hurley VG (2006) </w:t>
      </w:r>
      <w:r>
        <w:rPr>
          <w:i/>
          <w:iCs/>
          <w:lang w:val="en-US" w:eastAsia="ja-JP"/>
        </w:rPr>
        <w:t>Physical characteristics and thermal properties of Major Mitchell’s Cockatoo (</w:t>
      </w:r>
      <w:r>
        <w:rPr>
          <w:lang w:val="en-US" w:eastAsia="ja-JP"/>
        </w:rPr>
        <w:t xml:space="preserve">Cacatua </w:t>
      </w:r>
      <w:proofErr w:type="spellStart"/>
      <w:r>
        <w:rPr>
          <w:lang w:val="en-US" w:eastAsia="ja-JP"/>
        </w:rPr>
        <w:t>leadbeateri</w:t>
      </w:r>
      <w:proofErr w:type="spellEnd"/>
      <w:r>
        <w:rPr>
          <w:lang w:val="en-US" w:eastAsia="ja-JP"/>
        </w:rPr>
        <w:t xml:space="preserve"> </w:t>
      </w:r>
      <w:proofErr w:type="spellStart"/>
      <w:r>
        <w:rPr>
          <w:lang w:val="en-US" w:eastAsia="ja-JP"/>
        </w:rPr>
        <w:t>leadbeateri</w:t>
      </w:r>
      <w:proofErr w:type="spellEnd"/>
      <w:r>
        <w:rPr>
          <w:i/>
          <w:iCs/>
          <w:lang w:val="en-US" w:eastAsia="ja-JP"/>
        </w:rPr>
        <w:t xml:space="preserve">) nest hollows, </w:t>
      </w:r>
      <w:proofErr w:type="spellStart"/>
      <w:r>
        <w:rPr>
          <w:i/>
          <w:iCs/>
          <w:lang w:val="en-US" w:eastAsia="ja-JP"/>
        </w:rPr>
        <w:t>Wyperfeld</w:t>
      </w:r>
      <w:proofErr w:type="spellEnd"/>
      <w:r>
        <w:rPr>
          <w:i/>
          <w:iCs/>
          <w:lang w:val="en-US" w:eastAsia="ja-JP"/>
        </w:rPr>
        <w:t xml:space="preserve"> NP. </w:t>
      </w:r>
      <w:r w:rsidR="00244055">
        <w:rPr>
          <w:lang w:val="en-US" w:eastAsia="ja-JP"/>
        </w:rPr>
        <w:t>Report prepared for the Department of Sustainability and Environment, Mildura.</w:t>
      </w:r>
    </w:p>
    <w:p w14:paraId="76A26CBA" w14:textId="7775FF2F" w:rsidR="00673477" w:rsidRDefault="00673477" w:rsidP="00601FF6">
      <w:pPr>
        <w:rPr>
          <w:lang w:val="en-US" w:eastAsia="ja-JP"/>
        </w:rPr>
      </w:pPr>
      <w:r>
        <w:rPr>
          <w:lang w:val="en-US" w:eastAsia="ja-JP"/>
        </w:rPr>
        <w:t>Hur</w:t>
      </w:r>
      <w:r w:rsidR="00004043">
        <w:rPr>
          <w:lang w:val="en-US" w:eastAsia="ja-JP"/>
        </w:rPr>
        <w:t xml:space="preserve">ley VG &amp; Garnett ST (2021) Eastern Major Mitchell’s Cockatoo </w:t>
      </w:r>
      <w:r w:rsidR="00004043">
        <w:rPr>
          <w:i/>
          <w:iCs/>
          <w:lang w:val="en-US" w:eastAsia="ja-JP"/>
        </w:rPr>
        <w:t xml:space="preserve">Cacatua </w:t>
      </w:r>
      <w:proofErr w:type="spellStart"/>
      <w:r w:rsidR="00004043">
        <w:rPr>
          <w:i/>
          <w:iCs/>
          <w:lang w:val="en-US" w:eastAsia="ja-JP"/>
        </w:rPr>
        <w:t>leadbeateri</w:t>
      </w:r>
      <w:proofErr w:type="spellEnd"/>
      <w:r w:rsidR="00004043">
        <w:rPr>
          <w:i/>
          <w:iCs/>
          <w:lang w:val="en-US" w:eastAsia="ja-JP"/>
        </w:rPr>
        <w:t xml:space="preserve"> </w:t>
      </w:r>
      <w:proofErr w:type="spellStart"/>
      <w:r w:rsidR="00004043">
        <w:rPr>
          <w:i/>
          <w:iCs/>
          <w:lang w:val="en-US" w:eastAsia="ja-JP"/>
        </w:rPr>
        <w:t>leadbeateri</w:t>
      </w:r>
      <w:proofErr w:type="spellEnd"/>
      <w:r w:rsidR="00004043">
        <w:rPr>
          <w:lang w:val="en-US" w:eastAsia="ja-JP"/>
        </w:rPr>
        <w:t xml:space="preserve">. In </w:t>
      </w:r>
      <w:r w:rsidR="00004043">
        <w:rPr>
          <w:i/>
          <w:iCs/>
          <w:lang w:val="en-US" w:eastAsia="ja-JP"/>
        </w:rPr>
        <w:t>The Action Plan for Australian Birds 2020</w:t>
      </w:r>
      <w:r w:rsidR="00004043">
        <w:rPr>
          <w:lang w:val="en-US" w:eastAsia="ja-JP"/>
        </w:rPr>
        <w:t xml:space="preserve"> (Eds ST Garnett &amp; GB </w:t>
      </w:r>
      <w:proofErr w:type="spellStart"/>
      <w:r w:rsidR="00004043">
        <w:rPr>
          <w:lang w:val="en-US" w:eastAsia="ja-JP"/>
        </w:rPr>
        <w:t>Bker</w:t>
      </w:r>
      <w:proofErr w:type="spellEnd"/>
      <w:r w:rsidR="00004043">
        <w:rPr>
          <w:lang w:val="en-US" w:eastAsia="ja-JP"/>
        </w:rPr>
        <w:t>). CSIRO Publishing, Melbourne.</w:t>
      </w:r>
    </w:p>
    <w:p w14:paraId="04CB9A33" w14:textId="560E3A8E" w:rsidR="00DE0D0A" w:rsidRDefault="00DE0D0A" w:rsidP="00601FF6">
      <w:pPr>
        <w:rPr>
          <w:lang w:val="en-US" w:eastAsia="ja-JP"/>
        </w:rPr>
      </w:pPr>
      <w:r>
        <w:rPr>
          <w:lang w:val="en-US" w:eastAsia="ja-JP"/>
        </w:rPr>
        <w:lastRenderedPageBreak/>
        <w:t xml:space="preserve">Hurley VG &amp; Harris GJ (2014) </w:t>
      </w:r>
      <w:r>
        <w:rPr>
          <w:i/>
          <w:iCs/>
          <w:lang w:val="en-US" w:eastAsia="ja-JP"/>
        </w:rPr>
        <w:t>Stimulating natural cavities in Slender Cypress Pine (</w:t>
      </w:r>
      <w:r w:rsidR="004D6EC9">
        <w:rPr>
          <w:lang w:val="en-US" w:eastAsia="ja-JP"/>
        </w:rPr>
        <w:t xml:space="preserve">Callitris </w:t>
      </w:r>
      <w:proofErr w:type="spellStart"/>
      <w:r w:rsidR="004D6EC9">
        <w:rPr>
          <w:lang w:val="en-US" w:eastAsia="ja-JP"/>
        </w:rPr>
        <w:t>gracilis</w:t>
      </w:r>
      <w:proofErr w:type="spellEnd"/>
      <w:r w:rsidR="004D6EC9">
        <w:rPr>
          <w:lang w:val="en-US" w:eastAsia="ja-JP"/>
        </w:rPr>
        <w:t xml:space="preserve"> </w:t>
      </w:r>
      <w:proofErr w:type="spellStart"/>
      <w:r w:rsidR="004D6EC9">
        <w:rPr>
          <w:lang w:val="en-US" w:eastAsia="ja-JP"/>
        </w:rPr>
        <w:t>murrayensis</w:t>
      </w:r>
      <w:proofErr w:type="spellEnd"/>
      <w:r w:rsidR="004D6EC9">
        <w:rPr>
          <w:i/>
          <w:iCs/>
          <w:lang w:val="en-US" w:eastAsia="ja-JP"/>
        </w:rPr>
        <w:t>) for use by Major Mitchell’s Cockatoo (</w:t>
      </w:r>
      <w:proofErr w:type="spellStart"/>
      <w:r w:rsidR="004D6EC9">
        <w:rPr>
          <w:lang w:val="en-US" w:eastAsia="ja-JP"/>
        </w:rPr>
        <w:t>Lophochroa</w:t>
      </w:r>
      <w:proofErr w:type="spellEnd"/>
      <w:r w:rsidR="004D6EC9">
        <w:rPr>
          <w:lang w:val="en-US" w:eastAsia="ja-JP"/>
        </w:rPr>
        <w:t xml:space="preserve"> </w:t>
      </w:r>
      <w:proofErr w:type="spellStart"/>
      <w:r w:rsidR="004D6EC9">
        <w:rPr>
          <w:lang w:val="en-US" w:eastAsia="ja-JP"/>
        </w:rPr>
        <w:t>leadbeateri</w:t>
      </w:r>
      <w:proofErr w:type="spellEnd"/>
      <w:r w:rsidR="004D6EC9">
        <w:rPr>
          <w:lang w:val="en-US" w:eastAsia="ja-JP"/>
        </w:rPr>
        <w:t xml:space="preserve"> </w:t>
      </w:r>
      <w:proofErr w:type="spellStart"/>
      <w:r w:rsidR="004D6EC9">
        <w:rPr>
          <w:lang w:val="en-US" w:eastAsia="ja-JP"/>
        </w:rPr>
        <w:t>leadbeateri</w:t>
      </w:r>
      <w:proofErr w:type="spellEnd"/>
      <w:r w:rsidR="004D6EC9">
        <w:rPr>
          <w:i/>
          <w:iCs/>
          <w:lang w:val="en-US" w:eastAsia="ja-JP"/>
        </w:rPr>
        <w:t>)</w:t>
      </w:r>
      <w:r w:rsidR="005104A3">
        <w:rPr>
          <w:lang w:val="en-US" w:eastAsia="ja-JP"/>
        </w:rPr>
        <w:t>. Report prepared for the Department of Environment and Primary Industries, Mildura.</w:t>
      </w:r>
    </w:p>
    <w:p w14:paraId="7AE9384B" w14:textId="1DC6BBA8" w:rsidR="00986527" w:rsidRDefault="00986527" w:rsidP="00601FF6">
      <w:pPr>
        <w:rPr>
          <w:lang w:val="en-US" w:eastAsia="ja-JP"/>
        </w:rPr>
      </w:pPr>
      <w:r>
        <w:rPr>
          <w:lang w:val="en-US" w:eastAsia="ja-JP"/>
        </w:rPr>
        <w:t xml:space="preserve">Hurley VG &amp; Stark EM (2015) </w:t>
      </w:r>
      <w:r>
        <w:rPr>
          <w:i/>
          <w:iCs/>
          <w:lang w:val="en-US" w:eastAsia="ja-JP"/>
        </w:rPr>
        <w:t>Characteristics and uptake of simulated natural cavities for Major Mitchell’s Cockatoo in Slender Cypress-pine: Year 1 result from spring 2014 surveys</w:t>
      </w:r>
      <w:r>
        <w:rPr>
          <w:lang w:val="en-US" w:eastAsia="ja-JP"/>
        </w:rPr>
        <w:t>. Report prepared for the Department of Environment, Land, Water and Planning, Mildura.</w:t>
      </w:r>
    </w:p>
    <w:p w14:paraId="6C19DF64" w14:textId="707C6F26" w:rsidR="00A26C00" w:rsidRPr="00986527" w:rsidRDefault="00A26C00" w:rsidP="00601FF6">
      <w:pPr>
        <w:rPr>
          <w:lang w:val="en-US" w:eastAsia="ja-JP"/>
        </w:rPr>
      </w:pPr>
      <w:r w:rsidRPr="00BC6E59">
        <w:rPr>
          <w:lang w:val="en-US" w:eastAsia="ja-JP"/>
        </w:rPr>
        <w:t xml:space="preserve">IPCC (2021) </w:t>
      </w:r>
      <w:r w:rsidRPr="00BC6E59">
        <w:rPr>
          <w:i/>
          <w:iCs/>
          <w:lang w:val="en-US" w:eastAsia="ja-JP"/>
        </w:rPr>
        <w:t xml:space="preserve">Regional fact sheet – Australasia. Sixth Assessment </w:t>
      </w:r>
      <w:proofErr w:type="gramStart"/>
      <w:r w:rsidRPr="00BC6E59">
        <w:rPr>
          <w:i/>
          <w:iCs/>
          <w:lang w:val="en-US" w:eastAsia="ja-JP"/>
        </w:rPr>
        <w:t>Report  Working</w:t>
      </w:r>
      <w:proofErr w:type="gramEnd"/>
      <w:r w:rsidRPr="00BC6E59">
        <w:rPr>
          <w:i/>
          <w:iCs/>
          <w:lang w:val="en-US" w:eastAsia="ja-JP"/>
        </w:rPr>
        <w:t xml:space="preserve"> Group I – The Physical Science Basis</w:t>
      </w:r>
      <w:r w:rsidRPr="00BC6E59">
        <w:rPr>
          <w:lang w:val="en-US" w:eastAsia="ja-JP"/>
        </w:rPr>
        <w:t xml:space="preserve">. Available </w:t>
      </w:r>
      <w:r>
        <w:rPr>
          <w:lang w:val="en-US" w:eastAsia="ja-JP"/>
        </w:rPr>
        <w:t>from</w:t>
      </w:r>
      <w:r w:rsidRPr="00BC6E59">
        <w:rPr>
          <w:lang w:val="en-US" w:eastAsia="ja-JP"/>
        </w:rPr>
        <w:t xml:space="preserve">: </w:t>
      </w:r>
      <w:hyperlink r:id="rId18" w:history="1">
        <w:r w:rsidRPr="00270D2B">
          <w:rPr>
            <w:rStyle w:val="Hyperlink"/>
            <w:lang w:val="en-US" w:eastAsia="ja-JP"/>
          </w:rPr>
          <w:t>https://www.ipcc.ch/report/ar6/wg1/downloads/factsheets/IPCC_AR6_WGI_Regional_Fact_Sheet_Australasia.pdf</w:t>
        </w:r>
      </w:hyperlink>
      <w:r w:rsidRPr="00BC6E59">
        <w:rPr>
          <w:lang w:val="en-US" w:eastAsia="ja-JP"/>
        </w:rPr>
        <w:t>.</w:t>
      </w:r>
    </w:p>
    <w:p w14:paraId="71021E54" w14:textId="77777777" w:rsidR="00744092" w:rsidRPr="00EB3899" w:rsidRDefault="00744092" w:rsidP="00744092">
      <w:r w:rsidRPr="00EB3899">
        <w:t xml:space="preserve">Le Roux DS, </w:t>
      </w:r>
      <w:proofErr w:type="spellStart"/>
      <w:r w:rsidRPr="00EB3899">
        <w:t>Ikin</w:t>
      </w:r>
      <w:proofErr w:type="spellEnd"/>
      <w:r w:rsidRPr="00EB3899">
        <w:t xml:space="preserve"> K, </w:t>
      </w:r>
      <w:proofErr w:type="spellStart"/>
      <w:r w:rsidRPr="00EB3899">
        <w:t>Lindenmayer</w:t>
      </w:r>
      <w:proofErr w:type="spellEnd"/>
      <w:r w:rsidRPr="00EB3899">
        <w:t xml:space="preserve"> DB, </w:t>
      </w:r>
      <w:proofErr w:type="spellStart"/>
      <w:r w:rsidRPr="00EB3899">
        <w:t>Bistricer</w:t>
      </w:r>
      <w:proofErr w:type="spellEnd"/>
      <w:r w:rsidRPr="00EB3899">
        <w:t xml:space="preserve"> G, Manning AD &amp; Gibbons P (2016) Enriching small trees with artificial nest boxes cannot mimic the value of large trees for hollow-nesting birds. </w:t>
      </w:r>
      <w:r w:rsidRPr="00EB3899">
        <w:rPr>
          <w:i/>
          <w:iCs/>
        </w:rPr>
        <w:t>Restoration Ecology</w:t>
      </w:r>
      <w:r w:rsidRPr="00EB3899">
        <w:t xml:space="preserve"> 24, 2, 252-258.</w:t>
      </w:r>
    </w:p>
    <w:p w14:paraId="30C484E0" w14:textId="77777777" w:rsidR="00C90414" w:rsidRPr="00EB3899" w:rsidRDefault="00C90414" w:rsidP="00C90414">
      <w:proofErr w:type="spellStart"/>
      <w:r w:rsidRPr="00EB3899">
        <w:t>Lindenmayer</w:t>
      </w:r>
      <w:proofErr w:type="spellEnd"/>
      <w:r w:rsidRPr="00EB3899">
        <w:t xml:space="preserve"> DB, Crane M, Blanchard W, Okada S &amp; Montague-Drake R (2016) Do nest boxes in restored woodlands promote the conservation of hollow-dependent </w:t>
      </w:r>
      <w:proofErr w:type="gramStart"/>
      <w:r w:rsidRPr="00EB3899">
        <w:t>fauna?.</w:t>
      </w:r>
      <w:proofErr w:type="gramEnd"/>
      <w:r w:rsidRPr="00EB3899">
        <w:t xml:space="preserve"> </w:t>
      </w:r>
      <w:r w:rsidRPr="00EB3899">
        <w:rPr>
          <w:i/>
          <w:iCs/>
        </w:rPr>
        <w:t xml:space="preserve">Restoration Ecology </w:t>
      </w:r>
      <w:r w:rsidRPr="00EB3899">
        <w:t>24, 2, 244-251.</w:t>
      </w:r>
    </w:p>
    <w:p w14:paraId="7E2A5612" w14:textId="77777777" w:rsidR="00C90414" w:rsidRPr="00EB3899" w:rsidRDefault="00C90414" w:rsidP="00C90414">
      <w:proofErr w:type="spellStart"/>
      <w:r w:rsidRPr="00EB3899">
        <w:t>Lindenmayer</w:t>
      </w:r>
      <w:proofErr w:type="spellEnd"/>
      <w:r w:rsidRPr="00EB3899">
        <w:t xml:space="preserve"> DB, Crane M, Evans MC, Maron M, Gibbons P, </w:t>
      </w:r>
      <w:proofErr w:type="spellStart"/>
      <w:r w:rsidRPr="00EB3899">
        <w:t>Bekessy</w:t>
      </w:r>
      <w:proofErr w:type="spellEnd"/>
      <w:r w:rsidRPr="00EB3899">
        <w:t xml:space="preserve"> S &amp; Blanchard W (2017) The anatomy of a failed offset. </w:t>
      </w:r>
      <w:r w:rsidRPr="00EB3899">
        <w:rPr>
          <w:i/>
          <w:iCs/>
        </w:rPr>
        <w:t xml:space="preserve">Biological Conservation </w:t>
      </w:r>
      <w:r w:rsidRPr="00EB3899">
        <w:t>210, A, 286-292.</w:t>
      </w:r>
    </w:p>
    <w:p w14:paraId="3088F993" w14:textId="77777777" w:rsidR="00B2251D" w:rsidRPr="00A910FA" w:rsidRDefault="00B2251D" w:rsidP="00B2251D">
      <w:pPr>
        <w:rPr>
          <w:lang w:val="en-US" w:eastAsia="ja-JP"/>
        </w:rPr>
      </w:pPr>
      <w:proofErr w:type="spellStart"/>
      <w:r w:rsidRPr="00A910FA">
        <w:rPr>
          <w:lang w:val="en-US" w:eastAsia="ja-JP"/>
        </w:rPr>
        <w:t>Lindenmayer</w:t>
      </w:r>
      <w:proofErr w:type="spellEnd"/>
      <w:r w:rsidRPr="00A910FA">
        <w:rPr>
          <w:lang w:val="en-US" w:eastAsia="ja-JP"/>
        </w:rPr>
        <w:t xml:space="preserve"> DB, Cunningham RB, Nix HA, </w:t>
      </w:r>
      <w:proofErr w:type="spellStart"/>
      <w:r w:rsidRPr="00A910FA">
        <w:rPr>
          <w:lang w:val="en-US" w:eastAsia="ja-JP"/>
        </w:rPr>
        <w:t>Tanton</w:t>
      </w:r>
      <w:proofErr w:type="spellEnd"/>
      <w:r w:rsidRPr="00A910FA">
        <w:rPr>
          <w:lang w:val="en-US" w:eastAsia="ja-JP"/>
        </w:rPr>
        <w:t xml:space="preserve"> MT &amp; Smith AP (1991) Predicting the abundance of hollow-bearing trees in montane forests of southeastern Australia. </w:t>
      </w:r>
      <w:r w:rsidRPr="00A910FA">
        <w:rPr>
          <w:i/>
          <w:iCs/>
          <w:lang w:val="en-US" w:eastAsia="ja-JP"/>
        </w:rPr>
        <w:t>Australian Journal of Ecology</w:t>
      </w:r>
      <w:r w:rsidRPr="00A910FA">
        <w:rPr>
          <w:lang w:val="en-US" w:eastAsia="ja-JP"/>
        </w:rPr>
        <w:t xml:space="preserve"> 16, 1, 91-98.</w:t>
      </w:r>
    </w:p>
    <w:p w14:paraId="46D0B133" w14:textId="09722FF9" w:rsidR="00C533C1" w:rsidRDefault="00C533C1" w:rsidP="00601FF6">
      <w:pPr>
        <w:rPr>
          <w:lang w:val="en-US" w:eastAsia="ja-JP"/>
        </w:rPr>
      </w:pPr>
      <w:proofErr w:type="spellStart"/>
      <w:r>
        <w:rPr>
          <w:lang w:val="en-US" w:eastAsia="ja-JP"/>
        </w:rPr>
        <w:t>Lunney</w:t>
      </w:r>
      <w:proofErr w:type="spellEnd"/>
      <w:r>
        <w:rPr>
          <w:lang w:val="en-US" w:eastAsia="ja-JP"/>
        </w:rPr>
        <w:t xml:space="preserve"> D (2001) </w:t>
      </w:r>
      <w:r w:rsidR="00A755AB">
        <w:rPr>
          <w:lang w:val="en-US" w:eastAsia="ja-JP"/>
        </w:rPr>
        <w:t xml:space="preserve">Causes </w:t>
      </w:r>
      <w:r w:rsidR="0099543F">
        <w:rPr>
          <w:lang w:val="en-US" w:eastAsia="ja-JP"/>
        </w:rPr>
        <w:t xml:space="preserve">of the extinction of native mammals of the Western Division of New South Wales: an ecological </w:t>
      </w:r>
      <w:r w:rsidR="00986573">
        <w:rPr>
          <w:lang w:val="en-US" w:eastAsia="ja-JP"/>
        </w:rPr>
        <w:t xml:space="preserve">interpretation of the nineteenth century historical record. </w:t>
      </w:r>
      <w:r w:rsidR="00AC312E">
        <w:rPr>
          <w:i/>
          <w:iCs/>
          <w:lang w:val="en-US" w:eastAsia="ja-JP"/>
        </w:rPr>
        <w:t xml:space="preserve">The Rangeland </w:t>
      </w:r>
      <w:r w:rsidR="00EB52E3">
        <w:rPr>
          <w:i/>
          <w:iCs/>
          <w:lang w:val="en-US" w:eastAsia="ja-JP"/>
        </w:rPr>
        <w:t>Journal</w:t>
      </w:r>
      <w:r w:rsidR="00EB52E3">
        <w:rPr>
          <w:lang w:val="en-US" w:eastAsia="ja-JP"/>
        </w:rPr>
        <w:t xml:space="preserve"> 23, 1, 44-70.</w:t>
      </w:r>
    </w:p>
    <w:p w14:paraId="7CA71834" w14:textId="057C888A" w:rsidR="002E56FA" w:rsidRDefault="002E56FA" w:rsidP="00601FF6">
      <w:pPr>
        <w:rPr>
          <w:lang w:val="en-US" w:eastAsia="ja-JP"/>
        </w:rPr>
      </w:pPr>
      <w:r>
        <w:rPr>
          <w:lang w:val="en-US" w:eastAsia="ja-JP"/>
        </w:rPr>
        <w:t xml:space="preserve">Moonlit Sanctuary (2020) </w:t>
      </w:r>
      <w:r w:rsidR="00123597">
        <w:rPr>
          <w:i/>
          <w:iCs/>
          <w:lang w:val="en-US" w:eastAsia="ja-JP"/>
        </w:rPr>
        <w:t>Major</w:t>
      </w:r>
      <w:r>
        <w:rPr>
          <w:i/>
          <w:iCs/>
          <w:lang w:val="en-US" w:eastAsia="ja-JP"/>
        </w:rPr>
        <w:t xml:space="preserve"> Mitchell’s Cockatoo </w:t>
      </w:r>
      <w:proofErr w:type="spellStart"/>
      <w:r>
        <w:rPr>
          <w:lang w:val="en-US" w:eastAsia="ja-JP"/>
        </w:rPr>
        <w:t>Lophochroa</w:t>
      </w:r>
      <w:proofErr w:type="spellEnd"/>
      <w:r>
        <w:rPr>
          <w:lang w:val="en-US" w:eastAsia="ja-JP"/>
        </w:rPr>
        <w:t xml:space="preserve"> </w:t>
      </w:r>
      <w:proofErr w:type="spellStart"/>
      <w:r>
        <w:rPr>
          <w:lang w:val="en-US" w:eastAsia="ja-JP"/>
        </w:rPr>
        <w:t>leadbeater</w:t>
      </w:r>
      <w:r w:rsidR="005331DA">
        <w:rPr>
          <w:lang w:val="en-US" w:eastAsia="ja-JP"/>
        </w:rPr>
        <w:t>i</w:t>
      </w:r>
      <w:proofErr w:type="spellEnd"/>
      <w:r w:rsidR="005331DA">
        <w:rPr>
          <w:lang w:val="en-US" w:eastAsia="ja-JP"/>
        </w:rPr>
        <w:t>. Moonlit Sanctuary</w:t>
      </w:r>
      <w:r w:rsidR="007C1653">
        <w:rPr>
          <w:lang w:val="en-US" w:eastAsia="ja-JP"/>
        </w:rPr>
        <w:t xml:space="preserve">, Victoria. Available at: </w:t>
      </w:r>
      <w:hyperlink r:id="rId19" w:history="1">
        <w:r w:rsidR="007C1653" w:rsidRPr="004A3B3F">
          <w:rPr>
            <w:rStyle w:val="Hyperlink"/>
            <w:lang w:val="en-US" w:eastAsia="ja-JP"/>
          </w:rPr>
          <w:t>https://moonlitsanctuary.com.au/wp-content/uploads/2020/09/Moonlit-Sanctuary-F-2-Factsheet-Major-Mitchell-Cockatoo.pdf</w:t>
        </w:r>
      </w:hyperlink>
      <w:r w:rsidR="007C1653">
        <w:rPr>
          <w:lang w:val="en-US" w:eastAsia="ja-JP"/>
        </w:rPr>
        <w:t>.</w:t>
      </w:r>
    </w:p>
    <w:p w14:paraId="13968955" w14:textId="77777777" w:rsidR="00681BCE" w:rsidRPr="00A910FA" w:rsidRDefault="00681BCE" w:rsidP="00681BCE">
      <w:pPr>
        <w:rPr>
          <w:lang w:eastAsia="ja-JP"/>
        </w:rPr>
      </w:pPr>
      <w:r w:rsidRPr="00A910FA">
        <w:rPr>
          <w:lang w:eastAsia="ja-JP"/>
        </w:rPr>
        <w:t xml:space="preserve">Newton I (1994) The role of nest sites in limiting the numbers of hole-nesting birds: A review. </w:t>
      </w:r>
      <w:r w:rsidRPr="00A910FA">
        <w:rPr>
          <w:i/>
          <w:iCs/>
          <w:lang w:eastAsia="ja-JP"/>
        </w:rPr>
        <w:t>Biological Conservation</w:t>
      </w:r>
      <w:r w:rsidRPr="00A910FA">
        <w:rPr>
          <w:lang w:eastAsia="ja-JP"/>
        </w:rPr>
        <w:t xml:space="preserve"> 70, 3, 265-276.</w:t>
      </w:r>
    </w:p>
    <w:p w14:paraId="0F4EDCB1" w14:textId="51680D08" w:rsidR="00A8314A" w:rsidRDefault="00A8314A" w:rsidP="00601FF6">
      <w:pPr>
        <w:rPr>
          <w:lang w:val="en-US" w:eastAsia="ja-JP"/>
        </w:rPr>
      </w:pPr>
      <w:r>
        <w:rPr>
          <w:lang w:val="en-US" w:eastAsia="ja-JP"/>
        </w:rPr>
        <w:t xml:space="preserve">Office of Environment &amp; </w:t>
      </w:r>
      <w:r w:rsidR="00694F24">
        <w:rPr>
          <w:lang w:val="en-US" w:eastAsia="ja-JP"/>
        </w:rPr>
        <w:t>Heritage</w:t>
      </w:r>
      <w:r>
        <w:rPr>
          <w:lang w:val="en-US" w:eastAsia="ja-JP"/>
        </w:rPr>
        <w:t xml:space="preserve"> (OEH</w:t>
      </w:r>
      <w:r w:rsidR="00A3390E">
        <w:rPr>
          <w:lang w:val="en-US" w:eastAsia="ja-JP"/>
        </w:rPr>
        <w:t>) (</w:t>
      </w:r>
      <w:r>
        <w:rPr>
          <w:lang w:val="en-US" w:eastAsia="ja-JP"/>
        </w:rPr>
        <w:t xml:space="preserve">2017) </w:t>
      </w:r>
      <w:r>
        <w:rPr>
          <w:i/>
          <w:iCs/>
          <w:lang w:val="en-US" w:eastAsia="ja-JP"/>
        </w:rPr>
        <w:t>Major Mitchell’s Cockatoo – profile</w:t>
      </w:r>
      <w:r>
        <w:rPr>
          <w:lang w:val="en-US" w:eastAsia="ja-JP"/>
        </w:rPr>
        <w:t>. Accessed 1</w:t>
      </w:r>
      <w:r w:rsidR="00A3390E">
        <w:rPr>
          <w:lang w:val="en-US" w:eastAsia="ja-JP"/>
        </w:rPr>
        <w:t xml:space="preserve">7 January 2022. Available at: </w:t>
      </w:r>
      <w:hyperlink r:id="rId20" w:history="1">
        <w:r w:rsidR="00A3390E" w:rsidRPr="00F25A08">
          <w:rPr>
            <w:rStyle w:val="Hyperlink"/>
            <w:lang w:val="en-US" w:eastAsia="ja-JP"/>
          </w:rPr>
          <w:t>https://www.environment.nsw.gov.au/threatenedspeciesapp/profile.aspx?id=10116</w:t>
        </w:r>
      </w:hyperlink>
      <w:r w:rsidR="00A3390E">
        <w:rPr>
          <w:lang w:val="en-US" w:eastAsia="ja-JP"/>
        </w:rPr>
        <w:t>.</w:t>
      </w:r>
    </w:p>
    <w:p w14:paraId="52681BB0" w14:textId="7CCBFED7" w:rsidR="007C67B6" w:rsidRDefault="007C67B6" w:rsidP="00601FF6">
      <w:pPr>
        <w:rPr>
          <w:lang w:val="en-US" w:eastAsia="ja-JP"/>
        </w:rPr>
      </w:pPr>
      <w:r>
        <w:rPr>
          <w:lang w:val="en-US" w:eastAsia="ja-JP"/>
        </w:rPr>
        <w:t xml:space="preserve">Peachey M (2012) </w:t>
      </w:r>
      <w:r>
        <w:rPr>
          <w:i/>
          <w:iCs/>
          <w:lang w:val="en-US" w:eastAsia="ja-JP"/>
        </w:rPr>
        <w:t>Psittacine beak and feather viral disease in parrots in the ACT</w:t>
      </w:r>
      <w:r>
        <w:rPr>
          <w:lang w:val="en-US" w:eastAsia="ja-JP"/>
        </w:rPr>
        <w:t xml:space="preserve">. </w:t>
      </w:r>
      <w:r w:rsidR="009A39B9">
        <w:rPr>
          <w:lang w:val="en-US" w:eastAsia="ja-JP"/>
        </w:rPr>
        <w:t xml:space="preserve">Report prepared for the Australian Wildlife Rehabilitation Conference. Available at: </w:t>
      </w:r>
      <w:hyperlink r:id="rId21" w:history="1">
        <w:r w:rsidR="00677250" w:rsidRPr="00F25A08">
          <w:rPr>
            <w:rStyle w:val="Hyperlink"/>
            <w:lang w:val="en-US" w:eastAsia="ja-JP"/>
          </w:rPr>
          <w:t>https://www.awrc.org.au/uploads/5/8/6/6/5866843/peachey_pbfcv_2012.pdf</w:t>
        </w:r>
      </w:hyperlink>
      <w:r w:rsidR="00677250">
        <w:rPr>
          <w:lang w:val="en-US" w:eastAsia="ja-JP"/>
        </w:rPr>
        <w:t>.</w:t>
      </w:r>
    </w:p>
    <w:p w14:paraId="38FC7B50" w14:textId="5F1C8D7B" w:rsidR="00ED620E" w:rsidRPr="008A78AB" w:rsidRDefault="00ED620E" w:rsidP="00601FF6">
      <w:pPr>
        <w:rPr>
          <w:lang w:val="en-US" w:eastAsia="ja-JP"/>
        </w:rPr>
      </w:pPr>
      <w:r>
        <w:rPr>
          <w:lang w:val="en-US" w:eastAsia="ja-JP"/>
        </w:rPr>
        <w:t xml:space="preserve">Rowley I &amp; Chapman G (1991) </w:t>
      </w:r>
      <w:r w:rsidRPr="00ED620E">
        <w:rPr>
          <w:lang w:val="en-US" w:eastAsia="ja-JP"/>
        </w:rPr>
        <w:t xml:space="preserve">The Breeding Biology, Food, Social-Organization, Demography and Conservation of the Major Mitchell or Pink Cockatoo, </w:t>
      </w:r>
      <w:r w:rsidRPr="002609CD">
        <w:rPr>
          <w:i/>
          <w:iCs/>
          <w:lang w:val="en-US" w:eastAsia="ja-JP"/>
        </w:rPr>
        <w:t>Cacatua-</w:t>
      </w:r>
      <w:proofErr w:type="spellStart"/>
      <w:r w:rsidRPr="002609CD">
        <w:rPr>
          <w:i/>
          <w:iCs/>
          <w:lang w:val="en-US" w:eastAsia="ja-JP"/>
        </w:rPr>
        <w:t>Leadbeateri</w:t>
      </w:r>
      <w:proofErr w:type="spellEnd"/>
      <w:r w:rsidRPr="00ED620E">
        <w:rPr>
          <w:lang w:val="en-US" w:eastAsia="ja-JP"/>
        </w:rPr>
        <w:t>, on the Margin of the Western Australian Wheat-Belt</w:t>
      </w:r>
      <w:r>
        <w:rPr>
          <w:lang w:val="en-US" w:eastAsia="ja-JP"/>
        </w:rPr>
        <w:t>.</w:t>
      </w:r>
      <w:r w:rsidR="008A78AB">
        <w:rPr>
          <w:lang w:val="en-US" w:eastAsia="ja-JP"/>
        </w:rPr>
        <w:t xml:space="preserve"> </w:t>
      </w:r>
      <w:r w:rsidR="008A78AB">
        <w:rPr>
          <w:i/>
          <w:iCs/>
          <w:lang w:val="en-US" w:eastAsia="ja-JP"/>
        </w:rPr>
        <w:t xml:space="preserve">Australian Journal of Zoology </w:t>
      </w:r>
      <w:r w:rsidR="00922516">
        <w:rPr>
          <w:lang w:val="en-US" w:eastAsia="ja-JP"/>
        </w:rPr>
        <w:t>39, 2, 211-261.</w:t>
      </w:r>
    </w:p>
    <w:p w14:paraId="3096C892" w14:textId="184F67C2" w:rsidR="00446A77" w:rsidRPr="0043054A" w:rsidRDefault="0043054A" w:rsidP="00601FF6">
      <w:proofErr w:type="spellStart"/>
      <w:r w:rsidRPr="00EB3899">
        <w:lastRenderedPageBreak/>
        <w:t>Rueegger</w:t>
      </w:r>
      <w:proofErr w:type="spellEnd"/>
      <w:r w:rsidRPr="00EB3899">
        <w:t xml:space="preserve"> N (2017) Artificial tree hollow creation for cavity-using wildlife - Trialling an alternative method to that of nest boxes. </w:t>
      </w:r>
      <w:r w:rsidRPr="00EB3899">
        <w:rPr>
          <w:i/>
          <w:iCs/>
        </w:rPr>
        <w:t xml:space="preserve">Forest Ecology and Management </w:t>
      </w:r>
      <w:r w:rsidRPr="00EB3899">
        <w:t>405, 404-412.</w:t>
      </w:r>
    </w:p>
    <w:p w14:paraId="259094DC" w14:textId="1FBA7624" w:rsidR="009D0838" w:rsidRDefault="00FA7F9F" w:rsidP="00601FF6">
      <w:pPr>
        <w:rPr>
          <w:lang w:val="en-US" w:eastAsia="ja-JP"/>
        </w:rPr>
      </w:pPr>
      <w:r>
        <w:rPr>
          <w:lang w:val="en-US" w:eastAsia="ja-JP"/>
        </w:rPr>
        <w:t xml:space="preserve">Saunders DA, Mawson PR &amp; Dawson R (2014) Use of tree hollows by Carnaby’s Cockatoo and the fate of large hollow-bearing trees at </w:t>
      </w:r>
      <w:proofErr w:type="spellStart"/>
      <w:r>
        <w:rPr>
          <w:lang w:val="en-US" w:eastAsia="ja-JP"/>
        </w:rPr>
        <w:t>Coomallo</w:t>
      </w:r>
      <w:proofErr w:type="spellEnd"/>
      <w:r>
        <w:rPr>
          <w:lang w:val="en-US" w:eastAsia="ja-JP"/>
        </w:rPr>
        <w:t xml:space="preserve"> Creek, Western Australia 1969-</w:t>
      </w:r>
      <w:r w:rsidR="00583AE1">
        <w:rPr>
          <w:lang w:val="en-US" w:eastAsia="ja-JP"/>
        </w:rPr>
        <w:t xml:space="preserve">2013. </w:t>
      </w:r>
      <w:r w:rsidR="00583AE1">
        <w:rPr>
          <w:i/>
          <w:iCs/>
          <w:lang w:val="en-US" w:eastAsia="ja-JP"/>
        </w:rPr>
        <w:t xml:space="preserve">Biological Conservation </w:t>
      </w:r>
      <w:r w:rsidR="00583AE1">
        <w:rPr>
          <w:lang w:val="en-US" w:eastAsia="ja-JP"/>
        </w:rPr>
        <w:t>177, 1, 185-193.</w:t>
      </w:r>
    </w:p>
    <w:p w14:paraId="4F52F74D" w14:textId="61D5FDA8" w:rsidR="00996BDF" w:rsidRPr="00996BDF" w:rsidRDefault="00996BDF" w:rsidP="00601FF6">
      <w:pPr>
        <w:rPr>
          <w:lang w:eastAsia="ja-JP"/>
        </w:rPr>
      </w:pPr>
      <w:r w:rsidRPr="00A910FA">
        <w:rPr>
          <w:lang w:eastAsia="ja-JP"/>
        </w:rPr>
        <w:t xml:space="preserve">Saunders DA, Smith GT &amp; Rowley I (1982) The availability and dimensions of tree hollows that provide nest sites for cockatoos (Psittaciformes) in Western Australia. </w:t>
      </w:r>
      <w:r w:rsidRPr="00A910FA">
        <w:rPr>
          <w:i/>
          <w:iCs/>
          <w:lang w:eastAsia="ja-JP"/>
        </w:rPr>
        <w:t>Australian Wildlife Research</w:t>
      </w:r>
      <w:r w:rsidRPr="00A910FA">
        <w:rPr>
          <w:lang w:eastAsia="ja-JP"/>
        </w:rPr>
        <w:t xml:space="preserve"> 9, 3, 541-556.</w:t>
      </w:r>
    </w:p>
    <w:p w14:paraId="0AD50336" w14:textId="2FCB1F64" w:rsidR="00E81544" w:rsidRPr="00404887" w:rsidRDefault="00E81544" w:rsidP="00601FF6">
      <w:pPr>
        <w:rPr>
          <w:lang w:eastAsia="ja-JP"/>
        </w:rPr>
      </w:pPr>
      <w:r>
        <w:rPr>
          <w:lang w:val="en-US" w:eastAsia="ja-JP"/>
        </w:rPr>
        <w:t>Saunders DA, Rowley I &amp; Smith GT (1985) The Effects of Clearing for Agriculture on the Distribution of Cockatoos in the Southwest of Western Australia.</w:t>
      </w:r>
      <w:r w:rsidR="00BC799F">
        <w:rPr>
          <w:lang w:val="en-US" w:eastAsia="ja-JP"/>
        </w:rPr>
        <w:t xml:space="preserve"> </w:t>
      </w:r>
      <w:r w:rsidR="00404887">
        <w:rPr>
          <w:lang w:val="en-US" w:eastAsia="ja-JP"/>
        </w:rPr>
        <w:t xml:space="preserve">In </w:t>
      </w:r>
      <w:r w:rsidR="00404887">
        <w:rPr>
          <w:i/>
          <w:iCs/>
          <w:lang w:val="en-US" w:eastAsia="ja-JP"/>
        </w:rPr>
        <w:t>Birds of Eucalypt Forests and Woodlands: Ecology, Conservation, Management</w:t>
      </w:r>
      <w:r w:rsidR="00404887">
        <w:rPr>
          <w:lang w:val="en-US" w:eastAsia="ja-JP"/>
        </w:rPr>
        <w:t xml:space="preserve"> (</w:t>
      </w:r>
      <w:r w:rsidR="003B0248">
        <w:rPr>
          <w:lang w:val="en-US" w:eastAsia="ja-JP"/>
        </w:rPr>
        <w:t xml:space="preserve">Eds A Keast, H </w:t>
      </w:r>
      <w:proofErr w:type="spellStart"/>
      <w:r w:rsidR="003B0248">
        <w:rPr>
          <w:lang w:val="en-US" w:eastAsia="ja-JP"/>
        </w:rPr>
        <w:t>Recher</w:t>
      </w:r>
      <w:proofErr w:type="spellEnd"/>
      <w:r w:rsidR="003B0248">
        <w:rPr>
          <w:lang w:val="en-US" w:eastAsia="ja-JP"/>
        </w:rPr>
        <w:t xml:space="preserve">, H Ford &amp; D Saunders). Surrey Beatty &amp; Sons, </w:t>
      </w:r>
      <w:r w:rsidR="003573A3">
        <w:rPr>
          <w:lang w:val="en-US" w:eastAsia="ja-JP"/>
        </w:rPr>
        <w:t>Chipping Norton.</w:t>
      </w:r>
    </w:p>
    <w:p w14:paraId="0E0408F6" w14:textId="1652BA42" w:rsidR="00673477" w:rsidRDefault="00673477" w:rsidP="00601FF6">
      <w:pPr>
        <w:rPr>
          <w:lang w:eastAsia="ja-JP"/>
        </w:rPr>
        <w:sectPr w:rsidR="00673477" w:rsidSect="005208A6">
          <w:headerReference w:type="even" r:id="rId22"/>
          <w:headerReference w:type="default" r:id="rId23"/>
          <w:footerReference w:type="default" r:id="rId24"/>
          <w:headerReference w:type="first" r:id="rId25"/>
          <w:footerReference w:type="first" r:id="rId26"/>
          <w:pgSz w:w="11906" w:h="16838"/>
          <w:pgMar w:top="1418" w:right="1418" w:bottom="1418" w:left="1418" w:header="567" w:footer="284" w:gutter="0"/>
          <w:cols w:space="708"/>
          <w:titlePg/>
          <w:docGrid w:linePitch="360"/>
        </w:sectPr>
      </w:pPr>
    </w:p>
    <w:p w14:paraId="4BD87519" w14:textId="579401C1" w:rsidR="003A06CA" w:rsidRDefault="003A06CA" w:rsidP="003A06CA">
      <w:pPr>
        <w:pStyle w:val="Heading2"/>
        <w:pageBreakBefore/>
        <w:ind w:left="720" w:hanging="720"/>
      </w:pPr>
      <w:r>
        <w:lastRenderedPageBreak/>
        <w:t xml:space="preserve">Attachment A: Listing </w:t>
      </w:r>
      <w:r w:rsidR="0012461E">
        <w:t>A</w:t>
      </w:r>
      <w:r>
        <w:t xml:space="preserve">ssessment for </w:t>
      </w:r>
      <w:proofErr w:type="spellStart"/>
      <w:r w:rsidR="00A26303">
        <w:rPr>
          <w:i/>
          <w:iCs/>
        </w:rPr>
        <w:t>Lophochroa</w:t>
      </w:r>
      <w:proofErr w:type="spellEnd"/>
      <w:r w:rsidR="00A26303">
        <w:rPr>
          <w:i/>
          <w:iCs/>
        </w:rPr>
        <w:t xml:space="preserve"> </w:t>
      </w:r>
      <w:proofErr w:type="spellStart"/>
      <w:r w:rsidR="00A26303">
        <w:rPr>
          <w:i/>
          <w:iCs/>
        </w:rPr>
        <w:t>leadbeateri</w:t>
      </w:r>
      <w:proofErr w:type="spellEnd"/>
      <w:r w:rsidR="00A26303">
        <w:rPr>
          <w:i/>
          <w:iCs/>
        </w:rPr>
        <w:t xml:space="preserve"> </w:t>
      </w:r>
      <w:proofErr w:type="spellStart"/>
      <w:r w:rsidR="00A26303">
        <w:rPr>
          <w:i/>
          <w:iCs/>
        </w:rPr>
        <w:t>leadbeateri</w:t>
      </w:r>
      <w:proofErr w:type="spellEnd"/>
    </w:p>
    <w:p w14:paraId="4A110E9B" w14:textId="77777777" w:rsidR="003A06CA" w:rsidRDefault="003A06CA" w:rsidP="00933A0D">
      <w:pPr>
        <w:pStyle w:val="Heading3"/>
        <w:ind w:left="964" w:hanging="964"/>
        <w:rPr>
          <w:lang w:eastAsia="ja-JP"/>
        </w:rPr>
      </w:pPr>
      <w:r>
        <w:rPr>
          <w:lang w:eastAsia="ja-JP"/>
        </w:rPr>
        <w:t>Reason for assessment</w:t>
      </w:r>
    </w:p>
    <w:p w14:paraId="16038F0A" w14:textId="1F86EE05" w:rsidR="006C7342" w:rsidRPr="006C7342" w:rsidRDefault="003A06CA" w:rsidP="00630A73">
      <w:pPr>
        <w:rPr>
          <w:lang w:eastAsia="ja-JP"/>
        </w:rPr>
      </w:pPr>
      <w:r w:rsidRPr="00630A73">
        <w:t>This assessment follows</w:t>
      </w:r>
      <w:r w:rsidR="00630A73" w:rsidRPr="00630A73">
        <w:t xml:space="preserve"> </w:t>
      </w:r>
      <w:r w:rsidRPr="00630A73">
        <w:rPr>
          <w:lang w:eastAsia="ja-JP"/>
        </w:rPr>
        <w:t>provision of new information</w:t>
      </w:r>
      <w:r w:rsidR="00630A73" w:rsidRPr="00630A73">
        <w:rPr>
          <w:lang w:eastAsia="ja-JP"/>
        </w:rPr>
        <w:t>.</w:t>
      </w:r>
    </w:p>
    <w:p w14:paraId="21933386" w14:textId="77777777" w:rsidR="003A06CA" w:rsidRDefault="003A06CA" w:rsidP="004D61C9">
      <w:pPr>
        <w:pStyle w:val="Heading3"/>
        <w:ind w:left="964" w:hanging="964"/>
        <w:rPr>
          <w:lang w:eastAsia="ja-JP"/>
        </w:rPr>
      </w:pPr>
      <w:r>
        <w:rPr>
          <w:lang w:eastAsia="ja-JP"/>
        </w:rPr>
        <w:t>Assessment of eligibility for listing</w:t>
      </w:r>
    </w:p>
    <w:p w14:paraId="272C5AB2" w14:textId="0FD8772E" w:rsidR="003A06CA" w:rsidRDefault="003A06CA" w:rsidP="003A06CA">
      <w:pPr>
        <w:rPr>
          <w:lang w:eastAsia="ja-JP"/>
        </w:rPr>
      </w:pPr>
      <w:r>
        <w:rPr>
          <w:lang w:eastAsia="ja-JP"/>
        </w:rPr>
        <w:t xml:space="preserve">This </w:t>
      </w:r>
      <w:r w:rsidRPr="008D2DCF">
        <w:rPr>
          <w:lang w:eastAsia="ja-JP"/>
        </w:rPr>
        <w:t>assessment</w:t>
      </w:r>
      <w:r>
        <w:rPr>
          <w:lang w:eastAsia="ja-JP"/>
        </w:rPr>
        <w:t xml:space="preserve"> uses the criteria set out in the </w:t>
      </w:r>
      <w:hyperlink r:id="rId27" w:history="1">
        <w:r w:rsidRPr="00C77CE3">
          <w:rPr>
            <w:rStyle w:val="Hyperlink"/>
            <w:lang w:eastAsia="ja-JP"/>
          </w:rPr>
          <w:t>EPBC Regulations</w:t>
        </w:r>
      </w:hyperlink>
      <w:r>
        <w:rPr>
          <w:lang w:eastAsia="ja-JP"/>
        </w:rPr>
        <w:t xml:space="preserve">. The thresholds used correspond with those in the </w:t>
      </w:r>
      <w:hyperlink r:id="rId28" w:history="1">
        <w:r w:rsidRPr="00C77CE3">
          <w:rPr>
            <w:rStyle w:val="Hyperlink"/>
            <w:lang w:eastAsia="ja-JP"/>
          </w:rPr>
          <w:t>IUCN Red List criteria</w:t>
        </w:r>
      </w:hyperlink>
      <w:r>
        <w:rPr>
          <w:lang w:eastAsia="ja-JP"/>
        </w:rPr>
        <w:t xml:space="preserve"> except </w:t>
      </w:r>
      <w:proofErr w:type="gramStart"/>
      <w:r>
        <w:rPr>
          <w:lang w:eastAsia="ja-JP"/>
        </w:rPr>
        <w:t>where</w:t>
      </w:r>
      <w:proofErr w:type="gramEnd"/>
      <w:r>
        <w:rPr>
          <w:lang w:eastAsia="ja-JP"/>
        </w:rPr>
        <w:t xml:space="preserve"> noted in criterion 4, sub-criterion D2. The IUCN criteria are used by Australian jurisdictions to achieve consistent listing assessments through the Common Assessment Method (CAM).</w:t>
      </w:r>
    </w:p>
    <w:p w14:paraId="6BA02F49" w14:textId="77777777" w:rsidR="0077351A" w:rsidRDefault="0077351A" w:rsidP="0077351A">
      <w:pPr>
        <w:pStyle w:val="Heading3"/>
        <w:rPr>
          <w:lang w:eastAsia="ja-JP"/>
        </w:rPr>
      </w:pPr>
      <w:r>
        <w:rPr>
          <w:lang w:eastAsia="ja-JP"/>
        </w:rPr>
        <w:t>Key assessment parameters</w:t>
      </w:r>
    </w:p>
    <w:p w14:paraId="7B42EE70" w14:textId="7F0E9351" w:rsidR="007019A7" w:rsidRDefault="0077351A" w:rsidP="0077351A">
      <w:pPr>
        <w:rPr>
          <w:lang w:eastAsia="ja-JP"/>
        </w:rPr>
      </w:pPr>
      <w:r>
        <w:rPr>
          <w:lang w:eastAsia="ja-JP"/>
        </w:rPr>
        <w:t xml:space="preserve">Table 3 includes the key assessment parameters used in the </w:t>
      </w:r>
      <w:r w:rsidRPr="008D2DCF">
        <w:rPr>
          <w:lang w:eastAsia="ja-JP"/>
        </w:rPr>
        <w:t>assessment</w:t>
      </w:r>
      <w:r>
        <w:rPr>
          <w:lang w:eastAsia="ja-JP"/>
        </w:rPr>
        <w:t xml:space="preserve"> of eligibility for listing</w:t>
      </w:r>
      <w:r w:rsidR="00E22344">
        <w:rPr>
          <w:lang w:eastAsia="ja-JP"/>
        </w:rPr>
        <w:t xml:space="preserve"> against the criteria</w:t>
      </w:r>
      <w:r>
        <w:rPr>
          <w:lang w:eastAsia="ja-JP"/>
        </w:rPr>
        <w:t>.</w:t>
      </w:r>
      <w:r w:rsidR="00F83D60">
        <w:rPr>
          <w:lang w:eastAsia="ja-JP"/>
        </w:rPr>
        <w:t xml:space="preserve"> The definition of each of the parameters follows the </w:t>
      </w:r>
      <w:hyperlink r:id="rId29" w:history="1">
        <w:r w:rsidR="00F83D60" w:rsidRPr="00F83D60">
          <w:rPr>
            <w:rStyle w:val="Hyperlink"/>
            <w:lang w:eastAsia="ja-JP"/>
          </w:rPr>
          <w:t>Guidelines for Using the IUCN Red List Categories and Criteria</w:t>
        </w:r>
      </w:hyperlink>
      <w:r w:rsidR="00F83D60">
        <w:rPr>
          <w:lang w:eastAsia="ja-JP"/>
        </w:rPr>
        <w:t>.</w:t>
      </w:r>
    </w:p>
    <w:p w14:paraId="251E7521" w14:textId="77777777" w:rsidR="0077351A" w:rsidRPr="009502E2" w:rsidRDefault="0077351A" w:rsidP="0077351A">
      <w:pPr>
        <w:pStyle w:val="Caption"/>
      </w:pPr>
      <w:r w:rsidRPr="009502E2">
        <w:t xml:space="preserve">Table </w:t>
      </w:r>
      <w:r>
        <w:fldChar w:fldCharType="begin"/>
      </w:r>
      <w:r>
        <w:instrText>SEQ Table \* ARABIC</w:instrText>
      </w:r>
      <w:r>
        <w:fldChar w:fldCharType="separate"/>
      </w:r>
      <w:r w:rsidR="004D0D1F">
        <w:rPr>
          <w:noProof/>
        </w:rPr>
        <w:t>3</w:t>
      </w:r>
      <w:r>
        <w:fldChar w:fldCharType="end"/>
      </w:r>
      <w:r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D20C80" w14:paraId="6855B9B6" w14:textId="77777777" w:rsidTr="00FD515C">
        <w:trPr>
          <w:cantSplit/>
          <w:tblHeader/>
        </w:trPr>
        <w:tc>
          <w:tcPr>
            <w:tcW w:w="1741" w:type="dxa"/>
          </w:tcPr>
          <w:p w14:paraId="1C802664" w14:textId="77777777" w:rsidR="00CD441B" w:rsidRPr="00D20C80" w:rsidRDefault="00CD441B" w:rsidP="00C5493E">
            <w:pPr>
              <w:pStyle w:val="TableHeading"/>
              <w:keepNext w:val="0"/>
            </w:pPr>
            <w:bookmarkStart w:id="16" w:name="_Hlk66963083"/>
            <w:r w:rsidRPr="00D20C80">
              <w:t>Metric</w:t>
            </w:r>
          </w:p>
        </w:tc>
        <w:tc>
          <w:tcPr>
            <w:tcW w:w="1422" w:type="dxa"/>
          </w:tcPr>
          <w:p w14:paraId="7B4D9507" w14:textId="77777777" w:rsidR="00CD441B" w:rsidRPr="00D20C80" w:rsidRDefault="00CD441B" w:rsidP="00FD515C">
            <w:pPr>
              <w:pStyle w:val="TableHeading"/>
              <w:keepNext w:val="0"/>
            </w:pPr>
            <w:r w:rsidRPr="00D20C80">
              <w:t>Estimate</w:t>
            </w:r>
            <w:r w:rsidR="00E22344">
              <w:t xml:space="preserve"> used in the assessment</w:t>
            </w:r>
          </w:p>
        </w:tc>
        <w:tc>
          <w:tcPr>
            <w:tcW w:w="1409" w:type="dxa"/>
          </w:tcPr>
          <w:p w14:paraId="6A5B316A" w14:textId="77777777" w:rsidR="00CD441B" w:rsidRPr="00D20C80" w:rsidRDefault="00CD441B" w:rsidP="00FD515C">
            <w:pPr>
              <w:pStyle w:val="TableHeading"/>
              <w:keepNext w:val="0"/>
            </w:pPr>
            <w:r w:rsidRPr="00D20C80">
              <w:t>Minimum</w:t>
            </w:r>
            <w:r w:rsidR="00E22344">
              <w:t xml:space="preserve"> plausible value</w:t>
            </w:r>
          </w:p>
        </w:tc>
        <w:tc>
          <w:tcPr>
            <w:tcW w:w="1414" w:type="dxa"/>
          </w:tcPr>
          <w:p w14:paraId="4783A3B9" w14:textId="77777777" w:rsidR="00CD441B" w:rsidRPr="00D20C80" w:rsidRDefault="00CD441B" w:rsidP="00FD515C">
            <w:pPr>
              <w:pStyle w:val="TableHeading"/>
              <w:keepNext w:val="0"/>
            </w:pPr>
            <w:r w:rsidRPr="00D20C80">
              <w:t>Maximum</w:t>
            </w:r>
            <w:r w:rsidR="00E22344">
              <w:t xml:space="preserve"> plausible value</w:t>
            </w:r>
          </w:p>
        </w:tc>
        <w:tc>
          <w:tcPr>
            <w:tcW w:w="3074" w:type="dxa"/>
          </w:tcPr>
          <w:p w14:paraId="6FBAB243" w14:textId="565A07B8" w:rsidR="00CD441B" w:rsidRPr="00D20C80" w:rsidRDefault="00CD441B" w:rsidP="009D003F">
            <w:pPr>
              <w:pStyle w:val="TableHeading"/>
              <w:keepNext w:val="0"/>
            </w:pPr>
            <w:r w:rsidRPr="00D20C80">
              <w:t>Justification</w:t>
            </w:r>
          </w:p>
        </w:tc>
      </w:tr>
      <w:tr w:rsidR="00D37773" w14:paraId="1F6B5D60" w14:textId="77777777" w:rsidTr="00AC5F6E">
        <w:trPr>
          <w:cantSplit/>
        </w:trPr>
        <w:tc>
          <w:tcPr>
            <w:tcW w:w="1741" w:type="dxa"/>
          </w:tcPr>
          <w:p w14:paraId="2B197778" w14:textId="093CE76C" w:rsidR="00D37773" w:rsidRPr="00D20C80" w:rsidRDefault="00D37773" w:rsidP="00F83D60">
            <w:pPr>
              <w:pStyle w:val="TableHeading"/>
              <w:keepNext w:val="0"/>
              <w:rPr>
                <w:rStyle w:val="Strong"/>
                <w:b/>
                <w:bCs w:val="0"/>
              </w:rPr>
            </w:pPr>
            <w:r w:rsidRPr="00D20C80">
              <w:rPr>
                <w:rStyle w:val="Strong"/>
                <w:b/>
                <w:bCs w:val="0"/>
              </w:rPr>
              <w:t>Number of mature individuals</w:t>
            </w:r>
          </w:p>
        </w:tc>
        <w:tc>
          <w:tcPr>
            <w:tcW w:w="1422" w:type="dxa"/>
            <w:shd w:val="clear" w:color="auto" w:fill="auto"/>
          </w:tcPr>
          <w:p w14:paraId="0B08F84F" w14:textId="4CA48FDA" w:rsidR="00D37773" w:rsidRDefault="00871C43" w:rsidP="002E31FA">
            <w:pPr>
              <w:pStyle w:val="TableText"/>
            </w:pPr>
            <w:r>
              <w:t>15,000</w:t>
            </w:r>
          </w:p>
        </w:tc>
        <w:tc>
          <w:tcPr>
            <w:tcW w:w="1409" w:type="dxa"/>
            <w:shd w:val="clear" w:color="auto" w:fill="auto"/>
          </w:tcPr>
          <w:p w14:paraId="722AADA3" w14:textId="064DF0E5" w:rsidR="00D37773" w:rsidRDefault="00C237F9" w:rsidP="002E31FA">
            <w:pPr>
              <w:pStyle w:val="TableText"/>
            </w:pPr>
            <w:r>
              <w:t>10,000</w:t>
            </w:r>
          </w:p>
        </w:tc>
        <w:tc>
          <w:tcPr>
            <w:tcW w:w="1414" w:type="dxa"/>
            <w:shd w:val="clear" w:color="auto" w:fill="auto"/>
          </w:tcPr>
          <w:p w14:paraId="6A54363B" w14:textId="54642143" w:rsidR="00D37773" w:rsidRDefault="00C237F9" w:rsidP="002E31FA">
            <w:pPr>
              <w:pStyle w:val="TableText"/>
            </w:pPr>
            <w:r>
              <w:t>20,000</w:t>
            </w:r>
          </w:p>
        </w:tc>
        <w:tc>
          <w:tcPr>
            <w:tcW w:w="3074" w:type="dxa"/>
            <w:shd w:val="clear" w:color="auto" w:fill="auto"/>
          </w:tcPr>
          <w:p w14:paraId="3C8DC902" w14:textId="28033004" w:rsidR="00D37773" w:rsidRDefault="00B96942" w:rsidP="002E31FA">
            <w:pPr>
              <w:pStyle w:val="TableText"/>
            </w:pPr>
            <w:r>
              <w:t xml:space="preserve">The population of </w:t>
            </w:r>
            <w:r w:rsidR="0088044E">
              <w:t xml:space="preserve">the </w:t>
            </w:r>
            <w:r w:rsidR="00632BD9">
              <w:t>subspecies</w:t>
            </w:r>
            <w:r w:rsidR="0088044E">
              <w:t xml:space="preserve"> was estimated, with low reliability, to be around 15,000 mature individuals based on the AOO and a density of 1pair/30 km</w:t>
            </w:r>
            <w:r w:rsidR="0088044E">
              <w:rPr>
                <w:vertAlign w:val="superscript"/>
              </w:rPr>
              <w:t>2</w:t>
            </w:r>
            <w:r w:rsidR="0088044E">
              <w:t xml:space="preserve"> (Garnett et al. 2011).</w:t>
            </w:r>
            <w:r w:rsidR="00634550">
              <w:t xml:space="preserve"> There are no new estimates (Hurley &amp; Garnett 2021).</w:t>
            </w:r>
          </w:p>
          <w:p w14:paraId="3BB1648E" w14:textId="745F8259" w:rsidR="00AE5A70" w:rsidRPr="0088044E" w:rsidRDefault="00AE5A70" w:rsidP="002E31FA">
            <w:pPr>
              <w:pStyle w:val="TableText"/>
            </w:pPr>
            <w:r>
              <w:t>There are no new estimates</w:t>
            </w:r>
            <w:r w:rsidR="00843ECE">
              <w:t>, the longevity of the subspecies means that declines need to encompass losses in the 1950-1960s</w:t>
            </w:r>
            <w:r w:rsidR="00B65A41">
              <w:t>, when there was no monitoring (Hurley &amp; Garnett 2021).</w:t>
            </w:r>
          </w:p>
        </w:tc>
      </w:tr>
      <w:tr w:rsidR="00D37773" w14:paraId="12EFD1F3" w14:textId="77777777" w:rsidTr="00AC5F6E">
        <w:trPr>
          <w:cantSplit/>
        </w:trPr>
        <w:tc>
          <w:tcPr>
            <w:tcW w:w="1741" w:type="dxa"/>
          </w:tcPr>
          <w:p w14:paraId="74E9F1C8" w14:textId="77777777" w:rsidR="00D37773" w:rsidRPr="00D20C80" w:rsidRDefault="00D37773" w:rsidP="002E31FA">
            <w:pPr>
              <w:pStyle w:val="TableHeading"/>
              <w:keepNext w:val="0"/>
              <w:rPr>
                <w:rStyle w:val="Strong"/>
                <w:b/>
                <w:bCs w:val="0"/>
              </w:rPr>
            </w:pPr>
            <w:r w:rsidRPr="00D20C80">
              <w:rPr>
                <w:rStyle w:val="Strong"/>
                <w:b/>
                <w:bCs w:val="0"/>
              </w:rPr>
              <w:t>Trend</w:t>
            </w:r>
          </w:p>
        </w:tc>
        <w:tc>
          <w:tcPr>
            <w:tcW w:w="4245" w:type="dxa"/>
            <w:gridSpan w:val="3"/>
            <w:shd w:val="clear" w:color="auto" w:fill="auto"/>
          </w:tcPr>
          <w:p w14:paraId="292A1DA5" w14:textId="702DC286" w:rsidR="00D37773" w:rsidRDefault="00A54F55" w:rsidP="001376F1">
            <w:pPr>
              <w:pStyle w:val="TableText"/>
            </w:pPr>
            <w:r w:rsidRPr="00154725">
              <w:t>declining</w:t>
            </w:r>
          </w:p>
        </w:tc>
        <w:tc>
          <w:tcPr>
            <w:tcW w:w="3074" w:type="dxa"/>
            <w:shd w:val="clear" w:color="auto" w:fill="auto"/>
          </w:tcPr>
          <w:p w14:paraId="4FBFFA3D" w14:textId="77777777" w:rsidR="00D37773" w:rsidRDefault="00D37773" w:rsidP="002E31FA">
            <w:pPr>
              <w:pStyle w:val="TableText"/>
            </w:pPr>
          </w:p>
        </w:tc>
      </w:tr>
      <w:tr w:rsidR="00D37773" w14:paraId="6E59DC42" w14:textId="77777777" w:rsidTr="00AC5F6E">
        <w:trPr>
          <w:cantSplit/>
        </w:trPr>
        <w:tc>
          <w:tcPr>
            <w:tcW w:w="1741" w:type="dxa"/>
          </w:tcPr>
          <w:p w14:paraId="15561E50" w14:textId="77777777" w:rsidR="00D37773" w:rsidRPr="00D20C80" w:rsidRDefault="00D37773" w:rsidP="002E31FA">
            <w:pPr>
              <w:pStyle w:val="TableHeading"/>
              <w:keepNext w:val="0"/>
              <w:rPr>
                <w:rStyle w:val="Strong"/>
                <w:b/>
                <w:bCs w:val="0"/>
              </w:rPr>
            </w:pPr>
            <w:r w:rsidRPr="00D20C80">
              <w:rPr>
                <w:rStyle w:val="Strong"/>
                <w:b/>
                <w:bCs w:val="0"/>
              </w:rPr>
              <w:t>Generation time (years)</w:t>
            </w:r>
          </w:p>
        </w:tc>
        <w:tc>
          <w:tcPr>
            <w:tcW w:w="1422" w:type="dxa"/>
            <w:shd w:val="clear" w:color="auto" w:fill="auto"/>
          </w:tcPr>
          <w:p w14:paraId="23D59E08" w14:textId="7F69003A" w:rsidR="00D37773" w:rsidRDefault="006431CF" w:rsidP="002E31FA">
            <w:pPr>
              <w:pStyle w:val="TableText"/>
            </w:pPr>
            <w:r>
              <w:t>21.9</w:t>
            </w:r>
          </w:p>
        </w:tc>
        <w:tc>
          <w:tcPr>
            <w:tcW w:w="1409" w:type="dxa"/>
            <w:shd w:val="clear" w:color="auto" w:fill="auto"/>
          </w:tcPr>
          <w:p w14:paraId="551C70DF" w14:textId="5E71FF0F" w:rsidR="00D37773" w:rsidRDefault="00674929" w:rsidP="002E31FA">
            <w:pPr>
              <w:pStyle w:val="TableText"/>
            </w:pPr>
            <w:r>
              <w:t>20.8</w:t>
            </w:r>
          </w:p>
        </w:tc>
        <w:tc>
          <w:tcPr>
            <w:tcW w:w="1414" w:type="dxa"/>
            <w:shd w:val="clear" w:color="auto" w:fill="auto"/>
          </w:tcPr>
          <w:p w14:paraId="3F22FE4B" w14:textId="433B8472" w:rsidR="00D37773" w:rsidRDefault="00674929" w:rsidP="002E31FA">
            <w:pPr>
              <w:pStyle w:val="TableText"/>
            </w:pPr>
            <w:r>
              <w:t>23</w:t>
            </w:r>
          </w:p>
        </w:tc>
        <w:tc>
          <w:tcPr>
            <w:tcW w:w="3074" w:type="dxa"/>
            <w:shd w:val="clear" w:color="auto" w:fill="auto"/>
          </w:tcPr>
          <w:p w14:paraId="3C825093" w14:textId="15014CBF" w:rsidR="00D37773" w:rsidRDefault="00674929" w:rsidP="002E31FA">
            <w:pPr>
              <w:pStyle w:val="TableText"/>
            </w:pPr>
            <w:r>
              <w:t>Bird et al. (2020)</w:t>
            </w:r>
          </w:p>
        </w:tc>
      </w:tr>
      <w:tr w:rsidR="00CD441B" w14:paraId="34031D3E" w14:textId="77777777" w:rsidTr="00FD515C">
        <w:trPr>
          <w:cantSplit/>
        </w:trPr>
        <w:tc>
          <w:tcPr>
            <w:tcW w:w="1741" w:type="dxa"/>
          </w:tcPr>
          <w:p w14:paraId="77CBEB51" w14:textId="0086D20F" w:rsidR="00CD441B" w:rsidRPr="00F83D60" w:rsidRDefault="00CD441B" w:rsidP="00F83D60">
            <w:pPr>
              <w:pStyle w:val="TableHeading"/>
              <w:keepNext w:val="0"/>
              <w:rPr>
                <w:rStyle w:val="Strong"/>
                <w:b/>
                <w:sz w:val="22"/>
              </w:rPr>
            </w:pPr>
            <w:r w:rsidRPr="00D20C80">
              <w:rPr>
                <w:rStyle w:val="Strong"/>
                <w:b/>
                <w:bCs w:val="0"/>
              </w:rPr>
              <w:t>Extent of occurrence</w:t>
            </w:r>
          </w:p>
        </w:tc>
        <w:tc>
          <w:tcPr>
            <w:tcW w:w="1422" w:type="dxa"/>
            <w:shd w:val="clear" w:color="auto" w:fill="auto"/>
          </w:tcPr>
          <w:p w14:paraId="650F68C7" w14:textId="5535C157" w:rsidR="00CD441B" w:rsidRPr="00F4181B" w:rsidRDefault="00F4181B" w:rsidP="00FD515C">
            <w:pPr>
              <w:pStyle w:val="TableText"/>
              <w:rPr>
                <w:vertAlign w:val="superscript"/>
              </w:rPr>
            </w:pPr>
            <w:r>
              <w:t>850,000 km</w:t>
            </w:r>
            <w:r>
              <w:rPr>
                <w:vertAlign w:val="superscript"/>
              </w:rPr>
              <w:t>2</w:t>
            </w:r>
          </w:p>
        </w:tc>
        <w:tc>
          <w:tcPr>
            <w:tcW w:w="1409" w:type="dxa"/>
            <w:shd w:val="clear" w:color="auto" w:fill="auto"/>
          </w:tcPr>
          <w:p w14:paraId="1B3378EE" w14:textId="6791FD62" w:rsidR="00CD441B" w:rsidRPr="00E6021E" w:rsidRDefault="00E6021E" w:rsidP="00FD515C">
            <w:pPr>
              <w:pStyle w:val="TableText"/>
              <w:rPr>
                <w:vertAlign w:val="superscript"/>
              </w:rPr>
            </w:pPr>
            <w:r>
              <w:t>800,000 km</w:t>
            </w:r>
            <w:r>
              <w:rPr>
                <w:vertAlign w:val="superscript"/>
              </w:rPr>
              <w:t>2</w:t>
            </w:r>
          </w:p>
        </w:tc>
        <w:tc>
          <w:tcPr>
            <w:tcW w:w="1414" w:type="dxa"/>
            <w:shd w:val="clear" w:color="auto" w:fill="auto"/>
          </w:tcPr>
          <w:p w14:paraId="20B305C0" w14:textId="37FBDDA4" w:rsidR="00CD441B" w:rsidRPr="00E6021E" w:rsidRDefault="00E6021E" w:rsidP="00FD515C">
            <w:pPr>
              <w:pStyle w:val="TableText"/>
              <w:rPr>
                <w:vertAlign w:val="superscript"/>
              </w:rPr>
            </w:pPr>
            <w:r>
              <w:t>900,000 km</w:t>
            </w:r>
            <w:r>
              <w:rPr>
                <w:vertAlign w:val="superscript"/>
              </w:rPr>
              <w:t>2</w:t>
            </w:r>
          </w:p>
        </w:tc>
        <w:tc>
          <w:tcPr>
            <w:tcW w:w="3074" w:type="dxa"/>
            <w:shd w:val="clear" w:color="auto" w:fill="auto"/>
          </w:tcPr>
          <w:p w14:paraId="0EF04E93" w14:textId="01CEC727" w:rsidR="00334D9D" w:rsidRPr="001860E1" w:rsidRDefault="00894DD9" w:rsidP="001860E1">
            <w:pPr>
              <w:pStyle w:val="TableText"/>
            </w:pPr>
            <w:r w:rsidRPr="001860E1">
              <w:t xml:space="preserve">The </w:t>
            </w:r>
            <w:r w:rsidR="00334D9D" w:rsidRPr="001860E1">
              <w:t>subspecies occur</w:t>
            </w:r>
            <w:r w:rsidR="0098760A" w:rsidRPr="001860E1">
              <w:t xml:space="preserve"> in the Murray-Darling, Eyre and Bulloo River basins from Isisford and Roma in the north, through western New South Wales to north-west Victoria and west to eastern South Australia (Higgins 1999).</w:t>
            </w:r>
            <w:r w:rsidR="001860E1">
              <w:t xml:space="preserve"> </w:t>
            </w:r>
            <w:r w:rsidR="00334D9D" w:rsidRPr="001860E1">
              <w:t>They had disappeared from the Adelaide and Mt Mary plains in South Australia by 1950s (Boehm 1961</w:t>
            </w:r>
            <w:proofErr w:type="gramStart"/>
            <w:r w:rsidR="00334D9D" w:rsidRPr="001860E1">
              <w:t>)</w:t>
            </w:r>
            <w:r w:rsidR="003B4A30" w:rsidRPr="001860E1">
              <w:t>, but</w:t>
            </w:r>
            <w:proofErr w:type="gramEnd"/>
            <w:r w:rsidR="003B4A30" w:rsidRPr="001860E1">
              <w:t xml:space="preserve"> is otherwise still extant across most of its historical range (Garnett et al. 2011).</w:t>
            </w:r>
          </w:p>
        </w:tc>
      </w:tr>
      <w:tr w:rsidR="00CD441B" w14:paraId="64FEA485" w14:textId="77777777" w:rsidTr="00FD515C">
        <w:trPr>
          <w:cantSplit/>
        </w:trPr>
        <w:tc>
          <w:tcPr>
            <w:tcW w:w="1741" w:type="dxa"/>
          </w:tcPr>
          <w:p w14:paraId="7685A411" w14:textId="77777777" w:rsidR="00CD441B" w:rsidRPr="00D20C80" w:rsidRDefault="00CD441B" w:rsidP="00FD515C">
            <w:pPr>
              <w:pStyle w:val="TableHeading"/>
              <w:keepNext w:val="0"/>
              <w:rPr>
                <w:rStyle w:val="Strong"/>
                <w:b/>
                <w:sz w:val="22"/>
              </w:rPr>
            </w:pPr>
            <w:r w:rsidRPr="00D20C80">
              <w:rPr>
                <w:rStyle w:val="Strong"/>
                <w:b/>
                <w:bCs w:val="0"/>
              </w:rPr>
              <w:lastRenderedPageBreak/>
              <w:t>Trend</w:t>
            </w:r>
          </w:p>
        </w:tc>
        <w:tc>
          <w:tcPr>
            <w:tcW w:w="4245" w:type="dxa"/>
            <w:gridSpan w:val="3"/>
            <w:shd w:val="clear" w:color="auto" w:fill="auto"/>
          </w:tcPr>
          <w:p w14:paraId="550F099A" w14:textId="202D7410" w:rsidR="00CD441B" w:rsidRDefault="00DA5EA7" w:rsidP="00FD515C">
            <w:pPr>
              <w:pStyle w:val="TableText"/>
            </w:pPr>
            <w:r>
              <w:t>Stable</w:t>
            </w:r>
          </w:p>
        </w:tc>
        <w:tc>
          <w:tcPr>
            <w:tcW w:w="3074" w:type="dxa"/>
            <w:shd w:val="clear" w:color="auto" w:fill="auto"/>
          </w:tcPr>
          <w:p w14:paraId="3CF02D17" w14:textId="77777777" w:rsidR="00CD441B" w:rsidRDefault="00CD441B" w:rsidP="00FD515C">
            <w:pPr>
              <w:pStyle w:val="TableText"/>
            </w:pPr>
          </w:p>
        </w:tc>
      </w:tr>
      <w:tr w:rsidR="00CD441B" w14:paraId="328D6467" w14:textId="77777777" w:rsidTr="00FD515C">
        <w:trPr>
          <w:cantSplit/>
        </w:trPr>
        <w:tc>
          <w:tcPr>
            <w:tcW w:w="1741" w:type="dxa"/>
          </w:tcPr>
          <w:p w14:paraId="7B8E721D" w14:textId="4F35494A" w:rsidR="00CD441B" w:rsidRPr="00F83D60" w:rsidRDefault="00CD441B" w:rsidP="00F83D60">
            <w:pPr>
              <w:pStyle w:val="TableHeading"/>
              <w:keepNext w:val="0"/>
              <w:rPr>
                <w:rStyle w:val="Strong"/>
                <w:b/>
                <w:sz w:val="22"/>
              </w:rPr>
            </w:pPr>
            <w:r w:rsidRPr="00D20C80">
              <w:rPr>
                <w:rStyle w:val="Strong"/>
                <w:b/>
                <w:bCs w:val="0"/>
              </w:rPr>
              <w:t>Area of Occupancy</w:t>
            </w:r>
          </w:p>
        </w:tc>
        <w:tc>
          <w:tcPr>
            <w:tcW w:w="1422" w:type="dxa"/>
            <w:shd w:val="clear" w:color="auto" w:fill="auto"/>
          </w:tcPr>
          <w:p w14:paraId="22BCB3C1" w14:textId="37075EB3" w:rsidR="00CD441B" w:rsidRPr="00DA5EA7" w:rsidRDefault="00DA5EA7" w:rsidP="00FD515C">
            <w:pPr>
              <w:pStyle w:val="TableText"/>
              <w:rPr>
                <w:vertAlign w:val="superscript"/>
              </w:rPr>
            </w:pPr>
            <w:r>
              <w:t>225,000 km</w:t>
            </w:r>
            <w:r>
              <w:rPr>
                <w:vertAlign w:val="superscript"/>
              </w:rPr>
              <w:t>2</w:t>
            </w:r>
          </w:p>
        </w:tc>
        <w:tc>
          <w:tcPr>
            <w:tcW w:w="1409" w:type="dxa"/>
            <w:shd w:val="clear" w:color="auto" w:fill="auto"/>
          </w:tcPr>
          <w:p w14:paraId="3C48B846" w14:textId="35E78E43" w:rsidR="00CD441B" w:rsidRPr="00AC7A0C" w:rsidRDefault="00AC7A0C" w:rsidP="00FD515C">
            <w:pPr>
              <w:pStyle w:val="TableText"/>
              <w:rPr>
                <w:vertAlign w:val="superscript"/>
              </w:rPr>
            </w:pPr>
            <w:r>
              <w:t>150,000 km</w:t>
            </w:r>
            <w:r>
              <w:rPr>
                <w:vertAlign w:val="superscript"/>
              </w:rPr>
              <w:t>2</w:t>
            </w:r>
          </w:p>
        </w:tc>
        <w:tc>
          <w:tcPr>
            <w:tcW w:w="1414" w:type="dxa"/>
            <w:shd w:val="clear" w:color="auto" w:fill="auto"/>
          </w:tcPr>
          <w:p w14:paraId="4CD22202" w14:textId="6A26CD26" w:rsidR="00CD441B" w:rsidRPr="00AC7A0C" w:rsidRDefault="00AC7A0C" w:rsidP="00FD515C">
            <w:pPr>
              <w:pStyle w:val="TableText"/>
              <w:rPr>
                <w:vertAlign w:val="superscript"/>
              </w:rPr>
            </w:pPr>
            <w:r>
              <w:t>300,000 km</w:t>
            </w:r>
            <w:r>
              <w:rPr>
                <w:vertAlign w:val="superscript"/>
              </w:rPr>
              <w:t>2</w:t>
            </w:r>
          </w:p>
        </w:tc>
        <w:tc>
          <w:tcPr>
            <w:tcW w:w="3074" w:type="dxa"/>
            <w:shd w:val="clear" w:color="auto" w:fill="auto"/>
          </w:tcPr>
          <w:p w14:paraId="346F72A1" w14:textId="0402ED0A" w:rsidR="00CD441B" w:rsidRDefault="00C255DE" w:rsidP="00FD515C">
            <w:pPr>
              <w:pStyle w:val="TableText"/>
            </w:pPr>
            <w:r>
              <w:t>It is assumed that 2</w:t>
            </w:r>
            <w:r w:rsidR="00CB09DF">
              <w:t>0</w:t>
            </w:r>
            <w:r>
              <w:t xml:space="preserve">–30% of the subspecies range is still occupied (Hurley &amp; </w:t>
            </w:r>
            <w:r w:rsidR="00E27835">
              <w:t>Garnett 2021).</w:t>
            </w:r>
          </w:p>
        </w:tc>
      </w:tr>
      <w:tr w:rsidR="00F83D60" w:rsidRPr="00F83D60" w14:paraId="7CF787AB" w14:textId="77777777" w:rsidTr="00157217">
        <w:trPr>
          <w:cantSplit/>
        </w:trPr>
        <w:tc>
          <w:tcPr>
            <w:tcW w:w="9060" w:type="dxa"/>
            <w:gridSpan w:val="5"/>
          </w:tcPr>
          <w:p w14:paraId="7523E43A" w14:textId="3783DBFF" w:rsidR="00F83D60" w:rsidRPr="00F83D60" w:rsidRDefault="00F83D60" w:rsidP="00F83D60">
            <w:pPr>
              <w:pStyle w:val="TableHeading"/>
              <w:keepNext w:val="0"/>
              <w:rPr>
                <w:rStyle w:val="Strong"/>
                <w:w w:val="90"/>
              </w:rPr>
            </w:pPr>
            <w:r w:rsidRPr="00F83D60">
              <w:rPr>
                <w:rStyle w:val="Strong"/>
                <w:w w:val="90"/>
              </w:rPr>
              <w:t xml:space="preserve">AOO is a standardised spatial measure of the risk of extinction, that represents the area of suitable habitat known, </w:t>
            </w:r>
            <w:proofErr w:type="gramStart"/>
            <w:r w:rsidRPr="00F83D60">
              <w:rPr>
                <w:rStyle w:val="Strong"/>
                <w:w w:val="90"/>
              </w:rPr>
              <w:t>inferred</w:t>
            </w:r>
            <w:proofErr w:type="gramEnd"/>
            <w:r w:rsidRPr="00F83D60">
              <w:rPr>
                <w:rStyle w:val="Strong"/>
                <w:w w:val="90"/>
              </w:rPr>
              <w:t xml:space="preserve"> or projected to be currently occupied by the taxon. It is estimated using a 2 x 2 km grid to enable comparison with the criteria thresholds.</w:t>
            </w:r>
            <w:r w:rsidR="00DA36A8">
              <w:t xml:space="preserve"> </w:t>
            </w:r>
            <w:r w:rsidR="00DA36A8" w:rsidRPr="00DA36A8">
              <w:rPr>
                <w:rStyle w:val="Strong"/>
                <w:w w:val="90"/>
              </w:rPr>
              <w:t>The resolution (grid size) that maximizes the correlation between AOO and extinction risk is determined more by the spatial scale of threats than by the spatial scale at which AOO is estimated or shape of the taxon's distribution</w:t>
            </w:r>
            <w:r w:rsidR="00DA36A8">
              <w:rPr>
                <w:rStyle w:val="Strong"/>
                <w:w w:val="90"/>
              </w:rPr>
              <w:t>.</w:t>
            </w:r>
            <w:r w:rsidRPr="00F83D60">
              <w:rPr>
                <w:rStyle w:val="Strong"/>
                <w:w w:val="90"/>
              </w:rPr>
              <w:t xml:space="preserve"> It is not a fine-scale estimate of the actual area occupied. In some cases, AOO is the smallest area essential at any stage to the survival of existing populations of a </w:t>
            </w:r>
            <w:proofErr w:type="spellStart"/>
            <w:r w:rsidRPr="00F83D60">
              <w:rPr>
                <w:rStyle w:val="Strong"/>
                <w:w w:val="90"/>
              </w:rPr>
              <w:t>taxon</w:t>
            </w:r>
            <w:proofErr w:type="spellEnd"/>
            <w:r w:rsidRPr="00F83D60">
              <w:rPr>
                <w:rStyle w:val="Strong"/>
                <w:w w:val="90"/>
              </w:rPr>
              <w:t xml:space="preserve"> (</w:t>
            </w:r>
            <w:proofErr w:type="gramStart"/>
            <w:r w:rsidRPr="00F83D60">
              <w:rPr>
                <w:rStyle w:val="Strong"/>
                <w:w w:val="90"/>
              </w:rPr>
              <w:t>e.g.</w:t>
            </w:r>
            <w:proofErr w:type="gramEnd"/>
            <w:r w:rsidRPr="00F83D60">
              <w:rPr>
                <w:rStyle w:val="Strong"/>
                <w:w w:val="90"/>
              </w:rPr>
              <w:t xml:space="preserve"> breeding sites for migratory species).</w:t>
            </w:r>
          </w:p>
        </w:tc>
      </w:tr>
      <w:tr w:rsidR="00CD441B" w14:paraId="0E7D34C1" w14:textId="77777777" w:rsidTr="00FD515C">
        <w:trPr>
          <w:cantSplit/>
        </w:trPr>
        <w:tc>
          <w:tcPr>
            <w:tcW w:w="1741" w:type="dxa"/>
          </w:tcPr>
          <w:p w14:paraId="75519C0E"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64479A62" w14:textId="48A8163E" w:rsidR="00CD441B" w:rsidRDefault="00117825" w:rsidP="00605A86">
            <w:pPr>
              <w:pStyle w:val="TableText"/>
            </w:pPr>
            <w:r>
              <w:t>Contracting</w:t>
            </w:r>
          </w:p>
        </w:tc>
        <w:tc>
          <w:tcPr>
            <w:tcW w:w="3074" w:type="dxa"/>
            <w:shd w:val="clear" w:color="auto" w:fill="auto"/>
          </w:tcPr>
          <w:p w14:paraId="29FA9D9C" w14:textId="77777777" w:rsidR="00CD441B" w:rsidRDefault="00CD441B" w:rsidP="00FD515C">
            <w:pPr>
              <w:pStyle w:val="TableText"/>
            </w:pPr>
          </w:p>
        </w:tc>
      </w:tr>
      <w:tr w:rsidR="00CD441B" w14:paraId="2B7C124D" w14:textId="77777777" w:rsidTr="00FD515C">
        <w:trPr>
          <w:cantSplit/>
        </w:trPr>
        <w:tc>
          <w:tcPr>
            <w:tcW w:w="1741" w:type="dxa"/>
          </w:tcPr>
          <w:p w14:paraId="4293C945" w14:textId="4A496C6E" w:rsidR="00CD441B" w:rsidRPr="00F83D60" w:rsidRDefault="00CD441B" w:rsidP="00F83D60">
            <w:pPr>
              <w:pStyle w:val="TableHeading"/>
              <w:keepNext w:val="0"/>
              <w:rPr>
                <w:rStyle w:val="Strong"/>
                <w:b/>
                <w:sz w:val="22"/>
              </w:rPr>
            </w:pPr>
            <w:r w:rsidRPr="00D20C80">
              <w:rPr>
                <w:rStyle w:val="Strong"/>
                <w:b/>
                <w:bCs w:val="0"/>
              </w:rPr>
              <w:t>Number of subpopulations</w:t>
            </w:r>
          </w:p>
        </w:tc>
        <w:tc>
          <w:tcPr>
            <w:tcW w:w="1422" w:type="dxa"/>
            <w:shd w:val="clear" w:color="auto" w:fill="auto"/>
          </w:tcPr>
          <w:p w14:paraId="3A9D2D37" w14:textId="5108BACF" w:rsidR="00CD441B" w:rsidRDefault="005F482B" w:rsidP="00FD515C">
            <w:pPr>
              <w:pStyle w:val="TableText"/>
            </w:pPr>
            <w:r>
              <w:t>1</w:t>
            </w:r>
          </w:p>
        </w:tc>
        <w:tc>
          <w:tcPr>
            <w:tcW w:w="1409" w:type="dxa"/>
            <w:shd w:val="clear" w:color="auto" w:fill="auto"/>
          </w:tcPr>
          <w:p w14:paraId="3ADC65F5" w14:textId="56F3809F" w:rsidR="00CD441B" w:rsidRDefault="005F482B" w:rsidP="00FD515C">
            <w:pPr>
              <w:pStyle w:val="TableText"/>
            </w:pPr>
            <w:r>
              <w:t>1</w:t>
            </w:r>
          </w:p>
        </w:tc>
        <w:tc>
          <w:tcPr>
            <w:tcW w:w="1414" w:type="dxa"/>
            <w:shd w:val="clear" w:color="auto" w:fill="auto"/>
          </w:tcPr>
          <w:p w14:paraId="34402CB7" w14:textId="569A4367" w:rsidR="00CD441B" w:rsidRDefault="005F482B" w:rsidP="00FD515C">
            <w:pPr>
              <w:pStyle w:val="TableText"/>
            </w:pPr>
            <w:r>
              <w:t>1</w:t>
            </w:r>
          </w:p>
        </w:tc>
        <w:tc>
          <w:tcPr>
            <w:tcW w:w="3074" w:type="dxa"/>
            <w:shd w:val="clear" w:color="auto" w:fill="auto"/>
          </w:tcPr>
          <w:p w14:paraId="1D00319D" w14:textId="36880788" w:rsidR="00CD441B" w:rsidRDefault="00FB2835" w:rsidP="00FD515C">
            <w:pPr>
              <w:pStyle w:val="TableText"/>
            </w:pPr>
            <w:r>
              <w:t>Hurley &amp; Garnett (2021)</w:t>
            </w:r>
          </w:p>
        </w:tc>
      </w:tr>
      <w:tr w:rsidR="00CD441B" w14:paraId="4C42BFCF" w14:textId="77777777" w:rsidTr="00FD515C">
        <w:trPr>
          <w:cantSplit/>
        </w:trPr>
        <w:tc>
          <w:tcPr>
            <w:tcW w:w="1741" w:type="dxa"/>
          </w:tcPr>
          <w:p w14:paraId="51D6EBA3"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455DD65B" w14:textId="38717737" w:rsidR="00CD441B" w:rsidRDefault="005F482B" w:rsidP="00FD515C">
            <w:pPr>
              <w:pStyle w:val="TableText"/>
            </w:pPr>
            <w:r>
              <w:t>Stable</w:t>
            </w:r>
          </w:p>
        </w:tc>
        <w:tc>
          <w:tcPr>
            <w:tcW w:w="3074" w:type="dxa"/>
            <w:shd w:val="clear" w:color="auto" w:fill="auto"/>
          </w:tcPr>
          <w:p w14:paraId="3BF54AC8" w14:textId="77777777" w:rsidR="00CD441B" w:rsidRPr="001B7D1F" w:rsidRDefault="00CD441B" w:rsidP="00FD515C">
            <w:pPr>
              <w:pStyle w:val="TableText"/>
            </w:pPr>
          </w:p>
        </w:tc>
      </w:tr>
      <w:tr w:rsidR="00CD441B" w14:paraId="154DC974" w14:textId="77777777" w:rsidTr="00FD515C">
        <w:trPr>
          <w:cantSplit/>
        </w:trPr>
        <w:tc>
          <w:tcPr>
            <w:tcW w:w="1741" w:type="dxa"/>
          </w:tcPr>
          <w:p w14:paraId="26BF7D15" w14:textId="7DD1A760" w:rsidR="00CD441B" w:rsidRPr="00F83D60" w:rsidRDefault="00CD441B" w:rsidP="00F83D60">
            <w:pPr>
              <w:pStyle w:val="TableHeading"/>
              <w:keepNext w:val="0"/>
              <w:rPr>
                <w:rStyle w:val="Strong"/>
                <w:b/>
                <w:sz w:val="22"/>
              </w:rPr>
            </w:pPr>
            <w:r w:rsidRPr="00D20C80">
              <w:rPr>
                <w:rStyle w:val="Strong"/>
                <w:b/>
                <w:bCs w:val="0"/>
              </w:rPr>
              <w:t>Basis of assessment of subpopulation number</w:t>
            </w:r>
          </w:p>
        </w:tc>
        <w:tc>
          <w:tcPr>
            <w:tcW w:w="7319" w:type="dxa"/>
            <w:gridSpan w:val="4"/>
            <w:shd w:val="clear" w:color="auto" w:fill="auto"/>
          </w:tcPr>
          <w:p w14:paraId="59A7CC19" w14:textId="40AEF912" w:rsidR="00186F4D" w:rsidRDefault="005F482B" w:rsidP="001376F1">
            <w:pPr>
              <w:pStyle w:val="TableText"/>
            </w:pPr>
            <w:r>
              <w:t xml:space="preserve">There are no major biogeographic barriers and therefore the population is </w:t>
            </w:r>
            <w:r w:rsidR="006A1CD1">
              <w:t>assumed</w:t>
            </w:r>
            <w:r>
              <w:t xml:space="preserve"> to be panmictic (</w:t>
            </w:r>
            <w:r w:rsidR="00673477">
              <w:t>Hurley &amp; Garnett 2021).</w:t>
            </w:r>
          </w:p>
        </w:tc>
      </w:tr>
      <w:tr w:rsidR="00CD441B" w14:paraId="2CEBEDB2" w14:textId="77777777" w:rsidTr="00FD515C">
        <w:trPr>
          <w:cantSplit/>
        </w:trPr>
        <w:tc>
          <w:tcPr>
            <w:tcW w:w="1741" w:type="dxa"/>
          </w:tcPr>
          <w:p w14:paraId="0DDB2C37" w14:textId="6F0F11E5" w:rsidR="00CD441B" w:rsidRPr="00F83D60" w:rsidRDefault="00CD441B" w:rsidP="00F83D60">
            <w:pPr>
              <w:pStyle w:val="TableHeading"/>
              <w:keepNext w:val="0"/>
              <w:rPr>
                <w:rStyle w:val="Strong"/>
                <w:b/>
                <w:sz w:val="22"/>
              </w:rPr>
            </w:pPr>
            <w:r w:rsidRPr="00D20C80">
              <w:rPr>
                <w:rStyle w:val="Strong"/>
                <w:b/>
                <w:bCs w:val="0"/>
              </w:rPr>
              <w:t>No. locations</w:t>
            </w:r>
          </w:p>
        </w:tc>
        <w:tc>
          <w:tcPr>
            <w:tcW w:w="1422" w:type="dxa"/>
            <w:shd w:val="clear" w:color="auto" w:fill="auto"/>
          </w:tcPr>
          <w:p w14:paraId="2C3BFBC5" w14:textId="118D8F79" w:rsidR="00CD441B" w:rsidRDefault="005B08AB" w:rsidP="00FD515C">
            <w:pPr>
              <w:pStyle w:val="TableText"/>
            </w:pPr>
            <w:r>
              <w:t>&gt;10</w:t>
            </w:r>
          </w:p>
        </w:tc>
        <w:tc>
          <w:tcPr>
            <w:tcW w:w="1409" w:type="dxa"/>
            <w:shd w:val="clear" w:color="auto" w:fill="auto"/>
          </w:tcPr>
          <w:p w14:paraId="14367A7A" w14:textId="77777777" w:rsidR="00CD441B" w:rsidRDefault="00CD441B" w:rsidP="00FD515C">
            <w:pPr>
              <w:pStyle w:val="TableText"/>
            </w:pPr>
          </w:p>
        </w:tc>
        <w:tc>
          <w:tcPr>
            <w:tcW w:w="1414" w:type="dxa"/>
            <w:shd w:val="clear" w:color="auto" w:fill="auto"/>
          </w:tcPr>
          <w:p w14:paraId="09055FDC" w14:textId="77777777" w:rsidR="00CD441B" w:rsidRDefault="00CD441B" w:rsidP="00FD515C">
            <w:pPr>
              <w:pStyle w:val="TableText"/>
            </w:pPr>
          </w:p>
        </w:tc>
        <w:tc>
          <w:tcPr>
            <w:tcW w:w="3074" w:type="dxa"/>
            <w:shd w:val="clear" w:color="auto" w:fill="auto"/>
          </w:tcPr>
          <w:p w14:paraId="2E3B1D9D" w14:textId="07366C23" w:rsidR="00CD441B" w:rsidRDefault="000E6E47" w:rsidP="00FB2835">
            <w:pPr>
              <w:pStyle w:val="TableText"/>
            </w:pPr>
            <w:r>
              <w:t>Hurley &amp; Garnett (2021)</w:t>
            </w:r>
          </w:p>
        </w:tc>
      </w:tr>
      <w:tr w:rsidR="00CD441B" w14:paraId="76234DC1" w14:textId="77777777" w:rsidTr="00FD515C">
        <w:trPr>
          <w:cantSplit/>
        </w:trPr>
        <w:tc>
          <w:tcPr>
            <w:tcW w:w="1741" w:type="dxa"/>
          </w:tcPr>
          <w:p w14:paraId="720AA173"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4245" w:type="dxa"/>
            <w:gridSpan w:val="3"/>
            <w:shd w:val="clear" w:color="auto" w:fill="auto"/>
          </w:tcPr>
          <w:p w14:paraId="7153C750" w14:textId="46758996" w:rsidR="00CD441B" w:rsidRDefault="00FB2835" w:rsidP="00FD515C">
            <w:pPr>
              <w:pStyle w:val="TableText"/>
            </w:pPr>
            <w:r>
              <w:t>Not calculated</w:t>
            </w:r>
          </w:p>
        </w:tc>
        <w:tc>
          <w:tcPr>
            <w:tcW w:w="3074" w:type="dxa"/>
            <w:shd w:val="clear" w:color="auto" w:fill="auto"/>
          </w:tcPr>
          <w:p w14:paraId="36124664" w14:textId="77777777" w:rsidR="00CD441B" w:rsidRDefault="00CD441B" w:rsidP="00FD515C">
            <w:pPr>
              <w:pStyle w:val="TableText"/>
            </w:pPr>
          </w:p>
        </w:tc>
      </w:tr>
      <w:tr w:rsidR="00CD441B" w14:paraId="1364C5F8" w14:textId="77777777" w:rsidTr="00FD515C">
        <w:trPr>
          <w:cantSplit/>
        </w:trPr>
        <w:tc>
          <w:tcPr>
            <w:tcW w:w="1741" w:type="dxa"/>
          </w:tcPr>
          <w:p w14:paraId="436AE6BD" w14:textId="77777777" w:rsidR="00CD441B" w:rsidRPr="00D20C80" w:rsidRDefault="00CD441B" w:rsidP="00FD515C">
            <w:pPr>
              <w:pStyle w:val="TableHeading"/>
              <w:keepNext w:val="0"/>
              <w:rPr>
                <w:rStyle w:val="Strong"/>
                <w:b/>
                <w:sz w:val="22"/>
              </w:rPr>
            </w:pPr>
            <w:bookmarkStart w:id="17" w:name="_Hlk51878889"/>
            <w:r w:rsidRPr="00D20C80">
              <w:rPr>
                <w:rStyle w:val="Strong"/>
                <w:b/>
                <w:bCs w:val="0"/>
              </w:rPr>
              <w:t>Basis of assessment of location number</w:t>
            </w:r>
            <w:bookmarkEnd w:id="17"/>
          </w:p>
        </w:tc>
        <w:tc>
          <w:tcPr>
            <w:tcW w:w="7319" w:type="dxa"/>
            <w:gridSpan w:val="4"/>
            <w:shd w:val="clear" w:color="auto" w:fill="auto"/>
          </w:tcPr>
          <w:p w14:paraId="0BBE0224" w14:textId="6321C6D3" w:rsidR="00CD441B" w:rsidRDefault="00023104" w:rsidP="00FE0F63">
            <w:pPr>
              <w:pStyle w:val="TableText"/>
            </w:pPr>
            <w:r>
              <w:t xml:space="preserve">The spatial nature of the threats, even though stochastic in space and time, is such that </w:t>
            </w:r>
            <w:r w:rsidR="006A1CD1">
              <w:t>there</w:t>
            </w:r>
            <w:r w:rsidR="003A3171">
              <w:t xml:space="preserve"> are more than 10 geographically or ecologically distinct areas where a single </w:t>
            </w:r>
            <w:r w:rsidR="006A1CD1">
              <w:t>threatening</w:t>
            </w:r>
            <w:r w:rsidR="003A3171">
              <w:t xml:space="preserve"> event could affect all individuals </w:t>
            </w:r>
            <w:r w:rsidR="00C25187">
              <w:t>of the subspecies present within a period of one generation (Hurley &amp; Garnett 2021).</w:t>
            </w:r>
          </w:p>
        </w:tc>
      </w:tr>
      <w:tr w:rsidR="00D37773" w14:paraId="03BB4230" w14:textId="77777777" w:rsidTr="00AC5F6E">
        <w:trPr>
          <w:cantSplit/>
        </w:trPr>
        <w:tc>
          <w:tcPr>
            <w:tcW w:w="1741" w:type="dxa"/>
          </w:tcPr>
          <w:p w14:paraId="7F2D36BB" w14:textId="302E807E" w:rsidR="00D37773" w:rsidRPr="00D20C80" w:rsidRDefault="00D37773" w:rsidP="00F83D60">
            <w:pPr>
              <w:pStyle w:val="TableHeading"/>
              <w:keepNext w:val="0"/>
              <w:rPr>
                <w:rStyle w:val="Strong"/>
                <w:b/>
                <w:bCs w:val="0"/>
              </w:rPr>
            </w:pPr>
            <w:r w:rsidRPr="00D20C80">
              <w:rPr>
                <w:rStyle w:val="Strong"/>
                <w:b/>
                <w:bCs w:val="0"/>
              </w:rPr>
              <w:t>Fragmentation</w:t>
            </w:r>
          </w:p>
        </w:tc>
        <w:tc>
          <w:tcPr>
            <w:tcW w:w="7319" w:type="dxa"/>
            <w:gridSpan w:val="4"/>
            <w:shd w:val="clear" w:color="auto" w:fill="auto"/>
          </w:tcPr>
          <w:p w14:paraId="158E00A4" w14:textId="3D7E1D16" w:rsidR="00D37773" w:rsidRPr="005B2D18" w:rsidRDefault="00D37773" w:rsidP="001376F1">
            <w:pPr>
              <w:pStyle w:val="TableText"/>
            </w:pPr>
            <w:r w:rsidRPr="005B2D18">
              <w:t>Not severely fragmented</w:t>
            </w:r>
            <w:r w:rsidR="00DD56C4" w:rsidRPr="005B2D18">
              <w:t>.</w:t>
            </w:r>
          </w:p>
        </w:tc>
      </w:tr>
      <w:tr w:rsidR="00CD441B" w14:paraId="5178080C" w14:textId="77777777" w:rsidTr="008E4C40">
        <w:trPr>
          <w:cantSplit/>
        </w:trPr>
        <w:tc>
          <w:tcPr>
            <w:tcW w:w="1741" w:type="dxa"/>
          </w:tcPr>
          <w:p w14:paraId="50E5C9F9" w14:textId="030436D2" w:rsidR="00CD441B" w:rsidRPr="00F83D60" w:rsidRDefault="00CD441B" w:rsidP="00F83D60">
            <w:pPr>
              <w:pStyle w:val="TableHeading"/>
              <w:keepNext w:val="0"/>
              <w:rPr>
                <w:rStyle w:val="Strong"/>
                <w:b/>
                <w:sz w:val="22"/>
              </w:rPr>
            </w:pPr>
            <w:r w:rsidRPr="00D20C80">
              <w:rPr>
                <w:rStyle w:val="Strong"/>
                <w:b/>
                <w:bCs w:val="0"/>
              </w:rPr>
              <w:t>Fluctuations</w:t>
            </w:r>
          </w:p>
        </w:tc>
        <w:tc>
          <w:tcPr>
            <w:tcW w:w="7319" w:type="dxa"/>
            <w:gridSpan w:val="4"/>
            <w:shd w:val="clear" w:color="auto" w:fill="auto"/>
          </w:tcPr>
          <w:p w14:paraId="0FB94425" w14:textId="1719EA03" w:rsidR="00CD441B" w:rsidRPr="005B2D18" w:rsidRDefault="00CD441B" w:rsidP="008E4C40">
            <w:pPr>
              <w:pStyle w:val="TableText"/>
            </w:pPr>
            <w:r w:rsidRPr="005B2D18">
              <w:t xml:space="preserve">Not subject to extreme fluctuations in EOO, AOO, number of subpopulations, </w:t>
            </w:r>
            <w:proofErr w:type="gramStart"/>
            <w:r w:rsidRPr="005B2D18">
              <w:t>locations</w:t>
            </w:r>
            <w:proofErr w:type="gramEnd"/>
            <w:r w:rsidRPr="005B2D18">
              <w:t xml:space="preserve"> or mature individuals</w:t>
            </w:r>
            <w:r w:rsidR="00DD56C4" w:rsidRPr="005B2D18">
              <w:t>.</w:t>
            </w:r>
          </w:p>
        </w:tc>
      </w:tr>
      <w:bookmarkEnd w:id="16"/>
    </w:tbl>
    <w:p w14:paraId="397A2D2F" w14:textId="77777777" w:rsidR="008415AE" w:rsidRDefault="008415AE" w:rsidP="00D447A7">
      <w:pPr>
        <w:pStyle w:val="Caption"/>
        <w:rPr>
          <w:lang w:eastAsia="ja-JP"/>
        </w:rPr>
      </w:pPr>
    </w:p>
    <w:p w14:paraId="04D98E94" w14:textId="6DCBAB5E" w:rsidR="003A06CA" w:rsidRDefault="00C2736A" w:rsidP="00D447A7">
      <w:pPr>
        <w:pStyle w:val="Caption"/>
        <w:rPr>
          <w:lang w:eastAsia="ja-JP"/>
        </w:rPr>
      </w:pPr>
      <w:r>
        <w:rPr>
          <w:lang w:eastAsia="ja-JP"/>
        </w:rPr>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010DEB60" w14:textId="77777777" w:rsidTr="0050535B">
        <w:trPr>
          <w:cantSplit/>
          <w:trHeight w:val="606"/>
        </w:trPr>
        <w:tc>
          <w:tcPr>
            <w:tcW w:w="9975" w:type="dxa"/>
            <w:gridSpan w:val="6"/>
            <w:shd w:val="clear" w:color="auto" w:fill="595959" w:themeFill="text1" w:themeFillTint="A6"/>
            <w:vAlign w:val="center"/>
          </w:tcPr>
          <w:p w14:paraId="293F6B8E"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6FC34D9B"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0B6B9D"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72C202E" w14:textId="77777777" w:rsidR="00DD3067" w:rsidRPr="00936152" w:rsidRDefault="00DD3067" w:rsidP="00476948">
            <w:pPr>
              <w:pStyle w:val="TableText"/>
              <w:keepNext/>
              <w:rPr>
                <w:rStyle w:val="Strong"/>
              </w:rPr>
            </w:pPr>
            <w:r w:rsidRPr="00936152">
              <w:rPr>
                <w:rStyle w:val="Strong"/>
              </w:rPr>
              <w:t>Critically Endangered</w:t>
            </w:r>
          </w:p>
          <w:p w14:paraId="22DB6841"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563B582F" w14:textId="77777777" w:rsidR="00DD3067" w:rsidRPr="00936152" w:rsidRDefault="00DD3067" w:rsidP="00476948">
            <w:pPr>
              <w:pStyle w:val="TableText"/>
              <w:keepNext/>
              <w:rPr>
                <w:rStyle w:val="Strong"/>
              </w:rPr>
            </w:pPr>
            <w:r w:rsidRPr="00936152">
              <w:rPr>
                <w:rStyle w:val="Strong"/>
              </w:rPr>
              <w:t>Endangered</w:t>
            </w:r>
          </w:p>
          <w:p w14:paraId="3DB2E35C"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12C90390" w14:textId="77777777" w:rsidR="00DD3067" w:rsidRPr="00936152" w:rsidRDefault="00DD3067" w:rsidP="00476948">
            <w:pPr>
              <w:pStyle w:val="TableText"/>
              <w:keepNext/>
              <w:rPr>
                <w:rStyle w:val="Strong"/>
              </w:rPr>
            </w:pPr>
            <w:r w:rsidRPr="00936152">
              <w:rPr>
                <w:rStyle w:val="Strong"/>
              </w:rPr>
              <w:t>Vulnerable</w:t>
            </w:r>
          </w:p>
          <w:p w14:paraId="449A5533"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7BC8A667"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32852979"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3994CBAB"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1C562841"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305303E1" w14:textId="77777777" w:rsidR="00DD3067" w:rsidRPr="00556843" w:rsidRDefault="00DD3067" w:rsidP="00476948">
            <w:pPr>
              <w:pStyle w:val="TableText"/>
              <w:keepNext/>
            </w:pPr>
            <w:r w:rsidRPr="00556843">
              <w:t>≥ 50%</w:t>
            </w:r>
          </w:p>
        </w:tc>
      </w:tr>
      <w:tr w:rsidR="00DD3067" w:rsidRPr="00556843" w14:paraId="4A3B71F0"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5BA4AB30"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57482E52"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725F07C"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55877FB7" w14:textId="77777777" w:rsidR="00DD3067" w:rsidRPr="00556843" w:rsidRDefault="00DD3067" w:rsidP="00476948">
            <w:pPr>
              <w:pStyle w:val="TableText"/>
              <w:keepNext/>
            </w:pPr>
            <w:r w:rsidRPr="00556843">
              <w:t>≥ 30%</w:t>
            </w:r>
          </w:p>
        </w:tc>
      </w:tr>
      <w:tr w:rsidR="00266DC5" w:rsidRPr="00556843" w14:paraId="0AD949B1"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658ED196"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330B59AF"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557C6185"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1FB60814"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2560BC29"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358412BB" wp14:editId="26CF5B50">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DD04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afFAIAACAEAAAOAAAAZHJzL2Uyb0RvYy54bWysU82OEzEMviPxDlHudNqhpXTU6Qp2WYS0&#10;/EgLD5AmmU4gEwcn7bQ8PU5mWgrcEDlEdux8tj/b65tjZ9lBYzDgaj6bTDnTToIyblfzL5/vn73k&#10;LEThlLDgdM1POvCbzdMn695XuoQWrNLICMSFqvc1b2P0VVEE2epOhAl47cjYAHYikoq7QqHoCb2z&#10;RTmdvih6QOURpA6BXu8GI99k/KbRMn5smqAjszWn3GK+Md/bdBebtah2KHxr5JiG+IcsOmEcBb1A&#10;3Yko2B7NX1CdkQgBmjiR0BXQNEbqXANVM5v+Uc1jK7zOtRA5wV9oCv8PVn44PPpPmFIP/gHkt0CM&#10;FL0P1cWSlEA+bNu/B0U9FPsIudhjg136SWWwY+b0dOFUHyOT9FiuFuVywZkkUzmfL1flIpFeiOr8&#10;22OIbzV0LAk1R7Nr42sUMlUuKnF4CDEzq5gTXQqvvs44azpLjToIy56nMzbyyqe89llM6YxxR0TK&#10;4Bw5wTu4N9bmcbCO9TWnvBc5gwDWqGRMbgF321uLjAJTqfmMsL+5IeydymCtFurNKEdh7CBTcOtG&#10;ohO3aV5DtQV1Ip4RhjGltSKhBfzBWU8jWvPwfS9Qc2bfOZqB1Ww+TzOdlfliWZKC15bttUU4SVA1&#10;j5wN4m0c9mDvM+W0vblcB6+ov42J50EYshqTpTHMzRtXJs35tZ69fi325icAAAD//wMAUEsDBBQA&#10;BgAIAAAAIQA7+rZY3gAAAAgBAAAPAAAAZHJzL2Rvd25yZXYueG1sTI/BTsMwEETvSPyDtUhcUOvQ&#10;NFUa4lQIBCcQou2hRyde4oh4HcVuG/6e7QmOoxm9mSk3k+vFCcfQeVJwP09AIDXedNQq2O9eZjmI&#10;EDUZ3XtCBT8YYFNdX5W6MP5Mn3jaxlYwhEKhFdgYh0LK0Fh0Osz9gMTelx+djizHVppRnxnuerlI&#10;kpV0uiNusHrAJ4vN9/boFASG2jo71B/Z8vD++rYbnu+WmVK3N9PjA4iIU/wLw2U+T4eKN9X+SCaI&#10;XsEsXaw4qiDlSxc/XYOoWeZ5BrIq5f8D1S8AAAD//wMAUEsBAi0AFAAGAAgAAAAhALaDOJL+AAAA&#10;4QEAABMAAAAAAAAAAAAAAAAAAAAAAFtDb250ZW50X1R5cGVzXS54bWxQSwECLQAUAAYACAAAACEA&#10;OP0h/9YAAACUAQAACwAAAAAAAAAAAAAAAAAvAQAAX3JlbHMvLnJlbHNQSwECLQAUAAYACAAAACEA&#10;xTImnxQCAAAgBAAADgAAAAAAAAAAAAAAAAAuAgAAZHJzL2Uyb0RvYy54bWxQSwECLQAUAAYACAAA&#10;ACEAO/q2WN4AAAAIAQAADwAAAAAAAAAAAAAAAABuBAAAZHJzL2Rvd25yZXYueG1sUEsFBgAAAAAE&#10;AAQA8wAAAHkFAAAAAA==&#10;" adj="868"/>
                  </w:pict>
                </mc:Fallback>
              </mc:AlternateContent>
            </w:r>
            <w:r w:rsidR="00266DC5">
              <w:t>B</w:t>
            </w:r>
            <w:r w:rsidR="00266DC5" w:rsidRPr="00CE7C59">
              <w:t>ased on any of the following</w:t>
            </w:r>
          </w:p>
        </w:tc>
        <w:tc>
          <w:tcPr>
            <w:tcW w:w="2664" w:type="dxa"/>
            <w:gridSpan w:val="2"/>
            <w:tcBorders>
              <w:top w:val="nil"/>
              <w:left w:val="nil"/>
            </w:tcBorders>
          </w:tcPr>
          <w:p w14:paraId="0B1F4305"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495ACD4A" w14:textId="77777777" w:rsidR="00266DC5" w:rsidRDefault="00266DC5" w:rsidP="000D55BC">
            <w:pPr>
              <w:pStyle w:val="TableText"/>
              <w:ind w:left="312" w:hanging="312"/>
            </w:pPr>
            <w:r w:rsidRPr="00556843">
              <w:t>(b)</w:t>
            </w:r>
            <w:r w:rsidRPr="00556843">
              <w:tab/>
              <w:t>an index of abundance appropriate to the taxon</w:t>
            </w:r>
          </w:p>
          <w:p w14:paraId="3B826BBF"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156C4C64" w14:textId="77777777" w:rsidR="00266DC5" w:rsidRPr="00556843" w:rsidRDefault="00266DC5" w:rsidP="000D55BC">
            <w:pPr>
              <w:pStyle w:val="TableText"/>
              <w:ind w:left="312" w:hanging="312"/>
            </w:pPr>
            <w:r w:rsidRPr="00556843">
              <w:t>(d)</w:t>
            </w:r>
            <w:r w:rsidRPr="00556843">
              <w:tab/>
              <w:t>actual or potential levels of exploitation</w:t>
            </w:r>
          </w:p>
          <w:p w14:paraId="76BB4F2C" w14:textId="77777777"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4CECC4C5" w14:textId="77777777" w:rsidR="000F3D21" w:rsidRPr="0000579F" w:rsidRDefault="00C2736A" w:rsidP="00B52E90">
      <w:pPr>
        <w:pStyle w:val="Heading3"/>
        <w:rPr>
          <w:lang w:eastAsia="ja-JP"/>
        </w:rPr>
      </w:pPr>
      <w:r>
        <w:rPr>
          <w:lang w:eastAsia="ja-JP"/>
        </w:rPr>
        <w:t xml:space="preserve">Criterion 1 </w:t>
      </w:r>
      <w:r w:rsidRPr="0000579F">
        <w:rPr>
          <w:lang w:eastAsia="ja-JP"/>
        </w:rPr>
        <w:t>e</w:t>
      </w:r>
      <w:r w:rsidR="000F3D21" w:rsidRPr="0000579F">
        <w:rPr>
          <w:lang w:eastAsia="ja-JP"/>
        </w:rPr>
        <w:t>vidence</w:t>
      </w:r>
    </w:p>
    <w:p w14:paraId="32459F9F" w14:textId="7C4D4F41" w:rsidR="00CF270B" w:rsidRDefault="000F3D21" w:rsidP="00CF270B">
      <w:pPr>
        <w:rPr>
          <w:lang w:eastAsia="ja-JP"/>
        </w:rPr>
      </w:pPr>
      <w:r w:rsidRPr="0000579F">
        <w:rPr>
          <w:rStyle w:val="Strong"/>
        </w:rPr>
        <w:t>Eligible under Criterion 1</w:t>
      </w:r>
      <w:r w:rsidRPr="0000579F">
        <w:rPr>
          <w:lang w:eastAsia="ja-JP"/>
        </w:rPr>
        <w:t xml:space="preserve"> </w:t>
      </w:r>
      <w:r w:rsidR="009F10A8" w:rsidRPr="0000579F">
        <w:rPr>
          <w:b/>
          <w:bCs/>
        </w:rPr>
        <w:t>A2bce</w:t>
      </w:r>
      <w:r w:rsidR="00347206" w:rsidRPr="0000579F">
        <w:t xml:space="preserve"> </w:t>
      </w:r>
      <w:r w:rsidR="00347206" w:rsidRPr="0000579F">
        <w:rPr>
          <w:b/>
          <w:bCs/>
        </w:rPr>
        <w:t>for listing as</w:t>
      </w:r>
      <w:r w:rsidR="009F10A8" w:rsidRPr="0000579F">
        <w:t xml:space="preserve"> </w:t>
      </w:r>
      <w:sdt>
        <w:sdtPr>
          <w:id w:val="-796447343"/>
          <w:placeholder>
            <w:docPart w:val="AB9B2DC4C6494732AA93A88E3CB1E9FA"/>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in the Wild" w:value="Extinct in the Wild"/>
            <w:listItem w:displayText="Extinct" w:value="Extinct"/>
          </w:dropDownList>
        </w:sdtPr>
        <w:sdtEndPr/>
        <w:sdtContent>
          <w:r w:rsidR="0000579F" w:rsidRPr="0000579F">
            <w:t>Endangered</w:t>
          </w:r>
        </w:sdtContent>
      </w:sdt>
    </w:p>
    <w:p w14:paraId="256D35F9" w14:textId="0CEAFB11" w:rsidR="00C63CC0" w:rsidRDefault="001E616F" w:rsidP="00C63CC0">
      <w:pPr>
        <w:rPr>
          <w:lang w:eastAsia="ja-JP"/>
        </w:rPr>
      </w:pPr>
      <w:r w:rsidRPr="43EA5B1C">
        <w:rPr>
          <w:lang w:eastAsia="ja-JP"/>
        </w:rPr>
        <w:t xml:space="preserve">The longevity and </w:t>
      </w:r>
      <w:r w:rsidR="00824D6A" w:rsidRPr="43EA5B1C">
        <w:rPr>
          <w:lang w:eastAsia="ja-JP"/>
        </w:rPr>
        <w:t>generation period (</w:t>
      </w:r>
      <w:r w:rsidR="00771CAA" w:rsidRPr="43EA5B1C">
        <w:rPr>
          <w:lang w:eastAsia="ja-JP"/>
        </w:rPr>
        <w:t xml:space="preserve">three generations of 65.7 years; Bird et al. 2020) means that </w:t>
      </w:r>
      <w:r w:rsidR="008539B5" w:rsidRPr="43EA5B1C">
        <w:rPr>
          <w:lang w:eastAsia="ja-JP"/>
        </w:rPr>
        <w:t>population decline estimates will need to encompass losses in the 1950s and 60s when there was no monitoring.</w:t>
      </w:r>
      <w:r w:rsidR="007B24CE" w:rsidRPr="43EA5B1C">
        <w:rPr>
          <w:lang w:eastAsia="ja-JP"/>
        </w:rPr>
        <w:t xml:space="preserve"> </w:t>
      </w:r>
      <w:r w:rsidR="003461E2" w:rsidRPr="43EA5B1C">
        <w:rPr>
          <w:lang w:eastAsia="ja-JP"/>
        </w:rPr>
        <w:t xml:space="preserve">Most land-use intensification occurred in western </w:t>
      </w:r>
      <w:r w:rsidR="006512A6" w:rsidRPr="43EA5B1C">
        <w:rPr>
          <w:lang w:eastAsia="ja-JP"/>
        </w:rPr>
        <w:t>New South Wales in the late 19</w:t>
      </w:r>
      <w:r w:rsidR="006512A6" w:rsidRPr="43EA5B1C">
        <w:rPr>
          <w:vertAlign w:val="superscript"/>
          <w:lang w:eastAsia="ja-JP"/>
        </w:rPr>
        <w:t>th</w:t>
      </w:r>
      <w:r w:rsidR="006512A6" w:rsidRPr="43EA5B1C">
        <w:rPr>
          <w:lang w:eastAsia="ja-JP"/>
        </w:rPr>
        <w:t xml:space="preserve"> </w:t>
      </w:r>
      <w:r w:rsidR="007E66AE" w:rsidRPr="43EA5B1C">
        <w:rPr>
          <w:lang w:eastAsia="ja-JP"/>
        </w:rPr>
        <w:t>century (</w:t>
      </w:r>
      <w:proofErr w:type="spellStart"/>
      <w:r w:rsidR="007E66AE" w:rsidRPr="43EA5B1C">
        <w:rPr>
          <w:lang w:eastAsia="ja-JP"/>
        </w:rPr>
        <w:t>Lunney</w:t>
      </w:r>
      <w:proofErr w:type="spellEnd"/>
      <w:r w:rsidR="007E66AE" w:rsidRPr="43EA5B1C">
        <w:rPr>
          <w:lang w:eastAsia="ja-JP"/>
        </w:rPr>
        <w:t xml:space="preserve"> 2001) and north-west Victoria from 1920 to 1940 (Fahey 2017)</w:t>
      </w:r>
      <w:r w:rsidR="00CD10D9" w:rsidRPr="43EA5B1C">
        <w:rPr>
          <w:lang w:eastAsia="ja-JP"/>
        </w:rPr>
        <w:t xml:space="preserve">, but legacy effects would have resulted in ongoing </w:t>
      </w:r>
      <w:r w:rsidR="005B2C70" w:rsidRPr="43EA5B1C">
        <w:rPr>
          <w:lang w:eastAsia="ja-JP"/>
        </w:rPr>
        <w:t>losses</w:t>
      </w:r>
      <w:r w:rsidR="00CD10D9" w:rsidRPr="43EA5B1C">
        <w:rPr>
          <w:lang w:eastAsia="ja-JP"/>
        </w:rPr>
        <w:t xml:space="preserve">. </w:t>
      </w:r>
    </w:p>
    <w:p w14:paraId="3FCBEBDA" w14:textId="7951F796" w:rsidR="00C63CC0" w:rsidRDefault="00C63CC0" w:rsidP="00C63CC0">
      <w:pPr>
        <w:rPr>
          <w:lang w:eastAsia="ja-JP"/>
        </w:rPr>
      </w:pPr>
      <w:r>
        <w:rPr>
          <w:lang w:eastAsia="ja-JP"/>
        </w:rPr>
        <w:t xml:space="preserve">The population of the </w:t>
      </w:r>
      <w:r w:rsidR="00C93F9D">
        <w:rPr>
          <w:lang w:eastAsia="ja-JP"/>
        </w:rPr>
        <w:t>e</w:t>
      </w:r>
      <w:r>
        <w:rPr>
          <w:lang w:eastAsia="ja-JP"/>
        </w:rPr>
        <w:t xml:space="preserve">astern Major Mitchell’s </w:t>
      </w:r>
      <w:r w:rsidR="00C93F9D">
        <w:rPr>
          <w:lang w:eastAsia="ja-JP"/>
        </w:rPr>
        <w:t>c</w:t>
      </w:r>
      <w:r>
        <w:rPr>
          <w:lang w:eastAsia="ja-JP"/>
        </w:rPr>
        <w:t>ockatoos was estimated (with low reliability) to be 15,000 mature individuals in 2011, based on the AOO and a density of 1 pair per 30 km</w:t>
      </w:r>
      <w:r>
        <w:rPr>
          <w:vertAlign w:val="superscript"/>
          <w:lang w:eastAsia="ja-JP"/>
        </w:rPr>
        <w:t>2</w:t>
      </w:r>
      <w:r>
        <w:rPr>
          <w:lang w:eastAsia="ja-JP"/>
        </w:rPr>
        <w:t xml:space="preserve"> (Garnett et al. 2011). </w:t>
      </w:r>
      <w:r w:rsidR="00634550">
        <w:rPr>
          <w:lang w:eastAsia="ja-JP"/>
        </w:rPr>
        <w:t>In comparison to the estimated 50,000 mature individuals</w:t>
      </w:r>
      <w:r w:rsidR="00F24ADD">
        <w:rPr>
          <w:lang w:eastAsia="ja-JP"/>
        </w:rPr>
        <w:t xml:space="preserve"> in 2000 (Garnett &amp; Crowley 2000)</w:t>
      </w:r>
      <w:r w:rsidR="00634550">
        <w:rPr>
          <w:lang w:eastAsia="ja-JP"/>
        </w:rPr>
        <w:t>, it is a decr</w:t>
      </w:r>
      <w:r w:rsidR="00F24ADD">
        <w:rPr>
          <w:lang w:eastAsia="ja-JP"/>
        </w:rPr>
        <w:t>ease of 67% in mature individuals within one generation, though the reliability of the population size has always been low (Garnett &amp; Crowley 2000; Garnett et al. 2011; Hurley &amp; Garnett 2021).</w:t>
      </w:r>
    </w:p>
    <w:p w14:paraId="58C66FE7" w14:textId="60C07430" w:rsidR="00465352" w:rsidRDefault="00D228EA" w:rsidP="00534486">
      <w:pPr>
        <w:rPr>
          <w:lang w:eastAsia="ja-JP"/>
        </w:rPr>
      </w:pPr>
      <w:r w:rsidRPr="43EA5B1C">
        <w:rPr>
          <w:lang w:eastAsia="ja-JP"/>
        </w:rPr>
        <w:t xml:space="preserve">Average reporting </w:t>
      </w:r>
      <w:r w:rsidR="00690B95" w:rsidRPr="43EA5B1C">
        <w:rPr>
          <w:lang w:eastAsia="ja-JP"/>
        </w:rPr>
        <w:t>rates for 10-min</w:t>
      </w:r>
      <w:r w:rsidR="00630436" w:rsidRPr="43EA5B1C">
        <w:rPr>
          <w:lang w:eastAsia="ja-JP"/>
        </w:rPr>
        <w:t>u</w:t>
      </w:r>
      <w:r w:rsidR="00690B95" w:rsidRPr="43EA5B1C">
        <w:rPr>
          <w:lang w:eastAsia="ja-JP"/>
        </w:rPr>
        <w:t>te grid searches in the subspecies’ 10 core bioregions were 14% during</w:t>
      </w:r>
      <w:r w:rsidR="000A0839" w:rsidRPr="43EA5B1C">
        <w:rPr>
          <w:lang w:eastAsia="ja-JP"/>
        </w:rPr>
        <w:t xml:space="preserve"> 1977-1981 (Garnett et al. 2003</w:t>
      </w:r>
      <w:r w:rsidR="008D4626" w:rsidRPr="43EA5B1C">
        <w:rPr>
          <w:lang w:eastAsia="ja-JP"/>
        </w:rPr>
        <w:t xml:space="preserve"> cited in Hurley &amp; Garnett 2021</w:t>
      </w:r>
      <w:r w:rsidR="000A0839" w:rsidRPr="43EA5B1C">
        <w:rPr>
          <w:lang w:eastAsia="ja-JP"/>
        </w:rPr>
        <w:t>)</w:t>
      </w:r>
      <w:r w:rsidR="00B82945" w:rsidRPr="43EA5B1C">
        <w:rPr>
          <w:lang w:eastAsia="ja-JP"/>
        </w:rPr>
        <w:t xml:space="preserve"> and 4.1% for </w:t>
      </w:r>
      <w:r w:rsidR="00BE52B3" w:rsidRPr="43EA5B1C">
        <w:rPr>
          <w:lang w:eastAsia="ja-JP"/>
        </w:rPr>
        <w:t>2000-2019 (</w:t>
      </w:r>
      <w:proofErr w:type="spellStart"/>
      <w:r w:rsidR="00BE52B3" w:rsidRPr="43EA5B1C">
        <w:rPr>
          <w:lang w:eastAsia="ja-JP"/>
        </w:rPr>
        <w:t>Birddata</w:t>
      </w:r>
      <w:proofErr w:type="spellEnd"/>
      <w:r w:rsidR="00BE52B3" w:rsidRPr="43EA5B1C">
        <w:rPr>
          <w:lang w:eastAsia="ja-JP"/>
        </w:rPr>
        <w:t xml:space="preserve">), </w:t>
      </w:r>
      <w:r w:rsidR="00312685" w:rsidRPr="43EA5B1C">
        <w:rPr>
          <w:lang w:eastAsia="ja-JP"/>
        </w:rPr>
        <w:t xml:space="preserve">a decline of 71% extrapolated to three generations </w:t>
      </w:r>
      <w:r w:rsidR="005B2C70" w:rsidRPr="43EA5B1C">
        <w:rPr>
          <w:lang w:eastAsia="ja-JP"/>
        </w:rPr>
        <w:t>(Hurley</w:t>
      </w:r>
      <w:r w:rsidR="00312685" w:rsidRPr="43EA5B1C">
        <w:rPr>
          <w:lang w:eastAsia="ja-JP"/>
        </w:rPr>
        <w:t xml:space="preserve"> &amp; Garnett 2021).</w:t>
      </w:r>
      <w:r w:rsidR="001C3985" w:rsidRPr="43EA5B1C">
        <w:rPr>
          <w:lang w:eastAsia="ja-JP"/>
        </w:rPr>
        <w:t xml:space="preserve"> Reporting rates declined for 2 ha 20 min surveys, and 500 m area searches, declined by 27% and 8% respectively from 2000</w:t>
      </w:r>
      <w:r w:rsidR="005B3DD5" w:rsidRPr="43EA5B1C">
        <w:rPr>
          <w:lang w:eastAsia="ja-JP"/>
        </w:rPr>
        <w:t>-</w:t>
      </w:r>
      <w:r w:rsidR="001C3985" w:rsidRPr="43EA5B1C">
        <w:rPr>
          <w:lang w:eastAsia="ja-JP"/>
        </w:rPr>
        <w:t xml:space="preserve">2019, which is equivalent to a decline of 66% and </w:t>
      </w:r>
      <w:r w:rsidR="00AB57B9" w:rsidRPr="43EA5B1C">
        <w:rPr>
          <w:lang w:eastAsia="ja-JP"/>
        </w:rPr>
        <w:t>25% if extrapolated to three generations (Hurley &amp; Garnett 2021).</w:t>
      </w:r>
      <w:r w:rsidR="00AC4CE6">
        <w:rPr>
          <w:lang w:eastAsia="ja-JP"/>
        </w:rPr>
        <w:t xml:space="preserve"> The average of these extrapolated declines is 54% over three generations.</w:t>
      </w:r>
    </w:p>
    <w:p w14:paraId="55A370DD" w14:textId="34113074" w:rsidR="009A3FA8" w:rsidRPr="005B3DD5" w:rsidRDefault="00393036" w:rsidP="00534486">
      <w:pPr>
        <w:rPr>
          <w:lang w:eastAsia="ja-JP"/>
        </w:rPr>
      </w:pPr>
      <w:r w:rsidRPr="43EA5B1C">
        <w:rPr>
          <w:lang w:eastAsia="ja-JP"/>
        </w:rPr>
        <w:lastRenderedPageBreak/>
        <w:t xml:space="preserve">A decline in </w:t>
      </w:r>
      <w:r w:rsidR="00AC4CE6">
        <w:rPr>
          <w:lang w:eastAsia="ja-JP"/>
        </w:rPr>
        <w:t>the</w:t>
      </w:r>
      <w:r w:rsidRPr="43EA5B1C">
        <w:rPr>
          <w:lang w:eastAsia="ja-JP"/>
        </w:rPr>
        <w:t xml:space="preserve"> </w:t>
      </w:r>
      <w:r w:rsidR="00CF0F46" w:rsidRPr="43EA5B1C">
        <w:rPr>
          <w:lang w:eastAsia="ja-JP"/>
        </w:rPr>
        <w:t xml:space="preserve">quality of habitat is also </w:t>
      </w:r>
      <w:r w:rsidR="008A351A" w:rsidRPr="43EA5B1C">
        <w:rPr>
          <w:lang w:eastAsia="ja-JP"/>
        </w:rPr>
        <w:t>evident</w:t>
      </w:r>
      <w:r w:rsidR="00CF0F46" w:rsidRPr="43EA5B1C">
        <w:rPr>
          <w:lang w:eastAsia="ja-JP"/>
        </w:rPr>
        <w:t xml:space="preserve"> from t</w:t>
      </w:r>
      <w:r w:rsidR="00DA2CB6" w:rsidRPr="43EA5B1C">
        <w:rPr>
          <w:lang w:eastAsia="ja-JP"/>
        </w:rPr>
        <w:t xml:space="preserve">he ongoing </w:t>
      </w:r>
      <w:r w:rsidR="00111DFF" w:rsidRPr="43EA5B1C">
        <w:rPr>
          <w:lang w:eastAsia="ja-JP"/>
        </w:rPr>
        <w:t xml:space="preserve">loss and degradation of </w:t>
      </w:r>
      <w:r w:rsidR="006312D0" w:rsidRPr="43EA5B1C">
        <w:rPr>
          <w:lang w:eastAsia="ja-JP"/>
        </w:rPr>
        <w:t xml:space="preserve">breeding habitat. </w:t>
      </w:r>
      <w:r w:rsidR="005B2C70" w:rsidRPr="43EA5B1C">
        <w:rPr>
          <w:lang w:eastAsia="ja-JP"/>
        </w:rPr>
        <w:t>In the largest known nesting area in Victoria</w:t>
      </w:r>
      <w:r w:rsidR="00D14BB2" w:rsidRPr="43EA5B1C">
        <w:rPr>
          <w:lang w:eastAsia="ja-JP"/>
        </w:rPr>
        <w:t xml:space="preserve">, the number of nest trees fell by 91% between 1995 and 2014 </w:t>
      </w:r>
      <w:r w:rsidR="002B74D6" w:rsidRPr="43EA5B1C">
        <w:rPr>
          <w:lang w:eastAsia="ja-JP"/>
        </w:rPr>
        <w:t xml:space="preserve">(Hurley </w:t>
      </w:r>
      <w:r w:rsidR="001060E7" w:rsidRPr="43EA5B1C">
        <w:rPr>
          <w:lang w:eastAsia="ja-JP"/>
        </w:rPr>
        <w:t>2011 cited in Hurley &amp; Garnett 2021</w:t>
      </w:r>
      <w:r w:rsidR="002B74D6" w:rsidRPr="43EA5B1C">
        <w:rPr>
          <w:lang w:eastAsia="ja-JP"/>
        </w:rPr>
        <w:t xml:space="preserve">). Only 9% of the 63 nest trees monitored in 1995 were standing in 2014 (Hurley &amp; Stark 2015), a trend likely to be representative across the subspecies’ range </w:t>
      </w:r>
      <w:r w:rsidR="00EF5822" w:rsidRPr="43EA5B1C">
        <w:rPr>
          <w:lang w:eastAsia="ja-JP"/>
        </w:rPr>
        <w:t xml:space="preserve">(Gibson </w:t>
      </w:r>
      <w:r w:rsidR="000D2564" w:rsidRPr="43EA5B1C">
        <w:rPr>
          <w:lang w:eastAsia="ja-JP"/>
        </w:rPr>
        <w:t>&amp; Florentine</w:t>
      </w:r>
      <w:r w:rsidR="00EF5822" w:rsidRPr="43EA5B1C">
        <w:rPr>
          <w:lang w:eastAsia="ja-JP"/>
        </w:rPr>
        <w:t xml:space="preserve"> 2008; </w:t>
      </w:r>
      <w:proofErr w:type="spellStart"/>
      <w:r w:rsidR="00EF5822" w:rsidRPr="43EA5B1C">
        <w:rPr>
          <w:lang w:eastAsia="ja-JP"/>
        </w:rPr>
        <w:t>Cheal</w:t>
      </w:r>
      <w:proofErr w:type="spellEnd"/>
      <w:r w:rsidR="00EF5822" w:rsidRPr="43EA5B1C">
        <w:rPr>
          <w:lang w:eastAsia="ja-JP"/>
        </w:rPr>
        <w:t xml:space="preserve"> et al. 2010). Fires in Pine Plains in </w:t>
      </w:r>
      <w:proofErr w:type="spellStart"/>
      <w:r w:rsidR="00EF5822" w:rsidRPr="43EA5B1C">
        <w:rPr>
          <w:lang w:eastAsia="ja-JP"/>
        </w:rPr>
        <w:t>Wyperfeld</w:t>
      </w:r>
      <w:proofErr w:type="spellEnd"/>
      <w:r w:rsidR="00EF5822" w:rsidRPr="43EA5B1C">
        <w:rPr>
          <w:lang w:eastAsia="ja-JP"/>
        </w:rPr>
        <w:t xml:space="preserve"> National Park destroyed 93% of the 83 known hollow-bearing trees in 2014 (Hurley &amp; Harris 2014).</w:t>
      </w:r>
      <w:r w:rsidR="0099632D" w:rsidRPr="43EA5B1C">
        <w:rPr>
          <w:lang w:eastAsia="ja-JP"/>
        </w:rPr>
        <w:t xml:space="preserve"> Hollow recruitment has likely been curtailed due to ongoing habitat loss and degradation, including </w:t>
      </w:r>
      <w:r w:rsidR="008C0AFA" w:rsidRPr="43EA5B1C">
        <w:rPr>
          <w:lang w:eastAsia="ja-JP"/>
        </w:rPr>
        <w:t>grazing</w:t>
      </w:r>
      <w:r w:rsidR="0099632D" w:rsidRPr="43EA5B1C">
        <w:rPr>
          <w:lang w:eastAsia="ja-JP"/>
        </w:rPr>
        <w:t xml:space="preserve"> by rabbits, feral </w:t>
      </w:r>
      <w:proofErr w:type="gramStart"/>
      <w:r w:rsidR="0099632D" w:rsidRPr="43EA5B1C">
        <w:rPr>
          <w:lang w:eastAsia="ja-JP"/>
        </w:rPr>
        <w:t>goats</w:t>
      </w:r>
      <w:proofErr w:type="gramEnd"/>
      <w:r w:rsidR="0099632D" w:rsidRPr="43EA5B1C">
        <w:rPr>
          <w:lang w:eastAsia="ja-JP"/>
        </w:rPr>
        <w:t xml:space="preserve"> and inflated populations of kangaroos, which have limited tree recruitment in the last century (Hurley &amp; Garnett 2021).</w:t>
      </w:r>
    </w:p>
    <w:p w14:paraId="26F3304D" w14:textId="5137EE7D" w:rsidR="000F3D21" w:rsidRDefault="000F3D21" w:rsidP="000F3D21">
      <w:pPr>
        <w:rPr>
          <w:lang w:eastAsia="ja-JP"/>
        </w:rPr>
      </w:pPr>
      <w:r w:rsidRPr="005B3DD5">
        <w:rPr>
          <w:lang w:eastAsia="ja-JP"/>
        </w:rPr>
        <w:t xml:space="preserve">The Committee considers that the subspecies has undergone a </w:t>
      </w:r>
      <w:r w:rsidR="0056572C" w:rsidRPr="005B3DD5">
        <w:rPr>
          <w:lang w:eastAsia="ja-JP"/>
        </w:rPr>
        <w:t>severe</w:t>
      </w:r>
      <w:r w:rsidRPr="005B3DD5">
        <w:rPr>
          <w:lang w:eastAsia="ja-JP"/>
        </w:rPr>
        <w:t xml:space="preserve"> reduction in numbers over three generations and the reduction has not ceased, the cause has not ceased and is not </w:t>
      </w:r>
      <w:r w:rsidR="00BD4376" w:rsidRPr="005B3DD5">
        <w:rPr>
          <w:lang w:eastAsia="ja-JP"/>
        </w:rPr>
        <w:t>reversible</w:t>
      </w:r>
      <w:r w:rsidRPr="005B3DD5">
        <w:rPr>
          <w:lang w:eastAsia="ja-JP"/>
        </w:rPr>
        <w:t xml:space="preserve">. Therefore, the </w:t>
      </w:r>
      <w:r w:rsidR="00BA5E0A" w:rsidRPr="005B3DD5">
        <w:rPr>
          <w:lang w:eastAsia="ja-JP"/>
        </w:rPr>
        <w:t>subspecies</w:t>
      </w:r>
      <w:r w:rsidRPr="005B3DD5">
        <w:rPr>
          <w:lang w:eastAsia="ja-JP"/>
        </w:rPr>
        <w:t xml:space="preserve"> has met the relevant elements of Criterion 1 to make it eligible for listing as</w:t>
      </w:r>
      <w:r w:rsidR="006137FD" w:rsidRPr="005B3DD5">
        <w:rPr>
          <w:lang w:eastAsia="ja-JP"/>
        </w:rPr>
        <w:t xml:space="preserve"> </w:t>
      </w:r>
      <w:sdt>
        <w:sdtPr>
          <w:id w:val="-1921095176"/>
          <w:placeholder>
            <w:docPart w:val="43BF03400DA8499B8DE24AD173DB385E"/>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Extinct" w:value="Extinct"/>
            <w:listItem w:displayText="Extinct in the Wild" w:value="Extinct in the Wild"/>
          </w:dropDownList>
        </w:sdtPr>
        <w:sdtEndPr/>
        <w:sdtContent>
          <w:r w:rsidR="005B3DD5" w:rsidRPr="005B3DD5">
            <w:t>Endangered</w:t>
          </w:r>
        </w:sdtContent>
      </w:sdt>
      <w:r w:rsidR="00252237" w:rsidRPr="005B3DD5">
        <w:rPr>
          <w:lang w:eastAsia="ja-JP"/>
        </w:rPr>
        <w:t>.</w:t>
      </w:r>
    </w:p>
    <w:p w14:paraId="71AFCF1C" w14:textId="77777777" w:rsidR="00B6264B" w:rsidRDefault="00B6264B" w:rsidP="00B6264B">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7B2A8212" w14:textId="77777777" w:rsidTr="00B6264B">
        <w:trPr>
          <w:trHeight w:val="350"/>
        </w:trPr>
        <w:tc>
          <w:tcPr>
            <w:tcW w:w="10738" w:type="dxa"/>
            <w:gridSpan w:val="4"/>
            <w:tcBorders>
              <w:bottom w:val="nil"/>
            </w:tcBorders>
            <w:shd w:val="clear" w:color="auto" w:fill="595959" w:themeFill="text1" w:themeFillTint="A6"/>
            <w:vAlign w:val="center"/>
          </w:tcPr>
          <w:p w14:paraId="00A954E5"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122FE2D2" w14:textId="77777777" w:rsidTr="00B6264B">
        <w:tc>
          <w:tcPr>
            <w:tcW w:w="4111" w:type="dxa"/>
            <w:tcBorders>
              <w:top w:val="nil"/>
              <w:bottom w:val="nil"/>
              <w:right w:val="nil"/>
            </w:tcBorders>
          </w:tcPr>
          <w:p w14:paraId="28CCE52D"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5780BF4C" w14:textId="77777777" w:rsidR="00B6264B" w:rsidRPr="00795F43" w:rsidRDefault="00B6264B" w:rsidP="000E630E">
            <w:pPr>
              <w:pStyle w:val="TableText"/>
              <w:keepNext/>
              <w:rPr>
                <w:rStyle w:val="Strong"/>
              </w:rPr>
            </w:pPr>
            <w:r w:rsidRPr="00795F43">
              <w:rPr>
                <w:rStyle w:val="Strong"/>
              </w:rPr>
              <w:t>Critically Endangered</w:t>
            </w:r>
          </w:p>
          <w:p w14:paraId="0137992F"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4CFC59FE" w14:textId="77777777" w:rsidR="00B6264B" w:rsidRPr="00556843" w:rsidRDefault="00B6264B" w:rsidP="000E630E">
            <w:pPr>
              <w:pStyle w:val="TableText"/>
              <w:keepNext/>
              <w:rPr>
                <w:b/>
              </w:rPr>
            </w:pPr>
            <w:r w:rsidRPr="00556843">
              <w:rPr>
                <w:b/>
              </w:rPr>
              <w:t>Endangered</w:t>
            </w:r>
          </w:p>
          <w:p w14:paraId="08154EC7"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347BDDA5" w14:textId="77777777" w:rsidR="00B6264B" w:rsidRPr="00556843" w:rsidRDefault="00B6264B" w:rsidP="000E630E">
            <w:pPr>
              <w:pStyle w:val="TableText"/>
              <w:keepNext/>
              <w:rPr>
                <w:b/>
              </w:rPr>
            </w:pPr>
            <w:r w:rsidRPr="00556843">
              <w:rPr>
                <w:b/>
              </w:rPr>
              <w:t>Vulnerable</w:t>
            </w:r>
          </w:p>
          <w:p w14:paraId="0EF2C302" w14:textId="77777777" w:rsidR="00B6264B" w:rsidRPr="00556843" w:rsidRDefault="00B6264B" w:rsidP="000E630E">
            <w:pPr>
              <w:pStyle w:val="TableText"/>
              <w:keepNext/>
              <w:rPr>
                <w:b/>
              </w:rPr>
            </w:pPr>
            <w:r w:rsidRPr="00556843">
              <w:rPr>
                <w:b/>
              </w:rPr>
              <w:t>Limited</w:t>
            </w:r>
          </w:p>
        </w:tc>
      </w:tr>
      <w:tr w:rsidR="00B6264B" w:rsidRPr="00556843" w14:paraId="24F2E2A5"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521D4384"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47B405C1"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04D9F0B"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1CDB5259"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6A858EDB"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14EDA444"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7BC393C0"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9081ECB"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679216E7"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7470CD90" w14:textId="77777777" w:rsidTr="00B6264B">
        <w:tc>
          <w:tcPr>
            <w:tcW w:w="10738" w:type="dxa"/>
            <w:gridSpan w:val="4"/>
            <w:tcBorders>
              <w:top w:val="nil"/>
              <w:bottom w:val="nil"/>
            </w:tcBorders>
          </w:tcPr>
          <w:p w14:paraId="20C659D4"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76094DC2"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268B0C51"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F6454C5"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0714DF23"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46C105D3" w14:textId="77777777" w:rsidR="00B6264B" w:rsidRPr="00556843" w:rsidRDefault="00B6264B" w:rsidP="000E630E">
            <w:pPr>
              <w:pStyle w:val="TableText"/>
              <w:keepNext/>
              <w:rPr>
                <w:b/>
              </w:rPr>
            </w:pPr>
            <w:r w:rsidRPr="00556843">
              <w:rPr>
                <w:b/>
              </w:rPr>
              <w:t>≤ 10</w:t>
            </w:r>
          </w:p>
        </w:tc>
      </w:tr>
      <w:tr w:rsidR="00B6264B" w:rsidRPr="00556843" w14:paraId="3710DAA6"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5DF91112"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extent of occurrence; (ii) area of occupancy; (iii) area, extent and/or quality of habitat; (iv) number of locations or subpopulations; (v) number of mature individuals</w:t>
            </w:r>
          </w:p>
        </w:tc>
      </w:tr>
      <w:tr w:rsidR="00B6264B" w:rsidRPr="00556843" w14:paraId="61515E7D" w14:textId="77777777" w:rsidTr="00B6264B">
        <w:tc>
          <w:tcPr>
            <w:tcW w:w="10738" w:type="dxa"/>
            <w:gridSpan w:val="4"/>
            <w:tcBorders>
              <w:top w:val="single" w:sz="4" w:space="0" w:color="FFFFFF" w:themeColor="background1"/>
            </w:tcBorders>
            <w:shd w:val="clear" w:color="auto" w:fill="BFBFBF" w:themeFill="background1" w:themeFillShade="BF"/>
          </w:tcPr>
          <w:p w14:paraId="1CA0D67E" w14:textId="77777777" w:rsidR="00B6264B" w:rsidRPr="00556843" w:rsidRDefault="00B6264B" w:rsidP="000D55BC">
            <w:pPr>
              <w:pStyle w:val="TableText"/>
              <w:ind w:left="492" w:hanging="492"/>
            </w:pPr>
            <w:r w:rsidRPr="00556843">
              <w:t>(c)</w:t>
            </w:r>
            <w:r w:rsidRPr="00556843">
              <w:tab/>
              <w:t>Extreme fluctuations in any of: (</w:t>
            </w:r>
            <w:proofErr w:type="spellStart"/>
            <w:r w:rsidRPr="00556843">
              <w:t>i</w:t>
            </w:r>
            <w:proofErr w:type="spellEnd"/>
            <w:r w:rsidRPr="00556843">
              <w:t>) extent of occurrence; (ii) area of occupancy; (iii) number of locations or subpopulations; (iv) number of mature individuals</w:t>
            </w:r>
          </w:p>
        </w:tc>
      </w:tr>
    </w:tbl>
    <w:p w14:paraId="09A2BC87"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1ED0C0AB" w14:textId="2F2D87A0" w:rsidR="00B6264B" w:rsidRPr="00D36AE5" w:rsidRDefault="00B6264B" w:rsidP="00B6264B">
      <w:pPr>
        <w:rPr>
          <w:b/>
          <w:bCs/>
          <w:lang w:eastAsia="ja-JP"/>
        </w:rPr>
      </w:pPr>
      <w:r w:rsidRPr="00D36AE5">
        <w:rPr>
          <w:b/>
          <w:bCs/>
          <w:lang w:eastAsia="ja-JP"/>
        </w:rPr>
        <w:t>Not eligible</w:t>
      </w:r>
    </w:p>
    <w:p w14:paraId="4EAD8CD9" w14:textId="0909E7A3" w:rsidR="008A6658" w:rsidRPr="00D36AE5" w:rsidRDefault="00AE2E25" w:rsidP="00D36AE5">
      <w:pPr>
        <w:rPr>
          <w:lang w:eastAsia="ja-JP"/>
        </w:rPr>
      </w:pPr>
      <w:r w:rsidRPr="00D36AE5">
        <w:rPr>
          <w:lang w:eastAsia="ja-JP"/>
        </w:rPr>
        <w:t>The EOO and AOO of the sub</w:t>
      </w:r>
      <w:r w:rsidR="0002409B" w:rsidRPr="00D36AE5">
        <w:rPr>
          <w:lang w:eastAsia="ja-JP"/>
        </w:rPr>
        <w:t xml:space="preserve">species </w:t>
      </w:r>
      <w:r w:rsidR="005D34D0" w:rsidRPr="00D36AE5">
        <w:rPr>
          <w:lang w:eastAsia="ja-JP"/>
        </w:rPr>
        <w:t>is estimated to be 850,000 km</w:t>
      </w:r>
      <w:r w:rsidR="005D34D0" w:rsidRPr="00D36AE5">
        <w:rPr>
          <w:vertAlign w:val="superscript"/>
          <w:lang w:eastAsia="ja-JP"/>
        </w:rPr>
        <w:t>2</w:t>
      </w:r>
      <w:r w:rsidR="005D34D0" w:rsidRPr="00D36AE5">
        <w:rPr>
          <w:lang w:eastAsia="ja-JP"/>
        </w:rPr>
        <w:t xml:space="preserve"> </w:t>
      </w:r>
      <w:r w:rsidR="00E817FA" w:rsidRPr="00D36AE5">
        <w:rPr>
          <w:lang w:eastAsia="ja-JP"/>
        </w:rPr>
        <w:t>(range 800,000 – 900,000 km</w:t>
      </w:r>
      <w:r w:rsidR="00E817FA" w:rsidRPr="00D36AE5">
        <w:rPr>
          <w:vertAlign w:val="superscript"/>
          <w:lang w:eastAsia="ja-JP"/>
        </w:rPr>
        <w:t>2</w:t>
      </w:r>
      <w:r w:rsidR="00E817FA" w:rsidRPr="00D36AE5">
        <w:rPr>
          <w:lang w:eastAsia="ja-JP"/>
        </w:rPr>
        <w:t xml:space="preserve">) </w:t>
      </w:r>
      <w:r w:rsidR="005D34D0" w:rsidRPr="00D36AE5">
        <w:rPr>
          <w:lang w:eastAsia="ja-JP"/>
        </w:rPr>
        <w:t>and 225,000 km</w:t>
      </w:r>
      <w:r w:rsidR="005D34D0" w:rsidRPr="00D36AE5">
        <w:rPr>
          <w:vertAlign w:val="superscript"/>
          <w:lang w:eastAsia="ja-JP"/>
        </w:rPr>
        <w:t>2</w:t>
      </w:r>
      <w:r w:rsidR="005D34D0" w:rsidRPr="00D36AE5">
        <w:rPr>
          <w:lang w:eastAsia="ja-JP"/>
        </w:rPr>
        <w:t xml:space="preserve"> </w:t>
      </w:r>
      <w:r w:rsidR="005B2C70" w:rsidRPr="00D36AE5">
        <w:rPr>
          <w:lang w:eastAsia="ja-JP"/>
        </w:rPr>
        <w:t>(range</w:t>
      </w:r>
      <w:r w:rsidR="008A1D3C" w:rsidRPr="00D36AE5">
        <w:rPr>
          <w:lang w:eastAsia="ja-JP"/>
        </w:rPr>
        <w:t xml:space="preserve"> </w:t>
      </w:r>
      <w:r w:rsidR="008160E2" w:rsidRPr="00D36AE5">
        <w:rPr>
          <w:lang w:eastAsia="ja-JP"/>
        </w:rPr>
        <w:t>150,000 – 300,000</w:t>
      </w:r>
      <w:r w:rsidR="002E5CA6" w:rsidRPr="00D36AE5">
        <w:rPr>
          <w:lang w:eastAsia="ja-JP"/>
        </w:rPr>
        <w:t xml:space="preserve"> </w:t>
      </w:r>
      <w:r w:rsidR="008A1D3C" w:rsidRPr="00D36AE5">
        <w:rPr>
          <w:lang w:eastAsia="ja-JP"/>
        </w:rPr>
        <w:t>km</w:t>
      </w:r>
      <w:r w:rsidR="008A1D3C" w:rsidRPr="00D36AE5">
        <w:rPr>
          <w:vertAlign w:val="superscript"/>
          <w:lang w:eastAsia="ja-JP"/>
        </w:rPr>
        <w:t>2</w:t>
      </w:r>
      <w:r w:rsidR="00E817FA" w:rsidRPr="00D36AE5">
        <w:rPr>
          <w:lang w:eastAsia="ja-JP"/>
        </w:rPr>
        <w:t>)</w:t>
      </w:r>
      <w:r w:rsidR="008A1D3C" w:rsidRPr="00D36AE5">
        <w:rPr>
          <w:lang w:eastAsia="ja-JP"/>
        </w:rPr>
        <w:t>, respectively (Hurley &amp; Garnett 2021).</w:t>
      </w:r>
      <w:r w:rsidR="00F00F5E" w:rsidRPr="00D36AE5">
        <w:rPr>
          <w:lang w:eastAsia="ja-JP"/>
        </w:rPr>
        <w:t xml:space="preserve"> </w:t>
      </w:r>
      <w:r w:rsidR="005B2C70" w:rsidRPr="00D36AE5">
        <w:rPr>
          <w:lang w:eastAsia="ja-JP"/>
        </w:rPr>
        <w:t>Therefore,</w:t>
      </w:r>
      <w:r w:rsidR="006974EF" w:rsidRPr="00D36AE5">
        <w:rPr>
          <w:lang w:eastAsia="ja-JP"/>
        </w:rPr>
        <w:t xml:space="preserve"> the Committee consider</w:t>
      </w:r>
      <w:r w:rsidR="00B84FCB" w:rsidRPr="00D36AE5">
        <w:rPr>
          <w:lang w:eastAsia="ja-JP"/>
        </w:rPr>
        <w:t>s that the subspecies is not eligible for listing in any category under this criterion</w:t>
      </w:r>
      <w:r w:rsidR="00237FDF" w:rsidRPr="00D36AE5">
        <w:rPr>
          <w:lang w:eastAsia="ja-JP"/>
        </w:rPr>
        <w:t xml:space="preserve"> as neither the EOO </w:t>
      </w:r>
      <w:proofErr w:type="gramStart"/>
      <w:r w:rsidR="00237FDF" w:rsidRPr="00D36AE5">
        <w:rPr>
          <w:lang w:eastAsia="ja-JP"/>
        </w:rPr>
        <w:t>or</w:t>
      </w:r>
      <w:proofErr w:type="gramEnd"/>
      <w:r w:rsidR="00237FDF" w:rsidRPr="00D36AE5">
        <w:rPr>
          <w:lang w:eastAsia="ja-JP"/>
        </w:rPr>
        <w:t xml:space="preserve"> AOO are likely to be limited.</w:t>
      </w:r>
    </w:p>
    <w:p w14:paraId="73013AE5" w14:textId="77777777"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78FBA3F4"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113D553C"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07D02B0C" w14:textId="77777777" w:rsidTr="002B134C">
        <w:tc>
          <w:tcPr>
            <w:tcW w:w="3395" w:type="dxa"/>
            <w:gridSpan w:val="2"/>
            <w:tcBorders>
              <w:top w:val="nil"/>
              <w:left w:val="single" w:sz="4" w:space="0" w:color="auto"/>
              <w:bottom w:val="nil"/>
              <w:right w:val="nil"/>
            </w:tcBorders>
          </w:tcPr>
          <w:p w14:paraId="68CDBA94"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77BB22F" w14:textId="77777777" w:rsidR="002B134C" w:rsidRPr="00556843" w:rsidRDefault="002B134C" w:rsidP="00F658E8">
            <w:pPr>
              <w:pStyle w:val="TableText"/>
              <w:keepNext/>
              <w:rPr>
                <w:b/>
              </w:rPr>
            </w:pPr>
            <w:r w:rsidRPr="00556843">
              <w:rPr>
                <w:b/>
              </w:rPr>
              <w:t>Critically Endangered</w:t>
            </w:r>
          </w:p>
          <w:p w14:paraId="1F6F7690"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122442B7" w14:textId="77777777" w:rsidR="002B134C" w:rsidRPr="00556843" w:rsidRDefault="002B134C" w:rsidP="00F658E8">
            <w:pPr>
              <w:pStyle w:val="TableText"/>
              <w:keepNext/>
              <w:rPr>
                <w:b/>
              </w:rPr>
            </w:pPr>
            <w:r w:rsidRPr="00556843">
              <w:rPr>
                <w:b/>
              </w:rPr>
              <w:t>Endangered</w:t>
            </w:r>
          </w:p>
          <w:p w14:paraId="14201623"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DFE0446" w14:textId="77777777" w:rsidR="002B134C" w:rsidRPr="00556843" w:rsidRDefault="002B134C" w:rsidP="00F658E8">
            <w:pPr>
              <w:pStyle w:val="TableText"/>
              <w:keepNext/>
              <w:rPr>
                <w:b/>
              </w:rPr>
            </w:pPr>
            <w:r w:rsidRPr="00556843">
              <w:rPr>
                <w:b/>
              </w:rPr>
              <w:t>Vulnerable</w:t>
            </w:r>
          </w:p>
          <w:p w14:paraId="04F6B6D1" w14:textId="77777777" w:rsidR="002B134C" w:rsidRPr="00556843" w:rsidRDefault="002B134C" w:rsidP="00F658E8">
            <w:pPr>
              <w:pStyle w:val="TableText"/>
              <w:keepNext/>
              <w:rPr>
                <w:b/>
              </w:rPr>
            </w:pPr>
            <w:r w:rsidRPr="00556843">
              <w:rPr>
                <w:b/>
              </w:rPr>
              <w:t>Limited</w:t>
            </w:r>
          </w:p>
        </w:tc>
      </w:tr>
      <w:tr w:rsidR="002B134C" w:rsidRPr="00556843" w14:paraId="02D2C7A3"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8102AE6"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7F4A9497"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B33594B"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2BF57694" w14:textId="77777777" w:rsidR="002B134C" w:rsidRPr="00556843" w:rsidRDefault="002B134C" w:rsidP="00F658E8">
            <w:pPr>
              <w:pStyle w:val="TableText"/>
              <w:keepNext/>
            </w:pPr>
            <w:r w:rsidRPr="00556843">
              <w:rPr>
                <w:b/>
              </w:rPr>
              <w:t xml:space="preserve">&lt; 10,000 </w:t>
            </w:r>
          </w:p>
        </w:tc>
      </w:tr>
      <w:tr w:rsidR="002B134C" w:rsidRPr="00556843" w14:paraId="643ACB5C"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6B4170B5"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488DCE4F"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03309587"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79E513F0" w14:textId="77777777" w:rsidR="002B134C" w:rsidRPr="00556843" w:rsidRDefault="002B134C" w:rsidP="00F658E8">
            <w:pPr>
              <w:pStyle w:val="TableText"/>
              <w:keepNext/>
              <w:rPr>
                <w:b/>
              </w:rPr>
            </w:pPr>
          </w:p>
        </w:tc>
      </w:tr>
      <w:tr w:rsidR="002B134C" w:rsidRPr="00556843" w14:paraId="4FED5F07"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3E986BDA"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786E6574" w14:textId="77777777" w:rsidR="002B134C" w:rsidRPr="00556843" w:rsidRDefault="002B134C" w:rsidP="00F658E8">
            <w:pPr>
              <w:pStyle w:val="TableText"/>
              <w:keepNext/>
              <w:rPr>
                <w:b/>
              </w:rPr>
            </w:pPr>
            <w:r w:rsidRPr="00556843">
              <w:rPr>
                <w:b/>
              </w:rPr>
              <w:t>Very high rate</w:t>
            </w:r>
          </w:p>
          <w:p w14:paraId="3E371C7C" w14:textId="77777777" w:rsidR="002B134C" w:rsidRPr="00556843" w:rsidRDefault="002B134C" w:rsidP="00F658E8">
            <w:pPr>
              <w:pStyle w:val="TableText"/>
              <w:keepNext/>
              <w:rPr>
                <w:b/>
              </w:rPr>
            </w:pPr>
            <w:r w:rsidRPr="00556843">
              <w:rPr>
                <w:b/>
              </w:rPr>
              <w:t>25% in 3 years or 1 generation</w:t>
            </w:r>
          </w:p>
          <w:p w14:paraId="634C98F0"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C940B81" w14:textId="77777777" w:rsidR="002B134C" w:rsidRPr="00556843" w:rsidRDefault="002B134C" w:rsidP="00F658E8">
            <w:pPr>
              <w:pStyle w:val="TableText"/>
              <w:keepNext/>
              <w:rPr>
                <w:b/>
              </w:rPr>
            </w:pPr>
            <w:r w:rsidRPr="00556843">
              <w:rPr>
                <w:b/>
              </w:rPr>
              <w:t>High rate</w:t>
            </w:r>
          </w:p>
          <w:p w14:paraId="2689FEF3" w14:textId="77777777" w:rsidR="002B134C" w:rsidRPr="00556843" w:rsidRDefault="002B134C" w:rsidP="00F658E8">
            <w:pPr>
              <w:pStyle w:val="TableText"/>
              <w:keepNext/>
              <w:rPr>
                <w:b/>
              </w:rPr>
            </w:pPr>
            <w:r w:rsidRPr="00556843">
              <w:rPr>
                <w:b/>
              </w:rPr>
              <w:t>20% in 5 years or 2 generation</w:t>
            </w:r>
          </w:p>
          <w:p w14:paraId="170674C4"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6DBA376D" w14:textId="77777777" w:rsidR="002B134C" w:rsidRPr="00556843" w:rsidRDefault="002B134C" w:rsidP="00F658E8">
            <w:pPr>
              <w:pStyle w:val="TableText"/>
              <w:keepNext/>
              <w:rPr>
                <w:b/>
              </w:rPr>
            </w:pPr>
            <w:r w:rsidRPr="00556843">
              <w:rPr>
                <w:b/>
              </w:rPr>
              <w:t>Substantial rate</w:t>
            </w:r>
          </w:p>
          <w:p w14:paraId="1BED4198" w14:textId="77777777" w:rsidR="002B134C" w:rsidRPr="00556843" w:rsidRDefault="002B134C" w:rsidP="00F658E8">
            <w:pPr>
              <w:pStyle w:val="TableText"/>
              <w:keepNext/>
              <w:rPr>
                <w:b/>
              </w:rPr>
            </w:pPr>
            <w:r w:rsidRPr="00556843">
              <w:rPr>
                <w:b/>
              </w:rPr>
              <w:t>10% in 10 years or 3 generations</w:t>
            </w:r>
          </w:p>
          <w:p w14:paraId="77FA1465"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23AAA093"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60635E97"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5F30B8E5" w14:textId="77777777" w:rsidR="002B134C" w:rsidRPr="00556843" w:rsidRDefault="002B134C" w:rsidP="00F658E8">
            <w:pPr>
              <w:pStyle w:val="TableText"/>
              <w:keepNext/>
            </w:pPr>
          </w:p>
        </w:tc>
        <w:tc>
          <w:tcPr>
            <w:tcW w:w="1833" w:type="dxa"/>
            <w:tcBorders>
              <w:top w:val="nil"/>
              <w:left w:val="nil"/>
              <w:bottom w:val="nil"/>
              <w:right w:val="nil"/>
            </w:tcBorders>
          </w:tcPr>
          <w:p w14:paraId="6B321490"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7B4BBD50" w14:textId="77777777" w:rsidR="002B134C" w:rsidRPr="00556843" w:rsidRDefault="002B134C" w:rsidP="00F658E8">
            <w:pPr>
              <w:pStyle w:val="TableText"/>
              <w:keepNext/>
            </w:pPr>
          </w:p>
        </w:tc>
      </w:tr>
      <w:tr w:rsidR="002B134C" w:rsidRPr="00556843" w14:paraId="0C6C25F3"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63DEDA47"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7768BC71" w14:textId="77777777" w:rsidR="002B134C" w:rsidRPr="00556843" w:rsidRDefault="002B134C" w:rsidP="00F658E8">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812356A"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D97C873"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02F1AC50" w14:textId="77777777" w:rsidR="002B134C" w:rsidRPr="00556843" w:rsidRDefault="002B134C" w:rsidP="00F658E8">
            <w:pPr>
              <w:pStyle w:val="TableText"/>
              <w:keepNext/>
              <w:rPr>
                <w:b/>
              </w:rPr>
            </w:pPr>
            <w:r w:rsidRPr="00556843">
              <w:rPr>
                <w:b/>
              </w:rPr>
              <w:t>≤ 1,000</w:t>
            </w:r>
          </w:p>
        </w:tc>
      </w:tr>
      <w:tr w:rsidR="002B134C" w:rsidRPr="00556843" w14:paraId="2CBE5E76"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2BF88730"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86717D6"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260A74C7"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A2EB41B"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6CC06A64" w14:textId="77777777" w:rsidR="002B134C" w:rsidRPr="00556843" w:rsidRDefault="002B134C" w:rsidP="00F658E8">
            <w:pPr>
              <w:pStyle w:val="TableText"/>
              <w:keepNext/>
              <w:rPr>
                <w:b/>
              </w:rPr>
            </w:pPr>
            <w:r w:rsidRPr="00556843">
              <w:rPr>
                <w:b/>
              </w:rPr>
              <w:t>100%</w:t>
            </w:r>
          </w:p>
        </w:tc>
      </w:tr>
      <w:tr w:rsidR="002B134C" w:rsidRPr="00556843" w14:paraId="32BBF453"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1E3AB082"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4C922452"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1D88475E"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10269201" w14:textId="77777777" w:rsidR="002B134C" w:rsidRPr="00556843" w:rsidRDefault="002B134C" w:rsidP="00F658E8">
            <w:pPr>
              <w:pStyle w:val="TableText"/>
              <w:keepNext/>
            </w:pPr>
          </w:p>
        </w:tc>
      </w:tr>
    </w:tbl>
    <w:p w14:paraId="6F98E453" w14:textId="77777777" w:rsidR="002B69E4" w:rsidRPr="002B69E4" w:rsidRDefault="00C2736A" w:rsidP="00CD30FC">
      <w:pPr>
        <w:pStyle w:val="Heading3"/>
        <w:spacing w:before="240"/>
        <w:ind w:left="964" w:hanging="964"/>
      </w:pPr>
      <w:r>
        <w:t>Criterion 3 e</w:t>
      </w:r>
      <w:r w:rsidR="002B69E4" w:rsidRPr="002B69E4">
        <w:t>vidence</w:t>
      </w:r>
    </w:p>
    <w:p w14:paraId="451F6A6D" w14:textId="20A0D3B1" w:rsidR="002B69E4" w:rsidRDefault="00A45C2B" w:rsidP="002B69E4">
      <w:pPr>
        <w:rPr>
          <w:rStyle w:val="Strong"/>
        </w:rPr>
      </w:pPr>
      <w:r w:rsidRPr="00E7168E">
        <w:rPr>
          <w:rStyle w:val="Strong"/>
        </w:rPr>
        <w:t>N</w:t>
      </w:r>
      <w:r w:rsidR="002B69E4" w:rsidRPr="00E7168E">
        <w:rPr>
          <w:rStyle w:val="Strong"/>
        </w:rPr>
        <w:t>ot eligible</w:t>
      </w:r>
    </w:p>
    <w:p w14:paraId="68106940" w14:textId="0FBD39CC" w:rsidR="000A4FFA" w:rsidRPr="000A4FFA" w:rsidRDefault="000A4FFA" w:rsidP="000A4FFA">
      <w:r w:rsidRPr="000A4FFA">
        <w:t>The</w:t>
      </w:r>
      <w:r w:rsidR="00E7168E">
        <w:t xml:space="preserve"> subspecies’ population is not limited as</w:t>
      </w:r>
      <w:r w:rsidRPr="000A4FFA">
        <w:t xml:space="preserve"> total number of mature individuals is 15,00</w:t>
      </w:r>
      <w:r w:rsidR="00712462">
        <w:t>0</w:t>
      </w:r>
      <w:r w:rsidR="00B63E7F">
        <w:t xml:space="preserve"> (range 10,000 – 20,000)</w:t>
      </w:r>
      <w:r w:rsidRPr="000A4FFA">
        <w:t>. Therefore, the subspecies has not met this required element of this criterion.</w:t>
      </w:r>
    </w:p>
    <w:p w14:paraId="54E5F1A2" w14:textId="77777777" w:rsidR="000A4FFA" w:rsidRPr="00CD30FC" w:rsidRDefault="000A4FFA" w:rsidP="000A4FFA">
      <w:pPr>
        <w:rPr>
          <w:rStyle w:val="Strong"/>
        </w:rPr>
      </w:pPr>
    </w:p>
    <w:p w14:paraId="1CF46C6C" w14:textId="77777777" w:rsidR="00166185" w:rsidRDefault="00166185" w:rsidP="00166185">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04BF7C4C"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67F0321D" w14:textId="77777777" w:rsidR="00166185" w:rsidRPr="00166185" w:rsidRDefault="00166185" w:rsidP="000E630E">
            <w:pPr>
              <w:pStyle w:val="TableText"/>
              <w:keepNext/>
            </w:pPr>
          </w:p>
        </w:tc>
      </w:tr>
      <w:tr w:rsidR="00166185" w:rsidRPr="00166185" w14:paraId="284E229F"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41102974"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241329AC" w14:textId="77777777" w:rsidR="00166185" w:rsidRPr="009E3E71" w:rsidRDefault="00166185" w:rsidP="000E630E">
            <w:pPr>
              <w:pStyle w:val="TableText"/>
              <w:keepNext/>
              <w:rPr>
                <w:rStyle w:val="Strong"/>
              </w:rPr>
            </w:pPr>
            <w:r w:rsidRPr="009E3E71">
              <w:rPr>
                <w:rStyle w:val="Strong"/>
              </w:rPr>
              <w:t>Critically Endangered</w:t>
            </w:r>
          </w:p>
          <w:p w14:paraId="0E327FDB"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425FBC44" w14:textId="77777777" w:rsidR="00166185" w:rsidRPr="009E3E71" w:rsidRDefault="00166185" w:rsidP="000E630E">
            <w:pPr>
              <w:pStyle w:val="TableText"/>
              <w:keepNext/>
              <w:rPr>
                <w:rStyle w:val="Strong"/>
              </w:rPr>
            </w:pPr>
            <w:r w:rsidRPr="009E3E71">
              <w:rPr>
                <w:rStyle w:val="Strong"/>
              </w:rPr>
              <w:t>Endangered</w:t>
            </w:r>
          </w:p>
          <w:p w14:paraId="6DC65005"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6BF8CF6B" w14:textId="77777777" w:rsidR="00166185" w:rsidRPr="009E3E71" w:rsidRDefault="00166185" w:rsidP="000E630E">
            <w:pPr>
              <w:pStyle w:val="TableText"/>
              <w:keepNext/>
              <w:rPr>
                <w:rStyle w:val="Strong"/>
              </w:rPr>
            </w:pPr>
            <w:r w:rsidRPr="009E3E71">
              <w:rPr>
                <w:rStyle w:val="Strong"/>
              </w:rPr>
              <w:t>Vulnerable</w:t>
            </w:r>
          </w:p>
          <w:p w14:paraId="433A2299" w14:textId="77777777" w:rsidR="00166185" w:rsidRPr="009E3E71" w:rsidRDefault="00166185" w:rsidP="000E630E">
            <w:pPr>
              <w:pStyle w:val="TableText"/>
              <w:keepNext/>
              <w:rPr>
                <w:rStyle w:val="Strong"/>
              </w:rPr>
            </w:pPr>
            <w:r w:rsidRPr="009E3E71">
              <w:rPr>
                <w:rStyle w:val="Strong"/>
              </w:rPr>
              <w:t>Low</w:t>
            </w:r>
          </w:p>
        </w:tc>
      </w:tr>
      <w:tr w:rsidR="00166185" w:rsidRPr="00166185" w14:paraId="38086491"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5892FBD6"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19D424ED"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7A9945F3"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651D81C6"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4B32A110"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3506EE23"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65EA77EC"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6F079650"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111E6564"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56245736"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7059B29C"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30" w:history="1">
        <w:r w:rsidRPr="00166185">
          <w:rPr>
            <w:rStyle w:val="Hyperlink"/>
            <w:bCs/>
            <w:i/>
            <w:iCs/>
          </w:rPr>
          <w:t>common assessment method</w:t>
        </w:r>
      </w:hyperlink>
      <w:r w:rsidRPr="00166185">
        <w:t>.</w:t>
      </w:r>
    </w:p>
    <w:p w14:paraId="3C25F5AC" w14:textId="77777777" w:rsidR="00C2736A" w:rsidRPr="00C2736A" w:rsidRDefault="00C2736A">
      <w:pPr>
        <w:pStyle w:val="Heading3"/>
        <w:ind w:left="964" w:hanging="964"/>
      </w:pPr>
      <w:r>
        <w:t>Criterion 4 e</w:t>
      </w:r>
      <w:r w:rsidR="00BE530B" w:rsidRPr="00BE530B">
        <w:t>vidence</w:t>
      </w:r>
    </w:p>
    <w:p w14:paraId="37C48FDC" w14:textId="77777777" w:rsidR="00BE530B" w:rsidRPr="00FD0FCC" w:rsidRDefault="00BE530B" w:rsidP="00BE530B">
      <w:pPr>
        <w:rPr>
          <w:rStyle w:val="Strong"/>
        </w:rPr>
      </w:pPr>
      <w:r w:rsidRPr="00FD0FCC">
        <w:rPr>
          <w:rStyle w:val="Strong"/>
        </w:rPr>
        <w:t>Not eligible</w:t>
      </w:r>
    </w:p>
    <w:p w14:paraId="3CCDA739" w14:textId="526FC998" w:rsidR="00A96BBC" w:rsidRPr="006157FE" w:rsidRDefault="0037799F" w:rsidP="00BE530B">
      <w:pPr>
        <w:rPr>
          <w:lang w:eastAsia="ja-JP"/>
        </w:rPr>
      </w:pPr>
      <w:r>
        <w:rPr>
          <w:bCs/>
        </w:rPr>
        <w:t xml:space="preserve">The total population size for the subspecies is estimated to be around 15,000 mature individuals (range 10,000 – 20,000), which is not considered to be low. </w:t>
      </w:r>
      <w:r w:rsidR="005B2C70">
        <w:rPr>
          <w:bCs/>
        </w:rPr>
        <w:t>Therefore,</w:t>
      </w:r>
      <w:r>
        <w:rPr>
          <w:bCs/>
        </w:rPr>
        <w:t xml:space="preserve"> the subspecies has not met this required element of this criterion.</w:t>
      </w:r>
    </w:p>
    <w:p w14:paraId="3894F95E" w14:textId="77777777" w:rsidR="00AD2722" w:rsidRDefault="00AD2722" w:rsidP="00AD2722">
      <w:pPr>
        <w:pStyle w:val="Caption"/>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2361AE29"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462F65D0"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5A50BFB7" w14:textId="77777777" w:rsidTr="001C7420">
        <w:trPr>
          <w:trHeight w:val="439"/>
        </w:trPr>
        <w:tc>
          <w:tcPr>
            <w:tcW w:w="4042" w:type="dxa"/>
            <w:tcBorders>
              <w:top w:val="nil"/>
              <w:left w:val="single" w:sz="4" w:space="0" w:color="auto"/>
              <w:bottom w:val="nil"/>
              <w:right w:val="nil"/>
            </w:tcBorders>
          </w:tcPr>
          <w:p w14:paraId="75632D50"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78CE4EC5" w14:textId="77777777" w:rsidR="00AD2722" w:rsidRPr="009E3E71" w:rsidRDefault="00AD2722" w:rsidP="000E630E">
            <w:pPr>
              <w:pStyle w:val="TableText"/>
              <w:keepNext/>
              <w:rPr>
                <w:rStyle w:val="Strong"/>
              </w:rPr>
            </w:pPr>
            <w:r w:rsidRPr="009E3E71">
              <w:rPr>
                <w:rStyle w:val="Strong"/>
              </w:rPr>
              <w:t>Critically Endangered</w:t>
            </w:r>
          </w:p>
          <w:p w14:paraId="1DB0CD63"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2C3FF25" w14:textId="77777777" w:rsidR="00AD2722" w:rsidRPr="009E3E71" w:rsidRDefault="00AD2722" w:rsidP="000E630E">
            <w:pPr>
              <w:pStyle w:val="TableText"/>
              <w:keepNext/>
              <w:rPr>
                <w:rStyle w:val="Strong"/>
              </w:rPr>
            </w:pPr>
            <w:r w:rsidRPr="009E3E71">
              <w:rPr>
                <w:rStyle w:val="Strong"/>
              </w:rPr>
              <w:t>Endangered</w:t>
            </w:r>
          </w:p>
          <w:p w14:paraId="54200069"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ABCB168" w14:textId="77777777" w:rsidR="00AD2722" w:rsidRPr="009E3E71" w:rsidRDefault="00AD2722" w:rsidP="000E630E">
            <w:pPr>
              <w:pStyle w:val="TableText"/>
              <w:keepNext/>
              <w:rPr>
                <w:rStyle w:val="Strong"/>
              </w:rPr>
            </w:pPr>
            <w:r w:rsidRPr="009E3E71">
              <w:rPr>
                <w:rStyle w:val="Strong"/>
              </w:rPr>
              <w:t>Vulnerable</w:t>
            </w:r>
          </w:p>
          <w:p w14:paraId="63EEC6E2"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781A78EE"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66D7B3BC"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7C170E7B"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1B938710"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05B12664"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2A9E41EA" w14:textId="77777777" w:rsidR="00AD2722" w:rsidRPr="00AD2722" w:rsidRDefault="00C2736A" w:rsidP="00A41058">
      <w:pPr>
        <w:pStyle w:val="Heading3"/>
        <w:spacing w:before="240"/>
        <w:ind w:left="964" w:hanging="964"/>
      </w:pPr>
      <w:r>
        <w:t>Criterion 5 e</w:t>
      </w:r>
      <w:r w:rsidR="00AD2722" w:rsidRPr="00AD2722">
        <w:t>vidence</w:t>
      </w:r>
    </w:p>
    <w:p w14:paraId="13975369" w14:textId="77777777" w:rsidR="006137FD" w:rsidRPr="0045073E" w:rsidRDefault="00AD2722" w:rsidP="00AD2722">
      <w:pPr>
        <w:rPr>
          <w:rStyle w:val="Strong"/>
        </w:rPr>
      </w:pPr>
      <w:r w:rsidRPr="0045073E">
        <w:rPr>
          <w:rStyle w:val="Strong"/>
        </w:rPr>
        <w:t>Insufficient data to determine eligibility</w:t>
      </w:r>
    </w:p>
    <w:p w14:paraId="4AF8FA25" w14:textId="689B3026" w:rsidR="00A96BBC" w:rsidRDefault="00AD2722" w:rsidP="00AD2722">
      <w:pPr>
        <w:rPr>
          <w:lang w:eastAsia="ja-JP"/>
        </w:rPr>
      </w:pPr>
      <w:r w:rsidRPr="0045073E">
        <w:rPr>
          <w:bCs/>
        </w:rPr>
        <w:t xml:space="preserve">Population viability analysis has not been undertaken. Therefore, there is insufficient information to determine the eligibility of the </w:t>
      </w:r>
      <w:r w:rsidR="002A4C30" w:rsidRPr="0045073E">
        <w:rPr>
          <w:bCs/>
        </w:rPr>
        <w:t>subspecies</w:t>
      </w:r>
      <w:r w:rsidRPr="0045073E">
        <w:rPr>
          <w:bCs/>
        </w:rPr>
        <w:t xml:space="preserve"> for listing in any category under this criterion.</w:t>
      </w:r>
    </w:p>
    <w:p w14:paraId="4CA13E2C" w14:textId="77777777" w:rsidR="00AD2722" w:rsidRPr="00AD2722" w:rsidRDefault="00AD2722" w:rsidP="00F20180">
      <w:pPr>
        <w:pStyle w:val="Heading3"/>
        <w:ind w:left="964" w:hanging="964"/>
      </w:pPr>
      <w:r w:rsidRPr="00AD2722">
        <w:lastRenderedPageBreak/>
        <w:t>Adequacy of survey</w:t>
      </w:r>
    </w:p>
    <w:p w14:paraId="4F0F1A33" w14:textId="4BBDCB9F" w:rsidR="00525E8C" w:rsidRDefault="00A96FC9" w:rsidP="005D2CE0">
      <w:r>
        <w:t>There</w:t>
      </w:r>
      <w:r w:rsidR="005273A2">
        <w:t xml:space="preserve"> is sufficient evidence to support the assessment, some nest monitoring </w:t>
      </w:r>
      <w:proofErr w:type="gramStart"/>
      <w:r w:rsidR="005273A2">
        <w:t>are</w:t>
      </w:r>
      <w:proofErr w:type="gramEnd"/>
      <w:r w:rsidR="005273A2">
        <w:t xml:space="preserve"> occurring in Victoria and the subspecies is sufficiently widespread and abundant so birdwatcher records can provide meaningful trend data.</w:t>
      </w:r>
    </w:p>
    <w:p w14:paraId="684862A9" w14:textId="75120322" w:rsidR="00AD2722" w:rsidRPr="005273A2" w:rsidRDefault="00AD2722" w:rsidP="00F20180">
      <w:pPr>
        <w:pStyle w:val="Heading3"/>
        <w:ind w:left="964" w:hanging="964"/>
      </w:pPr>
      <w:r w:rsidRPr="005273A2">
        <w:t>Public consultation</w:t>
      </w:r>
    </w:p>
    <w:p w14:paraId="2D28794A" w14:textId="1F2669CF" w:rsidR="005D2CE0" w:rsidRPr="005273A2" w:rsidRDefault="005D2CE0" w:rsidP="005D2CE0">
      <w:pPr>
        <w:rPr>
          <w:bCs/>
        </w:rPr>
      </w:pPr>
      <w:r w:rsidRPr="005273A2">
        <w:rPr>
          <w:bCs/>
        </w:rPr>
        <w:t>Notice of the proposed amendment and a consultation document is made available for public comment for a minimum of 30 business days. Any comments received relevant to the survival of the subspecies are considered by the Committee as part of the assessment process.</w:t>
      </w:r>
    </w:p>
    <w:p w14:paraId="577DDE1B" w14:textId="2F679340" w:rsidR="00AD2722" w:rsidRPr="005273A2" w:rsidRDefault="00AD2722" w:rsidP="00243014">
      <w:pPr>
        <w:pStyle w:val="Heading3"/>
      </w:pPr>
      <w:r w:rsidRPr="005273A2">
        <w:t>Listing and Recovery Plan Recommendations</w:t>
      </w:r>
    </w:p>
    <w:p w14:paraId="22F369F8" w14:textId="77777777" w:rsidR="005A4BB6" w:rsidRPr="00074648" w:rsidRDefault="005A4BB6" w:rsidP="005A4BB6">
      <w:pPr>
        <w:rPr>
          <w:lang w:eastAsia="ja-JP"/>
        </w:rPr>
      </w:pPr>
      <w:r w:rsidRPr="005273A2">
        <w:rPr>
          <w:lang w:eastAsia="ja-JP"/>
        </w:rPr>
        <w:t>A decision about whether there should be a Recovery Plan for this species has not yet been made. The purpose of this consultation document is to elicit additional information to help inform the decision.</w:t>
      </w:r>
    </w:p>
    <w:p w14:paraId="55D800B2" w14:textId="7DCCB2FF" w:rsidR="00AD44EA" w:rsidRDefault="00AD44EA" w:rsidP="000202F4">
      <w:pPr>
        <w:pStyle w:val="Normalsmall"/>
        <w:pageBreakBefore/>
      </w:pPr>
      <w:r>
        <w:lastRenderedPageBreak/>
        <w:t xml:space="preserve">© Commonwealth of Australia </w:t>
      </w:r>
      <w:r w:rsidR="005273A2">
        <w:t>2022</w:t>
      </w:r>
      <w:r w:rsidR="00D431C8">
        <w:t xml:space="preserve"> </w:t>
      </w:r>
      <w:r w:rsidR="00D431C8" w:rsidRPr="00D431C8">
        <w:rPr>
          <w:noProof/>
          <w:lang w:eastAsia="en-AU"/>
        </w:rPr>
        <w:drawing>
          <wp:inline distT="0" distB="0" distL="0" distR="0" wp14:anchorId="7BEEDB8F" wp14:editId="1569F271">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5166" cy="218731"/>
                    </a:xfrm>
                    <a:prstGeom prst="rect">
                      <a:avLst/>
                    </a:prstGeom>
                  </pic:spPr>
                </pic:pic>
              </a:graphicData>
            </a:graphic>
          </wp:inline>
        </w:drawing>
      </w:r>
    </w:p>
    <w:p w14:paraId="5A9F7DBC" w14:textId="77777777" w:rsidR="00AD44EA" w:rsidRDefault="00AD44EA" w:rsidP="00AD44EA">
      <w:pPr>
        <w:pStyle w:val="Normalsmall"/>
        <w:rPr>
          <w:rStyle w:val="Strong"/>
        </w:rPr>
      </w:pPr>
      <w:r>
        <w:rPr>
          <w:rStyle w:val="Strong"/>
        </w:rPr>
        <w:t>Ownership of intellectual property rights</w:t>
      </w:r>
    </w:p>
    <w:p w14:paraId="33A783AB" w14:textId="77777777" w:rsidR="00AD44EA" w:rsidRDefault="00AD44EA" w:rsidP="00AD44EA">
      <w:pPr>
        <w:pStyle w:val="Normalsmall"/>
      </w:pPr>
      <w:r>
        <w:t>Unless otherwise noted, copyright (and any other intellectual property rights) in this publication is owned by the Commonwealth of Australia (referred to as the Commonwealth).</w:t>
      </w:r>
    </w:p>
    <w:p w14:paraId="3C72FFF4" w14:textId="77777777" w:rsidR="00AD44EA" w:rsidRDefault="00AD44EA" w:rsidP="00AD44EA">
      <w:pPr>
        <w:pStyle w:val="Normalsmall"/>
        <w:rPr>
          <w:rStyle w:val="Strong"/>
        </w:rPr>
      </w:pPr>
      <w:r>
        <w:rPr>
          <w:rStyle w:val="Strong"/>
        </w:rPr>
        <w:t>Creative Commons licence</w:t>
      </w:r>
    </w:p>
    <w:p w14:paraId="22D1FC66" w14:textId="77777777" w:rsidR="00AD44EA" w:rsidRDefault="00AD44EA" w:rsidP="00AD44EA">
      <w:pPr>
        <w:pStyle w:val="Normalsmall"/>
      </w:pPr>
      <w:r>
        <w:t xml:space="preserve">All material in this publication is licensed under a </w:t>
      </w:r>
      <w:hyperlink r:id="rId32"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6CCC96D7" w14:textId="77777777" w:rsidR="00AD44EA" w:rsidRDefault="00AD44EA" w:rsidP="00AD44EA">
      <w:pPr>
        <w:pStyle w:val="Normalsmall"/>
      </w:pPr>
      <w:r>
        <w:t xml:space="preserve">Inquiries about the licence and any use of this document should be emailed to </w:t>
      </w:r>
      <w:hyperlink r:id="rId33" w:history="1">
        <w:r w:rsidRPr="00CD29E9">
          <w:rPr>
            <w:rStyle w:val="Hyperlink"/>
          </w:rPr>
          <w:t>copyright@awe.gov.au</w:t>
        </w:r>
      </w:hyperlink>
      <w:r>
        <w:t>.</w:t>
      </w:r>
    </w:p>
    <w:p w14:paraId="7FC3A260" w14:textId="77777777" w:rsidR="00AD44EA" w:rsidRDefault="00AD44EA" w:rsidP="00AD44EA">
      <w:pPr>
        <w:pStyle w:val="Normalsmall"/>
        <w:rPr>
          <w:rStyle w:val="Strong"/>
        </w:rPr>
      </w:pPr>
      <w:r>
        <w:rPr>
          <w:rStyle w:val="Strong"/>
        </w:rPr>
        <w:t>Cataloguing data</w:t>
      </w:r>
    </w:p>
    <w:p w14:paraId="0F3928DA" w14:textId="36A21A51" w:rsidR="00AD44EA" w:rsidRDefault="00AD44EA" w:rsidP="00AD44EA">
      <w:pPr>
        <w:pStyle w:val="Normalsmall"/>
      </w:pPr>
      <w:r>
        <w:t xml:space="preserve">This </w:t>
      </w:r>
      <w:r w:rsidRPr="005273A2">
        <w:t xml:space="preserve">publication (and any material sourced from it) should be attributed as: Department of Agriculture, Water and the Environment </w:t>
      </w:r>
      <w:r w:rsidR="005273A2" w:rsidRPr="005273A2">
        <w:t>2022</w:t>
      </w:r>
      <w:r w:rsidRPr="005273A2">
        <w:t xml:space="preserve">, </w:t>
      </w:r>
      <w:r w:rsidRPr="005273A2">
        <w:rPr>
          <w:i/>
        </w:rPr>
        <w:t>Conservation</w:t>
      </w:r>
      <w:r>
        <w:rPr>
          <w:i/>
        </w:rPr>
        <w:t xml:space="preserve"> </w:t>
      </w:r>
      <w:r w:rsidR="0010557C">
        <w:rPr>
          <w:i/>
        </w:rPr>
        <w:t>A</w:t>
      </w:r>
      <w:r>
        <w:rPr>
          <w:i/>
        </w:rPr>
        <w:t xml:space="preserve">dvice for </w:t>
      </w:r>
      <w:r w:rsidR="005273A2" w:rsidRPr="005273A2">
        <w:rPr>
          <w:noProof/>
        </w:rPr>
        <w:t>Lophochroa leadbeateri leadbeateri</w:t>
      </w:r>
      <w:r w:rsidR="005273A2" w:rsidRPr="005273A2">
        <w:rPr>
          <w:i/>
          <w:iCs/>
        </w:rPr>
        <w:t xml:space="preserve"> (eastern Major Mitchell’s cockatoo)</w:t>
      </w:r>
      <w:r w:rsidR="005273A2">
        <w:t xml:space="preserve">, </w:t>
      </w:r>
      <w:r>
        <w:t xml:space="preserve">Canberra. </w:t>
      </w:r>
      <w:r w:rsidR="003E1291" w:rsidRPr="00D431C8">
        <w:rPr>
          <w:noProof/>
          <w:lang w:eastAsia="en-AU"/>
        </w:rPr>
        <w:drawing>
          <wp:inline distT="0" distB="0" distL="0" distR="0" wp14:anchorId="1C868556" wp14:editId="6FB5F521">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5166" cy="218731"/>
                    </a:xfrm>
                    <a:prstGeom prst="rect">
                      <a:avLst/>
                    </a:prstGeom>
                  </pic:spPr>
                </pic:pic>
              </a:graphicData>
            </a:graphic>
          </wp:inline>
        </w:drawing>
      </w:r>
    </w:p>
    <w:p w14:paraId="338876F8" w14:textId="05643466" w:rsidR="00AD44EA" w:rsidRPr="00DC1B3D" w:rsidRDefault="00AD44EA" w:rsidP="00AD44EA">
      <w:pPr>
        <w:pStyle w:val="Normalsmall"/>
        <w:rPr>
          <w:iCs/>
        </w:rPr>
      </w:pPr>
      <w:r>
        <w:t xml:space="preserve">This publication is </w:t>
      </w:r>
      <w:r w:rsidRPr="00E20810">
        <w:t>available at</w:t>
      </w:r>
      <w:r w:rsidR="00BA28D1">
        <w:t xml:space="preserve"> the </w:t>
      </w:r>
      <w:hyperlink r:id="rId34" w:history="1">
        <w:r w:rsidR="00BA28D1" w:rsidRPr="0013676A">
          <w:rPr>
            <w:rStyle w:val="Hyperlink"/>
          </w:rPr>
          <w:t xml:space="preserve">SPRAT profile for </w:t>
        </w:r>
        <w:proofErr w:type="spellStart"/>
        <w:r w:rsidR="00DC1B3D" w:rsidRPr="0013676A">
          <w:rPr>
            <w:rStyle w:val="Hyperlink"/>
            <w:i/>
            <w:iCs/>
          </w:rPr>
          <w:t>Lophochroa</w:t>
        </w:r>
        <w:proofErr w:type="spellEnd"/>
        <w:r w:rsidR="00DC1B3D" w:rsidRPr="0013676A">
          <w:rPr>
            <w:rStyle w:val="Hyperlink"/>
            <w:i/>
          </w:rPr>
          <w:t xml:space="preserve"> </w:t>
        </w:r>
        <w:proofErr w:type="spellStart"/>
        <w:r w:rsidR="00DC1B3D" w:rsidRPr="0013676A">
          <w:rPr>
            <w:rStyle w:val="Hyperlink"/>
            <w:i/>
          </w:rPr>
          <w:t>leadbeateri</w:t>
        </w:r>
        <w:proofErr w:type="spellEnd"/>
        <w:r w:rsidR="00DC1B3D" w:rsidRPr="0013676A">
          <w:rPr>
            <w:rStyle w:val="Hyperlink"/>
            <w:i/>
          </w:rPr>
          <w:t xml:space="preserve"> </w:t>
        </w:r>
        <w:proofErr w:type="spellStart"/>
        <w:r w:rsidR="00DC1B3D" w:rsidRPr="0013676A">
          <w:rPr>
            <w:rStyle w:val="Hyperlink"/>
            <w:i/>
          </w:rPr>
          <w:t>leadbeateri</w:t>
        </w:r>
        <w:proofErr w:type="spellEnd"/>
        <w:r w:rsidR="00DC1B3D" w:rsidRPr="0013676A">
          <w:rPr>
            <w:rStyle w:val="Hyperlink"/>
            <w:i/>
          </w:rPr>
          <w:t xml:space="preserve"> </w:t>
        </w:r>
        <w:r w:rsidR="0013676A" w:rsidRPr="0013676A">
          <w:rPr>
            <w:rStyle w:val="Hyperlink"/>
            <w:iCs/>
          </w:rPr>
          <w:t>(eastern Major Mitchell’s cockatoo)</w:t>
        </w:r>
      </w:hyperlink>
      <w:r w:rsidR="0013676A">
        <w:t>.</w:t>
      </w:r>
    </w:p>
    <w:p w14:paraId="1548E023" w14:textId="77777777" w:rsidR="00AD44EA" w:rsidRDefault="00AD44EA" w:rsidP="00AD44EA">
      <w:pPr>
        <w:pStyle w:val="Normalsmall"/>
        <w:spacing w:after="0"/>
      </w:pPr>
      <w:r>
        <w:t xml:space="preserve">Department of Agriculture, </w:t>
      </w:r>
      <w:proofErr w:type="gramStart"/>
      <w:r>
        <w:t>Water</w:t>
      </w:r>
      <w:proofErr w:type="gramEnd"/>
      <w:r>
        <w:t xml:space="preserve"> and the Environment</w:t>
      </w:r>
    </w:p>
    <w:p w14:paraId="27CB629A" w14:textId="77777777" w:rsidR="00AD44EA" w:rsidRDefault="00AD44EA" w:rsidP="00AD44EA">
      <w:pPr>
        <w:pStyle w:val="Normalsmall"/>
        <w:spacing w:after="0"/>
      </w:pPr>
      <w:r>
        <w:t>GPO Box 858</w:t>
      </w:r>
      <w:r w:rsidR="00B16806">
        <w:t>,</w:t>
      </w:r>
      <w:r>
        <w:t xml:space="preserve"> Canberra ACT 2601</w:t>
      </w:r>
    </w:p>
    <w:p w14:paraId="40927727" w14:textId="77777777" w:rsidR="00AD44EA" w:rsidRDefault="00AD44EA" w:rsidP="00AD44EA">
      <w:pPr>
        <w:pStyle w:val="Normalsmall"/>
        <w:spacing w:after="0"/>
      </w:pPr>
      <w:r>
        <w:t xml:space="preserve">Telephone </w:t>
      </w:r>
      <w:r w:rsidRPr="00773056">
        <w:t>1800 900 090</w:t>
      </w:r>
    </w:p>
    <w:p w14:paraId="4DF1D867" w14:textId="77777777" w:rsidR="00AD44EA" w:rsidRDefault="00AD44EA" w:rsidP="00AD44EA">
      <w:pPr>
        <w:pStyle w:val="Normalsmall"/>
      </w:pPr>
      <w:r w:rsidRPr="00E20810">
        <w:t xml:space="preserve">Web </w:t>
      </w:r>
      <w:hyperlink r:id="rId35" w:history="1">
        <w:r w:rsidRPr="00E20810">
          <w:rPr>
            <w:rStyle w:val="Hyperlink"/>
          </w:rPr>
          <w:t>awe.gov.au</w:t>
        </w:r>
      </w:hyperlink>
    </w:p>
    <w:p w14:paraId="5207BAF6" w14:textId="77777777" w:rsidR="00AD44EA" w:rsidRDefault="00AD44EA" w:rsidP="00AD44EA">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4BAB40DB" w14:textId="77777777" w:rsidR="00AD44EA" w:rsidRDefault="009E30E5" w:rsidP="009E30E5">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3F7197EA" w14:textId="77777777" w:rsidTr="005F3E72">
        <w:trPr>
          <w:cantSplit/>
          <w:tblHeader/>
        </w:trPr>
        <w:tc>
          <w:tcPr>
            <w:tcW w:w="3020" w:type="dxa"/>
            <w:tcBorders>
              <w:top w:val="single" w:sz="4" w:space="0" w:color="auto"/>
              <w:bottom w:val="single" w:sz="4" w:space="0" w:color="auto"/>
            </w:tcBorders>
          </w:tcPr>
          <w:p w14:paraId="5BC462F7" w14:textId="77777777" w:rsidR="009E30E5" w:rsidRDefault="009E30E5" w:rsidP="009E30E5">
            <w:pPr>
              <w:pStyle w:val="TableHeading"/>
            </w:pPr>
            <w:r>
              <w:t>Document type</w:t>
            </w:r>
          </w:p>
        </w:tc>
        <w:tc>
          <w:tcPr>
            <w:tcW w:w="3020" w:type="dxa"/>
            <w:tcBorders>
              <w:top w:val="single" w:sz="4" w:space="0" w:color="auto"/>
              <w:bottom w:val="single" w:sz="4" w:space="0" w:color="auto"/>
            </w:tcBorders>
          </w:tcPr>
          <w:p w14:paraId="18157AB8" w14:textId="77777777" w:rsidR="009E30E5" w:rsidRDefault="009E30E5" w:rsidP="009E30E5">
            <w:pPr>
              <w:pStyle w:val="TableHeading"/>
            </w:pPr>
            <w:r>
              <w:t>Title</w:t>
            </w:r>
          </w:p>
        </w:tc>
        <w:tc>
          <w:tcPr>
            <w:tcW w:w="3020" w:type="dxa"/>
            <w:tcBorders>
              <w:top w:val="single" w:sz="4" w:space="0" w:color="auto"/>
              <w:bottom w:val="single" w:sz="4" w:space="0" w:color="auto"/>
            </w:tcBorders>
          </w:tcPr>
          <w:p w14:paraId="0B11A848" w14:textId="77777777" w:rsidR="009E30E5" w:rsidRDefault="00EE0F9A" w:rsidP="009E30E5">
            <w:pPr>
              <w:pStyle w:val="TableHeading"/>
            </w:pPr>
            <w:r>
              <w:t>Date</w:t>
            </w:r>
            <w:r w:rsidR="009E30E5">
              <w:t xml:space="preserve"> [dd mm </w:t>
            </w:r>
            <w:proofErr w:type="spellStart"/>
            <w:r w:rsidR="009E30E5">
              <w:t>yyyy</w:t>
            </w:r>
            <w:proofErr w:type="spellEnd"/>
            <w:r w:rsidR="009E30E5">
              <w:t>]</w:t>
            </w:r>
          </w:p>
        </w:tc>
      </w:tr>
      <w:tr w:rsidR="009E30E5" w14:paraId="1F53DBFE" w14:textId="77777777" w:rsidTr="009E30E5">
        <w:tc>
          <w:tcPr>
            <w:tcW w:w="3020" w:type="dxa"/>
            <w:tcBorders>
              <w:top w:val="single" w:sz="4" w:space="0" w:color="auto"/>
            </w:tcBorders>
          </w:tcPr>
          <w:p w14:paraId="03DDC9F9" w14:textId="77777777" w:rsidR="009E30E5" w:rsidRDefault="005F3E72" w:rsidP="009E30E5">
            <w:pPr>
              <w:pStyle w:val="TableText"/>
            </w:pPr>
            <w:r>
              <w:t>–</w:t>
            </w:r>
          </w:p>
        </w:tc>
        <w:tc>
          <w:tcPr>
            <w:tcW w:w="3020" w:type="dxa"/>
            <w:tcBorders>
              <w:top w:val="single" w:sz="4" w:space="0" w:color="auto"/>
            </w:tcBorders>
          </w:tcPr>
          <w:p w14:paraId="6E9A0063" w14:textId="77777777" w:rsidR="009E30E5" w:rsidRDefault="00D17C18" w:rsidP="009E30E5">
            <w:pPr>
              <w:pStyle w:val="TableText"/>
            </w:pPr>
            <w:r>
              <w:t>–</w:t>
            </w:r>
          </w:p>
        </w:tc>
        <w:tc>
          <w:tcPr>
            <w:tcW w:w="3020" w:type="dxa"/>
            <w:tcBorders>
              <w:top w:val="single" w:sz="4" w:space="0" w:color="auto"/>
            </w:tcBorders>
          </w:tcPr>
          <w:p w14:paraId="250DD93E" w14:textId="77777777" w:rsidR="009E30E5" w:rsidRDefault="00D17C18" w:rsidP="009E30E5">
            <w:pPr>
              <w:pStyle w:val="TableText"/>
            </w:pPr>
            <w:r>
              <w:t>–</w:t>
            </w:r>
          </w:p>
        </w:tc>
      </w:tr>
      <w:tr w:rsidR="009E30E5" w14:paraId="691065EC" w14:textId="77777777" w:rsidTr="009E30E5">
        <w:tc>
          <w:tcPr>
            <w:tcW w:w="3020" w:type="dxa"/>
          </w:tcPr>
          <w:p w14:paraId="6F2B6926" w14:textId="77777777" w:rsidR="009E30E5" w:rsidRDefault="00D17C18" w:rsidP="009E30E5">
            <w:pPr>
              <w:pStyle w:val="TableText"/>
            </w:pPr>
            <w:r>
              <w:t>–</w:t>
            </w:r>
          </w:p>
        </w:tc>
        <w:tc>
          <w:tcPr>
            <w:tcW w:w="3020" w:type="dxa"/>
          </w:tcPr>
          <w:p w14:paraId="6F6DDAC0" w14:textId="77777777" w:rsidR="009E30E5" w:rsidRDefault="00D17C18" w:rsidP="009E30E5">
            <w:pPr>
              <w:pStyle w:val="TableText"/>
            </w:pPr>
            <w:r>
              <w:t>–</w:t>
            </w:r>
          </w:p>
        </w:tc>
        <w:tc>
          <w:tcPr>
            <w:tcW w:w="3020" w:type="dxa"/>
          </w:tcPr>
          <w:p w14:paraId="646DF301" w14:textId="77777777" w:rsidR="009E30E5" w:rsidRDefault="00D17C18" w:rsidP="009E30E5">
            <w:pPr>
              <w:pStyle w:val="TableText"/>
            </w:pPr>
            <w:r>
              <w:t>–</w:t>
            </w:r>
          </w:p>
        </w:tc>
      </w:tr>
    </w:tbl>
    <w:p w14:paraId="3522F28A" w14:textId="77777777" w:rsidR="009E30E5" w:rsidRPr="009E30E5" w:rsidRDefault="009E30E5" w:rsidP="009E30E5"/>
    <w:sectPr w:rsidR="009E30E5" w:rsidRPr="009E30E5" w:rsidSect="002F232F">
      <w:headerReference w:type="even" r:id="rId36"/>
      <w:headerReference w:type="default" r:id="rId37"/>
      <w:headerReference w:type="first" r:id="rId38"/>
      <w:footerReference w:type="first" r:id="rId3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F44F" w14:textId="77777777" w:rsidR="00157217" w:rsidRDefault="00157217">
      <w:r>
        <w:separator/>
      </w:r>
    </w:p>
    <w:p w14:paraId="3963463A" w14:textId="77777777" w:rsidR="00157217" w:rsidRDefault="00157217"/>
    <w:p w14:paraId="3089FC82" w14:textId="77777777" w:rsidR="00157217" w:rsidRDefault="00157217"/>
    <w:p w14:paraId="38A8CE1C" w14:textId="77777777" w:rsidR="00157217" w:rsidRDefault="00157217"/>
  </w:endnote>
  <w:endnote w:type="continuationSeparator" w:id="0">
    <w:p w14:paraId="45AF29E2" w14:textId="77777777" w:rsidR="00157217" w:rsidRDefault="00157217">
      <w:r>
        <w:continuationSeparator/>
      </w:r>
    </w:p>
    <w:p w14:paraId="6BE6A5A1" w14:textId="77777777" w:rsidR="00157217" w:rsidRDefault="00157217"/>
    <w:p w14:paraId="0A6D0C39" w14:textId="77777777" w:rsidR="00157217" w:rsidRDefault="00157217"/>
    <w:p w14:paraId="147AAE91" w14:textId="77777777" w:rsidR="00157217" w:rsidRDefault="00157217"/>
  </w:endnote>
  <w:endnote w:type="continuationNotice" w:id="1">
    <w:p w14:paraId="0CCDD10A" w14:textId="77777777" w:rsidR="00157217" w:rsidRDefault="00157217">
      <w:pPr>
        <w:pStyle w:val="Footer"/>
      </w:pPr>
    </w:p>
    <w:p w14:paraId="4ED92DAC" w14:textId="77777777" w:rsidR="00157217" w:rsidRDefault="00157217"/>
    <w:p w14:paraId="7CB9EC6F" w14:textId="77777777" w:rsidR="00157217" w:rsidRDefault="00157217"/>
    <w:p w14:paraId="03B04D12" w14:textId="77777777" w:rsidR="00157217" w:rsidRDefault="00157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FB6D" w14:textId="0E0906DE" w:rsidR="00157217" w:rsidRDefault="00157217" w:rsidP="00E02D9C">
    <w:pPr>
      <w:pStyle w:val="Footer"/>
    </w:pPr>
    <w:r>
      <w:fldChar w:fldCharType="begin"/>
    </w:r>
    <w:r>
      <w:instrText xml:space="preserve"> PAGE   \* MERGEFORMAT </w:instrText>
    </w:r>
    <w:r>
      <w:fldChar w:fldCharType="separate"/>
    </w:r>
    <w:r>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691E" w14:textId="77777777" w:rsidR="00157217" w:rsidRDefault="00157217" w:rsidP="002F232F">
    <w:pPr>
      <w:pStyle w:val="Footer"/>
    </w:pPr>
    <w:r>
      <w:t xml:space="preserve">Department of Agriculture, </w:t>
    </w:r>
    <w:proofErr w:type="gramStart"/>
    <w:r>
      <w:t>Water</w:t>
    </w:r>
    <w:proofErr w:type="gramEnd"/>
    <w:r>
      <w:t xml:space="preserve"> and the Environment</w:t>
    </w:r>
  </w:p>
  <w:p w14:paraId="7D477258" w14:textId="146405E0" w:rsidR="00157217" w:rsidRDefault="00157217"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734C" w14:textId="77777777" w:rsidR="00157217" w:rsidRDefault="00157217" w:rsidP="002F232F">
    <w:pPr>
      <w:pStyle w:val="Footer"/>
    </w:pPr>
    <w:r>
      <w:t>Threatened Species Scientific Committee</w:t>
    </w:r>
  </w:p>
  <w:p w14:paraId="6ABEF6CF" w14:textId="79516392" w:rsidR="00157217" w:rsidRDefault="00157217" w:rsidP="002F232F">
    <w:pPr>
      <w:pStyle w:val="Footer"/>
    </w:pPr>
    <w:r>
      <w:fldChar w:fldCharType="begin"/>
    </w:r>
    <w:r>
      <w:instrText xml:space="preserve"> PAGE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BBD6" w14:textId="77777777" w:rsidR="00157217" w:rsidRDefault="00157217">
      <w:r>
        <w:separator/>
      </w:r>
    </w:p>
    <w:p w14:paraId="4516D51D" w14:textId="77777777" w:rsidR="00157217" w:rsidRDefault="00157217"/>
    <w:p w14:paraId="17FA813F" w14:textId="77777777" w:rsidR="00157217" w:rsidRDefault="00157217"/>
    <w:p w14:paraId="003CFAD9" w14:textId="77777777" w:rsidR="00157217" w:rsidRDefault="00157217"/>
  </w:footnote>
  <w:footnote w:type="continuationSeparator" w:id="0">
    <w:p w14:paraId="6B314B68" w14:textId="77777777" w:rsidR="00157217" w:rsidRDefault="00157217">
      <w:r>
        <w:continuationSeparator/>
      </w:r>
    </w:p>
    <w:p w14:paraId="5D26B729" w14:textId="77777777" w:rsidR="00157217" w:rsidRDefault="00157217"/>
    <w:p w14:paraId="314D8CC4" w14:textId="77777777" w:rsidR="00157217" w:rsidRDefault="00157217"/>
    <w:p w14:paraId="071E1220" w14:textId="77777777" w:rsidR="00157217" w:rsidRDefault="00157217"/>
  </w:footnote>
  <w:footnote w:type="continuationNotice" w:id="1">
    <w:p w14:paraId="3F770FC6" w14:textId="77777777" w:rsidR="00157217" w:rsidRDefault="00157217">
      <w:pPr>
        <w:pStyle w:val="Footer"/>
      </w:pPr>
    </w:p>
    <w:p w14:paraId="55A504E8" w14:textId="77777777" w:rsidR="00157217" w:rsidRDefault="00157217"/>
    <w:p w14:paraId="36BA1A4A" w14:textId="77777777" w:rsidR="00157217" w:rsidRDefault="00157217"/>
    <w:p w14:paraId="1C8F52D7" w14:textId="77777777" w:rsidR="00157217" w:rsidRDefault="001572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4315" w14:textId="77777777" w:rsidR="00157217" w:rsidRDefault="00EF243C">
    <w:pPr>
      <w:pStyle w:val="Header"/>
    </w:pPr>
    <w:r>
      <w:rPr>
        <w:noProof/>
      </w:rPr>
      <w:pict w14:anchorId="5DEA2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9" o:spid="_x0000_s1052" type="#_x0000_t136" style="position:absolute;left:0;text-align:left;margin-left:0;margin-top:0;width:456.7pt;height:182.6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p w14:paraId="03095C2B" w14:textId="77777777" w:rsidR="00157217" w:rsidRDefault="001572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78C9" w14:textId="70E1CB9F" w:rsidR="00157217" w:rsidRDefault="00EF243C" w:rsidP="000202F4">
    <w:pPr>
      <w:pStyle w:val="Header"/>
    </w:pPr>
    <w:r>
      <w:rPr>
        <w:i/>
        <w:iCs/>
        <w:noProof/>
      </w:rPr>
      <w:pict w14:anchorId="7A981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1053" type="#_x0000_t136" style="position:absolute;left:0;text-align:left;margin-left:0;margin-top:0;width:456.7pt;height:182.6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157217" w:rsidRPr="007B55DF">
      <w:rPr>
        <w:i/>
        <w:iCs/>
        <w:noProof/>
      </w:rPr>
      <w:t>Lophochroa leadbeateri leadbeateri</w:t>
    </w:r>
    <w:r w:rsidR="00157217">
      <w:t xml:space="preserve"> (eastern Major Mitchell’s cockatoo)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E9B1" w14:textId="77777777" w:rsidR="00157217" w:rsidRDefault="00EF243C" w:rsidP="00C37215">
    <w:pPr>
      <w:pStyle w:val="Header"/>
      <w:tabs>
        <w:tab w:val="clear" w:pos="4820"/>
        <w:tab w:val="left" w:pos="7992"/>
      </w:tabs>
      <w:jc w:val="left"/>
    </w:pPr>
    <w:r>
      <w:rPr>
        <w:noProof/>
      </w:rPr>
      <w:pict w14:anchorId="37EDF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8" o:spid="_x0000_s1051"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157217">
      <w:rPr>
        <w:noProof/>
        <w:lang w:eastAsia="en-AU"/>
      </w:rPr>
      <w:drawing>
        <wp:inline distT="0" distB="0" distL="0" distR="0" wp14:anchorId="3F164B5D" wp14:editId="555617D5">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F00B" w14:textId="77777777" w:rsidR="00157217" w:rsidRDefault="00EF243C">
    <w:pPr>
      <w:pStyle w:val="Header"/>
    </w:pPr>
    <w:r>
      <w:rPr>
        <w:noProof/>
      </w:rPr>
      <w:pict w14:anchorId="62DD3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1055" type="#_x0000_t136" style="position:absolute;left:0;text-align:left;margin-left:0;margin-top:0;width:456.7pt;height:182.65pt;rotation:315;z-index:-25165823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F4B1" w14:textId="2A49BFCE" w:rsidR="00157217" w:rsidRDefault="00EF243C" w:rsidP="008E7C80">
    <w:pPr>
      <w:pStyle w:val="Header"/>
    </w:pPr>
    <w:r>
      <w:rPr>
        <w:i/>
        <w:iCs/>
        <w:noProof/>
      </w:rPr>
      <w:pict w14:anchorId="5BF56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1056" type="#_x0000_t136" style="position:absolute;left:0;text-align:left;margin-left:0;margin-top:0;width:456.7pt;height:182.65pt;rotation:315;z-index:-251658235;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157217" w:rsidRPr="00CA1DCD">
      <w:rPr>
        <w:i/>
        <w:iCs/>
        <w:noProof/>
      </w:rPr>
      <w:t>Lophochroa leadbeateri leadbeateri</w:t>
    </w:r>
    <w:r w:rsidR="00157217">
      <w:t xml:space="preserve"> (eastern Major Mitchell’s cockatoo)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EF42" w14:textId="77777777" w:rsidR="00157217" w:rsidRPr="003E30FD" w:rsidRDefault="00EF243C"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70FBF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1054" type="#_x0000_t136" style="position:absolute;left:0;text-align:left;margin-left:0;margin-top:0;width:456.7pt;height:182.65pt;rotation:315;z-index:-251658237;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157217"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1209A6D9" w14:textId="77777777" w:rsidR="00157217" w:rsidRPr="00D728A1" w:rsidRDefault="00157217"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17528D94" w14:textId="77777777" w:rsidR="00157217" w:rsidRDefault="00157217"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962EDC76"/>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5B29B8"/>
    <w:multiLevelType w:val="hybridMultilevel"/>
    <w:tmpl w:val="178CC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103637"/>
    <w:multiLevelType w:val="multilevel"/>
    <w:tmpl w:val="BE78A4F8"/>
    <w:numStyleLink w:val="Numberlist"/>
  </w:abstractNum>
  <w:abstractNum w:abstractNumId="16" w15:restartNumberingAfterBreak="0">
    <w:nsid w:val="32923961"/>
    <w:multiLevelType w:val="hybridMultilevel"/>
    <w:tmpl w:val="F0CC5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23887CA2"/>
    <w:numStyleLink w:val="List1"/>
  </w:abstractNum>
  <w:abstractNum w:abstractNumId="19" w15:restartNumberingAfterBreak="0">
    <w:nsid w:val="486800B4"/>
    <w:multiLevelType w:val="multilevel"/>
    <w:tmpl w:val="23887CA2"/>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6D2E43F1"/>
    <w:multiLevelType w:val="hybridMultilevel"/>
    <w:tmpl w:val="B86ED1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3934B7"/>
    <w:multiLevelType w:val="multilevel"/>
    <w:tmpl w:val="23887CA2"/>
    <w:numStyleLink w:val="List1"/>
  </w:abstractNum>
  <w:num w:numId="1">
    <w:abstractNumId w:val="7"/>
  </w:num>
  <w:num w:numId="2">
    <w:abstractNumId w:val="19"/>
  </w:num>
  <w:num w:numId="3">
    <w:abstractNumId w:val="20"/>
  </w:num>
  <w:num w:numId="4">
    <w:abstractNumId w:val="10"/>
  </w:num>
  <w:num w:numId="5">
    <w:abstractNumId w:val="25"/>
  </w:num>
  <w:num w:numId="6">
    <w:abstractNumId w:val="26"/>
  </w:num>
  <w:num w:numId="7">
    <w:abstractNumId w:val="8"/>
  </w:num>
  <w:num w:numId="8">
    <w:abstractNumId w:val="13"/>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5"/>
  </w:num>
  <w:num w:numId="22">
    <w:abstractNumId w:val="21"/>
  </w:num>
  <w:num w:numId="23">
    <w:abstractNumId w:val="28"/>
  </w:num>
  <w:num w:numId="24">
    <w:abstractNumId w:val="12"/>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2"/>
  </w:num>
  <w:num w:numId="29">
    <w:abstractNumId w:val="24"/>
  </w:num>
  <w:num w:numId="30">
    <w:abstractNumId w:val="9"/>
  </w:num>
  <w:num w:numId="31">
    <w:abstractNumId w:val="5"/>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29"/>
  </w:num>
  <w:num w:numId="48">
    <w:abstractNumId w:val="16"/>
  </w:num>
  <w:num w:numId="49">
    <w:abstractNumId w:val="14"/>
  </w:num>
  <w:num w:numId="5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1F"/>
    <w:rsid w:val="000011D8"/>
    <w:rsid w:val="000021D9"/>
    <w:rsid w:val="00003F0F"/>
    <w:rsid w:val="00004043"/>
    <w:rsid w:val="00004601"/>
    <w:rsid w:val="00004EBD"/>
    <w:rsid w:val="00005533"/>
    <w:rsid w:val="0000579F"/>
    <w:rsid w:val="000057F8"/>
    <w:rsid w:val="000075C7"/>
    <w:rsid w:val="00010D07"/>
    <w:rsid w:val="00010EBA"/>
    <w:rsid w:val="00012526"/>
    <w:rsid w:val="00012FC0"/>
    <w:rsid w:val="0001339B"/>
    <w:rsid w:val="000133F4"/>
    <w:rsid w:val="000202F4"/>
    <w:rsid w:val="000213FD"/>
    <w:rsid w:val="00023104"/>
    <w:rsid w:val="00023C27"/>
    <w:rsid w:val="0002409B"/>
    <w:rsid w:val="0002419A"/>
    <w:rsid w:val="000243FD"/>
    <w:rsid w:val="00024955"/>
    <w:rsid w:val="00024AB0"/>
    <w:rsid w:val="00025619"/>
    <w:rsid w:val="00025643"/>
    <w:rsid w:val="00025662"/>
    <w:rsid w:val="00027FA4"/>
    <w:rsid w:val="00033701"/>
    <w:rsid w:val="000341E0"/>
    <w:rsid w:val="00034237"/>
    <w:rsid w:val="00036D82"/>
    <w:rsid w:val="00040099"/>
    <w:rsid w:val="00041499"/>
    <w:rsid w:val="00042969"/>
    <w:rsid w:val="000430BC"/>
    <w:rsid w:val="0004550E"/>
    <w:rsid w:val="00046366"/>
    <w:rsid w:val="00047ED4"/>
    <w:rsid w:val="0005314C"/>
    <w:rsid w:val="00055AFD"/>
    <w:rsid w:val="00055B18"/>
    <w:rsid w:val="00061B82"/>
    <w:rsid w:val="00063C71"/>
    <w:rsid w:val="00063E78"/>
    <w:rsid w:val="00064886"/>
    <w:rsid w:val="00065F4B"/>
    <w:rsid w:val="00070C92"/>
    <w:rsid w:val="00071129"/>
    <w:rsid w:val="00071A8E"/>
    <w:rsid w:val="0007233A"/>
    <w:rsid w:val="00073C60"/>
    <w:rsid w:val="00074648"/>
    <w:rsid w:val="00082105"/>
    <w:rsid w:val="00082347"/>
    <w:rsid w:val="00082CD8"/>
    <w:rsid w:val="000835A0"/>
    <w:rsid w:val="00085069"/>
    <w:rsid w:val="0008655C"/>
    <w:rsid w:val="00090D59"/>
    <w:rsid w:val="00092A82"/>
    <w:rsid w:val="00094C09"/>
    <w:rsid w:val="00094F22"/>
    <w:rsid w:val="000959C5"/>
    <w:rsid w:val="0009615B"/>
    <w:rsid w:val="00097670"/>
    <w:rsid w:val="00097F47"/>
    <w:rsid w:val="000A0839"/>
    <w:rsid w:val="000A1C67"/>
    <w:rsid w:val="000A1E60"/>
    <w:rsid w:val="000A23B6"/>
    <w:rsid w:val="000A4134"/>
    <w:rsid w:val="000A4CEB"/>
    <w:rsid w:val="000A4F74"/>
    <w:rsid w:val="000A4FFA"/>
    <w:rsid w:val="000A5C2B"/>
    <w:rsid w:val="000A6133"/>
    <w:rsid w:val="000A722E"/>
    <w:rsid w:val="000A79AA"/>
    <w:rsid w:val="000B0257"/>
    <w:rsid w:val="000B17FD"/>
    <w:rsid w:val="000B30B1"/>
    <w:rsid w:val="000B3C6A"/>
    <w:rsid w:val="000B5B8A"/>
    <w:rsid w:val="000B5E97"/>
    <w:rsid w:val="000B6AA6"/>
    <w:rsid w:val="000B736E"/>
    <w:rsid w:val="000B7CE7"/>
    <w:rsid w:val="000C1437"/>
    <w:rsid w:val="000C1AC9"/>
    <w:rsid w:val="000C2807"/>
    <w:rsid w:val="000C3455"/>
    <w:rsid w:val="000C4A75"/>
    <w:rsid w:val="000C55A6"/>
    <w:rsid w:val="000C6C23"/>
    <w:rsid w:val="000C7740"/>
    <w:rsid w:val="000D1830"/>
    <w:rsid w:val="000D2564"/>
    <w:rsid w:val="000D4221"/>
    <w:rsid w:val="000D51F3"/>
    <w:rsid w:val="000D55BC"/>
    <w:rsid w:val="000D738D"/>
    <w:rsid w:val="000D7FAF"/>
    <w:rsid w:val="000E0BF4"/>
    <w:rsid w:val="000E630E"/>
    <w:rsid w:val="000E65EE"/>
    <w:rsid w:val="000E690C"/>
    <w:rsid w:val="000E699F"/>
    <w:rsid w:val="000E6E47"/>
    <w:rsid w:val="000F018A"/>
    <w:rsid w:val="000F194B"/>
    <w:rsid w:val="000F30DC"/>
    <w:rsid w:val="000F3D21"/>
    <w:rsid w:val="000F615D"/>
    <w:rsid w:val="000F6A54"/>
    <w:rsid w:val="000F6D5A"/>
    <w:rsid w:val="00100BF8"/>
    <w:rsid w:val="00102FDA"/>
    <w:rsid w:val="00103A46"/>
    <w:rsid w:val="00104455"/>
    <w:rsid w:val="0010557C"/>
    <w:rsid w:val="00105970"/>
    <w:rsid w:val="001060E7"/>
    <w:rsid w:val="00106CC2"/>
    <w:rsid w:val="0010729B"/>
    <w:rsid w:val="001108F1"/>
    <w:rsid w:val="001112AB"/>
    <w:rsid w:val="00111DFF"/>
    <w:rsid w:val="00111F59"/>
    <w:rsid w:val="00112BA8"/>
    <w:rsid w:val="00113DD6"/>
    <w:rsid w:val="00114207"/>
    <w:rsid w:val="00114C8E"/>
    <w:rsid w:val="0011667C"/>
    <w:rsid w:val="00117825"/>
    <w:rsid w:val="001200FA"/>
    <w:rsid w:val="00120CED"/>
    <w:rsid w:val="00123597"/>
    <w:rsid w:val="001242D4"/>
    <w:rsid w:val="0012461E"/>
    <w:rsid w:val="001247AE"/>
    <w:rsid w:val="001268C5"/>
    <w:rsid w:val="00126CA3"/>
    <w:rsid w:val="00127604"/>
    <w:rsid w:val="00127671"/>
    <w:rsid w:val="00130364"/>
    <w:rsid w:val="00130A0B"/>
    <w:rsid w:val="00133292"/>
    <w:rsid w:val="00133674"/>
    <w:rsid w:val="00134419"/>
    <w:rsid w:val="00134D35"/>
    <w:rsid w:val="0013676A"/>
    <w:rsid w:val="001376F1"/>
    <w:rsid w:val="00137F5A"/>
    <w:rsid w:val="001417B9"/>
    <w:rsid w:val="00142E06"/>
    <w:rsid w:val="00143EEE"/>
    <w:rsid w:val="00145862"/>
    <w:rsid w:val="00145DB1"/>
    <w:rsid w:val="00146799"/>
    <w:rsid w:val="00146D4B"/>
    <w:rsid w:val="00150297"/>
    <w:rsid w:val="00151202"/>
    <w:rsid w:val="001524E0"/>
    <w:rsid w:val="00154725"/>
    <w:rsid w:val="00154AAD"/>
    <w:rsid w:val="00154B5B"/>
    <w:rsid w:val="00155BA9"/>
    <w:rsid w:val="00157217"/>
    <w:rsid w:val="001573B8"/>
    <w:rsid w:val="001577F9"/>
    <w:rsid w:val="0016081E"/>
    <w:rsid w:val="00160F9B"/>
    <w:rsid w:val="00161E8C"/>
    <w:rsid w:val="00162F94"/>
    <w:rsid w:val="00163219"/>
    <w:rsid w:val="001633F4"/>
    <w:rsid w:val="00165081"/>
    <w:rsid w:val="00165364"/>
    <w:rsid w:val="00166185"/>
    <w:rsid w:val="00170795"/>
    <w:rsid w:val="00170E0A"/>
    <w:rsid w:val="00172CCD"/>
    <w:rsid w:val="00172CFB"/>
    <w:rsid w:val="001739A8"/>
    <w:rsid w:val="00174F58"/>
    <w:rsid w:val="00177744"/>
    <w:rsid w:val="0017795A"/>
    <w:rsid w:val="00180329"/>
    <w:rsid w:val="0018058D"/>
    <w:rsid w:val="001812D5"/>
    <w:rsid w:val="00181D18"/>
    <w:rsid w:val="001833B2"/>
    <w:rsid w:val="001860E1"/>
    <w:rsid w:val="00186635"/>
    <w:rsid w:val="00186F4D"/>
    <w:rsid w:val="00190C84"/>
    <w:rsid w:val="0019598A"/>
    <w:rsid w:val="00196797"/>
    <w:rsid w:val="001A060F"/>
    <w:rsid w:val="001A095B"/>
    <w:rsid w:val="001A0FF1"/>
    <w:rsid w:val="001A2D13"/>
    <w:rsid w:val="001A3C77"/>
    <w:rsid w:val="001A6C65"/>
    <w:rsid w:val="001B06CC"/>
    <w:rsid w:val="001B077B"/>
    <w:rsid w:val="001B19FD"/>
    <w:rsid w:val="001B1E10"/>
    <w:rsid w:val="001B29F5"/>
    <w:rsid w:val="001B2BE2"/>
    <w:rsid w:val="001B441B"/>
    <w:rsid w:val="001B4BED"/>
    <w:rsid w:val="001B55AE"/>
    <w:rsid w:val="001B6655"/>
    <w:rsid w:val="001B729C"/>
    <w:rsid w:val="001C0493"/>
    <w:rsid w:val="001C142F"/>
    <w:rsid w:val="001C2426"/>
    <w:rsid w:val="001C31E1"/>
    <w:rsid w:val="001C3985"/>
    <w:rsid w:val="001C3F42"/>
    <w:rsid w:val="001C52F3"/>
    <w:rsid w:val="001C5433"/>
    <w:rsid w:val="001C7420"/>
    <w:rsid w:val="001D00C1"/>
    <w:rsid w:val="001D1051"/>
    <w:rsid w:val="001D4C16"/>
    <w:rsid w:val="001D5F69"/>
    <w:rsid w:val="001D692D"/>
    <w:rsid w:val="001D76BA"/>
    <w:rsid w:val="001E15A5"/>
    <w:rsid w:val="001E17D5"/>
    <w:rsid w:val="001E1EA9"/>
    <w:rsid w:val="001E2553"/>
    <w:rsid w:val="001E3289"/>
    <w:rsid w:val="001E3CC8"/>
    <w:rsid w:val="001E4765"/>
    <w:rsid w:val="001E4B8E"/>
    <w:rsid w:val="001E5131"/>
    <w:rsid w:val="001E616F"/>
    <w:rsid w:val="001E6468"/>
    <w:rsid w:val="001E68C4"/>
    <w:rsid w:val="001E7962"/>
    <w:rsid w:val="001E7C8D"/>
    <w:rsid w:val="001F1C51"/>
    <w:rsid w:val="00200175"/>
    <w:rsid w:val="002003D2"/>
    <w:rsid w:val="00202036"/>
    <w:rsid w:val="00202562"/>
    <w:rsid w:val="00205224"/>
    <w:rsid w:val="002056AD"/>
    <w:rsid w:val="00206C20"/>
    <w:rsid w:val="002119E4"/>
    <w:rsid w:val="0021433D"/>
    <w:rsid w:val="0021461C"/>
    <w:rsid w:val="00216BA8"/>
    <w:rsid w:val="00221209"/>
    <w:rsid w:val="0022142B"/>
    <w:rsid w:val="00221E16"/>
    <w:rsid w:val="00222A71"/>
    <w:rsid w:val="00223138"/>
    <w:rsid w:val="002242B3"/>
    <w:rsid w:val="00226321"/>
    <w:rsid w:val="0023010D"/>
    <w:rsid w:val="002302CF"/>
    <w:rsid w:val="002319AB"/>
    <w:rsid w:val="00232977"/>
    <w:rsid w:val="0023349C"/>
    <w:rsid w:val="0023474A"/>
    <w:rsid w:val="00237FDF"/>
    <w:rsid w:val="0024292A"/>
    <w:rsid w:val="00243014"/>
    <w:rsid w:val="00244055"/>
    <w:rsid w:val="0024487C"/>
    <w:rsid w:val="0024549B"/>
    <w:rsid w:val="00245810"/>
    <w:rsid w:val="00245B85"/>
    <w:rsid w:val="002479A6"/>
    <w:rsid w:val="00250904"/>
    <w:rsid w:val="00250BF4"/>
    <w:rsid w:val="00250C8C"/>
    <w:rsid w:val="00251F5A"/>
    <w:rsid w:val="00252237"/>
    <w:rsid w:val="00252454"/>
    <w:rsid w:val="002526DD"/>
    <w:rsid w:val="00252F41"/>
    <w:rsid w:val="00255C48"/>
    <w:rsid w:val="00256A28"/>
    <w:rsid w:val="00257EBA"/>
    <w:rsid w:val="002609CD"/>
    <w:rsid w:val="002626C8"/>
    <w:rsid w:val="00266DC5"/>
    <w:rsid w:val="00273361"/>
    <w:rsid w:val="00274B8A"/>
    <w:rsid w:val="00276E5C"/>
    <w:rsid w:val="002802A2"/>
    <w:rsid w:val="002803B8"/>
    <w:rsid w:val="00280646"/>
    <w:rsid w:val="00280857"/>
    <w:rsid w:val="00280FCD"/>
    <w:rsid w:val="002812D3"/>
    <w:rsid w:val="0028144F"/>
    <w:rsid w:val="0028148E"/>
    <w:rsid w:val="0028351E"/>
    <w:rsid w:val="00284E69"/>
    <w:rsid w:val="0028601D"/>
    <w:rsid w:val="00286192"/>
    <w:rsid w:val="00286746"/>
    <w:rsid w:val="00286E84"/>
    <w:rsid w:val="0028774A"/>
    <w:rsid w:val="002906BC"/>
    <w:rsid w:val="00291107"/>
    <w:rsid w:val="0029211B"/>
    <w:rsid w:val="00292F01"/>
    <w:rsid w:val="0029531A"/>
    <w:rsid w:val="0029535F"/>
    <w:rsid w:val="00295AA9"/>
    <w:rsid w:val="00297049"/>
    <w:rsid w:val="002970BE"/>
    <w:rsid w:val="002970CF"/>
    <w:rsid w:val="0029756F"/>
    <w:rsid w:val="002A0B5E"/>
    <w:rsid w:val="002A153D"/>
    <w:rsid w:val="002A3B07"/>
    <w:rsid w:val="002A4C30"/>
    <w:rsid w:val="002A6BDE"/>
    <w:rsid w:val="002A7652"/>
    <w:rsid w:val="002B01EE"/>
    <w:rsid w:val="002B134C"/>
    <w:rsid w:val="002B144C"/>
    <w:rsid w:val="002B1F3E"/>
    <w:rsid w:val="002B3A16"/>
    <w:rsid w:val="002B69E4"/>
    <w:rsid w:val="002B6A3F"/>
    <w:rsid w:val="002B74D6"/>
    <w:rsid w:val="002B76C9"/>
    <w:rsid w:val="002C0AD0"/>
    <w:rsid w:val="002C0AE5"/>
    <w:rsid w:val="002C309A"/>
    <w:rsid w:val="002C532E"/>
    <w:rsid w:val="002D0D66"/>
    <w:rsid w:val="002D12E1"/>
    <w:rsid w:val="002D2874"/>
    <w:rsid w:val="002D3D25"/>
    <w:rsid w:val="002D4691"/>
    <w:rsid w:val="002D485F"/>
    <w:rsid w:val="002D5C36"/>
    <w:rsid w:val="002E0B47"/>
    <w:rsid w:val="002E1FFC"/>
    <w:rsid w:val="002E2A02"/>
    <w:rsid w:val="002E31FA"/>
    <w:rsid w:val="002E32CA"/>
    <w:rsid w:val="002E34B7"/>
    <w:rsid w:val="002E56FA"/>
    <w:rsid w:val="002E5CA6"/>
    <w:rsid w:val="002F12AE"/>
    <w:rsid w:val="002F1860"/>
    <w:rsid w:val="002F232F"/>
    <w:rsid w:val="002F34D8"/>
    <w:rsid w:val="002F3AEA"/>
    <w:rsid w:val="002F4B08"/>
    <w:rsid w:val="002F4DAD"/>
    <w:rsid w:val="002F6A33"/>
    <w:rsid w:val="0030070E"/>
    <w:rsid w:val="003045A0"/>
    <w:rsid w:val="003113EE"/>
    <w:rsid w:val="00312685"/>
    <w:rsid w:val="003169DD"/>
    <w:rsid w:val="003176D1"/>
    <w:rsid w:val="00320BB1"/>
    <w:rsid w:val="00320F4A"/>
    <w:rsid w:val="00322655"/>
    <w:rsid w:val="00323922"/>
    <w:rsid w:val="0033112A"/>
    <w:rsid w:val="003340FE"/>
    <w:rsid w:val="00334270"/>
    <w:rsid w:val="00334D9D"/>
    <w:rsid w:val="003362C7"/>
    <w:rsid w:val="00337360"/>
    <w:rsid w:val="003415CB"/>
    <w:rsid w:val="003415D9"/>
    <w:rsid w:val="003437D5"/>
    <w:rsid w:val="003445EF"/>
    <w:rsid w:val="00344617"/>
    <w:rsid w:val="003461E2"/>
    <w:rsid w:val="00346541"/>
    <w:rsid w:val="00347206"/>
    <w:rsid w:val="00351E68"/>
    <w:rsid w:val="003558BA"/>
    <w:rsid w:val="00355F1B"/>
    <w:rsid w:val="003564DE"/>
    <w:rsid w:val="003573A3"/>
    <w:rsid w:val="003607B9"/>
    <w:rsid w:val="00360ACE"/>
    <w:rsid w:val="00363B41"/>
    <w:rsid w:val="0036534A"/>
    <w:rsid w:val="00371C5F"/>
    <w:rsid w:val="0037602E"/>
    <w:rsid w:val="00376BAF"/>
    <w:rsid w:val="0037799F"/>
    <w:rsid w:val="0038004D"/>
    <w:rsid w:val="00382572"/>
    <w:rsid w:val="003833F4"/>
    <w:rsid w:val="003834E3"/>
    <w:rsid w:val="0038356D"/>
    <w:rsid w:val="00383E42"/>
    <w:rsid w:val="003844EE"/>
    <w:rsid w:val="00385D13"/>
    <w:rsid w:val="0038649C"/>
    <w:rsid w:val="00387E7C"/>
    <w:rsid w:val="00390DCD"/>
    <w:rsid w:val="0039193D"/>
    <w:rsid w:val="00393036"/>
    <w:rsid w:val="0039336C"/>
    <w:rsid w:val="00393CDD"/>
    <w:rsid w:val="003940F5"/>
    <w:rsid w:val="00394AB6"/>
    <w:rsid w:val="00395553"/>
    <w:rsid w:val="00395867"/>
    <w:rsid w:val="00395CFA"/>
    <w:rsid w:val="003971AB"/>
    <w:rsid w:val="003A06CA"/>
    <w:rsid w:val="003A3171"/>
    <w:rsid w:val="003A4214"/>
    <w:rsid w:val="003A6771"/>
    <w:rsid w:val="003A7E69"/>
    <w:rsid w:val="003B0248"/>
    <w:rsid w:val="003B2A51"/>
    <w:rsid w:val="003B2A6A"/>
    <w:rsid w:val="003B4A30"/>
    <w:rsid w:val="003B7521"/>
    <w:rsid w:val="003B7E7C"/>
    <w:rsid w:val="003C13C3"/>
    <w:rsid w:val="003C590E"/>
    <w:rsid w:val="003C6475"/>
    <w:rsid w:val="003C7B5E"/>
    <w:rsid w:val="003D3633"/>
    <w:rsid w:val="003E070C"/>
    <w:rsid w:val="003E1291"/>
    <w:rsid w:val="003E15BE"/>
    <w:rsid w:val="003E30FD"/>
    <w:rsid w:val="003E4B87"/>
    <w:rsid w:val="003E4D18"/>
    <w:rsid w:val="003E5E90"/>
    <w:rsid w:val="003E6102"/>
    <w:rsid w:val="003E77D1"/>
    <w:rsid w:val="003F0B7C"/>
    <w:rsid w:val="003F22EA"/>
    <w:rsid w:val="003F27C9"/>
    <w:rsid w:val="003F4EA8"/>
    <w:rsid w:val="003F60E2"/>
    <w:rsid w:val="003F6EE8"/>
    <w:rsid w:val="003F7087"/>
    <w:rsid w:val="003F78E6"/>
    <w:rsid w:val="0040031A"/>
    <w:rsid w:val="00400461"/>
    <w:rsid w:val="00400494"/>
    <w:rsid w:val="004010F4"/>
    <w:rsid w:val="00402054"/>
    <w:rsid w:val="0040258A"/>
    <w:rsid w:val="0040363D"/>
    <w:rsid w:val="00404887"/>
    <w:rsid w:val="00405ADF"/>
    <w:rsid w:val="0041189A"/>
    <w:rsid w:val="00412830"/>
    <w:rsid w:val="00414393"/>
    <w:rsid w:val="00415563"/>
    <w:rsid w:val="0042009B"/>
    <w:rsid w:val="00420549"/>
    <w:rsid w:val="00420E21"/>
    <w:rsid w:val="004218F0"/>
    <w:rsid w:val="00421E71"/>
    <w:rsid w:val="00421FA6"/>
    <w:rsid w:val="004233F7"/>
    <w:rsid w:val="004236E0"/>
    <w:rsid w:val="004247E0"/>
    <w:rsid w:val="00425107"/>
    <w:rsid w:val="0042707D"/>
    <w:rsid w:val="0043054A"/>
    <w:rsid w:val="00431554"/>
    <w:rsid w:val="0043286F"/>
    <w:rsid w:val="00432BB0"/>
    <w:rsid w:val="0043513C"/>
    <w:rsid w:val="00437E66"/>
    <w:rsid w:val="00440C79"/>
    <w:rsid w:val="0044391F"/>
    <w:rsid w:val="00444AD8"/>
    <w:rsid w:val="00445024"/>
    <w:rsid w:val="00445B49"/>
    <w:rsid w:val="00446A77"/>
    <w:rsid w:val="00450517"/>
    <w:rsid w:val="0045073E"/>
    <w:rsid w:val="00452A05"/>
    <w:rsid w:val="00453E5B"/>
    <w:rsid w:val="00460C44"/>
    <w:rsid w:val="00460D54"/>
    <w:rsid w:val="0046168A"/>
    <w:rsid w:val="00462342"/>
    <w:rsid w:val="00463594"/>
    <w:rsid w:val="004645A7"/>
    <w:rsid w:val="00465352"/>
    <w:rsid w:val="004709A4"/>
    <w:rsid w:val="004709B0"/>
    <w:rsid w:val="00473104"/>
    <w:rsid w:val="00473DF9"/>
    <w:rsid w:val="00475FF3"/>
    <w:rsid w:val="00476948"/>
    <w:rsid w:val="00480C78"/>
    <w:rsid w:val="00481223"/>
    <w:rsid w:val="00482558"/>
    <w:rsid w:val="00484DEA"/>
    <w:rsid w:val="00484E70"/>
    <w:rsid w:val="00486C20"/>
    <w:rsid w:val="0049173B"/>
    <w:rsid w:val="00491849"/>
    <w:rsid w:val="00492C3D"/>
    <w:rsid w:val="0049477E"/>
    <w:rsid w:val="00497B92"/>
    <w:rsid w:val="004A3350"/>
    <w:rsid w:val="004A343E"/>
    <w:rsid w:val="004A403E"/>
    <w:rsid w:val="004A5D1D"/>
    <w:rsid w:val="004B06F9"/>
    <w:rsid w:val="004B1469"/>
    <w:rsid w:val="004B23B0"/>
    <w:rsid w:val="004B38BC"/>
    <w:rsid w:val="004B4A69"/>
    <w:rsid w:val="004B6337"/>
    <w:rsid w:val="004C14D0"/>
    <w:rsid w:val="004C254F"/>
    <w:rsid w:val="004C2FA6"/>
    <w:rsid w:val="004C3033"/>
    <w:rsid w:val="004C4253"/>
    <w:rsid w:val="004C49CE"/>
    <w:rsid w:val="004C6539"/>
    <w:rsid w:val="004C6D5B"/>
    <w:rsid w:val="004C77BF"/>
    <w:rsid w:val="004C7F78"/>
    <w:rsid w:val="004D0528"/>
    <w:rsid w:val="004D0D1F"/>
    <w:rsid w:val="004D2790"/>
    <w:rsid w:val="004D2E53"/>
    <w:rsid w:val="004D331B"/>
    <w:rsid w:val="004D48AF"/>
    <w:rsid w:val="004D4959"/>
    <w:rsid w:val="004D61C9"/>
    <w:rsid w:val="004D6EC9"/>
    <w:rsid w:val="004E0136"/>
    <w:rsid w:val="004E60AB"/>
    <w:rsid w:val="004E7AAB"/>
    <w:rsid w:val="004F32AB"/>
    <w:rsid w:val="004F3F60"/>
    <w:rsid w:val="004F412F"/>
    <w:rsid w:val="004F5120"/>
    <w:rsid w:val="004F5429"/>
    <w:rsid w:val="004F68EC"/>
    <w:rsid w:val="0050021A"/>
    <w:rsid w:val="0050079E"/>
    <w:rsid w:val="00501322"/>
    <w:rsid w:val="00501D99"/>
    <w:rsid w:val="005033A2"/>
    <w:rsid w:val="0050438E"/>
    <w:rsid w:val="00504740"/>
    <w:rsid w:val="00504E67"/>
    <w:rsid w:val="0050535B"/>
    <w:rsid w:val="0050545D"/>
    <w:rsid w:val="005059FD"/>
    <w:rsid w:val="00506274"/>
    <w:rsid w:val="005104A3"/>
    <w:rsid w:val="00510CEA"/>
    <w:rsid w:val="0051202F"/>
    <w:rsid w:val="00513053"/>
    <w:rsid w:val="00514A37"/>
    <w:rsid w:val="00514F1E"/>
    <w:rsid w:val="005153E2"/>
    <w:rsid w:val="0051701F"/>
    <w:rsid w:val="005171E6"/>
    <w:rsid w:val="005206AB"/>
    <w:rsid w:val="005208A6"/>
    <w:rsid w:val="005218FA"/>
    <w:rsid w:val="005219AD"/>
    <w:rsid w:val="00524B6C"/>
    <w:rsid w:val="00525E8C"/>
    <w:rsid w:val="00526530"/>
    <w:rsid w:val="005273A2"/>
    <w:rsid w:val="005306BA"/>
    <w:rsid w:val="005331DA"/>
    <w:rsid w:val="00534486"/>
    <w:rsid w:val="0054151D"/>
    <w:rsid w:val="0054559E"/>
    <w:rsid w:val="0055014C"/>
    <w:rsid w:val="0055033C"/>
    <w:rsid w:val="005565E9"/>
    <w:rsid w:val="005568E4"/>
    <w:rsid w:val="00562671"/>
    <w:rsid w:val="005633B0"/>
    <w:rsid w:val="0056348C"/>
    <w:rsid w:val="00563809"/>
    <w:rsid w:val="00564D62"/>
    <w:rsid w:val="00565444"/>
    <w:rsid w:val="0056572C"/>
    <w:rsid w:val="00565F5A"/>
    <w:rsid w:val="00571190"/>
    <w:rsid w:val="00571839"/>
    <w:rsid w:val="005729AE"/>
    <w:rsid w:val="0057341F"/>
    <w:rsid w:val="00573B2C"/>
    <w:rsid w:val="00576670"/>
    <w:rsid w:val="005775D1"/>
    <w:rsid w:val="0057780C"/>
    <w:rsid w:val="0058168E"/>
    <w:rsid w:val="00583AE1"/>
    <w:rsid w:val="00584979"/>
    <w:rsid w:val="0058583E"/>
    <w:rsid w:val="00586698"/>
    <w:rsid w:val="00586D71"/>
    <w:rsid w:val="00586D72"/>
    <w:rsid w:val="00590E2A"/>
    <w:rsid w:val="005952A8"/>
    <w:rsid w:val="005958CC"/>
    <w:rsid w:val="00595D8E"/>
    <w:rsid w:val="005960E3"/>
    <w:rsid w:val="0059777E"/>
    <w:rsid w:val="005A02CB"/>
    <w:rsid w:val="005A27FE"/>
    <w:rsid w:val="005A3DAB"/>
    <w:rsid w:val="005A4BB6"/>
    <w:rsid w:val="005A5154"/>
    <w:rsid w:val="005A5F80"/>
    <w:rsid w:val="005A67D9"/>
    <w:rsid w:val="005B051B"/>
    <w:rsid w:val="005B08AB"/>
    <w:rsid w:val="005B1E76"/>
    <w:rsid w:val="005B2C70"/>
    <w:rsid w:val="005B2D18"/>
    <w:rsid w:val="005B2DA0"/>
    <w:rsid w:val="005B3D88"/>
    <w:rsid w:val="005B3DD5"/>
    <w:rsid w:val="005B5CEE"/>
    <w:rsid w:val="005C125F"/>
    <w:rsid w:val="005C3C51"/>
    <w:rsid w:val="005C4878"/>
    <w:rsid w:val="005C65A9"/>
    <w:rsid w:val="005C7B36"/>
    <w:rsid w:val="005D0B73"/>
    <w:rsid w:val="005D1115"/>
    <w:rsid w:val="005D2006"/>
    <w:rsid w:val="005D22D0"/>
    <w:rsid w:val="005D2CE0"/>
    <w:rsid w:val="005D34D0"/>
    <w:rsid w:val="005D3AAC"/>
    <w:rsid w:val="005D452F"/>
    <w:rsid w:val="005D5124"/>
    <w:rsid w:val="005D7CE3"/>
    <w:rsid w:val="005D7F8D"/>
    <w:rsid w:val="005E07DA"/>
    <w:rsid w:val="005E1E13"/>
    <w:rsid w:val="005E4AF2"/>
    <w:rsid w:val="005E4CA4"/>
    <w:rsid w:val="005E59A4"/>
    <w:rsid w:val="005E6E27"/>
    <w:rsid w:val="005E72DF"/>
    <w:rsid w:val="005E7341"/>
    <w:rsid w:val="005E7D4F"/>
    <w:rsid w:val="005F0E4D"/>
    <w:rsid w:val="005F23CA"/>
    <w:rsid w:val="005F376D"/>
    <w:rsid w:val="005F3E72"/>
    <w:rsid w:val="005F4416"/>
    <w:rsid w:val="005F482B"/>
    <w:rsid w:val="005F7FB7"/>
    <w:rsid w:val="00601FF6"/>
    <w:rsid w:val="0060530D"/>
    <w:rsid w:val="00605A86"/>
    <w:rsid w:val="00605BF7"/>
    <w:rsid w:val="00606248"/>
    <w:rsid w:val="00607399"/>
    <w:rsid w:val="00611FAC"/>
    <w:rsid w:val="0061241B"/>
    <w:rsid w:val="006129B6"/>
    <w:rsid w:val="00612AA8"/>
    <w:rsid w:val="006134A7"/>
    <w:rsid w:val="0061363B"/>
    <w:rsid w:val="006137FD"/>
    <w:rsid w:val="0061515E"/>
    <w:rsid w:val="006157FE"/>
    <w:rsid w:val="00615DA6"/>
    <w:rsid w:val="006167EE"/>
    <w:rsid w:val="00617B40"/>
    <w:rsid w:val="00622D0D"/>
    <w:rsid w:val="00623E3F"/>
    <w:rsid w:val="00624A10"/>
    <w:rsid w:val="00624A97"/>
    <w:rsid w:val="00625A55"/>
    <w:rsid w:val="00626009"/>
    <w:rsid w:val="00627BD2"/>
    <w:rsid w:val="00630436"/>
    <w:rsid w:val="00630A73"/>
    <w:rsid w:val="006312D0"/>
    <w:rsid w:val="00632BD9"/>
    <w:rsid w:val="00634550"/>
    <w:rsid w:val="0063546A"/>
    <w:rsid w:val="00641A2B"/>
    <w:rsid w:val="006429D2"/>
    <w:rsid w:val="00642B93"/>
    <w:rsid w:val="006431CF"/>
    <w:rsid w:val="00643923"/>
    <w:rsid w:val="00643D03"/>
    <w:rsid w:val="00643EE8"/>
    <w:rsid w:val="00644D5A"/>
    <w:rsid w:val="0064551D"/>
    <w:rsid w:val="00646C31"/>
    <w:rsid w:val="006505A3"/>
    <w:rsid w:val="0065073D"/>
    <w:rsid w:val="006512A6"/>
    <w:rsid w:val="00651F93"/>
    <w:rsid w:val="00652A21"/>
    <w:rsid w:val="00653B57"/>
    <w:rsid w:val="00654514"/>
    <w:rsid w:val="00655AF5"/>
    <w:rsid w:val="00655BD3"/>
    <w:rsid w:val="0065603D"/>
    <w:rsid w:val="006567EA"/>
    <w:rsid w:val="00656FD5"/>
    <w:rsid w:val="00660380"/>
    <w:rsid w:val="006604F0"/>
    <w:rsid w:val="0066097D"/>
    <w:rsid w:val="00660FE3"/>
    <w:rsid w:val="0066106F"/>
    <w:rsid w:val="0066193F"/>
    <w:rsid w:val="00661CF1"/>
    <w:rsid w:val="00661D14"/>
    <w:rsid w:val="006630A8"/>
    <w:rsid w:val="00663987"/>
    <w:rsid w:val="00666DF2"/>
    <w:rsid w:val="006673D6"/>
    <w:rsid w:val="006674D8"/>
    <w:rsid w:val="0066757B"/>
    <w:rsid w:val="00673477"/>
    <w:rsid w:val="00674929"/>
    <w:rsid w:val="00677250"/>
    <w:rsid w:val="00677456"/>
    <w:rsid w:val="006807B3"/>
    <w:rsid w:val="00681BCE"/>
    <w:rsid w:val="00683895"/>
    <w:rsid w:val="00683B26"/>
    <w:rsid w:val="00685944"/>
    <w:rsid w:val="006864DA"/>
    <w:rsid w:val="006876E5"/>
    <w:rsid w:val="00687FD8"/>
    <w:rsid w:val="00690B95"/>
    <w:rsid w:val="00691AC8"/>
    <w:rsid w:val="00692194"/>
    <w:rsid w:val="00694F24"/>
    <w:rsid w:val="00695903"/>
    <w:rsid w:val="00695BF3"/>
    <w:rsid w:val="006965B4"/>
    <w:rsid w:val="0069664F"/>
    <w:rsid w:val="00696980"/>
    <w:rsid w:val="006974EF"/>
    <w:rsid w:val="006975D6"/>
    <w:rsid w:val="006975EE"/>
    <w:rsid w:val="00697B8B"/>
    <w:rsid w:val="00697EA2"/>
    <w:rsid w:val="006A0784"/>
    <w:rsid w:val="006A0F0C"/>
    <w:rsid w:val="006A1CD1"/>
    <w:rsid w:val="006A2841"/>
    <w:rsid w:val="006A5604"/>
    <w:rsid w:val="006A5F1F"/>
    <w:rsid w:val="006A6526"/>
    <w:rsid w:val="006A7709"/>
    <w:rsid w:val="006A78FE"/>
    <w:rsid w:val="006A7AEA"/>
    <w:rsid w:val="006B3EC1"/>
    <w:rsid w:val="006B56B1"/>
    <w:rsid w:val="006C07A3"/>
    <w:rsid w:val="006C225D"/>
    <w:rsid w:val="006C480C"/>
    <w:rsid w:val="006C5033"/>
    <w:rsid w:val="006C5497"/>
    <w:rsid w:val="006C5AE4"/>
    <w:rsid w:val="006C7342"/>
    <w:rsid w:val="006D0068"/>
    <w:rsid w:val="006D02B3"/>
    <w:rsid w:val="006D3581"/>
    <w:rsid w:val="006D384D"/>
    <w:rsid w:val="006D3CD9"/>
    <w:rsid w:val="006D66BB"/>
    <w:rsid w:val="006D6A32"/>
    <w:rsid w:val="006D6C77"/>
    <w:rsid w:val="006D779F"/>
    <w:rsid w:val="006E04A7"/>
    <w:rsid w:val="006E3429"/>
    <w:rsid w:val="006E3AB2"/>
    <w:rsid w:val="006E4110"/>
    <w:rsid w:val="006E4908"/>
    <w:rsid w:val="006E5CC3"/>
    <w:rsid w:val="006E6507"/>
    <w:rsid w:val="006E7B8E"/>
    <w:rsid w:val="006F1D0B"/>
    <w:rsid w:val="006F34F8"/>
    <w:rsid w:val="006F45B8"/>
    <w:rsid w:val="006F4AC3"/>
    <w:rsid w:val="006F6134"/>
    <w:rsid w:val="006F6587"/>
    <w:rsid w:val="0070137E"/>
    <w:rsid w:val="007019A7"/>
    <w:rsid w:val="0070330D"/>
    <w:rsid w:val="0070330E"/>
    <w:rsid w:val="00703A2C"/>
    <w:rsid w:val="00703DF6"/>
    <w:rsid w:val="007049F0"/>
    <w:rsid w:val="007055A8"/>
    <w:rsid w:val="007062CB"/>
    <w:rsid w:val="007063FF"/>
    <w:rsid w:val="00706D59"/>
    <w:rsid w:val="00712462"/>
    <w:rsid w:val="007149F2"/>
    <w:rsid w:val="0071552D"/>
    <w:rsid w:val="00715C18"/>
    <w:rsid w:val="007170D6"/>
    <w:rsid w:val="00720F63"/>
    <w:rsid w:val="007210AB"/>
    <w:rsid w:val="0072328F"/>
    <w:rsid w:val="00724D88"/>
    <w:rsid w:val="007269A3"/>
    <w:rsid w:val="00730CF3"/>
    <w:rsid w:val="00733C06"/>
    <w:rsid w:val="00734925"/>
    <w:rsid w:val="0073584B"/>
    <w:rsid w:val="007405CB"/>
    <w:rsid w:val="0074317F"/>
    <w:rsid w:val="00743AA2"/>
    <w:rsid w:val="00744092"/>
    <w:rsid w:val="0074480F"/>
    <w:rsid w:val="00745F00"/>
    <w:rsid w:val="0074658B"/>
    <w:rsid w:val="00746B45"/>
    <w:rsid w:val="007512A4"/>
    <w:rsid w:val="007531F9"/>
    <w:rsid w:val="007531FC"/>
    <w:rsid w:val="0075388B"/>
    <w:rsid w:val="00756169"/>
    <w:rsid w:val="00756F5A"/>
    <w:rsid w:val="00757F1C"/>
    <w:rsid w:val="0076046D"/>
    <w:rsid w:val="0076072C"/>
    <w:rsid w:val="00760FF8"/>
    <w:rsid w:val="0076197C"/>
    <w:rsid w:val="007623D7"/>
    <w:rsid w:val="00762AA7"/>
    <w:rsid w:val="00763F74"/>
    <w:rsid w:val="0076542A"/>
    <w:rsid w:val="00765819"/>
    <w:rsid w:val="00767760"/>
    <w:rsid w:val="007706DF"/>
    <w:rsid w:val="00770DEA"/>
    <w:rsid w:val="00771CAA"/>
    <w:rsid w:val="00771DB7"/>
    <w:rsid w:val="00772527"/>
    <w:rsid w:val="00772BC4"/>
    <w:rsid w:val="0077351A"/>
    <w:rsid w:val="00774EAA"/>
    <w:rsid w:val="0077667D"/>
    <w:rsid w:val="007801FC"/>
    <w:rsid w:val="00780907"/>
    <w:rsid w:val="00780E73"/>
    <w:rsid w:val="0078307B"/>
    <w:rsid w:val="00783314"/>
    <w:rsid w:val="00783F28"/>
    <w:rsid w:val="00784A1B"/>
    <w:rsid w:val="00785AC0"/>
    <w:rsid w:val="00787EB2"/>
    <w:rsid w:val="0079051B"/>
    <w:rsid w:val="007915DB"/>
    <w:rsid w:val="00792A4F"/>
    <w:rsid w:val="00792E2B"/>
    <w:rsid w:val="00793966"/>
    <w:rsid w:val="007946EE"/>
    <w:rsid w:val="0079481F"/>
    <w:rsid w:val="00794BA6"/>
    <w:rsid w:val="007951A0"/>
    <w:rsid w:val="00795F43"/>
    <w:rsid w:val="00796DC0"/>
    <w:rsid w:val="007A0EAB"/>
    <w:rsid w:val="007A1179"/>
    <w:rsid w:val="007A3729"/>
    <w:rsid w:val="007A3F2C"/>
    <w:rsid w:val="007A5898"/>
    <w:rsid w:val="007A7A33"/>
    <w:rsid w:val="007B028A"/>
    <w:rsid w:val="007B1BA0"/>
    <w:rsid w:val="007B24CE"/>
    <w:rsid w:val="007B2AB9"/>
    <w:rsid w:val="007B40C1"/>
    <w:rsid w:val="007B55DF"/>
    <w:rsid w:val="007C0638"/>
    <w:rsid w:val="007C0912"/>
    <w:rsid w:val="007C1000"/>
    <w:rsid w:val="007C1653"/>
    <w:rsid w:val="007C1E78"/>
    <w:rsid w:val="007C5B94"/>
    <w:rsid w:val="007C67B6"/>
    <w:rsid w:val="007D0BB0"/>
    <w:rsid w:val="007D2891"/>
    <w:rsid w:val="007D40B8"/>
    <w:rsid w:val="007D63DD"/>
    <w:rsid w:val="007E01DA"/>
    <w:rsid w:val="007E0742"/>
    <w:rsid w:val="007E2ACF"/>
    <w:rsid w:val="007E2BD0"/>
    <w:rsid w:val="007E598A"/>
    <w:rsid w:val="007E5991"/>
    <w:rsid w:val="007E66AE"/>
    <w:rsid w:val="007F07A7"/>
    <w:rsid w:val="007F07C8"/>
    <w:rsid w:val="007F15D1"/>
    <w:rsid w:val="007F4024"/>
    <w:rsid w:val="007F4224"/>
    <w:rsid w:val="007F768C"/>
    <w:rsid w:val="0080016B"/>
    <w:rsid w:val="00802773"/>
    <w:rsid w:val="00802C21"/>
    <w:rsid w:val="00805DF5"/>
    <w:rsid w:val="008064B3"/>
    <w:rsid w:val="00806B55"/>
    <w:rsid w:val="00807052"/>
    <w:rsid w:val="008077A9"/>
    <w:rsid w:val="0081399F"/>
    <w:rsid w:val="00814350"/>
    <w:rsid w:val="00814CBA"/>
    <w:rsid w:val="008160E2"/>
    <w:rsid w:val="00816587"/>
    <w:rsid w:val="00817196"/>
    <w:rsid w:val="00820849"/>
    <w:rsid w:val="0082249A"/>
    <w:rsid w:val="00823C24"/>
    <w:rsid w:val="00824D6A"/>
    <w:rsid w:val="00826439"/>
    <w:rsid w:val="00827544"/>
    <w:rsid w:val="00832E99"/>
    <w:rsid w:val="00832FAC"/>
    <w:rsid w:val="00833933"/>
    <w:rsid w:val="0083548B"/>
    <w:rsid w:val="00836709"/>
    <w:rsid w:val="008368F9"/>
    <w:rsid w:val="00837F54"/>
    <w:rsid w:val="00840E76"/>
    <w:rsid w:val="008415AE"/>
    <w:rsid w:val="00841B36"/>
    <w:rsid w:val="00843037"/>
    <w:rsid w:val="00843ECE"/>
    <w:rsid w:val="0084608A"/>
    <w:rsid w:val="00846BBC"/>
    <w:rsid w:val="008470D0"/>
    <w:rsid w:val="0085136A"/>
    <w:rsid w:val="00851688"/>
    <w:rsid w:val="008539B5"/>
    <w:rsid w:val="00855316"/>
    <w:rsid w:val="008554B3"/>
    <w:rsid w:val="00856752"/>
    <w:rsid w:val="008570BE"/>
    <w:rsid w:val="008618E0"/>
    <w:rsid w:val="0086194F"/>
    <w:rsid w:val="00865A48"/>
    <w:rsid w:val="0086619D"/>
    <w:rsid w:val="008675B2"/>
    <w:rsid w:val="00870414"/>
    <w:rsid w:val="00871C43"/>
    <w:rsid w:val="00871C8E"/>
    <w:rsid w:val="00872E14"/>
    <w:rsid w:val="00873274"/>
    <w:rsid w:val="008745FF"/>
    <w:rsid w:val="008773FF"/>
    <w:rsid w:val="00880060"/>
    <w:rsid w:val="0088044E"/>
    <w:rsid w:val="00880575"/>
    <w:rsid w:val="00880E00"/>
    <w:rsid w:val="00881197"/>
    <w:rsid w:val="00881205"/>
    <w:rsid w:val="00881F33"/>
    <w:rsid w:val="00881FDF"/>
    <w:rsid w:val="00885209"/>
    <w:rsid w:val="00885443"/>
    <w:rsid w:val="008861BF"/>
    <w:rsid w:val="0088646A"/>
    <w:rsid w:val="00887CFD"/>
    <w:rsid w:val="008938D3"/>
    <w:rsid w:val="00894DD9"/>
    <w:rsid w:val="00895793"/>
    <w:rsid w:val="0089596B"/>
    <w:rsid w:val="008A17E1"/>
    <w:rsid w:val="008A18B0"/>
    <w:rsid w:val="008A1D3C"/>
    <w:rsid w:val="008A24A1"/>
    <w:rsid w:val="008A2A6B"/>
    <w:rsid w:val="008A351A"/>
    <w:rsid w:val="008A35DD"/>
    <w:rsid w:val="008A3D0A"/>
    <w:rsid w:val="008A51E7"/>
    <w:rsid w:val="008A54E9"/>
    <w:rsid w:val="008A6658"/>
    <w:rsid w:val="008A6F13"/>
    <w:rsid w:val="008A78AB"/>
    <w:rsid w:val="008B00FB"/>
    <w:rsid w:val="008B118D"/>
    <w:rsid w:val="008B39BF"/>
    <w:rsid w:val="008B543A"/>
    <w:rsid w:val="008B5DBB"/>
    <w:rsid w:val="008B5DCA"/>
    <w:rsid w:val="008B78CE"/>
    <w:rsid w:val="008C021B"/>
    <w:rsid w:val="008C0AFA"/>
    <w:rsid w:val="008C3C16"/>
    <w:rsid w:val="008C531D"/>
    <w:rsid w:val="008C5A24"/>
    <w:rsid w:val="008C5C8D"/>
    <w:rsid w:val="008C6B8C"/>
    <w:rsid w:val="008D19AA"/>
    <w:rsid w:val="008D1E3E"/>
    <w:rsid w:val="008D2312"/>
    <w:rsid w:val="008D2DCF"/>
    <w:rsid w:val="008D3C27"/>
    <w:rsid w:val="008D3D46"/>
    <w:rsid w:val="008D4626"/>
    <w:rsid w:val="008D4C1F"/>
    <w:rsid w:val="008D4C2A"/>
    <w:rsid w:val="008D4E8C"/>
    <w:rsid w:val="008D4F30"/>
    <w:rsid w:val="008D5049"/>
    <w:rsid w:val="008D5FB2"/>
    <w:rsid w:val="008D64F6"/>
    <w:rsid w:val="008D6962"/>
    <w:rsid w:val="008E2333"/>
    <w:rsid w:val="008E4C40"/>
    <w:rsid w:val="008E70D4"/>
    <w:rsid w:val="008E7368"/>
    <w:rsid w:val="008E7C80"/>
    <w:rsid w:val="008F1B3D"/>
    <w:rsid w:val="008F2649"/>
    <w:rsid w:val="008F3333"/>
    <w:rsid w:val="008F3C29"/>
    <w:rsid w:val="008F4A89"/>
    <w:rsid w:val="008F4F46"/>
    <w:rsid w:val="008F57A7"/>
    <w:rsid w:val="008F6651"/>
    <w:rsid w:val="00903608"/>
    <w:rsid w:val="00903651"/>
    <w:rsid w:val="00903833"/>
    <w:rsid w:val="00904379"/>
    <w:rsid w:val="009065B3"/>
    <w:rsid w:val="00907B9E"/>
    <w:rsid w:val="00910D84"/>
    <w:rsid w:val="00911931"/>
    <w:rsid w:val="0091345E"/>
    <w:rsid w:val="009137FE"/>
    <w:rsid w:val="00913A44"/>
    <w:rsid w:val="00913A5F"/>
    <w:rsid w:val="009140EF"/>
    <w:rsid w:val="009147E0"/>
    <w:rsid w:val="00914A01"/>
    <w:rsid w:val="00915C2F"/>
    <w:rsid w:val="00916F8B"/>
    <w:rsid w:val="00917B6C"/>
    <w:rsid w:val="009205A9"/>
    <w:rsid w:val="00920BF0"/>
    <w:rsid w:val="00921C08"/>
    <w:rsid w:val="00921F7C"/>
    <w:rsid w:val="00922516"/>
    <w:rsid w:val="009262B2"/>
    <w:rsid w:val="00927D81"/>
    <w:rsid w:val="00930234"/>
    <w:rsid w:val="00931643"/>
    <w:rsid w:val="00931897"/>
    <w:rsid w:val="00931989"/>
    <w:rsid w:val="00931D7A"/>
    <w:rsid w:val="00931F7B"/>
    <w:rsid w:val="00932AE2"/>
    <w:rsid w:val="00932DA2"/>
    <w:rsid w:val="00933A0D"/>
    <w:rsid w:val="00933B07"/>
    <w:rsid w:val="00934607"/>
    <w:rsid w:val="00935CDF"/>
    <w:rsid w:val="00936152"/>
    <w:rsid w:val="0093697B"/>
    <w:rsid w:val="00940280"/>
    <w:rsid w:val="00942315"/>
    <w:rsid w:val="009426C8"/>
    <w:rsid w:val="009468FD"/>
    <w:rsid w:val="00947982"/>
    <w:rsid w:val="009502E2"/>
    <w:rsid w:val="00950448"/>
    <w:rsid w:val="00951B64"/>
    <w:rsid w:val="00952F77"/>
    <w:rsid w:val="009537EF"/>
    <w:rsid w:val="00953F4C"/>
    <w:rsid w:val="00954A95"/>
    <w:rsid w:val="00954CA5"/>
    <w:rsid w:val="0095692A"/>
    <w:rsid w:val="00956DC6"/>
    <w:rsid w:val="0095701C"/>
    <w:rsid w:val="00957A21"/>
    <w:rsid w:val="00960A32"/>
    <w:rsid w:val="00960FFD"/>
    <w:rsid w:val="00962432"/>
    <w:rsid w:val="009638AE"/>
    <w:rsid w:val="0096428F"/>
    <w:rsid w:val="009642EC"/>
    <w:rsid w:val="00965F1A"/>
    <w:rsid w:val="00972E40"/>
    <w:rsid w:val="0097373D"/>
    <w:rsid w:val="009746AB"/>
    <w:rsid w:val="00975E38"/>
    <w:rsid w:val="00975F04"/>
    <w:rsid w:val="0097684A"/>
    <w:rsid w:val="00976C5E"/>
    <w:rsid w:val="00980788"/>
    <w:rsid w:val="0098092F"/>
    <w:rsid w:val="00980C72"/>
    <w:rsid w:val="009836F1"/>
    <w:rsid w:val="00986527"/>
    <w:rsid w:val="00986573"/>
    <w:rsid w:val="009868F1"/>
    <w:rsid w:val="0098760A"/>
    <w:rsid w:val="00987D5C"/>
    <w:rsid w:val="009922A0"/>
    <w:rsid w:val="0099332C"/>
    <w:rsid w:val="009939D9"/>
    <w:rsid w:val="0099413F"/>
    <w:rsid w:val="0099492C"/>
    <w:rsid w:val="0099543F"/>
    <w:rsid w:val="00995B7F"/>
    <w:rsid w:val="0099632D"/>
    <w:rsid w:val="00996BDF"/>
    <w:rsid w:val="00996FC1"/>
    <w:rsid w:val="009970C8"/>
    <w:rsid w:val="00997E08"/>
    <w:rsid w:val="00997EF5"/>
    <w:rsid w:val="009A1768"/>
    <w:rsid w:val="009A24EB"/>
    <w:rsid w:val="009A39B9"/>
    <w:rsid w:val="009A3FA8"/>
    <w:rsid w:val="009A509E"/>
    <w:rsid w:val="009A5676"/>
    <w:rsid w:val="009A5850"/>
    <w:rsid w:val="009A615F"/>
    <w:rsid w:val="009A7056"/>
    <w:rsid w:val="009A799D"/>
    <w:rsid w:val="009B1303"/>
    <w:rsid w:val="009B2322"/>
    <w:rsid w:val="009B2E30"/>
    <w:rsid w:val="009B448A"/>
    <w:rsid w:val="009B5162"/>
    <w:rsid w:val="009B60C0"/>
    <w:rsid w:val="009B662D"/>
    <w:rsid w:val="009B67EE"/>
    <w:rsid w:val="009C17C0"/>
    <w:rsid w:val="009C2FCB"/>
    <w:rsid w:val="009C33A3"/>
    <w:rsid w:val="009C3951"/>
    <w:rsid w:val="009C4AC4"/>
    <w:rsid w:val="009C57E8"/>
    <w:rsid w:val="009C5EFA"/>
    <w:rsid w:val="009C707E"/>
    <w:rsid w:val="009C7381"/>
    <w:rsid w:val="009D003F"/>
    <w:rsid w:val="009D0838"/>
    <w:rsid w:val="009D3415"/>
    <w:rsid w:val="009D3777"/>
    <w:rsid w:val="009D41D2"/>
    <w:rsid w:val="009D454F"/>
    <w:rsid w:val="009D49DE"/>
    <w:rsid w:val="009D5053"/>
    <w:rsid w:val="009D6DC7"/>
    <w:rsid w:val="009D7C99"/>
    <w:rsid w:val="009E0E09"/>
    <w:rsid w:val="009E1114"/>
    <w:rsid w:val="009E13C2"/>
    <w:rsid w:val="009E2BC4"/>
    <w:rsid w:val="009E30E5"/>
    <w:rsid w:val="009E3E71"/>
    <w:rsid w:val="009E41DF"/>
    <w:rsid w:val="009E5850"/>
    <w:rsid w:val="009E59CA"/>
    <w:rsid w:val="009E5A66"/>
    <w:rsid w:val="009E7A91"/>
    <w:rsid w:val="009F08D5"/>
    <w:rsid w:val="009F0E97"/>
    <w:rsid w:val="009F10A8"/>
    <w:rsid w:val="009F1A26"/>
    <w:rsid w:val="009F2774"/>
    <w:rsid w:val="009F2848"/>
    <w:rsid w:val="009F2B1B"/>
    <w:rsid w:val="009F4586"/>
    <w:rsid w:val="009F5905"/>
    <w:rsid w:val="009F74E4"/>
    <w:rsid w:val="009F7F17"/>
    <w:rsid w:val="00A0179C"/>
    <w:rsid w:val="00A034C7"/>
    <w:rsid w:val="00A03B2E"/>
    <w:rsid w:val="00A0427D"/>
    <w:rsid w:val="00A043C0"/>
    <w:rsid w:val="00A04612"/>
    <w:rsid w:val="00A06FC3"/>
    <w:rsid w:val="00A07421"/>
    <w:rsid w:val="00A07DF2"/>
    <w:rsid w:val="00A10950"/>
    <w:rsid w:val="00A11FC7"/>
    <w:rsid w:val="00A12094"/>
    <w:rsid w:val="00A12616"/>
    <w:rsid w:val="00A14299"/>
    <w:rsid w:val="00A1479C"/>
    <w:rsid w:val="00A14BC6"/>
    <w:rsid w:val="00A15314"/>
    <w:rsid w:val="00A20B46"/>
    <w:rsid w:val="00A21391"/>
    <w:rsid w:val="00A2217C"/>
    <w:rsid w:val="00A22A43"/>
    <w:rsid w:val="00A23AF2"/>
    <w:rsid w:val="00A24136"/>
    <w:rsid w:val="00A26303"/>
    <w:rsid w:val="00A26545"/>
    <w:rsid w:val="00A26C00"/>
    <w:rsid w:val="00A30646"/>
    <w:rsid w:val="00A3085C"/>
    <w:rsid w:val="00A318B6"/>
    <w:rsid w:val="00A32FFB"/>
    <w:rsid w:val="00A3390E"/>
    <w:rsid w:val="00A33B04"/>
    <w:rsid w:val="00A35E65"/>
    <w:rsid w:val="00A37B41"/>
    <w:rsid w:val="00A41058"/>
    <w:rsid w:val="00A420D6"/>
    <w:rsid w:val="00A4379F"/>
    <w:rsid w:val="00A44078"/>
    <w:rsid w:val="00A45C2B"/>
    <w:rsid w:val="00A46E1E"/>
    <w:rsid w:val="00A47198"/>
    <w:rsid w:val="00A504B5"/>
    <w:rsid w:val="00A51891"/>
    <w:rsid w:val="00A5399A"/>
    <w:rsid w:val="00A54B60"/>
    <w:rsid w:val="00A54F55"/>
    <w:rsid w:val="00A56664"/>
    <w:rsid w:val="00A60CB6"/>
    <w:rsid w:val="00A622F5"/>
    <w:rsid w:val="00A625CA"/>
    <w:rsid w:val="00A62941"/>
    <w:rsid w:val="00A62F8B"/>
    <w:rsid w:val="00A63BAE"/>
    <w:rsid w:val="00A64604"/>
    <w:rsid w:val="00A64A84"/>
    <w:rsid w:val="00A65198"/>
    <w:rsid w:val="00A65D7F"/>
    <w:rsid w:val="00A6735B"/>
    <w:rsid w:val="00A7089F"/>
    <w:rsid w:val="00A72E1A"/>
    <w:rsid w:val="00A73474"/>
    <w:rsid w:val="00A73879"/>
    <w:rsid w:val="00A73DD2"/>
    <w:rsid w:val="00A74E8D"/>
    <w:rsid w:val="00A755AB"/>
    <w:rsid w:val="00A76550"/>
    <w:rsid w:val="00A768F5"/>
    <w:rsid w:val="00A76E60"/>
    <w:rsid w:val="00A76F32"/>
    <w:rsid w:val="00A7740E"/>
    <w:rsid w:val="00A777B0"/>
    <w:rsid w:val="00A7798C"/>
    <w:rsid w:val="00A80FF9"/>
    <w:rsid w:val="00A81027"/>
    <w:rsid w:val="00A81A69"/>
    <w:rsid w:val="00A8314A"/>
    <w:rsid w:val="00A84071"/>
    <w:rsid w:val="00A85421"/>
    <w:rsid w:val="00A85E32"/>
    <w:rsid w:val="00A86AB2"/>
    <w:rsid w:val="00A86B63"/>
    <w:rsid w:val="00A876F6"/>
    <w:rsid w:val="00A87EFD"/>
    <w:rsid w:val="00A92A35"/>
    <w:rsid w:val="00A92FD0"/>
    <w:rsid w:val="00A941C6"/>
    <w:rsid w:val="00A95C44"/>
    <w:rsid w:val="00A96BBC"/>
    <w:rsid w:val="00A96FC9"/>
    <w:rsid w:val="00AA0A06"/>
    <w:rsid w:val="00AA2530"/>
    <w:rsid w:val="00AA2903"/>
    <w:rsid w:val="00AA2925"/>
    <w:rsid w:val="00AA5B46"/>
    <w:rsid w:val="00AA5BD8"/>
    <w:rsid w:val="00AA6060"/>
    <w:rsid w:val="00AA70E3"/>
    <w:rsid w:val="00AA74F0"/>
    <w:rsid w:val="00AA78D2"/>
    <w:rsid w:val="00AB0B52"/>
    <w:rsid w:val="00AB0FBE"/>
    <w:rsid w:val="00AB1E34"/>
    <w:rsid w:val="00AB3764"/>
    <w:rsid w:val="00AB57B9"/>
    <w:rsid w:val="00AB6A64"/>
    <w:rsid w:val="00AB7008"/>
    <w:rsid w:val="00AB7257"/>
    <w:rsid w:val="00AC0240"/>
    <w:rsid w:val="00AC049E"/>
    <w:rsid w:val="00AC1A44"/>
    <w:rsid w:val="00AC1F52"/>
    <w:rsid w:val="00AC2D81"/>
    <w:rsid w:val="00AC312E"/>
    <w:rsid w:val="00AC3A2A"/>
    <w:rsid w:val="00AC3B3B"/>
    <w:rsid w:val="00AC4CE6"/>
    <w:rsid w:val="00AC5CEF"/>
    <w:rsid w:val="00AC5F6E"/>
    <w:rsid w:val="00AC6303"/>
    <w:rsid w:val="00AC7A0C"/>
    <w:rsid w:val="00AD1E13"/>
    <w:rsid w:val="00AD2182"/>
    <w:rsid w:val="00AD2722"/>
    <w:rsid w:val="00AD2932"/>
    <w:rsid w:val="00AD2D38"/>
    <w:rsid w:val="00AD34E8"/>
    <w:rsid w:val="00AD44EA"/>
    <w:rsid w:val="00AD57B1"/>
    <w:rsid w:val="00AD60E4"/>
    <w:rsid w:val="00AE1129"/>
    <w:rsid w:val="00AE28F2"/>
    <w:rsid w:val="00AE2E25"/>
    <w:rsid w:val="00AE31DA"/>
    <w:rsid w:val="00AE4696"/>
    <w:rsid w:val="00AE4893"/>
    <w:rsid w:val="00AE4D3F"/>
    <w:rsid w:val="00AE5A70"/>
    <w:rsid w:val="00AE749B"/>
    <w:rsid w:val="00AF0C5D"/>
    <w:rsid w:val="00AF0EC2"/>
    <w:rsid w:val="00AF3B8D"/>
    <w:rsid w:val="00AF4755"/>
    <w:rsid w:val="00AF5211"/>
    <w:rsid w:val="00AF527D"/>
    <w:rsid w:val="00AF6941"/>
    <w:rsid w:val="00AF6CF8"/>
    <w:rsid w:val="00B00236"/>
    <w:rsid w:val="00B011CD"/>
    <w:rsid w:val="00B012AB"/>
    <w:rsid w:val="00B01AD0"/>
    <w:rsid w:val="00B01C76"/>
    <w:rsid w:val="00B01FB8"/>
    <w:rsid w:val="00B0203B"/>
    <w:rsid w:val="00B02D70"/>
    <w:rsid w:val="00B03229"/>
    <w:rsid w:val="00B038DF"/>
    <w:rsid w:val="00B03B13"/>
    <w:rsid w:val="00B048AD"/>
    <w:rsid w:val="00B05432"/>
    <w:rsid w:val="00B1163A"/>
    <w:rsid w:val="00B12A73"/>
    <w:rsid w:val="00B14454"/>
    <w:rsid w:val="00B14980"/>
    <w:rsid w:val="00B150DF"/>
    <w:rsid w:val="00B16806"/>
    <w:rsid w:val="00B16D58"/>
    <w:rsid w:val="00B170BA"/>
    <w:rsid w:val="00B17197"/>
    <w:rsid w:val="00B17200"/>
    <w:rsid w:val="00B21C20"/>
    <w:rsid w:val="00B2251D"/>
    <w:rsid w:val="00B23137"/>
    <w:rsid w:val="00B23AD4"/>
    <w:rsid w:val="00B24002"/>
    <w:rsid w:val="00B24814"/>
    <w:rsid w:val="00B2542D"/>
    <w:rsid w:val="00B27E5A"/>
    <w:rsid w:val="00B3095A"/>
    <w:rsid w:val="00B31B94"/>
    <w:rsid w:val="00B37150"/>
    <w:rsid w:val="00B371CF"/>
    <w:rsid w:val="00B3750C"/>
    <w:rsid w:val="00B40556"/>
    <w:rsid w:val="00B411FF"/>
    <w:rsid w:val="00B45760"/>
    <w:rsid w:val="00B45A19"/>
    <w:rsid w:val="00B4649B"/>
    <w:rsid w:val="00B47DD3"/>
    <w:rsid w:val="00B52E90"/>
    <w:rsid w:val="00B54C08"/>
    <w:rsid w:val="00B55CA6"/>
    <w:rsid w:val="00B56535"/>
    <w:rsid w:val="00B568E7"/>
    <w:rsid w:val="00B60337"/>
    <w:rsid w:val="00B60BF3"/>
    <w:rsid w:val="00B612DC"/>
    <w:rsid w:val="00B61546"/>
    <w:rsid w:val="00B6264B"/>
    <w:rsid w:val="00B63452"/>
    <w:rsid w:val="00B635AF"/>
    <w:rsid w:val="00B63E7F"/>
    <w:rsid w:val="00B64C33"/>
    <w:rsid w:val="00B64FEB"/>
    <w:rsid w:val="00B65A41"/>
    <w:rsid w:val="00B66331"/>
    <w:rsid w:val="00B66CC6"/>
    <w:rsid w:val="00B6782E"/>
    <w:rsid w:val="00B706ED"/>
    <w:rsid w:val="00B72E51"/>
    <w:rsid w:val="00B73BD7"/>
    <w:rsid w:val="00B74540"/>
    <w:rsid w:val="00B75142"/>
    <w:rsid w:val="00B773C7"/>
    <w:rsid w:val="00B7745D"/>
    <w:rsid w:val="00B810EC"/>
    <w:rsid w:val="00B82945"/>
    <w:rsid w:val="00B84563"/>
    <w:rsid w:val="00B84FCB"/>
    <w:rsid w:val="00B85665"/>
    <w:rsid w:val="00B86BDB"/>
    <w:rsid w:val="00B870AF"/>
    <w:rsid w:val="00B900F0"/>
    <w:rsid w:val="00B9069E"/>
    <w:rsid w:val="00B907E3"/>
    <w:rsid w:val="00B91F80"/>
    <w:rsid w:val="00B92695"/>
    <w:rsid w:val="00B938FB"/>
    <w:rsid w:val="00B967B9"/>
    <w:rsid w:val="00B96942"/>
    <w:rsid w:val="00BA28D1"/>
    <w:rsid w:val="00BA5DC7"/>
    <w:rsid w:val="00BA5E0A"/>
    <w:rsid w:val="00BB00B8"/>
    <w:rsid w:val="00BB0F80"/>
    <w:rsid w:val="00BB1942"/>
    <w:rsid w:val="00BB2E0D"/>
    <w:rsid w:val="00BB33E1"/>
    <w:rsid w:val="00BB354A"/>
    <w:rsid w:val="00BB365A"/>
    <w:rsid w:val="00BB3E03"/>
    <w:rsid w:val="00BB579B"/>
    <w:rsid w:val="00BC43F9"/>
    <w:rsid w:val="00BC749F"/>
    <w:rsid w:val="00BC799F"/>
    <w:rsid w:val="00BD0179"/>
    <w:rsid w:val="00BD04E1"/>
    <w:rsid w:val="00BD1383"/>
    <w:rsid w:val="00BD2367"/>
    <w:rsid w:val="00BD3E44"/>
    <w:rsid w:val="00BD4376"/>
    <w:rsid w:val="00BD4CAB"/>
    <w:rsid w:val="00BD5ADE"/>
    <w:rsid w:val="00BD67DE"/>
    <w:rsid w:val="00BD7983"/>
    <w:rsid w:val="00BE1596"/>
    <w:rsid w:val="00BE1AEB"/>
    <w:rsid w:val="00BE362B"/>
    <w:rsid w:val="00BE44E9"/>
    <w:rsid w:val="00BE4FE4"/>
    <w:rsid w:val="00BE52B3"/>
    <w:rsid w:val="00BE530B"/>
    <w:rsid w:val="00BE5C87"/>
    <w:rsid w:val="00BE6617"/>
    <w:rsid w:val="00BF02FA"/>
    <w:rsid w:val="00BF2381"/>
    <w:rsid w:val="00BF26E2"/>
    <w:rsid w:val="00BF2F61"/>
    <w:rsid w:val="00BF4B9B"/>
    <w:rsid w:val="00BF6502"/>
    <w:rsid w:val="00BF6AC7"/>
    <w:rsid w:val="00BF752E"/>
    <w:rsid w:val="00C032B2"/>
    <w:rsid w:val="00C0457A"/>
    <w:rsid w:val="00C0578E"/>
    <w:rsid w:val="00C067F8"/>
    <w:rsid w:val="00C116F9"/>
    <w:rsid w:val="00C1341A"/>
    <w:rsid w:val="00C13AA0"/>
    <w:rsid w:val="00C145FB"/>
    <w:rsid w:val="00C14D04"/>
    <w:rsid w:val="00C150B3"/>
    <w:rsid w:val="00C15D9C"/>
    <w:rsid w:val="00C15DA3"/>
    <w:rsid w:val="00C171E4"/>
    <w:rsid w:val="00C17381"/>
    <w:rsid w:val="00C20A78"/>
    <w:rsid w:val="00C2128B"/>
    <w:rsid w:val="00C21813"/>
    <w:rsid w:val="00C22752"/>
    <w:rsid w:val="00C23646"/>
    <w:rsid w:val="00C237F9"/>
    <w:rsid w:val="00C23A2A"/>
    <w:rsid w:val="00C24F49"/>
    <w:rsid w:val="00C25187"/>
    <w:rsid w:val="00C255DE"/>
    <w:rsid w:val="00C2703E"/>
    <w:rsid w:val="00C2736A"/>
    <w:rsid w:val="00C304AA"/>
    <w:rsid w:val="00C31D9B"/>
    <w:rsid w:val="00C3286F"/>
    <w:rsid w:val="00C331F8"/>
    <w:rsid w:val="00C3331E"/>
    <w:rsid w:val="00C3468B"/>
    <w:rsid w:val="00C34826"/>
    <w:rsid w:val="00C358D7"/>
    <w:rsid w:val="00C35E9E"/>
    <w:rsid w:val="00C362F4"/>
    <w:rsid w:val="00C371D5"/>
    <w:rsid w:val="00C37215"/>
    <w:rsid w:val="00C40CE8"/>
    <w:rsid w:val="00C41E14"/>
    <w:rsid w:val="00C4221F"/>
    <w:rsid w:val="00C42E53"/>
    <w:rsid w:val="00C4481F"/>
    <w:rsid w:val="00C45446"/>
    <w:rsid w:val="00C51603"/>
    <w:rsid w:val="00C51828"/>
    <w:rsid w:val="00C52C46"/>
    <w:rsid w:val="00C533C1"/>
    <w:rsid w:val="00C5493E"/>
    <w:rsid w:val="00C55AED"/>
    <w:rsid w:val="00C63CC0"/>
    <w:rsid w:val="00C641E6"/>
    <w:rsid w:val="00C64607"/>
    <w:rsid w:val="00C64C7F"/>
    <w:rsid w:val="00C658DA"/>
    <w:rsid w:val="00C70048"/>
    <w:rsid w:val="00C705C6"/>
    <w:rsid w:val="00C72F10"/>
    <w:rsid w:val="00C73D22"/>
    <w:rsid w:val="00C753B0"/>
    <w:rsid w:val="00C7602F"/>
    <w:rsid w:val="00C77652"/>
    <w:rsid w:val="00C77CE3"/>
    <w:rsid w:val="00C812AB"/>
    <w:rsid w:val="00C815C0"/>
    <w:rsid w:val="00C8322D"/>
    <w:rsid w:val="00C849FD"/>
    <w:rsid w:val="00C8541A"/>
    <w:rsid w:val="00C871F9"/>
    <w:rsid w:val="00C877B7"/>
    <w:rsid w:val="00C87F15"/>
    <w:rsid w:val="00C90414"/>
    <w:rsid w:val="00C93C5A"/>
    <w:rsid w:val="00C93F9D"/>
    <w:rsid w:val="00C9428B"/>
    <w:rsid w:val="00C95107"/>
    <w:rsid w:val="00CA0917"/>
    <w:rsid w:val="00CA0C75"/>
    <w:rsid w:val="00CA1283"/>
    <w:rsid w:val="00CA1DCD"/>
    <w:rsid w:val="00CA32C5"/>
    <w:rsid w:val="00CA3BFF"/>
    <w:rsid w:val="00CA4B6B"/>
    <w:rsid w:val="00CA5301"/>
    <w:rsid w:val="00CA6D34"/>
    <w:rsid w:val="00CA6F56"/>
    <w:rsid w:val="00CA7C3F"/>
    <w:rsid w:val="00CB09DF"/>
    <w:rsid w:val="00CB51E8"/>
    <w:rsid w:val="00CB74C7"/>
    <w:rsid w:val="00CB7F45"/>
    <w:rsid w:val="00CC062B"/>
    <w:rsid w:val="00CC5041"/>
    <w:rsid w:val="00CC54E2"/>
    <w:rsid w:val="00CC5569"/>
    <w:rsid w:val="00CC5663"/>
    <w:rsid w:val="00CC7E29"/>
    <w:rsid w:val="00CD10D9"/>
    <w:rsid w:val="00CD1604"/>
    <w:rsid w:val="00CD1A9F"/>
    <w:rsid w:val="00CD291E"/>
    <w:rsid w:val="00CD30FC"/>
    <w:rsid w:val="00CD40A1"/>
    <w:rsid w:val="00CD441B"/>
    <w:rsid w:val="00CE18A3"/>
    <w:rsid w:val="00CE2456"/>
    <w:rsid w:val="00CE2EE7"/>
    <w:rsid w:val="00CE53E7"/>
    <w:rsid w:val="00CE57A0"/>
    <w:rsid w:val="00CE656D"/>
    <w:rsid w:val="00CF0110"/>
    <w:rsid w:val="00CF0A90"/>
    <w:rsid w:val="00CF0F46"/>
    <w:rsid w:val="00CF270B"/>
    <w:rsid w:val="00CF744F"/>
    <w:rsid w:val="00D028DE"/>
    <w:rsid w:val="00D06356"/>
    <w:rsid w:val="00D1154F"/>
    <w:rsid w:val="00D12300"/>
    <w:rsid w:val="00D12911"/>
    <w:rsid w:val="00D12DEE"/>
    <w:rsid w:val="00D13482"/>
    <w:rsid w:val="00D1394B"/>
    <w:rsid w:val="00D13CE3"/>
    <w:rsid w:val="00D14BB2"/>
    <w:rsid w:val="00D179B0"/>
    <w:rsid w:val="00D17C18"/>
    <w:rsid w:val="00D221B7"/>
    <w:rsid w:val="00D228EA"/>
    <w:rsid w:val="00D233D4"/>
    <w:rsid w:val="00D24058"/>
    <w:rsid w:val="00D246E7"/>
    <w:rsid w:val="00D2753C"/>
    <w:rsid w:val="00D27C04"/>
    <w:rsid w:val="00D302F1"/>
    <w:rsid w:val="00D30E4A"/>
    <w:rsid w:val="00D322B3"/>
    <w:rsid w:val="00D34ADB"/>
    <w:rsid w:val="00D35115"/>
    <w:rsid w:val="00D35773"/>
    <w:rsid w:val="00D36AE5"/>
    <w:rsid w:val="00D37773"/>
    <w:rsid w:val="00D409F0"/>
    <w:rsid w:val="00D41BDE"/>
    <w:rsid w:val="00D431C8"/>
    <w:rsid w:val="00D43428"/>
    <w:rsid w:val="00D447A7"/>
    <w:rsid w:val="00D447F8"/>
    <w:rsid w:val="00D45274"/>
    <w:rsid w:val="00D45E0E"/>
    <w:rsid w:val="00D464EE"/>
    <w:rsid w:val="00D46ABC"/>
    <w:rsid w:val="00D47187"/>
    <w:rsid w:val="00D516CF"/>
    <w:rsid w:val="00D60C9A"/>
    <w:rsid w:val="00D60D4F"/>
    <w:rsid w:val="00D60D9A"/>
    <w:rsid w:val="00D62525"/>
    <w:rsid w:val="00D63060"/>
    <w:rsid w:val="00D63DE4"/>
    <w:rsid w:val="00D666DC"/>
    <w:rsid w:val="00D70376"/>
    <w:rsid w:val="00D7056B"/>
    <w:rsid w:val="00D714F9"/>
    <w:rsid w:val="00D728A1"/>
    <w:rsid w:val="00D759FF"/>
    <w:rsid w:val="00D76F3A"/>
    <w:rsid w:val="00D76FD8"/>
    <w:rsid w:val="00D8187C"/>
    <w:rsid w:val="00D81936"/>
    <w:rsid w:val="00D830A9"/>
    <w:rsid w:val="00D8345C"/>
    <w:rsid w:val="00D85801"/>
    <w:rsid w:val="00D85A27"/>
    <w:rsid w:val="00D86EDB"/>
    <w:rsid w:val="00D91156"/>
    <w:rsid w:val="00D9239E"/>
    <w:rsid w:val="00D92FB5"/>
    <w:rsid w:val="00D93E30"/>
    <w:rsid w:val="00D945A0"/>
    <w:rsid w:val="00D95833"/>
    <w:rsid w:val="00D964B8"/>
    <w:rsid w:val="00D965AE"/>
    <w:rsid w:val="00D96C40"/>
    <w:rsid w:val="00DA16D6"/>
    <w:rsid w:val="00DA2CB6"/>
    <w:rsid w:val="00DA36A8"/>
    <w:rsid w:val="00DA3C12"/>
    <w:rsid w:val="00DA4ECF"/>
    <w:rsid w:val="00DA5471"/>
    <w:rsid w:val="00DA5EA7"/>
    <w:rsid w:val="00DA65E7"/>
    <w:rsid w:val="00DA6C8C"/>
    <w:rsid w:val="00DB29CB"/>
    <w:rsid w:val="00DB5C4C"/>
    <w:rsid w:val="00DB7174"/>
    <w:rsid w:val="00DC1B3D"/>
    <w:rsid w:val="00DC21B8"/>
    <w:rsid w:val="00DC2435"/>
    <w:rsid w:val="00DC3D9D"/>
    <w:rsid w:val="00DC4577"/>
    <w:rsid w:val="00DC5926"/>
    <w:rsid w:val="00DC7849"/>
    <w:rsid w:val="00DD059D"/>
    <w:rsid w:val="00DD3067"/>
    <w:rsid w:val="00DD4163"/>
    <w:rsid w:val="00DD56C4"/>
    <w:rsid w:val="00DD66FB"/>
    <w:rsid w:val="00DD6E1F"/>
    <w:rsid w:val="00DD7BC4"/>
    <w:rsid w:val="00DE00A7"/>
    <w:rsid w:val="00DE0D0A"/>
    <w:rsid w:val="00DE2B7C"/>
    <w:rsid w:val="00DE2F32"/>
    <w:rsid w:val="00DE4612"/>
    <w:rsid w:val="00DF2483"/>
    <w:rsid w:val="00DF364C"/>
    <w:rsid w:val="00DF4B35"/>
    <w:rsid w:val="00DF57BF"/>
    <w:rsid w:val="00DF6CA6"/>
    <w:rsid w:val="00DF7AF2"/>
    <w:rsid w:val="00E02D9C"/>
    <w:rsid w:val="00E02E2B"/>
    <w:rsid w:val="00E04988"/>
    <w:rsid w:val="00E061EB"/>
    <w:rsid w:val="00E10BC6"/>
    <w:rsid w:val="00E11025"/>
    <w:rsid w:val="00E114D5"/>
    <w:rsid w:val="00E13397"/>
    <w:rsid w:val="00E14EA4"/>
    <w:rsid w:val="00E16284"/>
    <w:rsid w:val="00E2082A"/>
    <w:rsid w:val="00E22344"/>
    <w:rsid w:val="00E24AF4"/>
    <w:rsid w:val="00E25445"/>
    <w:rsid w:val="00E25A4B"/>
    <w:rsid w:val="00E26D9F"/>
    <w:rsid w:val="00E27835"/>
    <w:rsid w:val="00E3086F"/>
    <w:rsid w:val="00E30C87"/>
    <w:rsid w:val="00E325CB"/>
    <w:rsid w:val="00E3282F"/>
    <w:rsid w:val="00E349E8"/>
    <w:rsid w:val="00E362EF"/>
    <w:rsid w:val="00E36F63"/>
    <w:rsid w:val="00E417B0"/>
    <w:rsid w:val="00E418DC"/>
    <w:rsid w:val="00E4238E"/>
    <w:rsid w:val="00E4374F"/>
    <w:rsid w:val="00E44652"/>
    <w:rsid w:val="00E4466C"/>
    <w:rsid w:val="00E47B4E"/>
    <w:rsid w:val="00E50CCA"/>
    <w:rsid w:val="00E51CB9"/>
    <w:rsid w:val="00E540F6"/>
    <w:rsid w:val="00E5498E"/>
    <w:rsid w:val="00E560BF"/>
    <w:rsid w:val="00E6021E"/>
    <w:rsid w:val="00E615F8"/>
    <w:rsid w:val="00E617E7"/>
    <w:rsid w:val="00E61E77"/>
    <w:rsid w:val="00E6238F"/>
    <w:rsid w:val="00E62870"/>
    <w:rsid w:val="00E63392"/>
    <w:rsid w:val="00E63622"/>
    <w:rsid w:val="00E64ECF"/>
    <w:rsid w:val="00E65F26"/>
    <w:rsid w:val="00E66543"/>
    <w:rsid w:val="00E665CA"/>
    <w:rsid w:val="00E70716"/>
    <w:rsid w:val="00E707AE"/>
    <w:rsid w:val="00E70B20"/>
    <w:rsid w:val="00E7168E"/>
    <w:rsid w:val="00E72434"/>
    <w:rsid w:val="00E7271B"/>
    <w:rsid w:val="00E73F60"/>
    <w:rsid w:val="00E743D5"/>
    <w:rsid w:val="00E75130"/>
    <w:rsid w:val="00E7631F"/>
    <w:rsid w:val="00E81544"/>
    <w:rsid w:val="00E817FA"/>
    <w:rsid w:val="00E81BCA"/>
    <w:rsid w:val="00E82878"/>
    <w:rsid w:val="00E838B6"/>
    <w:rsid w:val="00E83AA3"/>
    <w:rsid w:val="00E8423F"/>
    <w:rsid w:val="00E84D66"/>
    <w:rsid w:val="00E869F7"/>
    <w:rsid w:val="00E87AC0"/>
    <w:rsid w:val="00E909AB"/>
    <w:rsid w:val="00E920C0"/>
    <w:rsid w:val="00E93125"/>
    <w:rsid w:val="00E96543"/>
    <w:rsid w:val="00EA0DA1"/>
    <w:rsid w:val="00EA2E37"/>
    <w:rsid w:val="00EA4D74"/>
    <w:rsid w:val="00EA690A"/>
    <w:rsid w:val="00EA7022"/>
    <w:rsid w:val="00EB10A4"/>
    <w:rsid w:val="00EB33D2"/>
    <w:rsid w:val="00EB49EF"/>
    <w:rsid w:val="00EB52E3"/>
    <w:rsid w:val="00EB6049"/>
    <w:rsid w:val="00EB7564"/>
    <w:rsid w:val="00EC0D8B"/>
    <w:rsid w:val="00EC1B80"/>
    <w:rsid w:val="00EC2908"/>
    <w:rsid w:val="00EC449C"/>
    <w:rsid w:val="00EC6C71"/>
    <w:rsid w:val="00EC6DFD"/>
    <w:rsid w:val="00EC7103"/>
    <w:rsid w:val="00EC7C3F"/>
    <w:rsid w:val="00ED07EC"/>
    <w:rsid w:val="00ED2D87"/>
    <w:rsid w:val="00ED2E38"/>
    <w:rsid w:val="00ED3AA4"/>
    <w:rsid w:val="00ED47D7"/>
    <w:rsid w:val="00ED620E"/>
    <w:rsid w:val="00ED7AE5"/>
    <w:rsid w:val="00EE0E96"/>
    <w:rsid w:val="00EE0F9A"/>
    <w:rsid w:val="00EE131B"/>
    <w:rsid w:val="00EE1E7A"/>
    <w:rsid w:val="00EE24D3"/>
    <w:rsid w:val="00EE4544"/>
    <w:rsid w:val="00EE4E28"/>
    <w:rsid w:val="00EE7AE9"/>
    <w:rsid w:val="00EF1524"/>
    <w:rsid w:val="00EF1A87"/>
    <w:rsid w:val="00EF1ACF"/>
    <w:rsid w:val="00EF243C"/>
    <w:rsid w:val="00EF27E9"/>
    <w:rsid w:val="00EF3899"/>
    <w:rsid w:val="00EF57AF"/>
    <w:rsid w:val="00EF5822"/>
    <w:rsid w:val="00EF6FFB"/>
    <w:rsid w:val="00EF7C1F"/>
    <w:rsid w:val="00EFDA0E"/>
    <w:rsid w:val="00F00F5E"/>
    <w:rsid w:val="00F03209"/>
    <w:rsid w:val="00F05DED"/>
    <w:rsid w:val="00F06731"/>
    <w:rsid w:val="00F07F2B"/>
    <w:rsid w:val="00F11913"/>
    <w:rsid w:val="00F11D25"/>
    <w:rsid w:val="00F11DB8"/>
    <w:rsid w:val="00F11E08"/>
    <w:rsid w:val="00F13D60"/>
    <w:rsid w:val="00F20180"/>
    <w:rsid w:val="00F21257"/>
    <w:rsid w:val="00F22A63"/>
    <w:rsid w:val="00F23281"/>
    <w:rsid w:val="00F24ADD"/>
    <w:rsid w:val="00F25293"/>
    <w:rsid w:val="00F255CC"/>
    <w:rsid w:val="00F25CC3"/>
    <w:rsid w:val="00F26EBE"/>
    <w:rsid w:val="00F321A6"/>
    <w:rsid w:val="00F322C0"/>
    <w:rsid w:val="00F35B65"/>
    <w:rsid w:val="00F35CBA"/>
    <w:rsid w:val="00F36D94"/>
    <w:rsid w:val="00F4181B"/>
    <w:rsid w:val="00F427CA"/>
    <w:rsid w:val="00F44209"/>
    <w:rsid w:val="00F459DF"/>
    <w:rsid w:val="00F510A0"/>
    <w:rsid w:val="00F51A36"/>
    <w:rsid w:val="00F52639"/>
    <w:rsid w:val="00F52A16"/>
    <w:rsid w:val="00F5322A"/>
    <w:rsid w:val="00F5467D"/>
    <w:rsid w:val="00F55929"/>
    <w:rsid w:val="00F60EB4"/>
    <w:rsid w:val="00F61646"/>
    <w:rsid w:val="00F6192D"/>
    <w:rsid w:val="00F63902"/>
    <w:rsid w:val="00F64C25"/>
    <w:rsid w:val="00F64E7E"/>
    <w:rsid w:val="00F658E8"/>
    <w:rsid w:val="00F67F55"/>
    <w:rsid w:val="00F730C8"/>
    <w:rsid w:val="00F74269"/>
    <w:rsid w:val="00F83D60"/>
    <w:rsid w:val="00F83E8F"/>
    <w:rsid w:val="00F8489D"/>
    <w:rsid w:val="00F85CAF"/>
    <w:rsid w:val="00F92104"/>
    <w:rsid w:val="00F922B4"/>
    <w:rsid w:val="00F92E66"/>
    <w:rsid w:val="00F932BC"/>
    <w:rsid w:val="00F9338A"/>
    <w:rsid w:val="00F96CC2"/>
    <w:rsid w:val="00F97653"/>
    <w:rsid w:val="00FA0C5B"/>
    <w:rsid w:val="00FA1A20"/>
    <w:rsid w:val="00FA39C1"/>
    <w:rsid w:val="00FA66DA"/>
    <w:rsid w:val="00FA7C56"/>
    <w:rsid w:val="00FA7F9F"/>
    <w:rsid w:val="00FB08F7"/>
    <w:rsid w:val="00FB1187"/>
    <w:rsid w:val="00FB1937"/>
    <w:rsid w:val="00FB2835"/>
    <w:rsid w:val="00FB3DC0"/>
    <w:rsid w:val="00FB52AC"/>
    <w:rsid w:val="00FB5637"/>
    <w:rsid w:val="00FB5E4E"/>
    <w:rsid w:val="00FC00F7"/>
    <w:rsid w:val="00FC0EFA"/>
    <w:rsid w:val="00FC2809"/>
    <w:rsid w:val="00FC6E46"/>
    <w:rsid w:val="00FD0B84"/>
    <w:rsid w:val="00FD0FCC"/>
    <w:rsid w:val="00FD1166"/>
    <w:rsid w:val="00FD515C"/>
    <w:rsid w:val="00FE0139"/>
    <w:rsid w:val="00FE0F63"/>
    <w:rsid w:val="00FE1F36"/>
    <w:rsid w:val="00FE22CA"/>
    <w:rsid w:val="00FE23C9"/>
    <w:rsid w:val="00FE50E9"/>
    <w:rsid w:val="00FE674B"/>
    <w:rsid w:val="00FE7879"/>
    <w:rsid w:val="00FF3ECD"/>
    <w:rsid w:val="00FF52FC"/>
    <w:rsid w:val="00FF5744"/>
    <w:rsid w:val="00FF7910"/>
    <w:rsid w:val="015DA083"/>
    <w:rsid w:val="01DA1B54"/>
    <w:rsid w:val="025001B5"/>
    <w:rsid w:val="030713CD"/>
    <w:rsid w:val="041FC104"/>
    <w:rsid w:val="04D1CFB2"/>
    <w:rsid w:val="0673798D"/>
    <w:rsid w:val="0808C248"/>
    <w:rsid w:val="098150C4"/>
    <w:rsid w:val="0B54BBDA"/>
    <w:rsid w:val="0B9DF65B"/>
    <w:rsid w:val="0BA7FC2A"/>
    <w:rsid w:val="0C012E66"/>
    <w:rsid w:val="0D9CFEC7"/>
    <w:rsid w:val="0E834503"/>
    <w:rsid w:val="10CC9C0A"/>
    <w:rsid w:val="10F51C73"/>
    <w:rsid w:val="11551352"/>
    <w:rsid w:val="11DDFD83"/>
    <w:rsid w:val="12686C6B"/>
    <w:rsid w:val="1291ADD3"/>
    <w:rsid w:val="12A8EBEE"/>
    <w:rsid w:val="12C567A2"/>
    <w:rsid w:val="14613803"/>
    <w:rsid w:val="1533E60E"/>
    <w:rsid w:val="16A26E72"/>
    <w:rsid w:val="18938696"/>
    <w:rsid w:val="1925D8C9"/>
    <w:rsid w:val="1AC4D8EE"/>
    <w:rsid w:val="1B3BBAF5"/>
    <w:rsid w:val="1BA910A8"/>
    <w:rsid w:val="1C2EDCC4"/>
    <w:rsid w:val="1DABE783"/>
    <w:rsid w:val="1DFC79B0"/>
    <w:rsid w:val="1FDCDCDF"/>
    <w:rsid w:val="20A97416"/>
    <w:rsid w:val="21F940B9"/>
    <w:rsid w:val="22BE2A44"/>
    <w:rsid w:val="22E7E440"/>
    <w:rsid w:val="25055052"/>
    <w:rsid w:val="264838FD"/>
    <w:rsid w:val="29848634"/>
    <w:rsid w:val="2BA1F3FF"/>
    <w:rsid w:val="2BE8ED0A"/>
    <w:rsid w:val="2C759E29"/>
    <w:rsid w:val="2D5ED948"/>
    <w:rsid w:val="2E3959B8"/>
    <w:rsid w:val="2F8B477B"/>
    <w:rsid w:val="301FA9C5"/>
    <w:rsid w:val="31860E1D"/>
    <w:rsid w:val="3248B2F3"/>
    <w:rsid w:val="33A3AD00"/>
    <w:rsid w:val="355C7994"/>
    <w:rsid w:val="35CA9A2F"/>
    <w:rsid w:val="367CEE3A"/>
    <w:rsid w:val="376559A2"/>
    <w:rsid w:val="399E92A6"/>
    <w:rsid w:val="3BA50BF2"/>
    <w:rsid w:val="3C4DF7A4"/>
    <w:rsid w:val="3CCAC14B"/>
    <w:rsid w:val="3CD0F8A9"/>
    <w:rsid w:val="3DC54523"/>
    <w:rsid w:val="3E303F07"/>
    <w:rsid w:val="3EF7A611"/>
    <w:rsid w:val="41010F08"/>
    <w:rsid w:val="41A49DBD"/>
    <w:rsid w:val="42C7D49B"/>
    <w:rsid w:val="430672E6"/>
    <w:rsid w:val="432137CB"/>
    <w:rsid w:val="43A0B486"/>
    <w:rsid w:val="43EA5B1C"/>
    <w:rsid w:val="45C30271"/>
    <w:rsid w:val="45FE51A4"/>
    <w:rsid w:val="463A91BF"/>
    <w:rsid w:val="46D458B3"/>
    <w:rsid w:val="477409B8"/>
    <w:rsid w:val="47DE7645"/>
    <w:rsid w:val="4C2D9A5E"/>
    <w:rsid w:val="4D3E7520"/>
    <w:rsid w:val="4EE6E71F"/>
    <w:rsid w:val="50EB5BFE"/>
    <w:rsid w:val="51CBEE48"/>
    <w:rsid w:val="5251261B"/>
    <w:rsid w:val="536D62C1"/>
    <w:rsid w:val="55D98CF3"/>
    <w:rsid w:val="5657A5F5"/>
    <w:rsid w:val="567B552B"/>
    <w:rsid w:val="57097A74"/>
    <w:rsid w:val="5711B84E"/>
    <w:rsid w:val="5751D3A7"/>
    <w:rsid w:val="5763BEF5"/>
    <w:rsid w:val="57662FD2"/>
    <w:rsid w:val="581A2B2C"/>
    <w:rsid w:val="58CF671A"/>
    <w:rsid w:val="5A659004"/>
    <w:rsid w:val="5A6B377B"/>
    <w:rsid w:val="5C0707DC"/>
    <w:rsid w:val="5FE55FDE"/>
    <w:rsid w:val="61A2DC09"/>
    <w:rsid w:val="61A44E9F"/>
    <w:rsid w:val="61F07DDF"/>
    <w:rsid w:val="64A39A1B"/>
    <w:rsid w:val="64D26827"/>
    <w:rsid w:val="652A2F7B"/>
    <w:rsid w:val="65981BEB"/>
    <w:rsid w:val="6616EA13"/>
    <w:rsid w:val="663F6A7C"/>
    <w:rsid w:val="67195C74"/>
    <w:rsid w:val="6AC56BAC"/>
    <w:rsid w:val="6AC90B9D"/>
    <w:rsid w:val="6D24EF6B"/>
    <w:rsid w:val="6E218428"/>
    <w:rsid w:val="6F72BA22"/>
    <w:rsid w:val="6FC5AF0B"/>
    <w:rsid w:val="71105B83"/>
    <w:rsid w:val="712F084F"/>
    <w:rsid w:val="7325DB0A"/>
    <w:rsid w:val="75E3CCA6"/>
    <w:rsid w:val="764E2B3F"/>
    <w:rsid w:val="76C50F64"/>
    <w:rsid w:val="782C3F7A"/>
    <w:rsid w:val="79007506"/>
    <w:rsid w:val="7A3888F3"/>
    <w:rsid w:val="7CE5A4C7"/>
    <w:rsid w:val="7DADC2A5"/>
    <w:rsid w:val="7DE5F5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72CC4"/>
  <w15:docId w15:val="{AD151D2E-A80B-4BBE-91C0-D91DAB73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BA28D1"/>
    <w:rPr>
      <w:color w:val="605E5C"/>
      <w:shd w:val="clear" w:color="auto" w:fill="E1DFDD"/>
    </w:rPr>
  </w:style>
  <w:style w:type="paragraph" w:styleId="ListParagraph">
    <w:name w:val="List Paragraph"/>
    <w:basedOn w:val="Normal"/>
    <w:uiPriority w:val="99"/>
    <w:qFormat/>
    <w:rsid w:val="00683B26"/>
    <w:pPr>
      <w:ind w:left="720"/>
      <w:contextualSpacing/>
    </w:pPr>
  </w:style>
  <w:style w:type="paragraph" w:customStyle="1" w:styleId="Consultationtext">
    <w:name w:val="Consultation text"/>
    <w:basedOn w:val="Normal"/>
    <w:qFormat/>
    <w:rsid w:val="004A3350"/>
    <w:rPr>
      <w:color w:val="FF0000"/>
    </w:rPr>
  </w:style>
  <w:style w:type="character" w:styleId="UnresolvedMention">
    <w:name w:val="Unresolved Mention"/>
    <w:basedOn w:val="DefaultParagraphFont"/>
    <w:uiPriority w:val="99"/>
    <w:semiHidden/>
    <w:unhideWhenUsed/>
    <w:rsid w:val="007C1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0242">
      <w:bodyDiv w:val="1"/>
      <w:marLeft w:val="0"/>
      <w:marRight w:val="0"/>
      <w:marTop w:val="0"/>
      <w:marBottom w:val="0"/>
      <w:divBdr>
        <w:top w:val="none" w:sz="0" w:space="0" w:color="auto"/>
        <w:left w:val="none" w:sz="0" w:space="0" w:color="auto"/>
        <w:bottom w:val="none" w:sz="0" w:space="0" w:color="auto"/>
        <w:right w:val="none" w:sz="0" w:space="0" w:color="auto"/>
      </w:divBdr>
    </w:div>
    <w:div w:id="137501443">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116439">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6618217">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9727">
      <w:bodyDiv w:val="1"/>
      <w:marLeft w:val="0"/>
      <w:marRight w:val="0"/>
      <w:marTop w:val="0"/>
      <w:marBottom w:val="0"/>
      <w:divBdr>
        <w:top w:val="none" w:sz="0" w:space="0" w:color="auto"/>
        <w:left w:val="none" w:sz="0" w:space="0" w:color="auto"/>
        <w:bottom w:val="none" w:sz="0" w:space="0" w:color="auto"/>
        <w:right w:val="none" w:sz="0" w:space="0" w:color="auto"/>
      </w:divBdr>
    </w:div>
    <w:div w:id="117114090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5353688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374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73332154">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75850">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15576">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0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ipcc.ch/report/ar6/wg1/downloads/factsheets/IPCC_AR6_WGI_Regional_Fact_Sheet_Australasia.pdf" TargetMode="External"/><Relationship Id="rId26" Type="http://schemas.openxmlformats.org/officeDocument/2006/relationships/footer" Target="footer2.xml"/><Relationship Id="rId39" Type="http://schemas.openxmlformats.org/officeDocument/2006/relationships/footer" Target="footer3.xml"/><Relationship Id="rId21" Type="http://schemas.openxmlformats.org/officeDocument/2006/relationships/hyperlink" Target="https://www.awrc.org.au/uploads/5/8/6/6/5866843/peachey_pbfcv_2012.pdf" TargetMode="External"/><Relationship Id="rId34" Type="http://schemas.openxmlformats.org/officeDocument/2006/relationships/hyperlink" Target="https://www.environment.gov.au/cgi-bin/sprat/public/publicspecies.pl?taxon_id=82926"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we.gov.au/environment/biodiversity/threatened/publications/tap/competition-and-land-degradation-unmanaged-goats" TargetMode="External"/><Relationship Id="rId25" Type="http://schemas.openxmlformats.org/officeDocument/2006/relationships/header" Target="header3.xml"/><Relationship Id="rId33" Type="http://schemas.openxmlformats.org/officeDocument/2006/relationships/hyperlink" Target="mailto:copyright@awe.gov.au"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environment.gov.au/science/erin/databases-maps/snes" TargetMode="External"/><Relationship Id="rId20" Type="http://schemas.openxmlformats.org/officeDocument/2006/relationships/hyperlink" Target="https://www.environment.nsw.gov.au/threatenedspeciesapp/profile.aspx?id=10116" TargetMode="External"/><Relationship Id="rId29" Type="http://schemas.openxmlformats.org/officeDocument/2006/relationships/hyperlink" Target="https://www.iucnredlist.org/resources/redlistguideline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yperlink" Target="https://creativecommons.org/licenses/by/4.0/legalcode" TargetMode="External"/><Relationship Id="rId37" Type="http://schemas.openxmlformats.org/officeDocument/2006/relationships/header" Target="header5.xml"/><Relationship Id="rId40" Type="http://schemas.openxmlformats.org/officeDocument/2006/relationships/fontTable" Target="fontTable.xml"/><Relationship Id="rId36" Type="http://schemas.openxmlformats.org/officeDocument/2006/relationships/header" Target="header4.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hyperlink" Target="https://www.iucnredlist.org/resources/categories-and-criteria" TargetMode="External"/><Relationship Id="rId10" Type="http://schemas.openxmlformats.org/officeDocument/2006/relationships/webSettings" Target="webSettings.xml"/><Relationship Id="rId19" Type="http://schemas.openxmlformats.org/officeDocument/2006/relationships/hyperlink" Target="https://moonlitsanctuary.com.au/wp-content/uploads/2020/09/Moonlit-Sanctuary-F-2-Factsheet-Major-Mitchell-Cockatoo.pdf" TargetMode="External"/><Relationship Id="rId31" Type="http://schemas.openxmlformats.org/officeDocument/2006/relationships/image" Target="media/image4.png"/><Relationship Id="rId35" Type="http://schemas.openxmlformats.org/officeDocument/2006/relationships/hyperlink" Target="http://agriculture.gov.au/" TargetMode="External"/><Relationship Id="rId9" Type="http://schemas.openxmlformats.org/officeDocument/2006/relationships/settings" Target="settings.xml"/><Relationship Id="rId14" Type="http://schemas.openxmlformats.org/officeDocument/2006/relationships/hyperlink" Target="http://www.environment.gov.au/cgi-bin/sprat/public/sprat.pl" TargetMode="External"/><Relationship Id="rId22" Type="http://schemas.openxmlformats.org/officeDocument/2006/relationships/header" Target="header1.xml"/><Relationship Id="rId27" Type="http://schemas.openxmlformats.org/officeDocument/2006/relationships/hyperlink" Target="http://www.environment.gov.au/system/files/pages/d72dfd1a-f0d8-4699-8d43-5d95bbb02428/files/tssc-guidelines-assessing-species-2018.pdf" TargetMode="External"/><Relationship Id="rId30" Type="http://schemas.openxmlformats.org/officeDocument/2006/relationships/hyperlink" Target="http://www.environment.gov.au/biodiversity/threatened/cam" TargetMode="External"/><Relationship Id="rId8" Type="http://schemas.openxmlformats.org/officeDocument/2006/relationships/styles" Target="style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F3B210625A49D1A68855672522768C"/>
        <w:category>
          <w:name w:val="General"/>
          <w:gallery w:val="placeholder"/>
        </w:category>
        <w:types>
          <w:type w:val="bbPlcHdr"/>
        </w:types>
        <w:behaviors>
          <w:behavior w:val="content"/>
        </w:behaviors>
        <w:guid w:val="{A1D152A7-F375-4C00-8C2D-945162DFEA8D}"/>
      </w:docPartPr>
      <w:docPartBody>
        <w:p w:rsidR="00114898" w:rsidRDefault="009836F1">
          <w:pPr>
            <w:pStyle w:val="C4F3B210625A49D1A68855672522768C"/>
          </w:pPr>
          <w:r w:rsidRPr="0045331C">
            <w:rPr>
              <w:rStyle w:val="PlaceholderText"/>
            </w:rPr>
            <w:t>Choose an item.</w:t>
          </w:r>
        </w:p>
      </w:docPartBody>
    </w:docPart>
    <w:docPart>
      <w:docPartPr>
        <w:name w:val="3D0059D951D64E7187A8BEC276E4D5DE"/>
        <w:category>
          <w:name w:val="General"/>
          <w:gallery w:val="placeholder"/>
        </w:category>
        <w:types>
          <w:type w:val="bbPlcHdr"/>
        </w:types>
        <w:behaviors>
          <w:behavior w:val="content"/>
        </w:behaviors>
        <w:guid w:val="{001ACBA4-E68A-4CDD-94D4-44442DB78AF8}"/>
      </w:docPartPr>
      <w:docPartBody>
        <w:p w:rsidR="00114898" w:rsidRDefault="009836F1">
          <w:pPr>
            <w:pStyle w:val="3D0059D951D64E7187A8BEC276E4D5DE"/>
          </w:pPr>
          <w:r w:rsidRPr="0045331C">
            <w:rPr>
              <w:rStyle w:val="PlaceholderText"/>
            </w:rPr>
            <w:t>Choose an item.</w:t>
          </w:r>
        </w:p>
      </w:docPartBody>
    </w:docPart>
    <w:docPart>
      <w:docPartPr>
        <w:name w:val="F4B7BDA1EDFC4B4086A9B1DFC0FD768A"/>
        <w:category>
          <w:name w:val="General"/>
          <w:gallery w:val="placeholder"/>
        </w:category>
        <w:types>
          <w:type w:val="bbPlcHdr"/>
        </w:types>
        <w:behaviors>
          <w:behavior w:val="content"/>
        </w:behaviors>
        <w:guid w:val="{9FEFD64F-72B1-4917-A4C7-972613660482}"/>
      </w:docPartPr>
      <w:docPartBody>
        <w:p w:rsidR="00114898" w:rsidRDefault="009836F1">
          <w:pPr>
            <w:pStyle w:val="F4B7BDA1EDFC4B4086A9B1DFC0FD768A"/>
          </w:pPr>
          <w:r w:rsidRPr="0045331C">
            <w:rPr>
              <w:rStyle w:val="PlaceholderText"/>
            </w:rPr>
            <w:t>Choose an item.</w:t>
          </w:r>
        </w:p>
      </w:docPartBody>
    </w:docPart>
    <w:docPart>
      <w:docPartPr>
        <w:name w:val="D217EAE77AE049DFAAB7FB06C2A55358"/>
        <w:category>
          <w:name w:val="General"/>
          <w:gallery w:val="placeholder"/>
        </w:category>
        <w:types>
          <w:type w:val="bbPlcHdr"/>
        </w:types>
        <w:behaviors>
          <w:behavior w:val="content"/>
        </w:behaviors>
        <w:guid w:val="{AD2EE456-0BE9-414A-ACDA-E483B161C2D6}"/>
      </w:docPartPr>
      <w:docPartBody>
        <w:p w:rsidR="00114898" w:rsidRDefault="009836F1">
          <w:pPr>
            <w:pStyle w:val="D217EAE77AE049DFAAB7FB06C2A55358"/>
          </w:pPr>
          <w:r w:rsidRPr="0045331C">
            <w:rPr>
              <w:rStyle w:val="PlaceholderText"/>
            </w:rPr>
            <w:t>Choose an item.</w:t>
          </w:r>
        </w:p>
      </w:docPartBody>
    </w:docPart>
    <w:docPart>
      <w:docPartPr>
        <w:name w:val="77BBBD97678C4C10950B924FB291B6F0"/>
        <w:category>
          <w:name w:val="General"/>
          <w:gallery w:val="placeholder"/>
        </w:category>
        <w:types>
          <w:type w:val="bbPlcHdr"/>
        </w:types>
        <w:behaviors>
          <w:behavior w:val="content"/>
        </w:behaviors>
        <w:guid w:val="{B08FC959-E0E0-4477-98E4-B1AB7D94B7E8}"/>
      </w:docPartPr>
      <w:docPartBody>
        <w:p w:rsidR="00114898" w:rsidRDefault="009836F1">
          <w:pPr>
            <w:pStyle w:val="77BBBD97678C4C10950B924FB291B6F0"/>
          </w:pPr>
          <w:r w:rsidRPr="0045331C">
            <w:rPr>
              <w:rStyle w:val="PlaceholderText"/>
            </w:rPr>
            <w:t>Choose an item.</w:t>
          </w:r>
        </w:p>
      </w:docPartBody>
    </w:docPart>
    <w:docPart>
      <w:docPartPr>
        <w:name w:val="703D0D386FB448329095062685DA01BB"/>
        <w:category>
          <w:name w:val="General"/>
          <w:gallery w:val="placeholder"/>
        </w:category>
        <w:types>
          <w:type w:val="bbPlcHdr"/>
        </w:types>
        <w:behaviors>
          <w:behavior w:val="content"/>
        </w:behaviors>
        <w:guid w:val="{7477AD05-D351-43E0-AD2F-F681108ACF96}"/>
      </w:docPartPr>
      <w:docPartBody>
        <w:p w:rsidR="00114898" w:rsidRDefault="009836F1">
          <w:pPr>
            <w:pStyle w:val="703D0D386FB448329095062685DA01BB"/>
          </w:pPr>
          <w:r w:rsidRPr="0045331C">
            <w:rPr>
              <w:rStyle w:val="PlaceholderText"/>
            </w:rPr>
            <w:t>Choose an item.</w:t>
          </w:r>
        </w:p>
      </w:docPartBody>
    </w:docPart>
    <w:docPart>
      <w:docPartPr>
        <w:name w:val="AA3F430C24A344B7B131049C4B98C880"/>
        <w:category>
          <w:name w:val="General"/>
          <w:gallery w:val="placeholder"/>
        </w:category>
        <w:types>
          <w:type w:val="bbPlcHdr"/>
        </w:types>
        <w:behaviors>
          <w:behavior w:val="content"/>
        </w:behaviors>
        <w:guid w:val="{EA2E8C04-2A92-4EE0-85EC-DAF9F05B330E}"/>
      </w:docPartPr>
      <w:docPartBody>
        <w:p w:rsidR="00114898" w:rsidRDefault="009836F1">
          <w:pPr>
            <w:pStyle w:val="AA3F430C24A344B7B131049C4B98C880"/>
          </w:pPr>
          <w:r w:rsidRPr="0045331C">
            <w:rPr>
              <w:rStyle w:val="PlaceholderText"/>
            </w:rPr>
            <w:t>Choose an item.</w:t>
          </w:r>
        </w:p>
      </w:docPartBody>
    </w:docPart>
    <w:docPart>
      <w:docPartPr>
        <w:name w:val="7163FDDE01344F30BE6491AA91745DAD"/>
        <w:category>
          <w:name w:val="General"/>
          <w:gallery w:val="placeholder"/>
        </w:category>
        <w:types>
          <w:type w:val="bbPlcHdr"/>
        </w:types>
        <w:behaviors>
          <w:behavior w:val="content"/>
        </w:behaviors>
        <w:guid w:val="{79F92512-708D-413B-9304-37B5526941DB}"/>
      </w:docPartPr>
      <w:docPartBody>
        <w:p w:rsidR="00114898" w:rsidRDefault="009836F1">
          <w:pPr>
            <w:pStyle w:val="7163FDDE01344F30BE6491AA91745DAD"/>
          </w:pPr>
          <w:r w:rsidRPr="0045331C">
            <w:rPr>
              <w:rStyle w:val="PlaceholderText"/>
            </w:rPr>
            <w:t>Choose an item.</w:t>
          </w:r>
        </w:p>
      </w:docPartBody>
    </w:docPart>
    <w:docPart>
      <w:docPartPr>
        <w:name w:val="AB9B2DC4C6494732AA93A88E3CB1E9FA"/>
        <w:category>
          <w:name w:val="General"/>
          <w:gallery w:val="placeholder"/>
        </w:category>
        <w:types>
          <w:type w:val="bbPlcHdr"/>
        </w:types>
        <w:behaviors>
          <w:behavior w:val="content"/>
        </w:behaviors>
        <w:guid w:val="{0E5DD2C4-94D7-4334-87EC-6B0199EE6FFD}"/>
      </w:docPartPr>
      <w:docPartBody>
        <w:p w:rsidR="00114898" w:rsidRDefault="009836F1">
          <w:pPr>
            <w:pStyle w:val="AB9B2DC4C6494732AA93A88E3CB1E9FA"/>
          </w:pPr>
          <w:r w:rsidRPr="00F20180">
            <w:rPr>
              <w:rStyle w:val="PlaceholderText"/>
              <w:highlight w:val="yellow"/>
            </w:rPr>
            <w:t>Choose an item.</w:t>
          </w:r>
        </w:p>
      </w:docPartBody>
    </w:docPart>
    <w:docPart>
      <w:docPartPr>
        <w:name w:val="43BF03400DA8499B8DE24AD173DB385E"/>
        <w:category>
          <w:name w:val="General"/>
          <w:gallery w:val="placeholder"/>
        </w:category>
        <w:types>
          <w:type w:val="bbPlcHdr"/>
        </w:types>
        <w:behaviors>
          <w:behavior w:val="content"/>
        </w:behaviors>
        <w:guid w:val="{8F701714-AE59-45B7-9A00-DAF2C135A12A}"/>
      </w:docPartPr>
      <w:docPartBody>
        <w:p w:rsidR="00114898" w:rsidRDefault="009836F1">
          <w:pPr>
            <w:pStyle w:val="43BF03400DA8499B8DE24AD173DB385E"/>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F1"/>
    <w:rsid w:val="000A40AF"/>
    <w:rsid w:val="00114898"/>
    <w:rsid w:val="00131898"/>
    <w:rsid w:val="001A09BE"/>
    <w:rsid w:val="002A7416"/>
    <w:rsid w:val="002B10DD"/>
    <w:rsid w:val="00350AEA"/>
    <w:rsid w:val="004B7F7F"/>
    <w:rsid w:val="004F30C2"/>
    <w:rsid w:val="00544362"/>
    <w:rsid w:val="005A6083"/>
    <w:rsid w:val="005E7387"/>
    <w:rsid w:val="0062094D"/>
    <w:rsid w:val="006B0A9B"/>
    <w:rsid w:val="00871508"/>
    <w:rsid w:val="008D6C97"/>
    <w:rsid w:val="0092526E"/>
    <w:rsid w:val="0093548B"/>
    <w:rsid w:val="009836F1"/>
    <w:rsid w:val="009C530D"/>
    <w:rsid w:val="00A46ADF"/>
    <w:rsid w:val="00A855BD"/>
    <w:rsid w:val="00A93FE9"/>
    <w:rsid w:val="00AD47F4"/>
    <w:rsid w:val="00AE3C87"/>
    <w:rsid w:val="00B15076"/>
    <w:rsid w:val="00C0625A"/>
    <w:rsid w:val="00C7005D"/>
    <w:rsid w:val="00CB3BD9"/>
    <w:rsid w:val="00CE09B7"/>
    <w:rsid w:val="00D10B0F"/>
    <w:rsid w:val="00D63A22"/>
    <w:rsid w:val="00E06D3A"/>
    <w:rsid w:val="00EB07C1"/>
    <w:rsid w:val="00F031DA"/>
    <w:rsid w:val="00F07719"/>
    <w:rsid w:val="00FD4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A9B"/>
    <w:rPr>
      <w:color w:val="808080"/>
    </w:rPr>
  </w:style>
  <w:style w:type="paragraph" w:customStyle="1" w:styleId="C4F3B210625A49D1A68855672522768C">
    <w:name w:val="C4F3B210625A49D1A68855672522768C"/>
  </w:style>
  <w:style w:type="paragraph" w:customStyle="1" w:styleId="3D0059D951D64E7187A8BEC276E4D5DE">
    <w:name w:val="3D0059D951D64E7187A8BEC276E4D5DE"/>
  </w:style>
  <w:style w:type="paragraph" w:customStyle="1" w:styleId="F4B7BDA1EDFC4B4086A9B1DFC0FD768A">
    <w:name w:val="F4B7BDA1EDFC4B4086A9B1DFC0FD768A"/>
  </w:style>
  <w:style w:type="paragraph" w:customStyle="1" w:styleId="D217EAE77AE049DFAAB7FB06C2A55358">
    <w:name w:val="D217EAE77AE049DFAAB7FB06C2A55358"/>
  </w:style>
  <w:style w:type="paragraph" w:customStyle="1" w:styleId="77BBBD97678C4C10950B924FB291B6F0">
    <w:name w:val="77BBBD97678C4C10950B924FB291B6F0"/>
  </w:style>
  <w:style w:type="paragraph" w:customStyle="1" w:styleId="703D0D386FB448329095062685DA01BB">
    <w:name w:val="703D0D386FB448329095062685DA01BB"/>
  </w:style>
  <w:style w:type="paragraph" w:customStyle="1" w:styleId="AA3F430C24A344B7B131049C4B98C880">
    <w:name w:val="AA3F430C24A344B7B131049C4B98C880"/>
  </w:style>
  <w:style w:type="paragraph" w:customStyle="1" w:styleId="7163FDDE01344F30BE6491AA91745DAD">
    <w:name w:val="7163FDDE01344F30BE6491AA91745DAD"/>
  </w:style>
  <w:style w:type="paragraph" w:customStyle="1" w:styleId="AB9B2DC4C6494732AA93A88E3CB1E9FA">
    <w:name w:val="AB9B2DC4C6494732AA93A88E3CB1E9FA"/>
  </w:style>
  <w:style w:type="paragraph" w:customStyle="1" w:styleId="43BF03400DA8499B8DE24AD173DB385E">
    <w:name w:val="43BF03400DA8499B8DE24AD173DB3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344c6e69-c594-4ca4-b341-09ae9dfc1422"/>
    <ds:schemaRef ds:uri="http://schemas.openxmlformats.org/package/2006/metadata/core-properties"/>
    <ds:schemaRef ds:uri="http://purl.org/dc/elements/1.1/"/>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A8C0F07C-0C5A-4C1F-B33C-F859475FFF08}">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8315A379-DC93-427C-B7CE-439E972790A9}">
  <ds:schemaRefs>
    <ds:schemaRef ds:uri="http://schemas.microsoft.com/office/2006/metadata/customXsn"/>
  </ds:schemaRefs>
</ds:datastoreItem>
</file>

<file path=customXml/itemProps5.xml><?xml version="1.0" encoding="utf-8"?>
<ds:datastoreItem xmlns:ds="http://schemas.openxmlformats.org/officeDocument/2006/customXml" ds:itemID="{A13139D8-D23D-400D-ABEF-8590A7FB8E3A}">
  <ds:schemaRefs>
    <ds:schemaRef ds:uri="http://schemas.microsoft.com/sharepoint/events"/>
  </ds:schemaRefs>
</ds:datastoreItem>
</file>

<file path=customXml/itemProps6.xml><?xml version="1.0" encoding="utf-8"?>
<ds:datastoreItem xmlns:ds="http://schemas.openxmlformats.org/officeDocument/2006/customXml" ds:itemID="{816D3CE1-8418-4B0F-BFE8-3E713683A094}"/>
</file>

<file path=docProps/app.xml><?xml version="1.0" encoding="utf-8"?>
<Properties xmlns="http://schemas.openxmlformats.org/officeDocument/2006/extended-properties" xmlns:vt="http://schemas.openxmlformats.org/officeDocument/2006/docPropsVTypes">
  <Template>Normal.dotm</Template>
  <TotalTime>2</TotalTime>
  <Pages>25</Pages>
  <Words>8259</Words>
  <Characters>47077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Conservation Advice for Lophochroa leadbeateri leadbeater (eastern Major Mitchell’s cockatoo)</vt:lpstr>
    </vt:vector>
  </TitlesOfParts>
  <Company/>
  <LinksUpToDate>false</LinksUpToDate>
  <CharactersWithSpaces>55226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Advice for Lophochroa leadbeateri leadbeater (eastern Major Mitchell’s cockatoo)</dc:title>
  <dc:creator>Department of Agriculture, Water and the Environment</dc:creator>
  <cp:lastModifiedBy>Bec Durack</cp:lastModifiedBy>
  <cp:revision>3</cp:revision>
  <cp:lastPrinted>2020-12-10T04:50:00Z</cp:lastPrinted>
  <dcterms:created xsi:type="dcterms:W3CDTF">2022-03-31T01:35:00Z</dcterms:created>
  <dcterms:modified xsi:type="dcterms:W3CDTF">2022-03-31T01:36:00Z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{a084da58-2144-4ac7-b11a-aadd6f09107c}</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